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Ex1.xml" ContentType="application/vnd.ms-office.chartex+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E25614" w14:textId="77777777" w:rsidR="00FE07DA" w:rsidRPr="005C53F3" w:rsidRDefault="00FE07DA" w:rsidP="00FE07DA">
      <w:pPr>
        <w:jc w:val="center"/>
        <w:rPr>
          <w:rFonts w:ascii="Calibri Light" w:hAnsi="Calibri Light" w:cs="Calibri Light"/>
          <w:sz w:val="36"/>
          <w:szCs w:val="36"/>
          <w:lang w:val="en-US"/>
        </w:rPr>
      </w:pPr>
      <w:bookmarkStart w:id="0" w:name="_Ref5085995"/>
      <w:bookmarkStart w:id="1" w:name="_Ref5085992"/>
      <w:bookmarkStart w:id="2" w:name="_Toc9794154"/>
      <w:bookmarkStart w:id="3" w:name="_Toc15039535"/>
    </w:p>
    <w:p w14:paraId="000D0B0C" w14:textId="77777777" w:rsidR="00FE07DA" w:rsidRPr="00A33AE8" w:rsidRDefault="00FE07DA" w:rsidP="00FE07DA">
      <w:pPr>
        <w:jc w:val="center"/>
        <w:rPr>
          <w:rFonts w:ascii="Calibri Light" w:hAnsi="Calibri Light" w:cs="Calibri Light"/>
          <w:sz w:val="36"/>
          <w:szCs w:val="36"/>
        </w:rPr>
      </w:pPr>
    </w:p>
    <w:p w14:paraId="0F6D6D4E" w14:textId="77777777" w:rsidR="00FE07DA" w:rsidRPr="00A33AE8" w:rsidRDefault="00FE07DA" w:rsidP="00FE07DA">
      <w:pPr>
        <w:jc w:val="center"/>
        <w:rPr>
          <w:rFonts w:ascii="Calibri Light" w:hAnsi="Calibri Light" w:cs="Calibri Light"/>
          <w:sz w:val="36"/>
          <w:szCs w:val="36"/>
        </w:rPr>
      </w:pPr>
    </w:p>
    <w:p w14:paraId="740707AD" w14:textId="77777777" w:rsidR="00FE07DA" w:rsidRPr="000007D2" w:rsidRDefault="00FE07DA" w:rsidP="00FE07DA">
      <w:pPr>
        <w:jc w:val="center"/>
        <w:rPr>
          <w:rFonts w:ascii="Calibri Light" w:hAnsi="Calibri Light"/>
          <w:sz w:val="36"/>
        </w:rPr>
      </w:pPr>
    </w:p>
    <w:p w14:paraId="4CBE6423" w14:textId="77777777" w:rsidR="00FE07DA" w:rsidRPr="00A33AE8" w:rsidRDefault="00FE07DA" w:rsidP="00FE07DA">
      <w:pPr>
        <w:jc w:val="center"/>
        <w:rPr>
          <w:rFonts w:ascii="Calibri Light" w:hAnsi="Calibri Light" w:cs="Calibri Light"/>
          <w:sz w:val="36"/>
          <w:szCs w:val="36"/>
        </w:rPr>
      </w:pPr>
    </w:p>
    <w:p w14:paraId="3F1476E5" w14:textId="77777777" w:rsidR="00FE07DA" w:rsidRPr="00A33AE8" w:rsidRDefault="00FE07DA" w:rsidP="00FE07DA">
      <w:pPr>
        <w:jc w:val="center"/>
        <w:rPr>
          <w:rFonts w:ascii="Calibri Light" w:hAnsi="Calibri Light" w:cs="Calibri Light"/>
          <w:sz w:val="36"/>
          <w:szCs w:val="36"/>
        </w:rPr>
      </w:pPr>
    </w:p>
    <w:p w14:paraId="0F22036A" w14:textId="77777777" w:rsidR="00FE07DA" w:rsidRPr="00A33AE8" w:rsidRDefault="00FE07DA" w:rsidP="00FE07DA">
      <w:pPr>
        <w:jc w:val="center"/>
        <w:rPr>
          <w:rFonts w:ascii="Calibri Light" w:hAnsi="Calibri Light" w:cs="Calibri Light"/>
          <w:sz w:val="36"/>
          <w:szCs w:val="36"/>
        </w:rPr>
      </w:pPr>
    </w:p>
    <w:p w14:paraId="26E9B348" w14:textId="77777777" w:rsidR="0044319F" w:rsidRPr="00A33AE8" w:rsidRDefault="0044319F" w:rsidP="0044319F">
      <w:pPr>
        <w:jc w:val="center"/>
        <w:rPr>
          <w:rFonts w:ascii="Calibri Light" w:hAnsi="Calibri Light" w:cs="Calibri Light"/>
          <w:b/>
          <w:bCs/>
          <w:sz w:val="52"/>
          <w:szCs w:val="52"/>
        </w:rPr>
      </w:pPr>
      <w:r w:rsidRPr="00A33AE8">
        <w:rPr>
          <w:rFonts w:ascii="Calibri Light" w:hAnsi="Calibri Light" w:cs="Calibri Light"/>
          <w:b/>
          <w:bCs/>
          <w:sz w:val="52"/>
          <w:szCs w:val="52"/>
        </w:rPr>
        <w:t>Integrated National Energy and Climate Plan of the Republic of Serbia</w:t>
      </w:r>
    </w:p>
    <w:p w14:paraId="6E8F865A" w14:textId="0A22BC7A" w:rsidR="00922BD5" w:rsidRPr="00A33AE8" w:rsidRDefault="00922BD5" w:rsidP="0044319F">
      <w:pPr>
        <w:jc w:val="center"/>
        <w:rPr>
          <w:rFonts w:ascii="Calibri Light" w:hAnsi="Calibri Light" w:cs="Calibri Light"/>
          <w:b/>
          <w:bCs/>
          <w:sz w:val="52"/>
          <w:szCs w:val="52"/>
        </w:rPr>
      </w:pPr>
      <w:r w:rsidRPr="00A33AE8">
        <w:rPr>
          <w:rFonts w:ascii="Calibri Light" w:hAnsi="Calibri Light" w:cs="Calibri Light"/>
          <w:b/>
          <w:bCs/>
          <w:sz w:val="52"/>
          <w:szCs w:val="52"/>
        </w:rPr>
        <w:t xml:space="preserve">For the period </w:t>
      </w:r>
      <w:r w:rsidR="002F2EB5">
        <w:rPr>
          <w:rFonts w:ascii="Calibri Light" w:hAnsi="Calibri Light" w:cs="Calibri Light"/>
          <w:b/>
          <w:bCs/>
          <w:sz w:val="52"/>
          <w:szCs w:val="52"/>
        </w:rPr>
        <w:t>up to</w:t>
      </w:r>
      <w:r w:rsidRPr="00A33AE8">
        <w:rPr>
          <w:rFonts w:ascii="Calibri Light" w:hAnsi="Calibri Light" w:cs="Calibri Light"/>
          <w:b/>
          <w:bCs/>
          <w:sz w:val="52"/>
          <w:szCs w:val="52"/>
        </w:rPr>
        <w:t xml:space="preserve"> 2030</w:t>
      </w:r>
      <w:r w:rsidR="00B91E27" w:rsidRPr="0087794A">
        <w:rPr>
          <w:sz w:val="52"/>
          <w:szCs w:val="52"/>
        </w:rPr>
        <w:t xml:space="preserve"> </w:t>
      </w:r>
      <w:r w:rsidR="00B91E27" w:rsidRPr="00B91E27">
        <w:rPr>
          <w:rFonts w:ascii="Calibri Light" w:hAnsi="Calibri Light" w:cs="Calibri Light"/>
          <w:b/>
          <w:bCs/>
          <w:sz w:val="52"/>
          <w:szCs w:val="52"/>
        </w:rPr>
        <w:t>with a vision to 2050</w:t>
      </w:r>
    </w:p>
    <w:p w14:paraId="1322298D" w14:textId="71A5502F" w:rsidR="00D83BF3" w:rsidRPr="000007D2" w:rsidRDefault="00043385" w:rsidP="00FE07DA">
      <w:pPr>
        <w:jc w:val="center"/>
        <w:rPr>
          <w:rFonts w:ascii="Calibri Light" w:hAnsi="Calibri Light" w:cs="Calibri Light"/>
          <w:b/>
          <w:bCs/>
          <w:sz w:val="44"/>
          <w:szCs w:val="44"/>
        </w:rPr>
      </w:pPr>
      <w:r>
        <w:rPr>
          <w:rFonts w:ascii="Calibri Light" w:hAnsi="Calibri Light" w:cs="Calibri Light"/>
          <w:b/>
          <w:bCs/>
          <w:sz w:val="44"/>
          <w:szCs w:val="44"/>
        </w:rPr>
        <w:t>Final</w:t>
      </w:r>
      <w:r w:rsidRPr="00A33AE8">
        <w:rPr>
          <w:rFonts w:ascii="Calibri Light" w:hAnsi="Calibri Light" w:cs="Calibri Light"/>
          <w:b/>
          <w:bCs/>
          <w:sz w:val="44"/>
          <w:szCs w:val="44"/>
        </w:rPr>
        <w:t xml:space="preserve"> </w:t>
      </w:r>
      <w:r w:rsidR="00D83BF3" w:rsidRPr="00A33AE8">
        <w:rPr>
          <w:rFonts w:ascii="Calibri Light" w:hAnsi="Calibri Light" w:cs="Calibri Light"/>
          <w:b/>
          <w:bCs/>
          <w:sz w:val="44"/>
          <w:szCs w:val="44"/>
        </w:rPr>
        <w:t>Version</w:t>
      </w:r>
    </w:p>
    <w:p w14:paraId="20A0CDA2" w14:textId="77777777" w:rsidR="00FE07DA" w:rsidRPr="00A33AE8" w:rsidRDefault="00FE07DA" w:rsidP="00ED1DF8">
      <w:pPr>
        <w:ind w:left="720" w:right="313" w:hanging="360"/>
        <w:jc w:val="both"/>
      </w:pPr>
    </w:p>
    <w:p w14:paraId="53FD774C" w14:textId="77777777" w:rsidR="00D83BF3" w:rsidRPr="00A33AE8" w:rsidRDefault="00D83BF3" w:rsidP="00ED1DF8">
      <w:pPr>
        <w:ind w:left="720" w:right="313" w:hanging="360"/>
        <w:jc w:val="both"/>
      </w:pPr>
    </w:p>
    <w:p w14:paraId="3DD68855" w14:textId="77777777" w:rsidR="00D83BF3" w:rsidRPr="00A33AE8" w:rsidRDefault="00D83BF3" w:rsidP="00ED1DF8">
      <w:pPr>
        <w:ind w:left="720" w:right="313" w:hanging="360"/>
        <w:jc w:val="both"/>
      </w:pPr>
    </w:p>
    <w:p w14:paraId="6A390A08" w14:textId="77777777" w:rsidR="00D83BF3" w:rsidRPr="00A33AE8" w:rsidRDefault="00D83BF3" w:rsidP="00ED1DF8">
      <w:pPr>
        <w:ind w:left="720" w:right="313" w:hanging="360"/>
        <w:jc w:val="both"/>
      </w:pPr>
    </w:p>
    <w:p w14:paraId="2942B6FD" w14:textId="77777777" w:rsidR="00D83BF3" w:rsidRPr="00A33AE8" w:rsidRDefault="00D83BF3" w:rsidP="00ED1DF8">
      <w:pPr>
        <w:ind w:left="720" w:right="313" w:hanging="360"/>
        <w:jc w:val="both"/>
      </w:pPr>
    </w:p>
    <w:p w14:paraId="7F72D8D4" w14:textId="77777777" w:rsidR="00D83BF3" w:rsidRPr="00A33AE8" w:rsidRDefault="00D83BF3" w:rsidP="00ED1DF8">
      <w:pPr>
        <w:ind w:left="720" w:right="313" w:hanging="360"/>
        <w:jc w:val="both"/>
      </w:pPr>
    </w:p>
    <w:p w14:paraId="73F543CF" w14:textId="77777777" w:rsidR="00D83BF3" w:rsidRPr="00A33AE8" w:rsidRDefault="00D83BF3" w:rsidP="00ED1DF8">
      <w:pPr>
        <w:ind w:left="720" w:right="313" w:hanging="360"/>
        <w:jc w:val="both"/>
      </w:pPr>
    </w:p>
    <w:p w14:paraId="233753B6" w14:textId="77777777" w:rsidR="00D83BF3" w:rsidRPr="00A33AE8" w:rsidRDefault="00D83BF3" w:rsidP="00ED1DF8">
      <w:pPr>
        <w:ind w:left="720" w:right="313" w:hanging="360"/>
        <w:jc w:val="both"/>
      </w:pPr>
    </w:p>
    <w:p w14:paraId="1C933C2B" w14:textId="77777777" w:rsidR="00D83BF3" w:rsidRPr="00A33AE8" w:rsidRDefault="00D83BF3" w:rsidP="00ED1DF8">
      <w:pPr>
        <w:ind w:left="720" w:right="313" w:hanging="360"/>
        <w:jc w:val="both"/>
      </w:pPr>
    </w:p>
    <w:p w14:paraId="5778094C" w14:textId="77777777" w:rsidR="00D83BF3" w:rsidRPr="00A33AE8" w:rsidRDefault="00D83BF3" w:rsidP="00ED1DF8">
      <w:pPr>
        <w:ind w:left="720" w:right="313" w:hanging="360"/>
        <w:jc w:val="both"/>
      </w:pPr>
    </w:p>
    <w:p w14:paraId="330993FC" w14:textId="629DDBF3" w:rsidR="00D83BF3" w:rsidRPr="00A33AE8" w:rsidRDefault="00D83BF3" w:rsidP="00246D49">
      <w:pPr>
        <w:ind w:right="313"/>
        <w:jc w:val="center"/>
        <w:rPr>
          <w:sz w:val="32"/>
          <w:szCs w:val="32"/>
        </w:rPr>
      </w:pPr>
      <w:r w:rsidRPr="00A33AE8">
        <w:rPr>
          <w:sz w:val="32"/>
          <w:szCs w:val="32"/>
        </w:rPr>
        <w:t xml:space="preserve">Belgrade, </w:t>
      </w:r>
      <w:r w:rsidR="00043385">
        <w:rPr>
          <w:sz w:val="32"/>
          <w:szCs w:val="32"/>
        </w:rPr>
        <w:t>December</w:t>
      </w:r>
      <w:r w:rsidR="00043385" w:rsidRPr="000007D2">
        <w:rPr>
          <w:sz w:val="32"/>
          <w:szCs w:val="32"/>
        </w:rPr>
        <w:t xml:space="preserve"> </w:t>
      </w:r>
      <w:r w:rsidR="00922BD5" w:rsidRPr="00A33AE8">
        <w:rPr>
          <w:sz w:val="32"/>
          <w:szCs w:val="32"/>
        </w:rPr>
        <w:t>2023</w:t>
      </w:r>
    </w:p>
    <w:bookmarkEnd w:id="0"/>
    <w:bookmarkEnd w:id="1"/>
    <w:bookmarkEnd w:id="2"/>
    <w:bookmarkEnd w:id="3"/>
    <w:p w14:paraId="117EE931" w14:textId="77777777" w:rsidR="00FE07DA" w:rsidRPr="000007D2" w:rsidRDefault="00FE07DA">
      <w:pPr>
        <w:spacing w:line="259" w:lineRule="auto"/>
        <w:rPr>
          <w:rFonts w:ascii="Calibri Light" w:hAnsi="Calibri Light" w:cs="Calibri Light"/>
        </w:rPr>
      </w:pPr>
      <w:r w:rsidRPr="00A33AE8">
        <w:rPr>
          <w:rFonts w:ascii="Calibri Light" w:hAnsi="Calibri Light" w:cs="Calibri Light"/>
        </w:rPr>
        <w:br w:type="page"/>
      </w:r>
    </w:p>
    <w:sdt>
      <w:sdtPr>
        <w:rPr>
          <w:rFonts w:asciiTheme="minorHAnsi" w:eastAsiaTheme="minorHAnsi" w:hAnsiTheme="minorHAnsi" w:cstheme="minorBidi"/>
          <w:color w:val="auto"/>
          <w:sz w:val="22"/>
          <w:szCs w:val="22"/>
          <w:lang w:val="en-GB"/>
        </w:rPr>
        <w:id w:val="-42827571"/>
        <w:docPartObj>
          <w:docPartGallery w:val="Table of Contents"/>
          <w:docPartUnique/>
        </w:docPartObj>
      </w:sdtPr>
      <w:sdtEndPr>
        <w:rPr>
          <w:b/>
          <w:bCs/>
        </w:rPr>
      </w:sdtEndPr>
      <w:sdtContent>
        <w:sdt>
          <w:sdtPr>
            <w:rPr>
              <w:rFonts w:asciiTheme="minorHAnsi" w:eastAsiaTheme="minorHAnsi" w:hAnsiTheme="minorHAnsi" w:cstheme="minorBidi"/>
              <w:color w:val="auto"/>
              <w:sz w:val="22"/>
              <w:szCs w:val="22"/>
              <w:lang w:val="en-GB"/>
            </w:rPr>
            <w:id w:val="-1850247050"/>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874994045"/>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038097397"/>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504514258"/>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880924246"/>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156182635"/>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695422379"/>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235054344"/>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277718562"/>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552692254"/>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362633465"/>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431742939"/>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952768997"/>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2002265145"/>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1055541400"/>
                                                                    <w:docPartObj>
                                                                      <w:docPartGallery w:val="Table of Contents"/>
                                                                      <w:docPartUnique/>
                                                                    </w:docPartObj>
                                                                  </w:sdtPr>
                                                                  <w:sdtEndPr/>
                                                                  <w:sdtContent>
                                                                    <w:sdt>
                                                                      <w:sdtPr>
                                                                        <w:rPr>
                                                                          <w:rFonts w:asciiTheme="minorHAnsi" w:eastAsiaTheme="minorHAnsi" w:hAnsiTheme="minorHAnsi" w:cstheme="minorBidi"/>
                                                                          <w:color w:val="auto"/>
                                                                          <w:sz w:val="22"/>
                                                                          <w:szCs w:val="22"/>
                                                                          <w:lang w:val="en-GB"/>
                                                                        </w:rPr>
                                                                        <w:id w:val="-2086134650"/>
                                                                        <w:docPartObj>
                                                                          <w:docPartGallery w:val="Table of Contents"/>
                                                                          <w:docPartUnique/>
                                                                        </w:docPartObj>
                                                                      </w:sdtPr>
                                                                      <w:sdtEndPr/>
                                                                      <w:sdtContent>
                                                                        <w:p w14:paraId="4CC4AA95" w14:textId="77777777" w:rsidR="003D1E9A" w:rsidRPr="00A33AE8" w:rsidRDefault="003D1E9A">
                                                                          <w:pPr>
                                                                            <w:pStyle w:val="TOCHeading"/>
                                                                            <w:rPr>
                                                                              <w:lang w:val="en-GB"/>
                                                                            </w:rPr>
                                                                          </w:pPr>
                                                                          <w:r w:rsidRPr="00A33AE8">
                                                                            <w:rPr>
                                                                              <w:lang w:val="en-GB"/>
                                                                            </w:rPr>
                                                                            <w:t>Contents</w:t>
                                                                          </w:r>
                                                                        </w:p>
                                                                        <w:p w14:paraId="2FD0EF4B" w14:textId="77777777" w:rsidR="001E64A3" w:rsidRPr="00A33AE8" w:rsidRDefault="006E0533" w:rsidP="00CE52D4">
                                                                          <w:pPr>
                                                                            <w:pStyle w:val="TOC1"/>
                                                                          </w:pPr>
                                                                        </w:p>
                                                                      </w:sdtContent>
                                                                    </w:sdt>
                                                                  </w:sdtContent>
                                                                </w:sdt>
                                                              </w:sdtContent>
                                                            </w:sdt>
                                                          </w:sdtContent>
                                                        </w:sdt>
                                                      </w:sdtContent>
                                                    </w:sdt>
                                                  </w:sdtContent>
                                                </w:sdt>
                                              </w:sdtContent>
                                            </w:sdt>
                                          </w:sdtContent>
                                        </w:sdt>
                                      </w:sdtContent>
                                    </w:sdt>
                                  </w:sdtContent>
                                </w:sdt>
                              </w:sdtContent>
                            </w:sdt>
                          </w:sdtContent>
                        </w:sdt>
                      </w:sdtContent>
                    </w:sdt>
                  </w:sdtContent>
                </w:sdt>
              </w:sdtContent>
            </w:sdt>
          </w:sdtContent>
        </w:sdt>
        <w:p w14:paraId="35477578" w14:textId="5C591403" w:rsidR="00CE52D4" w:rsidRDefault="00CD2E1E" w:rsidP="00CE52D4">
          <w:pPr>
            <w:pStyle w:val="TOC1"/>
            <w:rPr>
              <w:rFonts w:eastAsiaTheme="minorEastAsia"/>
              <w:noProof/>
              <w:kern w:val="2"/>
              <w:lang w:val="en-US"/>
              <w14:ligatures w14:val="standardContextual"/>
            </w:rPr>
          </w:pPr>
          <w:r w:rsidRPr="00A33AE8">
            <w:fldChar w:fldCharType="begin"/>
          </w:r>
          <w:r w:rsidR="001E64A3" w:rsidRPr="00A33AE8">
            <w:instrText xml:space="preserve"> TOC \o "1-2" \h \z \u </w:instrText>
          </w:r>
          <w:r w:rsidRPr="00A33AE8">
            <w:fldChar w:fldCharType="separate"/>
          </w:r>
          <w:hyperlink w:anchor="_Toc153545027" w:history="1">
            <w:r w:rsidR="00CE52D4" w:rsidRPr="00034E6E">
              <w:rPr>
                <w:rStyle w:val="Hyperlink"/>
                <w:noProof/>
              </w:rPr>
              <w:t>ABBREVIATIONS AND ACRONYMS</w:t>
            </w:r>
            <w:r w:rsidR="00CE52D4">
              <w:rPr>
                <w:noProof/>
                <w:webHidden/>
              </w:rPr>
              <w:tab/>
            </w:r>
            <w:r w:rsidR="00CE52D4">
              <w:rPr>
                <w:noProof/>
                <w:webHidden/>
              </w:rPr>
              <w:fldChar w:fldCharType="begin"/>
            </w:r>
            <w:r w:rsidR="00CE52D4">
              <w:rPr>
                <w:noProof/>
                <w:webHidden/>
              </w:rPr>
              <w:instrText xml:space="preserve"> PAGEREF _Toc153545027 \h </w:instrText>
            </w:r>
            <w:r w:rsidR="00CE52D4">
              <w:rPr>
                <w:noProof/>
                <w:webHidden/>
              </w:rPr>
            </w:r>
            <w:r w:rsidR="00CE52D4">
              <w:rPr>
                <w:noProof/>
                <w:webHidden/>
              </w:rPr>
              <w:fldChar w:fldCharType="separate"/>
            </w:r>
            <w:r w:rsidR="0087794A">
              <w:rPr>
                <w:noProof/>
                <w:webHidden/>
              </w:rPr>
              <w:t>4</w:t>
            </w:r>
            <w:r w:rsidR="00CE52D4">
              <w:rPr>
                <w:noProof/>
                <w:webHidden/>
              </w:rPr>
              <w:fldChar w:fldCharType="end"/>
            </w:r>
          </w:hyperlink>
        </w:p>
        <w:p w14:paraId="117255FD" w14:textId="50847B75" w:rsidR="00CE52D4" w:rsidRDefault="006E0533" w:rsidP="00CE52D4">
          <w:pPr>
            <w:pStyle w:val="TOC1"/>
            <w:rPr>
              <w:rFonts w:eastAsiaTheme="minorEastAsia"/>
              <w:noProof/>
              <w:kern w:val="2"/>
              <w:lang w:val="en-US"/>
              <w14:ligatures w14:val="standardContextual"/>
            </w:rPr>
          </w:pPr>
          <w:hyperlink w:anchor="_Toc153545028" w:history="1">
            <w:r w:rsidR="00CE52D4" w:rsidRPr="00034E6E">
              <w:rPr>
                <w:rStyle w:val="Hyperlink"/>
                <w:noProof/>
              </w:rPr>
              <w:t>LIST OF FIGURES</w:t>
            </w:r>
            <w:r w:rsidR="00CE52D4">
              <w:rPr>
                <w:noProof/>
                <w:webHidden/>
              </w:rPr>
              <w:tab/>
            </w:r>
            <w:r w:rsidR="00CE52D4">
              <w:rPr>
                <w:noProof/>
                <w:webHidden/>
              </w:rPr>
              <w:fldChar w:fldCharType="begin"/>
            </w:r>
            <w:r w:rsidR="00CE52D4">
              <w:rPr>
                <w:noProof/>
                <w:webHidden/>
              </w:rPr>
              <w:instrText xml:space="preserve"> PAGEREF _Toc153545028 \h </w:instrText>
            </w:r>
            <w:r w:rsidR="00CE52D4">
              <w:rPr>
                <w:noProof/>
                <w:webHidden/>
              </w:rPr>
            </w:r>
            <w:r w:rsidR="00CE52D4">
              <w:rPr>
                <w:noProof/>
                <w:webHidden/>
              </w:rPr>
              <w:fldChar w:fldCharType="separate"/>
            </w:r>
            <w:r w:rsidR="0087794A">
              <w:rPr>
                <w:noProof/>
                <w:webHidden/>
              </w:rPr>
              <w:t>7</w:t>
            </w:r>
            <w:r w:rsidR="00CE52D4">
              <w:rPr>
                <w:noProof/>
                <w:webHidden/>
              </w:rPr>
              <w:fldChar w:fldCharType="end"/>
            </w:r>
          </w:hyperlink>
        </w:p>
        <w:p w14:paraId="6A5972C5" w14:textId="108BC07B" w:rsidR="00CE52D4" w:rsidRDefault="006E0533" w:rsidP="00CE52D4">
          <w:pPr>
            <w:pStyle w:val="TOC1"/>
            <w:rPr>
              <w:rFonts w:eastAsiaTheme="minorEastAsia"/>
              <w:noProof/>
              <w:kern w:val="2"/>
              <w:lang w:val="en-US"/>
              <w14:ligatures w14:val="standardContextual"/>
            </w:rPr>
          </w:pPr>
          <w:hyperlink w:anchor="_Toc153545029" w:history="1">
            <w:r w:rsidR="00CE52D4" w:rsidRPr="00034E6E">
              <w:rPr>
                <w:rStyle w:val="Hyperlink"/>
                <w:noProof/>
              </w:rPr>
              <w:t>LIST OF TABLES</w:t>
            </w:r>
            <w:r w:rsidR="00CE52D4">
              <w:rPr>
                <w:noProof/>
                <w:webHidden/>
              </w:rPr>
              <w:tab/>
            </w:r>
            <w:r w:rsidR="00CE52D4">
              <w:rPr>
                <w:noProof/>
                <w:webHidden/>
              </w:rPr>
              <w:fldChar w:fldCharType="begin"/>
            </w:r>
            <w:r w:rsidR="00CE52D4">
              <w:rPr>
                <w:noProof/>
                <w:webHidden/>
              </w:rPr>
              <w:instrText xml:space="preserve"> PAGEREF _Toc153545029 \h </w:instrText>
            </w:r>
            <w:r w:rsidR="00CE52D4">
              <w:rPr>
                <w:noProof/>
                <w:webHidden/>
              </w:rPr>
            </w:r>
            <w:r w:rsidR="00CE52D4">
              <w:rPr>
                <w:noProof/>
                <w:webHidden/>
              </w:rPr>
              <w:fldChar w:fldCharType="separate"/>
            </w:r>
            <w:r w:rsidR="0087794A">
              <w:rPr>
                <w:noProof/>
                <w:webHidden/>
              </w:rPr>
              <w:t>11</w:t>
            </w:r>
            <w:r w:rsidR="00CE52D4">
              <w:rPr>
                <w:noProof/>
                <w:webHidden/>
              </w:rPr>
              <w:fldChar w:fldCharType="end"/>
            </w:r>
          </w:hyperlink>
        </w:p>
        <w:p w14:paraId="0494E1B0" w14:textId="187D5078" w:rsidR="00CE52D4" w:rsidRDefault="006E0533" w:rsidP="00CE52D4">
          <w:pPr>
            <w:pStyle w:val="TOC1"/>
            <w:rPr>
              <w:rFonts w:eastAsiaTheme="minorEastAsia"/>
              <w:noProof/>
              <w:kern w:val="2"/>
              <w:lang w:val="en-US"/>
              <w14:ligatures w14:val="standardContextual"/>
            </w:rPr>
          </w:pPr>
          <w:hyperlink w:anchor="_Toc153545030" w:history="1">
            <w:r w:rsidR="00CE52D4" w:rsidRPr="00034E6E">
              <w:rPr>
                <w:rStyle w:val="Hyperlink"/>
                <w:noProof/>
              </w:rPr>
              <w:t>1</w:t>
            </w:r>
            <w:r w:rsidR="00CE52D4">
              <w:rPr>
                <w:rFonts w:eastAsiaTheme="minorEastAsia"/>
                <w:noProof/>
                <w:kern w:val="2"/>
                <w:lang w:val="en-US"/>
                <w14:ligatures w14:val="standardContextual"/>
              </w:rPr>
              <w:tab/>
            </w:r>
            <w:r w:rsidR="00CE52D4" w:rsidRPr="00034E6E">
              <w:rPr>
                <w:rStyle w:val="Hyperlink"/>
                <w:noProof/>
              </w:rPr>
              <w:t>OVERVIEW AND PROCESS FOR ESTABLISHING THE PLAN</w:t>
            </w:r>
            <w:r w:rsidR="00CE52D4">
              <w:rPr>
                <w:noProof/>
                <w:webHidden/>
              </w:rPr>
              <w:tab/>
            </w:r>
            <w:r w:rsidR="00CE52D4">
              <w:rPr>
                <w:noProof/>
                <w:webHidden/>
              </w:rPr>
              <w:fldChar w:fldCharType="begin"/>
            </w:r>
            <w:r w:rsidR="00CE52D4">
              <w:rPr>
                <w:noProof/>
                <w:webHidden/>
              </w:rPr>
              <w:instrText xml:space="preserve"> PAGEREF _Toc153545030 \h </w:instrText>
            </w:r>
            <w:r w:rsidR="00CE52D4">
              <w:rPr>
                <w:noProof/>
                <w:webHidden/>
              </w:rPr>
            </w:r>
            <w:r w:rsidR="00CE52D4">
              <w:rPr>
                <w:noProof/>
                <w:webHidden/>
              </w:rPr>
              <w:fldChar w:fldCharType="separate"/>
            </w:r>
            <w:r w:rsidR="0087794A">
              <w:rPr>
                <w:noProof/>
                <w:webHidden/>
              </w:rPr>
              <w:t>14</w:t>
            </w:r>
            <w:r w:rsidR="00CE52D4">
              <w:rPr>
                <w:noProof/>
                <w:webHidden/>
              </w:rPr>
              <w:fldChar w:fldCharType="end"/>
            </w:r>
          </w:hyperlink>
        </w:p>
        <w:p w14:paraId="5EA2C28D" w14:textId="07FD40AC" w:rsidR="00CE52D4" w:rsidRDefault="006E0533">
          <w:pPr>
            <w:pStyle w:val="TOC2"/>
            <w:rPr>
              <w:rFonts w:eastAsiaTheme="minorEastAsia"/>
              <w:noProof/>
              <w:kern w:val="2"/>
              <w:lang w:val="en-US"/>
              <w14:ligatures w14:val="standardContextual"/>
            </w:rPr>
          </w:pPr>
          <w:hyperlink w:anchor="_Toc153545031" w:history="1">
            <w:r w:rsidR="00CE52D4" w:rsidRPr="00034E6E">
              <w:rPr>
                <w:rStyle w:val="Hyperlink"/>
                <w:noProof/>
              </w:rPr>
              <w:t>1.1</w:t>
            </w:r>
            <w:r w:rsidR="00CE52D4">
              <w:rPr>
                <w:rFonts w:eastAsiaTheme="minorEastAsia"/>
                <w:noProof/>
                <w:kern w:val="2"/>
                <w:lang w:val="en-US"/>
                <w14:ligatures w14:val="standardContextual"/>
              </w:rPr>
              <w:tab/>
            </w:r>
            <w:r w:rsidR="00CE52D4" w:rsidRPr="00034E6E">
              <w:rPr>
                <w:rStyle w:val="Hyperlink"/>
                <w:noProof/>
              </w:rPr>
              <w:t>Executive Summary (overview/scope of the plan)</w:t>
            </w:r>
            <w:r w:rsidR="00CE52D4">
              <w:rPr>
                <w:noProof/>
                <w:webHidden/>
              </w:rPr>
              <w:tab/>
            </w:r>
            <w:r w:rsidR="00CE52D4">
              <w:rPr>
                <w:noProof/>
                <w:webHidden/>
              </w:rPr>
              <w:fldChar w:fldCharType="begin"/>
            </w:r>
            <w:r w:rsidR="00CE52D4">
              <w:rPr>
                <w:noProof/>
                <w:webHidden/>
              </w:rPr>
              <w:instrText xml:space="preserve"> PAGEREF _Toc153545031 \h </w:instrText>
            </w:r>
            <w:r w:rsidR="00CE52D4">
              <w:rPr>
                <w:noProof/>
                <w:webHidden/>
              </w:rPr>
            </w:r>
            <w:r w:rsidR="00CE52D4">
              <w:rPr>
                <w:noProof/>
                <w:webHidden/>
              </w:rPr>
              <w:fldChar w:fldCharType="separate"/>
            </w:r>
            <w:r w:rsidR="0087794A">
              <w:rPr>
                <w:noProof/>
                <w:webHidden/>
              </w:rPr>
              <w:t>14</w:t>
            </w:r>
            <w:r w:rsidR="00CE52D4">
              <w:rPr>
                <w:noProof/>
                <w:webHidden/>
              </w:rPr>
              <w:fldChar w:fldCharType="end"/>
            </w:r>
          </w:hyperlink>
        </w:p>
        <w:p w14:paraId="250E7C1B" w14:textId="11998FDC" w:rsidR="00CE52D4" w:rsidRDefault="006E0533">
          <w:pPr>
            <w:pStyle w:val="TOC2"/>
            <w:rPr>
              <w:rFonts w:eastAsiaTheme="minorEastAsia"/>
              <w:noProof/>
              <w:kern w:val="2"/>
              <w:lang w:val="en-US"/>
              <w14:ligatures w14:val="standardContextual"/>
            </w:rPr>
          </w:pPr>
          <w:hyperlink w:anchor="_Toc153545032" w:history="1">
            <w:r w:rsidR="00CE52D4" w:rsidRPr="00034E6E">
              <w:rPr>
                <w:rStyle w:val="Hyperlink"/>
                <w:noProof/>
              </w:rPr>
              <w:t>1.2</w:t>
            </w:r>
            <w:r w:rsidR="00CE52D4">
              <w:rPr>
                <w:rFonts w:eastAsiaTheme="minorEastAsia"/>
                <w:noProof/>
                <w:kern w:val="2"/>
                <w:lang w:val="en-US"/>
                <w14:ligatures w14:val="standardContextual"/>
              </w:rPr>
              <w:tab/>
            </w:r>
            <w:r w:rsidR="00CE52D4" w:rsidRPr="00034E6E">
              <w:rPr>
                <w:rStyle w:val="Hyperlink"/>
                <w:noProof/>
              </w:rPr>
              <w:t>Overview of current policy situation</w:t>
            </w:r>
            <w:r w:rsidR="00CE52D4">
              <w:rPr>
                <w:noProof/>
                <w:webHidden/>
              </w:rPr>
              <w:tab/>
            </w:r>
            <w:r w:rsidR="00CE52D4">
              <w:rPr>
                <w:noProof/>
                <w:webHidden/>
              </w:rPr>
              <w:fldChar w:fldCharType="begin"/>
            </w:r>
            <w:r w:rsidR="00CE52D4">
              <w:rPr>
                <w:noProof/>
                <w:webHidden/>
              </w:rPr>
              <w:instrText xml:space="preserve"> PAGEREF _Toc153545032 \h </w:instrText>
            </w:r>
            <w:r w:rsidR="00CE52D4">
              <w:rPr>
                <w:noProof/>
                <w:webHidden/>
              </w:rPr>
            </w:r>
            <w:r w:rsidR="00CE52D4">
              <w:rPr>
                <w:noProof/>
                <w:webHidden/>
              </w:rPr>
              <w:fldChar w:fldCharType="separate"/>
            </w:r>
            <w:r w:rsidR="0087794A">
              <w:rPr>
                <w:noProof/>
                <w:webHidden/>
              </w:rPr>
              <w:t>19</w:t>
            </w:r>
            <w:r w:rsidR="00CE52D4">
              <w:rPr>
                <w:noProof/>
                <w:webHidden/>
              </w:rPr>
              <w:fldChar w:fldCharType="end"/>
            </w:r>
          </w:hyperlink>
        </w:p>
        <w:p w14:paraId="37BBEC54" w14:textId="7792D096" w:rsidR="00CE52D4" w:rsidRDefault="006E0533">
          <w:pPr>
            <w:pStyle w:val="TOC2"/>
            <w:rPr>
              <w:rFonts w:eastAsiaTheme="minorEastAsia"/>
              <w:noProof/>
              <w:kern w:val="2"/>
              <w:lang w:val="en-US"/>
              <w14:ligatures w14:val="standardContextual"/>
            </w:rPr>
          </w:pPr>
          <w:hyperlink w:anchor="_Toc153545033" w:history="1">
            <w:r w:rsidR="00CE52D4" w:rsidRPr="00034E6E">
              <w:rPr>
                <w:rStyle w:val="Hyperlink"/>
                <w:noProof/>
              </w:rPr>
              <w:t>1.3</w:t>
            </w:r>
            <w:r w:rsidR="00CE52D4">
              <w:rPr>
                <w:rFonts w:eastAsiaTheme="minorEastAsia"/>
                <w:noProof/>
                <w:kern w:val="2"/>
                <w:lang w:val="en-US"/>
                <w14:ligatures w14:val="standardContextual"/>
              </w:rPr>
              <w:tab/>
            </w:r>
            <w:r w:rsidR="00CE52D4" w:rsidRPr="00034E6E">
              <w:rPr>
                <w:rStyle w:val="Hyperlink"/>
                <w:noProof/>
              </w:rPr>
              <w:t>Consultations and involvement of national and Union entities and their outcome</w:t>
            </w:r>
            <w:r w:rsidR="00CE52D4">
              <w:rPr>
                <w:noProof/>
                <w:webHidden/>
              </w:rPr>
              <w:tab/>
            </w:r>
            <w:r w:rsidR="00CE52D4">
              <w:rPr>
                <w:noProof/>
                <w:webHidden/>
              </w:rPr>
              <w:fldChar w:fldCharType="begin"/>
            </w:r>
            <w:r w:rsidR="00CE52D4">
              <w:rPr>
                <w:noProof/>
                <w:webHidden/>
              </w:rPr>
              <w:instrText xml:space="preserve"> PAGEREF _Toc153545033 \h </w:instrText>
            </w:r>
            <w:r w:rsidR="00CE52D4">
              <w:rPr>
                <w:noProof/>
                <w:webHidden/>
              </w:rPr>
            </w:r>
            <w:r w:rsidR="00CE52D4">
              <w:rPr>
                <w:noProof/>
                <w:webHidden/>
              </w:rPr>
              <w:fldChar w:fldCharType="separate"/>
            </w:r>
            <w:r w:rsidR="0087794A">
              <w:rPr>
                <w:noProof/>
                <w:webHidden/>
              </w:rPr>
              <w:t>42</w:t>
            </w:r>
            <w:r w:rsidR="00CE52D4">
              <w:rPr>
                <w:noProof/>
                <w:webHidden/>
              </w:rPr>
              <w:fldChar w:fldCharType="end"/>
            </w:r>
          </w:hyperlink>
        </w:p>
        <w:p w14:paraId="3F662829" w14:textId="591D118F" w:rsidR="00CE52D4" w:rsidRDefault="006E0533">
          <w:pPr>
            <w:pStyle w:val="TOC2"/>
            <w:rPr>
              <w:rFonts w:eastAsiaTheme="minorEastAsia"/>
              <w:noProof/>
              <w:kern w:val="2"/>
              <w:lang w:val="en-US"/>
              <w14:ligatures w14:val="standardContextual"/>
            </w:rPr>
          </w:pPr>
          <w:hyperlink w:anchor="_Toc153545034" w:history="1">
            <w:r w:rsidR="00CE52D4" w:rsidRPr="00034E6E">
              <w:rPr>
                <w:rStyle w:val="Hyperlink"/>
                <w:noProof/>
              </w:rPr>
              <w:t>1.4</w:t>
            </w:r>
            <w:r w:rsidR="00CE52D4">
              <w:rPr>
                <w:rFonts w:eastAsiaTheme="minorEastAsia"/>
                <w:noProof/>
                <w:kern w:val="2"/>
                <w:lang w:val="en-US"/>
                <w14:ligatures w14:val="standardContextual"/>
              </w:rPr>
              <w:tab/>
            </w:r>
            <w:r w:rsidR="00CE52D4" w:rsidRPr="00034E6E">
              <w:rPr>
                <w:rStyle w:val="Hyperlink"/>
                <w:noProof/>
              </w:rPr>
              <w:t>Regional cooperation in preparing the plan</w:t>
            </w:r>
            <w:r w:rsidR="00CE52D4">
              <w:rPr>
                <w:noProof/>
                <w:webHidden/>
              </w:rPr>
              <w:tab/>
            </w:r>
            <w:r w:rsidR="00CE52D4">
              <w:rPr>
                <w:noProof/>
                <w:webHidden/>
              </w:rPr>
              <w:fldChar w:fldCharType="begin"/>
            </w:r>
            <w:r w:rsidR="00CE52D4">
              <w:rPr>
                <w:noProof/>
                <w:webHidden/>
              </w:rPr>
              <w:instrText xml:space="preserve"> PAGEREF _Toc153545034 \h </w:instrText>
            </w:r>
            <w:r w:rsidR="00CE52D4">
              <w:rPr>
                <w:noProof/>
                <w:webHidden/>
              </w:rPr>
            </w:r>
            <w:r w:rsidR="00CE52D4">
              <w:rPr>
                <w:noProof/>
                <w:webHidden/>
              </w:rPr>
              <w:fldChar w:fldCharType="separate"/>
            </w:r>
            <w:r w:rsidR="0087794A">
              <w:rPr>
                <w:noProof/>
                <w:webHidden/>
              </w:rPr>
              <w:t>46</w:t>
            </w:r>
            <w:r w:rsidR="00CE52D4">
              <w:rPr>
                <w:noProof/>
                <w:webHidden/>
              </w:rPr>
              <w:fldChar w:fldCharType="end"/>
            </w:r>
          </w:hyperlink>
        </w:p>
        <w:p w14:paraId="4D1F77F9" w14:textId="0C3696C6" w:rsidR="00CE52D4" w:rsidRDefault="006E0533" w:rsidP="00CE52D4">
          <w:pPr>
            <w:pStyle w:val="TOC1"/>
            <w:rPr>
              <w:rFonts w:eastAsiaTheme="minorEastAsia"/>
              <w:noProof/>
              <w:kern w:val="2"/>
              <w:lang w:val="en-US"/>
              <w14:ligatures w14:val="standardContextual"/>
            </w:rPr>
          </w:pPr>
          <w:hyperlink w:anchor="_Toc153545035" w:history="1">
            <w:r w:rsidR="00CE52D4" w:rsidRPr="00034E6E">
              <w:rPr>
                <w:rStyle w:val="Hyperlink"/>
                <w:noProof/>
              </w:rPr>
              <w:t>2</w:t>
            </w:r>
            <w:r w:rsidR="00CE52D4">
              <w:rPr>
                <w:rFonts w:eastAsiaTheme="minorEastAsia"/>
                <w:noProof/>
                <w:kern w:val="2"/>
                <w:lang w:val="en-US"/>
                <w14:ligatures w14:val="standardContextual"/>
              </w:rPr>
              <w:tab/>
            </w:r>
            <w:r w:rsidR="00CE52D4" w:rsidRPr="00034E6E">
              <w:rPr>
                <w:rStyle w:val="Hyperlink"/>
                <w:noProof/>
              </w:rPr>
              <w:t>NATIONAL OBJECTIVES AND TARGETS</w:t>
            </w:r>
            <w:r w:rsidR="00CE52D4">
              <w:rPr>
                <w:noProof/>
                <w:webHidden/>
              </w:rPr>
              <w:tab/>
            </w:r>
            <w:r w:rsidR="00CE52D4">
              <w:rPr>
                <w:noProof/>
                <w:webHidden/>
              </w:rPr>
              <w:fldChar w:fldCharType="begin"/>
            </w:r>
            <w:r w:rsidR="00CE52D4">
              <w:rPr>
                <w:noProof/>
                <w:webHidden/>
              </w:rPr>
              <w:instrText xml:space="preserve"> PAGEREF _Toc153545035 \h </w:instrText>
            </w:r>
            <w:r w:rsidR="00CE52D4">
              <w:rPr>
                <w:noProof/>
                <w:webHidden/>
              </w:rPr>
            </w:r>
            <w:r w:rsidR="00CE52D4">
              <w:rPr>
                <w:noProof/>
                <w:webHidden/>
              </w:rPr>
              <w:fldChar w:fldCharType="separate"/>
            </w:r>
            <w:r w:rsidR="0087794A">
              <w:rPr>
                <w:noProof/>
                <w:webHidden/>
              </w:rPr>
              <w:t>47</w:t>
            </w:r>
            <w:r w:rsidR="00CE52D4">
              <w:rPr>
                <w:noProof/>
                <w:webHidden/>
              </w:rPr>
              <w:fldChar w:fldCharType="end"/>
            </w:r>
          </w:hyperlink>
        </w:p>
        <w:p w14:paraId="4B4A6572" w14:textId="68AB89D2" w:rsidR="00CE52D4" w:rsidRDefault="006E0533">
          <w:pPr>
            <w:pStyle w:val="TOC2"/>
            <w:rPr>
              <w:rFonts w:eastAsiaTheme="minorEastAsia"/>
              <w:noProof/>
              <w:kern w:val="2"/>
              <w:lang w:val="en-US"/>
              <w14:ligatures w14:val="standardContextual"/>
            </w:rPr>
          </w:pPr>
          <w:hyperlink w:anchor="_Toc153545036" w:history="1">
            <w:r w:rsidR="00CE52D4" w:rsidRPr="00034E6E">
              <w:rPr>
                <w:rStyle w:val="Hyperlink"/>
                <w:noProof/>
              </w:rPr>
              <w:t>2.1</w:t>
            </w:r>
            <w:r w:rsidR="00CE52D4">
              <w:rPr>
                <w:rFonts w:eastAsiaTheme="minorEastAsia"/>
                <w:noProof/>
                <w:kern w:val="2"/>
                <w:lang w:val="en-US"/>
                <w14:ligatures w14:val="standardContextual"/>
              </w:rPr>
              <w:tab/>
            </w:r>
            <w:r w:rsidR="00CE52D4" w:rsidRPr="00034E6E">
              <w:rPr>
                <w:rStyle w:val="Hyperlink"/>
                <w:noProof/>
              </w:rPr>
              <w:t>Climate change, emissions and reduction of greenhouse gases</w:t>
            </w:r>
            <w:r w:rsidR="00CE52D4">
              <w:rPr>
                <w:noProof/>
                <w:webHidden/>
              </w:rPr>
              <w:tab/>
            </w:r>
            <w:r w:rsidR="00CE52D4">
              <w:rPr>
                <w:noProof/>
                <w:webHidden/>
              </w:rPr>
              <w:fldChar w:fldCharType="begin"/>
            </w:r>
            <w:r w:rsidR="00CE52D4">
              <w:rPr>
                <w:noProof/>
                <w:webHidden/>
              </w:rPr>
              <w:instrText xml:space="preserve"> PAGEREF _Toc153545036 \h </w:instrText>
            </w:r>
            <w:r w:rsidR="00CE52D4">
              <w:rPr>
                <w:noProof/>
                <w:webHidden/>
              </w:rPr>
            </w:r>
            <w:r w:rsidR="00CE52D4">
              <w:rPr>
                <w:noProof/>
                <w:webHidden/>
              </w:rPr>
              <w:fldChar w:fldCharType="separate"/>
            </w:r>
            <w:r w:rsidR="0087794A">
              <w:rPr>
                <w:noProof/>
                <w:webHidden/>
              </w:rPr>
              <w:t>48</w:t>
            </w:r>
            <w:r w:rsidR="00CE52D4">
              <w:rPr>
                <w:noProof/>
                <w:webHidden/>
              </w:rPr>
              <w:fldChar w:fldCharType="end"/>
            </w:r>
          </w:hyperlink>
        </w:p>
        <w:p w14:paraId="0022A607" w14:textId="5E169FC2" w:rsidR="00CE52D4" w:rsidRDefault="006E0533">
          <w:pPr>
            <w:pStyle w:val="TOC2"/>
            <w:rPr>
              <w:rFonts w:eastAsiaTheme="minorEastAsia"/>
              <w:noProof/>
              <w:kern w:val="2"/>
              <w:lang w:val="en-US"/>
              <w14:ligatures w14:val="standardContextual"/>
            </w:rPr>
          </w:pPr>
          <w:hyperlink w:anchor="_Toc153545037" w:history="1">
            <w:r w:rsidR="00CE52D4" w:rsidRPr="00034E6E">
              <w:rPr>
                <w:rStyle w:val="Hyperlink"/>
                <w:noProof/>
              </w:rPr>
              <w:t>2.2</w:t>
            </w:r>
            <w:r w:rsidR="00CE52D4">
              <w:rPr>
                <w:rFonts w:eastAsiaTheme="minorEastAsia"/>
                <w:noProof/>
                <w:kern w:val="2"/>
                <w:lang w:val="en-US"/>
                <w14:ligatures w14:val="standardContextual"/>
              </w:rPr>
              <w:tab/>
            </w:r>
            <w:r w:rsidR="00CE52D4" w:rsidRPr="00034E6E">
              <w:rPr>
                <w:rStyle w:val="Hyperlink"/>
                <w:noProof/>
              </w:rPr>
              <w:t>Renewable energy sources</w:t>
            </w:r>
            <w:r w:rsidR="00CE52D4">
              <w:rPr>
                <w:noProof/>
                <w:webHidden/>
              </w:rPr>
              <w:tab/>
            </w:r>
            <w:r w:rsidR="00CE52D4">
              <w:rPr>
                <w:noProof/>
                <w:webHidden/>
              </w:rPr>
              <w:fldChar w:fldCharType="begin"/>
            </w:r>
            <w:r w:rsidR="00CE52D4">
              <w:rPr>
                <w:noProof/>
                <w:webHidden/>
              </w:rPr>
              <w:instrText xml:space="preserve"> PAGEREF _Toc153545037 \h </w:instrText>
            </w:r>
            <w:r w:rsidR="00CE52D4">
              <w:rPr>
                <w:noProof/>
                <w:webHidden/>
              </w:rPr>
            </w:r>
            <w:r w:rsidR="00CE52D4">
              <w:rPr>
                <w:noProof/>
                <w:webHidden/>
              </w:rPr>
              <w:fldChar w:fldCharType="separate"/>
            </w:r>
            <w:r w:rsidR="0087794A">
              <w:rPr>
                <w:noProof/>
                <w:webHidden/>
              </w:rPr>
              <w:t>49</w:t>
            </w:r>
            <w:r w:rsidR="00CE52D4">
              <w:rPr>
                <w:noProof/>
                <w:webHidden/>
              </w:rPr>
              <w:fldChar w:fldCharType="end"/>
            </w:r>
          </w:hyperlink>
        </w:p>
        <w:p w14:paraId="4C480554" w14:textId="1C76A0F6" w:rsidR="00CE52D4" w:rsidRDefault="006E0533">
          <w:pPr>
            <w:pStyle w:val="TOC2"/>
            <w:rPr>
              <w:rFonts w:eastAsiaTheme="minorEastAsia"/>
              <w:noProof/>
              <w:kern w:val="2"/>
              <w:lang w:val="en-US"/>
              <w14:ligatures w14:val="standardContextual"/>
            </w:rPr>
          </w:pPr>
          <w:hyperlink w:anchor="_Toc153545038" w:history="1">
            <w:r w:rsidR="00CE52D4" w:rsidRPr="00034E6E">
              <w:rPr>
                <w:rStyle w:val="Hyperlink"/>
                <w:noProof/>
              </w:rPr>
              <w:t>2.3</w:t>
            </w:r>
            <w:r w:rsidR="00CE52D4">
              <w:rPr>
                <w:rFonts w:eastAsiaTheme="minorEastAsia"/>
                <w:noProof/>
                <w:kern w:val="2"/>
                <w:lang w:val="en-US"/>
                <w14:ligatures w14:val="standardContextual"/>
              </w:rPr>
              <w:tab/>
            </w:r>
            <w:r w:rsidR="00CE52D4" w:rsidRPr="00034E6E">
              <w:rPr>
                <w:rStyle w:val="Hyperlink"/>
                <w:noProof/>
              </w:rPr>
              <w:t>Improvement in energy efficiency</w:t>
            </w:r>
            <w:r w:rsidR="00CE52D4">
              <w:rPr>
                <w:noProof/>
                <w:webHidden/>
              </w:rPr>
              <w:tab/>
            </w:r>
            <w:r w:rsidR="00CE52D4">
              <w:rPr>
                <w:noProof/>
                <w:webHidden/>
              </w:rPr>
              <w:fldChar w:fldCharType="begin"/>
            </w:r>
            <w:r w:rsidR="00CE52D4">
              <w:rPr>
                <w:noProof/>
                <w:webHidden/>
              </w:rPr>
              <w:instrText xml:space="preserve"> PAGEREF _Toc153545038 \h </w:instrText>
            </w:r>
            <w:r w:rsidR="00CE52D4">
              <w:rPr>
                <w:noProof/>
                <w:webHidden/>
              </w:rPr>
            </w:r>
            <w:r w:rsidR="00CE52D4">
              <w:rPr>
                <w:noProof/>
                <w:webHidden/>
              </w:rPr>
              <w:fldChar w:fldCharType="separate"/>
            </w:r>
            <w:r w:rsidR="0087794A">
              <w:rPr>
                <w:noProof/>
                <w:webHidden/>
              </w:rPr>
              <w:t>52</w:t>
            </w:r>
            <w:r w:rsidR="00CE52D4">
              <w:rPr>
                <w:noProof/>
                <w:webHidden/>
              </w:rPr>
              <w:fldChar w:fldCharType="end"/>
            </w:r>
          </w:hyperlink>
        </w:p>
        <w:p w14:paraId="0201367F" w14:textId="682F3CD0" w:rsidR="00CE52D4" w:rsidRDefault="006E0533">
          <w:pPr>
            <w:pStyle w:val="TOC2"/>
            <w:rPr>
              <w:rFonts w:eastAsiaTheme="minorEastAsia"/>
              <w:noProof/>
              <w:kern w:val="2"/>
              <w:lang w:val="en-US"/>
              <w14:ligatures w14:val="standardContextual"/>
            </w:rPr>
          </w:pPr>
          <w:hyperlink w:anchor="_Toc153545039" w:history="1">
            <w:r w:rsidR="00CE52D4" w:rsidRPr="00034E6E">
              <w:rPr>
                <w:rStyle w:val="Hyperlink"/>
                <w:noProof/>
              </w:rPr>
              <w:t>2.4</w:t>
            </w:r>
            <w:r w:rsidR="00CE52D4">
              <w:rPr>
                <w:rFonts w:eastAsiaTheme="minorEastAsia"/>
                <w:noProof/>
                <w:kern w:val="2"/>
                <w:lang w:val="en-US"/>
                <w14:ligatures w14:val="standardContextual"/>
              </w:rPr>
              <w:tab/>
            </w:r>
            <w:r w:rsidR="00CE52D4" w:rsidRPr="00034E6E">
              <w:rPr>
                <w:rStyle w:val="Hyperlink"/>
                <w:noProof/>
              </w:rPr>
              <w:t>Energy security</w:t>
            </w:r>
            <w:r w:rsidR="00CE52D4">
              <w:rPr>
                <w:noProof/>
                <w:webHidden/>
              </w:rPr>
              <w:tab/>
            </w:r>
            <w:r w:rsidR="00CE52D4">
              <w:rPr>
                <w:noProof/>
                <w:webHidden/>
              </w:rPr>
              <w:fldChar w:fldCharType="begin"/>
            </w:r>
            <w:r w:rsidR="00CE52D4">
              <w:rPr>
                <w:noProof/>
                <w:webHidden/>
              </w:rPr>
              <w:instrText xml:space="preserve"> PAGEREF _Toc153545039 \h </w:instrText>
            </w:r>
            <w:r w:rsidR="00CE52D4">
              <w:rPr>
                <w:noProof/>
                <w:webHidden/>
              </w:rPr>
            </w:r>
            <w:r w:rsidR="00CE52D4">
              <w:rPr>
                <w:noProof/>
                <w:webHidden/>
              </w:rPr>
              <w:fldChar w:fldCharType="separate"/>
            </w:r>
            <w:r w:rsidR="0087794A">
              <w:rPr>
                <w:noProof/>
                <w:webHidden/>
              </w:rPr>
              <w:t>53</w:t>
            </w:r>
            <w:r w:rsidR="00CE52D4">
              <w:rPr>
                <w:noProof/>
                <w:webHidden/>
              </w:rPr>
              <w:fldChar w:fldCharType="end"/>
            </w:r>
          </w:hyperlink>
        </w:p>
        <w:p w14:paraId="039452DF" w14:textId="7012CF12" w:rsidR="00CE52D4" w:rsidRDefault="006E0533">
          <w:pPr>
            <w:pStyle w:val="TOC2"/>
            <w:rPr>
              <w:rFonts w:eastAsiaTheme="minorEastAsia"/>
              <w:noProof/>
              <w:kern w:val="2"/>
              <w:lang w:val="en-US"/>
              <w14:ligatures w14:val="standardContextual"/>
            </w:rPr>
          </w:pPr>
          <w:hyperlink w:anchor="_Toc153545040" w:history="1">
            <w:r w:rsidR="00CE52D4" w:rsidRPr="00034E6E">
              <w:rPr>
                <w:rStyle w:val="Hyperlink"/>
                <w:noProof/>
              </w:rPr>
              <w:t>2.5</w:t>
            </w:r>
            <w:r w:rsidR="00CE52D4">
              <w:rPr>
                <w:rFonts w:eastAsiaTheme="minorEastAsia"/>
                <w:noProof/>
                <w:kern w:val="2"/>
                <w:lang w:val="en-US"/>
                <w14:ligatures w14:val="standardContextual"/>
              </w:rPr>
              <w:tab/>
            </w:r>
            <w:r w:rsidR="00CE52D4" w:rsidRPr="00034E6E">
              <w:rPr>
                <w:rStyle w:val="Hyperlink"/>
                <w:noProof/>
              </w:rPr>
              <w:t>Internal energy market</w:t>
            </w:r>
            <w:r w:rsidR="00CE52D4">
              <w:rPr>
                <w:noProof/>
                <w:webHidden/>
              </w:rPr>
              <w:tab/>
            </w:r>
            <w:r w:rsidR="00CE52D4">
              <w:rPr>
                <w:noProof/>
                <w:webHidden/>
              </w:rPr>
              <w:fldChar w:fldCharType="begin"/>
            </w:r>
            <w:r w:rsidR="00CE52D4">
              <w:rPr>
                <w:noProof/>
                <w:webHidden/>
              </w:rPr>
              <w:instrText xml:space="preserve"> PAGEREF _Toc153545040 \h </w:instrText>
            </w:r>
            <w:r w:rsidR="00CE52D4">
              <w:rPr>
                <w:noProof/>
                <w:webHidden/>
              </w:rPr>
            </w:r>
            <w:r w:rsidR="00CE52D4">
              <w:rPr>
                <w:noProof/>
                <w:webHidden/>
              </w:rPr>
              <w:fldChar w:fldCharType="separate"/>
            </w:r>
            <w:r w:rsidR="0087794A">
              <w:rPr>
                <w:noProof/>
                <w:webHidden/>
              </w:rPr>
              <w:t>54</w:t>
            </w:r>
            <w:r w:rsidR="00CE52D4">
              <w:rPr>
                <w:noProof/>
                <w:webHidden/>
              </w:rPr>
              <w:fldChar w:fldCharType="end"/>
            </w:r>
          </w:hyperlink>
        </w:p>
        <w:p w14:paraId="6C3BF959" w14:textId="58EF3137" w:rsidR="00CE52D4" w:rsidRDefault="006E0533">
          <w:pPr>
            <w:pStyle w:val="TOC2"/>
            <w:rPr>
              <w:rFonts w:eastAsiaTheme="minorEastAsia"/>
              <w:noProof/>
              <w:kern w:val="2"/>
              <w:lang w:val="en-US"/>
              <w14:ligatures w14:val="standardContextual"/>
            </w:rPr>
          </w:pPr>
          <w:hyperlink w:anchor="_Toc153545041" w:history="1">
            <w:r w:rsidR="00CE52D4" w:rsidRPr="00034E6E">
              <w:rPr>
                <w:rStyle w:val="Hyperlink"/>
                <w:noProof/>
              </w:rPr>
              <w:t>2.6</w:t>
            </w:r>
            <w:r w:rsidR="00CE52D4">
              <w:rPr>
                <w:rFonts w:eastAsiaTheme="minorEastAsia"/>
                <w:noProof/>
                <w:kern w:val="2"/>
                <w:lang w:val="en-US"/>
                <w14:ligatures w14:val="standardContextual"/>
              </w:rPr>
              <w:tab/>
            </w:r>
            <w:r w:rsidR="00CE52D4" w:rsidRPr="00034E6E">
              <w:rPr>
                <w:rStyle w:val="Hyperlink"/>
                <w:noProof/>
              </w:rPr>
              <w:t>Research, innovation and competitiveness</w:t>
            </w:r>
            <w:r w:rsidR="00CE52D4">
              <w:rPr>
                <w:noProof/>
                <w:webHidden/>
              </w:rPr>
              <w:tab/>
            </w:r>
            <w:r w:rsidR="00CE52D4">
              <w:rPr>
                <w:noProof/>
                <w:webHidden/>
              </w:rPr>
              <w:fldChar w:fldCharType="begin"/>
            </w:r>
            <w:r w:rsidR="00CE52D4">
              <w:rPr>
                <w:noProof/>
                <w:webHidden/>
              </w:rPr>
              <w:instrText xml:space="preserve"> PAGEREF _Toc153545041 \h </w:instrText>
            </w:r>
            <w:r w:rsidR="00CE52D4">
              <w:rPr>
                <w:noProof/>
                <w:webHidden/>
              </w:rPr>
            </w:r>
            <w:r w:rsidR="00CE52D4">
              <w:rPr>
                <w:noProof/>
                <w:webHidden/>
              </w:rPr>
              <w:fldChar w:fldCharType="separate"/>
            </w:r>
            <w:r w:rsidR="0087794A">
              <w:rPr>
                <w:noProof/>
                <w:webHidden/>
              </w:rPr>
              <w:t>54</w:t>
            </w:r>
            <w:r w:rsidR="00CE52D4">
              <w:rPr>
                <w:noProof/>
                <w:webHidden/>
              </w:rPr>
              <w:fldChar w:fldCharType="end"/>
            </w:r>
          </w:hyperlink>
        </w:p>
        <w:p w14:paraId="53D9AEFA" w14:textId="45BCE38E" w:rsidR="00CE52D4" w:rsidRDefault="006E0533" w:rsidP="00CE52D4">
          <w:pPr>
            <w:pStyle w:val="TOC1"/>
            <w:rPr>
              <w:rFonts w:eastAsiaTheme="minorEastAsia"/>
              <w:noProof/>
              <w:kern w:val="2"/>
              <w:lang w:val="en-US"/>
              <w14:ligatures w14:val="standardContextual"/>
            </w:rPr>
          </w:pPr>
          <w:hyperlink w:anchor="_Toc153545044" w:history="1">
            <w:r w:rsidR="00CE52D4" w:rsidRPr="00034E6E">
              <w:rPr>
                <w:rStyle w:val="Hyperlink"/>
                <w:noProof/>
              </w:rPr>
              <w:t>3</w:t>
            </w:r>
            <w:r w:rsidR="00CE52D4">
              <w:rPr>
                <w:rFonts w:eastAsiaTheme="minorEastAsia"/>
                <w:noProof/>
                <w:kern w:val="2"/>
                <w:lang w:val="en-US"/>
                <w14:ligatures w14:val="standardContextual"/>
              </w:rPr>
              <w:tab/>
            </w:r>
            <w:r w:rsidR="00CE52D4" w:rsidRPr="00034E6E">
              <w:rPr>
                <w:rStyle w:val="Hyperlink"/>
                <w:noProof/>
              </w:rPr>
              <w:t>POLICIES AND MEASURES</w:t>
            </w:r>
            <w:r w:rsidR="00CE52D4">
              <w:rPr>
                <w:noProof/>
                <w:webHidden/>
              </w:rPr>
              <w:tab/>
            </w:r>
            <w:r w:rsidR="00CE52D4">
              <w:rPr>
                <w:noProof/>
                <w:webHidden/>
              </w:rPr>
              <w:fldChar w:fldCharType="begin"/>
            </w:r>
            <w:r w:rsidR="00CE52D4">
              <w:rPr>
                <w:noProof/>
                <w:webHidden/>
              </w:rPr>
              <w:instrText xml:space="preserve"> PAGEREF _Toc153545044 \h </w:instrText>
            </w:r>
            <w:r w:rsidR="00CE52D4">
              <w:rPr>
                <w:noProof/>
                <w:webHidden/>
              </w:rPr>
            </w:r>
            <w:r w:rsidR="00CE52D4">
              <w:rPr>
                <w:noProof/>
                <w:webHidden/>
              </w:rPr>
              <w:fldChar w:fldCharType="separate"/>
            </w:r>
            <w:r w:rsidR="0087794A">
              <w:rPr>
                <w:noProof/>
                <w:webHidden/>
              </w:rPr>
              <w:t>56</w:t>
            </w:r>
            <w:r w:rsidR="00CE52D4">
              <w:rPr>
                <w:noProof/>
                <w:webHidden/>
              </w:rPr>
              <w:fldChar w:fldCharType="end"/>
            </w:r>
          </w:hyperlink>
        </w:p>
        <w:p w14:paraId="611A8DDA" w14:textId="45CE82EB" w:rsidR="00CE52D4" w:rsidRDefault="006E0533">
          <w:pPr>
            <w:pStyle w:val="TOC2"/>
            <w:rPr>
              <w:rFonts w:eastAsiaTheme="minorEastAsia"/>
              <w:noProof/>
              <w:kern w:val="2"/>
              <w:lang w:val="en-US"/>
              <w14:ligatures w14:val="standardContextual"/>
            </w:rPr>
          </w:pPr>
          <w:hyperlink w:anchor="_Toc153545045" w:history="1">
            <w:r w:rsidR="00CE52D4" w:rsidRPr="00034E6E">
              <w:rPr>
                <w:rStyle w:val="Hyperlink"/>
                <w:noProof/>
              </w:rPr>
              <w:t>3.1</w:t>
            </w:r>
            <w:r w:rsidR="00CE52D4">
              <w:rPr>
                <w:rFonts w:eastAsiaTheme="minorEastAsia"/>
                <w:noProof/>
                <w:kern w:val="2"/>
                <w:lang w:val="en-US"/>
                <w14:ligatures w14:val="standardContextual"/>
              </w:rPr>
              <w:tab/>
            </w:r>
            <w:r w:rsidR="00CE52D4" w:rsidRPr="00034E6E">
              <w:rPr>
                <w:rStyle w:val="Hyperlink"/>
                <w:noProof/>
              </w:rPr>
              <w:t>Dimension Decarbonisation</w:t>
            </w:r>
            <w:r w:rsidR="00CE52D4">
              <w:rPr>
                <w:noProof/>
                <w:webHidden/>
              </w:rPr>
              <w:tab/>
            </w:r>
            <w:r w:rsidR="00CE52D4">
              <w:rPr>
                <w:noProof/>
                <w:webHidden/>
              </w:rPr>
              <w:fldChar w:fldCharType="begin"/>
            </w:r>
            <w:r w:rsidR="00CE52D4">
              <w:rPr>
                <w:noProof/>
                <w:webHidden/>
              </w:rPr>
              <w:instrText xml:space="preserve"> PAGEREF _Toc153545045 \h </w:instrText>
            </w:r>
            <w:r w:rsidR="00CE52D4">
              <w:rPr>
                <w:noProof/>
                <w:webHidden/>
              </w:rPr>
            </w:r>
            <w:r w:rsidR="00CE52D4">
              <w:rPr>
                <w:noProof/>
                <w:webHidden/>
              </w:rPr>
              <w:fldChar w:fldCharType="separate"/>
            </w:r>
            <w:r w:rsidR="0087794A">
              <w:rPr>
                <w:noProof/>
                <w:webHidden/>
              </w:rPr>
              <w:t>56</w:t>
            </w:r>
            <w:r w:rsidR="00CE52D4">
              <w:rPr>
                <w:noProof/>
                <w:webHidden/>
              </w:rPr>
              <w:fldChar w:fldCharType="end"/>
            </w:r>
          </w:hyperlink>
        </w:p>
        <w:p w14:paraId="52C0C6A6" w14:textId="632E0270" w:rsidR="00CE52D4" w:rsidRDefault="006E0533">
          <w:pPr>
            <w:pStyle w:val="TOC2"/>
            <w:rPr>
              <w:rFonts w:eastAsiaTheme="minorEastAsia"/>
              <w:noProof/>
              <w:kern w:val="2"/>
              <w:lang w:val="en-US"/>
              <w14:ligatures w14:val="standardContextual"/>
            </w:rPr>
          </w:pPr>
          <w:hyperlink w:anchor="_Toc153545046" w:history="1">
            <w:r w:rsidR="00CE52D4" w:rsidRPr="00034E6E">
              <w:rPr>
                <w:rStyle w:val="Hyperlink"/>
                <w:noProof/>
              </w:rPr>
              <w:t>3.2</w:t>
            </w:r>
            <w:r w:rsidR="00CE52D4">
              <w:rPr>
                <w:rFonts w:eastAsiaTheme="minorEastAsia"/>
                <w:noProof/>
                <w:kern w:val="2"/>
                <w:lang w:val="en-US"/>
                <w14:ligatures w14:val="standardContextual"/>
              </w:rPr>
              <w:tab/>
            </w:r>
            <w:r w:rsidR="00CE52D4" w:rsidRPr="00034E6E">
              <w:rPr>
                <w:rStyle w:val="Hyperlink"/>
                <w:noProof/>
              </w:rPr>
              <w:t>Dimension Energy Efficiency</w:t>
            </w:r>
            <w:r w:rsidR="00CE52D4">
              <w:rPr>
                <w:noProof/>
                <w:webHidden/>
              </w:rPr>
              <w:tab/>
            </w:r>
            <w:r w:rsidR="00CE52D4">
              <w:rPr>
                <w:noProof/>
                <w:webHidden/>
              </w:rPr>
              <w:fldChar w:fldCharType="begin"/>
            </w:r>
            <w:r w:rsidR="00CE52D4">
              <w:rPr>
                <w:noProof/>
                <w:webHidden/>
              </w:rPr>
              <w:instrText xml:space="preserve"> PAGEREF _Toc153545046 \h </w:instrText>
            </w:r>
            <w:r w:rsidR="00CE52D4">
              <w:rPr>
                <w:noProof/>
                <w:webHidden/>
              </w:rPr>
            </w:r>
            <w:r w:rsidR="00CE52D4">
              <w:rPr>
                <w:noProof/>
                <w:webHidden/>
              </w:rPr>
              <w:fldChar w:fldCharType="separate"/>
            </w:r>
            <w:r w:rsidR="0087794A">
              <w:rPr>
                <w:noProof/>
                <w:webHidden/>
              </w:rPr>
              <w:t>98</w:t>
            </w:r>
            <w:r w:rsidR="00CE52D4">
              <w:rPr>
                <w:noProof/>
                <w:webHidden/>
              </w:rPr>
              <w:fldChar w:fldCharType="end"/>
            </w:r>
          </w:hyperlink>
        </w:p>
        <w:p w14:paraId="4891C212" w14:textId="3F62F54C" w:rsidR="00CE52D4" w:rsidRDefault="006E0533">
          <w:pPr>
            <w:pStyle w:val="TOC2"/>
            <w:rPr>
              <w:rFonts w:eastAsiaTheme="minorEastAsia"/>
              <w:noProof/>
              <w:kern w:val="2"/>
              <w:lang w:val="en-US"/>
              <w14:ligatures w14:val="standardContextual"/>
            </w:rPr>
          </w:pPr>
          <w:hyperlink w:anchor="_Toc153545047" w:history="1">
            <w:r w:rsidR="00CE52D4" w:rsidRPr="00034E6E">
              <w:rPr>
                <w:rStyle w:val="Hyperlink"/>
                <w:noProof/>
              </w:rPr>
              <w:t>3.3</w:t>
            </w:r>
            <w:r w:rsidR="00CE52D4">
              <w:rPr>
                <w:rFonts w:eastAsiaTheme="minorEastAsia"/>
                <w:noProof/>
                <w:kern w:val="2"/>
                <w:lang w:val="en-US"/>
                <w14:ligatures w14:val="standardContextual"/>
              </w:rPr>
              <w:tab/>
            </w:r>
            <w:r w:rsidR="00CE52D4" w:rsidRPr="00034E6E">
              <w:rPr>
                <w:rStyle w:val="Hyperlink"/>
                <w:noProof/>
              </w:rPr>
              <w:t>Dimension Energy Security</w:t>
            </w:r>
            <w:r w:rsidR="00CE52D4">
              <w:rPr>
                <w:noProof/>
                <w:webHidden/>
              </w:rPr>
              <w:tab/>
            </w:r>
            <w:r w:rsidR="00CE52D4">
              <w:rPr>
                <w:noProof/>
                <w:webHidden/>
              </w:rPr>
              <w:fldChar w:fldCharType="begin"/>
            </w:r>
            <w:r w:rsidR="00CE52D4">
              <w:rPr>
                <w:noProof/>
                <w:webHidden/>
              </w:rPr>
              <w:instrText xml:space="preserve"> PAGEREF _Toc153545047 \h </w:instrText>
            </w:r>
            <w:r w:rsidR="00CE52D4">
              <w:rPr>
                <w:noProof/>
                <w:webHidden/>
              </w:rPr>
            </w:r>
            <w:r w:rsidR="00CE52D4">
              <w:rPr>
                <w:noProof/>
                <w:webHidden/>
              </w:rPr>
              <w:fldChar w:fldCharType="separate"/>
            </w:r>
            <w:r w:rsidR="0087794A">
              <w:rPr>
                <w:noProof/>
                <w:webHidden/>
              </w:rPr>
              <w:t>143</w:t>
            </w:r>
            <w:r w:rsidR="00CE52D4">
              <w:rPr>
                <w:noProof/>
                <w:webHidden/>
              </w:rPr>
              <w:fldChar w:fldCharType="end"/>
            </w:r>
          </w:hyperlink>
        </w:p>
        <w:p w14:paraId="1ACEF85E" w14:textId="14FF8CA9" w:rsidR="00CE52D4" w:rsidRDefault="006E0533">
          <w:pPr>
            <w:pStyle w:val="TOC2"/>
            <w:rPr>
              <w:rFonts w:eastAsiaTheme="minorEastAsia"/>
              <w:noProof/>
              <w:kern w:val="2"/>
              <w:lang w:val="en-US"/>
              <w14:ligatures w14:val="standardContextual"/>
            </w:rPr>
          </w:pPr>
          <w:hyperlink w:anchor="_Toc153545048" w:history="1">
            <w:r w:rsidR="00CE52D4" w:rsidRPr="00034E6E">
              <w:rPr>
                <w:rStyle w:val="Hyperlink"/>
                <w:noProof/>
              </w:rPr>
              <w:t>3.4</w:t>
            </w:r>
            <w:r w:rsidR="00CE52D4">
              <w:rPr>
                <w:rFonts w:eastAsiaTheme="minorEastAsia"/>
                <w:noProof/>
                <w:kern w:val="2"/>
                <w:lang w:val="en-US"/>
                <w14:ligatures w14:val="standardContextual"/>
              </w:rPr>
              <w:tab/>
            </w:r>
            <w:r w:rsidR="00CE52D4" w:rsidRPr="00034E6E">
              <w:rPr>
                <w:rStyle w:val="Hyperlink"/>
                <w:noProof/>
              </w:rPr>
              <w:t>Dimension Internal Energy Market</w:t>
            </w:r>
            <w:r w:rsidR="00CE52D4">
              <w:rPr>
                <w:noProof/>
                <w:webHidden/>
              </w:rPr>
              <w:tab/>
            </w:r>
            <w:r w:rsidR="00CE52D4">
              <w:rPr>
                <w:noProof/>
                <w:webHidden/>
              </w:rPr>
              <w:fldChar w:fldCharType="begin"/>
            </w:r>
            <w:r w:rsidR="00CE52D4">
              <w:rPr>
                <w:noProof/>
                <w:webHidden/>
              </w:rPr>
              <w:instrText xml:space="preserve"> PAGEREF _Toc153545048 \h </w:instrText>
            </w:r>
            <w:r w:rsidR="00CE52D4">
              <w:rPr>
                <w:noProof/>
                <w:webHidden/>
              </w:rPr>
            </w:r>
            <w:r w:rsidR="00CE52D4">
              <w:rPr>
                <w:noProof/>
                <w:webHidden/>
              </w:rPr>
              <w:fldChar w:fldCharType="separate"/>
            </w:r>
            <w:r w:rsidR="0087794A">
              <w:rPr>
                <w:noProof/>
                <w:webHidden/>
              </w:rPr>
              <w:t>153</w:t>
            </w:r>
            <w:r w:rsidR="00CE52D4">
              <w:rPr>
                <w:noProof/>
                <w:webHidden/>
              </w:rPr>
              <w:fldChar w:fldCharType="end"/>
            </w:r>
          </w:hyperlink>
        </w:p>
        <w:p w14:paraId="111B0119" w14:textId="67967D88" w:rsidR="00CE52D4" w:rsidRDefault="006E0533">
          <w:pPr>
            <w:pStyle w:val="TOC2"/>
            <w:rPr>
              <w:rFonts w:eastAsiaTheme="minorEastAsia"/>
              <w:noProof/>
              <w:kern w:val="2"/>
              <w:lang w:val="en-US"/>
              <w14:ligatures w14:val="standardContextual"/>
            </w:rPr>
          </w:pPr>
          <w:hyperlink w:anchor="_Toc153545049" w:history="1">
            <w:r w:rsidR="00CE52D4" w:rsidRPr="00034E6E">
              <w:rPr>
                <w:rStyle w:val="Hyperlink"/>
                <w:noProof/>
              </w:rPr>
              <w:t>3.5</w:t>
            </w:r>
            <w:r w:rsidR="00CE52D4">
              <w:rPr>
                <w:rFonts w:eastAsiaTheme="minorEastAsia"/>
                <w:noProof/>
                <w:kern w:val="2"/>
                <w:lang w:val="en-US"/>
                <w14:ligatures w14:val="standardContextual"/>
              </w:rPr>
              <w:tab/>
            </w:r>
            <w:r w:rsidR="00CE52D4" w:rsidRPr="00034E6E">
              <w:rPr>
                <w:rStyle w:val="Hyperlink"/>
                <w:noProof/>
              </w:rPr>
              <w:t>Dimension Research, Innovation and Competitiveness</w:t>
            </w:r>
            <w:r w:rsidR="00CE52D4">
              <w:rPr>
                <w:noProof/>
                <w:webHidden/>
              </w:rPr>
              <w:tab/>
            </w:r>
            <w:r w:rsidR="00CE52D4">
              <w:rPr>
                <w:noProof/>
                <w:webHidden/>
              </w:rPr>
              <w:fldChar w:fldCharType="begin"/>
            </w:r>
            <w:r w:rsidR="00CE52D4">
              <w:rPr>
                <w:noProof/>
                <w:webHidden/>
              </w:rPr>
              <w:instrText xml:space="preserve"> PAGEREF _Toc153545049 \h </w:instrText>
            </w:r>
            <w:r w:rsidR="00CE52D4">
              <w:rPr>
                <w:noProof/>
                <w:webHidden/>
              </w:rPr>
            </w:r>
            <w:r w:rsidR="00CE52D4">
              <w:rPr>
                <w:noProof/>
                <w:webHidden/>
              </w:rPr>
              <w:fldChar w:fldCharType="separate"/>
            </w:r>
            <w:r w:rsidR="0087794A">
              <w:rPr>
                <w:noProof/>
                <w:webHidden/>
              </w:rPr>
              <w:t>185</w:t>
            </w:r>
            <w:r w:rsidR="00CE52D4">
              <w:rPr>
                <w:noProof/>
                <w:webHidden/>
              </w:rPr>
              <w:fldChar w:fldCharType="end"/>
            </w:r>
          </w:hyperlink>
        </w:p>
        <w:p w14:paraId="5405D27B" w14:textId="55D8783D" w:rsidR="00CE52D4" w:rsidRDefault="006E0533" w:rsidP="00CE52D4">
          <w:pPr>
            <w:pStyle w:val="TOC1"/>
            <w:rPr>
              <w:rFonts w:eastAsiaTheme="minorEastAsia"/>
              <w:noProof/>
              <w:kern w:val="2"/>
              <w:lang w:val="en-US"/>
              <w14:ligatures w14:val="standardContextual"/>
            </w:rPr>
          </w:pPr>
          <w:hyperlink w:anchor="_Toc153545050" w:history="1">
            <w:r w:rsidR="00CE52D4" w:rsidRPr="00034E6E">
              <w:rPr>
                <w:rStyle w:val="Hyperlink"/>
                <w:noProof/>
              </w:rPr>
              <w:t>4</w:t>
            </w:r>
            <w:r w:rsidR="00CE52D4">
              <w:rPr>
                <w:rFonts w:eastAsiaTheme="minorEastAsia"/>
                <w:noProof/>
                <w:kern w:val="2"/>
                <w:lang w:val="en-US"/>
                <w14:ligatures w14:val="standardContextual"/>
              </w:rPr>
              <w:tab/>
            </w:r>
            <w:r w:rsidR="00CE52D4" w:rsidRPr="00034E6E">
              <w:rPr>
                <w:rStyle w:val="Hyperlink"/>
                <w:noProof/>
              </w:rPr>
              <w:t>CURRENT SITUATION AND PROJECTIONS WITH EXISTING POLICIES AND MEASURES</w:t>
            </w:r>
            <w:r w:rsidR="00CE52D4">
              <w:rPr>
                <w:noProof/>
                <w:webHidden/>
              </w:rPr>
              <w:tab/>
            </w:r>
            <w:r w:rsidR="00CE52D4">
              <w:rPr>
                <w:noProof/>
                <w:webHidden/>
              </w:rPr>
              <w:fldChar w:fldCharType="begin"/>
            </w:r>
            <w:r w:rsidR="00CE52D4">
              <w:rPr>
                <w:noProof/>
                <w:webHidden/>
              </w:rPr>
              <w:instrText xml:space="preserve"> PAGEREF _Toc153545050 \h </w:instrText>
            </w:r>
            <w:r w:rsidR="00CE52D4">
              <w:rPr>
                <w:noProof/>
                <w:webHidden/>
              </w:rPr>
            </w:r>
            <w:r w:rsidR="00CE52D4">
              <w:rPr>
                <w:noProof/>
                <w:webHidden/>
              </w:rPr>
              <w:fldChar w:fldCharType="separate"/>
            </w:r>
            <w:r w:rsidR="0087794A">
              <w:rPr>
                <w:noProof/>
                <w:webHidden/>
              </w:rPr>
              <w:t>203</w:t>
            </w:r>
            <w:r w:rsidR="00CE52D4">
              <w:rPr>
                <w:noProof/>
                <w:webHidden/>
              </w:rPr>
              <w:fldChar w:fldCharType="end"/>
            </w:r>
          </w:hyperlink>
        </w:p>
        <w:p w14:paraId="7E688D93" w14:textId="683C2D8B" w:rsidR="00CE52D4" w:rsidRDefault="006E0533">
          <w:pPr>
            <w:pStyle w:val="TOC2"/>
            <w:rPr>
              <w:rFonts w:eastAsiaTheme="minorEastAsia"/>
              <w:noProof/>
              <w:kern w:val="2"/>
              <w:lang w:val="en-US"/>
              <w14:ligatures w14:val="standardContextual"/>
            </w:rPr>
          </w:pPr>
          <w:hyperlink w:anchor="_Toc153545051" w:history="1">
            <w:r w:rsidR="00CE52D4" w:rsidRPr="00034E6E">
              <w:rPr>
                <w:rStyle w:val="Hyperlink"/>
                <w:noProof/>
              </w:rPr>
              <w:t>4.1</w:t>
            </w:r>
            <w:r w:rsidR="00CE52D4">
              <w:rPr>
                <w:rFonts w:eastAsiaTheme="minorEastAsia"/>
                <w:noProof/>
                <w:kern w:val="2"/>
                <w:lang w:val="en-US"/>
                <w14:ligatures w14:val="standardContextual"/>
              </w:rPr>
              <w:tab/>
            </w:r>
            <w:r w:rsidR="00CE52D4" w:rsidRPr="00034E6E">
              <w:rPr>
                <w:rStyle w:val="Hyperlink"/>
                <w:noProof/>
              </w:rPr>
              <w:t>Projected evolution of main exogenous factors influencing energy system and GHG emission developments</w:t>
            </w:r>
            <w:r w:rsidR="00CE52D4">
              <w:rPr>
                <w:noProof/>
                <w:webHidden/>
              </w:rPr>
              <w:tab/>
            </w:r>
            <w:r w:rsidR="00CE52D4">
              <w:rPr>
                <w:noProof/>
                <w:webHidden/>
              </w:rPr>
              <w:fldChar w:fldCharType="begin"/>
            </w:r>
            <w:r w:rsidR="00CE52D4">
              <w:rPr>
                <w:noProof/>
                <w:webHidden/>
              </w:rPr>
              <w:instrText xml:space="preserve"> PAGEREF _Toc153545051 \h </w:instrText>
            </w:r>
            <w:r w:rsidR="00CE52D4">
              <w:rPr>
                <w:noProof/>
                <w:webHidden/>
              </w:rPr>
            </w:r>
            <w:r w:rsidR="00CE52D4">
              <w:rPr>
                <w:noProof/>
                <w:webHidden/>
              </w:rPr>
              <w:fldChar w:fldCharType="separate"/>
            </w:r>
            <w:r w:rsidR="0087794A">
              <w:rPr>
                <w:noProof/>
                <w:webHidden/>
              </w:rPr>
              <w:t>204</w:t>
            </w:r>
            <w:r w:rsidR="00CE52D4">
              <w:rPr>
                <w:noProof/>
                <w:webHidden/>
              </w:rPr>
              <w:fldChar w:fldCharType="end"/>
            </w:r>
          </w:hyperlink>
        </w:p>
        <w:p w14:paraId="0C0C38E4" w14:textId="5283CEC0" w:rsidR="00CE52D4" w:rsidRDefault="006E0533">
          <w:pPr>
            <w:pStyle w:val="TOC2"/>
            <w:rPr>
              <w:rFonts w:eastAsiaTheme="minorEastAsia"/>
              <w:noProof/>
              <w:kern w:val="2"/>
              <w:lang w:val="en-US"/>
              <w14:ligatures w14:val="standardContextual"/>
            </w:rPr>
          </w:pPr>
          <w:hyperlink w:anchor="_Toc153545052" w:history="1">
            <w:r w:rsidR="00CE52D4" w:rsidRPr="00034E6E">
              <w:rPr>
                <w:rStyle w:val="Hyperlink"/>
                <w:noProof/>
              </w:rPr>
              <w:t>4.2</w:t>
            </w:r>
            <w:r w:rsidR="00CE52D4">
              <w:rPr>
                <w:rFonts w:eastAsiaTheme="minorEastAsia"/>
                <w:noProof/>
                <w:kern w:val="2"/>
                <w:lang w:val="en-US"/>
                <w14:ligatures w14:val="standardContextual"/>
              </w:rPr>
              <w:tab/>
            </w:r>
            <w:r w:rsidR="00CE52D4" w:rsidRPr="00034E6E">
              <w:rPr>
                <w:rStyle w:val="Hyperlink"/>
                <w:noProof/>
              </w:rPr>
              <w:t>Dimension Decarbonisation</w:t>
            </w:r>
            <w:r w:rsidR="00CE52D4">
              <w:rPr>
                <w:noProof/>
                <w:webHidden/>
              </w:rPr>
              <w:tab/>
            </w:r>
            <w:r w:rsidR="00CE52D4">
              <w:rPr>
                <w:noProof/>
                <w:webHidden/>
              </w:rPr>
              <w:fldChar w:fldCharType="begin"/>
            </w:r>
            <w:r w:rsidR="00CE52D4">
              <w:rPr>
                <w:noProof/>
                <w:webHidden/>
              </w:rPr>
              <w:instrText xml:space="preserve"> PAGEREF _Toc153545052 \h </w:instrText>
            </w:r>
            <w:r w:rsidR="00CE52D4">
              <w:rPr>
                <w:noProof/>
                <w:webHidden/>
              </w:rPr>
            </w:r>
            <w:r w:rsidR="00CE52D4">
              <w:rPr>
                <w:noProof/>
                <w:webHidden/>
              </w:rPr>
              <w:fldChar w:fldCharType="separate"/>
            </w:r>
            <w:r w:rsidR="0087794A">
              <w:rPr>
                <w:noProof/>
                <w:webHidden/>
              </w:rPr>
              <w:t>208</w:t>
            </w:r>
            <w:r w:rsidR="00CE52D4">
              <w:rPr>
                <w:noProof/>
                <w:webHidden/>
              </w:rPr>
              <w:fldChar w:fldCharType="end"/>
            </w:r>
          </w:hyperlink>
        </w:p>
        <w:p w14:paraId="4BEF394D" w14:textId="5B02BAB3" w:rsidR="00CE52D4" w:rsidRDefault="006E0533">
          <w:pPr>
            <w:pStyle w:val="TOC2"/>
            <w:rPr>
              <w:rFonts w:eastAsiaTheme="minorEastAsia"/>
              <w:noProof/>
              <w:kern w:val="2"/>
              <w:lang w:val="en-US"/>
              <w14:ligatures w14:val="standardContextual"/>
            </w:rPr>
          </w:pPr>
          <w:hyperlink w:anchor="_Toc153545053" w:history="1">
            <w:r w:rsidR="00CE52D4" w:rsidRPr="00034E6E">
              <w:rPr>
                <w:rStyle w:val="Hyperlink"/>
                <w:noProof/>
              </w:rPr>
              <w:t>4.3</w:t>
            </w:r>
            <w:r w:rsidR="00CE52D4">
              <w:rPr>
                <w:rFonts w:eastAsiaTheme="minorEastAsia"/>
                <w:noProof/>
                <w:kern w:val="2"/>
                <w:lang w:val="en-US"/>
                <w14:ligatures w14:val="standardContextual"/>
              </w:rPr>
              <w:tab/>
            </w:r>
            <w:r w:rsidR="00CE52D4" w:rsidRPr="00034E6E">
              <w:rPr>
                <w:rStyle w:val="Hyperlink"/>
                <w:noProof/>
              </w:rPr>
              <w:t>Dimension Energy Efficiency</w:t>
            </w:r>
            <w:r w:rsidR="00CE52D4">
              <w:rPr>
                <w:noProof/>
                <w:webHidden/>
              </w:rPr>
              <w:tab/>
            </w:r>
            <w:r w:rsidR="00CE52D4">
              <w:rPr>
                <w:noProof/>
                <w:webHidden/>
              </w:rPr>
              <w:fldChar w:fldCharType="begin"/>
            </w:r>
            <w:r w:rsidR="00CE52D4">
              <w:rPr>
                <w:noProof/>
                <w:webHidden/>
              </w:rPr>
              <w:instrText xml:space="preserve"> PAGEREF _Toc153545053 \h </w:instrText>
            </w:r>
            <w:r w:rsidR="00CE52D4">
              <w:rPr>
                <w:noProof/>
                <w:webHidden/>
              </w:rPr>
            </w:r>
            <w:r w:rsidR="00CE52D4">
              <w:rPr>
                <w:noProof/>
                <w:webHidden/>
              </w:rPr>
              <w:fldChar w:fldCharType="separate"/>
            </w:r>
            <w:r w:rsidR="0087794A">
              <w:rPr>
                <w:noProof/>
                <w:webHidden/>
              </w:rPr>
              <w:t>219</w:t>
            </w:r>
            <w:r w:rsidR="00CE52D4">
              <w:rPr>
                <w:noProof/>
                <w:webHidden/>
              </w:rPr>
              <w:fldChar w:fldCharType="end"/>
            </w:r>
          </w:hyperlink>
        </w:p>
        <w:p w14:paraId="33761AD6" w14:textId="4378E2C4" w:rsidR="00CE52D4" w:rsidRDefault="006E0533">
          <w:pPr>
            <w:pStyle w:val="TOC2"/>
            <w:rPr>
              <w:rFonts w:eastAsiaTheme="minorEastAsia"/>
              <w:noProof/>
              <w:kern w:val="2"/>
              <w:lang w:val="en-US"/>
              <w14:ligatures w14:val="standardContextual"/>
            </w:rPr>
          </w:pPr>
          <w:hyperlink w:anchor="_Toc153545054" w:history="1">
            <w:r w:rsidR="00CE52D4" w:rsidRPr="00034E6E">
              <w:rPr>
                <w:rStyle w:val="Hyperlink"/>
                <w:noProof/>
              </w:rPr>
              <w:t>4.4</w:t>
            </w:r>
            <w:r w:rsidR="00CE52D4">
              <w:rPr>
                <w:rFonts w:eastAsiaTheme="minorEastAsia"/>
                <w:noProof/>
                <w:kern w:val="2"/>
                <w:lang w:val="en-US"/>
                <w14:ligatures w14:val="standardContextual"/>
              </w:rPr>
              <w:tab/>
            </w:r>
            <w:r w:rsidR="00CE52D4" w:rsidRPr="00034E6E">
              <w:rPr>
                <w:rStyle w:val="Hyperlink"/>
                <w:noProof/>
              </w:rPr>
              <w:t>Dimension Energy Security</w:t>
            </w:r>
            <w:r w:rsidR="00CE52D4">
              <w:rPr>
                <w:noProof/>
                <w:webHidden/>
              </w:rPr>
              <w:tab/>
            </w:r>
            <w:r w:rsidR="00CE52D4">
              <w:rPr>
                <w:noProof/>
                <w:webHidden/>
              </w:rPr>
              <w:fldChar w:fldCharType="begin"/>
            </w:r>
            <w:r w:rsidR="00CE52D4">
              <w:rPr>
                <w:noProof/>
                <w:webHidden/>
              </w:rPr>
              <w:instrText xml:space="preserve"> PAGEREF _Toc153545054 \h </w:instrText>
            </w:r>
            <w:r w:rsidR="00CE52D4">
              <w:rPr>
                <w:noProof/>
                <w:webHidden/>
              </w:rPr>
            </w:r>
            <w:r w:rsidR="00CE52D4">
              <w:rPr>
                <w:noProof/>
                <w:webHidden/>
              </w:rPr>
              <w:fldChar w:fldCharType="separate"/>
            </w:r>
            <w:r w:rsidR="0087794A">
              <w:rPr>
                <w:noProof/>
                <w:webHidden/>
              </w:rPr>
              <w:t>230</w:t>
            </w:r>
            <w:r w:rsidR="00CE52D4">
              <w:rPr>
                <w:noProof/>
                <w:webHidden/>
              </w:rPr>
              <w:fldChar w:fldCharType="end"/>
            </w:r>
          </w:hyperlink>
        </w:p>
        <w:p w14:paraId="54F051BE" w14:textId="798F7C8B" w:rsidR="00CE52D4" w:rsidRDefault="006E0533">
          <w:pPr>
            <w:pStyle w:val="TOC2"/>
            <w:rPr>
              <w:rFonts w:eastAsiaTheme="minorEastAsia"/>
              <w:noProof/>
              <w:kern w:val="2"/>
              <w:lang w:val="en-US"/>
              <w14:ligatures w14:val="standardContextual"/>
            </w:rPr>
          </w:pPr>
          <w:hyperlink w:anchor="_Toc153545055" w:history="1">
            <w:r w:rsidR="00CE52D4" w:rsidRPr="00034E6E">
              <w:rPr>
                <w:rStyle w:val="Hyperlink"/>
                <w:noProof/>
              </w:rPr>
              <w:t>4.5</w:t>
            </w:r>
            <w:r w:rsidR="00CE52D4">
              <w:rPr>
                <w:rFonts w:eastAsiaTheme="minorEastAsia"/>
                <w:noProof/>
                <w:kern w:val="2"/>
                <w:lang w:val="en-US"/>
                <w14:ligatures w14:val="standardContextual"/>
              </w:rPr>
              <w:tab/>
            </w:r>
            <w:r w:rsidR="00CE52D4" w:rsidRPr="00034E6E">
              <w:rPr>
                <w:rStyle w:val="Hyperlink"/>
                <w:noProof/>
              </w:rPr>
              <w:t>Dimension Internal Energy Market</w:t>
            </w:r>
            <w:r w:rsidR="00CE52D4">
              <w:rPr>
                <w:noProof/>
                <w:webHidden/>
              </w:rPr>
              <w:tab/>
            </w:r>
            <w:r w:rsidR="00CE52D4">
              <w:rPr>
                <w:noProof/>
                <w:webHidden/>
              </w:rPr>
              <w:fldChar w:fldCharType="begin"/>
            </w:r>
            <w:r w:rsidR="00CE52D4">
              <w:rPr>
                <w:noProof/>
                <w:webHidden/>
              </w:rPr>
              <w:instrText xml:space="preserve"> PAGEREF _Toc153545055 \h </w:instrText>
            </w:r>
            <w:r w:rsidR="00CE52D4">
              <w:rPr>
                <w:noProof/>
                <w:webHidden/>
              </w:rPr>
            </w:r>
            <w:r w:rsidR="00CE52D4">
              <w:rPr>
                <w:noProof/>
                <w:webHidden/>
              </w:rPr>
              <w:fldChar w:fldCharType="separate"/>
            </w:r>
            <w:r w:rsidR="0087794A">
              <w:rPr>
                <w:noProof/>
                <w:webHidden/>
              </w:rPr>
              <w:t>238</w:t>
            </w:r>
            <w:r w:rsidR="00CE52D4">
              <w:rPr>
                <w:noProof/>
                <w:webHidden/>
              </w:rPr>
              <w:fldChar w:fldCharType="end"/>
            </w:r>
          </w:hyperlink>
        </w:p>
        <w:p w14:paraId="227CC33D" w14:textId="656E3881" w:rsidR="00CE52D4" w:rsidRDefault="006E0533">
          <w:pPr>
            <w:pStyle w:val="TOC2"/>
            <w:rPr>
              <w:rFonts w:eastAsiaTheme="minorEastAsia"/>
              <w:noProof/>
              <w:kern w:val="2"/>
              <w:lang w:val="en-US"/>
              <w14:ligatures w14:val="standardContextual"/>
            </w:rPr>
          </w:pPr>
          <w:hyperlink w:anchor="_Toc153545056" w:history="1">
            <w:r w:rsidR="00CE52D4" w:rsidRPr="00034E6E">
              <w:rPr>
                <w:rStyle w:val="Hyperlink"/>
                <w:noProof/>
              </w:rPr>
              <w:t>4.6</w:t>
            </w:r>
            <w:r w:rsidR="00CE52D4">
              <w:rPr>
                <w:rFonts w:eastAsiaTheme="minorEastAsia"/>
                <w:noProof/>
                <w:kern w:val="2"/>
                <w:lang w:val="en-US"/>
                <w14:ligatures w14:val="standardContextual"/>
              </w:rPr>
              <w:tab/>
            </w:r>
            <w:r w:rsidR="00CE52D4" w:rsidRPr="00034E6E">
              <w:rPr>
                <w:rStyle w:val="Hyperlink"/>
                <w:noProof/>
              </w:rPr>
              <w:t>Dimension Research, Innovation and Competitiveness</w:t>
            </w:r>
            <w:r w:rsidR="00CE52D4">
              <w:rPr>
                <w:noProof/>
                <w:webHidden/>
              </w:rPr>
              <w:tab/>
            </w:r>
            <w:r w:rsidR="00CE52D4">
              <w:rPr>
                <w:noProof/>
                <w:webHidden/>
              </w:rPr>
              <w:fldChar w:fldCharType="begin"/>
            </w:r>
            <w:r w:rsidR="00CE52D4">
              <w:rPr>
                <w:noProof/>
                <w:webHidden/>
              </w:rPr>
              <w:instrText xml:space="preserve"> PAGEREF _Toc153545056 \h </w:instrText>
            </w:r>
            <w:r w:rsidR="00CE52D4">
              <w:rPr>
                <w:noProof/>
                <w:webHidden/>
              </w:rPr>
            </w:r>
            <w:r w:rsidR="00CE52D4">
              <w:rPr>
                <w:noProof/>
                <w:webHidden/>
              </w:rPr>
              <w:fldChar w:fldCharType="separate"/>
            </w:r>
            <w:r w:rsidR="0087794A">
              <w:rPr>
                <w:noProof/>
                <w:webHidden/>
              </w:rPr>
              <w:t>248</w:t>
            </w:r>
            <w:r w:rsidR="00CE52D4">
              <w:rPr>
                <w:noProof/>
                <w:webHidden/>
              </w:rPr>
              <w:fldChar w:fldCharType="end"/>
            </w:r>
          </w:hyperlink>
        </w:p>
        <w:p w14:paraId="275AAD24" w14:textId="2A324487" w:rsidR="00CE52D4" w:rsidRDefault="006E0533" w:rsidP="00CE52D4">
          <w:pPr>
            <w:pStyle w:val="TOC1"/>
            <w:rPr>
              <w:rFonts w:eastAsiaTheme="minorEastAsia"/>
              <w:noProof/>
              <w:kern w:val="2"/>
              <w:lang w:val="en-US"/>
              <w14:ligatures w14:val="standardContextual"/>
            </w:rPr>
          </w:pPr>
          <w:hyperlink w:anchor="_Toc153545057" w:history="1">
            <w:r w:rsidR="00CE52D4" w:rsidRPr="00034E6E">
              <w:rPr>
                <w:rStyle w:val="Hyperlink"/>
                <w:noProof/>
              </w:rPr>
              <w:t>5</w:t>
            </w:r>
            <w:r w:rsidR="00CE52D4">
              <w:rPr>
                <w:rFonts w:eastAsiaTheme="minorEastAsia"/>
                <w:noProof/>
                <w:kern w:val="2"/>
                <w:lang w:val="en-US"/>
                <w14:ligatures w14:val="standardContextual"/>
              </w:rPr>
              <w:tab/>
            </w:r>
            <w:r w:rsidR="00CE52D4" w:rsidRPr="00034E6E">
              <w:rPr>
                <w:rStyle w:val="Hyperlink"/>
                <w:noProof/>
              </w:rPr>
              <w:t>IMPACT ASSESSMENT OF PLANNED POLICIES AND MEASURES</w:t>
            </w:r>
            <w:r w:rsidR="00CE52D4">
              <w:rPr>
                <w:noProof/>
                <w:webHidden/>
              </w:rPr>
              <w:tab/>
            </w:r>
            <w:r w:rsidR="00CE52D4">
              <w:rPr>
                <w:noProof/>
                <w:webHidden/>
              </w:rPr>
              <w:fldChar w:fldCharType="begin"/>
            </w:r>
            <w:r w:rsidR="00CE52D4">
              <w:rPr>
                <w:noProof/>
                <w:webHidden/>
              </w:rPr>
              <w:instrText xml:space="preserve"> PAGEREF _Toc153545057 \h </w:instrText>
            </w:r>
            <w:r w:rsidR="00CE52D4">
              <w:rPr>
                <w:noProof/>
                <w:webHidden/>
              </w:rPr>
            </w:r>
            <w:r w:rsidR="00CE52D4">
              <w:rPr>
                <w:noProof/>
                <w:webHidden/>
              </w:rPr>
              <w:fldChar w:fldCharType="separate"/>
            </w:r>
            <w:r w:rsidR="0087794A">
              <w:rPr>
                <w:noProof/>
                <w:webHidden/>
              </w:rPr>
              <w:t>252</w:t>
            </w:r>
            <w:r w:rsidR="00CE52D4">
              <w:rPr>
                <w:noProof/>
                <w:webHidden/>
              </w:rPr>
              <w:fldChar w:fldCharType="end"/>
            </w:r>
          </w:hyperlink>
        </w:p>
        <w:p w14:paraId="5CB0F779" w14:textId="7AC944F3" w:rsidR="00CE52D4" w:rsidRDefault="006E0533">
          <w:pPr>
            <w:pStyle w:val="TOC2"/>
            <w:rPr>
              <w:rFonts w:eastAsiaTheme="minorEastAsia"/>
              <w:noProof/>
              <w:kern w:val="2"/>
              <w:lang w:val="en-US"/>
              <w14:ligatures w14:val="standardContextual"/>
            </w:rPr>
          </w:pPr>
          <w:hyperlink w:anchor="_Toc153545058" w:history="1">
            <w:r w:rsidR="00CE52D4" w:rsidRPr="00034E6E">
              <w:rPr>
                <w:rStyle w:val="Hyperlink"/>
                <w:noProof/>
              </w:rPr>
              <w:t>5.1</w:t>
            </w:r>
            <w:r w:rsidR="00CE52D4">
              <w:rPr>
                <w:rFonts w:eastAsiaTheme="minorEastAsia"/>
                <w:noProof/>
                <w:kern w:val="2"/>
                <w:lang w:val="en-US"/>
                <w14:ligatures w14:val="standardContextual"/>
              </w:rPr>
              <w:tab/>
            </w:r>
            <w:r w:rsidR="00CE52D4" w:rsidRPr="00034E6E">
              <w:rPr>
                <w:rStyle w:val="Hyperlink"/>
                <w:noProof/>
              </w:rPr>
              <w:t>Impacts of planned policies and measures described on energy system and GHG emissions and removals</w:t>
            </w:r>
            <w:r w:rsidR="00CE52D4">
              <w:rPr>
                <w:noProof/>
                <w:webHidden/>
              </w:rPr>
              <w:tab/>
            </w:r>
            <w:r w:rsidR="00CE52D4">
              <w:rPr>
                <w:noProof/>
                <w:webHidden/>
              </w:rPr>
              <w:fldChar w:fldCharType="begin"/>
            </w:r>
            <w:r w:rsidR="00CE52D4">
              <w:rPr>
                <w:noProof/>
                <w:webHidden/>
              </w:rPr>
              <w:instrText xml:space="preserve"> PAGEREF _Toc153545058 \h </w:instrText>
            </w:r>
            <w:r w:rsidR="00CE52D4">
              <w:rPr>
                <w:noProof/>
                <w:webHidden/>
              </w:rPr>
            </w:r>
            <w:r w:rsidR="00CE52D4">
              <w:rPr>
                <w:noProof/>
                <w:webHidden/>
              </w:rPr>
              <w:fldChar w:fldCharType="separate"/>
            </w:r>
            <w:r w:rsidR="0087794A">
              <w:rPr>
                <w:noProof/>
                <w:webHidden/>
              </w:rPr>
              <w:t>252</w:t>
            </w:r>
            <w:r w:rsidR="00CE52D4">
              <w:rPr>
                <w:noProof/>
                <w:webHidden/>
              </w:rPr>
              <w:fldChar w:fldCharType="end"/>
            </w:r>
          </w:hyperlink>
        </w:p>
        <w:p w14:paraId="0C12BC0B" w14:textId="619A5110" w:rsidR="00CE52D4" w:rsidRDefault="006E0533">
          <w:pPr>
            <w:pStyle w:val="TOC2"/>
            <w:rPr>
              <w:rFonts w:eastAsiaTheme="minorEastAsia"/>
              <w:noProof/>
              <w:kern w:val="2"/>
              <w:lang w:val="en-US"/>
              <w14:ligatures w14:val="standardContextual"/>
            </w:rPr>
          </w:pPr>
          <w:hyperlink w:anchor="_Toc153545059" w:history="1">
            <w:r w:rsidR="00CE52D4" w:rsidRPr="00034E6E">
              <w:rPr>
                <w:rStyle w:val="Hyperlink"/>
                <w:noProof/>
              </w:rPr>
              <w:t>5.2</w:t>
            </w:r>
            <w:r w:rsidR="00CE52D4">
              <w:rPr>
                <w:rFonts w:eastAsiaTheme="minorEastAsia"/>
                <w:noProof/>
                <w:kern w:val="2"/>
                <w:lang w:val="en-US"/>
                <w14:ligatures w14:val="standardContextual"/>
              </w:rPr>
              <w:tab/>
            </w:r>
            <w:r w:rsidR="00CE52D4" w:rsidRPr="00034E6E">
              <w:rPr>
                <w:rStyle w:val="Hyperlink"/>
                <w:noProof/>
              </w:rPr>
              <w:t>Macroeconomic and, to the extent feasible, the health, environmental, employment and education, skills and social impacts, of the planned policies and measures</w:t>
            </w:r>
            <w:r w:rsidR="00CE52D4">
              <w:rPr>
                <w:noProof/>
                <w:webHidden/>
              </w:rPr>
              <w:tab/>
            </w:r>
            <w:r w:rsidR="00CE52D4">
              <w:rPr>
                <w:noProof/>
                <w:webHidden/>
              </w:rPr>
              <w:fldChar w:fldCharType="begin"/>
            </w:r>
            <w:r w:rsidR="00CE52D4">
              <w:rPr>
                <w:noProof/>
                <w:webHidden/>
              </w:rPr>
              <w:instrText xml:space="preserve"> PAGEREF _Toc153545059 \h </w:instrText>
            </w:r>
            <w:r w:rsidR="00CE52D4">
              <w:rPr>
                <w:noProof/>
                <w:webHidden/>
              </w:rPr>
            </w:r>
            <w:r w:rsidR="00CE52D4">
              <w:rPr>
                <w:noProof/>
                <w:webHidden/>
              </w:rPr>
              <w:fldChar w:fldCharType="separate"/>
            </w:r>
            <w:r w:rsidR="0087794A">
              <w:rPr>
                <w:noProof/>
                <w:webHidden/>
              </w:rPr>
              <w:t>284</w:t>
            </w:r>
            <w:r w:rsidR="00CE52D4">
              <w:rPr>
                <w:noProof/>
                <w:webHidden/>
              </w:rPr>
              <w:fldChar w:fldCharType="end"/>
            </w:r>
          </w:hyperlink>
        </w:p>
        <w:p w14:paraId="45C4B8BA" w14:textId="3BE8F64A" w:rsidR="00CE52D4" w:rsidRDefault="006E0533">
          <w:pPr>
            <w:pStyle w:val="TOC2"/>
            <w:rPr>
              <w:rFonts w:eastAsiaTheme="minorEastAsia"/>
              <w:noProof/>
              <w:kern w:val="2"/>
              <w:lang w:val="en-US"/>
              <w14:ligatures w14:val="standardContextual"/>
            </w:rPr>
          </w:pPr>
          <w:hyperlink w:anchor="_Toc153545060" w:history="1">
            <w:r w:rsidR="00CE52D4" w:rsidRPr="00034E6E">
              <w:rPr>
                <w:rStyle w:val="Hyperlink"/>
                <w:noProof/>
              </w:rPr>
              <w:t>5.3</w:t>
            </w:r>
            <w:r w:rsidR="00CE52D4">
              <w:rPr>
                <w:rFonts w:eastAsiaTheme="minorEastAsia"/>
                <w:noProof/>
                <w:kern w:val="2"/>
                <w:lang w:val="en-US"/>
                <w14:ligatures w14:val="standardContextual"/>
              </w:rPr>
              <w:tab/>
            </w:r>
            <w:r w:rsidR="00CE52D4" w:rsidRPr="00034E6E">
              <w:rPr>
                <w:rStyle w:val="Hyperlink"/>
                <w:noProof/>
              </w:rPr>
              <w:t>Overview of investment needs</w:t>
            </w:r>
            <w:r w:rsidR="00CE52D4">
              <w:rPr>
                <w:noProof/>
                <w:webHidden/>
              </w:rPr>
              <w:tab/>
            </w:r>
            <w:r w:rsidR="00CE52D4">
              <w:rPr>
                <w:noProof/>
                <w:webHidden/>
              </w:rPr>
              <w:fldChar w:fldCharType="begin"/>
            </w:r>
            <w:r w:rsidR="00CE52D4">
              <w:rPr>
                <w:noProof/>
                <w:webHidden/>
              </w:rPr>
              <w:instrText xml:space="preserve"> PAGEREF _Toc153545060 \h </w:instrText>
            </w:r>
            <w:r w:rsidR="00CE52D4">
              <w:rPr>
                <w:noProof/>
                <w:webHidden/>
              </w:rPr>
            </w:r>
            <w:r w:rsidR="00CE52D4">
              <w:rPr>
                <w:noProof/>
                <w:webHidden/>
              </w:rPr>
              <w:fldChar w:fldCharType="separate"/>
            </w:r>
            <w:r w:rsidR="0087794A">
              <w:rPr>
                <w:noProof/>
                <w:webHidden/>
              </w:rPr>
              <w:t>288</w:t>
            </w:r>
            <w:r w:rsidR="00CE52D4">
              <w:rPr>
                <w:noProof/>
                <w:webHidden/>
              </w:rPr>
              <w:fldChar w:fldCharType="end"/>
            </w:r>
          </w:hyperlink>
        </w:p>
        <w:p w14:paraId="26EFA365" w14:textId="444D4862" w:rsidR="00CE52D4" w:rsidRDefault="006E0533">
          <w:pPr>
            <w:pStyle w:val="TOC2"/>
            <w:rPr>
              <w:rFonts w:eastAsiaTheme="minorEastAsia"/>
              <w:noProof/>
              <w:kern w:val="2"/>
              <w:lang w:val="en-US"/>
              <w14:ligatures w14:val="standardContextual"/>
            </w:rPr>
          </w:pPr>
          <w:hyperlink w:anchor="_Toc153545061" w:history="1">
            <w:r w:rsidR="00CE52D4" w:rsidRPr="00034E6E">
              <w:rPr>
                <w:rStyle w:val="Hyperlink"/>
                <w:noProof/>
              </w:rPr>
              <w:t>5.4</w:t>
            </w:r>
            <w:r w:rsidR="00CE52D4">
              <w:rPr>
                <w:rFonts w:eastAsiaTheme="minorEastAsia"/>
                <w:noProof/>
                <w:kern w:val="2"/>
                <w:lang w:val="en-US"/>
                <w14:ligatures w14:val="standardContextual"/>
              </w:rPr>
              <w:tab/>
            </w:r>
            <w:r w:rsidR="00CE52D4" w:rsidRPr="00034E6E">
              <w:rPr>
                <w:rStyle w:val="Hyperlink"/>
                <w:noProof/>
              </w:rPr>
              <w:t>Impacts of planned policies and measures on other Contracting Parties of the Energy Community and Member States of the European Union, and regional cooperation</w:t>
            </w:r>
            <w:r w:rsidR="00CE52D4">
              <w:rPr>
                <w:noProof/>
                <w:webHidden/>
              </w:rPr>
              <w:tab/>
            </w:r>
            <w:r w:rsidR="00CE52D4">
              <w:rPr>
                <w:noProof/>
                <w:webHidden/>
              </w:rPr>
              <w:fldChar w:fldCharType="begin"/>
            </w:r>
            <w:r w:rsidR="00CE52D4">
              <w:rPr>
                <w:noProof/>
                <w:webHidden/>
              </w:rPr>
              <w:instrText xml:space="preserve"> PAGEREF _Toc153545061 \h </w:instrText>
            </w:r>
            <w:r w:rsidR="00CE52D4">
              <w:rPr>
                <w:noProof/>
                <w:webHidden/>
              </w:rPr>
            </w:r>
            <w:r w:rsidR="00CE52D4">
              <w:rPr>
                <w:noProof/>
                <w:webHidden/>
              </w:rPr>
              <w:fldChar w:fldCharType="separate"/>
            </w:r>
            <w:r w:rsidR="0087794A">
              <w:rPr>
                <w:noProof/>
                <w:webHidden/>
              </w:rPr>
              <w:t>294</w:t>
            </w:r>
            <w:r w:rsidR="00CE52D4">
              <w:rPr>
                <w:noProof/>
                <w:webHidden/>
              </w:rPr>
              <w:fldChar w:fldCharType="end"/>
            </w:r>
          </w:hyperlink>
        </w:p>
        <w:p w14:paraId="525C1BC7" w14:textId="00F73D5B" w:rsidR="00CE52D4" w:rsidRDefault="006E0533" w:rsidP="00CE52D4">
          <w:pPr>
            <w:pStyle w:val="TOC1"/>
            <w:rPr>
              <w:rFonts w:eastAsiaTheme="minorEastAsia"/>
              <w:noProof/>
              <w:kern w:val="2"/>
              <w:lang w:val="en-US"/>
              <w14:ligatures w14:val="standardContextual"/>
            </w:rPr>
          </w:pPr>
          <w:hyperlink w:anchor="_Toc153545062" w:history="1">
            <w:r w:rsidR="00CE52D4" w:rsidRPr="00034E6E">
              <w:rPr>
                <w:rStyle w:val="Hyperlink"/>
                <w:noProof/>
              </w:rPr>
              <w:t>I.</w:t>
            </w:r>
            <w:r w:rsidR="00CE52D4">
              <w:rPr>
                <w:rFonts w:eastAsiaTheme="minorEastAsia"/>
                <w:noProof/>
                <w:kern w:val="2"/>
                <w:lang w:val="en-US"/>
                <w14:ligatures w14:val="standardContextual"/>
              </w:rPr>
              <w:tab/>
            </w:r>
            <w:r w:rsidR="00CE52D4" w:rsidRPr="00034E6E">
              <w:rPr>
                <w:rStyle w:val="Hyperlink"/>
                <w:noProof/>
              </w:rPr>
              <w:t>Annex: Summary Table of Measures with implementation cost</w:t>
            </w:r>
            <w:r w:rsidR="00CE52D4">
              <w:rPr>
                <w:noProof/>
                <w:webHidden/>
              </w:rPr>
              <w:tab/>
            </w:r>
            <w:r w:rsidR="00CE52D4">
              <w:rPr>
                <w:noProof/>
                <w:webHidden/>
              </w:rPr>
              <w:fldChar w:fldCharType="begin"/>
            </w:r>
            <w:r w:rsidR="00CE52D4">
              <w:rPr>
                <w:noProof/>
                <w:webHidden/>
              </w:rPr>
              <w:instrText xml:space="preserve"> PAGEREF _Toc153545062 \h </w:instrText>
            </w:r>
            <w:r w:rsidR="00CE52D4">
              <w:rPr>
                <w:noProof/>
                <w:webHidden/>
              </w:rPr>
            </w:r>
            <w:r w:rsidR="00CE52D4">
              <w:rPr>
                <w:noProof/>
                <w:webHidden/>
              </w:rPr>
              <w:fldChar w:fldCharType="separate"/>
            </w:r>
            <w:r w:rsidR="0087794A">
              <w:rPr>
                <w:noProof/>
                <w:webHidden/>
              </w:rPr>
              <w:t>296</w:t>
            </w:r>
            <w:r w:rsidR="00CE52D4">
              <w:rPr>
                <w:noProof/>
                <w:webHidden/>
              </w:rPr>
              <w:fldChar w:fldCharType="end"/>
            </w:r>
          </w:hyperlink>
        </w:p>
        <w:p w14:paraId="32A28313" w14:textId="7985D352" w:rsidR="00CE52D4" w:rsidRDefault="006E0533" w:rsidP="00CE52D4">
          <w:pPr>
            <w:pStyle w:val="TOC1"/>
            <w:rPr>
              <w:rFonts w:eastAsiaTheme="minorEastAsia"/>
              <w:noProof/>
              <w:kern w:val="2"/>
              <w:lang w:val="en-US"/>
              <w14:ligatures w14:val="standardContextual"/>
            </w:rPr>
          </w:pPr>
          <w:hyperlink w:anchor="_Toc153545063" w:history="1">
            <w:r w:rsidR="00CE52D4" w:rsidRPr="00034E6E">
              <w:rPr>
                <w:rStyle w:val="Hyperlink"/>
                <w:noProof/>
              </w:rPr>
              <w:t>II.</w:t>
            </w:r>
            <w:r w:rsidR="00CE52D4">
              <w:rPr>
                <w:rFonts w:eastAsiaTheme="minorEastAsia"/>
                <w:noProof/>
                <w:kern w:val="2"/>
                <w:lang w:val="en-US"/>
                <w14:ligatures w14:val="standardContextual"/>
              </w:rPr>
              <w:tab/>
            </w:r>
            <w:r w:rsidR="00CE52D4" w:rsidRPr="00034E6E">
              <w:rPr>
                <w:rStyle w:val="Hyperlink"/>
                <w:noProof/>
              </w:rPr>
              <w:t>Annex: Detailed analysis of the power system operation</w:t>
            </w:r>
            <w:r w:rsidR="00CE52D4">
              <w:rPr>
                <w:noProof/>
                <w:webHidden/>
              </w:rPr>
              <w:tab/>
            </w:r>
            <w:r w:rsidR="00CE52D4">
              <w:rPr>
                <w:noProof/>
                <w:webHidden/>
              </w:rPr>
              <w:fldChar w:fldCharType="begin"/>
            </w:r>
            <w:r w:rsidR="00CE52D4">
              <w:rPr>
                <w:noProof/>
                <w:webHidden/>
              </w:rPr>
              <w:instrText xml:space="preserve"> PAGEREF _Toc153545063 \h </w:instrText>
            </w:r>
            <w:r w:rsidR="00CE52D4">
              <w:rPr>
                <w:noProof/>
                <w:webHidden/>
              </w:rPr>
            </w:r>
            <w:r w:rsidR="00CE52D4">
              <w:rPr>
                <w:noProof/>
                <w:webHidden/>
              </w:rPr>
              <w:fldChar w:fldCharType="separate"/>
            </w:r>
            <w:r w:rsidR="0087794A">
              <w:rPr>
                <w:noProof/>
                <w:webHidden/>
              </w:rPr>
              <w:t>308</w:t>
            </w:r>
            <w:r w:rsidR="00CE52D4">
              <w:rPr>
                <w:noProof/>
                <w:webHidden/>
              </w:rPr>
              <w:fldChar w:fldCharType="end"/>
            </w:r>
          </w:hyperlink>
        </w:p>
        <w:p w14:paraId="1F8B4B51" w14:textId="278AD461" w:rsidR="00CE52D4" w:rsidRDefault="006E0533" w:rsidP="00CE52D4">
          <w:pPr>
            <w:pStyle w:val="TOC1"/>
            <w:rPr>
              <w:rFonts w:eastAsiaTheme="minorEastAsia"/>
              <w:noProof/>
              <w:kern w:val="2"/>
              <w:lang w:val="en-US"/>
              <w14:ligatures w14:val="standardContextual"/>
            </w:rPr>
          </w:pPr>
          <w:hyperlink w:anchor="_Toc153545064" w:history="1">
            <w:r w:rsidR="00CE52D4" w:rsidRPr="00034E6E">
              <w:rPr>
                <w:rStyle w:val="Hyperlink"/>
                <w:noProof/>
              </w:rPr>
              <w:t>III.</w:t>
            </w:r>
            <w:r w:rsidR="00CE52D4">
              <w:rPr>
                <w:rFonts w:eastAsiaTheme="minorEastAsia"/>
                <w:noProof/>
                <w:kern w:val="2"/>
                <w:lang w:val="en-US"/>
                <w14:ligatures w14:val="standardContextual"/>
              </w:rPr>
              <w:tab/>
            </w:r>
            <w:r w:rsidR="00CE52D4" w:rsidRPr="00034E6E">
              <w:rPr>
                <w:rStyle w:val="Hyperlink"/>
                <w:noProof/>
              </w:rPr>
              <w:t>Annex: QUANTITATIVE ANALYSIS TOOLS</w:t>
            </w:r>
            <w:r w:rsidR="00CE52D4">
              <w:rPr>
                <w:noProof/>
                <w:webHidden/>
              </w:rPr>
              <w:tab/>
            </w:r>
            <w:r w:rsidR="00CE52D4">
              <w:rPr>
                <w:noProof/>
                <w:webHidden/>
              </w:rPr>
              <w:fldChar w:fldCharType="begin"/>
            </w:r>
            <w:r w:rsidR="00CE52D4">
              <w:rPr>
                <w:noProof/>
                <w:webHidden/>
              </w:rPr>
              <w:instrText xml:space="preserve"> PAGEREF _Toc153545064 \h </w:instrText>
            </w:r>
            <w:r w:rsidR="00CE52D4">
              <w:rPr>
                <w:noProof/>
                <w:webHidden/>
              </w:rPr>
            </w:r>
            <w:r w:rsidR="00CE52D4">
              <w:rPr>
                <w:noProof/>
                <w:webHidden/>
              </w:rPr>
              <w:fldChar w:fldCharType="separate"/>
            </w:r>
            <w:r w:rsidR="0087794A">
              <w:rPr>
                <w:noProof/>
                <w:webHidden/>
              </w:rPr>
              <w:t>313</w:t>
            </w:r>
            <w:r w:rsidR="00CE52D4">
              <w:rPr>
                <w:noProof/>
                <w:webHidden/>
              </w:rPr>
              <w:fldChar w:fldCharType="end"/>
            </w:r>
          </w:hyperlink>
        </w:p>
        <w:p w14:paraId="3DD52CFB" w14:textId="7E876FED" w:rsidR="00CE52D4" w:rsidRDefault="006E0533" w:rsidP="00CE52D4">
          <w:pPr>
            <w:pStyle w:val="TOC1"/>
            <w:rPr>
              <w:rFonts w:eastAsiaTheme="minorEastAsia"/>
              <w:noProof/>
              <w:kern w:val="2"/>
              <w:lang w:val="en-US"/>
              <w14:ligatures w14:val="standardContextual"/>
            </w:rPr>
          </w:pPr>
          <w:hyperlink w:anchor="_Toc153545065" w:history="1">
            <w:r w:rsidR="00CE52D4" w:rsidRPr="00034E6E">
              <w:rPr>
                <w:rStyle w:val="Hyperlink"/>
                <w:noProof/>
              </w:rPr>
              <w:t>IV.</w:t>
            </w:r>
            <w:r w:rsidR="00CE52D4">
              <w:rPr>
                <w:rFonts w:eastAsiaTheme="minorEastAsia"/>
                <w:noProof/>
                <w:kern w:val="2"/>
                <w:lang w:val="en-US"/>
                <w14:ligatures w14:val="standardContextual"/>
              </w:rPr>
              <w:tab/>
            </w:r>
            <w:r w:rsidR="00CE52D4" w:rsidRPr="00034E6E">
              <w:rPr>
                <w:rStyle w:val="Hyperlink"/>
                <w:noProof/>
              </w:rPr>
              <w:t>Annex: LIST OF PROJECTS FROM INFRASTRUCTURE PLAN</w:t>
            </w:r>
            <w:r w:rsidR="00CE52D4">
              <w:rPr>
                <w:noProof/>
                <w:webHidden/>
              </w:rPr>
              <w:tab/>
            </w:r>
            <w:r w:rsidR="00CE52D4">
              <w:rPr>
                <w:noProof/>
                <w:webHidden/>
              </w:rPr>
              <w:fldChar w:fldCharType="begin"/>
            </w:r>
            <w:r w:rsidR="00CE52D4">
              <w:rPr>
                <w:noProof/>
                <w:webHidden/>
              </w:rPr>
              <w:instrText xml:space="preserve"> PAGEREF _Toc153545065 \h </w:instrText>
            </w:r>
            <w:r w:rsidR="00CE52D4">
              <w:rPr>
                <w:noProof/>
                <w:webHidden/>
              </w:rPr>
            </w:r>
            <w:r w:rsidR="00CE52D4">
              <w:rPr>
                <w:noProof/>
                <w:webHidden/>
              </w:rPr>
              <w:fldChar w:fldCharType="separate"/>
            </w:r>
            <w:r w:rsidR="0087794A">
              <w:rPr>
                <w:noProof/>
                <w:webHidden/>
              </w:rPr>
              <w:t>321</w:t>
            </w:r>
            <w:r w:rsidR="00CE52D4">
              <w:rPr>
                <w:noProof/>
                <w:webHidden/>
              </w:rPr>
              <w:fldChar w:fldCharType="end"/>
            </w:r>
          </w:hyperlink>
        </w:p>
        <w:p w14:paraId="362B68C2" w14:textId="49E6BAF6" w:rsidR="00CE52D4" w:rsidRDefault="006E0533" w:rsidP="00CE52D4">
          <w:pPr>
            <w:pStyle w:val="TOC1"/>
            <w:rPr>
              <w:rFonts w:eastAsiaTheme="minorEastAsia"/>
              <w:noProof/>
              <w:kern w:val="2"/>
              <w:lang w:val="en-US"/>
              <w14:ligatures w14:val="standardContextual"/>
            </w:rPr>
          </w:pPr>
          <w:hyperlink w:anchor="_Toc153545066" w:history="1">
            <w:r w:rsidR="00CE52D4" w:rsidRPr="00034E6E">
              <w:rPr>
                <w:rStyle w:val="Hyperlink"/>
                <w:noProof/>
              </w:rPr>
              <w:t>V.</w:t>
            </w:r>
            <w:r w:rsidR="00CE52D4">
              <w:rPr>
                <w:rFonts w:eastAsiaTheme="minorEastAsia"/>
                <w:noProof/>
                <w:kern w:val="2"/>
                <w:lang w:val="en-US"/>
                <w14:ligatures w14:val="standardContextual"/>
              </w:rPr>
              <w:tab/>
            </w:r>
            <w:r w:rsidR="00CE52D4" w:rsidRPr="00034E6E">
              <w:rPr>
                <w:rStyle w:val="Hyperlink"/>
                <w:noProof/>
              </w:rPr>
              <w:t>Annex: Detailed tables</w:t>
            </w:r>
            <w:r w:rsidR="00CE52D4">
              <w:rPr>
                <w:noProof/>
                <w:webHidden/>
              </w:rPr>
              <w:tab/>
            </w:r>
            <w:r w:rsidR="00CE52D4">
              <w:rPr>
                <w:noProof/>
                <w:webHidden/>
              </w:rPr>
              <w:fldChar w:fldCharType="begin"/>
            </w:r>
            <w:r w:rsidR="00CE52D4">
              <w:rPr>
                <w:noProof/>
                <w:webHidden/>
              </w:rPr>
              <w:instrText xml:space="preserve"> PAGEREF _Toc153545066 \h </w:instrText>
            </w:r>
            <w:r w:rsidR="00CE52D4">
              <w:rPr>
                <w:noProof/>
                <w:webHidden/>
              </w:rPr>
            </w:r>
            <w:r w:rsidR="00CE52D4">
              <w:rPr>
                <w:noProof/>
                <w:webHidden/>
              </w:rPr>
              <w:fldChar w:fldCharType="separate"/>
            </w:r>
            <w:r w:rsidR="0087794A">
              <w:rPr>
                <w:noProof/>
                <w:webHidden/>
              </w:rPr>
              <w:t>322</w:t>
            </w:r>
            <w:r w:rsidR="00CE52D4">
              <w:rPr>
                <w:noProof/>
                <w:webHidden/>
              </w:rPr>
              <w:fldChar w:fldCharType="end"/>
            </w:r>
          </w:hyperlink>
        </w:p>
        <w:p w14:paraId="1ECF64CB" w14:textId="77777777" w:rsidR="003D1E9A" w:rsidRPr="00A33AE8" w:rsidRDefault="00CD2E1E">
          <w:r w:rsidRPr="00A33AE8">
            <w:fldChar w:fldCharType="end"/>
          </w:r>
        </w:p>
      </w:sdtContent>
    </w:sdt>
    <w:p w14:paraId="155A74B9" w14:textId="77777777" w:rsidR="003D1E9A" w:rsidRPr="00A33AE8" w:rsidRDefault="003D1E9A">
      <w:pPr>
        <w:spacing w:line="259" w:lineRule="auto"/>
        <w:rPr>
          <w:rFonts w:ascii="Calibri Light" w:hAnsi="Calibri Light" w:cs="Calibri Light"/>
          <w:highlight w:val="green"/>
        </w:rPr>
      </w:pPr>
      <w:r w:rsidRPr="00A33AE8">
        <w:rPr>
          <w:rFonts w:ascii="Calibri Light" w:hAnsi="Calibri Light" w:cs="Calibri Light"/>
          <w:highlight w:val="green"/>
        </w:rPr>
        <w:br w:type="page"/>
      </w:r>
    </w:p>
    <w:p w14:paraId="4A3CA0CB" w14:textId="77777777" w:rsidR="00E925CB" w:rsidRPr="00A33AE8" w:rsidRDefault="00931D02" w:rsidP="00A14648">
      <w:pPr>
        <w:pStyle w:val="Heading1"/>
        <w:numPr>
          <w:ilvl w:val="0"/>
          <w:numId w:val="0"/>
        </w:numPr>
        <w:ind w:left="432" w:hanging="432"/>
      </w:pPr>
      <w:bookmarkStart w:id="4" w:name="_Toc79772538"/>
      <w:bookmarkStart w:id="5" w:name="_Toc118991757"/>
      <w:bookmarkStart w:id="6" w:name="_Toc153545027"/>
      <w:r w:rsidRPr="00A33AE8">
        <w:lastRenderedPageBreak/>
        <w:t>ABBREVIATIONS AND ACRONYMS</w:t>
      </w:r>
      <w:bookmarkEnd w:id="4"/>
      <w:bookmarkEnd w:id="5"/>
      <w:bookmarkEnd w:id="6"/>
    </w:p>
    <w:tbl>
      <w:tblPr>
        <w:tblStyle w:val="TableGrid"/>
        <w:tblW w:w="0" w:type="auto"/>
        <w:tblInd w:w="108" w:type="dxa"/>
        <w:tblLook w:val="04A0" w:firstRow="1" w:lastRow="0" w:firstColumn="1" w:lastColumn="0" w:noHBand="0" w:noVBand="1"/>
      </w:tblPr>
      <w:tblGrid>
        <w:gridCol w:w="2155"/>
        <w:gridCol w:w="7343"/>
      </w:tblGrid>
      <w:tr w:rsidR="000A06F7" w:rsidRPr="00A33AE8" w14:paraId="53B9229D" w14:textId="77777777" w:rsidTr="000A06F7">
        <w:tc>
          <w:tcPr>
            <w:tcW w:w="2155" w:type="dxa"/>
          </w:tcPr>
          <w:p w14:paraId="12F15F72" w14:textId="77777777" w:rsidR="000A06F7" w:rsidRPr="00A33AE8" w:rsidRDefault="000A06F7" w:rsidP="00520B7B">
            <w:pPr>
              <w:jc w:val="left"/>
              <w:rPr>
                <w:rFonts w:asciiTheme="majorHAnsi" w:hAnsiTheme="majorHAnsi" w:cstheme="majorHAnsi"/>
                <w:sz w:val="22"/>
                <w:szCs w:val="22"/>
              </w:rPr>
            </w:pPr>
            <w:r w:rsidRPr="00A33AE8">
              <w:rPr>
                <w:rFonts w:asciiTheme="majorHAnsi" w:hAnsiTheme="majorHAnsi" w:cstheme="majorHAnsi"/>
                <w:sz w:val="22"/>
                <w:szCs w:val="22"/>
              </w:rPr>
              <w:t>AERS</w:t>
            </w:r>
          </w:p>
        </w:tc>
        <w:tc>
          <w:tcPr>
            <w:tcW w:w="7343" w:type="dxa"/>
          </w:tcPr>
          <w:p w14:paraId="50E747C5" w14:textId="77777777" w:rsidR="000A06F7" w:rsidRPr="00A33AE8" w:rsidRDefault="000A06F7" w:rsidP="00520B7B">
            <w:pPr>
              <w:rPr>
                <w:rFonts w:asciiTheme="majorHAnsi" w:hAnsiTheme="majorHAnsi" w:cstheme="majorHAnsi"/>
                <w:sz w:val="22"/>
                <w:szCs w:val="22"/>
                <w:lang w:eastAsia="el-GR"/>
              </w:rPr>
            </w:pPr>
            <w:r w:rsidRPr="00A33AE8">
              <w:rPr>
                <w:rFonts w:asciiTheme="majorHAnsi" w:hAnsiTheme="majorHAnsi" w:cstheme="majorHAnsi"/>
                <w:sz w:val="22"/>
                <w:szCs w:val="22"/>
              </w:rPr>
              <w:t>Energy Agency of the Republic of Serbia</w:t>
            </w:r>
          </w:p>
        </w:tc>
      </w:tr>
      <w:tr w:rsidR="000A06F7" w:rsidRPr="00A33AE8" w14:paraId="1EA3BA8C" w14:textId="77777777" w:rsidTr="000A06F7">
        <w:tc>
          <w:tcPr>
            <w:tcW w:w="2155" w:type="dxa"/>
          </w:tcPr>
          <w:p w14:paraId="0071B6E8"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AL</w:t>
            </w:r>
          </w:p>
        </w:tc>
        <w:tc>
          <w:tcPr>
            <w:tcW w:w="7343" w:type="dxa"/>
          </w:tcPr>
          <w:p w14:paraId="25829BE7" w14:textId="77777777" w:rsidR="000A06F7" w:rsidRPr="00A33AE8" w:rsidRDefault="000A06F7" w:rsidP="00520B7B">
            <w:pPr>
              <w:rPr>
                <w:rFonts w:asciiTheme="majorHAnsi" w:hAnsiTheme="majorHAnsi" w:cstheme="majorHAnsi"/>
                <w:sz w:val="22"/>
                <w:szCs w:val="22"/>
                <w:lang w:eastAsia="el-GR"/>
              </w:rPr>
            </w:pPr>
            <w:r w:rsidRPr="00A33AE8">
              <w:rPr>
                <w:rFonts w:asciiTheme="majorHAnsi" w:hAnsiTheme="majorHAnsi" w:cstheme="majorHAnsi"/>
                <w:sz w:val="22"/>
                <w:szCs w:val="22"/>
              </w:rPr>
              <w:t>Albania</w:t>
            </w:r>
          </w:p>
        </w:tc>
      </w:tr>
      <w:tr w:rsidR="002314DD" w:rsidRPr="00A33AE8" w14:paraId="522F1A8E" w14:textId="77777777" w:rsidTr="000A06F7">
        <w:tc>
          <w:tcPr>
            <w:tcW w:w="2155" w:type="dxa"/>
            <w:vAlign w:val="center"/>
          </w:tcPr>
          <w:p w14:paraId="0A3852BC" w14:textId="77777777" w:rsidR="002314DD"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ASEAN</w:t>
            </w:r>
          </w:p>
        </w:tc>
        <w:tc>
          <w:tcPr>
            <w:tcW w:w="7343" w:type="dxa"/>
          </w:tcPr>
          <w:p w14:paraId="2DCAA52A" w14:textId="77777777" w:rsidR="002314DD" w:rsidRPr="00A33AE8" w:rsidRDefault="00F770D9" w:rsidP="00F770D9">
            <w:pPr>
              <w:rPr>
                <w:rFonts w:asciiTheme="majorHAnsi" w:hAnsiTheme="majorHAnsi" w:cstheme="majorHAnsi"/>
                <w:sz w:val="22"/>
                <w:szCs w:val="22"/>
                <w:lang w:eastAsia="el-GR"/>
              </w:rPr>
            </w:pPr>
            <w:r w:rsidRPr="00A33AE8">
              <w:rPr>
                <w:rFonts w:asciiTheme="majorHAnsi" w:hAnsiTheme="majorHAnsi" w:cstheme="majorHAnsi"/>
                <w:sz w:val="22"/>
                <w:szCs w:val="22"/>
                <w:lang w:eastAsia="el-GR"/>
              </w:rPr>
              <w:t>Association of Southeast Asian Nations</w:t>
            </w:r>
          </w:p>
        </w:tc>
      </w:tr>
      <w:tr w:rsidR="000A06F7" w:rsidRPr="00A33AE8" w14:paraId="21326638" w14:textId="77777777" w:rsidTr="000A06F7">
        <w:tc>
          <w:tcPr>
            <w:tcW w:w="2155" w:type="dxa"/>
          </w:tcPr>
          <w:p w14:paraId="741A970E" w14:textId="77777777" w:rsidR="000A06F7" w:rsidRPr="00A33AE8" w:rsidRDefault="000A06F7" w:rsidP="00520B7B">
            <w:pPr>
              <w:pStyle w:val="LDKBullets-main"/>
              <w:numPr>
                <w:ilvl w:val="0"/>
                <w:numId w:val="0"/>
              </w:numPr>
              <w:spacing w:after="120"/>
              <w:ind w:left="360" w:hanging="360"/>
              <w:rPr>
                <w:rFonts w:asciiTheme="majorHAnsi" w:hAnsiTheme="majorHAnsi" w:cstheme="majorHAnsi"/>
                <w:sz w:val="22"/>
                <w:szCs w:val="22"/>
              </w:rPr>
            </w:pPr>
            <w:r w:rsidRPr="00A33AE8">
              <w:rPr>
                <w:rFonts w:asciiTheme="majorHAnsi" w:hAnsiTheme="majorHAnsi" w:cstheme="majorHAnsi"/>
                <w:sz w:val="22"/>
                <w:szCs w:val="22"/>
              </w:rPr>
              <w:t>BA</w:t>
            </w:r>
          </w:p>
        </w:tc>
        <w:tc>
          <w:tcPr>
            <w:tcW w:w="7343" w:type="dxa"/>
          </w:tcPr>
          <w:p w14:paraId="3B21F7F6" w14:textId="77777777" w:rsidR="000A06F7" w:rsidRPr="00A33AE8" w:rsidRDefault="000A06F7" w:rsidP="00520B7B">
            <w:pPr>
              <w:pStyle w:val="LDKBullets-main"/>
              <w:numPr>
                <w:ilvl w:val="0"/>
                <w:numId w:val="0"/>
              </w:numPr>
              <w:spacing w:after="120"/>
              <w:ind w:left="360" w:hanging="360"/>
              <w:rPr>
                <w:rFonts w:asciiTheme="majorHAnsi" w:hAnsiTheme="majorHAnsi" w:cstheme="majorHAnsi"/>
                <w:sz w:val="22"/>
                <w:szCs w:val="22"/>
              </w:rPr>
            </w:pPr>
            <w:r w:rsidRPr="00A33AE8">
              <w:rPr>
                <w:rFonts w:asciiTheme="majorHAnsi" w:hAnsiTheme="majorHAnsi" w:cstheme="majorHAnsi"/>
                <w:sz w:val="22"/>
                <w:szCs w:val="22"/>
              </w:rPr>
              <w:t>Bosnia and Herzegovina</w:t>
            </w:r>
          </w:p>
        </w:tc>
      </w:tr>
      <w:tr w:rsidR="000A06F7" w:rsidRPr="00A33AE8" w14:paraId="735FBE31" w14:textId="77777777" w:rsidTr="000A06F7">
        <w:tc>
          <w:tcPr>
            <w:tcW w:w="2155" w:type="dxa"/>
          </w:tcPr>
          <w:p w14:paraId="2588419F"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BG</w:t>
            </w:r>
          </w:p>
        </w:tc>
        <w:tc>
          <w:tcPr>
            <w:tcW w:w="7343" w:type="dxa"/>
          </w:tcPr>
          <w:p w14:paraId="774A2AFA" w14:textId="77777777" w:rsidR="000A06F7" w:rsidRPr="00A33AE8" w:rsidRDefault="000A06F7" w:rsidP="00520B7B">
            <w:pPr>
              <w:pStyle w:val="LDKBullets-main"/>
              <w:numPr>
                <w:ilvl w:val="0"/>
                <w:numId w:val="0"/>
              </w:numPr>
              <w:spacing w:after="120"/>
              <w:ind w:left="360" w:hanging="360"/>
              <w:rPr>
                <w:rFonts w:asciiTheme="majorHAnsi" w:hAnsiTheme="majorHAnsi" w:cstheme="majorHAnsi"/>
                <w:sz w:val="22"/>
                <w:szCs w:val="22"/>
              </w:rPr>
            </w:pPr>
            <w:r w:rsidRPr="00A33AE8">
              <w:rPr>
                <w:rFonts w:asciiTheme="majorHAnsi" w:hAnsiTheme="majorHAnsi" w:cstheme="majorHAnsi"/>
                <w:sz w:val="22"/>
                <w:szCs w:val="22"/>
              </w:rPr>
              <w:t>Bulgaria</w:t>
            </w:r>
          </w:p>
        </w:tc>
      </w:tr>
      <w:tr w:rsidR="000A06F7" w:rsidRPr="00A33AE8" w14:paraId="0B1F0695" w14:textId="77777777" w:rsidTr="000A06F7">
        <w:tc>
          <w:tcPr>
            <w:tcW w:w="2155" w:type="dxa"/>
          </w:tcPr>
          <w:p w14:paraId="3B1043EE"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BUR</w:t>
            </w:r>
          </w:p>
        </w:tc>
        <w:tc>
          <w:tcPr>
            <w:tcW w:w="7343" w:type="dxa"/>
          </w:tcPr>
          <w:p w14:paraId="7A0ACB1D" w14:textId="77777777" w:rsidR="000A06F7" w:rsidRPr="00A33AE8" w:rsidRDefault="000A06F7" w:rsidP="00520B7B">
            <w:pPr>
              <w:rPr>
                <w:rFonts w:asciiTheme="majorHAnsi" w:hAnsiTheme="majorHAnsi" w:cstheme="majorHAnsi"/>
                <w:sz w:val="22"/>
                <w:szCs w:val="22"/>
                <w:lang w:eastAsia="el-GR"/>
              </w:rPr>
            </w:pPr>
            <w:r w:rsidRPr="00A33AE8">
              <w:rPr>
                <w:rFonts w:asciiTheme="majorHAnsi" w:hAnsiTheme="majorHAnsi" w:cstheme="majorHAnsi"/>
                <w:sz w:val="22"/>
                <w:szCs w:val="22"/>
              </w:rPr>
              <w:t xml:space="preserve">Biennial Update Report </w:t>
            </w:r>
          </w:p>
        </w:tc>
      </w:tr>
      <w:tr w:rsidR="000A06F7" w:rsidRPr="00A33AE8" w14:paraId="2E646FA4" w14:textId="77777777" w:rsidTr="000A06F7">
        <w:tc>
          <w:tcPr>
            <w:tcW w:w="2155" w:type="dxa"/>
          </w:tcPr>
          <w:p w14:paraId="404C3D19"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CACM</w:t>
            </w:r>
          </w:p>
        </w:tc>
        <w:tc>
          <w:tcPr>
            <w:tcW w:w="7343" w:type="dxa"/>
          </w:tcPr>
          <w:p w14:paraId="47D0C00C" w14:textId="77777777" w:rsidR="000A06F7" w:rsidRPr="00A33AE8" w:rsidRDefault="000A06F7" w:rsidP="00520B7B">
            <w:pPr>
              <w:rPr>
                <w:rFonts w:asciiTheme="majorHAnsi" w:hAnsiTheme="majorHAnsi" w:cstheme="majorHAnsi"/>
                <w:sz w:val="22"/>
                <w:szCs w:val="22"/>
                <w:lang w:eastAsia="el-GR"/>
              </w:rPr>
            </w:pPr>
            <w:r w:rsidRPr="00A33AE8">
              <w:rPr>
                <w:rFonts w:asciiTheme="majorHAnsi" w:hAnsiTheme="majorHAnsi" w:cstheme="majorHAnsi"/>
                <w:sz w:val="22"/>
                <w:szCs w:val="22"/>
              </w:rPr>
              <w:t>Capacity Allocation and Congestion Management</w:t>
            </w:r>
          </w:p>
        </w:tc>
      </w:tr>
      <w:tr w:rsidR="000A06F7" w:rsidRPr="00A33AE8" w14:paraId="6D938C24" w14:textId="77777777" w:rsidTr="000A06F7">
        <w:tc>
          <w:tcPr>
            <w:tcW w:w="2155" w:type="dxa"/>
          </w:tcPr>
          <w:p w14:paraId="5E1BB3E7" w14:textId="77777777" w:rsidR="000A06F7" w:rsidRPr="00A33AE8" w:rsidRDefault="000A06F7" w:rsidP="00520B7B">
            <w:pPr>
              <w:pStyle w:val="LDKBullets-main"/>
              <w:numPr>
                <w:ilvl w:val="0"/>
                <w:numId w:val="0"/>
              </w:numPr>
              <w:spacing w:after="120"/>
              <w:ind w:left="360" w:hanging="360"/>
              <w:rPr>
                <w:rFonts w:asciiTheme="majorHAnsi" w:hAnsiTheme="majorHAnsi" w:cstheme="majorHAnsi"/>
                <w:sz w:val="22"/>
                <w:szCs w:val="22"/>
              </w:rPr>
            </w:pPr>
            <w:r w:rsidRPr="00A33AE8">
              <w:rPr>
                <w:rFonts w:asciiTheme="majorHAnsi" w:hAnsiTheme="majorHAnsi" w:cstheme="majorHAnsi"/>
                <w:sz w:val="22"/>
                <w:szCs w:val="22"/>
              </w:rPr>
              <w:t xml:space="preserve">CBAM </w:t>
            </w:r>
          </w:p>
        </w:tc>
        <w:tc>
          <w:tcPr>
            <w:tcW w:w="7343" w:type="dxa"/>
          </w:tcPr>
          <w:p w14:paraId="67D19023" w14:textId="77777777" w:rsidR="000A06F7" w:rsidRPr="00A33AE8" w:rsidRDefault="000A06F7" w:rsidP="00520B7B">
            <w:pPr>
              <w:pStyle w:val="LDKBullets-main"/>
              <w:numPr>
                <w:ilvl w:val="0"/>
                <w:numId w:val="0"/>
              </w:numPr>
              <w:spacing w:after="120"/>
              <w:ind w:left="360" w:hanging="360"/>
              <w:rPr>
                <w:rFonts w:asciiTheme="majorHAnsi" w:hAnsiTheme="majorHAnsi" w:cstheme="majorHAnsi"/>
                <w:sz w:val="22"/>
                <w:szCs w:val="22"/>
              </w:rPr>
            </w:pPr>
            <w:r w:rsidRPr="00A33AE8">
              <w:rPr>
                <w:rFonts w:asciiTheme="majorHAnsi" w:hAnsiTheme="majorHAnsi" w:cstheme="majorHAnsi"/>
                <w:sz w:val="22"/>
                <w:szCs w:val="22"/>
              </w:rPr>
              <w:t>Carbon Border Adjustment Mechanism</w:t>
            </w:r>
          </w:p>
        </w:tc>
      </w:tr>
      <w:tr w:rsidR="000A06F7" w:rsidRPr="00A33AE8" w14:paraId="1762E690" w14:textId="77777777" w:rsidTr="000A06F7">
        <w:tc>
          <w:tcPr>
            <w:tcW w:w="2155" w:type="dxa"/>
          </w:tcPr>
          <w:p w14:paraId="507443D4" w14:textId="77777777" w:rsidR="000A06F7" w:rsidRPr="00A33AE8" w:rsidRDefault="000A06F7" w:rsidP="00520B7B">
            <w:pPr>
              <w:jc w:val="left"/>
              <w:rPr>
                <w:rFonts w:asciiTheme="majorHAnsi" w:hAnsiTheme="majorHAnsi" w:cstheme="majorHAnsi"/>
                <w:sz w:val="22"/>
                <w:szCs w:val="22"/>
              </w:rPr>
            </w:pPr>
            <w:r w:rsidRPr="00A33AE8">
              <w:rPr>
                <w:rFonts w:asciiTheme="majorHAnsi" w:hAnsiTheme="majorHAnsi" w:cstheme="majorHAnsi"/>
                <w:sz w:val="22"/>
                <w:szCs w:val="22"/>
              </w:rPr>
              <w:t xml:space="preserve">CCGT </w:t>
            </w:r>
          </w:p>
        </w:tc>
        <w:tc>
          <w:tcPr>
            <w:tcW w:w="7343" w:type="dxa"/>
          </w:tcPr>
          <w:p w14:paraId="175AF482" w14:textId="77777777" w:rsidR="000A06F7" w:rsidRPr="00A33AE8" w:rsidRDefault="000A06F7" w:rsidP="00520B7B">
            <w:pPr>
              <w:rPr>
                <w:rFonts w:asciiTheme="majorHAnsi" w:hAnsiTheme="majorHAnsi" w:cstheme="majorHAnsi"/>
                <w:sz w:val="22"/>
                <w:szCs w:val="22"/>
                <w:lang w:eastAsia="el-GR"/>
              </w:rPr>
            </w:pPr>
            <w:r w:rsidRPr="00A33AE8">
              <w:rPr>
                <w:rFonts w:asciiTheme="majorHAnsi" w:hAnsiTheme="majorHAnsi" w:cstheme="majorHAnsi"/>
                <w:sz w:val="22"/>
                <w:szCs w:val="22"/>
              </w:rPr>
              <w:t>Combined cycle power plant</w:t>
            </w:r>
          </w:p>
        </w:tc>
      </w:tr>
      <w:tr w:rsidR="000A06F7" w:rsidRPr="00A33AE8" w14:paraId="0412FEDA" w14:textId="77777777" w:rsidTr="000A06F7">
        <w:tc>
          <w:tcPr>
            <w:tcW w:w="2155" w:type="dxa"/>
          </w:tcPr>
          <w:p w14:paraId="4833D2CA" w14:textId="77777777" w:rsidR="000A06F7" w:rsidRPr="00A33AE8" w:rsidRDefault="000A06F7" w:rsidP="00520B7B">
            <w:pPr>
              <w:jc w:val="left"/>
              <w:rPr>
                <w:rFonts w:asciiTheme="majorHAnsi" w:hAnsiTheme="majorHAnsi" w:cstheme="majorHAnsi"/>
                <w:sz w:val="22"/>
                <w:szCs w:val="22"/>
              </w:rPr>
            </w:pPr>
            <w:r w:rsidRPr="00A33AE8">
              <w:rPr>
                <w:rFonts w:asciiTheme="majorHAnsi" w:hAnsiTheme="majorHAnsi" w:cstheme="majorHAnsi"/>
                <w:sz w:val="22"/>
                <w:szCs w:val="22"/>
              </w:rPr>
              <w:t>CCUS</w:t>
            </w:r>
          </w:p>
        </w:tc>
        <w:tc>
          <w:tcPr>
            <w:tcW w:w="7343" w:type="dxa"/>
          </w:tcPr>
          <w:p w14:paraId="072A7D3B" w14:textId="77777777" w:rsidR="000A06F7" w:rsidRPr="00A33AE8" w:rsidRDefault="007707DF" w:rsidP="00520B7B">
            <w:pPr>
              <w:jc w:val="left"/>
              <w:rPr>
                <w:rFonts w:asciiTheme="majorHAnsi" w:hAnsiTheme="majorHAnsi" w:cstheme="majorHAnsi"/>
                <w:sz w:val="22"/>
                <w:szCs w:val="22"/>
              </w:rPr>
            </w:pPr>
            <w:r w:rsidRPr="00A33AE8">
              <w:rPr>
                <w:rFonts w:asciiTheme="majorHAnsi" w:hAnsiTheme="majorHAnsi" w:cstheme="majorHAnsi"/>
                <w:sz w:val="22"/>
                <w:szCs w:val="22"/>
              </w:rPr>
              <w:t>C</w:t>
            </w:r>
            <w:r w:rsidR="000A06F7" w:rsidRPr="00A33AE8">
              <w:rPr>
                <w:rFonts w:asciiTheme="majorHAnsi" w:hAnsiTheme="majorHAnsi" w:cstheme="majorHAnsi"/>
                <w:sz w:val="22"/>
                <w:szCs w:val="22"/>
              </w:rPr>
              <w:t>arbon capture, storage and utilisation</w:t>
            </w:r>
          </w:p>
        </w:tc>
      </w:tr>
      <w:tr w:rsidR="000A06F7" w:rsidRPr="00A33AE8" w14:paraId="0FAAC4C2" w14:textId="77777777" w:rsidTr="000A06F7">
        <w:tc>
          <w:tcPr>
            <w:tcW w:w="2155" w:type="dxa"/>
          </w:tcPr>
          <w:p w14:paraId="67C7B06F"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CEKOR</w:t>
            </w:r>
          </w:p>
        </w:tc>
        <w:tc>
          <w:tcPr>
            <w:tcW w:w="7343" w:type="dxa"/>
          </w:tcPr>
          <w:p w14:paraId="72C877D9"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 xml:space="preserve">Center for ecology and sustainable development </w:t>
            </w:r>
          </w:p>
        </w:tc>
      </w:tr>
      <w:tr w:rsidR="000A06F7" w:rsidRPr="00A33AE8" w14:paraId="6A499454" w14:textId="77777777" w:rsidTr="000A06F7">
        <w:tc>
          <w:tcPr>
            <w:tcW w:w="2155" w:type="dxa"/>
          </w:tcPr>
          <w:p w14:paraId="254B02F2"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COP21</w:t>
            </w:r>
          </w:p>
        </w:tc>
        <w:tc>
          <w:tcPr>
            <w:tcW w:w="7343" w:type="dxa"/>
          </w:tcPr>
          <w:p w14:paraId="49BCC7CB"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 xml:space="preserve">Paris climate conference </w:t>
            </w:r>
          </w:p>
        </w:tc>
      </w:tr>
      <w:tr w:rsidR="000A06F7" w:rsidRPr="00A33AE8" w14:paraId="3B1BE8AB" w14:textId="77777777" w:rsidTr="000A06F7">
        <w:tc>
          <w:tcPr>
            <w:tcW w:w="2155" w:type="dxa"/>
          </w:tcPr>
          <w:p w14:paraId="23CC55B3"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CP</w:t>
            </w:r>
          </w:p>
        </w:tc>
        <w:tc>
          <w:tcPr>
            <w:tcW w:w="7343" w:type="dxa"/>
          </w:tcPr>
          <w:p w14:paraId="71007F2E"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sz w:val="22"/>
                <w:szCs w:val="22"/>
              </w:rPr>
              <w:t>Contracting Party</w:t>
            </w:r>
          </w:p>
        </w:tc>
      </w:tr>
      <w:tr w:rsidR="000A06F7" w:rsidRPr="00A33AE8" w14:paraId="5F046266" w14:textId="77777777" w:rsidTr="000A06F7">
        <w:tc>
          <w:tcPr>
            <w:tcW w:w="2155" w:type="dxa"/>
            <w:vAlign w:val="bottom"/>
          </w:tcPr>
          <w:p w14:paraId="38B9C3C2"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DSO</w:t>
            </w:r>
          </w:p>
        </w:tc>
        <w:tc>
          <w:tcPr>
            <w:tcW w:w="7343" w:type="dxa"/>
            <w:vAlign w:val="bottom"/>
          </w:tcPr>
          <w:p w14:paraId="4997C8EF"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Distributed System Operator</w:t>
            </w:r>
          </w:p>
        </w:tc>
      </w:tr>
      <w:tr w:rsidR="000A06F7" w:rsidRPr="00A33AE8" w14:paraId="608F7380" w14:textId="77777777" w:rsidTr="000A06F7">
        <w:tc>
          <w:tcPr>
            <w:tcW w:w="2155" w:type="dxa"/>
            <w:vAlign w:val="bottom"/>
          </w:tcPr>
          <w:p w14:paraId="463FBA45"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EBRD</w:t>
            </w:r>
          </w:p>
        </w:tc>
        <w:tc>
          <w:tcPr>
            <w:tcW w:w="7343" w:type="dxa"/>
            <w:vAlign w:val="bottom"/>
          </w:tcPr>
          <w:p w14:paraId="15D9D364"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European Bank for Reconstruction and Development </w:t>
            </w:r>
          </w:p>
        </w:tc>
      </w:tr>
      <w:tr w:rsidR="000A06F7" w:rsidRPr="00A33AE8" w14:paraId="57C0DB48" w14:textId="77777777" w:rsidTr="000A06F7">
        <w:tc>
          <w:tcPr>
            <w:tcW w:w="2155" w:type="dxa"/>
            <w:vAlign w:val="bottom"/>
          </w:tcPr>
          <w:p w14:paraId="7A4EDCF9"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EE</w:t>
            </w:r>
          </w:p>
        </w:tc>
        <w:tc>
          <w:tcPr>
            <w:tcW w:w="7343" w:type="dxa"/>
            <w:vAlign w:val="bottom"/>
          </w:tcPr>
          <w:p w14:paraId="3E8036BE"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Energy Efficiency</w:t>
            </w:r>
          </w:p>
        </w:tc>
      </w:tr>
      <w:tr w:rsidR="000A06F7" w:rsidRPr="00A33AE8" w14:paraId="756B5D84" w14:textId="77777777" w:rsidTr="000A06F7">
        <w:tc>
          <w:tcPr>
            <w:tcW w:w="2155" w:type="dxa"/>
            <w:vAlign w:val="bottom"/>
          </w:tcPr>
          <w:p w14:paraId="1CA94535"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EEFIG</w:t>
            </w:r>
          </w:p>
        </w:tc>
        <w:tc>
          <w:tcPr>
            <w:tcW w:w="7343" w:type="dxa"/>
            <w:vAlign w:val="bottom"/>
          </w:tcPr>
          <w:p w14:paraId="24D0B2E2"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Energy Efficiency Financial Institutions Group </w:t>
            </w:r>
          </w:p>
        </w:tc>
      </w:tr>
      <w:tr w:rsidR="000A06F7" w:rsidRPr="00A33AE8" w14:paraId="48D9D137" w14:textId="77777777" w:rsidTr="000A06F7">
        <w:tc>
          <w:tcPr>
            <w:tcW w:w="2155" w:type="dxa"/>
            <w:vAlign w:val="bottom"/>
          </w:tcPr>
          <w:p w14:paraId="32EF93DB"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EnC </w:t>
            </w:r>
          </w:p>
        </w:tc>
        <w:tc>
          <w:tcPr>
            <w:tcW w:w="7343" w:type="dxa"/>
            <w:vAlign w:val="bottom"/>
          </w:tcPr>
          <w:p w14:paraId="2C07F8A0"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Energy Community</w:t>
            </w:r>
          </w:p>
        </w:tc>
      </w:tr>
      <w:tr w:rsidR="000A06F7" w:rsidRPr="00A33AE8" w14:paraId="79F0F709" w14:textId="77777777" w:rsidTr="000A06F7">
        <w:tc>
          <w:tcPr>
            <w:tcW w:w="2155" w:type="dxa"/>
            <w:vAlign w:val="bottom"/>
          </w:tcPr>
          <w:p w14:paraId="673C0292"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ENTSO-E</w:t>
            </w:r>
          </w:p>
        </w:tc>
        <w:tc>
          <w:tcPr>
            <w:tcW w:w="7343" w:type="dxa"/>
            <w:vAlign w:val="bottom"/>
          </w:tcPr>
          <w:p w14:paraId="043B81D8"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European Network of Transmission System Operators for Electricity </w:t>
            </w:r>
          </w:p>
        </w:tc>
      </w:tr>
      <w:tr w:rsidR="000A06F7" w:rsidRPr="00A33AE8" w14:paraId="203C8BF8" w14:textId="77777777" w:rsidTr="000A06F7">
        <w:tc>
          <w:tcPr>
            <w:tcW w:w="2155" w:type="dxa"/>
            <w:vAlign w:val="bottom"/>
          </w:tcPr>
          <w:p w14:paraId="2C41FD9F"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ENTSOG </w:t>
            </w:r>
          </w:p>
        </w:tc>
        <w:tc>
          <w:tcPr>
            <w:tcW w:w="7343" w:type="dxa"/>
            <w:vAlign w:val="bottom"/>
          </w:tcPr>
          <w:p w14:paraId="7AAB7F38"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European Network of Transmission System Operators for Gas</w:t>
            </w:r>
          </w:p>
        </w:tc>
      </w:tr>
      <w:tr w:rsidR="000A06F7" w:rsidRPr="00A33AE8" w14:paraId="28C89115" w14:textId="77777777" w:rsidTr="000A06F7">
        <w:tc>
          <w:tcPr>
            <w:tcW w:w="2155" w:type="dxa"/>
            <w:vAlign w:val="bottom"/>
          </w:tcPr>
          <w:p w14:paraId="4DD2700D"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EPEX SPOT</w:t>
            </w:r>
          </w:p>
        </w:tc>
        <w:tc>
          <w:tcPr>
            <w:tcW w:w="7343" w:type="dxa"/>
            <w:vAlign w:val="bottom"/>
          </w:tcPr>
          <w:p w14:paraId="1D217D17"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European Power Exchange </w:t>
            </w:r>
          </w:p>
        </w:tc>
      </w:tr>
      <w:tr w:rsidR="00E84B7D" w:rsidRPr="00A33AE8" w14:paraId="6A2ED3D7" w14:textId="77777777" w:rsidTr="000A06F7">
        <w:tc>
          <w:tcPr>
            <w:tcW w:w="2155" w:type="dxa"/>
            <w:vAlign w:val="bottom"/>
          </w:tcPr>
          <w:p w14:paraId="31728F2C" w14:textId="77777777" w:rsidR="00E84B7D" w:rsidRPr="00A33AE8" w:rsidRDefault="00E84B7D" w:rsidP="00520B7B">
            <w:pPr>
              <w:rPr>
                <w:rFonts w:asciiTheme="majorHAnsi" w:hAnsiTheme="majorHAnsi" w:cstheme="majorHAnsi"/>
                <w:color w:val="000000"/>
              </w:rPr>
            </w:pPr>
            <w:r w:rsidRPr="00A33AE8">
              <w:rPr>
                <w:rFonts w:asciiTheme="majorHAnsi" w:hAnsiTheme="majorHAnsi" w:cstheme="majorHAnsi"/>
                <w:color w:val="000000"/>
              </w:rPr>
              <w:t>EMS</w:t>
            </w:r>
          </w:p>
        </w:tc>
        <w:tc>
          <w:tcPr>
            <w:tcW w:w="7343" w:type="dxa"/>
            <w:vAlign w:val="bottom"/>
          </w:tcPr>
          <w:p w14:paraId="12EB5BD6" w14:textId="77777777" w:rsidR="00E84B7D" w:rsidRPr="00A33AE8" w:rsidRDefault="00E84B7D" w:rsidP="00520B7B">
            <w:pPr>
              <w:rPr>
                <w:rFonts w:asciiTheme="majorHAnsi" w:hAnsiTheme="majorHAnsi" w:cstheme="majorHAnsi"/>
                <w:color w:val="000000"/>
              </w:rPr>
            </w:pPr>
            <w:r w:rsidRPr="00A33AE8">
              <w:rPr>
                <w:rFonts w:asciiTheme="majorHAnsi" w:hAnsiTheme="majorHAnsi" w:cstheme="majorHAnsi"/>
                <w:bCs/>
              </w:rPr>
              <w:t>“Elektromreža Srbije“</w:t>
            </w:r>
          </w:p>
        </w:tc>
      </w:tr>
      <w:tr w:rsidR="000A06F7" w:rsidRPr="00A33AE8" w14:paraId="788D8FAD" w14:textId="77777777" w:rsidTr="000A06F7">
        <w:tc>
          <w:tcPr>
            <w:tcW w:w="2155" w:type="dxa"/>
            <w:vAlign w:val="bottom"/>
          </w:tcPr>
          <w:p w14:paraId="2181DAAA"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EPS</w:t>
            </w:r>
          </w:p>
        </w:tc>
        <w:tc>
          <w:tcPr>
            <w:tcW w:w="7343" w:type="dxa"/>
            <w:vAlign w:val="bottom"/>
          </w:tcPr>
          <w:p w14:paraId="0DAE7365" w14:textId="77777777" w:rsidR="000A06F7" w:rsidRPr="00A33AE8" w:rsidRDefault="00E84B7D" w:rsidP="00520B7B">
            <w:pPr>
              <w:jc w:val="left"/>
              <w:rPr>
                <w:rFonts w:asciiTheme="majorHAnsi" w:hAnsiTheme="majorHAnsi" w:cstheme="majorHAnsi"/>
                <w:sz w:val="22"/>
                <w:szCs w:val="22"/>
              </w:rPr>
            </w:pPr>
            <w:r w:rsidRPr="00A33AE8">
              <w:rPr>
                <w:rFonts w:asciiTheme="majorHAnsi" w:hAnsiTheme="majorHAnsi" w:cstheme="majorHAnsi"/>
                <w:color w:val="000000"/>
                <w:sz w:val="22"/>
                <w:szCs w:val="22"/>
              </w:rPr>
              <w:t>”</w:t>
            </w:r>
            <w:r w:rsidR="000A06F7" w:rsidRPr="00A33AE8">
              <w:rPr>
                <w:rFonts w:asciiTheme="majorHAnsi" w:hAnsiTheme="majorHAnsi" w:cstheme="majorHAnsi"/>
                <w:color w:val="000000"/>
                <w:sz w:val="22"/>
                <w:szCs w:val="22"/>
              </w:rPr>
              <w:t>Elektroprivreda Srbije”</w:t>
            </w:r>
          </w:p>
        </w:tc>
      </w:tr>
      <w:tr w:rsidR="000A06F7" w:rsidRPr="00A33AE8" w14:paraId="108940B0" w14:textId="77777777" w:rsidTr="005F342E">
        <w:tc>
          <w:tcPr>
            <w:tcW w:w="2155" w:type="dxa"/>
            <w:vAlign w:val="bottom"/>
          </w:tcPr>
          <w:p w14:paraId="69CDE392"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ESCO </w:t>
            </w:r>
          </w:p>
        </w:tc>
        <w:tc>
          <w:tcPr>
            <w:tcW w:w="7343" w:type="dxa"/>
            <w:vAlign w:val="bottom"/>
          </w:tcPr>
          <w:p w14:paraId="1AA03E78"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Energy Service Companies</w:t>
            </w:r>
          </w:p>
        </w:tc>
      </w:tr>
      <w:tr w:rsidR="000A06F7" w:rsidRPr="00A33AE8" w14:paraId="6F5BE461" w14:textId="77777777" w:rsidTr="005F342E">
        <w:tc>
          <w:tcPr>
            <w:tcW w:w="2155" w:type="dxa"/>
            <w:vAlign w:val="bottom"/>
          </w:tcPr>
          <w:p w14:paraId="7C835129"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ETS </w:t>
            </w:r>
          </w:p>
        </w:tc>
        <w:tc>
          <w:tcPr>
            <w:tcW w:w="7343" w:type="dxa"/>
            <w:vAlign w:val="bottom"/>
          </w:tcPr>
          <w:p w14:paraId="54CD9F0F"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Emissions Trading System</w:t>
            </w:r>
          </w:p>
        </w:tc>
      </w:tr>
      <w:tr w:rsidR="000A06F7" w:rsidRPr="00A33AE8" w14:paraId="3447EEB0" w14:textId="77777777" w:rsidTr="005F342E">
        <w:tc>
          <w:tcPr>
            <w:tcW w:w="2155" w:type="dxa"/>
            <w:vAlign w:val="bottom"/>
          </w:tcPr>
          <w:p w14:paraId="33554697"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 xml:space="preserve">EU </w:t>
            </w:r>
          </w:p>
        </w:tc>
        <w:tc>
          <w:tcPr>
            <w:tcW w:w="7343" w:type="dxa"/>
            <w:vAlign w:val="bottom"/>
          </w:tcPr>
          <w:p w14:paraId="6981D151" w14:textId="77777777" w:rsidR="000A06F7" w:rsidRPr="00A33AE8" w:rsidRDefault="000A06F7" w:rsidP="00520B7B">
            <w:pPr>
              <w:rPr>
                <w:rFonts w:asciiTheme="majorHAnsi" w:hAnsiTheme="majorHAnsi" w:cstheme="majorHAnsi"/>
                <w:sz w:val="22"/>
                <w:szCs w:val="22"/>
              </w:rPr>
            </w:pPr>
            <w:r w:rsidRPr="00A33AE8">
              <w:rPr>
                <w:rFonts w:asciiTheme="majorHAnsi" w:hAnsiTheme="majorHAnsi" w:cstheme="majorHAnsi"/>
                <w:color w:val="000000"/>
                <w:sz w:val="22"/>
                <w:szCs w:val="22"/>
              </w:rPr>
              <w:t>European Union</w:t>
            </w:r>
          </w:p>
        </w:tc>
      </w:tr>
      <w:tr w:rsidR="000A06F7" w:rsidRPr="00A33AE8" w14:paraId="133C6AE5" w14:textId="77777777" w:rsidTr="005F342E">
        <w:tc>
          <w:tcPr>
            <w:tcW w:w="2155" w:type="dxa"/>
            <w:vAlign w:val="bottom"/>
          </w:tcPr>
          <w:p w14:paraId="469C9CBF"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GDP</w:t>
            </w:r>
          </w:p>
        </w:tc>
        <w:tc>
          <w:tcPr>
            <w:tcW w:w="7343" w:type="dxa"/>
            <w:vAlign w:val="bottom"/>
          </w:tcPr>
          <w:p w14:paraId="013617D1"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Gross Domestic Product</w:t>
            </w:r>
          </w:p>
        </w:tc>
      </w:tr>
      <w:tr w:rsidR="000A06F7" w:rsidRPr="00A33AE8" w14:paraId="7A05AE25" w14:textId="77777777" w:rsidTr="005F342E">
        <w:tc>
          <w:tcPr>
            <w:tcW w:w="2155" w:type="dxa"/>
            <w:vAlign w:val="bottom"/>
          </w:tcPr>
          <w:p w14:paraId="0FDD8EFD"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GFEC</w:t>
            </w:r>
          </w:p>
        </w:tc>
        <w:tc>
          <w:tcPr>
            <w:tcW w:w="7343" w:type="dxa"/>
            <w:vAlign w:val="bottom"/>
          </w:tcPr>
          <w:p w14:paraId="41C33CF1"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Gross Final Energy Consumption </w:t>
            </w:r>
          </w:p>
        </w:tc>
      </w:tr>
      <w:tr w:rsidR="000A06F7" w:rsidRPr="00A33AE8" w14:paraId="5636261F" w14:textId="77777777" w:rsidTr="005F342E">
        <w:tc>
          <w:tcPr>
            <w:tcW w:w="2155" w:type="dxa"/>
            <w:vAlign w:val="bottom"/>
          </w:tcPr>
          <w:p w14:paraId="46F6B9A0"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GHG </w:t>
            </w:r>
          </w:p>
        </w:tc>
        <w:tc>
          <w:tcPr>
            <w:tcW w:w="7343" w:type="dxa"/>
            <w:vAlign w:val="bottom"/>
          </w:tcPr>
          <w:p w14:paraId="023C1675"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Greenhouse Gas </w:t>
            </w:r>
          </w:p>
        </w:tc>
      </w:tr>
      <w:tr w:rsidR="000A06F7" w:rsidRPr="00A33AE8" w14:paraId="09DCE825" w14:textId="77777777" w:rsidTr="005F342E">
        <w:tc>
          <w:tcPr>
            <w:tcW w:w="2155" w:type="dxa"/>
            <w:vAlign w:val="bottom"/>
          </w:tcPr>
          <w:p w14:paraId="76616620"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GVA</w:t>
            </w:r>
          </w:p>
        </w:tc>
        <w:tc>
          <w:tcPr>
            <w:tcW w:w="7343" w:type="dxa"/>
            <w:vAlign w:val="bottom"/>
          </w:tcPr>
          <w:p w14:paraId="1197DBEE"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Gross Value Added </w:t>
            </w:r>
          </w:p>
        </w:tc>
      </w:tr>
      <w:tr w:rsidR="000A06F7" w:rsidRPr="00A33AE8" w14:paraId="57554F62" w14:textId="77777777" w:rsidTr="005F342E">
        <w:tc>
          <w:tcPr>
            <w:tcW w:w="2155" w:type="dxa"/>
            <w:vAlign w:val="bottom"/>
          </w:tcPr>
          <w:p w14:paraId="7AC28D2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GWP</w:t>
            </w:r>
          </w:p>
        </w:tc>
        <w:tc>
          <w:tcPr>
            <w:tcW w:w="7343" w:type="dxa"/>
            <w:vAlign w:val="bottom"/>
          </w:tcPr>
          <w:p w14:paraId="14AD4C50" w14:textId="77777777" w:rsidR="000A06F7" w:rsidRPr="00A33AE8" w:rsidRDefault="007707DF"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G</w:t>
            </w:r>
            <w:r w:rsidR="000A06F7" w:rsidRPr="00A33AE8">
              <w:rPr>
                <w:rFonts w:asciiTheme="majorHAnsi" w:hAnsiTheme="majorHAnsi" w:cstheme="majorHAnsi"/>
                <w:color w:val="000000"/>
                <w:sz w:val="22"/>
                <w:szCs w:val="22"/>
              </w:rPr>
              <w:t xml:space="preserve">lobal warming potential </w:t>
            </w:r>
          </w:p>
        </w:tc>
      </w:tr>
      <w:tr w:rsidR="000A06F7" w:rsidRPr="00A33AE8" w14:paraId="39B57214" w14:textId="77777777" w:rsidTr="005F342E">
        <w:tc>
          <w:tcPr>
            <w:tcW w:w="2155" w:type="dxa"/>
            <w:vAlign w:val="bottom"/>
          </w:tcPr>
          <w:p w14:paraId="7ED356E3"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HR</w:t>
            </w:r>
          </w:p>
        </w:tc>
        <w:tc>
          <w:tcPr>
            <w:tcW w:w="7343" w:type="dxa"/>
            <w:vAlign w:val="bottom"/>
          </w:tcPr>
          <w:p w14:paraId="0CB93F13"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Croatia</w:t>
            </w:r>
          </w:p>
        </w:tc>
      </w:tr>
      <w:tr w:rsidR="000A06F7" w:rsidRPr="00A33AE8" w14:paraId="056A77CD" w14:textId="77777777" w:rsidTr="005F342E">
        <w:tc>
          <w:tcPr>
            <w:tcW w:w="2155" w:type="dxa"/>
            <w:vAlign w:val="bottom"/>
          </w:tcPr>
          <w:p w14:paraId="00E6294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lastRenderedPageBreak/>
              <w:t>IAEA</w:t>
            </w:r>
          </w:p>
        </w:tc>
        <w:tc>
          <w:tcPr>
            <w:tcW w:w="7343" w:type="dxa"/>
            <w:vAlign w:val="bottom"/>
          </w:tcPr>
          <w:p w14:paraId="18C9811A"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International Atomic Energy Agency </w:t>
            </w:r>
          </w:p>
        </w:tc>
      </w:tr>
      <w:tr w:rsidR="000A06F7" w:rsidRPr="00A33AE8" w14:paraId="50923C75" w14:textId="77777777" w:rsidTr="005F342E">
        <w:tc>
          <w:tcPr>
            <w:tcW w:w="2155" w:type="dxa"/>
            <w:vAlign w:val="bottom"/>
          </w:tcPr>
          <w:p w14:paraId="608298AC"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ICT </w:t>
            </w:r>
          </w:p>
        </w:tc>
        <w:tc>
          <w:tcPr>
            <w:tcW w:w="7343" w:type="dxa"/>
            <w:vAlign w:val="bottom"/>
          </w:tcPr>
          <w:p w14:paraId="0D27F297"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Information and Communication Technology</w:t>
            </w:r>
          </w:p>
        </w:tc>
      </w:tr>
      <w:tr w:rsidR="000A06F7" w:rsidRPr="00A33AE8" w14:paraId="33560631" w14:textId="77777777" w:rsidTr="005F342E">
        <w:tc>
          <w:tcPr>
            <w:tcW w:w="2155" w:type="dxa"/>
            <w:vAlign w:val="bottom"/>
          </w:tcPr>
          <w:p w14:paraId="152637C9"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IFI</w:t>
            </w:r>
          </w:p>
        </w:tc>
        <w:tc>
          <w:tcPr>
            <w:tcW w:w="7343" w:type="dxa"/>
            <w:vAlign w:val="bottom"/>
          </w:tcPr>
          <w:p w14:paraId="7636E758"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International Financing Institution</w:t>
            </w:r>
          </w:p>
        </w:tc>
      </w:tr>
      <w:tr w:rsidR="000A06F7" w:rsidRPr="00A33AE8" w14:paraId="6428D493" w14:textId="77777777" w:rsidTr="005F342E">
        <w:tc>
          <w:tcPr>
            <w:tcW w:w="2155" w:type="dxa"/>
            <w:vAlign w:val="bottom"/>
          </w:tcPr>
          <w:p w14:paraId="06385CF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INDC</w:t>
            </w:r>
          </w:p>
        </w:tc>
        <w:tc>
          <w:tcPr>
            <w:tcW w:w="7343" w:type="dxa"/>
            <w:vAlign w:val="bottom"/>
          </w:tcPr>
          <w:p w14:paraId="3B526CE8" w14:textId="77777777" w:rsidR="000A06F7" w:rsidRPr="00A33AE8" w:rsidRDefault="000A06F7" w:rsidP="00520B7B">
            <w:pPr>
              <w:spacing w:line="240" w:lineRule="auto"/>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Intended National Determined Contribution </w:t>
            </w:r>
          </w:p>
        </w:tc>
      </w:tr>
      <w:tr w:rsidR="000A06F7" w:rsidRPr="00A33AE8" w14:paraId="7CDF8733" w14:textId="77777777" w:rsidTr="005F342E">
        <w:tc>
          <w:tcPr>
            <w:tcW w:w="2155" w:type="dxa"/>
            <w:vAlign w:val="bottom"/>
          </w:tcPr>
          <w:p w14:paraId="0D6FF28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JCR</w:t>
            </w:r>
          </w:p>
        </w:tc>
        <w:tc>
          <w:tcPr>
            <w:tcW w:w="7343" w:type="dxa"/>
            <w:vAlign w:val="bottom"/>
          </w:tcPr>
          <w:p w14:paraId="1AB7164F"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Joint Research Center </w:t>
            </w:r>
          </w:p>
        </w:tc>
      </w:tr>
      <w:tr w:rsidR="000A06F7" w:rsidRPr="00A33AE8" w14:paraId="1727D9B7" w14:textId="77777777" w:rsidTr="005F342E">
        <w:tc>
          <w:tcPr>
            <w:tcW w:w="2155" w:type="dxa"/>
            <w:vAlign w:val="bottom"/>
          </w:tcPr>
          <w:p w14:paraId="265299B4"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JSC </w:t>
            </w:r>
          </w:p>
        </w:tc>
        <w:tc>
          <w:tcPr>
            <w:tcW w:w="7343" w:type="dxa"/>
            <w:vAlign w:val="bottom"/>
          </w:tcPr>
          <w:p w14:paraId="49DF50B4"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Joint Stock Company</w:t>
            </w:r>
          </w:p>
        </w:tc>
      </w:tr>
      <w:tr w:rsidR="000A06F7" w:rsidRPr="00A33AE8" w14:paraId="5E3FFA26" w14:textId="77777777" w:rsidTr="005F342E">
        <w:tc>
          <w:tcPr>
            <w:tcW w:w="2155" w:type="dxa"/>
            <w:vAlign w:val="bottom"/>
          </w:tcPr>
          <w:p w14:paraId="6ED81087"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LDV</w:t>
            </w:r>
          </w:p>
        </w:tc>
        <w:tc>
          <w:tcPr>
            <w:tcW w:w="7343" w:type="dxa"/>
            <w:vAlign w:val="bottom"/>
          </w:tcPr>
          <w:p w14:paraId="71FEFD15" w14:textId="77777777" w:rsidR="000A06F7" w:rsidRPr="00A33AE8" w:rsidRDefault="003C2C2A"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Light Duty Vehicle</w:t>
            </w:r>
          </w:p>
        </w:tc>
      </w:tr>
      <w:tr w:rsidR="000A06F7" w:rsidRPr="00A33AE8" w14:paraId="4E92DFB0" w14:textId="77777777" w:rsidTr="005F342E">
        <w:tc>
          <w:tcPr>
            <w:tcW w:w="2155" w:type="dxa"/>
            <w:vAlign w:val="bottom"/>
          </w:tcPr>
          <w:p w14:paraId="576C76D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LULUCF</w:t>
            </w:r>
          </w:p>
        </w:tc>
        <w:tc>
          <w:tcPr>
            <w:tcW w:w="7343" w:type="dxa"/>
            <w:vAlign w:val="bottom"/>
          </w:tcPr>
          <w:p w14:paraId="77172928"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Land Use, Land-Use Change and Forestry</w:t>
            </w:r>
          </w:p>
        </w:tc>
      </w:tr>
      <w:tr w:rsidR="000A06F7" w:rsidRPr="00A33AE8" w14:paraId="61180D36" w14:textId="77777777" w:rsidTr="005F342E">
        <w:tc>
          <w:tcPr>
            <w:tcW w:w="2155" w:type="dxa"/>
            <w:vAlign w:val="bottom"/>
          </w:tcPr>
          <w:p w14:paraId="739C3C06"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MaaS</w:t>
            </w:r>
          </w:p>
        </w:tc>
        <w:tc>
          <w:tcPr>
            <w:tcW w:w="7343" w:type="dxa"/>
            <w:vAlign w:val="bottom"/>
          </w:tcPr>
          <w:p w14:paraId="4BB7B14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Mobility as a Service</w:t>
            </w:r>
          </w:p>
        </w:tc>
      </w:tr>
      <w:tr w:rsidR="000A06F7" w:rsidRPr="00A33AE8" w14:paraId="23E5C03F" w14:textId="77777777" w:rsidTr="005F342E">
        <w:tc>
          <w:tcPr>
            <w:tcW w:w="2155" w:type="dxa"/>
            <w:vAlign w:val="bottom"/>
          </w:tcPr>
          <w:p w14:paraId="72BFC175"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MC-EnC </w:t>
            </w:r>
          </w:p>
        </w:tc>
        <w:tc>
          <w:tcPr>
            <w:tcW w:w="7343" w:type="dxa"/>
            <w:vAlign w:val="bottom"/>
          </w:tcPr>
          <w:p w14:paraId="416D9479"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Ministerial Council - Energy Community</w:t>
            </w:r>
          </w:p>
        </w:tc>
      </w:tr>
      <w:tr w:rsidR="000A06F7" w:rsidRPr="00A33AE8" w14:paraId="406F3BCD" w14:textId="77777777" w:rsidTr="005F342E">
        <w:tc>
          <w:tcPr>
            <w:tcW w:w="2155" w:type="dxa"/>
            <w:vAlign w:val="bottom"/>
          </w:tcPr>
          <w:p w14:paraId="400D0601"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MK</w:t>
            </w:r>
          </w:p>
        </w:tc>
        <w:tc>
          <w:tcPr>
            <w:tcW w:w="7343" w:type="dxa"/>
            <w:vAlign w:val="bottom"/>
          </w:tcPr>
          <w:p w14:paraId="4EAC3B64"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North Macedonia</w:t>
            </w:r>
          </w:p>
        </w:tc>
      </w:tr>
      <w:tr w:rsidR="000A06F7" w:rsidRPr="00A33AE8" w14:paraId="70910417" w14:textId="77777777" w:rsidTr="005F342E">
        <w:tc>
          <w:tcPr>
            <w:tcW w:w="2155" w:type="dxa"/>
            <w:vAlign w:val="bottom"/>
          </w:tcPr>
          <w:p w14:paraId="06560476" w14:textId="77777777" w:rsidR="000A06F7" w:rsidRPr="00A33AE8" w:rsidRDefault="007004D4"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w:t>
            </w:r>
            <w:r>
              <w:rPr>
                <w:rFonts w:asciiTheme="majorHAnsi" w:hAnsiTheme="majorHAnsi" w:cstheme="majorHAnsi"/>
                <w:color w:val="000000"/>
                <w:sz w:val="22"/>
                <w:szCs w:val="22"/>
              </w:rPr>
              <w:t>E</w:t>
            </w:r>
          </w:p>
        </w:tc>
        <w:tc>
          <w:tcPr>
            <w:tcW w:w="7343" w:type="dxa"/>
            <w:vAlign w:val="bottom"/>
          </w:tcPr>
          <w:p w14:paraId="2CF5E64E"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Montenegro</w:t>
            </w:r>
          </w:p>
        </w:tc>
      </w:tr>
      <w:tr w:rsidR="000A06F7" w:rsidRPr="00A33AE8" w14:paraId="791EA5E0" w14:textId="77777777" w:rsidTr="005F342E">
        <w:tc>
          <w:tcPr>
            <w:tcW w:w="2155" w:type="dxa"/>
            <w:vAlign w:val="bottom"/>
          </w:tcPr>
          <w:p w14:paraId="0656EAAF"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MoCTI</w:t>
            </w:r>
          </w:p>
        </w:tc>
        <w:tc>
          <w:tcPr>
            <w:tcW w:w="7343" w:type="dxa"/>
            <w:vAlign w:val="bottom"/>
          </w:tcPr>
          <w:p w14:paraId="4F75E6A8"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Ministry of Construction, Transport and Infrastructure </w:t>
            </w:r>
          </w:p>
        </w:tc>
      </w:tr>
      <w:tr w:rsidR="000A06F7" w:rsidRPr="00A33AE8" w14:paraId="2C8F59DB" w14:textId="77777777" w:rsidTr="005F342E">
        <w:tc>
          <w:tcPr>
            <w:tcW w:w="2155" w:type="dxa"/>
            <w:vAlign w:val="bottom"/>
          </w:tcPr>
          <w:p w14:paraId="27CE8354"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MoME</w:t>
            </w:r>
          </w:p>
        </w:tc>
        <w:tc>
          <w:tcPr>
            <w:tcW w:w="7343" w:type="dxa"/>
            <w:vAlign w:val="bottom"/>
          </w:tcPr>
          <w:p w14:paraId="3890F838"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Ministry of Mining and Energy</w:t>
            </w:r>
          </w:p>
        </w:tc>
      </w:tr>
      <w:tr w:rsidR="000A06F7" w:rsidRPr="00A33AE8" w14:paraId="0EA6FC75" w14:textId="77777777" w:rsidTr="005F342E">
        <w:tc>
          <w:tcPr>
            <w:tcW w:w="2155" w:type="dxa"/>
            <w:vAlign w:val="bottom"/>
          </w:tcPr>
          <w:p w14:paraId="1276F46A" w14:textId="77777777" w:rsidR="000A06F7" w:rsidRPr="00A33AE8" w:rsidRDefault="00B006FA"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I</w:t>
            </w:r>
            <w:r w:rsidR="000A06F7" w:rsidRPr="00A33AE8">
              <w:rPr>
                <w:rFonts w:asciiTheme="majorHAnsi" w:hAnsiTheme="majorHAnsi" w:cstheme="majorHAnsi"/>
                <w:color w:val="000000"/>
                <w:sz w:val="22"/>
                <w:szCs w:val="22"/>
              </w:rPr>
              <w:t>NECP</w:t>
            </w:r>
          </w:p>
        </w:tc>
        <w:tc>
          <w:tcPr>
            <w:tcW w:w="7343" w:type="dxa"/>
            <w:vAlign w:val="bottom"/>
          </w:tcPr>
          <w:p w14:paraId="788B2F6A" w14:textId="77777777" w:rsidR="000A06F7" w:rsidRPr="00A33AE8" w:rsidRDefault="00B006FA"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Integrated </w:t>
            </w:r>
            <w:r w:rsidR="000A06F7" w:rsidRPr="00A33AE8">
              <w:rPr>
                <w:rFonts w:asciiTheme="majorHAnsi" w:hAnsiTheme="majorHAnsi" w:cstheme="majorHAnsi"/>
                <w:color w:val="000000"/>
                <w:sz w:val="22"/>
                <w:szCs w:val="22"/>
              </w:rPr>
              <w:t>National Energy and Climate Plan</w:t>
            </w:r>
          </w:p>
        </w:tc>
      </w:tr>
      <w:tr w:rsidR="000A06F7" w:rsidRPr="00A33AE8" w14:paraId="3382D44C" w14:textId="77777777" w:rsidTr="005F342E">
        <w:tc>
          <w:tcPr>
            <w:tcW w:w="2155" w:type="dxa"/>
            <w:vAlign w:val="bottom"/>
          </w:tcPr>
          <w:p w14:paraId="372FCD3A"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NEEAP</w:t>
            </w:r>
          </w:p>
        </w:tc>
        <w:tc>
          <w:tcPr>
            <w:tcW w:w="7343" w:type="dxa"/>
            <w:vAlign w:val="bottom"/>
          </w:tcPr>
          <w:p w14:paraId="3FE0F0CE"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National Energy Efficiency Action Plan</w:t>
            </w:r>
          </w:p>
        </w:tc>
      </w:tr>
      <w:tr w:rsidR="000A06F7" w:rsidRPr="00A33AE8" w14:paraId="7F04B7D3" w14:textId="77777777" w:rsidTr="005F342E">
        <w:tc>
          <w:tcPr>
            <w:tcW w:w="2155" w:type="dxa"/>
            <w:vAlign w:val="bottom"/>
          </w:tcPr>
          <w:p w14:paraId="3D1729B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NEMO</w:t>
            </w:r>
          </w:p>
        </w:tc>
        <w:tc>
          <w:tcPr>
            <w:tcW w:w="7343" w:type="dxa"/>
            <w:vAlign w:val="bottom"/>
          </w:tcPr>
          <w:p w14:paraId="3CA77372"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Nominated Electricity Market Operators </w:t>
            </w:r>
          </w:p>
        </w:tc>
      </w:tr>
      <w:tr w:rsidR="000A06F7" w:rsidRPr="00567DAD" w14:paraId="08800714" w14:textId="77777777" w:rsidTr="005F342E">
        <w:tc>
          <w:tcPr>
            <w:tcW w:w="2155" w:type="dxa"/>
            <w:vAlign w:val="bottom"/>
          </w:tcPr>
          <w:p w14:paraId="730D0A91"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NIS</w:t>
            </w:r>
          </w:p>
        </w:tc>
        <w:tc>
          <w:tcPr>
            <w:tcW w:w="7343" w:type="dxa"/>
            <w:vAlign w:val="bottom"/>
          </w:tcPr>
          <w:p w14:paraId="565B52B0" w14:textId="77777777" w:rsidR="000A06F7" w:rsidRPr="005B2C66" w:rsidRDefault="000A06F7" w:rsidP="00520B7B">
            <w:pPr>
              <w:rPr>
                <w:rFonts w:asciiTheme="majorHAnsi" w:hAnsiTheme="majorHAnsi"/>
                <w:color w:val="000000"/>
                <w:sz w:val="22"/>
                <w:lang w:val="pt-PT"/>
              </w:rPr>
            </w:pPr>
            <w:r w:rsidRPr="005B2C66">
              <w:rPr>
                <w:rFonts w:asciiTheme="majorHAnsi" w:hAnsiTheme="majorHAnsi"/>
                <w:color w:val="000000"/>
                <w:lang w:val="pt-PT"/>
              </w:rPr>
              <w:t>NIS a.d. Novi Sad</w:t>
            </w:r>
          </w:p>
        </w:tc>
      </w:tr>
      <w:tr w:rsidR="000A06F7" w:rsidRPr="00A33AE8" w14:paraId="05C38F6A" w14:textId="77777777" w:rsidTr="005F342E">
        <w:tc>
          <w:tcPr>
            <w:tcW w:w="2155" w:type="dxa"/>
            <w:vAlign w:val="bottom"/>
          </w:tcPr>
          <w:p w14:paraId="329C3547"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NREAP</w:t>
            </w:r>
          </w:p>
        </w:tc>
        <w:tc>
          <w:tcPr>
            <w:tcW w:w="7343" w:type="dxa"/>
            <w:vAlign w:val="bottom"/>
          </w:tcPr>
          <w:p w14:paraId="2DB4A24F"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National Renewable Energy Action Plan </w:t>
            </w:r>
          </w:p>
        </w:tc>
      </w:tr>
      <w:tr w:rsidR="000A06F7" w:rsidRPr="00A33AE8" w14:paraId="35591D7A" w14:textId="77777777" w:rsidTr="005F342E">
        <w:tc>
          <w:tcPr>
            <w:tcW w:w="2155" w:type="dxa"/>
            <w:vAlign w:val="bottom"/>
          </w:tcPr>
          <w:p w14:paraId="3A617966"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NTC</w:t>
            </w:r>
          </w:p>
        </w:tc>
        <w:tc>
          <w:tcPr>
            <w:tcW w:w="7343" w:type="dxa"/>
            <w:vAlign w:val="bottom"/>
          </w:tcPr>
          <w:p w14:paraId="487B181E"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Net Transfer Capacity</w:t>
            </w:r>
          </w:p>
        </w:tc>
      </w:tr>
      <w:tr w:rsidR="000A06F7" w:rsidRPr="00A33AE8" w14:paraId="4E7279C3" w14:textId="77777777" w:rsidTr="005F342E">
        <w:tc>
          <w:tcPr>
            <w:tcW w:w="2155" w:type="dxa"/>
            <w:vAlign w:val="bottom"/>
          </w:tcPr>
          <w:p w14:paraId="36CC9E59"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nZEB </w:t>
            </w:r>
          </w:p>
        </w:tc>
        <w:tc>
          <w:tcPr>
            <w:tcW w:w="7343" w:type="dxa"/>
            <w:vAlign w:val="bottom"/>
          </w:tcPr>
          <w:p w14:paraId="62E38BAE" w14:textId="77777777" w:rsidR="000A06F7" w:rsidRPr="00A33AE8" w:rsidRDefault="007707DF"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N</w:t>
            </w:r>
            <w:r w:rsidR="000A06F7" w:rsidRPr="00A33AE8">
              <w:rPr>
                <w:rFonts w:asciiTheme="majorHAnsi" w:hAnsiTheme="majorHAnsi" w:cstheme="majorHAnsi"/>
                <w:color w:val="000000"/>
                <w:sz w:val="22"/>
                <w:szCs w:val="22"/>
              </w:rPr>
              <w:t xml:space="preserve">ear-zero energy buildings </w:t>
            </w:r>
          </w:p>
        </w:tc>
      </w:tr>
      <w:tr w:rsidR="000A06F7" w:rsidRPr="00A33AE8" w14:paraId="4917D4F6" w14:textId="77777777" w:rsidTr="005F342E">
        <w:tc>
          <w:tcPr>
            <w:tcW w:w="2155" w:type="dxa"/>
            <w:vAlign w:val="bottom"/>
          </w:tcPr>
          <w:p w14:paraId="18B608BB"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O&amp;M </w:t>
            </w:r>
          </w:p>
        </w:tc>
        <w:tc>
          <w:tcPr>
            <w:tcW w:w="7343" w:type="dxa"/>
            <w:vAlign w:val="bottom"/>
          </w:tcPr>
          <w:p w14:paraId="1A79AE13"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Operation and maintenance</w:t>
            </w:r>
          </w:p>
        </w:tc>
      </w:tr>
      <w:tr w:rsidR="000A06F7" w:rsidRPr="00A33AE8" w14:paraId="476081C8" w14:textId="77777777" w:rsidTr="005F342E">
        <w:tc>
          <w:tcPr>
            <w:tcW w:w="2155" w:type="dxa"/>
            <w:vAlign w:val="bottom"/>
          </w:tcPr>
          <w:p w14:paraId="3251B4D7"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OHL </w:t>
            </w:r>
          </w:p>
        </w:tc>
        <w:tc>
          <w:tcPr>
            <w:tcW w:w="7343" w:type="dxa"/>
            <w:vAlign w:val="bottom"/>
          </w:tcPr>
          <w:p w14:paraId="03935CEC"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Overhead line</w:t>
            </w:r>
          </w:p>
        </w:tc>
      </w:tr>
      <w:tr w:rsidR="000A06F7" w:rsidRPr="00A33AE8" w14:paraId="2192FA07" w14:textId="77777777" w:rsidTr="005F342E">
        <w:tc>
          <w:tcPr>
            <w:tcW w:w="2155" w:type="dxa"/>
            <w:vAlign w:val="bottom"/>
          </w:tcPr>
          <w:p w14:paraId="5C5FAA66" w14:textId="77777777" w:rsidR="000A06F7" w:rsidRPr="00A33AE8" w:rsidRDefault="000A06F7" w:rsidP="000A06F7">
            <w:pPr>
              <w:rPr>
                <w:rFonts w:asciiTheme="majorHAnsi" w:hAnsiTheme="majorHAnsi" w:cstheme="majorHAnsi"/>
                <w:color w:val="000000"/>
                <w:sz w:val="22"/>
                <w:szCs w:val="22"/>
              </w:rPr>
            </w:pPr>
            <w:r w:rsidRPr="00A33AE8">
              <w:rPr>
                <w:rFonts w:asciiTheme="majorHAnsi" w:hAnsiTheme="majorHAnsi" w:cstheme="majorHAnsi"/>
                <w:color w:val="000000"/>
                <w:sz w:val="22"/>
                <w:szCs w:val="22"/>
              </w:rPr>
              <w:t>ORF-EE</w:t>
            </w:r>
          </w:p>
        </w:tc>
        <w:tc>
          <w:tcPr>
            <w:tcW w:w="7343" w:type="dxa"/>
            <w:vAlign w:val="bottom"/>
          </w:tcPr>
          <w:p w14:paraId="5D18F59A" w14:textId="77777777" w:rsidR="000A06F7" w:rsidRPr="00A33AE8" w:rsidRDefault="00F770D9" w:rsidP="000A06F7">
            <w:pPr>
              <w:rPr>
                <w:rFonts w:asciiTheme="majorHAnsi" w:hAnsiTheme="majorHAnsi" w:cstheme="majorHAnsi"/>
                <w:color w:val="000000"/>
                <w:sz w:val="22"/>
                <w:szCs w:val="22"/>
              </w:rPr>
            </w:pPr>
            <w:r w:rsidRPr="00A33AE8">
              <w:rPr>
                <w:rFonts w:asciiTheme="majorHAnsi" w:hAnsiTheme="majorHAnsi" w:cstheme="majorHAnsi"/>
                <w:color w:val="000000"/>
                <w:sz w:val="22"/>
                <w:szCs w:val="22"/>
              </w:rPr>
              <w:t>Open Regional Fund for South East Europe – Energy Efficiency</w:t>
            </w:r>
          </w:p>
        </w:tc>
      </w:tr>
      <w:tr w:rsidR="000A06F7" w:rsidRPr="00A33AE8" w14:paraId="72FAEBF0" w14:textId="77777777" w:rsidTr="005F342E">
        <w:tc>
          <w:tcPr>
            <w:tcW w:w="2155" w:type="dxa"/>
            <w:vAlign w:val="bottom"/>
          </w:tcPr>
          <w:p w14:paraId="1E8E934B"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PCI</w:t>
            </w:r>
          </w:p>
        </w:tc>
        <w:tc>
          <w:tcPr>
            <w:tcW w:w="7343" w:type="dxa"/>
            <w:vAlign w:val="bottom"/>
          </w:tcPr>
          <w:p w14:paraId="5EB5794A"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Project of Common Interest</w:t>
            </w:r>
          </w:p>
        </w:tc>
      </w:tr>
      <w:tr w:rsidR="000A06F7" w:rsidRPr="00A33AE8" w14:paraId="2DC820EA" w14:textId="77777777" w:rsidTr="005F342E">
        <w:tc>
          <w:tcPr>
            <w:tcW w:w="2155" w:type="dxa"/>
            <w:vAlign w:val="bottom"/>
          </w:tcPr>
          <w:p w14:paraId="1F3A5126"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PF4EE</w:t>
            </w:r>
          </w:p>
        </w:tc>
        <w:tc>
          <w:tcPr>
            <w:tcW w:w="7343" w:type="dxa"/>
            <w:vAlign w:val="bottom"/>
          </w:tcPr>
          <w:p w14:paraId="1B47D521" w14:textId="77777777" w:rsidR="000A06F7" w:rsidRPr="00A33AE8" w:rsidRDefault="003C2C2A"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Private Finance for Energy Efficiency</w:t>
            </w:r>
          </w:p>
        </w:tc>
      </w:tr>
      <w:tr w:rsidR="000A06F7" w:rsidRPr="00A33AE8" w14:paraId="7471EBA6" w14:textId="77777777" w:rsidTr="005F342E">
        <w:tc>
          <w:tcPr>
            <w:tcW w:w="2155" w:type="dxa"/>
            <w:vAlign w:val="bottom"/>
          </w:tcPr>
          <w:p w14:paraId="71A3873F"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PLIMA </w:t>
            </w:r>
          </w:p>
        </w:tc>
        <w:tc>
          <w:tcPr>
            <w:tcW w:w="7343" w:type="dxa"/>
            <w:vAlign w:val="bottom"/>
          </w:tcPr>
          <w:p w14:paraId="29887EB7" w14:textId="77777777" w:rsidR="000A06F7" w:rsidRPr="00A33AE8" w:rsidRDefault="003C2C2A"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Project Library and Interactive Map Application</w:t>
            </w:r>
          </w:p>
        </w:tc>
      </w:tr>
      <w:tr w:rsidR="000A06F7" w:rsidRPr="00A33AE8" w14:paraId="17AAB08A" w14:textId="77777777" w:rsidTr="005F342E">
        <w:tc>
          <w:tcPr>
            <w:tcW w:w="2155" w:type="dxa"/>
            <w:vAlign w:val="bottom"/>
          </w:tcPr>
          <w:p w14:paraId="516A2FD9"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PM</w:t>
            </w:r>
          </w:p>
        </w:tc>
        <w:tc>
          <w:tcPr>
            <w:tcW w:w="7343" w:type="dxa"/>
            <w:vAlign w:val="bottom"/>
          </w:tcPr>
          <w:p w14:paraId="71BA6B13" w14:textId="77777777" w:rsidR="000A06F7" w:rsidRPr="00A33AE8" w:rsidRDefault="000A06F7"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Policy measure</w:t>
            </w:r>
          </w:p>
        </w:tc>
      </w:tr>
      <w:tr w:rsidR="00F56DC8" w:rsidRPr="00A33AE8" w14:paraId="3E0A1B6E" w14:textId="77777777" w:rsidTr="005F342E">
        <w:tc>
          <w:tcPr>
            <w:tcW w:w="2155" w:type="dxa"/>
            <w:vAlign w:val="bottom"/>
          </w:tcPr>
          <w:p w14:paraId="0A4362B2"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RES</w:t>
            </w:r>
          </w:p>
        </w:tc>
        <w:tc>
          <w:tcPr>
            <w:tcW w:w="7343" w:type="dxa"/>
            <w:vAlign w:val="bottom"/>
          </w:tcPr>
          <w:p w14:paraId="562E01DB"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Renewable Energy Sources</w:t>
            </w:r>
          </w:p>
        </w:tc>
      </w:tr>
      <w:tr w:rsidR="00F56DC8" w:rsidRPr="00A33AE8" w14:paraId="5CB8A918" w14:textId="77777777" w:rsidTr="005F342E">
        <w:tc>
          <w:tcPr>
            <w:tcW w:w="2155" w:type="dxa"/>
            <w:vAlign w:val="bottom"/>
          </w:tcPr>
          <w:p w14:paraId="24CB21E1"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RS</w:t>
            </w:r>
          </w:p>
        </w:tc>
        <w:tc>
          <w:tcPr>
            <w:tcW w:w="7343" w:type="dxa"/>
            <w:vAlign w:val="bottom"/>
          </w:tcPr>
          <w:p w14:paraId="1FDF8331"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Republic of Serbia</w:t>
            </w:r>
          </w:p>
        </w:tc>
      </w:tr>
      <w:tr w:rsidR="00F56DC8" w:rsidRPr="00A33AE8" w14:paraId="25356171" w14:textId="77777777" w:rsidTr="005F342E">
        <w:tc>
          <w:tcPr>
            <w:tcW w:w="2155" w:type="dxa"/>
            <w:vAlign w:val="bottom"/>
          </w:tcPr>
          <w:p w14:paraId="333BE3B2" w14:textId="77777777" w:rsidR="00F56DC8" w:rsidRPr="00A33AE8" w:rsidRDefault="007004D4"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w:t>
            </w:r>
            <w:r>
              <w:rPr>
                <w:rFonts w:asciiTheme="majorHAnsi" w:hAnsiTheme="majorHAnsi" w:cstheme="majorHAnsi"/>
                <w:color w:val="000000"/>
                <w:sz w:val="22"/>
                <w:szCs w:val="22"/>
              </w:rPr>
              <w:t>DA</w:t>
            </w:r>
            <w:r w:rsidRPr="00A33AE8">
              <w:rPr>
                <w:rFonts w:asciiTheme="majorHAnsi" w:hAnsiTheme="majorHAnsi" w:cstheme="majorHAnsi"/>
                <w:color w:val="000000"/>
                <w:sz w:val="22"/>
                <w:szCs w:val="22"/>
              </w:rPr>
              <w:t>C</w:t>
            </w:r>
          </w:p>
        </w:tc>
        <w:tc>
          <w:tcPr>
            <w:tcW w:w="7343" w:type="dxa"/>
            <w:vAlign w:val="bottom"/>
          </w:tcPr>
          <w:p w14:paraId="1B9B05A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Single Day-Ahead Coupling </w:t>
            </w:r>
          </w:p>
        </w:tc>
      </w:tr>
      <w:tr w:rsidR="00F56DC8" w:rsidRPr="00A33AE8" w14:paraId="60F7DF3C" w14:textId="77777777" w:rsidTr="005F342E">
        <w:tc>
          <w:tcPr>
            <w:tcW w:w="2155" w:type="dxa"/>
            <w:vAlign w:val="bottom"/>
          </w:tcPr>
          <w:p w14:paraId="0BE7EA3F"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SAIDI</w:t>
            </w:r>
          </w:p>
        </w:tc>
        <w:tc>
          <w:tcPr>
            <w:tcW w:w="7343" w:type="dxa"/>
            <w:vAlign w:val="bottom"/>
          </w:tcPr>
          <w:p w14:paraId="5B121D38"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System Average Interruption Duration Index</w:t>
            </w:r>
          </w:p>
        </w:tc>
      </w:tr>
      <w:tr w:rsidR="00F56DC8" w:rsidRPr="00A33AE8" w14:paraId="510E689B" w14:textId="77777777" w:rsidTr="005F342E">
        <w:tc>
          <w:tcPr>
            <w:tcW w:w="2155" w:type="dxa"/>
            <w:vAlign w:val="bottom"/>
          </w:tcPr>
          <w:p w14:paraId="203BDE3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SAIFI</w:t>
            </w:r>
          </w:p>
        </w:tc>
        <w:tc>
          <w:tcPr>
            <w:tcW w:w="7343" w:type="dxa"/>
            <w:vAlign w:val="bottom"/>
          </w:tcPr>
          <w:p w14:paraId="33C96AAE"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System Average Interruption Frequency Index</w:t>
            </w:r>
          </w:p>
        </w:tc>
      </w:tr>
      <w:tr w:rsidR="00F56DC8" w:rsidRPr="00A33AE8" w14:paraId="3A4B9D6B" w14:textId="77777777" w:rsidTr="005F342E">
        <w:tc>
          <w:tcPr>
            <w:tcW w:w="2155" w:type="dxa"/>
            <w:vAlign w:val="bottom"/>
          </w:tcPr>
          <w:p w14:paraId="30CFE285"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SANU</w:t>
            </w:r>
          </w:p>
        </w:tc>
        <w:tc>
          <w:tcPr>
            <w:tcW w:w="7343" w:type="dxa"/>
            <w:vAlign w:val="bottom"/>
          </w:tcPr>
          <w:p w14:paraId="3231C47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Serbian Academy of Sciences and Arts </w:t>
            </w:r>
          </w:p>
        </w:tc>
      </w:tr>
      <w:tr w:rsidR="00F56DC8" w:rsidRPr="00A33AE8" w14:paraId="053EE33D" w14:textId="77777777" w:rsidTr="005F342E">
        <w:tc>
          <w:tcPr>
            <w:tcW w:w="2155" w:type="dxa"/>
            <w:vAlign w:val="bottom"/>
          </w:tcPr>
          <w:p w14:paraId="01E2D995"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lastRenderedPageBreak/>
              <w:t>SEE</w:t>
            </w:r>
          </w:p>
        </w:tc>
        <w:tc>
          <w:tcPr>
            <w:tcW w:w="7343" w:type="dxa"/>
            <w:vAlign w:val="bottom"/>
          </w:tcPr>
          <w:p w14:paraId="76C1D615"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South-East Europe</w:t>
            </w:r>
          </w:p>
        </w:tc>
      </w:tr>
      <w:tr w:rsidR="00F56DC8" w:rsidRPr="00A33AE8" w14:paraId="7B039192" w14:textId="77777777" w:rsidTr="005F342E">
        <w:tc>
          <w:tcPr>
            <w:tcW w:w="2155" w:type="dxa"/>
            <w:vAlign w:val="bottom"/>
          </w:tcPr>
          <w:p w14:paraId="58A04C16"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SEEPEX</w:t>
            </w:r>
          </w:p>
        </w:tc>
        <w:tc>
          <w:tcPr>
            <w:tcW w:w="7343" w:type="dxa"/>
            <w:vAlign w:val="bottom"/>
          </w:tcPr>
          <w:p w14:paraId="1893D949"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SEEPEX a.d. Belgrade</w:t>
            </w:r>
          </w:p>
        </w:tc>
      </w:tr>
      <w:tr w:rsidR="00F56DC8" w:rsidRPr="00A33AE8" w14:paraId="5BBF52D4" w14:textId="77777777" w:rsidTr="005F342E">
        <w:tc>
          <w:tcPr>
            <w:tcW w:w="2155" w:type="dxa"/>
            <w:vAlign w:val="bottom"/>
          </w:tcPr>
          <w:p w14:paraId="52F475E4"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SET </w:t>
            </w:r>
          </w:p>
        </w:tc>
        <w:tc>
          <w:tcPr>
            <w:tcW w:w="7343" w:type="dxa"/>
            <w:vAlign w:val="bottom"/>
          </w:tcPr>
          <w:p w14:paraId="075B7C61" w14:textId="77777777" w:rsidR="00F56DC8" w:rsidRPr="00A33AE8" w:rsidRDefault="00C06113" w:rsidP="00520B7B">
            <w:pPr>
              <w:rPr>
                <w:rFonts w:asciiTheme="majorHAnsi" w:hAnsiTheme="majorHAnsi" w:cstheme="majorHAnsi"/>
                <w:color w:val="000000"/>
                <w:sz w:val="22"/>
                <w:szCs w:val="22"/>
              </w:rPr>
            </w:pPr>
            <w:r w:rsidRPr="00A33AE8">
              <w:rPr>
                <w:rFonts w:asciiTheme="majorHAnsi" w:hAnsiTheme="majorHAnsi" w:cstheme="majorHAnsi"/>
                <w:color w:val="000000"/>
              </w:rPr>
              <w:t>Strategic Energy Technology</w:t>
            </w:r>
          </w:p>
        </w:tc>
      </w:tr>
      <w:tr w:rsidR="00F56DC8" w:rsidRPr="00A33AE8" w14:paraId="51CBEA8C" w14:textId="77777777" w:rsidTr="005F342E">
        <w:tc>
          <w:tcPr>
            <w:tcW w:w="2155" w:type="dxa"/>
            <w:vAlign w:val="bottom"/>
          </w:tcPr>
          <w:p w14:paraId="55D974B1"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SIDMC</w:t>
            </w:r>
          </w:p>
        </w:tc>
        <w:tc>
          <w:tcPr>
            <w:tcW w:w="7343" w:type="dxa"/>
            <w:vAlign w:val="bottom"/>
          </w:tcPr>
          <w:p w14:paraId="125E96CD"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Single Intraday Marke</w:t>
            </w:r>
            <w:r w:rsidR="0022195F" w:rsidRPr="00A33AE8">
              <w:rPr>
                <w:rFonts w:asciiTheme="majorHAnsi" w:hAnsiTheme="majorHAnsi" w:cstheme="majorHAnsi"/>
                <w:color w:val="000000"/>
                <w:sz w:val="22"/>
                <w:szCs w:val="22"/>
              </w:rPr>
              <w:t>t</w:t>
            </w:r>
            <w:r w:rsidRPr="00A33AE8">
              <w:rPr>
                <w:rFonts w:asciiTheme="majorHAnsi" w:hAnsiTheme="majorHAnsi" w:cstheme="majorHAnsi"/>
                <w:color w:val="000000"/>
                <w:sz w:val="22"/>
                <w:szCs w:val="22"/>
              </w:rPr>
              <w:t xml:space="preserve"> Coupling</w:t>
            </w:r>
          </w:p>
        </w:tc>
      </w:tr>
      <w:tr w:rsidR="00F56DC8" w:rsidRPr="00A33AE8" w14:paraId="0F9A26F9" w14:textId="77777777" w:rsidTr="005F342E">
        <w:tc>
          <w:tcPr>
            <w:tcW w:w="2155" w:type="dxa"/>
            <w:vAlign w:val="bottom"/>
          </w:tcPr>
          <w:p w14:paraId="16F1DFEB"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SME</w:t>
            </w:r>
          </w:p>
        </w:tc>
        <w:tc>
          <w:tcPr>
            <w:tcW w:w="7343" w:type="dxa"/>
            <w:vAlign w:val="bottom"/>
          </w:tcPr>
          <w:p w14:paraId="5827F2CA"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Small and medium-sized enterprises</w:t>
            </w:r>
          </w:p>
        </w:tc>
      </w:tr>
      <w:tr w:rsidR="00F56DC8" w:rsidRPr="00A33AE8" w14:paraId="5EB75236" w14:textId="77777777" w:rsidTr="005F342E">
        <w:tc>
          <w:tcPr>
            <w:tcW w:w="2155" w:type="dxa"/>
            <w:vAlign w:val="bottom"/>
          </w:tcPr>
          <w:p w14:paraId="27D5CE0A"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SMR </w:t>
            </w:r>
          </w:p>
        </w:tc>
        <w:tc>
          <w:tcPr>
            <w:tcW w:w="7343" w:type="dxa"/>
            <w:vAlign w:val="bottom"/>
          </w:tcPr>
          <w:p w14:paraId="504E1638"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Small Modular Reactors </w:t>
            </w:r>
          </w:p>
        </w:tc>
      </w:tr>
      <w:tr w:rsidR="00F56DC8" w:rsidRPr="00A33AE8" w14:paraId="6F273C21" w14:textId="77777777" w:rsidTr="005F342E">
        <w:tc>
          <w:tcPr>
            <w:tcW w:w="2155" w:type="dxa"/>
            <w:vAlign w:val="bottom"/>
          </w:tcPr>
          <w:p w14:paraId="39D9C2BA"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SORS</w:t>
            </w:r>
          </w:p>
        </w:tc>
        <w:tc>
          <w:tcPr>
            <w:tcW w:w="7343" w:type="dxa"/>
            <w:vAlign w:val="bottom"/>
          </w:tcPr>
          <w:p w14:paraId="72101CA1"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Statistical office of the Republic of Serbia</w:t>
            </w:r>
          </w:p>
        </w:tc>
      </w:tr>
      <w:tr w:rsidR="00F56DC8" w:rsidRPr="00A33AE8" w14:paraId="3B6D79E6" w14:textId="77777777" w:rsidTr="005F342E">
        <w:tc>
          <w:tcPr>
            <w:tcW w:w="2155" w:type="dxa"/>
            <w:vAlign w:val="bottom"/>
          </w:tcPr>
          <w:p w14:paraId="4F3AB0B4"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SS </w:t>
            </w:r>
          </w:p>
        </w:tc>
        <w:tc>
          <w:tcPr>
            <w:tcW w:w="7343" w:type="dxa"/>
            <w:vAlign w:val="bottom"/>
          </w:tcPr>
          <w:p w14:paraId="1999C6D4" w14:textId="77777777" w:rsidR="00F56DC8" w:rsidRPr="00A33AE8" w:rsidRDefault="007707DF"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w:t>
            </w:r>
            <w:r w:rsidR="00F56DC8" w:rsidRPr="00A33AE8">
              <w:rPr>
                <w:rFonts w:asciiTheme="majorHAnsi" w:hAnsiTheme="majorHAnsi" w:cstheme="majorHAnsi"/>
                <w:color w:val="000000"/>
                <w:sz w:val="22"/>
                <w:szCs w:val="22"/>
              </w:rPr>
              <w:t>ub-station</w:t>
            </w:r>
          </w:p>
        </w:tc>
      </w:tr>
      <w:tr w:rsidR="00F56DC8" w:rsidRPr="00A33AE8" w14:paraId="2F71D094" w14:textId="77777777" w:rsidTr="005F342E">
        <w:tc>
          <w:tcPr>
            <w:tcW w:w="2155" w:type="dxa"/>
            <w:vAlign w:val="bottom"/>
          </w:tcPr>
          <w:p w14:paraId="71EA3FF2"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SSP</w:t>
            </w:r>
          </w:p>
        </w:tc>
        <w:tc>
          <w:tcPr>
            <w:tcW w:w="7343" w:type="dxa"/>
            <w:vAlign w:val="bottom"/>
          </w:tcPr>
          <w:p w14:paraId="42A42D7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Shared Socioeconomic Pathways </w:t>
            </w:r>
          </w:p>
        </w:tc>
      </w:tr>
      <w:tr w:rsidR="00F56DC8" w:rsidRPr="00A33AE8" w14:paraId="0A3CD28F" w14:textId="77777777" w:rsidTr="006A1EB2">
        <w:tc>
          <w:tcPr>
            <w:tcW w:w="2155" w:type="dxa"/>
            <w:vAlign w:val="center"/>
          </w:tcPr>
          <w:p w14:paraId="3C5B9223" w14:textId="77777777" w:rsidR="00F56DC8" w:rsidRPr="00A33AE8" w:rsidRDefault="00F56DC8" w:rsidP="006A1EB2">
            <w:pPr>
              <w:jc w:val="left"/>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TRINITY </w:t>
            </w:r>
          </w:p>
        </w:tc>
        <w:tc>
          <w:tcPr>
            <w:tcW w:w="7343" w:type="dxa"/>
            <w:vAlign w:val="bottom"/>
          </w:tcPr>
          <w:p w14:paraId="2002106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TRansmission system enhancement of regIoNal borders by means of IntellIgenT market technologY</w:t>
            </w:r>
          </w:p>
        </w:tc>
      </w:tr>
      <w:tr w:rsidR="00F56DC8" w:rsidRPr="00A33AE8" w14:paraId="42AE0F55" w14:textId="77777777" w:rsidTr="005F342E">
        <w:tc>
          <w:tcPr>
            <w:tcW w:w="2155" w:type="dxa"/>
            <w:vAlign w:val="bottom"/>
          </w:tcPr>
          <w:p w14:paraId="5A666AD3"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TS </w:t>
            </w:r>
          </w:p>
        </w:tc>
        <w:tc>
          <w:tcPr>
            <w:tcW w:w="7343" w:type="dxa"/>
            <w:vAlign w:val="bottom"/>
          </w:tcPr>
          <w:p w14:paraId="261D074E"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Transformer Substation</w:t>
            </w:r>
          </w:p>
        </w:tc>
      </w:tr>
      <w:tr w:rsidR="00F56DC8" w:rsidRPr="00A33AE8" w14:paraId="32F55DAA" w14:textId="77777777" w:rsidTr="005F342E">
        <w:tc>
          <w:tcPr>
            <w:tcW w:w="2155" w:type="dxa"/>
            <w:vAlign w:val="bottom"/>
          </w:tcPr>
          <w:p w14:paraId="2A8EFB1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TSO </w:t>
            </w:r>
          </w:p>
        </w:tc>
        <w:tc>
          <w:tcPr>
            <w:tcW w:w="7343" w:type="dxa"/>
            <w:vAlign w:val="bottom"/>
          </w:tcPr>
          <w:p w14:paraId="4A4422BC"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Transmission system operator</w:t>
            </w:r>
          </w:p>
        </w:tc>
      </w:tr>
      <w:tr w:rsidR="00F56DC8" w:rsidRPr="00A33AE8" w14:paraId="7C161D97" w14:textId="77777777" w:rsidTr="005F342E">
        <w:tc>
          <w:tcPr>
            <w:tcW w:w="2155" w:type="dxa"/>
            <w:vAlign w:val="bottom"/>
          </w:tcPr>
          <w:p w14:paraId="0A1714A8"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TYNDP</w:t>
            </w:r>
          </w:p>
        </w:tc>
        <w:tc>
          <w:tcPr>
            <w:tcW w:w="7343" w:type="dxa"/>
            <w:vAlign w:val="bottom"/>
          </w:tcPr>
          <w:p w14:paraId="328038F7"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Teen Year Network Development Plan</w:t>
            </w:r>
          </w:p>
        </w:tc>
      </w:tr>
      <w:tr w:rsidR="00F56DC8" w:rsidRPr="00A33AE8" w14:paraId="7C6DD661" w14:textId="77777777" w:rsidTr="005F342E">
        <w:tc>
          <w:tcPr>
            <w:tcW w:w="2155" w:type="dxa"/>
            <w:vAlign w:val="bottom"/>
          </w:tcPr>
          <w:p w14:paraId="777A1D18"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UNDP</w:t>
            </w:r>
          </w:p>
        </w:tc>
        <w:tc>
          <w:tcPr>
            <w:tcW w:w="7343" w:type="dxa"/>
            <w:vAlign w:val="bottom"/>
          </w:tcPr>
          <w:p w14:paraId="22BB09A5"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United Nations Development Programme </w:t>
            </w:r>
          </w:p>
        </w:tc>
      </w:tr>
      <w:tr w:rsidR="00F56DC8" w:rsidRPr="00A33AE8" w14:paraId="390270C3" w14:textId="77777777" w:rsidTr="005F342E">
        <w:tc>
          <w:tcPr>
            <w:tcW w:w="2155" w:type="dxa"/>
            <w:vAlign w:val="bottom"/>
          </w:tcPr>
          <w:p w14:paraId="1CC64678"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UNFCCC </w:t>
            </w:r>
          </w:p>
        </w:tc>
        <w:tc>
          <w:tcPr>
            <w:tcW w:w="7343" w:type="dxa"/>
            <w:vAlign w:val="bottom"/>
          </w:tcPr>
          <w:p w14:paraId="7D8A2D8D" w14:textId="77777777" w:rsidR="00F56DC8" w:rsidRPr="00A33AE8" w:rsidRDefault="00C60F2F"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United Nations Framework Convention on Climate Change</w:t>
            </w:r>
          </w:p>
        </w:tc>
      </w:tr>
      <w:tr w:rsidR="00F56DC8" w:rsidRPr="00A33AE8" w14:paraId="19CE315B" w14:textId="77777777" w:rsidTr="005F342E">
        <w:tc>
          <w:tcPr>
            <w:tcW w:w="2155" w:type="dxa"/>
            <w:vAlign w:val="bottom"/>
          </w:tcPr>
          <w:p w14:paraId="2DACAA1B"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WAM</w:t>
            </w:r>
          </w:p>
        </w:tc>
        <w:tc>
          <w:tcPr>
            <w:tcW w:w="7343" w:type="dxa"/>
            <w:vAlign w:val="bottom"/>
          </w:tcPr>
          <w:p w14:paraId="5406894D" w14:textId="77777777" w:rsidR="00F56DC8" w:rsidRPr="00A33AE8" w:rsidRDefault="007707DF"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w:t>
            </w:r>
            <w:r w:rsidR="00F56DC8" w:rsidRPr="00A33AE8">
              <w:rPr>
                <w:rFonts w:asciiTheme="majorHAnsi" w:hAnsiTheme="majorHAnsi" w:cstheme="majorHAnsi"/>
                <w:color w:val="000000"/>
                <w:sz w:val="22"/>
                <w:szCs w:val="22"/>
              </w:rPr>
              <w:t xml:space="preserve">cenario with the additional measures </w:t>
            </w:r>
          </w:p>
        </w:tc>
      </w:tr>
      <w:tr w:rsidR="00F56DC8" w:rsidRPr="00A33AE8" w14:paraId="42823EC7" w14:textId="77777777" w:rsidTr="005F342E">
        <w:tc>
          <w:tcPr>
            <w:tcW w:w="2155" w:type="dxa"/>
            <w:vAlign w:val="bottom"/>
          </w:tcPr>
          <w:p w14:paraId="1648367E"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 xml:space="preserve">WEM </w:t>
            </w:r>
          </w:p>
        </w:tc>
        <w:tc>
          <w:tcPr>
            <w:tcW w:w="7343" w:type="dxa"/>
            <w:vAlign w:val="bottom"/>
          </w:tcPr>
          <w:p w14:paraId="6B5F4FB8" w14:textId="77777777" w:rsidR="00F56DC8" w:rsidRPr="00A33AE8" w:rsidRDefault="007707DF"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S</w:t>
            </w:r>
            <w:r w:rsidR="00F56DC8" w:rsidRPr="00A33AE8">
              <w:rPr>
                <w:rFonts w:asciiTheme="majorHAnsi" w:hAnsiTheme="majorHAnsi" w:cstheme="majorHAnsi"/>
                <w:color w:val="000000"/>
                <w:sz w:val="22"/>
                <w:szCs w:val="22"/>
              </w:rPr>
              <w:t xml:space="preserve">cenario with the existing measures </w:t>
            </w:r>
          </w:p>
        </w:tc>
      </w:tr>
      <w:tr w:rsidR="00F56DC8" w:rsidRPr="00A33AE8" w14:paraId="51F869F2" w14:textId="77777777" w:rsidTr="005F342E">
        <w:tc>
          <w:tcPr>
            <w:tcW w:w="2155" w:type="dxa"/>
            <w:vAlign w:val="bottom"/>
          </w:tcPr>
          <w:p w14:paraId="19AF38BA"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WG</w:t>
            </w:r>
          </w:p>
        </w:tc>
        <w:tc>
          <w:tcPr>
            <w:tcW w:w="7343" w:type="dxa"/>
            <w:vAlign w:val="bottom"/>
          </w:tcPr>
          <w:p w14:paraId="722008A4" w14:textId="77777777" w:rsidR="00F56DC8" w:rsidRPr="00A33AE8" w:rsidRDefault="00F56DC8" w:rsidP="00520B7B">
            <w:pPr>
              <w:rPr>
                <w:rFonts w:asciiTheme="majorHAnsi" w:hAnsiTheme="majorHAnsi" w:cstheme="majorHAnsi"/>
                <w:color w:val="000000"/>
                <w:sz w:val="22"/>
                <w:szCs w:val="22"/>
              </w:rPr>
            </w:pPr>
            <w:r w:rsidRPr="00A33AE8">
              <w:rPr>
                <w:rFonts w:asciiTheme="majorHAnsi" w:hAnsiTheme="majorHAnsi" w:cstheme="majorHAnsi"/>
                <w:color w:val="000000"/>
                <w:sz w:val="22"/>
                <w:szCs w:val="22"/>
              </w:rPr>
              <w:t>Working Group</w:t>
            </w:r>
          </w:p>
        </w:tc>
      </w:tr>
    </w:tbl>
    <w:p w14:paraId="4205582F" w14:textId="77777777" w:rsidR="00931D02" w:rsidRPr="00A33AE8" w:rsidRDefault="00931D02">
      <w:pPr>
        <w:spacing w:line="259" w:lineRule="auto"/>
        <w:rPr>
          <w:rFonts w:ascii="Calibri Light" w:hAnsi="Calibri Light" w:cs="Calibri Light"/>
          <w:highlight w:val="green"/>
        </w:rPr>
      </w:pPr>
      <w:r w:rsidRPr="00A33AE8">
        <w:rPr>
          <w:rFonts w:ascii="Calibri Light" w:hAnsi="Calibri Light" w:cs="Calibri Light"/>
          <w:highlight w:val="green"/>
        </w:rPr>
        <w:br w:type="page"/>
      </w:r>
    </w:p>
    <w:p w14:paraId="6214D2CC" w14:textId="77777777" w:rsidR="00931D02" w:rsidRPr="00A33AE8" w:rsidRDefault="00931D02" w:rsidP="00A14648">
      <w:pPr>
        <w:pStyle w:val="Heading1"/>
        <w:numPr>
          <w:ilvl w:val="0"/>
          <w:numId w:val="0"/>
        </w:numPr>
        <w:ind w:left="432" w:hanging="432"/>
      </w:pPr>
      <w:bookmarkStart w:id="7" w:name="_Toc79772539"/>
      <w:bookmarkStart w:id="8" w:name="_Toc118991758"/>
      <w:bookmarkStart w:id="9" w:name="_Toc153545028"/>
      <w:r w:rsidRPr="00A33AE8">
        <w:lastRenderedPageBreak/>
        <w:t>LIST OF FIGURES</w:t>
      </w:r>
      <w:bookmarkEnd w:id="7"/>
      <w:bookmarkEnd w:id="8"/>
      <w:bookmarkEnd w:id="9"/>
    </w:p>
    <w:bookmarkStart w:id="10" w:name="_Hlk153461449"/>
    <w:p w14:paraId="70E3F443" w14:textId="2227AEEA" w:rsidR="0087794A" w:rsidRDefault="00CD2E1E">
      <w:pPr>
        <w:pStyle w:val="TableofFigures"/>
        <w:tabs>
          <w:tab w:val="right" w:leader="dot" w:pos="9628"/>
        </w:tabs>
        <w:rPr>
          <w:rFonts w:eastAsiaTheme="minorEastAsia"/>
          <w:noProof/>
          <w:kern w:val="2"/>
          <w:lang w:val="en-US"/>
          <w14:ligatures w14:val="standardContextual"/>
        </w:rPr>
      </w:pPr>
      <w:r w:rsidRPr="00A33AE8">
        <w:rPr>
          <w:rFonts w:ascii="Calibri Light" w:hAnsi="Calibri Light" w:cs="Calibri Light"/>
          <w:highlight w:val="yellow"/>
        </w:rPr>
        <w:fldChar w:fldCharType="begin"/>
      </w:r>
      <w:r w:rsidR="00012739" w:rsidRPr="00A33AE8">
        <w:rPr>
          <w:rFonts w:ascii="Calibri Light" w:hAnsi="Calibri Light" w:cs="Calibri Light"/>
          <w:highlight w:val="yellow"/>
        </w:rPr>
        <w:instrText xml:space="preserve"> TOC \h \z \c "Figure" </w:instrText>
      </w:r>
      <w:r w:rsidRPr="00A33AE8">
        <w:rPr>
          <w:rFonts w:ascii="Calibri Light" w:hAnsi="Calibri Light" w:cs="Calibri Light"/>
          <w:highlight w:val="yellow"/>
        </w:rPr>
        <w:fldChar w:fldCharType="separate"/>
      </w:r>
      <w:hyperlink w:anchor="_Toc154575192" w:history="1">
        <w:r w:rsidR="0087794A" w:rsidRPr="00C459BB">
          <w:rPr>
            <w:rStyle w:val="Hyperlink"/>
            <w:noProof/>
          </w:rPr>
          <w:t>Figure 1.1: Population in 2019, in million (source: Eurostat)</w:t>
        </w:r>
        <w:r w:rsidR="0087794A">
          <w:rPr>
            <w:noProof/>
            <w:webHidden/>
          </w:rPr>
          <w:tab/>
        </w:r>
        <w:r w:rsidR="0087794A">
          <w:rPr>
            <w:noProof/>
            <w:webHidden/>
          </w:rPr>
          <w:fldChar w:fldCharType="begin"/>
        </w:r>
        <w:r w:rsidR="0087794A">
          <w:rPr>
            <w:noProof/>
            <w:webHidden/>
          </w:rPr>
          <w:instrText xml:space="preserve"> PAGEREF _Toc154575192 \h </w:instrText>
        </w:r>
        <w:r w:rsidR="0087794A">
          <w:rPr>
            <w:noProof/>
            <w:webHidden/>
          </w:rPr>
        </w:r>
        <w:r w:rsidR="0087794A">
          <w:rPr>
            <w:noProof/>
            <w:webHidden/>
          </w:rPr>
          <w:fldChar w:fldCharType="separate"/>
        </w:r>
        <w:r w:rsidR="0087794A">
          <w:rPr>
            <w:noProof/>
            <w:webHidden/>
          </w:rPr>
          <w:t>20</w:t>
        </w:r>
        <w:r w:rsidR="0087794A">
          <w:rPr>
            <w:noProof/>
            <w:webHidden/>
          </w:rPr>
          <w:fldChar w:fldCharType="end"/>
        </w:r>
      </w:hyperlink>
    </w:p>
    <w:p w14:paraId="741E9630" w14:textId="20C9CB27" w:rsidR="0087794A" w:rsidRDefault="006E0533">
      <w:pPr>
        <w:pStyle w:val="TableofFigures"/>
        <w:tabs>
          <w:tab w:val="right" w:leader="dot" w:pos="9628"/>
        </w:tabs>
        <w:rPr>
          <w:rFonts w:eastAsiaTheme="minorEastAsia"/>
          <w:noProof/>
          <w:kern w:val="2"/>
          <w:lang w:val="en-US"/>
          <w14:ligatures w14:val="standardContextual"/>
        </w:rPr>
      </w:pPr>
      <w:hyperlink w:anchor="_Toc154575193" w:history="1">
        <w:r w:rsidR="0087794A" w:rsidRPr="00C459BB">
          <w:rPr>
            <w:rStyle w:val="Hyperlink"/>
            <w:noProof/>
          </w:rPr>
          <w:t>Figure 1.2: Real GDP growth rate in 2019, in % (source: Eurostat)</w:t>
        </w:r>
        <w:r w:rsidR="0087794A">
          <w:rPr>
            <w:noProof/>
            <w:webHidden/>
          </w:rPr>
          <w:tab/>
        </w:r>
        <w:r w:rsidR="0087794A">
          <w:rPr>
            <w:noProof/>
            <w:webHidden/>
          </w:rPr>
          <w:fldChar w:fldCharType="begin"/>
        </w:r>
        <w:r w:rsidR="0087794A">
          <w:rPr>
            <w:noProof/>
            <w:webHidden/>
          </w:rPr>
          <w:instrText xml:space="preserve"> PAGEREF _Toc154575193 \h </w:instrText>
        </w:r>
        <w:r w:rsidR="0087794A">
          <w:rPr>
            <w:noProof/>
            <w:webHidden/>
          </w:rPr>
        </w:r>
        <w:r w:rsidR="0087794A">
          <w:rPr>
            <w:noProof/>
            <w:webHidden/>
          </w:rPr>
          <w:fldChar w:fldCharType="separate"/>
        </w:r>
        <w:r w:rsidR="0087794A">
          <w:rPr>
            <w:noProof/>
            <w:webHidden/>
          </w:rPr>
          <w:t>20</w:t>
        </w:r>
        <w:r w:rsidR="0087794A">
          <w:rPr>
            <w:noProof/>
            <w:webHidden/>
          </w:rPr>
          <w:fldChar w:fldCharType="end"/>
        </w:r>
      </w:hyperlink>
    </w:p>
    <w:p w14:paraId="5474A659" w14:textId="58A96EFD" w:rsidR="0087794A" w:rsidRDefault="006E0533">
      <w:pPr>
        <w:pStyle w:val="TableofFigures"/>
        <w:tabs>
          <w:tab w:val="right" w:leader="dot" w:pos="9628"/>
        </w:tabs>
        <w:rPr>
          <w:rFonts w:eastAsiaTheme="minorEastAsia"/>
          <w:noProof/>
          <w:kern w:val="2"/>
          <w:lang w:val="en-US"/>
          <w14:ligatures w14:val="standardContextual"/>
        </w:rPr>
      </w:pPr>
      <w:hyperlink w:anchor="_Toc154575194" w:history="1">
        <w:r w:rsidR="0087794A" w:rsidRPr="00C459BB">
          <w:rPr>
            <w:rStyle w:val="Hyperlink"/>
            <w:noProof/>
          </w:rPr>
          <w:t>Figure 1.3: Long-term unemployment rate in 2019, in % (source: Eurostat)</w:t>
        </w:r>
        <w:r w:rsidR="0087794A">
          <w:rPr>
            <w:noProof/>
            <w:webHidden/>
          </w:rPr>
          <w:tab/>
        </w:r>
        <w:r w:rsidR="0087794A">
          <w:rPr>
            <w:noProof/>
            <w:webHidden/>
          </w:rPr>
          <w:fldChar w:fldCharType="begin"/>
        </w:r>
        <w:r w:rsidR="0087794A">
          <w:rPr>
            <w:noProof/>
            <w:webHidden/>
          </w:rPr>
          <w:instrText xml:space="preserve"> PAGEREF _Toc154575194 \h </w:instrText>
        </w:r>
        <w:r w:rsidR="0087794A">
          <w:rPr>
            <w:noProof/>
            <w:webHidden/>
          </w:rPr>
        </w:r>
        <w:r w:rsidR="0087794A">
          <w:rPr>
            <w:noProof/>
            <w:webHidden/>
          </w:rPr>
          <w:fldChar w:fldCharType="separate"/>
        </w:r>
        <w:r w:rsidR="0087794A">
          <w:rPr>
            <w:noProof/>
            <w:webHidden/>
          </w:rPr>
          <w:t>21</w:t>
        </w:r>
        <w:r w:rsidR="0087794A">
          <w:rPr>
            <w:noProof/>
            <w:webHidden/>
          </w:rPr>
          <w:fldChar w:fldCharType="end"/>
        </w:r>
      </w:hyperlink>
    </w:p>
    <w:p w14:paraId="1A1E885D" w14:textId="327D02E9" w:rsidR="0087794A" w:rsidRDefault="006E0533">
      <w:pPr>
        <w:pStyle w:val="TableofFigures"/>
        <w:tabs>
          <w:tab w:val="right" w:leader="dot" w:pos="9628"/>
        </w:tabs>
        <w:rPr>
          <w:rFonts w:eastAsiaTheme="minorEastAsia"/>
          <w:noProof/>
          <w:kern w:val="2"/>
          <w:lang w:val="en-US"/>
          <w14:ligatures w14:val="standardContextual"/>
        </w:rPr>
      </w:pPr>
      <w:hyperlink w:anchor="_Toc154575195" w:history="1">
        <w:r w:rsidR="0087794A" w:rsidRPr="00C459BB">
          <w:rPr>
            <w:rStyle w:val="Hyperlink"/>
            <w:noProof/>
          </w:rPr>
          <w:t>Figure 1.4: Primary energy consumption per capita in 2019, in toe/capita (source: Eurostat)</w:t>
        </w:r>
        <w:r w:rsidR="0087794A">
          <w:rPr>
            <w:noProof/>
            <w:webHidden/>
          </w:rPr>
          <w:tab/>
        </w:r>
        <w:r w:rsidR="0087794A">
          <w:rPr>
            <w:noProof/>
            <w:webHidden/>
          </w:rPr>
          <w:fldChar w:fldCharType="begin"/>
        </w:r>
        <w:r w:rsidR="0087794A">
          <w:rPr>
            <w:noProof/>
            <w:webHidden/>
          </w:rPr>
          <w:instrText xml:space="preserve"> PAGEREF _Toc154575195 \h </w:instrText>
        </w:r>
        <w:r w:rsidR="0087794A">
          <w:rPr>
            <w:noProof/>
            <w:webHidden/>
          </w:rPr>
        </w:r>
        <w:r w:rsidR="0087794A">
          <w:rPr>
            <w:noProof/>
            <w:webHidden/>
          </w:rPr>
          <w:fldChar w:fldCharType="separate"/>
        </w:r>
        <w:r w:rsidR="0087794A">
          <w:rPr>
            <w:noProof/>
            <w:webHidden/>
          </w:rPr>
          <w:t>21</w:t>
        </w:r>
        <w:r w:rsidR="0087794A">
          <w:rPr>
            <w:noProof/>
            <w:webHidden/>
          </w:rPr>
          <w:fldChar w:fldCharType="end"/>
        </w:r>
      </w:hyperlink>
    </w:p>
    <w:p w14:paraId="20621E12" w14:textId="4B218A06" w:rsidR="0087794A" w:rsidRDefault="006E0533">
      <w:pPr>
        <w:pStyle w:val="TableofFigures"/>
        <w:tabs>
          <w:tab w:val="right" w:leader="dot" w:pos="9628"/>
        </w:tabs>
        <w:rPr>
          <w:rFonts w:eastAsiaTheme="minorEastAsia"/>
          <w:noProof/>
          <w:kern w:val="2"/>
          <w:lang w:val="en-US"/>
          <w14:ligatures w14:val="standardContextual"/>
        </w:rPr>
      </w:pPr>
      <w:hyperlink w:anchor="_Toc154575196" w:history="1">
        <w:r w:rsidR="0087794A" w:rsidRPr="00C459BB">
          <w:rPr>
            <w:rStyle w:val="Hyperlink"/>
            <w:noProof/>
          </w:rPr>
          <w:t>Figure 1.5: CO2-eq emissions per capita for 2019, in million tonnes of CO2 (Source: Global Carbon Project)</w:t>
        </w:r>
        <w:r w:rsidR="0087794A">
          <w:rPr>
            <w:noProof/>
            <w:webHidden/>
          </w:rPr>
          <w:tab/>
        </w:r>
        <w:r w:rsidR="0087794A">
          <w:rPr>
            <w:noProof/>
            <w:webHidden/>
          </w:rPr>
          <w:fldChar w:fldCharType="begin"/>
        </w:r>
        <w:r w:rsidR="0087794A">
          <w:rPr>
            <w:noProof/>
            <w:webHidden/>
          </w:rPr>
          <w:instrText xml:space="preserve"> PAGEREF _Toc154575196 \h </w:instrText>
        </w:r>
        <w:r w:rsidR="0087794A">
          <w:rPr>
            <w:noProof/>
            <w:webHidden/>
          </w:rPr>
        </w:r>
        <w:r w:rsidR="0087794A">
          <w:rPr>
            <w:noProof/>
            <w:webHidden/>
          </w:rPr>
          <w:fldChar w:fldCharType="separate"/>
        </w:r>
        <w:r w:rsidR="0087794A">
          <w:rPr>
            <w:noProof/>
            <w:webHidden/>
          </w:rPr>
          <w:t>22</w:t>
        </w:r>
        <w:r w:rsidR="0087794A">
          <w:rPr>
            <w:noProof/>
            <w:webHidden/>
          </w:rPr>
          <w:fldChar w:fldCharType="end"/>
        </w:r>
      </w:hyperlink>
    </w:p>
    <w:p w14:paraId="6F285A8C" w14:textId="550B82E6" w:rsidR="0087794A" w:rsidRDefault="006E0533">
      <w:pPr>
        <w:pStyle w:val="TableofFigures"/>
        <w:tabs>
          <w:tab w:val="right" w:leader="dot" w:pos="9628"/>
        </w:tabs>
        <w:rPr>
          <w:rFonts w:eastAsiaTheme="minorEastAsia"/>
          <w:noProof/>
          <w:kern w:val="2"/>
          <w:lang w:val="en-US"/>
          <w14:ligatures w14:val="standardContextual"/>
        </w:rPr>
      </w:pPr>
      <w:hyperlink w:anchor="_Toc154575197" w:history="1">
        <w:r w:rsidR="0087794A" w:rsidRPr="00C459BB">
          <w:rPr>
            <w:rStyle w:val="Hyperlink"/>
            <w:noProof/>
          </w:rPr>
          <w:t>Figure 1.6: Share of RES in gross final energy consumption for 2019, in % (source: Eurostat)</w:t>
        </w:r>
        <w:r w:rsidR="0087794A">
          <w:rPr>
            <w:noProof/>
            <w:webHidden/>
          </w:rPr>
          <w:tab/>
        </w:r>
        <w:r w:rsidR="0087794A">
          <w:rPr>
            <w:noProof/>
            <w:webHidden/>
          </w:rPr>
          <w:fldChar w:fldCharType="begin"/>
        </w:r>
        <w:r w:rsidR="0087794A">
          <w:rPr>
            <w:noProof/>
            <w:webHidden/>
          </w:rPr>
          <w:instrText xml:space="preserve"> PAGEREF _Toc154575197 \h </w:instrText>
        </w:r>
        <w:r w:rsidR="0087794A">
          <w:rPr>
            <w:noProof/>
            <w:webHidden/>
          </w:rPr>
        </w:r>
        <w:r w:rsidR="0087794A">
          <w:rPr>
            <w:noProof/>
            <w:webHidden/>
          </w:rPr>
          <w:fldChar w:fldCharType="separate"/>
        </w:r>
        <w:r w:rsidR="0087794A">
          <w:rPr>
            <w:noProof/>
            <w:webHidden/>
          </w:rPr>
          <w:t>22</w:t>
        </w:r>
        <w:r w:rsidR="0087794A">
          <w:rPr>
            <w:noProof/>
            <w:webHidden/>
          </w:rPr>
          <w:fldChar w:fldCharType="end"/>
        </w:r>
      </w:hyperlink>
    </w:p>
    <w:p w14:paraId="7A26AE08" w14:textId="7209B697" w:rsidR="0087794A" w:rsidRDefault="006E0533">
      <w:pPr>
        <w:pStyle w:val="TableofFigures"/>
        <w:tabs>
          <w:tab w:val="right" w:leader="dot" w:pos="9628"/>
        </w:tabs>
        <w:rPr>
          <w:rFonts w:eastAsiaTheme="minorEastAsia"/>
          <w:noProof/>
          <w:kern w:val="2"/>
          <w:lang w:val="en-US"/>
          <w14:ligatures w14:val="standardContextual"/>
        </w:rPr>
      </w:pPr>
      <w:hyperlink w:anchor="_Toc154575198" w:history="1">
        <w:r w:rsidR="0087794A" w:rsidRPr="00C459BB">
          <w:rPr>
            <w:rStyle w:val="Hyperlink"/>
            <w:noProof/>
          </w:rPr>
          <w:t>Figure 1.7: RES share in electricity production for 2019, in % (source: Eurostat)</w:t>
        </w:r>
        <w:r w:rsidR="0087794A">
          <w:rPr>
            <w:noProof/>
            <w:webHidden/>
          </w:rPr>
          <w:tab/>
        </w:r>
        <w:r w:rsidR="0087794A">
          <w:rPr>
            <w:noProof/>
            <w:webHidden/>
          </w:rPr>
          <w:fldChar w:fldCharType="begin"/>
        </w:r>
        <w:r w:rsidR="0087794A">
          <w:rPr>
            <w:noProof/>
            <w:webHidden/>
          </w:rPr>
          <w:instrText xml:space="preserve"> PAGEREF _Toc154575198 \h </w:instrText>
        </w:r>
        <w:r w:rsidR="0087794A">
          <w:rPr>
            <w:noProof/>
            <w:webHidden/>
          </w:rPr>
        </w:r>
        <w:r w:rsidR="0087794A">
          <w:rPr>
            <w:noProof/>
            <w:webHidden/>
          </w:rPr>
          <w:fldChar w:fldCharType="separate"/>
        </w:r>
        <w:r w:rsidR="0087794A">
          <w:rPr>
            <w:noProof/>
            <w:webHidden/>
          </w:rPr>
          <w:t>23</w:t>
        </w:r>
        <w:r w:rsidR="0087794A">
          <w:rPr>
            <w:noProof/>
            <w:webHidden/>
          </w:rPr>
          <w:fldChar w:fldCharType="end"/>
        </w:r>
      </w:hyperlink>
    </w:p>
    <w:p w14:paraId="38EF6ECE" w14:textId="2A96EDA9" w:rsidR="0087794A" w:rsidRDefault="006E0533">
      <w:pPr>
        <w:pStyle w:val="TableofFigures"/>
        <w:tabs>
          <w:tab w:val="right" w:leader="dot" w:pos="9628"/>
        </w:tabs>
        <w:rPr>
          <w:rFonts w:eastAsiaTheme="minorEastAsia"/>
          <w:noProof/>
          <w:kern w:val="2"/>
          <w:lang w:val="en-US"/>
          <w14:ligatures w14:val="standardContextual"/>
        </w:rPr>
      </w:pPr>
      <w:hyperlink w:anchor="_Toc154575199" w:history="1">
        <w:r w:rsidR="0087794A" w:rsidRPr="00C459BB">
          <w:rPr>
            <w:rStyle w:val="Hyperlink"/>
            <w:noProof/>
          </w:rPr>
          <w:t>Figure 1.8: Primary energy consumption for 2019 relative to 2005, in % (source: Eurostat)</w:t>
        </w:r>
        <w:r w:rsidR="0087794A">
          <w:rPr>
            <w:noProof/>
            <w:webHidden/>
          </w:rPr>
          <w:tab/>
        </w:r>
        <w:r w:rsidR="0087794A">
          <w:rPr>
            <w:noProof/>
            <w:webHidden/>
          </w:rPr>
          <w:fldChar w:fldCharType="begin"/>
        </w:r>
        <w:r w:rsidR="0087794A">
          <w:rPr>
            <w:noProof/>
            <w:webHidden/>
          </w:rPr>
          <w:instrText xml:space="preserve"> PAGEREF _Toc154575199 \h </w:instrText>
        </w:r>
        <w:r w:rsidR="0087794A">
          <w:rPr>
            <w:noProof/>
            <w:webHidden/>
          </w:rPr>
        </w:r>
        <w:r w:rsidR="0087794A">
          <w:rPr>
            <w:noProof/>
            <w:webHidden/>
          </w:rPr>
          <w:fldChar w:fldCharType="separate"/>
        </w:r>
        <w:r w:rsidR="0087794A">
          <w:rPr>
            <w:noProof/>
            <w:webHidden/>
          </w:rPr>
          <w:t>23</w:t>
        </w:r>
        <w:r w:rsidR="0087794A">
          <w:rPr>
            <w:noProof/>
            <w:webHidden/>
          </w:rPr>
          <w:fldChar w:fldCharType="end"/>
        </w:r>
      </w:hyperlink>
    </w:p>
    <w:p w14:paraId="547A9F17" w14:textId="2261B029" w:rsidR="0087794A" w:rsidRDefault="006E0533">
      <w:pPr>
        <w:pStyle w:val="TableofFigures"/>
        <w:tabs>
          <w:tab w:val="right" w:leader="dot" w:pos="9628"/>
        </w:tabs>
        <w:rPr>
          <w:rFonts w:eastAsiaTheme="minorEastAsia"/>
          <w:noProof/>
          <w:kern w:val="2"/>
          <w:lang w:val="en-US"/>
          <w14:ligatures w14:val="standardContextual"/>
        </w:rPr>
      </w:pPr>
      <w:hyperlink w:anchor="_Toc154575200" w:history="1">
        <w:r w:rsidR="0087794A" w:rsidRPr="00C459BB">
          <w:rPr>
            <w:rStyle w:val="Hyperlink"/>
            <w:noProof/>
          </w:rPr>
          <w:t>Figure 1.9: Final energy consumption in households per capita for 2019, in kgoe (source: Eurostat)</w:t>
        </w:r>
        <w:r w:rsidR="0087794A">
          <w:rPr>
            <w:noProof/>
            <w:webHidden/>
          </w:rPr>
          <w:tab/>
        </w:r>
        <w:r w:rsidR="0087794A">
          <w:rPr>
            <w:noProof/>
            <w:webHidden/>
          </w:rPr>
          <w:fldChar w:fldCharType="begin"/>
        </w:r>
        <w:r w:rsidR="0087794A">
          <w:rPr>
            <w:noProof/>
            <w:webHidden/>
          </w:rPr>
          <w:instrText xml:space="preserve"> PAGEREF _Toc154575200 \h </w:instrText>
        </w:r>
        <w:r w:rsidR="0087794A">
          <w:rPr>
            <w:noProof/>
            <w:webHidden/>
          </w:rPr>
        </w:r>
        <w:r w:rsidR="0087794A">
          <w:rPr>
            <w:noProof/>
            <w:webHidden/>
          </w:rPr>
          <w:fldChar w:fldCharType="separate"/>
        </w:r>
        <w:r w:rsidR="0087794A">
          <w:rPr>
            <w:noProof/>
            <w:webHidden/>
          </w:rPr>
          <w:t>24</w:t>
        </w:r>
        <w:r w:rsidR="0087794A">
          <w:rPr>
            <w:noProof/>
            <w:webHidden/>
          </w:rPr>
          <w:fldChar w:fldCharType="end"/>
        </w:r>
      </w:hyperlink>
    </w:p>
    <w:p w14:paraId="7F360F6A" w14:textId="42A42FCD" w:rsidR="0087794A" w:rsidRDefault="006E0533">
      <w:pPr>
        <w:pStyle w:val="TableofFigures"/>
        <w:tabs>
          <w:tab w:val="right" w:leader="dot" w:pos="9628"/>
        </w:tabs>
        <w:rPr>
          <w:rFonts w:eastAsiaTheme="minorEastAsia"/>
          <w:noProof/>
          <w:kern w:val="2"/>
          <w:lang w:val="en-US"/>
          <w14:ligatures w14:val="standardContextual"/>
        </w:rPr>
      </w:pPr>
      <w:hyperlink w:anchor="_Toc154575201" w:history="1">
        <w:r w:rsidR="0087794A" w:rsidRPr="00C459BB">
          <w:rPr>
            <w:rStyle w:val="Hyperlink"/>
            <w:noProof/>
          </w:rPr>
          <w:t>Figure 1.10: Energy productivity for 2019, in EUR/kgoe (source: Eurostat)</w:t>
        </w:r>
        <w:r w:rsidR="0087794A">
          <w:rPr>
            <w:noProof/>
            <w:webHidden/>
          </w:rPr>
          <w:tab/>
        </w:r>
        <w:r w:rsidR="0087794A">
          <w:rPr>
            <w:noProof/>
            <w:webHidden/>
          </w:rPr>
          <w:fldChar w:fldCharType="begin"/>
        </w:r>
        <w:r w:rsidR="0087794A">
          <w:rPr>
            <w:noProof/>
            <w:webHidden/>
          </w:rPr>
          <w:instrText xml:space="preserve"> PAGEREF _Toc154575201 \h </w:instrText>
        </w:r>
        <w:r w:rsidR="0087794A">
          <w:rPr>
            <w:noProof/>
            <w:webHidden/>
          </w:rPr>
        </w:r>
        <w:r w:rsidR="0087794A">
          <w:rPr>
            <w:noProof/>
            <w:webHidden/>
          </w:rPr>
          <w:fldChar w:fldCharType="separate"/>
        </w:r>
        <w:r w:rsidR="0087794A">
          <w:rPr>
            <w:noProof/>
            <w:webHidden/>
          </w:rPr>
          <w:t>24</w:t>
        </w:r>
        <w:r w:rsidR="0087794A">
          <w:rPr>
            <w:noProof/>
            <w:webHidden/>
          </w:rPr>
          <w:fldChar w:fldCharType="end"/>
        </w:r>
      </w:hyperlink>
    </w:p>
    <w:p w14:paraId="57FA6272" w14:textId="124F9E46" w:rsidR="0087794A" w:rsidRDefault="006E0533">
      <w:pPr>
        <w:pStyle w:val="TableofFigures"/>
        <w:tabs>
          <w:tab w:val="right" w:leader="dot" w:pos="9628"/>
        </w:tabs>
        <w:rPr>
          <w:rFonts w:eastAsiaTheme="minorEastAsia"/>
          <w:noProof/>
          <w:kern w:val="2"/>
          <w:lang w:val="en-US"/>
          <w14:ligatures w14:val="standardContextual"/>
        </w:rPr>
      </w:pPr>
      <w:hyperlink w:anchor="_Toc154575202" w:history="1">
        <w:r w:rsidR="0087794A" w:rsidRPr="00C459BB">
          <w:rPr>
            <w:rStyle w:val="Hyperlink"/>
            <w:noProof/>
          </w:rPr>
          <w:t>Figure 1.11: Import dependence for 2019, in % (source: Eurostat)</w:t>
        </w:r>
        <w:r w:rsidR="0087794A">
          <w:rPr>
            <w:noProof/>
            <w:webHidden/>
          </w:rPr>
          <w:tab/>
        </w:r>
        <w:r w:rsidR="0087794A">
          <w:rPr>
            <w:noProof/>
            <w:webHidden/>
          </w:rPr>
          <w:fldChar w:fldCharType="begin"/>
        </w:r>
        <w:r w:rsidR="0087794A">
          <w:rPr>
            <w:noProof/>
            <w:webHidden/>
          </w:rPr>
          <w:instrText xml:space="preserve"> PAGEREF _Toc154575202 \h </w:instrText>
        </w:r>
        <w:r w:rsidR="0087794A">
          <w:rPr>
            <w:noProof/>
            <w:webHidden/>
          </w:rPr>
        </w:r>
        <w:r w:rsidR="0087794A">
          <w:rPr>
            <w:noProof/>
            <w:webHidden/>
          </w:rPr>
          <w:fldChar w:fldCharType="separate"/>
        </w:r>
        <w:r w:rsidR="0087794A">
          <w:rPr>
            <w:noProof/>
            <w:webHidden/>
          </w:rPr>
          <w:t>25</w:t>
        </w:r>
        <w:r w:rsidR="0087794A">
          <w:rPr>
            <w:noProof/>
            <w:webHidden/>
          </w:rPr>
          <w:fldChar w:fldCharType="end"/>
        </w:r>
      </w:hyperlink>
    </w:p>
    <w:p w14:paraId="3B9FA2E1" w14:textId="6C4497F5" w:rsidR="0087794A" w:rsidRDefault="006E0533">
      <w:pPr>
        <w:pStyle w:val="TableofFigures"/>
        <w:tabs>
          <w:tab w:val="right" w:leader="dot" w:pos="9628"/>
        </w:tabs>
        <w:rPr>
          <w:rFonts w:eastAsiaTheme="minorEastAsia"/>
          <w:noProof/>
          <w:kern w:val="2"/>
          <w:lang w:val="en-US"/>
          <w14:ligatures w14:val="standardContextual"/>
        </w:rPr>
      </w:pPr>
      <w:hyperlink w:anchor="_Toc154575203" w:history="1">
        <w:r w:rsidR="0087794A" w:rsidRPr="00C459BB">
          <w:rPr>
            <w:rStyle w:val="Hyperlink"/>
            <w:noProof/>
          </w:rPr>
          <w:t>Figure 1.12: Population unable to keep home adequately warm for 2019, in % (source: Eurostat)</w:t>
        </w:r>
        <w:r w:rsidR="0087794A">
          <w:rPr>
            <w:noProof/>
            <w:webHidden/>
          </w:rPr>
          <w:tab/>
        </w:r>
        <w:r w:rsidR="0087794A">
          <w:rPr>
            <w:noProof/>
            <w:webHidden/>
          </w:rPr>
          <w:fldChar w:fldCharType="begin"/>
        </w:r>
        <w:r w:rsidR="0087794A">
          <w:rPr>
            <w:noProof/>
            <w:webHidden/>
          </w:rPr>
          <w:instrText xml:space="preserve"> PAGEREF _Toc154575203 \h </w:instrText>
        </w:r>
        <w:r w:rsidR="0087794A">
          <w:rPr>
            <w:noProof/>
            <w:webHidden/>
          </w:rPr>
        </w:r>
        <w:r w:rsidR="0087794A">
          <w:rPr>
            <w:noProof/>
            <w:webHidden/>
          </w:rPr>
          <w:fldChar w:fldCharType="separate"/>
        </w:r>
        <w:r w:rsidR="0087794A">
          <w:rPr>
            <w:noProof/>
            <w:webHidden/>
          </w:rPr>
          <w:t>25</w:t>
        </w:r>
        <w:r w:rsidR="0087794A">
          <w:rPr>
            <w:noProof/>
            <w:webHidden/>
          </w:rPr>
          <w:fldChar w:fldCharType="end"/>
        </w:r>
      </w:hyperlink>
    </w:p>
    <w:p w14:paraId="7638680D" w14:textId="5BE10EEA" w:rsidR="0087794A" w:rsidRDefault="006E0533">
      <w:pPr>
        <w:pStyle w:val="TableofFigures"/>
        <w:tabs>
          <w:tab w:val="right" w:leader="dot" w:pos="9628"/>
        </w:tabs>
        <w:rPr>
          <w:rFonts w:eastAsiaTheme="minorEastAsia"/>
          <w:noProof/>
          <w:kern w:val="2"/>
          <w:lang w:val="en-US"/>
          <w14:ligatures w14:val="standardContextual"/>
        </w:rPr>
      </w:pPr>
      <w:hyperlink w:anchor="_Toc154575204" w:history="1">
        <w:r w:rsidR="0087794A" w:rsidRPr="00C459BB">
          <w:rPr>
            <w:rStyle w:val="Hyperlink"/>
            <w:noProof/>
          </w:rPr>
          <w:t>Figure 1.13: Gross domestic expenditure on R&amp;D for 2019, in % (source: Eurostat)</w:t>
        </w:r>
        <w:r w:rsidR="0087794A">
          <w:rPr>
            <w:noProof/>
            <w:webHidden/>
          </w:rPr>
          <w:tab/>
        </w:r>
        <w:r w:rsidR="0087794A">
          <w:rPr>
            <w:noProof/>
            <w:webHidden/>
          </w:rPr>
          <w:fldChar w:fldCharType="begin"/>
        </w:r>
        <w:r w:rsidR="0087794A">
          <w:rPr>
            <w:noProof/>
            <w:webHidden/>
          </w:rPr>
          <w:instrText xml:space="preserve"> PAGEREF _Toc154575204 \h </w:instrText>
        </w:r>
        <w:r w:rsidR="0087794A">
          <w:rPr>
            <w:noProof/>
            <w:webHidden/>
          </w:rPr>
        </w:r>
        <w:r w:rsidR="0087794A">
          <w:rPr>
            <w:noProof/>
            <w:webHidden/>
          </w:rPr>
          <w:fldChar w:fldCharType="separate"/>
        </w:r>
        <w:r w:rsidR="0087794A">
          <w:rPr>
            <w:noProof/>
            <w:webHidden/>
          </w:rPr>
          <w:t>26</w:t>
        </w:r>
        <w:r w:rsidR="0087794A">
          <w:rPr>
            <w:noProof/>
            <w:webHidden/>
          </w:rPr>
          <w:fldChar w:fldCharType="end"/>
        </w:r>
      </w:hyperlink>
    </w:p>
    <w:p w14:paraId="6CFCC483" w14:textId="3D6EAB0B" w:rsidR="0087794A" w:rsidRDefault="006E0533">
      <w:pPr>
        <w:pStyle w:val="TableofFigures"/>
        <w:tabs>
          <w:tab w:val="right" w:leader="dot" w:pos="9628"/>
        </w:tabs>
        <w:rPr>
          <w:rFonts w:eastAsiaTheme="minorEastAsia"/>
          <w:noProof/>
          <w:kern w:val="2"/>
          <w:lang w:val="en-US"/>
          <w14:ligatures w14:val="standardContextual"/>
        </w:rPr>
      </w:pPr>
      <w:hyperlink w:anchor="_Toc154575205" w:history="1">
        <w:r w:rsidR="0087794A" w:rsidRPr="00C459BB">
          <w:rPr>
            <w:rStyle w:val="Hyperlink"/>
            <w:noProof/>
          </w:rPr>
          <w:t>Figure 1.14: Governance of the preparation and development of the Integrated National Energy and Climate Plan</w:t>
        </w:r>
        <w:r w:rsidR="0087794A">
          <w:rPr>
            <w:noProof/>
            <w:webHidden/>
          </w:rPr>
          <w:tab/>
        </w:r>
        <w:r w:rsidR="0087794A">
          <w:rPr>
            <w:noProof/>
            <w:webHidden/>
          </w:rPr>
          <w:fldChar w:fldCharType="begin"/>
        </w:r>
        <w:r w:rsidR="0087794A">
          <w:rPr>
            <w:noProof/>
            <w:webHidden/>
          </w:rPr>
          <w:instrText xml:space="preserve"> PAGEREF _Toc154575205 \h </w:instrText>
        </w:r>
        <w:r w:rsidR="0087794A">
          <w:rPr>
            <w:noProof/>
            <w:webHidden/>
          </w:rPr>
        </w:r>
        <w:r w:rsidR="0087794A">
          <w:rPr>
            <w:noProof/>
            <w:webHidden/>
          </w:rPr>
          <w:fldChar w:fldCharType="separate"/>
        </w:r>
        <w:r w:rsidR="0087794A">
          <w:rPr>
            <w:noProof/>
            <w:webHidden/>
          </w:rPr>
          <w:t>41</w:t>
        </w:r>
        <w:r w:rsidR="0087794A">
          <w:rPr>
            <w:noProof/>
            <w:webHidden/>
          </w:rPr>
          <w:fldChar w:fldCharType="end"/>
        </w:r>
      </w:hyperlink>
    </w:p>
    <w:p w14:paraId="380BD74B" w14:textId="6986CDBF" w:rsidR="0087794A" w:rsidRDefault="006E0533">
      <w:pPr>
        <w:pStyle w:val="TableofFigures"/>
        <w:tabs>
          <w:tab w:val="right" w:leader="dot" w:pos="9628"/>
        </w:tabs>
        <w:rPr>
          <w:rFonts w:eastAsiaTheme="minorEastAsia"/>
          <w:noProof/>
          <w:kern w:val="2"/>
          <w:lang w:val="en-US"/>
          <w14:ligatures w14:val="standardContextual"/>
        </w:rPr>
      </w:pPr>
      <w:hyperlink w:anchor="_Toc154575206" w:history="1">
        <w:r w:rsidR="0087794A" w:rsidRPr="00C459BB">
          <w:rPr>
            <w:rStyle w:val="Hyperlink"/>
            <w:noProof/>
          </w:rPr>
          <w:t>Figure 1.15: Structure of the Working Groups per entities involved</w:t>
        </w:r>
        <w:r w:rsidR="0087794A">
          <w:rPr>
            <w:noProof/>
            <w:webHidden/>
          </w:rPr>
          <w:tab/>
        </w:r>
        <w:r w:rsidR="0087794A">
          <w:rPr>
            <w:noProof/>
            <w:webHidden/>
          </w:rPr>
          <w:fldChar w:fldCharType="begin"/>
        </w:r>
        <w:r w:rsidR="0087794A">
          <w:rPr>
            <w:noProof/>
            <w:webHidden/>
          </w:rPr>
          <w:instrText xml:space="preserve"> PAGEREF _Toc154575206 \h </w:instrText>
        </w:r>
        <w:r w:rsidR="0087794A">
          <w:rPr>
            <w:noProof/>
            <w:webHidden/>
          </w:rPr>
        </w:r>
        <w:r w:rsidR="0087794A">
          <w:rPr>
            <w:noProof/>
            <w:webHidden/>
          </w:rPr>
          <w:fldChar w:fldCharType="separate"/>
        </w:r>
        <w:r w:rsidR="0087794A">
          <w:rPr>
            <w:noProof/>
            <w:webHidden/>
          </w:rPr>
          <w:t>43</w:t>
        </w:r>
        <w:r w:rsidR="0087794A">
          <w:rPr>
            <w:noProof/>
            <w:webHidden/>
          </w:rPr>
          <w:fldChar w:fldCharType="end"/>
        </w:r>
      </w:hyperlink>
    </w:p>
    <w:p w14:paraId="394F1BE8" w14:textId="6F5F89D3" w:rsidR="0087794A" w:rsidRDefault="006E0533">
      <w:pPr>
        <w:pStyle w:val="TableofFigures"/>
        <w:tabs>
          <w:tab w:val="right" w:leader="dot" w:pos="9628"/>
        </w:tabs>
        <w:rPr>
          <w:rFonts w:eastAsiaTheme="minorEastAsia"/>
          <w:noProof/>
          <w:kern w:val="2"/>
          <w:lang w:val="en-US"/>
          <w14:ligatures w14:val="standardContextual"/>
        </w:rPr>
      </w:pPr>
      <w:hyperlink w:anchor="_Toc154575207" w:history="1">
        <w:r w:rsidR="0087794A" w:rsidRPr="00C459BB">
          <w:rPr>
            <w:rStyle w:val="Hyperlink"/>
            <w:noProof/>
          </w:rPr>
          <w:t>Figure 1.16: Involvement of project participants per dimension</w:t>
        </w:r>
        <w:r w:rsidR="0087794A">
          <w:rPr>
            <w:noProof/>
            <w:webHidden/>
          </w:rPr>
          <w:tab/>
        </w:r>
        <w:r w:rsidR="0087794A">
          <w:rPr>
            <w:noProof/>
            <w:webHidden/>
          </w:rPr>
          <w:fldChar w:fldCharType="begin"/>
        </w:r>
        <w:r w:rsidR="0087794A">
          <w:rPr>
            <w:noProof/>
            <w:webHidden/>
          </w:rPr>
          <w:instrText xml:space="preserve"> PAGEREF _Toc154575207 \h </w:instrText>
        </w:r>
        <w:r w:rsidR="0087794A">
          <w:rPr>
            <w:noProof/>
            <w:webHidden/>
          </w:rPr>
        </w:r>
        <w:r w:rsidR="0087794A">
          <w:rPr>
            <w:noProof/>
            <w:webHidden/>
          </w:rPr>
          <w:fldChar w:fldCharType="separate"/>
        </w:r>
        <w:r w:rsidR="0087794A">
          <w:rPr>
            <w:noProof/>
            <w:webHidden/>
          </w:rPr>
          <w:t>44</w:t>
        </w:r>
        <w:r w:rsidR="0087794A">
          <w:rPr>
            <w:noProof/>
            <w:webHidden/>
          </w:rPr>
          <w:fldChar w:fldCharType="end"/>
        </w:r>
      </w:hyperlink>
    </w:p>
    <w:p w14:paraId="2AEE6DF2" w14:textId="6807876E" w:rsidR="0087794A" w:rsidRDefault="006E0533">
      <w:pPr>
        <w:pStyle w:val="TableofFigures"/>
        <w:tabs>
          <w:tab w:val="right" w:leader="dot" w:pos="9628"/>
        </w:tabs>
        <w:rPr>
          <w:rFonts w:eastAsiaTheme="minorEastAsia"/>
          <w:noProof/>
          <w:kern w:val="2"/>
          <w:lang w:val="en-US"/>
          <w14:ligatures w14:val="standardContextual"/>
        </w:rPr>
      </w:pPr>
      <w:hyperlink w:anchor="_Toc154575208" w:history="1">
        <w:r w:rsidR="0087794A" w:rsidRPr="00C459BB">
          <w:rPr>
            <w:rStyle w:val="Hyperlink"/>
            <w:noProof/>
          </w:rPr>
          <w:t>Figure 4.1: Interconnections between modelling tools for the development of the INECP</w:t>
        </w:r>
        <w:r w:rsidR="0087794A">
          <w:rPr>
            <w:noProof/>
            <w:webHidden/>
          </w:rPr>
          <w:tab/>
        </w:r>
        <w:r w:rsidR="0087794A">
          <w:rPr>
            <w:noProof/>
            <w:webHidden/>
          </w:rPr>
          <w:fldChar w:fldCharType="begin"/>
        </w:r>
        <w:r w:rsidR="0087794A">
          <w:rPr>
            <w:noProof/>
            <w:webHidden/>
          </w:rPr>
          <w:instrText xml:space="preserve"> PAGEREF _Toc154575208 \h </w:instrText>
        </w:r>
        <w:r w:rsidR="0087794A">
          <w:rPr>
            <w:noProof/>
            <w:webHidden/>
          </w:rPr>
        </w:r>
        <w:r w:rsidR="0087794A">
          <w:rPr>
            <w:noProof/>
            <w:webHidden/>
          </w:rPr>
          <w:fldChar w:fldCharType="separate"/>
        </w:r>
        <w:r w:rsidR="0087794A">
          <w:rPr>
            <w:noProof/>
            <w:webHidden/>
          </w:rPr>
          <w:t>204</w:t>
        </w:r>
        <w:r w:rsidR="0087794A">
          <w:rPr>
            <w:noProof/>
            <w:webHidden/>
          </w:rPr>
          <w:fldChar w:fldCharType="end"/>
        </w:r>
      </w:hyperlink>
    </w:p>
    <w:p w14:paraId="17FCAE84" w14:textId="0B3B418F" w:rsidR="0087794A" w:rsidRDefault="006E0533">
      <w:pPr>
        <w:pStyle w:val="TableofFigures"/>
        <w:tabs>
          <w:tab w:val="right" w:leader="dot" w:pos="9628"/>
        </w:tabs>
        <w:rPr>
          <w:rFonts w:eastAsiaTheme="minorEastAsia"/>
          <w:noProof/>
          <w:kern w:val="2"/>
          <w:lang w:val="en-US"/>
          <w14:ligatures w14:val="standardContextual"/>
        </w:rPr>
      </w:pPr>
      <w:hyperlink w:anchor="_Toc154575209" w:history="1">
        <w:r w:rsidR="0087794A" w:rsidRPr="00C459BB">
          <w:rPr>
            <w:rStyle w:val="Hyperlink"/>
            <w:noProof/>
          </w:rPr>
          <w:t>Figure 4.2: Historical data of GDP and population over 2010-2020 (Sources: Statistical Office of the Republic of Serbia, Ministry of Finance, National Bank)</w:t>
        </w:r>
        <w:r w:rsidR="0087794A">
          <w:rPr>
            <w:noProof/>
            <w:webHidden/>
          </w:rPr>
          <w:tab/>
        </w:r>
        <w:r w:rsidR="0087794A">
          <w:rPr>
            <w:noProof/>
            <w:webHidden/>
          </w:rPr>
          <w:fldChar w:fldCharType="begin"/>
        </w:r>
        <w:r w:rsidR="0087794A">
          <w:rPr>
            <w:noProof/>
            <w:webHidden/>
          </w:rPr>
          <w:instrText xml:space="preserve"> PAGEREF _Toc154575209 \h </w:instrText>
        </w:r>
        <w:r w:rsidR="0087794A">
          <w:rPr>
            <w:noProof/>
            <w:webHidden/>
          </w:rPr>
        </w:r>
        <w:r w:rsidR="0087794A">
          <w:rPr>
            <w:noProof/>
            <w:webHidden/>
          </w:rPr>
          <w:fldChar w:fldCharType="separate"/>
        </w:r>
        <w:r w:rsidR="0087794A">
          <w:rPr>
            <w:noProof/>
            <w:webHidden/>
          </w:rPr>
          <w:t>205</w:t>
        </w:r>
        <w:r w:rsidR="0087794A">
          <w:rPr>
            <w:noProof/>
            <w:webHidden/>
          </w:rPr>
          <w:fldChar w:fldCharType="end"/>
        </w:r>
      </w:hyperlink>
    </w:p>
    <w:p w14:paraId="53BFAA03" w14:textId="79666A14" w:rsidR="0087794A" w:rsidRDefault="006E0533">
      <w:pPr>
        <w:pStyle w:val="TableofFigures"/>
        <w:tabs>
          <w:tab w:val="right" w:leader="dot" w:pos="9628"/>
        </w:tabs>
        <w:rPr>
          <w:rFonts w:eastAsiaTheme="minorEastAsia"/>
          <w:noProof/>
          <w:kern w:val="2"/>
          <w:lang w:val="en-US"/>
          <w14:ligatures w14:val="standardContextual"/>
        </w:rPr>
      </w:pPr>
      <w:hyperlink w:anchor="_Toc154575210" w:history="1">
        <w:r w:rsidR="0087794A" w:rsidRPr="00C459BB">
          <w:rPr>
            <w:rStyle w:val="Hyperlink"/>
            <w:noProof/>
          </w:rPr>
          <w:t>Figure 4.3: Evolution of GDP (in constant Euro 2015) and population until 2050 (Sources: Statistical Office of the Republic of Serbia, Ministry of Finance, National Bank, projections based on SSP)</w:t>
        </w:r>
        <w:r w:rsidR="0087794A">
          <w:rPr>
            <w:noProof/>
            <w:webHidden/>
          </w:rPr>
          <w:tab/>
        </w:r>
        <w:r w:rsidR="0087794A">
          <w:rPr>
            <w:noProof/>
            <w:webHidden/>
          </w:rPr>
          <w:fldChar w:fldCharType="begin"/>
        </w:r>
        <w:r w:rsidR="0087794A">
          <w:rPr>
            <w:noProof/>
            <w:webHidden/>
          </w:rPr>
          <w:instrText xml:space="preserve"> PAGEREF _Toc154575210 \h </w:instrText>
        </w:r>
        <w:r w:rsidR="0087794A">
          <w:rPr>
            <w:noProof/>
            <w:webHidden/>
          </w:rPr>
        </w:r>
        <w:r w:rsidR="0087794A">
          <w:rPr>
            <w:noProof/>
            <w:webHidden/>
          </w:rPr>
          <w:fldChar w:fldCharType="separate"/>
        </w:r>
        <w:r w:rsidR="0087794A">
          <w:rPr>
            <w:noProof/>
            <w:webHidden/>
          </w:rPr>
          <w:t>205</w:t>
        </w:r>
        <w:r w:rsidR="0087794A">
          <w:rPr>
            <w:noProof/>
            <w:webHidden/>
          </w:rPr>
          <w:fldChar w:fldCharType="end"/>
        </w:r>
      </w:hyperlink>
    </w:p>
    <w:p w14:paraId="7AEA076F" w14:textId="409EC19C" w:rsidR="0087794A" w:rsidRDefault="006E0533">
      <w:pPr>
        <w:pStyle w:val="TableofFigures"/>
        <w:tabs>
          <w:tab w:val="right" w:leader="dot" w:pos="9628"/>
        </w:tabs>
        <w:rPr>
          <w:rFonts w:eastAsiaTheme="minorEastAsia"/>
          <w:noProof/>
          <w:kern w:val="2"/>
          <w:lang w:val="en-US"/>
          <w14:ligatures w14:val="standardContextual"/>
        </w:rPr>
      </w:pPr>
      <w:hyperlink w:anchor="_Toc154575211" w:history="1">
        <w:r w:rsidR="0087794A" w:rsidRPr="00C459BB">
          <w:rPr>
            <w:rStyle w:val="Hyperlink"/>
            <w:noProof/>
          </w:rPr>
          <w:t>Figure 4.4: Evolution of GVA for different sectors of economic activity until 2050 (Sources: Statistical Office of the Republic of Serbia, Ministry of Finance, National Bank, projections based on SSP)</w:t>
        </w:r>
        <w:r w:rsidR="0087794A">
          <w:rPr>
            <w:noProof/>
            <w:webHidden/>
          </w:rPr>
          <w:tab/>
        </w:r>
        <w:r w:rsidR="0087794A">
          <w:rPr>
            <w:noProof/>
            <w:webHidden/>
          </w:rPr>
          <w:fldChar w:fldCharType="begin"/>
        </w:r>
        <w:r w:rsidR="0087794A">
          <w:rPr>
            <w:noProof/>
            <w:webHidden/>
          </w:rPr>
          <w:instrText xml:space="preserve"> PAGEREF _Toc154575211 \h </w:instrText>
        </w:r>
        <w:r w:rsidR="0087794A">
          <w:rPr>
            <w:noProof/>
            <w:webHidden/>
          </w:rPr>
        </w:r>
        <w:r w:rsidR="0087794A">
          <w:rPr>
            <w:noProof/>
            <w:webHidden/>
          </w:rPr>
          <w:fldChar w:fldCharType="separate"/>
        </w:r>
        <w:r w:rsidR="0087794A">
          <w:rPr>
            <w:noProof/>
            <w:webHidden/>
          </w:rPr>
          <w:t>206</w:t>
        </w:r>
        <w:r w:rsidR="0087794A">
          <w:rPr>
            <w:noProof/>
            <w:webHidden/>
          </w:rPr>
          <w:fldChar w:fldCharType="end"/>
        </w:r>
      </w:hyperlink>
    </w:p>
    <w:p w14:paraId="7F2C1F10" w14:textId="01D8A844" w:rsidR="0087794A" w:rsidRDefault="006E0533">
      <w:pPr>
        <w:pStyle w:val="TableofFigures"/>
        <w:tabs>
          <w:tab w:val="right" w:leader="dot" w:pos="9628"/>
        </w:tabs>
        <w:rPr>
          <w:rFonts w:eastAsiaTheme="minorEastAsia"/>
          <w:noProof/>
          <w:kern w:val="2"/>
          <w:lang w:val="en-US"/>
          <w14:ligatures w14:val="standardContextual"/>
        </w:rPr>
      </w:pPr>
      <w:hyperlink w:anchor="_Toc154575212" w:history="1">
        <w:r w:rsidR="0087794A" w:rsidRPr="00C459BB">
          <w:rPr>
            <w:rStyle w:val="Hyperlink"/>
            <w:noProof/>
            <w:lang w:eastAsia="el-GR"/>
          </w:rPr>
          <w:t xml:space="preserve">Figure 4.5: Evolution of value added of other industrial subsectors until 2050 </w:t>
        </w:r>
        <w:r w:rsidR="0087794A" w:rsidRPr="00C459BB">
          <w:rPr>
            <w:rStyle w:val="Hyperlink"/>
            <w:noProof/>
          </w:rPr>
          <w:t>(Sources: projections based on the SSP scenarios)</w:t>
        </w:r>
        <w:r w:rsidR="0087794A">
          <w:rPr>
            <w:noProof/>
            <w:webHidden/>
          </w:rPr>
          <w:tab/>
        </w:r>
        <w:r w:rsidR="0087794A">
          <w:rPr>
            <w:noProof/>
            <w:webHidden/>
          </w:rPr>
          <w:fldChar w:fldCharType="begin"/>
        </w:r>
        <w:r w:rsidR="0087794A">
          <w:rPr>
            <w:noProof/>
            <w:webHidden/>
          </w:rPr>
          <w:instrText xml:space="preserve"> PAGEREF _Toc154575212 \h </w:instrText>
        </w:r>
        <w:r w:rsidR="0087794A">
          <w:rPr>
            <w:noProof/>
            <w:webHidden/>
          </w:rPr>
        </w:r>
        <w:r w:rsidR="0087794A">
          <w:rPr>
            <w:noProof/>
            <w:webHidden/>
          </w:rPr>
          <w:fldChar w:fldCharType="separate"/>
        </w:r>
        <w:r w:rsidR="0087794A">
          <w:rPr>
            <w:noProof/>
            <w:webHidden/>
          </w:rPr>
          <w:t>206</w:t>
        </w:r>
        <w:r w:rsidR="0087794A">
          <w:rPr>
            <w:noProof/>
            <w:webHidden/>
          </w:rPr>
          <w:fldChar w:fldCharType="end"/>
        </w:r>
      </w:hyperlink>
    </w:p>
    <w:p w14:paraId="5AB09ED3" w14:textId="5632559B" w:rsidR="0087794A" w:rsidRDefault="006E0533">
      <w:pPr>
        <w:pStyle w:val="TableofFigures"/>
        <w:tabs>
          <w:tab w:val="right" w:leader="dot" w:pos="9628"/>
        </w:tabs>
        <w:rPr>
          <w:rFonts w:eastAsiaTheme="minorEastAsia"/>
          <w:noProof/>
          <w:kern w:val="2"/>
          <w:lang w:val="en-US"/>
          <w14:ligatures w14:val="standardContextual"/>
        </w:rPr>
      </w:pPr>
      <w:hyperlink w:anchor="_Toc154575213" w:history="1">
        <w:r w:rsidR="0087794A" w:rsidRPr="00C459BB">
          <w:rPr>
            <w:rStyle w:val="Hyperlink"/>
            <w:noProof/>
            <w:lang w:eastAsia="el-GR"/>
          </w:rPr>
          <w:t>Figure 4.6: Total GHG emissions (with and without LULUCF) over 2010-2019</w:t>
        </w:r>
        <w:r w:rsidR="0087794A">
          <w:rPr>
            <w:noProof/>
            <w:webHidden/>
          </w:rPr>
          <w:tab/>
        </w:r>
        <w:r w:rsidR="0087794A">
          <w:rPr>
            <w:noProof/>
            <w:webHidden/>
          </w:rPr>
          <w:fldChar w:fldCharType="begin"/>
        </w:r>
        <w:r w:rsidR="0087794A">
          <w:rPr>
            <w:noProof/>
            <w:webHidden/>
          </w:rPr>
          <w:instrText xml:space="preserve"> PAGEREF _Toc154575213 \h </w:instrText>
        </w:r>
        <w:r w:rsidR="0087794A">
          <w:rPr>
            <w:noProof/>
            <w:webHidden/>
          </w:rPr>
        </w:r>
        <w:r w:rsidR="0087794A">
          <w:rPr>
            <w:noProof/>
            <w:webHidden/>
          </w:rPr>
          <w:fldChar w:fldCharType="separate"/>
        </w:r>
        <w:r w:rsidR="0087794A">
          <w:rPr>
            <w:noProof/>
            <w:webHidden/>
          </w:rPr>
          <w:t>208</w:t>
        </w:r>
        <w:r w:rsidR="0087794A">
          <w:rPr>
            <w:noProof/>
            <w:webHidden/>
          </w:rPr>
          <w:fldChar w:fldCharType="end"/>
        </w:r>
      </w:hyperlink>
    </w:p>
    <w:p w14:paraId="44C9E1CA" w14:textId="578265F3" w:rsidR="0087794A" w:rsidRDefault="006E0533">
      <w:pPr>
        <w:pStyle w:val="TableofFigures"/>
        <w:tabs>
          <w:tab w:val="right" w:leader="dot" w:pos="9628"/>
        </w:tabs>
        <w:rPr>
          <w:rFonts w:eastAsiaTheme="minorEastAsia"/>
          <w:noProof/>
          <w:kern w:val="2"/>
          <w:lang w:val="en-US"/>
          <w14:ligatures w14:val="standardContextual"/>
        </w:rPr>
      </w:pPr>
      <w:hyperlink w:anchor="_Toc154575214" w:history="1">
        <w:r w:rsidR="0087794A" w:rsidRPr="00C459BB">
          <w:rPr>
            <w:rStyle w:val="Hyperlink"/>
            <w:noProof/>
            <w:lang w:eastAsia="el-GR"/>
          </w:rPr>
          <w:t>Figure 4.7: CO2 emissions by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_Toc154575214 \h </w:instrText>
        </w:r>
        <w:r w:rsidR="0087794A">
          <w:rPr>
            <w:noProof/>
            <w:webHidden/>
          </w:rPr>
        </w:r>
        <w:r w:rsidR="0087794A">
          <w:rPr>
            <w:noProof/>
            <w:webHidden/>
          </w:rPr>
          <w:fldChar w:fldCharType="separate"/>
        </w:r>
        <w:r w:rsidR="0087794A">
          <w:rPr>
            <w:noProof/>
            <w:webHidden/>
          </w:rPr>
          <w:t>209</w:t>
        </w:r>
        <w:r w:rsidR="0087794A">
          <w:rPr>
            <w:noProof/>
            <w:webHidden/>
          </w:rPr>
          <w:fldChar w:fldCharType="end"/>
        </w:r>
      </w:hyperlink>
    </w:p>
    <w:p w14:paraId="0FE7D3C2" w14:textId="14DAD392" w:rsidR="0087794A" w:rsidRDefault="006E0533">
      <w:pPr>
        <w:pStyle w:val="TableofFigures"/>
        <w:tabs>
          <w:tab w:val="right" w:leader="dot" w:pos="9628"/>
        </w:tabs>
        <w:rPr>
          <w:rFonts w:eastAsiaTheme="minorEastAsia"/>
          <w:noProof/>
          <w:kern w:val="2"/>
          <w:lang w:val="en-US"/>
          <w14:ligatures w14:val="standardContextual"/>
        </w:rPr>
      </w:pPr>
      <w:hyperlink w:anchor="_Toc154575215" w:history="1">
        <w:r w:rsidR="0087794A" w:rsidRPr="00C459BB">
          <w:rPr>
            <w:rStyle w:val="Hyperlink"/>
            <w:noProof/>
            <w:lang w:eastAsia="el-GR"/>
          </w:rPr>
          <w:t>Figure 4.8: CH4 emissions by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_Toc154575215 \h </w:instrText>
        </w:r>
        <w:r w:rsidR="0087794A">
          <w:rPr>
            <w:noProof/>
            <w:webHidden/>
          </w:rPr>
        </w:r>
        <w:r w:rsidR="0087794A">
          <w:rPr>
            <w:noProof/>
            <w:webHidden/>
          </w:rPr>
          <w:fldChar w:fldCharType="separate"/>
        </w:r>
        <w:r w:rsidR="0087794A">
          <w:rPr>
            <w:noProof/>
            <w:webHidden/>
          </w:rPr>
          <w:t>210</w:t>
        </w:r>
        <w:r w:rsidR="0087794A">
          <w:rPr>
            <w:noProof/>
            <w:webHidden/>
          </w:rPr>
          <w:fldChar w:fldCharType="end"/>
        </w:r>
      </w:hyperlink>
    </w:p>
    <w:p w14:paraId="4BB376FE" w14:textId="5C33A317" w:rsidR="0087794A" w:rsidRDefault="006E0533">
      <w:pPr>
        <w:pStyle w:val="TableofFigures"/>
        <w:tabs>
          <w:tab w:val="right" w:leader="dot" w:pos="9628"/>
        </w:tabs>
        <w:rPr>
          <w:rFonts w:eastAsiaTheme="minorEastAsia"/>
          <w:noProof/>
          <w:kern w:val="2"/>
          <w:lang w:val="en-US"/>
          <w14:ligatures w14:val="standardContextual"/>
        </w:rPr>
      </w:pPr>
      <w:hyperlink w:anchor="_Toc154575216" w:history="1">
        <w:r w:rsidR="0087794A" w:rsidRPr="00C459BB">
          <w:rPr>
            <w:rStyle w:val="Hyperlink"/>
            <w:noProof/>
          </w:rPr>
          <w:t>Figure 4.9: N2O emissions by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_Toc154575216 \h </w:instrText>
        </w:r>
        <w:r w:rsidR="0087794A">
          <w:rPr>
            <w:noProof/>
            <w:webHidden/>
          </w:rPr>
        </w:r>
        <w:r w:rsidR="0087794A">
          <w:rPr>
            <w:noProof/>
            <w:webHidden/>
          </w:rPr>
          <w:fldChar w:fldCharType="separate"/>
        </w:r>
        <w:r w:rsidR="0087794A">
          <w:rPr>
            <w:noProof/>
            <w:webHidden/>
          </w:rPr>
          <w:t>211</w:t>
        </w:r>
        <w:r w:rsidR="0087794A">
          <w:rPr>
            <w:noProof/>
            <w:webHidden/>
          </w:rPr>
          <w:fldChar w:fldCharType="end"/>
        </w:r>
      </w:hyperlink>
    </w:p>
    <w:p w14:paraId="3EE8CCFC" w14:textId="3B247DC3" w:rsidR="0087794A" w:rsidRDefault="006E0533">
      <w:pPr>
        <w:pStyle w:val="TableofFigures"/>
        <w:tabs>
          <w:tab w:val="right" w:leader="dot" w:pos="9628"/>
        </w:tabs>
        <w:rPr>
          <w:rFonts w:eastAsiaTheme="minorEastAsia"/>
          <w:noProof/>
          <w:kern w:val="2"/>
          <w:lang w:val="en-US"/>
          <w14:ligatures w14:val="standardContextual"/>
        </w:rPr>
      </w:pPr>
      <w:hyperlink w:anchor="_Toc154575217" w:history="1">
        <w:r w:rsidR="0087794A" w:rsidRPr="00C459BB">
          <w:rPr>
            <w:rStyle w:val="Hyperlink"/>
            <w:rFonts w:ascii="Calibri Light" w:hAnsi="Calibri Light" w:cs="Times New Roman"/>
            <w:b/>
            <w:bCs/>
            <w:noProof/>
          </w:rPr>
          <w:t>Figure 4.10: Total GHG emissions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_Toc154575217 \h </w:instrText>
        </w:r>
        <w:r w:rsidR="0087794A">
          <w:rPr>
            <w:noProof/>
            <w:webHidden/>
          </w:rPr>
        </w:r>
        <w:r w:rsidR="0087794A">
          <w:rPr>
            <w:noProof/>
            <w:webHidden/>
          </w:rPr>
          <w:fldChar w:fldCharType="separate"/>
        </w:r>
        <w:r w:rsidR="0087794A">
          <w:rPr>
            <w:noProof/>
            <w:webHidden/>
          </w:rPr>
          <w:t>211</w:t>
        </w:r>
        <w:r w:rsidR="0087794A">
          <w:rPr>
            <w:noProof/>
            <w:webHidden/>
          </w:rPr>
          <w:fldChar w:fldCharType="end"/>
        </w:r>
      </w:hyperlink>
    </w:p>
    <w:p w14:paraId="040CA9CE" w14:textId="5BAFBA75" w:rsidR="0087794A" w:rsidRDefault="006E0533">
      <w:pPr>
        <w:pStyle w:val="TableofFigures"/>
        <w:tabs>
          <w:tab w:val="right" w:leader="dot" w:pos="9628"/>
        </w:tabs>
        <w:rPr>
          <w:rFonts w:eastAsiaTheme="minorEastAsia"/>
          <w:noProof/>
          <w:kern w:val="2"/>
          <w:lang w:val="en-US"/>
          <w14:ligatures w14:val="standardContextual"/>
        </w:rPr>
      </w:pPr>
      <w:hyperlink w:anchor="_Toc154575218" w:history="1">
        <w:r w:rsidR="0087794A" w:rsidRPr="00C459BB">
          <w:rPr>
            <w:rStyle w:val="Hyperlink"/>
            <w:rFonts w:ascii="Calibri Light" w:hAnsi="Calibri Light" w:cs="Times New Roman"/>
            <w:b/>
            <w:bCs/>
            <w:noProof/>
          </w:rPr>
          <w:t>Figure 4.11: GHG emissions 2020-2050 from non-energy related sectors in the scenario with existing measures (WEM)</w:t>
        </w:r>
        <w:r w:rsidR="0087794A">
          <w:rPr>
            <w:noProof/>
            <w:webHidden/>
          </w:rPr>
          <w:tab/>
        </w:r>
        <w:r w:rsidR="0087794A">
          <w:rPr>
            <w:noProof/>
            <w:webHidden/>
          </w:rPr>
          <w:fldChar w:fldCharType="begin"/>
        </w:r>
        <w:r w:rsidR="0087794A">
          <w:rPr>
            <w:noProof/>
            <w:webHidden/>
          </w:rPr>
          <w:instrText xml:space="preserve"> PAGEREF _Toc154575218 \h </w:instrText>
        </w:r>
        <w:r w:rsidR="0087794A">
          <w:rPr>
            <w:noProof/>
            <w:webHidden/>
          </w:rPr>
        </w:r>
        <w:r w:rsidR="0087794A">
          <w:rPr>
            <w:noProof/>
            <w:webHidden/>
          </w:rPr>
          <w:fldChar w:fldCharType="separate"/>
        </w:r>
        <w:r w:rsidR="0087794A">
          <w:rPr>
            <w:noProof/>
            <w:webHidden/>
          </w:rPr>
          <w:t>212</w:t>
        </w:r>
        <w:r w:rsidR="0087794A">
          <w:rPr>
            <w:noProof/>
            <w:webHidden/>
          </w:rPr>
          <w:fldChar w:fldCharType="end"/>
        </w:r>
      </w:hyperlink>
    </w:p>
    <w:p w14:paraId="74DAF789" w14:textId="1A8A1130" w:rsidR="0087794A" w:rsidRDefault="006E0533">
      <w:pPr>
        <w:pStyle w:val="TableofFigures"/>
        <w:tabs>
          <w:tab w:val="right" w:leader="dot" w:pos="9628"/>
        </w:tabs>
        <w:rPr>
          <w:rFonts w:eastAsiaTheme="minorEastAsia"/>
          <w:noProof/>
          <w:kern w:val="2"/>
          <w:lang w:val="en-US"/>
          <w14:ligatures w14:val="standardContextual"/>
        </w:rPr>
      </w:pPr>
      <w:hyperlink w:anchor="_Toc154575219" w:history="1">
        <w:r w:rsidR="0087794A" w:rsidRPr="00C459BB">
          <w:rPr>
            <w:rStyle w:val="Hyperlink"/>
            <w:noProof/>
            <w:lang w:eastAsia="el-GR"/>
          </w:rPr>
          <w:t>Figure 4.12:CO2 emissions intensity per unit of GDP (kg CO2 from energy sources / € GDP)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_Toc154575219 \h </w:instrText>
        </w:r>
        <w:r w:rsidR="0087794A">
          <w:rPr>
            <w:noProof/>
            <w:webHidden/>
          </w:rPr>
        </w:r>
        <w:r w:rsidR="0087794A">
          <w:rPr>
            <w:noProof/>
            <w:webHidden/>
          </w:rPr>
          <w:fldChar w:fldCharType="separate"/>
        </w:r>
        <w:r w:rsidR="0087794A">
          <w:rPr>
            <w:noProof/>
            <w:webHidden/>
          </w:rPr>
          <w:t>212</w:t>
        </w:r>
        <w:r w:rsidR="0087794A">
          <w:rPr>
            <w:noProof/>
            <w:webHidden/>
          </w:rPr>
          <w:fldChar w:fldCharType="end"/>
        </w:r>
      </w:hyperlink>
    </w:p>
    <w:p w14:paraId="0F57295A" w14:textId="19B7F48B" w:rsidR="0087794A" w:rsidRDefault="006E0533">
      <w:pPr>
        <w:pStyle w:val="TableofFigures"/>
        <w:tabs>
          <w:tab w:val="right" w:leader="dot" w:pos="9628"/>
        </w:tabs>
        <w:rPr>
          <w:rFonts w:eastAsiaTheme="minorEastAsia"/>
          <w:noProof/>
          <w:kern w:val="2"/>
          <w:lang w:val="en-US"/>
          <w14:ligatures w14:val="standardContextual"/>
        </w:rPr>
      </w:pPr>
      <w:hyperlink w:anchor="_Toc154575220" w:history="1">
        <w:r w:rsidR="0087794A" w:rsidRPr="00C459BB">
          <w:rPr>
            <w:rStyle w:val="Hyperlink"/>
            <w:noProof/>
            <w:lang w:eastAsia="el-GR"/>
          </w:rPr>
          <w:t>Figure 4.13: Gross electricity production over 2010-2020 (Source: Eurostat, 2023)</w:t>
        </w:r>
        <w:r w:rsidR="0087794A">
          <w:rPr>
            <w:noProof/>
            <w:webHidden/>
          </w:rPr>
          <w:tab/>
        </w:r>
        <w:r w:rsidR="0087794A">
          <w:rPr>
            <w:noProof/>
            <w:webHidden/>
          </w:rPr>
          <w:fldChar w:fldCharType="begin"/>
        </w:r>
        <w:r w:rsidR="0087794A">
          <w:rPr>
            <w:noProof/>
            <w:webHidden/>
          </w:rPr>
          <w:instrText xml:space="preserve"> PAGEREF _Toc154575220 \h </w:instrText>
        </w:r>
        <w:r w:rsidR="0087794A">
          <w:rPr>
            <w:noProof/>
            <w:webHidden/>
          </w:rPr>
        </w:r>
        <w:r w:rsidR="0087794A">
          <w:rPr>
            <w:noProof/>
            <w:webHidden/>
          </w:rPr>
          <w:fldChar w:fldCharType="separate"/>
        </w:r>
        <w:r w:rsidR="0087794A">
          <w:rPr>
            <w:noProof/>
            <w:webHidden/>
          </w:rPr>
          <w:t>213</w:t>
        </w:r>
        <w:r w:rsidR="0087794A">
          <w:rPr>
            <w:noProof/>
            <w:webHidden/>
          </w:rPr>
          <w:fldChar w:fldCharType="end"/>
        </w:r>
      </w:hyperlink>
    </w:p>
    <w:p w14:paraId="1DDA0870" w14:textId="1169B405" w:rsidR="0087794A" w:rsidRDefault="006E0533">
      <w:pPr>
        <w:pStyle w:val="TableofFigures"/>
        <w:tabs>
          <w:tab w:val="right" w:leader="dot" w:pos="9628"/>
        </w:tabs>
        <w:rPr>
          <w:rFonts w:eastAsiaTheme="minorEastAsia"/>
          <w:noProof/>
          <w:kern w:val="2"/>
          <w:lang w:val="en-US"/>
          <w14:ligatures w14:val="standardContextual"/>
        </w:rPr>
      </w:pPr>
      <w:hyperlink w:anchor="_Toc154575221" w:history="1">
        <w:r w:rsidR="0087794A" w:rsidRPr="00C459BB">
          <w:rPr>
            <w:rStyle w:val="Hyperlink"/>
            <w:noProof/>
            <w:lang w:eastAsia="el-GR"/>
          </w:rPr>
          <w:t>Figure 4.14: Gross heat production over 2010-2020 (Source: Eurostat, 2023)</w:t>
        </w:r>
        <w:r w:rsidR="0087794A">
          <w:rPr>
            <w:noProof/>
            <w:webHidden/>
          </w:rPr>
          <w:tab/>
        </w:r>
        <w:r w:rsidR="0087794A">
          <w:rPr>
            <w:noProof/>
            <w:webHidden/>
          </w:rPr>
          <w:fldChar w:fldCharType="begin"/>
        </w:r>
        <w:r w:rsidR="0087794A">
          <w:rPr>
            <w:noProof/>
            <w:webHidden/>
          </w:rPr>
          <w:instrText xml:space="preserve"> PAGEREF _Toc154575221 \h </w:instrText>
        </w:r>
        <w:r w:rsidR="0087794A">
          <w:rPr>
            <w:noProof/>
            <w:webHidden/>
          </w:rPr>
        </w:r>
        <w:r w:rsidR="0087794A">
          <w:rPr>
            <w:noProof/>
            <w:webHidden/>
          </w:rPr>
          <w:fldChar w:fldCharType="separate"/>
        </w:r>
        <w:r w:rsidR="0087794A">
          <w:rPr>
            <w:noProof/>
            <w:webHidden/>
          </w:rPr>
          <w:t>213</w:t>
        </w:r>
        <w:r w:rsidR="0087794A">
          <w:rPr>
            <w:noProof/>
            <w:webHidden/>
          </w:rPr>
          <w:fldChar w:fldCharType="end"/>
        </w:r>
      </w:hyperlink>
    </w:p>
    <w:p w14:paraId="508260A4" w14:textId="1B456EB6" w:rsidR="0087794A" w:rsidRDefault="006E0533">
      <w:pPr>
        <w:pStyle w:val="TableofFigures"/>
        <w:tabs>
          <w:tab w:val="right" w:leader="dot" w:pos="9628"/>
        </w:tabs>
        <w:rPr>
          <w:rFonts w:eastAsiaTheme="minorEastAsia"/>
          <w:noProof/>
          <w:kern w:val="2"/>
          <w:lang w:val="en-US"/>
          <w14:ligatures w14:val="standardContextual"/>
        </w:rPr>
      </w:pPr>
      <w:hyperlink w:anchor="_Toc154575222" w:history="1">
        <w:r w:rsidR="0087794A" w:rsidRPr="00C459BB">
          <w:rPr>
            <w:rStyle w:val="Hyperlink"/>
            <w:noProof/>
          </w:rPr>
          <w:t>Figure 4.15: Shares of energy from RES over 2010-2020 (Source: Eurostat, 2023)</w:t>
        </w:r>
        <w:r w:rsidR="0087794A">
          <w:rPr>
            <w:noProof/>
            <w:webHidden/>
          </w:rPr>
          <w:tab/>
        </w:r>
        <w:r w:rsidR="0087794A">
          <w:rPr>
            <w:noProof/>
            <w:webHidden/>
          </w:rPr>
          <w:fldChar w:fldCharType="begin"/>
        </w:r>
        <w:r w:rsidR="0087794A">
          <w:rPr>
            <w:noProof/>
            <w:webHidden/>
          </w:rPr>
          <w:instrText xml:space="preserve"> PAGEREF _Toc154575222 \h </w:instrText>
        </w:r>
        <w:r w:rsidR="0087794A">
          <w:rPr>
            <w:noProof/>
            <w:webHidden/>
          </w:rPr>
        </w:r>
        <w:r w:rsidR="0087794A">
          <w:rPr>
            <w:noProof/>
            <w:webHidden/>
          </w:rPr>
          <w:fldChar w:fldCharType="separate"/>
        </w:r>
        <w:r w:rsidR="0087794A">
          <w:rPr>
            <w:noProof/>
            <w:webHidden/>
          </w:rPr>
          <w:t>214</w:t>
        </w:r>
        <w:r w:rsidR="0087794A">
          <w:rPr>
            <w:noProof/>
            <w:webHidden/>
          </w:rPr>
          <w:fldChar w:fldCharType="end"/>
        </w:r>
      </w:hyperlink>
    </w:p>
    <w:p w14:paraId="34C25702" w14:textId="0ABFFCC3" w:rsidR="0087794A" w:rsidRDefault="006E0533">
      <w:pPr>
        <w:pStyle w:val="TableofFigures"/>
        <w:tabs>
          <w:tab w:val="right" w:leader="dot" w:pos="9628"/>
        </w:tabs>
        <w:rPr>
          <w:rFonts w:eastAsiaTheme="minorEastAsia"/>
          <w:noProof/>
          <w:kern w:val="2"/>
          <w:lang w:val="en-US"/>
          <w14:ligatures w14:val="standardContextual"/>
        </w:rPr>
      </w:pPr>
      <w:hyperlink w:anchor="_Toc154575223" w:history="1">
        <w:r w:rsidR="0087794A" w:rsidRPr="00C459BB">
          <w:rPr>
            <w:rStyle w:val="Hyperlink"/>
            <w:noProof/>
            <w:lang w:eastAsia="el-GR"/>
          </w:rPr>
          <w:t>Figure 4.16: Share of RES in gross final energy consumption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_Toc154575223 \h </w:instrText>
        </w:r>
        <w:r w:rsidR="0087794A">
          <w:rPr>
            <w:noProof/>
            <w:webHidden/>
          </w:rPr>
        </w:r>
        <w:r w:rsidR="0087794A">
          <w:rPr>
            <w:noProof/>
            <w:webHidden/>
          </w:rPr>
          <w:fldChar w:fldCharType="separate"/>
        </w:r>
        <w:r w:rsidR="0087794A">
          <w:rPr>
            <w:noProof/>
            <w:webHidden/>
          </w:rPr>
          <w:t>214</w:t>
        </w:r>
        <w:r w:rsidR="0087794A">
          <w:rPr>
            <w:noProof/>
            <w:webHidden/>
          </w:rPr>
          <w:fldChar w:fldCharType="end"/>
        </w:r>
      </w:hyperlink>
    </w:p>
    <w:p w14:paraId="1E90C2FE" w14:textId="43CCA416" w:rsidR="0087794A" w:rsidRDefault="006E0533">
      <w:pPr>
        <w:pStyle w:val="TableofFigures"/>
        <w:tabs>
          <w:tab w:val="right" w:leader="dot" w:pos="9628"/>
        </w:tabs>
        <w:rPr>
          <w:rFonts w:eastAsiaTheme="minorEastAsia"/>
          <w:noProof/>
          <w:kern w:val="2"/>
          <w:lang w:val="en-US"/>
          <w14:ligatures w14:val="standardContextual"/>
        </w:rPr>
      </w:pPr>
      <w:hyperlink w:anchor="_Toc154575224" w:history="1">
        <w:r w:rsidR="0087794A" w:rsidRPr="00C459BB">
          <w:rPr>
            <w:rStyle w:val="Hyperlink"/>
            <w:noProof/>
          </w:rPr>
          <w:t>Figure 4.17: Share of RES in total electricity production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_Toc154575224 \h </w:instrText>
        </w:r>
        <w:r w:rsidR="0087794A">
          <w:rPr>
            <w:noProof/>
            <w:webHidden/>
          </w:rPr>
        </w:r>
        <w:r w:rsidR="0087794A">
          <w:rPr>
            <w:noProof/>
            <w:webHidden/>
          </w:rPr>
          <w:fldChar w:fldCharType="separate"/>
        </w:r>
        <w:r w:rsidR="0087794A">
          <w:rPr>
            <w:noProof/>
            <w:webHidden/>
          </w:rPr>
          <w:t>215</w:t>
        </w:r>
        <w:r w:rsidR="0087794A">
          <w:rPr>
            <w:noProof/>
            <w:webHidden/>
          </w:rPr>
          <w:fldChar w:fldCharType="end"/>
        </w:r>
      </w:hyperlink>
    </w:p>
    <w:p w14:paraId="329546E4" w14:textId="7517EA86" w:rsidR="0087794A" w:rsidRDefault="006E0533">
      <w:pPr>
        <w:pStyle w:val="TableofFigures"/>
        <w:tabs>
          <w:tab w:val="right" w:leader="dot" w:pos="9628"/>
        </w:tabs>
        <w:rPr>
          <w:rFonts w:eastAsiaTheme="minorEastAsia"/>
          <w:noProof/>
          <w:kern w:val="2"/>
          <w:lang w:val="en-US"/>
          <w14:ligatures w14:val="standardContextual"/>
        </w:rPr>
      </w:pPr>
      <w:hyperlink w:anchor="_Toc154575225" w:history="1">
        <w:r w:rsidR="0087794A" w:rsidRPr="00C459BB">
          <w:rPr>
            <w:rStyle w:val="Hyperlink"/>
            <w:noProof/>
          </w:rPr>
          <w:t>Figure 4.18: Installed capacity per technology in the power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_Toc154575225 \h </w:instrText>
        </w:r>
        <w:r w:rsidR="0087794A">
          <w:rPr>
            <w:noProof/>
            <w:webHidden/>
          </w:rPr>
        </w:r>
        <w:r w:rsidR="0087794A">
          <w:rPr>
            <w:noProof/>
            <w:webHidden/>
          </w:rPr>
          <w:fldChar w:fldCharType="separate"/>
        </w:r>
        <w:r w:rsidR="0087794A">
          <w:rPr>
            <w:noProof/>
            <w:webHidden/>
          </w:rPr>
          <w:t>216</w:t>
        </w:r>
        <w:r w:rsidR="0087794A">
          <w:rPr>
            <w:noProof/>
            <w:webHidden/>
          </w:rPr>
          <w:fldChar w:fldCharType="end"/>
        </w:r>
      </w:hyperlink>
    </w:p>
    <w:p w14:paraId="23CD70A5" w14:textId="3138B73F" w:rsidR="0087794A" w:rsidRDefault="006E0533">
      <w:pPr>
        <w:pStyle w:val="TableofFigures"/>
        <w:tabs>
          <w:tab w:val="right" w:leader="dot" w:pos="9628"/>
        </w:tabs>
        <w:rPr>
          <w:rFonts w:eastAsiaTheme="minorEastAsia"/>
          <w:noProof/>
          <w:kern w:val="2"/>
          <w:lang w:val="en-US"/>
          <w14:ligatures w14:val="standardContextual"/>
        </w:rPr>
      </w:pPr>
      <w:hyperlink w:anchor="_Toc154575226" w:history="1">
        <w:r w:rsidR="0087794A" w:rsidRPr="00C459BB">
          <w:rPr>
            <w:rStyle w:val="Hyperlink"/>
            <w:noProof/>
          </w:rPr>
          <w:t>Figure 4.19: Installed RES capacity per technology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_Toc154575226 \h </w:instrText>
        </w:r>
        <w:r w:rsidR="0087794A">
          <w:rPr>
            <w:noProof/>
            <w:webHidden/>
          </w:rPr>
        </w:r>
        <w:r w:rsidR="0087794A">
          <w:rPr>
            <w:noProof/>
            <w:webHidden/>
          </w:rPr>
          <w:fldChar w:fldCharType="separate"/>
        </w:r>
        <w:r w:rsidR="0087794A">
          <w:rPr>
            <w:noProof/>
            <w:webHidden/>
          </w:rPr>
          <w:t>217</w:t>
        </w:r>
        <w:r w:rsidR="0087794A">
          <w:rPr>
            <w:noProof/>
            <w:webHidden/>
          </w:rPr>
          <w:fldChar w:fldCharType="end"/>
        </w:r>
      </w:hyperlink>
    </w:p>
    <w:p w14:paraId="1B673F4A" w14:textId="31B42E32" w:rsidR="0087794A" w:rsidRDefault="006E0533">
      <w:pPr>
        <w:pStyle w:val="TableofFigures"/>
        <w:tabs>
          <w:tab w:val="right" w:leader="dot" w:pos="9628"/>
        </w:tabs>
        <w:rPr>
          <w:rFonts w:eastAsiaTheme="minorEastAsia"/>
          <w:noProof/>
          <w:kern w:val="2"/>
          <w:lang w:val="en-US"/>
          <w14:ligatures w14:val="standardContextual"/>
        </w:rPr>
      </w:pPr>
      <w:hyperlink w:anchor="_Toc154575227" w:history="1">
        <w:r w:rsidR="0087794A" w:rsidRPr="00C459BB">
          <w:rPr>
            <w:rStyle w:val="Hyperlink"/>
            <w:noProof/>
          </w:rPr>
          <w:t>Figure 4.20: Share of RES in Heating and Cooling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_Toc154575227 \h </w:instrText>
        </w:r>
        <w:r w:rsidR="0087794A">
          <w:rPr>
            <w:noProof/>
            <w:webHidden/>
          </w:rPr>
        </w:r>
        <w:r w:rsidR="0087794A">
          <w:rPr>
            <w:noProof/>
            <w:webHidden/>
          </w:rPr>
          <w:fldChar w:fldCharType="separate"/>
        </w:r>
        <w:r w:rsidR="0087794A">
          <w:rPr>
            <w:noProof/>
            <w:webHidden/>
          </w:rPr>
          <w:t>218</w:t>
        </w:r>
        <w:r w:rsidR="0087794A">
          <w:rPr>
            <w:noProof/>
            <w:webHidden/>
          </w:rPr>
          <w:fldChar w:fldCharType="end"/>
        </w:r>
      </w:hyperlink>
    </w:p>
    <w:p w14:paraId="62F3A916" w14:textId="681A7D04" w:rsidR="0087794A" w:rsidRDefault="006E0533">
      <w:pPr>
        <w:pStyle w:val="TableofFigures"/>
        <w:tabs>
          <w:tab w:val="right" w:leader="dot" w:pos="9628"/>
        </w:tabs>
        <w:rPr>
          <w:rFonts w:eastAsiaTheme="minorEastAsia"/>
          <w:noProof/>
          <w:kern w:val="2"/>
          <w:lang w:val="en-US"/>
          <w14:ligatures w14:val="standardContextual"/>
        </w:rPr>
      </w:pPr>
      <w:hyperlink w:anchor="_Toc154575228" w:history="1">
        <w:r w:rsidR="0087794A" w:rsidRPr="00C459BB">
          <w:rPr>
            <w:rStyle w:val="Hyperlink"/>
            <w:noProof/>
          </w:rPr>
          <w:t>Figure 4.21: Share of RES in transportation (without multipliers)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_Toc154575228 \h </w:instrText>
        </w:r>
        <w:r w:rsidR="0087794A">
          <w:rPr>
            <w:noProof/>
            <w:webHidden/>
          </w:rPr>
        </w:r>
        <w:r w:rsidR="0087794A">
          <w:rPr>
            <w:noProof/>
            <w:webHidden/>
          </w:rPr>
          <w:fldChar w:fldCharType="separate"/>
        </w:r>
        <w:r w:rsidR="0087794A">
          <w:rPr>
            <w:noProof/>
            <w:webHidden/>
          </w:rPr>
          <w:t>218</w:t>
        </w:r>
        <w:r w:rsidR="0087794A">
          <w:rPr>
            <w:noProof/>
            <w:webHidden/>
          </w:rPr>
          <w:fldChar w:fldCharType="end"/>
        </w:r>
      </w:hyperlink>
    </w:p>
    <w:p w14:paraId="38AA9B77" w14:textId="55769387" w:rsidR="0087794A" w:rsidRDefault="006E0533">
      <w:pPr>
        <w:pStyle w:val="TableofFigures"/>
        <w:tabs>
          <w:tab w:val="right" w:leader="dot" w:pos="9628"/>
        </w:tabs>
        <w:rPr>
          <w:rFonts w:eastAsiaTheme="minorEastAsia"/>
          <w:noProof/>
          <w:kern w:val="2"/>
          <w:lang w:val="en-US"/>
          <w14:ligatures w14:val="standardContextual"/>
        </w:rPr>
      </w:pPr>
      <w:hyperlink w:anchor="_Toc154575229" w:history="1">
        <w:r w:rsidR="0087794A" w:rsidRPr="00C459BB">
          <w:rPr>
            <w:rStyle w:val="Hyperlink"/>
            <w:noProof/>
            <w:lang w:eastAsia="el-GR"/>
          </w:rPr>
          <w:t>Figure 4.22: Electricity consumption from RES in transport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_Toc154575229 \h </w:instrText>
        </w:r>
        <w:r w:rsidR="0087794A">
          <w:rPr>
            <w:noProof/>
            <w:webHidden/>
          </w:rPr>
        </w:r>
        <w:r w:rsidR="0087794A">
          <w:rPr>
            <w:noProof/>
            <w:webHidden/>
          </w:rPr>
          <w:fldChar w:fldCharType="separate"/>
        </w:r>
        <w:r w:rsidR="0087794A">
          <w:rPr>
            <w:noProof/>
            <w:webHidden/>
          </w:rPr>
          <w:t>219</w:t>
        </w:r>
        <w:r w:rsidR="0087794A">
          <w:rPr>
            <w:noProof/>
            <w:webHidden/>
          </w:rPr>
          <w:fldChar w:fldCharType="end"/>
        </w:r>
      </w:hyperlink>
    </w:p>
    <w:p w14:paraId="041B0258" w14:textId="00E3AE3D" w:rsidR="0087794A" w:rsidRDefault="006E0533">
      <w:pPr>
        <w:pStyle w:val="TableofFigures"/>
        <w:tabs>
          <w:tab w:val="right" w:leader="dot" w:pos="9628"/>
        </w:tabs>
        <w:rPr>
          <w:rFonts w:eastAsiaTheme="minorEastAsia"/>
          <w:noProof/>
          <w:kern w:val="2"/>
          <w:lang w:val="en-US"/>
          <w14:ligatures w14:val="standardContextual"/>
        </w:rPr>
      </w:pPr>
      <w:hyperlink w:anchor="_Toc154575230" w:history="1">
        <w:r w:rsidR="0087794A" w:rsidRPr="00C459BB">
          <w:rPr>
            <w:rStyle w:val="Hyperlink"/>
            <w:noProof/>
          </w:rPr>
          <w:t>Figure 4.23: Gross inland consumption over 2010-2020 (Source: Eurostat, 2023)</w:t>
        </w:r>
        <w:r w:rsidR="0087794A">
          <w:rPr>
            <w:noProof/>
            <w:webHidden/>
          </w:rPr>
          <w:tab/>
        </w:r>
        <w:r w:rsidR="0087794A">
          <w:rPr>
            <w:noProof/>
            <w:webHidden/>
          </w:rPr>
          <w:fldChar w:fldCharType="begin"/>
        </w:r>
        <w:r w:rsidR="0087794A">
          <w:rPr>
            <w:noProof/>
            <w:webHidden/>
          </w:rPr>
          <w:instrText xml:space="preserve"> PAGEREF _Toc154575230 \h </w:instrText>
        </w:r>
        <w:r w:rsidR="0087794A">
          <w:rPr>
            <w:noProof/>
            <w:webHidden/>
          </w:rPr>
        </w:r>
        <w:r w:rsidR="0087794A">
          <w:rPr>
            <w:noProof/>
            <w:webHidden/>
          </w:rPr>
          <w:fldChar w:fldCharType="separate"/>
        </w:r>
        <w:r w:rsidR="0087794A">
          <w:rPr>
            <w:noProof/>
            <w:webHidden/>
          </w:rPr>
          <w:t>220</w:t>
        </w:r>
        <w:r w:rsidR="0087794A">
          <w:rPr>
            <w:noProof/>
            <w:webHidden/>
          </w:rPr>
          <w:fldChar w:fldCharType="end"/>
        </w:r>
      </w:hyperlink>
    </w:p>
    <w:p w14:paraId="1B35A2D8" w14:textId="35E6232D" w:rsidR="0087794A" w:rsidRDefault="006E0533">
      <w:pPr>
        <w:pStyle w:val="TableofFigures"/>
        <w:tabs>
          <w:tab w:val="right" w:leader="dot" w:pos="9628"/>
        </w:tabs>
        <w:rPr>
          <w:rFonts w:eastAsiaTheme="minorEastAsia"/>
          <w:noProof/>
          <w:kern w:val="2"/>
          <w:lang w:val="en-US"/>
          <w14:ligatures w14:val="standardContextual"/>
        </w:rPr>
      </w:pPr>
      <w:hyperlink w:anchor="_Toc154575231" w:history="1">
        <w:r w:rsidR="0087794A" w:rsidRPr="00C459BB">
          <w:rPr>
            <w:rStyle w:val="Hyperlink"/>
            <w:noProof/>
            <w:lang w:eastAsia="el-GR"/>
          </w:rPr>
          <w:t>Figure 4.24: Primary and final energy consumption over 2010-2020 (Source: Eurostat, 2023)</w:t>
        </w:r>
        <w:r w:rsidR="0087794A">
          <w:rPr>
            <w:noProof/>
            <w:webHidden/>
          </w:rPr>
          <w:tab/>
        </w:r>
        <w:r w:rsidR="0087794A">
          <w:rPr>
            <w:noProof/>
            <w:webHidden/>
          </w:rPr>
          <w:fldChar w:fldCharType="begin"/>
        </w:r>
        <w:r w:rsidR="0087794A">
          <w:rPr>
            <w:noProof/>
            <w:webHidden/>
          </w:rPr>
          <w:instrText xml:space="preserve"> PAGEREF _Toc154575231 \h </w:instrText>
        </w:r>
        <w:r w:rsidR="0087794A">
          <w:rPr>
            <w:noProof/>
            <w:webHidden/>
          </w:rPr>
        </w:r>
        <w:r w:rsidR="0087794A">
          <w:rPr>
            <w:noProof/>
            <w:webHidden/>
          </w:rPr>
          <w:fldChar w:fldCharType="separate"/>
        </w:r>
        <w:r w:rsidR="0087794A">
          <w:rPr>
            <w:noProof/>
            <w:webHidden/>
          </w:rPr>
          <w:t>220</w:t>
        </w:r>
        <w:r w:rsidR="0087794A">
          <w:rPr>
            <w:noProof/>
            <w:webHidden/>
          </w:rPr>
          <w:fldChar w:fldCharType="end"/>
        </w:r>
      </w:hyperlink>
    </w:p>
    <w:p w14:paraId="73B4E6C6" w14:textId="78970C81" w:rsidR="0087794A" w:rsidRDefault="006E0533">
      <w:pPr>
        <w:pStyle w:val="TableofFigures"/>
        <w:tabs>
          <w:tab w:val="right" w:leader="dot" w:pos="9628"/>
        </w:tabs>
        <w:rPr>
          <w:rFonts w:eastAsiaTheme="minorEastAsia"/>
          <w:noProof/>
          <w:kern w:val="2"/>
          <w:lang w:val="en-US"/>
          <w14:ligatures w14:val="standardContextual"/>
        </w:rPr>
      </w:pPr>
      <w:hyperlink w:anchor="_Toc154575232" w:history="1">
        <w:r w:rsidR="0087794A" w:rsidRPr="00C459BB">
          <w:rPr>
            <w:rStyle w:val="Hyperlink"/>
            <w:noProof/>
          </w:rPr>
          <w:t>Figure 4.25: Final energy consumption by fuel over 2010-2020 (Source: Eurostat, 2023)</w:t>
        </w:r>
        <w:r w:rsidR="0087794A">
          <w:rPr>
            <w:noProof/>
            <w:webHidden/>
          </w:rPr>
          <w:tab/>
        </w:r>
        <w:r w:rsidR="0087794A">
          <w:rPr>
            <w:noProof/>
            <w:webHidden/>
          </w:rPr>
          <w:fldChar w:fldCharType="begin"/>
        </w:r>
        <w:r w:rsidR="0087794A">
          <w:rPr>
            <w:noProof/>
            <w:webHidden/>
          </w:rPr>
          <w:instrText xml:space="preserve"> PAGEREF _Toc154575232 \h </w:instrText>
        </w:r>
        <w:r w:rsidR="0087794A">
          <w:rPr>
            <w:noProof/>
            <w:webHidden/>
          </w:rPr>
        </w:r>
        <w:r w:rsidR="0087794A">
          <w:rPr>
            <w:noProof/>
            <w:webHidden/>
          </w:rPr>
          <w:fldChar w:fldCharType="separate"/>
        </w:r>
        <w:r w:rsidR="0087794A">
          <w:rPr>
            <w:noProof/>
            <w:webHidden/>
          </w:rPr>
          <w:t>221</w:t>
        </w:r>
        <w:r w:rsidR="0087794A">
          <w:rPr>
            <w:noProof/>
            <w:webHidden/>
          </w:rPr>
          <w:fldChar w:fldCharType="end"/>
        </w:r>
      </w:hyperlink>
    </w:p>
    <w:p w14:paraId="7E061D82" w14:textId="0BE4E1D1" w:rsidR="0087794A" w:rsidRDefault="006E0533">
      <w:pPr>
        <w:pStyle w:val="TableofFigures"/>
        <w:tabs>
          <w:tab w:val="right" w:leader="dot" w:pos="9628"/>
        </w:tabs>
        <w:rPr>
          <w:rFonts w:eastAsiaTheme="minorEastAsia"/>
          <w:noProof/>
          <w:kern w:val="2"/>
          <w:lang w:val="en-US"/>
          <w14:ligatures w14:val="standardContextual"/>
        </w:rPr>
      </w:pPr>
      <w:hyperlink w:anchor="_Toc154575233" w:history="1">
        <w:r w:rsidR="0087794A" w:rsidRPr="00C459BB">
          <w:rPr>
            <w:rStyle w:val="Hyperlink"/>
            <w:noProof/>
            <w:lang w:eastAsia="el-GR"/>
          </w:rPr>
          <w:t>Figure 4.26: Final energy consumption by end-use sector over 2010-2020 (Source: Eurostat, 2023)</w:t>
        </w:r>
        <w:r w:rsidR="0087794A">
          <w:rPr>
            <w:noProof/>
            <w:webHidden/>
          </w:rPr>
          <w:tab/>
        </w:r>
        <w:r w:rsidR="0087794A">
          <w:rPr>
            <w:noProof/>
            <w:webHidden/>
          </w:rPr>
          <w:fldChar w:fldCharType="begin"/>
        </w:r>
        <w:r w:rsidR="0087794A">
          <w:rPr>
            <w:noProof/>
            <w:webHidden/>
          </w:rPr>
          <w:instrText xml:space="preserve"> PAGEREF _Toc154575233 \h </w:instrText>
        </w:r>
        <w:r w:rsidR="0087794A">
          <w:rPr>
            <w:noProof/>
            <w:webHidden/>
          </w:rPr>
        </w:r>
        <w:r w:rsidR="0087794A">
          <w:rPr>
            <w:noProof/>
            <w:webHidden/>
          </w:rPr>
          <w:fldChar w:fldCharType="separate"/>
        </w:r>
        <w:r w:rsidR="0087794A">
          <w:rPr>
            <w:noProof/>
            <w:webHidden/>
          </w:rPr>
          <w:t>221</w:t>
        </w:r>
        <w:r w:rsidR="0087794A">
          <w:rPr>
            <w:noProof/>
            <w:webHidden/>
          </w:rPr>
          <w:fldChar w:fldCharType="end"/>
        </w:r>
      </w:hyperlink>
    </w:p>
    <w:p w14:paraId="4BA6ED80" w14:textId="33FEC652" w:rsidR="0087794A" w:rsidRDefault="006E0533">
      <w:pPr>
        <w:pStyle w:val="TableofFigures"/>
        <w:tabs>
          <w:tab w:val="right" w:leader="dot" w:pos="9628"/>
        </w:tabs>
        <w:rPr>
          <w:rFonts w:eastAsiaTheme="minorEastAsia"/>
          <w:noProof/>
          <w:kern w:val="2"/>
          <w:lang w:val="en-US"/>
          <w14:ligatures w14:val="standardContextual"/>
        </w:rPr>
      </w:pPr>
      <w:hyperlink w:anchor="_Toc154575234" w:history="1">
        <w:r w:rsidR="0087794A" w:rsidRPr="00C459BB">
          <w:rPr>
            <w:rStyle w:val="Hyperlink"/>
            <w:noProof/>
            <w:lang w:eastAsia="el-GR"/>
          </w:rPr>
          <w:t>Figure 4.27: Primary and final energy consumption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_Toc154575234 \h </w:instrText>
        </w:r>
        <w:r w:rsidR="0087794A">
          <w:rPr>
            <w:noProof/>
            <w:webHidden/>
          </w:rPr>
        </w:r>
        <w:r w:rsidR="0087794A">
          <w:rPr>
            <w:noProof/>
            <w:webHidden/>
          </w:rPr>
          <w:fldChar w:fldCharType="separate"/>
        </w:r>
        <w:r w:rsidR="0087794A">
          <w:rPr>
            <w:noProof/>
            <w:webHidden/>
          </w:rPr>
          <w:t>222</w:t>
        </w:r>
        <w:r w:rsidR="0087794A">
          <w:rPr>
            <w:noProof/>
            <w:webHidden/>
          </w:rPr>
          <w:fldChar w:fldCharType="end"/>
        </w:r>
      </w:hyperlink>
    </w:p>
    <w:p w14:paraId="5DF22948" w14:textId="391C8609" w:rsidR="0087794A" w:rsidRDefault="006E0533">
      <w:pPr>
        <w:pStyle w:val="TableofFigures"/>
        <w:tabs>
          <w:tab w:val="right" w:leader="dot" w:pos="9628"/>
        </w:tabs>
        <w:rPr>
          <w:rFonts w:eastAsiaTheme="minorEastAsia"/>
          <w:noProof/>
          <w:kern w:val="2"/>
          <w:lang w:val="en-US"/>
          <w14:ligatures w14:val="standardContextual"/>
        </w:rPr>
      </w:pPr>
      <w:hyperlink w:anchor="_Toc154575235" w:history="1">
        <w:r w:rsidR="0087794A" w:rsidRPr="00C459BB">
          <w:rPr>
            <w:rStyle w:val="Hyperlink"/>
            <w:noProof/>
          </w:rPr>
          <w:t>Figure 4.28: Final energy consumption by fuel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_Toc154575235 \h </w:instrText>
        </w:r>
        <w:r w:rsidR="0087794A">
          <w:rPr>
            <w:noProof/>
            <w:webHidden/>
          </w:rPr>
        </w:r>
        <w:r w:rsidR="0087794A">
          <w:rPr>
            <w:noProof/>
            <w:webHidden/>
          </w:rPr>
          <w:fldChar w:fldCharType="separate"/>
        </w:r>
        <w:r w:rsidR="0087794A">
          <w:rPr>
            <w:noProof/>
            <w:webHidden/>
          </w:rPr>
          <w:t>223</w:t>
        </w:r>
        <w:r w:rsidR="0087794A">
          <w:rPr>
            <w:noProof/>
            <w:webHidden/>
          </w:rPr>
          <w:fldChar w:fldCharType="end"/>
        </w:r>
      </w:hyperlink>
    </w:p>
    <w:p w14:paraId="2E268A92" w14:textId="60CB52A3" w:rsidR="0087794A" w:rsidRDefault="006E0533">
      <w:pPr>
        <w:pStyle w:val="TableofFigures"/>
        <w:tabs>
          <w:tab w:val="right" w:leader="dot" w:pos="9628"/>
        </w:tabs>
        <w:rPr>
          <w:rFonts w:eastAsiaTheme="minorEastAsia"/>
          <w:noProof/>
          <w:kern w:val="2"/>
          <w:lang w:val="en-US"/>
          <w14:ligatures w14:val="standardContextual"/>
        </w:rPr>
      </w:pPr>
      <w:hyperlink w:anchor="_Toc154575236" w:history="1">
        <w:r w:rsidR="0087794A" w:rsidRPr="00C459BB">
          <w:rPr>
            <w:rStyle w:val="Hyperlink"/>
            <w:noProof/>
            <w:lang w:eastAsia="el-GR"/>
          </w:rPr>
          <w:t>Figure 4.29: Final energy intensity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_Toc154575236 \h </w:instrText>
        </w:r>
        <w:r w:rsidR="0087794A">
          <w:rPr>
            <w:noProof/>
            <w:webHidden/>
          </w:rPr>
        </w:r>
        <w:r w:rsidR="0087794A">
          <w:rPr>
            <w:noProof/>
            <w:webHidden/>
          </w:rPr>
          <w:fldChar w:fldCharType="separate"/>
        </w:r>
        <w:r w:rsidR="0087794A">
          <w:rPr>
            <w:noProof/>
            <w:webHidden/>
          </w:rPr>
          <w:t>223</w:t>
        </w:r>
        <w:r w:rsidR="0087794A">
          <w:rPr>
            <w:noProof/>
            <w:webHidden/>
          </w:rPr>
          <w:fldChar w:fldCharType="end"/>
        </w:r>
      </w:hyperlink>
    </w:p>
    <w:p w14:paraId="179ECD98" w14:textId="05F6B7CE" w:rsidR="0087794A" w:rsidRDefault="006E0533">
      <w:pPr>
        <w:pStyle w:val="TableofFigures"/>
        <w:tabs>
          <w:tab w:val="right" w:leader="dot" w:pos="9628"/>
        </w:tabs>
        <w:rPr>
          <w:rFonts w:eastAsiaTheme="minorEastAsia"/>
          <w:noProof/>
          <w:kern w:val="2"/>
          <w:lang w:val="en-US"/>
          <w14:ligatures w14:val="standardContextual"/>
        </w:rPr>
      </w:pPr>
      <w:hyperlink w:anchor="_Toc154575237" w:history="1">
        <w:r w:rsidR="0087794A" w:rsidRPr="00C459BB">
          <w:rPr>
            <w:rStyle w:val="Hyperlink"/>
            <w:noProof/>
          </w:rPr>
          <w:t>Figure 4.30: Gross inland consumption by fuel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_Toc154575237 \h </w:instrText>
        </w:r>
        <w:r w:rsidR="0087794A">
          <w:rPr>
            <w:noProof/>
            <w:webHidden/>
          </w:rPr>
        </w:r>
        <w:r w:rsidR="0087794A">
          <w:rPr>
            <w:noProof/>
            <w:webHidden/>
          </w:rPr>
          <w:fldChar w:fldCharType="separate"/>
        </w:r>
        <w:r w:rsidR="0087794A">
          <w:rPr>
            <w:noProof/>
            <w:webHidden/>
          </w:rPr>
          <w:t>224</w:t>
        </w:r>
        <w:r w:rsidR="0087794A">
          <w:rPr>
            <w:noProof/>
            <w:webHidden/>
          </w:rPr>
          <w:fldChar w:fldCharType="end"/>
        </w:r>
      </w:hyperlink>
    </w:p>
    <w:p w14:paraId="42420FCB" w14:textId="471E9FC5" w:rsidR="0087794A" w:rsidRDefault="006E0533">
      <w:pPr>
        <w:pStyle w:val="TableofFigures"/>
        <w:tabs>
          <w:tab w:val="right" w:leader="dot" w:pos="9628"/>
        </w:tabs>
        <w:rPr>
          <w:rFonts w:eastAsiaTheme="minorEastAsia"/>
          <w:noProof/>
          <w:kern w:val="2"/>
          <w:lang w:val="en-US"/>
          <w14:ligatures w14:val="standardContextual"/>
        </w:rPr>
      </w:pPr>
      <w:hyperlink w:anchor="_Toc154575238" w:history="1">
        <w:r w:rsidR="0087794A" w:rsidRPr="00C459BB">
          <w:rPr>
            <w:rStyle w:val="Hyperlink"/>
            <w:noProof/>
            <w:lang w:eastAsia="el-GR"/>
          </w:rPr>
          <w:t>Figure 4.31: Final energy consumption by end-use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_Toc154575238 \h </w:instrText>
        </w:r>
        <w:r w:rsidR="0087794A">
          <w:rPr>
            <w:noProof/>
            <w:webHidden/>
          </w:rPr>
        </w:r>
        <w:r w:rsidR="0087794A">
          <w:rPr>
            <w:noProof/>
            <w:webHidden/>
          </w:rPr>
          <w:fldChar w:fldCharType="separate"/>
        </w:r>
        <w:r w:rsidR="0087794A">
          <w:rPr>
            <w:noProof/>
            <w:webHidden/>
          </w:rPr>
          <w:t>224</w:t>
        </w:r>
        <w:r w:rsidR="0087794A">
          <w:rPr>
            <w:noProof/>
            <w:webHidden/>
          </w:rPr>
          <w:fldChar w:fldCharType="end"/>
        </w:r>
      </w:hyperlink>
    </w:p>
    <w:p w14:paraId="7B64B4D6" w14:textId="50683EE1" w:rsidR="0087794A" w:rsidRDefault="006E0533">
      <w:pPr>
        <w:pStyle w:val="TableofFigures"/>
        <w:tabs>
          <w:tab w:val="right" w:leader="dot" w:pos="9628"/>
        </w:tabs>
        <w:rPr>
          <w:rFonts w:eastAsiaTheme="minorEastAsia"/>
          <w:noProof/>
          <w:kern w:val="2"/>
          <w:lang w:val="en-US"/>
          <w14:ligatures w14:val="standardContextual"/>
        </w:rPr>
      </w:pPr>
      <w:hyperlink w:anchor="_Toc154575239" w:history="1">
        <w:r w:rsidR="0087794A" w:rsidRPr="00C459BB">
          <w:rPr>
            <w:rStyle w:val="Hyperlink"/>
            <w:noProof/>
            <w:lang w:eastAsia="el-GR"/>
          </w:rPr>
          <w:t>Figure 4.32: Final energy consumption by fuel in the industrial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_Toc154575239 \h </w:instrText>
        </w:r>
        <w:r w:rsidR="0087794A">
          <w:rPr>
            <w:noProof/>
            <w:webHidden/>
          </w:rPr>
        </w:r>
        <w:r w:rsidR="0087794A">
          <w:rPr>
            <w:noProof/>
            <w:webHidden/>
          </w:rPr>
          <w:fldChar w:fldCharType="separate"/>
        </w:r>
        <w:r w:rsidR="0087794A">
          <w:rPr>
            <w:noProof/>
            <w:webHidden/>
          </w:rPr>
          <w:t>225</w:t>
        </w:r>
        <w:r w:rsidR="0087794A">
          <w:rPr>
            <w:noProof/>
            <w:webHidden/>
          </w:rPr>
          <w:fldChar w:fldCharType="end"/>
        </w:r>
      </w:hyperlink>
    </w:p>
    <w:p w14:paraId="617A6AA1" w14:textId="4F9BEEC3" w:rsidR="0087794A" w:rsidRDefault="006E0533">
      <w:pPr>
        <w:pStyle w:val="TableofFigures"/>
        <w:tabs>
          <w:tab w:val="right" w:leader="dot" w:pos="9628"/>
        </w:tabs>
        <w:rPr>
          <w:rFonts w:eastAsiaTheme="minorEastAsia"/>
          <w:noProof/>
          <w:kern w:val="2"/>
          <w:lang w:val="en-US"/>
          <w14:ligatures w14:val="standardContextual"/>
        </w:rPr>
      </w:pPr>
      <w:hyperlink w:anchor="_Toc154575240" w:history="1">
        <w:r w:rsidR="0087794A" w:rsidRPr="00C459BB">
          <w:rPr>
            <w:rStyle w:val="Hyperlink"/>
            <w:noProof/>
          </w:rPr>
          <w:t>Figure 4.33: Final energy consumption per sub-sector in the industrial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_Toc154575240 \h </w:instrText>
        </w:r>
        <w:r w:rsidR="0087794A">
          <w:rPr>
            <w:noProof/>
            <w:webHidden/>
          </w:rPr>
        </w:r>
        <w:r w:rsidR="0087794A">
          <w:rPr>
            <w:noProof/>
            <w:webHidden/>
          </w:rPr>
          <w:fldChar w:fldCharType="separate"/>
        </w:r>
        <w:r w:rsidR="0087794A">
          <w:rPr>
            <w:noProof/>
            <w:webHidden/>
          </w:rPr>
          <w:t>225</w:t>
        </w:r>
        <w:r w:rsidR="0087794A">
          <w:rPr>
            <w:noProof/>
            <w:webHidden/>
          </w:rPr>
          <w:fldChar w:fldCharType="end"/>
        </w:r>
      </w:hyperlink>
    </w:p>
    <w:p w14:paraId="30598A1E" w14:textId="5C8DE3CD" w:rsidR="0087794A" w:rsidRDefault="006E0533">
      <w:pPr>
        <w:pStyle w:val="TableofFigures"/>
        <w:tabs>
          <w:tab w:val="right" w:leader="dot" w:pos="9628"/>
        </w:tabs>
        <w:rPr>
          <w:rFonts w:eastAsiaTheme="minorEastAsia"/>
          <w:noProof/>
          <w:kern w:val="2"/>
          <w:lang w:val="en-US"/>
          <w14:ligatures w14:val="standardContextual"/>
        </w:rPr>
      </w:pPr>
      <w:hyperlink w:anchor="_Toc154575241" w:history="1">
        <w:r w:rsidR="0087794A" w:rsidRPr="00C459BB">
          <w:rPr>
            <w:rStyle w:val="Hyperlink"/>
            <w:noProof/>
          </w:rPr>
          <w:t>Figure 4.34: Final energy consumption by energy source in the transport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_Toc154575241 \h </w:instrText>
        </w:r>
        <w:r w:rsidR="0087794A">
          <w:rPr>
            <w:noProof/>
            <w:webHidden/>
          </w:rPr>
        </w:r>
        <w:r w:rsidR="0087794A">
          <w:rPr>
            <w:noProof/>
            <w:webHidden/>
          </w:rPr>
          <w:fldChar w:fldCharType="separate"/>
        </w:r>
        <w:r w:rsidR="0087794A">
          <w:rPr>
            <w:noProof/>
            <w:webHidden/>
          </w:rPr>
          <w:t>226</w:t>
        </w:r>
        <w:r w:rsidR="0087794A">
          <w:rPr>
            <w:noProof/>
            <w:webHidden/>
          </w:rPr>
          <w:fldChar w:fldCharType="end"/>
        </w:r>
      </w:hyperlink>
    </w:p>
    <w:p w14:paraId="76145C63" w14:textId="68896933" w:rsidR="0087794A" w:rsidRDefault="006E0533">
      <w:pPr>
        <w:pStyle w:val="TableofFigures"/>
        <w:tabs>
          <w:tab w:val="right" w:leader="dot" w:pos="9628"/>
        </w:tabs>
        <w:rPr>
          <w:rFonts w:eastAsiaTheme="minorEastAsia"/>
          <w:noProof/>
          <w:kern w:val="2"/>
          <w:lang w:val="en-US"/>
          <w14:ligatures w14:val="standardContextual"/>
        </w:rPr>
      </w:pPr>
      <w:hyperlink w:anchor="_Toc154575242" w:history="1">
        <w:r w:rsidR="0087794A" w:rsidRPr="00C459BB">
          <w:rPr>
            <w:rStyle w:val="Hyperlink"/>
            <w:noProof/>
          </w:rPr>
          <w:t>Figure 4.35: Final energy consumption per sub-sector in the transport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_Toc154575242 \h </w:instrText>
        </w:r>
        <w:r w:rsidR="0087794A">
          <w:rPr>
            <w:noProof/>
            <w:webHidden/>
          </w:rPr>
        </w:r>
        <w:r w:rsidR="0087794A">
          <w:rPr>
            <w:noProof/>
            <w:webHidden/>
          </w:rPr>
          <w:fldChar w:fldCharType="separate"/>
        </w:r>
        <w:r w:rsidR="0087794A">
          <w:rPr>
            <w:noProof/>
            <w:webHidden/>
          </w:rPr>
          <w:t>227</w:t>
        </w:r>
        <w:r w:rsidR="0087794A">
          <w:rPr>
            <w:noProof/>
            <w:webHidden/>
          </w:rPr>
          <w:fldChar w:fldCharType="end"/>
        </w:r>
      </w:hyperlink>
    </w:p>
    <w:p w14:paraId="06294AB6" w14:textId="06A05139" w:rsidR="0087794A" w:rsidRDefault="006E0533">
      <w:pPr>
        <w:pStyle w:val="TableofFigures"/>
        <w:tabs>
          <w:tab w:val="right" w:leader="dot" w:pos="9628"/>
        </w:tabs>
        <w:rPr>
          <w:rFonts w:eastAsiaTheme="minorEastAsia"/>
          <w:noProof/>
          <w:kern w:val="2"/>
          <w:lang w:val="en-US"/>
          <w14:ligatures w14:val="standardContextual"/>
        </w:rPr>
      </w:pPr>
      <w:hyperlink w:anchor="_Toc154575243" w:history="1">
        <w:r w:rsidR="0087794A" w:rsidRPr="00C459BB">
          <w:rPr>
            <w:rStyle w:val="Hyperlink"/>
            <w:noProof/>
          </w:rPr>
          <w:t>Figure 4.36: Final energy consumption by energy source in the services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_Toc154575243 \h </w:instrText>
        </w:r>
        <w:r w:rsidR="0087794A">
          <w:rPr>
            <w:noProof/>
            <w:webHidden/>
          </w:rPr>
        </w:r>
        <w:r w:rsidR="0087794A">
          <w:rPr>
            <w:noProof/>
            <w:webHidden/>
          </w:rPr>
          <w:fldChar w:fldCharType="separate"/>
        </w:r>
        <w:r w:rsidR="0087794A">
          <w:rPr>
            <w:noProof/>
            <w:webHidden/>
          </w:rPr>
          <w:t>228</w:t>
        </w:r>
        <w:r w:rsidR="0087794A">
          <w:rPr>
            <w:noProof/>
            <w:webHidden/>
          </w:rPr>
          <w:fldChar w:fldCharType="end"/>
        </w:r>
      </w:hyperlink>
    </w:p>
    <w:p w14:paraId="7923EE9F" w14:textId="166C7A64" w:rsidR="0087794A" w:rsidRDefault="006E0533">
      <w:pPr>
        <w:pStyle w:val="TableofFigures"/>
        <w:tabs>
          <w:tab w:val="right" w:leader="dot" w:pos="9628"/>
        </w:tabs>
        <w:rPr>
          <w:rFonts w:eastAsiaTheme="minorEastAsia"/>
          <w:noProof/>
          <w:kern w:val="2"/>
          <w:lang w:val="en-US"/>
          <w14:ligatures w14:val="standardContextual"/>
        </w:rPr>
      </w:pPr>
      <w:hyperlink w:anchor="_Toc154575244" w:history="1">
        <w:r w:rsidR="0087794A" w:rsidRPr="00C459BB">
          <w:rPr>
            <w:rStyle w:val="Hyperlink"/>
            <w:noProof/>
          </w:rPr>
          <w:t>Figure 4.37: Final energy consumption by energy source in the residential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_Toc154575244 \h </w:instrText>
        </w:r>
        <w:r w:rsidR="0087794A">
          <w:rPr>
            <w:noProof/>
            <w:webHidden/>
          </w:rPr>
        </w:r>
        <w:r w:rsidR="0087794A">
          <w:rPr>
            <w:noProof/>
            <w:webHidden/>
          </w:rPr>
          <w:fldChar w:fldCharType="separate"/>
        </w:r>
        <w:r w:rsidR="0087794A">
          <w:rPr>
            <w:noProof/>
            <w:webHidden/>
          </w:rPr>
          <w:t>229</w:t>
        </w:r>
        <w:r w:rsidR="0087794A">
          <w:rPr>
            <w:noProof/>
            <w:webHidden/>
          </w:rPr>
          <w:fldChar w:fldCharType="end"/>
        </w:r>
      </w:hyperlink>
    </w:p>
    <w:p w14:paraId="7286470A" w14:textId="7D7D0D9D" w:rsidR="0087794A" w:rsidRDefault="006E0533">
      <w:pPr>
        <w:pStyle w:val="TableofFigures"/>
        <w:tabs>
          <w:tab w:val="right" w:leader="dot" w:pos="9628"/>
        </w:tabs>
        <w:rPr>
          <w:rFonts w:eastAsiaTheme="minorEastAsia"/>
          <w:noProof/>
          <w:kern w:val="2"/>
          <w:lang w:val="en-US"/>
          <w14:ligatures w14:val="standardContextual"/>
        </w:rPr>
      </w:pPr>
      <w:hyperlink w:anchor="_Toc154575245" w:history="1">
        <w:r w:rsidR="0087794A" w:rsidRPr="00C459BB">
          <w:rPr>
            <w:rStyle w:val="Hyperlink"/>
            <w:noProof/>
            <w:lang w:eastAsia="el-GR"/>
          </w:rPr>
          <w:t>Figure 4.38: Final energy consumption by energy source in the agriculture / forestry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_Toc154575245 \h </w:instrText>
        </w:r>
        <w:r w:rsidR="0087794A">
          <w:rPr>
            <w:noProof/>
            <w:webHidden/>
          </w:rPr>
        </w:r>
        <w:r w:rsidR="0087794A">
          <w:rPr>
            <w:noProof/>
            <w:webHidden/>
          </w:rPr>
          <w:fldChar w:fldCharType="separate"/>
        </w:r>
        <w:r w:rsidR="0087794A">
          <w:rPr>
            <w:noProof/>
            <w:webHidden/>
          </w:rPr>
          <w:t>229</w:t>
        </w:r>
        <w:r w:rsidR="0087794A">
          <w:rPr>
            <w:noProof/>
            <w:webHidden/>
          </w:rPr>
          <w:fldChar w:fldCharType="end"/>
        </w:r>
      </w:hyperlink>
    </w:p>
    <w:p w14:paraId="24603F73" w14:textId="4CD4E8B7" w:rsidR="0087794A" w:rsidRDefault="006E0533">
      <w:pPr>
        <w:pStyle w:val="TableofFigures"/>
        <w:tabs>
          <w:tab w:val="right" w:leader="dot" w:pos="9628"/>
        </w:tabs>
        <w:rPr>
          <w:rFonts w:eastAsiaTheme="minorEastAsia"/>
          <w:noProof/>
          <w:kern w:val="2"/>
          <w:lang w:val="en-US"/>
          <w14:ligatures w14:val="standardContextual"/>
        </w:rPr>
      </w:pPr>
      <w:hyperlink w:anchor="_Toc154575246" w:history="1">
        <w:r w:rsidR="0087794A" w:rsidRPr="00C459BB">
          <w:rPr>
            <w:rStyle w:val="Hyperlink"/>
            <w:noProof/>
          </w:rPr>
          <w:t>Figure 4.39: Primary production over 2010-2020 (Source: Eurostat, 2023)</w:t>
        </w:r>
        <w:r w:rsidR="0087794A">
          <w:rPr>
            <w:noProof/>
            <w:webHidden/>
          </w:rPr>
          <w:tab/>
        </w:r>
        <w:r w:rsidR="0087794A">
          <w:rPr>
            <w:noProof/>
            <w:webHidden/>
          </w:rPr>
          <w:fldChar w:fldCharType="begin"/>
        </w:r>
        <w:r w:rsidR="0087794A">
          <w:rPr>
            <w:noProof/>
            <w:webHidden/>
          </w:rPr>
          <w:instrText xml:space="preserve"> PAGEREF _Toc154575246 \h </w:instrText>
        </w:r>
        <w:r w:rsidR="0087794A">
          <w:rPr>
            <w:noProof/>
            <w:webHidden/>
          </w:rPr>
        </w:r>
        <w:r w:rsidR="0087794A">
          <w:rPr>
            <w:noProof/>
            <w:webHidden/>
          </w:rPr>
          <w:fldChar w:fldCharType="separate"/>
        </w:r>
        <w:r w:rsidR="0087794A">
          <w:rPr>
            <w:noProof/>
            <w:webHidden/>
          </w:rPr>
          <w:t>231</w:t>
        </w:r>
        <w:r w:rsidR="0087794A">
          <w:rPr>
            <w:noProof/>
            <w:webHidden/>
          </w:rPr>
          <w:fldChar w:fldCharType="end"/>
        </w:r>
      </w:hyperlink>
    </w:p>
    <w:p w14:paraId="1B6ED926" w14:textId="5D5C8AC2" w:rsidR="0087794A" w:rsidRDefault="006E0533">
      <w:pPr>
        <w:pStyle w:val="TableofFigures"/>
        <w:tabs>
          <w:tab w:val="right" w:leader="dot" w:pos="9628"/>
        </w:tabs>
        <w:rPr>
          <w:rFonts w:eastAsiaTheme="minorEastAsia"/>
          <w:noProof/>
          <w:kern w:val="2"/>
          <w:lang w:val="en-US"/>
          <w14:ligatures w14:val="standardContextual"/>
        </w:rPr>
      </w:pPr>
      <w:hyperlink w:anchor="_Toc154575247" w:history="1">
        <w:r w:rsidR="0087794A" w:rsidRPr="00C459BB">
          <w:rPr>
            <w:rStyle w:val="Hyperlink"/>
            <w:noProof/>
          </w:rPr>
          <w:t>Figure 4.40: Transformation input over 2010-2020 (Source: Eurostat, 2023)</w:t>
        </w:r>
        <w:r w:rsidR="0087794A">
          <w:rPr>
            <w:noProof/>
            <w:webHidden/>
          </w:rPr>
          <w:tab/>
        </w:r>
        <w:r w:rsidR="0087794A">
          <w:rPr>
            <w:noProof/>
            <w:webHidden/>
          </w:rPr>
          <w:fldChar w:fldCharType="begin"/>
        </w:r>
        <w:r w:rsidR="0087794A">
          <w:rPr>
            <w:noProof/>
            <w:webHidden/>
          </w:rPr>
          <w:instrText xml:space="preserve"> PAGEREF _Toc154575247 \h </w:instrText>
        </w:r>
        <w:r w:rsidR="0087794A">
          <w:rPr>
            <w:noProof/>
            <w:webHidden/>
          </w:rPr>
        </w:r>
        <w:r w:rsidR="0087794A">
          <w:rPr>
            <w:noProof/>
            <w:webHidden/>
          </w:rPr>
          <w:fldChar w:fldCharType="separate"/>
        </w:r>
        <w:r w:rsidR="0087794A">
          <w:rPr>
            <w:noProof/>
            <w:webHidden/>
          </w:rPr>
          <w:t>231</w:t>
        </w:r>
        <w:r w:rsidR="0087794A">
          <w:rPr>
            <w:noProof/>
            <w:webHidden/>
          </w:rPr>
          <w:fldChar w:fldCharType="end"/>
        </w:r>
      </w:hyperlink>
    </w:p>
    <w:p w14:paraId="068D4D64" w14:textId="5EA905EF" w:rsidR="0087794A" w:rsidRDefault="006E0533">
      <w:pPr>
        <w:pStyle w:val="TableofFigures"/>
        <w:tabs>
          <w:tab w:val="right" w:leader="dot" w:pos="9628"/>
        </w:tabs>
        <w:rPr>
          <w:rFonts w:eastAsiaTheme="minorEastAsia"/>
          <w:noProof/>
          <w:kern w:val="2"/>
          <w:lang w:val="en-US"/>
          <w14:ligatures w14:val="standardContextual"/>
        </w:rPr>
      </w:pPr>
      <w:hyperlink w:anchor="_Toc154575248" w:history="1">
        <w:r w:rsidR="0087794A" w:rsidRPr="00C459BB">
          <w:rPr>
            <w:rStyle w:val="Hyperlink"/>
            <w:noProof/>
          </w:rPr>
          <w:t>Figure 4.41: Transformation output over 2010-2020 (Source: Eurostat, 2023)</w:t>
        </w:r>
        <w:r w:rsidR="0087794A">
          <w:rPr>
            <w:noProof/>
            <w:webHidden/>
          </w:rPr>
          <w:tab/>
        </w:r>
        <w:r w:rsidR="0087794A">
          <w:rPr>
            <w:noProof/>
            <w:webHidden/>
          </w:rPr>
          <w:fldChar w:fldCharType="begin"/>
        </w:r>
        <w:r w:rsidR="0087794A">
          <w:rPr>
            <w:noProof/>
            <w:webHidden/>
          </w:rPr>
          <w:instrText xml:space="preserve"> PAGEREF _Toc154575248 \h </w:instrText>
        </w:r>
        <w:r w:rsidR="0087794A">
          <w:rPr>
            <w:noProof/>
            <w:webHidden/>
          </w:rPr>
        </w:r>
        <w:r w:rsidR="0087794A">
          <w:rPr>
            <w:noProof/>
            <w:webHidden/>
          </w:rPr>
          <w:fldChar w:fldCharType="separate"/>
        </w:r>
        <w:r w:rsidR="0087794A">
          <w:rPr>
            <w:noProof/>
            <w:webHidden/>
          </w:rPr>
          <w:t>232</w:t>
        </w:r>
        <w:r w:rsidR="0087794A">
          <w:rPr>
            <w:noProof/>
            <w:webHidden/>
          </w:rPr>
          <w:fldChar w:fldCharType="end"/>
        </w:r>
      </w:hyperlink>
    </w:p>
    <w:p w14:paraId="75DEACD9" w14:textId="66C1A296" w:rsidR="0087794A" w:rsidRDefault="006E0533">
      <w:pPr>
        <w:pStyle w:val="TableofFigures"/>
        <w:tabs>
          <w:tab w:val="right" w:leader="dot" w:pos="9628"/>
        </w:tabs>
        <w:rPr>
          <w:rFonts w:eastAsiaTheme="minorEastAsia"/>
          <w:noProof/>
          <w:kern w:val="2"/>
          <w:lang w:val="en-US"/>
          <w14:ligatures w14:val="standardContextual"/>
        </w:rPr>
      </w:pPr>
      <w:hyperlink w:anchor="_Toc154575249" w:history="1">
        <w:r w:rsidR="0087794A" w:rsidRPr="00C459BB">
          <w:rPr>
            <w:rStyle w:val="Hyperlink"/>
            <w:noProof/>
            <w:lang w:eastAsia="el-GR"/>
          </w:rPr>
          <w:t>Figure 4.42: Energy import dependency over 2020-2050</w:t>
        </w:r>
        <w:r w:rsidR="0087794A" w:rsidRPr="00C459BB">
          <w:rPr>
            <w:rStyle w:val="Hyperlink"/>
            <w:noProof/>
          </w:rPr>
          <w:t xml:space="preserve"> </w:t>
        </w:r>
        <w:r w:rsidR="0087794A" w:rsidRPr="00C459BB">
          <w:rPr>
            <w:rStyle w:val="Hyperlink"/>
            <w:noProof/>
            <w:lang w:eastAsia="el-GR"/>
          </w:rPr>
          <w:t>in the scenario with existing measures (WEM)</w:t>
        </w:r>
        <w:r w:rsidR="0087794A">
          <w:rPr>
            <w:noProof/>
            <w:webHidden/>
          </w:rPr>
          <w:tab/>
        </w:r>
        <w:r w:rsidR="0087794A">
          <w:rPr>
            <w:noProof/>
            <w:webHidden/>
          </w:rPr>
          <w:fldChar w:fldCharType="begin"/>
        </w:r>
        <w:r w:rsidR="0087794A">
          <w:rPr>
            <w:noProof/>
            <w:webHidden/>
          </w:rPr>
          <w:instrText xml:space="preserve"> PAGEREF _Toc154575249 \h </w:instrText>
        </w:r>
        <w:r w:rsidR="0087794A">
          <w:rPr>
            <w:noProof/>
            <w:webHidden/>
          </w:rPr>
        </w:r>
        <w:r w:rsidR="0087794A">
          <w:rPr>
            <w:noProof/>
            <w:webHidden/>
          </w:rPr>
          <w:fldChar w:fldCharType="separate"/>
        </w:r>
        <w:r w:rsidR="0087794A">
          <w:rPr>
            <w:noProof/>
            <w:webHidden/>
          </w:rPr>
          <w:t>232</w:t>
        </w:r>
        <w:r w:rsidR="0087794A">
          <w:rPr>
            <w:noProof/>
            <w:webHidden/>
          </w:rPr>
          <w:fldChar w:fldCharType="end"/>
        </w:r>
      </w:hyperlink>
    </w:p>
    <w:p w14:paraId="7A99F185" w14:textId="3E04D9A9" w:rsidR="0087794A" w:rsidRDefault="006E0533">
      <w:pPr>
        <w:pStyle w:val="TableofFigures"/>
        <w:tabs>
          <w:tab w:val="right" w:leader="dot" w:pos="9628"/>
        </w:tabs>
        <w:rPr>
          <w:rFonts w:eastAsiaTheme="minorEastAsia"/>
          <w:noProof/>
          <w:kern w:val="2"/>
          <w:lang w:val="en-US"/>
          <w14:ligatures w14:val="standardContextual"/>
        </w:rPr>
      </w:pPr>
      <w:hyperlink w:anchor="_Toc154575250" w:history="1">
        <w:r w:rsidR="0087794A" w:rsidRPr="00C459BB">
          <w:rPr>
            <w:rStyle w:val="Hyperlink"/>
            <w:noProof/>
            <w:lang w:eastAsia="el-GR"/>
          </w:rPr>
          <w:t>Figure 4.43: Import dependency of oil and oil products, natural gas and electricity over 2020-2050</w:t>
        </w:r>
        <w:r w:rsidR="0087794A" w:rsidRPr="00C459BB">
          <w:rPr>
            <w:rStyle w:val="Hyperlink"/>
            <w:noProof/>
          </w:rPr>
          <w:t xml:space="preserve"> </w:t>
        </w:r>
        <w:r w:rsidR="0087794A" w:rsidRPr="00C459BB">
          <w:rPr>
            <w:rStyle w:val="Hyperlink"/>
            <w:noProof/>
            <w:lang w:eastAsia="el-GR"/>
          </w:rPr>
          <w:t>in the scenario with existing measures (WEM)</w:t>
        </w:r>
        <w:r w:rsidR="0087794A">
          <w:rPr>
            <w:noProof/>
            <w:webHidden/>
          </w:rPr>
          <w:tab/>
        </w:r>
        <w:r w:rsidR="0087794A">
          <w:rPr>
            <w:noProof/>
            <w:webHidden/>
          </w:rPr>
          <w:fldChar w:fldCharType="begin"/>
        </w:r>
        <w:r w:rsidR="0087794A">
          <w:rPr>
            <w:noProof/>
            <w:webHidden/>
          </w:rPr>
          <w:instrText xml:space="preserve"> PAGEREF _Toc154575250 \h </w:instrText>
        </w:r>
        <w:r w:rsidR="0087794A">
          <w:rPr>
            <w:noProof/>
            <w:webHidden/>
          </w:rPr>
        </w:r>
        <w:r w:rsidR="0087794A">
          <w:rPr>
            <w:noProof/>
            <w:webHidden/>
          </w:rPr>
          <w:fldChar w:fldCharType="separate"/>
        </w:r>
        <w:r w:rsidR="0087794A">
          <w:rPr>
            <w:noProof/>
            <w:webHidden/>
          </w:rPr>
          <w:t>233</w:t>
        </w:r>
        <w:r w:rsidR="0087794A">
          <w:rPr>
            <w:noProof/>
            <w:webHidden/>
          </w:rPr>
          <w:fldChar w:fldCharType="end"/>
        </w:r>
      </w:hyperlink>
    </w:p>
    <w:p w14:paraId="7ED382B5" w14:textId="7F17542B" w:rsidR="0087794A" w:rsidRDefault="006E0533">
      <w:pPr>
        <w:pStyle w:val="TableofFigures"/>
        <w:tabs>
          <w:tab w:val="right" w:leader="dot" w:pos="9628"/>
        </w:tabs>
        <w:rPr>
          <w:rFonts w:eastAsiaTheme="minorEastAsia"/>
          <w:noProof/>
          <w:kern w:val="2"/>
          <w:lang w:val="en-US"/>
          <w14:ligatures w14:val="standardContextual"/>
        </w:rPr>
      </w:pPr>
      <w:hyperlink w:anchor="_Toc154575251" w:history="1">
        <w:r w:rsidR="0087794A" w:rsidRPr="00C459BB">
          <w:rPr>
            <w:rStyle w:val="Hyperlink"/>
            <w:noProof/>
          </w:rPr>
          <w:t>Figure 4.44: Primary production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_Toc154575251 \h </w:instrText>
        </w:r>
        <w:r w:rsidR="0087794A">
          <w:rPr>
            <w:noProof/>
            <w:webHidden/>
          </w:rPr>
        </w:r>
        <w:r w:rsidR="0087794A">
          <w:rPr>
            <w:noProof/>
            <w:webHidden/>
          </w:rPr>
          <w:fldChar w:fldCharType="separate"/>
        </w:r>
        <w:r w:rsidR="0087794A">
          <w:rPr>
            <w:noProof/>
            <w:webHidden/>
          </w:rPr>
          <w:t>234</w:t>
        </w:r>
        <w:r w:rsidR="0087794A">
          <w:rPr>
            <w:noProof/>
            <w:webHidden/>
          </w:rPr>
          <w:fldChar w:fldCharType="end"/>
        </w:r>
      </w:hyperlink>
    </w:p>
    <w:p w14:paraId="134A62A7" w14:textId="177FDC6D" w:rsidR="0087794A" w:rsidRDefault="006E0533">
      <w:pPr>
        <w:pStyle w:val="TableofFigures"/>
        <w:tabs>
          <w:tab w:val="right" w:leader="dot" w:pos="9628"/>
        </w:tabs>
        <w:rPr>
          <w:rFonts w:eastAsiaTheme="minorEastAsia"/>
          <w:noProof/>
          <w:kern w:val="2"/>
          <w:lang w:val="en-US"/>
          <w14:ligatures w14:val="standardContextual"/>
        </w:rPr>
      </w:pPr>
      <w:hyperlink w:anchor="_Toc154575252" w:history="1">
        <w:r w:rsidR="0087794A" w:rsidRPr="00C459BB">
          <w:rPr>
            <w:rStyle w:val="Hyperlink"/>
            <w:noProof/>
            <w:lang w:eastAsia="el-GR"/>
          </w:rPr>
          <w:t>Figure 4.45: Energy imports per fuel over 2020-2050</w:t>
        </w:r>
        <w:r w:rsidR="0087794A" w:rsidRPr="00C459BB">
          <w:rPr>
            <w:rStyle w:val="Hyperlink"/>
            <w:noProof/>
          </w:rPr>
          <w:t xml:space="preserve"> </w:t>
        </w:r>
        <w:r w:rsidR="0087794A" w:rsidRPr="00C459BB">
          <w:rPr>
            <w:rStyle w:val="Hyperlink"/>
            <w:noProof/>
            <w:lang w:eastAsia="el-GR"/>
          </w:rPr>
          <w:t>in the scenario with existing measures (WEM)</w:t>
        </w:r>
        <w:r w:rsidR="0087794A">
          <w:rPr>
            <w:noProof/>
            <w:webHidden/>
          </w:rPr>
          <w:tab/>
        </w:r>
        <w:r w:rsidR="0087794A">
          <w:rPr>
            <w:noProof/>
            <w:webHidden/>
          </w:rPr>
          <w:fldChar w:fldCharType="begin"/>
        </w:r>
        <w:r w:rsidR="0087794A">
          <w:rPr>
            <w:noProof/>
            <w:webHidden/>
          </w:rPr>
          <w:instrText xml:space="preserve"> PAGEREF _Toc154575252 \h </w:instrText>
        </w:r>
        <w:r w:rsidR="0087794A">
          <w:rPr>
            <w:noProof/>
            <w:webHidden/>
          </w:rPr>
        </w:r>
        <w:r w:rsidR="0087794A">
          <w:rPr>
            <w:noProof/>
            <w:webHidden/>
          </w:rPr>
          <w:fldChar w:fldCharType="separate"/>
        </w:r>
        <w:r w:rsidR="0087794A">
          <w:rPr>
            <w:noProof/>
            <w:webHidden/>
          </w:rPr>
          <w:t>234</w:t>
        </w:r>
        <w:r w:rsidR="0087794A">
          <w:rPr>
            <w:noProof/>
            <w:webHidden/>
          </w:rPr>
          <w:fldChar w:fldCharType="end"/>
        </w:r>
      </w:hyperlink>
    </w:p>
    <w:p w14:paraId="27B74EC0" w14:textId="6694ABFB" w:rsidR="0087794A" w:rsidRDefault="006E0533">
      <w:pPr>
        <w:pStyle w:val="TableofFigures"/>
        <w:tabs>
          <w:tab w:val="right" w:leader="dot" w:pos="9628"/>
        </w:tabs>
        <w:rPr>
          <w:rFonts w:eastAsiaTheme="minorEastAsia"/>
          <w:noProof/>
          <w:kern w:val="2"/>
          <w:lang w:val="en-US"/>
          <w14:ligatures w14:val="standardContextual"/>
        </w:rPr>
      </w:pPr>
      <w:hyperlink w:anchor="_Toc154575253" w:history="1">
        <w:r w:rsidR="0087794A" w:rsidRPr="00C459BB">
          <w:rPr>
            <w:rStyle w:val="Hyperlink"/>
            <w:noProof/>
          </w:rPr>
          <w:t>Figure 4.46: Energy exports per fuel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_Toc154575253 \h </w:instrText>
        </w:r>
        <w:r w:rsidR="0087794A">
          <w:rPr>
            <w:noProof/>
            <w:webHidden/>
          </w:rPr>
        </w:r>
        <w:r w:rsidR="0087794A">
          <w:rPr>
            <w:noProof/>
            <w:webHidden/>
          </w:rPr>
          <w:fldChar w:fldCharType="separate"/>
        </w:r>
        <w:r w:rsidR="0087794A">
          <w:rPr>
            <w:noProof/>
            <w:webHidden/>
          </w:rPr>
          <w:t>235</w:t>
        </w:r>
        <w:r w:rsidR="0087794A">
          <w:rPr>
            <w:noProof/>
            <w:webHidden/>
          </w:rPr>
          <w:fldChar w:fldCharType="end"/>
        </w:r>
      </w:hyperlink>
    </w:p>
    <w:p w14:paraId="3E54EA6D" w14:textId="4D320591" w:rsidR="0087794A" w:rsidRDefault="006E0533">
      <w:pPr>
        <w:pStyle w:val="TableofFigures"/>
        <w:tabs>
          <w:tab w:val="right" w:leader="dot" w:pos="9628"/>
        </w:tabs>
        <w:rPr>
          <w:rFonts w:eastAsiaTheme="minorEastAsia"/>
          <w:noProof/>
          <w:kern w:val="2"/>
          <w:lang w:val="en-US"/>
          <w14:ligatures w14:val="standardContextual"/>
        </w:rPr>
      </w:pPr>
      <w:hyperlink w:anchor="_Toc154575254" w:history="1">
        <w:r w:rsidR="0087794A" w:rsidRPr="00C459BB">
          <w:rPr>
            <w:rStyle w:val="Hyperlink"/>
            <w:noProof/>
            <w:lang w:eastAsia="el-GR"/>
          </w:rPr>
          <w:t>Figure 4.47: Imports, exports and net imports over 2020-2050</w:t>
        </w:r>
        <w:r w:rsidR="0087794A" w:rsidRPr="00C459BB">
          <w:rPr>
            <w:rStyle w:val="Hyperlink"/>
            <w:noProof/>
          </w:rPr>
          <w:t xml:space="preserve"> </w:t>
        </w:r>
        <w:r w:rsidR="0087794A" w:rsidRPr="00C459BB">
          <w:rPr>
            <w:rStyle w:val="Hyperlink"/>
            <w:noProof/>
            <w:lang w:eastAsia="el-GR"/>
          </w:rPr>
          <w:t>in the scenario with existing measures (WEM)</w:t>
        </w:r>
        <w:r w:rsidR="0087794A">
          <w:rPr>
            <w:noProof/>
            <w:webHidden/>
          </w:rPr>
          <w:tab/>
        </w:r>
        <w:r w:rsidR="0087794A">
          <w:rPr>
            <w:noProof/>
            <w:webHidden/>
          </w:rPr>
          <w:fldChar w:fldCharType="begin"/>
        </w:r>
        <w:r w:rsidR="0087794A">
          <w:rPr>
            <w:noProof/>
            <w:webHidden/>
          </w:rPr>
          <w:instrText xml:space="preserve"> PAGEREF _Toc154575254 \h </w:instrText>
        </w:r>
        <w:r w:rsidR="0087794A">
          <w:rPr>
            <w:noProof/>
            <w:webHidden/>
          </w:rPr>
        </w:r>
        <w:r w:rsidR="0087794A">
          <w:rPr>
            <w:noProof/>
            <w:webHidden/>
          </w:rPr>
          <w:fldChar w:fldCharType="separate"/>
        </w:r>
        <w:r w:rsidR="0087794A">
          <w:rPr>
            <w:noProof/>
            <w:webHidden/>
          </w:rPr>
          <w:t>235</w:t>
        </w:r>
        <w:r w:rsidR="0087794A">
          <w:rPr>
            <w:noProof/>
            <w:webHidden/>
          </w:rPr>
          <w:fldChar w:fldCharType="end"/>
        </w:r>
      </w:hyperlink>
    </w:p>
    <w:p w14:paraId="5AB226CC" w14:textId="121C2FBF" w:rsidR="0087794A" w:rsidRDefault="006E0533">
      <w:pPr>
        <w:pStyle w:val="TableofFigures"/>
        <w:tabs>
          <w:tab w:val="right" w:leader="dot" w:pos="9628"/>
        </w:tabs>
        <w:rPr>
          <w:rFonts w:eastAsiaTheme="minorEastAsia"/>
          <w:noProof/>
          <w:kern w:val="2"/>
          <w:lang w:val="en-US"/>
          <w14:ligatures w14:val="standardContextual"/>
        </w:rPr>
      </w:pPr>
      <w:hyperlink w:anchor="_Toc154575255" w:history="1">
        <w:r w:rsidR="0087794A" w:rsidRPr="00C459BB">
          <w:rPr>
            <w:rStyle w:val="Hyperlink"/>
            <w:noProof/>
          </w:rPr>
          <w:t>Figure 4.48: Transformation input in electricity sector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_Toc154575255 \h </w:instrText>
        </w:r>
        <w:r w:rsidR="0087794A">
          <w:rPr>
            <w:noProof/>
            <w:webHidden/>
          </w:rPr>
        </w:r>
        <w:r w:rsidR="0087794A">
          <w:rPr>
            <w:noProof/>
            <w:webHidden/>
          </w:rPr>
          <w:fldChar w:fldCharType="separate"/>
        </w:r>
        <w:r w:rsidR="0087794A">
          <w:rPr>
            <w:noProof/>
            <w:webHidden/>
          </w:rPr>
          <w:t>236</w:t>
        </w:r>
        <w:r w:rsidR="0087794A">
          <w:rPr>
            <w:noProof/>
            <w:webHidden/>
          </w:rPr>
          <w:fldChar w:fldCharType="end"/>
        </w:r>
      </w:hyperlink>
    </w:p>
    <w:p w14:paraId="7F8739B8" w14:textId="4C348684" w:rsidR="0087794A" w:rsidRDefault="006E0533">
      <w:pPr>
        <w:pStyle w:val="TableofFigures"/>
        <w:tabs>
          <w:tab w:val="right" w:leader="dot" w:pos="9628"/>
        </w:tabs>
        <w:rPr>
          <w:rFonts w:eastAsiaTheme="minorEastAsia"/>
          <w:noProof/>
          <w:kern w:val="2"/>
          <w:lang w:val="en-US"/>
          <w14:ligatures w14:val="standardContextual"/>
        </w:rPr>
      </w:pPr>
      <w:hyperlink w:anchor="_Toc154575256" w:history="1">
        <w:r w:rsidR="0087794A" w:rsidRPr="00C459BB">
          <w:rPr>
            <w:rStyle w:val="Hyperlink"/>
            <w:noProof/>
            <w:lang w:eastAsia="el-GR"/>
          </w:rPr>
          <w:t>Figure 4.49: Transformation output in electricity sector over 2020-2050</w:t>
        </w:r>
        <w:r w:rsidR="0087794A" w:rsidRPr="00C459BB">
          <w:rPr>
            <w:rStyle w:val="Hyperlink"/>
            <w:noProof/>
          </w:rPr>
          <w:t xml:space="preserve"> </w:t>
        </w:r>
        <w:r w:rsidR="0087794A" w:rsidRPr="00C459BB">
          <w:rPr>
            <w:rStyle w:val="Hyperlink"/>
            <w:noProof/>
            <w:lang w:eastAsia="el-GR"/>
          </w:rPr>
          <w:t>in the scenario with existing measures (WEM)</w:t>
        </w:r>
        <w:r w:rsidR="0087794A">
          <w:rPr>
            <w:noProof/>
            <w:webHidden/>
          </w:rPr>
          <w:tab/>
        </w:r>
        <w:r w:rsidR="0087794A">
          <w:rPr>
            <w:noProof/>
            <w:webHidden/>
          </w:rPr>
          <w:fldChar w:fldCharType="begin"/>
        </w:r>
        <w:r w:rsidR="0087794A">
          <w:rPr>
            <w:noProof/>
            <w:webHidden/>
          </w:rPr>
          <w:instrText xml:space="preserve"> PAGEREF _Toc154575256 \h </w:instrText>
        </w:r>
        <w:r w:rsidR="0087794A">
          <w:rPr>
            <w:noProof/>
            <w:webHidden/>
          </w:rPr>
        </w:r>
        <w:r w:rsidR="0087794A">
          <w:rPr>
            <w:noProof/>
            <w:webHidden/>
          </w:rPr>
          <w:fldChar w:fldCharType="separate"/>
        </w:r>
        <w:r w:rsidR="0087794A">
          <w:rPr>
            <w:noProof/>
            <w:webHidden/>
          </w:rPr>
          <w:t>236</w:t>
        </w:r>
        <w:r w:rsidR="0087794A">
          <w:rPr>
            <w:noProof/>
            <w:webHidden/>
          </w:rPr>
          <w:fldChar w:fldCharType="end"/>
        </w:r>
      </w:hyperlink>
    </w:p>
    <w:p w14:paraId="01BE5157" w14:textId="0A3FEBD8" w:rsidR="0087794A" w:rsidRDefault="006E0533">
      <w:pPr>
        <w:pStyle w:val="TableofFigures"/>
        <w:tabs>
          <w:tab w:val="right" w:leader="dot" w:pos="9628"/>
        </w:tabs>
        <w:rPr>
          <w:rFonts w:eastAsiaTheme="minorEastAsia"/>
          <w:noProof/>
          <w:kern w:val="2"/>
          <w:lang w:val="en-US"/>
          <w14:ligatures w14:val="standardContextual"/>
        </w:rPr>
      </w:pPr>
      <w:hyperlink w:anchor="_Toc154575257" w:history="1">
        <w:r w:rsidR="0087794A" w:rsidRPr="00C459BB">
          <w:rPr>
            <w:rStyle w:val="Hyperlink"/>
            <w:noProof/>
          </w:rPr>
          <w:t>Figure 4.50: Total electricity network losses over 2020-2050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_Toc154575257 \h </w:instrText>
        </w:r>
        <w:r w:rsidR="0087794A">
          <w:rPr>
            <w:noProof/>
            <w:webHidden/>
          </w:rPr>
        </w:r>
        <w:r w:rsidR="0087794A">
          <w:rPr>
            <w:noProof/>
            <w:webHidden/>
          </w:rPr>
          <w:fldChar w:fldCharType="separate"/>
        </w:r>
        <w:r w:rsidR="0087794A">
          <w:rPr>
            <w:noProof/>
            <w:webHidden/>
          </w:rPr>
          <w:t>237</w:t>
        </w:r>
        <w:r w:rsidR="0087794A">
          <w:rPr>
            <w:noProof/>
            <w:webHidden/>
          </w:rPr>
          <w:fldChar w:fldCharType="end"/>
        </w:r>
      </w:hyperlink>
    </w:p>
    <w:p w14:paraId="7D433611" w14:textId="772007BB" w:rsidR="0087794A" w:rsidRDefault="006E0533">
      <w:pPr>
        <w:pStyle w:val="TableofFigures"/>
        <w:tabs>
          <w:tab w:val="right" w:leader="dot" w:pos="9628"/>
        </w:tabs>
        <w:rPr>
          <w:rFonts w:eastAsiaTheme="minorEastAsia"/>
          <w:noProof/>
          <w:kern w:val="2"/>
          <w:lang w:val="en-US"/>
          <w14:ligatures w14:val="standardContextual"/>
        </w:rPr>
      </w:pPr>
      <w:hyperlink w:anchor="_Toc154575258" w:history="1">
        <w:r w:rsidR="0087794A" w:rsidRPr="00C459BB">
          <w:rPr>
            <w:rStyle w:val="Hyperlink"/>
            <w:noProof/>
          </w:rPr>
          <w:t xml:space="preserve">Figure 4.51: Total gas network losses over </w:t>
        </w:r>
        <w:r w:rsidR="0087794A" w:rsidRPr="00C459BB">
          <w:rPr>
            <w:rStyle w:val="Hyperlink"/>
            <w:noProof/>
            <w:lang w:eastAsia="el-GR"/>
          </w:rPr>
          <w:t>2020</w:t>
        </w:r>
        <w:r w:rsidR="0087794A" w:rsidRPr="00C459BB">
          <w:rPr>
            <w:rStyle w:val="Hyperlink"/>
            <w:noProof/>
          </w:rPr>
          <w:t>-2050 in the scenario with existing measures (WEM)</w:t>
        </w:r>
        <w:r w:rsidR="0087794A">
          <w:rPr>
            <w:noProof/>
            <w:webHidden/>
          </w:rPr>
          <w:tab/>
        </w:r>
        <w:r w:rsidR="0087794A">
          <w:rPr>
            <w:noProof/>
            <w:webHidden/>
          </w:rPr>
          <w:fldChar w:fldCharType="begin"/>
        </w:r>
        <w:r w:rsidR="0087794A">
          <w:rPr>
            <w:noProof/>
            <w:webHidden/>
          </w:rPr>
          <w:instrText xml:space="preserve"> PAGEREF _Toc154575258 \h </w:instrText>
        </w:r>
        <w:r w:rsidR="0087794A">
          <w:rPr>
            <w:noProof/>
            <w:webHidden/>
          </w:rPr>
        </w:r>
        <w:r w:rsidR="0087794A">
          <w:rPr>
            <w:noProof/>
            <w:webHidden/>
          </w:rPr>
          <w:fldChar w:fldCharType="separate"/>
        </w:r>
        <w:r w:rsidR="0087794A">
          <w:rPr>
            <w:noProof/>
            <w:webHidden/>
          </w:rPr>
          <w:t>237</w:t>
        </w:r>
        <w:r w:rsidR="0087794A">
          <w:rPr>
            <w:noProof/>
            <w:webHidden/>
          </w:rPr>
          <w:fldChar w:fldCharType="end"/>
        </w:r>
      </w:hyperlink>
    </w:p>
    <w:p w14:paraId="167E249D" w14:textId="55D31944" w:rsidR="0087794A" w:rsidRDefault="006E0533">
      <w:pPr>
        <w:pStyle w:val="TableofFigures"/>
        <w:tabs>
          <w:tab w:val="right" w:leader="dot" w:pos="9628"/>
        </w:tabs>
        <w:rPr>
          <w:rFonts w:eastAsiaTheme="minorEastAsia"/>
          <w:noProof/>
          <w:kern w:val="2"/>
          <w:lang w:val="en-US"/>
          <w14:ligatures w14:val="standardContextual"/>
        </w:rPr>
      </w:pPr>
      <w:hyperlink w:anchor="_Toc154575259" w:history="1">
        <w:r w:rsidR="0087794A" w:rsidRPr="00C459BB">
          <w:rPr>
            <w:rStyle w:val="Hyperlink"/>
            <w:noProof/>
          </w:rPr>
          <w:t>Figure 4.52: ENTSO-e TYNDP 2020 identification of system needs for 2030 and 2040 (source: ENTSO-E)</w:t>
        </w:r>
        <w:r w:rsidR="0087794A">
          <w:rPr>
            <w:noProof/>
            <w:webHidden/>
          </w:rPr>
          <w:tab/>
        </w:r>
        <w:r w:rsidR="0087794A">
          <w:rPr>
            <w:noProof/>
            <w:webHidden/>
          </w:rPr>
          <w:fldChar w:fldCharType="begin"/>
        </w:r>
        <w:r w:rsidR="0087794A">
          <w:rPr>
            <w:noProof/>
            <w:webHidden/>
          </w:rPr>
          <w:instrText xml:space="preserve"> PAGEREF _Toc154575259 \h </w:instrText>
        </w:r>
        <w:r w:rsidR="0087794A">
          <w:rPr>
            <w:noProof/>
            <w:webHidden/>
          </w:rPr>
        </w:r>
        <w:r w:rsidR="0087794A">
          <w:rPr>
            <w:noProof/>
            <w:webHidden/>
          </w:rPr>
          <w:fldChar w:fldCharType="separate"/>
        </w:r>
        <w:r w:rsidR="0087794A">
          <w:rPr>
            <w:noProof/>
            <w:webHidden/>
          </w:rPr>
          <w:t>239</w:t>
        </w:r>
        <w:r w:rsidR="0087794A">
          <w:rPr>
            <w:noProof/>
            <w:webHidden/>
          </w:rPr>
          <w:fldChar w:fldCharType="end"/>
        </w:r>
      </w:hyperlink>
    </w:p>
    <w:p w14:paraId="004F5DF3" w14:textId="32ABF4A4" w:rsidR="0087794A" w:rsidRDefault="006E0533">
      <w:pPr>
        <w:pStyle w:val="TableofFigures"/>
        <w:tabs>
          <w:tab w:val="right" w:leader="dot" w:pos="9628"/>
        </w:tabs>
        <w:rPr>
          <w:rFonts w:eastAsiaTheme="minorEastAsia"/>
          <w:noProof/>
          <w:kern w:val="2"/>
          <w:lang w:val="en-US"/>
          <w14:ligatures w14:val="standardContextual"/>
        </w:rPr>
      </w:pPr>
      <w:hyperlink w:anchor="_Toc154575260" w:history="1">
        <w:r w:rsidR="0087794A" w:rsidRPr="00C459BB">
          <w:rPr>
            <w:rStyle w:val="Hyperlink"/>
            <w:noProof/>
          </w:rPr>
          <w:t>Figure 4.53: Cross-border capacities increases by 2025 (source: ENTSO-E)</w:t>
        </w:r>
        <w:r w:rsidR="0087794A">
          <w:rPr>
            <w:noProof/>
            <w:webHidden/>
          </w:rPr>
          <w:tab/>
        </w:r>
        <w:r w:rsidR="0087794A">
          <w:rPr>
            <w:noProof/>
            <w:webHidden/>
          </w:rPr>
          <w:fldChar w:fldCharType="begin"/>
        </w:r>
        <w:r w:rsidR="0087794A">
          <w:rPr>
            <w:noProof/>
            <w:webHidden/>
          </w:rPr>
          <w:instrText xml:space="preserve"> PAGEREF _Toc154575260 \h </w:instrText>
        </w:r>
        <w:r w:rsidR="0087794A">
          <w:rPr>
            <w:noProof/>
            <w:webHidden/>
          </w:rPr>
        </w:r>
        <w:r w:rsidR="0087794A">
          <w:rPr>
            <w:noProof/>
            <w:webHidden/>
          </w:rPr>
          <w:fldChar w:fldCharType="separate"/>
        </w:r>
        <w:r w:rsidR="0087794A">
          <w:rPr>
            <w:noProof/>
            <w:webHidden/>
          </w:rPr>
          <w:t>239</w:t>
        </w:r>
        <w:r w:rsidR="0087794A">
          <w:rPr>
            <w:noProof/>
            <w:webHidden/>
          </w:rPr>
          <w:fldChar w:fldCharType="end"/>
        </w:r>
      </w:hyperlink>
    </w:p>
    <w:p w14:paraId="7FD3EE9E" w14:textId="1F616AF6" w:rsidR="0087794A" w:rsidRDefault="006E0533">
      <w:pPr>
        <w:pStyle w:val="TableofFigures"/>
        <w:tabs>
          <w:tab w:val="right" w:leader="dot" w:pos="9628"/>
        </w:tabs>
        <w:rPr>
          <w:rFonts w:eastAsiaTheme="minorEastAsia"/>
          <w:noProof/>
          <w:kern w:val="2"/>
          <w:lang w:val="en-US"/>
          <w14:ligatures w14:val="standardContextual"/>
        </w:rPr>
      </w:pPr>
      <w:hyperlink w:anchor="_Toc154575261" w:history="1">
        <w:r w:rsidR="0087794A" w:rsidRPr="00C459BB">
          <w:rPr>
            <w:rStyle w:val="Hyperlink"/>
            <w:noProof/>
          </w:rPr>
          <w:t>Figure 4.54: Electricity transmission network project corridors (source: EMS)</w:t>
        </w:r>
        <w:r w:rsidR="0087794A">
          <w:rPr>
            <w:noProof/>
            <w:webHidden/>
          </w:rPr>
          <w:tab/>
        </w:r>
        <w:r w:rsidR="0087794A">
          <w:rPr>
            <w:noProof/>
            <w:webHidden/>
          </w:rPr>
          <w:fldChar w:fldCharType="begin"/>
        </w:r>
        <w:r w:rsidR="0087794A">
          <w:rPr>
            <w:noProof/>
            <w:webHidden/>
          </w:rPr>
          <w:instrText xml:space="preserve"> PAGEREF _Toc154575261 \h </w:instrText>
        </w:r>
        <w:r w:rsidR="0087794A">
          <w:rPr>
            <w:noProof/>
            <w:webHidden/>
          </w:rPr>
        </w:r>
        <w:r w:rsidR="0087794A">
          <w:rPr>
            <w:noProof/>
            <w:webHidden/>
          </w:rPr>
          <w:fldChar w:fldCharType="separate"/>
        </w:r>
        <w:r w:rsidR="0087794A">
          <w:rPr>
            <w:noProof/>
            <w:webHidden/>
          </w:rPr>
          <w:t>240</w:t>
        </w:r>
        <w:r w:rsidR="0087794A">
          <w:rPr>
            <w:noProof/>
            <w:webHidden/>
          </w:rPr>
          <w:fldChar w:fldCharType="end"/>
        </w:r>
      </w:hyperlink>
    </w:p>
    <w:p w14:paraId="00761E36" w14:textId="5F693DD1" w:rsidR="0087794A" w:rsidRDefault="006E0533">
      <w:pPr>
        <w:pStyle w:val="TableofFigures"/>
        <w:tabs>
          <w:tab w:val="right" w:leader="dot" w:pos="9628"/>
        </w:tabs>
        <w:rPr>
          <w:rFonts w:eastAsiaTheme="minorEastAsia"/>
          <w:noProof/>
          <w:kern w:val="2"/>
          <w:lang w:val="en-US"/>
          <w14:ligatures w14:val="standardContextual"/>
        </w:rPr>
      </w:pPr>
      <w:hyperlink w:anchor="_Toc154575262" w:history="1">
        <w:r w:rsidR="0087794A" w:rsidRPr="00C459BB">
          <w:rPr>
            <w:rStyle w:val="Hyperlink"/>
            <w:noProof/>
          </w:rPr>
          <w:t>Figure 4.55: The Electric Power System of Serbia (source: EMS)</w:t>
        </w:r>
        <w:r w:rsidR="0087794A">
          <w:rPr>
            <w:noProof/>
            <w:webHidden/>
          </w:rPr>
          <w:tab/>
        </w:r>
        <w:r w:rsidR="0087794A">
          <w:rPr>
            <w:noProof/>
            <w:webHidden/>
          </w:rPr>
          <w:fldChar w:fldCharType="begin"/>
        </w:r>
        <w:r w:rsidR="0087794A">
          <w:rPr>
            <w:noProof/>
            <w:webHidden/>
          </w:rPr>
          <w:instrText xml:space="preserve"> PAGEREF _Toc154575262 \h </w:instrText>
        </w:r>
        <w:r w:rsidR="0087794A">
          <w:rPr>
            <w:noProof/>
            <w:webHidden/>
          </w:rPr>
        </w:r>
        <w:r w:rsidR="0087794A">
          <w:rPr>
            <w:noProof/>
            <w:webHidden/>
          </w:rPr>
          <w:fldChar w:fldCharType="separate"/>
        </w:r>
        <w:r w:rsidR="0087794A">
          <w:rPr>
            <w:noProof/>
            <w:webHidden/>
          </w:rPr>
          <w:t>241</w:t>
        </w:r>
        <w:r w:rsidR="0087794A">
          <w:rPr>
            <w:noProof/>
            <w:webHidden/>
          </w:rPr>
          <w:fldChar w:fldCharType="end"/>
        </w:r>
      </w:hyperlink>
    </w:p>
    <w:p w14:paraId="4E71B464" w14:textId="57DE7653" w:rsidR="0087794A" w:rsidRDefault="006E0533">
      <w:pPr>
        <w:pStyle w:val="TableofFigures"/>
        <w:tabs>
          <w:tab w:val="right" w:leader="dot" w:pos="9628"/>
        </w:tabs>
        <w:rPr>
          <w:rFonts w:eastAsiaTheme="minorEastAsia"/>
          <w:noProof/>
          <w:kern w:val="2"/>
          <w:lang w:val="en-US"/>
          <w14:ligatures w14:val="standardContextual"/>
        </w:rPr>
      </w:pPr>
      <w:hyperlink w:anchor="_Toc154575263" w:history="1">
        <w:r w:rsidR="0087794A" w:rsidRPr="00C459BB">
          <w:rPr>
            <w:rStyle w:val="Hyperlink"/>
            <w:noProof/>
          </w:rPr>
          <w:t>Figure 4.56: Average annual retail prices in the competitive electricity, excluding VAT and duties free (source: AERS)</w:t>
        </w:r>
        <w:r w:rsidR="0087794A">
          <w:rPr>
            <w:noProof/>
            <w:webHidden/>
          </w:rPr>
          <w:tab/>
        </w:r>
        <w:r w:rsidR="0087794A">
          <w:rPr>
            <w:noProof/>
            <w:webHidden/>
          </w:rPr>
          <w:fldChar w:fldCharType="begin"/>
        </w:r>
        <w:r w:rsidR="0087794A">
          <w:rPr>
            <w:noProof/>
            <w:webHidden/>
          </w:rPr>
          <w:instrText xml:space="preserve"> PAGEREF _Toc154575263 \h </w:instrText>
        </w:r>
        <w:r w:rsidR="0087794A">
          <w:rPr>
            <w:noProof/>
            <w:webHidden/>
          </w:rPr>
        </w:r>
        <w:r w:rsidR="0087794A">
          <w:rPr>
            <w:noProof/>
            <w:webHidden/>
          </w:rPr>
          <w:fldChar w:fldCharType="separate"/>
        </w:r>
        <w:r w:rsidR="0087794A">
          <w:rPr>
            <w:noProof/>
            <w:webHidden/>
          </w:rPr>
          <w:t>243</w:t>
        </w:r>
        <w:r w:rsidR="0087794A">
          <w:rPr>
            <w:noProof/>
            <w:webHidden/>
          </w:rPr>
          <w:fldChar w:fldCharType="end"/>
        </w:r>
      </w:hyperlink>
    </w:p>
    <w:p w14:paraId="7B2231B3" w14:textId="1E0C6A16" w:rsidR="0087794A" w:rsidRDefault="006E0533">
      <w:pPr>
        <w:pStyle w:val="TableofFigures"/>
        <w:tabs>
          <w:tab w:val="right" w:leader="dot" w:pos="9628"/>
        </w:tabs>
        <w:rPr>
          <w:rFonts w:eastAsiaTheme="minorEastAsia"/>
          <w:noProof/>
          <w:kern w:val="2"/>
          <w:lang w:val="en-US"/>
          <w14:ligatures w14:val="standardContextual"/>
        </w:rPr>
      </w:pPr>
      <w:hyperlink w:anchor="_Toc154575264" w:history="1">
        <w:r w:rsidR="0087794A" w:rsidRPr="00C459BB">
          <w:rPr>
            <w:rStyle w:val="Hyperlink"/>
            <w:noProof/>
          </w:rPr>
          <w:t>Figure 4.57: Average annual retail prices in the regulated market, excluding VAT and duties free (source: AERS)</w:t>
        </w:r>
        <w:r w:rsidR="0087794A">
          <w:rPr>
            <w:noProof/>
            <w:webHidden/>
          </w:rPr>
          <w:tab/>
        </w:r>
        <w:r w:rsidR="0087794A">
          <w:rPr>
            <w:noProof/>
            <w:webHidden/>
          </w:rPr>
          <w:fldChar w:fldCharType="begin"/>
        </w:r>
        <w:r w:rsidR="0087794A">
          <w:rPr>
            <w:noProof/>
            <w:webHidden/>
          </w:rPr>
          <w:instrText xml:space="preserve"> PAGEREF _Toc154575264 \h </w:instrText>
        </w:r>
        <w:r w:rsidR="0087794A">
          <w:rPr>
            <w:noProof/>
            <w:webHidden/>
          </w:rPr>
        </w:r>
        <w:r w:rsidR="0087794A">
          <w:rPr>
            <w:noProof/>
            <w:webHidden/>
          </w:rPr>
          <w:fldChar w:fldCharType="separate"/>
        </w:r>
        <w:r w:rsidR="0087794A">
          <w:rPr>
            <w:noProof/>
            <w:webHidden/>
          </w:rPr>
          <w:t>244</w:t>
        </w:r>
        <w:r w:rsidR="0087794A">
          <w:rPr>
            <w:noProof/>
            <w:webHidden/>
          </w:rPr>
          <w:fldChar w:fldCharType="end"/>
        </w:r>
      </w:hyperlink>
    </w:p>
    <w:p w14:paraId="69D98F5E" w14:textId="6C7EDEA9" w:rsidR="0087794A" w:rsidRDefault="006E0533">
      <w:pPr>
        <w:pStyle w:val="TableofFigures"/>
        <w:tabs>
          <w:tab w:val="right" w:leader="dot" w:pos="9628"/>
        </w:tabs>
        <w:rPr>
          <w:rFonts w:eastAsiaTheme="minorEastAsia"/>
          <w:noProof/>
          <w:kern w:val="2"/>
          <w:lang w:val="en-US"/>
          <w14:ligatures w14:val="standardContextual"/>
        </w:rPr>
      </w:pPr>
      <w:hyperlink w:anchor="_Toc154575265" w:history="1">
        <w:r w:rsidR="0087794A" w:rsidRPr="00C459BB">
          <w:rPr>
            <w:rStyle w:val="Hyperlink"/>
            <w:noProof/>
          </w:rPr>
          <w:t>Figure 4.58: Average approved natural gas public supply price in RSD/m</w:t>
        </w:r>
        <w:r w:rsidR="0087794A" w:rsidRPr="00C459BB">
          <w:rPr>
            <w:rStyle w:val="Hyperlink"/>
            <w:noProof/>
            <w:vertAlign w:val="superscript"/>
          </w:rPr>
          <w:t>3</w:t>
        </w:r>
        <w:r w:rsidR="0087794A" w:rsidRPr="00C459BB">
          <w:rPr>
            <w:rStyle w:val="Hyperlink"/>
            <w:noProof/>
          </w:rPr>
          <w:t xml:space="preserve"> (source: AERS)</w:t>
        </w:r>
        <w:r w:rsidR="0087794A">
          <w:rPr>
            <w:noProof/>
            <w:webHidden/>
          </w:rPr>
          <w:tab/>
        </w:r>
        <w:r w:rsidR="0087794A">
          <w:rPr>
            <w:noProof/>
            <w:webHidden/>
          </w:rPr>
          <w:fldChar w:fldCharType="begin"/>
        </w:r>
        <w:r w:rsidR="0087794A">
          <w:rPr>
            <w:noProof/>
            <w:webHidden/>
          </w:rPr>
          <w:instrText xml:space="preserve"> PAGEREF _Toc154575265 \h </w:instrText>
        </w:r>
        <w:r w:rsidR="0087794A">
          <w:rPr>
            <w:noProof/>
            <w:webHidden/>
          </w:rPr>
        </w:r>
        <w:r w:rsidR="0087794A">
          <w:rPr>
            <w:noProof/>
            <w:webHidden/>
          </w:rPr>
          <w:fldChar w:fldCharType="separate"/>
        </w:r>
        <w:r w:rsidR="0087794A">
          <w:rPr>
            <w:noProof/>
            <w:webHidden/>
          </w:rPr>
          <w:t>244</w:t>
        </w:r>
        <w:r w:rsidR="0087794A">
          <w:rPr>
            <w:noProof/>
            <w:webHidden/>
          </w:rPr>
          <w:fldChar w:fldCharType="end"/>
        </w:r>
      </w:hyperlink>
    </w:p>
    <w:p w14:paraId="5A5E065A" w14:textId="4BF92AC3" w:rsidR="0087794A" w:rsidRDefault="006E0533">
      <w:pPr>
        <w:pStyle w:val="TableofFigures"/>
        <w:tabs>
          <w:tab w:val="right" w:leader="dot" w:pos="9628"/>
        </w:tabs>
        <w:rPr>
          <w:rFonts w:eastAsiaTheme="minorEastAsia"/>
          <w:noProof/>
          <w:kern w:val="2"/>
          <w:lang w:val="en-US"/>
          <w14:ligatures w14:val="standardContextual"/>
        </w:rPr>
      </w:pPr>
      <w:hyperlink w:anchor="_Toc154575266" w:history="1">
        <w:r w:rsidR="0087794A" w:rsidRPr="00C459BB">
          <w:rPr>
            <w:rStyle w:val="Hyperlink"/>
            <w:noProof/>
          </w:rPr>
          <w:t>Figure 4.59: Average weighted retail price in the regulated market in RSD/m3(source: AERS)</w:t>
        </w:r>
        <w:r w:rsidR="0087794A">
          <w:rPr>
            <w:noProof/>
            <w:webHidden/>
          </w:rPr>
          <w:tab/>
        </w:r>
        <w:r w:rsidR="0087794A">
          <w:rPr>
            <w:noProof/>
            <w:webHidden/>
          </w:rPr>
          <w:fldChar w:fldCharType="begin"/>
        </w:r>
        <w:r w:rsidR="0087794A">
          <w:rPr>
            <w:noProof/>
            <w:webHidden/>
          </w:rPr>
          <w:instrText xml:space="preserve"> PAGEREF _Toc154575266 \h </w:instrText>
        </w:r>
        <w:r w:rsidR="0087794A">
          <w:rPr>
            <w:noProof/>
            <w:webHidden/>
          </w:rPr>
        </w:r>
        <w:r w:rsidR="0087794A">
          <w:rPr>
            <w:noProof/>
            <w:webHidden/>
          </w:rPr>
          <w:fldChar w:fldCharType="separate"/>
        </w:r>
        <w:r w:rsidR="0087794A">
          <w:rPr>
            <w:noProof/>
            <w:webHidden/>
          </w:rPr>
          <w:t>245</w:t>
        </w:r>
        <w:r w:rsidR="0087794A">
          <w:rPr>
            <w:noProof/>
            <w:webHidden/>
          </w:rPr>
          <w:fldChar w:fldCharType="end"/>
        </w:r>
      </w:hyperlink>
    </w:p>
    <w:p w14:paraId="6426988A" w14:textId="0B7F6145" w:rsidR="0087794A" w:rsidRDefault="006E0533">
      <w:pPr>
        <w:pStyle w:val="TableofFigures"/>
        <w:tabs>
          <w:tab w:val="right" w:leader="dot" w:pos="9628"/>
        </w:tabs>
        <w:rPr>
          <w:rFonts w:eastAsiaTheme="minorEastAsia"/>
          <w:noProof/>
          <w:kern w:val="2"/>
          <w:lang w:val="en-US"/>
          <w14:ligatures w14:val="standardContextual"/>
        </w:rPr>
      </w:pPr>
      <w:hyperlink w:anchor="_Toc154575267" w:history="1">
        <w:r w:rsidR="0087794A" w:rsidRPr="00C459BB">
          <w:rPr>
            <w:rStyle w:val="Hyperlink"/>
            <w:noProof/>
          </w:rPr>
          <w:t>Figure 4.60: Estimated average electricity supply cost in the scenario with existing measures (WEM)</w:t>
        </w:r>
        <w:r w:rsidR="0087794A">
          <w:rPr>
            <w:noProof/>
            <w:webHidden/>
          </w:rPr>
          <w:tab/>
        </w:r>
        <w:r w:rsidR="0087794A">
          <w:rPr>
            <w:noProof/>
            <w:webHidden/>
          </w:rPr>
          <w:fldChar w:fldCharType="begin"/>
        </w:r>
        <w:r w:rsidR="0087794A">
          <w:rPr>
            <w:noProof/>
            <w:webHidden/>
          </w:rPr>
          <w:instrText xml:space="preserve"> PAGEREF _Toc154575267 \h </w:instrText>
        </w:r>
        <w:r w:rsidR="0087794A">
          <w:rPr>
            <w:noProof/>
            <w:webHidden/>
          </w:rPr>
        </w:r>
        <w:r w:rsidR="0087794A">
          <w:rPr>
            <w:noProof/>
            <w:webHidden/>
          </w:rPr>
          <w:fldChar w:fldCharType="separate"/>
        </w:r>
        <w:r w:rsidR="0087794A">
          <w:rPr>
            <w:noProof/>
            <w:webHidden/>
          </w:rPr>
          <w:t>246</w:t>
        </w:r>
        <w:r w:rsidR="0087794A">
          <w:rPr>
            <w:noProof/>
            <w:webHidden/>
          </w:rPr>
          <w:fldChar w:fldCharType="end"/>
        </w:r>
      </w:hyperlink>
    </w:p>
    <w:p w14:paraId="37B6CAEA" w14:textId="566B33E1" w:rsidR="0087794A" w:rsidRDefault="006E0533">
      <w:pPr>
        <w:pStyle w:val="TableofFigures"/>
        <w:tabs>
          <w:tab w:val="right" w:leader="dot" w:pos="9628"/>
        </w:tabs>
        <w:rPr>
          <w:rFonts w:eastAsiaTheme="minorEastAsia"/>
          <w:noProof/>
          <w:kern w:val="2"/>
          <w:lang w:val="en-US"/>
          <w14:ligatures w14:val="standardContextual"/>
        </w:rPr>
      </w:pPr>
      <w:hyperlink w:anchor="_Toc154575268" w:history="1">
        <w:r w:rsidR="0087794A" w:rsidRPr="00C459BB">
          <w:rPr>
            <w:rStyle w:val="Hyperlink"/>
            <w:noProof/>
          </w:rPr>
          <w:t>Figure 4.61: Natural gas average annual import prices in the scenario with existing measures (WEM)</w:t>
        </w:r>
        <w:r w:rsidR="0087794A">
          <w:rPr>
            <w:noProof/>
            <w:webHidden/>
          </w:rPr>
          <w:tab/>
        </w:r>
        <w:r w:rsidR="0087794A">
          <w:rPr>
            <w:noProof/>
            <w:webHidden/>
          </w:rPr>
          <w:fldChar w:fldCharType="begin"/>
        </w:r>
        <w:r w:rsidR="0087794A">
          <w:rPr>
            <w:noProof/>
            <w:webHidden/>
          </w:rPr>
          <w:instrText xml:space="preserve"> PAGEREF _Toc154575268 \h </w:instrText>
        </w:r>
        <w:r w:rsidR="0087794A">
          <w:rPr>
            <w:noProof/>
            <w:webHidden/>
          </w:rPr>
        </w:r>
        <w:r w:rsidR="0087794A">
          <w:rPr>
            <w:noProof/>
            <w:webHidden/>
          </w:rPr>
          <w:fldChar w:fldCharType="separate"/>
        </w:r>
        <w:r w:rsidR="0087794A">
          <w:rPr>
            <w:noProof/>
            <w:webHidden/>
          </w:rPr>
          <w:t>246</w:t>
        </w:r>
        <w:r w:rsidR="0087794A">
          <w:rPr>
            <w:noProof/>
            <w:webHidden/>
          </w:rPr>
          <w:fldChar w:fldCharType="end"/>
        </w:r>
      </w:hyperlink>
    </w:p>
    <w:p w14:paraId="7A93323E" w14:textId="6DA1BB53" w:rsidR="0087794A" w:rsidRDefault="006E0533">
      <w:pPr>
        <w:pStyle w:val="TableofFigures"/>
        <w:tabs>
          <w:tab w:val="right" w:leader="dot" w:pos="9628"/>
        </w:tabs>
        <w:rPr>
          <w:rFonts w:eastAsiaTheme="minorEastAsia"/>
          <w:noProof/>
          <w:kern w:val="2"/>
          <w:lang w:val="en-US"/>
          <w14:ligatures w14:val="standardContextual"/>
        </w:rPr>
      </w:pPr>
      <w:hyperlink w:anchor="_Toc154575269" w:history="1">
        <w:r w:rsidR="0087794A" w:rsidRPr="00C459BB">
          <w:rPr>
            <w:rStyle w:val="Hyperlink"/>
            <w:noProof/>
          </w:rPr>
          <w:t>Figure 4.62: Breakdown of R&amp;D organizations per sector (source: Statistical Office of the Republic of Serbia)</w:t>
        </w:r>
        <w:r w:rsidR="0087794A">
          <w:rPr>
            <w:noProof/>
            <w:webHidden/>
          </w:rPr>
          <w:tab/>
        </w:r>
        <w:r w:rsidR="0087794A">
          <w:rPr>
            <w:noProof/>
            <w:webHidden/>
          </w:rPr>
          <w:fldChar w:fldCharType="begin"/>
        </w:r>
        <w:r w:rsidR="0087794A">
          <w:rPr>
            <w:noProof/>
            <w:webHidden/>
          </w:rPr>
          <w:instrText xml:space="preserve"> PAGEREF _Toc154575269 \h </w:instrText>
        </w:r>
        <w:r w:rsidR="0087794A">
          <w:rPr>
            <w:noProof/>
            <w:webHidden/>
          </w:rPr>
        </w:r>
        <w:r w:rsidR="0087794A">
          <w:rPr>
            <w:noProof/>
            <w:webHidden/>
          </w:rPr>
          <w:fldChar w:fldCharType="separate"/>
        </w:r>
        <w:r w:rsidR="0087794A">
          <w:rPr>
            <w:noProof/>
            <w:webHidden/>
          </w:rPr>
          <w:t>248</w:t>
        </w:r>
        <w:r w:rsidR="0087794A">
          <w:rPr>
            <w:noProof/>
            <w:webHidden/>
          </w:rPr>
          <w:fldChar w:fldCharType="end"/>
        </w:r>
      </w:hyperlink>
    </w:p>
    <w:p w14:paraId="7BFB8069" w14:textId="3E8EDE5C" w:rsidR="0087794A" w:rsidRDefault="006E0533">
      <w:pPr>
        <w:pStyle w:val="TableofFigures"/>
        <w:tabs>
          <w:tab w:val="right" w:leader="dot" w:pos="9628"/>
        </w:tabs>
        <w:rPr>
          <w:rFonts w:eastAsiaTheme="minorEastAsia"/>
          <w:noProof/>
          <w:kern w:val="2"/>
          <w:lang w:val="en-US"/>
          <w14:ligatures w14:val="standardContextual"/>
        </w:rPr>
      </w:pPr>
      <w:hyperlink w:anchor="_Toc154575270" w:history="1">
        <w:r w:rsidR="0087794A" w:rsidRPr="00C459BB">
          <w:rPr>
            <w:rStyle w:val="Hyperlink"/>
            <w:noProof/>
          </w:rPr>
          <w:t>Figure 4.63: Breakdown of R&amp;D organizations per fields of science (source: Statistical Office of the Republic of Serbia)</w:t>
        </w:r>
        <w:r w:rsidR="0087794A">
          <w:rPr>
            <w:noProof/>
            <w:webHidden/>
          </w:rPr>
          <w:tab/>
        </w:r>
        <w:r w:rsidR="0087794A">
          <w:rPr>
            <w:noProof/>
            <w:webHidden/>
          </w:rPr>
          <w:fldChar w:fldCharType="begin"/>
        </w:r>
        <w:r w:rsidR="0087794A">
          <w:rPr>
            <w:noProof/>
            <w:webHidden/>
          </w:rPr>
          <w:instrText xml:space="preserve"> PAGEREF _Toc154575270 \h </w:instrText>
        </w:r>
        <w:r w:rsidR="0087794A">
          <w:rPr>
            <w:noProof/>
            <w:webHidden/>
          </w:rPr>
        </w:r>
        <w:r w:rsidR="0087794A">
          <w:rPr>
            <w:noProof/>
            <w:webHidden/>
          </w:rPr>
          <w:fldChar w:fldCharType="separate"/>
        </w:r>
        <w:r w:rsidR="0087794A">
          <w:rPr>
            <w:noProof/>
            <w:webHidden/>
          </w:rPr>
          <w:t>249</w:t>
        </w:r>
        <w:r w:rsidR="0087794A">
          <w:rPr>
            <w:noProof/>
            <w:webHidden/>
          </w:rPr>
          <w:fldChar w:fldCharType="end"/>
        </w:r>
      </w:hyperlink>
    </w:p>
    <w:p w14:paraId="7A7A4124" w14:textId="7B5EE0BE" w:rsidR="0087794A" w:rsidRDefault="006E0533">
      <w:pPr>
        <w:pStyle w:val="TableofFigures"/>
        <w:tabs>
          <w:tab w:val="right" w:leader="dot" w:pos="9628"/>
        </w:tabs>
        <w:rPr>
          <w:rFonts w:eastAsiaTheme="minorEastAsia"/>
          <w:noProof/>
          <w:kern w:val="2"/>
          <w:lang w:val="en-US"/>
          <w14:ligatures w14:val="standardContextual"/>
        </w:rPr>
      </w:pPr>
      <w:hyperlink w:anchor="_Toc154575271" w:history="1">
        <w:r w:rsidR="0087794A" w:rsidRPr="00C459BB">
          <w:rPr>
            <w:rStyle w:val="Hyperlink"/>
            <w:noProof/>
          </w:rPr>
          <w:t>Figure 4.64: Number of employees engaged in R&amp;D activities (source: Statistical Office of the Republic of Serbia)</w:t>
        </w:r>
        <w:r w:rsidR="0087794A">
          <w:rPr>
            <w:noProof/>
            <w:webHidden/>
          </w:rPr>
          <w:tab/>
        </w:r>
        <w:r w:rsidR="0087794A">
          <w:rPr>
            <w:noProof/>
            <w:webHidden/>
          </w:rPr>
          <w:fldChar w:fldCharType="begin"/>
        </w:r>
        <w:r w:rsidR="0087794A">
          <w:rPr>
            <w:noProof/>
            <w:webHidden/>
          </w:rPr>
          <w:instrText xml:space="preserve"> PAGEREF _Toc154575271 \h </w:instrText>
        </w:r>
        <w:r w:rsidR="0087794A">
          <w:rPr>
            <w:noProof/>
            <w:webHidden/>
          </w:rPr>
        </w:r>
        <w:r w:rsidR="0087794A">
          <w:rPr>
            <w:noProof/>
            <w:webHidden/>
          </w:rPr>
          <w:fldChar w:fldCharType="separate"/>
        </w:r>
        <w:r w:rsidR="0087794A">
          <w:rPr>
            <w:noProof/>
            <w:webHidden/>
          </w:rPr>
          <w:t>249</w:t>
        </w:r>
        <w:r w:rsidR="0087794A">
          <w:rPr>
            <w:noProof/>
            <w:webHidden/>
          </w:rPr>
          <w:fldChar w:fldCharType="end"/>
        </w:r>
      </w:hyperlink>
    </w:p>
    <w:p w14:paraId="3F21EBCD" w14:textId="17C76492" w:rsidR="0087794A" w:rsidRDefault="006E0533">
      <w:pPr>
        <w:pStyle w:val="TableofFigures"/>
        <w:tabs>
          <w:tab w:val="right" w:leader="dot" w:pos="9628"/>
        </w:tabs>
        <w:rPr>
          <w:rFonts w:eastAsiaTheme="minorEastAsia"/>
          <w:noProof/>
          <w:kern w:val="2"/>
          <w:lang w:val="en-US"/>
          <w14:ligatures w14:val="standardContextual"/>
        </w:rPr>
      </w:pPr>
      <w:hyperlink w:anchor="_Toc154575272" w:history="1">
        <w:r w:rsidR="0087794A" w:rsidRPr="00C459BB">
          <w:rPr>
            <w:rStyle w:val="Hyperlink"/>
            <w:noProof/>
          </w:rPr>
          <w:t>Figure 4.65: Breakdown of research works by fields of science and type (source: Statistical Office of the Republic of Serbia)</w:t>
        </w:r>
        <w:r w:rsidR="0087794A">
          <w:rPr>
            <w:noProof/>
            <w:webHidden/>
          </w:rPr>
          <w:tab/>
        </w:r>
        <w:r w:rsidR="0087794A">
          <w:rPr>
            <w:noProof/>
            <w:webHidden/>
          </w:rPr>
          <w:fldChar w:fldCharType="begin"/>
        </w:r>
        <w:r w:rsidR="0087794A">
          <w:rPr>
            <w:noProof/>
            <w:webHidden/>
          </w:rPr>
          <w:instrText xml:space="preserve"> PAGEREF _Toc154575272 \h </w:instrText>
        </w:r>
        <w:r w:rsidR="0087794A">
          <w:rPr>
            <w:noProof/>
            <w:webHidden/>
          </w:rPr>
        </w:r>
        <w:r w:rsidR="0087794A">
          <w:rPr>
            <w:noProof/>
            <w:webHidden/>
          </w:rPr>
          <w:fldChar w:fldCharType="separate"/>
        </w:r>
        <w:r w:rsidR="0087794A">
          <w:rPr>
            <w:noProof/>
            <w:webHidden/>
          </w:rPr>
          <w:t>250</w:t>
        </w:r>
        <w:r w:rsidR="0087794A">
          <w:rPr>
            <w:noProof/>
            <w:webHidden/>
          </w:rPr>
          <w:fldChar w:fldCharType="end"/>
        </w:r>
      </w:hyperlink>
    </w:p>
    <w:p w14:paraId="135FFCB4" w14:textId="628DA44F" w:rsidR="0087794A" w:rsidRDefault="006E0533">
      <w:pPr>
        <w:pStyle w:val="TableofFigures"/>
        <w:tabs>
          <w:tab w:val="right" w:leader="dot" w:pos="9628"/>
        </w:tabs>
        <w:rPr>
          <w:rFonts w:eastAsiaTheme="minorEastAsia"/>
          <w:noProof/>
          <w:kern w:val="2"/>
          <w:lang w:val="en-US"/>
          <w14:ligatures w14:val="standardContextual"/>
        </w:rPr>
      </w:pPr>
      <w:hyperlink w:anchor="_Toc154575273" w:history="1">
        <w:r w:rsidR="0087794A" w:rsidRPr="00C459BB">
          <w:rPr>
            <w:rStyle w:val="Hyperlink"/>
            <w:noProof/>
          </w:rPr>
          <w:t>Figure 4.66: Breakdown of innovative enterprises per industry (source: Intellectual Property Office of the Republic of Serbia)</w:t>
        </w:r>
        <w:r w:rsidR="0087794A">
          <w:rPr>
            <w:noProof/>
            <w:webHidden/>
          </w:rPr>
          <w:tab/>
        </w:r>
        <w:r w:rsidR="0087794A">
          <w:rPr>
            <w:noProof/>
            <w:webHidden/>
          </w:rPr>
          <w:fldChar w:fldCharType="begin"/>
        </w:r>
        <w:r w:rsidR="0087794A">
          <w:rPr>
            <w:noProof/>
            <w:webHidden/>
          </w:rPr>
          <w:instrText xml:space="preserve"> PAGEREF _Toc154575273 \h </w:instrText>
        </w:r>
        <w:r w:rsidR="0087794A">
          <w:rPr>
            <w:noProof/>
            <w:webHidden/>
          </w:rPr>
        </w:r>
        <w:r w:rsidR="0087794A">
          <w:rPr>
            <w:noProof/>
            <w:webHidden/>
          </w:rPr>
          <w:fldChar w:fldCharType="separate"/>
        </w:r>
        <w:r w:rsidR="0087794A">
          <w:rPr>
            <w:noProof/>
            <w:webHidden/>
          </w:rPr>
          <w:t>250</w:t>
        </w:r>
        <w:r w:rsidR="0087794A">
          <w:rPr>
            <w:noProof/>
            <w:webHidden/>
          </w:rPr>
          <w:fldChar w:fldCharType="end"/>
        </w:r>
      </w:hyperlink>
    </w:p>
    <w:p w14:paraId="646E4813" w14:textId="21B54D52" w:rsidR="0087794A" w:rsidRDefault="006E0533">
      <w:pPr>
        <w:pStyle w:val="TableofFigures"/>
        <w:tabs>
          <w:tab w:val="right" w:leader="dot" w:pos="9628"/>
        </w:tabs>
        <w:rPr>
          <w:rFonts w:eastAsiaTheme="minorEastAsia"/>
          <w:noProof/>
          <w:kern w:val="2"/>
          <w:lang w:val="en-US"/>
          <w14:ligatures w14:val="standardContextual"/>
        </w:rPr>
      </w:pPr>
      <w:hyperlink w:anchor="_Toc154575274" w:history="1">
        <w:r w:rsidR="0087794A" w:rsidRPr="00C459BB">
          <w:rPr>
            <w:rStyle w:val="Hyperlink"/>
            <w:noProof/>
          </w:rPr>
          <w:t>Figure 5.1: Total GHG emissions (including agriculture, waste and LULUCF)</w:t>
        </w:r>
        <w:r w:rsidR="0087794A">
          <w:rPr>
            <w:noProof/>
            <w:webHidden/>
          </w:rPr>
          <w:tab/>
        </w:r>
        <w:r w:rsidR="0087794A">
          <w:rPr>
            <w:noProof/>
            <w:webHidden/>
          </w:rPr>
          <w:fldChar w:fldCharType="begin"/>
        </w:r>
        <w:r w:rsidR="0087794A">
          <w:rPr>
            <w:noProof/>
            <w:webHidden/>
          </w:rPr>
          <w:instrText xml:space="preserve"> PAGEREF _Toc154575274 \h </w:instrText>
        </w:r>
        <w:r w:rsidR="0087794A">
          <w:rPr>
            <w:noProof/>
            <w:webHidden/>
          </w:rPr>
        </w:r>
        <w:r w:rsidR="0087794A">
          <w:rPr>
            <w:noProof/>
            <w:webHidden/>
          </w:rPr>
          <w:fldChar w:fldCharType="separate"/>
        </w:r>
        <w:r w:rsidR="0087794A">
          <w:rPr>
            <w:noProof/>
            <w:webHidden/>
          </w:rPr>
          <w:t>253</w:t>
        </w:r>
        <w:r w:rsidR="0087794A">
          <w:rPr>
            <w:noProof/>
            <w:webHidden/>
          </w:rPr>
          <w:fldChar w:fldCharType="end"/>
        </w:r>
      </w:hyperlink>
    </w:p>
    <w:p w14:paraId="75CFF410" w14:textId="7F5CD673" w:rsidR="0087794A" w:rsidRDefault="006E0533">
      <w:pPr>
        <w:pStyle w:val="TableofFigures"/>
        <w:tabs>
          <w:tab w:val="right" w:leader="dot" w:pos="9628"/>
        </w:tabs>
        <w:rPr>
          <w:rFonts w:eastAsiaTheme="minorEastAsia"/>
          <w:noProof/>
          <w:kern w:val="2"/>
          <w:lang w:val="en-US"/>
          <w14:ligatures w14:val="standardContextual"/>
        </w:rPr>
      </w:pPr>
      <w:hyperlink w:anchor="_Toc154575275" w:history="1">
        <w:r w:rsidR="0087794A" w:rsidRPr="00C459BB">
          <w:rPr>
            <w:rStyle w:val="Hyperlink"/>
            <w:noProof/>
          </w:rPr>
          <w:t>Figure 5.2: Total GHG emissions (including agriculture, waste and LULUCF) reductions as percentages with respect to 1990</w:t>
        </w:r>
        <w:r w:rsidR="0087794A">
          <w:rPr>
            <w:noProof/>
            <w:webHidden/>
          </w:rPr>
          <w:tab/>
        </w:r>
        <w:r w:rsidR="0087794A">
          <w:rPr>
            <w:noProof/>
            <w:webHidden/>
          </w:rPr>
          <w:fldChar w:fldCharType="begin"/>
        </w:r>
        <w:r w:rsidR="0087794A">
          <w:rPr>
            <w:noProof/>
            <w:webHidden/>
          </w:rPr>
          <w:instrText xml:space="preserve"> PAGEREF _Toc154575275 \h </w:instrText>
        </w:r>
        <w:r w:rsidR="0087794A">
          <w:rPr>
            <w:noProof/>
            <w:webHidden/>
          </w:rPr>
        </w:r>
        <w:r w:rsidR="0087794A">
          <w:rPr>
            <w:noProof/>
            <w:webHidden/>
          </w:rPr>
          <w:fldChar w:fldCharType="separate"/>
        </w:r>
        <w:r w:rsidR="0087794A">
          <w:rPr>
            <w:noProof/>
            <w:webHidden/>
          </w:rPr>
          <w:t>254</w:t>
        </w:r>
        <w:r w:rsidR="0087794A">
          <w:rPr>
            <w:noProof/>
            <w:webHidden/>
          </w:rPr>
          <w:fldChar w:fldCharType="end"/>
        </w:r>
      </w:hyperlink>
    </w:p>
    <w:p w14:paraId="45D310FC" w14:textId="1644F198" w:rsidR="0087794A" w:rsidRDefault="006E0533">
      <w:pPr>
        <w:pStyle w:val="TableofFigures"/>
        <w:tabs>
          <w:tab w:val="right" w:leader="dot" w:pos="9628"/>
        </w:tabs>
        <w:rPr>
          <w:rFonts w:eastAsiaTheme="minorEastAsia"/>
          <w:noProof/>
          <w:kern w:val="2"/>
          <w:lang w:val="en-US"/>
          <w14:ligatures w14:val="standardContextual"/>
        </w:rPr>
      </w:pPr>
      <w:hyperlink w:anchor="_Toc154575276" w:history="1">
        <w:r w:rsidR="0087794A" w:rsidRPr="00C459BB">
          <w:rPr>
            <w:rStyle w:val="Hyperlink"/>
            <w:noProof/>
          </w:rPr>
          <w:t>Figure 5.3: GHG emissions from energy use, processes, and fugitive per sector</w:t>
        </w:r>
        <w:r w:rsidR="0087794A">
          <w:rPr>
            <w:noProof/>
            <w:webHidden/>
          </w:rPr>
          <w:tab/>
        </w:r>
        <w:r w:rsidR="0087794A">
          <w:rPr>
            <w:noProof/>
            <w:webHidden/>
          </w:rPr>
          <w:fldChar w:fldCharType="begin"/>
        </w:r>
        <w:r w:rsidR="0087794A">
          <w:rPr>
            <w:noProof/>
            <w:webHidden/>
          </w:rPr>
          <w:instrText xml:space="preserve"> PAGEREF _Toc154575276 \h </w:instrText>
        </w:r>
        <w:r w:rsidR="0087794A">
          <w:rPr>
            <w:noProof/>
            <w:webHidden/>
          </w:rPr>
        </w:r>
        <w:r w:rsidR="0087794A">
          <w:rPr>
            <w:noProof/>
            <w:webHidden/>
          </w:rPr>
          <w:fldChar w:fldCharType="separate"/>
        </w:r>
        <w:r w:rsidR="0087794A">
          <w:rPr>
            <w:noProof/>
            <w:webHidden/>
          </w:rPr>
          <w:t>255</w:t>
        </w:r>
        <w:r w:rsidR="0087794A">
          <w:rPr>
            <w:noProof/>
            <w:webHidden/>
          </w:rPr>
          <w:fldChar w:fldCharType="end"/>
        </w:r>
      </w:hyperlink>
    </w:p>
    <w:p w14:paraId="4D3F6119" w14:textId="691B2BA8" w:rsidR="0087794A" w:rsidRDefault="006E0533">
      <w:pPr>
        <w:pStyle w:val="TableofFigures"/>
        <w:tabs>
          <w:tab w:val="right" w:leader="dot" w:pos="9628"/>
        </w:tabs>
        <w:rPr>
          <w:rFonts w:eastAsiaTheme="minorEastAsia"/>
          <w:noProof/>
          <w:kern w:val="2"/>
          <w:lang w:val="en-US"/>
          <w14:ligatures w14:val="standardContextual"/>
        </w:rPr>
      </w:pPr>
      <w:hyperlink w:anchor="_Toc154575277" w:history="1">
        <w:r w:rsidR="0087794A" w:rsidRPr="00C459BB">
          <w:rPr>
            <w:rStyle w:val="Hyperlink"/>
            <w:noProof/>
          </w:rPr>
          <w:t>Figure 5.4: GHG emissions from energy use, processes, and fugitive reductions as percentages with respect to 1990</w:t>
        </w:r>
        <w:r w:rsidR="0087794A">
          <w:rPr>
            <w:noProof/>
            <w:webHidden/>
          </w:rPr>
          <w:tab/>
        </w:r>
        <w:r w:rsidR="0087794A">
          <w:rPr>
            <w:noProof/>
            <w:webHidden/>
          </w:rPr>
          <w:fldChar w:fldCharType="begin"/>
        </w:r>
        <w:r w:rsidR="0087794A">
          <w:rPr>
            <w:noProof/>
            <w:webHidden/>
          </w:rPr>
          <w:instrText xml:space="preserve"> PAGEREF _Toc154575277 \h </w:instrText>
        </w:r>
        <w:r w:rsidR="0087794A">
          <w:rPr>
            <w:noProof/>
            <w:webHidden/>
          </w:rPr>
        </w:r>
        <w:r w:rsidR="0087794A">
          <w:rPr>
            <w:noProof/>
            <w:webHidden/>
          </w:rPr>
          <w:fldChar w:fldCharType="separate"/>
        </w:r>
        <w:r w:rsidR="0087794A">
          <w:rPr>
            <w:noProof/>
            <w:webHidden/>
          </w:rPr>
          <w:t>256</w:t>
        </w:r>
        <w:r w:rsidR="0087794A">
          <w:rPr>
            <w:noProof/>
            <w:webHidden/>
          </w:rPr>
          <w:fldChar w:fldCharType="end"/>
        </w:r>
      </w:hyperlink>
    </w:p>
    <w:p w14:paraId="137CD5D9" w14:textId="531479DA" w:rsidR="0087794A" w:rsidRDefault="006E0533">
      <w:pPr>
        <w:pStyle w:val="TableofFigures"/>
        <w:tabs>
          <w:tab w:val="right" w:leader="dot" w:pos="9628"/>
        </w:tabs>
        <w:rPr>
          <w:rFonts w:eastAsiaTheme="minorEastAsia"/>
          <w:noProof/>
          <w:kern w:val="2"/>
          <w:lang w:val="en-US"/>
          <w14:ligatures w14:val="standardContextual"/>
        </w:rPr>
      </w:pPr>
      <w:hyperlink w:anchor="_Toc154575278" w:history="1">
        <w:r w:rsidR="0087794A" w:rsidRPr="00C459BB">
          <w:rPr>
            <w:rStyle w:val="Hyperlink"/>
            <w:noProof/>
          </w:rPr>
          <w:t>Figure 5.5: GHG emissions (from energy use, processes, and fugitive) per sector</w:t>
        </w:r>
        <w:r w:rsidR="0087794A">
          <w:rPr>
            <w:noProof/>
            <w:webHidden/>
          </w:rPr>
          <w:tab/>
        </w:r>
        <w:r w:rsidR="0087794A">
          <w:rPr>
            <w:noProof/>
            <w:webHidden/>
          </w:rPr>
          <w:fldChar w:fldCharType="begin"/>
        </w:r>
        <w:r w:rsidR="0087794A">
          <w:rPr>
            <w:noProof/>
            <w:webHidden/>
          </w:rPr>
          <w:instrText xml:space="preserve"> PAGEREF _Toc154575278 \h </w:instrText>
        </w:r>
        <w:r w:rsidR="0087794A">
          <w:rPr>
            <w:noProof/>
            <w:webHidden/>
          </w:rPr>
        </w:r>
        <w:r w:rsidR="0087794A">
          <w:rPr>
            <w:noProof/>
            <w:webHidden/>
          </w:rPr>
          <w:fldChar w:fldCharType="separate"/>
        </w:r>
        <w:r w:rsidR="0087794A">
          <w:rPr>
            <w:noProof/>
            <w:webHidden/>
          </w:rPr>
          <w:t>257</w:t>
        </w:r>
        <w:r w:rsidR="0087794A">
          <w:rPr>
            <w:noProof/>
            <w:webHidden/>
          </w:rPr>
          <w:fldChar w:fldCharType="end"/>
        </w:r>
      </w:hyperlink>
    </w:p>
    <w:p w14:paraId="3724B089" w14:textId="2166D344" w:rsidR="0087794A" w:rsidRDefault="006E0533">
      <w:pPr>
        <w:pStyle w:val="TableofFigures"/>
        <w:tabs>
          <w:tab w:val="right" w:leader="dot" w:pos="9628"/>
        </w:tabs>
        <w:rPr>
          <w:rFonts w:eastAsiaTheme="minorEastAsia"/>
          <w:noProof/>
          <w:kern w:val="2"/>
          <w:lang w:val="en-US"/>
          <w14:ligatures w14:val="standardContextual"/>
        </w:rPr>
      </w:pPr>
      <w:hyperlink w:anchor="_Toc154575279" w:history="1">
        <w:r w:rsidR="0087794A" w:rsidRPr="00C459BB">
          <w:rPr>
            <w:rStyle w:val="Hyperlink"/>
            <w:noProof/>
          </w:rPr>
          <w:t>Figure 5.6: GHG emissions from agriculture (non-energy related), waste and LULUCF</w:t>
        </w:r>
        <w:r w:rsidR="0087794A">
          <w:rPr>
            <w:noProof/>
            <w:webHidden/>
          </w:rPr>
          <w:tab/>
        </w:r>
        <w:r w:rsidR="0087794A">
          <w:rPr>
            <w:noProof/>
            <w:webHidden/>
          </w:rPr>
          <w:fldChar w:fldCharType="begin"/>
        </w:r>
        <w:r w:rsidR="0087794A">
          <w:rPr>
            <w:noProof/>
            <w:webHidden/>
          </w:rPr>
          <w:instrText xml:space="preserve"> PAGEREF _Toc154575279 \h </w:instrText>
        </w:r>
        <w:r w:rsidR="0087794A">
          <w:rPr>
            <w:noProof/>
            <w:webHidden/>
          </w:rPr>
        </w:r>
        <w:r w:rsidR="0087794A">
          <w:rPr>
            <w:noProof/>
            <w:webHidden/>
          </w:rPr>
          <w:fldChar w:fldCharType="separate"/>
        </w:r>
        <w:r w:rsidR="0087794A">
          <w:rPr>
            <w:noProof/>
            <w:webHidden/>
          </w:rPr>
          <w:t>258</w:t>
        </w:r>
        <w:r w:rsidR="0087794A">
          <w:rPr>
            <w:noProof/>
            <w:webHidden/>
          </w:rPr>
          <w:fldChar w:fldCharType="end"/>
        </w:r>
      </w:hyperlink>
    </w:p>
    <w:p w14:paraId="15955548" w14:textId="394C4E98" w:rsidR="0087794A" w:rsidRDefault="006E0533">
      <w:pPr>
        <w:pStyle w:val="TableofFigures"/>
        <w:tabs>
          <w:tab w:val="right" w:leader="dot" w:pos="9628"/>
        </w:tabs>
        <w:rPr>
          <w:rFonts w:eastAsiaTheme="minorEastAsia"/>
          <w:noProof/>
          <w:kern w:val="2"/>
          <w:lang w:val="en-US"/>
          <w14:ligatures w14:val="standardContextual"/>
        </w:rPr>
      </w:pPr>
      <w:hyperlink w:anchor="_Toc154575280" w:history="1">
        <w:r w:rsidR="0087794A" w:rsidRPr="00C459BB">
          <w:rPr>
            <w:rStyle w:val="Hyperlink"/>
            <w:noProof/>
          </w:rPr>
          <w:t>Figure 5.7: Total CO2 emissions per sector</w:t>
        </w:r>
        <w:r w:rsidR="0087794A">
          <w:rPr>
            <w:noProof/>
            <w:webHidden/>
          </w:rPr>
          <w:tab/>
        </w:r>
        <w:r w:rsidR="0087794A">
          <w:rPr>
            <w:noProof/>
            <w:webHidden/>
          </w:rPr>
          <w:fldChar w:fldCharType="begin"/>
        </w:r>
        <w:r w:rsidR="0087794A">
          <w:rPr>
            <w:noProof/>
            <w:webHidden/>
          </w:rPr>
          <w:instrText xml:space="preserve"> PAGEREF _Toc154575280 \h </w:instrText>
        </w:r>
        <w:r w:rsidR="0087794A">
          <w:rPr>
            <w:noProof/>
            <w:webHidden/>
          </w:rPr>
        </w:r>
        <w:r w:rsidR="0087794A">
          <w:rPr>
            <w:noProof/>
            <w:webHidden/>
          </w:rPr>
          <w:fldChar w:fldCharType="separate"/>
        </w:r>
        <w:r w:rsidR="0087794A">
          <w:rPr>
            <w:noProof/>
            <w:webHidden/>
          </w:rPr>
          <w:t>258</w:t>
        </w:r>
        <w:r w:rsidR="0087794A">
          <w:rPr>
            <w:noProof/>
            <w:webHidden/>
          </w:rPr>
          <w:fldChar w:fldCharType="end"/>
        </w:r>
      </w:hyperlink>
    </w:p>
    <w:p w14:paraId="1CF57902" w14:textId="3DFBA19F" w:rsidR="0087794A" w:rsidRDefault="006E0533">
      <w:pPr>
        <w:pStyle w:val="TableofFigures"/>
        <w:tabs>
          <w:tab w:val="right" w:leader="dot" w:pos="9628"/>
        </w:tabs>
        <w:rPr>
          <w:rFonts w:eastAsiaTheme="minorEastAsia"/>
          <w:noProof/>
          <w:kern w:val="2"/>
          <w:lang w:val="en-US"/>
          <w14:ligatures w14:val="standardContextual"/>
        </w:rPr>
      </w:pPr>
      <w:hyperlink w:anchor="_Toc154575281" w:history="1">
        <w:r w:rsidR="0087794A" w:rsidRPr="00C459BB">
          <w:rPr>
            <w:rStyle w:val="Hyperlink"/>
            <w:noProof/>
          </w:rPr>
          <w:t>Figure 5.8: Total CH4 emissions per sector</w:t>
        </w:r>
        <w:r w:rsidR="0087794A">
          <w:rPr>
            <w:noProof/>
            <w:webHidden/>
          </w:rPr>
          <w:tab/>
        </w:r>
        <w:r w:rsidR="0087794A">
          <w:rPr>
            <w:noProof/>
            <w:webHidden/>
          </w:rPr>
          <w:fldChar w:fldCharType="begin"/>
        </w:r>
        <w:r w:rsidR="0087794A">
          <w:rPr>
            <w:noProof/>
            <w:webHidden/>
          </w:rPr>
          <w:instrText xml:space="preserve"> PAGEREF _Toc154575281 \h </w:instrText>
        </w:r>
        <w:r w:rsidR="0087794A">
          <w:rPr>
            <w:noProof/>
            <w:webHidden/>
          </w:rPr>
        </w:r>
        <w:r w:rsidR="0087794A">
          <w:rPr>
            <w:noProof/>
            <w:webHidden/>
          </w:rPr>
          <w:fldChar w:fldCharType="separate"/>
        </w:r>
        <w:r w:rsidR="0087794A">
          <w:rPr>
            <w:noProof/>
            <w:webHidden/>
          </w:rPr>
          <w:t>259</w:t>
        </w:r>
        <w:r w:rsidR="0087794A">
          <w:rPr>
            <w:noProof/>
            <w:webHidden/>
          </w:rPr>
          <w:fldChar w:fldCharType="end"/>
        </w:r>
      </w:hyperlink>
    </w:p>
    <w:p w14:paraId="10301101" w14:textId="0F04B7AA" w:rsidR="0087794A" w:rsidRDefault="006E0533">
      <w:pPr>
        <w:pStyle w:val="TableofFigures"/>
        <w:tabs>
          <w:tab w:val="right" w:leader="dot" w:pos="9628"/>
        </w:tabs>
        <w:rPr>
          <w:rFonts w:eastAsiaTheme="minorEastAsia"/>
          <w:noProof/>
          <w:kern w:val="2"/>
          <w:lang w:val="en-US"/>
          <w14:ligatures w14:val="standardContextual"/>
        </w:rPr>
      </w:pPr>
      <w:hyperlink w:anchor="_Toc154575282" w:history="1">
        <w:r w:rsidR="0087794A" w:rsidRPr="00C459BB">
          <w:rPr>
            <w:rStyle w:val="Hyperlink"/>
            <w:noProof/>
          </w:rPr>
          <w:t>Figure 5.9: Total N2O emissions per sector</w:t>
        </w:r>
        <w:r w:rsidR="0087794A">
          <w:rPr>
            <w:noProof/>
            <w:webHidden/>
          </w:rPr>
          <w:tab/>
        </w:r>
        <w:r w:rsidR="0087794A">
          <w:rPr>
            <w:noProof/>
            <w:webHidden/>
          </w:rPr>
          <w:fldChar w:fldCharType="begin"/>
        </w:r>
        <w:r w:rsidR="0087794A">
          <w:rPr>
            <w:noProof/>
            <w:webHidden/>
          </w:rPr>
          <w:instrText xml:space="preserve"> PAGEREF _Toc154575282 \h </w:instrText>
        </w:r>
        <w:r w:rsidR="0087794A">
          <w:rPr>
            <w:noProof/>
            <w:webHidden/>
          </w:rPr>
        </w:r>
        <w:r w:rsidR="0087794A">
          <w:rPr>
            <w:noProof/>
            <w:webHidden/>
          </w:rPr>
          <w:fldChar w:fldCharType="separate"/>
        </w:r>
        <w:r w:rsidR="0087794A">
          <w:rPr>
            <w:noProof/>
            <w:webHidden/>
          </w:rPr>
          <w:t>260</w:t>
        </w:r>
        <w:r w:rsidR="0087794A">
          <w:rPr>
            <w:noProof/>
            <w:webHidden/>
          </w:rPr>
          <w:fldChar w:fldCharType="end"/>
        </w:r>
      </w:hyperlink>
    </w:p>
    <w:p w14:paraId="1F090D96" w14:textId="5364D1A7" w:rsidR="0087794A" w:rsidRDefault="006E0533">
      <w:pPr>
        <w:pStyle w:val="TableofFigures"/>
        <w:tabs>
          <w:tab w:val="right" w:leader="dot" w:pos="9628"/>
        </w:tabs>
        <w:rPr>
          <w:rFonts w:eastAsiaTheme="minorEastAsia"/>
          <w:noProof/>
          <w:kern w:val="2"/>
          <w:lang w:val="en-US"/>
          <w14:ligatures w14:val="standardContextual"/>
        </w:rPr>
      </w:pPr>
      <w:hyperlink w:anchor="_Toc154575283" w:history="1">
        <w:r w:rsidR="0087794A" w:rsidRPr="00C459BB">
          <w:rPr>
            <w:rStyle w:val="Hyperlink"/>
            <w:noProof/>
          </w:rPr>
          <w:t>Figure 5.10: Share of RES in GFEC</w:t>
        </w:r>
        <w:r w:rsidR="0087794A">
          <w:rPr>
            <w:noProof/>
            <w:webHidden/>
          </w:rPr>
          <w:tab/>
        </w:r>
        <w:r w:rsidR="0087794A">
          <w:rPr>
            <w:noProof/>
            <w:webHidden/>
          </w:rPr>
          <w:fldChar w:fldCharType="begin"/>
        </w:r>
        <w:r w:rsidR="0087794A">
          <w:rPr>
            <w:noProof/>
            <w:webHidden/>
          </w:rPr>
          <w:instrText xml:space="preserve"> PAGEREF _Toc154575283 \h </w:instrText>
        </w:r>
        <w:r w:rsidR="0087794A">
          <w:rPr>
            <w:noProof/>
            <w:webHidden/>
          </w:rPr>
        </w:r>
        <w:r w:rsidR="0087794A">
          <w:rPr>
            <w:noProof/>
            <w:webHidden/>
          </w:rPr>
          <w:fldChar w:fldCharType="separate"/>
        </w:r>
        <w:r w:rsidR="0087794A">
          <w:rPr>
            <w:noProof/>
            <w:webHidden/>
          </w:rPr>
          <w:t>261</w:t>
        </w:r>
        <w:r w:rsidR="0087794A">
          <w:rPr>
            <w:noProof/>
            <w:webHidden/>
          </w:rPr>
          <w:fldChar w:fldCharType="end"/>
        </w:r>
      </w:hyperlink>
    </w:p>
    <w:p w14:paraId="395AEC24" w14:textId="1E8E3F11" w:rsidR="0087794A" w:rsidRDefault="006E0533">
      <w:pPr>
        <w:pStyle w:val="TableofFigures"/>
        <w:tabs>
          <w:tab w:val="right" w:leader="dot" w:pos="9628"/>
        </w:tabs>
        <w:rPr>
          <w:rFonts w:eastAsiaTheme="minorEastAsia"/>
          <w:noProof/>
          <w:kern w:val="2"/>
          <w:lang w:val="en-US"/>
          <w14:ligatures w14:val="standardContextual"/>
        </w:rPr>
      </w:pPr>
      <w:hyperlink w:anchor="_Toc154575284" w:history="1">
        <w:r w:rsidR="0087794A" w:rsidRPr="00C459BB">
          <w:rPr>
            <w:rStyle w:val="Hyperlink"/>
            <w:noProof/>
          </w:rPr>
          <w:t xml:space="preserve">Figure 5.11: </w:t>
        </w:r>
        <w:r w:rsidR="0087794A" w:rsidRPr="00C459BB">
          <w:rPr>
            <w:rStyle w:val="Hyperlink"/>
            <w:iCs/>
            <w:noProof/>
            <w:lang w:eastAsia="el-GR"/>
          </w:rPr>
          <w:t>Share of RES in Electricity Generation</w:t>
        </w:r>
        <w:r w:rsidR="0087794A">
          <w:rPr>
            <w:noProof/>
            <w:webHidden/>
          </w:rPr>
          <w:tab/>
        </w:r>
        <w:r w:rsidR="0087794A">
          <w:rPr>
            <w:noProof/>
            <w:webHidden/>
          </w:rPr>
          <w:fldChar w:fldCharType="begin"/>
        </w:r>
        <w:r w:rsidR="0087794A">
          <w:rPr>
            <w:noProof/>
            <w:webHidden/>
          </w:rPr>
          <w:instrText xml:space="preserve"> PAGEREF _Toc154575284 \h </w:instrText>
        </w:r>
        <w:r w:rsidR="0087794A">
          <w:rPr>
            <w:noProof/>
            <w:webHidden/>
          </w:rPr>
        </w:r>
        <w:r w:rsidR="0087794A">
          <w:rPr>
            <w:noProof/>
            <w:webHidden/>
          </w:rPr>
          <w:fldChar w:fldCharType="separate"/>
        </w:r>
        <w:r w:rsidR="0087794A">
          <w:rPr>
            <w:noProof/>
            <w:webHidden/>
          </w:rPr>
          <w:t>261</w:t>
        </w:r>
        <w:r w:rsidR="0087794A">
          <w:rPr>
            <w:noProof/>
            <w:webHidden/>
          </w:rPr>
          <w:fldChar w:fldCharType="end"/>
        </w:r>
      </w:hyperlink>
    </w:p>
    <w:p w14:paraId="7021E0D7" w14:textId="0CA7BB7A" w:rsidR="0087794A" w:rsidRDefault="006E0533">
      <w:pPr>
        <w:pStyle w:val="TableofFigures"/>
        <w:tabs>
          <w:tab w:val="right" w:leader="dot" w:pos="9628"/>
        </w:tabs>
        <w:rPr>
          <w:rFonts w:eastAsiaTheme="minorEastAsia"/>
          <w:noProof/>
          <w:kern w:val="2"/>
          <w:lang w:val="en-US"/>
          <w14:ligatures w14:val="standardContextual"/>
        </w:rPr>
      </w:pPr>
      <w:hyperlink w:anchor="_Toc154575285" w:history="1">
        <w:r w:rsidR="0087794A" w:rsidRPr="00C459BB">
          <w:rPr>
            <w:rStyle w:val="Hyperlink"/>
            <w:noProof/>
          </w:rPr>
          <w:t>Figure 5.12:</w:t>
        </w:r>
        <w:r w:rsidR="0087794A" w:rsidRPr="00C459BB">
          <w:rPr>
            <w:rStyle w:val="Hyperlink"/>
            <w:iCs/>
            <w:noProof/>
            <w:lang w:eastAsia="el-GR"/>
          </w:rPr>
          <w:t xml:space="preserve"> Share of RES in Transport (without multipliers)</w:t>
        </w:r>
        <w:r w:rsidR="0087794A">
          <w:rPr>
            <w:noProof/>
            <w:webHidden/>
          </w:rPr>
          <w:tab/>
        </w:r>
        <w:r w:rsidR="0087794A">
          <w:rPr>
            <w:noProof/>
            <w:webHidden/>
          </w:rPr>
          <w:fldChar w:fldCharType="begin"/>
        </w:r>
        <w:r w:rsidR="0087794A">
          <w:rPr>
            <w:noProof/>
            <w:webHidden/>
          </w:rPr>
          <w:instrText xml:space="preserve"> PAGEREF _Toc154575285 \h </w:instrText>
        </w:r>
        <w:r w:rsidR="0087794A">
          <w:rPr>
            <w:noProof/>
            <w:webHidden/>
          </w:rPr>
        </w:r>
        <w:r w:rsidR="0087794A">
          <w:rPr>
            <w:noProof/>
            <w:webHidden/>
          </w:rPr>
          <w:fldChar w:fldCharType="separate"/>
        </w:r>
        <w:r w:rsidR="0087794A">
          <w:rPr>
            <w:noProof/>
            <w:webHidden/>
          </w:rPr>
          <w:t>262</w:t>
        </w:r>
        <w:r w:rsidR="0087794A">
          <w:rPr>
            <w:noProof/>
            <w:webHidden/>
          </w:rPr>
          <w:fldChar w:fldCharType="end"/>
        </w:r>
      </w:hyperlink>
    </w:p>
    <w:p w14:paraId="5EBB880C" w14:textId="6DA93E59" w:rsidR="0087794A" w:rsidRDefault="006E0533">
      <w:pPr>
        <w:pStyle w:val="TableofFigures"/>
        <w:tabs>
          <w:tab w:val="right" w:leader="dot" w:pos="9628"/>
        </w:tabs>
        <w:rPr>
          <w:rFonts w:eastAsiaTheme="minorEastAsia"/>
          <w:noProof/>
          <w:kern w:val="2"/>
          <w:lang w:val="en-US"/>
          <w14:ligatures w14:val="standardContextual"/>
        </w:rPr>
      </w:pPr>
      <w:hyperlink w:anchor="_Toc154575286" w:history="1">
        <w:r w:rsidR="0087794A" w:rsidRPr="00C459BB">
          <w:rPr>
            <w:rStyle w:val="Hyperlink"/>
            <w:noProof/>
          </w:rPr>
          <w:t xml:space="preserve">Figure 5.13: </w:t>
        </w:r>
        <w:r w:rsidR="0087794A" w:rsidRPr="00C459BB">
          <w:rPr>
            <w:rStyle w:val="Hyperlink"/>
            <w:iCs/>
            <w:noProof/>
            <w:lang w:eastAsia="el-GR"/>
          </w:rPr>
          <w:t>Share of RES in Heating</w:t>
        </w:r>
        <w:r w:rsidR="0087794A">
          <w:rPr>
            <w:noProof/>
            <w:webHidden/>
          </w:rPr>
          <w:tab/>
        </w:r>
        <w:r w:rsidR="0087794A">
          <w:rPr>
            <w:noProof/>
            <w:webHidden/>
          </w:rPr>
          <w:fldChar w:fldCharType="begin"/>
        </w:r>
        <w:r w:rsidR="0087794A">
          <w:rPr>
            <w:noProof/>
            <w:webHidden/>
          </w:rPr>
          <w:instrText xml:space="preserve"> PAGEREF _Toc154575286 \h </w:instrText>
        </w:r>
        <w:r w:rsidR="0087794A">
          <w:rPr>
            <w:noProof/>
            <w:webHidden/>
          </w:rPr>
        </w:r>
        <w:r w:rsidR="0087794A">
          <w:rPr>
            <w:noProof/>
            <w:webHidden/>
          </w:rPr>
          <w:fldChar w:fldCharType="separate"/>
        </w:r>
        <w:r w:rsidR="0087794A">
          <w:rPr>
            <w:noProof/>
            <w:webHidden/>
          </w:rPr>
          <w:t>262</w:t>
        </w:r>
        <w:r w:rsidR="0087794A">
          <w:rPr>
            <w:noProof/>
            <w:webHidden/>
          </w:rPr>
          <w:fldChar w:fldCharType="end"/>
        </w:r>
      </w:hyperlink>
    </w:p>
    <w:p w14:paraId="5B5F1C95" w14:textId="323FB4BD" w:rsidR="0087794A" w:rsidRDefault="006E0533">
      <w:pPr>
        <w:pStyle w:val="TableofFigures"/>
        <w:tabs>
          <w:tab w:val="right" w:leader="dot" w:pos="9628"/>
        </w:tabs>
        <w:rPr>
          <w:rFonts w:eastAsiaTheme="minorEastAsia"/>
          <w:noProof/>
          <w:kern w:val="2"/>
          <w:lang w:val="en-US"/>
          <w14:ligatures w14:val="standardContextual"/>
        </w:rPr>
      </w:pPr>
      <w:hyperlink w:anchor="_Toc154575287" w:history="1">
        <w:r w:rsidR="0087794A" w:rsidRPr="00C459BB">
          <w:rPr>
            <w:rStyle w:val="Hyperlink"/>
            <w:noProof/>
          </w:rPr>
          <w:t>Figure 5.14</w:t>
        </w:r>
        <w:r w:rsidR="0087794A" w:rsidRPr="00C459BB">
          <w:rPr>
            <w:rStyle w:val="Hyperlink"/>
            <w:iCs/>
            <w:noProof/>
            <w:lang w:eastAsia="el-GR"/>
          </w:rPr>
          <w:t>: Installed RES capacity per technology</w:t>
        </w:r>
        <w:r w:rsidR="0087794A">
          <w:rPr>
            <w:noProof/>
            <w:webHidden/>
          </w:rPr>
          <w:tab/>
        </w:r>
        <w:r w:rsidR="0087794A">
          <w:rPr>
            <w:noProof/>
            <w:webHidden/>
          </w:rPr>
          <w:fldChar w:fldCharType="begin"/>
        </w:r>
        <w:r w:rsidR="0087794A">
          <w:rPr>
            <w:noProof/>
            <w:webHidden/>
          </w:rPr>
          <w:instrText xml:space="preserve"> PAGEREF _Toc154575287 \h </w:instrText>
        </w:r>
        <w:r w:rsidR="0087794A">
          <w:rPr>
            <w:noProof/>
            <w:webHidden/>
          </w:rPr>
        </w:r>
        <w:r w:rsidR="0087794A">
          <w:rPr>
            <w:noProof/>
            <w:webHidden/>
          </w:rPr>
          <w:fldChar w:fldCharType="separate"/>
        </w:r>
        <w:r w:rsidR="0087794A">
          <w:rPr>
            <w:noProof/>
            <w:webHidden/>
          </w:rPr>
          <w:t>263</w:t>
        </w:r>
        <w:r w:rsidR="0087794A">
          <w:rPr>
            <w:noProof/>
            <w:webHidden/>
          </w:rPr>
          <w:fldChar w:fldCharType="end"/>
        </w:r>
      </w:hyperlink>
    </w:p>
    <w:p w14:paraId="6AD8735E" w14:textId="3983E585" w:rsidR="0087794A" w:rsidRDefault="006E0533">
      <w:pPr>
        <w:pStyle w:val="TableofFigures"/>
        <w:tabs>
          <w:tab w:val="right" w:leader="dot" w:pos="9628"/>
        </w:tabs>
        <w:rPr>
          <w:rFonts w:eastAsiaTheme="minorEastAsia"/>
          <w:noProof/>
          <w:kern w:val="2"/>
          <w:lang w:val="en-US"/>
          <w14:ligatures w14:val="standardContextual"/>
        </w:rPr>
      </w:pPr>
      <w:hyperlink w:anchor="_Toc154575288" w:history="1">
        <w:r w:rsidR="0087794A" w:rsidRPr="00C459BB">
          <w:rPr>
            <w:rStyle w:val="Hyperlink"/>
            <w:noProof/>
          </w:rPr>
          <w:t>Figure 5.15</w:t>
        </w:r>
        <w:r w:rsidR="0087794A" w:rsidRPr="00C459BB">
          <w:rPr>
            <w:rStyle w:val="Hyperlink"/>
            <w:iCs/>
            <w:noProof/>
            <w:lang w:eastAsia="el-GR"/>
          </w:rPr>
          <w:t>: Electricity generation by source in Scenario S</w:t>
        </w:r>
        <w:r w:rsidR="0087794A">
          <w:rPr>
            <w:noProof/>
            <w:webHidden/>
          </w:rPr>
          <w:tab/>
        </w:r>
        <w:r w:rsidR="0087794A">
          <w:rPr>
            <w:noProof/>
            <w:webHidden/>
          </w:rPr>
          <w:fldChar w:fldCharType="begin"/>
        </w:r>
        <w:r w:rsidR="0087794A">
          <w:rPr>
            <w:noProof/>
            <w:webHidden/>
          </w:rPr>
          <w:instrText xml:space="preserve"> PAGEREF _Toc154575288 \h </w:instrText>
        </w:r>
        <w:r w:rsidR="0087794A">
          <w:rPr>
            <w:noProof/>
            <w:webHidden/>
          </w:rPr>
        </w:r>
        <w:r w:rsidR="0087794A">
          <w:rPr>
            <w:noProof/>
            <w:webHidden/>
          </w:rPr>
          <w:fldChar w:fldCharType="separate"/>
        </w:r>
        <w:r w:rsidR="0087794A">
          <w:rPr>
            <w:noProof/>
            <w:webHidden/>
          </w:rPr>
          <w:t>265</w:t>
        </w:r>
        <w:r w:rsidR="0087794A">
          <w:rPr>
            <w:noProof/>
            <w:webHidden/>
          </w:rPr>
          <w:fldChar w:fldCharType="end"/>
        </w:r>
      </w:hyperlink>
    </w:p>
    <w:p w14:paraId="0CCEC4ED" w14:textId="072FE504" w:rsidR="0087794A" w:rsidRDefault="006E0533">
      <w:pPr>
        <w:pStyle w:val="TableofFigures"/>
        <w:tabs>
          <w:tab w:val="right" w:leader="dot" w:pos="9628"/>
        </w:tabs>
        <w:rPr>
          <w:rFonts w:eastAsiaTheme="minorEastAsia"/>
          <w:noProof/>
          <w:kern w:val="2"/>
          <w:lang w:val="en-US"/>
          <w14:ligatures w14:val="standardContextual"/>
        </w:rPr>
      </w:pPr>
      <w:hyperlink w:anchor="_Toc154575289" w:history="1">
        <w:r w:rsidR="0087794A" w:rsidRPr="00C459BB">
          <w:rPr>
            <w:rStyle w:val="Hyperlink"/>
            <w:noProof/>
          </w:rPr>
          <w:t>Figure 5.16</w:t>
        </w:r>
        <w:r w:rsidR="0087794A" w:rsidRPr="00C459BB">
          <w:rPr>
            <w:rStyle w:val="Hyperlink"/>
            <w:iCs/>
            <w:noProof/>
            <w:lang w:eastAsia="el-GR"/>
          </w:rPr>
          <w:t>: Electricity consumption from RES in transport</w:t>
        </w:r>
        <w:r w:rsidR="0087794A">
          <w:rPr>
            <w:noProof/>
            <w:webHidden/>
          </w:rPr>
          <w:tab/>
        </w:r>
        <w:r w:rsidR="0087794A">
          <w:rPr>
            <w:noProof/>
            <w:webHidden/>
          </w:rPr>
          <w:fldChar w:fldCharType="begin"/>
        </w:r>
        <w:r w:rsidR="0087794A">
          <w:rPr>
            <w:noProof/>
            <w:webHidden/>
          </w:rPr>
          <w:instrText xml:space="preserve"> PAGEREF _Toc154575289 \h </w:instrText>
        </w:r>
        <w:r w:rsidR="0087794A">
          <w:rPr>
            <w:noProof/>
            <w:webHidden/>
          </w:rPr>
        </w:r>
        <w:r w:rsidR="0087794A">
          <w:rPr>
            <w:noProof/>
            <w:webHidden/>
          </w:rPr>
          <w:fldChar w:fldCharType="separate"/>
        </w:r>
        <w:r w:rsidR="0087794A">
          <w:rPr>
            <w:noProof/>
            <w:webHidden/>
          </w:rPr>
          <w:t>266</w:t>
        </w:r>
        <w:r w:rsidR="0087794A">
          <w:rPr>
            <w:noProof/>
            <w:webHidden/>
          </w:rPr>
          <w:fldChar w:fldCharType="end"/>
        </w:r>
      </w:hyperlink>
    </w:p>
    <w:p w14:paraId="73658199" w14:textId="5646BC5D" w:rsidR="0087794A" w:rsidRDefault="006E0533">
      <w:pPr>
        <w:pStyle w:val="TableofFigures"/>
        <w:tabs>
          <w:tab w:val="right" w:leader="dot" w:pos="9628"/>
        </w:tabs>
        <w:rPr>
          <w:rFonts w:eastAsiaTheme="minorEastAsia"/>
          <w:noProof/>
          <w:kern w:val="2"/>
          <w:lang w:val="en-US"/>
          <w14:ligatures w14:val="standardContextual"/>
        </w:rPr>
      </w:pPr>
      <w:hyperlink w:anchor="_Toc154575290" w:history="1">
        <w:r w:rsidR="0087794A" w:rsidRPr="00C459BB">
          <w:rPr>
            <w:rStyle w:val="Hyperlink"/>
            <w:noProof/>
          </w:rPr>
          <w:t>Figure 5.17: Installed</w:t>
        </w:r>
        <w:r w:rsidR="0087794A" w:rsidRPr="00C459BB">
          <w:rPr>
            <w:rStyle w:val="Hyperlink"/>
            <w:iCs/>
            <w:noProof/>
            <w:lang w:eastAsia="el-GR"/>
          </w:rPr>
          <w:t xml:space="preserve"> capacity per technology in the district heating sector</w:t>
        </w:r>
        <w:r w:rsidR="0087794A">
          <w:rPr>
            <w:noProof/>
            <w:webHidden/>
          </w:rPr>
          <w:tab/>
        </w:r>
        <w:r w:rsidR="0087794A">
          <w:rPr>
            <w:noProof/>
            <w:webHidden/>
          </w:rPr>
          <w:fldChar w:fldCharType="begin"/>
        </w:r>
        <w:r w:rsidR="0087794A">
          <w:rPr>
            <w:noProof/>
            <w:webHidden/>
          </w:rPr>
          <w:instrText xml:space="preserve"> PAGEREF _Toc154575290 \h </w:instrText>
        </w:r>
        <w:r w:rsidR="0087794A">
          <w:rPr>
            <w:noProof/>
            <w:webHidden/>
          </w:rPr>
        </w:r>
        <w:r w:rsidR="0087794A">
          <w:rPr>
            <w:noProof/>
            <w:webHidden/>
          </w:rPr>
          <w:fldChar w:fldCharType="separate"/>
        </w:r>
        <w:r w:rsidR="0087794A">
          <w:rPr>
            <w:noProof/>
            <w:webHidden/>
          </w:rPr>
          <w:t>267</w:t>
        </w:r>
        <w:r w:rsidR="0087794A">
          <w:rPr>
            <w:noProof/>
            <w:webHidden/>
          </w:rPr>
          <w:fldChar w:fldCharType="end"/>
        </w:r>
      </w:hyperlink>
    </w:p>
    <w:p w14:paraId="1829D20E" w14:textId="188552A7" w:rsidR="0087794A" w:rsidRDefault="006E0533">
      <w:pPr>
        <w:pStyle w:val="TableofFigures"/>
        <w:tabs>
          <w:tab w:val="right" w:leader="dot" w:pos="9628"/>
        </w:tabs>
        <w:rPr>
          <w:rFonts w:eastAsiaTheme="minorEastAsia"/>
          <w:noProof/>
          <w:kern w:val="2"/>
          <w:lang w:val="en-US"/>
          <w14:ligatures w14:val="standardContextual"/>
        </w:rPr>
      </w:pPr>
      <w:hyperlink w:anchor="_Toc154575291" w:history="1">
        <w:r w:rsidR="0087794A" w:rsidRPr="00C459BB">
          <w:rPr>
            <w:rStyle w:val="Hyperlink"/>
            <w:noProof/>
          </w:rPr>
          <w:t xml:space="preserve">Figure 5.18: </w:t>
        </w:r>
        <w:r w:rsidR="0087794A" w:rsidRPr="00C459BB">
          <w:rPr>
            <w:rStyle w:val="Hyperlink"/>
            <w:iCs/>
            <w:noProof/>
            <w:lang w:eastAsia="el-GR"/>
          </w:rPr>
          <w:t>Primary Energy Consumption</w:t>
        </w:r>
        <w:r w:rsidR="0087794A">
          <w:rPr>
            <w:noProof/>
            <w:webHidden/>
          </w:rPr>
          <w:tab/>
        </w:r>
        <w:r w:rsidR="0087794A">
          <w:rPr>
            <w:noProof/>
            <w:webHidden/>
          </w:rPr>
          <w:fldChar w:fldCharType="begin"/>
        </w:r>
        <w:r w:rsidR="0087794A">
          <w:rPr>
            <w:noProof/>
            <w:webHidden/>
          </w:rPr>
          <w:instrText xml:space="preserve"> PAGEREF _Toc154575291 \h </w:instrText>
        </w:r>
        <w:r w:rsidR="0087794A">
          <w:rPr>
            <w:noProof/>
            <w:webHidden/>
          </w:rPr>
        </w:r>
        <w:r w:rsidR="0087794A">
          <w:rPr>
            <w:noProof/>
            <w:webHidden/>
          </w:rPr>
          <w:fldChar w:fldCharType="separate"/>
        </w:r>
        <w:r w:rsidR="0087794A">
          <w:rPr>
            <w:noProof/>
            <w:webHidden/>
          </w:rPr>
          <w:t>268</w:t>
        </w:r>
        <w:r w:rsidR="0087794A">
          <w:rPr>
            <w:noProof/>
            <w:webHidden/>
          </w:rPr>
          <w:fldChar w:fldCharType="end"/>
        </w:r>
      </w:hyperlink>
    </w:p>
    <w:p w14:paraId="176C2626" w14:textId="67C71919" w:rsidR="0087794A" w:rsidRDefault="006E0533">
      <w:pPr>
        <w:pStyle w:val="TableofFigures"/>
        <w:tabs>
          <w:tab w:val="right" w:leader="dot" w:pos="9628"/>
        </w:tabs>
        <w:rPr>
          <w:rFonts w:eastAsiaTheme="minorEastAsia"/>
          <w:noProof/>
          <w:kern w:val="2"/>
          <w:lang w:val="en-US"/>
          <w14:ligatures w14:val="standardContextual"/>
        </w:rPr>
      </w:pPr>
      <w:hyperlink w:anchor="_Toc154575292" w:history="1">
        <w:r w:rsidR="0087794A" w:rsidRPr="00C459BB">
          <w:rPr>
            <w:rStyle w:val="Hyperlink"/>
            <w:noProof/>
          </w:rPr>
          <w:t xml:space="preserve">Figure 5.19: </w:t>
        </w:r>
        <w:r w:rsidR="0087794A" w:rsidRPr="00C459BB">
          <w:rPr>
            <w:rStyle w:val="Hyperlink"/>
            <w:iCs/>
            <w:noProof/>
            <w:lang w:eastAsia="el-GR"/>
          </w:rPr>
          <w:t>Final Energy Consumption</w:t>
        </w:r>
        <w:r w:rsidR="0087794A">
          <w:rPr>
            <w:noProof/>
            <w:webHidden/>
          </w:rPr>
          <w:tab/>
        </w:r>
        <w:r w:rsidR="0087794A">
          <w:rPr>
            <w:noProof/>
            <w:webHidden/>
          </w:rPr>
          <w:fldChar w:fldCharType="begin"/>
        </w:r>
        <w:r w:rsidR="0087794A">
          <w:rPr>
            <w:noProof/>
            <w:webHidden/>
          </w:rPr>
          <w:instrText xml:space="preserve"> PAGEREF _Toc154575292 \h </w:instrText>
        </w:r>
        <w:r w:rsidR="0087794A">
          <w:rPr>
            <w:noProof/>
            <w:webHidden/>
          </w:rPr>
        </w:r>
        <w:r w:rsidR="0087794A">
          <w:rPr>
            <w:noProof/>
            <w:webHidden/>
          </w:rPr>
          <w:fldChar w:fldCharType="separate"/>
        </w:r>
        <w:r w:rsidR="0087794A">
          <w:rPr>
            <w:noProof/>
            <w:webHidden/>
          </w:rPr>
          <w:t>268</w:t>
        </w:r>
        <w:r w:rsidR="0087794A">
          <w:rPr>
            <w:noProof/>
            <w:webHidden/>
          </w:rPr>
          <w:fldChar w:fldCharType="end"/>
        </w:r>
      </w:hyperlink>
    </w:p>
    <w:p w14:paraId="2B004916" w14:textId="55C29CFC" w:rsidR="0087794A" w:rsidRDefault="006E0533">
      <w:pPr>
        <w:pStyle w:val="TableofFigures"/>
        <w:tabs>
          <w:tab w:val="right" w:leader="dot" w:pos="9628"/>
        </w:tabs>
        <w:rPr>
          <w:rFonts w:eastAsiaTheme="minorEastAsia"/>
          <w:noProof/>
          <w:kern w:val="2"/>
          <w:lang w:val="en-US"/>
          <w14:ligatures w14:val="standardContextual"/>
        </w:rPr>
      </w:pPr>
      <w:hyperlink w:anchor="_Toc154575293" w:history="1">
        <w:r w:rsidR="0087794A" w:rsidRPr="00C459BB">
          <w:rPr>
            <w:rStyle w:val="Hyperlink"/>
            <w:noProof/>
          </w:rPr>
          <w:t>Figure 5.20</w:t>
        </w:r>
        <w:r w:rsidR="0087794A" w:rsidRPr="00C459BB">
          <w:rPr>
            <w:rStyle w:val="Hyperlink"/>
            <w:noProof/>
            <w:lang w:val="en-US"/>
          </w:rPr>
          <w:t>: FEC Industry by energy source</w:t>
        </w:r>
        <w:r w:rsidR="0087794A">
          <w:rPr>
            <w:noProof/>
            <w:webHidden/>
          </w:rPr>
          <w:tab/>
        </w:r>
        <w:r w:rsidR="0087794A">
          <w:rPr>
            <w:noProof/>
            <w:webHidden/>
          </w:rPr>
          <w:fldChar w:fldCharType="begin"/>
        </w:r>
        <w:r w:rsidR="0087794A">
          <w:rPr>
            <w:noProof/>
            <w:webHidden/>
          </w:rPr>
          <w:instrText xml:space="preserve"> PAGEREF _Toc154575293 \h </w:instrText>
        </w:r>
        <w:r w:rsidR="0087794A">
          <w:rPr>
            <w:noProof/>
            <w:webHidden/>
          </w:rPr>
        </w:r>
        <w:r w:rsidR="0087794A">
          <w:rPr>
            <w:noProof/>
            <w:webHidden/>
          </w:rPr>
          <w:fldChar w:fldCharType="separate"/>
        </w:r>
        <w:r w:rsidR="0087794A">
          <w:rPr>
            <w:noProof/>
            <w:webHidden/>
          </w:rPr>
          <w:t>269</w:t>
        </w:r>
        <w:r w:rsidR="0087794A">
          <w:rPr>
            <w:noProof/>
            <w:webHidden/>
          </w:rPr>
          <w:fldChar w:fldCharType="end"/>
        </w:r>
      </w:hyperlink>
    </w:p>
    <w:p w14:paraId="45009D32" w14:textId="042D829F" w:rsidR="0087794A" w:rsidRDefault="006E0533">
      <w:pPr>
        <w:pStyle w:val="TableofFigures"/>
        <w:tabs>
          <w:tab w:val="right" w:leader="dot" w:pos="9628"/>
        </w:tabs>
        <w:rPr>
          <w:rFonts w:eastAsiaTheme="minorEastAsia"/>
          <w:noProof/>
          <w:kern w:val="2"/>
          <w:lang w:val="en-US"/>
          <w14:ligatures w14:val="standardContextual"/>
        </w:rPr>
      </w:pPr>
      <w:hyperlink w:anchor="_Toc154575294" w:history="1">
        <w:r w:rsidR="0087794A" w:rsidRPr="00C459BB">
          <w:rPr>
            <w:rStyle w:val="Hyperlink"/>
            <w:noProof/>
          </w:rPr>
          <w:t>Figure 5.21: FEC Residential by energy source</w:t>
        </w:r>
        <w:r w:rsidR="0087794A">
          <w:rPr>
            <w:noProof/>
            <w:webHidden/>
          </w:rPr>
          <w:tab/>
        </w:r>
        <w:r w:rsidR="0087794A">
          <w:rPr>
            <w:noProof/>
            <w:webHidden/>
          </w:rPr>
          <w:fldChar w:fldCharType="begin"/>
        </w:r>
        <w:r w:rsidR="0087794A">
          <w:rPr>
            <w:noProof/>
            <w:webHidden/>
          </w:rPr>
          <w:instrText xml:space="preserve"> PAGEREF _Toc154575294 \h </w:instrText>
        </w:r>
        <w:r w:rsidR="0087794A">
          <w:rPr>
            <w:noProof/>
            <w:webHidden/>
          </w:rPr>
        </w:r>
        <w:r w:rsidR="0087794A">
          <w:rPr>
            <w:noProof/>
            <w:webHidden/>
          </w:rPr>
          <w:fldChar w:fldCharType="separate"/>
        </w:r>
        <w:r w:rsidR="0087794A">
          <w:rPr>
            <w:noProof/>
            <w:webHidden/>
          </w:rPr>
          <w:t>269</w:t>
        </w:r>
        <w:r w:rsidR="0087794A">
          <w:rPr>
            <w:noProof/>
            <w:webHidden/>
          </w:rPr>
          <w:fldChar w:fldCharType="end"/>
        </w:r>
      </w:hyperlink>
    </w:p>
    <w:p w14:paraId="439B5697" w14:textId="4FDF39CD" w:rsidR="0087794A" w:rsidRDefault="006E0533">
      <w:pPr>
        <w:pStyle w:val="TableofFigures"/>
        <w:tabs>
          <w:tab w:val="right" w:leader="dot" w:pos="9628"/>
        </w:tabs>
        <w:rPr>
          <w:rFonts w:eastAsiaTheme="minorEastAsia"/>
          <w:noProof/>
          <w:kern w:val="2"/>
          <w:lang w:val="en-US"/>
          <w14:ligatures w14:val="standardContextual"/>
        </w:rPr>
      </w:pPr>
      <w:hyperlink w:anchor="_Toc154575295" w:history="1">
        <w:r w:rsidR="0087794A" w:rsidRPr="00C459BB">
          <w:rPr>
            <w:rStyle w:val="Hyperlink"/>
            <w:noProof/>
          </w:rPr>
          <w:t>Figure 5.22:</w:t>
        </w:r>
        <w:r w:rsidR="0087794A" w:rsidRPr="00C459BB">
          <w:rPr>
            <w:rStyle w:val="Hyperlink"/>
            <w:iCs/>
            <w:noProof/>
            <w:lang w:eastAsia="el-GR"/>
          </w:rPr>
          <w:t xml:space="preserve"> FEC Services by energy source</w:t>
        </w:r>
        <w:r w:rsidR="0087794A">
          <w:rPr>
            <w:noProof/>
            <w:webHidden/>
          </w:rPr>
          <w:tab/>
        </w:r>
        <w:r w:rsidR="0087794A">
          <w:rPr>
            <w:noProof/>
            <w:webHidden/>
          </w:rPr>
          <w:fldChar w:fldCharType="begin"/>
        </w:r>
        <w:r w:rsidR="0087794A">
          <w:rPr>
            <w:noProof/>
            <w:webHidden/>
          </w:rPr>
          <w:instrText xml:space="preserve"> PAGEREF _Toc154575295 \h </w:instrText>
        </w:r>
        <w:r w:rsidR="0087794A">
          <w:rPr>
            <w:noProof/>
            <w:webHidden/>
          </w:rPr>
        </w:r>
        <w:r w:rsidR="0087794A">
          <w:rPr>
            <w:noProof/>
            <w:webHidden/>
          </w:rPr>
          <w:fldChar w:fldCharType="separate"/>
        </w:r>
        <w:r w:rsidR="0087794A">
          <w:rPr>
            <w:noProof/>
            <w:webHidden/>
          </w:rPr>
          <w:t>270</w:t>
        </w:r>
        <w:r w:rsidR="0087794A">
          <w:rPr>
            <w:noProof/>
            <w:webHidden/>
          </w:rPr>
          <w:fldChar w:fldCharType="end"/>
        </w:r>
      </w:hyperlink>
    </w:p>
    <w:p w14:paraId="3955A703" w14:textId="56C714CE" w:rsidR="0087794A" w:rsidRDefault="006E0533">
      <w:pPr>
        <w:pStyle w:val="TableofFigures"/>
        <w:tabs>
          <w:tab w:val="right" w:leader="dot" w:pos="9628"/>
        </w:tabs>
        <w:rPr>
          <w:rFonts w:eastAsiaTheme="minorEastAsia"/>
          <w:noProof/>
          <w:kern w:val="2"/>
          <w:lang w:val="en-US"/>
          <w14:ligatures w14:val="standardContextual"/>
        </w:rPr>
      </w:pPr>
      <w:hyperlink w:anchor="_Toc154575296" w:history="1">
        <w:r w:rsidR="0087794A" w:rsidRPr="00C459BB">
          <w:rPr>
            <w:rStyle w:val="Hyperlink"/>
            <w:noProof/>
          </w:rPr>
          <w:t>Figure 5.23</w:t>
        </w:r>
        <w:r w:rsidR="0087794A" w:rsidRPr="00C459BB">
          <w:rPr>
            <w:rStyle w:val="Hyperlink"/>
            <w:iCs/>
            <w:noProof/>
            <w:lang w:eastAsia="el-GR"/>
          </w:rPr>
          <w:t>: FEC Transport by Fuel</w:t>
        </w:r>
        <w:r w:rsidR="0087794A">
          <w:rPr>
            <w:noProof/>
            <w:webHidden/>
          </w:rPr>
          <w:tab/>
        </w:r>
        <w:r w:rsidR="0087794A">
          <w:rPr>
            <w:noProof/>
            <w:webHidden/>
          </w:rPr>
          <w:fldChar w:fldCharType="begin"/>
        </w:r>
        <w:r w:rsidR="0087794A">
          <w:rPr>
            <w:noProof/>
            <w:webHidden/>
          </w:rPr>
          <w:instrText xml:space="preserve"> PAGEREF _Toc154575296 \h </w:instrText>
        </w:r>
        <w:r w:rsidR="0087794A">
          <w:rPr>
            <w:noProof/>
            <w:webHidden/>
          </w:rPr>
        </w:r>
        <w:r w:rsidR="0087794A">
          <w:rPr>
            <w:noProof/>
            <w:webHidden/>
          </w:rPr>
          <w:fldChar w:fldCharType="separate"/>
        </w:r>
        <w:r w:rsidR="0087794A">
          <w:rPr>
            <w:noProof/>
            <w:webHidden/>
          </w:rPr>
          <w:t>271</w:t>
        </w:r>
        <w:r w:rsidR="0087794A">
          <w:rPr>
            <w:noProof/>
            <w:webHidden/>
          </w:rPr>
          <w:fldChar w:fldCharType="end"/>
        </w:r>
      </w:hyperlink>
    </w:p>
    <w:p w14:paraId="25F4F4DC" w14:textId="2C7E5F36" w:rsidR="0087794A" w:rsidRDefault="006E0533">
      <w:pPr>
        <w:pStyle w:val="TableofFigures"/>
        <w:tabs>
          <w:tab w:val="right" w:leader="dot" w:pos="9628"/>
        </w:tabs>
        <w:rPr>
          <w:rFonts w:eastAsiaTheme="minorEastAsia"/>
          <w:noProof/>
          <w:kern w:val="2"/>
          <w:lang w:val="en-US"/>
          <w14:ligatures w14:val="standardContextual"/>
        </w:rPr>
      </w:pPr>
      <w:hyperlink w:anchor="_Toc154575297" w:history="1">
        <w:r w:rsidR="0087794A" w:rsidRPr="00C459BB">
          <w:rPr>
            <w:rStyle w:val="Hyperlink"/>
            <w:noProof/>
          </w:rPr>
          <w:t>Figure 5.24</w:t>
        </w:r>
        <w:r w:rsidR="0087794A" w:rsidRPr="00C459BB">
          <w:rPr>
            <w:rStyle w:val="Hyperlink"/>
            <w:iCs/>
            <w:noProof/>
            <w:lang w:eastAsia="el-GR"/>
          </w:rPr>
          <w:t>: FEC Agriculture by Fuel</w:t>
        </w:r>
        <w:r w:rsidR="0087794A">
          <w:rPr>
            <w:noProof/>
            <w:webHidden/>
          </w:rPr>
          <w:tab/>
        </w:r>
        <w:r w:rsidR="0087794A">
          <w:rPr>
            <w:noProof/>
            <w:webHidden/>
          </w:rPr>
          <w:fldChar w:fldCharType="begin"/>
        </w:r>
        <w:r w:rsidR="0087794A">
          <w:rPr>
            <w:noProof/>
            <w:webHidden/>
          </w:rPr>
          <w:instrText xml:space="preserve"> PAGEREF _Toc154575297 \h </w:instrText>
        </w:r>
        <w:r w:rsidR="0087794A">
          <w:rPr>
            <w:noProof/>
            <w:webHidden/>
          </w:rPr>
        </w:r>
        <w:r w:rsidR="0087794A">
          <w:rPr>
            <w:noProof/>
            <w:webHidden/>
          </w:rPr>
          <w:fldChar w:fldCharType="separate"/>
        </w:r>
        <w:r w:rsidR="0087794A">
          <w:rPr>
            <w:noProof/>
            <w:webHidden/>
          </w:rPr>
          <w:t>271</w:t>
        </w:r>
        <w:r w:rsidR="0087794A">
          <w:rPr>
            <w:noProof/>
            <w:webHidden/>
          </w:rPr>
          <w:fldChar w:fldCharType="end"/>
        </w:r>
      </w:hyperlink>
    </w:p>
    <w:p w14:paraId="41625C6F" w14:textId="58CE4055" w:rsidR="0087794A" w:rsidRDefault="006E0533">
      <w:pPr>
        <w:pStyle w:val="TableofFigures"/>
        <w:tabs>
          <w:tab w:val="right" w:leader="dot" w:pos="9628"/>
        </w:tabs>
        <w:rPr>
          <w:rFonts w:eastAsiaTheme="minorEastAsia"/>
          <w:noProof/>
          <w:kern w:val="2"/>
          <w:lang w:val="en-US"/>
          <w14:ligatures w14:val="standardContextual"/>
        </w:rPr>
      </w:pPr>
      <w:hyperlink w:anchor="_Toc154575298" w:history="1">
        <w:r w:rsidR="0087794A" w:rsidRPr="00C459BB">
          <w:rPr>
            <w:rStyle w:val="Hyperlink"/>
            <w:noProof/>
          </w:rPr>
          <w:t>Figure 5.25</w:t>
        </w:r>
        <w:r w:rsidR="0087794A" w:rsidRPr="00C459BB">
          <w:rPr>
            <w:rStyle w:val="Hyperlink"/>
            <w:iCs/>
            <w:noProof/>
            <w:lang w:eastAsia="el-GR"/>
          </w:rPr>
          <w:t>: Final energy intensity</w:t>
        </w:r>
        <w:r w:rsidR="0087794A">
          <w:rPr>
            <w:noProof/>
            <w:webHidden/>
          </w:rPr>
          <w:tab/>
        </w:r>
        <w:r w:rsidR="0087794A">
          <w:rPr>
            <w:noProof/>
            <w:webHidden/>
          </w:rPr>
          <w:fldChar w:fldCharType="begin"/>
        </w:r>
        <w:r w:rsidR="0087794A">
          <w:rPr>
            <w:noProof/>
            <w:webHidden/>
          </w:rPr>
          <w:instrText xml:space="preserve"> PAGEREF _Toc154575298 \h </w:instrText>
        </w:r>
        <w:r w:rsidR="0087794A">
          <w:rPr>
            <w:noProof/>
            <w:webHidden/>
          </w:rPr>
        </w:r>
        <w:r w:rsidR="0087794A">
          <w:rPr>
            <w:noProof/>
            <w:webHidden/>
          </w:rPr>
          <w:fldChar w:fldCharType="separate"/>
        </w:r>
        <w:r w:rsidR="0087794A">
          <w:rPr>
            <w:noProof/>
            <w:webHidden/>
          </w:rPr>
          <w:t>272</w:t>
        </w:r>
        <w:r w:rsidR="0087794A">
          <w:rPr>
            <w:noProof/>
            <w:webHidden/>
          </w:rPr>
          <w:fldChar w:fldCharType="end"/>
        </w:r>
      </w:hyperlink>
    </w:p>
    <w:p w14:paraId="7580F739" w14:textId="1ADE64E5" w:rsidR="0087794A" w:rsidRDefault="006E0533">
      <w:pPr>
        <w:pStyle w:val="TableofFigures"/>
        <w:tabs>
          <w:tab w:val="right" w:leader="dot" w:pos="9628"/>
        </w:tabs>
        <w:rPr>
          <w:rFonts w:eastAsiaTheme="minorEastAsia"/>
          <w:noProof/>
          <w:kern w:val="2"/>
          <w:lang w:val="en-US"/>
          <w14:ligatures w14:val="standardContextual"/>
        </w:rPr>
      </w:pPr>
      <w:hyperlink w:anchor="_Toc154575299" w:history="1">
        <w:r w:rsidR="0087794A" w:rsidRPr="00C459BB">
          <w:rPr>
            <w:rStyle w:val="Hyperlink"/>
            <w:noProof/>
          </w:rPr>
          <w:t>Figure 5.26</w:t>
        </w:r>
        <w:r w:rsidR="0087794A" w:rsidRPr="00C459BB">
          <w:rPr>
            <w:rStyle w:val="Hyperlink"/>
            <w:iCs/>
            <w:noProof/>
            <w:lang w:eastAsia="el-GR"/>
          </w:rPr>
          <w:t>: Gross inland consumption by fuel</w:t>
        </w:r>
        <w:r w:rsidR="0087794A">
          <w:rPr>
            <w:noProof/>
            <w:webHidden/>
          </w:rPr>
          <w:tab/>
        </w:r>
        <w:r w:rsidR="0087794A">
          <w:rPr>
            <w:noProof/>
            <w:webHidden/>
          </w:rPr>
          <w:fldChar w:fldCharType="begin"/>
        </w:r>
        <w:r w:rsidR="0087794A">
          <w:rPr>
            <w:noProof/>
            <w:webHidden/>
          </w:rPr>
          <w:instrText xml:space="preserve"> PAGEREF _Toc154575299 \h </w:instrText>
        </w:r>
        <w:r w:rsidR="0087794A">
          <w:rPr>
            <w:noProof/>
            <w:webHidden/>
          </w:rPr>
        </w:r>
        <w:r w:rsidR="0087794A">
          <w:rPr>
            <w:noProof/>
            <w:webHidden/>
          </w:rPr>
          <w:fldChar w:fldCharType="separate"/>
        </w:r>
        <w:r w:rsidR="0087794A">
          <w:rPr>
            <w:noProof/>
            <w:webHidden/>
          </w:rPr>
          <w:t>273</w:t>
        </w:r>
        <w:r w:rsidR="0087794A">
          <w:rPr>
            <w:noProof/>
            <w:webHidden/>
          </w:rPr>
          <w:fldChar w:fldCharType="end"/>
        </w:r>
      </w:hyperlink>
    </w:p>
    <w:p w14:paraId="6F992AEF" w14:textId="3D5BE316" w:rsidR="0087794A" w:rsidRDefault="006E0533">
      <w:pPr>
        <w:pStyle w:val="TableofFigures"/>
        <w:tabs>
          <w:tab w:val="right" w:leader="dot" w:pos="9628"/>
        </w:tabs>
        <w:rPr>
          <w:rFonts w:eastAsiaTheme="minorEastAsia"/>
          <w:noProof/>
          <w:kern w:val="2"/>
          <w:lang w:val="en-US"/>
          <w14:ligatures w14:val="standardContextual"/>
        </w:rPr>
      </w:pPr>
      <w:hyperlink w:anchor="_Toc154575300" w:history="1">
        <w:r w:rsidR="0087794A" w:rsidRPr="00C459BB">
          <w:rPr>
            <w:rStyle w:val="Hyperlink"/>
            <w:noProof/>
          </w:rPr>
          <w:t>Figure 5.27:</w:t>
        </w:r>
        <w:r w:rsidR="0087794A" w:rsidRPr="00C459BB">
          <w:rPr>
            <w:rStyle w:val="Hyperlink"/>
            <w:noProof/>
            <w:lang w:eastAsia="el-GR"/>
          </w:rPr>
          <w:t xml:space="preserve"> R</w:t>
        </w:r>
        <w:r w:rsidR="0087794A" w:rsidRPr="00C459BB">
          <w:rPr>
            <w:rStyle w:val="Hyperlink"/>
            <w:iCs/>
            <w:noProof/>
            <w:lang w:eastAsia="el-GR"/>
          </w:rPr>
          <w:t>efurbishment in residential buildings</w:t>
        </w:r>
        <w:r w:rsidR="0087794A">
          <w:rPr>
            <w:noProof/>
            <w:webHidden/>
          </w:rPr>
          <w:tab/>
        </w:r>
        <w:r w:rsidR="0087794A">
          <w:rPr>
            <w:noProof/>
            <w:webHidden/>
          </w:rPr>
          <w:fldChar w:fldCharType="begin"/>
        </w:r>
        <w:r w:rsidR="0087794A">
          <w:rPr>
            <w:noProof/>
            <w:webHidden/>
          </w:rPr>
          <w:instrText xml:space="preserve"> PAGEREF _Toc154575300 \h </w:instrText>
        </w:r>
        <w:r w:rsidR="0087794A">
          <w:rPr>
            <w:noProof/>
            <w:webHidden/>
          </w:rPr>
        </w:r>
        <w:r w:rsidR="0087794A">
          <w:rPr>
            <w:noProof/>
            <w:webHidden/>
          </w:rPr>
          <w:fldChar w:fldCharType="separate"/>
        </w:r>
        <w:r w:rsidR="0087794A">
          <w:rPr>
            <w:noProof/>
            <w:webHidden/>
          </w:rPr>
          <w:t>274</w:t>
        </w:r>
        <w:r w:rsidR="0087794A">
          <w:rPr>
            <w:noProof/>
            <w:webHidden/>
          </w:rPr>
          <w:fldChar w:fldCharType="end"/>
        </w:r>
      </w:hyperlink>
    </w:p>
    <w:p w14:paraId="6210FBF2" w14:textId="3CF4D8BE" w:rsidR="0087794A" w:rsidRDefault="006E0533">
      <w:pPr>
        <w:pStyle w:val="TableofFigures"/>
        <w:tabs>
          <w:tab w:val="right" w:leader="dot" w:pos="9628"/>
        </w:tabs>
        <w:rPr>
          <w:rFonts w:eastAsiaTheme="minorEastAsia"/>
          <w:noProof/>
          <w:kern w:val="2"/>
          <w:lang w:val="en-US"/>
          <w14:ligatures w14:val="standardContextual"/>
        </w:rPr>
      </w:pPr>
      <w:hyperlink w:anchor="_Toc154575301" w:history="1">
        <w:r w:rsidR="0087794A" w:rsidRPr="00C459BB">
          <w:rPr>
            <w:rStyle w:val="Hyperlink"/>
            <w:noProof/>
          </w:rPr>
          <w:t>Figure 5.28:</w:t>
        </w:r>
        <w:r w:rsidR="0087794A" w:rsidRPr="00C459BB">
          <w:rPr>
            <w:rStyle w:val="Hyperlink"/>
            <w:noProof/>
            <w:lang w:eastAsia="el-GR"/>
          </w:rPr>
          <w:t xml:space="preserve"> R</w:t>
        </w:r>
        <w:r w:rsidR="0087794A" w:rsidRPr="00C459BB">
          <w:rPr>
            <w:rStyle w:val="Hyperlink"/>
            <w:iCs/>
            <w:noProof/>
            <w:lang w:eastAsia="el-GR"/>
          </w:rPr>
          <w:t>efurbishment in commercial buildings</w:t>
        </w:r>
        <w:r w:rsidR="0087794A">
          <w:rPr>
            <w:noProof/>
            <w:webHidden/>
          </w:rPr>
          <w:tab/>
        </w:r>
        <w:r w:rsidR="0087794A">
          <w:rPr>
            <w:noProof/>
            <w:webHidden/>
          </w:rPr>
          <w:fldChar w:fldCharType="begin"/>
        </w:r>
        <w:r w:rsidR="0087794A">
          <w:rPr>
            <w:noProof/>
            <w:webHidden/>
          </w:rPr>
          <w:instrText xml:space="preserve"> PAGEREF _Toc154575301 \h </w:instrText>
        </w:r>
        <w:r w:rsidR="0087794A">
          <w:rPr>
            <w:noProof/>
            <w:webHidden/>
          </w:rPr>
        </w:r>
        <w:r w:rsidR="0087794A">
          <w:rPr>
            <w:noProof/>
            <w:webHidden/>
          </w:rPr>
          <w:fldChar w:fldCharType="separate"/>
        </w:r>
        <w:r w:rsidR="0087794A">
          <w:rPr>
            <w:noProof/>
            <w:webHidden/>
          </w:rPr>
          <w:t>275</w:t>
        </w:r>
        <w:r w:rsidR="0087794A">
          <w:rPr>
            <w:noProof/>
            <w:webHidden/>
          </w:rPr>
          <w:fldChar w:fldCharType="end"/>
        </w:r>
      </w:hyperlink>
    </w:p>
    <w:p w14:paraId="409E6D1F" w14:textId="0405BE8E" w:rsidR="0087794A" w:rsidRDefault="006E0533">
      <w:pPr>
        <w:pStyle w:val="TableofFigures"/>
        <w:tabs>
          <w:tab w:val="right" w:leader="dot" w:pos="9628"/>
        </w:tabs>
        <w:rPr>
          <w:rFonts w:eastAsiaTheme="minorEastAsia"/>
          <w:noProof/>
          <w:kern w:val="2"/>
          <w:lang w:val="en-US"/>
          <w14:ligatures w14:val="standardContextual"/>
        </w:rPr>
      </w:pPr>
      <w:hyperlink w:anchor="_Toc154575302" w:history="1">
        <w:r w:rsidR="0087794A" w:rsidRPr="00C459BB">
          <w:rPr>
            <w:rStyle w:val="Hyperlink"/>
            <w:noProof/>
          </w:rPr>
          <w:t>Figure 5.29: Unit consumption of commercial buildings</w:t>
        </w:r>
        <w:r w:rsidR="0087794A">
          <w:rPr>
            <w:noProof/>
            <w:webHidden/>
          </w:rPr>
          <w:tab/>
        </w:r>
        <w:r w:rsidR="0087794A">
          <w:rPr>
            <w:noProof/>
            <w:webHidden/>
          </w:rPr>
          <w:fldChar w:fldCharType="begin"/>
        </w:r>
        <w:r w:rsidR="0087794A">
          <w:rPr>
            <w:noProof/>
            <w:webHidden/>
          </w:rPr>
          <w:instrText xml:space="preserve"> PAGEREF _Toc154575302 \h </w:instrText>
        </w:r>
        <w:r w:rsidR="0087794A">
          <w:rPr>
            <w:noProof/>
            <w:webHidden/>
          </w:rPr>
        </w:r>
        <w:r w:rsidR="0087794A">
          <w:rPr>
            <w:noProof/>
            <w:webHidden/>
          </w:rPr>
          <w:fldChar w:fldCharType="separate"/>
        </w:r>
        <w:r w:rsidR="0087794A">
          <w:rPr>
            <w:noProof/>
            <w:webHidden/>
          </w:rPr>
          <w:t>276</w:t>
        </w:r>
        <w:r w:rsidR="0087794A">
          <w:rPr>
            <w:noProof/>
            <w:webHidden/>
          </w:rPr>
          <w:fldChar w:fldCharType="end"/>
        </w:r>
      </w:hyperlink>
    </w:p>
    <w:p w14:paraId="18CD21EB" w14:textId="4079DB3F" w:rsidR="0087794A" w:rsidRDefault="006E0533">
      <w:pPr>
        <w:pStyle w:val="TableofFigures"/>
        <w:tabs>
          <w:tab w:val="right" w:leader="dot" w:pos="9628"/>
        </w:tabs>
        <w:rPr>
          <w:rFonts w:eastAsiaTheme="minorEastAsia"/>
          <w:noProof/>
          <w:kern w:val="2"/>
          <w:lang w:val="en-US"/>
          <w14:ligatures w14:val="standardContextual"/>
        </w:rPr>
      </w:pPr>
      <w:hyperlink w:anchor="_Toc154575303" w:history="1">
        <w:r w:rsidR="0087794A" w:rsidRPr="00C459BB">
          <w:rPr>
            <w:rStyle w:val="Hyperlink"/>
            <w:noProof/>
          </w:rPr>
          <w:t>Figure 5.30: Unit consumption of residential dwellings</w:t>
        </w:r>
        <w:r w:rsidR="0087794A">
          <w:rPr>
            <w:noProof/>
            <w:webHidden/>
          </w:rPr>
          <w:tab/>
        </w:r>
        <w:r w:rsidR="0087794A">
          <w:rPr>
            <w:noProof/>
            <w:webHidden/>
          </w:rPr>
          <w:fldChar w:fldCharType="begin"/>
        </w:r>
        <w:r w:rsidR="0087794A">
          <w:rPr>
            <w:noProof/>
            <w:webHidden/>
          </w:rPr>
          <w:instrText xml:space="preserve"> PAGEREF _Toc154575303 \h </w:instrText>
        </w:r>
        <w:r w:rsidR="0087794A">
          <w:rPr>
            <w:noProof/>
            <w:webHidden/>
          </w:rPr>
        </w:r>
        <w:r w:rsidR="0087794A">
          <w:rPr>
            <w:noProof/>
            <w:webHidden/>
          </w:rPr>
          <w:fldChar w:fldCharType="separate"/>
        </w:r>
        <w:r w:rsidR="0087794A">
          <w:rPr>
            <w:noProof/>
            <w:webHidden/>
          </w:rPr>
          <w:t>276</w:t>
        </w:r>
        <w:r w:rsidR="0087794A">
          <w:rPr>
            <w:noProof/>
            <w:webHidden/>
          </w:rPr>
          <w:fldChar w:fldCharType="end"/>
        </w:r>
      </w:hyperlink>
    </w:p>
    <w:p w14:paraId="109AFE2E" w14:textId="5B50785C" w:rsidR="0087794A" w:rsidRDefault="006E0533">
      <w:pPr>
        <w:pStyle w:val="TableofFigures"/>
        <w:tabs>
          <w:tab w:val="right" w:leader="dot" w:pos="9628"/>
        </w:tabs>
        <w:rPr>
          <w:rFonts w:eastAsiaTheme="minorEastAsia"/>
          <w:noProof/>
          <w:kern w:val="2"/>
          <w:lang w:val="en-US"/>
          <w14:ligatures w14:val="standardContextual"/>
        </w:rPr>
      </w:pPr>
      <w:hyperlink w:anchor="_Toc154575304" w:history="1">
        <w:r w:rsidR="0087794A" w:rsidRPr="00C459BB">
          <w:rPr>
            <w:rStyle w:val="Hyperlink"/>
            <w:noProof/>
          </w:rPr>
          <w:t>Figure 5.31: Annual capacity additions of heat pumps per sector, technology, and scenario until 2030 and capacity additions for five-year periods after 2030</w:t>
        </w:r>
        <w:r w:rsidR="0087794A">
          <w:rPr>
            <w:noProof/>
            <w:webHidden/>
          </w:rPr>
          <w:tab/>
        </w:r>
        <w:r w:rsidR="0087794A">
          <w:rPr>
            <w:noProof/>
            <w:webHidden/>
          </w:rPr>
          <w:fldChar w:fldCharType="begin"/>
        </w:r>
        <w:r w:rsidR="0087794A">
          <w:rPr>
            <w:noProof/>
            <w:webHidden/>
          </w:rPr>
          <w:instrText xml:space="preserve"> PAGEREF _Toc154575304 \h </w:instrText>
        </w:r>
        <w:r w:rsidR="0087794A">
          <w:rPr>
            <w:noProof/>
            <w:webHidden/>
          </w:rPr>
        </w:r>
        <w:r w:rsidR="0087794A">
          <w:rPr>
            <w:noProof/>
            <w:webHidden/>
          </w:rPr>
          <w:fldChar w:fldCharType="separate"/>
        </w:r>
        <w:r w:rsidR="0087794A">
          <w:rPr>
            <w:noProof/>
            <w:webHidden/>
          </w:rPr>
          <w:t>277</w:t>
        </w:r>
        <w:r w:rsidR="0087794A">
          <w:rPr>
            <w:noProof/>
            <w:webHidden/>
          </w:rPr>
          <w:fldChar w:fldCharType="end"/>
        </w:r>
      </w:hyperlink>
    </w:p>
    <w:p w14:paraId="2515DAF7" w14:textId="066F3EB3" w:rsidR="0087794A" w:rsidRDefault="006E0533">
      <w:pPr>
        <w:pStyle w:val="TableofFigures"/>
        <w:tabs>
          <w:tab w:val="right" w:leader="dot" w:pos="9628"/>
        </w:tabs>
        <w:rPr>
          <w:rFonts w:eastAsiaTheme="minorEastAsia"/>
          <w:noProof/>
          <w:kern w:val="2"/>
          <w:lang w:val="en-US"/>
          <w14:ligatures w14:val="standardContextual"/>
        </w:rPr>
      </w:pPr>
      <w:hyperlink w:anchor="_Toc154575305" w:history="1">
        <w:r w:rsidR="0087794A" w:rsidRPr="00C459BB">
          <w:rPr>
            <w:rStyle w:val="Hyperlink"/>
            <w:noProof/>
          </w:rPr>
          <w:t>Figure 5.32: Annual capacity additions of heat pumps per sector, technology, and scenario (with differences from WEM) until 2030 and for five-year periods after 2030</w:t>
        </w:r>
        <w:r w:rsidR="0087794A">
          <w:rPr>
            <w:noProof/>
            <w:webHidden/>
          </w:rPr>
          <w:tab/>
        </w:r>
        <w:r w:rsidR="0087794A">
          <w:rPr>
            <w:noProof/>
            <w:webHidden/>
          </w:rPr>
          <w:fldChar w:fldCharType="begin"/>
        </w:r>
        <w:r w:rsidR="0087794A">
          <w:rPr>
            <w:noProof/>
            <w:webHidden/>
          </w:rPr>
          <w:instrText xml:space="preserve"> PAGEREF _Toc154575305 \h </w:instrText>
        </w:r>
        <w:r w:rsidR="0087794A">
          <w:rPr>
            <w:noProof/>
            <w:webHidden/>
          </w:rPr>
        </w:r>
        <w:r w:rsidR="0087794A">
          <w:rPr>
            <w:noProof/>
            <w:webHidden/>
          </w:rPr>
          <w:fldChar w:fldCharType="separate"/>
        </w:r>
        <w:r w:rsidR="0087794A">
          <w:rPr>
            <w:noProof/>
            <w:webHidden/>
          </w:rPr>
          <w:t>277</w:t>
        </w:r>
        <w:r w:rsidR="0087794A">
          <w:rPr>
            <w:noProof/>
            <w:webHidden/>
          </w:rPr>
          <w:fldChar w:fldCharType="end"/>
        </w:r>
      </w:hyperlink>
    </w:p>
    <w:p w14:paraId="527E0EAB" w14:textId="7972C647" w:rsidR="0087794A" w:rsidRDefault="006E0533">
      <w:pPr>
        <w:pStyle w:val="TableofFigures"/>
        <w:tabs>
          <w:tab w:val="right" w:leader="dot" w:pos="9628"/>
        </w:tabs>
        <w:rPr>
          <w:rFonts w:eastAsiaTheme="minorEastAsia"/>
          <w:noProof/>
          <w:kern w:val="2"/>
          <w:lang w:val="en-US"/>
          <w14:ligatures w14:val="standardContextual"/>
        </w:rPr>
      </w:pPr>
      <w:hyperlink w:anchor="_Toc154575306" w:history="1">
        <w:r w:rsidR="0087794A" w:rsidRPr="00C459BB">
          <w:rPr>
            <w:rStyle w:val="Hyperlink"/>
            <w:noProof/>
          </w:rPr>
          <w:t>Figure 5.33: Number of EVs</w:t>
        </w:r>
        <w:r w:rsidR="0087794A">
          <w:rPr>
            <w:noProof/>
            <w:webHidden/>
          </w:rPr>
          <w:tab/>
        </w:r>
        <w:r w:rsidR="0087794A">
          <w:rPr>
            <w:noProof/>
            <w:webHidden/>
          </w:rPr>
          <w:fldChar w:fldCharType="begin"/>
        </w:r>
        <w:r w:rsidR="0087794A">
          <w:rPr>
            <w:noProof/>
            <w:webHidden/>
          </w:rPr>
          <w:instrText xml:space="preserve"> PAGEREF _Toc154575306 \h </w:instrText>
        </w:r>
        <w:r w:rsidR="0087794A">
          <w:rPr>
            <w:noProof/>
            <w:webHidden/>
          </w:rPr>
        </w:r>
        <w:r w:rsidR="0087794A">
          <w:rPr>
            <w:noProof/>
            <w:webHidden/>
          </w:rPr>
          <w:fldChar w:fldCharType="separate"/>
        </w:r>
        <w:r w:rsidR="0087794A">
          <w:rPr>
            <w:noProof/>
            <w:webHidden/>
          </w:rPr>
          <w:t>278</w:t>
        </w:r>
        <w:r w:rsidR="0087794A">
          <w:rPr>
            <w:noProof/>
            <w:webHidden/>
          </w:rPr>
          <w:fldChar w:fldCharType="end"/>
        </w:r>
      </w:hyperlink>
    </w:p>
    <w:p w14:paraId="4905A743" w14:textId="13BAA31C" w:rsidR="0087794A" w:rsidRDefault="006E0533">
      <w:pPr>
        <w:pStyle w:val="TableofFigures"/>
        <w:tabs>
          <w:tab w:val="right" w:leader="dot" w:pos="9628"/>
        </w:tabs>
        <w:rPr>
          <w:rFonts w:eastAsiaTheme="minorEastAsia"/>
          <w:noProof/>
          <w:kern w:val="2"/>
          <w:lang w:val="en-US"/>
          <w14:ligatures w14:val="standardContextual"/>
        </w:rPr>
      </w:pPr>
      <w:hyperlink w:anchor="_Toc154575307" w:history="1">
        <w:r w:rsidR="0087794A" w:rsidRPr="00C459BB">
          <w:rPr>
            <w:rStyle w:val="Hyperlink"/>
            <w:noProof/>
          </w:rPr>
          <w:t>Figure 5.34: Energy Import Dependency</w:t>
        </w:r>
        <w:r w:rsidR="0087794A">
          <w:rPr>
            <w:noProof/>
            <w:webHidden/>
          </w:rPr>
          <w:tab/>
        </w:r>
        <w:r w:rsidR="0087794A">
          <w:rPr>
            <w:noProof/>
            <w:webHidden/>
          </w:rPr>
          <w:fldChar w:fldCharType="begin"/>
        </w:r>
        <w:r w:rsidR="0087794A">
          <w:rPr>
            <w:noProof/>
            <w:webHidden/>
          </w:rPr>
          <w:instrText xml:space="preserve"> PAGEREF _Toc154575307 \h </w:instrText>
        </w:r>
        <w:r w:rsidR="0087794A">
          <w:rPr>
            <w:noProof/>
            <w:webHidden/>
          </w:rPr>
        </w:r>
        <w:r w:rsidR="0087794A">
          <w:rPr>
            <w:noProof/>
            <w:webHidden/>
          </w:rPr>
          <w:fldChar w:fldCharType="separate"/>
        </w:r>
        <w:r w:rsidR="0087794A">
          <w:rPr>
            <w:noProof/>
            <w:webHidden/>
          </w:rPr>
          <w:t>279</w:t>
        </w:r>
        <w:r w:rsidR="0087794A">
          <w:rPr>
            <w:noProof/>
            <w:webHidden/>
          </w:rPr>
          <w:fldChar w:fldCharType="end"/>
        </w:r>
      </w:hyperlink>
    </w:p>
    <w:p w14:paraId="78EE99D1" w14:textId="253E7640" w:rsidR="0087794A" w:rsidRDefault="006E0533">
      <w:pPr>
        <w:pStyle w:val="TableofFigures"/>
        <w:tabs>
          <w:tab w:val="right" w:leader="dot" w:pos="9628"/>
        </w:tabs>
        <w:rPr>
          <w:rFonts w:eastAsiaTheme="minorEastAsia"/>
          <w:noProof/>
          <w:kern w:val="2"/>
          <w:lang w:val="en-US"/>
          <w14:ligatures w14:val="standardContextual"/>
        </w:rPr>
      </w:pPr>
      <w:hyperlink w:anchor="_Toc154575308" w:history="1">
        <w:r w:rsidR="0087794A" w:rsidRPr="00C459BB">
          <w:rPr>
            <w:rStyle w:val="Hyperlink"/>
            <w:noProof/>
          </w:rPr>
          <w:t>Figure 5.35: Primary production</w:t>
        </w:r>
        <w:r w:rsidR="0087794A">
          <w:rPr>
            <w:noProof/>
            <w:webHidden/>
          </w:rPr>
          <w:tab/>
        </w:r>
        <w:r w:rsidR="0087794A">
          <w:rPr>
            <w:noProof/>
            <w:webHidden/>
          </w:rPr>
          <w:fldChar w:fldCharType="begin"/>
        </w:r>
        <w:r w:rsidR="0087794A">
          <w:rPr>
            <w:noProof/>
            <w:webHidden/>
          </w:rPr>
          <w:instrText xml:space="preserve"> PAGEREF _Toc154575308 \h </w:instrText>
        </w:r>
        <w:r w:rsidR="0087794A">
          <w:rPr>
            <w:noProof/>
            <w:webHidden/>
          </w:rPr>
        </w:r>
        <w:r w:rsidR="0087794A">
          <w:rPr>
            <w:noProof/>
            <w:webHidden/>
          </w:rPr>
          <w:fldChar w:fldCharType="separate"/>
        </w:r>
        <w:r w:rsidR="0087794A">
          <w:rPr>
            <w:noProof/>
            <w:webHidden/>
          </w:rPr>
          <w:t>280</w:t>
        </w:r>
        <w:r w:rsidR="0087794A">
          <w:rPr>
            <w:noProof/>
            <w:webHidden/>
          </w:rPr>
          <w:fldChar w:fldCharType="end"/>
        </w:r>
      </w:hyperlink>
    </w:p>
    <w:p w14:paraId="748FD704" w14:textId="3607450A" w:rsidR="0087794A" w:rsidRDefault="006E0533">
      <w:pPr>
        <w:pStyle w:val="TableofFigures"/>
        <w:tabs>
          <w:tab w:val="right" w:leader="dot" w:pos="9628"/>
        </w:tabs>
        <w:rPr>
          <w:rFonts w:eastAsiaTheme="minorEastAsia"/>
          <w:noProof/>
          <w:kern w:val="2"/>
          <w:lang w:val="en-US"/>
          <w14:ligatures w14:val="standardContextual"/>
        </w:rPr>
      </w:pPr>
      <w:hyperlink w:anchor="_Toc154575309" w:history="1">
        <w:r w:rsidR="0087794A" w:rsidRPr="00C459BB">
          <w:rPr>
            <w:rStyle w:val="Hyperlink"/>
            <w:noProof/>
          </w:rPr>
          <w:t>Figure 5.36: Energy imports per fuel</w:t>
        </w:r>
        <w:r w:rsidR="0087794A">
          <w:rPr>
            <w:noProof/>
            <w:webHidden/>
          </w:rPr>
          <w:tab/>
        </w:r>
        <w:r w:rsidR="0087794A">
          <w:rPr>
            <w:noProof/>
            <w:webHidden/>
          </w:rPr>
          <w:fldChar w:fldCharType="begin"/>
        </w:r>
        <w:r w:rsidR="0087794A">
          <w:rPr>
            <w:noProof/>
            <w:webHidden/>
          </w:rPr>
          <w:instrText xml:space="preserve"> PAGEREF _Toc154575309 \h </w:instrText>
        </w:r>
        <w:r w:rsidR="0087794A">
          <w:rPr>
            <w:noProof/>
            <w:webHidden/>
          </w:rPr>
        </w:r>
        <w:r w:rsidR="0087794A">
          <w:rPr>
            <w:noProof/>
            <w:webHidden/>
          </w:rPr>
          <w:fldChar w:fldCharType="separate"/>
        </w:r>
        <w:r w:rsidR="0087794A">
          <w:rPr>
            <w:noProof/>
            <w:webHidden/>
          </w:rPr>
          <w:t>280</w:t>
        </w:r>
        <w:r w:rsidR="0087794A">
          <w:rPr>
            <w:noProof/>
            <w:webHidden/>
          </w:rPr>
          <w:fldChar w:fldCharType="end"/>
        </w:r>
      </w:hyperlink>
    </w:p>
    <w:p w14:paraId="4D38AA77" w14:textId="56435A5E" w:rsidR="0087794A" w:rsidRDefault="006E0533">
      <w:pPr>
        <w:pStyle w:val="TableofFigures"/>
        <w:tabs>
          <w:tab w:val="right" w:leader="dot" w:pos="9628"/>
        </w:tabs>
        <w:rPr>
          <w:rFonts w:eastAsiaTheme="minorEastAsia"/>
          <w:noProof/>
          <w:kern w:val="2"/>
          <w:lang w:val="en-US"/>
          <w14:ligatures w14:val="standardContextual"/>
        </w:rPr>
      </w:pPr>
      <w:hyperlink w:anchor="_Toc154575310" w:history="1">
        <w:r w:rsidR="0087794A" w:rsidRPr="00C459BB">
          <w:rPr>
            <w:rStyle w:val="Hyperlink"/>
            <w:noProof/>
          </w:rPr>
          <w:t>Figure 5.37</w:t>
        </w:r>
        <w:r w:rsidR="0087794A" w:rsidRPr="00C459BB">
          <w:rPr>
            <w:rStyle w:val="Hyperlink"/>
            <w:iCs/>
            <w:noProof/>
            <w:lang w:eastAsia="el-GR"/>
          </w:rPr>
          <w:t>: Energy exports per fuel</w:t>
        </w:r>
        <w:r w:rsidR="0087794A">
          <w:rPr>
            <w:noProof/>
            <w:webHidden/>
          </w:rPr>
          <w:tab/>
        </w:r>
        <w:r w:rsidR="0087794A">
          <w:rPr>
            <w:noProof/>
            <w:webHidden/>
          </w:rPr>
          <w:fldChar w:fldCharType="begin"/>
        </w:r>
        <w:r w:rsidR="0087794A">
          <w:rPr>
            <w:noProof/>
            <w:webHidden/>
          </w:rPr>
          <w:instrText xml:space="preserve"> PAGEREF _Toc154575310 \h </w:instrText>
        </w:r>
        <w:r w:rsidR="0087794A">
          <w:rPr>
            <w:noProof/>
            <w:webHidden/>
          </w:rPr>
        </w:r>
        <w:r w:rsidR="0087794A">
          <w:rPr>
            <w:noProof/>
            <w:webHidden/>
          </w:rPr>
          <w:fldChar w:fldCharType="separate"/>
        </w:r>
        <w:r w:rsidR="0087794A">
          <w:rPr>
            <w:noProof/>
            <w:webHidden/>
          </w:rPr>
          <w:t>281</w:t>
        </w:r>
        <w:r w:rsidR="0087794A">
          <w:rPr>
            <w:noProof/>
            <w:webHidden/>
          </w:rPr>
          <w:fldChar w:fldCharType="end"/>
        </w:r>
      </w:hyperlink>
    </w:p>
    <w:p w14:paraId="11F0745F" w14:textId="11521E0C" w:rsidR="0087794A" w:rsidRDefault="006E0533">
      <w:pPr>
        <w:pStyle w:val="TableofFigures"/>
        <w:tabs>
          <w:tab w:val="right" w:leader="dot" w:pos="9628"/>
        </w:tabs>
        <w:rPr>
          <w:rFonts w:eastAsiaTheme="minorEastAsia"/>
          <w:noProof/>
          <w:kern w:val="2"/>
          <w:lang w:val="en-US"/>
          <w14:ligatures w14:val="standardContextual"/>
        </w:rPr>
      </w:pPr>
      <w:hyperlink w:anchor="_Toc154575311" w:history="1">
        <w:r w:rsidR="0087794A" w:rsidRPr="00C459BB">
          <w:rPr>
            <w:rStyle w:val="Hyperlink"/>
            <w:noProof/>
          </w:rPr>
          <w:t>Figure 5.38</w:t>
        </w:r>
        <w:r w:rsidR="0087794A" w:rsidRPr="00C459BB">
          <w:rPr>
            <w:rStyle w:val="Hyperlink"/>
            <w:iCs/>
            <w:noProof/>
            <w:lang w:eastAsia="el-GR"/>
          </w:rPr>
          <w:t>: Imports, exports and net imports</w:t>
        </w:r>
        <w:r w:rsidR="0087794A">
          <w:rPr>
            <w:noProof/>
            <w:webHidden/>
          </w:rPr>
          <w:tab/>
        </w:r>
        <w:r w:rsidR="0087794A">
          <w:rPr>
            <w:noProof/>
            <w:webHidden/>
          </w:rPr>
          <w:fldChar w:fldCharType="begin"/>
        </w:r>
        <w:r w:rsidR="0087794A">
          <w:rPr>
            <w:noProof/>
            <w:webHidden/>
          </w:rPr>
          <w:instrText xml:space="preserve"> PAGEREF _Toc154575311 \h </w:instrText>
        </w:r>
        <w:r w:rsidR="0087794A">
          <w:rPr>
            <w:noProof/>
            <w:webHidden/>
          </w:rPr>
        </w:r>
        <w:r w:rsidR="0087794A">
          <w:rPr>
            <w:noProof/>
            <w:webHidden/>
          </w:rPr>
          <w:fldChar w:fldCharType="separate"/>
        </w:r>
        <w:r w:rsidR="0087794A">
          <w:rPr>
            <w:noProof/>
            <w:webHidden/>
          </w:rPr>
          <w:t>282</w:t>
        </w:r>
        <w:r w:rsidR="0087794A">
          <w:rPr>
            <w:noProof/>
            <w:webHidden/>
          </w:rPr>
          <w:fldChar w:fldCharType="end"/>
        </w:r>
      </w:hyperlink>
    </w:p>
    <w:p w14:paraId="50AD0B85" w14:textId="53EE9CF3" w:rsidR="0087794A" w:rsidRDefault="006E0533">
      <w:pPr>
        <w:pStyle w:val="TableofFigures"/>
        <w:tabs>
          <w:tab w:val="right" w:leader="dot" w:pos="9628"/>
        </w:tabs>
        <w:rPr>
          <w:rFonts w:eastAsiaTheme="minorEastAsia"/>
          <w:noProof/>
          <w:kern w:val="2"/>
          <w:lang w:val="en-US"/>
          <w14:ligatures w14:val="standardContextual"/>
        </w:rPr>
      </w:pPr>
      <w:hyperlink w:anchor="_Toc154575312" w:history="1">
        <w:r w:rsidR="0087794A" w:rsidRPr="00C459BB">
          <w:rPr>
            <w:rStyle w:val="Hyperlink"/>
            <w:noProof/>
          </w:rPr>
          <w:t>Figure 5.39</w:t>
        </w:r>
        <w:r w:rsidR="0087794A" w:rsidRPr="00C459BB">
          <w:rPr>
            <w:rStyle w:val="Hyperlink"/>
            <w:iCs/>
            <w:noProof/>
            <w:lang w:eastAsia="el-GR"/>
          </w:rPr>
          <w:t>: Transformation input in electricity sector</w:t>
        </w:r>
        <w:r w:rsidR="0087794A">
          <w:rPr>
            <w:noProof/>
            <w:webHidden/>
          </w:rPr>
          <w:tab/>
        </w:r>
        <w:r w:rsidR="0087794A">
          <w:rPr>
            <w:noProof/>
            <w:webHidden/>
          </w:rPr>
          <w:fldChar w:fldCharType="begin"/>
        </w:r>
        <w:r w:rsidR="0087794A">
          <w:rPr>
            <w:noProof/>
            <w:webHidden/>
          </w:rPr>
          <w:instrText xml:space="preserve"> PAGEREF _Toc154575312 \h </w:instrText>
        </w:r>
        <w:r w:rsidR="0087794A">
          <w:rPr>
            <w:noProof/>
            <w:webHidden/>
          </w:rPr>
        </w:r>
        <w:r w:rsidR="0087794A">
          <w:rPr>
            <w:noProof/>
            <w:webHidden/>
          </w:rPr>
          <w:fldChar w:fldCharType="separate"/>
        </w:r>
        <w:r w:rsidR="0087794A">
          <w:rPr>
            <w:noProof/>
            <w:webHidden/>
          </w:rPr>
          <w:t>282</w:t>
        </w:r>
        <w:r w:rsidR="0087794A">
          <w:rPr>
            <w:noProof/>
            <w:webHidden/>
          </w:rPr>
          <w:fldChar w:fldCharType="end"/>
        </w:r>
      </w:hyperlink>
    </w:p>
    <w:p w14:paraId="199FD133" w14:textId="1E6CE69F" w:rsidR="0087794A" w:rsidRDefault="006E0533">
      <w:pPr>
        <w:pStyle w:val="TableofFigures"/>
        <w:tabs>
          <w:tab w:val="right" w:leader="dot" w:pos="9628"/>
        </w:tabs>
        <w:rPr>
          <w:rFonts w:eastAsiaTheme="minorEastAsia"/>
          <w:noProof/>
          <w:kern w:val="2"/>
          <w:lang w:val="en-US"/>
          <w14:ligatures w14:val="standardContextual"/>
        </w:rPr>
      </w:pPr>
      <w:hyperlink w:anchor="_Toc154575313" w:history="1">
        <w:r w:rsidR="0087794A" w:rsidRPr="00C459BB">
          <w:rPr>
            <w:rStyle w:val="Hyperlink"/>
            <w:noProof/>
          </w:rPr>
          <w:t>Figure 5.40: Transformation output in electricity sector</w:t>
        </w:r>
        <w:r w:rsidR="0087794A">
          <w:rPr>
            <w:noProof/>
            <w:webHidden/>
          </w:rPr>
          <w:tab/>
        </w:r>
        <w:r w:rsidR="0087794A">
          <w:rPr>
            <w:noProof/>
            <w:webHidden/>
          </w:rPr>
          <w:fldChar w:fldCharType="begin"/>
        </w:r>
        <w:r w:rsidR="0087794A">
          <w:rPr>
            <w:noProof/>
            <w:webHidden/>
          </w:rPr>
          <w:instrText xml:space="preserve"> PAGEREF _Toc154575313 \h </w:instrText>
        </w:r>
        <w:r w:rsidR="0087794A">
          <w:rPr>
            <w:noProof/>
            <w:webHidden/>
          </w:rPr>
        </w:r>
        <w:r w:rsidR="0087794A">
          <w:rPr>
            <w:noProof/>
            <w:webHidden/>
          </w:rPr>
          <w:fldChar w:fldCharType="separate"/>
        </w:r>
        <w:r w:rsidR="0087794A">
          <w:rPr>
            <w:noProof/>
            <w:webHidden/>
          </w:rPr>
          <w:t>283</w:t>
        </w:r>
        <w:r w:rsidR="0087794A">
          <w:rPr>
            <w:noProof/>
            <w:webHidden/>
          </w:rPr>
          <w:fldChar w:fldCharType="end"/>
        </w:r>
      </w:hyperlink>
    </w:p>
    <w:p w14:paraId="232949E0" w14:textId="4A9382AC" w:rsidR="0087794A" w:rsidRDefault="006E0533">
      <w:pPr>
        <w:pStyle w:val="TableofFigures"/>
        <w:tabs>
          <w:tab w:val="right" w:leader="dot" w:pos="9628"/>
        </w:tabs>
        <w:rPr>
          <w:rFonts w:eastAsiaTheme="minorEastAsia"/>
          <w:noProof/>
          <w:kern w:val="2"/>
          <w:lang w:val="en-US"/>
          <w14:ligatures w14:val="standardContextual"/>
        </w:rPr>
      </w:pPr>
      <w:hyperlink w:anchor="_Toc154575314" w:history="1">
        <w:r w:rsidR="0087794A" w:rsidRPr="00C459BB">
          <w:rPr>
            <w:rStyle w:val="Hyperlink"/>
            <w:noProof/>
          </w:rPr>
          <w:t>Figure 5.41: Total electricity network losses</w:t>
        </w:r>
        <w:r w:rsidR="0087794A">
          <w:rPr>
            <w:noProof/>
            <w:webHidden/>
          </w:rPr>
          <w:tab/>
        </w:r>
        <w:r w:rsidR="0087794A">
          <w:rPr>
            <w:noProof/>
            <w:webHidden/>
          </w:rPr>
          <w:fldChar w:fldCharType="begin"/>
        </w:r>
        <w:r w:rsidR="0087794A">
          <w:rPr>
            <w:noProof/>
            <w:webHidden/>
          </w:rPr>
          <w:instrText xml:space="preserve"> PAGEREF _Toc154575314 \h </w:instrText>
        </w:r>
        <w:r w:rsidR="0087794A">
          <w:rPr>
            <w:noProof/>
            <w:webHidden/>
          </w:rPr>
        </w:r>
        <w:r w:rsidR="0087794A">
          <w:rPr>
            <w:noProof/>
            <w:webHidden/>
          </w:rPr>
          <w:fldChar w:fldCharType="separate"/>
        </w:r>
        <w:r w:rsidR="0087794A">
          <w:rPr>
            <w:noProof/>
            <w:webHidden/>
          </w:rPr>
          <w:t>283</w:t>
        </w:r>
        <w:r w:rsidR="0087794A">
          <w:rPr>
            <w:noProof/>
            <w:webHidden/>
          </w:rPr>
          <w:fldChar w:fldCharType="end"/>
        </w:r>
      </w:hyperlink>
    </w:p>
    <w:p w14:paraId="0203E0A2" w14:textId="0D410976" w:rsidR="0087794A" w:rsidRDefault="006E0533">
      <w:pPr>
        <w:pStyle w:val="TableofFigures"/>
        <w:tabs>
          <w:tab w:val="right" w:leader="dot" w:pos="9628"/>
        </w:tabs>
        <w:rPr>
          <w:rFonts w:eastAsiaTheme="minorEastAsia"/>
          <w:noProof/>
          <w:kern w:val="2"/>
          <w:lang w:val="en-US"/>
          <w14:ligatures w14:val="standardContextual"/>
        </w:rPr>
      </w:pPr>
      <w:hyperlink w:anchor="_Toc154575315" w:history="1">
        <w:r w:rsidR="0087794A" w:rsidRPr="00C459BB">
          <w:rPr>
            <w:rStyle w:val="Hyperlink"/>
            <w:noProof/>
          </w:rPr>
          <w:t>Figure 5.42: Total gas network losses</w:t>
        </w:r>
        <w:r w:rsidR="0087794A">
          <w:rPr>
            <w:noProof/>
            <w:webHidden/>
          </w:rPr>
          <w:tab/>
        </w:r>
        <w:r w:rsidR="0087794A">
          <w:rPr>
            <w:noProof/>
            <w:webHidden/>
          </w:rPr>
          <w:fldChar w:fldCharType="begin"/>
        </w:r>
        <w:r w:rsidR="0087794A">
          <w:rPr>
            <w:noProof/>
            <w:webHidden/>
          </w:rPr>
          <w:instrText xml:space="preserve"> PAGEREF _Toc154575315 \h </w:instrText>
        </w:r>
        <w:r w:rsidR="0087794A">
          <w:rPr>
            <w:noProof/>
            <w:webHidden/>
          </w:rPr>
        </w:r>
        <w:r w:rsidR="0087794A">
          <w:rPr>
            <w:noProof/>
            <w:webHidden/>
          </w:rPr>
          <w:fldChar w:fldCharType="separate"/>
        </w:r>
        <w:r w:rsidR="0087794A">
          <w:rPr>
            <w:noProof/>
            <w:webHidden/>
          </w:rPr>
          <w:t>284</w:t>
        </w:r>
        <w:r w:rsidR="0087794A">
          <w:rPr>
            <w:noProof/>
            <w:webHidden/>
          </w:rPr>
          <w:fldChar w:fldCharType="end"/>
        </w:r>
      </w:hyperlink>
    </w:p>
    <w:p w14:paraId="69CD5A8D" w14:textId="42C62FF4" w:rsidR="0087794A" w:rsidRDefault="006E0533">
      <w:pPr>
        <w:pStyle w:val="TableofFigures"/>
        <w:tabs>
          <w:tab w:val="right" w:leader="dot" w:pos="9628"/>
        </w:tabs>
        <w:rPr>
          <w:rFonts w:eastAsiaTheme="minorEastAsia"/>
          <w:noProof/>
          <w:kern w:val="2"/>
          <w:lang w:val="en-US"/>
          <w14:ligatures w14:val="standardContextual"/>
        </w:rPr>
      </w:pPr>
      <w:hyperlink w:anchor="_Toc154575316" w:history="1">
        <w:r w:rsidR="0087794A" w:rsidRPr="00C459BB">
          <w:rPr>
            <w:rStyle w:val="Hyperlink"/>
            <w:noProof/>
          </w:rPr>
          <w:t>Figure 5.43: Impact of scenarios S and S-N implementation on the GDP of Serbian economy over the 2025-2050 period</w:t>
        </w:r>
        <w:r w:rsidR="0087794A">
          <w:rPr>
            <w:noProof/>
            <w:webHidden/>
          </w:rPr>
          <w:tab/>
        </w:r>
        <w:r w:rsidR="0087794A">
          <w:rPr>
            <w:noProof/>
            <w:webHidden/>
          </w:rPr>
          <w:fldChar w:fldCharType="begin"/>
        </w:r>
        <w:r w:rsidR="0087794A">
          <w:rPr>
            <w:noProof/>
            <w:webHidden/>
          </w:rPr>
          <w:instrText xml:space="preserve"> PAGEREF _Toc154575316 \h </w:instrText>
        </w:r>
        <w:r w:rsidR="0087794A">
          <w:rPr>
            <w:noProof/>
            <w:webHidden/>
          </w:rPr>
        </w:r>
        <w:r w:rsidR="0087794A">
          <w:rPr>
            <w:noProof/>
            <w:webHidden/>
          </w:rPr>
          <w:fldChar w:fldCharType="separate"/>
        </w:r>
        <w:r w:rsidR="0087794A">
          <w:rPr>
            <w:noProof/>
            <w:webHidden/>
          </w:rPr>
          <w:t>285</w:t>
        </w:r>
        <w:r w:rsidR="0087794A">
          <w:rPr>
            <w:noProof/>
            <w:webHidden/>
          </w:rPr>
          <w:fldChar w:fldCharType="end"/>
        </w:r>
      </w:hyperlink>
    </w:p>
    <w:p w14:paraId="0617B9CE" w14:textId="3C972751" w:rsidR="0087794A" w:rsidRDefault="006E0533">
      <w:pPr>
        <w:pStyle w:val="TableofFigures"/>
        <w:tabs>
          <w:tab w:val="right" w:leader="dot" w:pos="9628"/>
        </w:tabs>
        <w:rPr>
          <w:rFonts w:eastAsiaTheme="minorEastAsia"/>
          <w:noProof/>
          <w:kern w:val="2"/>
          <w:lang w:val="en-US"/>
          <w14:ligatures w14:val="standardContextual"/>
        </w:rPr>
      </w:pPr>
      <w:hyperlink w:anchor="_Toc154575317" w:history="1">
        <w:r w:rsidR="0087794A" w:rsidRPr="00C459BB">
          <w:rPr>
            <w:rStyle w:val="Hyperlink"/>
            <w:noProof/>
          </w:rPr>
          <w:t>Figure 5.44: Impact of Scenarios’ S and S-N implementation on the unemployment rate of Serbian economy over the 2025-2050 period</w:t>
        </w:r>
        <w:r w:rsidR="0087794A">
          <w:rPr>
            <w:noProof/>
            <w:webHidden/>
          </w:rPr>
          <w:tab/>
        </w:r>
        <w:r w:rsidR="0087794A">
          <w:rPr>
            <w:noProof/>
            <w:webHidden/>
          </w:rPr>
          <w:fldChar w:fldCharType="begin"/>
        </w:r>
        <w:r w:rsidR="0087794A">
          <w:rPr>
            <w:noProof/>
            <w:webHidden/>
          </w:rPr>
          <w:instrText xml:space="preserve"> PAGEREF _Toc154575317 \h </w:instrText>
        </w:r>
        <w:r w:rsidR="0087794A">
          <w:rPr>
            <w:noProof/>
            <w:webHidden/>
          </w:rPr>
        </w:r>
        <w:r w:rsidR="0087794A">
          <w:rPr>
            <w:noProof/>
            <w:webHidden/>
          </w:rPr>
          <w:fldChar w:fldCharType="separate"/>
        </w:r>
        <w:r w:rsidR="0087794A">
          <w:rPr>
            <w:noProof/>
            <w:webHidden/>
          </w:rPr>
          <w:t>286</w:t>
        </w:r>
        <w:r w:rsidR="0087794A">
          <w:rPr>
            <w:noProof/>
            <w:webHidden/>
          </w:rPr>
          <w:fldChar w:fldCharType="end"/>
        </w:r>
      </w:hyperlink>
    </w:p>
    <w:p w14:paraId="573FD180" w14:textId="558E2E96" w:rsidR="0087794A" w:rsidRDefault="006E0533">
      <w:pPr>
        <w:pStyle w:val="TableofFigures"/>
        <w:tabs>
          <w:tab w:val="right" w:leader="dot" w:pos="9628"/>
        </w:tabs>
        <w:rPr>
          <w:rFonts w:eastAsiaTheme="minorEastAsia"/>
          <w:noProof/>
          <w:kern w:val="2"/>
          <w:lang w:val="en-US"/>
          <w14:ligatures w14:val="standardContextual"/>
        </w:rPr>
      </w:pPr>
      <w:hyperlink w:anchor="_Toc154575318" w:history="1">
        <w:r w:rsidR="0087794A" w:rsidRPr="00C459BB">
          <w:rPr>
            <w:rStyle w:val="Hyperlink"/>
            <w:noProof/>
          </w:rPr>
          <w:t>Figure 5.45: Impact on employment by sector under the implementation of Scenario S</w:t>
        </w:r>
        <w:r w:rsidR="0087794A">
          <w:rPr>
            <w:noProof/>
            <w:webHidden/>
          </w:rPr>
          <w:tab/>
        </w:r>
        <w:r w:rsidR="0087794A">
          <w:rPr>
            <w:noProof/>
            <w:webHidden/>
          </w:rPr>
          <w:fldChar w:fldCharType="begin"/>
        </w:r>
        <w:r w:rsidR="0087794A">
          <w:rPr>
            <w:noProof/>
            <w:webHidden/>
          </w:rPr>
          <w:instrText xml:space="preserve"> PAGEREF _Toc154575318 \h </w:instrText>
        </w:r>
        <w:r w:rsidR="0087794A">
          <w:rPr>
            <w:noProof/>
            <w:webHidden/>
          </w:rPr>
        </w:r>
        <w:r w:rsidR="0087794A">
          <w:rPr>
            <w:noProof/>
            <w:webHidden/>
          </w:rPr>
          <w:fldChar w:fldCharType="separate"/>
        </w:r>
        <w:r w:rsidR="0087794A">
          <w:rPr>
            <w:noProof/>
            <w:webHidden/>
          </w:rPr>
          <w:t>287</w:t>
        </w:r>
        <w:r w:rsidR="0087794A">
          <w:rPr>
            <w:noProof/>
            <w:webHidden/>
          </w:rPr>
          <w:fldChar w:fldCharType="end"/>
        </w:r>
      </w:hyperlink>
    </w:p>
    <w:p w14:paraId="46550825" w14:textId="26D2EF37" w:rsidR="0087794A" w:rsidRDefault="006E0533">
      <w:pPr>
        <w:pStyle w:val="TableofFigures"/>
        <w:tabs>
          <w:tab w:val="right" w:leader="dot" w:pos="9628"/>
        </w:tabs>
        <w:rPr>
          <w:rFonts w:eastAsiaTheme="minorEastAsia"/>
          <w:noProof/>
          <w:kern w:val="2"/>
          <w:lang w:val="en-US"/>
          <w14:ligatures w14:val="standardContextual"/>
        </w:rPr>
      </w:pPr>
      <w:hyperlink w:anchor="_Toc154575319" w:history="1">
        <w:r w:rsidR="0087794A" w:rsidRPr="00C459BB">
          <w:rPr>
            <w:rStyle w:val="Hyperlink"/>
            <w:noProof/>
          </w:rPr>
          <w:t>Figure 5.46: Estimation of the number of jobs created in scenario S due to the deployment of new RES capacity for solar PV, wind and biomass</w:t>
        </w:r>
        <w:r w:rsidR="0087794A">
          <w:rPr>
            <w:noProof/>
            <w:webHidden/>
          </w:rPr>
          <w:tab/>
        </w:r>
        <w:r w:rsidR="0087794A">
          <w:rPr>
            <w:noProof/>
            <w:webHidden/>
          </w:rPr>
          <w:fldChar w:fldCharType="begin"/>
        </w:r>
        <w:r w:rsidR="0087794A">
          <w:rPr>
            <w:noProof/>
            <w:webHidden/>
          </w:rPr>
          <w:instrText xml:space="preserve"> PAGEREF _Toc154575319 \h </w:instrText>
        </w:r>
        <w:r w:rsidR="0087794A">
          <w:rPr>
            <w:noProof/>
            <w:webHidden/>
          </w:rPr>
        </w:r>
        <w:r w:rsidR="0087794A">
          <w:rPr>
            <w:noProof/>
            <w:webHidden/>
          </w:rPr>
          <w:fldChar w:fldCharType="separate"/>
        </w:r>
        <w:r w:rsidR="0087794A">
          <w:rPr>
            <w:noProof/>
            <w:webHidden/>
          </w:rPr>
          <w:t>287</w:t>
        </w:r>
        <w:r w:rsidR="0087794A">
          <w:rPr>
            <w:noProof/>
            <w:webHidden/>
          </w:rPr>
          <w:fldChar w:fldCharType="end"/>
        </w:r>
      </w:hyperlink>
    </w:p>
    <w:p w14:paraId="47265BD1" w14:textId="2183DFAD" w:rsidR="0087794A" w:rsidRDefault="006E0533">
      <w:pPr>
        <w:pStyle w:val="TableofFigures"/>
        <w:tabs>
          <w:tab w:val="right" w:leader="dot" w:pos="9628"/>
        </w:tabs>
        <w:rPr>
          <w:rFonts w:eastAsiaTheme="minorEastAsia"/>
          <w:noProof/>
          <w:kern w:val="2"/>
          <w:lang w:val="en-US"/>
          <w14:ligatures w14:val="standardContextual"/>
        </w:rPr>
      </w:pPr>
      <w:hyperlink w:anchor="_Toc154575320" w:history="1">
        <w:r w:rsidR="0087794A" w:rsidRPr="00C459BB">
          <w:rPr>
            <w:rStyle w:val="Hyperlink"/>
            <w:noProof/>
          </w:rPr>
          <w:t>Figure 5.47: Evolution of the average electricity supply cost in scenario S</w:t>
        </w:r>
        <w:r w:rsidR="0087794A">
          <w:rPr>
            <w:noProof/>
            <w:webHidden/>
          </w:rPr>
          <w:tab/>
        </w:r>
        <w:r w:rsidR="0087794A">
          <w:rPr>
            <w:noProof/>
            <w:webHidden/>
          </w:rPr>
          <w:fldChar w:fldCharType="begin"/>
        </w:r>
        <w:r w:rsidR="0087794A">
          <w:rPr>
            <w:noProof/>
            <w:webHidden/>
          </w:rPr>
          <w:instrText xml:space="preserve"> PAGEREF _Toc154575320 \h </w:instrText>
        </w:r>
        <w:r w:rsidR="0087794A">
          <w:rPr>
            <w:noProof/>
            <w:webHidden/>
          </w:rPr>
        </w:r>
        <w:r w:rsidR="0087794A">
          <w:rPr>
            <w:noProof/>
            <w:webHidden/>
          </w:rPr>
          <w:fldChar w:fldCharType="separate"/>
        </w:r>
        <w:r w:rsidR="0087794A">
          <w:rPr>
            <w:noProof/>
            <w:webHidden/>
          </w:rPr>
          <w:t>288</w:t>
        </w:r>
        <w:r w:rsidR="0087794A">
          <w:rPr>
            <w:noProof/>
            <w:webHidden/>
          </w:rPr>
          <w:fldChar w:fldCharType="end"/>
        </w:r>
      </w:hyperlink>
    </w:p>
    <w:p w14:paraId="259D3BBE" w14:textId="745C149D" w:rsidR="0087794A" w:rsidRDefault="006E0533">
      <w:pPr>
        <w:pStyle w:val="TableofFigures"/>
        <w:tabs>
          <w:tab w:val="right" w:leader="dot" w:pos="9628"/>
        </w:tabs>
        <w:rPr>
          <w:rFonts w:eastAsiaTheme="minorEastAsia"/>
          <w:noProof/>
          <w:kern w:val="2"/>
          <w:lang w:val="en-US"/>
          <w14:ligatures w14:val="standardContextual"/>
        </w:rPr>
      </w:pPr>
      <w:hyperlink w:anchor="_Toc154575321" w:history="1">
        <w:r w:rsidR="0087794A" w:rsidRPr="00C459BB">
          <w:rPr>
            <w:rStyle w:val="Hyperlink"/>
            <w:noProof/>
          </w:rPr>
          <w:t>Figure 5.48: Distribution of implementation costs per dimension</w:t>
        </w:r>
        <w:r w:rsidR="0087794A">
          <w:rPr>
            <w:noProof/>
            <w:webHidden/>
          </w:rPr>
          <w:tab/>
        </w:r>
        <w:r w:rsidR="0087794A">
          <w:rPr>
            <w:noProof/>
            <w:webHidden/>
          </w:rPr>
          <w:fldChar w:fldCharType="begin"/>
        </w:r>
        <w:r w:rsidR="0087794A">
          <w:rPr>
            <w:noProof/>
            <w:webHidden/>
          </w:rPr>
          <w:instrText xml:space="preserve"> PAGEREF _Toc154575321 \h </w:instrText>
        </w:r>
        <w:r w:rsidR="0087794A">
          <w:rPr>
            <w:noProof/>
            <w:webHidden/>
          </w:rPr>
        </w:r>
        <w:r w:rsidR="0087794A">
          <w:rPr>
            <w:noProof/>
            <w:webHidden/>
          </w:rPr>
          <w:fldChar w:fldCharType="separate"/>
        </w:r>
        <w:r w:rsidR="0087794A">
          <w:rPr>
            <w:noProof/>
            <w:webHidden/>
          </w:rPr>
          <w:t>289</w:t>
        </w:r>
        <w:r w:rsidR="0087794A">
          <w:rPr>
            <w:noProof/>
            <w:webHidden/>
          </w:rPr>
          <w:fldChar w:fldCharType="end"/>
        </w:r>
      </w:hyperlink>
    </w:p>
    <w:p w14:paraId="1C09A132" w14:textId="50C2CA88" w:rsidR="0087794A" w:rsidRDefault="006E0533">
      <w:pPr>
        <w:pStyle w:val="TableofFigures"/>
        <w:tabs>
          <w:tab w:val="right" w:leader="dot" w:pos="9628"/>
        </w:tabs>
        <w:rPr>
          <w:rFonts w:eastAsiaTheme="minorEastAsia"/>
          <w:noProof/>
          <w:kern w:val="2"/>
          <w:lang w:val="en-US"/>
          <w14:ligatures w14:val="standardContextual"/>
        </w:rPr>
      </w:pPr>
      <w:hyperlink w:anchor="_Toc154575322" w:history="1">
        <w:r w:rsidR="0087794A" w:rsidRPr="00C459BB">
          <w:rPr>
            <w:rStyle w:val="Hyperlink"/>
            <w:noProof/>
          </w:rPr>
          <w:t>Figure 5.49: Distribution of implementation costs per WEM /WAM</w:t>
        </w:r>
        <w:r w:rsidR="0087794A">
          <w:rPr>
            <w:noProof/>
            <w:webHidden/>
          </w:rPr>
          <w:tab/>
        </w:r>
        <w:r w:rsidR="0087794A">
          <w:rPr>
            <w:noProof/>
            <w:webHidden/>
          </w:rPr>
          <w:fldChar w:fldCharType="begin"/>
        </w:r>
        <w:r w:rsidR="0087794A">
          <w:rPr>
            <w:noProof/>
            <w:webHidden/>
          </w:rPr>
          <w:instrText xml:space="preserve"> PAGEREF _Toc154575322 \h </w:instrText>
        </w:r>
        <w:r w:rsidR="0087794A">
          <w:rPr>
            <w:noProof/>
            <w:webHidden/>
          </w:rPr>
        </w:r>
        <w:r w:rsidR="0087794A">
          <w:rPr>
            <w:noProof/>
            <w:webHidden/>
          </w:rPr>
          <w:fldChar w:fldCharType="separate"/>
        </w:r>
        <w:r w:rsidR="0087794A">
          <w:rPr>
            <w:noProof/>
            <w:webHidden/>
          </w:rPr>
          <w:t>290</w:t>
        </w:r>
        <w:r w:rsidR="0087794A">
          <w:rPr>
            <w:noProof/>
            <w:webHidden/>
          </w:rPr>
          <w:fldChar w:fldCharType="end"/>
        </w:r>
      </w:hyperlink>
    </w:p>
    <w:p w14:paraId="3879C558" w14:textId="36D55A1F" w:rsidR="0087794A" w:rsidRDefault="006E0533">
      <w:pPr>
        <w:pStyle w:val="TableofFigures"/>
        <w:tabs>
          <w:tab w:val="right" w:leader="dot" w:pos="9628"/>
        </w:tabs>
        <w:rPr>
          <w:rFonts w:eastAsiaTheme="minorEastAsia"/>
          <w:noProof/>
          <w:kern w:val="2"/>
          <w:lang w:val="en-US"/>
          <w14:ligatures w14:val="standardContextual"/>
        </w:rPr>
      </w:pPr>
      <w:hyperlink w:anchor="_Toc154575323" w:history="1">
        <w:r w:rsidR="0087794A" w:rsidRPr="00C459BB">
          <w:rPr>
            <w:rStyle w:val="Hyperlink"/>
            <w:noProof/>
          </w:rPr>
          <w:t>Figure 5.50: Distribution of implementation costs per for public and private (own resources) investments</w:t>
        </w:r>
        <w:r w:rsidR="0087794A">
          <w:rPr>
            <w:noProof/>
            <w:webHidden/>
          </w:rPr>
          <w:tab/>
        </w:r>
        <w:r w:rsidR="0087794A">
          <w:rPr>
            <w:noProof/>
            <w:webHidden/>
          </w:rPr>
          <w:fldChar w:fldCharType="begin"/>
        </w:r>
        <w:r w:rsidR="0087794A">
          <w:rPr>
            <w:noProof/>
            <w:webHidden/>
          </w:rPr>
          <w:instrText xml:space="preserve"> PAGEREF _Toc154575323 \h </w:instrText>
        </w:r>
        <w:r w:rsidR="0087794A">
          <w:rPr>
            <w:noProof/>
            <w:webHidden/>
          </w:rPr>
        </w:r>
        <w:r w:rsidR="0087794A">
          <w:rPr>
            <w:noProof/>
            <w:webHidden/>
          </w:rPr>
          <w:fldChar w:fldCharType="separate"/>
        </w:r>
        <w:r w:rsidR="0087794A">
          <w:rPr>
            <w:noProof/>
            <w:webHidden/>
          </w:rPr>
          <w:t>291</w:t>
        </w:r>
        <w:r w:rsidR="0087794A">
          <w:rPr>
            <w:noProof/>
            <w:webHidden/>
          </w:rPr>
          <w:fldChar w:fldCharType="end"/>
        </w:r>
      </w:hyperlink>
    </w:p>
    <w:p w14:paraId="32949411" w14:textId="50665224" w:rsidR="0087794A" w:rsidRDefault="006E0533">
      <w:pPr>
        <w:pStyle w:val="TableofFigures"/>
        <w:tabs>
          <w:tab w:val="right" w:leader="dot" w:pos="9628"/>
        </w:tabs>
        <w:rPr>
          <w:rFonts w:eastAsiaTheme="minorEastAsia"/>
          <w:noProof/>
          <w:kern w:val="2"/>
          <w:lang w:val="en-US"/>
          <w14:ligatures w14:val="standardContextual"/>
        </w:rPr>
      </w:pPr>
      <w:hyperlink w:anchor="_Toc154575324" w:history="1">
        <w:r w:rsidR="0087794A" w:rsidRPr="00C459BB">
          <w:rPr>
            <w:rStyle w:val="Hyperlink"/>
            <w:noProof/>
          </w:rPr>
          <w:t>Figure III.1: Overview of the reference energy system for the SEMS model</w:t>
        </w:r>
        <w:r w:rsidR="0087794A">
          <w:rPr>
            <w:noProof/>
            <w:webHidden/>
          </w:rPr>
          <w:tab/>
        </w:r>
        <w:r w:rsidR="0087794A">
          <w:rPr>
            <w:noProof/>
            <w:webHidden/>
          </w:rPr>
          <w:fldChar w:fldCharType="begin"/>
        </w:r>
        <w:r w:rsidR="0087794A">
          <w:rPr>
            <w:noProof/>
            <w:webHidden/>
          </w:rPr>
          <w:instrText xml:space="preserve"> PAGEREF _Toc154575324 \h </w:instrText>
        </w:r>
        <w:r w:rsidR="0087794A">
          <w:rPr>
            <w:noProof/>
            <w:webHidden/>
          </w:rPr>
        </w:r>
        <w:r w:rsidR="0087794A">
          <w:rPr>
            <w:noProof/>
            <w:webHidden/>
          </w:rPr>
          <w:fldChar w:fldCharType="separate"/>
        </w:r>
        <w:r w:rsidR="0087794A">
          <w:rPr>
            <w:noProof/>
            <w:webHidden/>
          </w:rPr>
          <w:t>314</w:t>
        </w:r>
        <w:r w:rsidR="0087794A">
          <w:rPr>
            <w:noProof/>
            <w:webHidden/>
          </w:rPr>
          <w:fldChar w:fldCharType="end"/>
        </w:r>
      </w:hyperlink>
    </w:p>
    <w:p w14:paraId="09011484" w14:textId="379B9CA5" w:rsidR="0087794A" w:rsidRDefault="006E0533">
      <w:pPr>
        <w:pStyle w:val="TableofFigures"/>
        <w:tabs>
          <w:tab w:val="right" w:leader="dot" w:pos="9628"/>
        </w:tabs>
        <w:rPr>
          <w:rFonts w:eastAsiaTheme="minorEastAsia"/>
          <w:noProof/>
          <w:kern w:val="2"/>
          <w:lang w:val="en-US"/>
          <w14:ligatures w14:val="standardContextual"/>
        </w:rPr>
      </w:pPr>
      <w:hyperlink w:anchor="_Toc154575325" w:history="1">
        <w:r w:rsidR="0087794A" w:rsidRPr="00C459BB">
          <w:rPr>
            <w:rStyle w:val="Hyperlink"/>
            <w:noProof/>
          </w:rPr>
          <w:t>Figure III.2: Residential sector typologies according to TABULA</w:t>
        </w:r>
        <w:r w:rsidR="0087794A">
          <w:rPr>
            <w:noProof/>
            <w:webHidden/>
          </w:rPr>
          <w:tab/>
        </w:r>
        <w:r w:rsidR="0087794A">
          <w:rPr>
            <w:noProof/>
            <w:webHidden/>
          </w:rPr>
          <w:fldChar w:fldCharType="begin"/>
        </w:r>
        <w:r w:rsidR="0087794A">
          <w:rPr>
            <w:noProof/>
            <w:webHidden/>
          </w:rPr>
          <w:instrText xml:space="preserve"> PAGEREF _Toc154575325 \h </w:instrText>
        </w:r>
        <w:r w:rsidR="0087794A">
          <w:rPr>
            <w:noProof/>
            <w:webHidden/>
          </w:rPr>
        </w:r>
        <w:r w:rsidR="0087794A">
          <w:rPr>
            <w:noProof/>
            <w:webHidden/>
          </w:rPr>
          <w:fldChar w:fldCharType="separate"/>
        </w:r>
        <w:r w:rsidR="0087794A">
          <w:rPr>
            <w:noProof/>
            <w:webHidden/>
          </w:rPr>
          <w:t>315</w:t>
        </w:r>
        <w:r w:rsidR="0087794A">
          <w:rPr>
            <w:noProof/>
            <w:webHidden/>
          </w:rPr>
          <w:fldChar w:fldCharType="end"/>
        </w:r>
      </w:hyperlink>
    </w:p>
    <w:p w14:paraId="097CB23F" w14:textId="2E19E2F3" w:rsidR="0087794A" w:rsidRDefault="006E0533">
      <w:pPr>
        <w:pStyle w:val="TableofFigures"/>
        <w:tabs>
          <w:tab w:val="right" w:leader="dot" w:pos="9628"/>
        </w:tabs>
        <w:rPr>
          <w:rFonts w:eastAsiaTheme="minorEastAsia"/>
          <w:noProof/>
          <w:kern w:val="2"/>
          <w:lang w:val="en-US"/>
          <w14:ligatures w14:val="standardContextual"/>
        </w:rPr>
      </w:pPr>
      <w:hyperlink w:anchor="_Toc154575326" w:history="1">
        <w:r w:rsidR="0087794A" w:rsidRPr="00C459BB">
          <w:rPr>
            <w:rStyle w:val="Hyperlink"/>
            <w:noProof/>
          </w:rPr>
          <w:t>Figure III.3: Key model outputs by category</w:t>
        </w:r>
        <w:r w:rsidR="0087794A">
          <w:rPr>
            <w:noProof/>
            <w:webHidden/>
          </w:rPr>
          <w:tab/>
        </w:r>
        <w:r w:rsidR="0087794A">
          <w:rPr>
            <w:noProof/>
            <w:webHidden/>
          </w:rPr>
          <w:fldChar w:fldCharType="begin"/>
        </w:r>
        <w:r w:rsidR="0087794A">
          <w:rPr>
            <w:noProof/>
            <w:webHidden/>
          </w:rPr>
          <w:instrText xml:space="preserve"> PAGEREF _Toc154575326 \h </w:instrText>
        </w:r>
        <w:r w:rsidR="0087794A">
          <w:rPr>
            <w:noProof/>
            <w:webHidden/>
          </w:rPr>
        </w:r>
        <w:r w:rsidR="0087794A">
          <w:rPr>
            <w:noProof/>
            <w:webHidden/>
          </w:rPr>
          <w:fldChar w:fldCharType="separate"/>
        </w:r>
        <w:r w:rsidR="0087794A">
          <w:rPr>
            <w:noProof/>
            <w:webHidden/>
          </w:rPr>
          <w:t>318</w:t>
        </w:r>
        <w:r w:rsidR="0087794A">
          <w:rPr>
            <w:noProof/>
            <w:webHidden/>
          </w:rPr>
          <w:fldChar w:fldCharType="end"/>
        </w:r>
      </w:hyperlink>
    </w:p>
    <w:p w14:paraId="0FCEC766" w14:textId="533A9889" w:rsidR="0087794A" w:rsidRDefault="006E0533">
      <w:pPr>
        <w:pStyle w:val="TableofFigures"/>
        <w:tabs>
          <w:tab w:val="right" w:leader="dot" w:pos="9628"/>
        </w:tabs>
        <w:rPr>
          <w:rFonts w:eastAsiaTheme="minorEastAsia"/>
          <w:noProof/>
          <w:kern w:val="2"/>
          <w:lang w:val="en-US"/>
          <w14:ligatures w14:val="standardContextual"/>
        </w:rPr>
      </w:pPr>
      <w:hyperlink w:anchor="_Toc154575327" w:history="1">
        <w:r w:rsidR="0087794A" w:rsidRPr="00C459BB">
          <w:rPr>
            <w:rStyle w:val="Hyperlink"/>
            <w:noProof/>
          </w:rPr>
          <w:t>Figure III.4: Geographical scope of regional model</w:t>
        </w:r>
        <w:r w:rsidR="0087794A">
          <w:rPr>
            <w:noProof/>
            <w:webHidden/>
          </w:rPr>
          <w:tab/>
        </w:r>
        <w:r w:rsidR="0087794A">
          <w:rPr>
            <w:noProof/>
            <w:webHidden/>
          </w:rPr>
          <w:fldChar w:fldCharType="begin"/>
        </w:r>
        <w:r w:rsidR="0087794A">
          <w:rPr>
            <w:noProof/>
            <w:webHidden/>
          </w:rPr>
          <w:instrText xml:space="preserve"> PAGEREF _Toc154575327 \h </w:instrText>
        </w:r>
        <w:r w:rsidR="0087794A">
          <w:rPr>
            <w:noProof/>
            <w:webHidden/>
          </w:rPr>
        </w:r>
        <w:r w:rsidR="0087794A">
          <w:rPr>
            <w:noProof/>
            <w:webHidden/>
          </w:rPr>
          <w:fldChar w:fldCharType="separate"/>
        </w:r>
        <w:r w:rsidR="0087794A">
          <w:rPr>
            <w:noProof/>
            <w:webHidden/>
          </w:rPr>
          <w:t>319</w:t>
        </w:r>
        <w:r w:rsidR="0087794A">
          <w:rPr>
            <w:noProof/>
            <w:webHidden/>
          </w:rPr>
          <w:fldChar w:fldCharType="end"/>
        </w:r>
      </w:hyperlink>
    </w:p>
    <w:p w14:paraId="0AC4437D" w14:textId="24C61FF2" w:rsidR="0087794A" w:rsidRDefault="006E0533">
      <w:pPr>
        <w:pStyle w:val="TableofFigures"/>
        <w:tabs>
          <w:tab w:val="right" w:leader="dot" w:pos="9628"/>
        </w:tabs>
        <w:rPr>
          <w:rFonts w:eastAsiaTheme="minorEastAsia"/>
          <w:noProof/>
          <w:kern w:val="2"/>
          <w:lang w:val="en-US"/>
          <w14:ligatures w14:val="standardContextual"/>
        </w:rPr>
      </w:pPr>
      <w:hyperlink w:anchor="_Toc154575328" w:history="1">
        <w:r w:rsidR="0087794A" w:rsidRPr="00C459BB">
          <w:rPr>
            <w:rStyle w:val="Hyperlink"/>
            <w:noProof/>
          </w:rPr>
          <w:t>Figure III.5: Hourly results for RS01, MC year 2, week n.10</w:t>
        </w:r>
        <w:r w:rsidR="0087794A">
          <w:rPr>
            <w:noProof/>
            <w:webHidden/>
          </w:rPr>
          <w:tab/>
        </w:r>
        <w:r w:rsidR="0087794A">
          <w:rPr>
            <w:noProof/>
            <w:webHidden/>
          </w:rPr>
          <w:fldChar w:fldCharType="begin"/>
        </w:r>
        <w:r w:rsidR="0087794A">
          <w:rPr>
            <w:noProof/>
            <w:webHidden/>
          </w:rPr>
          <w:instrText xml:space="preserve"> PAGEREF _Toc154575328 \h </w:instrText>
        </w:r>
        <w:r w:rsidR="0087794A">
          <w:rPr>
            <w:noProof/>
            <w:webHidden/>
          </w:rPr>
        </w:r>
        <w:r w:rsidR="0087794A">
          <w:rPr>
            <w:noProof/>
            <w:webHidden/>
          </w:rPr>
          <w:fldChar w:fldCharType="separate"/>
        </w:r>
        <w:r w:rsidR="0087794A">
          <w:rPr>
            <w:noProof/>
            <w:webHidden/>
          </w:rPr>
          <w:t>320</w:t>
        </w:r>
        <w:r w:rsidR="0087794A">
          <w:rPr>
            <w:noProof/>
            <w:webHidden/>
          </w:rPr>
          <w:fldChar w:fldCharType="end"/>
        </w:r>
      </w:hyperlink>
    </w:p>
    <w:p w14:paraId="37DB1283" w14:textId="265DC510" w:rsidR="00931D02" w:rsidRPr="00A33AE8" w:rsidRDefault="00CD2E1E">
      <w:pPr>
        <w:spacing w:line="259" w:lineRule="auto"/>
        <w:rPr>
          <w:rFonts w:ascii="Calibri Light" w:hAnsi="Calibri Light" w:cs="Calibri Light"/>
          <w:highlight w:val="yellow"/>
        </w:rPr>
      </w:pPr>
      <w:r w:rsidRPr="00A33AE8">
        <w:rPr>
          <w:rFonts w:ascii="Calibri Light" w:hAnsi="Calibri Light" w:cs="Calibri Light"/>
          <w:highlight w:val="yellow"/>
        </w:rPr>
        <w:fldChar w:fldCharType="end"/>
      </w:r>
      <w:r w:rsidR="00931D02" w:rsidRPr="00A33AE8">
        <w:rPr>
          <w:rFonts w:ascii="Calibri Light" w:hAnsi="Calibri Light" w:cs="Calibri Light"/>
          <w:highlight w:val="yellow"/>
        </w:rPr>
        <w:br w:type="page"/>
      </w:r>
    </w:p>
    <w:p w14:paraId="6A61F578" w14:textId="77777777" w:rsidR="00931D02" w:rsidRPr="00A33AE8" w:rsidRDefault="00931D02" w:rsidP="00A14648">
      <w:pPr>
        <w:pStyle w:val="Heading1"/>
        <w:numPr>
          <w:ilvl w:val="0"/>
          <w:numId w:val="0"/>
        </w:numPr>
        <w:ind w:left="432" w:hanging="432"/>
      </w:pPr>
      <w:bookmarkStart w:id="11" w:name="_Toc79772540"/>
      <w:bookmarkStart w:id="12" w:name="_Toc118991759"/>
      <w:bookmarkStart w:id="13" w:name="_Toc153545029"/>
      <w:r w:rsidRPr="00A33AE8">
        <w:lastRenderedPageBreak/>
        <w:t>LIST OF TABLES</w:t>
      </w:r>
      <w:bookmarkEnd w:id="11"/>
      <w:bookmarkEnd w:id="12"/>
      <w:bookmarkEnd w:id="13"/>
    </w:p>
    <w:p w14:paraId="055BDF72" w14:textId="765D488C" w:rsidR="00CE52D4" w:rsidRDefault="00CD2E1E">
      <w:pPr>
        <w:pStyle w:val="TableofFigures"/>
        <w:tabs>
          <w:tab w:val="right" w:leader="dot" w:pos="9628"/>
        </w:tabs>
        <w:rPr>
          <w:rFonts w:eastAsiaTheme="minorEastAsia"/>
          <w:noProof/>
          <w:kern w:val="2"/>
          <w:lang w:val="en-US"/>
          <w14:ligatures w14:val="standardContextual"/>
        </w:rPr>
      </w:pPr>
      <w:r w:rsidRPr="00A33AE8">
        <w:rPr>
          <w:rFonts w:ascii="Calibri Light" w:hAnsi="Calibri Light" w:cs="Calibri Light"/>
          <w:highlight w:val="yellow"/>
        </w:rPr>
        <w:fldChar w:fldCharType="begin"/>
      </w:r>
      <w:r w:rsidR="00012739" w:rsidRPr="00A33AE8">
        <w:rPr>
          <w:rFonts w:ascii="Calibri Light" w:hAnsi="Calibri Light" w:cs="Calibri Light"/>
          <w:highlight w:val="yellow"/>
        </w:rPr>
        <w:instrText xml:space="preserve"> TOC \h \z \c "Table" </w:instrText>
      </w:r>
      <w:r w:rsidRPr="00A33AE8">
        <w:rPr>
          <w:rFonts w:ascii="Calibri Light" w:hAnsi="Calibri Light" w:cs="Calibri Light"/>
          <w:highlight w:val="yellow"/>
        </w:rPr>
        <w:fldChar w:fldCharType="separate"/>
      </w:r>
      <w:hyperlink w:anchor="_Toc153545067" w:history="1">
        <w:r w:rsidR="00CE52D4" w:rsidRPr="007F51C3">
          <w:rPr>
            <w:rStyle w:val="Hyperlink"/>
            <w:noProof/>
          </w:rPr>
          <w:t xml:space="preserve">Table 2.1: </w:t>
        </w:r>
        <w:r w:rsidR="00CE52D4" w:rsidRPr="007F51C3">
          <w:rPr>
            <w:rStyle w:val="Hyperlink"/>
            <w:rFonts w:cstheme="minorHAnsi"/>
            <w:noProof/>
          </w:rPr>
          <w:t>Annual trajectory of GHG emissions reduction</w:t>
        </w:r>
        <w:r w:rsidR="00CE52D4">
          <w:rPr>
            <w:noProof/>
            <w:webHidden/>
          </w:rPr>
          <w:tab/>
        </w:r>
        <w:r w:rsidR="00CE52D4">
          <w:rPr>
            <w:noProof/>
            <w:webHidden/>
          </w:rPr>
          <w:fldChar w:fldCharType="begin"/>
        </w:r>
        <w:r w:rsidR="00CE52D4">
          <w:rPr>
            <w:noProof/>
            <w:webHidden/>
          </w:rPr>
          <w:instrText xml:space="preserve"> PAGEREF _Toc153545067 \h </w:instrText>
        </w:r>
        <w:r w:rsidR="00CE52D4">
          <w:rPr>
            <w:noProof/>
            <w:webHidden/>
          </w:rPr>
        </w:r>
        <w:r w:rsidR="00CE52D4">
          <w:rPr>
            <w:noProof/>
            <w:webHidden/>
          </w:rPr>
          <w:fldChar w:fldCharType="separate"/>
        </w:r>
        <w:r w:rsidR="0087794A">
          <w:rPr>
            <w:noProof/>
            <w:webHidden/>
          </w:rPr>
          <w:t>49</w:t>
        </w:r>
        <w:r w:rsidR="00CE52D4">
          <w:rPr>
            <w:noProof/>
            <w:webHidden/>
          </w:rPr>
          <w:fldChar w:fldCharType="end"/>
        </w:r>
      </w:hyperlink>
    </w:p>
    <w:p w14:paraId="3097BF61" w14:textId="756249AF" w:rsidR="00CE52D4" w:rsidRDefault="006E0533">
      <w:pPr>
        <w:pStyle w:val="TableofFigures"/>
        <w:tabs>
          <w:tab w:val="right" w:leader="dot" w:pos="9628"/>
        </w:tabs>
        <w:rPr>
          <w:rFonts w:eastAsiaTheme="minorEastAsia"/>
          <w:noProof/>
          <w:kern w:val="2"/>
          <w:lang w:val="en-US"/>
          <w14:ligatures w14:val="standardContextual"/>
        </w:rPr>
      </w:pPr>
      <w:hyperlink w:anchor="_Toc153545068" w:history="1">
        <w:r w:rsidR="00CE52D4" w:rsidRPr="007F51C3">
          <w:rPr>
            <w:rStyle w:val="Hyperlink"/>
            <w:rFonts w:cstheme="minorHAnsi"/>
            <w:noProof/>
          </w:rPr>
          <w:t>Table 2.2: Annual trajectory of RES share</w:t>
        </w:r>
        <w:r w:rsidR="00CE52D4">
          <w:rPr>
            <w:noProof/>
            <w:webHidden/>
          </w:rPr>
          <w:tab/>
        </w:r>
        <w:r w:rsidR="00CE52D4">
          <w:rPr>
            <w:noProof/>
            <w:webHidden/>
          </w:rPr>
          <w:fldChar w:fldCharType="begin"/>
        </w:r>
        <w:r w:rsidR="00CE52D4">
          <w:rPr>
            <w:noProof/>
            <w:webHidden/>
          </w:rPr>
          <w:instrText xml:space="preserve"> PAGEREF _Toc153545068 \h </w:instrText>
        </w:r>
        <w:r w:rsidR="00CE52D4">
          <w:rPr>
            <w:noProof/>
            <w:webHidden/>
          </w:rPr>
        </w:r>
        <w:r w:rsidR="00CE52D4">
          <w:rPr>
            <w:noProof/>
            <w:webHidden/>
          </w:rPr>
          <w:fldChar w:fldCharType="separate"/>
        </w:r>
        <w:r w:rsidR="0087794A">
          <w:rPr>
            <w:noProof/>
            <w:webHidden/>
          </w:rPr>
          <w:t>49</w:t>
        </w:r>
        <w:r w:rsidR="00CE52D4">
          <w:rPr>
            <w:noProof/>
            <w:webHidden/>
          </w:rPr>
          <w:fldChar w:fldCharType="end"/>
        </w:r>
      </w:hyperlink>
    </w:p>
    <w:p w14:paraId="4895B119" w14:textId="5E6436F8" w:rsidR="00CE52D4" w:rsidRDefault="006E0533">
      <w:pPr>
        <w:pStyle w:val="TableofFigures"/>
        <w:tabs>
          <w:tab w:val="right" w:leader="dot" w:pos="9628"/>
        </w:tabs>
        <w:rPr>
          <w:rFonts w:eastAsiaTheme="minorEastAsia"/>
          <w:noProof/>
          <w:kern w:val="2"/>
          <w:lang w:val="en-US"/>
          <w14:ligatures w14:val="standardContextual"/>
        </w:rPr>
      </w:pPr>
      <w:hyperlink w:anchor="_Toc153545069" w:history="1">
        <w:r w:rsidR="00CE52D4" w:rsidRPr="007F51C3">
          <w:rPr>
            <w:rStyle w:val="Hyperlink"/>
            <w:noProof/>
          </w:rPr>
          <w:t>Table 2.3: Annual trajectory of FEC and PEC</w:t>
        </w:r>
        <w:r w:rsidR="00CE52D4">
          <w:rPr>
            <w:noProof/>
            <w:webHidden/>
          </w:rPr>
          <w:tab/>
        </w:r>
        <w:r w:rsidR="00CE52D4">
          <w:rPr>
            <w:noProof/>
            <w:webHidden/>
          </w:rPr>
          <w:fldChar w:fldCharType="begin"/>
        </w:r>
        <w:r w:rsidR="00CE52D4">
          <w:rPr>
            <w:noProof/>
            <w:webHidden/>
          </w:rPr>
          <w:instrText xml:space="preserve"> PAGEREF _Toc153545069 \h </w:instrText>
        </w:r>
        <w:r w:rsidR="00CE52D4">
          <w:rPr>
            <w:noProof/>
            <w:webHidden/>
          </w:rPr>
        </w:r>
        <w:r w:rsidR="00CE52D4">
          <w:rPr>
            <w:noProof/>
            <w:webHidden/>
          </w:rPr>
          <w:fldChar w:fldCharType="separate"/>
        </w:r>
        <w:r w:rsidR="0087794A">
          <w:rPr>
            <w:noProof/>
            <w:webHidden/>
          </w:rPr>
          <w:t>52</w:t>
        </w:r>
        <w:r w:rsidR="00CE52D4">
          <w:rPr>
            <w:noProof/>
            <w:webHidden/>
          </w:rPr>
          <w:fldChar w:fldCharType="end"/>
        </w:r>
      </w:hyperlink>
    </w:p>
    <w:p w14:paraId="31B7E326" w14:textId="7B25F33D" w:rsidR="00CE52D4" w:rsidRDefault="006E0533">
      <w:pPr>
        <w:pStyle w:val="TableofFigures"/>
        <w:tabs>
          <w:tab w:val="right" w:leader="dot" w:pos="9628"/>
        </w:tabs>
        <w:rPr>
          <w:rFonts w:eastAsiaTheme="minorEastAsia"/>
          <w:noProof/>
          <w:kern w:val="2"/>
          <w:lang w:val="en-US"/>
          <w14:ligatures w14:val="standardContextual"/>
        </w:rPr>
      </w:pPr>
      <w:hyperlink w:anchor="_Toc153545070" w:history="1">
        <w:r w:rsidR="00CE52D4" w:rsidRPr="007F51C3">
          <w:rPr>
            <w:rStyle w:val="Hyperlink"/>
            <w:noProof/>
          </w:rPr>
          <w:t xml:space="preserve">Table 3.1: </w:t>
        </w:r>
        <w:r w:rsidR="00CE52D4" w:rsidRPr="007F51C3">
          <w:rPr>
            <w:rStyle w:val="Hyperlink"/>
            <w:rFonts w:cstheme="minorHAnsi"/>
            <w:noProof/>
          </w:rPr>
          <w:t>New and cumulative final energy savings in the period 2024-2030</w:t>
        </w:r>
        <w:r w:rsidR="00CE52D4">
          <w:rPr>
            <w:noProof/>
            <w:webHidden/>
          </w:rPr>
          <w:tab/>
        </w:r>
        <w:r w:rsidR="00CE52D4">
          <w:rPr>
            <w:noProof/>
            <w:webHidden/>
          </w:rPr>
          <w:fldChar w:fldCharType="begin"/>
        </w:r>
        <w:r w:rsidR="00CE52D4">
          <w:rPr>
            <w:noProof/>
            <w:webHidden/>
          </w:rPr>
          <w:instrText xml:space="preserve"> PAGEREF _Toc153545070 \h </w:instrText>
        </w:r>
        <w:r w:rsidR="00CE52D4">
          <w:rPr>
            <w:noProof/>
            <w:webHidden/>
          </w:rPr>
        </w:r>
        <w:r w:rsidR="00CE52D4">
          <w:rPr>
            <w:noProof/>
            <w:webHidden/>
          </w:rPr>
          <w:fldChar w:fldCharType="separate"/>
        </w:r>
        <w:r w:rsidR="0087794A">
          <w:rPr>
            <w:noProof/>
            <w:webHidden/>
          </w:rPr>
          <w:t>98</w:t>
        </w:r>
        <w:r w:rsidR="00CE52D4">
          <w:rPr>
            <w:noProof/>
            <w:webHidden/>
          </w:rPr>
          <w:fldChar w:fldCharType="end"/>
        </w:r>
      </w:hyperlink>
    </w:p>
    <w:p w14:paraId="76920530" w14:textId="19A63046" w:rsidR="00CE52D4" w:rsidRDefault="006E0533">
      <w:pPr>
        <w:pStyle w:val="TableofFigures"/>
        <w:tabs>
          <w:tab w:val="right" w:leader="dot" w:pos="9628"/>
        </w:tabs>
        <w:rPr>
          <w:rFonts w:eastAsiaTheme="minorEastAsia"/>
          <w:noProof/>
          <w:kern w:val="2"/>
          <w:lang w:val="en-US"/>
          <w14:ligatures w14:val="standardContextual"/>
        </w:rPr>
      </w:pPr>
      <w:hyperlink w:anchor="_Toc153545071" w:history="1">
        <w:r w:rsidR="00CE52D4" w:rsidRPr="007F51C3">
          <w:rPr>
            <w:rStyle w:val="Hyperlink"/>
            <w:noProof/>
          </w:rPr>
          <w:t xml:space="preserve">Table 3.2: </w:t>
        </w:r>
        <w:r w:rsidR="00CE52D4" w:rsidRPr="007F51C3">
          <w:rPr>
            <w:rStyle w:val="Hyperlink"/>
            <w:rFonts w:cstheme="minorHAnsi"/>
            <w:noProof/>
          </w:rPr>
          <w:t>Selected alternative measures for the achievement of Article 7’s target in the period 2024-2030</w:t>
        </w:r>
        <w:r w:rsidR="00CE52D4">
          <w:rPr>
            <w:noProof/>
            <w:webHidden/>
          </w:rPr>
          <w:tab/>
        </w:r>
        <w:r w:rsidR="00CE52D4">
          <w:rPr>
            <w:noProof/>
            <w:webHidden/>
          </w:rPr>
          <w:fldChar w:fldCharType="begin"/>
        </w:r>
        <w:r w:rsidR="00CE52D4">
          <w:rPr>
            <w:noProof/>
            <w:webHidden/>
          </w:rPr>
          <w:instrText xml:space="preserve"> PAGEREF _Toc153545071 \h </w:instrText>
        </w:r>
        <w:r w:rsidR="00CE52D4">
          <w:rPr>
            <w:noProof/>
            <w:webHidden/>
          </w:rPr>
        </w:r>
        <w:r w:rsidR="00CE52D4">
          <w:rPr>
            <w:noProof/>
            <w:webHidden/>
          </w:rPr>
          <w:fldChar w:fldCharType="separate"/>
        </w:r>
        <w:r w:rsidR="0087794A">
          <w:rPr>
            <w:noProof/>
            <w:webHidden/>
          </w:rPr>
          <w:t>98</w:t>
        </w:r>
        <w:r w:rsidR="00CE52D4">
          <w:rPr>
            <w:noProof/>
            <w:webHidden/>
          </w:rPr>
          <w:fldChar w:fldCharType="end"/>
        </w:r>
      </w:hyperlink>
    </w:p>
    <w:p w14:paraId="5ADE0137" w14:textId="4D8B5596" w:rsidR="00CE52D4" w:rsidRDefault="006E0533">
      <w:pPr>
        <w:pStyle w:val="TableofFigures"/>
        <w:tabs>
          <w:tab w:val="right" w:leader="dot" w:pos="9628"/>
        </w:tabs>
        <w:rPr>
          <w:rFonts w:eastAsiaTheme="minorEastAsia"/>
          <w:noProof/>
          <w:kern w:val="2"/>
          <w:lang w:val="en-US"/>
          <w14:ligatures w14:val="standardContextual"/>
        </w:rPr>
      </w:pPr>
      <w:hyperlink w:anchor="_Toc153545072" w:history="1">
        <w:r w:rsidR="00CE52D4" w:rsidRPr="007F51C3">
          <w:rPr>
            <w:rStyle w:val="Hyperlink"/>
            <w:noProof/>
          </w:rPr>
          <w:t>Table 4.1: Numerical evolution of GDP and population over 2020-2050 (Sources: Statistical Office of the Republic of Serbia, Ministry of Finance, National Bank, projections based on SSP)</w:t>
        </w:r>
        <w:r w:rsidR="00CE52D4">
          <w:rPr>
            <w:noProof/>
            <w:webHidden/>
          </w:rPr>
          <w:tab/>
        </w:r>
        <w:r w:rsidR="00CE52D4">
          <w:rPr>
            <w:noProof/>
            <w:webHidden/>
          </w:rPr>
          <w:fldChar w:fldCharType="begin"/>
        </w:r>
        <w:r w:rsidR="00CE52D4">
          <w:rPr>
            <w:noProof/>
            <w:webHidden/>
          </w:rPr>
          <w:instrText xml:space="preserve"> PAGEREF _Toc153545072 \h </w:instrText>
        </w:r>
        <w:r w:rsidR="00CE52D4">
          <w:rPr>
            <w:noProof/>
            <w:webHidden/>
          </w:rPr>
        </w:r>
        <w:r w:rsidR="00CE52D4">
          <w:rPr>
            <w:noProof/>
            <w:webHidden/>
          </w:rPr>
          <w:fldChar w:fldCharType="separate"/>
        </w:r>
        <w:r w:rsidR="0087794A">
          <w:rPr>
            <w:noProof/>
            <w:webHidden/>
          </w:rPr>
          <w:t>205</w:t>
        </w:r>
        <w:r w:rsidR="00CE52D4">
          <w:rPr>
            <w:noProof/>
            <w:webHidden/>
          </w:rPr>
          <w:fldChar w:fldCharType="end"/>
        </w:r>
      </w:hyperlink>
    </w:p>
    <w:p w14:paraId="11E181B6" w14:textId="21C9982E" w:rsidR="00CE52D4" w:rsidRDefault="006E0533">
      <w:pPr>
        <w:pStyle w:val="TableofFigures"/>
        <w:tabs>
          <w:tab w:val="right" w:leader="dot" w:pos="9628"/>
        </w:tabs>
        <w:rPr>
          <w:rFonts w:eastAsiaTheme="minorEastAsia"/>
          <w:noProof/>
          <w:kern w:val="2"/>
          <w:lang w:val="en-US"/>
          <w14:ligatures w14:val="standardContextual"/>
        </w:rPr>
      </w:pPr>
      <w:hyperlink w:anchor="_Toc153545073" w:history="1">
        <w:r w:rsidR="00CE52D4" w:rsidRPr="007F51C3">
          <w:rPr>
            <w:rStyle w:val="Hyperlink"/>
            <w:noProof/>
          </w:rPr>
          <w:t>Table 4.2</w:t>
        </w:r>
        <w:r w:rsidR="00CE52D4" w:rsidRPr="007F51C3">
          <w:rPr>
            <w:rStyle w:val="Hyperlink"/>
            <w:noProof/>
            <w:lang w:eastAsia="el-GR"/>
          </w:rPr>
          <w:t>: Overnight investment costs projection for renewable energy technologies</w:t>
        </w:r>
        <w:r w:rsidR="00CE52D4">
          <w:rPr>
            <w:noProof/>
            <w:webHidden/>
          </w:rPr>
          <w:tab/>
        </w:r>
        <w:r w:rsidR="00CE52D4">
          <w:rPr>
            <w:noProof/>
            <w:webHidden/>
          </w:rPr>
          <w:fldChar w:fldCharType="begin"/>
        </w:r>
        <w:r w:rsidR="00CE52D4">
          <w:rPr>
            <w:noProof/>
            <w:webHidden/>
          </w:rPr>
          <w:instrText xml:space="preserve"> PAGEREF _Toc153545073 \h </w:instrText>
        </w:r>
        <w:r w:rsidR="00CE52D4">
          <w:rPr>
            <w:noProof/>
            <w:webHidden/>
          </w:rPr>
        </w:r>
        <w:r w:rsidR="00CE52D4">
          <w:rPr>
            <w:noProof/>
            <w:webHidden/>
          </w:rPr>
          <w:fldChar w:fldCharType="separate"/>
        </w:r>
        <w:r w:rsidR="0087794A">
          <w:rPr>
            <w:noProof/>
            <w:webHidden/>
          </w:rPr>
          <w:t>208</w:t>
        </w:r>
        <w:r w:rsidR="00CE52D4">
          <w:rPr>
            <w:noProof/>
            <w:webHidden/>
          </w:rPr>
          <w:fldChar w:fldCharType="end"/>
        </w:r>
      </w:hyperlink>
    </w:p>
    <w:p w14:paraId="1339D7B8" w14:textId="313DCE33" w:rsidR="00CE52D4" w:rsidRDefault="006E0533">
      <w:pPr>
        <w:pStyle w:val="TableofFigures"/>
        <w:tabs>
          <w:tab w:val="right" w:leader="dot" w:pos="9628"/>
        </w:tabs>
        <w:rPr>
          <w:rFonts w:eastAsiaTheme="minorEastAsia"/>
          <w:noProof/>
          <w:kern w:val="2"/>
          <w:lang w:val="en-US"/>
          <w14:ligatures w14:val="standardContextual"/>
        </w:rPr>
      </w:pPr>
      <w:hyperlink w:anchor="_Toc153545074" w:history="1">
        <w:r w:rsidR="00CE52D4" w:rsidRPr="007F51C3">
          <w:rPr>
            <w:rStyle w:val="Hyperlink"/>
            <w:noProof/>
          </w:rPr>
          <w:t>Table 4.3: Thermal capacities of interconnecting transmission lines by borders</w:t>
        </w:r>
        <w:r w:rsidR="00CE52D4">
          <w:rPr>
            <w:noProof/>
            <w:webHidden/>
          </w:rPr>
          <w:tab/>
        </w:r>
        <w:r w:rsidR="00CE52D4">
          <w:rPr>
            <w:noProof/>
            <w:webHidden/>
          </w:rPr>
          <w:fldChar w:fldCharType="begin"/>
        </w:r>
        <w:r w:rsidR="00CE52D4">
          <w:rPr>
            <w:noProof/>
            <w:webHidden/>
          </w:rPr>
          <w:instrText xml:space="preserve"> PAGEREF _Toc153545074 \h </w:instrText>
        </w:r>
        <w:r w:rsidR="00CE52D4">
          <w:rPr>
            <w:noProof/>
            <w:webHidden/>
          </w:rPr>
        </w:r>
        <w:r w:rsidR="00CE52D4">
          <w:rPr>
            <w:noProof/>
            <w:webHidden/>
          </w:rPr>
          <w:fldChar w:fldCharType="separate"/>
        </w:r>
        <w:r w:rsidR="0087794A">
          <w:rPr>
            <w:noProof/>
            <w:webHidden/>
          </w:rPr>
          <w:t>238</w:t>
        </w:r>
        <w:r w:rsidR="00CE52D4">
          <w:rPr>
            <w:noProof/>
            <w:webHidden/>
          </w:rPr>
          <w:fldChar w:fldCharType="end"/>
        </w:r>
      </w:hyperlink>
    </w:p>
    <w:p w14:paraId="2D1574F4" w14:textId="494DD30F" w:rsidR="00CE52D4" w:rsidRDefault="006E0533">
      <w:pPr>
        <w:pStyle w:val="TableofFigures"/>
        <w:tabs>
          <w:tab w:val="right" w:leader="dot" w:pos="9628"/>
        </w:tabs>
        <w:rPr>
          <w:rFonts w:eastAsiaTheme="minorEastAsia"/>
          <w:noProof/>
          <w:kern w:val="2"/>
          <w:lang w:val="en-US"/>
          <w14:ligatures w14:val="standardContextual"/>
        </w:rPr>
      </w:pPr>
      <w:hyperlink w:anchor="_Toc153545075" w:history="1">
        <w:r w:rsidR="00CE52D4" w:rsidRPr="007F51C3">
          <w:rPr>
            <w:rStyle w:val="Hyperlink"/>
            <w:noProof/>
          </w:rPr>
          <w:t>Table 5.1: Carbon pricing projections</w:t>
        </w:r>
        <w:r w:rsidR="00CE52D4">
          <w:rPr>
            <w:noProof/>
            <w:webHidden/>
          </w:rPr>
          <w:tab/>
        </w:r>
        <w:r w:rsidR="00CE52D4">
          <w:rPr>
            <w:noProof/>
            <w:webHidden/>
          </w:rPr>
          <w:fldChar w:fldCharType="begin"/>
        </w:r>
        <w:r w:rsidR="00CE52D4">
          <w:rPr>
            <w:noProof/>
            <w:webHidden/>
          </w:rPr>
          <w:instrText xml:space="preserve"> PAGEREF _Toc153545075 \h </w:instrText>
        </w:r>
        <w:r w:rsidR="00CE52D4">
          <w:rPr>
            <w:noProof/>
            <w:webHidden/>
          </w:rPr>
        </w:r>
        <w:r w:rsidR="00CE52D4">
          <w:rPr>
            <w:noProof/>
            <w:webHidden/>
          </w:rPr>
          <w:fldChar w:fldCharType="separate"/>
        </w:r>
        <w:r w:rsidR="0087794A">
          <w:rPr>
            <w:noProof/>
            <w:webHidden/>
          </w:rPr>
          <w:t>252</w:t>
        </w:r>
        <w:r w:rsidR="00CE52D4">
          <w:rPr>
            <w:noProof/>
            <w:webHidden/>
          </w:rPr>
          <w:fldChar w:fldCharType="end"/>
        </w:r>
      </w:hyperlink>
    </w:p>
    <w:p w14:paraId="2B347694" w14:textId="1610E62C" w:rsidR="00CE52D4" w:rsidRDefault="006E0533">
      <w:pPr>
        <w:pStyle w:val="TableofFigures"/>
        <w:tabs>
          <w:tab w:val="right" w:leader="dot" w:pos="9628"/>
        </w:tabs>
        <w:rPr>
          <w:rFonts w:eastAsiaTheme="minorEastAsia"/>
          <w:noProof/>
          <w:kern w:val="2"/>
          <w:lang w:val="en-US"/>
          <w14:ligatures w14:val="standardContextual"/>
        </w:rPr>
      </w:pPr>
      <w:hyperlink w:anchor="_Toc153545076" w:history="1">
        <w:r w:rsidR="00CE52D4" w:rsidRPr="007F51C3">
          <w:rPr>
            <w:rStyle w:val="Hyperlink"/>
            <w:noProof/>
          </w:rPr>
          <w:t>Table 5.2: Installed RES capacity per technology per scenario</w:t>
        </w:r>
        <w:r w:rsidR="00CE52D4">
          <w:rPr>
            <w:noProof/>
            <w:webHidden/>
          </w:rPr>
          <w:tab/>
        </w:r>
        <w:r w:rsidR="00CE52D4">
          <w:rPr>
            <w:noProof/>
            <w:webHidden/>
          </w:rPr>
          <w:fldChar w:fldCharType="begin"/>
        </w:r>
        <w:r w:rsidR="00CE52D4">
          <w:rPr>
            <w:noProof/>
            <w:webHidden/>
          </w:rPr>
          <w:instrText xml:space="preserve"> PAGEREF _Toc153545076 \h </w:instrText>
        </w:r>
        <w:r w:rsidR="00CE52D4">
          <w:rPr>
            <w:noProof/>
            <w:webHidden/>
          </w:rPr>
        </w:r>
        <w:r w:rsidR="00CE52D4">
          <w:rPr>
            <w:noProof/>
            <w:webHidden/>
          </w:rPr>
          <w:fldChar w:fldCharType="separate"/>
        </w:r>
        <w:r w:rsidR="0087794A">
          <w:rPr>
            <w:noProof/>
            <w:webHidden/>
          </w:rPr>
          <w:t>263</w:t>
        </w:r>
        <w:r w:rsidR="00CE52D4">
          <w:rPr>
            <w:noProof/>
            <w:webHidden/>
          </w:rPr>
          <w:fldChar w:fldCharType="end"/>
        </w:r>
      </w:hyperlink>
    </w:p>
    <w:p w14:paraId="16B5DF9D" w14:textId="0AB62F05" w:rsidR="00CE52D4" w:rsidRDefault="006E0533">
      <w:pPr>
        <w:pStyle w:val="TableofFigures"/>
        <w:tabs>
          <w:tab w:val="right" w:leader="dot" w:pos="9628"/>
        </w:tabs>
        <w:rPr>
          <w:rFonts w:eastAsiaTheme="minorEastAsia"/>
          <w:noProof/>
          <w:kern w:val="2"/>
          <w:lang w:val="en-US"/>
          <w14:ligatures w14:val="standardContextual"/>
        </w:rPr>
      </w:pPr>
      <w:hyperlink w:anchor="_Toc153545077" w:history="1">
        <w:r w:rsidR="00CE52D4" w:rsidRPr="007F51C3">
          <w:rPr>
            <w:rStyle w:val="Hyperlink"/>
            <w:noProof/>
          </w:rPr>
          <w:t>Table 5.3: Dimension of Measures and implementation costs (Extended table with measures and their respective costs is included in Annex I)</w:t>
        </w:r>
        <w:r w:rsidR="00CE52D4">
          <w:rPr>
            <w:noProof/>
            <w:webHidden/>
          </w:rPr>
          <w:tab/>
        </w:r>
        <w:r w:rsidR="00CE52D4">
          <w:rPr>
            <w:noProof/>
            <w:webHidden/>
          </w:rPr>
          <w:fldChar w:fldCharType="begin"/>
        </w:r>
        <w:r w:rsidR="00CE52D4">
          <w:rPr>
            <w:noProof/>
            <w:webHidden/>
          </w:rPr>
          <w:instrText xml:space="preserve"> PAGEREF _Toc153545077 \h </w:instrText>
        </w:r>
        <w:r w:rsidR="00CE52D4">
          <w:rPr>
            <w:noProof/>
            <w:webHidden/>
          </w:rPr>
        </w:r>
        <w:r w:rsidR="00CE52D4">
          <w:rPr>
            <w:noProof/>
            <w:webHidden/>
          </w:rPr>
          <w:fldChar w:fldCharType="separate"/>
        </w:r>
        <w:r w:rsidR="0087794A">
          <w:rPr>
            <w:noProof/>
            <w:webHidden/>
          </w:rPr>
          <w:t>290</w:t>
        </w:r>
        <w:r w:rsidR="00CE52D4">
          <w:rPr>
            <w:noProof/>
            <w:webHidden/>
          </w:rPr>
          <w:fldChar w:fldCharType="end"/>
        </w:r>
      </w:hyperlink>
    </w:p>
    <w:p w14:paraId="5A504753" w14:textId="1B3C0753" w:rsidR="00CE52D4" w:rsidRDefault="006E0533">
      <w:pPr>
        <w:pStyle w:val="TableofFigures"/>
        <w:tabs>
          <w:tab w:val="right" w:leader="dot" w:pos="9628"/>
        </w:tabs>
        <w:rPr>
          <w:rFonts w:eastAsiaTheme="minorEastAsia"/>
          <w:noProof/>
          <w:kern w:val="2"/>
          <w:lang w:val="en-US"/>
          <w14:ligatures w14:val="standardContextual"/>
        </w:rPr>
      </w:pPr>
      <w:hyperlink w:anchor="_Toc153545078" w:history="1">
        <w:r w:rsidR="00CE52D4" w:rsidRPr="007F51C3">
          <w:rPr>
            <w:rStyle w:val="Hyperlink"/>
            <w:noProof/>
          </w:rPr>
          <w:t>Table 5.4: Indicative Overview of Serbia's green transition support programs</w:t>
        </w:r>
        <w:r w:rsidR="00CE52D4">
          <w:rPr>
            <w:noProof/>
            <w:webHidden/>
          </w:rPr>
          <w:tab/>
        </w:r>
        <w:r w:rsidR="00CE52D4">
          <w:rPr>
            <w:noProof/>
            <w:webHidden/>
          </w:rPr>
          <w:fldChar w:fldCharType="begin"/>
        </w:r>
        <w:r w:rsidR="00CE52D4">
          <w:rPr>
            <w:noProof/>
            <w:webHidden/>
          </w:rPr>
          <w:instrText xml:space="preserve"> PAGEREF _Toc153545078 \h </w:instrText>
        </w:r>
        <w:r w:rsidR="00CE52D4">
          <w:rPr>
            <w:noProof/>
            <w:webHidden/>
          </w:rPr>
        </w:r>
        <w:r w:rsidR="00CE52D4">
          <w:rPr>
            <w:noProof/>
            <w:webHidden/>
          </w:rPr>
          <w:fldChar w:fldCharType="separate"/>
        </w:r>
        <w:r w:rsidR="0087794A">
          <w:rPr>
            <w:noProof/>
            <w:webHidden/>
          </w:rPr>
          <w:t>291</w:t>
        </w:r>
        <w:r w:rsidR="00CE52D4">
          <w:rPr>
            <w:noProof/>
            <w:webHidden/>
          </w:rPr>
          <w:fldChar w:fldCharType="end"/>
        </w:r>
      </w:hyperlink>
    </w:p>
    <w:p w14:paraId="54CD2B52" w14:textId="54A385F1" w:rsidR="00CE52D4" w:rsidRDefault="006E0533">
      <w:pPr>
        <w:pStyle w:val="TableofFigures"/>
        <w:tabs>
          <w:tab w:val="right" w:leader="dot" w:pos="9628"/>
        </w:tabs>
        <w:rPr>
          <w:rFonts w:eastAsiaTheme="minorEastAsia"/>
          <w:noProof/>
          <w:kern w:val="2"/>
          <w:lang w:val="en-US"/>
          <w14:ligatures w14:val="standardContextual"/>
        </w:rPr>
      </w:pPr>
      <w:hyperlink w:anchor="_Toc153545079" w:history="1">
        <w:r w:rsidR="00CE52D4" w:rsidRPr="007F51C3">
          <w:rPr>
            <w:rStyle w:val="Hyperlink"/>
            <w:noProof/>
          </w:rPr>
          <w:t>Table 5.5: List of most important regional cooperation-related projects</w:t>
        </w:r>
        <w:r w:rsidR="00CE52D4">
          <w:rPr>
            <w:noProof/>
            <w:webHidden/>
          </w:rPr>
          <w:tab/>
        </w:r>
        <w:r w:rsidR="00CE52D4">
          <w:rPr>
            <w:noProof/>
            <w:webHidden/>
          </w:rPr>
          <w:fldChar w:fldCharType="begin"/>
        </w:r>
        <w:r w:rsidR="00CE52D4">
          <w:rPr>
            <w:noProof/>
            <w:webHidden/>
          </w:rPr>
          <w:instrText xml:space="preserve"> PAGEREF _Toc153545079 \h </w:instrText>
        </w:r>
        <w:r w:rsidR="00CE52D4">
          <w:rPr>
            <w:noProof/>
            <w:webHidden/>
          </w:rPr>
        </w:r>
        <w:r w:rsidR="00CE52D4">
          <w:rPr>
            <w:noProof/>
            <w:webHidden/>
          </w:rPr>
          <w:fldChar w:fldCharType="separate"/>
        </w:r>
        <w:r w:rsidR="0087794A">
          <w:rPr>
            <w:noProof/>
            <w:webHidden/>
          </w:rPr>
          <w:t>295</w:t>
        </w:r>
        <w:r w:rsidR="00CE52D4">
          <w:rPr>
            <w:noProof/>
            <w:webHidden/>
          </w:rPr>
          <w:fldChar w:fldCharType="end"/>
        </w:r>
      </w:hyperlink>
    </w:p>
    <w:p w14:paraId="5E03BF68" w14:textId="7D4208DA" w:rsidR="00CE52D4" w:rsidRDefault="006E0533">
      <w:pPr>
        <w:pStyle w:val="TableofFigures"/>
        <w:tabs>
          <w:tab w:val="right" w:leader="dot" w:pos="9628"/>
        </w:tabs>
        <w:rPr>
          <w:rFonts w:eastAsiaTheme="minorEastAsia"/>
          <w:noProof/>
          <w:kern w:val="2"/>
          <w:lang w:val="en-US"/>
          <w14:ligatures w14:val="standardContextual"/>
        </w:rPr>
      </w:pPr>
      <w:hyperlink w:anchor="_Toc153545080" w:history="1">
        <w:r w:rsidR="00CE52D4" w:rsidRPr="007F51C3">
          <w:rPr>
            <w:rStyle w:val="Hyperlink"/>
            <w:noProof/>
          </w:rPr>
          <w:t>Table I.1: Decarbonisation policy measures</w:t>
        </w:r>
        <w:r w:rsidR="00CE52D4">
          <w:rPr>
            <w:noProof/>
            <w:webHidden/>
          </w:rPr>
          <w:tab/>
        </w:r>
        <w:r w:rsidR="00CE52D4">
          <w:rPr>
            <w:noProof/>
            <w:webHidden/>
          </w:rPr>
          <w:fldChar w:fldCharType="begin"/>
        </w:r>
        <w:r w:rsidR="00CE52D4">
          <w:rPr>
            <w:noProof/>
            <w:webHidden/>
          </w:rPr>
          <w:instrText xml:space="preserve"> PAGEREF _Toc153545080 \h </w:instrText>
        </w:r>
        <w:r w:rsidR="00CE52D4">
          <w:rPr>
            <w:noProof/>
            <w:webHidden/>
          </w:rPr>
        </w:r>
        <w:r w:rsidR="00CE52D4">
          <w:rPr>
            <w:noProof/>
            <w:webHidden/>
          </w:rPr>
          <w:fldChar w:fldCharType="separate"/>
        </w:r>
        <w:r w:rsidR="0087794A">
          <w:rPr>
            <w:noProof/>
            <w:webHidden/>
          </w:rPr>
          <w:t>296</w:t>
        </w:r>
        <w:r w:rsidR="00CE52D4">
          <w:rPr>
            <w:noProof/>
            <w:webHidden/>
          </w:rPr>
          <w:fldChar w:fldCharType="end"/>
        </w:r>
      </w:hyperlink>
    </w:p>
    <w:p w14:paraId="50D2D1B8" w14:textId="05D8DF28" w:rsidR="00CE52D4" w:rsidRDefault="006E0533">
      <w:pPr>
        <w:pStyle w:val="TableofFigures"/>
        <w:tabs>
          <w:tab w:val="right" w:leader="dot" w:pos="9628"/>
        </w:tabs>
        <w:rPr>
          <w:rFonts w:eastAsiaTheme="minorEastAsia"/>
          <w:noProof/>
          <w:kern w:val="2"/>
          <w:lang w:val="en-US"/>
          <w14:ligatures w14:val="standardContextual"/>
        </w:rPr>
      </w:pPr>
      <w:hyperlink w:anchor="_Toc153545081" w:history="1">
        <w:r w:rsidR="00CE52D4" w:rsidRPr="007F51C3">
          <w:rPr>
            <w:rStyle w:val="Hyperlink"/>
            <w:noProof/>
          </w:rPr>
          <w:t>Table I.2: Energy Efficiency policy measures</w:t>
        </w:r>
        <w:r w:rsidR="00CE52D4">
          <w:rPr>
            <w:noProof/>
            <w:webHidden/>
          </w:rPr>
          <w:tab/>
        </w:r>
        <w:r w:rsidR="00CE52D4">
          <w:rPr>
            <w:noProof/>
            <w:webHidden/>
          </w:rPr>
          <w:fldChar w:fldCharType="begin"/>
        </w:r>
        <w:r w:rsidR="00CE52D4">
          <w:rPr>
            <w:noProof/>
            <w:webHidden/>
          </w:rPr>
          <w:instrText xml:space="preserve"> PAGEREF _Toc153545081 \h </w:instrText>
        </w:r>
        <w:r w:rsidR="00CE52D4">
          <w:rPr>
            <w:noProof/>
            <w:webHidden/>
          </w:rPr>
        </w:r>
        <w:r w:rsidR="00CE52D4">
          <w:rPr>
            <w:noProof/>
            <w:webHidden/>
          </w:rPr>
          <w:fldChar w:fldCharType="separate"/>
        </w:r>
        <w:r w:rsidR="0087794A">
          <w:rPr>
            <w:noProof/>
            <w:webHidden/>
          </w:rPr>
          <w:t>299</w:t>
        </w:r>
        <w:r w:rsidR="00CE52D4">
          <w:rPr>
            <w:noProof/>
            <w:webHidden/>
          </w:rPr>
          <w:fldChar w:fldCharType="end"/>
        </w:r>
      </w:hyperlink>
    </w:p>
    <w:p w14:paraId="42C470FC" w14:textId="234FF2F2" w:rsidR="00CE52D4" w:rsidRDefault="006E0533">
      <w:pPr>
        <w:pStyle w:val="TableofFigures"/>
        <w:tabs>
          <w:tab w:val="right" w:leader="dot" w:pos="9628"/>
        </w:tabs>
        <w:rPr>
          <w:rFonts w:eastAsiaTheme="minorEastAsia"/>
          <w:noProof/>
          <w:kern w:val="2"/>
          <w:lang w:val="en-US"/>
          <w14:ligatures w14:val="standardContextual"/>
        </w:rPr>
      </w:pPr>
      <w:hyperlink w:anchor="_Toc153545082" w:history="1">
        <w:r w:rsidR="00CE52D4" w:rsidRPr="007F51C3">
          <w:rPr>
            <w:rStyle w:val="Hyperlink"/>
            <w:noProof/>
          </w:rPr>
          <w:t>Table I.3: Energy Security policy measures</w:t>
        </w:r>
        <w:r w:rsidR="00CE52D4">
          <w:rPr>
            <w:noProof/>
            <w:webHidden/>
          </w:rPr>
          <w:tab/>
        </w:r>
        <w:r w:rsidR="00CE52D4">
          <w:rPr>
            <w:noProof/>
            <w:webHidden/>
          </w:rPr>
          <w:fldChar w:fldCharType="begin"/>
        </w:r>
        <w:r w:rsidR="00CE52D4">
          <w:rPr>
            <w:noProof/>
            <w:webHidden/>
          </w:rPr>
          <w:instrText xml:space="preserve"> PAGEREF _Toc153545082 \h </w:instrText>
        </w:r>
        <w:r w:rsidR="00CE52D4">
          <w:rPr>
            <w:noProof/>
            <w:webHidden/>
          </w:rPr>
        </w:r>
        <w:r w:rsidR="00CE52D4">
          <w:rPr>
            <w:noProof/>
            <w:webHidden/>
          </w:rPr>
          <w:fldChar w:fldCharType="separate"/>
        </w:r>
        <w:r w:rsidR="0087794A">
          <w:rPr>
            <w:noProof/>
            <w:webHidden/>
          </w:rPr>
          <w:t>303</w:t>
        </w:r>
        <w:r w:rsidR="00CE52D4">
          <w:rPr>
            <w:noProof/>
            <w:webHidden/>
          </w:rPr>
          <w:fldChar w:fldCharType="end"/>
        </w:r>
      </w:hyperlink>
    </w:p>
    <w:p w14:paraId="052F5808" w14:textId="485F96DE" w:rsidR="00CE52D4" w:rsidRDefault="006E0533">
      <w:pPr>
        <w:pStyle w:val="TableofFigures"/>
        <w:tabs>
          <w:tab w:val="right" w:leader="dot" w:pos="9628"/>
        </w:tabs>
        <w:rPr>
          <w:rFonts w:eastAsiaTheme="minorEastAsia"/>
          <w:noProof/>
          <w:kern w:val="2"/>
          <w:lang w:val="en-US"/>
          <w14:ligatures w14:val="standardContextual"/>
        </w:rPr>
      </w:pPr>
      <w:hyperlink w:anchor="_Toc153545083" w:history="1">
        <w:r w:rsidR="00CE52D4" w:rsidRPr="007F51C3">
          <w:rPr>
            <w:rStyle w:val="Hyperlink"/>
            <w:noProof/>
          </w:rPr>
          <w:t>Table I.4: Internal Energy Market policy measures</w:t>
        </w:r>
        <w:r w:rsidR="00CE52D4">
          <w:rPr>
            <w:noProof/>
            <w:webHidden/>
          </w:rPr>
          <w:tab/>
        </w:r>
        <w:r w:rsidR="00CE52D4">
          <w:rPr>
            <w:noProof/>
            <w:webHidden/>
          </w:rPr>
          <w:fldChar w:fldCharType="begin"/>
        </w:r>
        <w:r w:rsidR="00CE52D4">
          <w:rPr>
            <w:noProof/>
            <w:webHidden/>
          </w:rPr>
          <w:instrText xml:space="preserve"> PAGEREF _Toc153545083 \h </w:instrText>
        </w:r>
        <w:r w:rsidR="00CE52D4">
          <w:rPr>
            <w:noProof/>
            <w:webHidden/>
          </w:rPr>
        </w:r>
        <w:r w:rsidR="00CE52D4">
          <w:rPr>
            <w:noProof/>
            <w:webHidden/>
          </w:rPr>
          <w:fldChar w:fldCharType="separate"/>
        </w:r>
        <w:r w:rsidR="0087794A">
          <w:rPr>
            <w:noProof/>
            <w:webHidden/>
          </w:rPr>
          <w:t>304</w:t>
        </w:r>
        <w:r w:rsidR="00CE52D4">
          <w:rPr>
            <w:noProof/>
            <w:webHidden/>
          </w:rPr>
          <w:fldChar w:fldCharType="end"/>
        </w:r>
      </w:hyperlink>
    </w:p>
    <w:p w14:paraId="0450CE47" w14:textId="588FCCC5" w:rsidR="00CE52D4" w:rsidRDefault="006E0533">
      <w:pPr>
        <w:pStyle w:val="TableofFigures"/>
        <w:tabs>
          <w:tab w:val="right" w:leader="dot" w:pos="9628"/>
        </w:tabs>
        <w:rPr>
          <w:rFonts w:eastAsiaTheme="minorEastAsia"/>
          <w:noProof/>
          <w:kern w:val="2"/>
          <w:lang w:val="en-US"/>
          <w14:ligatures w14:val="standardContextual"/>
        </w:rPr>
      </w:pPr>
      <w:hyperlink w:anchor="_Toc153545084" w:history="1">
        <w:r w:rsidR="00CE52D4" w:rsidRPr="007F51C3">
          <w:rPr>
            <w:rStyle w:val="Hyperlink"/>
            <w:noProof/>
          </w:rPr>
          <w:t>Table I.5: Research, Innovation and Competitiveness policy measures</w:t>
        </w:r>
        <w:r w:rsidR="00CE52D4">
          <w:rPr>
            <w:noProof/>
            <w:webHidden/>
          </w:rPr>
          <w:tab/>
        </w:r>
        <w:r w:rsidR="00CE52D4">
          <w:rPr>
            <w:noProof/>
            <w:webHidden/>
          </w:rPr>
          <w:fldChar w:fldCharType="begin"/>
        </w:r>
        <w:r w:rsidR="00CE52D4">
          <w:rPr>
            <w:noProof/>
            <w:webHidden/>
          </w:rPr>
          <w:instrText xml:space="preserve"> PAGEREF _Toc153545084 \h </w:instrText>
        </w:r>
        <w:r w:rsidR="00CE52D4">
          <w:rPr>
            <w:noProof/>
            <w:webHidden/>
          </w:rPr>
        </w:r>
        <w:r w:rsidR="00CE52D4">
          <w:rPr>
            <w:noProof/>
            <w:webHidden/>
          </w:rPr>
          <w:fldChar w:fldCharType="separate"/>
        </w:r>
        <w:r w:rsidR="0087794A">
          <w:rPr>
            <w:noProof/>
            <w:webHidden/>
          </w:rPr>
          <w:t>306</w:t>
        </w:r>
        <w:r w:rsidR="00CE52D4">
          <w:rPr>
            <w:noProof/>
            <w:webHidden/>
          </w:rPr>
          <w:fldChar w:fldCharType="end"/>
        </w:r>
      </w:hyperlink>
    </w:p>
    <w:p w14:paraId="2B062314" w14:textId="4B4FA710" w:rsidR="00CE52D4" w:rsidRDefault="006E0533">
      <w:pPr>
        <w:pStyle w:val="TableofFigures"/>
        <w:tabs>
          <w:tab w:val="right" w:leader="dot" w:pos="9628"/>
        </w:tabs>
        <w:rPr>
          <w:rFonts w:eastAsiaTheme="minorEastAsia"/>
          <w:noProof/>
          <w:kern w:val="2"/>
          <w:lang w:val="en-US"/>
          <w14:ligatures w14:val="standardContextual"/>
        </w:rPr>
      </w:pPr>
      <w:hyperlink w:anchor="_Toc153545085" w:history="1">
        <w:r w:rsidR="00CE52D4" w:rsidRPr="007F51C3">
          <w:rPr>
            <w:rStyle w:val="Hyperlink"/>
            <w:noProof/>
          </w:rPr>
          <w:t>Table II.1: Scenario S average general results for Target Year 2030</w:t>
        </w:r>
        <w:r w:rsidR="00CE52D4">
          <w:rPr>
            <w:noProof/>
            <w:webHidden/>
          </w:rPr>
          <w:tab/>
        </w:r>
        <w:r w:rsidR="00CE52D4">
          <w:rPr>
            <w:noProof/>
            <w:webHidden/>
          </w:rPr>
          <w:fldChar w:fldCharType="begin"/>
        </w:r>
        <w:r w:rsidR="00CE52D4">
          <w:rPr>
            <w:noProof/>
            <w:webHidden/>
          </w:rPr>
          <w:instrText xml:space="preserve"> PAGEREF _Toc153545085 \h </w:instrText>
        </w:r>
        <w:r w:rsidR="00CE52D4">
          <w:rPr>
            <w:noProof/>
            <w:webHidden/>
          </w:rPr>
        </w:r>
        <w:r w:rsidR="00CE52D4">
          <w:rPr>
            <w:noProof/>
            <w:webHidden/>
          </w:rPr>
          <w:fldChar w:fldCharType="separate"/>
        </w:r>
        <w:r w:rsidR="0087794A">
          <w:rPr>
            <w:noProof/>
            <w:webHidden/>
          </w:rPr>
          <w:t>308</w:t>
        </w:r>
        <w:r w:rsidR="00CE52D4">
          <w:rPr>
            <w:noProof/>
            <w:webHidden/>
          </w:rPr>
          <w:fldChar w:fldCharType="end"/>
        </w:r>
      </w:hyperlink>
    </w:p>
    <w:p w14:paraId="257C9354" w14:textId="7B268003" w:rsidR="00CE52D4" w:rsidRDefault="006E0533">
      <w:pPr>
        <w:pStyle w:val="TableofFigures"/>
        <w:tabs>
          <w:tab w:val="right" w:leader="dot" w:pos="9628"/>
        </w:tabs>
        <w:rPr>
          <w:rFonts w:eastAsiaTheme="minorEastAsia"/>
          <w:noProof/>
          <w:kern w:val="2"/>
          <w:lang w:val="en-US"/>
          <w14:ligatures w14:val="standardContextual"/>
        </w:rPr>
      </w:pPr>
      <w:hyperlink w:anchor="_Toc153545086" w:history="1">
        <w:r w:rsidR="00CE52D4" w:rsidRPr="007F51C3">
          <w:rPr>
            <w:rStyle w:val="Hyperlink"/>
            <w:noProof/>
          </w:rPr>
          <w:t>Table II.2: Scenario S PSP average annual results for Target Year 2030</w:t>
        </w:r>
        <w:r w:rsidR="00CE52D4">
          <w:rPr>
            <w:noProof/>
            <w:webHidden/>
          </w:rPr>
          <w:tab/>
        </w:r>
        <w:r w:rsidR="00CE52D4">
          <w:rPr>
            <w:noProof/>
            <w:webHidden/>
          </w:rPr>
          <w:fldChar w:fldCharType="begin"/>
        </w:r>
        <w:r w:rsidR="00CE52D4">
          <w:rPr>
            <w:noProof/>
            <w:webHidden/>
          </w:rPr>
          <w:instrText xml:space="preserve"> PAGEREF _Toc153545086 \h </w:instrText>
        </w:r>
        <w:r w:rsidR="00CE52D4">
          <w:rPr>
            <w:noProof/>
            <w:webHidden/>
          </w:rPr>
        </w:r>
        <w:r w:rsidR="00CE52D4">
          <w:rPr>
            <w:noProof/>
            <w:webHidden/>
          </w:rPr>
          <w:fldChar w:fldCharType="separate"/>
        </w:r>
        <w:r w:rsidR="0087794A">
          <w:rPr>
            <w:noProof/>
            <w:webHidden/>
          </w:rPr>
          <w:t>309</w:t>
        </w:r>
        <w:r w:rsidR="00CE52D4">
          <w:rPr>
            <w:noProof/>
            <w:webHidden/>
          </w:rPr>
          <w:fldChar w:fldCharType="end"/>
        </w:r>
      </w:hyperlink>
    </w:p>
    <w:p w14:paraId="372CC7EC" w14:textId="29431B15" w:rsidR="00CE52D4" w:rsidRDefault="006E0533">
      <w:pPr>
        <w:pStyle w:val="TableofFigures"/>
        <w:tabs>
          <w:tab w:val="right" w:leader="dot" w:pos="9628"/>
        </w:tabs>
        <w:rPr>
          <w:rFonts w:eastAsiaTheme="minorEastAsia"/>
          <w:noProof/>
          <w:kern w:val="2"/>
          <w:lang w:val="en-US"/>
          <w14:ligatures w14:val="standardContextual"/>
        </w:rPr>
      </w:pPr>
      <w:hyperlink w:anchor="_Toc153545087" w:history="1">
        <w:r w:rsidR="00CE52D4" w:rsidRPr="007F51C3">
          <w:rPr>
            <w:rStyle w:val="Hyperlink"/>
            <w:noProof/>
          </w:rPr>
          <w:t>Table II.3: Scenario S average general results for Target Year 2040</w:t>
        </w:r>
        <w:r w:rsidR="00CE52D4">
          <w:rPr>
            <w:noProof/>
            <w:webHidden/>
          </w:rPr>
          <w:tab/>
        </w:r>
        <w:r w:rsidR="00CE52D4">
          <w:rPr>
            <w:noProof/>
            <w:webHidden/>
          </w:rPr>
          <w:fldChar w:fldCharType="begin"/>
        </w:r>
        <w:r w:rsidR="00CE52D4">
          <w:rPr>
            <w:noProof/>
            <w:webHidden/>
          </w:rPr>
          <w:instrText xml:space="preserve"> PAGEREF _Toc153545087 \h </w:instrText>
        </w:r>
        <w:r w:rsidR="00CE52D4">
          <w:rPr>
            <w:noProof/>
            <w:webHidden/>
          </w:rPr>
        </w:r>
        <w:r w:rsidR="00CE52D4">
          <w:rPr>
            <w:noProof/>
            <w:webHidden/>
          </w:rPr>
          <w:fldChar w:fldCharType="separate"/>
        </w:r>
        <w:r w:rsidR="0087794A">
          <w:rPr>
            <w:noProof/>
            <w:webHidden/>
          </w:rPr>
          <w:t>309</w:t>
        </w:r>
        <w:r w:rsidR="00CE52D4">
          <w:rPr>
            <w:noProof/>
            <w:webHidden/>
          </w:rPr>
          <w:fldChar w:fldCharType="end"/>
        </w:r>
      </w:hyperlink>
    </w:p>
    <w:p w14:paraId="4BFE6A5F" w14:textId="5CE1D8F0" w:rsidR="00CE52D4" w:rsidRDefault="006E0533">
      <w:pPr>
        <w:pStyle w:val="TableofFigures"/>
        <w:tabs>
          <w:tab w:val="right" w:leader="dot" w:pos="9628"/>
        </w:tabs>
        <w:rPr>
          <w:rFonts w:eastAsiaTheme="minorEastAsia"/>
          <w:noProof/>
          <w:kern w:val="2"/>
          <w:lang w:val="en-US"/>
          <w14:ligatures w14:val="standardContextual"/>
        </w:rPr>
      </w:pPr>
      <w:hyperlink w:anchor="_Toc153545088" w:history="1">
        <w:r w:rsidR="00CE52D4" w:rsidRPr="007F51C3">
          <w:rPr>
            <w:rStyle w:val="Hyperlink"/>
            <w:noProof/>
          </w:rPr>
          <w:t>Table II.4: Scenario S PSP average annual results for Target Year 2040</w:t>
        </w:r>
        <w:r w:rsidR="00CE52D4">
          <w:rPr>
            <w:noProof/>
            <w:webHidden/>
          </w:rPr>
          <w:tab/>
        </w:r>
        <w:r w:rsidR="00CE52D4">
          <w:rPr>
            <w:noProof/>
            <w:webHidden/>
          </w:rPr>
          <w:fldChar w:fldCharType="begin"/>
        </w:r>
        <w:r w:rsidR="00CE52D4">
          <w:rPr>
            <w:noProof/>
            <w:webHidden/>
          </w:rPr>
          <w:instrText xml:space="preserve"> PAGEREF _Toc153545088 \h </w:instrText>
        </w:r>
        <w:r w:rsidR="00CE52D4">
          <w:rPr>
            <w:noProof/>
            <w:webHidden/>
          </w:rPr>
        </w:r>
        <w:r w:rsidR="00CE52D4">
          <w:rPr>
            <w:noProof/>
            <w:webHidden/>
          </w:rPr>
          <w:fldChar w:fldCharType="separate"/>
        </w:r>
        <w:r w:rsidR="0087794A">
          <w:rPr>
            <w:noProof/>
            <w:webHidden/>
          </w:rPr>
          <w:t>309</w:t>
        </w:r>
        <w:r w:rsidR="00CE52D4">
          <w:rPr>
            <w:noProof/>
            <w:webHidden/>
          </w:rPr>
          <w:fldChar w:fldCharType="end"/>
        </w:r>
      </w:hyperlink>
    </w:p>
    <w:p w14:paraId="7A439CD8" w14:textId="1B8CE4D5" w:rsidR="00CE52D4" w:rsidRDefault="006E0533">
      <w:pPr>
        <w:pStyle w:val="TableofFigures"/>
        <w:tabs>
          <w:tab w:val="right" w:leader="dot" w:pos="9628"/>
        </w:tabs>
        <w:rPr>
          <w:rFonts w:eastAsiaTheme="minorEastAsia"/>
          <w:noProof/>
          <w:kern w:val="2"/>
          <w:lang w:val="en-US"/>
          <w14:ligatures w14:val="standardContextual"/>
        </w:rPr>
      </w:pPr>
      <w:hyperlink w:anchor="_Toc153545089" w:history="1">
        <w:r w:rsidR="00CE52D4" w:rsidRPr="007F51C3">
          <w:rPr>
            <w:rStyle w:val="Hyperlink"/>
            <w:noProof/>
          </w:rPr>
          <w:t>Table II.5: Capacities under supply security considerations</w:t>
        </w:r>
        <w:r w:rsidR="00CE52D4">
          <w:rPr>
            <w:noProof/>
            <w:webHidden/>
          </w:rPr>
          <w:tab/>
        </w:r>
        <w:r w:rsidR="00CE52D4">
          <w:rPr>
            <w:noProof/>
            <w:webHidden/>
          </w:rPr>
          <w:fldChar w:fldCharType="begin"/>
        </w:r>
        <w:r w:rsidR="00CE52D4">
          <w:rPr>
            <w:noProof/>
            <w:webHidden/>
          </w:rPr>
          <w:instrText xml:space="preserve"> PAGEREF _Toc153545089 \h </w:instrText>
        </w:r>
        <w:r w:rsidR="00CE52D4">
          <w:rPr>
            <w:noProof/>
            <w:webHidden/>
          </w:rPr>
        </w:r>
        <w:r w:rsidR="00CE52D4">
          <w:rPr>
            <w:noProof/>
            <w:webHidden/>
          </w:rPr>
          <w:fldChar w:fldCharType="separate"/>
        </w:r>
        <w:r w:rsidR="0087794A">
          <w:rPr>
            <w:noProof/>
            <w:webHidden/>
          </w:rPr>
          <w:t>310</w:t>
        </w:r>
        <w:r w:rsidR="00CE52D4">
          <w:rPr>
            <w:noProof/>
            <w:webHidden/>
          </w:rPr>
          <w:fldChar w:fldCharType="end"/>
        </w:r>
      </w:hyperlink>
    </w:p>
    <w:p w14:paraId="0EE4FE9C" w14:textId="0921904C" w:rsidR="00CE52D4" w:rsidRDefault="006E0533">
      <w:pPr>
        <w:pStyle w:val="TableofFigures"/>
        <w:tabs>
          <w:tab w:val="right" w:leader="dot" w:pos="9628"/>
        </w:tabs>
        <w:rPr>
          <w:rFonts w:eastAsiaTheme="minorEastAsia"/>
          <w:noProof/>
          <w:kern w:val="2"/>
          <w:lang w:val="en-US"/>
          <w14:ligatures w14:val="standardContextual"/>
        </w:rPr>
      </w:pPr>
      <w:hyperlink w:anchor="_Toc153545090" w:history="1">
        <w:r w:rsidR="00CE52D4" w:rsidRPr="007F51C3">
          <w:rPr>
            <w:rStyle w:val="Hyperlink"/>
            <w:noProof/>
          </w:rPr>
          <w:t>Table II.6: Generation under supply security considerations</w:t>
        </w:r>
        <w:r w:rsidR="00CE52D4">
          <w:rPr>
            <w:noProof/>
            <w:webHidden/>
          </w:rPr>
          <w:tab/>
        </w:r>
        <w:r w:rsidR="00CE52D4">
          <w:rPr>
            <w:noProof/>
            <w:webHidden/>
          </w:rPr>
          <w:fldChar w:fldCharType="begin"/>
        </w:r>
        <w:r w:rsidR="00CE52D4">
          <w:rPr>
            <w:noProof/>
            <w:webHidden/>
          </w:rPr>
          <w:instrText xml:space="preserve"> PAGEREF _Toc153545090 \h </w:instrText>
        </w:r>
        <w:r w:rsidR="00CE52D4">
          <w:rPr>
            <w:noProof/>
            <w:webHidden/>
          </w:rPr>
        </w:r>
        <w:r w:rsidR="00CE52D4">
          <w:rPr>
            <w:noProof/>
            <w:webHidden/>
          </w:rPr>
          <w:fldChar w:fldCharType="separate"/>
        </w:r>
        <w:r w:rsidR="0087794A">
          <w:rPr>
            <w:noProof/>
            <w:webHidden/>
          </w:rPr>
          <w:t>310</w:t>
        </w:r>
        <w:r w:rsidR="00CE52D4">
          <w:rPr>
            <w:noProof/>
            <w:webHidden/>
          </w:rPr>
          <w:fldChar w:fldCharType="end"/>
        </w:r>
      </w:hyperlink>
    </w:p>
    <w:p w14:paraId="02086F22" w14:textId="4D4980D6" w:rsidR="00CE52D4" w:rsidRDefault="006E0533">
      <w:pPr>
        <w:pStyle w:val="TableofFigures"/>
        <w:tabs>
          <w:tab w:val="right" w:leader="dot" w:pos="9628"/>
        </w:tabs>
        <w:rPr>
          <w:rFonts w:eastAsiaTheme="minorEastAsia"/>
          <w:noProof/>
          <w:kern w:val="2"/>
          <w:lang w:val="en-US"/>
          <w14:ligatures w14:val="standardContextual"/>
        </w:rPr>
      </w:pPr>
      <w:hyperlink w:anchor="_Toc153545091" w:history="1">
        <w:r w:rsidR="00CE52D4" w:rsidRPr="007F51C3">
          <w:rPr>
            <w:rStyle w:val="Hyperlink"/>
            <w:noProof/>
          </w:rPr>
          <w:t>Table II.7: Capacity factors under supply security considerations</w:t>
        </w:r>
        <w:r w:rsidR="00CE52D4">
          <w:rPr>
            <w:noProof/>
            <w:webHidden/>
          </w:rPr>
          <w:tab/>
        </w:r>
        <w:r w:rsidR="00CE52D4">
          <w:rPr>
            <w:noProof/>
            <w:webHidden/>
          </w:rPr>
          <w:fldChar w:fldCharType="begin"/>
        </w:r>
        <w:r w:rsidR="00CE52D4">
          <w:rPr>
            <w:noProof/>
            <w:webHidden/>
          </w:rPr>
          <w:instrText xml:space="preserve"> PAGEREF _Toc153545091 \h </w:instrText>
        </w:r>
        <w:r w:rsidR="00CE52D4">
          <w:rPr>
            <w:noProof/>
            <w:webHidden/>
          </w:rPr>
        </w:r>
        <w:r w:rsidR="00CE52D4">
          <w:rPr>
            <w:noProof/>
            <w:webHidden/>
          </w:rPr>
          <w:fldChar w:fldCharType="separate"/>
        </w:r>
        <w:r w:rsidR="0087794A">
          <w:rPr>
            <w:noProof/>
            <w:webHidden/>
          </w:rPr>
          <w:t>311</w:t>
        </w:r>
        <w:r w:rsidR="00CE52D4">
          <w:rPr>
            <w:noProof/>
            <w:webHidden/>
          </w:rPr>
          <w:fldChar w:fldCharType="end"/>
        </w:r>
      </w:hyperlink>
    </w:p>
    <w:p w14:paraId="189C1145" w14:textId="32F4C400" w:rsidR="00CE52D4" w:rsidRDefault="006E0533">
      <w:pPr>
        <w:pStyle w:val="TableofFigures"/>
        <w:tabs>
          <w:tab w:val="right" w:leader="dot" w:pos="9628"/>
        </w:tabs>
        <w:rPr>
          <w:rFonts w:eastAsiaTheme="minorEastAsia"/>
          <w:noProof/>
          <w:kern w:val="2"/>
          <w:lang w:val="en-US"/>
          <w14:ligatures w14:val="standardContextual"/>
        </w:rPr>
      </w:pPr>
      <w:hyperlink w:anchor="_Toc153545092" w:history="1">
        <w:r w:rsidR="00CE52D4" w:rsidRPr="007F51C3">
          <w:rPr>
            <w:rStyle w:val="Hyperlink"/>
            <w:noProof/>
          </w:rPr>
          <w:t>Table III.1: Construction periods for residential typologies</w:t>
        </w:r>
        <w:r w:rsidR="00CE52D4">
          <w:rPr>
            <w:noProof/>
            <w:webHidden/>
          </w:rPr>
          <w:tab/>
        </w:r>
        <w:r w:rsidR="00CE52D4">
          <w:rPr>
            <w:noProof/>
            <w:webHidden/>
          </w:rPr>
          <w:fldChar w:fldCharType="begin"/>
        </w:r>
        <w:r w:rsidR="00CE52D4">
          <w:rPr>
            <w:noProof/>
            <w:webHidden/>
          </w:rPr>
          <w:instrText xml:space="preserve"> PAGEREF _Toc153545092 \h </w:instrText>
        </w:r>
        <w:r w:rsidR="00CE52D4">
          <w:rPr>
            <w:noProof/>
            <w:webHidden/>
          </w:rPr>
        </w:r>
        <w:r w:rsidR="00CE52D4">
          <w:rPr>
            <w:noProof/>
            <w:webHidden/>
          </w:rPr>
          <w:fldChar w:fldCharType="separate"/>
        </w:r>
        <w:r w:rsidR="0087794A">
          <w:rPr>
            <w:noProof/>
            <w:webHidden/>
          </w:rPr>
          <w:t>315</w:t>
        </w:r>
        <w:r w:rsidR="00CE52D4">
          <w:rPr>
            <w:noProof/>
            <w:webHidden/>
          </w:rPr>
          <w:fldChar w:fldCharType="end"/>
        </w:r>
      </w:hyperlink>
    </w:p>
    <w:p w14:paraId="364F3419" w14:textId="1A0758E9" w:rsidR="00CE52D4" w:rsidRDefault="006E0533">
      <w:pPr>
        <w:pStyle w:val="TableofFigures"/>
        <w:tabs>
          <w:tab w:val="right" w:leader="dot" w:pos="9628"/>
        </w:tabs>
        <w:rPr>
          <w:rFonts w:eastAsiaTheme="minorEastAsia"/>
          <w:noProof/>
          <w:kern w:val="2"/>
          <w:lang w:val="en-US"/>
          <w14:ligatures w14:val="standardContextual"/>
        </w:rPr>
      </w:pPr>
      <w:hyperlink w:anchor="_Toc153545093" w:history="1">
        <w:r w:rsidR="00CE52D4" w:rsidRPr="007F51C3">
          <w:rPr>
            <w:rStyle w:val="Hyperlink"/>
            <w:noProof/>
          </w:rPr>
          <w:t>Table IV.1: Table of additional Projects from the Infrastructure Development Plan of the Republic Serbia</w:t>
        </w:r>
        <w:r w:rsidR="00CE52D4">
          <w:rPr>
            <w:noProof/>
            <w:webHidden/>
          </w:rPr>
          <w:tab/>
        </w:r>
        <w:r w:rsidR="00CE52D4">
          <w:rPr>
            <w:noProof/>
            <w:webHidden/>
          </w:rPr>
          <w:fldChar w:fldCharType="begin"/>
        </w:r>
        <w:r w:rsidR="00CE52D4">
          <w:rPr>
            <w:noProof/>
            <w:webHidden/>
          </w:rPr>
          <w:instrText xml:space="preserve"> PAGEREF _Toc153545093 \h </w:instrText>
        </w:r>
        <w:r w:rsidR="00CE52D4">
          <w:rPr>
            <w:noProof/>
            <w:webHidden/>
          </w:rPr>
        </w:r>
        <w:r w:rsidR="00CE52D4">
          <w:rPr>
            <w:noProof/>
            <w:webHidden/>
          </w:rPr>
          <w:fldChar w:fldCharType="separate"/>
        </w:r>
        <w:r w:rsidR="0087794A">
          <w:rPr>
            <w:noProof/>
            <w:webHidden/>
          </w:rPr>
          <w:t>321</w:t>
        </w:r>
        <w:r w:rsidR="00CE52D4">
          <w:rPr>
            <w:noProof/>
            <w:webHidden/>
          </w:rPr>
          <w:fldChar w:fldCharType="end"/>
        </w:r>
      </w:hyperlink>
    </w:p>
    <w:p w14:paraId="178E7E1F" w14:textId="6C45CED9" w:rsidR="00CE52D4" w:rsidRDefault="006E0533">
      <w:pPr>
        <w:pStyle w:val="TableofFigures"/>
        <w:tabs>
          <w:tab w:val="right" w:leader="dot" w:pos="9628"/>
        </w:tabs>
        <w:rPr>
          <w:rFonts w:eastAsiaTheme="minorEastAsia"/>
          <w:noProof/>
          <w:kern w:val="2"/>
          <w:lang w:val="en-US"/>
          <w14:ligatures w14:val="standardContextual"/>
        </w:rPr>
      </w:pPr>
      <w:hyperlink w:anchor="_Toc153545094" w:history="1">
        <w:r w:rsidR="00CE52D4" w:rsidRPr="007F51C3">
          <w:rPr>
            <w:rStyle w:val="Hyperlink"/>
            <w:noProof/>
          </w:rPr>
          <w:t>Table V.1: Energy Industry - emissions in ktons of CO2-eq</w:t>
        </w:r>
        <w:r w:rsidR="00CE52D4">
          <w:rPr>
            <w:noProof/>
            <w:webHidden/>
          </w:rPr>
          <w:tab/>
        </w:r>
        <w:r w:rsidR="00CE52D4">
          <w:rPr>
            <w:noProof/>
            <w:webHidden/>
          </w:rPr>
          <w:fldChar w:fldCharType="begin"/>
        </w:r>
        <w:r w:rsidR="00CE52D4">
          <w:rPr>
            <w:noProof/>
            <w:webHidden/>
          </w:rPr>
          <w:instrText xml:space="preserve"> PAGEREF _Toc153545094 \h </w:instrText>
        </w:r>
        <w:r w:rsidR="00CE52D4">
          <w:rPr>
            <w:noProof/>
            <w:webHidden/>
          </w:rPr>
        </w:r>
        <w:r w:rsidR="00CE52D4">
          <w:rPr>
            <w:noProof/>
            <w:webHidden/>
          </w:rPr>
          <w:fldChar w:fldCharType="separate"/>
        </w:r>
        <w:r w:rsidR="0087794A">
          <w:rPr>
            <w:noProof/>
            <w:webHidden/>
          </w:rPr>
          <w:t>322</w:t>
        </w:r>
        <w:r w:rsidR="00CE52D4">
          <w:rPr>
            <w:noProof/>
            <w:webHidden/>
          </w:rPr>
          <w:fldChar w:fldCharType="end"/>
        </w:r>
      </w:hyperlink>
    </w:p>
    <w:p w14:paraId="50893956" w14:textId="396DCDC6" w:rsidR="00CE52D4" w:rsidRDefault="006E0533">
      <w:pPr>
        <w:pStyle w:val="TableofFigures"/>
        <w:tabs>
          <w:tab w:val="right" w:leader="dot" w:pos="9628"/>
        </w:tabs>
        <w:rPr>
          <w:rFonts w:eastAsiaTheme="minorEastAsia"/>
          <w:noProof/>
          <w:kern w:val="2"/>
          <w:lang w:val="en-US"/>
          <w14:ligatures w14:val="standardContextual"/>
        </w:rPr>
      </w:pPr>
      <w:hyperlink w:anchor="_Toc153545095" w:history="1">
        <w:r w:rsidR="00CE52D4" w:rsidRPr="007F51C3">
          <w:rPr>
            <w:rStyle w:val="Hyperlink"/>
            <w:noProof/>
          </w:rPr>
          <w:t>Table V.2: Power Sector - emissions in ktons of CO2-eq</w:t>
        </w:r>
        <w:r w:rsidR="00CE52D4">
          <w:rPr>
            <w:noProof/>
            <w:webHidden/>
          </w:rPr>
          <w:tab/>
        </w:r>
        <w:r w:rsidR="00CE52D4">
          <w:rPr>
            <w:noProof/>
            <w:webHidden/>
          </w:rPr>
          <w:fldChar w:fldCharType="begin"/>
        </w:r>
        <w:r w:rsidR="00CE52D4">
          <w:rPr>
            <w:noProof/>
            <w:webHidden/>
          </w:rPr>
          <w:instrText xml:space="preserve"> PAGEREF _Toc153545095 \h </w:instrText>
        </w:r>
        <w:r w:rsidR="00CE52D4">
          <w:rPr>
            <w:noProof/>
            <w:webHidden/>
          </w:rPr>
        </w:r>
        <w:r w:rsidR="00CE52D4">
          <w:rPr>
            <w:noProof/>
            <w:webHidden/>
          </w:rPr>
          <w:fldChar w:fldCharType="separate"/>
        </w:r>
        <w:r w:rsidR="0087794A">
          <w:rPr>
            <w:noProof/>
            <w:webHidden/>
          </w:rPr>
          <w:t>322</w:t>
        </w:r>
        <w:r w:rsidR="00CE52D4">
          <w:rPr>
            <w:noProof/>
            <w:webHidden/>
          </w:rPr>
          <w:fldChar w:fldCharType="end"/>
        </w:r>
      </w:hyperlink>
    </w:p>
    <w:p w14:paraId="3B697C6C" w14:textId="1D057E30" w:rsidR="00CE52D4" w:rsidRDefault="006E0533">
      <w:pPr>
        <w:pStyle w:val="TableofFigures"/>
        <w:tabs>
          <w:tab w:val="right" w:leader="dot" w:pos="9628"/>
        </w:tabs>
        <w:rPr>
          <w:rFonts w:eastAsiaTheme="minorEastAsia"/>
          <w:noProof/>
          <w:kern w:val="2"/>
          <w:lang w:val="en-US"/>
          <w14:ligatures w14:val="standardContextual"/>
        </w:rPr>
      </w:pPr>
      <w:hyperlink w:anchor="_Toc153545096" w:history="1">
        <w:r w:rsidR="00CE52D4" w:rsidRPr="007F51C3">
          <w:rPr>
            <w:rStyle w:val="Hyperlink"/>
            <w:noProof/>
          </w:rPr>
          <w:t>Table V.3: Manufacturing industries and construction: Energy Use, Fugitive and Process Emissions - emissions in ktons of CO2-eq</w:t>
        </w:r>
        <w:r w:rsidR="00CE52D4">
          <w:rPr>
            <w:noProof/>
            <w:webHidden/>
          </w:rPr>
          <w:tab/>
        </w:r>
        <w:r w:rsidR="00CE52D4">
          <w:rPr>
            <w:noProof/>
            <w:webHidden/>
          </w:rPr>
          <w:fldChar w:fldCharType="begin"/>
        </w:r>
        <w:r w:rsidR="00CE52D4">
          <w:rPr>
            <w:noProof/>
            <w:webHidden/>
          </w:rPr>
          <w:instrText xml:space="preserve"> PAGEREF _Toc153545096 \h </w:instrText>
        </w:r>
        <w:r w:rsidR="00CE52D4">
          <w:rPr>
            <w:noProof/>
            <w:webHidden/>
          </w:rPr>
        </w:r>
        <w:r w:rsidR="00CE52D4">
          <w:rPr>
            <w:noProof/>
            <w:webHidden/>
          </w:rPr>
          <w:fldChar w:fldCharType="separate"/>
        </w:r>
        <w:r w:rsidR="0087794A">
          <w:rPr>
            <w:noProof/>
            <w:webHidden/>
          </w:rPr>
          <w:t>322</w:t>
        </w:r>
        <w:r w:rsidR="00CE52D4">
          <w:rPr>
            <w:noProof/>
            <w:webHidden/>
          </w:rPr>
          <w:fldChar w:fldCharType="end"/>
        </w:r>
      </w:hyperlink>
    </w:p>
    <w:p w14:paraId="58D70F74" w14:textId="403EBA3E" w:rsidR="00CE52D4" w:rsidRDefault="006E0533">
      <w:pPr>
        <w:pStyle w:val="TableofFigures"/>
        <w:tabs>
          <w:tab w:val="right" w:leader="dot" w:pos="9628"/>
        </w:tabs>
        <w:rPr>
          <w:rFonts w:eastAsiaTheme="minorEastAsia"/>
          <w:noProof/>
          <w:kern w:val="2"/>
          <w:lang w:val="en-US"/>
          <w14:ligatures w14:val="standardContextual"/>
        </w:rPr>
      </w:pPr>
      <w:hyperlink w:anchor="_Toc153545097" w:history="1">
        <w:r w:rsidR="00CE52D4" w:rsidRPr="007F51C3">
          <w:rPr>
            <w:rStyle w:val="Hyperlink"/>
            <w:noProof/>
          </w:rPr>
          <w:t>Table V.4: Transport - emissions in ktons of CO2-eq</w:t>
        </w:r>
        <w:r w:rsidR="00CE52D4">
          <w:rPr>
            <w:noProof/>
            <w:webHidden/>
          </w:rPr>
          <w:tab/>
        </w:r>
        <w:r w:rsidR="00CE52D4">
          <w:rPr>
            <w:noProof/>
            <w:webHidden/>
          </w:rPr>
          <w:fldChar w:fldCharType="begin"/>
        </w:r>
        <w:r w:rsidR="00CE52D4">
          <w:rPr>
            <w:noProof/>
            <w:webHidden/>
          </w:rPr>
          <w:instrText xml:space="preserve"> PAGEREF _Toc153545097 \h </w:instrText>
        </w:r>
        <w:r w:rsidR="00CE52D4">
          <w:rPr>
            <w:noProof/>
            <w:webHidden/>
          </w:rPr>
        </w:r>
        <w:r w:rsidR="00CE52D4">
          <w:rPr>
            <w:noProof/>
            <w:webHidden/>
          </w:rPr>
          <w:fldChar w:fldCharType="separate"/>
        </w:r>
        <w:r w:rsidR="0087794A">
          <w:rPr>
            <w:noProof/>
            <w:webHidden/>
          </w:rPr>
          <w:t>322</w:t>
        </w:r>
        <w:r w:rsidR="00CE52D4">
          <w:rPr>
            <w:noProof/>
            <w:webHidden/>
          </w:rPr>
          <w:fldChar w:fldCharType="end"/>
        </w:r>
      </w:hyperlink>
    </w:p>
    <w:p w14:paraId="4D78B546" w14:textId="161FFD30" w:rsidR="00CE52D4" w:rsidRDefault="006E0533">
      <w:pPr>
        <w:pStyle w:val="TableofFigures"/>
        <w:tabs>
          <w:tab w:val="right" w:leader="dot" w:pos="9628"/>
        </w:tabs>
        <w:rPr>
          <w:rFonts w:eastAsiaTheme="minorEastAsia"/>
          <w:noProof/>
          <w:kern w:val="2"/>
          <w:lang w:val="en-US"/>
          <w14:ligatures w14:val="standardContextual"/>
        </w:rPr>
      </w:pPr>
      <w:hyperlink w:anchor="_Toc153545098" w:history="1">
        <w:r w:rsidR="00CE52D4" w:rsidRPr="007F51C3">
          <w:rPr>
            <w:rStyle w:val="Hyperlink"/>
            <w:noProof/>
          </w:rPr>
          <w:t>Table V.5: Residential Sector - emissions in ktons of CO2-eq</w:t>
        </w:r>
        <w:r w:rsidR="00CE52D4">
          <w:rPr>
            <w:noProof/>
            <w:webHidden/>
          </w:rPr>
          <w:tab/>
        </w:r>
        <w:r w:rsidR="00CE52D4">
          <w:rPr>
            <w:noProof/>
            <w:webHidden/>
          </w:rPr>
          <w:fldChar w:fldCharType="begin"/>
        </w:r>
        <w:r w:rsidR="00CE52D4">
          <w:rPr>
            <w:noProof/>
            <w:webHidden/>
          </w:rPr>
          <w:instrText xml:space="preserve"> PAGEREF _Toc153545098 \h </w:instrText>
        </w:r>
        <w:r w:rsidR="00CE52D4">
          <w:rPr>
            <w:noProof/>
            <w:webHidden/>
          </w:rPr>
        </w:r>
        <w:r w:rsidR="00CE52D4">
          <w:rPr>
            <w:noProof/>
            <w:webHidden/>
          </w:rPr>
          <w:fldChar w:fldCharType="separate"/>
        </w:r>
        <w:r w:rsidR="0087794A">
          <w:rPr>
            <w:noProof/>
            <w:webHidden/>
          </w:rPr>
          <w:t>322</w:t>
        </w:r>
        <w:r w:rsidR="00CE52D4">
          <w:rPr>
            <w:noProof/>
            <w:webHidden/>
          </w:rPr>
          <w:fldChar w:fldCharType="end"/>
        </w:r>
      </w:hyperlink>
    </w:p>
    <w:p w14:paraId="2ACF19FE" w14:textId="6079FC31" w:rsidR="00CE52D4" w:rsidRDefault="006E0533">
      <w:pPr>
        <w:pStyle w:val="TableofFigures"/>
        <w:tabs>
          <w:tab w:val="right" w:leader="dot" w:pos="9628"/>
        </w:tabs>
        <w:rPr>
          <w:rFonts w:eastAsiaTheme="minorEastAsia"/>
          <w:noProof/>
          <w:kern w:val="2"/>
          <w:lang w:val="en-US"/>
          <w14:ligatures w14:val="standardContextual"/>
        </w:rPr>
      </w:pPr>
      <w:hyperlink w:anchor="_Toc153545099" w:history="1">
        <w:r w:rsidR="00CE52D4" w:rsidRPr="007F51C3">
          <w:rPr>
            <w:rStyle w:val="Hyperlink"/>
            <w:noProof/>
          </w:rPr>
          <w:t>Table V.6: Commercial Sector - emissions in ktons of CO2-eq</w:t>
        </w:r>
        <w:r w:rsidR="00CE52D4">
          <w:rPr>
            <w:noProof/>
            <w:webHidden/>
          </w:rPr>
          <w:tab/>
        </w:r>
        <w:r w:rsidR="00CE52D4">
          <w:rPr>
            <w:noProof/>
            <w:webHidden/>
          </w:rPr>
          <w:fldChar w:fldCharType="begin"/>
        </w:r>
        <w:r w:rsidR="00CE52D4">
          <w:rPr>
            <w:noProof/>
            <w:webHidden/>
          </w:rPr>
          <w:instrText xml:space="preserve"> PAGEREF _Toc153545099 \h </w:instrText>
        </w:r>
        <w:r w:rsidR="00CE52D4">
          <w:rPr>
            <w:noProof/>
            <w:webHidden/>
          </w:rPr>
        </w:r>
        <w:r w:rsidR="00CE52D4">
          <w:rPr>
            <w:noProof/>
            <w:webHidden/>
          </w:rPr>
          <w:fldChar w:fldCharType="separate"/>
        </w:r>
        <w:r w:rsidR="0087794A">
          <w:rPr>
            <w:noProof/>
            <w:webHidden/>
          </w:rPr>
          <w:t>323</w:t>
        </w:r>
        <w:r w:rsidR="00CE52D4">
          <w:rPr>
            <w:noProof/>
            <w:webHidden/>
          </w:rPr>
          <w:fldChar w:fldCharType="end"/>
        </w:r>
      </w:hyperlink>
    </w:p>
    <w:p w14:paraId="6624FDC3" w14:textId="050CD58F" w:rsidR="00CE52D4" w:rsidRDefault="006E0533">
      <w:pPr>
        <w:pStyle w:val="TableofFigures"/>
        <w:tabs>
          <w:tab w:val="right" w:leader="dot" w:pos="9628"/>
        </w:tabs>
        <w:rPr>
          <w:rFonts w:eastAsiaTheme="minorEastAsia"/>
          <w:noProof/>
          <w:kern w:val="2"/>
          <w:lang w:val="en-US"/>
          <w14:ligatures w14:val="standardContextual"/>
        </w:rPr>
      </w:pPr>
      <w:hyperlink w:anchor="_Toc153545100" w:history="1">
        <w:r w:rsidR="00CE52D4" w:rsidRPr="007F51C3">
          <w:rPr>
            <w:rStyle w:val="Hyperlink"/>
            <w:noProof/>
          </w:rPr>
          <w:t>Table V.7: Other Sectors: Energy Use, Fugitive and Process Emissions - emissions in ktons of CO2-eq</w:t>
        </w:r>
        <w:r w:rsidR="00CE52D4">
          <w:rPr>
            <w:noProof/>
            <w:webHidden/>
          </w:rPr>
          <w:tab/>
        </w:r>
        <w:r w:rsidR="00CE52D4">
          <w:rPr>
            <w:noProof/>
            <w:webHidden/>
          </w:rPr>
          <w:fldChar w:fldCharType="begin"/>
        </w:r>
        <w:r w:rsidR="00CE52D4">
          <w:rPr>
            <w:noProof/>
            <w:webHidden/>
          </w:rPr>
          <w:instrText xml:space="preserve"> PAGEREF _Toc153545100 \h </w:instrText>
        </w:r>
        <w:r w:rsidR="00CE52D4">
          <w:rPr>
            <w:noProof/>
            <w:webHidden/>
          </w:rPr>
        </w:r>
        <w:r w:rsidR="00CE52D4">
          <w:rPr>
            <w:noProof/>
            <w:webHidden/>
          </w:rPr>
          <w:fldChar w:fldCharType="separate"/>
        </w:r>
        <w:r w:rsidR="0087794A">
          <w:rPr>
            <w:noProof/>
            <w:webHidden/>
          </w:rPr>
          <w:t>323</w:t>
        </w:r>
        <w:r w:rsidR="00CE52D4">
          <w:rPr>
            <w:noProof/>
            <w:webHidden/>
          </w:rPr>
          <w:fldChar w:fldCharType="end"/>
        </w:r>
      </w:hyperlink>
    </w:p>
    <w:p w14:paraId="34280F89" w14:textId="7651B567" w:rsidR="00CE52D4" w:rsidRDefault="006E0533">
      <w:pPr>
        <w:pStyle w:val="TableofFigures"/>
        <w:tabs>
          <w:tab w:val="right" w:leader="dot" w:pos="9628"/>
        </w:tabs>
        <w:rPr>
          <w:rFonts w:eastAsiaTheme="minorEastAsia"/>
          <w:noProof/>
          <w:kern w:val="2"/>
          <w:lang w:val="en-US"/>
          <w14:ligatures w14:val="standardContextual"/>
        </w:rPr>
      </w:pPr>
      <w:hyperlink w:anchor="_Toc153545101" w:history="1">
        <w:r w:rsidR="00CE52D4" w:rsidRPr="007F51C3">
          <w:rPr>
            <w:rStyle w:val="Hyperlink"/>
            <w:noProof/>
          </w:rPr>
          <w:t>Table V.8: Electricity Generation per source (TWh)</w:t>
        </w:r>
        <w:r w:rsidR="00CE52D4">
          <w:rPr>
            <w:noProof/>
            <w:webHidden/>
          </w:rPr>
          <w:tab/>
        </w:r>
        <w:r w:rsidR="00CE52D4">
          <w:rPr>
            <w:noProof/>
            <w:webHidden/>
          </w:rPr>
          <w:fldChar w:fldCharType="begin"/>
        </w:r>
        <w:r w:rsidR="00CE52D4">
          <w:rPr>
            <w:noProof/>
            <w:webHidden/>
          </w:rPr>
          <w:instrText xml:space="preserve"> PAGEREF _Toc153545101 \h </w:instrText>
        </w:r>
        <w:r w:rsidR="00CE52D4">
          <w:rPr>
            <w:noProof/>
            <w:webHidden/>
          </w:rPr>
        </w:r>
        <w:r w:rsidR="00CE52D4">
          <w:rPr>
            <w:noProof/>
            <w:webHidden/>
          </w:rPr>
          <w:fldChar w:fldCharType="separate"/>
        </w:r>
        <w:r w:rsidR="0087794A">
          <w:rPr>
            <w:noProof/>
            <w:webHidden/>
          </w:rPr>
          <w:t>323</w:t>
        </w:r>
        <w:r w:rsidR="00CE52D4">
          <w:rPr>
            <w:noProof/>
            <w:webHidden/>
          </w:rPr>
          <w:fldChar w:fldCharType="end"/>
        </w:r>
      </w:hyperlink>
    </w:p>
    <w:p w14:paraId="7FE8D19C" w14:textId="7954D73B" w:rsidR="00CE52D4" w:rsidRDefault="006E0533">
      <w:pPr>
        <w:pStyle w:val="TableofFigures"/>
        <w:tabs>
          <w:tab w:val="right" w:leader="dot" w:pos="9628"/>
        </w:tabs>
        <w:rPr>
          <w:rFonts w:eastAsiaTheme="minorEastAsia"/>
          <w:noProof/>
          <w:kern w:val="2"/>
          <w:lang w:val="en-US"/>
          <w14:ligatures w14:val="standardContextual"/>
        </w:rPr>
      </w:pPr>
      <w:hyperlink w:anchor="_Toc153545102" w:history="1">
        <w:r w:rsidR="00CE52D4" w:rsidRPr="007F51C3">
          <w:rPr>
            <w:rStyle w:val="Hyperlink"/>
            <w:noProof/>
          </w:rPr>
          <w:t>Table V.9: Final Energy Consumption [ktoe]</w:t>
        </w:r>
        <w:r w:rsidR="00CE52D4">
          <w:rPr>
            <w:noProof/>
            <w:webHidden/>
          </w:rPr>
          <w:tab/>
        </w:r>
        <w:r w:rsidR="00CE52D4">
          <w:rPr>
            <w:noProof/>
            <w:webHidden/>
          </w:rPr>
          <w:fldChar w:fldCharType="begin"/>
        </w:r>
        <w:r w:rsidR="00CE52D4">
          <w:rPr>
            <w:noProof/>
            <w:webHidden/>
          </w:rPr>
          <w:instrText xml:space="preserve"> PAGEREF _Toc153545102 \h </w:instrText>
        </w:r>
        <w:r w:rsidR="00CE52D4">
          <w:rPr>
            <w:noProof/>
            <w:webHidden/>
          </w:rPr>
        </w:r>
        <w:r w:rsidR="00CE52D4">
          <w:rPr>
            <w:noProof/>
            <w:webHidden/>
          </w:rPr>
          <w:fldChar w:fldCharType="separate"/>
        </w:r>
        <w:r w:rsidR="0087794A">
          <w:rPr>
            <w:noProof/>
            <w:webHidden/>
          </w:rPr>
          <w:t>324</w:t>
        </w:r>
        <w:r w:rsidR="00CE52D4">
          <w:rPr>
            <w:noProof/>
            <w:webHidden/>
          </w:rPr>
          <w:fldChar w:fldCharType="end"/>
        </w:r>
      </w:hyperlink>
    </w:p>
    <w:p w14:paraId="21BE3B85" w14:textId="2E2B1BD0" w:rsidR="00CE52D4" w:rsidRDefault="006E0533">
      <w:pPr>
        <w:pStyle w:val="TableofFigures"/>
        <w:tabs>
          <w:tab w:val="right" w:leader="dot" w:pos="9628"/>
        </w:tabs>
        <w:rPr>
          <w:rFonts w:eastAsiaTheme="minorEastAsia"/>
          <w:noProof/>
          <w:kern w:val="2"/>
          <w:lang w:val="en-US"/>
          <w14:ligatures w14:val="standardContextual"/>
        </w:rPr>
      </w:pPr>
      <w:hyperlink w:anchor="_Toc153545103" w:history="1">
        <w:r w:rsidR="00CE52D4" w:rsidRPr="007F51C3">
          <w:rPr>
            <w:rStyle w:val="Hyperlink"/>
            <w:noProof/>
          </w:rPr>
          <w:t>Table V.10: Primary Energy Supply [ktoe]</w:t>
        </w:r>
        <w:r w:rsidR="00CE52D4">
          <w:rPr>
            <w:noProof/>
            <w:webHidden/>
          </w:rPr>
          <w:tab/>
        </w:r>
        <w:r w:rsidR="00CE52D4">
          <w:rPr>
            <w:noProof/>
            <w:webHidden/>
          </w:rPr>
          <w:fldChar w:fldCharType="begin"/>
        </w:r>
        <w:r w:rsidR="00CE52D4">
          <w:rPr>
            <w:noProof/>
            <w:webHidden/>
          </w:rPr>
          <w:instrText xml:space="preserve"> PAGEREF _Toc153545103 \h </w:instrText>
        </w:r>
        <w:r w:rsidR="00CE52D4">
          <w:rPr>
            <w:noProof/>
            <w:webHidden/>
          </w:rPr>
        </w:r>
        <w:r w:rsidR="00CE52D4">
          <w:rPr>
            <w:noProof/>
            <w:webHidden/>
          </w:rPr>
          <w:fldChar w:fldCharType="separate"/>
        </w:r>
        <w:r w:rsidR="0087794A">
          <w:rPr>
            <w:noProof/>
            <w:webHidden/>
          </w:rPr>
          <w:t>324</w:t>
        </w:r>
        <w:r w:rsidR="00CE52D4">
          <w:rPr>
            <w:noProof/>
            <w:webHidden/>
          </w:rPr>
          <w:fldChar w:fldCharType="end"/>
        </w:r>
      </w:hyperlink>
    </w:p>
    <w:p w14:paraId="19FE1BE2" w14:textId="26193522" w:rsidR="00CE52D4" w:rsidRDefault="006E0533">
      <w:pPr>
        <w:pStyle w:val="TableofFigures"/>
        <w:tabs>
          <w:tab w:val="right" w:leader="dot" w:pos="9628"/>
        </w:tabs>
        <w:rPr>
          <w:rFonts w:eastAsiaTheme="minorEastAsia"/>
          <w:noProof/>
          <w:kern w:val="2"/>
          <w:lang w:val="en-US"/>
          <w14:ligatures w14:val="standardContextual"/>
        </w:rPr>
      </w:pPr>
      <w:hyperlink w:anchor="_Toc153545104" w:history="1">
        <w:r w:rsidR="00CE52D4" w:rsidRPr="007F51C3">
          <w:rPr>
            <w:rStyle w:val="Hyperlink"/>
            <w:noProof/>
          </w:rPr>
          <w:t>Table V.11: Primary Energy Consumption [ktoe]</w:t>
        </w:r>
        <w:r w:rsidR="00CE52D4">
          <w:rPr>
            <w:noProof/>
            <w:webHidden/>
          </w:rPr>
          <w:tab/>
        </w:r>
        <w:r w:rsidR="00CE52D4">
          <w:rPr>
            <w:noProof/>
            <w:webHidden/>
          </w:rPr>
          <w:fldChar w:fldCharType="begin"/>
        </w:r>
        <w:r w:rsidR="00CE52D4">
          <w:rPr>
            <w:noProof/>
            <w:webHidden/>
          </w:rPr>
          <w:instrText xml:space="preserve"> PAGEREF _Toc153545104 \h </w:instrText>
        </w:r>
        <w:r w:rsidR="00CE52D4">
          <w:rPr>
            <w:noProof/>
            <w:webHidden/>
          </w:rPr>
        </w:r>
        <w:r w:rsidR="00CE52D4">
          <w:rPr>
            <w:noProof/>
            <w:webHidden/>
          </w:rPr>
          <w:fldChar w:fldCharType="separate"/>
        </w:r>
        <w:r w:rsidR="0087794A">
          <w:rPr>
            <w:noProof/>
            <w:webHidden/>
          </w:rPr>
          <w:t>324</w:t>
        </w:r>
        <w:r w:rsidR="00CE52D4">
          <w:rPr>
            <w:noProof/>
            <w:webHidden/>
          </w:rPr>
          <w:fldChar w:fldCharType="end"/>
        </w:r>
      </w:hyperlink>
    </w:p>
    <w:p w14:paraId="44807A47" w14:textId="0A6C29A0" w:rsidR="00CE52D4" w:rsidRDefault="006E0533">
      <w:pPr>
        <w:pStyle w:val="TableofFigures"/>
        <w:tabs>
          <w:tab w:val="right" w:leader="dot" w:pos="9628"/>
        </w:tabs>
        <w:rPr>
          <w:rFonts w:eastAsiaTheme="minorEastAsia"/>
          <w:noProof/>
          <w:kern w:val="2"/>
          <w:lang w:val="en-US"/>
          <w14:ligatures w14:val="standardContextual"/>
        </w:rPr>
      </w:pPr>
      <w:hyperlink w:anchor="_Toc153545105" w:history="1">
        <w:r w:rsidR="00CE52D4" w:rsidRPr="007F51C3">
          <w:rPr>
            <w:rStyle w:val="Hyperlink"/>
            <w:noProof/>
          </w:rPr>
          <w:t>Table V.12: Energy Import Dependency [%]</w:t>
        </w:r>
        <w:r w:rsidR="00CE52D4">
          <w:rPr>
            <w:noProof/>
            <w:webHidden/>
          </w:rPr>
          <w:tab/>
        </w:r>
        <w:r w:rsidR="00CE52D4">
          <w:rPr>
            <w:noProof/>
            <w:webHidden/>
          </w:rPr>
          <w:fldChar w:fldCharType="begin"/>
        </w:r>
        <w:r w:rsidR="00CE52D4">
          <w:rPr>
            <w:noProof/>
            <w:webHidden/>
          </w:rPr>
          <w:instrText xml:space="preserve"> PAGEREF _Toc153545105 \h </w:instrText>
        </w:r>
        <w:r w:rsidR="00CE52D4">
          <w:rPr>
            <w:noProof/>
            <w:webHidden/>
          </w:rPr>
        </w:r>
        <w:r w:rsidR="00CE52D4">
          <w:rPr>
            <w:noProof/>
            <w:webHidden/>
          </w:rPr>
          <w:fldChar w:fldCharType="separate"/>
        </w:r>
        <w:r w:rsidR="0087794A">
          <w:rPr>
            <w:noProof/>
            <w:webHidden/>
          </w:rPr>
          <w:t>324</w:t>
        </w:r>
        <w:r w:rsidR="00CE52D4">
          <w:rPr>
            <w:noProof/>
            <w:webHidden/>
          </w:rPr>
          <w:fldChar w:fldCharType="end"/>
        </w:r>
      </w:hyperlink>
    </w:p>
    <w:p w14:paraId="0FDFD315" w14:textId="07E5412F" w:rsidR="00CE52D4" w:rsidRDefault="006E0533">
      <w:pPr>
        <w:pStyle w:val="TableofFigures"/>
        <w:tabs>
          <w:tab w:val="right" w:leader="dot" w:pos="9628"/>
        </w:tabs>
        <w:rPr>
          <w:rFonts w:eastAsiaTheme="minorEastAsia"/>
          <w:noProof/>
          <w:kern w:val="2"/>
          <w:lang w:val="en-US"/>
          <w14:ligatures w14:val="standardContextual"/>
        </w:rPr>
      </w:pPr>
      <w:hyperlink w:anchor="_Toc153545106" w:history="1">
        <w:r w:rsidR="00CE52D4" w:rsidRPr="007F51C3">
          <w:rPr>
            <w:rStyle w:val="Hyperlink"/>
            <w:noProof/>
          </w:rPr>
          <w:t>Table V.13: Electricity Import Dependency [%]</w:t>
        </w:r>
        <w:r w:rsidR="00CE52D4">
          <w:rPr>
            <w:noProof/>
            <w:webHidden/>
          </w:rPr>
          <w:tab/>
        </w:r>
        <w:r w:rsidR="00CE52D4">
          <w:rPr>
            <w:noProof/>
            <w:webHidden/>
          </w:rPr>
          <w:fldChar w:fldCharType="begin"/>
        </w:r>
        <w:r w:rsidR="00CE52D4">
          <w:rPr>
            <w:noProof/>
            <w:webHidden/>
          </w:rPr>
          <w:instrText xml:space="preserve"> PAGEREF _Toc153545106 \h </w:instrText>
        </w:r>
        <w:r w:rsidR="00CE52D4">
          <w:rPr>
            <w:noProof/>
            <w:webHidden/>
          </w:rPr>
        </w:r>
        <w:r w:rsidR="00CE52D4">
          <w:rPr>
            <w:noProof/>
            <w:webHidden/>
          </w:rPr>
          <w:fldChar w:fldCharType="separate"/>
        </w:r>
        <w:r w:rsidR="0087794A">
          <w:rPr>
            <w:noProof/>
            <w:webHidden/>
          </w:rPr>
          <w:t>324</w:t>
        </w:r>
        <w:r w:rsidR="00CE52D4">
          <w:rPr>
            <w:noProof/>
            <w:webHidden/>
          </w:rPr>
          <w:fldChar w:fldCharType="end"/>
        </w:r>
      </w:hyperlink>
    </w:p>
    <w:p w14:paraId="18B18594" w14:textId="73630B78" w:rsidR="00CE52D4" w:rsidRDefault="006E0533">
      <w:pPr>
        <w:pStyle w:val="TableofFigures"/>
        <w:tabs>
          <w:tab w:val="right" w:leader="dot" w:pos="9628"/>
        </w:tabs>
        <w:rPr>
          <w:rFonts w:eastAsiaTheme="minorEastAsia"/>
          <w:noProof/>
          <w:kern w:val="2"/>
          <w:lang w:val="en-US"/>
          <w14:ligatures w14:val="standardContextual"/>
        </w:rPr>
      </w:pPr>
      <w:hyperlink w:anchor="_Toc153545107" w:history="1">
        <w:r w:rsidR="00CE52D4" w:rsidRPr="007F51C3">
          <w:rPr>
            <w:rStyle w:val="Hyperlink"/>
            <w:noProof/>
          </w:rPr>
          <w:t>Table V.14: Total Emissions (including agriculture, waste and LULUCF) in ktons of CO2eq</w:t>
        </w:r>
        <w:r w:rsidR="00CE52D4">
          <w:rPr>
            <w:noProof/>
            <w:webHidden/>
          </w:rPr>
          <w:tab/>
        </w:r>
        <w:r w:rsidR="00CE52D4">
          <w:rPr>
            <w:noProof/>
            <w:webHidden/>
          </w:rPr>
          <w:fldChar w:fldCharType="begin"/>
        </w:r>
        <w:r w:rsidR="00CE52D4">
          <w:rPr>
            <w:noProof/>
            <w:webHidden/>
          </w:rPr>
          <w:instrText xml:space="preserve"> PAGEREF _Toc153545107 \h </w:instrText>
        </w:r>
        <w:r w:rsidR="00CE52D4">
          <w:rPr>
            <w:noProof/>
            <w:webHidden/>
          </w:rPr>
        </w:r>
        <w:r w:rsidR="00CE52D4">
          <w:rPr>
            <w:noProof/>
            <w:webHidden/>
          </w:rPr>
          <w:fldChar w:fldCharType="separate"/>
        </w:r>
        <w:r w:rsidR="0087794A">
          <w:rPr>
            <w:noProof/>
            <w:webHidden/>
          </w:rPr>
          <w:t>325</w:t>
        </w:r>
        <w:r w:rsidR="00CE52D4">
          <w:rPr>
            <w:noProof/>
            <w:webHidden/>
          </w:rPr>
          <w:fldChar w:fldCharType="end"/>
        </w:r>
      </w:hyperlink>
    </w:p>
    <w:p w14:paraId="6D5E340A" w14:textId="74A50F80" w:rsidR="00CE52D4" w:rsidRDefault="006E0533">
      <w:pPr>
        <w:pStyle w:val="TableofFigures"/>
        <w:tabs>
          <w:tab w:val="right" w:leader="dot" w:pos="9628"/>
        </w:tabs>
        <w:rPr>
          <w:rFonts w:eastAsiaTheme="minorEastAsia"/>
          <w:noProof/>
          <w:kern w:val="2"/>
          <w:lang w:val="en-US"/>
          <w14:ligatures w14:val="standardContextual"/>
        </w:rPr>
      </w:pPr>
      <w:hyperlink w:anchor="_Toc153545108" w:history="1">
        <w:r w:rsidR="00CE52D4" w:rsidRPr="007F51C3">
          <w:rPr>
            <w:rStyle w:val="Hyperlink"/>
            <w:noProof/>
          </w:rPr>
          <w:t>Table V.15: % reduction of total emissions with respect to the 1990 level</w:t>
        </w:r>
        <w:r w:rsidR="00CE52D4">
          <w:rPr>
            <w:noProof/>
            <w:webHidden/>
          </w:rPr>
          <w:tab/>
        </w:r>
        <w:r w:rsidR="00CE52D4">
          <w:rPr>
            <w:noProof/>
            <w:webHidden/>
          </w:rPr>
          <w:fldChar w:fldCharType="begin"/>
        </w:r>
        <w:r w:rsidR="00CE52D4">
          <w:rPr>
            <w:noProof/>
            <w:webHidden/>
          </w:rPr>
          <w:instrText xml:space="preserve"> PAGEREF _Toc153545108 \h </w:instrText>
        </w:r>
        <w:r w:rsidR="00CE52D4">
          <w:rPr>
            <w:noProof/>
            <w:webHidden/>
          </w:rPr>
        </w:r>
        <w:r w:rsidR="00CE52D4">
          <w:rPr>
            <w:noProof/>
            <w:webHidden/>
          </w:rPr>
          <w:fldChar w:fldCharType="separate"/>
        </w:r>
        <w:r w:rsidR="0087794A">
          <w:rPr>
            <w:noProof/>
            <w:webHidden/>
          </w:rPr>
          <w:t>325</w:t>
        </w:r>
        <w:r w:rsidR="00CE52D4">
          <w:rPr>
            <w:noProof/>
            <w:webHidden/>
          </w:rPr>
          <w:fldChar w:fldCharType="end"/>
        </w:r>
      </w:hyperlink>
    </w:p>
    <w:p w14:paraId="51FF4317" w14:textId="5AE5A860" w:rsidR="00CE52D4" w:rsidRDefault="006E0533">
      <w:pPr>
        <w:pStyle w:val="TableofFigures"/>
        <w:tabs>
          <w:tab w:val="right" w:leader="dot" w:pos="9628"/>
        </w:tabs>
        <w:rPr>
          <w:rFonts w:eastAsiaTheme="minorEastAsia"/>
          <w:noProof/>
          <w:kern w:val="2"/>
          <w:lang w:val="en-US"/>
          <w14:ligatures w14:val="standardContextual"/>
        </w:rPr>
      </w:pPr>
      <w:hyperlink w:anchor="_Toc153545109" w:history="1">
        <w:r w:rsidR="00CE52D4" w:rsidRPr="007F51C3">
          <w:rPr>
            <w:rStyle w:val="Hyperlink"/>
            <w:noProof/>
          </w:rPr>
          <w:t>Table V.16: Share of RES in Gross Final Energy Consumption [%]</w:t>
        </w:r>
        <w:r w:rsidR="00CE52D4">
          <w:rPr>
            <w:noProof/>
            <w:webHidden/>
          </w:rPr>
          <w:tab/>
        </w:r>
        <w:r w:rsidR="00CE52D4">
          <w:rPr>
            <w:noProof/>
            <w:webHidden/>
          </w:rPr>
          <w:fldChar w:fldCharType="begin"/>
        </w:r>
        <w:r w:rsidR="00CE52D4">
          <w:rPr>
            <w:noProof/>
            <w:webHidden/>
          </w:rPr>
          <w:instrText xml:space="preserve"> PAGEREF _Toc153545109 \h </w:instrText>
        </w:r>
        <w:r w:rsidR="00CE52D4">
          <w:rPr>
            <w:noProof/>
            <w:webHidden/>
          </w:rPr>
        </w:r>
        <w:r w:rsidR="00CE52D4">
          <w:rPr>
            <w:noProof/>
            <w:webHidden/>
          </w:rPr>
          <w:fldChar w:fldCharType="separate"/>
        </w:r>
        <w:r w:rsidR="0087794A">
          <w:rPr>
            <w:noProof/>
            <w:webHidden/>
          </w:rPr>
          <w:t>325</w:t>
        </w:r>
        <w:r w:rsidR="00CE52D4">
          <w:rPr>
            <w:noProof/>
            <w:webHidden/>
          </w:rPr>
          <w:fldChar w:fldCharType="end"/>
        </w:r>
      </w:hyperlink>
    </w:p>
    <w:p w14:paraId="48BDB314" w14:textId="2732C728" w:rsidR="00CE52D4" w:rsidRDefault="006E0533">
      <w:pPr>
        <w:pStyle w:val="TableofFigures"/>
        <w:tabs>
          <w:tab w:val="right" w:leader="dot" w:pos="9628"/>
        </w:tabs>
        <w:rPr>
          <w:rFonts w:eastAsiaTheme="minorEastAsia"/>
          <w:noProof/>
          <w:kern w:val="2"/>
          <w:lang w:val="en-US"/>
          <w14:ligatures w14:val="standardContextual"/>
        </w:rPr>
      </w:pPr>
      <w:hyperlink w:anchor="_Toc153545110" w:history="1">
        <w:r w:rsidR="00CE52D4" w:rsidRPr="007F51C3">
          <w:rPr>
            <w:rStyle w:val="Hyperlink"/>
            <w:noProof/>
          </w:rPr>
          <w:t>Table V.17: Share of RES in Electricity Generation [%]</w:t>
        </w:r>
        <w:r w:rsidR="00CE52D4">
          <w:rPr>
            <w:noProof/>
            <w:webHidden/>
          </w:rPr>
          <w:tab/>
        </w:r>
        <w:r w:rsidR="00CE52D4">
          <w:rPr>
            <w:noProof/>
            <w:webHidden/>
          </w:rPr>
          <w:fldChar w:fldCharType="begin"/>
        </w:r>
        <w:r w:rsidR="00CE52D4">
          <w:rPr>
            <w:noProof/>
            <w:webHidden/>
          </w:rPr>
          <w:instrText xml:space="preserve"> PAGEREF _Toc153545110 \h </w:instrText>
        </w:r>
        <w:r w:rsidR="00CE52D4">
          <w:rPr>
            <w:noProof/>
            <w:webHidden/>
          </w:rPr>
        </w:r>
        <w:r w:rsidR="00CE52D4">
          <w:rPr>
            <w:noProof/>
            <w:webHidden/>
          </w:rPr>
          <w:fldChar w:fldCharType="separate"/>
        </w:r>
        <w:r w:rsidR="0087794A">
          <w:rPr>
            <w:noProof/>
            <w:webHidden/>
          </w:rPr>
          <w:t>325</w:t>
        </w:r>
        <w:r w:rsidR="00CE52D4">
          <w:rPr>
            <w:noProof/>
            <w:webHidden/>
          </w:rPr>
          <w:fldChar w:fldCharType="end"/>
        </w:r>
      </w:hyperlink>
    </w:p>
    <w:p w14:paraId="308BEB6C" w14:textId="740A80E1" w:rsidR="00CE52D4" w:rsidRDefault="006E0533">
      <w:pPr>
        <w:pStyle w:val="TableofFigures"/>
        <w:tabs>
          <w:tab w:val="right" w:leader="dot" w:pos="9628"/>
        </w:tabs>
        <w:rPr>
          <w:rFonts w:eastAsiaTheme="minorEastAsia"/>
          <w:noProof/>
          <w:kern w:val="2"/>
          <w:lang w:val="en-US"/>
          <w14:ligatures w14:val="standardContextual"/>
        </w:rPr>
      </w:pPr>
      <w:hyperlink w:anchor="_Toc153545111" w:history="1">
        <w:r w:rsidR="00CE52D4" w:rsidRPr="007F51C3">
          <w:rPr>
            <w:rStyle w:val="Hyperlink"/>
            <w:noProof/>
          </w:rPr>
          <w:t>Table V.18: Share of RES in Transport (without multipliers) [%]</w:t>
        </w:r>
        <w:r w:rsidR="00CE52D4">
          <w:rPr>
            <w:noProof/>
            <w:webHidden/>
          </w:rPr>
          <w:tab/>
        </w:r>
        <w:r w:rsidR="00CE52D4">
          <w:rPr>
            <w:noProof/>
            <w:webHidden/>
          </w:rPr>
          <w:fldChar w:fldCharType="begin"/>
        </w:r>
        <w:r w:rsidR="00CE52D4">
          <w:rPr>
            <w:noProof/>
            <w:webHidden/>
          </w:rPr>
          <w:instrText xml:space="preserve"> PAGEREF _Toc153545111 \h </w:instrText>
        </w:r>
        <w:r w:rsidR="00CE52D4">
          <w:rPr>
            <w:noProof/>
            <w:webHidden/>
          </w:rPr>
        </w:r>
        <w:r w:rsidR="00CE52D4">
          <w:rPr>
            <w:noProof/>
            <w:webHidden/>
          </w:rPr>
          <w:fldChar w:fldCharType="separate"/>
        </w:r>
        <w:r w:rsidR="0087794A">
          <w:rPr>
            <w:noProof/>
            <w:webHidden/>
          </w:rPr>
          <w:t>325</w:t>
        </w:r>
        <w:r w:rsidR="00CE52D4">
          <w:rPr>
            <w:noProof/>
            <w:webHidden/>
          </w:rPr>
          <w:fldChar w:fldCharType="end"/>
        </w:r>
      </w:hyperlink>
    </w:p>
    <w:p w14:paraId="02D349F5" w14:textId="28B1CE0C" w:rsidR="00CE52D4" w:rsidRDefault="006E0533">
      <w:pPr>
        <w:pStyle w:val="TableofFigures"/>
        <w:tabs>
          <w:tab w:val="right" w:leader="dot" w:pos="9628"/>
        </w:tabs>
        <w:rPr>
          <w:rFonts w:eastAsiaTheme="minorEastAsia"/>
          <w:noProof/>
          <w:kern w:val="2"/>
          <w:lang w:val="en-US"/>
          <w14:ligatures w14:val="standardContextual"/>
        </w:rPr>
      </w:pPr>
      <w:hyperlink w:anchor="_Toc153545112" w:history="1">
        <w:r w:rsidR="00CE52D4" w:rsidRPr="007F51C3">
          <w:rPr>
            <w:rStyle w:val="Hyperlink"/>
            <w:noProof/>
          </w:rPr>
          <w:t>Table V.19: Share of RES in Transport (with multipliers) [%]</w:t>
        </w:r>
        <w:r w:rsidR="00CE52D4">
          <w:rPr>
            <w:noProof/>
            <w:webHidden/>
          </w:rPr>
          <w:tab/>
        </w:r>
        <w:r w:rsidR="00CE52D4">
          <w:rPr>
            <w:noProof/>
            <w:webHidden/>
          </w:rPr>
          <w:fldChar w:fldCharType="begin"/>
        </w:r>
        <w:r w:rsidR="00CE52D4">
          <w:rPr>
            <w:noProof/>
            <w:webHidden/>
          </w:rPr>
          <w:instrText xml:space="preserve"> PAGEREF _Toc153545112 \h </w:instrText>
        </w:r>
        <w:r w:rsidR="00CE52D4">
          <w:rPr>
            <w:noProof/>
            <w:webHidden/>
          </w:rPr>
        </w:r>
        <w:r w:rsidR="00CE52D4">
          <w:rPr>
            <w:noProof/>
            <w:webHidden/>
          </w:rPr>
          <w:fldChar w:fldCharType="separate"/>
        </w:r>
        <w:r w:rsidR="0087794A">
          <w:rPr>
            <w:noProof/>
            <w:webHidden/>
          </w:rPr>
          <w:t>325</w:t>
        </w:r>
        <w:r w:rsidR="00CE52D4">
          <w:rPr>
            <w:noProof/>
            <w:webHidden/>
          </w:rPr>
          <w:fldChar w:fldCharType="end"/>
        </w:r>
      </w:hyperlink>
    </w:p>
    <w:p w14:paraId="7EC8E68F" w14:textId="2210283F" w:rsidR="00CE52D4" w:rsidRDefault="006E0533">
      <w:pPr>
        <w:pStyle w:val="TableofFigures"/>
        <w:tabs>
          <w:tab w:val="right" w:leader="dot" w:pos="9628"/>
        </w:tabs>
        <w:rPr>
          <w:rFonts w:eastAsiaTheme="minorEastAsia"/>
          <w:noProof/>
          <w:kern w:val="2"/>
          <w:lang w:val="en-US"/>
          <w14:ligatures w14:val="standardContextual"/>
        </w:rPr>
      </w:pPr>
      <w:hyperlink w:anchor="_Toc153545113" w:history="1">
        <w:r w:rsidR="00CE52D4" w:rsidRPr="007F51C3">
          <w:rPr>
            <w:rStyle w:val="Hyperlink"/>
            <w:noProof/>
          </w:rPr>
          <w:t>Table V.20: Share of RES in Heating [%]</w:t>
        </w:r>
        <w:r w:rsidR="00CE52D4">
          <w:rPr>
            <w:noProof/>
            <w:webHidden/>
          </w:rPr>
          <w:tab/>
        </w:r>
        <w:r w:rsidR="00CE52D4">
          <w:rPr>
            <w:noProof/>
            <w:webHidden/>
          </w:rPr>
          <w:fldChar w:fldCharType="begin"/>
        </w:r>
        <w:r w:rsidR="00CE52D4">
          <w:rPr>
            <w:noProof/>
            <w:webHidden/>
          </w:rPr>
          <w:instrText xml:space="preserve"> PAGEREF _Toc153545113 \h </w:instrText>
        </w:r>
        <w:r w:rsidR="00CE52D4">
          <w:rPr>
            <w:noProof/>
            <w:webHidden/>
          </w:rPr>
        </w:r>
        <w:r w:rsidR="00CE52D4">
          <w:rPr>
            <w:noProof/>
            <w:webHidden/>
          </w:rPr>
          <w:fldChar w:fldCharType="separate"/>
        </w:r>
        <w:r w:rsidR="0087794A">
          <w:rPr>
            <w:noProof/>
            <w:webHidden/>
          </w:rPr>
          <w:t>326</w:t>
        </w:r>
        <w:r w:rsidR="00CE52D4">
          <w:rPr>
            <w:noProof/>
            <w:webHidden/>
          </w:rPr>
          <w:fldChar w:fldCharType="end"/>
        </w:r>
      </w:hyperlink>
    </w:p>
    <w:p w14:paraId="7C4202BF" w14:textId="3E60AEE4" w:rsidR="00CE52D4" w:rsidRDefault="006E0533">
      <w:pPr>
        <w:pStyle w:val="TableofFigures"/>
        <w:tabs>
          <w:tab w:val="right" w:leader="dot" w:pos="9628"/>
        </w:tabs>
        <w:rPr>
          <w:rFonts w:eastAsiaTheme="minorEastAsia"/>
          <w:noProof/>
          <w:kern w:val="2"/>
          <w:lang w:val="en-US"/>
          <w14:ligatures w14:val="standardContextual"/>
        </w:rPr>
      </w:pPr>
      <w:hyperlink w:anchor="_Toc153545114" w:history="1">
        <w:r w:rsidR="00CE52D4" w:rsidRPr="007F51C3">
          <w:rPr>
            <w:rStyle w:val="Hyperlink"/>
            <w:noProof/>
          </w:rPr>
          <w:t>Table V.21: Installed Capacity of Wind Power Plants [GW]</w:t>
        </w:r>
        <w:r w:rsidR="00CE52D4">
          <w:rPr>
            <w:noProof/>
            <w:webHidden/>
          </w:rPr>
          <w:tab/>
        </w:r>
        <w:r w:rsidR="00CE52D4">
          <w:rPr>
            <w:noProof/>
            <w:webHidden/>
          </w:rPr>
          <w:fldChar w:fldCharType="begin"/>
        </w:r>
        <w:r w:rsidR="00CE52D4">
          <w:rPr>
            <w:noProof/>
            <w:webHidden/>
          </w:rPr>
          <w:instrText xml:space="preserve"> PAGEREF _Toc153545114 \h </w:instrText>
        </w:r>
        <w:r w:rsidR="00CE52D4">
          <w:rPr>
            <w:noProof/>
            <w:webHidden/>
          </w:rPr>
        </w:r>
        <w:r w:rsidR="00CE52D4">
          <w:rPr>
            <w:noProof/>
            <w:webHidden/>
          </w:rPr>
          <w:fldChar w:fldCharType="separate"/>
        </w:r>
        <w:r w:rsidR="0087794A">
          <w:rPr>
            <w:noProof/>
            <w:webHidden/>
          </w:rPr>
          <w:t>326</w:t>
        </w:r>
        <w:r w:rsidR="00CE52D4">
          <w:rPr>
            <w:noProof/>
            <w:webHidden/>
          </w:rPr>
          <w:fldChar w:fldCharType="end"/>
        </w:r>
      </w:hyperlink>
    </w:p>
    <w:p w14:paraId="0B704177" w14:textId="1C9D6996" w:rsidR="00CE52D4" w:rsidRDefault="006E0533">
      <w:pPr>
        <w:pStyle w:val="TableofFigures"/>
        <w:tabs>
          <w:tab w:val="right" w:leader="dot" w:pos="9628"/>
        </w:tabs>
        <w:rPr>
          <w:rFonts w:eastAsiaTheme="minorEastAsia"/>
          <w:noProof/>
          <w:kern w:val="2"/>
          <w:lang w:val="en-US"/>
          <w14:ligatures w14:val="standardContextual"/>
        </w:rPr>
      </w:pPr>
      <w:hyperlink w:anchor="_Toc153545115" w:history="1">
        <w:r w:rsidR="00CE52D4" w:rsidRPr="007F51C3">
          <w:rPr>
            <w:rStyle w:val="Hyperlink"/>
            <w:noProof/>
          </w:rPr>
          <w:t>Table V.22: Installed Capacity of PV Power Plants [GW]</w:t>
        </w:r>
        <w:r w:rsidR="00CE52D4">
          <w:rPr>
            <w:noProof/>
            <w:webHidden/>
          </w:rPr>
          <w:tab/>
        </w:r>
        <w:r w:rsidR="00CE52D4">
          <w:rPr>
            <w:noProof/>
            <w:webHidden/>
          </w:rPr>
          <w:fldChar w:fldCharType="begin"/>
        </w:r>
        <w:r w:rsidR="00CE52D4">
          <w:rPr>
            <w:noProof/>
            <w:webHidden/>
          </w:rPr>
          <w:instrText xml:space="preserve"> PAGEREF _Toc153545115 \h </w:instrText>
        </w:r>
        <w:r w:rsidR="00CE52D4">
          <w:rPr>
            <w:noProof/>
            <w:webHidden/>
          </w:rPr>
        </w:r>
        <w:r w:rsidR="00CE52D4">
          <w:rPr>
            <w:noProof/>
            <w:webHidden/>
          </w:rPr>
          <w:fldChar w:fldCharType="separate"/>
        </w:r>
        <w:r w:rsidR="0087794A">
          <w:rPr>
            <w:noProof/>
            <w:webHidden/>
          </w:rPr>
          <w:t>326</w:t>
        </w:r>
        <w:r w:rsidR="00CE52D4">
          <w:rPr>
            <w:noProof/>
            <w:webHidden/>
          </w:rPr>
          <w:fldChar w:fldCharType="end"/>
        </w:r>
      </w:hyperlink>
    </w:p>
    <w:p w14:paraId="6C8C313E" w14:textId="5035830D" w:rsidR="00CE52D4" w:rsidRDefault="006E0533">
      <w:pPr>
        <w:pStyle w:val="TableofFigures"/>
        <w:tabs>
          <w:tab w:val="right" w:leader="dot" w:pos="9628"/>
        </w:tabs>
        <w:rPr>
          <w:rFonts w:eastAsiaTheme="minorEastAsia"/>
          <w:noProof/>
          <w:kern w:val="2"/>
          <w:lang w:val="en-US"/>
          <w14:ligatures w14:val="standardContextual"/>
        </w:rPr>
      </w:pPr>
      <w:hyperlink w:anchor="_Toc153545116" w:history="1">
        <w:r w:rsidR="00CE52D4" w:rsidRPr="007F51C3">
          <w:rPr>
            <w:rStyle w:val="Hyperlink"/>
            <w:noProof/>
          </w:rPr>
          <w:t>Table V.23: Final Energy Consumption by Fuel [ktoe]</w:t>
        </w:r>
        <w:r w:rsidR="00CE52D4">
          <w:rPr>
            <w:noProof/>
            <w:webHidden/>
          </w:rPr>
          <w:tab/>
        </w:r>
        <w:r w:rsidR="00CE52D4">
          <w:rPr>
            <w:noProof/>
            <w:webHidden/>
          </w:rPr>
          <w:fldChar w:fldCharType="begin"/>
        </w:r>
        <w:r w:rsidR="00CE52D4">
          <w:rPr>
            <w:noProof/>
            <w:webHidden/>
          </w:rPr>
          <w:instrText xml:space="preserve"> PAGEREF _Toc153545116 \h </w:instrText>
        </w:r>
        <w:r w:rsidR="00CE52D4">
          <w:rPr>
            <w:noProof/>
            <w:webHidden/>
          </w:rPr>
        </w:r>
        <w:r w:rsidR="00CE52D4">
          <w:rPr>
            <w:noProof/>
            <w:webHidden/>
          </w:rPr>
          <w:fldChar w:fldCharType="separate"/>
        </w:r>
        <w:r w:rsidR="0087794A">
          <w:rPr>
            <w:noProof/>
            <w:webHidden/>
          </w:rPr>
          <w:t>326</w:t>
        </w:r>
        <w:r w:rsidR="00CE52D4">
          <w:rPr>
            <w:noProof/>
            <w:webHidden/>
          </w:rPr>
          <w:fldChar w:fldCharType="end"/>
        </w:r>
      </w:hyperlink>
    </w:p>
    <w:p w14:paraId="594A0E82" w14:textId="155BB326" w:rsidR="00CE52D4" w:rsidRDefault="006E0533">
      <w:pPr>
        <w:pStyle w:val="TableofFigures"/>
        <w:tabs>
          <w:tab w:val="right" w:leader="dot" w:pos="9628"/>
        </w:tabs>
        <w:rPr>
          <w:rFonts w:eastAsiaTheme="minorEastAsia"/>
          <w:noProof/>
          <w:kern w:val="2"/>
          <w:lang w:val="en-US"/>
          <w14:ligatures w14:val="standardContextual"/>
        </w:rPr>
      </w:pPr>
      <w:hyperlink w:anchor="_Toc153545117" w:history="1">
        <w:r w:rsidR="00CE52D4" w:rsidRPr="007F51C3">
          <w:rPr>
            <w:rStyle w:val="Hyperlink"/>
            <w:noProof/>
          </w:rPr>
          <w:t>Table V.24: Final Energy Consumption per Sector - Industry [ktoe]</w:t>
        </w:r>
        <w:r w:rsidR="00CE52D4">
          <w:rPr>
            <w:noProof/>
            <w:webHidden/>
          </w:rPr>
          <w:tab/>
        </w:r>
        <w:r w:rsidR="00CE52D4">
          <w:rPr>
            <w:noProof/>
            <w:webHidden/>
          </w:rPr>
          <w:fldChar w:fldCharType="begin"/>
        </w:r>
        <w:r w:rsidR="00CE52D4">
          <w:rPr>
            <w:noProof/>
            <w:webHidden/>
          </w:rPr>
          <w:instrText xml:space="preserve"> PAGEREF _Toc153545117 \h </w:instrText>
        </w:r>
        <w:r w:rsidR="00CE52D4">
          <w:rPr>
            <w:noProof/>
            <w:webHidden/>
          </w:rPr>
        </w:r>
        <w:r w:rsidR="00CE52D4">
          <w:rPr>
            <w:noProof/>
            <w:webHidden/>
          </w:rPr>
          <w:fldChar w:fldCharType="separate"/>
        </w:r>
        <w:r w:rsidR="0087794A">
          <w:rPr>
            <w:noProof/>
            <w:webHidden/>
          </w:rPr>
          <w:t>327</w:t>
        </w:r>
        <w:r w:rsidR="00CE52D4">
          <w:rPr>
            <w:noProof/>
            <w:webHidden/>
          </w:rPr>
          <w:fldChar w:fldCharType="end"/>
        </w:r>
      </w:hyperlink>
    </w:p>
    <w:p w14:paraId="091B7C27" w14:textId="54FD190B" w:rsidR="00CE52D4" w:rsidRDefault="006E0533">
      <w:pPr>
        <w:pStyle w:val="TableofFigures"/>
        <w:tabs>
          <w:tab w:val="right" w:leader="dot" w:pos="9628"/>
        </w:tabs>
        <w:rPr>
          <w:rFonts w:eastAsiaTheme="minorEastAsia"/>
          <w:noProof/>
          <w:kern w:val="2"/>
          <w:lang w:val="en-US"/>
          <w14:ligatures w14:val="standardContextual"/>
        </w:rPr>
      </w:pPr>
      <w:hyperlink w:anchor="_Toc153545118" w:history="1">
        <w:r w:rsidR="00CE52D4" w:rsidRPr="007F51C3">
          <w:rPr>
            <w:rStyle w:val="Hyperlink"/>
            <w:noProof/>
          </w:rPr>
          <w:t>Table V.25: Final Energy Consumption per Sector - Transport [ktoe]</w:t>
        </w:r>
        <w:r w:rsidR="00CE52D4">
          <w:rPr>
            <w:noProof/>
            <w:webHidden/>
          </w:rPr>
          <w:tab/>
        </w:r>
        <w:r w:rsidR="00CE52D4">
          <w:rPr>
            <w:noProof/>
            <w:webHidden/>
          </w:rPr>
          <w:fldChar w:fldCharType="begin"/>
        </w:r>
        <w:r w:rsidR="00CE52D4">
          <w:rPr>
            <w:noProof/>
            <w:webHidden/>
          </w:rPr>
          <w:instrText xml:space="preserve"> PAGEREF _Toc153545118 \h </w:instrText>
        </w:r>
        <w:r w:rsidR="00CE52D4">
          <w:rPr>
            <w:noProof/>
            <w:webHidden/>
          </w:rPr>
        </w:r>
        <w:r w:rsidR="00CE52D4">
          <w:rPr>
            <w:noProof/>
            <w:webHidden/>
          </w:rPr>
          <w:fldChar w:fldCharType="separate"/>
        </w:r>
        <w:r w:rsidR="0087794A">
          <w:rPr>
            <w:noProof/>
            <w:webHidden/>
          </w:rPr>
          <w:t>327</w:t>
        </w:r>
        <w:r w:rsidR="00CE52D4">
          <w:rPr>
            <w:noProof/>
            <w:webHidden/>
          </w:rPr>
          <w:fldChar w:fldCharType="end"/>
        </w:r>
      </w:hyperlink>
    </w:p>
    <w:p w14:paraId="7E769F5C" w14:textId="4814012A" w:rsidR="00CE52D4" w:rsidRDefault="006E0533">
      <w:pPr>
        <w:pStyle w:val="TableofFigures"/>
        <w:tabs>
          <w:tab w:val="right" w:leader="dot" w:pos="9628"/>
        </w:tabs>
        <w:rPr>
          <w:rFonts w:eastAsiaTheme="minorEastAsia"/>
          <w:noProof/>
          <w:kern w:val="2"/>
          <w:lang w:val="en-US"/>
          <w14:ligatures w14:val="standardContextual"/>
        </w:rPr>
      </w:pPr>
      <w:hyperlink w:anchor="_Toc153545119" w:history="1">
        <w:r w:rsidR="00CE52D4" w:rsidRPr="007F51C3">
          <w:rPr>
            <w:rStyle w:val="Hyperlink"/>
            <w:noProof/>
          </w:rPr>
          <w:t>Table V.26: Final Energy Consumption per Sector - Services [ktoe]</w:t>
        </w:r>
        <w:r w:rsidR="00CE52D4">
          <w:rPr>
            <w:noProof/>
            <w:webHidden/>
          </w:rPr>
          <w:tab/>
        </w:r>
        <w:r w:rsidR="00CE52D4">
          <w:rPr>
            <w:noProof/>
            <w:webHidden/>
          </w:rPr>
          <w:fldChar w:fldCharType="begin"/>
        </w:r>
        <w:r w:rsidR="00CE52D4">
          <w:rPr>
            <w:noProof/>
            <w:webHidden/>
          </w:rPr>
          <w:instrText xml:space="preserve"> PAGEREF _Toc153545119 \h </w:instrText>
        </w:r>
        <w:r w:rsidR="00CE52D4">
          <w:rPr>
            <w:noProof/>
            <w:webHidden/>
          </w:rPr>
        </w:r>
        <w:r w:rsidR="00CE52D4">
          <w:rPr>
            <w:noProof/>
            <w:webHidden/>
          </w:rPr>
          <w:fldChar w:fldCharType="separate"/>
        </w:r>
        <w:r w:rsidR="0087794A">
          <w:rPr>
            <w:noProof/>
            <w:webHidden/>
          </w:rPr>
          <w:t>327</w:t>
        </w:r>
        <w:r w:rsidR="00CE52D4">
          <w:rPr>
            <w:noProof/>
            <w:webHidden/>
          </w:rPr>
          <w:fldChar w:fldCharType="end"/>
        </w:r>
      </w:hyperlink>
    </w:p>
    <w:p w14:paraId="27CC794B" w14:textId="47E301E3" w:rsidR="00CE52D4" w:rsidRDefault="006E0533">
      <w:pPr>
        <w:pStyle w:val="TableofFigures"/>
        <w:tabs>
          <w:tab w:val="right" w:leader="dot" w:pos="9628"/>
        </w:tabs>
        <w:rPr>
          <w:rFonts w:eastAsiaTheme="minorEastAsia"/>
          <w:noProof/>
          <w:kern w:val="2"/>
          <w:lang w:val="en-US"/>
          <w14:ligatures w14:val="standardContextual"/>
        </w:rPr>
      </w:pPr>
      <w:hyperlink w:anchor="_Toc153545120" w:history="1">
        <w:r w:rsidR="00CE52D4" w:rsidRPr="007F51C3">
          <w:rPr>
            <w:rStyle w:val="Hyperlink"/>
            <w:noProof/>
          </w:rPr>
          <w:t>Table V.27: Final Energy Consumption per Sector - Residential [ktoe]</w:t>
        </w:r>
        <w:r w:rsidR="00CE52D4">
          <w:rPr>
            <w:noProof/>
            <w:webHidden/>
          </w:rPr>
          <w:tab/>
        </w:r>
        <w:r w:rsidR="00CE52D4">
          <w:rPr>
            <w:noProof/>
            <w:webHidden/>
          </w:rPr>
          <w:fldChar w:fldCharType="begin"/>
        </w:r>
        <w:r w:rsidR="00CE52D4">
          <w:rPr>
            <w:noProof/>
            <w:webHidden/>
          </w:rPr>
          <w:instrText xml:space="preserve"> PAGEREF _Toc153545120 \h </w:instrText>
        </w:r>
        <w:r w:rsidR="00CE52D4">
          <w:rPr>
            <w:noProof/>
            <w:webHidden/>
          </w:rPr>
        </w:r>
        <w:r w:rsidR="00CE52D4">
          <w:rPr>
            <w:noProof/>
            <w:webHidden/>
          </w:rPr>
          <w:fldChar w:fldCharType="separate"/>
        </w:r>
        <w:r w:rsidR="0087794A">
          <w:rPr>
            <w:noProof/>
            <w:webHidden/>
          </w:rPr>
          <w:t>327</w:t>
        </w:r>
        <w:r w:rsidR="00CE52D4">
          <w:rPr>
            <w:noProof/>
            <w:webHidden/>
          </w:rPr>
          <w:fldChar w:fldCharType="end"/>
        </w:r>
      </w:hyperlink>
    </w:p>
    <w:p w14:paraId="6A56093C" w14:textId="2B884F39" w:rsidR="00CE52D4" w:rsidRDefault="006E0533">
      <w:pPr>
        <w:pStyle w:val="TableofFigures"/>
        <w:tabs>
          <w:tab w:val="right" w:leader="dot" w:pos="9628"/>
        </w:tabs>
        <w:rPr>
          <w:rFonts w:eastAsiaTheme="minorEastAsia"/>
          <w:noProof/>
          <w:kern w:val="2"/>
          <w:lang w:val="en-US"/>
          <w14:ligatures w14:val="standardContextual"/>
        </w:rPr>
      </w:pPr>
      <w:hyperlink w:anchor="_Toc153545121" w:history="1">
        <w:r w:rsidR="00CE52D4" w:rsidRPr="007F51C3">
          <w:rPr>
            <w:rStyle w:val="Hyperlink"/>
            <w:noProof/>
          </w:rPr>
          <w:t>Table V.28: Final Energy Consumption per Sector - Agriculture [ktoe]</w:t>
        </w:r>
        <w:r w:rsidR="00CE52D4">
          <w:rPr>
            <w:noProof/>
            <w:webHidden/>
          </w:rPr>
          <w:tab/>
        </w:r>
        <w:r w:rsidR="00CE52D4">
          <w:rPr>
            <w:noProof/>
            <w:webHidden/>
          </w:rPr>
          <w:fldChar w:fldCharType="begin"/>
        </w:r>
        <w:r w:rsidR="00CE52D4">
          <w:rPr>
            <w:noProof/>
            <w:webHidden/>
          </w:rPr>
          <w:instrText xml:space="preserve"> PAGEREF _Toc153545121 \h </w:instrText>
        </w:r>
        <w:r w:rsidR="00CE52D4">
          <w:rPr>
            <w:noProof/>
            <w:webHidden/>
          </w:rPr>
        </w:r>
        <w:r w:rsidR="00CE52D4">
          <w:rPr>
            <w:noProof/>
            <w:webHidden/>
          </w:rPr>
          <w:fldChar w:fldCharType="separate"/>
        </w:r>
        <w:r w:rsidR="0087794A">
          <w:rPr>
            <w:noProof/>
            <w:webHidden/>
          </w:rPr>
          <w:t>328</w:t>
        </w:r>
        <w:r w:rsidR="00CE52D4">
          <w:rPr>
            <w:noProof/>
            <w:webHidden/>
          </w:rPr>
          <w:fldChar w:fldCharType="end"/>
        </w:r>
      </w:hyperlink>
    </w:p>
    <w:p w14:paraId="31996567" w14:textId="77777777" w:rsidR="00931D02" w:rsidRPr="00A33AE8" w:rsidRDefault="00CD2E1E">
      <w:pPr>
        <w:spacing w:line="259" w:lineRule="auto"/>
        <w:rPr>
          <w:rFonts w:ascii="Calibri Light" w:hAnsi="Calibri Light" w:cs="Calibri Light"/>
          <w:highlight w:val="yellow"/>
        </w:rPr>
      </w:pPr>
      <w:r w:rsidRPr="00A33AE8">
        <w:rPr>
          <w:rFonts w:ascii="Calibri Light" w:hAnsi="Calibri Light" w:cs="Calibri Light"/>
          <w:highlight w:val="yellow"/>
        </w:rPr>
        <w:fldChar w:fldCharType="end"/>
      </w:r>
      <w:bookmarkEnd w:id="10"/>
      <w:r w:rsidR="00931D02" w:rsidRPr="00A33AE8">
        <w:rPr>
          <w:rFonts w:ascii="Calibri Light" w:hAnsi="Calibri Light" w:cs="Calibri Light"/>
          <w:highlight w:val="yellow"/>
        </w:rPr>
        <w:br w:type="page"/>
      </w:r>
    </w:p>
    <w:p w14:paraId="64D3EFD7" w14:textId="77777777" w:rsidR="009069EE" w:rsidRPr="00A33AE8" w:rsidRDefault="009069EE" w:rsidP="009069EE">
      <w:pPr>
        <w:rPr>
          <w:rFonts w:asciiTheme="majorHAnsi" w:hAnsiTheme="majorHAnsi" w:cstheme="majorHAnsi"/>
          <w:sz w:val="52"/>
          <w:szCs w:val="52"/>
          <w:highlight w:val="green"/>
          <w:lang w:eastAsia="el-GR"/>
        </w:rPr>
      </w:pPr>
    </w:p>
    <w:p w14:paraId="31A4F9A0" w14:textId="77777777" w:rsidR="009069EE" w:rsidRPr="00A33AE8" w:rsidRDefault="009069EE" w:rsidP="009069EE">
      <w:pPr>
        <w:rPr>
          <w:rFonts w:asciiTheme="majorHAnsi" w:hAnsiTheme="majorHAnsi" w:cstheme="majorHAnsi"/>
          <w:sz w:val="52"/>
          <w:szCs w:val="52"/>
          <w:highlight w:val="green"/>
          <w:lang w:eastAsia="el-GR"/>
        </w:rPr>
      </w:pPr>
    </w:p>
    <w:p w14:paraId="210945E5" w14:textId="77777777" w:rsidR="009069EE" w:rsidRPr="00A33AE8" w:rsidRDefault="009069EE" w:rsidP="009069EE">
      <w:pPr>
        <w:rPr>
          <w:rFonts w:asciiTheme="majorHAnsi" w:hAnsiTheme="majorHAnsi" w:cstheme="majorHAnsi"/>
          <w:sz w:val="52"/>
          <w:szCs w:val="52"/>
          <w:highlight w:val="green"/>
          <w:lang w:eastAsia="el-GR"/>
        </w:rPr>
      </w:pPr>
    </w:p>
    <w:p w14:paraId="7BCB22B4" w14:textId="77777777" w:rsidR="009069EE" w:rsidRPr="00A33AE8" w:rsidRDefault="009069EE" w:rsidP="009069EE">
      <w:pPr>
        <w:rPr>
          <w:rFonts w:asciiTheme="majorHAnsi" w:hAnsiTheme="majorHAnsi" w:cstheme="majorHAnsi"/>
          <w:sz w:val="52"/>
          <w:szCs w:val="52"/>
          <w:highlight w:val="green"/>
          <w:lang w:eastAsia="el-GR"/>
        </w:rPr>
      </w:pPr>
    </w:p>
    <w:p w14:paraId="3AFF3C4A" w14:textId="77777777" w:rsidR="009069EE" w:rsidRPr="00A33AE8" w:rsidRDefault="009069EE" w:rsidP="009069EE">
      <w:pPr>
        <w:rPr>
          <w:rFonts w:asciiTheme="majorHAnsi" w:hAnsiTheme="majorHAnsi" w:cstheme="majorHAnsi"/>
          <w:sz w:val="52"/>
          <w:szCs w:val="52"/>
          <w:highlight w:val="green"/>
          <w:lang w:eastAsia="el-GR"/>
        </w:rPr>
      </w:pPr>
    </w:p>
    <w:p w14:paraId="6CB8C81C" w14:textId="77777777" w:rsidR="009069EE" w:rsidRPr="00A33AE8" w:rsidRDefault="009069EE" w:rsidP="009069EE">
      <w:pPr>
        <w:rPr>
          <w:rFonts w:asciiTheme="majorHAnsi" w:hAnsiTheme="majorHAnsi" w:cstheme="majorHAnsi"/>
          <w:sz w:val="52"/>
          <w:szCs w:val="52"/>
          <w:highlight w:val="green"/>
          <w:lang w:eastAsia="el-GR"/>
        </w:rPr>
      </w:pPr>
    </w:p>
    <w:p w14:paraId="07E1C33A" w14:textId="77777777" w:rsidR="009069EE" w:rsidRPr="00A33AE8" w:rsidRDefault="009069EE" w:rsidP="009069EE">
      <w:pPr>
        <w:rPr>
          <w:rFonts w:asciiTheme="majorHAnsi" w:hAnsiTheme="majorHAnsi" w:cstheme="majorHAnsi"/>
          <w:sz w:val="52"/>
          <w:szCs w:val="52"/>
          <w:highlight w:val="green"/>
          <w:lang w:eastAsia="el-GR"/>
        </w:rPr>
      </w:pPr>
    </w:p>
    <w:p w14:paraId="7B0B2EA8" w14:textId="77777777" w:rsidR="009069EE" w:rsidRPr="00A33AE8" w:rsidRDefault="009069EE" w:rsidP="009069EE">
      <w:pPr>
        <w:rPr>
          <w:rFonts w:asciiTheme="majorHAnsi" w:hAnsiTheme="majorHAnsi" w:cstheme="majorHAnsi"/>
          <w:sz w:val="52"/>
          <w:szCs w:val="52"/>
          <w:highlight w:val="green"/>
          <w:lang w:eastAsia="el-GR"/>
        </w:rPr>
      </w:pPr>
    </w:p>
    <w:p w14:paraId="7709D1C6" w14:textId="77777777" w:rsidR="00931D02" w:rsidRPr="00A33AE8" w:rsidRDefault="009069EE" w:rsidP="009069EE">
      <w:pPr>
        <w:spacing w:line="259" w:lineRule="auto"/>
        <w:rPr>
          <w:rFonts w:ascii="Calibri Light" w:hAnsi="Calibri Light" w:cs="Calibri Light"/>
          <w:highlight w:val="green"/>
        </w:rPr>
      </w:pPr>
      <w:r w:rsidRPr="00A33AE8">
        <w:rPr>
          <w:rFonts w:asciiTheme="majorHAnsi" w:hAnsiTheme="majorHAnsi" w:cstheme="majorHAnsi"/>
          <w:b/>
          <w:bCs/>
          <w:sz w:val="52"/>
          <w:szCs w:val="52"/>
          <w:lang w:eastAsia="el-GR"/>
        </w:rPr>
        <w:t xml:space="preserve">SECTION A: NATIONAL PLAN </w:t>
      </w:r>
      <w:r w:rsidR="00931D02" w:rsidRPr="00A33AE8">
        <w:rPr>
          <w:rFonts w:ascii="Calibri Light" w:hAnsi="Calibri Light" w:cs="Calibri Light"/>
          <w:highlight w:val="green"/>
        </w:rPr>
        <w:br w:type="page"/>
      </w:r>
    </w:p>
    <w:p w14:paraId="4EC184C0" w14:textId="77777777" w:rsidR="00931D02" w:rsidRPr="00A33AE8" w:rsidRDefault="00931D02" w:rsidP="00F26DA0">
      <w:pPr>
        <w:pStyle w:val="Heading1"/>
        <w:numPr>
          <w:ilvl w:val="0"/>
          <w:numId w:val="1"/>
        </w:numPr>
      </w:pPr>
      <w:bookmarkStart w:id="14" w:name="_Toc79772541"/>
      <w:bookmarkStart w:id="15" w:name="_Toc118991760"/>
      <w:bookmarkStart w:id="16" w:name="_Toc153545030"/>
      <w:r w:rsidRPr="00A33AE8">
        <w:lastRenderedPageBreak/>
        <w:t>OVERVIEW AND PROCESS FOR ESTABLISHING THE PLAN</w:t>
      </w:r>
      <w:bookmarkEnd w:id="14"/>
      <w:bookmarkEnd w:id="15"/>
      <w:bookmarkEnd w:id="16"/>
    </w:p>
    <w:p w14:paraId="710EA246" w14:textId="77777777" w:rsidR="00B759CC" w:rsidRPr="00A33AE8" w:rsidRDefault="00B759CC" w:rsidP="00B759CC">
      <w:pPr>
        <w:pStyle w:val="Heading2"/>
      </w:pPr>
      <w:bookmarkStart w:id="17" w:name="_Toc79772542"/>
      <w:bookmarkStart w:id="18" w:name="_Toc118991761"/>
      <w:bookmarkStart w:id="19" w:name="_Toc153545031"/>
      <w:r w:rsidRPr="00A33AE8">
        <w:t>Executive Summary</w:t>
      </w:r>
      <w:r w:rsidR="006E57AC" w:rsidRPr="00A33AE8">
        <w:t xml:space="preserve"> (overview</w:t>
      </w:r>
      <w:r w:rsidR="008B5F15" w:rsidRPr="00A33AE8">
        <w:t>/scope</w:t>
      </w:r>
      <w:r w:rsidR="006E57AC" w:rsidRPr="00A33AE8">
        <w:t xml:space="preserve"> of the plan)</w:t>
      </w:r>
      <w:bookmarkEnd w:id="17"/>
      <w:bookmarkEnd w:id="18"/>
      <w:bookmarkEnd w:id="19"/>
    </w:p>
    <w:p w14:paraId="5974402E" w14:textId="77777777" w:rsidR="00B759CC" w:rsidRPr="00A33AE8" w:rsidRDefault="00AC70D7" w:rsidP="00E92DF7">
      <w:pPr>
        <w:pStyle w:val="Heading4"/>
      </w:pPr>
      <w:r w:rsidRPr="00A33AE8">
        <w:t>Political, economic, environmental, and social context of the plan</w:t>
      </w:r>
    </w:p>
    <w:p w14:paraId="5BCEFC27" w14:textId="77777777" w:rsidR="00F73139" w:rsidRPr="00A33AE8" w:rsidRDefault="001D3864" w:rsidP="001D3864">
      <w:pPr>
        <w:pStyle w:val="LDKbody"/>
        <w:rPr>
          <w:rFonts w:asciiTheme="majorHAnsi" w:hAnsiTheme="majorHAnsi" w:cstheme="majorHAnsi"/>
          <w:lang w:val="en-GB"/>
        </w:rPr>
      </w:pPr>
      <w:r w:rsidRPr="00A33AE8">
        <w:rPr>
          <w:rFonts w:asciiTheme="majorHAnsi" w:hAnsiTheme="majorHAnsi" w:cstheme="majorHAnsi"/>
          <w:lang w:val="en-GB"/>
        </w:rPr>
        <w:t>In March 2012, the European Council granted</w:t>
      </w:r>
      <w:r w:rsidR="004B1A6B" w:rsidRPr="00A33AE8">
        <w:rPr>
          <w:rFonts w:asciiTheme="majorHAnsi" w:hAnsiTheme="majorHAnsi" w:cstheme="majorHAnsi"/>
          <w:lang w:val="en-GB"/>
        </w:rPr>
        <w:t xml:space="preserve"> the Republic of</w:t>
      </w:r>
      <w:r w:rsidRPr="00A33AE8">
        <w:rPr>
          <w:rFonts w:asciiTheme="majorHAnsi" w:hAnsiTheme="majorHAnsi" w:cstheme="majorHAnsi"/>
          <w:lang w:val="en-GB"/>
        </w:rPr>
        <w:t xml:space="preserve"> Serbia candidate country status</w:t>
      </w:r>
      <w:r w:rsidR="004B1A6B" w:rsidRPr="00A33AE8">
        <w:rPr>
          <w:rFonts w:asciiTheme="majorHAnsi" w:hAnsiTheme="majorHAnsi" w:cstheme="majorHAnsi"/>
          <w:lang w:val="en-GB"/>
        </w:rPr>
        <w:t xml:space="preserve">, while the decision of the European Council </w:t>
      </w:r>
      <w:r w:rsidR="006E009A" w:rsidRPr="00A33AE8">
        <w:rPr>
          <w:rFonts w:asciiTheme="majorHAnsi" w:hAnsiTheme="majorHAnsi" w:cstheme="majorHAnsi"/>
          <w:lang w:val="en-GB"/>
        </w:rPr>
        <w:t xml:space="preserve">from June 2013 </w:t>
      </w:r>
      <w:r w:rsidR="004B1A6B" w:rsidRPr="00A33AE8">
        <w:rPr>
          <w:rFonts w:asciiTheme="majorHAnsi" w:hAnsiTheme="majorHAnsi" w:cstheme="majorHAnsi"/>
          <w:lang w:val="en-GB"/>
        </w:rPr>
        <w:t>launch</w:t>
      </w:r>
      <w:r w:rsidR="006E009A" w:rsidRPr="00A33AE8">
        <w:rPr>
          <w:rFonts w:asciiTheme="majorHAnsi" w:hAnsiTheme="majorHAnsi" w:cstheme="majorHAnsi"/>
          <w:lang w:val="en-GB"/>
        </w:rPr>
        <w:t>ed</w:t>
      </w:r>
      <w:r w:rsidR="004B1A6B" w:rsidRPr="00A33AE8">
        <w:rPr>
          <w:rFonts w:asciiTheme="majorHAnsi" w:hAnsiTheme="majorHAnsi" w:cstheme="majorHAnsi"/>
          <w:lang w:val="en-GB"/>
        </w:rPr>
        <w:t xml:space="preserve"> accession negotiations with the Republic of Serbia. </w:t>
      </w:r>
      <w:r w:rsidR="00EB6074" w:rsidRPr="00A33AE8">
        <w:rPr>
          <w:rFonts w:asciiTheme="majorHAnsi" w:hAnsiTheme="majorHAnsi" w:cstheme="majorHAnsi"/>
          <w:lang w:val="en-GB"/>
        </w:rPr>
        <w:t xml:space="preserve">In 2014, the Berlin Process </w:t>
      </w:r>
      <w:r w:rsidR="007A4F31" w:rsidRPr="00A33AE8">
        <w:rPr>
          <w:rFonts w:asciiTheme="majorHAnsi" w:hAnsiTheme="majorHAnsi" w:cstheme="majorHAnsi"/>
          <w:lang w:val="en-GB"/>
        </w:rPr>
        <w:t>was</w:t>
      </w:r>
      <w:r w:rsidR="00EB6074" w:rsidRPr="00A33AE8">
        <w:rPr>
          <w:rFonts w:asciiTheme="majorHAnsi" w:hAnsiTheme="majorHAnsi" w:cstheme="majorHAnsi"/>
          <w:lang w:val="en-GB"/>
        </w:rPr>
        <w:t xml:space="preserve"> launched, as an initiative </w:t>
      </w:r>
      <w:r w:rsidR="00A402D6" w:rsidRPr="00A33AE8">
        <w:rPr>
          <w:rFonts w:asciiTheme="majorHAnsi" w:hAnsiTheme="majorHAnsi" w:cstheme="majorHAnsi"/>
          <w:lang w:val="en-GB"/>
        </w:rPr>
        <w:t xml:space="preserve">aiming </w:t>
      </w:r>
      <w:r w:rsidR="00EB6074" w:rsidRPr="00A33AE8">
        <w:rPr>
          <w:rFonts w:asciiTheme="majorHAnsi" w:hAnsiTheme="majorHAnsi" w:cstheme="majorHAnsi"/>
          <w:lang w:val="en-GB"/>
        </w:rPr>
        <w:t xml:space="preserve">at stepping up regional cooperation in the Western Balkans </w:t>
      </w:r>
      <w:r w:rsidR="00BE5DEF" w:rsidRPr="00A33AE8">
        <w:rPr>
          <w:rFonts w:asciiTheme="majorHAnsi" w:hAnsiTheme="majorHAnsi" w:cstheme="majorHAnsi"/>
          <w:lang w:val="en-GB"/>
        </w:rPr>
        <w:t xml:space="preserve">region </w:t>
      </w:r>
      <w:r w:rsidR="00EB6074" w:rsidRPr="00A33AE8">
        <w:rPr>
          <w:rFonts w:asciiTheme="majorHAnsi" w:hAnsiTheme="majorHAnsi" w:cstheme="majorHAnsi"/>
          <w:lang w:val="en-GB"/>
        </w:rPr>
        <w:t>and aiding the integration of countries into the European Union</w:t>
      </w:r>
      <w:r w:rsidR="00E258D4" w:rsidRPr="00A33AE8">
        <w:rPr>
          <w:rFonts w:asciiTheme="majorHAnsi" w:hAnsiTheme="majorHAnsi" w:cstheme="majorHAnsi"/>
          <w:lang w:val="en-GB"/>
        </w:rPr>
        <w:t xml:space="preserve"> (EU)</w:t>
      </w:r>
      <w:r w:rsidR="00EB6074" w:rsidRPr="00A33AE8">
        <w:rPr>
          <w:rFonts w:asciiTheme="majorHAnsi" w:hAnsiTheme="majorHAnsi" w:cstheme="majorHAnsi"/>
          <w:lang w:val="en-GB"/>
        </w:rPr>
        <w:t xml:space="preserve">. </w:t>
      </w:r>
      <w:r w:rsidR="00A402D6" w:rsidRPr="00A33AE8">
        <w:rPr>
          <w:rFonts w:asciiTheme="majorHAnsi" w:hAnsiTheme="majorHAnsi" w:cstheme="majorHAnsi"/>
          <w:lang w:val="en-GB"/>
        </w:rPr>
        <w:t xml:space="preserve">By gradually </w:t>
      </w:r>
      <w:r w:rsidR="001756C7" w:rsidRPr="00A33AE8">
        <w:rPr>
          <w:rFonts w:asciiTheme="majorHAnsi" w:hAnsiTheme="majorHAnsi" w:cstheme="majorHAnsi"/>
          <w:lang w:val="en-GB"/>
        </w:rPr>
        <w:t xml:space="preserve">harmonizing national legal framework with the EU acquis, the Republic of Serbia performed numerous legislative </w:t>
      </w:r>
      <w:r w:rsidR="005D5BE4" w:rsidRPr="00A33AE8">
        <w:rPr>
          <w:rFonts w:asciiTheme="majorHAnsi" w:hAnsiTheme="majorHAnsi" w:cstheme="majorHAnsi"/>
          <w:lang w:val="en-GB"/>
        </w:rPr>
        <w:t>alignments</w:t>
      </w:r>
      <w:r w:rsidR="001756C7" w:rsidRPr="00A33AE8">
        <w:rPr>
          <w:rFonts w:asciiTheme="majorHAnsi" w:hAnsiTheme="majorHAnsi" w:cstheme="majorHAnsi"/>
          <w:lang w:val="en-GB"/>
        </w:rPr>
        <w:t xml:space="preserve"> in the areas of climate change, environment and energy.</w:t>
      </w:r>
    </w:p>
    <w:p w14:paraId="2EAC3D09" w14:textId="0F7531AE" w:rsidR="00EB6074" w:rsidRPr="000007D2" w:rsidRDefault="000119B7" w:rsidP="0044319F">
      <w:pPr>
        <w:spacing w:after="0" w:line="240" w:lineRule="auto"/>
        <w:jc w:val="both"/>
        <w:rPr>
          <w:rFonts w:asciiTheme="majorHAnsi" w:hAnsiTheme="majorHAnsi" w:cstheme="majorHAnsi"/>
          <w:sz w:val="24"/>
          <w:szCs w:val="24"/>
          <w:lang w:eastAsia="en-GB"/>
        </w:rPr>
      </w:pPr>
      <w:r w:rsidRPr="00A33AE8">
        <w:rPr>
          <w:rFonts w:asciiTheme="majorHAnsi" w:hAnsiTheme="majorHAnsi" w:cstheme="majorHAnsi"/>
        </w:rPr>
        <w:t xml:space="preserve">Due to the </w:t>
      </w:r>
      <w:r w:rsidR="00897E59" w:rsidRPr="00A33AE8">
        <w:rPr>
          <w:rFonts w:asciiTheme="majorHAnsi" w:hAnsiTheme="majorHAnsi" w:cstheme="majorHAnsi"/>
        </w:rPr>
        <w:t xml:space="preserve">need </w:t>
      </w:r>
      <w:r w:rsidR="00A402D6" w:rsidRPr="00A33AE8">
        <w:rPr>
          <w:rFonts w:asciiTheme="majorHAnsi" w:hAnsiTheme="majorHAnsi" w:cstheme="majorHAnsi"/>
        </w:rPr>
        <w:t>to establish</w:t>
      </w:r>
      <w:r w:rsidR="00897E59" w:rsidRPr="00A33AE8">
        <w:rPr>
          <w:rFonts w:asciiTheme="majorHAnsi" w:hAnsiTheme="majorHAnsi" w:cstheme="majorHAnsi"/>
        </w:rPr>
        <w:t xml:space="preserve"> the global framework to avoid dangerous climate change by limiting global warming to well below 2°C and </w:t>
      </w:r>
      <w:r w:rsidR="00A402D6" w:rsidRPr="00A33AE8">
        <w:rPr>
          <w:rFonts w:asciiTheme="majorHAnsi" w:hAnsiTheme="majorHAnsi" w:cstheme="majorHAnsi"/>
        </w:rPr>
        <w:t xml:space="preserve">the </w:t>
      </w:r>
      <w:r w:rsidR="00897E59" w:rsidRPr="00A33AE8">
        <w:rPr>
          <w:rFonts w:asciiTheme="majorHAnsi" w:hAnsiTheme="majorHAnsi" w:cstheme="majorHAnsi"/>
        </w:rPr>
        <w:t xml:space="preserve">pursuing efforts to limit it to 1.5°C, the </w:t>
      </w:r>
      <w:r w:rsidRPr="00A33AE8">
        <w:rPr>
          <w:rFonts w:asciiTheme="majorHAnsi" w:hAnsiTheme="majorHAnsi" w:cstheme="majorHAnsi"/>
        </w:rPr>
        <w:t>multilateral climate change process</w:t>
      </w:r>
      <w:r w:rsidR="004F6118" w:rsidRPr="00A33AE8">
        <w:rPr>
          <w:rFonts w:asciiTheme="majorHAnsi" w:hAnsiTheme="majorHAnsi" w:cstheme="majorHAnsi"/>
        </w:rPr>
        <w:t xml:space="preserve"> </w:t>
      </w:r>
      <w:r w:rsidR="007A4F31" w:rsidRPr="00A33AE8">
        <w:rPr>
          <w:rFonts w:asciiTheme="majorHAnsi" w:hAnsiTheme="majorHAnsi" w:cstheme="majorHAnsi"/>
        </w:rPr>
        <w:t>was</w:t>
      </w:r>
      <w:r w:rsidR="00897E59" w:rsidRPr="00A33AE8">
        <w:rPr>
          <w:rFonts w:asciiTheme="majorHAnsi" w:hAnsiTheme="majorHAnsi" w:cstheme="majorHAnsi"/>
        </w:rPr>
        <w:t xml:space="preserve"> initiated in 2015. </w:t>
      </w:r>
      <w:r w:rsidR="00D76F81" w:rsidRPr="00A33AE8">
        <w:rPr>
          <w:rFonts w:asciiTheme="majorHAnsi" w:hAnsiTheme="majorHAnsi" w:cstheme="majorHAnsi"/>
        </w:rPr>
        <w:t>Thus, a</w:t>
      </w:r>
      <w:r w:rsidR="00897E59" w:rsidRPr="00A33AE8">
        <w:rPr>
          <w:rFonts w:asciiTheme="majorHAnsi" w:hAnsiTheme="majorHAnsi" w:cstheme="majorHAnsi"/>
        </w:rPr>
        <w:t xml:space="preserve">t the Paris climate conference (COP21), </w:t>
      </w:r>
      <w:r w:rsidR="005853E2" w:rsidRPr="00A33AE8">
        <w:rPr>
          <w:rFonts w:asciiTheme="majorHAnsi" w:hAnsiTheme="majorHAnsi" w:cstheme="majorHAnsi"/>
        </w:rPr>
        <w:t>t</w:t>
      </w:r>
      <w:r w:rsidR="00EB6074" w:rsidRPr="00A33AE8">
        <w:rPr>
          <w:rFonts w:asciiTheme="majorHAnsi" w:hAnsiTheme="majorHAnsi" w:cstheme="majorHAnsi"/>
        </w:rPr>
        <w:t xml:space="preserve">he Paris Agreement </w:t>
      </w:r>
      <w:r w:rsidR="005853E2" w:rsidRPr="00A33AE8">
        <w:rPr>
          <w:rFonts w:asciiTheme="majorHAnsi" w:hAnsiTheme="majorHAnsi" w:cstheme="majorHAnsi"/>
        </w:rPr>
        <w:t xml:space="preserve">was adopted as </w:t>
      </w:r>
      <w:r w:rsidR="00EB6074" w:rsidRPr="00A33AE8">
        <w:rPr>
          <w:rFonts w:asciiTheme="majorHAnsi" w:hAnsiTheme="majorHAnsi" w:cstheme="majorHAnsi"/>
        </w:rPr>
        <w:t xml:space="preserve">a </w:t>
      </w:r>
      <w:r w:rsidR="005853E2" w:rsidRPr="00A33AE8">
        <w:rPr>
          <w:rFonts w:asciiTheme="majorHAnsi" w:hAnsiTheme="majorHAnsi" w:cstheme="majorHAnsi"/>
        </w:rPr>
        <w:t xml:space="preserve">first-ever universal legally binding international treaty on climate change. Prior to the COP21, the Republic of Serbia </w:t>
      </w:r>
      <w:r w:rsidR="00A402D6" w:rsidRPr="00A33AE8">
        <w:rPr>
          <w:rFonts w:asciiTheme="majorHAnsi" w:hAnsiTheme="majorHAnsi" w:cstheme="majorHAnsi"/>
        </w:rPr>
        <w:t xml:space="preserve">had </w:t>
      </w:r>
      <w:r w:rsidR="005853E2" w:rsidRPr="00A33AE8">
        <w:rPr>
          <w:rFonts w:asciiTheme="majorHAnsi" w:hAnsiTheme="majorHAnsi" w:cstheme="majorHAnsi"/>
        </w:rPr>
        <w:t xml:space="preserve">submitted </w:t>
      </w:r>
      <w:r w:rsidR="005853E2" w:rsidRPr="00A33AE8">
        <w:rPr>
          <w:rFonts w:asciiTheme="majorHAnsi" w:hAnsiTheme="majorHAnsi" w:cstheme="majorHAnsi"/>
          <w:b/>
          <w:bCs/>
        </w:rPr>
        <w:t>Intended National Determined Contribution (INDC)</w:t>
      </w:r>
      <w:r w:rsidR="005853E2" w:rsidRPr="00A33AE8">
        <w:rPr>
          <w:rFonts w:asciiTheme="majorHAnsi" w:hAnsiTheme="majorHAnsi" w:cstheme="majorHAnsi"/>
        </w:rPr>
        <w:t xml:space="preserve"> to the United Nations Framework for </w:t>
      </w:r>
      <w:r w:rsidR="00D76F81" w:rsidRPr="00A33AE8">
        <w:rPr>
          <w:rFonts w:asciiTheme="majorHAnsi" w:hAnsiTheme="majorHAnsi" w:cstheme="majorHAnsi"/>
        </w:rPr>
        <w:t xml:space="preserve">Convention on Climate Change (UNFCCC), declaring the </w:t>
      </w:r>
      <w:r w:rsidR="00A402D6" w:rsidRPr="00A33AE8">
        <w:rPr>
          <w:rFonts w:asciiTheme="majorHAnsi" w:hAnsiTheme="majorHAnsi" w:cstheme="majorHAnsi"/>
        </w:rPr>
        <w:t xml:space="preserve">country’s </w:t>
      </w:r>
      <w:r w:rsidR="00D76F81" w:rsidRPr="00A33AE8">
        <w:rPr>
          <w:rFonts w:asciiTheme="majorHAnsi" w:hAnsiTheme="majorHAnsi" w:cstheme="majorHAnsi"/>
        </w:rPr>
        <w:t xml:space="preserve">contribution to the global efforts for </w:t>
      </w:r>
      <w:r w:rsidR="004A3801" w:rsidRPr="00A33AE8">
        <w:rPr>
          <w:rFonts w:asciiTheme="majorHAnsi" w:hAnsiTheme="majorHAnsi" w:cstheme="majorHAnsi"/>
        </w:rPr>
        <w:t>greenhouse gas (</w:t>
      </w:r>
      <w:r w:rsidR="00D76F81" w:rsidRPr="00A33AE8">
        <w:rPr>
          <w:rFonts w:asciiTheme="majorHAnsi" w:hAnsiTheme="majorHAnsi" w:cstheme="majorHAnsi"/>
        </w:rPr>
        <w:t>GHG</w:t>
      </w:r>
      <w:r w:rsidR="004A3801" w:rsidRPr="00A33AE8">
        <w:rPr>
          <w:rFonts w:asciiTheme="majorHAnsi" w:hAnsiTheme="majorHAnsi" w:cstheme="majorHAnsi"/>
        </w:rPr>
        <w:t>)</w:t>
      </w:r>
      <w:r w:rsidR="00D76F81" w:rsidRPr="00A33AE8">
        <w:rPr>
          <w:rFonts w:asciiTheme="majorHAnsi" w:hAnsiTheme="majorHAnsi" w:cstheme="majorHAnsi"/>
        </w:rPr>
        <w:t xml:space="preserve"> emissions reduction through: “</w:t>
      </w:r>
      <w:r w:rsidR="00D76F81" w:rsidRPr="00A33AE8">
        <w:rPr>
          <w:rFonts w:asciiTheme="majorHAnsi" w:hAnsiTheme="majorHAnsi" w:cstheme="majorHAnsi"/>
          <w:i/>
          <w:iCs/>
        </w:rPr>
        <w:t>GHG emission reduction by 9,8% until 2030 compared to base-year (1990) emissions</w:t>
      </w:r>
      <w:r w:rsidR="00D76F81" w:rsidRPr="00A33AE8">
        <w:rPr>
          <w:rFonts w:asciiTheme="majorHAnsi" w:hAnsiTheme="majorHAnsi" w:cstheme="majorHAnsi"/>
        </w:rPr>
        <w:t>“.</w:t>
      </w:r>
      <w:r w:rsidR="004F6118" w:rsidRPr="00A33AE8">
        <w:rPr>
          <w:rFonts w:asciiTheme="majorHAnsi" w:hAnsiTheme="majorHAnsi" w:cstheme="majorHAnsi"/>
        </w:rPr>
        <w:t xml:space="preserve"> </w:t>
      </w:r>
      <w:r w:rsidR="00B020D2" w:rsidRPr="00A33AE8">
        <w:rPr>
          <w:rFonts w:asciiTheme="majorHAnsi" w:hAnsiTheme="majorHAnsi" w:cstheme="majorHAnsi"/>
        </w:rPr>
        <w:t xml:space="preserve">Following that, </w:t>
      </w:r>
      <w:r w:rsidR="00616221" w:rsidRPr="00A33AE8">
        <w:rPr>
          <w:rFonts w:asciiTheme="majorHAnsi" w:hAnsiTheme="majorHAnsi" w:cstheme="majorHAnsi"/>
        </w:rPr>
        <w:t xml:space="preserve">the Republic of Serbia ratified the Paris Agreement </w:t>
      </w:r>
      <w:r w:rsidR="00B020D2" w:rsidRPr="00A33AE8">
        <w:rPr>
          <w:rFonts w:asciiTheme="majorHAnsi" w:hAnsiTheme="majorHAnsi" w:cstheme="majorHAnsi"/>
        </w:rPr>
        <w:t>in 2017.</w:t>
      </w:r>
      <w:r w:rsidR="009B7CF3" w:rsidRPr="00A33AE8">
        <w:rPr>
          <w:rFonts w:asciiTheme="majorHAnsi" w:hAnsiTheme="majorHAnsi" w:cstheme="majorHAnsi"/>
        </w:rPr>
        <w:t xml:space="preserve"> </w:t>
      </w:r>
      <w:r w:rsidR="009B7CF3" w:rsidRPr="00A33AE8">
        <w:rPr>
          <w:rFonts w:asciiTheme="majorHAnsi" w:hAnsiTheme="majorHAnsi" w:cstheme="majorHAnsi"/>
          <w:b/>
          <w:bCs/>
        </w:rPr>
        <w:t>Second National Determined Contribution (NDC)</w:t>
      </w:r>
      <w:r w:rsidR="009B7CF3" w:rsidRPr="00A33AE8">
        <w:rPr>
          <w:rFonts w:asciiTheme="majorHAnsi" w:hAnsiTheme="majorHAnsi" w:cstheme="majorHAnsi"/>
        </w:rPr>
        <w:t xml:space="preserve"> was submitted in August 2022, defining the reduction of </w:t>
      </w:r>
      <w:r w:rsidR="009479C7" w:rsidRPr="000007D2">
        <w:rPr>
          <w:rFonts w:asciiTheme="majorHAnsi" w:hAnsiTheme="majorHAnsi" w:cstheme="majorHAnsi"/>
        </w:rPr>
        <w:t>13.2% compared to 2010 level i.e. 33,3% compared to 1990 by 2030</w:t>
      </w:r>
      <w:r w:rsidR="00C77C11" w:rsidRPr="000007D2">
        <w:rPr>
          <w:rFonts w:asciiTheme="majorHAnsi" w:hAnsiTheme="majorHAnsi" w:cstheme="majorHAnsi"/>
        </w:rPr>
        <w:t xml:space="preserve"> (without LULUCF)</w:t>
      </w:r>
      <w:r w:rsidR="00525914" w:rsidRPr="000007D2">
        <w:rPr>
          <w:rFonts w:asciiTheme="majorHAnsi" w:hAnsiTheme="majorHAnsi" w:cstheme="majorHAnsi"/>
        </w:rPr>
        <w:t>.</w:t>
      </w:r>
    </w:p>
    <w:p w14:paraId="20AE4615" w14:textId="48C6D974" w:rsidR="00F51F72" w:rsidRPr="00A33AE8" w:rsidRDefault="00A27F97" w:rsidP="00F51F72">
      <w:pPr>
        <w:pStyle w:val="LDKbody"/>
        <w:rPr>
          <w:rFonts w:asciiTheme="majorHAnsi" w:hAnsiTheme="majorHAnsi" w:cstheme="majorHAnsi"/>
          <w:lang w:val="en-GB"/>
        </w:rPr>
      </w:pPr>
      <w:r w:rsidRPr="00A33AE8">
        <w:rPr>
          <w:rFonts w:asciiTheme="majorHAnsi" w:hAnsiTheme="majorHAnsi" w:cstheme="majorHAnsi"/>
          <w:lang w:val="en-GB" w:bidi="he-IL"/>
        </w:rPr>
        <w:t xml:space="preserve">In November 2020, the Republic of Serbia signed </w:t>
      </w:r>
      <w:r w:rsidR="00A402D6" w:rsidRPr="00A33AE8">
        <w:rPr>
          <w:rFonts w:asciiTheme="majorHAnsi" w:hAnsiTheme="majorHAnsi" w:cstheme="majorHAnsi"/>
          <w:lang w:val="en-GB" w:bidi="he-IL"/>
        </w:rPr>
        <w:t xml:space="preserve">the </w:t>
      </w:r>
      <w:r w:rsidRPr="00A33AE8">
        <w:rPr>
          <w:rFonts w:asciiTheme="majorHAnsi" w:hAnsiTheme="majorHAnsi" w:cstheme="majorHAnsi"/>
          <w:b/>
          <w:bCs/>
          <w:lang w:val="en-GB" w:bidi="he-IL"/>
        </w:rPr>
        <w:t>Sofia Declaration on the Green Agenda for the Western Balkans</w:t>
      </w:r>
      <w:r w:rsidRPr="00A33AE8">
        <w:rPr>
          <w:rFonts w:asciiTheme="majorHAnsi" w:hAnsiTheme="majorHAnsi" w:cstheme="majorHAnsi"/>
          <w:lang w:val="en-GB" w:bidi="he-IL"/>
        </w:rPr>
        <w:t xml:space="preserve"> at the Western Balkans Summit under the framework of the Berlin Process initiative</w:t>
      </w:r>
      <w:r w:rsidR="00A402D6" w:rsidRPr="00A33AE8">
        <w:rPr>
          <w:rFonts w:asciiTheme="majorHAnsi" w:hAnsiTheme="majorHAnsi" w:cstheme="majorHAnsi"/>
          <w:lang w:val="en-GB" w:bidi="he-IL"/>
        </w:rPr>
        <w:t xml:space="preserve"> and committed </w:t>
      </w:r>
      <w:r w:rsidRPr="00A33AE8">
        <w:rPr>
          <w:rFonts w:asciiTheme="majorHAnsi" w:hAnsiTheme="majorHAnsi" w:cstheme="majorHAnsi"/>
          <w:lang w:val="en-GB" w:bidi="he-IL"/>
        </w:rPr>
        <w:t>to work towards the 2050 target of a carbon-neutral continent together with the European Union</w:t>
      </w:r>
      <w:r w:rsidR="00A402D6" w:rsidRPr="00A33AE8">
        <w:rPr>
          <w:rFonts w:asciiTheme="majorHAnsi" w:hAnsiTheme="majorHAnsi" w:cstheme="majorHAnsi"/>
          <w:lang w:val="en-GB" w:bidi="he-IL"/>
        </w:rPr>
        <w:t xml:space="preserve">. </w:t>
      </w:r>
      <w:r w:rsidR="00070B86" w:rsidRPr="00A33AE8">
        <w:rPr>
          <w:rFonts w:asciiTheme="majorHAnsi" w:hAnsiTheme="majorHAnsi" w:cstheme="majorHAnsi"/>
          <w:lang w:val="en-GB"/>
        </w:rPr>
        <w:t xml:space="preserve">At the </w:t>
      </w:r>
      <w:r w:rsidR="005D5BE4" w:rsidRPr="00A33AE8">
        <w:rPr>
          <w:rFonts w:asciiTheme="majorHAnsi" w:hAnsiTheme="majorHAnsi" w:cstheme="majorHAnsi"/>
          <w:lang w:val="en-GB"/>
        </w:rPr>
        <w:t>beginning</w:t>
      </w:r>
      <w:r w:rsidR="00070B86" w:rsidRPr="00A33AE8">
        <w:rPr>
          <w:rFonts w:asciiTheme="majorHAnsi" w:hAnsiTheme="majorHAnsi" w:cstheme="majorHAnsi"/>
          <w:lang w:val="en-GB"/>
        </w:rPr>
        <w:t xml:space="preserve"> of 2021, the Republic of Serbia introduced the reforms of the national legal framework regarding energy and climate change, as the starting </w:t>
      </w:r>
      <w:r w:rsidR="00A402D6" w:rsidRPr="00A33AE8">
        <w:rPr>
          <w:rFonts w:asciiTheme="majorHAnsi" w:hAnsiTheme="majorHAnsi" w:cstheme="majorHAnsi"/>
          <w:lang w:val="en-GB"/>
        </w:rPr>
        <w:t xml:space="preserve">point </w:t>
      </w:r>
      <w:r w:rsidR="00070B86" w:rsidRPr="00A33AE8">
        <w:rPr>
          <w:rFonts w:asciiTheme="majorHAnsi" w:hAnsiTheme="majorHAnsi" w:cstheme="majorHAnsi"/>
          <w:lang w:val="en-GB"/>
        </w:rPr>
        <w:t>for the energy transition process towards climate neutral development</w:t>
      </w:r>
      <w:r w:rsidR="00731F1A" w:rsidRPr="00A33AE8">
        <w:rPr>
          <w:rFonts w:asciiTheme="majorHAnsi" w:hAnsiTheme="majorHAnsi" w:cstheme="majorHAnsi"/>
          <w:lang w:val="en-GB"/>
        </w:rPr>
        <w:t xml:space="preserve">. </w:t>
      </w:r>
      <w:r w:rsidR="00402E5D" w:rsidRPr="00A33AE8">
        <w:rPr>
          <w:rFonts w:asciiTheme="majorHAnsi" w:hAnsiTheme="majorHAnsi" w:cstheme="majorHAnsi"/>
          <w:lang w:val="en-GB"/>
        </w:rPr>
        <w:t xml:space="preserve">A more complete harmonisation has been made with the regulations of the Third Energy Package of the EU energy legislation and certain provisions of the EU package Clean Energy for All Europeans. The Republic of Serbia adopted a new legislative package </w:t>
      </w:r>
      <w:r w:rsidR="007A4F31" w:rsidRPr="00A33AE8">
        <w:rPr>
          <w:rFonts w:asciiTheme="majorHAnsi" w:hAnsiTheme="majorHAnsi" w:cstheme="majorHAnsi"/>
          <w:lang w:val="en-GB"/>
        </w:rPr>
        <w:t xml:space="preserve">consisting </w:t>
      </w:r>
      <w:r w:rsidR="00402E5D" w:rsidRPr="00A33AE8">
        <w:rPr>
          <w:rFonts w:asciiTheme="majorHAnsi" w:hAnsiTheme="majorHAnsi" w:cstheme="majorHAnsi"/>
          <w:lang w:val="en-GB"/>
        </w:rPr>
        <w:t xml:space="preserve">of </w:t>
      </w:r>
      <w:r w:rsidR="00402E5D" w:rsidRPr="00A33AE8">
        <w:rPr>
          <w:rFonts w:asciiTheme="majorHAnsi" w:hAnsiTheme="majorHAnsi" w:cstheme="majorHAnsi"/>
          <w:b/>
          <w:bCs/>
          <w:lang w:val="en-GB"/>
        </w:rPr>
        <w:t>Amendments to Law of Energy</w:t>
      </w:r>
      <w:r w:rsidR="00402E5D" w:rsidRPr="00A33AE8">
        <w:rPr>
          <w:rStyle w:val="FootnoteReference"/>
          <w:rFonts w:asciiTheme="majorHAnsi" w:hAnsiTheme="majorHAnsi" w:cstheme="majorHAnsi"/>
          <w:b/>
          <w:bCs/>
        </w:rPr>
        <w:footnoteReference w:id="2"/>
      </w:r>
      <w:r w:rsidR="00402E5D" w:rsidRPr="00A33AE8">
        <w:rPr>
          <w:rFonts w:asciiTheme="majorHAnsi" w:hAnsiTheme="majorHAnsi" w:cstheme="majorHAnsi"/>
          <w:lang w:val="en-GB"/>
        </w:rPr>
        <w:t xml:space="preserve">, </w:t>
      </w:r>
      <w:r w:rsidR="00402E5D" w:rsidRPr="00A33AE8">
        <w:rPr>
          <w:rFonts w:asciiTheme="majorHAnsi" w:hAnsiTheme="majorHAnsi" w:cstheme="majorHAnsi"/>
          <w:b/>
          <w:bCs/>
          <w:lang w:val="en-GB"/>
        </w:rPr>
        <w:t>Law on Energy Efficiency and Rational Use of Energy</w:t>
      </w:r>
      <w:r w:rsidR="00402E5D" w:rsidRPr="00A33AE8">
        <w:rPr>
          <w:rStyle w:val="FootnoteReference"/>
          <w:rFonts w:asciiTheme="majorHAnsi" w:hAnsiTheme="majorHAnsi" w:cstheme="majorHAnsi"/>
          <w:b/>
          <w:bCs/>
        </w:rPr>
        <w:footnoteReference w:id="3"/>
      </w:r>
      <w:r w:rsidR="00402E5D" w:rsidRPr="00A33AE8">
        <w:rPr>
          <w:rFonts w:asciiTheme="majorHAnsi" w:hAnsiTheme="majorHAnsi" w:cstheme="majorHAnsi"/>
          <w:lang w:val="en-GB"/>
        </w:rPr>
        <w:t xml:space="preserve">, </w:t>
      </w:r>
      <w:r w:rsidR="00402E5D" w:rsidRPr="00A33AE8">
        <w:rPr>
          <w:rFonts w:asciiTheme="majorHAnsi" w:hAnsiTheme="majorHAnsi" w:cstheme="majorHAnsi"/>
          <w:b/>
          <w:bCs/>
          <w:lang w:val="en-GB"/>
        </w:rPr>
        <w:t>Law on Use of Renewable Energy Sources</w:t>
      </w:r>
      <w:r w:rsidR="00402E5D" w:rsidRPr="00A33AE8">
        <w:rPr>
          <w:rStyle w:val="FootnoteReference"/>
          <w:rFonts w:asciiTheme="majorHAnsi" w:hAnsiTheme="majorHAnsi" w:cstheme="majorHAnsi"/>
          <w:b/>
          <w:bCs/>
        </w:rPr>
        <w:footnoteReference w:id="4"/>
      </w:r>
      <w:r w:rsidR="00402E5D" w:rsidRPr="00A33AE8">
        <w:rPr>
          <w:rFonts w:asciiTheme="majorHAnsi" w:hAnsiTheme="majorHAnsi" w:cstheme="majorHAnsi"/>
          <w:lang w:val="en-GB"/>
        </w:rPr>
        <w:t xml:space="preserve">, </w:t>
      </w:r>
      <w:r w:rsidR="00402E5D" w:rsidRPr="00A33AE8">
        <w:rPr>
          <w:rFonts w:asciiTheme="majorHAnsi" w:hAnsiTheme="majorHAnsi"/>
          <w:lang w:val="en-GB"/>
        </w:rPr>
        <w:t xml:space="preserve">Amendments to Law on </w:t>
      </w:r>
      <w:r w:rsidR="003521C9" w:rsidRPr="00A33AE8">
        <w:rPr>
          <w:rFonts w:asciiTheme="majorHAnsi" w:hAnsiTheme="majorHAnsi" w:cstheme="majorHAnsi"/>
          <w:lang w:val="en-GB"/>
        </w:rPr>
        <w:t>Use of RES</w:t>
      </w:r>
      <w:r w:rsidR="00555FC1" w:rsidRPr="00A33AE8">
        <w:rPr>
          <w:rStyle w:val="FootnoteReference"/>
          <w:rFonts w:asciiTheme="majorHAnsi" w:hAnsiTheme="majorHAnsi" w:cstheme="majorHAnsi"/>
        </w:rPr>
        <w:footnoteReference w:id="5"/>
      </w:r>
      <w:r w:rsidR="003521C9" w:rsidRPr="00A33AE8">
        <w:rPr>
          <w:rFonts w:asciiTheme="majorHAnsi" w:hAnsiTheme="majorHAnsi" w:cstheme="majorHAnsi"/>
          <w:lang w:val="en-GB"/>
        </w:rPr>
        <w:t xml:space="preserve">, </w:t>
      </w:r>
      <w:r w:rsidR="00402E5D" w:rsidRPr="00A33AE8">
        <w:rPr>
          <w:rFonts w:asciiTheme="majorHAnsi" w:hAnsiTheme="majorHAnsi" w:cstheme="majorHAnsi"/>
          <w:b/>
          <w:bCs/>
          <w:lang w:val="en-GB"/>
        </w:rPr>
        <w:t>Amendments to Law on Mining and Geological Research</w:t>
      </w:r>
      <w:r w:rsidR="00402E5D" w:rsidRPr="00A33AE8">
        <w:rPr>
          <w:rStyle w:val="FootnoteReference"/>
          <w:rFonts w:asciiTheme="majorHAnsi" w:hAnsiTheme="majorHAnsi" w:cstheme="majorHAnsi"/>
          <w:b/>
          <w:bCs/>
        </w:rPr>
        <w:footnoteReference w:id="6"/>
      </w:r>
      <w:r w:rsidR="00402E5D" w:rsidRPr="00A33AE8">
        <w:rPr>
          <w:rFonts w:asciiTheme="majorHAnsi" w:hAnsiTheme="majorHAnsi" w:cstheme="majorHAnsi"/>
          <w:lang w:val="en-GB"/>
        </w:rPr>
        <w:t xml:space="preserve">, as well as the </w:t>
      </w:r>
      <w:r w:rsidR="00402E5D" w:rsidRPr="00A33AE8">
        <w:rPr>
          <w:rFonts w:asciiTheme="majorHAnsi" w:hAnsiTheme="majorHAnsi" w:cstheme="majorHAnsi"/>
          <w:b/>
          <w:bCs/>
          <w:lang w:val="en-GB"/>
        </w:rPr>
        <w:t>Law on Climate Change</w:t>
      </w:r>
      <w:r w:rsidR="00402E5D" w:rsidRPr="00A33AE8">
        <w:rPr>
          <w:rStyle w:val="FootnoteReference"/>
          <w:rFonts w:asciiTheme="majorHAnsi" w:hAnsiTheme="majorHAnsi" w:cstheme="majorHAnsi"/>
          <w:b/>
          <w:bCs/>
        </w:rPr>
        <w:footnoteReference w:id="7"/>
      </w:r>
      <w:r w:rsidR="00402E5D" w:rsidRPr="00A33AE8">
        <w:rPr>
          <w:rFonts w:asciiTheme="majorHAnsi" w:hAnsiTheme="majorHAnsi" w:cstheme="majorHAnsi"/>
          <w:lang w:val="en-GB"/>
        </w:rPr>
        <w:t>.</w:t>
      </w:r>
    </w:p>
    <w:p w14:paraId="58C355DD" w14:textId="77777777" w:rsidR="00225C35" w:rsidRPr="000007D2" w:rsidRDefault="00225C35" w:rsidP="00B759CC">
      <w:pPr>
        <w:pStyle w:val="LDKbody"/>
        <w:rPr>
          <w:rStyle w:val="fontstyle01"/>
          <w:rFonts w:asciiTheme="majorHAnsi" w:eastAsiaTheme="majorEastAsia" w:hAnsiTheme="majorHAnsi" w:cstheme="majorHAnsi"/>
          <w:color w:val="auto"/>
          <w:sz w:val="22"/>
          <w:szCs w:val="22"/>
          <w:lang w:val="en-GB"/>
        </w:rPr>
      </w:pPr>
      <w:r w:rsidRPr="00A33AE8">
        <w:rPr>
          <w:rStyle w:val="fontstyle01"/>
          <w:rFonts w:asciiTheme="majorHAnsi" w:eastAsiaTheme="majorEastAsia" w:hAnsiTheme="majorHAnsi" w:cstheme="majorHAnsi"/>
          <w:color w:val="auto"/>
          <w:sz w:val="22"/>
          <w:szCs w:val="22"/>
          <w:lang w:val="en-GB"/>
        </w:rPr>
        <w:t>Support of Serbia</w:t>
      </w:r>
      <w:r w:rsidRPr="000007D2">
        <w:rPr>
          <w:rStyle w:val="fontstyle01"/>
          <w:rFonts w:asciiTheme="majorHAnsi" w:eastAsiaTheme="majorEastAsia" w:hAnsiTheme="majorHAnsi" w:cstheme="majorHAnsi"/>
          <w:color w:val="auto"/>
          <w:sz w:val="22"/>
          <w:szCs w:val="22"/>
          <w:lang w:val="en-GB"/>
        </w:rPr>
        <w:t xml:space="preserve">’s obligations under the Paris Agreement represents the first goal of the </w:t>
      </w:r>
      <w:r w:rsidRPr="000007D2">
        <w:rPr>
          <w:rStyle w:val="fontstyle01"/>
          <w:rFonts w:asciiTheme="majorHAnsi" w:eastAsiaTheme="majorEastAsia" w:hAnsiTheme="majorHAnsi" w:cstheme="majorHAnsi"/>
          <w:b/>
          <w:bCs/>
          <w:color w:val="auto"/>
          <w:sz w:val="22"/>
          <w:szCs w:val="22"/>
          <w:lang w:val="en-GB"/>
        </w:rPr>
        <w:t>Low Carbon Development Strategy of the Republic of Serbia set for the period 2023-2030 with projections until 2050</w:t>
      </w:r>
      <w:r w:rsidRPr="000007D2">
        <w:rPr>
          <w:rStyle w:val="FootnoteReference"/>
          <w:rFonts w:asciiTheme="majorHAnsi" w:eastAsiaTheme="majorEastAsia" w:hAnsiTheme="majorHAnsi" w:cstheme="majorHAnsi"/>
          <w:b/>
          <w:bCs/>
        </w:rPr>
        <w:footnoteReference w:id="8"/>
      </w:r>
      <w:r w:rsidRPr="000007D2">
        <w:rPr>
          <w:rStyle w:val="fontstyle01"/>
          <w:rFonts w:asciiTheme="majorHAnsi" w:eastAsiaTheme="majorEastAsia" w:hAnsiTheme="majorHAnsi" w:cstheme="majorHAnsi"/>
          <w:color w:val="auto"/>
          <w:sz w:val="22"/>
          <w:szCs w:val="22"/>
          <w:lang w:val="en-GB"/>
        </w:rPr>
        <w:t xml:space="preserve">, which is adopted based on Low on Climate Change with the goal </w:t>
      </w:r>
      <w:r w:rsidR="00A966FA" w:rsidRPr="000007D2">
        <w:rPr>
          <w:rStyle w:val="fontstyle01"/>
          <w:rFonts w:asciiTheme="majorHAnsi" w:eastAsiaTheme="majorEastAsia" w:hAnsiTheme="majorHAnsi" w:cstheme="majorHAnsi"/>
          <w:color w:val="auto"/>
          <w:sz w:val="22"/>
          <w:szCs w:val="22"/>
          <w:lang w:val="en-GB"/>
        </w:rPr>
        <w:t xml:space="preserve">of determining strategic directions of action and public policy of reducing GHG emissions at the level of the entire economy. Presenting possibilities and </w:t>
      </w:r>
      <w:r w:rsidR="00A966FA" w:rsidRPr="000007D2">
        <w:rPr>
          <w:rStyle w:val="fontstyle01"/>
          <w:rFonts w:asciiTheme="majorHAnsi" w:eastAsiaTheme="majorEastAsia" w:hAnsiTheme="majorHAnsi" w:cstheme="majorHAnsi"/>
          <w:color w:val="auto"/>
          <w:sz w:val="22"/>
          <w:szCs w:val="22"/>
          <w:lang w:val="en-GB"/>
        </w:rPr>
        <w:lastRenderedPageBreak/>
        <w:t xml:space="preserve">recommendations for alignment of GHG emissions </w:t>
      </w:r>
      <w:r w:rsidR="000C5B90" w:rsidRPr="000007D2">
        <w:rPr>
          <w:rStyle w:val="fontstyle01"/>
          <w:rFonts w:asciiTheme="majorHAnsi" w:eastAsiaTheme="majorEastAsia" w:hAnsiTheme="majorHAnsi" w:cstheme="majorHAnsi"/>
          <w:color w:val="auto"/>
          <w:sz w:val="22"/>
          <w:szCs w:val="22"/>
          <w:lang w:val="en-GB"/>
        </w:rPr>
        <w:t xml:space="preserve">with the </w:t>
      </w:r>
      <w:r w:rsidR="00A966FA" w:rsidRPr="000007D2">
        <w:rPr>
          <w:rStyle w:val="fontstyle01"/>
          <w:rFonts w:asciiTheme="majorHAnsi" w:eastAsiaTheme="majorEastAsia" w:hAnsiTheme="majorHAnsi" w:cstheme="majorHAnsi"/>
          <w:color w:val="auto"/>
          <w:sz w:val="22"/>
          <w:szCs w:val="22"/>
          <w:lang w:val="en-GB"/>
        </w:rPr>
        <w:t>levels in the EU is the second goal of the Strategy. Activities for the implementation of actions and achievement of the Strategy’s objectives will be defined in the Action plan for the implementation of the Low Carbon Development Strategy for the period 2024-2030, as well as in the INECP.</w:t>
      </w:r>
    </w:p>
    <w:p w14:paraId="58C1EF01" w14:textId="77777777" w:rsidR="009463DF" w:rsidRPr="000007D2" w:rsidRDefault="009463DF" w:rsidP="00B759CC">
      <w:pPr>
        <w:pStyle w:val="LDKbody"/>
        <w:rPr>
          <w:rStyle w:val="fontstyle01"/>
          <w:rFonts w:asciiTheme="majorHAnsi" w:eastAsiaTheme="majorEastAsia" w:hAnsiTheme="majorHAnsi" w:cstheme="majorHAnsi"/>
          <w:color w:val="auto"/>
          <w:sz w:val="22"/>
          <w:szCs w:val="22"/>
          <w:lang w:val="en-GB"/>
        </w:rPr>
      </w:pPr>
      <w:r w:rsidRPr="000007D2">
        <w:rPr>
          <w:rStyle w:val="fontstyle01"/>
          <w:rFonts w:asciiTheme="majorHAnsi" w:eastAsiaTheme="majorEastAsia" w:hAnsiTheme="majorHAnsi" w:cstheme="majorHAnsi"/>
          <w:color w:val="auto"/>
          <w:sz w:val="22"/>
          <w:szCs w:val="22"/>
          <w:lang w:val="en-GB"/>
        </w:rPr>
        <w:t>At the Berlin Process Western Balkans Summit 2022, Serbia signed a joint Declaration on Energy Security and Green Transition in the Western Balkans</w:t>
      </w:r>
      <w:r w:rsidRPr="00A33AE8">
        <w:rPr>
          <w:rStyle w:val="FootnoteReference"/>
          <w:rFonts w:asciiTheme="majorHAnsi" w:eastAsiaTheme="majorEastAsia" w:hAnsiTheme="majorHAnsi" w:cstheme="majorHAnsi"/>
        </w:rPr>
        <w:footnoteReference w:id="9"/>
      </w:r>
      <w:r w:rsidRPr="000007D2">
        <w:rPr>
          <w:rStyle w:val="fontstyle01"/>
          <w:rFonts w:asciiTheme="majorHAnsi" w:eastAsiaTheme="majorEastAsia" w:hAnsiTheme="majorHAnsi" w:cstheme="majorHAnsi"/>
          <w:color w:val="auto"/>
          <w:sz w:val="22"/>
          <w:szCs w:val="22"/>
          <w:lang w:val="en-GB"/>
        </w:rPr>
        <w:t xml:space="preserve"> which emphasizes the commitment to improving regional cooperation in the process of clean energy transition in line with Paris Agreement and the European Green Deal.</w:t>
      </w:r>
      <w:r w:rsidR="0021515A" w:rsidRPr="000007D2">
        <w:rPr>
          <w:rStyle w:val="fontstyle01"/>
          <w:rFonts w:asciiTheme="majorHAnsi" w:eastAsiaTheme="majorEastAsia" w:hAnsiTheme="majorHAnsi" w:cstheme="majorHAnsi"/>
          <w:color w:val="auto"/>
          <w:sz w:val="22"/>
          <w:szCs w:val="22"/>
          <w:lang w:val="en-GB"/>
        </w:rPr>
        <w:t xml:space="preserve"> At the 20th Ministerial Council of the Energy Community</w:t>
      </w:r>
      <w:r w:rsidR="00DC5C0E">
        <w:rPr>
          <w:rStyle w:val="fontstyle01"/>
          <w:rFonts w:asciiTheme="majorHAnsi" w:eastAsiaTheme="majorEastAsia" w:hAnsiTheme="majorHAnsi" w:cstheme="majorHAnsi"/>
          <w:color w:val="auto"/>
          <w:sz w:val="22"/>
          <w:szCs w:val="22"/>
          <w:lang w:val="en-GB"/>
        </w:rPr>
        <w:t xml:space="preserve"> meeting</w:t>
      </w:r>
      <w:r w:rsidR="0021515A" w:rsidRPr="000007D2">
        <w:rPr>
          <w:rStyle w:val="fontstyle01"/>
          <w:rFonts w:asciiTheme="majorHAnsi" w:eastAsiaTheme="majorEastAsia" w:hAnsiTheme="majorHAnsi" w:cstheme="majorHAnsi"/>
          <w:color w:val="auto"/>
          <w:sz w:val="22"/>
          <w:szCs w:val="22"/>
          <w:lang w:val="en-GB"/>
        </w:rPr>
        <w:t xml:space="preserve"> in 2022</w:t>
      </w:r>
      <w:r w:rsidR="00940AE3" w:rsidRPr="000007D2">
        <w:rPr>
          <w:rStyle w:val="fontstyle01"/>
          <w:rFonts w:asciiTheme="majorHAnsi" w:eastAsiaTheme="majorEastAsia" w:hAnsiTheme="majorHAnsi" w:cstheme="majorHAnsi"/>
          <w:color w:val="auto"/>
          <w:sz w:val="22"/>
          <w:szCs w:val="22"/>
          <w:lang w:val="en-GB"/>
        </w:rPr>
        <w:t>, where Serbia participated</w:t>
      </w:r>
      <w:r w:rsidR="0021515A" w:rsidRPr="000007D2">
        <w:rPr>
          <w:rStyle w:val="fontstyle01"/>
          <w:rFonts w:asciiTheme="majorHAnsi" w:eastAsiaTheme="majorEastAsia" w:hAnsiTheme="majorHAnsi" w:cstheme="majorHAnsi"/>
          <w:color w:val="auto"/>
          <w:sz w:val="22"/>
          <w:szCs w:val="22"/>
          <w:lang w:val="en-GB"/>
        </w:rPr>
        <w:t xml:space="preserve">, the Decision amending Decision 2021/14/MC-EnC has been adopted, including a set of ambitious 2030 targets for GHG emissions reduction, energy efficiency and </w:t>
      </w:r>
      <w:r w:rsidR="00A02573" w:rsidRPr="000007D2">
        <w:rPr>
          <w:rStyle w:val="fontstyle01"/>
          <w:rFonts w:asciiTheme="majorHAnsi" w:eastAsiaTheme="majorEastAsia" w:hAnsiTheme="majorHAnsi" w:cstheme="majorHAnsi"/>
          <w:color w:val="auto"/>
          <w:sz w:val="22"/>
          <w:szCs w:val="22"/>
          <w:lang w:val="en-GB"/>
        </w:rPr>
        <w:t xml:space="preserve">increased </w:t>
      </w:r>
      <w:r w:rsidR="0021515A" w:rsidRPr="000007D2">
        <w:rPr>
          <w:rStyle w:val="fontstyle01"/>
          <w:rFonts w:asciiTheme="majorHAnsi" w:eastAsiaTheme="majorEastAsia" w:hAnsiTheme="majorHAnsi" w:cstheme="majorHAnsi"/>
          <w:color w:val="auto"/>
          <w:sz w:val="22"/>
          <w:szCs w:val="22"/>
          <w:lang w:val="en-GB"/>
        </w:rPr>
        <w:t>RES</w:t>
      </w:r>
      <w:r w:rsidR="00A02573" w:rsidRPr="000007D2">
        <w:rPr>
          <w:rStyle w:val="fontstyle01"/>
          <w:rFonts w:asciiTheme="majorHAnsi" w:eastAsiaTheme="majorEastAsia" w:hAnsiTheme="majorHAnsi" w:cstheme="majorHAnsi"/>
          <w:color w:val="auto"/>
          <w:sz w:val="22"/>
          <w:szCs w:val="22"/>
          <w:lang w:val="en-GB"/>
        </w:rPr>
        <w:t xml:space="preserve"> share</w:t>
      </w:r>
      <w:r w:rsidR="0021515A" w:rsidRPr="000007D2">
        <w:rPr>
          <w:rStyle w:val="fontstyle01"/>
          <w:rFonts w:asciiTheme="majorHAnsi" w:eastAsiaTheme="majorEastAsia" w:hAnsiTheme="majorHAnsi" w:cstheme="majorHAnsi"/>
          <w:color w:val="auto"/>
          <w:sz w:val="22"/>
          <w:szCs w:val="22"/>
          <w:lang w:val="en-GB"/>
        </w:rPr>
        <w:t>.</w:t>
      </w:r>
    </w:p>
    <w:p w14:paraId="22FACC89" w14:textId="0F910C30" w:rsidR="00CC1834" w:rsidRPr="00A33AE8" w:rsidRDefault="00924DB5" w:rsidP="00B759CC">
      <w:pPr>
        <w:pStyle w:val="LDKbody"/>
        <w:rPr>
          <w:rFonts w:asciiTheme="majorHAnsi" w:hAnsiTheme="majorHAnsi" w:cstheme="majorHAnsi"/>
          <w:lang w:val="en-GB"/>
        </w:rPr>
      </w:pPr>
      <w:r w:rsidRPr="00A33AE8">
        <w:rPr>
          <w:rStyle w:val="fontstyle01"/>
          <w:rFonts w:asciiTheme="majorHAnsi" w:eastAsiaTheme="majorEastAsia" w:hAnsiTheme="majorHAnsi" w:cstheme="majorHAnsi"/>
          <w:color w:val="auto"/>
          <w:sz w:val="22"/>
          <w:szCs w:val="22"/>
          <w:lang w:val="en-GB"/>
        </w:rPr>
        <w:t>Following up on the</w:t>
      </w:r>
      <w:r w:rsidR="00C70762" w:rsidRPr="000007D2">
        <w:rPr>
          <w:rStyle w:val="fontstyle01"/>
          <w:rFonts w:asciiTheme="majorHAnsi" w:eastAsiaTheme="majorEastAsia" w:hAnsiTheme="majorHAnsi" w:cstheme="majorHAnsi"/>
          <w:color w:val="auto"/>
          <w:sz w:val="22"/>
          <w:szCs w:val="22"/>
          <w:lang w:val="en-GB"/>
        </w:rPr>
        <w:t xml:space="preserve"> </w:t>
      </w:r>
      <w:r w:rsidR="009C6D2B" w:rsidRPr="00A33AE8">
        <w:rPr>
          <w:rFonts w:asciiTheme="majorHAnsi" w:hAnsiTheme="majorHAnsi" w:cstheme="majorHAnsi"/>
          <w:lang w:val="en-GB"/>
        </w:rPr>
        <w:t xml:space="preserve">obligation to adopt the Integrated National Energy and Climate Plan in accordance to the </w:t>
      </w:r>
      <w:r w:rsidRPr="00A33AE8">
        <w:rPr>
          <w:rFonts w:asciiTheme="majorHAnsi" w:hAnsiTheme="majorHAnsi" w:cstheme="majorHAnsi"/>
          <w:lang w:val="en-GB"/>
        </w:rPr>
        <w:t xml:space="preserve">amendments to the </w:t>
      </w:r>
      <w:r w:rsidRPr="00A33AE8">
        <w:rPr>
          <w:rFonts w:asciiTheme="majorHAnsi" w:hAnsiTheme="majorHAnsi" w:cstheme="majorHAnsi"/>
          <w:b/>
          <w:bCs/>
          <w:lang w:val="en-GB"/>
        </w:rPr>
        <w:t>Law on Energy</w:t>
      </w:r>
      <w:r w:rsidR="006A7FA4" w:rsidRPr="00A33AE8">
        <w:rPr>
          <w:rFonts w:asciiTheme="majorHAnsi" w:hAnsiTheme="majorHAnsi" w:cstheme="majorHAnsi"/>
          <w:lang w:val="en-GB"/>
        </w:rPr>
        <w:t>, as well as i</w:t>
      </w:r>
      <w:r w:rsidR="00DB5195" w:rsidRPr="00A33AE8">
        <w:rPr>
          <w:rFonts w:asciiTheme="majorHAnsi" w:hAnsiTheme="majorHAnsi" w:cstheme="majorHAnsi"/>
          <w:lang w:val="en-GB"/>
        </w:rPr>
        <w:t xml:space="preserve">n response to the </w:t>
      </w:r>
      <w:r w:rsidR="00DB5195" w:rsidRPr="00A33AE8">
        <w:rPr>
          <w:rFonts w:asciiTheme="majorHAnsi" w:hAnsiTheme="majorHAnsi" w:cstheme="majorHAnsi"/>
          <w:b/>
          <w:bCs/>
          <w:lang w:val="en-GB"/>
        </w:rPr>
        <w:t>Recommendation of the Ministerial Council of the Energy Community</w:t>
      </w:r>
      <w:r w:rsidR="005D1783" w:rsidRPr="00A33AE8">
        <w:rPr>
          <w:rStyle w:val="FootnoteReference"/>
          <w:rFonts w:asciiTheme="majorHAnsi" w:hAnsiTheme="majorHAnsi" w:cstheme="majorHAnsi"/>
        </w:rPr>
        <w:footnoteReference w:id="10"/>
      </w:r>
      <w:r w:rsidR="003739CF" w:rsidRPr="00A33AE8">
        <w:rPr>
          <w:rFonts w:asciiTheme="majorHAnsi" w:hAnsiTheme="majorHAnsi" w:cstheme="majorHAnsi"/>
          <w:b/>
          <w:bCs/>
          <w:lang w:val="en-GB"/>
        </w:rPr>
        <w:t xml:space="preserve"> </w:t>
      </w:r>
      <w:r w:rsidR="00DB5195" w:rsidRPr="00A33AE8">
        <w:rPr>
          <w:rFonts w:asciiTheme="majorHAnsi" w:hAnsiTheme="majorHAnsi" w:cstheme="majorHAnsi"/>
          <w:lang w:val="en-GB"/>
        </w:rPr>
        <w:t xml:space="preserve">on preparing for the development of </w:t>
      </w:r>
      <w:r w:rsidR="00C75679" w:rsidRPr="00A33AE8">
        <w:rPr>
          <w:rFonts w:asciiTheme="majorHAnsi" w:hAnsiTheme="majorHAnsi" w:cstheme="majorHAnsi"/>
          <w:lang w:val="en-GB"/>
        </w:rPr>
        <w:t>I</w:t>
      </w:r>
      <w:r w:rsidR="00DB5195" w:rsidRPr="00A33AE8">
        <w:rPr>
          <w:rFonts w:asciiTheme="majorHAnsi" w:hAnsiTheme="majorHAnsi" w:cstheme="majorHAnsi"/>
          <w:lang w:val="en-GB"/>
        </w:rPr>
        <w:t xml:space="preserve">ntegrated </w:t>
      </w:r>
      <w:r w:rsidR="00C75679" w:rsidRPr="00A33AE8">
        <w:rPr>
          <w:rFonts w:asciiTheme="majorHAnsi" w:hAnsiTheme="majorHAnsi" w:cstheme="majorHAnsi"/>
          <w:lang w:val="en-GB"/>
        </w:rPr>
        <w:t>N</w:t>
      </w:r>
      <w:r w:rsidR="00DB5195" w:rsidRPr="00A33AE8">
        <w:rPr>
          <w:rFonts w:asciiTheme="majorHAnsi" w:hAnsiTheme="majorHAnsi" w:cstheme="majorHAnsi"/>
          <w:lang w:val="en-GB"/>
        </w:rPr>
        <w:t xml:space="preserve">ational </w:t>
      </w:r>
      <w:r w:rsidR="00C75679" w:rsidRPr="00A33AE8">
        <w:rPr>
          <w:rFonts w:asciiTheme="majorHAnsi" w:hAnsiTheme="majorHAnsi" w:cstheme="majorHAnsi"/>
          <w:lang w:val="en-GB"/>
        </w:rPr>
        <w:t>E</w:t>
      </w:r>
      <w:r w:rsidR="00DB5195" w:rsidRPr="00A33AE8">
        <w:rPr>
          <w:rFonts w:asciiTheme="majorHAnsi" w:hAnsiTheme="majorHAnsi" w:cstheme="majorHAnsi"/>
          <w:lang w:val="en-GB"/>
        </w:rPr>
        <w:t xml:space="preserve">nergy and </w:t>
      </w:r>
      <w:r w:rsidR="00C75679" w:rsidRPr="00A33AE8">
        <w:rPr>
          <w:rFonts w:asciiTheme="majorHAnsi" w:hAnsiTheme="majorHAnsi" w:cstheme="majorHAnsi"/>
          <w:lang w:val="en-GB"/>
        </w:rPr>
        <w:t>C</w:t>
      </w:r>
      <w:r w:rsidR="00DB5195" w:rsidRPr="00A33AE8">
        <w:rPr>
          <w:rFonts w:asciiTheme="majorHAnsi" w:hAnsiTheme="majorHAnsi" w:cstheme="majorHAnsi"/>
          <w:lang w:val="en-GB"/>
        </w:rPr>
        <w:t xml:space="preserve">limate </w:t>
      </w:r>
      <w:r w:rsidR="00C75679" w:rsidRPr="00A33AE8">
        <w:rPr>
          <w:rFonts w:asciiTheme="majorHAnsi" w:hAnsiTheme="majorHAnsi" w:cstheme="majorHAnsi"/>
          <w:lang w:val="en-GB"/>
        </w:rPr>
        <w:t>P</w:t>
      </w:r>
      <w:r w:rsidR="00DB5195" w:rsidRPr="00A33AE8">
        <w:rPr>
          <w:rFonts w:asciiTheme="majorHAnsi" w:hAnsiTheme="majorHAnsi" w:cstheme="majorHAnsi"/>
          <w:lang w:val="en-GB"/>
        </w:rPr>
        <w:t>lans by the Contracting Parties of the Energy Community</w:t>
      </w:r>
      <w:r w:rsidR="006A7FA4" w:rsidRPr="00A33AE8">
        <w:rPr>
          <w:rFonts w:asciiTheme="majorHAnsi" w:hAnsiTheme="majorHAnsi" w:cstheme="majorHAnsi"/>
          <w:lang w:val="en-GB"/>
        </w:rPr>
        <w:t xml:space="preserve"> and </w:t>
      </w:r>
      <w:r w:rsidR="00DB5195" w:rsidRPr="00A33AE8">
        <w:rPr>
          <w:rFonts w:asciiTheme="majorHAnsi" w:hAnsiTheme="majorHAnsi" w:cstheme="majorHAnsi"/>
          <w:lang w:val="en-GB"/>
        </w:rPr>
        <w:t xml:space="preserve">relevant </w:t>
      </w:r>
      <w:r w:rsidR="00DB5195" w:rsidRPr="00A33AE8">
        <w:rPr>
          <w:rFonts w:asciiTheme="majorHAnsi" w:hAnsiTheme="majorHAnsi" w:cstheme="majorHAnsi"/>
          <w:b/>
          <w:bCs/>
          <w:lang w:val="en-GB"/>
        </w:rPr>
        <w:t>Policy Guidance by the Energy Community Secretariat</w:t>
      </w:r>
      <w:r w:rsidR="00C75679" w:rsidRPr="00A33AE8">
        <w:rPr>
          <w:rStyle w:val="FootnoteReference"/>
          <w:rFonts w:asciiTheme="majorHAnsi" w:hAnsiTheme="majorHAnsi" w:cstheme="majorHAnsi"/>
        </w:rPr>
        <w:footnoteReference w:id="11"/>
      </w:r>
      <w:r w:rsidR="00791464" w:rsidRPr="00A33AE8">
        <w:rPr>
          <w:rFonts w:asciiTheme="majorHAnsi" w:hAnsiTheme="majorHAnsi" w:cstheme="majorHAnsi"/>
          <w:lang w:val="en-GB"/>
        </w:rPr>
        <w:t xml:space="preserve">, </w:t>
      </w:r>
      <w:r w:rsidR="00B26ABA" w:rsidRPr="00A33AE8">
        <w:rPr>
          <w:rFonts w:asciiTheme="majorHAnsi" w:hAnsiTheme="majorHAnsi" w:cstheme="majorHAnsi"/>
          <w:lang w:val="en-GB"/>
        </w:rPr>
        <w:t xml:space="preserve">the </w:t>
      </w:r>
      <w:r w:rsidR="00C75679" w:rsidRPr="00A33AE8">
        <w:rPr>
          <w:rFonts w:asciiTheme="majorHAnsi" w:hAnsiTheme="majorHAnsi" w:cstheme="majorHAnsi"/>
          <w:lang w:val="en-GB"/>
        </w:rPr>
        <w:t>Republic of Serbia</w:t>
      </w:r>
      <w:r w:rsidR="00DB5195" w:rsidRPr="00A33AE8">
        <w:rPr>
          <w:rFonts w:asciiTheme="majorHAnsi" w:hAnsiTheme="majorHAnsi" w:cstheme="majorHAnsi"/>
          <w:lang w:val="en-GB"/>
        </w:rPr>
        <w:t xml:space="preserve"> prepared </w:t>
      </w:r>
      <w:r w:rsidR="00B006FA" w:rsidRPr="00A33AE8">
        <w:rPr>
          <w:rFonts w:asciiTheme="majorHAnsi" w:hAnsiTheme="majorHAnsi" w:cstheme="majorHAnsi"/>
          <w:lang w:val="en-GB"/>
        </w:rPr>
        <w:t xml:space="preserve">Integrated </w:t>
      </w:r>
      <w:r w:rsidR="00DB5195" w:rsidRPr="00A33AE8">
        <w:rPr>
          <w:rFonts w:asciiTheme="majorHAnsi" w:hAnsiTheme="majorHAnsi" w:cstheme="majorHAnsi"/>
          <w:lang w:val="en-GB"/>
        </w:rPr>
        <w:t>National Energy and Climate Plan (</w:t>
      </w:r>
      <w:r w:rsidR="00B006FA" w:rsidRPr="00A33AE8">
        <w:rPr>
          <w:rFonts w:asciiTheme="majorHAnsi" w:hAnsiTheme="majorHAnsi" w:cstheme="majorHAnsi"/>
          <w:lang w:val="en-GB"/>
        </w:rPr>
        <w:t>I</w:t>
      </w:r>
      <w:r w:rsidR="00DB5195" w:rsidRPr="00A33AE8">
        <w:rPr>
          <w:rFonts w:asciiTheme="majorHAnsi" w:hAnsiTheme="majorHAnsi" w:cstheme="majorHAnsi"/>
          <w:lang w:val="en-GB"/>
        </w:rPr>
        <w:t xml:space="preserve">NECP) </w:t>
      </w:r>
      <w:r w:rsidR="00B26ABA" w:rsidRPr="00A33AE8">
        <w:rPr>
          <w:rFonts w:asciiTheme="majorHAnsi" w:hAnsiTheme="majorHAnsi" w:cstheme="majorHAnsi"/>
          <w:lang w:val="en-GB"/>
        </w:rPr>
        <w:t>covering</w:t>
      </w:r>
      <w:r w:rsidR="00DB5195" w:rsidRPr="00A33AE8">
        <w:rPr>
          <w:rFonts w:asciiTheme="majorHAnsi" w:hAnsiTheme="majorHAnsi" w:cstheme="majorHAnsi"/>
          <w:lang w:val="en-GB"/>
        </w:rPr>
        <w:t xml:space="preserve"> the period from 2021 to 2030</w:t>
      </w:r>
      <w:r w:rsidR="00B26ABA" w:rsidRPr="00A33AE8">
        <w:rPr>
          <w:rFonts w:asciiTheme="majorHAnsi" w:hAnsiTheme="majorHAnsi" w:cstheme="majorHAnsi"/>
          <w:lang w:val="en-GB"/>
        </w:rPr>
        <w:t>.</w:t>
      </w:r>
      <w:r w:rsidR="00C50575" w:rsidRPr="00A33AE8">
        <w:rPr>
          <w:rFonts w:asciiTheme="majorHAnsi" w:hAnsiTheme="majorHAnsi" w:cstheme="majorHAnsi"/>
          <w:lang w:val="en-GB"/>
        </w:rPr>
        <w:t xml:space="preserve"> </w:t>
      </w:r>
      <w:r w:rsidR="006D0D8E" w:rsidRPr="000007D2">
        <w:rPr>
          <w:rFonts w:asciiTheme="majorHAnsi" w:hAnsiTheme="majorHAnsi" w:cstheme="majorHAnsi"/>
          <w:lang w:val="en-GB"/>
        </w:rPr>
        <w:t xml:space="preserve">Furthermore, </w:t>
      </w:r>
      <w:r w:rsidR="00790D1D" w:rsidRPr="000007D2">
        <w:rPr>
          <w:rFonts w:asciiTheme="majorHAnsi" w:hAnsiTheme="majorHAnsi" w:cstheme="majorHAnsi"/>
          <w:lang w:val="en-GB"/>
        </w:rPr>
        <w:t xml:space="preserve">in 2021 the </w:t>
      </w:r>
      <w:r w:rsidR="006D0D8E" w:rsidRPr="000007D2">
        <w:rPr>
          <w:rFonts w:asciiTheme="majorHAnsi" w:hAnsiTheme="majorHAnsi" w:cstheme="majorHAnsi"/>
          <w:lang w:val="en-GB"/>
        </w:rPr>
        <w:t>Ministerial Council of the Energy Community</w:t>
      </w:r>
      <w:r w:rsidR="006D0D8E" w:rsidRPr="00A33AE8">
        <w:rPr>
          <w:rStyle w:val="FootnoteReference"/>
          <w:rFonts w:asciiTheme="majorHAnsi" w:hAnsiTheme="majorHAnsi" w:cstheme="majorHAnsi"/>
        </w:rPr>
        <w:footnoteReference w:id="12"/>
      </w:r>
      <w:r w:rsidR="006D0D8E" w:rsidRPr="000007D2">
        <w:rPr>
          <w:rFonts w:asciiTheme="majorHAnsi" w:hAnsiTheme="majorHAnsi" w:cstheme="majorHAnsi"/>
          <w:lang w:val="en-GB"/>
        </w:rPr>
        <w:t xml:space="preserve"> </w:t>
      </w:r>
      <w:r w:rsidR="006D0D8E" w:rsidRPr="00A33AE8">
        <w:rPr>
          <w:rFonts w:asciiTheme="majorHAnsi" w:hAnsiTheme="majorHAnsi" w:cstheme="majorHAnsi"/>
          <w:lang w:val="en-GB"/>
        </w:rPr>
        <w:t>incorporated Regulation (EU) 2018/1999 in the Energy Community acquis and amending Annex I of the Treaty.</w:t>
      </w:r>
    </w:p>
    <w:p w14:paraId="0A856F13" w14:textId="77777777" w:rsidR="009C22FE" w:rsidRPr="009C22FE" w:rsidRDefault="00790D1D" w:rsidP="009C22FE">
      <w:pPr>
        <w:pStyle w:val="LDKbody"/>
        <w:rPr>
          <w:rFonts w:asciiTheme="majorHAnsi" w:hAnsiTheme="majorHAnsi" w:cstheme="majorHAnsi"/>
        </w:rPr>
      </w:pPr>
      <w:r w:rsidRPr="00A33AE8">
        <w:rPr>
          <w:rFonts w:asciiTheme="majorHAnsi" w:hAnsiTheme="majorHAnsi" w:cstheme="majorHAnsi"/>
          <w:lang w:val="en-GB"/>
        </w:rPr>
        <w:t>Finally, it is important to point out that in December 2022 the Annex I to the Treaty Establishing the Energy Community has been amended and it incorporated</w:t>
      </w:r>
      <w:r w:rsidR="00DC5C0E">
        <w:rPr>
          <w:rFonts w:asciiTheme="majorHAnsi" w:hAnsiTheme="majorHAnsi" w:cstheme="majorHAnsi"/>
          <w:lang w:val="en-US"/>
        </w:rPr>
        <w:t xml:space="preserve"> next legislation in the Energy Community acquis:</w:t>
      </w:r>
      <w:r w:rsidRPr="00A33AE8">
        <w:rPr>
          <w:rFonts w:asciiTheme="majorHAnsi" w:hAnsiTheme="majorHAnsi" w:cstheme="majorHAnsi"/>
          <w:lang w:val="en-GB"/>
        </w:rPr>
        <w:t xml:space="preserve"> Directive (EU) 2018/2001, Directive (EU) 2018/2002, Regulation (EU) 2018/1999, Delegated Regulation (EU) 2020/1044, Implementing Regulation (EU) 2020/1208, as well as Regulation (EU) 2019/942, Regulation (EU) 2019/943, Regulation (EU) 2015/1222, Regulation (EU) 2016/1719, Regulation (EU) 2017/2195, Regulation (EU) 2017/2196, Regulation (EU) 2017/1485</w:t>
      </w:r>
      <w:r w:rsidRPr="00A33AE8">
        <w:rPr>
          <w:rStyle w:val="FootnoteReference"/>
          <w:rFonts w:asciiTheme="majorHAnsi" w:hAnsiTheme="majorHAnsi" w:cstheme="majorHAnsi"/>
        </w:rPr>
        <w:footnoteReference w:id="13"/>
      </w:r>
      <w:r w:rsidR="009C22FE" w:rsidRPr="009C22FE">
        <w:rPr>
          <w:rFonts w:asciiTheme="majorHAnsi" w:hAnsiTheme="majorHAnsi" w:cstheme="majorHAnsi"/>
        </w:rPr>
        <w:t>.</w:t>
      </w:r>
    </w:p>
    <w:p w14:paraId="3C02F46F" w14:textId="4A8D4722" w:rsidR="009C22FE" w:rsidRPr="009C22FE" w:rsidRDefault="009C22FE" w:rsidP="009C22FE">
      <w:pPr>
        <w:pStyle w:val="LDKbody"/>
        <w:rPr>
          <w:rFonts w:asciiTheme="majorHAnsi" w:hAnsiTheme="majorHAnsi" w:cstheme="majorHAnsi"/>
        </w:rPr>
      </w:pPr>
      <w:r w:rsidRPr="009C22FE">
        <w:rPr>
          <w:rFonts w:asciiTheme="majorHAnsi" w:hAnsiTheme="majorHAnsi" w:cstheme="majorHAnsi"/>
        </w:rPr>
        <w:t>The quantitative analysis of the scenario projections for the impact assessment of the policies and measures which was performed in the process of developing the INECP of the Republic of Serbia, a suite of three modelling tools was used:</w:t>
      </w:r>
    </w:p>
    <w:p w14:paraId="58681992" w14:textId="28EEB7F3" w:rsidR="009C22FE" w:rsidRPr="009C22FE" w:rsidRDefault="009C22FE" w:rsidP="00884F3B">
      <w:pPr>
        <w:pStyle w:val="LDKbody"/>
        <w:numPr>
          <w:ilvl w:val="0"/>
          <w:numId w:val="290"/>
        </w:numPr>
        <w:rPr>
          <w:rFonts w:asciiTheme="majorHAnsi" w:hAnsiTheme="majorHAnsi" w:cstheme="majorHAnsi"/>
        </w:rPr>
      </w:pPr>
      <w:r w:rsidRPr="009C22FE">
        <w:rPr>
          <w:rFonts w:asciiTheme="majorHAnsi" w:hAnsiTheme="majorHAnsi" w:cstheme="majorHAnsi"/>
        </w:rPr>
        <w:t xml:space="preserve">the </w:t>
      </w:r>
      <w:r w:rsidRPr="009C22FE">
        <w:rPr>
          <w:rFonts w:asciiTheme="majorHAnsi" w:hAnsiTheme="majorHAnsi" w:cstheme="majorHAnsi"/>
          <w:b/>
          <w:bCs/>
        </w:rPr>
        <w:t>Serbian Energy Modelling System</w:t>
      </w:r>
      <w:r w:rsidRPr="009C22FE">
        <w:rPr>
          <w:rFonts w:asciiTheme="majorHAnsi" w:hAnsiTheme="majorHAnsi" w:cstheme="majorHAnsi"/>
        </w:rPr>
        <w:t xml:space="preserve"> (SEMS), based on the TIMES framework, covering the development of the whole of the energy system,</w:t>
      </w:r>
    </w:p>
    <w:p w14:paraId="2CA9C850" w14:textId="69139B86" w:rsidR="009C22FE" w:rsidRPr="009C22FE" w:rsidRDefault="009C22FE" w:rsidP="00884F3B">
      <w:pPr>
        <w:pStyle w:val="LDKbody"/>
        <w:numPr>
          <w:ilvl w:val="0"/>
          <w:numId w:val="290"/>
        </w:numPr>
        <w:rPr>
          <w:rFonts w:asciiTheme="majorHAnsi" w:hAnsiTheme="majorHAnsi" w:cstheme="majorHAnsi"/>
        </w:rPr>
      </w:pPr>
      <w:r w:rsidRPr="009C22FE">
        <w:rPr>
          <w:rFonts w:asciiTheme="majorHAnsi" w:hAnsiTheme="majorHAnsi" w:cstheme="majorHAnsi"/>
          <w:b/>
          <w:bCs/>
        </w:rPr>
        <w:t>a macro-economic analysis tool</w:t>
      </w:r>
      <w:r w:rsidRPr="009C22FE">
        <w:rPr>
          <w:rFonts w:asciiTheme="majorHAnsi" w:hAnsiTheme="majorHAnsi" w:cstheme="majorHAnsi"/>
        </w:rPr>
        <w:t xml:space="preserve"> based on the Mitigation, Adaptation and New Technologies Applied General Equilibrium (MANAGE) Model, and</w:t>
      </w:r>
    </w:p>
    <w:p w14:paraId="0876697A" w14:textId="77777777" w:rsidR="009C22FE" w:rsidRPr="009C22FE" w:rsidRDefault="009C22FE" w:rsidP="00884F3B">
      <w:pPr>
        <w:pStyle w:val="LDKbody"/>
        <w:numPr>
          <w:ilvl w:val="0"/>
          <w:numId w:val="290"/>
        </w:numPr>
        <w:rPr>
          <w:rFonts w:asciiTheme="majorHAnsi" w:hAnsiTheme="majorHAnsi" w:cstheme="majorHAnsi"/>
        </w:rPr>
      </w:pPr>
      <w:r w:rsidRPr="009C22FE">
        <w:rPr>
          <w:rFonts w:asciiTheme="majorHAnsi" w:hAnsiTheme="majorHAnsi" w:cstheme="majorHAnsi"/>
        </w:rPr>
        <w:t xml:space="preserve">a </w:t>
      </w:r>
      <w:r w:rsidRPr="009C22FE">
        <w:rPr>
          <w:rFonts w:asciiTheme="majorHAnsi" w:hAnsiTheme="majorHAnsi" w:cstheme="majorHAnsi"/>
          <w:b/>
          <w:bCs/>
        </w:rPr>
        <w:t>High-RES penetration power system analysis tool</w:t>
      </w:r>
      <w:r w:rsidRPr="009C22FE">
        <w:rPr>
          <w:rFonts w:asciiTheme="majorHAnsi" w:hAnsiTheme="majorHAnsi" w:cstheme="majorHAnsi"/>
        </w:rPr>
        <w:t xml:space="preserve"> based on the ANTARES software.</w:t>
      </w:r>
    </w:p>
    <w:p w14:paraId="41B91A94" w14:textId="77777777" w:rsidR="004B7D4D" w:rsidRPr="005B2C66" w:rsidRDefault="009C22FE" w:rsidP="00B759CC">
      <w:pPr>
        <w:pStyle w:val="LDKbody"/>
        <w:rPr>
          <w:rFonts w:asciiTheme="majorHAnsi" w:hAnsiTheme="majorHAnsi" w:cstheme="majorHAnsi"/>
        </w:rPr>
      </w:pPr>
      <w:r w:rsidRPr="009C22FE">
        <w:rPr>
          <w:rFonts w:asciiTheme="majorHAnsi" w:hAnsiTheme="majorHAnsi" w:cstheme="majorHAnsi"/>
        </w:rPr>
        <w:t>Details on the modelling suite implementation are given in Annex III.</w:t>
      </w:r>
    </w:p>
    <w:p w14:paraId="753D6E83" w14:textId="77777777" w:rsidR="00AC70D7" w:rsidRPr="00A33AE8" w:rsidRDefault="00AC70D7" w:rsidP="00D75F83">
      <w:pPr>
        <w:pStyle w:val="Heading4"/>
        <w:spacing w:after="160"/>
        <w:ind w:left="714" w:hanging="357"/>
      </w:pPr>
      <w:r w:rsidRPr="00A33AE8">
        <w:t>Strategy relating to the five dimensions of the Energy Union</w:t>
      </w:r>
    </w:p>
    <w:p w14:paraId="50C5941F" w14:textId="77777777" w:rsidR="00D75F83" w:rsidRPr="00A33AE8" w:rsidRDefault="00D75F83" w:rsidP="00D75F83">
      <w:pPr>
        <w:ind w:right="313"/>
        <w:jc w:val="both"/>
        <w:rPr>
          <w:rFonts w:asciiTheme="majorHAnsi" w:hAnsiTheme="majorHAnsi" w:cstheme="majorHAnsi"/>
        </w:rPr>
      </w:pPr>
      <w:r w:rsidRPr="00A33AE8">
        <w:rPr>
          <w:rFonts w:asciiTheme="majorHAnsi" w:hAnsiTheme="majorHAnsi" w:cstheme="majorHAnsi"/>
        </w:rPr>
        <w:t xml:space="preserve">The </w:t>
      </w:r>
      <w:r w:rsidR="00B006FA" w:rsidRPr="00A33AE8">
        <w:rPr>
          <w:rFonts w:asciiTheme="majorHAnsi" w:hAnsiTheme="majorHAnsi" w:cstheme="majorHAnsi"/>
        </w:rPr>
        <w:t>Integrated</w:t>
      </w:r>
      <w:r w:rsidRPr="00A33AE8">
        <w:rPr>
          <w:rFonts w:asciiTheme="majorHAnsi" w:hAnsiTheme="majorHAnsi" w:cstheme="majorHAnsi"/>
        </w:rPr>
        <w:t xml:space="preserve"> National Energy and Climate Plan has to take a holistic approach and address the five dimensions </w:t>
      </w:r>
      <w:r w:rsidR="00A06D76" w:rsidRPr="00A33AE8">
        <w:rPr>
          <w:rFonts w:asciiTheme="majorHAnsi" w:hAnsiTheme="majorHAnsi" w:cstheme="majorHAnsi"/>
        </w:rPr>
        <w:t>i</w:t>
      </w:r>
      <w:r w:rsidRPr="00A33AE8">
        <w:rPr>
          <w:rFonts w:asciiTheme="majorHAnsi" w:hAnsiTheme="majorHAnsi" w:cstheme="majorHAnsi"/>
        </w:rPr>
        <w:t>n an integrated way</w:t>
      </w:r>
      <w:r w:rsidR="00A06D76" w:rsidRPr="00A33AE8">
        <w:rPr>
          <w:rFonts w:asciiTheme="majorHAnsi" w:hAnsiTheme="majorHAnsi" w:cstheme="majorHAnsi"/>
        </w:rPr>
        <w:t>, as per provisions of the Rulebook on the detailed content and guidelines for determining the national goals of the Integrated National Energy and Climate Plan, the method of its preparation and reporting on its implementation</w:t>
      </w:r>
      <w:r w:rsidR="00A06D76" w:rsidRPr="00A33AE8">
        <w:rPr>
          <w:rStyle w:val="FootnoteReference"/>
          <w:rFonts w:asciiTheme="majorHAnsi" w:hAnsiTheme="majorHAnsi" w:cstheme="majorHAnsi"/>
        </w:rPr>
        <w:footnoteReference w:id="14"/>
      </w:r>
      <w:r w:rsidRPr="00A33AE8">
        <w:rPr>
          <w:rFonts w:asciiTheme="majorHAnsi" w:hAnsiTheme="majorHAnsi" w:cstheme="majorHAnsi"/>
        </w:rPr>
        <w:t>:</w:t>
      </w:r>
    </w:p>
    <w:p w14:paraId="46D03EE8" w14:textId="30425100" w:rsidR="00D75F83" w:rsidRPr="00A33AE8" w:rsidRDefault="00D75F83" w:rsidP="00D75F83">
      <w:pPr>
        <w:pStyle w:val="LDKBullets-main"/>
        <w:rPr>
          <w:rFonts w:asciiTheme="majorHAnsi" w:hAnsiTheme="majorHAnsi" w:cstheme="majorHAnsi"/>
        </w:rPr>
      </w:pPr>
      <w:r w:rsidRPr="00A33AE8">
        <w:rPr>
          <w:rFonts w:asciiTheme="majorHAnsi" w:hAnsiTheme="majorHAnsi" w:cstheme="majorHAnsi"/>
          <w:b/>
          <w:bCs/>
        </w:rPr>
        <w:t>Decarbonisation</w:t>
      </w:r>
      <w:r w:rsidRPr="00A33AE8">
        <w:rPr>
          <w:rFonts w:asciiTheme="majorHAnsi" w:hAnsiTheme="majorHAnsi" w:cstheme="majorHAnsi"/>
        </w:rPr>
        <w:t xml:space="preserve"> that presents specific area regarding the aim to present the country’s commitment </w:t>
      </w:r>
      <w:r w:rsidRPr="00A33AE8">
        <w:rPr>
          <w:rFonts w:asciiTheme="majorHAnsi" w:hAnsiTheme="majorHAnsi" w:cstheme="majorHAnsi"/>
        </w:rPr>
        <w:lastRenderedPageBreak/>
        <w:t>towards the climate action and decarbonising the economy, with specific focus on the increased use of renewable energy sources and reduction of carbon footprint.</w:t>
      </w:r>
    </w:p>
    <w:p w14:paraId="3E0A155C" w14:textId="77777777" w:rsidR="00D75F83" w:rsidRPr="00A33AE8" w:rsidRDefault="00D75F83" w:rsidP="00884F3B">
      <w:pPr>
        <w:pStyle w:val="ListParagraph"/>
        <w:numPr>
          <w:ilvl w:val="0"/>
          <w:numId w:val="239"/>
        </w:numPr>
        <w:ind w:right="313"/>
        <w:jc w:val="both"/>
        <w:rPr>
          <w:rFonts w:asciiTheme="majorHAnsi" w:hAnsiTheme="majorHAnsi" w:cstheme="majorHAnsi"/>
        </w:rPr>
      </w:pPr>
      <w:r w:rsidRPr="00A33AE8">
        <w:rPr>
          <w:rFonts w:asciiTheme="majorHAnsi" w:hAnsiTheme="majorHAnsi" w:cstheme="majorHAnsi"/>
          <w:b/>
          <w:bCs/>
        </w:rPr>
        <w:t>Greenhouse Gas (GHG) Emissions</w:t>
      </w:r>
      <w:r w:rsidRPr="00A33AE8">
        <w:rPr>
          <w:rFonts w:asciiTheme="majorHAnsi" w:hAnsiTheme="majorHAnsi" w:cstheme="majorHAnsi"/>
        </w:rPr>
        <w:t xml:space="preserve"> that presents specific sub-area regarding the aim to present the country’s commitment towards reduction of energy-related and non-energy-related emissions.</w:t>
      </w:r>
    </w:p>
    <w:p w14:paraId="23E2446A" w14:textId="77777777" w:rsidR="00D75F83" w:rsidRPr="00A33AE8" w:rsidRDefault="00D75F83" w:rsidP="00884F3B">
      <w:pPr>
        <w:pStyle w:val="ListParagraph"/>
        <w:numPr>
          <w:ilvl w:val="0"/>
          <w:numId w:val="239"/>
        </w:numPr>
        <w:ind w:right="313"/>
        <w:jc w:val="both"/>
        <w:rPr>
          <w:rFonts w:asciiTheme="majorHAnsi" w:hAnsiTheme="majorHAnsi" w:cstheme="majorHAnsi"/>
        </w:rPr>
      </w:pPr>
      <w:r w:rsidRPr="00A33AE8">
        <w:rPr>
          <w:rFonts w:asciiTheme="majorHAnsi" w:hAnsiTheme="majorHAnsi" w:cstheme="majorHAnsi"/>
          <w:b/>
          <w:bCs/>
        </w:rPr>
        <w:t>Renewable Energy Sources (RES)</w:t>
      </w:r>
      <w:r w:rsidRPr="00A33AE8">
        <w:rPr>
          <w:rFonts w:asciiTheme="majorHAnsi" w:hAnsiTheme="majorHAnsi" w:cstheme="majorHAnsi"/>
        </w:rPr>
        <w:t xml:space="preserve"> that presents specific sub-area regarding the aim to present the country’s commitment towards boosting the deployment of renewables by keeping up with increasing energy consumption and addressing the transformation issue of the existing energy system in terms of technology transition.</w:t>
      </w:r>
    </w:p>
    <w:p w14:paraId="3A674FC1" w14:textId="7B2A475C" w:rsidR="00D75F83" w:rsidRPr="00A33AE8" w:rsidRDefault="00D75F83" w:rsidP="00D75F83">
      <w:pPr>
        <w:pStyle w:val="LDKBullets-main"/>
        <w:rPr>
          <w:rFonts w:asciiTheme="majorHAnsi" w:hAnsiTheme="majorHAnsi" w:cstheme="majorHAnsi"/>
        </w:rPr>
      </w:pPr>
      <w:r w:rsidRPr="00A33AE8">
        <w:rPr>
          <w:rFonts w:asciiTheme="majorHAnsi" w:hAnsiTheme="majorHAnsi" w:cstheme="majorHAnsi"/>
          <w:b/>
          <w:bCs/>
        </w:rPr>
        <w:t>Energy Efficiency</w:t>
      </w:r>
      <w:r w:rsidRPr="00A33AE8">
        <w:rPr>
          <w:rFonts w:asciiTheme="majorHAnsi" w:hAnsiTheme="majorHAnsi" w:cstheme="majorHAnsi"/>
        </w:rPr>
        <w:t xml:space="preserve"> that presents specific sub-area regarding the aim to present the country’s commitment towards increased energy efficiency across all sectors</w:t>
      </w:r>
      <w:r w:rsidR="00A53BBC" w:rsidRPr="00A33AE8">
        <w:rPr>
          <w:rFonts w:asciiTheme="majorHAnsi" w:hAnsiTheme="majorHAnsi" w:cstheme="majorHAnsi"/>
        </w:rPr>
        <w:t>, with emphasis on industrial, transport, construction, and agriculture sectors.</w:t>
      </w:r>
    </w:p>
    <w:p w14:paraId="286B7043" w14:textId="77777777" w:rsidR="00D75F83" w:rsidRPr="00A33AE8" w:rsidRDefault="00D75F83" w:rsidP="00D75F83">
      <w:pPr>
        <w:pStyle w:val="LDKBullets-main"/>
        <w:rPr>
          <w:rFonts w:asciiTheme="majorHAnsi" w:hAnsiTheme="majorHAnsi" w:cstheme="majorHAnsi"/>
        </w:rPr>
      </w:pPr>
      <w:r w:rsidRPr="00A33AE8">
        <w:rPr>
          <w:rFonts w:asciiTheme="majorHAnsi" w:hAnsiTheme="majorHAnsi" w:cstheme="majorHAnsi"/>
          <w:b/>
          <w:bCs/>
        </w:rPr>
        <w:t>Energy Security</w:t>
      </w:r>
      <w:r w:rsidRPr="00A33AE8">
        <w:rPr>
          <w:rFonts w:asciiTheme="majorHAnsi" w:hAnsiTheme="majorHAnsi" w:cstheme="majorHAnsi"/>
        </w:rPr>
        <w:t xml:space="preserve"> that presents specific area regarding the aim to present the country’s commitment towards diversifying sources of energy and ensuring security of supply through solidarity and cooperation between EU and </w:t>
      </w:r>
      <w:r w:rsidR="006D1498" w:rsidRPr="00A33AE8">
        <w:rPr>
          <w:rFonts w:asciiTheme="majorHAnsi" w:hAnsiTheme="majorHAnsi" w:cstheme="majorHAnsi"/>
        </w:rPr>
        <w:t>Energy Community (</w:t>
      </w:r>
      <w:r w:rsidRPr="00A33AE8">
        <w:rPr>
          <w:rFonts w:asciiTheme="majorHAnsi" w:hAnsiTheme="majorHAnsi" w:cstheme="majorHAnsi"/>
        </w:rPr>
        <w:t>EnC</w:t>
      </w:r>
      <w:r w:rsidR="006D1498" w:rsidRPr="00A33AE8">
        <w:rPr>
          <w:rFonts w:asciiTheme="majorHAnsi" w:hAnsiTheme="majorHAnsi" w:cstheme="majorHAnsi"/>
        </w:rPr>
        <w:t>)</w:t>
      </w:r>
      <w:r w:rsidRPr="00A33AE8">
        <w:rPr>
          <w:rFonts w:asciiTheme="majorHAnsi" w:hAnsiTheme="majorHAnsi" w:cstheme="majorHAnsi"/>
        </w:rPr>
        <w:t xml:space="preserve"> countries.</w:t>
      </w:r>
    </w:p>
    <w:p w14:paraId="3CBE8951" w14:textId="77777777" w:rsidR="00D75F83" w:rsidRPr="00A33AE8" w:rsidRDefault="00D75F83" w:rsidP="00D75F83">
      <w:pPr>
        <w:pStyle w:val="LDKBullets-main"/>
        <w:rPr>
          <w:rFonts w:asciiTheme="majorHAnsi" w:hAnsiTheme="majorHAnsi" w:cstheme="majorHAnsi"/>
        </w:rPr>
      </w:pPr>
      <w:r w:rsidRPr="00A33AE8">
        <w:rPr>
          <w:rFonts w:asciiTheme="majorHAnsi" w:hAnsiTheme="majorHAnsi" w:cstheme="majorHAnsi"/>
          <w:b/>
          <w:bCs/>
        </w:rPr>
        <w:t>Internal Energy Market</w:t>
      </w:r>
      <w:r w:rsidRPr="00A33AE8">
        <w:rPr>
          <w:rFonts w:asciiTheme="majorHAnsi" w:hAnsiTheme="majorHAnsi" w:cstheme="majorHAnsi"/>
        </w:rPr>
        <w:t xml:space="preserve"> that presents specific area regarding the aim to present the country’s commitment towards creation of fully integrated and functional market, enabling the free flow of energy through the Energy Community and European Union by the adequate infrastructure and without technical or regulatory barriers.</w:t>
      </w:r>
    </w:p>
    <w:p w14:paraId="74A6AD22" w14:textId="77777777" w:rsidR="00D75F83" w:rsidRPr="00A33AE8" w:rsidRDefault="00D75F83" w:rsidP="00D75F83">
      <w:pPr>
        <w:pStyle w:val="LDKBullets-main"/>
        <w:rPr>
          <w:rFonts w:asciiTheme="majorHAnsi" w:hAnsiTheme="majorHAnsi" w:cstheme="majorHAnsi"/>
        </w:rPr>
      </w:pPr>
      <w:r w:rsidRPr="00A33AE8">
        <w:rPr>
          <w:rFonts w:asciiTheme="majorHAnsi" w:hAnsiTheme="majorHAnsi" w:cstheme="majorHAnsi"/>
          <w:b/>
          <w:bCs/>
        </w:rPr>
        <w:t>Research, Innovation and Competitiveness</w:t>
      </w:r>
      <w:r w:rsidRPr="00A33AE8">
        <w:rPr>
          <w:rFonts w:asciiTheme="majorHAnsi" w:hAnsiTheme="majorHAnsi" w:cstheme="majorHAnsi"/>
        </w:rPr>
        <w:t xml:space="preserve"> that presents specific area regarding the aim to present the country’s commitment towards supporting breakthroughs in low-carbon and clean energy technologies.</w:t>
      </w:r>
    </w:p>
    <w:p w14:paraId="394CE0D8" w14:textId="77777777" w:rsidR="00D75F83" w:rsidRPr="00A33AE8" w:rsidRDefault="00D75F83" w:rsidP="00D75F83">
      <w:pPr>
        <w:pStyle w:val="LDKBody1"/>
        <w:rPr>
          <w:rFonts w:asciiTheme="majorHAnsi" w:hAnsiTheme="majorHAnsi" w:cstheme="majorHAnsi"/>
        </w:rPr>
      </w:pPr>
    </w:p>
    <w:p w14:paraId="555AA319" w14:textId="77777777" w:rsidR="00D75F83" w:rsidRPr="00A33AE8" w:rsidRDefault="00D75F83" w:rsidP="00D75F83">
      <w:pPr>
        <w:pStyle w:val="LDKBody1"/>
        <w:rPr>
          <w:rFonts w:asciiTheme="majorHAnsi" w:hAnsiTheme="majorHAnsi" w:cstheme="majorHAnsi"/>
        </w:rPr>
      </w:pPr>
      <w:r w:rsidRPr="00A33AE8">
        <w:rPr>
          <w:rFonts w:asciiTheme="majorHAnsi" w:hAnsiTheme="majorHAnsi" w:cstheme="majorHAnsi"/>
        </w:rPr>
        <w:t>Strategic policy wit</w:t>
      </w:r>
      <w:r w:rsidR="00E56DF8" w:rsidRPr="000007D2">
        <w:rPr>
          <w:rFonts w:asciiTheme="majorHAnsi" w:hAnsiTheme="majorHAnsi" w:cstheme="majorHAnsi"/>
        </w:rPr>
        <w:t>h</w:t>
      </w:r>
      <w:r w:rsidRPr="00A33AE8">
        <w:rPr>
          <w:rFonts w:asciiTheme="majorHAnsi" w:hAnsiTheme="majorHAnsi" w:cstheme="majorHAnsi"/>
        </w:rPr>
        <w:t xml:space="preserve">in the </w:t>
      </w:r>
      <w:r w:rsidRPr="00A33AE8">
        <w:rPr>
          <w:rFonts w:asciiTheme="majorHAnsi" w:hAnsiTheme="majorHAnsi" w:cstheme="majorHAnsi"/>
          <w:b/>
          <w:bCs/>
        </w:rPr>
        <w:t>decarbonisation</w:t>
      </w:r>
      <w:r w:rsidRPr="00A33AE8">
        <w:rPr>
          <w:rFonts w:asciiTheme="majorHAnsi" w:hAnsiTheme="majorHAnsi" w:cstheme="majorHAnsi"/>
        </w:rPr>
        <w:t xml:space="preserve"> dimension includes definition of the national targets regarding the decarbonisation with the focus on the greenhouse gas (GHG) emissions reduction and share of energy from renewable sources in gross final consumption of energy. Based on the current situation, planned policy measures in the energy field, which generates about 80% of GHG emissions in the Republic of Serbia, will have a major contribution to decarbonisation process. Updat</w:t>
      </w:r>
      <w:r w:rsidR="009B7CF3" w:rsidRPr="00A33AE8">
        <w:rPr>
          <w:rFonts w:asciiTheme="majorHAnsi" w:hAnsiTheme="majorHAnsi" w:cstheme="majorHAnsi"/>
        </w:rPr>
        <w:t>ed</w:t>
      </w:r>
      <w:r w:rsidRPr="00A33AE8">
        <w:rPr>
          <w:rFonts w:asciiTheme="majorHAnsi" w:hAnsiTheme="majorHAnsi" w:cstheme="majorHAnsi"/>
        </w:rPr>
        <w:t xml:space="preserve"> Serbia’s Nationally Determined Contribution to the Paris Agreement is </w:t>
      </w:r>
      <w:r w:rsidR="009B7CF3" w:rsidRPr="00A33AE8">
        <w:rPr>
          <w:rFonts w:asciiTheme="majorHAnsi" w:hAnsiTheme="majorHAnsi" w:cstheme="majorHAnsi"/>
        </w:rPr>
        <w:t xml:space="preserve">submitted to UNFCCC </w:t>
      </w:r>
      <w:r w:rsidRPr="00A33AE8">
        <w:rPr>
          <w:rFonts w:asciiTheme="majorHAnsi" w:hAnsiTheme="majorHAnsi" w:cstheme="majorHAnsi"/>
        </w:rPr>
        <w:t>and National Emission Reduction Plan shall be implemented in practice for sulphur dioxide</w:t>
      </w:r>
      <w:r w:rsidR="00690087" w:rsidRPr="00A33AE8">
        <w:rPr>
          <w:rFonts w:asciiTheme="majorHAnsi" w:hAnsiTheme="majorHAnsi" w:cstheme="majorHAnsi"/>
        </w:rPr>
        <w:t>, nitrogen oxide</w:t>
      </w:r>
      <w:r w:rsidRPr="00A33AE8">
        <w:rPr>
          <w:rFonts w:asciiTheme="majorHAnsi" w:hAnsiTheme="majorHAnsi" w:cstheme="majorHAnsi"/>
        </w:rPr>
        <w:t xml:space="preserve"> and industrial dust. The majority of the policy measures are intended for the energy sector such as promotion of renewable energy sources and energy efficiency, which implementation will lead to overall GHG emissions reduction.</w:t>
      </w:r>
    </w:p>
    <w:p w14:paraId="112FCDC0" w14:textId="77777777" w:rsidR="00D75F83" w:rsidRPr="00A33AE8" w:rsidRDefault="00D75F83" w:rsidP="00D75F83">
      <w:pPr>
        <w:pStyle w:val="LDKBody1"/>
        <w:rPr>
          <w:rFonts w:asciiTheme="majorHAnsi" w:hAnsiTheme="majorHAnsi" w:cstheme="majorHAnsi"/>
        </w:rPr>
      </w:pPr>
      <w:r w:rsidRPr="00A33AE8">
        <w:rPr>
          <w:rFonts w:asciiTheme="majorHAnsi" w:hAnsiTheme="majorHAnsi" w:cstheme="majorHAnsi"/>
        </w:rPr>
        <w:t xml:space="preserve">Definition of the national targets regarding the </w:t>
      </w:r>
      <w:r w:rsidRPr="00A33AE8">
        <w:rPr>
          <w:rFonts w:asciiTheme="majorHAnsi" w:hAnsiTheme="majorHAnsi" w:cstheme="majorHAnsi"/>
          <w:b/>
          <w:bCs/>
        </w:rPr>
        <w:t>energy efficiency</w:t>
      </w:r>
      <w:r w:rsidRPr="00A33AE8">
        <w:rPr>
          <w:rFonts w:asciiTheme="majorHAnsi" w:hAnsiTheme="majorHAnsi" w:cstheme="majorHAnsi"/>
        </w:rPr>
        <w:t xml:space="preserve"> dimension </w:t>
      </w:r>
      <w:r w:rsidR="00C42D3C" w:rsidRPr="00A33AE8">
        <w:rPr>
          <w:rFonts w:asciiTheme="majorHAnsi" w:hAnsiTheme="majorHAnsi" w:cstheme="majorHAnsi"/>
        </w:rPr>
        <w:t xml:space="preserve">which </w:t>
      </w:r>
      <w:r w:rsidRPr="00A33AE8">
        <w:rPr>
          <w:rFonts w:asciiTheme="majorHAnsi" w:hAnsiTheme="majorHAnsi" w:cstheme="majorHAnsi"/>
        </w:rPr>
        <w:t xml:space="preserve">focuses on the improvement of energy efficiency </w:t>
      </w:r>
      <w:r w:rsidR="007F5463" w:rsidRPr="00A33AE8">
        <w:rPr>
          <w:rFonts w:asciiTheme="majorHAnsi" w:hAnsiTheme="majorHAnsi" w:cstheme="majorHAnsi"/>
        </w:rPr>
        <w:t xml:space="preserve">can be expressed </w:t>
      </w:r>
      <w:r w:rsidRPr="00A33AE8">
        <w:rPr>
          <w:rFonts w:asciiTheme="majorHAnsi" w:hAnsiTheme="majorHAnsi" w:cstheme="majorHAnsi"/>
        </w:rPr>
        <w:t xml:space="preserve">either </w:t>
      </w:r>
      <w:r w:rsidR="007F5463" w:rsidRPr="00A33AE8">
        <w:rPr>
          <w:rFonts w:asciiTheme="majorHAnsi" w:hAnsiTheme="majorHAnsi" w:cstheme="majorHAnsi"/>
        </w:rPr>
        <w:t xml:space="preserve">through </w:t>
      </w:r>
      <w:r w:rsidRPr="00A33AE8">
        <w:rPr>
          <w:rFonts w:asciiTheme="majorHAnsi" w:hAnsiTheme="majorHAnsi" w:cstheme="majorHAnsi"/>
        </w:rPr>
        <w:t xml:space="preserve">primary or final energy consumption, primary or final energy savings, or </w:t>
      </w:r>
      <w:r w:rsidR="007F5463" w:rsidRPr="00A33AE8">
        <w:rPr>
          <w:rFonts w:asciiTheme="majorHAnsi" w:hAnsiTheme="majorHAnsi" w:cstheme="majorHAnsi"/>
        </w:rPr>
        <w:t xml:space="preserve">through </w:t>
      </w:r>
      <w:r w:rsidRPr="00A33AE8">
        <w:rPr>
          <w:rFonts w:asciiTheme="majorHAnsi" w:hAnsiTheme="majorHAnsi" w:cstheme="majorHAnsi"/>
        </w:rPr>
        <w:t xml:space="preserve">energy intensity, </w:t>
      </w:r>
      <w:r w:rsidR="007F5463" w:rsidRPr="00A33AE8">
        <w:rPr>
          <w:rFonts w:asciiTheme="majorHAnsi" w:hAnsiTheme="majorHAnsi" w:cstheme="majorHAnsi"/>
        </w:rPr>
        <w:t xml:space="preserve">as well as through </w:t>
      </w:r>
      <w:r w:rsidRPr="00A33AE8">
        <w:rPr>
          <w:rFonts w:asciiTheme="majorHAnsi" w:hAnsiTheme="majorHAnsi" w:cstheme="majorHAnsi"/>
        </w:rPr>
        <w:t>the cumulative amount of end-use energy savings. It is important to provide indicative milestones of the long-term strategy for the renovation of the national stock of residential and non-residential buildings, both public and private, the roadmap with domestically established measurable progress indicators, an evidence-based estimate of expected energy savings and wider benefits, and the total floor area to be renovated or equivalent annual energy savings</w:t>
      </w:r>
      <w:r w:rsidR="007F5463" w:rsidRPr="00A33AE8">
        <w:rPr>
          <w:rFonts w:asciiTheme="majorHAnsi" w:hAnsiTheme="majorHAnsi" w:cstheme="majorHAnsi"/>
        </w:rPr>
        <w:t xml:space="preserve"> in accordance with long-term strategy for </w:t>
      </w:r>
      <w:r w:rsidR="003E06AD" w:rsidRPr="00A33AE8">
        <w:rPr>
          <w:rFonts w:asciiTheme="majorHAnsi" w:hAnsiTheme="majorHAnsi" w:cstheme="majorHAnsi"/>
        </w:rPr>
        <w:t>renovation of national stock of residential and non-residential buildings</w:t>
      </w:r>
      <w:r w:rsidRPr="00A33AE8">
        <w:rPr>
          <w:rFonts w:asciiTheme="majorHAnsi" w:hAnsiTheme="majorHAnsi" w:cstheme="majorHAnsi"/>
        </w:rPr>
        <w:t>.</w:t>
      </w:r>
    </w:p>
    <w:p w14:paraId="71F50627" w14:textId="77777777" w:rsidR="00D75F83" w:rsidRPr="00A33AE8" w:rsidRDefault="00D75F83" w:rsidP="00D75F83">
      <w:pPr>
        <w:pStyle w:val="LDKBody1"/>
        <w:rPr>
          <w:rFonts w:asciiTheme="majorHAnsi" w:hAnsiTheme="majorHAnsi" w:cstheme="majorHAnsi"/>
        </w:rPr>
      </w:pPr>
      <w:r w:rsidRPr="00A33AE8">
        <w:rPr>
          <w:rFonts w:asciiTheme="majorHAnsi" w:hAnsiTheme="majorHAnsi" w:cstheme="majorHAnsi"/>
        </w:rPr>
        <w:t>In the building sector a well-balanced mixture of policy measures, financing, fiscal and regulatory</w:t>
      </w:r>
      <w:r w:rsidR="003E06AD" w:rsidRPr="00A33AE8">
        <w:rPr>
          <w:rFonts w:asciiTheme="majorHAnsi" w:hAnsiTheme="majorHAnsi" w:cstheme="majorHAnsi"/>
        </w:rPr>
        <w:t xml:space="preserve"> measures</w:t>
      </w:r>
      <w:r w:rsidRPr="00A33AE8">
        <w:rPr>
          <w:rFonts w:asciiTheme="majorHAnsi" w:hAnsiTheme="majorHAnsi" w:cstheme="majorHAnsi"/>
        </w:rPr>
        <w:t xml:space="preserve">, will be implemented in order to support the energy renovation of the building stock and to attain the specified renovation rate. Financial support </w:t>
      </w:r>
      <w:r w:rsidR="003E06AD" w:rsidRPr="00A33AE8">
        <w:rPr>
          <w:rFonts w:asciiTheme="majorHAnsi" w:hAnsiTheme="majorHAnsi" w:cstheme="majorHAnsi"/>
        </w:rPr>
        <w:t xml:space="preserve">is necessary to </w:t>
      </w:r>
      <w:r w:rsidRPr="00A33AE8">
        <w:rPr>
          <w:rFonts w:asciiTheme="majorHAnsi" w:hAnsiTheme="majorHAnsi" w:cstheme="majorHAnsi"/>
        </w:rPr>
        <w:t xml:space="preserve">be provided for fostering the energy upgrade of the residential and non-residential buildings. Furthermore, the most cost-effective individual heating and cooling technologies will be promoted through specialised instruments. For the case of the non-residential buildings, the planned programs will focus on </w:t>
      </w:r>
      <w:r w:rsidR="003E06AD" w:rsidRPr="00A33AE8">
        <w:rPr>
          <w:rFonts w:asciiTheme="majorHAnsi" w:hAnsiTheme="majorHAnsi" w:cstheme="majorHAnsi"/>
        </w:rPr>
        <w:t xml:space="preserve">measures for energy efficiency improvements </w:t>
      </w:r>
      <w:r w:rsidRPr="00A33AE8">
        <w:rPr>
          <w:rFonts w:asciiTheme="majorHAnsi" w:hAnsiTheme="majorHAnsi" w:cstheme="majorHAnsi"/>
        </w:rPr>
        <w:t>taking into consideration their energy saving potential</w:t>
      </w:r>
      <w:r w:rsidR="003E06AD" w:rsidRPr="00A33AE8">
        <w:rPr>
          <w:rFonts w:asciiTheme="majorHAnsi" w:hAnsiTheme="majorHAnsi" w:cstheme="majorHAnsi"/>
        </w:rPr>
        <w:t xml:space="preserve"> and economic effects</w:t>
      </w:r>
      <w:r w:rsidRPr="00A33AE8">
        <w:rPr>
          <w:rFonts w:asciiTheme="majorHAnsi" w:hAnsiTheme="majorHAnsi" w:cstheme="majorHAnsi"/>
        </w:rPr>
        <w:t xml:space="preserve">. </w:t>
      </w:r>
      <w:r w:rsidR="00707F52" w:rsidRPr="00A33AE8">
        <w:rPr>
          <w:rFonts w:asciiTheme="majorHAnsi" w:hAnsiTheme="majorHAnsi" w:cstheme="majorHAnsi"/>
        </w:rPr>
        <w:t>In the transport sector, the main instrument of support will be the provision of tax incentives for the purchase of energy-efficient vehicles in passenger and freight transport, as well as the</w:t>
      </w:r>
      <w:r w:rsidR="00707F52" w:rsidRPr="000007D2">
        <w:rPr>
          <w:rFonts w:asciiTheme="majorHAnsi" w:hAnsiTheme="majorHAnsi" w:cstheme="majorHAnsi"/>
        </w:rPr>
        <w:t xml:space="preserve"> extension</w:t>
      </w:r>
      <w:r w:rsidR="00707F52" w:rsidRPr="00A33AE8">
        <w:rPr>
          <w:rFonts w:asciiTheme="majorHAnsi" w:hAnsiTheme="majorHAnsi" w:cstheme="majorHAnsi"/>
        </w:rPr>
        <w:t xml:space="preserve"> of public transport infrastructure and infrastructure for promoted types of </w:t>
      </w:r>
      <w:r w:rsidR="00707F52" w:rsidRPr="00A33AE8">
        <w:rPr>
          <w:rFonts w:asciiTheme="majorHAnsi" w:hAnsiTheme="majorHAnsi" w:cstheme="majorHAnsi"/>
        </w:rPr>
        <w:lastRenderedPageBreak/>
        <w:t xml:space="preserve">alternative fuels. Energy efficiency projects in the industrial sector will be implemented through targeted support schemes through various financial and fiscal instruments, applying the best available technologies and by establishing energy-efficient industrial-business zones. </w:t>
      </w:r>
      <w:r w:rsidR="006222A7" w:rsidRPr="00A33AE8">
        <w:rPr>
          <w:rFonts w:asciiTheme="majorHAnsi" w:hAnsiTheme="majorHAnsi" w:cstheme="majorHAnsi"/>
        </w:rPr>
        <w:t>Specialized financial incentives will be applied in the agricultural sector to improve the energy efficiency of agricultural machinery and infrastructure, to promote the production and exploitation of biomass and other RES, and to provide advisory services to farmers.</w:t>
      </w:r>
    </w:p>
    <w:p w14:paraId="5FFA0A57" w14:textId="200096E0" w:rsidR="00D75F83" w:rsidRPr="00A33AE8" w:rsidRDefault="00D75F83" w:rsidP="00D75F83">
      <w:pPr>
        <w:pStyle w:val="LDKBody1"/>
        <w:rPr>
          <w:rFonts w:asciiTheme="majorHAnsi" w:hAnsiTheme="majorHAnsi" w:cstheme="majorHAnsi"/>
        </w:rPr>
      </w:pPr>
      <w:r w:rsidRPr="00A33AE8">
        <w:rPr>
          <w:rFonts w:asciiTheme="majorHAnsi" w:hAnsiTheme="majorHAnsi" w:cstheme="majorHAnsi"/>
        </w:rPr>
        <w:t xml:space="preserve">The </w:t>
      </w:r>
      <w:r w:rsidRPr="00A33AE8">
        <w:rPr>
          <w:rFonts w:asciiTheme="majorHAnsi" w:hAnsiTheme="majorHAnsi" w:cstheme="majorHAnsi"/>
          <w:b/>
          <w:bCs/>
        </w:rPr>
        <w:t>energy security</w:t>
      </w:r>
      <w:r w:rsidRPr="00A33AE8">
        <w:rPr>
          <w:rFonts w:asciiTheme="majorHAnsi" w:hAnsiTheme="majorHAnsi" w:cstheme="majorHAnsi"/>
        </w:rPr>
        <w:t xml:space="preserve"> dimension aims to define national targets related to increasing the diversification of energy sources and supply from third countries the purpose of which may be to reduce energy import dependency, increasing the flexibility of the national energy system and addressing constrained or interrupted supply of an energy source for the purpose of improving the resilience of regional and national energy systems. Based on the current situation, diversification of sources of natural gas supply is </w:t>
      </w:r>
      <w:r w:rsidR="004E0CE2" w:rsidRPr="00A33AE8">
        <w:rPr>
          <w:rFonts w:asciiTheme="majorHAnsi" w:hAnsiTheme="majorHAnsi" w:cstheme="majorHAnsi"/>
        </w:rPr>
        <w:t xml:space="preserve">of </w:t>
      </w:r>
      <w:r w:rsidRPr="00A33AE8">
        <w:rPr>
          <w:rFonts w:asciiTheme="majorHAnsi" w:hAnsiTheme="majorHAnsi" w:cstheme="majorHAnsi"/>
        </w:rPr>
        <w:t xml:space="preserve">utmost importance. </w:t>
      </w:r>
      <w:r w:rsidR="004E0CE2" w:rsidRPr="00A33AE8">
        <w:rPr>
          <w:rFonts w:asciiTheme="majorHAnsi" w:hAnsiTheme="majorHAnsi" w:cstheme="majorHAnsi"/>
        </w:rPr>
        <w:t xml:space="preserve">Another component is </w:t>
      </w:r>
      <w:r w:rsidR="00C42D3C" w:rsidRPr="00A33AE8">
        <w:rPr>
          <w:rFonts w:asciiTheme="majorHAnsi" w:hAnsiTheme="majorHAnsi" w:cstheme="majorHAnsi"/>
        </w:rPr>
        <w:t>the</w:t>
      </w:r>
      <w:r w:rsidR="004E0CE2" w:rsidRPr="00A33AE8">
        <w:rPr>
          <w:rFonts w:asciiTheme="majorHAnsi" w:hAnsiTheme="majorHAnsi" w:cstheme="majorHAnsi"/>
        </w:rPr>
        <w:t xml:space="preserve"> upgrade of existing storage capacities or construction of new. </w:t>
      </w:r>
      <w:r w:rsidRPr="00A33AE8">
        <w:rPr>
          <w:rFonts w:asciiTheme="majorHAnsi" w:hAnsiTheme="majorHAnsi" w:cstheme="majorHAnsi"/>
        </w:rPr>
        <w:t>Diversification of energy sources is addressed also in other dimensions such as promotion of RES production alternatives and assurance of security of supply through higher interconnections and fostering of market integration.</w:t>
      </w:r>
    </w:p>
    <w:p w14:paraId="166B9555" w14:textId="77777777" w:rsidR="00D75F83" w:rsidRPr="00A33AE8" w:rsidRDefault="00D75F83" w:rsidP="00D75F83">
      <w:pPr>
        <w:pStyle w:val="LDKBody1"/>
        <w:rPr>
          <w:rFonts w:asciiTheme="majorHAnsi" w:hAnsiTheme="majorHAnsi" w:cstheme="majorHAnsi"/>
        </w:rPr>
      </w:pPr>
      <w:r w:rsidRPr="00A33AE8">
        <w:rPr>
          <w:rFonts w:asciiTheme="majorHAnsi" w:hAnsiTheme="majorHAnsi" w:cstheme="majorHAnsi"/>
        </w:rPr>
        <w:t xml:space="preserve">Concerning </w:t>
      </w:r>
      <w:r w:rsidRPr="00A33AE8">
        <w:rPr>
          <w:rFonts w:asciiTheme="majorHAnsi" w:hAnsiTheme="majorHAnsi" w:cstheme="majorHAnsi"/>
          <w:b/>
          <w:bCs/>
        </w:rPr>
        <w:t>internal energy market</w:t>
      </w:r>
      <w:r w:rsidRPr="00A33AE8">
        <w:rPr>
          <w:rFonts w:asciiTheme="majorHAnsi" w:hAnsiTheme="majorHAnsi" w:cstheme="majorHAnsi"/>
        </w:rPr>
        <w:t xml:space="preserve">, Serbia shall strive on the level of electricity interconnectivity, key electricity and gas transmission infrastructure projects, modernisation projects and main infrastructure projects envisaged other than Projects of Common Interest (PCIs). Furthermore, national objectives related to other aspects of the internal energy market such as increasing system flexibility, in particular related to the promotion of competitively determined electricity prices in line with relevant sectoral law, market integration and coupling, aimed at increasing the tradeable capacity of existing interconnectors, smart grids, aggregation, demand response, storage, distributed generation, mechanisms for dispatching, re-dispatching and curtailment, and real-time price signals. The country will ensure achievement of national objectives with regard to electricity system adequacy, as well as for the flexibility of the energy system with integration of renewable energy production, while maintaining a low level of energy poverty and developing a program for vulnerable </w:t>
      </w:r>
      <w:r w:rsidR="002D011B" w:rsidRPr="00A33AE8">
        <w:rPr>
          <w:rFonts w:asciiTheme="majorHAnsi" w:hAnsiTheme="majorHAnsi" w:cstheme="majorHAnsi"/>
        </w:rPr>
        <w:t>costumers</w:t>
      </w:r>
      <w:r w:rsidRPr="00A33AE8">
        <w:rPr>
          <w:rFonts w:asciiTheme="majorHAnsi" w:hAnsiTheme="majorHAnsi" w:cstheme="majorHAnsi"/>
        </w:rPr>
        <w:t>.</w:t>
      </w:r>
    </w:p>
    <w:p w14:paraId="384C9CAB" w14:textId="77777777" w:rsidR="00D75F83" w:rsidRPr="00A33AE8" w:rsidRDefault="00D75F83" w:rsidP="00D75F83">
      <w:pPr>
        <w:jc w:val="both"/>
        <w:rPr>
          <w:rFonts w:asciiTheme="majorHAnsi" w:hAnsiTheme="majorHAnsi" w:cstheme="majorHAnsi"/>
        </w:rPr>
      </w:pPr>
      <w:r w:rsidRPr="00A33AE8">
        <w:rPr>
          <w:rFonts w:asciiTheme="majorHAnsi" w:hAnsiTheme="majorHAnsi" w:cstheme="majorHAnsi"/>
        </w:rPr>
        <w:t xml:space="preserve">In terms of </w:t>
      </w:r>
      <w:r w:rsidRPr="00A33AE8">
        <w:rPr>
          <w:rFonts w:asciiTheme="majorHAnsi" w:hAnsiTheme="majorHAnsi" w:cstheme="majorHAnsi"/>
          <w:b/>
          <w:bCs/>
        </w:rPr>
        <w:t>research, innovation and competitiveness dimension</w:t>
      </w:r>
      <w:r w:rsidRPr="00A33AE8">
        <w:rPr>
          <w:rFonts w:asciiTheme="majorHAnsi" w:hAnsiTheme="majorHAnsi" w:cstheme="majorHAnsi"/>
        </w:rPr>
        <w:t xml:space="preserve">, definition of the targets regarding the energy security has to focus on national objectives and funding targets for public and private research and innovation, as well as national 2050 objectives related to the promotion of clean energy technologies. Within research and innovation, an indicative number of proposed policy measures is provided to: increase the number of innovative start-ups, high-tech and intensive sectors in line with the Strategy for Smart Specialisation, improve effectiveness of research by placing an emphasis on results and providing incentives, develop skills that boost the commercial viability and to support the cooperation between research institutes and businesses in the technology transfer and exploitation of research results. Total expenditures for research and development activities in 2020 amounted to 0.91% of </w:t>
      </w:r>
      <w:r w:rsidR="004A3801" w:rsidRPr="00A33AE8">
        <w:rPr>
          <w:rFonts w:asciiTheme="majorHAnsi" w:hAnsiTheme="majorHAnsi" w:cstheme="majorHAnsi"/>
        </w:rPr>
        <w:t>Gross Domestic Product (</w:t>
      </w:r>
      <w:r w:rsidRPr="00A33AE8">
        <w:rPr>
          <w:rFonts w:asciiTheme="majorHAnsi" w:hAnsiTheme="majorHAnsi" w:cstheme="majorHAnsi"/>
        </w:rPr>
        <w:t>GDP</w:t>
      </w:r>
      <w:r w:rsidR="004A3801" w:rsidRPr="00A33AE8">
        <w:rPr>
          <w:rFonts w:asciiTheme="majorHAnsi" w:hAnsiTheme="majorHAnsi" w:cstheme="majorHAnsi"/>
        </w:rPr>
        <w:t>)</w:t>
      </w:r>
      <w:r w:rsidRPr="00A33AE8">
        <w:rPr>
          <w:rFonts w:asciiTheme="majorHAnsi" w:hAnsiTheme="majorHAnsi" w:cstheme="majorHAnsi"/>
        </w:rPr>
        <w:t>. The Republic of Serbia shall strive for research and innovation as an opportunity to enhance the competitiveness of its national economy, transforming it into a driver for economic growth and job creation.</w:t>
      </w:r>
    </w:p>
    <w:p w14:paraId="6E232E33" w14:textId="77777777" w:rsidR="00AC70D7" w:rsidRPr="00A33AE8" w:rsidRDefault="0032438B" w:rsidP="00E92DF7">
      <w:pPr>
        <w:pStyle w:val="Heading4"/>
      </w:pPr>
      <w:r w:rsidRPr="00A33AE8">
        <w:t>K</w:t>
      </w:r>
      <w:r w:rsidR="00AC70D7" w:rsidRPr="00A33AE8">
        <w:t>ey objectives</w:t>
      </w:r>
      <w:r w:rsidR="006E57AC" w:rsidRPr="00A33AE8">
        <w:t xml:space="preserve"> and priorities </w:t>
      </w:r>
      <w:r w:rsidR="00AC70D7" w:rsidRPr="00A33AE8">
        <w:t>of the plan</w:t>
      </w:r>
    </w:p>
    <w:p w14:paraId="56B051D0" w14:textId="51A8CBFE" w:rsidR="00D75F83" w:rsidRPr="00A33AE8" w:rsidRDefault="00D75F83" w:rsidP="00D75F83">
      <w:pPr>
        <w:pStyle w:val="BodyText"/>
        <w:spacing w:before="120" w:line="276" w:lineRule="auto"/>
        <w:ind w:right="191"/>
        <w:rPr>
          <w:rFonts w:asciiTheme="majorHAnsi" w:hAnsiTheme="majorHAnsi" w:cstheme="majorHAnsi"/>
          <w:szCs w:val="22"/>
        </w:rPr>
      </w:pPr>
      <w:r w:rsidRPr="00A33AE8">
        <w:rPr>
          <w:rFonts w:asciiTheme="majorHAnsi" w:hAnsiTheme="majorHAnsi" w:cstheme="majorHAnsi"/>
          <w:szCs w:val="22"/>
        </w:rPr>
        <w:t xml:space="preserve">The main pillars of the </w:t>
      </w:r>
      <w:r w:rsidR="00B006FA" w:rsidRPr="00A33AE8">
        <w:rPr>
          <w:rFonts w:asciiTheme="majorHAnsi" w:hAnsiTheme="majorHAnsi" w:cstheme="majorHAnsi"/>
          <w:szCs w:val="22"/>
        </w:rPr>
        <w:t>I</w:t>
      </w:r>
      <w:r w:rsidRPr="00A33AE8">
        <w:rPr>
          <w:rFonts w:asciiTheme="majorHAnsi" w:hAnsiTheme="majorHAnsi" w:cstheme="majorHAnsi"/>
          <w:szCs w:val="22"/>
        </w:rPr>
        <w:t xml:space="preserve">NECP comprise </w:t>
      </w:r>
      <w:r w:rsidR="004E0CE2" w:rsidRPr="00A33AE8">
        <w:rPr>
          <w:rFonts w:asciiTheme="majorHAnsi" w:hAnsiTheme="majorHAnsi" w:cstheme="majorHAnsi"/>
          <w:szCs w:val="22"/>
        </w:rPr>
        <w:t>an</w:t>
      </w:r>
      <w:r w:rsidRPr="00A33AE8">
        <w:rPr>
          <w:rFonts w:asciiTheme="majorHAnsi" w:hAnsiTheme="majorHAnsi" w:cstheme="majorHAnsi"/>
          <w:szCs w:val="22"/>
        </w:rPr>
        <w:t xml:space="preserve"> </w:t>
      </w:r>
      <w:r w:rsidR="003A2C31" w:rsidRPr="00A33AE8">
        <w:rPr>
          <w:rFonts w:asciiTheme="majorHAnsi" w:hAnsiTheme="majorHAnsi" w:cstheme="majorHAnsi"/>
          <w:szCs w:val="22"/>
        </w:rPr>
        <w:t>increased</w:t>
      </w:r>
      <w:r w:rsidRPr="00A33AE8">
        <w:rPr>
          <w:rFonts w:asciiTheme="majorHAnsi" w:hAnsiTheme="majorHAnsi" w:cstheme="majorHAnsi"/>
          <w:szCs w:val="22"/>
        </w:rPr>
        <w:t xml:space="preserve"> penetration of RES in Serbia’s energy mix along with targeted energy efficiency measures aiming to reduce the final energy consumption by increasing energy performance. This clean energy transition pathway </w:t>
      </w:r>
      <w:r w:rsidR="003635C6" w:rsidRPr="00A33AE8">
        <w:rPr>
          <w:rFonts w:asciiTheme="majorHAnsi" w:hAnsiTheme="majorHAnsi" w:cstheme="majorHAnsi"/>
          <w:szCs w:val="22"/>
        </w:rPr>
        <w:t xml:space="preserve">tends to </w:t>
      </w:r>
      <w:r w:rsidRPr="00A33AE8">
        <w:rPr>
          <w:rFonts w:asciiTheme="majorHAnsi" w:hAnsiTheme="majorHAnsi" w:cstheme="majorHAnsi"/>
          <w:szCs w:val="22"/>
        </w:rPr>
        <w:t xml:space="preserve">enhance the country’s energy security, </w:t>
      </w:r>
      <w:r w:rsidR="00CD2E1E" w:rsidRPr="00A33AE8">
        <w:rPr>
          <w:rFonts w:asciiTheme="majorHAnsi" w:hAnsiTheme="majorHAnsi" w:cstheme="majorHAnsi"/>
          <w:szCs w:val="22"/>
        </w:rPr>
        <w:t>safeguards its energy dependency</w:t>
      </w:r>
      <w:r w:rsidRPr="00A33AE8">
        <w:rPr>
          <w:rFonts w:asciiTheme="majorHAnsi" w:hAnsiTheme="majorHAnsi" w:cstheme="majorHAnsi"/>
          <w:szCs w:val="22"/>
        </w:rPr>
        <w:t xml:space="preserve"> while ensuring a realistic</w:t>
      </w:r>
      <w:r w:rsidR="003A2C31" w:rsidRPr="00A33AE8">
        <w:rPr>
          <w:rFonts w:asciiTheme="majorHAnsi" w:hAnsiTheme="majorHAnsi" w:cstheme="majorHAnsi"/>
          <w:szCs w:val="22"/>
        </w:rPr>
        <w:t xml:space="preserve"> reduction of </w:t>
      </w:r>
      <w:r w:rsidRPr="00A33AE8">
        <w:rPr>
          <w:rFonts w:asciiTheme="majorHAnsi" w:hAnsiTheme="majorHAnsi" w:cstheme="majorHAnsi"/>
          <w:szCs w:val="22"/>
        </w:rPr>
        <w:t>lignite</w:t>
      </w:r>
      <w:r w:rsidR="003A2C31" w:rsidRPr="00A33AE8">
        <w:rPr>
          <w:rFonts w:asciiTheme="majorHAnsi" w:hAnsiTheme="majorHAnsi" w:cstheme="majorHAnsi"/>
          <w:szCs w:val="22"/>
        </w:rPr>
        <w:t xml:space="preserve"> use</w:t>
      </w:r>
      <w:r w:rsidRPr="00A33AE8">
        <w:rPr>
          <w:rFonts w:asciiTheme="majorHAnsi" w:hAnsiTheme="majorHAnsi" w:cstheme="majorHAnsi"/>
          <w:szCs w:val="22"/>
        </w:rPr>
        <w:t xml:space="preserve">, contributing to a </w:t>
      </w:r>
      <w:r w:rsidRPr="00A33AE8">
        <w:rPr>
          <w:rFonts w:asciiTheme="majorHAnsi" w:hAnsiTheme="majorHAnsi" w:cstheme="majorHAnsi"/>
          <w:b/>
          <w:bCs/>
          <w:szCs w:val="22"/>
        </w:rPr>
        <w:t>meaningful reduction of the GHG emissions by 2030</w:t>
      </w:r>
      <w:r w:rsidRPr="00A33AE8">
        <w:rPr>
          <w:rFonts w:asciiTheme="majorHAnsi" w:hAnsiTheme="majorHAnsi" w:cstheme="majorHAnsi"/>
          <w:szCs w:val="22"/>
        </w:rPr>
        <w:t>.</w:t>
      </w:r>
    </w:p>
    <w:p w14:paraId="453F78FF" w14:textId="77777777" w:rsidR="00D75F83" w:rsidRPr="00A33AE8" w:rsidRDefault="00D75F83" w:rsidP="00D75F83">
      <w:pPr>
        <w:pStyle w:val="BodyText"/>
        <w:spacing w:before="120" w:line="276" w:lineRule="auto"/>
        <w:ind w:right="191"/>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increased</w:t>
      </w:r>
      <w:r w:rsidR="007B40F8" w:rsidRPr="00A33AE8">
        <w:rPr>
          <w:rFonts w:asciiTheme="majorHAnsi" w:hAnsiTheme="majorHAnsi" w:cstheme="majorHAnsi"/>
          <w:b/>
          <w:bCs/>
          <w:szCs w:val="22"/>
        </w:rPr>
        <w:t xml:space="preserve"> </w:t>
      </w:r>
      <w:r w:rsidRPr="00A33AE8">
        <w:rPr>
          <w:rFonts w:asciiTheme="majorHAnsi" w:hAnsiTheme="majorHAnsi" w:cstheme="majorHAnsi"/>
          <w:b/>
          <w:bCs/>
          <w:szCs w:val="22"/>
        </w:rPr>
        <w:t>penetration of RES</w:t>
      </w:r>
      <w:r w:rsidRPr="00A33AE8">
        <w:rPr>
          <w:rFonts w:asciiTheme="majorHAnsi" w:hAnsiTheme="majorHAnsi" w:cstheme="majorHAnsi"/>
          <w:szCs w:val="22"/>
        </w:rPr>
        <w:t xml:space="preserve"> will constitute one of the most important objectives of the </w:t>
      </w:r>
      <w:r w:rsidR="00B006FA" w:rsidRPr="00A33AE8">
        <w:rPr>
          <w:rFonts w:asciiTheme="majorHAnsi" w:hAnsiTheme="majorHAnsi" w:cstheme="majorHAnsi"/>
          <w:szCs w:val="22"/>
        </w:rPr>
        <w:t>INECP</w:t>
      </w:r>
      <w:r w:rsidRPr="00A33AE8">
        <w:rPr>
          <w:rFonts w:asciiTheme="majorHAnsi" w:hAnsiTheme="majorHAnsi" w:cstheme="majorHAnsi"/>
          <w:szCs w:val="22"/>
        </w:rPr>
        <w:t xml:space="preserve"> for the Republic of Serbia reaching </w:t>
      </w:r>
      <w:r w:rsidR="009479C7" w:rsidRPr="00A33AE8">
        <w:rPr>
          <w:rFonts w:asciiTheme="majorHAnsi" w:hAnsiTheme="majorHAnsi" w:cstheme="majorHAnsi"/>
          <w:szCs w:val="22"/>
        </w:rPr>
        <w:t>3</w:t>
      </w:r>
      <w:r w:rsidR="00C42D3C" w:rsidRPr="00A33AE8">
        <w:rPr>
          <w:rFonts w:asciiTheme="majorHAnsi" w:hAnsiTheme="majorHAnsi" w:cstheme="majorHAnsi"/>
          <w:szCs w:val="22"/>
        </w:rPr>
        <w:t>3</w:t>
      </w:r>
      <w:r w:rsidR="009479C7" w:rsidRPr="00A33AE8">
        <w:rPr>
          <w:rFonts w:asciiTheme="majorHAnsi" w:hAnsiTheme="majorHAnsi" w:cstheme="majorHAnsi"/>
          <w:szCs w:val="22"/>
        </w:rPr>
        <w:t>.</w:t>
      </w:r>
      <w:r w:rsidR="00C42D3C" w:rsidRPr="00A33AE8">
        <w:rPr>
          <w:rFonts w:asciiTheme="majorHAnsi" w:hAnsiTheme="majorHAnsi" w:cstheme="majorHAnsi"/>
          <w:szCs w:val="22"/>
        </w:rPr>
        <w:t>6</w:t>
      </w:r>
      <w:r w:rsidRPr="00A33AE8">
        <w:rPr>
          <w:rFonts w:asciiTheme="majorHAnsi" w:hAnsiTheme="majorHAnsi" w:cstheme="majorHAnsi"/>
          <w:szCs w:val="22"/>
        </w:rPr>
        <w:t xml:space="preserve">% share in the gross final energy consumption. RES will be considered as the major domestic source of electricity production with a share </w:t>
      </w:r>
      <w:r w:rsidR="00E350DB" w:rsidRPr="00A33AE8">
        <w:rPr>
          <w:rFonts w:asciiTheme="majorHAnsi" w:hAnsiTheme="majorHAnsi" w:cstheme="majorHAnsi"/>
          <w:szCs w:val="22"/>
        </w:rPr>
        <w:t>reaching</w:t>
      </w:r>
      <w:r w:rsidRPr="00A33AE8">
        <w:rPr>
          <w:rFonts w:asciiTheme="majorHAnsi" w:hAnsiTheme="majorHAnsi" w:cstheme="majorHAnsi"/>
          <w:szCs w:val="22"/>
        </w:rPr>
        <w:t xml:space="preserve"> </w:t>
      </w:r>
      <w:r w:rsidR="009479C7" w:rsidRPr="00A33AE8">
        <w:rPr>
          <w:rFonts w:asciiTheme="majorHAnsi" w:hAnsiTheme="majorHAnsi" w:cstheme="majorHAnsi"/>
          <w:szCs w:val="22"/>
        </w:rPr>
        <w:t>4</w:t>
      </w:r>
      <w:r w:rsidR="00C42D3C" w:rsidRPr="00A33AE8">
        <w:rPr>
          <w:rFonts w:asciiTheme="majorHAnsi" w:hAnsiTheme="majorHAnsi" w:cstheme="majorHAnsi"/>
          <w:szCs w:val="22"/>
        </w:rPr>
        <w:t>5</w:t>
      </w:r>
      <w:r w:rsidRPr="00A33AE8">
        <w:rPr>
          <w:rFonts w:asciiTheme="majorHAnsi" w:hAnsiTheme="majorHAnsi" w:cstheme="majorHAnsi"/>
          <w:szCs w:val="22"/>
        </w:rPr>
        <w:t>% of the gross final electricity consumption in 2030 achieved mainly through the most cost-effective exploitation of the available potential for the case of wind and photovoltaic energy.</w:t>
      </w:r>
    </w:p>
    <w:p w14:paraId="2F119FB6" w14:textId="3B64F2B3" w:rsidR="00D75F83" w:rsidRPr="00A33AE8" w:rsidRDefault="00D75F83" w:rsidP="00D75F83">
      <w:pPr>
        <w:pStyle w:val="BodyText"/>
        <w:spacing w:before="120" w:line="276" w:lineRule="auto"/>
        <w:ind w:right="191"/>
        <w:rPr>
          <w:rFonts w:asciiTheme="majorHAnsi" w:hAnsiTheme="majorHAnsi" w:cstheme="majorHAnsi"/>
          <w:szCs w:val="22"/>
        </w:rPr>
      </w:pPr>
      <w:r w:rsidRPr="00A33AE8">
        <w:rPr>
          <w:rFonts w:asciiTheme="majorHAnsi" w:hAnsiTheme="majorHAnsi" w:cstheme="majorHAnsi"/>
          <w:szCs w:val="22"/>
        </w:rPr>
        <w:t xml:space="preserve">The efficient and regionally integrated operation of the new </w:t>
      </w:r>
      <w:r w:rsidR="00E85D52" w:rsidRPr="00A33AE8">
        <w:rPr>
          <w:rFonts w:asciiTheme="majorHAnsi" w:hAnsiTheme="majorHAnsi" w:cstheme="majorHAnsi"/>
          <w:szCs w:val="22"/>
        </w:rPr>
        <w:t xml:space="preserve">day-ahead </w:t>
      </w:r>
      <w:r w:rsidRPr="00A33AE8">
        <w:rPr>
          <w:rFonts w:asciiTheme="majorHAnsi" w:hAnsiTheme="majorHAnsi" w:cstheme="majorHAnsi"/>
          <w:szCs w:val="22"/>
        </w:rPr>
        <w:t xml:space="preserve">electricity market, </w:t>
      </w:r>
      <w:r w:rsidR="00E85D52" w:rsidRPr="000007D2">
        <w:rPr>
          <w:rFonts w:asciiTheme="majorHAnsi" w:hAnsiTheme="majorHAnsi" w:cstheme="majorHAnsi"/>
          <w:szCs w:val="22"/>
        </w:rPr>
        <w:t xml:space="preserve">including the importance of merging the regional electricity market with </w:t>
      </w:r>
      <w:r w:rsidR="002D45CB" w:rsidRPr="000007D2">
        <w:rPr>
          <w:rFonts w:asciiTheme="majorHAnsi" w:hAnsiTheme="majorHAnsi" w:cstheme="majorHAnsi"/>
          <w:szCs w:val="22"/>
        </w:rPr>
        <w:t xml:space="preserve">the </w:t>
      </w:r>
      <w:r w:rsidR="001F69CD" w:rsidRPr="000007D2">
        <w:rPr>
          <w:rFonts w:asciiTheme="majorHAnsi" w:hAnsiTheme="majorHAnsi" w:cstheme="majorHAnsi"/>
          <w:szCs w:val="22"/>
        </w:rPr>
        <w:t>European</w:t>
      </w:r>
      <w:r w:rsidR="00E85D52" w:rsidRPr="000007D2">
        <w:rPr>
          <w:rFonts w:asciiTheme="majorHAnsi" w:hAnsiTheme="majorHAnsi" w:cstheme="majorHAnsi"/>
          <w:szCs w:val="22"/>
        </w:rPr>
        <w:t xml:space="preserve"> electricity</w:t>
      </w:r>
      <w:r w:rsidRPr="000007D2">
        <w:rPr>
          <w:rFonts w:asciiTheme="majorHAnsi" w:hAnsiTheme="majorHAnsi"/>
        </w:rPr>
        <w:t xml:space="preserve"> market, </w:t>
      </w:r>
      <w:r w:rsidRPr="00A33AE8">
        <w:rPr>
          <w:rFonts w:asciiTheme="majorHAnsi" w:hAnsiTheme="majorHAnsi" w:cstheme="majorHAnsi"/>
          <w:szCs w:val="22"/>
        </w:rPr>
        <w:t>the</w:t>
      </w:r>
      <w:r w:rsidR="00BA0C98" w:rsidRPr="00A33AE8">
        <w:rPr>
          <w:rFonts w:asciiTheme="majorHAnsi" w:hAnsiTheme="majorHAnsi" w:cstheme="majorHAnsi"/>
          <w:szCs w:val="22"/>
        </w:rPr>
        <w:t xml:space="preserve"> </w:t>
      </w:r>
      <w:r w:rsidRPr="00A33AE8">
        <w:rPr>
          <w:rFonts w:asciiTheme="majorHAnsi" w:hAnsiTheme="majorHAnsi" w:cstheme="majorHAnsi"/>
          <w:szCs w:val="22"/>
        </w:rPr>
        <w:lastRenderedPageBreak/>
        <w:t>simplification and acceleration of the licensing procedure, the digitization of the energy system</w:t>
      </w:r>
      <w:r w:rsidRPr="00A33AE8">
        <w:rPr>
          <w:rFonts w:asciiTheme="majorHAnsi" w:hAnsiTheme="majorHAnsi" w:cstheme="majorHAnsi"/>
          <w:spacing w:val="1"/>
          <w:szCs w:val="22"/>
        </w:rPr>
        <w:t xml:space="preserve">, </w:t>
      </w:r>
      <w:r w:rsidRPr="00A33AE8">
        <w:rPr>
          <w:rFonts w:asciiTheme="majorHAnsi" w:hAnsiTheme="majorHAnsi" w:cstheme="majorHAnsi"/>
          <w:szCs w:val="22"/>
        </w:rPr>
        <w:t>the</w:t>
      </w:r>
      <w:r w:rsidR="00BA0C98" w:rsidRPr="00A33AE8">
        <w:rPr>
          <w:rFonts w:asciiTheme="majorHAnsi" w:hAnsiTheme="majorHAnsi" w:cstheme="majorHAnsi"/>
          <w:szCs w:val="22"/>
        </w:rPr>
        <w:t xml:space="preserve"> </w:t>
      </w:r>
      <w:r w:rsidRPr="00A33AE8">
        <w:rPr>
          <w:rFonts w:asciiTheme="majorHAnsi" w:hAnsiTheme="majorHAnsi" w:cstheme="majorHAnsi"/>
          <w:szCs w:val="22"/>
        </w:rPr>
        <w:t>enhancement</w:t>
      </w:r>
      <w:r w:rsidR="00BA0C98" w:rsidRPr="00A33AE8">
        <w:rPr>
          <w:rFonts w:asciiTheme="majorHAnsi" w:hAnsiTheme="majorHAnsi" w:cstheme="majorHAnsi"/>
          <w:szCs w:val="22"/>
        </w:rPr>
        <w:t xml:space="preserve"> </w:t>
      </w:r>
      <w:r w:rsidRPr="00A33AE8">
        <w:rPr>
          <w:rFonts w:asciiTheme="majorHAnsi" w:hAnsiTheme="majorHAnsi" w:cstheme="majorHAnsi"/>
          <w:szCs w:val="22"/>
        </w:rPr>
        <w:t>and</w:t>
      </w:r>
      <w:r w:rsidR="00BA0C98" w:rsidRPr="00A33AE8">
        <w:rPr>
          <w:rFonts w:asciiTheme="majorHAnsi" w:hAnsiTheme="majorHAnsi" w:cstheme="majorHAnsi"/>
          <w:szCs w:val="22"/>
        </w:rPr>
        <w:t xml:space="preserve"> </w:t>
      </w:r>
      <w:r w:rsidRPr="00A33AE8">
        <w:rPr>
          <w:rFonts w:asciiTheme="majorHAnsi" w:hAnsiTheme="majorHAnsi" w:cstheme="majorHAnsi"/>
          <w:szCs w:val="22"/>
        </w:rPr>
        <w:t>expansion</w:t>
      </w:r>
      <w:r w:rsidR="00BA0C98" w:rsidRPr="00A33AE8">
        <w:rPr>
          <w:rFonts w:asciiTheme="majorHAnsi" w:hAnsiTheme="majorHAnsi" w:cstheme="majorHAnsi"/>
          <w:szCs w:val="22"/>
        </w:rPr>
        <w:t xml:space="preserve"> </w:t>
      </w:r>
      <w:r w:rsidRPr="00A33AE8">
        <w:rPr>
          <w:rFonts w:asciiTheme="majorHAnsi" w:hAnsiTheme="majorHAnsi" w:cstheme="majorHAnsi"/>
          <w:szCs w:val="22"/>
        </w:rPr>
        <w:t>of</w:t>
      </w:r>
      <w:r w:rsidR="00BA0C98" w:rsidRPr="00A33AE8">
        <w:rPr>
          <w:rFonts w:asciiTheme="majorHAnsi" w:hAnsiTheme="majorHAnsi" w:cstheme="majorHAnsi"/>
          <w:szCs w:val="22"/>
        </w:rPr>
        <w:t xml:space="preserve"> </w:t>
      </w:r>
      <w:r w:rsidRPr="00A33AE8">
        <w:rPr>
          <w:rFonts w:asciiTheme="majorHAnsi" w:hAnsiTheme="majorHAnsi" w:cstheme="majorHAnsi"/>
          <w:szCs w:val="22"/>
        </w:rPr>
        <w:t xml:space="preserve">the existing electricity grid and its interconnections, the market uptake of energy storage, distributed RE and demand response resources as well as the gradual electrification and the energy coupling of final consumption sectors </w:t>
      </w:r>
      <w:r w:rsidRPr="00A33AE8">
        <w:rPr>
          <w:rFonts w:asciiTheme="majorHAnsi" w:hAnsiTheme="majorHAnsi" w:cstheme="majorHAnsi"/>
          <w:spacing w:val="1"/>
          <w:szCs w:val="22"/>
        </w:rPr>
        <w:t xml:space="preserve">are considered as prerequisites for </w:t>
      </w:r>
      <w:r w:rsidRPr="00A33AE8">
        <w:rPr>
          <w:rFonts w:asciiTheme="majorHAnsi" w:hAnsiTheme="majorHAnsi" w:cstheme="majorHAnsi"/>
          <w:szCs w:val="22"/>
        </w:rPr>
        <w:t>the</w:t>
      </w:r>
      <w:r w:rsidR="00BA0C98" w:rsidRPr="00A33AE8">
        <w:rPr>
          <w:rFonts w:asciiTheme="majorHAnsi" w:hAnsiTheme="majorHAnsi" w:cstheme="majorHAnsi"/>
          <w:szCs w:val="22"/>
        </w:rPr>
        <w:t xml:space="preserve"> </w:t>
      </w:r>
      <w:r w:rsidRPr="00A33AE8">
        <w:rPr>
          <w:rFonts w:asciiTheme="majorHAnsi" w:hAnsiTheme="majorHAnsi" w:cstheme="majorHAnsi"/>
          <w:szCs w:val="22"/>
        </w:rPr>
        <w:t>maximum</w:t>
      </w:r>
      <w:r w:rsidR="00BA0C98" w:rsidRPr="00A33AE8">
        <w:rPr>
          <w:rFonts w:asciiTheme="majorHAnsi" w:hAnsiTheme="majorHAnsi" w:cstheme="majorHAnsi"/>
          <w:szCs w:val="22"/>
        </w:rPr>
        <w:t xml:space="preserve"> </w:t>
      </w:r>
      <w:r w:rsidRPr="00A33AE8">
        <w:rPr>
          <w:rFonts w:asciiTheme="majorHAnsi" w:hAnsiTheme="majorHAnsi" w:cstheme="majorHAnsi"/>
          <w:szCs w:val="22"/>
        </w:rPr>
        <w:t>penetration of RES.</w:t>
      </w:r>
    </w:p>
    <w:p w14:paraId="5228D11F" w14:textId="77777777" w:rsidR="00E85D52" w:rsidRPr="000007D2" w:rsidRDefault="0072586C" w:rsidP="00E85D52">
      <w:pPr>
        <w:pStyle w:val="BodyText"/>
        <w:spacing w:before="120" w:line="276" w:lineRule="auto"/>
        <w:ind w:right="191"/>
        <w:rPr>
          <w:rFonts w:asciiTheme="majorHAnsi" w:hAnsiTheme="majorHAnsi" w:cstheme="majorHAnsi"/>
          <w:szCs w:val="22"/>
        </w:rPr>
      </w:pPr>
      <w:r w:rsidRPr="000007D2">
        <w:rPr>
          <w:rFonts w:asciiTheme="majorHAnsi" w:hAnsiTheme="majorHAnsi" w:cstheme="majorHAnsi"/>
          <w:szCs w:val="22"/>
        </w:rPr>
        <w:t xml:space="preserve">The increased interest of investors in Wind and PV installations, which is evident by the large number of applications, will ensure that the required new capacities will be installed by 2030 and the increase of the share from 30% in 2021 to 45% in 2030 </w:t>
      </w:r>
      <w:r w:rsidR="00E350DB" w:rsidRPr="000007D2">
        <w:rPr>
          <w:rFonts w:asciiTheme="majorHAnsi" w:hAnsiTheme="majorHAnsi" w:cstheme="majorHAnsi"/>
          <w:szCs w:val="22"/>
        </w:rPr>
        <w:t>can</w:t>
      </w:r>
      <w:r w:rsidRPr="000007D2">
        <w:rPr>
          <w:rFonts w:asciiTheme="majorHAnsi" w:hAnsiTheme="majorHAnsi" w:cstheme="majorHAnsi"/>
          <w:szCs w:val="22"/>
        </w:rPr>
        <w:t xml:space="preserve"> be achieved</w:t>
      </w:r>
      <w:r w:rsidR="00E85D52" w:rsidRPr="000007D2">
        <w:rPr>
          <w:rFonts w:asciiTheme="majorHAnsi" w:hAnsiTheme="majorHAnsi" w:cstheme="majorHAnsi"/>
          <w:szCs w:val="22"/>
        </w:rPr>
        <w:t>.</w:t>
      </w:r>
    </w:p>
    <w:p w14:paraId="02EB8176" w14:textId="77777777" w:rsidR="00D75F83" w:rsidRPr="00A33AE8" w:rsidRDefault="00D75F83" w:rsidP="00D75F83">
      <w:pPr>
        <w:pStyle w:val="BodyText"/>
        <w:spacing w:before="120" w:line="276" w:lineRule="auto"/>
        <w:ind w:right="191"/>
        <w:rPr>
          <w:rFonts w:asciiTheme="majorHAnsi" w:hAnsiTheme="majorHAnsi" w:cstheme="majorHAnsi"/>
          <w:szCs w:val="22"/>
        </w:rPr>
      </w:pPr>
      <w:r w:rsidRPr="00A33AE8">
        <w:rPr>
          <w:rFonts w:asciiTheme="majorHAnsi" w:hAnsiTheme="majorHAnsi" w:cstheme="majorHAnsi"/>
          <w:szCs w:val="22"/>
        </w:rPr>
        <w:t>Another priority is the promotion of electromobility, which will rely considerably on the electricity production by RES, while considerable energy</w:t>
      </w:r>
      <w:r w:rsidR="00BA0C98" w:rsidRPr="00A33AE8">
        <w:rPr>
          <w:rFonts w:asciiTheme="majorHAnsi" w:hAnsiTheme="majorHAnsi" w:cstheme="majorHAnsi"/>
          <w:szCs w:val="22"/>
        </w:rPr>
        <w:t xml:space="preserve"> </w:t>
      </w:r>
      <w:r w:rsidRPr="00A33AE8">
        <w:rPr>
          <w:rFonts w:asciiTheme="majorHAnsi" w:hAnsiTheme="majorHAnsi" w:cstheme="majorHAnsi"/>
          <w:szCs w:val="22"/>
        </w:rPr>
        <w:t>savings will be delivered contributing simultaneously to the attainment of the energy efficiency targets. Finally, the further exploitation of RES for the coverage of the thermal and cooling needs in buildings, the penetration of RES distributed technologies for electricity production and the promotion of advanced biofuels in transport sector consist additional priorities</w:t>
      </w:r>
      <w:r w:rsidR="00BA0C98" w:rsidRPr="00A33AE8">
        <w:rPr>
          <w:rFonts w:asciiTheme="majorHAnsi" w:hAnsiTheme="majorHAnsi" w:cstheme="majorHAnsi"/>
          <w:szCs w:val="22"/>
        </w:rPr>
        <w:t xml:space="preserve"> </w:t>
      </w:r>
      <w:r w:rsidRPr="00A33AE8">
        <w:rPr>
          <w:rFonts w:asciiTheme="majorHAnsi" w:hAnsiTheme="majorHAnsi" w:cstheme="majorHAnsi"/>
          <w:szCs w:val="22"/>
        </w:rPr>
        <w:t>within the framework of the</w:t>
      </w:r>
      <w:r w:rsidR="00BA0C98" w:rsidRPr="00A33AE8">
        <w:rPr>
          <w:rFonts w:asciiTheme="majorHAnsi" w:hAnsiTheme="majorHAnsi" w:cstheme="majorHAnsi"/>
          <w:szCs w:val="22"/>
        </w:rPr>
        <w:t xml:space="preserve"> </w:t>
      </w:r>
      <w:r w:rsidR="00B006FA" w:rsidRPr="00A33AE8">
        <w:rPr>
          <w:rFonts w:asciiTheme="majorHAnsi" w:hAnsiTheme="majorHAnsi" w:cstheme="majorHAnsi"/>
          <w:szCs w:val="22"/>
        </w:rPr>
        <w:t>INECP</w:t>
      </w:r>
      <w:r w:rsidRPr="00A33AE8">
        <w:rPr>
          <w:rFonts w:asciiTheme="majorHAnsi" w:hAnsiTheme="majorHAnsi" w:cstheme="majorHAnsi"/>
          <w:szCs w:val="22"/>
        </w:rPr>
        <w:t xml:space="preserve"> for the further deployment of RES.</w:t>
      </w:r>
    </w:p>
    <w:p w14:paraId="1FD22E43" w14:textId="77777777" w:rsidR="00D75F83" w:rsidRPr="00A33AE8" w:rsidRDefault="00D75F83" w:rsidP="00D75F8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In addition, the </w:t>
      </w:r>
      <w:r w:rsidRPr="00A33AE8">
        <w:rPr>
          <w:rFonts w:asciiTheme="majorHAnsi" w:hAnsiTheme="majorHAnsi" w:cstheme="majorHAnsi"/>
          <w:b/>
          <w:bCs/>
          <w:szCs w:val="22"/>
        </w:rPr>
        <w:t>promotion of energy efficiency</w:t>
      </w:r>
      <w:r w:rsidRPr="00A33AE8">
        <w:rPr>
          <w:rFonts w:asciiTheme="majorHAnsi" w:hAnsiTheme="majorHAnsi" w:cstheme="majorHAnsi"/>
          <w:szCs w:val="22"/>
        </w:rPr>
        <w:t xml:space="preserve"> comprises a fundamental priority highlighting the necessity of implementing policies and measures that in turn demonstrate the most economically and socially effective approach for</w:t>
      </w:r>
      <w:r w:rsidR="00BA0C98" w:rsidRPr="00A33AE8">
        <w:rPr>
          <w:rFonts w:asciiTheme="majorHAnsi" w:hAnsiTheme="majorHAnsi" w:cstheme="majorHAnsi"/>
          <w:szCs w:val="22"/>
        </w:rPr>
        <w:t xml:space="preserve"> </w:t>
      </w:r>
      <w:r w:rsidRPr="00A33AE8">
        <w:rPr>
          <w:rFonts w:asciiTheme="majorHAnsi" w:hAnsiTheme="majorHAnsi" w:cstheme="majorHAnsi"/>
          <w:szCs w:val="22"/>
        </w:rPr>
        <w:t>all</w:t>
      </w:r>
      <w:r w:rsidR="00BA0C98" w:rsidRPr="00A33AE8">
        <w:rPr>
          <w:rFonts w:asciiTheme="majorHAnsi" w:hAnsiTheme="majorHAnsi" w:cstheme="majorHAnsi"/>
          <w:szCs w:val="22"/>
        </w:rPr>
        <w:t xml:space="preserve"> </w:t>
      </w:r>
      <w:r w:rsidRPr="00A33AE8">
        <w:rPr>
          <w:rFonts w:asciiTheme="majorHAnsi" w:hAnsiTheme="majorHAnsi" w:cstheme="majorHAnsi"/>
          <w:szCs w:val="22"/>
        </w:rPr>
        <w:t xml:space="preserve">end-uses. The final energy consumption in 2030 will amount to </w:t>
      </w:r>
      <w:r w:rsidR="00124FBE" w:rsidRPr="00A33AE8">
        <w:rPr>
          <w:rFonts w:asciiTheme="majorHAnsi" w:hAnsiTheme="majorHAnsi" w:cstheme="majorHAnsi"/>
          <w:szCs w:val="22"/>
        </w:rPr>
        <w:t xml:space="preserve">at most </w:t>
      </w:r>
      <w:r w:rsidRPr="00A33AE8">
        <w:rPr>
          <w:rFonts w:asciiTheme="majorHAnsi" w:hAnsiTheme="majorHAnsi" w:cstheme="majorHAnsi"/>
          <w:szCs w:val="22"/>
        </w:rPr>
        <w:t>9.</w:t>
      </w:r>
      <w:r w:rsidR="003E06AD" w:rsidRPr="00A33AE8">
        <w:rPr>
          <w:rFonts w:asciiTheme="majorHAnsi" w:hAnsiTheme="majorHAnsi" w:cstheme="majorHAnsi"/>
          <w:szCs w:val="22"/>
        </w:rPr>
        <w:t>6</w:t>
      </w:r>
      <w:r w:rsidRPr="00A33AE8">
        <w:rPr>
          <w:rFonts w:asciiTheme="majorHAnsi" w:hAnsiTheme="majorHAnsi" w:cstheme="majorHAnsi"/>
          <w:szCs w:val="22"/>
        </w:rPr>
        <w:t xml:space="preserve"> Mtoe, while </w:t>
      </w:r>
      <w:bookmarkStart w:id="21" w:name="_Hlk137198414"/>
      <w:r w:rsidRPr="00A33AE8">
        <w:rPr>
          <w:rFonts w:asciiTheme="majorHAnsi" w:hAnsiTheme="majorHAnsi" w:cstheme="majorHAnsi"/>
          <w:szCs w:val="22"/>
        </w:rPr>
        <w:t xml:space="preserve">the primary energy consumption will be equal to </w:t>
      </w:r>
      <w:r w:rsidR="00124FBE" w:rsidRPr="00A33AE8">
        <w:rPr>
          <w:rFonts w:asciiTheme="majorHAnsi" w:hAnsiTheme="majorHAnsi" w:cstheme="majorHAnsi"/>
          <w:szCs w:val="22"/>
        </w:rPr>
        <w:t xml:space="preserve">at most </w:t>
      </w:r>
      <w:r w:rsidRPr="00A33AE8">
        <w:rPr>
          <w:rFonts w:asciiTheme="majorHAnsi" w:hAnsiTheme="majorHAnsi" w:cstheme="majorHAnsi"/>
          <w:szCs w:val="22"/>
        </w:rPr>
        <w:t>14.</w:t>
      </w:r>
      <w:r w:rsidR="009E5F59" w:rsidRPr="00A33AE8">
        <w:rPr>
          <w:rFonts w:asciiTheme="majorHAnsi" w:hAnsiTheme="majorHAnsi" w:cstheme="majorHAnsi"/>
          <w:szCs w:val="22"/>
        </w:rPr>
        <w:t>6</w:t>
      </w:r>
      <w:r w:rsidRPr="00A33AE8">
        <w:rPr>
          <w:rFonts w:asciiTheme="majorHAnsi" w:hAnsiTheme="majorHAnsi" w:cstheme="majorHAnsi"/>
          <w:szCs w:val="22"/>
        </w:rPr>
        <w:t>8 Mtoe in 2030</w:t>
      </w:r>
      <w:bookmarkEnd w:id="21"/>
      <w:r w:rsidRPr="00A33AE8">
        <w:rPr>
          <w:rFonts w:asciiTheme="majorHAnsi" w:hAnsiTheme="majorHAnsi" w:cstheme="majorHAnsi"/>
          <w:szCs w:val="22"/>
        </w:rPr>
        <w:t>. It should be noted that the improvement of the energy efficiency delivers additional multiple benefits, such as the reduction of the GHG emissions, the reduction of the energy costs, the improvement of the comfort conditions in</w:t>
      </w:r>
      <w:r w:rsidR="00D9721A" w:rsidRPr="00A33AE8">
        <w:rPr>
          <w:rFonts w:asciiTheme="majorHAnsi" w:hAnsiTheme="majorHAnsi" w:cstheme="majorHAnsi"/>
          <w:szCs w:val="22"/>
        </w:rPr>
        <w:t xml:space="preserve"> </w:t>
      </w:r>
      <w:r w:rsidRPr="00A33AE8">
        <w:rPr>
          <w:rFonts w:asciiTheme="majorHAnsi" w:hAnsiTheme="majorHAnsi" w:cstheme="majorHAnsi"/>
          <w:szCs w:val="22"/>
        </w:rPr>
        <w:t>buildings, the increase of the value added and employment and the improvement of businesses’ competitiveness</w:t>
      </w:r>
      <w:r w:rsidR="00124FBE" w:rsidRPr="00A33AE8">
        <w:rPr>
          <w:rFonts w:asciiTheme="majorHAnsi" w:hAnsiTheme="majorHAnsi" w:cstheme="majorHAnsi"/>
          <w:szCs w:val="22"/>
        </w:rPr>
        <w:t>, reduction of poverty</w:t>
      </w:r>
      <w:r w:rsidR="00AB4148" w:rsidRPr="000007D2">
        <w:rPr>
          <w:rFonts w:asciiTheme="majorHAnsi" w:hAnsiTheme="majorHAnsi" w:cstheme="majorHAnsi"/>
          <w:szCs w:val="22"/>
        </w:rPr>
        <w:t xml:space="preserve"> and increase in the value of housing stock</w:t>
      </w:r>
      <w:r w:rsidRPr="00A33AE8">
        <w:rPr>
          <w:rFonts w:asciiTheme="majorHAnsi" w:hAnsiTheme="majorHAnsi" w:cstheme="majorHAnsi"/>
          <w:szCs w:val="22"/>
        </w:rPr>
        <w:t>.</w:t>
      </w:r>
    </w:p>
    <w:p w14:paraId="5D458221" w14:textId="77777777" w:rsidR="00D75F83" w:rsidRPr="00A33AE8" w:rsidRDefault="00D75F83" w:rsidP="00D75F8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renovation of the buildings</w:t>
      </w:r>
      <w:r w:rsidRPr="00A33AE8">
        <w:rPr>
          <w:rFonts w:asciiTheme="majorHAnsi" w:hAnsiTheme="majorHAnsi" w:cstheme="majorHAnsi"/>
          <w:szCs w:val="22"/>
        </w:rPr>
        <w:t xml:space="preserve"> will contribute meaningfully to the fulfilment of the energy efficiency targets. Targeted policies and measures will be initiated to foster a renovation rate equal to 1% approximately on annual basis for the case of the residential </w:t>
      </w:r>
      <w:r w:rsidR="00600120" w:rsidRPr="00A33AE8">
        <w:rPr>
          <w:rFonts w:asciiTheme="majorHAnsi" w:hAnsiTheme="majorHAnsi" w:cstheme="majorHAnsi"/>
          <w:szCs w:val="22"/>
        </w:rPr>
        <w:t xml:space="preserve">buildings </w:t>
      </w:r>
      <w:r w:rsidR="00600120" w:rsidRPr="000007D2">
        <w:rPr>
          <w:rFonts w:asciiTheme="majorHAnsi" w:hAnsiTheme="majorHAnsi" w:cstheme="majorHAnsi"/>
          <w:szCs w:val="22"/>
        </w:rPr>
        <w:t>(according to the provisions of the Long Term Buildings Renovation Strategy)</w:t>
      </w:r>
      <w:r w:rsidR="00600120" w:rsidRPr="00A33AE8">
        <w:rPr>
          <w:rFonts w:asciiTheme="majorHAnsi" w:hAnsiTheme="majorHAnsi" w:cstheme="majorHAnsi"/>
          <w:szCs w:val="22"/>
        </w:rPr>
        <w:t>, 3% for the public buildings and 2.3% for the other</w:t>
      </w:r>
      <w:r w:rsidRPr="00A33AE8">
        <w:rPr>
          <w:rFonts w:asciiTheme="majorHAnsi" w:hAnsiTheme="majorHAnsi" w:cstheme="majorHAnsi"/>
          <w:szCs w:val="22"/>
        </w:rPr>
        <w:t xml:space="preserve"> non-residential buildings. Similarly,</w:t>
      </w:r>
      <w:r w:rsidRPr="00A33AE8">
        <w:rPr>
          <w:rFonts w:asciiTheme="majorHAnsi" w:hAnsiTheme="majorHAnsi" w:cstheme="majorHAnsi"/>
          <w:spacing w:val="1"/>
          <w:szCs w:val="22"/>
        </w:rPr>
        <w:t xml:space="preserve"> policies and </w:t>
      </w:r>
      <w:r w:rsidRPr="00A33AE8">
        <w:rPr>
          <w:rFonts w:asciiTheme="majorHAnsi" w:hAnsiTheme="majorHAnsi" w:cstheme="majorHAnsi"/>
          <w:szCs w:val="22"/>
        </w:rPr>
        <w:t>measures are foreseen also for the industrial and transport sectors focusing on the promotion of the most cost-effective technologies and vehicles respectively.</w:t>
      </w:r>
    </w:p>
    <w:p w14:paraId="4E9E08E6" w14:textId="77777777" w:rsidR="00D75F83" w:rsidRPr="00A33AE8" w:rsidRDefault="00D75F83" w:rsidP="00D75F8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Emphasis will be given on </w:t>
      </w:r>
      <w:r w:rsidRPr="00A33AE8">
        <w:rPr>
          <w:rFonts w:asciiTheme="majorHAnsi" w:hAnsiTheme="majorHAnsi" w:cstheme="majorHAnsi"/>
          <w:b/>
          <w:bCs/>
          <w:szCs w:val="22"/>
        </w:rPr>
        <w:t xml:space="preserve">the optimal use of available public and </w:t>
      </w:r>
      <w:r w:rsidR="00955322" w:rsidRPr="00A33AE8">
        <w:rPr>
          <w:rFonts w:asciiTheme="majorHAnsi" w:hAnsiTheme="majorHAnsi" w:cstheme="majorHAnsi"/>
          <w:b/>
          <w:bCs/>
          <w:szCs w:val="22"/>
        </w:rPr>
        <w:t>own</w:t>
      </w:r>
      <w:r w:rsidRPr="00A33AE8">
        <w:rPr>
          <w:rFonts w:asciiTheme="majorHAnsi" w:hAnsiTheme="majorHAnsi" w:cstheme="majorHAnsi"/>
          <w:b/>
          <w:bCs/>
          <w:szCs w:val="22"/>
        </w:rPr>
        <w:t xml:space="preserve"> financial</w:t>
      </w:r>
      <w:r w:rsidR="00684CDC" w:rsidRPr="00A33AE8">
        <w:rPr>
          <w:rFonts w:asciiTheme="majorHAnsi" w:hAnsiTheme="majorHAnsi" w:cstheme="majorHAnsi"/>
          <w:b/>
          <w:bCs/>
          <w:szCs w:val="22"/>
        </w:rPr>
        <w:t xml:space="preserve"> </w:t>
      </w:r>
      <w:r w:rsidRPr="00A33AE8">
        <w:rPr>
          <w:rFonts w:asciiTheme="majorHAnsi" w:hAnsiTheme="majorHAnsi" w:cstheme="majorHAnsi"/>
          <w:b/>
          <w:bCs/>
          <w:szCs w:val="22"/>
        </w:rPr>
        <w:t>sources</w:t>
      </w:r>
      <w:r w:rsidRPr="00A33AE8">
        <w:rPr>
          <w:rFonts w:asciiTheme="majorHAnsi" w:hAnsiTheme="majorHAnsi" w:cstheme="majorHAnsi"/>
          <w:szCs w:val="22"/>
        </w:rPr>
        <w:t xml:space="preserve"> ensuring the maximization of the triggered benefits to the final consumers taking due consideration the</w:t>
      </w:r>
      <w:r w:rsidR="00684CDC" w:rsidRPr="00A33AE8">
        <w:rPr>
          <w:rFonts w:asciiTheme="majorHAnsi" w:hAnsiTheme="majorHAnsi" w:cstheme="majorHAnsi"/>
          <w:szCs w:val="22"/>
        </w:rPr>
        <w:t xml:space="preserve"> </w:t>
      </w:r>
      <w:r w:rsidRPr="00A33AE8">
        <w:rPr>
          <w:rFonts w:asciiTheme="majorHAnsi" w:hAnsiTheme="majorHAnsi" w:cstheme="majorHAnsi"/>
          <w:szCs w:val="22"/>
        </w:rPr>
        <w:t>specificities</w:t>
      </w:r>
      <w:r w:rsidR="00684CDC" w:rsidRPr="00A33AE8">
        <w:rPr>
          <w:rFonts w:asciiTheme="majorHAnsi" w:hAnsiTheme="majorHAnsi" w:cstheme="majorHAnsi"/>
          <w:szCs w:val="22"/>
        </w:rPr>
        <w:t xml:space="preserve"> </w:t>
      </w:r>
      <w:r w:rsidRPr="00A33AE8">
        <w:rPr>
          <w:rFonts w:asciiTheme="majorHAnsi" w:hAnsiTheme="majorHAnsi" w:cstheme="majorHAnsi"/>
          <w:szCs w:val="22"/>
        </w:rPr>
        <w:t>of</w:t>
      </w:r>
      <w:r w:rsidR="00684CDC" w:rsidRPr="00A33AE8">
        <w:rPr>
          <w:rFonts w:asciiTheme="majorHAnsi" w:hAnsiTheme="majorHAnsi" w:cstheme="majorHAnsi"/>
          <w:szCs w:val="22"/>
        </w:rPr>
        <w:t xml:space="preserve"> </w:t>
      </w:r>
      <w:r w:rsidRPr="00A33AE8">
        <w:rPr>
          <w:rFonts w:asciiTheme="majorHAnsi" w:hAnsiTheme="majorHAnsi" w:cstheme="majorHAnsi"/>
          <w:szCs w:val="22"/>
        </w:rPr>
        <w:t>each</w:t>
      </w:r>
      <w:r w:rsidR="00684CDC" w:rsidRPr="00A33AE8">
        <w:rPr>
          <w:rFonts w:asciiTheme="majorHAnsi" w:hAnsiTheme="majorHAnsi" w:cstheme="majorHAnsi"/>
          <w:szCs w:val="22"/>
        </w:rPr>
        <w:t xml:space="preserve"> </w:t>
      </w:r>
      <w:r w:rsidRPr="00A33AE8">
        <w:rPr>
          <w:rFonts w:asciiTheme="majorHAnsi" w:hAnsiTheme="majorHAnsi" w:cstheme="majorHAnsi"/>
          <w:szCs w:val="22"/>
        </w:rPr>
        <w:t>category</w:t>
      </w:r>
      <w:r w:rsidR="00684CDC" w:rsidRPr="00A33AE8">
        <w:rPr>
          <w:rFonts w:asciiTheme="majorHAnsi" w:hAnsiTheme="majorHAnsi" w:cstheme="majorHAnsi"/>
          <w:szCs w:val="22"/>
        </w:rPr>
        <w:t xml:space="preserve"> </w:t>
      </w:r>
      <w:r w:rsidRPr="00A33AE8">
        <w:rPr>
          <w:rFonts w:asciiTheme="majorHAnsi" w:hAnsiTheme="majorHAnsi" w:cstheme="majorHAnsi"/>
          <w:szCs w:val="22"/>
        </w:rPr>
        <w:t>of</w:t>
      </w:r>
      <w:r w:rsidR="00684CDC" w:rsidRPr="00A33AE8">
        <w:rPr>
          <w:rFonts w:asciiTheme="majorHAnsi" w:hAnsiTheme="majorHAnsi" w:cstheme="majorHAnsi"/>
          <w:szCs w:val="22"/>
        </w:rPr>
        <w:t xml:space="preserve"> </w:t>
      </w:r>
      <w:r w:rsidRPr="00A33AE8">
        <w:rPr>
          <w:rFonts w:asciiTheme="majorHAnsi" w:hAnsiTheme="majorHAnsi" w:cstheme="majorHAnsi"/>
          <w:szCs w:val="22"/>
        </w:rPr>
        <w:t>final</w:t>
      </w:r>
      <w:r w:rsidR="00684CDC" w:rsidRPr="00A33AE8">
        <w:rPr>
          <w:rFonts w:asciiTheme="majorHAnsi" w:hAnsiTheme="majorHAnsi" w:cstheme="majorHAnsi"/>
          <w:szCs w:val="22"/>
        </w:rPr>
        <w:t xml:space="preserve"> </w:t>
      </w:r>
      <w:r w:rsidRPr="00A33AE8">
        <w:rPr>
          <w:rFonts w:asciiTheme="majorHAnsi" w:hAnsiTheme="majorHAnsi" w:cstheme="majorHAnsi"/>
          <w:szCs w:val="22"/>
        </w:rPr>
        <w:t>consumers</w:t>
      </w:r>
      <w:r w:rsidR="00684CDC" w:rsidRPr="00A33AE8">
        <w:rPr>
          <w:rFonts w:asciiTheme="majorHAnsi" w:hAnsiTheme="majorHAnsi" w:cstheme="majorHAnsi"/>
          <w:szCs w:val="22"/>
        </w:rPr>
        <w:t xml:space="preserve"> </w:t>
      </w:r>
      <w:r w:rsidRPr="00A33AE8">
        <w:rPr>
          <w:rFonts w:asciiTheme="majorHAnsi" w:hAnsiTheme="majorHAnsi" w:cstheme="majorHAnsi"/>
          <w:szCs w:val="22"/>
        </w:rPr>
        <w:t>and</w:t>
      </w:r>
      <w:r w:rsidR="00684CDC" w:rsidRPr="00A33AE8">
        <w:rPr>
          <w:rFonts w:asciiTheme="majorHAnsi" w:hAnsiTheme="majorHAnsi" w:cstheme="majorHAnsi"/>
          <w:szCs w:val="22"/>
        </w:rPr>
        <w:t xml:space="preserve"> </w:t>
      </w:r>
      <w:r w:rsidRPr="00A33AE8">
        <w:rPr>
          <w:rFonts w:asciiTheme="majorHAnsi" w:hAnsiTheme="majorHAnsi" w:cstheme="majorHAnsi"/>
          <w:szCs w:val="22"/>
        </w:rPr>
        <w:t>of</w:t>
      </w:r>
      <w:r w:rsidR="00684CDC" w:rsidRPr="00A33AE8">
        <w:rPr>
          <w:rFonts w:asciiTheme="majorHAnsi" w:hAnsiTheme="majorHAnsi" w:cstheme="majorHAnsi"/>
          <w:szCs w:val="22"/>
        </w:rPr>
        <w:t xml:space="preserve"> </w:t>
      </w:r>
      <w:r w:rsidRPr="00A33AE8">
        <w:rPr>
          <w:rFonts w:asciiTheme="majorHAnsi" w:hAnsiTheme="majorHAnsi" w:cstheme="majorHAnsi"/>
          <w:szCs w:val="22"/>
        </w:rPr>
        <w:t>the</w:t>
      </w:r>
      <w:r w:rsidR="00684CDC" w:rsidRPr="00A33AE8">
        <w:rPr>
          <w:rFonts w:asciiTheme="majorHAnsi" w:hAnsiTheme="majorHAnsi" w:cstheme="majorHAnsi"/>
          <w:szCs w:val="22"/>
        </w:rPr>
        <w:t xml:space="preserve"> </w:t>
      </w:r>
      <w:r w:rsidRPr="00A33AE8">
        <w:rPr>
          <w:rFonts w:asciiTheme="majorHAnsi" w:hAnsiTheme="majorHAnsi" w:cstheme="majorHAnsi"/>
          <w:szCs w:val="22"/>
        </w:rPr>
        <w:t>characteristics</w:t>
      </w:r>
      <w:r w:rsidR="00684CDC" w:rsidRPr="00A33AE8">
        <w:rPr>
          <w:rFonts w:asciiTheme="majorHAnsi" w:hAnsiTheme="majorHAnsi" w:cstheme="majorHAnsi"/>
          <w:szCs w:val="22"/>
        </w:rPr>
        <w:t xml:space="preserve"> </w:t>
      </w:r>
      <w:r w:rsidRPr="00A33AE8">
        <w:rPr>
          <w:rFonts w:asciiTheme="majorHAnsi" w:hAnsiTheme="majorHAnsi" w:cstheme="majorHAnsi"/>
          <w:szCs w:val="22"/>
        </w:rPr>
        <w:t>of</w:t>
      </w:r>
      <w:r w:rsidR="00684CDC" w:rsidRPr="00A33AE8">
        <w:rPr>
          <w:rFonts w:asciiTheme="majorHAnsi" w:hAnsiTheme="majorHAnsi" w:cstheme="majorHAnsi"/>
          <w:szCs w:val="22"/>
        </w:rPr>
        <w:t xml:space="preserve"> </w:t>
      </w:r>
      <w:r w:rsidRPr="00A33AE8">
        <w:rPr>
          <w:rFonts w:asciiTheme="majorHAnsi" w:hAnsiTheme="majorHAnsi" w:cstheme="majorHAnsi"/>
          <w:szCs w:val="22"/>
        </w:rPr>
        <w:t>the</w:t>
      </w:r>
      <w:r w:rsidR="00684CDC" w:rsidRPr="00A33AE8">
        <w:rPr>
          <w:rFonts w:asciiTheme="majorHAnsi" w:hAnsiTheme="majorHAnsi" w:cstheme="majorHAnsi"/>
          <w:szCs w:val="22"/>
        </w:rPr>
        <w:t xml:space="preserve"> </w:t>
      </w:r>
      <w:r w:rsidRPr="00A33AE8">
        <w:rPr>
          <w:rFonts w:asciiTheme="majorHAnsi" w:hAnsiTheme="majorHAnsi" w:cstheme="majorHAnsi"/>
          <w:szCs w:val="22"/>
        </w:rPr>
        <w:t>energy</w:t>
      </w:r>
      <w:r w:rsidR="00141C48" w:rsidRPr="00A33AE8">
        <w:rPr>
          <w:rFonts w:asciiTheme="majorHAnsi" w:hAnsiTheme="majorHAnsi" w:cstheme="majorHAnsi"/>
          <w:szCs w:val="22"/>
        </w:rPr>
        <w:t xml:space="preserve"> </w:t>
      </w:r>
      <w:r w:rsidRPr="00A33AE8">
        <w:rPr>
          <w:rFonts w:asciiTheme="majorHAnsi" w:hAnsiTheme="majorHAnsi" w:cstheme="majorHAnsi"/>
          <w:szCs w:val="22"/>
        </w:rPr>
        <w:t>sector.</w:t>
      </w:r>
    </w:p>
    <w:p w14:paraId="1FC84263" w14:textId="2ABF9299" w:rsidR="00D75F83" w:rsidRPr="00A33AE8" w:rsidRDefault="00D75F83" w:rsidP="00D75F83">
      <w:pPr>
        <w:pStyle w:val="BodyText"/>
        <w:spacing w:before="120" w:line="276" w:lineRule="auto"/>
        <w:ind w:right="192"/>
        <w:rPr>
          <w:rFonts w:asciiTheme="majorHAnsi" w:hAnsiTheme="majorHAnsi" w:cstheme="majorHAnsi"/>
          <w:szCs w:val="22"/>
        </w:rPr>
      </w:pPr>
      <w:r w:rsidRPr="00A33AE8">
        <w:rPr>
          <w:rFonts w:asciiTheme="majorHAnsi" w:hAnsiTheme="majorHAnsi" w:cstheme="majorHAnsi"/>
          <w:szCs w:val="22"/>
        </w:rPr>
        <w:t xml:space="preserve">Another essential objective within the framework of the </w:t>
      </w:r>
      <w:r w:rsidR="00B006FA" w:rsidRPr="00A33AE8">
        <w:rPr>
          <w:rFonts w:asciiTheme="majorHAnsi" w:hAnsiTheme="majorHAnsi" w:cstheme="majorHAnsi"/>
          <w:szCs w:val="22"/>
        </w:rPr>
        <w:t>INECP</w:t>
      </w:r>
      <w:r w:rsidRPr="00A33AE8">
        <w:rPr>
          <w:rFonts w:asciiTheme="majorHAnsi" w:hAnsiTheme="majorHAnsi" w:cstheme="majorHAnsi"/>
          <w:szCs w:val="22"/>
        </w:rPr>
        <w:t xml:space="preserve"> is the ambitious, as well as realistic, programme for </w:t>
      </w:r>
      <w:r w:rsidRPr="00A33AE8">
        <w:rPr>
          <w:rFonts w:asciiTheme="majorHAnsi" w:hAnsiTheme="majorHAnsi" w:cstheme="majorHAnsi"/>
          <w:b/>
          <w:bCs/>
          <w:szCs w:val="22"/>
        </w:rPr>
        <w:t>reducing the share</w:t>
      </w:r>
      <w:r w:rsidR="00141C48" w:rsidRPr="00A33AE8">
        <w:rPr>
          <w:rFonts w:asciiTheme="majorHAnsi" w:hAnsiTheme="majorHAnsi" w:cstheme="majorHAnsi"/>
          <w:b/>
          <w:bCs/>
          <w:szCs w:val="22"/>
        </w:rPr>
        <w:t xml:space="preserve"> </w:t>
      </w:r>
      <w:r w:rsidRPr="00A33AE8">
        <w:rPr>
          <w:rFonts w:asciiTheme="majorHAnsi" w:hAnsiTheme="majorHAnsi" w:cstheme="majorHAnsi"/>
          <w:b/>
          <w:bCs/>
          <w:szCs w:val="22"/>
        </w:rPr>
        <w:t>of lignite in electricity production</w:t>
      </w:r>
      <w:r w:rsidRPr="00A33AE8">
        <w:rPr>
          <w:rFonts w:asciiTheme="majorHAnsi" w:hAnsiTheme="majorHAnsi" w:cstheme="majorHAnsi"/>
          <w:szCs w:val="22"/>
        </w:rPr>
        <w:t xml:space="preserve">, i.e., </w:t>
      </w:r>
      <w:r w:rsidRPr="00A33AE8">
        <w:rPr>
          <w:rFonts w:asciiTheme="majorHAnsi" w:hAnsiTheme="majorHAnsi" w:cstheme="majorHAnsi"/>
          <w:bCs/>
          <w:szCs w:val="22"/>
        </w:rPr>
        <w:t xml:space="preserve">lignite phase-out, by </w:t>
      </w:r>
      <w:r w:rsidR="00600120" w:rsidRPr="00A33AE8">
        <w:rPr>
          <w:rFonts w:asciiTheme="majorHAnsi" w:hAnsiTheme="majorHAnsi" w:cstheme="majorHAnsi"/>
          <w:bCs/>
          <w:szCs w:val="22"/>
        </w:rPr>
        <w:t>up to 2</w:t>
      </w:r>
      <w:r w:rsidRPr="00A33AE8">
        <w:rPr>
          <w:rFonts w:asciiTheme="majorHAnsi" w:hAnsiTheme="majorHAnsi" w:cstheme="majorHAnsi"/>
          <w:bCs/>
          <w:szCs w:val="22"/>
        </w:rPr>
        <w:t xml:space="preserve">5% in 2030 compared to </w:t>
      </w:r>
      <w:r w:rsidR="009479C7" w:rsidRPr="00A33AE8">
        <w:rPr>
          <w:rFonts w:asciiTheme="majorHAnsi" w:hAnsiTheme="majorHAnsi" w:cstheme="majorHAnsi"/>
          <w:bCs/>
          <w:szCs w:val="22"/>
        </w:rPr>
        <w:t>2019</w:t>
      </w:r>
      <w:r w:rsidRPr="00A33AE8">
        <w:rPr>
          <w:rFonts w:asciiTheme="majorHAnsi" w:hAnsiTheme="majorHAnsi" w:cstheme="majorHAnsi"/>
          <w:szCs w:val="22"/>
        </w:rPr>
        <w:t xml:space="preserve">. The lignite phase-out in </w:t>
      </w:r>
      <w:r w:rsidR="00141C48" w:rsidRPr="000007D2">
        <w:rPr>
          <w:rFonts w:asciiTheme="majorHAnsi" w:hAnsiTheme="majorHAnsi" w:cstheme="majorHAnsi"/>
          <w:szCs w:val="22"/>
        </w:rPr>
        <w:t xml:space="preserve">the </w:t>
      </w:r>
      <w:r w:rsidRPr="00A33AE8">
        <w:rPr>
          <w:rFonts w:asciiTheme="majorHAnsi" w:hAnsiTheme="majorHAnsi" w:cstheme="majorHAnsi"/>
          <w:szCs w:val="22"/>
        </w:rPr>
        <w:t>Republic of Serbia will be implemented with targeted initiatives including the adoption of integrated</w:t>
      </w:r>
      <w:r w:rsidR="009F0AE6" w:rsidRPr="00A33AE8">
        <w:rPr>
          <w:rFonts w:asciiTheme="majorHAnsi" w:hAnsiTheme="majorHAnsi" w:cstheme="majorHAnsi"/>
          <w:szCs w:val="22"/>
        </w:rPr>
        <w:t xml:space="preserve"> </w:t>
      </w:r>
      <w:r w:rsidRPr="00A33AE8">
        <w:rPr>
          <w:rFonts w:asciiTheme="majorHAnsi" w:hAnsiTheme="majorHAnsi" w:cstheme="majorHAnsi"/>
          <w:szCs w:val="22"/>
        </w:rPr>
        <w:t>programmes for supporting the lignite-producing areas and ensuring the smooth transition to</w:t>
      </w:r>
      <w:r w:rsidR="009F0AE6" w:rsidRPr="00A33AE8">
        <w:rPr>
          <w:rFonts w:asciiTheme="majorHAnsi" w:hAnsiTheme="majorHAnsi" w:cstheme="majorHAnsi"/>
          <w:szCs w:val="22"/>
        </w:rPr>
        <w:t xml:space="preserve"> </w:t>
      </w:r>
      <w:r w:rsidRPr="00A33AE8">
        <w:rPr>
          <w:rFonts w:asciiTheme="majorHAnsi" w:hAnsiTheme="majorHAnsi" w:cstheme="majorHAnsi"/>
          <w:szCs w:val="22"/>
        </w:rPr>
        <w:t>the post-lignite era.</w:t>
      </w:r>
    </w:p>
    <w:p w14:paraId="60A799D8" w14:textId="1267BBB2" w:rsidR="00D75F83" w:rsidRPr="00A33AE8" w:rsidRDefault="00D75F83" w:rsidP="00D75F83">
      <w:pPr>
        <w:pStyle w:val="BodyText"/>
        <w:spacing w:before="120" w:line="276" w:lineRule="auto"/>
        <w:ind w:right="196"/>
        <w:rPr>
          <w:rFonts w:asciiTheme="majorHAnsi" w:hAnsiTheme="majorHAnsi" w:cstheme="majorHAnsi"/>
          <w:szCs w:val="22"/>
        </w:rPr>
      </w:pPr>
      <w:r w:rsidRPr="00A33AE8">
        <w:rPr>
          <w:rFonts w:asciiTheme="majorHAnsi" w:hAnsiTheme="majorHAnsi" w:cstheme="majorHAnsi"/>
          <w:szCs w:val="22"/>
        </w:rPr>
        <w:t xml:space="preserve">All the specified objectives of the </w:t>
      </w:r>
      <w:r w:rsidR="00B006FA" w:rsidRPr="00A33AE8">
        <w:rPr>
          <w:rFonts w:asciiTheme="majorHAnsi" w:hAnsiTheme="majorHAnsi" w:cstheme="majorHAnsi"/>
          <w:szCs w:val="22"/>
        </w:rPr>
        <w:t>INECP</w:t>
      </w:r>
      <w:r w:rsidRPr="00A33AE8">
        <w:rPr>
          <w:rFonts w:asciiTheme="majorHAnsi" w:hAnsiTheme="majorHAnsi" w:cstheme="majorHAnsi"/>
          <w:szCs w:val="22"/>
        </w:rPr>
        <w:t xml:space="preserve"> will consequently contribute to the </w:t>
      </w:r>
      <w:r w:rsidRPr="00A33AE8">
        <w:rPr>
          <w:rFonts w:asciiTheme="majorHAnsi" w:hAnsiTheme="majorHAnsi" w:cstheme="majorHAnsi"/>
          <w:b/>
          <w:bCs/>
          <w:szCs w:val="22"/>
        </w:rPr>
        <w:t>meaningful reduction of the GHG emissions by 2030</w:t>
      </w:r>
      <w:r w:rsidRPr="00A33AE8">
        <w:rPr>
          <w:rFonts w:asciiTheme="majorHAnsi" w:hAnsiTheme="majorHAnsi" w:cstheme="majorHAnsi"/>
          <w:szCs w:val="22"/>
        </w:rPr>
        <w:t xml:space="preserve"> attaining a GHG emission reduction equal </w:t>
      </w:r>
      <w:r w:rsidR="009479C7" w:rsidRPr="00A33AE8">
        <w:rPr>
          <w:rFonts w:asciiTheme="majorHAnsi" w:hAnsiTheme="majorHAnsi" w:cstheme="majorHAnsi"/>
          <w:szCs w:val="22"/>
        </w:rPr>
        <w:t xml:space="preserve">to </w:t>
      </w:r>
      <w:r w:rsidR="009479C7" w:rsidRPr="000007D2">
        <w:rPr>
          <w:rFonts w:asciiTheme="majorHAnsi" w:hAnsiTheme="majorHAnsi" w:cstheme="majorHAnsi"/>
          <w:szCs w:val="22"/>
        </w:rPr>
        <w:t>13.2% compared to 2010 level i.e. 33</w:t>
      </w:r>
      <w:r w:rsidR="00724B62" w:rsidRPr="00A33AE8">
        <w:rPr>
          <w:rFonts w:asciiTheme="majorHAnsi" w:hAnsiTheme="majorHAnsi" w:cstheme="majorHAnsi"/>
          <w:szCs w:val="22"/>
        </w:rPr>
        <w:t>.</w:t>
      </w:r>
      <w:r w:rsidR="009479C7" w:rsidRPr="000007D2">
        <w:rPr>
          <w:rFonts w:asciiTheme="majorHAnsi" w:hAnsiTheme="majorHAnsi" w:cstheme="majorHAnsi"/>
          <w:szCs w:val="22"/>
        </w:rPr>
        <w:t>3% compared to 1990 by 2030</w:t>
      </w:r>
      <w:r w:rsidR="00600120" w:rsidRPr="000007D2">
        <w:rPr>
          <w:rFonts w:asciiTheme="majorHAnsi" w:hAnsiTheme="majorHAnsi" w:cstheme="majorHAnsi"/>
          <w:szCs w:val="22"/>
        </w:rPr>
        <w:t xml:space="preserve"> (excluding land use, land use change and forestry)</w:t>
      </w:r>
      <w:r w:rsidRPr="00A33AE8">
        <w:rPr>
          <w:rFonts w:asciiTheme="majorHAnsi" w:hAnsiTheme="majorHAnsi" w:cstheme="majorHAnsi"/>
          <w:szCs w:val="22"/>
        </w:rPr>
        <w:t>.</w:t>
      </w:r>
      <w:r w:rsidR="00600120" w:rsidRPr="00A33AE8">
        <w:rPr>
          <w:rFonts w:asciiTheme="majorHAnsi" w:hAnsiTheme="majorHAnsi" w:cstheme="majorHAnsi"/>
          <w:szCs w:val="22"/>
        </w:rPr>
        <w:t xml:space="preserve"> The target for the overall emissions reduction for 2030 is 40.3% compared to the 1990 levels</w:t>
      </w:r>
      <w:r w:rsidR="00266D26" w:rsidRPr="00A33AE8">
        <w:rPr>
          <w:rFonts w:asciiTheme="majorHAnsi" w:hAnsiTheme="majorHAnsi" w:cstheme="majorHAnsi"/>
          <w:szCs w:val="22"/>
        </w:rPr>
        <w:t xml:space="preserve"> (including LULUCF)</w:t>
      </w:r>
      <w:r w:rsidR="00600120" w:rsidRPr="00A33AE8">
        <w:rPr>
          <w:rFonts w:asciiTheme="majorHAnsi" w:hAnsiTheme="majorHAnsi" w:cstheme="majorHAnsi"/>
          <w:szCs w:val="22"/>
        </w:rPr>
        <w:t xml:space="preserve">. </w:t>
      </w:r>
      <w:r w:rsidRPr="00A33AE8">
        <w:rPr>
          <w:rFonts w:asciiTheme="majorHAnsi" w:hAnsiTheme="majorHAnsi" w:cstheme="majorHAnsi"/>
          <w:szCs w:val="22"/>
        </w:rPr>
        <w:t>Generally, the Republic of Serbia has decided to support the transition towards a</w:t>
      </w:r>
      <w:r w:rsidR="00847AB7" w:rsidRPr="00A33AE8">
        <w:rPr>
          <w:rFonts w:asciiTheme="majorHAnsi" w:hAnsiTheme="majorHAnsi" w:cstheme="majorHAnsi"/>
          <w:szCs w:val="22"/>
        </w:rPr>
        <w:t xml:space="preserve"> </w:t>
      </w:r>
      <w:r w:rsidRPr="00A33AE8">
        <w:rPr>
          <w:rFonts w:asciiTheme="majorHAnsi" w:hAnsiTheme="majorHAnsi" w:cstheme="majorHAnsi"/>
          <w:szCs w:val="22"/>
        </w:rPr>
        <w:t>climate</w:t>
      </w:r>
      <w:r w:rsidR="00847AB7" w:rsidRPr="00A33AE8">
        <w:rPr>
          <w:rFonts w:asciiTheme="majorHAnsi" w:hAnsiTheme="majorHAnsi" w:cstheme="majorHAnsi"/>
          <w:szCs w:val="22"/>
        </w:rPr>
        <w:t xml:space="preserve"> </w:t>
      </w:r>
      <w:r w:rsidRPr="00A33AE8">
        <w:rPr>
          <w:rFonts w:asciiTheme="majorHAnsi" w:hAnsiTheme="majorHAnsi" w:cstheme="majorHAnsi"/>
          <w:szCs w:val="22"/>
        </w:rPr>
        <w:t>neutral</w:t>
      </w:r>
      <w:r w:rsidR="00847AB7" w:rsidRPr="00A33AE8">
        <w:rPr>
          <w:rFonts w:asciiTheme="majorHAnsi" w:hAnsiTheme="majorHAnsi" w:cstheme="majorHAnsi"/>
          <w:szCs w:val="22"/>
        </w:rPr>
        <w:t xml:space="preserve"> </w:t>
      </w:r>
      <w:r w:rsidRPr="00A33AE8">
        <w:rPr>
          <w:rFonts w:asciiTheme="majorHAnsi" w:hAnsiTheme="majorHAnsi" w:cstheme="majorHAnsi"/>
          <w:szCs w:val="22"/>
        </w:rPr>
        <w:t>economy</w:t>
      </w:r>
      <w:r w:rsidR="00847AB7" w:rsidRPr="00A33AE8">
        <w:rPr>
          <w:rFonts w:asciiTheme="majorHAnsi" w:hAnsiTheme="majorHAnsi" w:cstheme="majorHAnsi"/>
          <w:szCs w:val="22"/>
        </w:rPr>
        <w:t xml:space="preserve"> </w:t>
      </w:r>
      <w:r w:rsidRPr="00A33AE8">
        <w:rPr>
          <w:rFonts w:asciiTheme="majorHAnsi" w:hAnsiTheme="majorHAnsi" w:cstheme="majorHAnsi"/>
          <w:szCs w:val="22"/>
        </w:rPr>
        <w:t>in order</w:t>
      </w:r>
      <w:r w:rsidR="00847AB7" w:rsidRPr="00A33AE8">
        <w:rPr>
          <w:rFonts w:asciiTheme="majorHAnsi" w:hAnsiTheme="majorHAnsi" w:cstheme="majorHAnsi"/>
          <w:szCs w:val="22"/>
        </w:rPr>
        <w:t xml:space="preserve"> </w:t>
      </w:r>
      <w:r w:rsidRPr="00A33AE8">
        <w:rPr>
          <w:rFonts w:asciiTheme="majorHAnsi" w:hAnsiTheme="majorHAnsi" w:cstheme="majorHAnsi"/>
          <w:szCs w:val="22"/>
        </w:rPr>
        <w:t>to</w:t>
      </w:r>
      <w:r w:rsidR="00847AB7" w:rsidRPr="00A33AE8">
        <w:rPr>
          <w:rFonts w:asciiTheme="majorHAnsi" w:hAnsiTheme="majorHAnsi" w:cstheme="majorHAnsi"/>
          <w:szCs w:val="22"/>
        </w:rPr>
        <w:t xml:space="preserve"> </w:t>
      </w:r>
      <w:r w:rsidRPr="00A33AE8">
        <w:rPr>
          <w:rFonts w:asciiTheme="majorHAnsi" w:hAnsiTheme="majorHAnsi" w:cstheme="majorHAnsi"/>
          <w:szCs w:val="22"/>
        </w:rPr>
        <w:t>improve</w:t>
      </w:r>
      <w:r w:rsidR="00847AB7" w:rsidRPr="00A33AE8">
        <w:rPr>
          <w:rFonts w:asciiTheme="majorHAnsi" w:hAnsiTheme="majorHAnsi" w:cstheme="majorHAnsi"/>
          <w:szCs w:val="22"/>
        </w:rPr>
        <w:t xml:space="preserve"> </w:t>
      </w:r>
      <w:r w:rsidRPr="00A33AE8">
        <w:rPr>
          <w:rFonts w:asciiTheme="majorHAnsi" w:hAnsiTheme="majorHAnsi" w:cstheme="majorHAnsi"/>
          <w:szCs w:val="22"/>
        </w:rPr>
        <w:t>the</w:t>
      </w:r>
      <w:r w:rsidR="00847AB7" w:rsidRPr="00A33AE8">
        <w:rPr>
          <w:rFonts w:asciiTheme="majorHAnsi" w:hAnsiTheme="majorHAnsi" w:cstheme="majorHAnsi"/>
          <w:szCs w:val="22"/>
        </w:rPr>
        <w:t xml:space="preserve"> </w:t>
      </w:r>
      <w:r w:rsidRPr="00A33AE8">
        <w:rPr>
          <w:rFonts w:asciiTheme="majorHAnsi" w:hAnsiTheme="majorHAnsi" w:cstheme="majorHAnsi"/>
          <w:szCs w:val="22"/>
        </w:rPr>
        <w:t>competitiveness</w:t>
      </w:r>
      <w:r w:rsidR="00847AB7" w:rsidRPr="00A33AE8">
        <w:rPr>
          <w:rFonts w:asciiTheme="majorHAnsi" w:hAnsiTheme="majorHAnsi" w:cstheme="majorHAnsi"/>
          <w:szCs w:val="22"/>
        </w:rPr>
        <w:t xml:space="preserve"> </w:t>
      </w:r>
      <w:r w:rsidRPr="00A33AE8">
        <w:rPr>
          <w:rFonts w:asciiTheme="majorHAnsi" w:hAnsiTheme="majorHAnsi" w:cstheme="majorHAnsi"/>
          <w:szCs w:val="22"/>
        </w:rPr>
        <w:t>of</w:t>
      </w:r>
      <w:r w:rsidR="00847AB7" w:rsidRPr="00A33AE8">
        <w:rPr>
          <w:rFonts w:asciiTheme="majorHAnsi" w:hAnsiTheme="majorHAnsi" w:cstheme="majorHAnsi"/>
          <w:szCs w:val="22"/>
        </w:rPr>
        <w:t xml:space="preserve"> </w:t>
      </w:r>
      <w:r w:rsidRPr="00A33AE8">
        <w:rPr>
          <w:rFonts w:asciiTheme="majorHAnsi" w:hAnsiTheme="majorHAnsi" w:cstheme="majorHAnsi"/>
          <w:szCs w:val="22"/>
        </w:rPr>
        <w:t>the</w:t>
      </w:r>
      <w:r w:rsidR="00847AB7" w:rsidRPr="00A33AE8">
        <w:rPr>
          <w:rFonts w:asciiTheme="majorHAnsi" w:hAnsiTheme="majorHAnsi" w:cstheme="majorHAnsi"/>
          <w:szCs w:val="22"/>
        </w:rPr>
        <w:t xml:space="preserve"> </w:t>
      </w:r>
      <w:r w:rsidRPr="00A33AE8">
        <w:rPr>
          <w:rFonts w:asciiTheme="majorHAnsi" w:hAnsiTheme="majorHAnsi" w:cstheme="majorHAnsi"/>
          <w:szCs w:val="22"/>
        </w:rPr>
        <w:t>economy,</w:t>
      </w:r>
      <w:r w:rsidR="00847AB7" w:rsidRPr="00A33AE8">
        <w:rPr>
          <w:rFonts w:asciiTheme="majorHAnsi" w:hAnsiTheme="majorHAnsi" w:cstheme="majorHAnsi"/>
          <w:szCs w:val="22"/>
        </w:rPr>
        <w:t xml:space="preserve"> </w:t>
      </w:r>
      <w:r w:rsidRPr="00A33AE8">
        <w:rPr>
          <w:rFonts w:asciiTheme="majorHAnsi" w:hAnsiTheme="majorHAnsi" w:cstheme="majorHAnsi"/>
          <w:szCs w:val="22"/>
        </w:rPr>
        <w:t>to</w:t>
      </w:r>
      <w:r w:rsidR="00847AB7" w:rsidRPr="00A33AE8">
        <w:rPr>
          <w:rFonts w:asciiTheme="majorHAnsi" w:hAnsiTheme="majorHAnsi" w:cstheme="majorHAnsi"/>
          <w:szCs w:val="22"/>
        </w:rPr>
        <w:t xml:space="preserve"> </w:t>
      </w:r>
      <w:r w:rsidRPr="00A33AE8">
        <w:rPr>
          <w:rFonts w:asciiTheme="majorHAnsi" w:hAnsiTheme="majorHAnsi" w:cstheme="majorHAnsi"/>
          <w:szCs w:val="22"/>
        </w:rPr>
        <w:t>increase the employment, to</w:t>
      </w:r>
      <w:r w:rsidR="00847AB7" w:rsidRPr="00A33AE8">
        <w:rPr>
          <w:rFonts w:asciiTheme="majorHAnsi" w:hAnsiTheme="majorHAnsi" w:cstheme="majorHAnsi"/>
          <w:szCs w:val="22"/>
        </w:rPr>
        <w:t xml:space="preserve"> </w:t>
      </w:r>
      <w:r w:rsidRPr="00A33AE8">
        <w:rPr>
          <w:rFonts w:asciiTheme="majorHAnsi" w:hAnsiTheme="majorHAnsi" w:cstheme="majorHAnsi"/>
          <w:szCs w:val="22"/>
        </w:rPr>
        <w:t>strengthen</w:t>
      </w:r>
      <w:r w:rsidR="00847AB7" w:rsidRPr="00A33AE8">
        <w:rPr>
          <w:rFonts w:asciiTheme="majorHAnsi" w:hAnsiTheme="majorHAnsi" w:cstheme="majorHAnsi"/>
          <w:szCs w:val="22"/>
        </w:rPr>
        <w:t xml:space="preserve"> </w:t>
      </w:r>
      <w:r w:rsidRPr="00A33AE8">
        <w:rPr>
          <w:rFonts w:asciiTheme="majorHAnsi" w:hAnsiTheme="majorHAnsi" w:cstheme="majorHAnsi"/>
          <w:szCs w:val="22"/>
        </w:rPr>
        <w:t>the</w:t>
      </w:r>
      <w:r w:rsidR="00847AB7" w:rsidRPr="00A33AE8">
        <w:rPr>
          <w:rFonts w:asciiTheme="majorHAnsi" w:hAnsiTheme="majorHAnsi" w:cstheme="majorHAnsi"/>
          <w:szCs w:val="22"/>
        </w:rPr>
        <w:t xml:space="preserve"> </w:t>
      </w:r>
      <w:r w:rsidRPr="00A33AE8">
        <w:rPr>
          <w:rFonts w:asciiTheme="majorHAnsi" w:hAnsiTheme="majorHAnsi" w:cstheme="majorHAnsi"/>
          <w:szCs w:val="22"/>
        </w:rPr>
        <w:t>role</w:t>
      </w:r>
      <w:r w:rsidR="00847AB7" w:rsidRPr="00A33AE8">
        <w:rPr>
          <w:rFonts w:asciiTheme="majorHAnsi" w:hAnsiTheme="majorHAnsi" w:cstheme="majorHAnsi"/>
          <w:szCs w:val="22"/>
        </w:rPr>
        <w:t xml:space="preserve"> </w:t>
      </w:r>
      <w:r w:rsidRPr="00A33AE8">
        <w:rPr>
          <w:rFonts w:asciiTheme="majorHAnsi" w:hAnsiTheme="majorHAnsi" w:cstheme="majorHAnsi"/>
          <w:szCs w:val="22"/>
        </w:rPr>
        <w:t>of</w:t>
      </w:r>
      <w:r w:rsidR="00847AB7" w:rsidRPr="00A33AE8">
        <w:rPr>
          <w:rFonts w:asciiTheme="majorHAnsi" w:hAnsiTheme="majorHAnsi" w:cstheme="majorHAnsi"/>
          <w:szCs w:val="22"/>
        </w:rPr>
        <w:t xml:space="preserve"> </w:t>
      </w:r>
      <w:r w:rsidRPr="00A33AE8">
        <w:rPr>
          <w:rFonts w:asciiTheme="majorHAnsi" w:hAnsiTheme="majorHAnsi" w:cstheme="majorHAnsi"/>
          <w:szCs w:val="22"/>
        </w:rPr>
        <w:t>consumers</w:t>
      </w:r>
      <w:r w:rsidR="00847AB7" w:rsidRPr="00A33AE8">
        <w:rPr>
          <w:rFonts w:asciiTheme="majorHAnsi" w:hAnsiTheme="majorHAnsi" w:cstheme="majorHAnsi"/>
          <w:szCs w:val="22"/>
        </w:rPr>
        <w:t xml:space="preserve"> </w:t>
      </w:r>
      <w:r w:rsidRPr="00A33AE8">
        <w:rPr>
          <w:rFonts w:asciiTheme="majorHAnsi" w:hAnsiTheme="majorHAnsi" w:cstheme="majorHAnsi"/>
          <w:szCs w:val="22"/>
        </w:rPr>
        <w:t>and</w:t>
      </w:r>
      <w:r w:rsidRPr="000007D2">
        <w:rPr>
          <w:rFonts w:asciiTheme="majorHAnsi" w:hAnsiTheme="majorHAnsi" w:cstheme="majorHAnsi"/>
          <w:szCs w:val="22"/>
        </w:rPr>
        <w:t xml:space="preserve"> to improve </w:t>
      </w:r>
      <w:r w:rsidRPr="00A33AE8">
        <w:rPr>
          <w:rFonts w:asciiTheme="majorHAnsi" w:hAnsiTheme="majorHAnsi" w:cstheme="majorHAnsi"/>
          <w:szCs w:val="22"/>
        </w:rPr>
        <w:t>the</w:t>
      </w:r>
      <w:r w:rsidR="00847AB7" w:rsidRPr="00A33AE8">
        <w:rPr>
          <w:rFonts w:asciiTheme="majorHAnsi" w:hAnsiTheme="majorHAnsi" w:cstheme="majorHAnsi"/>
          <w:szCs w:val="22"/>
        </w:rPr>
        <w:t xml:space="preserve"> </w:t>
      </w:r>
      <w:r w:rsidRPr="00A33AE8">
        <w:rPr>
          <w:rFonts w:asciiTheme="majorHAnsi" w:hAnsiTheme="majorHAnsi" w:cstheme="majorHAnsi"/>
          <w:szCs w:val="22"/>
        </w:rPr>
        <w:t>overall</w:t>
      </w:r>
      <w:r w:rsidR="00847AB7" w:rsidRPr="00A33AE8">
        <w:rPr>
          <w:rFonts w:asciiTheme="majorHAnsi" w:hAnsiTheme="majorHAnsi" w:cstheme="majorHAnsi"/>
          <w:szCs w:val="22"/>
        </w:rPr>
        <w:t xml:space="preserve"> </w:t>
      </w:r>
      <w:r w:rsidRPr="00A33AE8">
        <w:rPr>
          <w:rFonts w:asciiTheme="majorHAnsi" w:hAnsiTheme="majorHAnsi" w:cstheme="majorHAnsi"/>
          <w:szCs w:val="22"/>
        </w:rPr>
        <w:t>operational framework</w:t>
      </w:r>
      <w:r w:rsidR="00847AB7" w:rsidRPr="00A33AE8">
        <w:rPr>
          <w:rFonts w:asciiTheme="majorHAnsi" w:hAnsiTheme="majorHAnsi" w:cstheme="majorHAnsi"/>
          <w:szCs w:val="22"/>
        </w:rPr>
        <w:t xml:space="preserve"> </w:t>
      </w:r>
      <w:r w:rsidRPr="00A33AE8">
        <w:rPr>
          <w:rFonts w:asciiTheme="majorHAnsi" w:hAnsiTheme="majorHAnsi" w:cstheme="majorHAnsi"/>
          <w:szCs w:val="22"/>
        </w:rPr>
        <w:t>of</w:t>
      </w:r>
      <w:r w:rsidR="00847AB7" w:rsidRPr="00A33AE8">
        <w:rPr>
          <w:rFonts w:asciiTheme="majorHAnsi" w:hAnsiTheme="majorHAnsi" w:cstheme="majorHAnsi"/>
          <w:szCs w:val="22"/>
        </w:rPr>
        <w:t xml:space="preserve"> </w:t>
      </w:r>
      <w:r w:rsidR="00D9721A" w:rsidRPr="00A33AE8">
        <w:rPr>
          <w:rFonts w:asciiTheme="majorHAnsi" w:hAnsiTheme="majorHAnsi" w:cstheme="majorHAnsi"/>
          <w:szCs w:val="22"/>
        </w:rPr>
        <w:t>competitive energy</w:t>
      </w:r>
      <w:r w:rsidRPr="00A33AE8">
        <w:rPr>
          <w:rFonts w:asciiTheme="majorHAnsi" w:hAnsiTheme="majorHAnsi" w:cstheme="majorHAnsi"/>
          <w:szCs w:val="22"/>
        </w:rPr>
        <w:t xml:space="preserve"> markets</w:t>
      </w:r>
      <w:r w:rsidR="00847AB7" w:rsidRPr="00A33AE8">
        <w:rPr>
          <w:rFonts w:asciiTheme="majorHAnsi" w:hAnsiTheme="majorHAnsi" w:cstheme="majorHAnsi"/>
          <w:szCs w:val="22"/>
        </w:rPr>
        <w:t xml:space="preserve"> </w:t>
      </w:r>
      <w:r w:rsidRPr="00A33AE8">
        <w:rPr>
          <w:rFonts w:asciiTheme="majorHAnsi" w:hAnsiTheme="majorHAnsi" w:cstheme="majorHAnsi"/>
          <w:szCs w:val="22"/>
        </w:rPr>
        <w:t>increasing the social welfare.</w:t>
      </w:r>
    </w:p>
    <w:p w14:paraId="18C5D10F" w14:textId="30985369" w:rsidR="00D75F83" w:rsidRPr="00A33AE8" w:rsidRDefault="00D75F83" w:rsidP="00D75F83">
      <w:pPr>
        <w:pStyle w:val="BodyText"/>
        <w:spacing w:before="120" w:line="276" w:lineRule="auto"/>
        <w:ind w:right="195"/>
        <w:rPr>
          <w:rFonts w:asciiTheme="majorHAnsi" w:hAnsiTheme="majorHAnsi" w:cstheme="majorHAnsi"/>
          <w:szCs w:val="22"/>
        </w:rPr>
      </w:pPr>
      <w:r w:rsidRPr="00A33AE8">
        <w:rPr>
          <w:rFonts w:asciiTheme="majorHAnsi" w:hAnsiTheme="majorHAnsi" w:cstheme="majorHAnsi"/>
          <w:szCs w:val="22"/>
        </w:rPr>
        <w:lastRenderedPageBreak/>
        <w:t xml:space="preserve">In this context, </w:t>
      </w:r>
      <w:r w:rsidRPr="00A33AE8">
        <w:rPr>
          <w:rFonts w:asciiTheme="majorHAnsi" w:hAnsiTheme="majorHAnsi" w:cstheme="majorHAnsi"/>
          <w:b/>
          <w:bCs/>
          <w:szCs w:val="22"/>
        </w:rPr>
        <w:t>additional national objectives</w:t>
      </w:r>
      <w:r w:rsidRPr="00A33AE8">
        <w:rPr>
          <w:rFonts w:asciiTheme="majorHAnsi" w:hAnsiTheme="majorHAnsi" w:cstheme="majorHAnsi"/>
          <w:szCs w:val="22"/>
        </w:rPr>
        <w:t xml:space="preserve"> are also being developed,</w:t>
      </w:r>
      <w:r w:rsidR="00D06EE7" w:rsidRPr="00A33AE8">
        <w:rPr>
          <w:rFonts w:asciiTheme="majorHAnsi" w:hAnsiTheme="majorHAnsi" w:cstheme="majorHAnsi"/>
          <w:szCs w:val="22"/>
        </w:rPr>
        <w:t xml:space="preserve"> </w:t>
      </w:r>
      <w:r w:rsidRPr="00A33AE8">
        <w:rPr>
          <w:rFonts w:asciiTheme="majorHAnsi" w:hAnsiTheme="majorHAnsi" w:cstheme="majorHAnsi"/>
          <w:szCs w:val="22"/>
        </w:rPr>
        <w:t>taking</w:t>
      </w:r>
      <w:r w:rsidR="00D06EE7" w:rsidRPr="00A33AE8">
        <w:rPr>
          <w:rFonts w:asciiTheme="majorHAnsi" w:hAnsiTheme="majorHAnsi" w:cstheme="majorHAnsi"/>
          <w:szCs w:val="22"/>
        </w:rPr>
        <w:t xml:space="preserve"> </w:t>
      </w:r>
      <w:r w:rsidRPr="00A33AE8">
        <w:rPr>
          <w:rFonts w:asciiTheme="majorHAnsi" w:hAnsiTheme="majorHAnsi" w:cstheme="majorHAnsi"/>
          <w:szCs w:val="22"/>
        </w:rPr>
        <w:t>into consideration the existing potential,</w:t>
      </w:r>
      <w:r w:rsidRPr="00A33AE8">
        <w:rPr>
          <w:rFonts w:asciiTheme="majorHAnsi" w:hAnsiTheme="majorHAnsi" w:cstheme="majorHAnsi"/>
          <w:spacing w:val="1"/>
          <w:szCs w:val="22"/>
        </w:rPr>
        <w:t xml:space="preserve"> the </w:t>
      </w:r>
      <w:r w:rsidRPr="00A33AE8">
        <w:rPr>
          <w:rFonts w:asciiTheme="majorHAnsi" w:hAnsiTheme="majorHAnsi" w:cstheme="majorHAnsi"/>
          <w:szCs w:val="22"/>
        </w:rPr>
        <w:t>technical</w:t>
      </w:r>
      <w:r w:rsidR="00D06EE7" w:rsidRPr="00A33AE8">
        <w:rPr>
          <w:rFonts w:asciiTheme="majorHAnsi" w:hAnsiTheme="majorHAnsi" w:cstheme="majorHAnsi"/>
          <w:szCs w:val="22"/>
        </w:rPr>
        <w:t xml:space="preserve"> </w:t>
      </w:r>
      <w:r w:rsidRPr="00A33AE8">
        <w:rPr>
          <w:rFonts w:asciiTheme="majorHAnsi" w:hAnsiTheme="majorHAnsi" w:cstheme="majorHAnsi"/>
          <w:szCs w:val="22"/>
        </w:rPr>
        <w:t>specificities and the qualitative characteristics of the Serbian energy sector and</w:t>
      </w:r>
      <w:r w:rsidR="00D06EE7" w:rsidRPr="00A33AE8">
        <w:rPr>
          <w:rFonts w:asciiTheme="majorHAnsi" w:hAnsiTheme="majorHAnsi" w:cstheme="majorHAnsi"/>
          <w:szCs w:val="22"/>
        </w:rPr>
        <w:t xml:space="preserve"> </w:t>
      </w:r>
      <w:r w:rsidRPr="00A33AE8">
        <w:rPr>
          <w:rFonts w:asciiTheme="majorHAnsi" w:hAnsiTheme="majorHAnsi" w:cstheme="majorHAnsi"/>
          <w:szCs w:val="22"/>
        </w:rPr>
        <w:t>economy.</w:t>
      </w:r>
    </w:p>
    <w:p w14:paraId="77F1DAE7" w14:textId="77777777" w:rsidR="00D75F83" w:rsidRPr="00A33AE8" w:rsidRDefault="00D75F83" w:rsidP="00D75F83">
      <w:pPr>
        <w:pStyle w:val="BodyText"/>
        <w:spacing w:before="120" w:line="276" w:lineRule="auto"/>
        <w:ind w:right="195"/>
        <w:rPr>
          <w:rFonts w:asciiTheme="majorHAnsi" w:hAnsiTheme="majorHAnsi" w:cstheme="majorHAnsi"/>
          <w:szCs w:val="22"/>
        </w:rPr>
      </w:pPr>
      <w:r w:rsidRPr="00A33AE8">
        <w:rPr>
          <w:rFonts w:asciiTheme="majorHAnsi" w:hAnsiTheme="majorHAnsi" w:cstheme="majorHAnsi"/>
          <w:szCs w:val="22"/>
        </w:rPr>
        <w:t>More specifically, the following qualitative</w:t>
      </w:r>
      <w:r w:rsidR="00F57F35" w:rsidRPr="00A33AE8">
        <w:rPr>
          <w:rFonts w:asciiTheme="majorHAnsi" w:hAnsiTheme="majorHAnsi" w:cstheme="majorHAnsi"/>
          <w:szCs w:val="22"/>
        </w:rPr>
        <w:t xml:space="preserve"> </w:t>
      </w:r>
      <w:r w:rsidRPr="00A33AE8">
        <w:rPr>
          <w:rFonts w:asciiTheme="majorHAnsi" w:hAnsiTheme="majorHAnsi" w:cstheme="majorHAnsi"/>
          <w:szCs w:val="22"/>
        </w:rPr>
        <w:t>objectives</w:t>
      </w:r>
      <w:r w:rsidR="00F57F35" w:rsidRPr="00A33AE8">
        <w:rPr>
          <w:rFonts w:asciiTheme="majorHAnsi" w:hAnsiTheme="majorHAnsi" w:cstheme="majorHAnsi"/>
          <w:szCs w:val="22"/>
        </w:rPr>
        <w:t xml:space="preserve"> </w:t>
      </w:r>
      <w:r w:rsidR="00250FC3" w:rsidRPr="00A33AE8">
        <w:rPr>
          <w:rFonts w:asciiTheme="majorHAnsi" w:hAnsiTheme="majorHAnsi" w:cstheme="majorHAnsi"/>
          <w:szCs w:val="22"/>
        </w:rPr>
        <w:t xml:space="preserve">have </w:t>
      </w:r>
      <w:r w:rsidRPr="00A33AE8">
        <w:rPr>
          <w:rFonts w:asciiTheme="majorHAnsi" w:hAnsiTheme="majorHAnsi" w:cstheme="majorHAnsi"/>
          <w:szCs w:val="22"/>
        </w:rPr>
        <w:t>been determined:</w:t>
      </w:r>
    </w:p>
    <w:p w14:paraId="1467C170" w14:textId="77777777" w:rsidR="00D75F83" w:rsidRPr="00A33AE8" w:rsidRDefault="00D75F83" w:rsidP="00D75F83">
      <w:pPr>
        <w:pStyle w:val="LDKBullets-main"/>
        <w:rPr>
          <w:rFonts w:asciiTheme="majorHAnsi" w:hAnsiTheme="majorHAnsi" w:cstheme="majorHAnsi"/>
          <w:b/>
          <w:bCs/>
        </w:rPr>
      </w:pPr>
      <w:r w:rsidRPr="00A33AE8">
        <w:rPr>
          <w:rFonts w:asciiTheme="majorHAnsi" w:hAnsiTheme="majorHAnsi" w:cstheme="majorHAnsi"/>
        </w:rPr>
        <w:t>Strengthen interconnectivity and security of energy supply</w:t>
      </w:r>
    </w:p>
    <w:p w14:paraId="6B74A05B" w14:textId="77777777" w:rsidR="00D75F83" w:rsidRPr="00A33AE8" w:rsidRDefault="00D75F83" w:rsidP="00D75F83">
      <w:pPr>
        <w:pStyle w:val="LDKBullets-main"/>
        <w:rPr>
          <w:rFonts w:asciiTheme="majorHAnsi" w:hAnsiTheme="majorHAnsi" w:cstheme="majorHAnsi"/>
          <w:b/>
          <w:bCs/>
        </w:rPr>
      </w:pPr>
      <w:r w:rsidRPr="00A33AE8">
        <w:rPr>
          <w:rFonts w:asciiTheme="majorHAnsi" w:hAnsiTheme="majorHAnsi" w:cstheme="majorHAnsi"/>
        </w:rPr>
        <w:t>Liberalize and increase competitiveness of the energy markets</w:t>
      </w:r>
    </w:p>
    <w:p w14:paraId="7438A583" w14:textId="77777777" w:rsidR="00D75F83" w:rsidRPr="00A33AE8" w:rsidRDefault="00D75F83" w:rsidP="00D75F83">
      <w:pPr>
        <w:pStyle w:val="LDKBullets-main"/>
        <w:rPr>
          <w:rFonts w:asciiTheme="majorHAnsi" w:hAnsiTheme="majorHAnsi" w:cstheme="majorHAnsi"/>
          <w:b/>
          <w:bCs/>
        </w:rPr>
      </w:pPr>
      <w:r w:rsidRPr="00A33AE8">
        <w:rPr>
          <w:rFonts w:asciiTheme="majorHAnsi" w:hAnsiTheme="majorHAnsi" w:cstheme="majorHAnsi"/>
        </w:rPr>
        <w:t>Facilitate the optimal development and operation of the energy system and energy infrastructures</w:t>
      </w:r>
    </w:p>
    <w:p w14:paraId="3C328681" w14:textId="77777777" w:rsidR="00D75F83" w:rsidRPr="00A33AE8" w:rsidRDefault="00D75F83" w:rsidP="00D75F83">
      <w:pPr>
        <w:pStyle w:val="LDKBullets-main"/>
        <w:rPr>
          <w:rFonts w:asciiTheme="majorHAnsi" w:hAnsiTheme="majorHAnsi" w:cstheme="majorHAnsi"/>
          <w:b/>
          <w:bCs/>
        </w:rPr>
      </w:pPr>
      <w:r w:rsidRPr="00A33AE8">
        <w:rPr>
          <w:rFonts w:asciiTheme="majorHAnsi" w:hAnsiTheme="majorHAnsi" w:cstheme="majorHAnsi"/>
        </w:rPr>
        <w:t>Protect and strengthen the role of consumers</w:t>
      </w:r>
    </w:p>
    <w:p w14:paraId="795EDCB3" w14:textId="77777777" w:rsidR="00D75F83" w:rsidRPr="00A33AE8" w:rsidRDefault="00D75F83" w:rsidP="00D75F83">
      <w:pPr>
        <w:pStyle w:val="LDKBullets-main"/>
        <w:rPr>
          <w:rFonts w:asciiTheme="majorHAnsi" w:hAnsiTheme="majorHAnsi" w:cstheme="majorHAnsi"/>
          <w:b/>
          <w:bCs/>
        </w:rPr>
      </w:pPr>
      <w:r w:rsidRPr="00A33AE8">
        <w:rPr>
          <w:rFonts w:asciiTheme="majorHAnsi" w:hAnsiTheme="majorHAnsi" w:cstheme="majorHAnsi"/>
        </w:rPr>
        <w:t>Alter the current consumption patterns and promote energy-efficient and low- emission fuels in end-users</w:t>
      </w:r>
    </w:p>
    <w:p w14:paraId="4745B710" w14:textId="77777777" w:rsidR="00D75F83" w:rsidRPr="00A33AE8" w:rsidRDefault="00D75F83" w:rsidP="00D75F83">
      <w:pPr>
        <w:pStyle w:val="LDKBullets-main"/>
        <w:rPr>
          <w:rFonts w:asciiTheme="majorHAnsi" w:hAnsiTheme="majorHAnsi" w:cstheme="majorHAnsi"/>
          <w:b/>
          <w:bCs/>
        </w:rPr>
      </w:pPr>
      <w:r w:rsidRPr="00A33AE8">
        <w:rPr>
          <w:rFonts w:asciiTheme="majorHAnsi" w:hAnsiTheme="majorHAnsi" w:cstheme="majorHAnsi"/>
        </w:rPr>
        <w:t>Strengthen the competitiveness of the national economy</w:t>
      </w:r>
    </w:p>
    <w:p w14:paraId="588CBA5A" w14:textId="77777777" w:rsidR="00D75F83" w:rsidRPr="00A33AE8" w:rsidRDefault="00D75F83" w:rsidP="00D75F83">
      <w:pPr>
        <w:pStyle w:val="LDKBullets-main"/>
        <w:spacing w:after="160"/>
        <w:ind w:left="357" w:hanging="357"/>
        <w:rPr>
          <w:rFonts w:asciiTheme="majorHAnsi" w:hAnsiTheme="majorHAnsi" w:cstheme="majorHAnsi"/>
          <w:b/>
          <w:bCs/>
        </w:rPr>
      </w:pPr>
      <w:r w:rsidRPr="00A33AE8">
        <w:rPr>
          <w:rFonts w:asciiTheme="majorHAnsi" w:hAnsiTheme="majorHAnsi" w:cstheme="majorHAnsi"/>
        </w:rPr>
        <w:t>Promote the research and innovation in environmental and energy issues</w:t>
      </w:r>
    </w:p>
    <w:p w14:paraId="29D5EADC" w14:textId="77777777" w:rsidR="00D75F83" w:rsidRPr="00A33AE8" w:rsidRDefault="00D75F83" w:rsidP="00D75F83">
      <w:pPr>
        <w:jc w:val="both"/>
        <w:rPr>
          <w:rFonts w:asciiTheme="majorHAnsi" w:hAnsiTheme="majorHAnsi" w:cstheme="majorHAnsi"/>
        </w:rPr>
      </w:pPr>
      <w:r w:rsidRPr="00A33AE8">
        <w:rPr>
          <w:rFonts w:asciiTheme="majorHAnsi" w:hAnsiTheme="majorHAnsi" w:cstheme="majorHAnsi"/>
        </w:rPr>
        <w:t>It should be noted that the mobilization of significant</w:t>
      </w:r>
      <w:r w:rsidR="00F57F35" w:rsidRPr="00A33AE8">
        <w:rPr>
          <w:rFonts w:asciiTheme="majorHAnsi" w:hAnsiTheme="majorHAnsi" w:cstheme="majorHAnsi"/>
        </w:rPr>
        <w:t xml:space="preserve"> </w:t>
      </w:r>
      <w:r w:rsidRPr="00A33AE8">
        <w:rPr>
          <w:rFonts w:asciiTheme="majorHAnsi" w:hAnsiTheme="majorHAnsi" w:cstheme="majorHAnsi"/>
        </w:rPr>
        <w:t>investment funds both from the</w:t>
      </w:r>
      <w:r w:rsidR="00F57F35" w:rsidRPr="00A33AE8">
        <w:rPr>
          <w:rFonts w:asciiTheme="majorHAnsi" w:hAnsiTheme="majorHAnsi" w:cstheme="majorHAnsi"/>
        </w:rPr>
        <w:t xml:space="preserve"> </w:t>
      </w:r>
      <w:r w:rsidR="00955322" w:rsidRPr="00A33AE8">
        <w:rPr>
          <w:rFonts w:asciiTheme="majorHAnsi" w:hAnsiTheme="majorHAnsi" w:cstheme="majorHAnsi"/>
        </w:rPr>
        <w:t xml:space="preserve">own resources </w:t>
      </w:r>
      <w:r w:rsidRPr="00A33AE8">
        <w:rPr>
          <w:rFonts w:asciiTheme="majorHAnsi" w:hAnsiTheme="majorHAnsi" w:cstheme="majorHAnsi"/>
        </w:rPr>
        <w:t xml:space="preserve">and public </w:t>
      </w:r>
      <w:r w:rsidR="00955322" w:rsidRPr="00A33AE8">
        <w:rPr>
          <w:rFonts w:asciiTheme="majorHAnsi" w:hAnsiTheme="majorHAnsi" w:cstheme="majorHAnsi"/>
        </w:rPr>
        <w:t xml:space="preserve">funds </w:t>
      </w:r>
      <w:r w:rsidRPr="00A33AE8">
        <w:rPr>
          <w:rFonts w:asciiTheme="majorHAnsi" w:hAnsiTheme="majorHAnsi" w:cstheme="majorHAnsi"/>
        </w:rPr>
        <w:t>and the combination of specialized</w:t>
      </w:r>
      <w:r w:rsidR="00F57F35" w:rsidRPr="00A33AE8">
        <w:rPr>
          <w:rFonts w:asciiTheme="majorHAnsi" w:hAnsiTheme="majorHAnsi" w:cstheme="majorHAnsi"/>
        </w:rPr>
        <w:t xml:space="preserve"> </w:t>
      </w:r>
      <w:r w:rsidRPr="00A33AE8">
        <w:rPr>
          <w:rFonts w:asciiTheme="majorHAnsi" w:hAnsiTheme="majorHAnsi" w:cstheme="majorHAnsi"/>
        </w:rPr>
        <w:t>financing mechanisms is considered as a prerequisite for the achievement of the established targets allowing the cost- and time-effective implementation of the foreseen policies and measures.</w:t>
      </w:r>
    </w:p>
    <w:p w14:paraId="0E9FBD70" w14:textId="77777777" w:rsidR="00B759CC" w:rsidRPr="00A33AE8" w:rsidRDefault="0044319F" w:rsidP="00B45CF3">
      <w:pPr>
        <w:pStyle w:val="Heading2"/>
      </w:pPr>
      <w:bookmarkStart w:id="22" w:name="_Toc79772543"/>
      <w:bookmarkStart w:id="23" w:name="_Toc118991762"/>
      <w:bookmarkStart w:id="24" w:name="_Toc153545032"/>
      <w:r w:rsidRPr="00A33AE8">
        <w:t>Overview of current policy situation</w:t>
      </w:r>
      <w:bookmarkEnd w:id="22"/>
      <w:bookmarkEnd w:id="23"/>
      <w:bookmarkEnd w:id="24"/>
    </w:p>
    <w:p w14:paraId="2133180E" w14:textId="77777777" w:rsidR="00AC70D7" w:rsidRPr="00A33AE8" w:rsidRDefault="00AC70D7" w:rsidP="00F26DA0">
      <w:pPr>
        <w:pStyle w:val="Heading4"/>
        <w:numPr>
          <w:ilvl w:val="0"/>
          <w:numId w:val="2"/>
        </w:numPr>
      </w:pPr>
      <w:r w:rsidRPr="00A33AE8">
        <w:t>National and Union energy system and policy context of the national plan</w:t>
      </w:r>
    </w:p>
    <w:p w14:paraId="402E8490" w14:textId="77777777"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In this section an overview of the current energy system and policy context in the country is presented. </w:t>
      </w:r>
      <w:r w:rsidR="004A35EF" w:rsidRPr="00A33AE8">
        <w:rPr>
          <w:rFonts w:asciiTheme="majorHAnsi" w:hAnsiTheme="majorHAnsi" w:cstheme="majorHAnsi"/>
          <w:lang w:val="en-GB"/>
        </w:rPr>
        <w:t>Due to the effect of the COVID-19 epidemi</w:t>
      </w:r>
      <w:r w:rsidR="00EA57B0" w:rsidRPr="00A33AE8">
        <w:rPr>
          <w:rFonts w:asciiTheme="majorHAnsi" w:hAnsiTheme="majorHAnsi" w:cstheme="majorHAnsi"/>
          <w:lang w:val="en-GB"/>
        </w:rPr>
        <w:t>c</w:t>
      </w:r>
      <w:r w:rsidR="004A35EF" w:rsidRPr="00A33AE8">
        <w:rPr>
          <w:rFonts w:asciiTheme="majorHAnsi" w:hAnsiTheme="majorHAnsi" w:cstheme="majorHAnsi"/>
          <w:lang w:val="en-GB"/>
        </w:rPr>
        <w:t xml:space="preserve"> on the economic growth, consumption of energy and other energy related indicators, </w:t>
      </w:r>
      <w:r w:rsidR="00EA57B0" w:rsidRPr="00A33AE8">
        <w:rPr>
          <w:rFonts w:asciiTheme="majorHAnsi" w:hAnsiTheme="majorHAnsi" w:cstheme="majorHAnsi"/>
          <w:lang w:val="en-GB"/>
        </w:rPr>
        <w:t>in</w:t>
      </w:r>
      <w:r w:rsidR="004A35EF" w:rsidRPr="00A33AE8">
        <w:rPr>
          <w:rFonts w:asciiTheme="majorHAnsi" w:hAnsiTheme="majorHAnsi" w:cstheme="majorHAnsi"/>
          <w:lang w:val="en-GB"/>
        </w:rPr>
        <w:t xml:space="preserve"> 2019 is taken as a reference to avoid any misinterpretation of the results and comparison between the countries. </w:t>
      </w:r>
      <w:r w:rsidRPr="00A33AE8">
        <w:rPr>
          <w:rFonts w:asciiTheme="majorHAnsi" w:hAnsiTheme="majorHAnsi" w:cstheme="majorHAnsi"/>
          <w:lang w:val="en-GB"/>
        </w:rPr>
        <w:t>Moreover, selected neighbouring countries from Energy Community and European Union (Albania, Bosnia and Herzegovina, Bulgaria, Croatia, Montenegro and North Macedonia) and EU average values are used for comparison purposes, which should provide a better understanding of Serbia’s current state in relation to other countries.</w:t>
      </w:r>
    </w:p>
    <w:p w14:paraId="53A059FC" w14:textId="3D61D7E8"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The population of the Republic of Serbia is estimated at 6.964 million people in 2019, which sets Serbia in the second place among </w:t>
      </w:r>
      <w:r w:rsidR="007A4F31" w:rsidRPr="00A33AE8">
        <w:rPr>
          <w:rFonts w:asciiTheme="majorHAnsi" w:hAnsiTheme="majorHAnsi" w:cstheme="majorHAnsi"/>
          <w:lang w:val="en-GB"/>
        </w:rPr>
        <w:t xml:space="preserve">the </w:t>
      </w:r>
      <w:r w:rsidRPr="00A33AE8">
        <w:rPr>
          <w:rFonts w:asciiTheme="majorHAnsi" w:hAnsiTheme="majorHAnsi" w:cstheme="majorHAnsi"/>
          <w:lang w:val="en-GB"/>
        </w:rPr>
        <w:t>selected 7 countries used for comparison</w:t>
      </w:r>
      <w:r w:rsidR="00A402D6" w:rsidRPr="00A33AE8">
        <w:rPr>
          <w:rFonts w:asciiTheme="majorHAnsi" w:hAnsiTheme="majorHAnsi" w:cstheme="majorHAnsi"/>
          <w:lang w:val="en-GB"/>
        </w:rPr>
        <w:t xml:space="preserve"> purposes</w:t>
      </w:r>
      <w:r w:rsidRPr="00A33AE8">
        <w:rPr>
          <w:rFonts w:asciiTheme="majorHAnsi" w:hAnsiTheme="majorHAnsi" w:cstheme="majorHAnsi"/>
          <w:lang w:val="en-GB"/>
        </w:rPr>
        <w:t xml:space="preserve"> in this section (see</w:t>
      </w:r>
      <w:r w:rsidR="001F69CD">
        <w:rPr>
          <w:rFonts w:asciiTheme="majorHAnsi" w:hAnsiTheme="majorHAnsi" w:cstheme="majorHAnsi"/>
          <w:lang w:val="en-GB"/>
        </w:rPr>
        <w:t xml:space="preserve"> </w:t>
      </w:r>
      <w:r w:rsidR="001F69CD">
        <w:rPr>
          <w:rFonts w:asciiTheme="majorHAnsi" w:hAnsiTheme="majorHAnsi" w:cstheme="majorHAnsi"/>
          <w:lang w:val="en-GB"/>
        </w:rPr>
        <w:fldChar w:fldCharType="begin"/>
      </w:r>
      <w:r w:rsidR="001F69CD">
        <w:rPr>
          <w:rFonts w:asciiTheme="majorHAnsi" w:hAnsiTheme="majorHAnsi" w:cstheme="majorHAnsi"/>
          <w:lang w:val="en-GB"/>
        </w:rPr>
        <w:instrText xml:space="preserve"> REF _Ref153544018 \h  \* MERGEFORMAT </w:instrText>
      </w:r>
      <w:r w:rsidR="001F69CD">
        <w:rPr>
          <w:rFonts w:asciiTheme="majorHAnsi" w:hAnsiTheme="majorHAnsi" w:cstheme="majorHAnsi"/>
          <w:lang w:val="en-GB"/>
        </w:rPr>
      </w:r>
      <w:r w:rsidR="001F69CD">
        <w:rPr>
          <w:rFonts w:asciiTheme="majorHAnsi" w:hAnsiTheme="majorHAnsi" w:cstheme="majorHAnsi"/>
          <w:lang w:val="en-GB"/>
        </w:rPr>
        <w:fldChar w:fldCharType="separate"/>
      </w:r>
      <w:r w:rsidR="001F69CD" w:rsidRPr="0087794A">
        <w:rPr>
          <w:rFonts w:asciiTheme="majorHAnsi" w:hAnsiTheme="majorHAnsi" w:cstheme="majorHAnsi"/>
          <w:lang w:val="en-GB"/>
        </w:rPr>
        <w:t>Figure 1.1</w:t>
      </w:r>
      <w:r w:rsidR="001F69CD">
        <w:rPr>
          <w:rFonts w:asciiTheme="majorHAnsi" w:hAnsiTheme="majorHAnsi" w:cstheme="majorHAnsi"/>
          <w:lang w:val="en-GB"/>
        </w:rPr>
        <w:fldChar w:fldCharType="end"/>
      </w:r>
      <w:r w:rsidRPr="00A33AE8">
        <w:rPr>
          <w:rFonts w:asciiTheme="majorHAnsi" w:hAnsiTheme="majorHAnsi" w:cstheme="majorHAnsi"/>
          <w:lang w:val="en-GB"/>
        </w:rPr>
        <w:t>). In terms of the real GDP growth, it was 4.</w:t>
      </w:r>
      <w:r w:rsidR="004A35EF" w:rsidRPr="00A33AE8">
        <w:rPr>
          <w:rFonts w:asciiTheme="majorHAnsi" w:hAnsiTheme="majorHAnsi" w:cstheme="majorHAnsi"/>
          <w:lang w:val="en-GB"/>
        </w:rPr>
        <w:t>3</w:t>
      </w:r>
      <w:r w:rsidRPr="00A33AE8">
        <w:rPr>
          <w:rFonts w:asciiTheme="majorHAnsi" w:hAnsiTheme="majorHAnsi" w:cstheme="majorHAnsi"/>
          <w:lang w:val="en-GB"/>
        </w:rPr>
        <w:t xml:space="preserve">% in 2019 which is the highest growth compared to the GDP growth </w:t>
      </w:r>
      <w:r w:rsidR="007A4F31" w:rsidRPr="00A33AE8">
        <w:rPr>
          <w:rFonts w:asciiTheme="majorHAnsi" w:hAnsiTheme="majorHAnsi" w:cstheme="majorHAnsi"/>
          <w:lang w:val="en-GB"/>
        </w:rPr>
        <w:t xml:space="preserve">of </w:t>
      </w:r>
      <w:r w:rsidRPr="00A33AE8">
        <w:rPr>
          <w:rFonts w:asciiTheme="majorHAnsi" w:hAnsiTheme="majorHAnsi" w:cstheme="majorHAnsi"/>
          <w:lang w:val="en-GB"/>
        </w:rPr>
        <w:t xml:space="preserve">other countries (see </w:t>
      </w:r>
      <w:r w:rsidRPr="000007D2">
        <w:rPr>
          <w:lang w:val="en-GB"/>
        </w:rPr>
        <w:fldChar w:fldCharType="begin"/>
      </w:r>
      <w:r w:rsidRPr="000007D2">
        <w:rPr>
          <w:lang w:val="en-GB"/>
        </w:rPr>
        <w:instrText xml:space="preserve"> REF _Ref79074637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1.2</w:t>
      </w:r>
      <w:r w:rsidRPr="000007D2">
        <w:rPr>
          <w:lang w:val="en-GB"/>
        </w:rPr>
        <w:fldChar w:fldCharType="end"/>
      </w:r>
      <w:r w:rsidRPr="00A33AE8">
        <w:rPr>
          <w:rFonts w:asciiTheme="majorHAnsi" w:hAnsiTheme="majorHAnsi" w:cstheme="majorHAnsi"/>
          <w:lang w:val="en-GB"/>
        </w:rPr>
        <w:t xml:space="preserve">). The capital investments proposed with the set of policies and measures presented in this </w:t>
      </w:r>
      <w:r w:rsidR="00B006FA" w:rsidRPr="00A33AE8">
        <w:rPr>
          <w:rFonts w:asciiTheme="majorHAnsi" w:hAnsiTheme="majorHAnsi" w:cstheme="majorHAnsi"/>
          <w:lang w:val="en-GB"/>
        </w:rPr>
        <w:t>INECP</w:t>
      </w:r>
      <w:r w:rsidRPr="00A33AE8">
        <w:rPr>
          <w:rFonts w:asciiTheme="majorHAnsi" w:hAnsiTheme="majorHAnsi" w:cstheme="majorHAnsi"/>
          <w:lang w:val="en-GB"/>
        </w:rPr>
        <w:t xml:space="preserve"> </w:t>
      </w:r>
      <w:r w:rsidR="004A35EF" w:rsidRPr="00A33AE8">
        <w:rPr>
          <w:rFonts w:asciiTheme="majorHAnsi" w:hAnsiTheme="majorHAnsi" w:cstheme="majorHAnsi"/>
          <w:lang w:val="en-GB"/>
        </w:rPr>
        <w:t>in Chapter 3</w:t>
      </w:r>
      <w:r w:rsidRPr="00A33AE8">
        <w:rPr>
          <w:rFonts w:asciiTheme="majorHAnsi" w:hAnsiTheme="majorHAnsi" w:cstheme="majorHAnsi"/>
          <w:lang w:val="en-GB"/>
        </w:rPr>
        <w:t xml:space="preserve"> should be also taken into account as the opportunity for setting an additional value to the GDP and supporting the process for country’s economic growth.</w:t>
      </w:r>
    </w:p>
    <w:p w14:paraId="61162EB8" w14:textId="5273E360" w:rsidR="001F69CD" w:rsidRDefault="001F69CD" w:rsidP="0087794A">
      <w:pPr>
        <w:pStyle w:val="Caption"/>
        <w:keepNext/>
        <w:jc w:val="center"/>
      </w:pPr>
      <w:bookmarkStart w:id="25" w:name="_heading=h.2s8eyo1" w:colFirst="0" w:colLast="0"/>
      <w:bookmarkStart w:id="26" w:name="_Ref153544018"/>
      <w:bookmarkStart w:id="27" w:name="_Toc154575192"/>
      <w:bookmarkEnd w:id="25"/>
      <w:r>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w:t>
      </w:r>
      <w:r w:rsidR="006E0533">
        <w:rPr>
          <w:noProof/>
        </w:rPr>
        <w:fldChar w:fldCharType="end"/>
      </w:r>
      <w:bookmarkEnd w:id="26"/>
      <w:r>
        <w:t xml:space="preserve">: </w:t>
      </w:r>
      <w:r w:rsidRPr="001F69CD">
        <w:t>Population in 2019, in million (source: Eurostat)</w:t>
      </w:r>
      <w:bookmarkEnd w:id="27"/>
    </w:p>
    <w:p w14:paraId="45729CCE" w14:textId="77777777" w:rsidR="00697B27" w:rsidRPr="00A33AE8" w:rsidRDefault="00FA6545" w:rsidP="0052163B">
      <w:pPr>
        <w:pStyle w:val="LDKbody"/>
        <w:jc w:val="center"/>
        <w:rPr>
          <w:lang w:val="en-GB"/>
        </w:rPr>
      </w:pPr>
      <w:r w:rsidRPr="000007D2">
        <w:rPr>
          <w:noProof/>
          <w:lang w:val="en-US" w:eastAsia="en-US"/>
        </w:rPr>
        <w:drawing>
          <wp:inline distT="0" distB="0" distL="0" distR="0" wp14:anchorId="61BDE07B" wp14:editId="4C59AF0A">
            <wp:extent cx="3596952" cy="25178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3596952" cy="2517866"/>
                    </a:xfrm>
                    <a:prstGeom prst="rect">
                      <a:avLst/>
                    </a:prstGeom>
                  </pic:spPr>
                </pic:pic>
              </a:graphicData>
            </a:graphic>
          </wp:inline>
        </w:drawing>
      </w:r>
    </w:p>
    <w:p w14:paraId="58F66C51" w14:textId="539E3AFB" w:rsidR="00FA6545" w:rsidRPr="00A33AE8" w:rsidRDefault="00FA6545" w:rsidP="00FA6545">
      <w:pPr>
        <w:pStyle w:val="Caption"/>
      </w:pPr>
      <w:bookmarkStart w:id="28" w:name="_Ref79074637"/>
      <w:bookmarkStart w:id="29" w:name="_Toc79772571"/>
      <w:bookmarkStart w:id="30" w:name="_Toc118992256"/>
      <w:bookmarkStart w:id="31" w:name="_Toc154575193"/>
      <w:r w:rsidRPr="00A33AE8">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w:t>
      </w:r>
      <w:r w:rsidR="006E0533">
        <w:rPr>
          <w:noProof/>
        </w:rPr>
        <w:fldChar w:fldCharType="end"/>
      </w:r>
      <w:bookmarkEnd w:id="28"/>
      <w:r w:rsidRPr="00A33AE8">
        <w:t>: Real GDP growth rate in 2019, in % (source: Eurostat)</w:t>
      </w:r>
      <w:bookmarkEnd w:id="29"/>
      <w:bookmarkEnd w:id="30"/>
      <w:bookmarkEnd w:id="31"/>
    </w:p>
    <w:p w14:paraId="00A64555" w14:textId="77777777" w:rsidR="00FA6545" w:rsidRPr="00A33AE8" w:rsidRDefault="004A35EF" w:rsidP="00FA6545">
      <w:pPr>
        <w:jc w:val="center"/>
      </w:pPr>
      <w:r w:rsidRPr="000007D2">
        <w:rPr>
          <w:noProof/>
          <w:lang w:val="en-US"/>
        </w:rPr>
        <w:drawing>
          <wp:inline distT="0" distB="0" distL="0" distR="0" wp14:anchorId="2CF777DC" wp14:editId="2CBDFF33">
            <wp:extent cx="3602990" cy="2529840"/>
            <wp:effectExtent l="0" t="0" r="0" b="3810"/>
            <wp:docPr id="2052312227" name="Picture 205231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2990" cy="2529840"/>
                    </a:xfrm>
                    <a:prstGeom prst="rect">
                      <a:avLst/>
                    </a:prstGeom>
                    <a:noFill/>
                  </pic:spPr>
                </pic:pic>
              </a:graphicData>
            </a:graphic>
          </wp:inline>
        </w:drawing>
      </w:r>
    </w:p>
    <w:p w14:paraId="05BE828F" w14:textId="21440C04" w:rsidR="00FA6545" w:rsidRPr="00A33AE8" w:rsidRDefault="00A402D6" w:rsidP="00FA6545">
      <w:pPr>
        <w:pStyle w:val="LDKbody"/>
        <w:rPr>
          <w:rFonts w:asciiTheme="majorHAnsi" w:hAnsiTheme="majorHAnsi" w:cstheme="majorHAnsi"/>
          <w:lang w:val="en-GB"/>
        </w:rPr>
      </w:pPr>
      <w:r w:rsidRPr="00A33AE8">
        <w:rPr>
          <w:rFonts w:asciiTheme="majorHAnsi" w:hAnsiTheme="majorHAnsi" w:cstheme="majorHAnsi"/>
          <w:lang w:val="en-GB"/>
        </w:rPr>
        <w:t>T</w:t>
      </w:r>
      <w:r w:rsidR="00FA6545" w:rsidRPr="00A33AE8">
        <w:rPr>
          <w:rFonts w:asciiTheme="majorHAnsi" w:hAnsiTheme="majorHAnsi" w:cstheme="majorHAnsi"/>
          <w:lang w:val="en-GB"/>
        </w:rPr>
        <w:t>he long-term unemployment rate in Serbia is at the level of 5.</w:t>
      </w:r>
      <w:r w:rsidR="00911F1D" w:rsidRPr="00A33AE8">
        <w:rPr>
          <w:rFonts w:asciiTheme="majorHAnsi" w:hAnsiTheme="majorHAnsi" w:cstheme="majorHAnsi"/>
          <w:lang w:val="en-GB"/>
        </w:rPr>
        <w:t>5</w:t>
      </w:r>
      <w:r w:rsidR="00FA6545" w:rsidRPr="00A33AE8">
        <w:rPr>
          <w:rFonts w:asciiTheme="majorHAnsi" w:hAnsiTheme="majorHAnsi" w:cstheme="majorHAnsi"/>
          <w:lang w:val="en-GB"/>
        </w:rPr>
        <w:t>% in 2019 and continuously decreas</w:t>
      </w:r>
      <w:r w:rsidRPr="00A33AE8">
        <w:rPr>
          <w:rFonts w:asciiTheme="majorHAnsi" w:hAnsiTheme="majorHAnsi" w:cstheme="majorHAnsi"/>
          <w:lang w:val="en-GB"/>
        </w:rPr>
        <w:t>es</w:t>
      </w:r>
      <w:r w:rsidR="00FA6545" w:rsidRPr="00A33AE8">
        <w:rPr>
          <w:rFonts w:asciiTheme="majorHAnsi" w:hAnsiTheme="majorHAnsi" w:cstheme="majorHAnsi"/>
          <w:lang w:val="en-GB"/>
        </w:rPr>
        <w:t>. In comparison to the selected countries (see</w:t>
      </w:r>
      <w:r w:rsidR="00F807A0">
        <w:rPr>
          <w:rFonts w:asciiTheme="majorHAnsi" w:hAnsiTheme="majorHAnsi" w:cstheme="majorHAnsi"/>
          <w:lang w:val="en-GB"/>
        </w:rPr>
        <w:t xml:space="preserve"> </w:t>
      </w:r>
      <w:r w:rsidR="00EC063D">
        <w:rPr>
          <w:rFonts w:asciiTheme="majorHAnsi" w:hAnsiTheme="majorHAnsi" w:cstheme="majorHAnsi"/>
          <w:lang w:val="en-GB"/>
        </w:rPr>
        <w:fldChar w:fldCharType="begin"/>
      </w:r>
      <w:r w:rsidR="00EC063D">
        <w:rPr>
          <w:rFonts w:asciiTheme="majorHAnsi" w:hAnsiTheme="majorHAnsi" w:cstheme="majorHAnsi"/>
          <w:lang w:val="en-GB"/>
        </w:rPr>
        <w:instrText xml:space="preserve"> REF _Ref153460912 \h  \* MERGEFORMAT </w:instrText>
      </w:r>
      <w:r w:rsidR="00EC063D">
        <w:rPr>
          <w:rFonts w:asciiTheme="majorHAnsi" w:hAnsiTheme="majorHAnsi" w:cstheme="majorHAnsi"/>
          <w:lang w:val="en-GB"/>
        </w:rPr>
      </w:r>
      <w:r w:rsidR="00EC063D">
        <w:rPr>
          <w:rFonts w:asciiTheme="majorHAnsi" w:hAnsiTheme="majorHAnsi" w:cstheme="majorHAnsi"/>
          <w:lang w:val="en-GB"/>
        </w:rPr>
        <w:fldChar w:fldCharType="separate"/>
      </w:r>
      <w:r w:rsidR="00EC063D" w:rsidRPr="0087794A">
        <w:rPr>
          <w:rFonts w:asciiTheme="majorHAnsi" w:hAnsiTheme="majorHAnsi" w:cstheme="majorHAnsi"/>
          <w:lang w:val="en-GB"/>
        </w:rPr>
        <w:t>Figure 1.3</w:t>
      </w:r>
      <w:r w:rsidR="00EC063D">
        <w:rPr>
          <w:rFonts w:asciiTheme="majorHAnsi" w:hAnsiTheme="majorHAnsi" w:cstheme="majorHAnsi"/>
          <w:lang w:val="en-GB"/>
        </w:rPr>
        <w:fldChar w:fldCharType="end"/>
      </w:r>
      <w:r w:rsidR="00FA6545" w:rsidRPr="00A33AE8">
        <w:rPr>
          <w:rFonts w:asciiTheme="majorHAnsi" w:hAnsiTheme="majorHAnsi" w:cstheme="majorHAnsi"/>
          <w:lang w:val="en-GB"/>
        </w:rPr>
        <w:t>)</w:t>
      </w:r>
      <w:r w:rsidRPr="00A33AE8">
        <w:rPr>
          <w:rFonts w:asciiTheme="majorHAnsi" w:hAnsiTheme="majorHAnsi" w:cstheme="majorHAnsi"/>
          <w:lang w:val="en-GB"/>
        </w:rPr>
        <w:t>,</w:t>
      </w:r>
      <w:r w:rsidR="00FA6545" w:rsidRPr="00A33AE8">
        <w:rPr>
          <w:rFonts w:asciiTheme="majorHAnsi" w:hAnsiTheme="majorHAnsi" w:cstheme="majorHAnsi"/>
          <w:lang w:val="en-GB"/>
        </w:rPr>
        <w:t xml:space="preserve"> Serbia has the third smallest long-term unemployment rate, close</w:t>
      </w:r>
      <w:r w:rsidR="00D03277" w:rsidRPr="00A33AE8">
        <w:rPr>
          <w:rFonts w:asciiTheme="majorHAnsi" w:hAnsiTheme="majorHAnsi" w:cstheme="majorHAnsi"/>
          <w:lang w:val="en-GB"/>
        </w:rPr>
        <w:t>r</w:t>
      </w:r>
      <w:r w:rsidR="00FA6545" w:rsidRPr="00A33AE8">
        <w:rPr>
          <w:rFonts w:asciiTheme="majorHAnsi" w:hAnsiTheme="majorHAnsi" w:cstheme="majorHAnsi"/>
          <w:lang w:val="en-GB"/>
        </w:rPr>
        <w:t xml:space="preserve"> to the EU countries, while all other countries are above 12%.</w:t>
      </w:r>
    </w:p>
    <w:p w14:paraId="5E39B093" w14:textId="36987175" w:rsidR="00EC063D" w:rsidRDefault="00EC063D" w:rsidP="0087794A">
      <w:pPr>
        <w:pStyle w:val="Caption"/>
        <w:keepNext/>
        <w:jc w:val="center"/>
      </w:pPr>
      <w:bookmarkStart w:id="32" w:name="_Ref153460912"/>
      <w:bookmarkStart w:id="33" w:name="_Toc154575194"/>
      <w:r>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w:t>
      </w:r>
      <w:r w:rsidR="006E0533">
        <w:rPr>
          <w:noProof/>
        </w:rPr>
        <w:fldChar w:fldCharType="end"/>
      </w:r>
      <w:bookmarkEnd w:id="32"/>
      <w:r>
        <w:t xml:space="preserve">: </w:t>
      </w:r>
      <w:r w:rsidRPr="00EC063D">
        <w:t>Long-term unemployment rate in 2019, in % (source: Eurostat)</w:t>
      </w:r>
      <w:bookmarkEnd w:id="33"/>
    </w:p>
    <w:p w14:paraId="7397BECE" w14:textId="77777777" w:rsidR="00FA6545" w:rsidRPr="00A33AE8" w:rsidRDefault="00911F1D" w:rsidP="00FA6545">
      <w:pPr>
        <w:jc w:val="center"/>
      </w:pPr>
      <w:r w:rsidRPr="000007D2">
        <w:rPr>
          <w:noProof/>
          <w:lang w:val="en-US"/>
        </w:rPr>
        <w:drawing>
          <wp:inline distT="0" distB="0" distL="0" distR="0" wp14:anchorId="03A01EB6" wp14:editId="30C6E91C">
            <wp:extent cx="3596640" cy="2529840"/>
            <wp:effectExtent l="0" t="0" r="3810" b="3810"/>
            <wp:docPr id="654118121" name="Picture 65411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6640" cy="2529840"/>
                    </a:xfrm>
                    <a:prstGeom prst="rect">
                      <a:avLst/>
                    </a:prstGeom>
                    <a:noFill/>
                  </pic:spPr>
                </pic:pic>
              </a:graphicData>
            </a:graphic>
          </wp:inline>
        </w:drawing>
      </w:r>
    </w:p>
    <w:p w14:paraId="1F7FD8D4" w14:textId="77777777" w:rsidR="003569FB" w:rsidRPr="000007D2" w:rsidRDefault="00FA6545" w:rsidP="000007D2">
      <w:pPr>
        <w:spacing w:line="240" w:lineRule="auto"/>
        <w:jc w:val="both"/>
        <w:rPr>
          <w:rFonts w:asciiTheme="majorHAnsi" w:hAnsiTheme="majorHAnsi"/>
        </w:rPr>
      </w:pPr>
      <w:r w:rsidRPr="00A33AE8">
        <w:rPr>
          <w:rFonts w:asciiTheme="majorHAnsi" w:hAnsiTheme="majorHAnsi" w:cstheme="majorHAnsi"/>
        </w:rPr>
        <w:t>The primary energy consumption per capita in Serbia is around 2.</w:t>
      </w:r>
      <w:r w:rsidR="0027710B" w:rsidRPr="00A33AE8">
        <w:rPr>
          <w:rFonts w:asciiTheme="majorHAnsi" w:hAnsiTheme="majorHAnsi" w:cstheme="majorHAnsi"/>
        </w:rPr>
        <w:t>12</w:t>
      </w:r>
      <w:r w:rsidR="00321655" w:rsidRPr="00A33AE8">
        <w:rPr>
          <w:rFonts w:asciiTheme="majorHAnsi" w:hAnsiTheme="majorHAnsi" w:cstheme="majorHAnsi"/>
        </w:rPr>
        <w:t xml:space="preserve"> toe/capita</w:t>
      </w:r>
      <w:r w:rsidRPr="00A33AE8">
        <w:rPr>
          <w:rFonts w:asciiTheme="majorHAnsi" w:hAnsiTheme="majorHAnsi" w:cstheme="majorHAnsi"/>
        </w:rPr>
        <w:t xml:space="preserve">, meaning that in average each citizen in </w:t>
      </w:r>
      <w:r w:rsidR="003569FB" w:rsidRPr="00A33AE8">
        <w:rPr>
          <w:rFonts w:asciiTheme="majorHAnsi" w:hAnsiTheme="majorHAnsi" w:cstheme="majorHAnsi"/>
        </w:rPr>
        <w:t xml:space="preserve">Serbia </w:t>
      </w:r>
      <w:r w:rsidRPr="00A33AE8">
        <w:rPr>
          <w:rFonts w:asciiTheme="majorHAnsi" w:hAnsiTheme="majorHAnsi" w:cstheme="majorHAnsi"/>
        </w:rPr>
        <w:t>consumes 24.6 MWh</w:t>
      </w:r>
      <w:r w:rsidR="0002696D" w:rsidRPr="00A33AE8">
        <w:rPr>
          <w:rFonts w:asciiTheme="majorHAnsi" w:hAnsiTheme="majorHAnsi" w:cstheme="majorHAnsi"/>
        </w:rPr>
        <w:t>,</w:t>
      </w:r>
      <w:r w:rsidRPr="00A33AE8">
        <w:rPr>
          <w:rFonts w:asciiTheme="majorHAnsi" w:hAnsiTheme="majorHAnsi" w:cstheme="majorHAnsi"/>
        </w:rPr>
        <w:t xml:space="preserve"> which is 30% lower than the EU 27 average (see </w:t>
      </w:r>
      <w:r w:rsidRPr="00A33AE8">
        <w:fldChar w:fldCharType="begin"/>
      </w:r>
      <w:r w:rsidRPr="00A33AE8">
        <w:instrText xml:space="preserve"> REF _Ref79148148 \h  \* MERGEFORMAT </w:instrText>
      </w:r>
      <w:r w:rsidRPr="00A33AE8">
        <w:fldChar w:fldCharType="separate"/>
      </w:r>
      <w:r w:rsidR="00D45204" w:rsidRPr="00A33AE8">
        <w:rPr>
          <w:rFonts w:asciiTheme="majorHAnsi" w:hAnsiTheme="majorHAnsi" w:cstheme="majorHAnsi"/>
        </w:rPr>
        <w:t>Figure 1.4</w:t>
      </w:r>
      <w:r w:rsidRPr="00A33AE8">
        <w:fldChar w:fldCharType="end"/>
      </w:r>
      <w:r w:rsidRPr="00A33AE8">
        <w:rPr>
          <w:rFonts w:asciiTheme="majorHAnsi" w:hAnsiTheme="majorHAnsi" w:cstheme="majorHAnsi"/>
        </w:rPr>
        <w:t xml:space="preserve">). All </w:t>
      </w:r>
      <w:r w:rsidR="00204BF5" w:rsidRPr="000007D2">
        <w:rPr>
          <w:rFonts w:asciiTheme="majorHAnsi" w:hAnsiTheme="majorHAnsi" w:cstheme="majorHAnsi"/>
        </w:rPr>
        <w:t xml:space="preserve">observed </w:t>
      </w:r>
      <w:r w:rsidRPr="00A33AE8">
        <w:rPr>
          <w:rFonts w:asciiTheme="majorHAnsi" w:hAnsiTheme="majorHAnsi" w:cstheme="majorHAnsi"/>
        </w:rPr>
        <w:t>countries, except Bulgaria, have a lower consumption per capita than Serbia</w:t>
      </w:r>
      <w:r w:rsidR="00F51225" w:rsidRPr="00A33AE8">
        <w:rPr>
          <w:rFonts w:asciiTheme="majorHAnsi" w:hAnsiTheme="majorHAnsi" w:cstheme="majorHAnsi"/>
        </w:rPr>
        <w:t>. One of the key factor</w:t>
      </w:r>
      <w:r w:rsidR="005851AB" w:rsidRPr="00A33AE8">
        <w:rPr>
          <w:rFonts w:asciiTheme="majorHAnsi" w:hAnsiTheme="majorHAnsi" w:cstheme="majorHAnsi"/>
        </w:rPr>
        <w:t>s</w:t>
      </w:r>
      <w:r w:rsidR="00F51225" w:rsidRPr="00A33AE8">
        <w:rPr>
          <w:rFonts w:asciiTheme="majorHAnsi" w:hAnsiTheme="majorHAnsi" w:cstheme="majorHAnsi"/>
        </w:rPr>
        <w:t xml:space="preserve"> for that is</w:t>
      </w:r>
      <w:r w:rsidRPr="00A33AE8">
        <w:rPr>
          <w:rFonts w:asciiTheme="majorHAnsi" w:hAnsiTheme="majorHAnsi" w:cstheme="majorHAnsi"/>
        </w:rPr>
        <w:t xml:space="preserve"> due to the fact that 66.4% of electricity production in Serbia came from </w:t>
      </w:r>
      <w:r w:rsidR="007A4F31" w:rsidRPr="00A33AE8">
        <w:rPr>
          <w:rFonts w:asciiTheme="majorHAnsi" w:hAnsiTheme="majorHAnsi" w:cstheme="majorHAnsi"/>
        </w:rPr>
        <w:t>lignite-</w:t>
      </w:r>
      <w:r w:rsidRPr="00A33AE8">
        <w:rPr>
          <w:rFonts w:asciiTheme="majorHAnsi" w:hAnsiTheme="majorHAnsi" w:cstheme="majorHAnsi"/>
        </w:rPr>
        <w:t>base</w:t>
      </w:r>
      <w:r w:rsidR="007A4F31" w:rsidRPr="00A33AE8">
        <w:rPr>
          <w:rFonts w:asciiTheme="majorHAnsi" w:hAnsiTheme="majorHAnsi" w:cstheme="majorHAnsi"/>
        </w:rPr>
        <w:t>d</w:t>
      </w:r>
      <w:r w:rsidRPr="00A33AE8">
        <w:rPr>
          <w:rFonts w:asciiTheme="majorHAnsi" w:hAnsiTheme="majorHAnsi" w:cstheme="majorHAnsi"/>
        </w:rPr>
        <w:t xml:space="preserve"> power plants in 2019</w:t>
      </w:r>
      <w:r w:rsidR="007E3058" w:rsidRPr="00A33AE8">
        <w:rPr>
          <w:rFonts w:asciiTheme="majorHAnsi" w:hAnsiTheme="majorHAnsi" w:cstheme="majorHAnsi"/>
        </w:rPr>
        <w:t xml:space="preserve"> and therefore thermal/lignite power plants require higher primary energy in comparison to other generation mix</w:t>
      </w:r>
      <w:r w:rsidR="005851AB" w:rsidRPr="00A33AE8">
        <w:rPr>
          <w:rFonts w:asciiTheme="majorHAnsi" w:hAnsiTheme="majorHAnsi" w:cstheme="majorHAnsi"/>
        </w:rPr>
        <w:t>. For example,</w:t>
      </w:r>
      <w:r w:rsidR="007E3058" w:rsidRPr="00A33AE8">
        <w:rPr>
          <w:rFonts w:asciiTheme="majorHAnsi" w:hAnsiTheme="majorHAnsi" w:cstheme="majorHAnsi"/>
        </w:rPr>
        <w:t xml:space="preserve"> in Albania most of the electricity is generated from hydro power plants </w:t>
      </w:r>
      <w:r w:rsidR="005851AB" w:rsidRPr="00A33AE8">
        <w:rPr>
          <w:rFonts w:asciiTheme="majorHAnsi" w:hAnsiTheme="majorHAnsi" w:cstheme="majorHAnsi"/>
        </w:rPr>
        <w:t>leading</w:t>
      </w:r>
      <w:r w:rsidR="007E3058" w:rsidRPr="00A33AE8">
        <w:rPr>
          <w:rFonts w:asciiTheme="majorHAnsi" w:hAnsiTheme="majorHAnsi" w:cstheme="majorHAnsi"/>
        </w:rPr>
        <w:t xml:space="preserve"> to lower primary energy consumption</w:t>
      </w:r>
      <w:r w:rsidRPr="00A33AE8">
        <w:rPr>
          <w:rFonts w:asciiTheme="majorHAnsi" w:hAnsiTheme="majorHAnsi" w:cstheme="majorHAnsi"/>
        </w:rPr>
        <w:t>.</w:t>
      </w:r>
    </w:p>
    <w:p w14:paraId="5AF8578C" w14:textId="72EA14D0" w:rsidR="00FA6545" w:rsidRPr="00A33AE8" w:rsidRDefault="00FA6545" w:rsidP="00FA6545">
      <w:pPr>
        <w:pStyle w:val="Caption"/>
      </w:pPr>
      <w:bookmarkStart w:id="34" w:name="_Ref79148148"/>
      <w:bookmarkStart w:id="35" w:name="_Toc79772573"/>
      <w:bookmarkStart w:id="36" w:name="_Toc118992258"/>
      <w:bookmarkStart w:id="37" w:name="_Toc154575195"/>
      <w:r w:rsidRPr="00A33AE8">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w:t>
      </w:r>
      <w:r w:rsidR="006E0533">
        <w:rPr>
          <w:noProof/>
        </w:rPr>
        <w:fldChar w:fldCharType="end"/>
      </w:r>
      <w:bookmarkEnd w:id="34"/>
      <w:r w:rsidRPr="00A33AE8">
        <w:t>: Primary energy consumption per capita in 2019, in toe/capita (source: Eurostat)</w:t>
      </w:r>
      <w:bookmarkEnd w:id="35"/>
      <w:bookmarkEnd w:id="36"/>
      <w:bookmarkEnd w:id="37"/>
    </w:p>
    <w:p w14:paraId="044373C0" w14:textId="77777777" w:rsidR="00FA6545" w:rsidRPr="00A33AE8" w:rsidRDefault="00C11115" w:rsidP="00FA6545">
      <w:pPr>
        <w:jc w:val="center"/>
      </w:pPr>
      <w:r w:rsidRPr="000007D2">
        <w:t xml:space="preserve"> </w:t>
      </w:r>
      <w:r w:rsidRPr="000007D2">
        <w:rPr>
          <w:noProof/>
          <w:lang w:val="en-US"/>
        </w:rPr>
        <w:drawing>
          <wp:inline distT="0" distB="0" distL="0" distR="0" wp14:anchorId="35E22352" wp14:editId="3F71D9BB">
            <wp:extent cx="3602990" cy="2529840"/>
            <wp:effectExtent l="0" t="0" r="0" b="3810"/>
            <wp:docPr id="102800469" name="Picture 10280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2529840"/>
                    </a:xfrm>
                    <a:prstGeom prst="rect">
                      <a:avLst/>
                    </a:prstGeom>
                    <a:noFill/>
                  </pic:spPr>
                </pic:pic>
              </a:graphicData>
            </a:graphic>
          </wp:inline>
        </w:drawing>
      </w:r>
    </w:p>
    <w:p w14:paraId="2ABC30B8" w14:textId="77777777" w:rsidR="00FA6545" w:rsidRPr="00A33AE8" w:rsidRDefault="00B543AB" w:rsidP="00FA6545">
      <w:pPr>
        <w:pStyle w:val="LDKbody"/>
        <w:rPr>
          <w:rFonts w:asciiTheme="majorHAnsi" w:hAnsiTheme="majorHAnsi" w:cstheme="majorHAnsi"/>
          <w:b/>
          <w:bCs/>
          <w:lang w:val="en-GB"/>
        </w:rPr>
      </w:pPr>
      <w:r w:rsidRPr="00A33AE8">
        <w:rPr>
          <w:rFonts w:asciiTheme="majorHAnsi" w:hAnsiTheme="majorHAnsi" w:cstheme="majorHAnsi"/>
          <w:b/>
          <w:bCs/>
          <w:lang w:val="en-GB"/>
        </w:rPr>
        <w:t>CO2 emissions</w:t>
      </w:r>
    </w:p>
    <w:p w14:paraId="10A5BD84" w14:textId="6404487C"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In Serbia each citizen is responsible for 7.8 t CO</w:t>
      </w:r>
      <w:r w:rsidRPr="00A33AE8">
        <w:rPr>
          <w:rFonts w:asciiTheme="majorHAnsi" w:hAnsiTheme="majorHAnsi" w:cstheme="majorHAnsi"/>
          <w:vertAlign w:val="subscript"/>
          <w:lang w:val="en-GB"/>
        </w:rPr>
        <w:t>2</w:t>
      </w:r>
      <w:r w:rsidRPr="00A33AE8">
        <w:rPr>
          <w:rFonts w:asciiTheme="majorHAnsi" w:hAnsiTheme="majorHAnsi" w:cstheme="majorHAnsi"/>
          <w:lang w:val="en-GB"/>
        </w:rPr>
        <w:t>-eq (see</w:t>
      </w:r>
      <w:r w:rsidR="001F69CD">
        <w:rPr>
          <w:rFonts w:asciiTheme="majorHAnsi" w:hAnsiTheme="majorHAnsi" w:cstheme="majorHAnsi"/>
          <w:lang w:val="en-GB"/>
        </w:rPr>
        <w:t xml:space="preserve"> </w:t>
      </w:r>
      <w:r w:rsidR="001F69CD">
        <w:rPr>
          <w:rFonts w:asciiTheme="majorHAnsi" w:hAnsiTheme="majorHAnsi" w:cstheme="majorHAnsi"/>
          <w:lang w:val="en-GB"/>
        </w:rPr>
        <w:fldChar w:fldCharType="begin"/>
      </w:r>
      <w:r w:rsidR="001F69CD">
        <w:rPr>
          <w:rFonts w:asciiTheme="majorHAnsi" w:hAnsiTheme="majorHAnsi" w:cstheme="majorHAnsi"/>
          <w:lang w:val="en-GB"/>
        </w:rPr>
        <w:instrText xml:space="preserve"> REF _Ref153544077 \h  \* MERGEFORMAT </w:instrText>
      </w:r>
      <w:r w:rsidR="001F69CD">
        <w:rPr>
          <w:rFonts w:asciiTheme="majorHAnsi" w:hAnsiTheme="majorHAnsi" w:cstheme="majorHAnsi"/>
          <w:lang w:val="en-GB"/>
        </w:rPr>
      </w:r>
      <w:r w:rsidR="001F69CD">
        <w:rPr>
          <w:rFonts w:asciiTheme="majorHAnsi" w:hAnsiTheme="majorHAnsi" w:cstheme="majorHAnsi"/>
          <w:lang w:val="en-GB"/>
        </w:rPr>
        <w:fldChar w:fldCharType="separate"/>
      </w:r>
      <w:r w:rsidR="001F69CD" w:rsidRPr="0087794A">
        <w:rPr>
          <w:rFonts w:asciiTheme="majorHAnsi" w:hAnsiTheme="majorHAnsi" w:cstheme="majorHAnsi"/>
          <w:lang w:val="en-GB"/>
        </w:rPr>
        <w:t>Figure 1.5</w:t>
      </w:r>
      <w:r w:rsidR="001F69CD">
        <w:rPr>
          <w:rFonts w:asciiTheme="majorHAnsi" w:hAnsiTheme="majorHAnsi" w:cstheme="majorHAnsi"/>
          <w:lang w:val="en-GB"/>
        </w:rPr>
        <w:fldChar w:fldCharType="end"/>
      </w:r>
      <w:r w:rsidRPr="00A33AE8">
        <w:rPr>
          <w:rFonts w:asciiTheme="majorHAnsi" w:hAnsiTheme="majorHAnsi" w:cstheme="majorHAnsi"/>
          <w:lang w:val="en-GB"/>
        </w:rPr>
        <w:t xml:space="preserve">) that is the highest value </w:t>
      </w:r>
      <w:r w:rsidR="0002696D" w:rsidRPr="00A33AE8">
        <w:rPr>
          <w:rFonts w:asciiTheme="majorHAnsi" w:hAnsiTheme="majorHAnsi" w:cstheme="majorHAnsi"/>
          <w:lang w:val="en-GB"/>
        </w:rPr>
        <w:t xml:space="preserve">compared to the selected neighbouring countries </w:t>
      </w:r>
      <w:r w:rsidRPr="00A33AE8">
        <w:rPr>
          <w:rFonts w:asciiTheme="majorHAnsi" w:hAnsiTheme="majorHAnsi" w:cstheme="majorHAnsi"/>
          <w:lang w:val="en-GB"/>
        </w:rPr>
        <w:t xml:space="preserve">and slightly lower than the EU 27 average. </w:t>
      </w:r>
      <w:r w:rsidR="00B543AB" w:rsidRPr="00A33AE8">
        <w:rPr>
          <w:rFonts w:asciiTheme="majorHAnsi" w:hAnsiTheme="majorHAnsi" w:cstheme="majorHAnsi"/>
          <w:lang w:val="en-GB"/>
        </w:rPr>
        <w:t>L</w:t>
      </w:r>
      <w:r w:rsidRPr="00A33AE8">
        <w:rPr>
          <w:rFonts w:asciiTheme="majorHAnsi" w:hAnsiTheme="majorHAnsi" w:cstheme="majorHAnsi"/>
          <w:lang w:val="en-GB"/>
        </w:rPr>
        <w:t xml:space="preserve">ower value can be seen in </w:t>
      </w:r>
      <w:r w:rsidR="00B543AB" w:rsidRPr="00A33AE8">
        <w:rPr>
          <w:rFonts w:asciiTheme="majorHAnsi" w:hAnsiTheme="majorHAnsi" w:cstheme="majorHAnsi"/>
          <w:lang w:val="en-GB"/>
        </w:rPr>
        <w:t xml:space="preserve">the </w:t>
      </w:r>
      <w:r w:rsidRPr="00A33AE8">
        <w:rPr>
          <w:rFonts w:asciiTheme="majorHAnsi" w:hAnsiTheme="majorHAnsi" w:cstheme="majorHAnsi"/>
          <w:lang w:val="en-GB"/>
        </w:rPr>
        <w:t xml:space="preserve">case of Albania </w:t>
      </w:r>
      <w:r w:rsidR="00B543AB" w:rsidRPr="00A33AE8">
        <w:rPr>
          <w:rFonts w:asciiTheme="majorHAnsi" w:hAnsiTheme="majorHAnsi" w:cstheme="majorHAnsi"/>
          <w:lang w:val="en-GB"/>
        </w:rPr>
        <w:t>as the country produces most of</w:t>
      </w:r>
      <w:r w:rsidRPr="00A33AE8">
        <w:rPr>
          <w:rFonts w:asciiTheme="majorHAnsi" w:hAnsiTheme="majorHAnsi" w:cstheme="majorHAnsi"/>
          <w:lang w:val="en-GB"/>
        </w:rPr>
        <w:t xml:space="preserve"> its electricity from hydro.</w:t>
      </w:r>
    </w:p>
    <w:p w14:paraId="4E269641" w14:textId="142D64DE" w:rsidR="001F69CD" w:rsidRDefault="001F69CD" w:rsidP="0087794A">
      <w:pPr>
        <w:pStyle w:val="Caption"/>
        <w:keepNext/>
        <w:jc w:val="center"/>
      </w:pPr>
      <w:bookmarkStart w:id="38" w:name="_Ref153544077"/>
      <w:bookmarkStart w:id="39" w:name="_Toc154575196"/>
      <w:r>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w:t>
      </w:r>
      <w:r w:rsidR="006E0533">
        <w:rPr>
          <w:noProof/>
        </w:rPr>
        <w:fldChar w:fldCharType="end"/>
      </w:r>
      <w:bookmarkEnd w:id="38"/>
      <w:r>
        <w:t xml:space="preserve">: </w:t>
      </w:r>
      <w:r w:rsidRPr="001F69CD">
        <w:t>CO2-eq emissions per capita for 2019, in million tonnes of CO2 (Source: Global Carbon Project)</w:t>
      </w:r>
      <w:bookmarkEnd w:id="39"/>
    </w:p>
    <w:p w14:paraId="3B20F2C3" w14:textId="77777777" w:rsidR="00FA6545" w:rsidRPr="00A33AE8" w:rsidRDefault="00FA6545" w:rsidP="00FA6545">
      <w:pPr>
        <w:pStyle w:val="LDKbody"/>
        <w:jc w:val="center"/>
        <w:rPr>
          <w:lang w:val="en-GB"/>
        </w:rPr>
      </w:pPr>
      <w:r w:rsidRPr="000007D2">
        <w:rPr>
          <w:noProof/>
          <w:lang w:val="en-US" w:eastAsia="en-US"/>
        </w:rPr>
        <w:drawing>
          <wp:inline distT="0" distB="0" distL="0" distR="0" wp14:anchorId="1D538650" wp14:editId="28547AB7">
            <wp:extent cx="3596952" cy="25178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3596952" cy="2517866"/>
                    </a:xfrm>
                    <a:prstGeom prst="rect">
                      <a:avLst/>
                    </a:prstGeom>
                  </pic:spPr>
                </pic:pic>
              </a:graphicData>
            </a:graphic>
          </wp:inline>
        </w:drawing>
      </w:r>
    </w:p>
    <w:p w14:paraId="7A0DEEAA" w14:textId="77777777" w:rsidR="00FA6545" w:rsidRPr="00A33AE8" w:rsidRDefault="00FA6545" w:rsidP="00FA6545">
      <w:pPr>
        <w:pStyle w:val="LDKbody"/>
        <w:rPr>
          <w:rFonts w:asciiTheme="majorHAnsi" w:hAnsiTheme="majorHAnsi" w:cstheme="majorHAnsi"/>
          <w:b/>
          <w:bCs/>
          <w:lang w:val="en-GB"/>
        </w:rPr>
      </w:pPr>
      <w:r w:rsidRPr="00A33AE8">
        <w:rPr>
          <w:rFonts w:asciiTheme="majorHAnsi" w:hAnsiTheme="majorHAnsi" w:cstheme="majorHAnsi"/>
          <w:b/>
          <w:bCs/>
          <w:lang w:val="en-GB"/>
        </w:rPr>
        <w:t>Decarbonisation - Renewable energy sources</w:t>
      </w:r>
    </w:p>
    <w:p w14:paraId="0389E912" w14:textId="77777777" w:rsidR="00FA6545" w:rsidRPr="00A33AE8" w:rsidRDefault="00FA6545" w:rsidP="00697B27">
      <w:pPr>
        <w:spacing w:after="0" w:line="240" w:lineRule="auto"/>
        <w:jc w:val="both"/>
        <w:rPr>
          <w:rFonts w:asciiTheme="majorHAnsi" w:hAnsiTheme="majorHAnsi" w:cstheme="majorHAnsi"/>
          <w:sz w:val="24"/>
          <w:szCs w:val="24"/>
          <w:lang w:eastAsia="en-GB"/>
        </w:rPr>
      </w:pPr>
      <w:r w:rsidRPr="00A33AE8">
        <w:rPr>
          <w:rFonts w:asciiTheme="majorHAnsi" w:hAnsiTheme="majorHAnsi" w:cstheme="majorHAnsi"/>
        </w:rPr>
        <w:t>In 2019</w:t>
      </w:r>
      <w:r w:rsidR="0002696D" w:rsidRPr="00A33AE8">
        <w:rPr>
          <w:rFonts w:asciiTheme="majorHAnsi" w:hAnsiTheme="majorHAnsi" w:cstheme="majorHAnsi"/>
        </w:rPr>
        <w:t>,</w:t>
      </w:r>
      <w:r w:rsidRPr="00A33AE8">
        <w:rPr>
          <w:rFonts w:asciiTheme="majorHAnsi" w:hAnsiTheme="majorHAnsi" w:cstheme="majorHAnsi"/>
        </w:rPr>
        <w:t xml:space="preserve"> renewable energy sources in Serbia reached 21.4 % in gross final energy consumption</w:t>
      </w:r>
      <w:r w:rsidR="009479C7" w:rsidRPr="00A33AE8">
        <w:rPr>
          <w:rFonts w:asciiTheme="majorHAnsi" w:hAnsiTheme="majorHAnsi" w:cstheme="majorHAnsi"/>
        </w:rPr>
        <w:t>, while reached a 26.3%, following to a statistic revision of energy balance</w:t>
      </w:r>
      <w:r w:rsidR="00076767" w:rsidRPr="00A33AE8">
        <w:rPr>
          <w:rFonts w:asciiTheme="majorHAnsi" w:hAnsiTheme="majorHAnsi" w:cstheme="majorHAnsi"/>
        </w:rPr>
        <w:t xml:space="preserve"> in 2020</w:t>
      </w:r>
      <w:r w:rsidRPr="00A33AE8">
        <w:rPr>
          <w:rFonts w:asciiTheme="majorHAnsi" w:hAnsiTheme="majorHAnsi" w:cstheme="majorHAnsi"/>
        </w:rPr>
        <w:t xml:space="preserve">. This share is higher than the level of </w:t>
      </w:r>
      <w:r w:rsidR="00B543AB" w:rsidRPr="00A33AE8">
        <w:rPr>
          <w:rFonts w:asciiTheme="majorHAnsi" w:hAnsiTheme="majorHAnsi" w:cstheme="majorHAnsi"/>
        </w:rPr>
        <w:t>the</w:t>
      </w:r>
      <w:r w:rsidRPr="00A33AE8">
        <w:rPr>
          <w:rFonts w:asciiTheme="majorHAnsi" w:hAnsiTheme="majorHAnsi" w:cstheme="majorHAnsi"/>
        </w:rPr>
        <w:t xml:space="preserve"> RES share in EU 27 (see </w:t>
      </w:r>
      <w:r w:rsidRPr="00A33AE8">
        <w:fldChar w:fldCharType="begin"/>
      </w:r>
      <w:r w:rsidRPr="00A33AE8">
        <w:instrText xml:space="preserve"> REF _Ref79579379 \h  \* MERGEFORMAT </w:instrText>
      </w:r>
      <w:r w:rsidRPr="00A33AE8">
        <w:fldChar w:fldCharType="separate"/>
      </w:r>
      <w:r w:rsidR="00D45204" w:rsidRPr="00A33AE8">
        <w:rPr>
          <w:rFonts w:asciiTheme="majorHAnsi" w:hAnsiTheme="majorHAnsi" w:cstheme="majorHAnsi"/>
        </w:rPr>
        <w:t>Figure 1.6</w:t>
      </w:r>
      <w:r w:rsidRPr="00A33AE8">
        <w:fldChar w:fldCharType="end"/>
      </w:r>
      <w:r w:rsidRPr="00A33AE8">
        <w:rPr>
          <w:rFonts w:asciiTheme="majorHAnsi" w:hAnsiTheme="majorHAnsi" w:cstheme="majorHAnsi"/>
        </w:rPr>
        <w:t xml:space="preserve">). </w:t>
      </w:r>
      <w:r w:rsidR="00B543AB" w:rsidRPr="00A33AE8">
        <w:rPr>
          <w:rFonts w:asciiTheme="majorHAnsi" w:hAnsiTheme="majorHAnsi" w:cstheme="majorHAnsi"/>
        </w:rPr>
        <w:t xml:space="preserve">However, in </w:t>
      </w:r>
      <w:r w:rsidRPr="00A33AE8">
        <w:rPr>
          <w:rFonts w:asciiTheme="majorHAnsi" w:hAnsiTheme="majorHAnsi" w:cstheme="majorHAnsi"/>
        </w:rPr>
        <w:t xml:space="preserve">comparison to the other countries, Serbia has the second lowest share of RES </w:t>
      </w:r>
      <w:r w:rsidR="0002696D" w:rsidRPr="00A33AE8">
        <w:rPr>
          <w:rFonts w:asciiTheme="majorHAnsi" w:hAnsiTheme="majorHAnsi" w:cstheme="majorHAnsi"/>
        </w:rPr>
        <w:t xml:space="preserve">following </w:t>
      </w:r>
      <w:r w:rsidRPr="00A33AE8">
        <w:rPr>
          <w:rFonts w:asciiTheme="majorHAnsi" w:hAnsiTheme="majorHAnsi" w:cstheme="majorHAnsi"/>
        </w:rPr>
        <w:t xml:space="preserve">North Macedonia. The RES target for Serbia is set </w:t>
      </w:r>
      <w:r w:rsidR="00B543AB" w:rsidRPr="00A33AE8">
        <w:rPr>
          <w:rFonts w:asciiTheme="majorHAnsi" w:hAnsiTheme="majorHAnsi" w:cstheme="majorHAnsi"/>
        </w:rPr>
        <w:t xml:space="preserve">at </w:t>
      </w:r>
      <w:r w:rsidRPr="00A33AE8">
        <w:rPr>
          <w:rFonts w:asciiTheme="majorHAnsi" w:hAnsiTheme="majorHAnsi" w:cstheme="majorHAnsi"/>
        </w:rPr>
        <w:t>27% in 2020, according to Decision D/2018/2/MC-EnC of the Energy Community Ministerial Council</w:t>
      </w:r>
      <w:r w:rsidR="0002696D" w:rsidRPr="00A33AE8">
        <w:rPr>
          <w:rStyle w:val="FootnoteReference"/>
          <w:rFonts w:asciiTheme="majorHAnsi" w:hAnsiTheme="majorHAnsi" w:cstheme="majorHAnsi"/>
        </w:rPr>
        <w:footnoteReference w:id="15"/>
      </w:r>
      <w:r w:rsidRPr="00A33AE8">
        <w:rPr>
          <w:rFonts w:asciiTheme="majorHAnsi" w:hAnsiTheme="majorHAnsi" w:cstheme="majorHAnsi"/>
        </w:rPr>
        <w:t xml:space="preserve">. Although renewable energy capacities are increasing, RES share trend is countered </w:t>
      </w:r>
      <w:r w:rsidR="0002696D" w:rsidRPr="00A33AE8">
        <w:rPr>
          <w:rFonts w:asciiTheme="majorHAnsi" w:hAnsiTheme="majorHAnsi" w:cstheme="majorHAnsi"/>
        </w:rPr>
        <w:t xml:space="preserve">due to </w:t>
      </w:r>
      <w:r w:rsidRPr="00A33AE8">
        <w:rPr>
          <w:rFonts w:asciiTheme="majorHAnsi" w:hAnsiTheme="majorHAnsi" w:cstheme="majorHAnsi"/>
        </w:rPr>
        <w:t xml:space="preserve">rising energy </w:t>
      </w:r>
      <w:r w:rsidR="0027710B" w:rsidRPr="00A33AE8">
        <w:rPr>
          <w:rFonts w:asciiTheme="majorHAnsi" w:hAnsiTheme="majorHAnsi" w:cstheme="majorHAnsi"/>
        </w:rPr>
        <w:t>consumption</w:t>
      </w:r>
      <w:r w:rsidR="00B43684" w:rsidRPr="00A33AE8">
        <w:rPr>
          <w:rFonts w:asciiTheme="majorHAnsi" w:hAnsiTheme="majorHAnsi" w:cstheme="majorHAnsi"/>
        </w:rPr>
        <w:t xml:space="preserve"> in the recent years</w:t>
      </w:r>
      <w:r w:rsidRPr="00A33AE8">
        <w:rPr>
          <w:rFonts w:asciiTheme="majorHAnsi" w:hAnsiTheme="majorHAnsi" w:cstheme="majorHAnsi"/>
        </w:rPr>
        <w:t>.</w:t>
      </w:r>
    </w:p>
    <w:p w14:paraId="5CBF0E03" w14:textId="77777777" w:rsidR="00FA6545" w:rsidRPr="00A33AE8" w:rsidRDefault="00FA6545" w:rsidP="00FA6545">
      <w:pPr>
        <w:pStyle w:val="LDKbody"/>
        <w:rPr>
          <w:lang w:val="en-GB"/>
        </w:rPr>
      </w:pPr>
    </w:p>
    <w:p w14:paraId="288964F4" w14:textId="43F80725" w:rsidR="00FA6545" w:rsidRPr="00A33AE8" w:rsidRDefault="00FA6545" w:rsidP="00FA6545">
      <w:pPr>
        <w:pStyle w:val="Caption"/>
      </w:pPr>
      <w:bookmarkStart w:id="40" w:name="_Ref79579379"/>
      <w:bookmarkStart w:id="41" w:name="_Toc79772575"/>
      <w:bookmarkStart w:id="42" w:name="_Toc118992260"/>
      <w:bookmarkStart w:id="43" w:name="_Toc154575197"/>
      <w:r w:rsidRPr="00A33AE8">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w:t>
      </w:r>
      <w:r w:rsidR="006E0533">
        <w:rPr>
          <w:noProof/>
        </w:rPr>
        <w:fldChar w:fldCharType="end"/>
      </w:r>
      <w:bookmarkEnd w:id="40"/>
      <w:r w:rsidRPr="00A33AE8">
        <w:t>: Share of RES in gross final energy consumption for 2019, in % (source: Eurostat)</w:t>
      </w:r>
      <w:bookmarkEnd w:id="41"/>
      <w:bookmarkEnd w:id="42"/>
      <w:bookmarkEnd w:id="43"/>
    </w:p>
    <w:p w14:paraId="39F2B2A4" w14:textId="77777777" w:rsidR="00FA6545" w:rsidRPr="00A33AE8" w:rsidRDefault="00FA6545" w:rsidP="00FA6545">
      <w:pPr>
        <w:jc w:val="center"/>
      </w:pPr>
      <w:r w:rsidRPr="000007D2">
        <w:rPr>
          <w:noProof/>
          <w:lang w:val="en-US"/>
        </w:rPr>
        <w:drawing>
          <wp:inline distT="0" distB="0" distL="0" distR="0" wp14:anchorId="4582B089" wp14:editId="41BB561B">
            <wp:extent cx="3596952" cy="25178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a:extLst>
                        <a:ext uri="{28A0092B-C50C-407E-A947-70E740481C1C}">
                          <a14:useLocalDpi xmlns:a14="http://schemas.microsoft.com/office/drawing/2010/main" val="0"/>
                        </a:ext>
                      </a:extLst>
                    </a:blip>
                    <a:stretch>
                      <a:fillRect/>
                    </a:stretch>
                  </pic:blipFill>
                  <pic:spPr>
                    <a:xfrm>
                      <a:off x="0" y="0"/>
                      <a:ext cx="3596952" cy="2517866"/>
                    </a:xfrm>
                    <a:prstGeom prst="rect">
                      <a:avLst/>
                    </a:prstGeom>
                  </pic:spPr>
                </pic:pic>
              </a:graphicData>
            </a:graphic>
          </wp:inline>
        </w:drawing>
      </w:r>
    </w:p>
    <w:p w14:paraId="2EBC1ACA" w14:textId="77777777"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The RES share in </w:t>
      </w:r>
      <w:r w:rsidR="00DB2101" w:rsidRPr="00A33AE8">
        <w:rPr>
          <w:rFonts w:asciiTheme="majorHAnsi" w:hAnsiTheme="majorHAnsi" w:cstheme="majorHAnsi"/>
          <w:lang w:val="en-GB"/>
        </w:rPr>
        <w:t>Serbia’s electricity</w:t>
      </w:r>
      <w:r w:rsidRPr="00A33AE8">
        <w:rPr>
          <w:rFonts w:asciiTheme="majorHAnsi" w:hAnsiTheme="majorHAnsi" w:cstheme="majorHAnsi"/>
          <w:lang w:val="en-GB"/>
        </w:rPr>
        <w:t xml:space="preserve"> production has been stable over the past decade. </w:t>
      </w:r>
      <w:r w:rsidR="0002696D" w:rsidRPr="00A33AE8">
        <w:rPr>
          <w:rFonts w:asciiTheme="majorHAnsi" w:hAnsiTheme="majorHAnsi" w:cstheme="majorHAnsi"/>
          <w:lang w:val="en-GB"/>
        </w:rPr>
        <w:t xml:space="preserve">More specifically, the </w:t>
      </w:r>
      <w:r w:rsidRPr="00A33AE8">
        <w:rPr>
          <w:rFonts w:asciiTheme="majorHAnsi" w:hAnsiTheme="majorHAnsi" w:cstheme="majorHAnsi"/>
          <w:lang w:val="en-GB"/>
        </w:rPr>
        <w:t xml:space="preserve">RES share in electricity production for 2019 is 30.1% (see </w:t>
      </w:r>
      <w:r w:rsidRPr="000007D2">
        <w:rPr>
          <w:lang w:val="en-GB"/>
        </w:rPr>
        <w:fldChar w:fldCharType="begin"/>
      </w:r>
      <w:r w:rsidRPr="000007D2">
        <w:rPr>
          <w:lang w:val="en-GB"/>
        </w:rPr>
        <w:instrText xml:space="preserve"> REF _Ref79583347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1.7</w:t>
      </w:r>
      <w:r w:rsidRPr="000007D2">
        <w:rPr>
          <w:lang w:val="en-GB"/>
        </w:rPr>
        <w:fldChar w:fldCharType="end"/>
      </w:r>
      <w:r w:rsidRPr="00A33AE8">
        <w:rPr>
          <w:rFonts w:asciiTheme="majorHAnsi" w:hAnsiTheme="majorHAnsi" w:cstheme="majorHAnsi"/>
          <w:lang w:val="en-GB"/>
        </w:rPr>
        <w:t>)</w:t>
      </w:r>
      <w:r w:rsidR="0002696D" w:rsidRPr="00A33AE8">
        <w:rPr>
          <w:rFonts w:asciiTheme="majorHAnsi" w:hAnsiTheme="majorHAnsi" w:cstheme="majorHAnsi"/>
          <w:lang w:val="en-GB"/>
        </w:rPr>
        <w:t>,</w:t>
      </w:r>
      <w:r w:rsidRPr="00A33AE8">
        <w:rPr>
          <w:rFonts w:asciiTheme="majorHAnsi" w:hAnsiTheme="majorHAnsi" w:cstheme="majorHAnsi"/>
          <w:lang w:val="en-GB"/>
        </w:rPr>
        <w:t xml:space="preserve"> which is 4.5% lower than the EU 27. In comparison to the other countries, Serbia has a higher share only from Bulgaria and North Macedonia, whereas the remaining countries have a significantly higher share due to their installed capacity mix.</w:t>
      </w:r>
    </w:p>
    <w:p w14:paraId="015C8FBA" w14:textId="75476D4D" w:rsidR="00FA6545" w:rsidRPr="00A33AE8" w:rsidRDefault="00FA6545" w:rsidP="00FA6545">
      <w:pPr>
        <w:pStyle w:val="Caption"/>
      </w:pPr>
      <w:bookmarkStart w:id="44" w:name="_Ref79583347"/>
      <w:bookmarkStart w:id="45" w:name="_Toc79772576"/>
      <w:bookmarkStart w:id="46" w:name="_Toc118992261"/>
      <w:bookmarkStart w:id="47" w:name="_Toc154575198"/>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7</w:t>
      </w:r>
      <w:r w:rsidR="006E0533">
        <w:rPr>
          <w:noProof/>
        </w:rPr>
        <w:fldChar w:fldCharType="end"/>
      </w:r>
      <w:bookmarkEnd w:id="44"/>
      <w:r w:rsidRPr="00A33AE8">
        <w:t>: RES share in electricity production for 2019, in % (source: Eurostat)</w:t>
      </w:r>
      <w:bookmarkEnd w:id="45"/>
      <w:bookmarkEnd w:id="46"/>
      <w:bookmarkEnd w:id="47"/>
    </w:p>
    <w:p w14:paraId="57028BF7" w14:textId="77777777" w:rsidR="00FA6545" w:rsidRPr="00A33AE8" w:rsidRDefault="00FA6545" w:rsidP="00FA6545">
      <w:pPr>
        <w:jc w:val="center"/>
      </w:pPr>
      <w:r w:rsidRPr="000007D2">
        <w:rPr>
          <w:noProof/>
          <w:lang w:val="en-US"/>
        </w:rPr>
        <w:drawing>
          <wp:inline distT="0" distB="0" distL="0" distR="0" wp14:anchorId="500E7FD0" wp14:editId="574A2D32">
            <wp:extent cx="3584759" cy="251786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584759" cy="2517866"/>
                    </a:xfrm>
                    <a:prstGeom prst="rect">
                      <a:avLst/>
                    </a:prstGeom>
                  </pic:spPr>
                </pic:pic>
              </a:graphicData>
            </a:graphic>
          </wp:inline>
        </w:drawing>
      </w:r>
    </w:p>
    <w:p w14:paraId="17C061D2" w14:textId="77777777" w:rsidR="00FA6545" w:rsidRPr="00A33AE8" w:rsidRDefault="00FA6545" w:rsidP="00FA6545">
      <w:pPr>
        <w:pStyle w:val="LDKbody"/>
        <w:rPr>
          <w:rFonts w:asciiTheme="majorHAnsi" w:hAnsiTheme="majorHAnsi" w:cstheme="majorHAnsi"/>
          <w:b/>
          <w:bCs/>
          <w:lang w:val="en-GB"/>
        </w:rPr>
      </w:pPr>
      <w:r w:rsidRPr="00A33AE8">
        <w:rPr>
          <w:rFonts w:asciiTheme="majorHAnsi" w:hAnsiTheme="majorHAnsi" w:cstheme="majorHAnsi"/>
          <w:b/>
          <w:bCs/>
          <w:lang w:val="en-GB"/>
        </w:rPr>
        <w:t>Energy Efficiency</w:t>
      </w:r>
    </w:p>
    <w:p w14:paraId="4A75611F" w14:textId="77777777" w:rsidR="00FA6545" w:rsidRPr="00A33AE8" w:rsidRDefault="00FA6545" w:rsidP="00DB2101">
      <w:pPr>
        <w:spacing w:after="0" w:line="240" w:lineRule="auto"/>
        <w:jc w:val="both"/>
        <w:rPr>
          <w:rFonts w:asciiTheme="majorHAnsi" w:hAnsiTheme="majorHAnsi"/>
        </w:rPr>
      </w:pPr>
      <w:r w:rsidRPr="00A33AE8">
        <w:rPr>
          <w:rFonts w:asciiTheme="majorHAnsi" w:hAnsiTheme="majorHAnsi" w:cstheme="majorHAnsi"/>
        </w:rPr>
        <w:t xml:space="preserve">The primary energy consumption for 2019 relative to 2005 is shown in </w:t>
      </w:r>
      <w:r w:rsidRPr="00A33AE8">
        <w:fldChar w:fldCharType="begin"/>
      </w:r>
      <w:r w:rsidRPr="00A33AE8">
        <w:instrText xml:space="preserve"> REF _Ref79762971 \h  \* MERGEFORMAT </w:instrText>
      </w:r>
      <w:r w:rsidRPr="00A33AE8">
        <w:fldChar w:fldCharType="separate"/>
      </w:r>
      <w:r w:rsidR="00D45204" w:rsidRPr="00A33AE8">
        <w:rPr>
          <w:rFonts w:asciiTheme="majorHAnsi" w:hAnsiTheme="majorHAnsi" w:cstheme="majorHAnsi"/>
        </w:rPr>
        <w:t>Figure 1.8</w:t>
      </w:r>
      <w:r w:rsidRPr="00A33AE8">
        <w:fldChar w:fldCharType="end"/>
      </w:r>
      <w:r w:rsidRPr="00A33AE8">
        <w:rPr>
          <w:rFonts w:asciiTheme="majorHAnsi" w:hAnsiTheme="majorHAnsi" w:cstheme="majorHAnsi"/>
        </w:rPr>
        <w:t xml:space="preserve">. </w:t>
      </w:r>
      <w:r w:rsidR="0002696D" w:rsidRPr="00A33AE8">
        <w:rPr>
          <w:rFonts w:asciiTheme="majorHAnsi" w:hAnsiTheme="majorHAnsi" w:cstheme="majorHAnsi"/>
        </w:rPr>
        <w:t xml:space="preserve">According to </w:t>
      </w:r>
      <w:r w:rsidRPr="00A33AE8">
        <w:rPr>
          <w:rFonts w:asciiTheme="majorHAnsi" w:hAnsiTheme="majorHAnsi" w:cstheme="majorHAnsi"/>
        </w:rPr>
        <w:t>the available data, Serbia has managed to decrease its consumption by 6.</w:t>
      </w:r>
      <w:r w:rsidR="00BE0F42" w:rsidRPr="00A33AE8">
        <w:rPr>
          <w:rFonts w:asciiTheme="majorHAnsi" w:hAnsiTheme="majorHAnsi" w:cstheme="majorHAnsi"/>
        </w:rPr>
        <w:t>7</w:t>
      </w:r>
      <w:r w:rsidRPr="00A33AE8">
        <w:rPr>
          <w:rFonts w:asciiTheme="majorHAnsi" w:hAnsiTheme="majorHAnsi" w:cstheme="majorHAnsi"/>
        </w:rPr>
        <w:t>%</w:t>
      </w:r>
      <w:r w:rsidR="0002696D" w:rsidRPr="00A33AE8">
        <w:rPr>
          <w:rFonts w:asciiTheme="majorHAnsi" w:hAnsiTheme="majorHAnsi" w:cstheme="majorHAnsi"/>
        </w:rPr>
        <w:t>,</w:t>
      </w:r>
      <w:r w:rsidRPr="00A33AE8">
        <w:rPr>
          <w:rFonts w:asciiTheme="majorHAnsi" w:hAnsiTheme="majorHAnsi" w:cstheme="majorHAnsi"/>
        </w:rPr>
        <w:t xml:space="preserve"> which is the third lowest value among the selected </w:t>
      </w:r>
      <w:r w:rsidR="0027710B" w:rsidRPr="00A33AE8">
        <w:rPr>
          <w:rFonts w:asciiTheme="majorHAnsi" w:hAnsiTheme="majorHAnsi" w:cstheme="majorHAnsi"/>
        </w:rPr>
        <w:t>countries</w:t>
      </w:r>
      <w:r w:rsidRPr="00A33AE8">
        <w:rPr>
          <w:rFonts w:asciiTheme="majorHAnsi" w:hAnsiTheme="majorHAnsi" w:cstheme="majorHAnsi"/>
        </w:rPr>
        <w:t>. In comparison to the EU 27, Serbia is lagging by 4</w:t>
      </w:r>
      <w:r w:rsidR="00BE0F42" w:rsidRPr="00A33AE8">
        <w:rPr>
          <w:rFonts w:asciiTheme="majorHAnsi" w:hAnsiTheme="majorHAnsi" w:cstheme="majorHAnsi"/>
        </w:rPr>
        <w:t>.2</w:t>
      </w:r>
      <w:r w:rsidRPr="00A33AE8">
        <w:rPr>
          <w:rFonts w:asciiTheme="majorHAnsi" w:hAnsiTheme="majorHAnsi" w:cstheme="majorHAnsi"/>
        </w:rPr>
        <w:t xml:space="preserve">%. All the countries except Albania </w:t>
      </w:r>
      <w:r w:rsidR="00BE0F42" w:rsidRPr="00A33AE8">
        <w:rPr>
          <w:rFonts w:asciiTheme="majorHAnsi" w:hAnsiTheme="majorHAnsi" w:cstheme="majorHAnsi"/>
        </w:rPr>
        <w:t xml:space="preserve">and Montenegro </w:t>
      </w:r>
      <w:r w:rsidRPr="00A33AE8">
        <w:rPr>
          <w:rFonts w:asciiTheme="majorHAnsi" w:hAnsiTheme="majorHAnsi" w:cstheme="majorHAnsi"/>
        </w:rPr>
        <w:t>have a negative trend of primary energy consumption.</w:t>
      </w:r>
    </w:p>
    <w:p w14:paraId="141BC612" w14:textId="77777777" w:rsidR="00BE0F42" w:rsidRPr="00A33AE8" w:rsidRDefault="00BE0F42" w:rsidP="00DB2101">
      <w:pPr>
        <w:spacing w:after="0" w:line="240" w:lineRule="auto"/>
        <w:jc w:val="both"/>
        <w:rPr>
          <w:rFonts w:asciiTheme="majorHAnsi" w:hAnsiTheme="majorHAnsi" w:cstheme="majorHAnsi"/>
          <w:sz w:val="24"/>
          <w:szCs w:val="24"/>
          <w:lang w:eastAsia="en-GB"/>
        </w:rPr>
      </w:pPr>
    </w:p>
    <w:p w14:paraId="088A51EC" w14:textId="583B4BE6" w:rsidR="00FA6545" w:rsidRPr="00A33AE8" w:rsidRDefault="00FA6545" w:rsidP="00697B27">
      <w:pPr>
        <w:pStyle w:val="Caption"/>
        <w:keepNext/>
      </w:pPr>
      <w:bookmarkStart w:id="48" w:name="_Ref79762971"/>
      <w:bookmarkStart w:id="49" w:name="_Toc79772577"/>
      <w:bookmarkStart w:id="50" w:name="_Toc118992262"/>
      <w:bookmarkStart w:id="51" w:name="_Toc154575199"/>
      <w:r w:rsidRPr="00A33AE8">
        <w:t xml:space="preserve">Figure </w:t>
      </w:r>
      <w:r w:rsidR="006E0533">
        <w:fldChar w:fldCharType="begin"/>
      </w:r>
      <w:r w:rsidR="006E0533">
        <w:instrText xml:space="preserve"> STYLEREF </w:instrText>
      </w:r>
      <w:r w:rsidR="006E0533">
        <w:instrText xml:space="preserve">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8</w:t>
      </w:r>
      <w:r w:rsidR="006E0533">
        <w:rPr>
          <w:noProof/>
        </w:rPr>
        <w:fldChar w:fldCharType="end"/>
      </w:r>
      <w:bookmarkEnd w:id="48"/>
      <w:r w:rsidRPr="00A33AE8">
        <w:t>: Primary energy consumption for 2019 relative to 2005, in % (source: Eurostat)</w:t>
      </w:r>
      <w:r w:rsidRPr="00A33AE8">
        <w:rPr>
          <w:rStyle w:val="FootnoteReference"/>
        </w:rPr>
        <w:footnoteReference w:id="16"/>
      </w:r>
      <w:bookmarkEnd w:id="49"/>
      <w:bookmarkEnd w:id="50"/>
      <w:bookmarkEnd w:id="51"/>
    </w:p>
    <w:p w14:paraId="3D7572BF" w14:textId="77777777" w:rsidR="00FA6545" w:rsidRPr="00A33AE8" w:rsidRDefault="00BE0F42" w:rsidP="00FA6545">
      <w:pPr>
        <w:pStyle w:val="LDKbody"/>
        <w:jc w:val="center"/>
        <w:rPr>
          <w:lang w:val="en-GB"/>
        </w:rPr>
      </w:pPr>
      <w:r w:rsidRPr="000007D2">
        <w:rPr>
          <w:lang w:val="en-GB"/>
        </w:rPr>
        <w:t xml:space="preserve"> </w:t>
      </w:r>
      <w:r w:rsidRPr="000007D2">
        <w:rPr>
          <w:noProof/>
          <w:lang w:val="en-US" w:eastAsia="en-US"/>
        </w:rPr>
        <w:drawing>
          <wp:inline distT="0" distB="0" distL="0" distR="0" wp14:anchorId="6E298A96" wp14:editId="4AB69367">
            <wp:extent cx="3438525" cy="2529840"/>
            <wp:effectExtent l="0" t="0" r="9525" b="3810"/>
            <wp:docPr id="1195390901" name="Picture 119539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2529840"/>
                    </a:xfrm>
                    <a:prstGeom prst="rect">
                      <a:avLst/>
                    </a:prstGeom>
                    <a:noFill/>
                  </pic:spPr>
                </pic:pic>
              </a:graphicData>
            </a:graphic>
          </wp:inline>
        </w:drawing>
      </w:r>
    </w:p>
    <w:p w14:paraId="5DBFE313" w14:textId="5952398B"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Households in Serbia consumed 411 kgoe </w:t>
      </w:r>
      <w:r w:rsidR="000D0E11" w:rsidRPr="00A33AE8">
        <w:rPr>
          <w:rFonts w:asciiTheme="majorHAnsi" w:hAnsiTheme="majorHAnsi" w:cstheme="majorHAnsi"/>
          <w:lang w:val="en-GB"/>
        </w:rPr>
        <w:t xml:space="preserve">on </w:t>
      </w:r>
      <w:r w:rsidRPr="00A33AE8">
        <w:rPr>
          <w:rFonts w:asciiTheme="majorHAnsi" w:hAnsiTheme="majorHAnsi" w:cstheme="majorHAnsi"/>
          <w:lang w:val="en-GB"/>
        </w:rPr>
        <w:t xml:space="preserve">average </w:t>
      </w:r>
      <w:r w:rsidR="000D0E11" w:rsidRPr="00A33AE8">
        <w:rPr>
          <w:rFonts w:asciiTheme="majorHAnsi" w:hAnsiTheme="majorHAnsi" w:cstheme="majorHAnsi"/>
          <w:lang w:val="en-GB"/>
        </w:rPr>
        <w:t xml:space="preserve">in </w:t>
      </w:r>
      <w:r w:rsidRPr="00A33AE8">
        <w:rPr>
          <w:rFonts w:asciiTheme="majorHAnsi" w:hAnsiTheme="majorHAnsi" w:cstheme="majorHAnsi"/>
          <w:lang w:val="en-GB"/>
        </w:rPr>
        <w:t xml:space="preserve">2019, which is 25% lower than the EU 27 average. The final energy consumption in households per capita in Serbia is the third highest in comparison to the other countries (see </w:t>
      </w:r>
      <w:r w:rsidRPr="000007D2">
        <w:rPr>
          <w:lang w:val="en-GB"/>
        </w:rPr>
        <w:fldChar w:fldCharType="begin"/>
      </w:r>
      <w:r w:rsidRPr="000007D2">
        <w:rPr>
          <w:lang w:val="en-GB"/>
        </w:rPr>
        <w:instrText xml:space="preserve"> REF _Ref79763508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1.9</w:t>
      </w:r>
      <w:r w:rsidRPr="000007D2">
        <w:rPr>
          <w:lang w:val="en-GB"/>
        </w:rPr>
        <w:fldChar w:fldCharType="end"/>
      </w:r>
      <w:r w:rsidRPr="00A33AE8">
        <w:rPr>
          <w:rFonts w:asciiTheme="majorHAnsi" w:hAnsiTheme="majorHAnsi" w:cstheme="majorHAnsi"/>
          <w:lang w:val="en-GB"/>
        </w:rPr>
        <w:t>).</w:t>
      </w:r>
    </w:p>
    <w:p w14:paraId="25773A01" w14:textId="79E52547" w:rsidR="00FA6545" w:rsidRPr="00A33AE8" w:rsidRDefault="00FA6545" w:rsidP="00697B27">
      <w:pPr>
        <w:pStyle w:val="Caption"/>
        <w:keepNext/>
      </w:pPr>
      <w:bookmarkStart w:id="52" w:name="_Ref79763508"/>
      <w:bookmarkStart w:id="53" w:name="_Toc79772578"/>
      <w:bookmarkStart w:id="54" w:name="_Toc118992263"/>
      <w:bookmarkStart w:id="55" w:name="_Toc154575200"/>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9</w:t>
      </w:r>
      <w:r w:rsidR="006E0533">
        <w:rPr>
          <w:noProof/>
        </w:rPr>
        <w:fldChar w:fldCharType="end"/>
      </w:r>
      <w:bookmarkEnd w:id="52"/>
      <w:r w:rsidRPr="00A33AE8">
        <w:t>: Final energy consumption in households per capita for 2019, in kgoe (source: Eurostat)</w:t>
      </w:r>
      <w:r w:rsidRPr="00A33AE8">
        <w:rPr>
          <w:rStyle w:val="FootnoteReference"/>
        </w:rPr>
        <w:footnoteReference w:id="17"/>
      </w:r>
      <w:bookmarkEnd w:id="53"/>
      <w:bookmarkEnd w:id="54"/>
      <w:bookmarkEnd w:id="55"/>
    </w:p>
    <w:p w14:paraId="69F8F3A1" w14:textId="77777777" w:rsidR="00FA6545" w:rsidRPr="00A33AE8" w:rsidRDefault="00FA6545" w:rsidP="00FA6545">
      <w:pPr>
        <w:pStyle w:val="LDKbody"/>
        <w:jc w:val="center"/>
        <w:rPr>
          <w:lang w:val="en-GB"/>
        </w:rPr>
      </w:pPr>
      <w:r w:rsidRPr="000007D2">
        <w:rPr>
          <w:noProof/>
          <w:lang w:val="en-US" w:eastAsia="en-US"/>
        </w:rPr>
        <w:drawing>
          <wp:inline distT="0" distB="0" distL="0" distR="0" wp14:anchorId="4A2EEBD3" wp14:editId="0519D878">
            <wp:extent cx="3584759" cy="251786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7">
                      <a:extLst>
                        <a:ext uri="{28A0092B-C50C-407E-A947-70E740481C1C}">
                          <a14:useLocalDpi xmlns:a14="http://schemas.microsoft.com/office/drawing/2010/main" val="0"/>
                        </a:ext>
                      </a:extLst>
                    </a:blip>
                    <a:stretch>
                      <a:fillRect/>
                    </a:stretch>
                  </pic:blipFill>
                  <pic:spPr>
                    <a:xfrm>
                      <a:off x="0" y="0"/>
                      <a:ext cx="3584759" cy="2517866"/>
                    </a:xfrm>
                    <a:prstGeom prst="rect">
                      <a:avLst/>
                    </a:prstGeom>
                  </pic:spPr>
                </pic:pic>
              </a:graphicData>
            </a:graphic>
          </wp:inline>
        </w:drawing>
      </w:r>
    </w:p>
    <w:p w14:paraId="0EA75B55" w14:textId="77777777" w:rsidR="003B480C" w:rsidRPr="00A33AE8" w:rsidRDefault="003B480C" w:rsidP="00823286">
      <w:pPr>
        <w:rPr>
          <w:rFonts w:asciiTheme="majorHAnsi" w:hAnsiTheme="majorHAnsi" w:cstheme="majorHAnsi"/>
        </w:rPr>
      </w:pPr>
      <w:r w:rsidRPr="00A33AE8">
        <w:rPr>
          <w:rFonts w:asciiTheme="majorHAnsi" w:hAnsiTheme="majorHAnsi" w:cstheme="majorHAnsi"/>
        </w:rPr>
        <w:t xml:space="preserve">Energy productivity indicator is used to represent the economic output that is produced per unit of gross available energy. The gross available energy represents the quantity of energy products necessary to meet all the demand of entities in Serbia is presented in </w:t>
      </w:r>
      <w:r w:rsidR="00FA6545" w:rsidRPr="00A33AE8">
        <w:fldChar w:fldCharType="begin"/>
      </w:r>
      <w:r w:rsidR="00FA6545" w:rsidRPr="00A33AE8">
        <w:instrText xml:space="preserve"> REF _Ref79763697 \h  \* MERGEFORMAT </w:instrText>
      </w:r>
      <w:r w:rsidR="00FA6545" w:rsidRPr="00A33AE8">
        <w:fldChar w:fldCharType="separate"/>
      </w:r>
      <w:r w:rsidR="00D45204" w:rsidRPr="00A33AE8">
        <w:rPr>
          <w:rFonts w:asciiTheme="majorHAnsi" w:hAnsiTheme="majorHAnsi" w:cstheme="majorHAnsi"/>
        </w:rPr>
        <w:t>Figure 1.10</w:t>
      </w:r>
      <w:r w:rsidR="00FA6545" w:rsidRPr="00A33AE8">
        <w:fldChar w:fldCharType="end"/>
      </w:r>
      <w:r w:rsidRPr="00A33AE8">
        <w:rPr>
          <w:rFonts w:asciiTheme="majorHAnsi" w:hAnsiTheme="majorHAnsi" w:cstheme="majorHAnsi"/>
        </w:rPr>
        <w:t>.</w:t>
      </w:r>
    </w:p>
    <w:p w14:paraId="45677850" w14:textId="386F0096" w:rsidR="00FA6545" w:rsidRPr="00A33AE8" w:rsidRDefault="00FA6545" w:rsidP="00697B27">
      <w:pPr>
        <w:pStyle w:val="Caption"/>
        <w:keepNext/>
        <w:jc w:val="center"/>
      </w:pPr>
      <w:bookmarkStart w:id="56" w:name="_Ref79763697"/>
      <w:bookmarkStart w:id="57" w:name="_Toc79772579"/>
      <w:bookmarkStart w:id="58" w:name="_Toc118992264"/>
      <w:bookmarkStart w:id="59" w:name="_Toc154575201"/>
      <w:r w:rsidRPr="00A33AE8">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10</w:t>
      </w:r>
      <w:r w:rsidR="006E0533">
        <w:rPr>
          <w:noProof/>
        </w:rPr>
        <w:fldChar w:fldCharType="end"/>
      </w:r>
      <w:bookmarkEnd w:id="56"/>
      <w:r w:rsidRPr="00A33AE8">
        <w:t>: Energy productivity for 2019, in EUR/kgoe (source: Eurostat)</w:t>
      </w:r>
      <w:r w:rsidRPr="00A33AE8">
        <w:rPr>
          <w:rStyle w:val="FootnoteReference"/>
        </w:rPr>
        <w:footnoteReference w:id="18"/>
      </w:r>
      <w:bookmarkEnd w:id="57"/>
      <w:bookmarkEnd w:id="58"/>
      <w:bookmarkEnd w:id="59"/>
    </w:p>
    <w:p w14:paraId="2D7F63E3" w14:textId="77777777" w:rsidR="00FA6545" w:rsidRPr="00A33AE8" w:rsidRDefault="00FA6545" w:rsidP="00FA6545">
      <w:pPr>
        <w:pStyle w:val="LDKbody"/>
        <w:jc w:val="center"/>
        <w:rPr>
          <w:lang w:val="en-GB"/>
        </w:rPr>
      </w:pPr>
      <w:r w:rsidRPr="000007D2">
        <w:rPr>
          <w:noProof/>
          <w:lang w:val="en-US" w:eastAsia="en-US"/>
        </w:rPr>
        <w:drawing>
          <wp:inline distT="0" distB="0" distL="0" distR="0" wp14:anchorId="4FC2F3B2" wp14:editId="050BDE5E">
            <wp:extent cx="3584759" cy="251786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8">
                      <a:extLst>
                        <a:ext uri="{28A0092B-C50C-407E-A947-70E740481C1C}">
                          <a14:useLocalDpi xmlns:a14="http://schemas.microsoft.com/office/drawing/2010/main" val="0"/>
                        </a:ext>
                      </a:extLst>
                    </a:blip>
                    <a:stretch>
                      <a:fillRect/>
                    </a:stretch>
                  </pic:blipFill>
                  <pic:spPr>
                    <a:xfrm>
                      <a:off x="0" y="0"/>
                      <a:ext cx="3584759" cy="2517866"/>
                    </a:xfrm>
                    <a:prstGeom prst="rect">
                      <a:avLst/>
                    </a:prstGeom>
                  </pic:spPr>
                </pic:pic>
              </a:graphicData>
            </a:graphic>
          </wp:inline>
        </w:drawing>
      </w:r>
    </w:p>
    <w:p w14:paraId="0B27D89B" w14:textId="77777777" w:rsidR="00FA6545" w:rsidRPr="00A33AE8" w:rsidRDefault="00FA6545" w:rsidP="00FA6545">
      <w:pPr>
        <w:pStyle w:val="LDKbody"/>
        <w:rPr>
          <w:rFonts w:asciiTheme="majorHAnsi" w:hAnsiTheme="majorHAnsi" w:cstheme="majorHAnsi"/>
          <w:b/>
          <w:bCs/>
          <w:lang w:val="en-GB"/>
        </w:rPr>
      </w:pPr>
      <w:r w:rsidRPr="00A33AE8">
        <w:rPr>
          <w:rFonts w:asciiTheme="majorHAnsi" w:hAnsiTheme="majorHAnsi" w:cstheme="majorHAnsi"/>
          <w:b/>
          <w:bCs/>
          <w:lang w:val="en-GB"/>
        </w:rPr>
        <w:t>Energy Security</w:t>
      </w:r>
    </w:p>
    <w:p w14:paraId="12AD5D52" w14:textId="77777777"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The energy security of supply in Serbia, </w:t>
      </w:r>
      <w:r w:rsidR="00EA57B0" w:rsidRPr="00A33AE8">
        <w:rPr>
          <w:rFonts w:asciiTheme="majorHAnsi" w:hAnsiTheme="majorHAnsi" w:cstheme="majorHAnsi"/>
          <w:lang w:val="en-GB"/>
        </w:rPr>
        <w:t>measured using</w:t>
      </w:r>
      <w:r w:rsidR="00337220" w:rsidRPr="00A33AE8">
        <w:rPr>
          <w:rFonts w:asciiTheme="majorHAnsi" w:hAnsiTheme="majorHAnsi" w:cstheme="majorHAnsi"/>
          <w:lang w:val="en-GB"/>
        </w:rPr>
        <w:t xml:space="preserve"> as</w:t>
      </w:r>
      <w:r w:rsidRPr="00A33AE8">
        <w:rPr>
          <w:rFonts w:asciiTheme="majorHAnsi" w:hAnsiTheme="majorHAnsi" w:cstheme="majorHAnsi"/>
          <w:lang w:val="en-GB"/>
        </w:rPr>
        <w:t xml:space="preserve"> import dependency (</w:t>
      </w:r>
      <w:r w:rsidRPr="000007D2">
        <w:rPr>
          <w:lang w:val="en-GB"/>
        </w:rPr>
        <w:fldChar w:fldCharType="begin"/>
      </w:r>
      <w:r w:rsidRPr="000007D2">
        <w:rPr>
          <w:lang w:val="en-GB"/>
        </w:rPr>
        <w:instrText xml:space="preserve"> REF _Ref79764005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1.11</w:t>
      </w:r>
      <w:r w:rsidRPr="000007D2">
        <w:rPr>
          <w:lang w:val="en-GB"/>
        </w:rPr>
        <w:fldChar w:fldCharType="end"/>
      </w:r>
      <w:r w:rsidRPr="00A33AE8">
        <w:rPr>
          <w:rFonts w:asciiTheme="majorHAnsi" w:hAnsiTheme="majorHAnsi" w:cstheme="majorHAnsi"/>
          <w:lang w:val="en-GB"/>
        </w:rPr>
        <w:t xml:space="preserve">), scores </w:t>
      </w:r>
      <w:r w:rsidR="00F9406C" w:rsidRPr="00A33AE8">
        <w:rPr>
          <w:rFonts w:asciiTheme="majorHAnsi" w:hAnsiTheme="majorHAnsi" w:cstheme="majorHAnsi"/>
          <w:lang w:val="en-GB"/>
        </w:rPr>
        <w:t>high</w:t>
      </w:r>
      <w:r w:rsidRPr="00A33AE8">
        <w:rPr>
          <w:rFonts w:asciiTheme="majorHAnsi" w:hAnsiTheme="majorHAnsi" w:cstheme="majorHAnsi"/>
          <w:lang w:val="en-GB"/>
        </w:rPr>
        <w:t xml:space="preserve"> with 35.6 % and shows a very good performance </w:t>
      </w:r>
      <w:r w:rsidR="00732006" w:rsidRPr="00A33AE8">
        <w:rPr>
          <w:rFonts w:asciiTheme="majorHAnsi" w:hAnsiTheme="majorHAnsi" w:cstheme="majorHAnsi"/>
          <w:lang w:val="en-GB"/>
        </w:rPr>
        <w:t xml:space="preserve">compared to the EU 27 </w:t>
      </w:r>
      <w:r w:rsidRPr="00A33AE8">
        <w:rPr>
          <w:rFonts w:asciiTheme="majorHAnsi" w:hAnsiTheme="majorHAnsi" w:cstheme="majorHAnsi"/>
          <w:lang w:val="en-GB"/>
        </w:rPr>
        <w:t>for 2019. Countries such as Albania, Montenegro and Bosnia and Herzegovina are around 30% of import dependency, where</w:t>
      </w:r>
      <w:r w:rsidR="00732006" w:rsidRPr="00A33AE8">
        <w:rPr>
          <w:rFonts w:asciiTheme="majorHAnsi" w:hAnsiTheme="majorHAnsi" w:cstheme="majorHAnsi"/>
          <w:lang w:val="en-GB"/>
        </w:rPr>
        <w:t>as</w:t>
      </w:r>
      <w:r w:rsidRPr="00A33AE8">
        <w:rPr>
          <w:rFonts w:asciiTheme="majorHAnsi" w:hAnsiTheme="majorHAnsi" w:cstheme="majorHAnsi"/>
          <w:lang w:val="en-GB"/>
        </w:rPr>
        <w:t>, on the other side, Croatia and North Macedonia score higher than 55%.</w:t>
      </w:r>
    </w:p>
    <w:p w14:paraId="1FE1D04F" w14:textId="3741FBD1" w:rsidR="00FA6545" w:rsidRPr="00A33AE8" w:rsidRDefault="00FA6545" w:rsidP="00FA6545">
      <w:pPr>
        <w:pStyle w:val="Caption"/>
        <w:keepNext/>
        <w:jc w:val="center"/>
      </w:pPr>
      <w:bookmarkStart w:id="60" w:name="_Ref79764005"/>
      <w:bookmarkStart w:id="61" w:name="_Toc79772580"/>
      <w:bookmarkStart w:id="62" w:name="_Toc118992265"/>
      <w:bookmarkStart w:id="63" w:name="_Toc154575202"/>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11</w:t>
      </w:r>
      <w:r w:rsidR="006E0533">
        <w:rPr>
          <w:noProof/>
        </w:rPr>
        <w:fldChar w:fldCharType="end"/>
      </w:r>
      <w:bookmarkEnd w:id="60"/>
      <w:r w:rsidRPr="00A33AE8">
        <w:t>: Import dependence for 2019, in % (source: Eurostat)</w:t>
      </w:r>
      <w:bookmarkEnd w:id="61"/>
      <w:bookmarkEnd w:id="62"/>
      <w:bookmarkEnd w:id="63"/>
    </w:p>
    <w:p w14:paraId="35011F0C" w14:textId="77777777" w:rsidR="00FA6545" w:rsidRPr="00A33AE8" w:rsidRDefault="00FA6545" w:rsidP="00FA6545">
      <w:pPr>
        <w:pStyle w:val="LDKbody"/>
        <w:jc w:val="center"/>
        <w:rPr>
          <w:lang w:val="en-GB"/>
        </w:rPr>
      </w:pPr>
      <w:r w:rsidRPr="000007D2">
        <w:rPr>
          <w:noProof/>
          <w:lang w:val="en-US" w:eastAsia="en-US"/>
        </w:rPr>
        <w:drawing>
          <wp:inline distT="0" distB="0" distL="0" distR="0" wp14:anchorId="7B5A84BD" wp14:editId="5AA34609">
            <wp:extent cx="3584759" cy="251786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3584759" cy="2517866"/>
                    </a:xfrm>
                    <a:prstGeom prst="rect">
                      <a:avLst/>
                    </a:prstGeom>
                  </pic:spPr>
                </pic:pic>
              </a:graphicData>
            </a:graphic>
          </wp:inline>
        </w:drawing>
      </w:r>
    </w:p>
    <w:p w14:paraId="0710D99E" w14:textId="77777777" w:rsidR="0027710B" w:rsidRPr="00A33AE8" w:rsidRDefault="0027710B" w:rsidP="0027710B">
      <w:pPr>
        <w:pStyle w:val="LDKbody"/>
        <w:rPr>
          <w:rFonts w:asciiTheme="majorHAnsi" w:hAnsiTheme="majorHAnsi" w:cstheme="majorHAnsi"/>
          <w:b/>
          <w:bCs/>
          <w:lang w:val="en-GB"/>
        </w:rPr>
      </w:pPr>
      <w:r w:rsidRPr="00A33AE8">
        <w:rPr>
          <w:rFonts w:asciiTheme="majorHAnsi" w:hAnsiTheme="majorHAnsi" w:cstheme="majorHAnsi"/>
          <w:b/>
          <w:bCs/>
          <w:lang w:val="en-GB"/>
        </w:rPr>
        <w:t>Internal Energy Market</w:t>
      </w:r>
    </w:p>
    <w:p w14:paraId="2C79361A" w14:textId="63307D22"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One of the indicators for the level of energy poverty can be reflected through the ability of people to keep their homes warm. When it comes to the development </w:t>
      </w:r>
      <w:r w:rsidR="00C234F2" w:rsidRPr="00A33AE8">
        <w:rPr>
          <w:rFonts w:asciiTheme="majorHAnsi" w:hAnsiTheme="majorHAnsi" w:cstheme="majorHAnsi"/>
          <w:lang w:val="en-GB"/>
        </w:rPr>
        <w:t xml:space="preserve">of the </w:t>
      </w:r>
      <w:r w:rsidRPr="00A33AE8">
        <w:rPr>
          <w:rFonts w:asciiTheme="majorHAnsi" w:hAnsiTheme="majorHAnsi" w:cstheme="majorHAnsi"/>
          <w:lang w:val="en-GB"/>
        </w:rPr>
        <w:t>internal energy market</w:t>
      </w:r>
      <w:r w:rsidR="00C234F2" w:rsidRPr="00A33AE8">
        <w:rPr>
          <w:rFonts w:asciiTheme="majorHAnsi" w:hAnsiTheme="majorHAnsi" w:cstheme="majorHAnsi"/>
          <w:lang w:val="en-GB"/>
        </w:rPr>
        <w:t>,</w:t>
      </w:r>
      <w:r w:rsidRPr="00A33AE8">
        <w:rPr>
          <w:rFonts w:asciiTheme="majorHAnsi" w:hAnsiTheme="majorHAnsi" w:cstheme="majorHAnsi"/>
          <w:lang w:val="en-GB"/>
        </w:rPr>
        <w:t xml:space="preserve"> this indicator is very important </w:t>
      </w:r>
      <w:r w:rsidR="00C234F2" w:rsidRPr="00A33AE8">
        <w:rPr>
          <w:rFonts w:asciiTheme="majorHAnsi" w:hAnsiTheme="majorHAnsi" w:cstheme="majorHAnsi"/>
          <w:lang w:val="en-GB"/>
        </w:rPr>
        <w:t>and should be</w:t>
      </w:r>
      <w:r w:rsidRPr="00A33AE8">
        <w:rPr>
          <w:rFonts w:asciiTheme="majorHAnsi" w:hAnsiTheme="majorHAnsi" w:cstheme="majorHAnsi"/>
          <w:lang w:val="en-GB"/>
        </w:rPr>
        <w:t xml:space="preserve"> taken into account. As can be seen </w:t>
      </w:r>
      <w:r w:rsidR="00C234F2" w:rsidRPr="00A33AE8">
        <w:rPr>
          <w:rFonts w:asciiTheme="majorHAnsi" w:hAnsiTheme="majorHAnsi" w:cstheme="majorHAnsi"/>
          <w:lang w:val="en-GB"/>
        </w:rPr>
        <w:t xml:space="preserve">in </w:t>
      </w:r>
      <w:r w:rsidRPr="000007D2">
        <w:rPr>
          <w:lang w:val="en-GB"/>
        </w:rPr>
        <w:fldChar w:fldCharType="begin"/>
      </w:r>
      <w:r w:rsidRPr="000007D2">
        <w:rPr>
          <w:lang w:val="en-GB"/>
        </w:rPr>
        <w:instrText xml:space="preserve"> REF _Ref79764793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1.12</w:t>
      </w:r>
      <w:r w:rsidRPr="000007D2">
        <w:rPr>
          <w:lang w:val="en-GB"/>
        </w:rPr>
        <w:fldChar w:fldCharType="end"/>
      </w:r>
      <w:r w:rsidRPr="00A33AE8">
        <w:rPr>
          <w:rFonts w:asciiTheme="majorHAnsi" w:hAnsiTheme="majorHAnsi" w:cstheme="majorHAnsi"/>
          <w:lang w:val="en-GB"/>
        </w:rPr>
        <w:t xml:space="preserve">, around 10% of </w:t>
      </w:r>
      <w:r w:rsidR="00C234F2" w:rsidRPr="00A33AE8">
        <w:rPr>
          <w:rFonts w:asciiTheme="majorHAnsi" w:hAnsiTheme="majorHAnsi" w:cstheme="majorHAnsi"/>
          <w:lang w:val="en-GB"/>
        </w:rPr>
        <w:t xml:space="preserve">the </w:t>
      </w:r>
      <w:r w:rsidRPr="00A33AE8">
        <w:rPr>
          <w:rFonts w:asciiTheme="majorHAnsi" w:hAnsiTheme="majorHAnsi" w:cstheme="majorHAnsi"/>
          <w:lang w:val="en-GB"/>
        </w:rPr>
        <w:t xml:space="preserve">population in Serbia cannot maintain their houses </w:t>
      </w:r>
      <w:r w:rsidR="00C234F2" w:rsidRPr="00A33AE8">
        <w:rPr>
          <w:rFonts w:asciiTheme="majorHAnsi" w:hAnsiTheme="majorHAnsi" w:cstheme="majorHAnsi"/>
          <w:lang w:val="en-GB"/>
        </w:rPr>
        <w:t xml:space="preserve">warm </w:t>
      </w:r>
      <w:r w:rsidR="00026B21" w:rsidRPr="00A33AE8">
        <w:rPr>
          <w:rFonts w:asciiTheme="majorHAnsi" w:hAnsiTheme="majorHAnsi" w:cstheme="majorHAnsi"/>
          <w:lang w:val="en-GB"/>
        </w:rPr>
        <w:t xml:space="preserve">and this </w:t>
      </w:r>
      <w:r w:rsidRPr="00A33AE8">
        <w:rPr>
          <w:rFonts w:asciiTheme="majorHAnsi" w:hAnsiTheme="majorHAnsi" w:cstheme="majorHAnsi"/>
          <w:lang w:val="en-GB"/>
        </w:rPr>
        <w:t>is the second-best value in comparison to the selected countries. The situation in the EU 27 is a bit better with 6.9%.</w:t>
      </w:r>
    </w:p>
    <w:p w14:paraId="411D43A9" w14:textId="77F32712" w:rsidR="0027710B" w:rsidRPr="00A33AE8" w:rsidRDefault="0027710B" w:rsidP="0027710B">
      <w:pPr>
        <w:pStyle w:val="Caption"/>
        <w:keepNext/>
        <w:jc w:val="center"/>
      </w:pPr>
      <w:bookmarkStart w:id="64" w:name="_Ref79764793"/>
      <w:bookmarkStart w:id="65" w:name="_Toc79772581"/>
      <w:bookmarkStart w:id="66" w:name="_Toc118992266"/>
      <w:bookmarkStart w:id="67" w:name="_Toc154575203"/>
      <w:r w:rsidRPr="00A33AE8">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12</w:t>
      </w:r>
      <w:r w:rsidR="006E0533">
        <w:rPr>
          <w:noProof/>
        </w:rPr>
        <w:fldChar w:fldCharType="end"/>
      </w:r>
      <w:bookmarkEnd w:id="64"/>
      <w:r w:rsidRPr="00A33AE8">
        <w:t>: Population unable to keep home adequately warm for 2019, in % (source: Eurostat)</w:t>
      </w:r>
      <w:r w:rsidRPr="00A33AE8">
        <w:rPr>
          <w:rStyle w:val="FootnoteReference"/>
        </w:rPr>
        <w:footnoteReference w:id="19"/>
      </w:r>
      <w:bookmarkEnd w:id="65"/>
      <w:bookmarkEnd w:id="66"/>
      <w:bookmarkEnd w:id="67"/>
    </w:p>
    <w:p w14:paraId="1AB9776C" w14:textId="77777777" w:rsidR="00FA6545" w:rsidRPr="00A33AE8" w:rsidRDefault="00FA6545" w:rsidP="00FA6545">
      <w:pPr>
        <w:pStyle w:val="LDKbody"/>
        <w:jc w:val="center"/>
        <w:rPr>
          <w:lang w:val="en-GB"/>
        </w:rPr>
      </w:pPr>
      <w:r w:rsidRPr="000007D2">
        <w:rPr>
          <w:noProof/>
          <w:lang w:val="en-US" w:eastAsia="en-US"/>
        </w:rPr>
        <w:drawing>
          <wp:inline distT="0" distB="0" distL="0" distR="0" wp14:anchorId="4A99D3B0" wp14:editId="0A5AD325">
            <wp:extent cx="3584759" cy="251786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20">
                      <a:extLst>
                        <a:ext uri="{28A0092B-C50C-407E-A947-70E740481C1C}">
                          <a14:useLocalDpi xmlns:a14="http://schemas.microsoft.com/office/drawing/2010/main" val="0"/>
                        </a:ext>
                      </a:extLst>
                    </a:blip>
                    <a:stretch>
                      <a:fillRect/>
                    </a:stretch>
                  </pic:blipFill>
                  <pic:spPr>
                    <a:xfrm>
                      <a:off x="0" y="0"/>
                      <a:ext cx="3584759" cy="2517866"/>
                    </a:xfrm>
                    <a:prstGeom prst="rect">
                      <a:avLst/>
                    </a:prstGeom>
                  </pic:spPr>
                </pic:pic>
              </a:graphicData>
            </a:graphic>
          </wp:inline>
        </w:drawing>
      </w:r>
    </w:p>
    <w:p w14:paraId="58273995" w14:textId="77777777" w:rsidR="00FA6545" w:rsidRPr="00A33AE8" w:rsidRDefault="00FA6545" w:rsidP="00FA6545">
      <w:pPr>
        <w:pStyle w:val="LDKbody"/>
        <w:rPr>
          <w:rFonts w:asciiTheme="majorHAnsi" w:hAnsiTheme="majorHAnsi" w:cstheme="majorHAnsi"/>
          <w:b/>
          <w:bCs/>
          <w:lang w:val="en-GB"/>
        </w:rPr>
      </w:pPr>
      <w:r w:rsidRPr="00A33AE8">
        <w:rPr>
          <w:rFonts w:asciiTheme="majorHAnsi" w:hAnsiTheme="majorHAnsi" w:cstheme="majorHAnsi"/>
          <w:b/>
          <w:bCs/>
          <w:lang w:val="en-GB"/>
        </w:rPr>
        <w:t>Research, Innovation and Competitiveness</w:t>
      </w:r>
    </w:p>
    <w:p w14:paraId="73D8F0AD" w14:textId="77777777" w:rsidR="00FA6545" w:rsidRPr="00A33AE8" w:rsidRDefault="00FA6545" w:rsidP="00FA6545">
      <w:pPr>
        <w:pStyle w:val="LDKbody"/>
        <w:rPr>
          <w:rFonts w:asciiTheme="majorHAnsi" w:hAnsiTheme="majorHAnsi" w:cstheme="majorHAnsi"/>
          <w:lang w:val="en-GB"/>
        </w:rPr>
      </w:pPr>
      <w:r w:rsidRPr="00A33AE8">
        <w:rPr>
          <w:rFonts w:asciiTheme="majorHAnsi" w:hAnsiTheme="majorHAnsi" w:cstheme="majorHAnsi"/>
          <w:lang w:val="en-GB"/>
        </w:rPr>
        <w:t xml:space="preserve">In terms of the Research and Development allocation of funds in the gross domestic expenditure, Serbia </w:t>
      </w:r>
      <w:r w:rsidR="00026B21" w:rsidRPr="00A33AE8">
        <w:rPr>
          <w:rFonts w:asciiTheme="majorHAnsi" w:hAnsiTheme="majorHAnsi" w:cstheme="majorHAnsi"/>
          <w:lang w:val="en-GB"/>
        </w:rPr>
        <w:t xml:space="preserve">allocated </w:t>
      </w:r>
      <w:r w:rsidRPr="00A33AE8">
        <w:rPr>
          <w:rFonts w:asciiTheme="majorHAnsi" w:hAnsiTheme="majorHAnsi" w:cstheme="majorHAnsi"/>
          <w:lang w:val="en-GB"/>
        </w:rPr>
        <w:t xml:space="preserve">0.89% in 2019 (see </w:t>
      </w:r>
      <w:r w:rsidRPr="000007D2">
        <w:rPr>
          <w:lang w:val="en-GB"/>
        </w:rPr>
        <w:fldChar w:fldCharType="begin"/>
      </w:r>
      <w:r w:rsidRPr="000007D2">
        <w:rPr>
          <w:lang w:val="en-GB"/>
        </w:rPr>
        <w:instrText xml:space="preserve"> REF _Ref79765493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1.13</w:t>
      </w:r>
      <w:r w:rsidRPr="000007D2">
        <w:rPr>
          <w:lang w:val="en-GB"/>
        </w:rPr>
        <w:fldChar w:fldCharType="end"/>
      </w:r>
      <w:r w:rsidRPr="00A33AE8">
        <w:rPr>
          <w:rFonts w:asciiTheme="majorHAnsi" w:hAnsiTheme="majorHAnsi" w:cstheme="majorHAnsi"/>
          <w:lang w:val="en-GB"/>
        </w:rPr>
        <w:t>)</w:t>
      </w:r>
      <w:r w:rsidR="00026B21" w:rsidRPr="00A33AE8">
        <w:rPr>
          <w:rFonts w:asciiTheme="majorHAnsi" w:hAnsiTheme="majorHAnsi" w:cstheme="majorHAnsi"/>
          <w:lang w:val="en-GB"/>
        </w:rPr>
        <w:t xml:space="preserve">; an allocation which is surpassed only in </w:t>
      </w:r>
      <w:r w:rsidR="003B480C" w:rsidRPr="00A33AE8">
        <w:rPr>
          <w:rFonts w:asciiTheme="majorHAnsi" w:hAnsiTheme="majorHAnsi" w:cstheme="majorHAnsi"/>
          <w:lang w:val="en-GB"/>
        </w:rPr>
        <w:t>Croatia</w:t>
      </w:r>
      <w:r w:rsidRPr="00A33AE8">
        <w:rPr>
          <w:rFonts w:asciiTheme="majorHAnsi" w:hAnsiTheme="majorHAnsi" w:cstheme="majorHAnsi"/>
          <w:lang w:val="en-GB"/>
        </w:rPr>
        <w:t>.</w:t>
      </w:r>
      <w:r w:rsidR="0022195F" w:rsidRPr="00A33AE8">
        <w:rPr>
          <w:rFonts w:asciiTheme="majorHAnsi" w:hAnsiTheme="majorHAnsi" w:cstheme="majorHAnsi"/>
          <w:lang w:val="en-GB"/>
        </w:rPr>
        <w:t xml:space="preserve"> </w:t>
      </w:r>
      <w:r w:rsidRPr="00A33AE8">
        <w:rPr>
          <w:rFonts w:asciiTheme="majorHAnsi" w:hAnsiTheme="majorHAnsi" w:cstheme="majorHAnsi"/>
          <w:lang w:val="en-GB"/>
        </w:rPr>
        <w:t xml:space="preserve">Serbia allocates two times </w:t>
      </w:r>
      <w:r w:rsidR="00873597" w:rsidRPr="00A33AE8">
        <w:rPr>
          <w:rFonts w:asciiTheme="majorHAnsi" w:hAnsiTheme="majorHAnsi" w:cstheme="majorHAnsi"/>
          <w:lang w:val="en-GB"/>
        </w:rPr>
        <w:t xml:space="preserve">less </w:t>
      </w:r>
      <w:r w:rsidRPr="00A33AE8">
        <w:rPr>
          <w:rFonts w:asciiTheme="majorHAnsi" w:hAnsiTheme="majorHAnsi" w:cstheme="majorHAnsi"/>
          <w:lang w:val="en-GB"/>
        </w:rPr>
        <w:t>funds than the EU 27 average</w:t>
      </w:r>
      <w:r w:rsidR="00026B21" w:rsidRPr="00A33AE8">
        <w:rPr>
          <w:rFonts w:asciiTheme="majorHAnsi" w:hAnsiTheme="majorHAnsi" w:cstheme="majorHAnsi"/>
          <w:lang w:val="en-GB"/>
        </w:rPr>
        <w:t>,</w:t>
      </w:r>
      <w:r w:rsidRPr="00A33AE8">
        <w:rPr>
          <w:rFonts w:asciiTheme="majorHAnsi" w:hAnsiTheme="majorHAnsi" w:cstheme="majorHAnsi"/>
          <w:lang w:val="en-GB"/>
        </w:rPr>
        <w:t xml:space="preserve"> which stands at 2.2% for 2019.</w:t>
      </w:r>
    </w:p>
    <w:p w14:paraId="64961E19" w14:textId="5226A940" w:rsidR="00FA6545" w:rsidRPr="00A33AE8" w:rsidRDefault="00FA6545" w:rsidP="00FA6545">
      <w:pPr>
        <w:pStyle w:val="Caption"/>
        <w:keepNext/>
        <w:jc w:val="center"/>
      </w:pPr>
      <w:bookmarkStart w:id="68" w:name="_Ref79765493"/>
      <w:bookmarkStart w:id="69" w:name="_Toc79772582"/>
      <w:bookmarkStart w:id="70" w:name="_Toc118992267"/>
      <w:bookmarkStart w:id="71" w:name="_Toc154575204"/>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13</w:t>
      </w:r>
      <w:r w:rsidR="006E0533">
        <w:rPr>
          <w:noProof/>
        </w:rPr>
        <w:fldChar w:fldCharType="end"/>
      </w:r>
      <w:bookmarkEnd w:id="68"/>
      <w:r w:rsidRPr="00A33AE8">
        <w:t>: Gross domestic expenditure on R&amp;D for 2019, in % (source: Eurostat)</w:t>
      </w:r>
      <w:r w:rsidRPr="00A33AE8">
        <w:rPr>
          <w:rStyle w:val="FootnoteReference"/>
        </w:rPr>
        <w:footnoteReference w:id="20"/>
      </w:r>
      <w:bookmarkEnd w:id="69"/>
      <w:bookmarkEnd w:id="70"/>
      <w:bookmarkEnd w:id="71"/>
    </w:p>
    <w:p w14:paraId="6E0D8BA8" w14:textId="77777777" w:rsidR="002441BA" w:rsidRPr="00A33AE8" w:rsidRDefault="00FA6545" w:rsidP="00697B27">
      <w:pPr>
        <w:pStyle w:val="LDKbody"/>
        <w:jc w:val="center"/>
        <w:rPr>
          <w:lang w:val="en-GB"/>
        </w:rPr>
      </w:pPr>
      <w:r w:rsidRPr="000007D2">
        <w:rPr>
          <w:noProof/>
          <w:lang w:val="en-US" w:eastAsia="en-US"/>
        </w:rPr>
        <w:drawing>
          <wp:inline distT="0" distB="0" distL="0" distR="0" wp14:anchorId="49531295" wp14:editId="12FCC502">
            <wp:extent cx="3584759" cy="251786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21">
                      <a:extLst>
                        <a:ext uri="{28A0092B-C50C-407E-A947-70E740481C1C}">
                          <a14:useLocalDpi xmlns:a14="http://schemas.microsoft.com/office/drawing/2010/main" val="0"/>
                        </a:ext>
                      </a:extLst>
                    </a:blip>
                    <a:stretch>
                      <a:fillRect/>
                    </a:stretch>
                  </pic:blipFill>
                  <pic:spPr>
                    <a:xfrm>
                      <a:off x="0" y="0"/>
                      <a:ext cx="3584759" cy="2517866"/>
                    </a:xfrm>
                    <a:prstGeom prst="rect">
                      <a:avLst/>
                    </a:prstGeom>
                  </pic:spPr>
                </pic:pic>
              </a:graphicData>
            </a:graphic>
          </wp:inline>
        </w:drawing>
      </w:r>
    </w:p>
    <w:p w14:paraId="18B39F6C" w14:textId="77777777" w:rsidR="00AC70D7" w:rsidRPr="00A33AE8" w:rsidRDefault="00AC70D7" w:rsidP="00884F3B">
      <w:pPr>
        <w:pStyle w:val="Heading4"/>
        <w:numPr>
          <w:ilvl w:val="0"/>
          <w:numId w:val="4"/>
        </w:numPr>
      </w:pPr>
      <w:r w:rsidRPr="00A33AE8">
        <w:t>Current energy and climate policies and measures relating to the five dimensions of the Energy Union</w:t>
      </w:r>
    </w:p>
    <w:p w14:paraId="3DF7C195" w14:textId="77777777" w:rsidR="0027710B" w:rsidRPr="00A33AE8" w:rsidRDefault="0027710B" w:rsidP="0027710B">
      <w:pPr>
        <w:pStyle w:val="LDKbody"/>
        <w:rPr>
          <w:rFonts w:asciiTheme="majorHAnsi" w:hAnsiTheme="majorHAnsi" w:cstheme="majorHAnsi"/>
          <w:b/>
          <w:bCs/>
          <w:lang w:val="en-GB"/>
        </w:rPr>
      </w:pPr>
      <w:r w:rsidRPr="00A33AE8">
        <w:rPr>
          <w:rFonts w:asciiTheme="majorHAnsi" w:hAnsiTheme="majorHAnsi" w:cstheme="majorHAnsi"/>
          <w:b/>
          <w:bCs/>
          <w:lang w:val="en-GB"/>
        </w:rPr>
        <w:t>Decarbonisation – GHG Emissions</w:t>
      </w:r>
    </w:p>
    <w:p w14:paraId="64CA58AE" w14:textId="77777777" w:rsidR="00321706" w:rsidRPr="00A33AE8" w:rsidRDefault="004B7D4D" w:rsidP="00606D25">
      <w:pPr>
        <w:spacing w:line="240" w:lineRule="auto"/>
        <w:jc w:val="both"/>
        <w:rPr>
          <w:rFonts w:asciiTheme="majorHAnsi" w:hAnsiTheme="majorHAnsi" w:cstheme="majorHAnsi"/>
          <w:sz w:val="24"/>
          <w:szCs w:val="24"/>
          <w:lang w:eastAsia="en-GB"/>
        </w:rPr>
      </w:pPr>
      <w:r w:rsidRPr="00A33AE8">
        <w:rPr>
          <w:rFonts w:asciiTheme="majorHAnsi" w:hAnsiTheme="majorHAnsi" w:cstheme="majorHAnsi"/>
        </w:rPr>
        <w:t>The decarbonization dimension is articulated in two key axes</w:t>
      </w:r>
      <w:r w:rsidR="008B4F1C" w:rsidRPr="00A33AE8">
        <w:rPr>
          <w:rFonts w:asciiTheme="majorHAnsi" w:hAnsiTheme="majorHAnsi" w:cstheme="majorHAnsi"/>
        </w:rPr>
        <w:t xml:space="preserve">, i.e. </w:t>
      </w:r>
      <w:r w:rsidRPr="00A33AE8">
        <w:rPr>
          <w:rFonts w:asciiTheme="majorHAnsi" w:hAnsiTheme="majorHAnsi" w:cstheme="majorHAnsi"/>
        </w:rPr>
        <w:t xml:space="preserve">reduction of emissions and renewable energy sources. </w:t>
      </w:r>
      <w:r w:rsidR="004632CC" w:rsidRPr="00A33AE8">
        <w:rPr>
          <w:rFonts w:asciiTheme="majorHAnsi" w:hAnsiTheme="majorHAnsi" w:cstheme="majorHAnsi"/>
        </w:rPr>
        <w:t xml:space="preserve">The </w:t>
      </w:r>
      <w:r w:rsidR="0027710B" w:rsidRPr="00A33AE8">
        <w:rPr>
          <w:rFonts w:asciiTheme="majorHAnsi" w:hAnsiTheme="majorHAnsi" w:cstheme="majorHAnsi"/>
          <w:b/>
          <w:bCs/>
        </w:rPr>
        <w:t>Law on Environmental Protection</w:t>
      </w:r>
      <w:r w:rsidR="0027710B" w:rsidRPr="00A33AE8">
        <w:rPr>
          <w:rStyle w:val="FootnoteReference"/>
          <w:rFonts w:asciiTheme="majorHAnsi" w:hAnsiTheme="majorHAnsi" w:cstheme="majorHAnsi"/>
        </w:rPr>
        <w:footnoteReference w:id="21"/>
      </w:r>
      <w:r w:rsidR="004632CC" w:rsidRPr="00A33AE8">
        <w:rPr>
          <w:rFonts w:asciiTheme="majorHAnsi" w:hAnsiTheme="majorHAnsi" w:cstheme="majorHAnsi"/>
        </w:rPr>
        <w:t xml:space="preserve">presents the main legislative basis regarding the environmental issues, </w:t>
      </w:r>
      <w:r w:rsidR="007D1A40" w:rsidRPr="00A33AE8">
        <w:rPr>
          <w:rFonts w:asciiTheme="majorHAnsi" w:hAnsiTheme="majorHAnsi" w:cstheme="majorHAnsi"/>
        </w:rPr>
        <w:t>while the newly adopted</w:t>
      </w:r>
      <w:r w:rsidR="00F352EE" w:rsidRPr="00A33AE8">
        <w:rPr>
          <w:rFonts w:asciiTheme="majorHAnsi" w:hAnsiTheme="majorHAnsi" w:cstheme="majorHAnsi"/>
        </w:rPr>
        <w:t xml:space="preserve"> </w:t>
      </w:r>
      <w:r w:rsidR="004632CC" w:rsidRPr="00A33AE8">
        <w:rPr>
          <w:rFonts w:asciiTheme="majorHAnsi" w:hAnsiTheme="majorHAnsi" w:cstheme="majorHAnsi"/>
          <w:b/>
          <w:bCs/>
        </w:rPr>
        <w:t>Law on Climate Change</w:t>
      </w:r>
      <w:r w:rsidR="004632CC" w:rsidRPr="00A33AE8">
        <w:rPr>
          <w:rStyle w:val="FootnoteReference"/>
          <w:rFonts w:asciiTheme="majorHAnsi" w:hAnsiTheme="majorHAnsi" w:cstheme="majorHAnsi"/>
          <w:b/>
          <w:bCs/>
        </w:rPr>
        <w:footnoteReference w:id="22"/>
      </w:r>
      <w:r w:rsidR="007D1A40" w:rsidRPr="00A33AE8">
        <w:rPr>
          <w:rFonts w:asciiTheme="majorHAnsi" w:hAnsiTheme="majorHAnsi" w:cstheme="majorHAnsi"/>
        </w:rPr>
        <w:t>deals with the climate change issues exclusively</w:t>
      </w:r>
      <w:r w:rsidR="004632CC" w:rsidRPr="00A33AE8">
        <w:rPr>
          <w:rFonts w:asciiTheme="majorHAnsi" w:hAnsiTheme="majorHAnsi" w:cstheme="majorHAnsi"/>
        </w:rPr>
        <w:t xml:space="preserve">. </w:t>
      </w:r>
      <w:r w:rsidR="008B4F1C" w:rsidRPr="00A33AE8">
        <w:rPr>
          <w:rFonts w:asciiTheme="majorHAnsi" w:hAnsiTheme="majorHAnsi" w:cstheme="majorHAnsi"/>
        </w:rPr>
        <w:t xml:space="preserve">Through </w:t>
      </w:r>
      <w:r w:rsidR="00321706" w:rsidRPr="00A33AE8">
        <w:rPr>
          <w:rFonts w:asciiTheme="majorHAnsi" w:hAnsiTheme="majorHAnsi" w:cstheme="majorHAnsi"/>
        </w:rPr>
        <w:t>the implementation of the Law on Climate Change,</w:t>
      </w:r>
      <w:r w:rsidR="00916D20" w:rsidRPr="00A33AE8">
        <w:rPr>
          <w:rFonts w:asciiTheme="majorHAnsi" w:hAnsiTheme="majorHAnsi" w:cstheme="majorHAnsi"/>
        </w:rPr>
        <w:t xml:space="preserve"> that</w:t>
      </w:r>
      <w:r w:rsidR="00F352EE" w:rsidRPr="00A33AE8">
        <w:rPr>
          <w:rFonts w:asciiTheme="majorHAnsi" w:hAnsiTheme="majorHAnsi" w:cstheme="majorHAnsi"/>
        </w:rPr>
        <w:t xml:space="preserve"> </w:t>
      </w:r>
      <w:r w:rsidR="00916D20" w:rsidRPr="00A33AE8">
        <w:rPr>
          <w:rFonts w:asciiTheme="majorHAnsi" w:hAnsiTheme="majorHAnsi" w:cstheme="majorHAnsi"/>
        </w:rPr>
        <w:t xml:space="preserve">applies to </w:t>
      </w:r>
      <w:r w:rsidR="00B87DEF" w:rsidRPr="00A33AE8">
        <w:rPr>
          <w:rFonts w:asciiTheme="majorHAnsi" w:hAnsiTheme="majorHAnsi" w:cstheme="majorHAnsi"/>
        </w:rPr>
        <w:t xml:space="preserve">the emissions of </w:t>
      </w:r>
      <w:r w:rsidR="00916D20" w:rsidRPr="00A33AE8">
        <w:rPr>
          <w:rFonts w:asciiTheme="majorHAnsi" w:hAnsiTheme="majorHAnsi" w:cstheme="majorHAnsi"/>
        </w:rPr>
        <w:t xml:space="preserve">carbon dioxide (CO2), methane (CH4), nitrous oxide (N2O), fluorocarbons (HFCs), perfluorocarbons (PFCs), sulphur hexafluoride (SF6) and nitrogen trifluoride (NF3), </w:t>
      </w:r>
      <w:r w:rsidR="00321706" w:rsidRPr="00A33AE8">
        <w:rPr>
          <w:rFonts w:asciiTheme="majorHAnsi" w:hAnsiTheme="majorHAnsi" w:cstheme="majorHAnsi"/>
        </w:rPr>
        <w:t xml:space="preserve">the Republic of Serbia should establish a system for reducing greenhouse gas emissions and ensure adaptation to changed climate conditions. </w:t>
      </w:r>
      <w:r w:rsidR="003E16C6" w:rsidRPr="00A33AE8">
        <w:rPr>
          <w:rFonts w:asciiTheme="majorHAnsi" w:hAnsiTheme="majorHAnsi" w:cstheme="majorHAnsi"/>
        </w:rPr>
        <w:t>Also, in 2010, the Law on Meteorological and Hydrological Activities</w:t>
      </w:r>
      <w:r w:rsidR="009D53BC" w:rsidRPr="00A33AE8">
        <w:rPr>
          <w:rStyle w:val="FootnoteReference"/>
          <w:rFonts w:asciiTheme="majorHAnsi" w:hAnsiTheme="majorHAnsi" w:cstheme="majorHAnsi"/>
        </w:rPr>
        <w:footnoteReference w:id="23"/>
      </w:r>
      <w:r w:rsidR="009D53BC" w:rsidRPr="00A33AE8">
        <w:rPr>
          <w:rFonts w:asciiTheme="majorHAnsi" w:hAnsiTheme="majorHAnsi" w:cstheme="majorHAnsi"/>
        </w:rPr>
        <w:t xml:space="preserve"> </w:t>
      </w:r>
      <w:r w:rsidR="003E16C6" w:rsidRPr="00A33AE8">
        <w:rPr>
          <w:rFonts w:asciiTheme="majorHAnsi" w:hAnsiTheme="majorHAnsi" w:cstheme="majorHAnsi"/>
        </w:rPr>
        <w:t>was adopted, which regulated the issues of systematic meteorological and hydrological measurements and observations, monitoring and research of the state and changes in weather, climate, water resources and the regime of surface and underground water, solar radiation, energy potential of the sun, wind and water on the territory of the Republic of Serbia, which is of importance for planning the development on the use of hydropower, solar and wind energy as the basic types of RES</w:t>
      </w:r>
    </w:p>
    <w:p w14:paraId="41B8E619" w14:textId="4C1BFE42" w:rsidR="00690087" w:rsidRPr="00A33AE8" w:rsidRDefault="00402E5D" w:rsidP="00C4214B">
      <w:pPr>
        <w:spacing w:after="120" w:line="240" w:lineRule="auto"/>
        <w:jc w:val="both"/>
        <w:rPr>
          <w:rFonts w:asciiTheme="majorHAnsi" w:hAnsiTheme="majorHAnsi" w:cstheme="majorHAnsi"/>
          <w:lang w:bidi="he-IL"/>
        </w:rPr>
      </w:pPr>
      <w:r w:rsidRPr="00A33AE8">
        <w:rPr>
          <w:rFonts w:asciiTheme="majorHAnsi" w:hAnsiTheme="majorHAnsi" w:cstheme="majorHAnsi"/>
        </w:rPr>
        <w:t>Regarding the emissions</w:t>
      </w:r>
      <w:r w:rsidR="00757FD0" w:rsidRPr="00A33AE8">
        <w:rPr>
          <w:rFonts w:asciiTheme="majorHAnsi" w:hAnsiTheme="majorHAnsi" w:cstheme="majorHAnsi"/>
        </w:rPr>
        <w:t xml:space="preserve">, Republic of Serbia adopted </w:t>
      </w:r>
      <w:r w:rsidR="0027710B" w:rsidRPr="00A33AE8">
        <w:rPr>
          <w:rFonts w:asciiTheme="majorHAnsi" w:hAnsiTheme="majorHAnsi" w:cstheme="majorHAnsi"/>
        </w:rPr>
        <w:t xml:space="preserve">the </w:t>
      </w:r>
      <w:r w:rsidR="0027710B" w:rsidRPr="00A33AE8">
        <w:rPr>
          <w:rFonts w:asciiTheme="majorHAnsi" w:hAnsiTheme="majorHAnsi" w:cstheme="majorHAnsi"/>
          <w:b/>
          <w:bCs/>
        </w:rPr>
        <w:t>National Emission Reduction Plan</w:t>
      </w:r>
      <w:r w:rsidR="00757FD0" w:rsidRPr="00A33AE8">
        <w:rPr>
          <w:rFonts w:asciiTheme="majorHAnsi" w:hAnsiTheme="majorHAnsi" w:cstheme="majorHAnsi"/>
        </w:rPr>
        <w:t xml:space="preserve"> in 2020 </w:t>
      </w:r>
      <w:r w:rsidR="00B53A77" w:rsidRPr="00A33AE8">
        <w:rPr>
          <w:rFonts w:asciiTheme="majorHAnsi" w:hAnsiTheme="majorHAnsi" w:cstheme="majorHAnsi"/>
        </w:rPr>
        <w:t xml:space="preserve">as an important step </w:t>
      </w:r>
      <w:r w:rsidR="008B4F1C" w:rsidRPr="00A33AE8">
        <w:rPr>
          <w:rFonts w:asciiTheme="majorHAnsi" w:hAnsiTheme="majorHAnsi" w:cstheme="majorHAnsi"/>
        </w:rPr>
        <w:t xml:space="preserve">towards the emissions </w:t>
      </w:r>
      <w:r w:rsidR="00B53A77" w:rsidRPr="00A33AE8">
        <w:rPr>
          <w:rFonts w:asciiTheme="majorHAnsi" w:hAnsiTheme="majorHAnsi" w:cstheme="majorHAnsi"/>
        </w:rPr>
        <w:t>reduc</w:t>
      </w:r>
      <w:r w:rsidR="008B4F1C" w:rsidRPr="00A33AE8">
        <w:rPr>
          <w:rFonts w:asciiTheme="majorHAnsi" w:hAnsiTheme="majorHAnsi" w:cstheme="majorHAnsi"/>
        </w:rPr>
        <w:t>tion</w:t>
      </w:r>
      <w:r w:rsidR="00B53A77" w:rsidRPr="00A33AE8">
        <w:rPr>
          <w:rFonts w:asciiTheme="majorHAnsi" w:hAnsiTheme="majorHAnsi" w:cstheme="majorHAnsi"/>
        </w:rPr>
        <w:t xml:space="preserve"> from large combustion plants</w:t>
      </w:r>
      <w:r w:rsidR="008B4F1C" w:rsidRPr="00A33AE8">
        <w:rPr>
          <w:rFonts w:asciiTheme="majorHAnsi" w:hAnsiTheme="majorHAnsi" w:cstheme="majorHAnsi"/>
        </w:rPr>
        <w:t xml:space="preserve"> and showed</w:t>
      </w:r>
      <w:r w:rsidR="00F352EE" w:rsidRPr="00A33AE8">
        <w:rPr>
          <w:rFonts w:asciiTheme="majorHAnsi" w:hAnsiTheme="majorHAnsi" w:cstheme="majorHAnsi"/>
        </w:rPr>
        <w:t xml:space="preserve"> </w:t>
      </w:r>
      <w:r w:rsidR="004B7BAD" w:rsidRPr="00A33AE8">
        <w:rPr>
          <w:rFonts w:asciiTheme="majorHAnsi" w:hAnsiTheme="majorHAnsi" w:cstheme="majorHAnsi"/>
        </w:rPr>
        <w:t xml:space="preserve">the </w:t>
      </w:r>
      <w:r w:rsidR="00B53A77" w:rsidRPr="00A33AE8">
        <w:rPr>
          <w:rFonts w:asciiTheme="majorHAnsi" w:hAnsiTheme="majorHAnsi" w:cstheme="majorHAnsi"/>
        </w:rPr>
        <w:t>country</w:t>
      </w:r>
      <w:r w:rsidR="004B7BAD" w:rsidRPr="00A33AE8">
        <w:rPr>
          <w:rFonts w:asciiTheme="majorHAnsi" w:hAnsiTheme="majorHAnsi" w:cstheme="majorHAnsi"/>
        </w:rPr>
        <w:t>’s commitment to be</w:t>
      </w:r>
      <w:r w:rsidR="001C22F4" w:rsidRPr="00A33AE8">
        <w:rPr>
          <w:rFonts w:asciiTheme="majorHAnsi" w:hAnsiTheme="majorHAnsi" w:cstheme="majorHAnsi"/>
        </w:rPr>
        <w:t>come</w:t>
      </w:r>
      <w:r w:rsidR="00F352EE" w:rsidRPr="00A33AE8">
        <w:rPr>
          <w:rFonts w:asciiTheme="majorHAnsi" w:hAnsiTheme="majorHAnsi" w:cstheme="majorHAnsi"/>
        </w:rPr>
        <w:t xml:space="preserve"> </w:t>
      </w:r>
      <w:r w:rsidR="00C80CAD" w:rsidRPr="00A33AE8">
        <w:rPr>
          <w:rFonts w:asciiTheme="majorHAnsi" w:hAnsiTheme="majorHAnsi" w:cstheme="majorHAnsi"/>
        </w:rPr>
        <w:t>harmoniz</w:t>
      </w:r>
      <w:r w:rsidR="004508FB" w:rsidRPr="00A33AE8">
        <w:rPr>
          <w:rFonts w:asciiTheme="majorHAnsi" w:hAnsiTheme="majorHAnsi" w:cstheme="majorHAnsi"/>
        </w:rPr>
        <w:t>ed</w:t>
      </w:r>
      <w:r w:rsidR="00F352EE" w:rsidRPr="00A33AE8">
        <w:rPr>
          <w:rFonts w:asciiTheme="majorHAnsi" w:hAnsiTheme="majorHAnsi" w:cstheme="majorHAnsi"/>
        </w:rPr>
        <w:t xml:space="preserve"> </w:t>
      </w:r>
      <w:r w:rsidR="00B53A77" w:rsidRPr="00A33AE8">
        <w:rPr>
          <w:rFonts w:asciiTheme="majorHAnsi" w:hAnsiTheme="majorHAnsi" w:cstheme="majorHAnsi"/>
        </w:rPr>
        <w:t xml:space="preserve">with </w:t>
      </w:r>
      <w:r w:rsidR="004508FB" w:rsidRPr="00A33AE8">
        <w:rPr>
          <w:rFonts w:asciiTheme="majorHAnsi" w:hAnsiTheme="majorHAnsi" w:cstheme="majorHAnsi"/>
        </w:rPr>
        <w:t>the</w:t>
      </w:r>
      <w:r w:rsidR="00B53A77" w:rsidRPr="00A33AE8">
        <w:rPr>
          <w:rFonts w:asciiTheme="majorHAnsi" w:hAnsiTheme="majorHAnsi" w:cstheme="majorHAnsi"/>
        </w:rPr>
        <w:t xml:space="preserve"> EU </w:t>
      </w:r>
      <w:r w:rsidR="00B53A77" w:rsidRPr="00A33AE8">
        <w:rPr>
          <w:rFonts w:asciiTheme="majorHAnsi" w:hAnsiTheme="majorHAnsi" w:cstheme="majorHAnsi"/>
          <w:i/>
          <w:iCs/>
        </w:rPr>
        <w:t>acquis</w:t>
      </w:r>
      <w:r w:rsidR="00B53A77" w:rsidRPr="00A33AE8">
        <w:rPr>
          <w:rFonts w:asciiTheme="majorHAnsi" w:hAnsiTheme="majorHAnsi" w:cstheme="majorHAnsi"/>
        </w:rPr>
        <w:t xml:space="preserve"> in the areas of climate change, environment and </w:t>
      </w:r>
      <w:r w:rsidR="00D20861" w:rsidRPr="00A33AE8">
        <w:rPr>
          <w:rFonts w:asciiTheme="majorHAnsi" w:hAnsiTheme="majorHAnsi" w:cstheme="majorHAnsi"/>
        </w:rPr>
        <w:t>energy</w:t>
      </w:r>
      <w:r w:rsidR="00B53A77" w:rsidRPr="00A33AE8">
        <w:rPr>
          <w:rFonts w:asciiTheme="majorHAnsi" w:hAnsiTheme="majorHAnsi" w:cstheme="majorHAnsi"/>
        </w:rPr>
        <w:t xml:space="preserve">. </w:t>
      </w:r>
      <w:r w:rsidR="007451EB" w:rsidRPr="00A33AE8">
        <w:rPr>
          <w:rFonts w:asciiTheme="majorHAnsi" w:hAnsiTheme="majorHAnsi" w:cstheme="majorHAnsi"/>
          <w:lang w:bidi="he-IL"/>
        </w:rPr>
        <w:t xml:space="preserve">Furthermore, the </w:t>
      </w:r>
      <w:r w:rsidR="007451EB" w:rsidRPr="00A33AE8">
        <w:rPr>
          <w:rFonts w:asciiTheme="majorHAnsi" w:hAnsiTheme="majorHAnsi" w:cstheme="majorHAnsi"/>
          <w:b/>
          <w:bCs/>
          <w:lang w:bidi="he-IL"/>
        </w:rPr>
        <w:t>Initial National Communication (INC)</w:t>
      </w:r>
      <w:r w:rsidR="007451EB" w:rsidRPr="00A33AE8">
        <w:rPr>
          <w:rFonts w:asciiTheme="majorHAnsi" w:hAnsiTheme="majorHAnsi" w:cstheme="majorHAnsi"/>
          <w:lang w:bidi="he-IL"/>
        </w:rPr>
        <w:t xml:space="preserve"> of the Republic of Serbia, as well as the </w:t>
      </w:r>
      <w:r w:rsidR="007451EB" w:rsidRPr="00A33AE8">
        <w:rPr>
          <w:rFonts w:asciiTheme="majorHAnsi" w:hAnsiTheme="majorHAnsi" w:cstheme="majorHAnsi"/>
          <w:b/>
          <w:bCs/>
          <w:lang w:bidi="he-IL"/>
        </w:rPr>
        <w:t>Second National Communication (SNC)</w:t>
      </w:r>
      <w:r w:rsidR="007451EB" w:rsidRPr="00A33AE8">
        <w:rPr>
          <w:rFonts w:asciiTheme="majorHAnsi" w:hAnsiTheme="majorHAnsi" w:cstheme="majorHAnsi"/>
          <w:lang w:bidi="he-IL"/>
        </w:rPr>
        <w:t xml:space="preserve"> and the </w:t>
      </w:r>
      <w:r w:rsidR="007451EB" w:rsidRPr="00A33AE8">
        <w:rPr>
          <w:rFonts w:asciiTheme="majorHAnsi" w:hAnsiTheme="majorHAnsi" w:cstheme="majorHAnsi"/>
          <w:b/>
          <w:bCs/>
          <w:lang w:bidi="he-IL"/>
        </w:rPr>
        <w:t>First Biennial Update Report (FBUR</w:t>
      </w:r>
      <w:r w:rsidR="00D9721A" w:rsidRPr="00A33AE8">
        <w:rPr>
          <w:rFonts w:asciiTheme="majorHAnsi" w:hAnsiTheme="majorHAnsi" w:cstheme="majorHAnsi"/>
          <w:b/>
          <w:bCs/>
          <w:lang w:bidi="he-IL"/>
        </w:rPr>
        <w:t>),</w:t>
      </w:r>
      <w:r w:rsidR="00D9721A" w:rsidRPr="00A33AE8">
        <w:rPr>
          <w:rFonts w:asciiTheme="majorHAnsi" w:hAnsiTheme="majorHAnsi" w:cstheme="majorHAnsi"/>
          <w:lang w:bidi="he-IL"/>
        </w:rPr>
        <w:t xml:space="preserve"> represent</w:t>
      </w:r>
      <w:r w:rsidR="00D20861" w:rsidRPr="00A33AE8">
        <w:rPr>
          <w:rFonts w:asciiTheme="majorHAnsi" w:hAnsiTheme="majorHAnsi" w:cstheme="majorHAnsi"/>
          <w:lang w:bidi="he-IL"/>
        </w:rPr>
        <w:t xml:space="preserve"> important </w:t>
      </w:r>
      <w:r w:rsidR="00ED63A5" w:rsidRPr="00A33AE8">
        <w:rPr>
          <w:rFonts w:asciiTheme="majorHAnsi" w:hAnsiTheme="majorHAnsi" w:cstheme="majorHAnsi"/>
          <w:lang w:bidi="he-IL"/>
        </w:rPr>
        <w:t>national reporting</w:t>
      </w:r>
      <w:r w:rsidR="00A31661" w:rsidRPr="00A33AE8">
        <w:rPr>
          <w:rFonts w:asciiTheme="majorHAnsi" w:hAnsiTheme="majorHAnsi" w:cstheme="majorHAnsi"/>
          <w:lang w:bidi="he-IL"/>
        </w:rPr>
        <w:t xml:space="preserve"> documents to the UNFCCC </w:t>
      </w:r>
      <w:r w:rsidR="00D20861" w:rsidRPr="00A33AE8">
        <w:rPr>
          <w:rFonts w:asciiTheme="majorHAnsi" w:hAnsiTheme="majorHAnsi" w:cstheme="majorHAnsi"/>
          <w:lang w:bidi="he-IL"/>
        </w:rPr>
        <w:t xml:space="preserve">and </w:t>
      </w:r>
      <w:r w:rsidR="001C22F4" w:rsidRPr="00A33AE8">
        <w:rPr>
          <w:rFonts w:asciiTheme="majorHAnsi" w:hAnsiTheme="majorHAnsi" w:cstheme="majorHAnsi"/>
          <w:lang w:bidi="he-IL"/>
        </w:rPr>
        <w:t xml:space="preserve">a </w:t>
      </w:r>
      <w:r w:rsidR="00D20861" w:rsidRPr="00A33AE8">
        <w:rPr>
          <w:rFonts w:asciiTheme="majorHAnsi" w:hAnsiTheme="majorHAnsi" w:cstheme="majorHAnsi"/>
          <w:lang w:bidi="he-IL"/>
        </w:rPr>
        <w:t xml:space="preserve">basis for future actions, research, and policies in the area of climate change, national capacity building and improvement of knowledge and sustainable development of the country. </w:t>
      </w:r>
      <w:r w:rsidR="008747A0" w:rsidRPr="00A33AE8">
        <w:rPr>
          <w:rFonts w:asciiTheme="majorHAnsi" w:hAnsiTheme="majorHAnsi" w:cstheme="majorHAnsi"/>
          <w:lang w:bidi="he-IL"/>
        </w:rPr>
        <w:t>In order to</w:t>
      </w:r>
      <w:r w:rsidR="005007CE" w:rsidRPr="00A33AE8">
        <w:rPr>
          <w:rFonts w:asciiTheme="majorHAnsi" w:hAnsiTheme="majorHAnsi" w:cstheme="majorHAnsi"/>
          <w:lang w:bidi="he-IL"/>
        </w:rPr>
        <w:t xml:space="preserve"> </w:t>
      </w:r>
      <w:r w:rsidR="005D5BE4" w:rsidRPr="00A33AE8">
        <w:rPr>
          <w:rFonts w:asciiTheme="majorHAnsi" w:hAnsiTheme="majorHAnsi" w:cstheme="majorHAnsi"/>
          <w:lang w:bidi="he-IL"/>
        </w:rPr>
        <w:t>fulfil</w:t>
      </w:r>
      <w:r w:rsidR="008747A0" w:rsidRPr="00A33AE8">
        <w:rPr>
          <w:rFonts w:asciiTheme="majorHAnsi" w:hAnsiTheme="majorHAnsi" w:cstheme="majorHAnsi"/>
          <w:lang w:bidi="he-IL"/>
        </w:rPr>
        <w:t xml:space="preserve"> the </w:t>
      </w:r>
      <w:r w:rsidR="007203B0" w:rsidRPr="00A33AE8">
        <w:rPr>
          <w:rFonts w:asciiTheme="majorHAnsi" w:hAnsiTheme="majorHAnsi" w:cstheme="majorHAnsi"/>
          <w:lang w:bidi="he-IL"/>
        </w:rPr>
        <w:t xml:space="preserve">UNFCCC reporting requirements, Serbia submitted its </w:t>
      </w:r>
      <w:r w:rsidR="007203B0" w:rsidRPr="00A33AE8">
        <w:rPr>
          <w:rFonts w:asciiTheme="majorHAnsi" w:hAnsiTheme="majorHAnsi" w:cstheme="majorHAnsi"/>
          <w:b/>
          <w:bCs/>
          <w:lang w:bidi="he-IL"/>
        </w:rPr>
        <w:t>First National Communication</w:t>
      </w:r>
      <w:r w:rsidR="007451EB" w:rsidRPr="00A33AE8">
        <w:rPr>
          <w:rFonts w:asciiTheme="majorHAnsi" w:hAnsiTheme="majorHAnsi" w:cstheme="majorHAnsi"/>
          <w:b/>
          <w:bCs/>
          <w:lang w:bidi="he-IL"/>
        </w:rPr>
        <w:t xml:space="preserve"> (NC1)</w:t>
      </w:r>
      <w:r w:rsidR="007203B0" w:rsidRPr="00A33AE8">
        <w:rPr>
          <w:rFonts w:asciiTheme="majorHAnsi" w:hAnsiTheme="majorHAnsi" w:cstheme="majorHAnsi"/>
          <w:lang w:bidi="he-IL"/>
        </w:rPr>
        <w:t xml:space="preserve"> in 2010, </w:t>
      </w:r>
      <w:r w:rsidR="007203B0" w:rsidRPr="00A33AE8">
        <w:rPr>
          <w:rFonts w:asciiTheme="majorHAnsi" w:hAnsiTheme="majorHAnsi" w:cstheme="majorHAnsi"/>
          <w:b/>
          <w:bCs/>
          <w:lang w:bidi="he-IL"/>
        </w:rPr>
        <w:t>First Biennial Update Report</w:t>
      </w:r>
      <w:r w:rsidR="007451EB" w:rsidRPr="00A33AE8">
        <w:rPr>
          <w:rFonts w:asciiTheme="majorHAnsi" w:hAnsiTheme="majorHAnsi" w:cstheme="majorHAnsi"/>
          <w:b/>
          <w:bCs/>
          <w:lang w:bidi="he-IL"/>
        </w:rPr>
        <w:t xml:space="preserve"> (BUR1)</w:t>
      </w:r>
      <w:r w:rsidR="007203B0" w:rsidRPr="00A33AE8">
        <w:rPr>
          <w:rFonts w:asciiTheme="majorHAnsi" w:hAnsiTheme="majorHAnsi" w:cstheme="majorHAnsi"/>
          <w:lang w:bidi="he-IL"/>
        </w:rPr>
        <w:t xml:space="preserve"> in 2016 and </w:t>
      </w:r>
      <w:r w:rsidR="007203B0" w:rsidRPr="00A33AE8">
        <w:rPr>
          <w:rFonts w:asciiTheme="majorHAnsi" w:hAnsiTheme="majorHAnsi" w:cstheme="majorHAnsi"/>
          <w:b/>
          <w:bCs/>
          <w:lang w:bidi="he-IL"/>
        </w:rPr>
        <w:t xml:space="preserve">Second National </w:t>
      </w:r>
      <w:r w:rsidR="00D9721A" w:rsidRPr="00A33AE8">
        <w:rPr>
          <w:rFonts w:asciiTheme="majorHAnsi" w:hAnsiTheme="majorHAnsi" w:cstheme="majorHAnsi"/>
          <w:b/>
          <w:bCs/>
          <w:lang w:bidi="he-IL"/>
        </w:rPr>
        <w:lastRenderedPageBreak/>
        <w:t>Communication (</w:t>
      </w:r>
      <w:r w:rsidR="007451EB" w:rsidRPr="00A33AE8">
        <w:rPr>
          <w:rFonts w:asciiTheme="majorHAnsi" w:hAnsiTheme="majorHAnsi" w:cstheme="majorHAnsi"/>
          <w:b/>
          <w:bCs/>
          <w:lang w:bidi="he-IL"/>
        </w:rPr>
        <w:t xml:space="preserve">NC2) </w:t>
      </w:r>
      <w:r w:rsidR="007203B0" w:rsidRPr="00A33AE8">
        <w:rPr>
          <w:rFonts w:asciiTheme="majorHAnsi" w:hAnsiTheme="majorHAnsi" w:cstheme="majorHAnsi"/>
          <w:lang w:bidi="he-IL"/>
        </w:rPr>
        <w:t xml:space="preserve">in 2017. </w:t>
      </w:r>
      <w:r w:rsidR="00B02A35" w:rsidRPr="00A33AE8">
        <w:rPr>
          <w:rFonts w:asciiTheme="majorHAnsi" w:hAnsiTheme="majorHAnsi" w:cstheme="majorHAnsi"/>
          <w:lang w:bidi="he-IL"/>
        </w:rPr>
        <w:t xml:space="preserve">The preparation of the Second Biennial Update Report (BUR2) and Third National Communication (NC3) are currently </w:t>
      </w:r>
      <w:r w:rsidR="001C22F4" w:rsidRPr="00A33AE8">
        <w:rPr>
          <w:rFonts w:asciiTheme="majorHAnsi" w:hAnsiTheme="majorHAnsi" w:cstheme="majorHAnsi"/>
          <w:lang w:bidi="he-IL"/>
        </w:rPr>
        <w:t>ongoing</w:t>
      </w:r>
      <w:r w:rsidR="00B02A35" w:rsidRPr="00A33AE8">
        <w:rPr>
          <w:rFonts w:asciiTheme="majorHAnsi" w:hAnsiTheme="majorHAnsi" w:cstheme="majorHAnsi"/>
          <w:lang w:bidi="he-IL"/>
        </w:rPr>
        <w:t>.</w:t>
      </w:r>
    </w:p>
    <w:p w14:paraId="6D603395" w14:textId="77777777" w:rsidR="00690087" w:rsidRPr="00A33AE8" w:rsidRDefault="00690087" w:rsidP="00823286">
      <w:pPr>
        <w:spacing w:after="120" w:line="240" w:lineRule="auto"/>
        <w:jc w:val="both"/>
        <w:rPr>
          <w:rFonts w:asciiTheme="majorHAnsi" w:hAnsiTheme="majorHAnsi" w:cstheme="majorHAnsi"/>
          <w:lang w:bidi="he-IL"/>
        </w:rPr>
      </w:pPr>
      <w:r w:rsidRPr="00A33AE8">
        <w:rPr>
          <w:rFonts w:asciiTheme="majorHAnsi" w:hAnsiTheme="majorHAnsi" w:cstheme="majorHAnsi"/>
          <w:lang w:bidi="he-IL"/>
        </w:rPr>
        <w:t>The Republic of Serbia ratified the Paris Agreement in 2017. First National Determined Contribution was submitted in 2015, while Second National Determined Contribution (NDC) was submitted in August 2022, presenting higher ambitious and defining the intended reduction of emissions for 33.3% by 2030 compared to 1990</w:t>
      </w:r>
      <w:r w:rsidR="006B1F18" w:rsidRPr="00A33AE8">
        <w:rPr>
          <w:rFonts w:asciiTheme="majorHAnsi" w:hAnsiTheme="majorHAnsi" w:cstheme="majorHAnsi"/>
          <w:lang w:bidi="he-IL"/>
        </w:rPr>
        <w:t xml:space="preserve"> (without LULUCF)</w:t>
      </w:r>
      <w:r w:rsidRPr="00A33AE8">
        <w:rPr>
          <w:rFonts w:asciiTheme="majorHAnsi" w:hAnsiTheme="majorHAnsi" w:cstheme="majorHAnsi"/>
          <w:lang w:bidi="he-IL"/>
        </w:rPr>
        <w:t>.</w:t>
      </w:r>
    </w:p>
    <w:p w14:paraId="1EA7C78D" w14:textId="68F5F846" w:rsidR="00B53A77" w:rsidRPr="00A33AE8" w:rsidRDefault="00432180" w:rsidP="00B53A77">
      <w:pPr>
        <w:pStyle w:val="LDKbody"/>
        <w:rPr>
          <w:rFonts w:asciiTheme="majorHAnsi" w:hAnsiTheme="majorHAnsi" w:cstheme="majorHAnsi"/>
          <w:lang w:val="en-GB"/>
        </w:rPr>
      </w:pPr>
      <w:r w:rsidRPr="00A33AE8">
        <w:rPr>
          <w:rFonts w:asciiTheme="majorHAnsi" w:hAnsiTheme="majorHAnsi" w:cstheme="majorHAnsi"/>
          <w:lang w:val="en-GB"/>
        </w:rPr>
        <w:t xml:space="preserve">In </w:t>
      </w:r>
      <w:r w:rsidR="009D169D" w:rsidRPr="00A33AE8">
        <w:rPr>
          <w:rFonts w:asciiTheme="majorHAnsi" w:hAnsiTheme="majorHAnsi" w:cstheme="majorHAnsi"/>
          <w:lang w:val="en-GB"/>
        </w:rPr>
        <w:t>2020</w:t>
      </w:r>
      <w:r w:rsidR="00B53A77" w:rsidRPr="00A33AE8">
        <w:rPr>
          <w:rFonts w:asciiTheme="majorHAnsi" w:hAnsiTheme="majorHAnsi" w:cstheme="majorHAnsi"/>
          <w:lang w:val="en-GB"/>
        </w:rPr>
        <w:t xml:space="preserve">, </w:t>
      </w:r>
      <w:r w:rsidR="00B53A77" w:rsidRPr="00A33AE8">
        <w:rPr>
          <w:rFonts w:asciiTheme="majorHAnsi" w:hAnsiTheme="majorHAnsi" w:cstheme="majorHAnsi"/>
          <w:b/>
          <w:bCs/>
          <w:lang w:val="en-GB"/>
        </w:rPr>
        <w:t xml:space="preserve">Industrial Policy </w:t>
      </w:r>
      <w:r w:rsidR="00D9721A" w:rsidRPr="00A33AE8">
        <w:rPr>
          <w:rFonts w:asciiTheme="majorHAnsi" w:hAnsiTheme="majorHAnsi" w:cstheme="majorHAnsi"/>
          <w:b/>
          <w:bCs/>
          <w:lang w:val="en-GB"/>
        </w:rPr>
        <w:t>Strategy of</w:t>
      </w:r>
      <w:r w:rsidR="0017654C" w:rsidRPr="00A33AE8">
        <w:rPr>
          <w:rFonts w:asciiTheme="majorHAnsi" w:hAnsiTheme="majorHAnsi" w:cstheme="majorHAnsi"/>
          <w:b/>
          <w:bCs/>
          <w:lang w:val="en-GB"/>
        </w:rPr>
        <w:t xml:space="preserve"> the Republic of Serbia </w:t>
      </w:r>
      <w:r w:rsidR="00B53A77" w:rsidRPr="00A33AE8">
        <w:rPr>
          <w:rFonts w:asciiTheme="majorHAnsi" w:hAnsiTheme="majorHAnsi" w:cstheme="majorHAnsi"/>
          <w:b/>
          <w:bCs/>
          <w:lang w:val="en-GB"/>
        </w:rPr>
        <w:t>from 2021 to 2030</w:t>
      </w:r>
      <w:r w:rsidR="00B53A77" w:rsidRPr="00A33AE8">
        <w:rPr>
          <w:rStyle w:val="FootnoteReference"/>
          <w:rFonts w:asciiTheme="majorHAnsi" w:eastAsiaTheme="majorEastAsia" w:hAnsiTheme="majorHAnsi" w:cstheme="majorHAnsi"/>
        </w:rPr>
        <w:footnoteReference w:id="24"/>
      </w:r>
      <w:r w:rsidR="009D169D" w:rsidRPr="00A33AE8">
        <w:rPr>
          <w:rFonts w:asciiTheme="majorHAnsi" w:hAnsiTheme="majorHAnsi" w:cstheme="majorHAnsi"/>
          <w:b/>
          <w:bCs/>
          <w:lang w:val="en-GB"/>
        </w:rPr>
        <w:t xml:space="preserve"> </w:t>
      </w:r>
      <w:r w:rsidR="001C22F4" w:rsidRPr="00A33AE8">
        <w:rPr>
          <w:rFonts w:asciiTheme="majorHAnsi" w:hAnsiTheme="majorHAnsi" w:cstheme="majorHAnsi"/>
          <w:lang w:val="en-GB"/>
        </w:rPr>
        <w:t>was</w:t>
      </w:r>
      <w:r w:rsidR="0017654C" w:rsidRPr="00A33AE8">
        <w:rPr>
          <w:rFonts w:asciiTheme="majorHAnsi" w:hAnsiTheme="majorHAnsi" w:cstheme="majorHAnsi"/>
          <w:lang w:val="en-GB"/>
        </w:rPr>
        <w:t xml:space="preserve"> adopted</w:t>
      </w:r>
      <w:r w:rsidRPr="00A33AE8">
        <w:rPr>
          <w:rFonts w:asciiTheme="majorHAnsi" w:hAnsiTheme="majorHAnsi" w:cstheme="majorHAnsi"/>
          <w:lang w:val="en-GB"/>
        </w:rPr>
        <w:t xml:space="preserve">, </w:t>
      </w:r>
      <w:r w:rsidR="005D5BE4" w:rsidRPr="00A33AE8">
        <w:rPr>
          <w:rFonts w:asciiTheme="majorHAnsi" w:hAnsiTheme="majorHAnsi" w:cstheme="majorHAnsi"/>
          <w:lang w:val="en-GB"/>
        </w:rPr>
        <w:t>containing</w:t>
      </w:r>
      <w:r w:rsidRPr="00A33AE8">
        <w:rPr>
          <w:rFonts w:asciiTheme="majorHAnsi" w:hAnsiTheme="majorHAnsi" w:cstheme="majorHAnsi"/>
          <w:lang w:val="en-GB"/>
        </w:rPr>
        <w:t xml:space="preserve"> a</w:t>
      </w:r>
      <w:r w:rsidR="00B53A77" w:rsidRPr="00A33AE8">
        <w:rPr>
          <w:rFonts w:asciiTheme="majorHAnsi" w:hAnsiTheme="majorHAnsi" w:cstheme="majorHAnsi"/>
          <w:lang w:val="en-GB"/>
        </w:rPr>
        <w:t xml:space="preserve"> comprehensive reform </w:t>
      </w:r>
      <w:r w:rsidR="00B23DF3" w:rsidRPr="00A33AE8">
        <w:rPr>
          <w:rFonts w:asciiTheme="majorHAnsi" w:hAnsiTheme="majorHAnsi" w:cstheme="majorHAnsi"/>
          <w:lang w:val="en-GB"/>
        </w:rPr>
        <w:t>step</w:t>
      </w:r>
      <w:r w:rsidR="00B53A77" w:rsidRPr="00A33AE8">
        <w:rPr>
          <w:rFonts w:asciiTheme="majorHAnsi" w:hAnsiTheme="majorHAnsi" w:cstheme="majorHAnsi"/>
          <w:lang w:val="en-GB"/>
        </w:rPr>
        <w:t xml:space="preserve"> in the area of industrial development</w:t>
      </w:r>
      <w:r w:rsidR="001C22F4" w:rsidRPr="00A33AE8">
        <w:rPr>
          <w:rFonts w:asciiTheme="majorHAnsi" w:hAnsiTheme="majorHAnsi" w:cstheme="majorHAnsi"/>
          <w:lang w:val="en-GB"/>
        </w:rPr>
        <w:t>, which is one of the six key areas</w:t>
      </w:r>
      <w:r w:rsidR="00B53A77" w:rsidRPr="00A33AE8">
        <w:rPr>
          <w:rFonts w:asciiTheme="majorHAnsi" w:hAnsiTheme="majorHAnsi" w:cstheme="majorHAnsi"/>
          <w:lang w:val="en-GB"/>
        </w:rPr>
        <w:t xml:space="preserve"> identified in the EU industrial development area.</w:t>
      </w:r>
    </w:p>
    <w:p w14:paraId="259F3FC5" w14:textId="77777777" w:rsidR="00156F51" w:rsidRDefault="00B53A77" w:rsidP="00F26FA8">
      <w:pPr>
        <w:pStyle w:val="LDKbody"/>
        <w:rPr>
          <w:rFonts w:asciiTheme="majorHAnsi" w:hAnsiTheme="majorHAnsi" w:cstheme="majorHAnsi"/>
          <w:lang w:val="en-GB"/>
        </w:rPr>
      </w:pPr>
      <w:r w:rsidRPr="00A33AE8">
        <w:rPr>
          <w:rFonts w:asciiTheme="majorHAnsi" w:hAnsiTheme="majorHAnsi" w:cstheme="majorHAnsi"/>
          <w:lang w:val="en-GB"/>
        </w:rPr>
        <w:t xml:space="preserve">Another important </w:t>
      </w:r>
      <w:r w:rsidR="00D63A31" w:rsidRPr="00A33AE8">
        <w:rPr>
          <w:rFonts w:asciiTheme="majorHAnsi" w:hAnsiTheme="majorHAnsi" w:cstheme="majorHAnsi"/>
          <w:lang w:val="en-GB"/>
        </w:rPr>
        <w:t xml:space="preserve">document </w:t>
      </w:r>
      <w:r w:rsidRPr="00A33AE8">
        <w:rPr>
          <w:rFonts w:asciiTheme="majorHAnsi" w:hAnsiTheme="majorHAnsi" w:cstheme="majorHAnsi"/>
          <w:lang w:val="en-GB"/>
        </w:rPr>
        <w:t xml:space="preserve">is the </w:t>
      </w:r>
      <w:r w:rsidRPr="00A33AE8">
        <w:rPr>
          <w:rFonts w:asciiTheme="majorHAnsi" w:hAnsiTheme="majorHAnsi" w:cstheme="majorHAnsi"/>
          <w:b/>
          <w:bCs/>
          <w:lang w:val="en-GB"/>
        </w:rPr>
        <w:t>Strategy for Cleaner Production in the Republic of Serbia</w:t>
      </w:r>
      <w:r w:rsidR="0063344C" w:rsidRPr="00A33AE8">
        <w:rPr>
          <w:rStyle w:val="FootnoteReference"/>
          <w:rFonts w:asciiTheme="majorHAnsi" w:hAnsiTheme="majorHAnsi" w:cstheme="majorHAnsi"/>
          <w:b/>
          <w:bCs/>
        </w:rPr>
        <w:footnoteReference w:id="25"/>
      </w:r>
      <w:r w:rsidR="001C22F4" w:rsidRPr="00A33AE8">
        <w:rPr>
          <w:rFonts w:asciiTheme="majorHAnsi" w:hAnsiTheme="majorHAnsi" w:cstheme="majorHAnsi"/>
          <w:b/>
          <w:bCs/>
          <w:lang w:val="en-GB"/>
        </w:rPr>
        <w:t>,</w:t>
      </w:r>
      <w:r w:rsidRPr="00A33AE8">
        <w:rPr>
          <w:rFonts w:asciiTheme="majorHAnsi" w:hAnsiTheme="majorHAnsi" w:cstheme="majorHAnsi"/>
          <w:lang w:val="en-GB"/>
        </w:rPr>
        <w:t xml:space="preserve"> which elaborates a concept of sustainable development through encouraging the implementation of cleaner production, increasing energy efficiency and efficiency of natural resources use, as well as through reducing the amount of waste generation.</w:t>
      </w:r>
    </w:p>
    <w:p w14:paraId="695E3058" w14:textId="77777777" w:rsidR="00A2350D" w:rsidRDefault="009674C8" w:rsidP="00F26FA8">
      <w:pPr>
        <w:pStyle w:val="LDKbody"/>
        <w:rPr>
          <w:rFonts w:asciiTheme="majorHAnsi" w:hAnsiTheme="majorHAnsi" w:cstheme="majorHAnsi"/>
          <w:lang w:val="en-GB"/>
        </w:rPr>
      </w:pPr>
      <w:r>
        <w:rPr>
          <w:rFonts w:asciiTheme="majorHAnsi" w:hAnsiTheme="majorHAnsi" w:cstheme="majorHAnsi"/>
          <w:lang w:val="en-GB"/>
        </w:rPr>
        <w:t xml:space="preserve">In September 2015 </w:t>
      </w:r>
      <w:r w:rsidRPr="009674C8">
        <w:rPr>
          <w:rFonts w:asciiTheme="majorHAnsi" w:hAnsiTheme="majorHAnsi" w:cstheme="majorHAnsi"/>
          <w:lang w:val="en-GB"/>
        </w:rPr>
        <w:t xml:space="preserve">United Nations General Assembly adopted Resolution A/RES/70/1 </w:t>
      </w:r>
      <w:r>
        <w:rPr>
          <w:rFonts w:asciiTheme="majorHAnsi" w:hAnsiTheme="majorHAnsi" w:cstheme="majorHAnsi"/>
          <w:lang w:val="en-GB"/>
        </w:rPr>
        <w:t>–</w:t>
      </w:r>
      <w:r w:rsidRPr="009674C8">
        <w:rPr>
          <w:rFonts w:asciiTheme="majorHAnsi" w:hAnsiTheme="majorHAnsi" w:cstheme="majorHAnsi"/>
          <w:lang w:val="en-GB"/>
        </w:rPr>
        <w:t xml:space="preserve"> Transforming our world: </w:t>
      </w:r>
      <w:r w:rsidRPr="005B2C66">
        <w:rPr>
          <w:rFonts w:asciiTheme="majorHAnsi" w:hAnsiTheme="majorHAnsi" w:cstheme="majorHAnsi"/>
          <w:b/>
          <w:bCs/>
          <w:lang w:val="en-GB"/>
        </w:rPr>
        <w:t>the 2030 Agenda for Sustainable Development</w:t>
      </w:r>
      <w:r>
        <w:rPr>
          <w:rFonts w:asciiTheme="majorHAnsi" w:hAnsiTheme="majorHAnsi" w:cstheme="majorHAnsi"/>
          <w:lang w:val="en-GB"/>
        </w:rPr>
        <w:t xml:space="preserve">. Three dimensions of the </w:t>
      </w:r>
      <w:r w:rsidR="00CB2071" w:rsidRPr="00CB2071">
        <w:rPr>
          <w:rFonts w:asciiTheme="majorHAnsi" w:hAnsiTheme="majorHAnsi" w:cstheme="majorHAnsi"/>
          <w:lang w:val="en-GB"/>
        </w:rPr>
        <w:t xml:space="preserve">2030 </w:t>
      </w:r>
      <w:r>
        <w:rPr>
          <w:rFonts w:asciiTheme="majorHAnsi" w:hAnsiTheme="majorHAnsi" w:cstheme="majorHAnsi"/>
          <w:lang w:val="en-GB"/>
        </w:rPr>
        <w:t xml:space="preserve">Agenda are </w:t>
      </w:r>
      <w:r w:rsidRPr="009674C8">
        <w:rPr>
          <w:rFonts w:asciiTheme="majorHAnsi" w:hAnsiTheme="majorHAnsi" w:cstheme="majorHAnsi"/>
          <w:lang w:val="en-GB"/>
        </w:rPr>
        <w:t>economic growth, social inclusion</w:t>
      </w:r>
      <w:r>
        <w:rPr>
          <w:rFonts w:asciiTheme="majorHAnsi" w:hAnsiTheme="majorHAnsi" w:cstheme="majorHAnsi"/>
          <w:lang w:val="en-GB"/>
        </w:rPr>
        <w:t>,</w:t>
      </w:r>
      <w:r w:rsidRPr="009674C8">
        <w:rPr>
          <w:rFonts w:asciiTheme="majorHAnsi" w:hAnsiTheme="majorHAnsi" w:cstheme="majorHAnsi"/>
          <w:lang w:val="en-GB"/>
        </w:rPr>
        <w:t xml:space="preserve"> and environmental protection</w:t>
      </w:r>
      <w:r>
        <w:rPr>
          <w:rFonts w:asciiTheme="majorHAnsi" w:hAnsiTheme="majorHAnsi" w:cstheme="majorHAnsi"/>
          <w:lang w:val="en-GB"/>
        </w:rPr>
        <w:t xml:space="preserve">. It contains 17 </w:t>
      </w:r>
      <w:r w:rsidRPr="009674C8">
        <w:rPr>
          <w:rFonts w:asciiTheme="majorHAnsi" w:hAnsiTheme="majorHAnsi" w:cstheme="majorHAnsi"/>
          <w:lang w:val="en-GB"/>
        </w:rPr>
        <w:t>Sustainable Development Goals (SDGs)</w:t>
      </w:r>
      <w:r>
        <w:rPr>
          <w:rFonts w:asciiTheme="majorHAnsi" w:hAnsiTheme="majorHAnsi" w:cstheme="majorHAnsi"/>
          <w:lang w:val="en-GB"/>
        </w:rPr>
        <w:t xml:space="preserve"> which came into effect in January 2016, among which some of them are affordable and clean energy, decent work and economic growth, sustainable cities and communities, climate action and others. </w:t>
      </w:r>
      <w:r w:rsidR="007F45F6">
        <w:rPr>
          <w:rFonts w:asciiTheme="majorHAnsi" w:hAnsiTheme="majorHAnsi" w:cstheme="majorHAnsi"/>
          <w:lang w:val="en-GB"/>
        </w:rPr>
        <w:t>In December 2015 i</w:t>
      </w:r>
      <w:r w:rsidR="007F45F6" w:rsidRPr="007F45F6">
        <w:rPr>
          <w:rFonts w:asciiTheme="majorHAnsi" w:hAnsiTheme="majorHAnsi" w:cstheme="majorHAnsi"/>
          <w:lang w:val="en-GB"/>
        </w:rPr>
        <w:t xml:space="preserve">nter-Ministerial Working Group for the </w:t>
      </w:r>
      <w:r w:rsidR="007F45F6">
        <w:rPr>
          <w:rFonts w:asciiTheme="majorHAnsi" w:hAnsiTheme="majorHAnsi" w:cstheme="majorHAnsi"/>
          <w:lang w:val="en-GB"/>
        </w:rPr>
        <w:t>i</w:t>
      </w:r>
      <w:r w:rsidR="007F45F6" w:rsidRPr="007F45F6">
        <w:rPr>
          <w:rFonts w:asciiTheme="majorHAnsi" w:hAnsiTheme="majorHAnsi" w:cstheme="majorHAnsi"/>
          <w:lang w:val="en-GB"/>
        </w:rPr>
        <w:t>mplementation of the 2030 Agenda for Sustainable Development was established</w:t>
      </w:r>
      <w:r w:rsidR="007F45F6">
        <w:rPr>
          <w:rFonts w:asciiTheme="majorHAnsi" w:hAnsiTheme="majorHAnsi" w:cstheme="majorHAnsi"/>
          <w:lang w:val="en-GB"/>
        </w:rPr>
        <w:t xml:space="preserve"> with the task of coordinating the work of all Ministries and State institutions. National Strategic Framework was mapped against </w:t>
      </w:r>
      <w:r w:rsidR="00533104">
        <w:rPr>
          <w:rFonts w:asciiTheme="majorHAnsi" w:hAnsiTheme="majorHAnsi" w:cstheme="majorHAnsi"/>
          <w:lang w:val="en-GB"/>
        </w:rPr>
        <w:t>SDG</w:t>
      </w:r>
      <w:r w:rsidR="007F45F6" w:rsidRPr="007F45F6">
        <w:rPr>
          <w:rFonts w:asciiTheme="majorHAnsi" w:hAnsiTheme="majorHAnsi" w:cstheme="majorHAnsi"/>
          <w:lang w:val="en-GB"/>
        </w:rPr>
        <w:t>s</w:t>
      </w:r>
      <w:r w:rsidR="00533104">
        <w:rPr>
          <w:rFonts w:asciiTheme="majorHAnsi" w:hAnsiTheme="majorHAnsi" w:cstheme="majorHAnsi"/>
          <w:lang w:val="en-GB"/>
        </w:rPr>
        <w:t xml:space="preserve"> in </w:t>
      </w:r>
      <w:r w:rsidR="00533104" w:rsidRPr="005B2C66">
        <w:rPr>
          <w:rFonts w:asciiTheme="majorHAnsi" w:hAnsiTheme="majorHAnsi" w:cstheme="majorHAnsi"/>
          <w:i/>
          <w:iCs/>
          <w:lang w:val="en-GB"/>
        </w:rPr>
        <w:t>Serbia and the 2030 Agenda</w:t>
      </w:r>
      <w:r w:rsidR="00533104" w:rsidRPr="00533104">
        <w:rPr>
          <w:rFonts w:asciiTheme="majorHAnsi" w:hAnsiTheme="majorHAnsi" w:cstheme="majorHAnsi"/>
          <w:lang w:val="en-GB"/>
        </w:rPr>
        <w:t xml:space="preserve"> document</w:t>
      </w:r>
      <w:r w:rsidR="00CB2071">
        <w:rPr>
          <w:rFonts w:asciiTheme="majorHAnsi" w:hAnsiTheme="majorHAnsi" w:cstheme="majorHAnsi"/>
          <w:lang w:val="en-GB"/>
        </w:rPr>
        <w:t>, while p</w:t>
      </w:r>
      <w:r w:rsidR="00533104">
        <w:rPr>
          <w:rFonts w:asciiTheme="majorHAnsi" w:hAnsiTheme="majorHAnsi" w:cstheme="majorHAnsi"/>
          <w:lang w:val="en-GB"/>
        </w:rPr>
        <w:t xml:space="preserve">rogress on the </w:t>
      </w:r>
      <w:r w:rsidR="00533104" w:rsidRPr="00533104">
        <w:rPr>
          <w:rFonts w:asciiTheme="majorHAnsi" w:hAnsiTheme="majorHAnsi" w:cstheme="majorHAnsi"/>
          <w:lang w:val="en-GB"/>
        </w:rPr>
        <w:t>SDGs</w:t>
      </w:r>
      <w:r w:rsidR="00533104">
        <w:rPr>
          <w:rFonts w:asciiTheme="majorHAnsi" w:hAnsiTheme="majorHAnsi" w:cstheme="majorHAnsi"/>
          <w:lang w:val="en-GB"/>
        </w:rPr>
        <w:t xml:space="preserve"> is measured by relevant national indicators that are produced and collected by Statistical Office of the Republic of Serbia.</w:t>
      </w:r>
    </w:p>
    <w:p w14:paraId="5D71A09F" w14:textId="77777777" w:rsidR="00A2350D" w:rsidRPr="000007D2" w:rsidRDefault="00A2350D" w:rsidP="00F26FA8">
      <w:pPr>
        <w:pStyle w:val="LDKbody"/>
        <w:rPr>
          <w:rFonts w:asciiTheme="majorHAnsi" w:hAnsiTheme="majorHAnsi" w:cstheme="majorHAnsi"/>
          <w:lang w:val="en-GB"/>
        </w:rPr>
      </w:pPr>
      <w:r w:rsidRPr="00A2350D">
        <w:rPr>
          <w:rFonts w:asciiTheme="majorHAnsi" w:hAnsiTheme="majorHAnsi" w:cstheme="majorHAnsi"/>
          <w:lang w:val="en-GB"/>
        </w:rPr>
        <w:t>At COP 26 in November 2021 in Glasgow, Serbia joined Global Methane Pledge. Participants of the Pledge agreed to take actions to contribute collectively to reducing global anthropogenic methane emissions across all sectors by at least 30% below 2020 levels by 2030, while recognizing Paris agreement goal of limiting warming to 1.5°C. Participants committed to take domestic actions for reducing emissions from energy, waste and agricultural sectors, through standards improvement, technological innovation and incentives and partnerships with farmers. Serbia still has to transpose this commitment in the national legislation.</w:t>
      </w:r>
    </w:p>
    <w:p w14:paraId="6B2BC8E1" w14:textId="776225CE" w:rsidR="007705FA" w:rsidRPr="00A33AE8" w:rsidRDefault="007705FA" w:rsidP="00F26FA8">
      <w:pPr>
        <w:pStyle w:val="LDKbody"/>
        <w:rPr>
          <w:rFonts w:asciiTheme="majorHAnsi" w:hAnsiTheme="majorHAnsi" w:cstheme="majorHAnsi"/>
          <w:lang w:val="en-GB"/>
        </w:rPr>
      </w:pPr>
      <w:r w:rsidRPr="000007D2">
        <w:rPr>
          <w:rFonts w:asciiTheme="majorHAnsi" w:hAnsiTheme="majorHAnsi" w:cstheme="majorHAnsi"/>
          <w:lang w:val="en-GB"/>
        </w:rPr>
        <w:t>In October 2022, the Joint Declaration of Intent on the “Strategic Cooperation on Climate Action” was signed between the Ministry of European Integration of the Republic of Serbia and the Federal Ministry for Economic Cooperation and Development of the Federal Republic of Germany</w:t>
      </w:r>
      <w:r w:rsidR="004448B4">
        <w:rPr>
          <w:rFonts w:asciiTheme="majorHAnsi" w:hAnsiTheme="majorHAnsi" w:cstheme="majorHAnsi"/>
          <w:lang w:val="en-GB"/>
        </w:rPr>
        <w:t>.</w:t>
      </w:r>
      <w:r w:rsidRPr="000007D2">
        <w:rPr>
          <w:rFonts w:asciiTheme="majorHAnsi" w:hAnsiTheme="majorHAnsi" w:cstheme="majorHAnsi"/>
          <w:lang w:val="en-GB"/>
        </w:rPr>
        <w:t xml:space="preserve"> </w:t>
      </w:r>
      <w:r w:rsidR="004448B4">
        <w:rPr>
          <w:rFonts w:asciiTheme="majorHAnsi" w:hAnsiTheme="majorHAnsi" w:cstheme="majorHAnsi"/>
          <w:lang w:val="en-GB"/>
        </w:rPr>
        <w:t>The</w:t>
      </w:r>
      <w:r w:rsidRPr="000007D2">
        <w:rPr>
          <w:rFonts w:asciiTheme="majorHAnsi" w:hAnsiTheme="majorHAnsi" w:cstheme="majorHAnsi"/>
          <w:lang w:val="en-GB"/>
        </w:rPr>
        <w:t xml:space="preserve"> goal of the Climate Partnership is to support the decarbonization process through greater integration of RES and the promotion of energy efficiency, as well as a socially just green transition. A task team was also established with the goal of providing support for the implementation of the Climate Partnership, through enhanced coordination of financial and technical support for development cooperation.</w:t>
      </w:r>
    </w:p>
    <w:p w14:paraId="09C646C5" w14:textId="77777777" w:rsidR="006373E7" w:rsidRPr="00A33AE8" w:rsidRDefault="00681FE7" w:rsidP="00F26FA8">
      <w:pPr>
        <w:pStyle w:val="LDKbody"/>
        <w:rPr>
          <w:rFonts w:asciiTheme="majorHAnsi" w:hAnsiTheme="majorHAnsi" w:cstheme="majorHAnsi"/>
          <w:b/>
          <w:bCs/>
          <w:lang w:val="en-GB"/>
        </w:rPr>
      </w:pPr>
      <w:r w:rsidRPr="00A33AE8">
        <w:rPr>
          <w:rFonts w:asciiTheme="majorHAnsi" w:hAnsiTheme="majorHAnsi" w:cstheme="majorHAnsi"/>
          <w:b/>
          <w:bCs/>
          <w:lang w:val="en-GB"/>
        </w:rPr>
        <w:t xml:space="preserve">Decarbonisation </w:t>
      </w:r>
      <w:r w:rsidR="006373E7" w:rsidRPr="00A33AE8">
        <w:rPr>
          <w:rFonts w:asciiTheme="majorHAnsi" w:hAnsiTheme="majorHAnsi" w:cstheme="majorHAnsi"/>
          <w:b/>
          <w:bCs/>
          <w:lang w:val="en-GB"/>
        </w:rPr>
        <w:t>–</w:t>
      </w:r>
      <w:r w:rsidR="00281125" w:rsidRPr="00A33AE8">
        <w:rPr>
          <w:rFonts w:asciiTheme="majorHAnsi" w:hAnsiTheme="majorHAnsi" w:cstheme="majorHAnsi"/>
          <w:b/>
          <w:bCs/>
          <w:lang w:val="en-GB"/>
        </w:rPr>
        <w:t>RES</w:t>
      </w:r>
    </w:p>
    <w:p w14:paraId="16959DC1" w14:textId="77777777" w:rsidR="002128DD" w:rsidRPr="00A33AE8" w:rsidRDefault="00FD7D79" w:rsidP="002128DD">
      <w:pPr>
        <w:pStyle w:val="LDKbody"/>
        <w:rPr>
          <w:rFonts w:asciiTheme="majorHAnsi" w:hAnsiTheme="majorHAnsi" w:cstheme="majorHAnsi"/>
          <w:lang w:val="en-GB"/>
        </w:rPr>
      </w:pPr>
      <w:r w:rsidRPr="00A33AE8">
        <w:rPr>
          <w:rFonts w:asciiTheme="majorHAnsi" w:hAnsiTheme="majorHAnsi" w:cstheme="majorHAnsi"/>
          <w:lang w:val="en-GB"/>
        </w:rPr>
        <w:t xml:space="preserve">In 2013, Republic of Serbia prepared its first </w:t>
      </w:r>
      <w:r w:rsidRPr="00A33AE8">
        <w:rPr>
          <w:rFonts w:asciiTheme="majorHAnsi" w:hAnsiTheme="majorHAnsi" w:cstheme="majorHAnsi"/>
          <w:b/>
          <w:bCs/>
          <w:lang w:val="en-GB"/>
        </w:rPr>
        <w:t>National Renewable Energy Action Plan (NREAP)</w:t>
      </w:r>
      <w:r w:rsidRPr="00A33AE8">
        <w:rPr>
          <w:rFonts w:asciiTheme="majorHAnsi" w:hAnsiTheme="majorHAnsi" w:cstheme="majorHAnsi"/>
          <w:lang w:val="en-GB"/>
        </w:rPr>
        <w:t>, p</w:t>
      </w:r>
      <w:r w:rsidR="002128DD" w:rsidRPr="00A33AE8">
        <w:rPr>
          <w:rFonts w:asciiTheme="majorHAnsi" w:hAnsiTheme="majorHAnsi" w:cstheme="majorHAnsi"/>
          <w:lang w:val="en-GB"/>
        </w:rPr>
        <w:t>ursuant to the Article 4 of Directive 2009/28/EC that requires the adoption of NREAP</w:t>
      </w:r>
      <w:r w:rsidRPr="00A33AE8">
        <w:rPr>
          <w:rFonts w:asciiTheme="majorHAnsi" w:hAnsiTheme="majorHAnsi" w:cstheme="majorHAnsi"/>
          <w:lang w:val="en-GB"/>
        </w:rPr>
        <w:t>,</w:t>
      </w:r>
      <w:r w:rsidR="002128DD" w:rsidRPr="00A33AE8">
        <w:rPr>
          <w:rFonts w:asciiTheme="majorHAnsi" w:hAnsiTheme="majorHAnsi" w:cstheme="majorHAnsi"/>
          <w:lang w:val="en-GB"/>
        </w:rPr>
        <w:t xml:space="preserve"> setting out the </w:t>
      </w:r>
      <w:r w:rsidR="001C22F4" w:rsidRPr="00A33AE8">
        <w:rPr>
          <w:rFonts w:asciiTheme="majorHAnsi" w:hAnsiTheme="majorHAnsi" w:cstheme="majorHAnsi"/>
          <w:lang w:val="en-GB"/>
        </w:rPr>
        <w:t>country’s</w:t>
      </w:r>
      <w:r w:rsidR="002128DD" w:rsidRPr="00A33AE8">
        <w:rPr>
          <w:rFonts w:asciiTheme="majorHAnsi" w:hAnsiTheme="majorHAnsi" w:cstheme="majorHAnsi"/>
          <w:lang w:val="en-GB"/>
        </w:rPr>
        <w:t xml:space="preserve"> national targets for the share of energy from renewable sources consumed in transport, electricity and heating and cooling in 2020 and </w:t>
      </w:r>
      <w:r w:rsidR="001C22F4" w:rsidRPr="00A33AE8">
        <w:rPr>
          <w:rFonts w:asciiTheme="majorHAnsi" w:hAnsiTheme="majorHAnsi" w:cstheme="majorHAnsi"/>
          <w:lang w:val="en-GB"/>
        </w:rPr>
        <w:t xml:space="preserve">listing </w:t>
      </w:r>
      <w:r w:rsidR="002128DD" w:rsidRPr="00A33AE8">
        <w:rPr>
          <w:rFonts w:asciiTheme="majorHAnsi" w:hAnsiTheme="majorHAnsi" w:cstheme="majorHAnsi"/>
          <w:lang w:val="en-GB"/>
        </w:rPr>
        <w:t xml:space="preserve">adequate measures to be taken to achieve those national overall </w:t>
      </w:r>
      <w:r w:rsidR="00D9721A" w:rsidRPr="00A33AE8">
        <w:rPr>
          <w:rFonts w:asciiTheme="majorHAnsi" w:hAnsiTheme="majorHAnsi" w:cstheme="majorHAnsi"/>
          <w:lang w:val="en-GB"/>
        </w:rPr>
        <w:t>targets. Republic</w:t>
      </w:r>
      <w:r w:rsidR="007C2839" w:rsidRPr="00A33AE8">
        <w:rPr>
          <w:rFonts w:asciiTheme="majorHAnsi" w:hAnsiTheme="majorHAnsi" w:cstheme="majorHAnsi"/>
          <w:lang w:val="en-GB"/>
        </w:rPr>
        <w:t xml:space="preserve"> of Serbia developed </w:t>
      </w:r>
      <w:r w:rsidR="007C2839" w:rsidRPr="00A33AE8">
        <w:rPr>
          <w:rFonts w:asciiTheme="majorHAnsi" w:hAnsiTheme="majorHAnsi" w:cstheme="majorHAnsi"/>
          <w:b/>
          <w:lang w:val="en-GB"/>
        </w:rPr>
        <w:t>First Progress Report on promotion and use of energy from renewable energy sources</w:t>
      </w:r>
      <w:r w:rsidR="004F7E70" w:rsidRPr="00A33AE8">
        <w:rPr>
          <w:rFonts w:asciiTheme="majorHAnsi" w:hAnsiTheme="majorHAnsi" w:cstheme="majorHAnsi"/>
          <w:b/>
          <w:lang w:val="en-GB"/>
        </w:rPr>
        <w:t xml:space="preserve"> (Progress Report)</w:t>
      </w:r>
      <w:r w:rsidR="007C2839" w:rsidRPr="00A33AE8">
        <w:rPr>
          <w:rFonts w:asciiTheme="majorHAnsi" w:hAnsiTheme="majorHAnsi" w:cstheme="majorHAnsi"/>
          <w:lang w:val="en-GB"/>
        </w:rPr>
        <w:t xml:space="preserve"> in 201</w:t>
      </w:r>
      <w:r w:rsidR="00CB58AA" w:rsidRPr="00A33AE8">
        <w:rPr>
          <w:rFonts w:asciiTheme="majorHAnsi" w:hAnsiTheme="majorHAnsi" w:cstheme="majorHAnsi"/>
          <w:lang w:val="en-GB"/>
        </w:rPr>
        <w:t>4</w:t>
      </w:r>
      <w:r w:rsidR="007C2839" w:rsidRPr="00A33AE8">
        <w:rPr>
          <w:rFonts w:asciiTheme="majorHAnsi" w:hAnsiTheme="majorHAnsi" w:cstheme="majorHAnsi"/>
          <w:lang w:val="en-GB"/>
        </w:rPr>
        <w:t xml:space="preserve">, </w:t>
      </w:r>
      <w:r w:rsidR="007C2839" w:rsidRPr="00A33AE8">
        <w:rPr>
          <w:rFonts w:asciiTheme="majorHAnsi" w:hAnsiTheme="majorHAnsi" w:cstheme="majorHAnsi"/>
          <w:b/>
          <w:lang w:val="en-GB"/>
        </w:rPr>
        <w:t xml:space="preserve">Second Progress Report </w:t>
      </w:r>
      <w:r w:rsidR="007C2839" w:rsidRPr="00A33AE8">
        <w:rPr>
          <w:rFonts w:asciiTheme="majorHAnsi" w:hAnsiTheme="majorHAnsi" w:cstheme="majorHAnsi"/>
          <w:lang w:val="en-GB"/>
        </w:rPr>
        <w:t xml:space="preserve">in 2016, </w:t>
      </w:r>
      <w:r w:rsidR="007C2839" w:rsidRPr="00A33AE8">
        <w:rPr>
          <w:rFonts w:asciiTheme="majorHAnsi" w:hAnsiTheme="majorHAnsi" w:cstheme="majorHAnsi"/>
          <w:b/>
          <w:lang w:val="en-GB"/>
        </w:rPr>
        <w:t xml:space="preserve">Third Progress Report </w:t>
      </w:r>
      <w:r w:rsidR="007C2839" w:rsidRPr="00A33AE8">
        <w:rPr>
          <w:rFonts w:asciiTheme="majorHAnsi" w:hAnsiTheme="majorHAnsi" w:cstheme="majorHAnsi"/>
          <w:lang w:val="en-GB"/>
        </w:rPr>
        <w:t>in 201</w:t>
      </w:r>
      <w:r w:rsidR="00CB58AA" w:rsidRPr="00A33AE8">
        <w:rPr>
          <w:rFonts w:asciiTheme="majorHAnsi" w:hAnsiTheme="majorHAnsi" w:cstheme="majorHAnsi"/>
          <w:lang w:val="en-GB"/>
        </w:rPr>
        <w:t>8</w:t>
      </w:r>
      <w:r w:rsidR="007C2839" w:rsidRPr="00A33AE8">
        <w:rPr>
          <w:rFonts w:asciiTheme="majorHAnsi" w:hAnsiTheme="majorHAnsi" w:cstheme="majorHAnsi"/>
          <w:lang w:val="en-GB"/>
        </w:rPr>
        <w:t xml:space="preserve"> and </w:t>
      </w:r>
      <w:r w:rsidR="007C2839" w:rsidRPr="00A33AE8">
        <w:rPr>
          <w:rFonts w:asciiTheme="majorHAnsi" w:hAnsiTheme="majorHAnsi" w:cstheme="majorHAnsi"/>
          <w:b/>
          <w:lang w:val="en-GB"/>
        </w:rPr>
        <w:t xml:space="preserve">Fourth Progress </w:t>
      </w:r>
      <w:r w:rsidR="007C2839" w:rsidRPr="00A33AE8">
        <w:rPr>
          <w:rFonts w:asciiTheme="majorHAnsi" w:hAnsiTheme="majorHAnsi" w:cstheme="majorHAnsi"/>
          <w:b/>
          <w:lang w:val="en-GB"/>
        </w:rPr>
        <w:lastRenderedPageBreak/>
        <w:t xml:space="preserve">Report </w:t>
      </w:r>
      <w:r w:rsidR="007C2839" w:rsidRPr="00A33AE8">
        <w:rPr>
          <w:rFonts w:asciiTheme="majorHAnsi" w:hAnsiTheme="majorHAnsi" w:cstheme="majorHAnsi"/>
          <w:lang w:val="en-GB"/>
        </w:rPr>
        <w:t>in 2020, fo</w:t>
      </w:r>
      <w:r w:rsidR="002128DD" w:rsidRPr="00A33AE8">
        <w:rPr>
          <w:rFonts w:asciiTheme="majorHAnsi" w:hAnsiTheme="majorHAnsi" w:cstheme="majorHAnsi"/>
          <w:lang w:val="en-GB"/>
        </w:rPr>
        <w:t>llowing the requirements of the Article 22 of Directive 2009/28/EC regarding the reporting obligation on renewable energy</w:t>
      </w:r>
      <w:r w:rsidR="004F7E70" w:rsidRPr="00A33AE8">
        <w:rPr>
          <w:rFonts w:asciiTheme="majorHAnsi" w:hAnsiTheme="majorHAnsi" w:cstheme="majorHAnsi"/>
          <w:lang w:val="en-GB"/>
        </w:rPr>
        <w:t>. The RES share in the Gross Final Energy Consumption (GFEC) was 21.44% in 2019 in comparison to the set target of 27% in 2020.</w:t>
      </w:r>
    </w:p>
    <w:p w14:paraId="04D1B2B5" w14:textId="77777777" w:rsidR="002128DD" w:rsidRPr="00A33AE8" w:rsidRDefault="00FE4A96" w:rsidP="00D20861">
      <w:pPr>
        <w:spacing w:after="0" w:line="240" w:lineRule="auto"/>
        <w:jc w:val="both"/>
        <w:rPr>
          <w:rFonts w:asciiTheme="majorHAnsi" w:hAnsiTheme="majorHAnsi" w:cstheme="majorHAnsi"/>
        </w:rPr>
      </w:pPr>
      <w:r w:rsidRPr="00A33AE8">
        <w:rPr>
          <w:rFonts w:asciiTheme="majorHAnsi" w:hAnsiTheme="majorHAnsi" w:cstheme="majorHAnsi"/>
        </w:rPr>
        <w:t xml:space="preserve">The adoption </w:t>
      </w:r>
      <w:r w:rsidR="002128DD" w:rsidRPr="00A33AE8">
        <w:rPr>
          <w:rFonts w:asciiTheme="majorHAnsi" w:hAnsiTheme="majorHAnsi" w:cstheme="majorHAnsi"/>
        </w:rPr>
        <w:t xml:space="preserve">of the </w:t>
      </w:r>
      <w:r w:rsidR="002128DD" w:rsidRPr="000007D2">
        <w:rPr>
          <w:rFonts w:asciiTheme="majorHAnsi" w:hAnsiTheme="majorHAnsi" w:cstheme="majorHAnsi"/>
          <w:b/>
          <w:bCs/>
        </w:rPr>
        <w:t>Energy Law</w:t>
      </w:r>
      <w:r w:rsidR="005B6FD5" w:rsidRPr="00A33AE8">
        <w:rPr>
          <w:rStyle w:val="FootnoteReference"/>
          <w:rFonts w:asciiTheme="majorHAnsi" w:hAnsiTheme="majorHAnsi" w:cstheme="majorHAnsi"/>
          <w:b/>
          <w:bCs/>
        </w:rPr>
        <w:footnoteReference w:id="26"/>
      </w:r>
      <w:r w:rsidR="002128DD" w:rsidRPr="00A33AE8">
        <w:rPr>
          <w:rFonts w:asciiTheme="majorHAnsi" w:hAnsiTheme="majorHAnsi" w:cstheme="majorHAnsi"/>
        </w:rPr>
        <w:t xml:space="preserve"> in </w:t>
      </w:r>
      <w:r w:rsidR="00D20861" w:rsidRPr="00A33AE8">
        <w:rPr>
          <w:rFonts w:asciiTheme="majorHAnsi" w:hAnsiTheme="majorHAnsi" w:cstheme="majorHAnsi"/>
        </w:rPr>
        <w:t xml:space="preserve">2014 </w:t>
      </w:r>
      <w:r w:rsidR="002128DD" w:rsidRPr="00A33AE8">
        <w:rPr>
          <w:rFonts w:asciiTheme="majorHAnsi" w:hAnsiTheme="majorHAnsi" w:cstheme="majorHAnsi"/>
        </w:rPr>
        <w:t xml:space="preserve">aimed </w:t>
      </w:r>
      <w:r w:rsidR="005F3BF7" w:rsidRPr="00A33AE8">
        <w:rPr>
          <w:rFonts w:asciiTheme="majorHAnsi" w:hAnsiTheme="majorHAnsi" w:cstheme="majorHAnsi"/>
        </w:rPr>
        <w:t>at</w:t>
      </w:r>
      <w:r w:rsidR="002128DD" w:rsidRPr="00A33AE8">
        <w:rPr>
          <w:rFonts w:asciiTheme="majorHAnsi" w:hAnsiTheme="majorHAnsi" w:cstheme="majorHAnsi"/>
        </w:rPr>
        <w:t xml:space="preserve"> harmoni</w:t>
      </w:r>
      <w:r w:rsidR="00DD7CB7" w:rsidRPr="00A33AE8">
        <w:rPr>
          <w:rFonts w:asciiTheme="majorHAnsi" w:hAnsiTheme="majorHAnsi" w:cstheme="majorHAnsi"/>
        </w:rPr>
        <w:t>s</w:t>
      </w:r>
      <w:r w:rsidR="005F3BF7" w:rsidRPr="00A33AE8">
        <w:rPr>
          <w:rFonts w:asciiTheme="majorHAnsi" w:hAnsiTheme="majorHAnsi" w:cstheme="majorHAnsi"/>
        </w:rPr>
        <w:t>ing</w:t>
      </w:r>
      <w:r w:rsidR="002128DD" w:rsidRPr="00A33AE8">
        <w:rPr>
          <w:rFonts w:asciiTheme="majorHAnsi" w:hAnsiTheme="majorHAnsi" w:cstheme="majorHAnsi"/>
        </w:rPr>
        <w:t xml:space="preserve"> the energy legislation of the Republic of Serbia with the Third </w:t>
      </w:r>
      <w:r w:rsidR="00DD7CB7" w:rsidRPr="00A33AE8">
        <w:rPr>
          <w:rFonts w:asciiTheme="majorHAnsi" w:hAnsiTheme="majorHAnsi" w:cstheme="majorHAnsi"/>
        </w:rPr>
        <w:t>Energy</w:t>
      </w:r>
      <w:r w:rsidR="002128DD" w:rsidRPr="00A33AE8">
        <w:rPr>
          <w:rFonts w:asciiTheme="majorHAnsi" w:hAnsiTheme="majorHAnsi" w:cstheme="majorHAnsi"/>
        </w:rPr>
        <w:t xml:space="preserve"> Package. In 2016, Republic of Serbia adopted </w:t>
      </w:r>
      <w:r w:rsidR="00316C7C" w:rsidRPr="00A33AE8">
        <w:rPr>
          <w:rFonts w:asciiTheme="majorHAnsi" w:hAnsiTheme="majorHAnsi" w:cstheme="majorHAnsi"/>
        </w:rPr>
        <w:t xml:space="preserve">a </w:t>
      </w:r>
      <w:r w:rsidR="002128DD" w:rsidRPr="00A33AE8">
        <w:rPr>
          <w:rFonts w:asciiTheme="majorHAnsi" w:hAnsiTheme="majorHAnsi" w:cstheme="majorHAnsi"/>
        </w:rPr>
        <w:t xml:space="preserve">package of secondary legislation governing renewable energy sources and setting out the support scheme for renewable energy. Adoption of the necessary by-laws to allow for a full implementation of </w:t>
      </w:r>
      <w:r w:rsidR="00DD7CB7" w:rsidRPr="00A33AE8">
        <w:rPr>
          <w:rFonts w:asciiTheme="majorHAnsi" w:hAnsiTheme="majorHAnsi" w:cstheme="majorHAnsi"/>
        </w:rPr>
        <w:t xml:space="preserve">incentive measures for </w:t>
      </w:r>
      <w:r w:rsidR="002128DD" w:rsidRPr="00A33AE8">
        <w:rPr>
          <w:rFonts w:asciiTheme="majorHAnsi" w:hAnsiTheme="majorHAnsi" w:cstheme="majorHAnsi"/>
        </w:rPr>
        <w:t>the renewable</w:t>
      </w:r>
      <w:r w:rsidR="00DD7CB7" w:rsidRPr="00A33AE8">
        <w:rPr>
          <w:rFonts w:asciiTheme="majorHAnsi" w:hAnsiTheme="majorHAnsi" w:cstheme="majorHAnsi"/>
        </w:rPr>
        <w:t xml:space="preserve"> energy source</w:t>
      </w:r>
      <w:r w:rsidR="002128DD" w:rsidRPr="00A33AE8">
        <w:rPr>
          <w:rFonts w:asciiTheme="majorHAnsi" w:hAnsiTheme="majorHAnsi" w:cstheme="majorHAnsi"/>
        </w:rPr>
        <w:t xml:space="preserve"> projects </w:t>
      </w:r>
      <w:r w:rsidR="00A21B6F" w:rsidRPr="00A33AE8">
        <w:rPr>
          <w:rFonts w:asciiTheme="majorHAnsi" w:hAnsiTheme="majorHAnsi" w:cstheme="majorHAnsi"/>
        </w:rPr>
        <w:t>consists</w:t>
      </w:r>
      <w:r w:rsidR="002128DD" w:rsidRPr="00A33AE8">
        <w:rPr>
          <w:rFonts w:asciiTheme="majorHAnsi" w:hAnsiTheme="majorHAnsi" w:cstheme="majorHAnsi"/>
        </w:rPr>
        <w:t xml:space="preserve"> of the </w:t>
      </w:r>
      <w:r w:rsidR="002128DD" w:rsidRPr="00A33AE8">
        <w:rPr>
          <w:rFonts w:asciiTheme="majorHAnsi" w:hAnsiTheme="majorHAnsi" w:cstheme="majorHAnsi"/>
          <w:b/>
          <w:bCs/>
        </w:rPr>
        <w:t xml:space="preserve">Decree on Conditions and Procedure </w:t>
      </w:r>
      <w:r w:rsidR="00FB18E9" w:rsidRPr="00A33AE8">
        <w:rPr>
          <w:rFonts w:asciiTheme="majorHAnsi" w:hAnsiTheme="majorHAnsi" w:cstheme="majorHAnsi"/>
          <w:b/>
          <w:bCs/>
        </w:rPr>
        <w:t xml:space="preserve">for Obtaining </w:t>
      </w:r>
      <w:r w:rsidR="002128DD" w:rsidRPr="00A33AE8">
        <w:rPr>
          <w:rFonts w:asciiTheme="majorHAnsi" w:hAnsiTheme="majorHAnsi" w:cstheme="majorHAnsi"/>
          <w:b/>
          <w:bCs/>
        </w:rPr>
        <w:t xml:space="preserve">the Status of a Privileged Power Producer, </w:t>
      </w:r>
      <w:r w:rsidR="00FB18E9" w:rsidRPr="00A33AE8">
        <w:rPr>
          <w:rFonts w:asciiTheme="majorHAnsi" w:hAnsiTheme="majorHAnsi" w:cstheme="majorHAnsi"/>
          <w:b/>
          <w:bCs/>
        </w:rPr>
        <w:t xml:space="preserve">Preliminary </w:t>
      </w:r>
      <w:r w:rsidR="002128DD" w:rsidRPr="00A33AE8">
        <w:rPr>
          <w:rFonts w:asciiTheme="majorHAnsi" w:hAnsiTheme="majorHAnsi" w:cstheme="majorHAnsi"/>
          <w:b/>
          <w:bCs/>
        </w:rPr>
        <w:t>Privileged Power Producer and Producer from Renewable Energy Sources</w:t>
      </w:r>
      <w:r w:rsidR="002128DD" w:rsidRPr="00A33AE8">
        <w:rPr>
          <w:rStyle w:val="FootnoteReference"/>
          <w:rFonts w:asciiTheme="majorHAnsi" w:hAnsiTheme="majorHAnsi" w:cstheme="majorHAnsi"/>
          <w:b/>
          <w:bCs/>
        </w:rPr>
        <w:footnoteReference w:id="27"/>
      </w:r>
      <w:r w:rsidR="002128DD" w:rsidRPr="00A33AE8">
        <w:rPr>
          <w:rFonts w:asciiTheme="majorHAnsi" w:hAnsiTheme="majorHAnsi" w:cstheme="majorHAnsi"/>
        </w:rPr>
        <w:t xml:space="preserve">, the </w:t>
      </w:r>
      <w:r w:rsidR="002128DD" w:rsidRPr="00A33AE8">
        <w:rPr>
          <w:rFonts w:asciiTheme="majorHAnsi" w:hAnsiTheme="majorHAnsi" w:cstheme="majorHAnsi"/>
          <w:b/>
          <w:bCs/>
        </w:rPr>
        <w:t>Decree on Incentive Measures for Electricity Generation from Renewable Energy Sources and from High-Efficiency Cogeneration of Heat and Power</w:t>
      </w:r>
      <w:r w:rsidR="002128DD" w:rsidRPr="00A33AE8">
        <w:rPr>
          <w:rStyle w:val="FootnoteReference"/>
          <w:rFonts w:asciiTheme="majorHAnsi" w:hAnsiTheme="majorHAnsi" w:cstheme="majorHAnsi"/>
          <w:b/>
          <w:bCs/>
        </w:rPr>
        <w:footnoteReference w:id="28"/>
      </w:r>
      <w:r w:rsidR="00CB58AA" w:rsidRPr="00A33AE8">
        <w:rPr>
          <w:rFonts w:asciiTheme="majorHAnsi" w:hAnsiTheme="majorHAnsi" w:cstheme="majorHAnsi"/>
          <w:b/>
          <w:bCs/>
        </w:rPr>
        <w:t>,</w:t>
      </w:r>
      <w:r w:rsidR="002128DD" w:rsidRPr="00A33AE8">
        <w:rPr>
          <w:rFonts w:asciiTheme="majorHAnsi" w:hAnsiTheme="majorHAnsi" w:cstheme="majorHAnsi"/>
        </w:rPr>
        <w:t xml:space="preserve"> </w:t>
      </w:r>
      <w:r w:rsidR="00FB18E9" w:rsidRPr="00A33AE8">
        <w:rPr>
          <w:rFonts w:asciiTheme="majorHAnsi" w:hAnsiTheme="majorHAnsi" w:cstheme="majorHAnsi"/>
          <w:b/>
          <w:bCs/>
        </w:rPr>
        <w:t>Decree on the Power Purchase Agreement</w:t>
      </w:r>
      <w:r w:rsidR="002128DD" w:rsidRPr="00A33AE8">
        <w:rPr>
          <w:rStyle w:val="FootnoteReference"/>
          <w:rFonts w:asciiTheme="majorHAnsi" w:hAnsiTheme="majorHAnsi" w:cstheme="majorHAnsi"/>
          <w:b/>
          <w:bCs/>
        </w:rPr>
        <w:footnoteReference w:id="29"/>
      </w:r>
      <w:r w:rsidR="00FB18E9" w:rsidRPr="00A33AE8">
        <w:rPr>
          <w:rFonts w:asciiTheme="majorHAnsi" w:hAnsiTheme="majorHAnsi" w:cstheme="majorHAnsi"/>
        </w:rPr>
        <w:t>, Decree on compensation for the incentive of privileged producers of electricity</w:t>
      </w:r>
      <w:r w:rsidR="006535BC" w:rsidRPr="00A33AE8">
        <w:rPr>
          <w:rStyle w:val="FootnoteReference"/>
          <w:rFonts w:asciiTheme="majorHAnsi" w:hAnsiTheme="majorHAnsi" w:cstheme="majorHAnsi"/>
        </w:rPr>
        <w:footnoteReference w:id="30"/>
      </w:r>
      <w:r w:rsidR="008327E9" w:rsidRPr="00A33AE8">
        <w:rPr>
          <w:rFonts w:asciiTheme="majorHAnsi" w:hAnsiTheme="majorHAnsi" w:cstheme="majorHAnsi"/>
        </w:rPr>
        <w:t xml:space="preserve">. </w:t>
      </w:r>
      <w:r w:rsidR="00DA01C5" w:rsidRPr="00A33AE8">
        <w:rPr>
          <w:rFonts w:asciiTheme="majorHAnsi" w:hAnsiTheme="majorHAnsi" w:cstheme="majorHAnsi"/>
        </w:rPr>
        <w:t xml:space="preserve">This set of regulations, known as </w:t>
      </w:r>
      <w:r w:rsidR="006535BC" w:rsidRPr="00A33AE8">
        <w:rPr>
          <w:rFonts w:asciiTheme="majorHAnsi" w:hAnsiTheme="majorHAnsi" w:cstheme="majorHAnsi"/>
        </w:rPr>
        <w:t>Power Purchase Agreement (</w:t>
      </w:r>
      <w:r w:rsidR="00DA01C5" w:rsidRPr="00A33AE8">
        <w:rPr>
          <w:rFonts w:asciiTheme="majorHAnsi" w:hAnsiTheme="majorHAnsi" w:cstheme="majorHAnsi"/>
        </w:rPr>
        <w:t>PPA</w:t>
      </w:r>
      <w:r w:rsidR="006535BC" w:rsidRPr="00A33AE8">
        <w:rPr>
          <w:rFonts w:asciiTheme="majorHAnsi" w:hAnsiTheme="majorHAnsi" w:cstheme="majorHAnsi"/>
        </w:rPr>
        <w:t>)</w:t>
      </w:r>
      <w:r w:rsidR="00DA01C5" w:rsidRPr="00A33AE8">
        <w:rPr>
          <w:rFonts w:asciiTheme="majorHAnsi" w:hAnsiTheme="majorHAnsi" w:cstheme="majorHAnsi"/>
        </w:rPr>
        <w:t xml:space="preserve"> Package, has fostered further development of the renewable energy capacity. </w:t>
      </w:r>
      <w:r w:rsidR="00DD7CB7" w:rsidRPr="00A33AE8">
        <w:rPr>
          <w:rFonts w:asciiTheme="majorHAnsi" w:hAnsiTheme="majorHAnsi" w:cstheme="majorHAnsi"/>
        </w:rPr>
        <w:t>In 2020</w:t>
      </w:r>
      <w:r w:rsidR="00A21B6F" w:rsidRPr="00A33AE8">
        <w:rPr>
          <w:rFonts w:asciiTheme="majorHAnsi" w:hAnsiTheme="majorHAnsi" w:cstheme="majorHAnsi"/>
        </w:rPr>
        <w:t>,</w:t>
      </w:r>
      <w:r w:rsidR="00DD7CB7" w:rsidRPr="00A33AE8">
        <w:rPr>
          <w:rFonts w:asciiTheme="majorHAnsi" w:hAnsiTheme="majorHAnsi" w:cstheme="majorHAnsi"/>
        </w:rPr>
        <w:t xml:space="preserve"> the total renewable energy source capacity reached 514.61 MW, out of which 398 MW represents wind capacity.</w:t>
      </w:r>
      <w:r w:rsidR="000B2672" w:rsidRPr="000007D2">
        <w:rPr>
          <w:rFonts w:asciiTheme="majorHAnsi" w:hAnsiTheme="majorHAnsi" w:cstheme="majorHAnsi"/>
        </w:rPr>
        <w:t xml:space="preserve"> The adoption of the following by-laws completes the regulatory framework for the implementation of incentive measures provided in the Law on the Use of RES: </w:t>
      </w:r>
      <w:r w:rsidR="000B2672" w:rsidRPr="000007D2">
        <w:rPr>
          <w:rFonts w:asciiTheme="majorHAnsi" w:hAnsiTheme="majorHAnsi" w:cstheme="majorHAnsi"/>
          <w:b/>
          <w:bCs/>
        </w:rPr>
        <w:t>Regulation on the model contract on market premium</w:t>
      </w:r>
      <w:r w:rsidR="00D919E7" w:rsidRPr="00A33AE8">
        <w:rPr>
          <w:rStyle w:val="FootnoteReference"/>
          <w:rFonts w:asciiTheme="majorHAnsi" w:hAnsiTheme="majorHAnsi" w:cstheme="majorHAnsi"/>
          <w:b/>
          <w:bCs/>
        </w:rPr>
        <w:footnoteReference w:id="31"/>
      </w:r>
      <w:r w:rsidR="000B2672" w:rsidRPr="000007D2">
        <w:rPr>
          <w:rFonts w:asciiTheme="majorHAnsi" w:hAnsiTheme="majorHAnsi" w:cstheme="majorHAnsi"/>
        </w:rPr>
        <w:t xml:space="preserve">, </w:t>
      </w:r>
      <w:r w:rsidR="000B2672" w:rsidRPr="000007D2">
        <w:rPr>
          <w:rFonts w:asciiTheme="majorHAnsi" w:hAnsiTheme="majorHAnsi" w:cstheme="majorHAnsi"/>
          <w:b/>
          <w:bCs/>
        </w:rPr>
        <w:t>Decree on market premium and feed-in tariff</w:t>
      </w:r>
      <w:r w:rsidR="00D919E7" w:rsidRPr="00A33AE8">
        <w:rPr>
          <w:rStyle w:val="FootnoteReference"/>
          <w:rFonts w:asciiTheme="majorHAnsi" w:hAnsiTheme="majorHAnsi" w:cstheme="majorHAnsi"/>
          <w:b/>
          <w:bCs/>
        </w:rPr>
        <w:footnoteReference w:id="32"/>
      </w:r>
      <w:r w:rsidR="00D919E7" w:rsidRPr="000007D2">
        <w:rPr>
          <w:rFonts w:asciiTheme="majorHAnsi" w:hAnsiTheme="majorHAnsi" w:cstheme="majorHAnsi"/>
        </w:rPr>
        <w:t xml:space="preserve"> and</w:t>
      </w:r>
      <w:r w:rsidR="000B2672" w:rsidRPr="000007D2">
        <w:rPr>
          <w:rFonts w:asciiTheme="majorHAnsi" w:hAnsiTheme="majorHAnsi" w:cstheme="majorHAnsi"/>
        </w:rPr>
        <w:t xml:space="preserve"> </w:t>
      </w:r>
      <w:r w:rsidR="000B2672" w:rsidRPr="000007D2">
        <w:rPr>
          <w:rFonts w:asciiTheme="majorHAnsi" w:hAnsiTheme="majorHAnsi" w:cstheme="majorHAnsi"/>
          <w:b/>
          <w:bCs/>
        </w:rPr>
        <w:t>Regulation on the assuming of balance responsibility and the model contract on the assuming of balance responsibility</w:t>
      </w:r>
      <w:r w:rsidR="00D919E7" w:rsidRPr="00A33AE8">
        <w:rPr>
          <w:rStyle w:val="FootnoteReference"/>
          <w:rFonts w:asciiTheme="majorHAnsi" w:hAnsiTheme="majorHAnsi" w:cstheme="majorHAnsi"/>
          <w:b/>
          <w:bCs/>
        </w:rPr>
        <w:footnoteReference w:id="33"/>
      </w:r>
      <w:r w:rsidR="000B2672" w:rsidRPr="000007D2">
        <w:rPr>
          <w:rFonts w:asciiTheme="majorHAnsi" w:hAnsiTheme="majorHAnsi" w:cstheme="majorHAnsi"/>
        </w:rPr>
        <w:t>.</w:t>
      </w:r>
    </w:p>
    <w:p w14:paraId="7BC18911" w14:textId="0B515776" w:rsidR="00281125" w:rsidRPr="000007D2" w:rsidRDefault="00FE4A96" w:rsidP="00281125">
      <w:pPr>
        <w:pStyle w:val="LDKbody"/>
        <w:rPr>
          <w:rFonts w:asciiTheme="majorHAnsi" w:hAnsiTheme="majorHAnsi"/>
          <w:lang w:val="en-GB"/>
        </w:rPr>
      </w:pPr>
      <w:r w:rsidRPr="00A33AE8">
        <w:rPr>
          <w:rFonts w:asciiTheme="majorHAnsi" w:hAnsiTheme="majorHAnsi" w:cstheme="majorHAnsi"/>
          <w:lang w:val="en-GB"/>
        </w:rPr>
        <w:t xml:space="preserve">The </w:t>
      </w:r>
      <w:r w:rsidR="00281125" w:rsidRPr="00A33AE8">
        <w:rPr>
          <w:rFonts w:asciiTheme="majorHAnsi" w:hAnsiTheme="majorHAnsi" w:cstheme="majorHAnsi"/>
          <w:lang w:val="en-GB"/>
        </w:rPr>
        <w:t xml:space="preserve">Decree on Incentive Measures for the </w:t>
      </w:r>
      <w:r w:rsidR="002307C7" w:rsidRPr="00A33AE8">
        <w:rPr>
          <w:rFonts w:asciiTheme="majorHAnsi" w:hAnsiTheme="majorHAnsi" w:cstheme="majorHAnsi"/>
          <w:lang w:val="en-GB"/>
        </w:rPr>
        <w:t>Electricity</w:t>
      </w:r>
      <w:r w:rsidR="00C5264B" w:rsidRPr="000007D2">
        <w:rPr>
          <w:rFonts w:asciiTheme="majorHAnsi" w:hAnsiTheme="majorHAnsi" w:cstheme="majorHAnsi"/>
          <w:lang w:val="en-GB"/>
        </w:rPr>
        <w:t xml:space="preserve"> </w:t>
      </w:r>
      <w:r w:rsidR="006D19B3" w:rsidRPr="00A33AE8">
        <w:rPr>
          <w:rFonts w:asciiTheme="majorHAnsi" w:hAnsiTheme="majorHAnsi" w:cstheme="majorHAnsi"/>
          <w:lang w:val="en-GB"/>
        </w:rPr>
        <w:t xml:space="preserve">Generation </w:t>
      </w:r>
      <w:r w:rsidR="00281125" w:rsidRPr="00A33AE8">
        <w:rPr>
          <w:rFonts w:asciiTheme="majorHAnsi" w:hAnsiTheme="majorHAnsi" w:cstheme="majorHAnsi"/>
          <w:lang w:val="en-GB"/>
        </w:rPr>
        <w:t xml:space="preserve">from Renewable Energy Sources and High-efficiency Cogeneration of </w:t>
      </w:r>
      <w:r w:rsidR="00316C7C" w:rsidRPr="00A33AE8">
        <w:rPr>
          <w:rFonts w:asciiTheme="majorHAnsi" w:hAnsiTheme="majorHAnsi" w:cstheme="majorHAnsi"/>
          <w:lang w:val="en-GB"/>
        </w:rPr>
        <w:t>Heat and Power</w:t>
      </w:r>
      <w:r w:rsidR="00281125" w:rsidRPr="00A33AE8">
        <w:rPr>
          <w:rFonts w:asciiTheme="majorHAnsi" w:hAnsiTheme="majorHAnsi" w:cstheme="majorHAnsi"/>
          <w:lang w:val="en-GB"/>
        </w:rPr>
        <w:t xml:space="preserve"> was initially valid until the end of 2018, </w:t>
      </w:r>
      <w:r w:rsidR="004B18D4" w:rsidRPr="00A33AE8">
        <w:rPr>
          <w:rFonts w:asciiTheme="majorHAnsi" w:hAnsiTheme="majorHAnsi" w:cstheme="majorHAnsi"/>
          <w:lang w:val="en-GB"/>
        </w:rPr>
        <w:t>and extended</w:t>
      </w:r>
      <w:r w:rsidR="00C5264B" w:rsidRPr="000007D2">
        <w:rPr>
          <w:rFonts w:asciiTheme="majorHAnsi" w:hAnsiTheme="majorHAnsi" w:cstheme="majorHAnsi"/>
          <w:lang w:val="en-GB"/>
        </w:rPr>
        <w:t xml:space="preserve"> </w:t>
      </w:r>
      <w:r w:rsidR="00281125" w:rsidRPr="00A33AE8">
        <w:rPr>
          <w:rFonts w:asciiTheme="majorHAnsi" w:hAnsiTheme="majorHAnsi" w:cstheme="majorHAnsi"/>
          <w:lang w:val="en-GB"/>
        </w:rPr>
        <w:t>until the end of 2019. Following its expiration on 31 December 2019, the previously applicable feed-in tariff-based incentives are no longer available to power producers that acquired the status of a privileged power producer.</w:t>
      </w:r>
      <w:r w:rsidR="00A47D4D" w:rsidRPr="00A33AE8">
        <w:rPr>
          <w:rFonts w:asciiTheme="majorHAnsi" w:hAnsiTheme="majorHAnsi" w:cstheme="majorHAnsi"/>
          <w:lang w:val="en-GB"/>
        </w:rPr>
        <w:t xml:space="preserve"> Nevertheless, feed-in tariff system remains active for producers already participating it, while for newcomers there will be available either feed-in tariffs or market premiums, depending on the installed capacity.</w:t>
      </w:r>
      <w:r w:rsidR="00281125" w:rsidRPr="00A33AE8">
        <w:rPr>
          <w:rFonts w:asciiTheme="majorHAnsi" w:hAnsiTheme="majorHAnsi" w:cstheme="majorHAnsi"/>
          <w:lang w:val="en-GB"/>
        </w:rPr>
        <w:t xml:space="preserve"> In line with a </w:t>
      </w:r>
      <w:r w:rsidR="004B18D4" w:rsidRPr="00A33AE8">
        <w:rPr>
          <w:rFonts w:asciiTheme="majorHAnsi" w:hAnsiTheme="majorHAnsi" w:cstheme="majorHAnsi"/>
          <w:lang w:val="en-GB"/>
        </w:rPr>
        <w:t>proposal</w:t>
      </w:r>
      <w:r w:rsidR="00281125" w:rsidRPr="00A33AE8">
        <w:rPr>
          <w:rFonts w:asciiTheme="majorHAnsi" w:hAnsiTheme="majorHAnsi" w:cstheme="majorHAnsi"/>
          <w:lang w:val="en-GB"/>
        </w:rPr>
        <w:t xml:space="preserve"> from the Energy Community Secretariat, the Government of the Republic of Serbia has decided to start the development of an auction-based incentives model</w:t>
      </w:r>
      <w:r w:rsidR="00A24F98" w:rsidRPr="00A33AE8">
        <w:rPr>
          <w:rFonts w:asciiTheme="majorHAnsi" w:hAnsiTheme="majorHAnsi" w:cstheme="majorHAnsi"/>
          <w:lang w:val="en-GB"/>
        </w:rPr>
        <w:t xml:space="preserve"> and finally defining it in the Law on use of Renewable Energy Sources</w:t>
      </w:r>
      <w:r w:rsidR="00A24F98" w:rsidRPr="00A33AE8">
        <w:rPr>
          <w:rStyle w:val="FootnoteReference"/>
          <w:rFonts w:asciiTheme="majorHAnsi" w:hAnsiTheme="majorHAnsi" w:cstheme="majorHAnsi"/>
        </w:rPr>
        <w:footnoteReference w:id="34"/>
      </w:r>
      <w:r w:rsidR="00A24F98" w:rsidRPr="00A33AE8">
        <w:rPr>
          <w:rFonts w:asciiTheme="majorHAnsi" w:hAnsiTheme="majorHAnsi" w:cstheme="majorHAnsi"/>
          <w:lang w:val="en-GB"/>
        </w:rPr>
        <w:t xml:space="preserve"> adopted in April 2021</w:t>
      </w:r>
      <w:r w:rsidR="005851AB" w:rsidRPr="000007D2">
        <w:rPr>
          <w:rFonts w:asciiTheme="majorHAnsi" w:hAnsiTheme="majorHAnsi" w:cstheme="majorHAnsi"/>
          <w:lang w:val="en-GB"/>
        </w:rPr>
        <w:t xml:space="preserve"> and amendments of the Law on Use of RES</w:t>
      </w:r>
      <w:r w:rsidR="005851AB" w:rsidRPr="00A33AE8">
        <w:rPr>
          <w:rStyle w:val="FootnoteReference"/>
          <w:rFonts w:asciiTheme="majorHAnsi" w:hAnsiTheme="majorHAnsi" w:cstheme="majorHAnsi"/>
        </w:rPr>
        <w:footnoteReference w:id="35"/>
      </w:r>
      <w:r w:rsidR="00281125" w:rsidRPr="00A33AE8">
        <w:rPr>
          <w:rFonts w:asciiTheme="majorHAnsi" w:hAnsiTheme="majorHAnsi" w:cstheme="majorHAnsi"/>
          <w:lang w:val="en-GB"/>
        </w:rPr>
        <w:t>.</w:t>
      </w:r>
    </w:p>
    <w:p w14:paraId="4AB43DAC" w14:textId="77777777" w:rsidR="00281125" w:rsidRPr="000007D2" w:rsidRDefault="00281125" w:rsidP="00281125">
      <w:pPr>
        <w:pStyle w:val="LDKbody"/>
        <w:rPr>
          <w:rFonts w:asciiTheme="majorHAnsi" w:hAnsiTheme="majorHAnsi"/>
          <w:lang w:val="en-GB"/>
        </w:rPr>
      </w:pPr>
      <w:r w:rsidRPr="00A33AE8">
        <w:rPr>
          <w:rFonts w:asciiTheme="majorHAnsi" w:hAnsiTheme="majorHAnsi" w:cstheme="majorHAnsi"/>
          <w:lang w:val="en-GB"/>
        </w:rPr>
        <w:t xml:space="preserve">In </w:t>
      </w:r>
      <w:r w:rsidR="004B18D4" w:rsidRPr="00A33AE8">
        <w:rPr>
          <w:rFonts w:asciiTheme="majorHAnsi" w:hAnsiTheme="majorHAnsi" w:cstheme="majorHAnsi"/>
          <w:lang w:val="en-GB"/>
        </w:rPr>
        <w:t xml:space="preserve">April </w:t>
      </w:r>
      <w:r w:rsidRPr="00A33AE8">
        <w:rPr>
          <w:rFonts w:asciiTheme="majorHAnsi" w:hAnsiTheme="majorHAnsi" w:cstheme="majorHAnsi"/>
          <w:lang w:val="en-GB"/>
        </w:rPr>
        <w:t>2021, Republic of Serbia adopted</w:t>
      </w:r>
      <w:r w:rsidR="00FE4A96" w:rsidRPr="00A33AE8">
        <w:rPr>
          <w:rFonts w:asciiTheme="majorHAnsi" w:hAnsiTheme="majorHAnsi" w:cstheme="majorHAnsi"/>
          <w:lang w:val="en-GB"/>
        </w:rPr>
        <w:t xml:space="preserve"> a</w:t>
      </w:r>
      <w:r w:rsidR="00C5264B" w:rsidRPr="00A33AE8">
        <w:rPr>
          <w:rFonts w:asciiTheme="majorHAnsi" w:hAnsiTheme="majorHAnsi"/>
          <w:lang w:val="en-GB"/>
        </w:rPr>
        <w:t xml:space="preserve"> </w:t>
      </w:r>
      <w:r w:rsidRPr="00A33AE8">
        <w:rPr>
          <w:rFonts w:asciiTheme="majorHAnsi" w:hAnsiTheme="majorHAnsi" w:cstheme="majorHAnsi"/>
          <w:b/>
          <w:bCs/>
          <w:lang w:val="en-GB"/>
        </w:rPr>
        <w:t xml:space="preserve">Law on </w:t>
      </w:r>
      <w:r w:rsidR="00B10A16" w:rsidRPr="00A33AE8">
        <w:rPr>
          <w:rFonts w:asciiTheme="majorHAnsi" w:hAnsiTheme="majorHAnsi" w:cstheme="majorHAnsi"/>
          <w:b/>
          <w:bCs/>
          <w:lang w:val="en-GB"/>
        </w:rPr>
        <w:t xml:space="preserve">Use of </w:t>
      </w:r>
      <w:r w:rsidRPr="00A33AE8">
        <w:rPr>
          <w:rFonts w:asciiTheme="majorHAnsi" w:hAnsiTheme="majorHAnsi" w:cstheme="majorHAnsi"/>
          <w:b/>
          <w:bCs/>
          <w:lang w:val="en-GB"/>
        </w:rPr>
        <w:t>Renewable Energy Sources</w:t>
      </w:r>
      <w:r w:rsidR="004B18D4" w:rsidRPr="00A33AE8">
        <w:rPr>
          <w:rStyle w:val="FootnoteReference"/>
          <w:rFonts w:asciiTheme="majorHAnsi" w:hAnsiTheme="majorHAnsi" w:cstheme="majorHAnsi"/>
          <w:b/>
          <w:bCs/>
        </w:rPr>
        <w:footnoteReference w:id="36"/>
      </w:r>
      <w:r w:rsidRPr="00A33AE8">
        <w:rPr>
          <w:rFonts w:asciiTheme="majorHAnsi" w:hAnsiTheme="majorHAnsi" w:cstheme="majorHAnsi"/>
          <w:lang w:val="en-GB"/>
        </w:rPr>
        <w:t xml:space="preserve"> for the first time. In parallel, </w:t>
      </w:r>
      <w:r w:rsidR="00682567" w:rsidRPr="00A33AE8">
        <w:rPr>
          <w:rFonts w:asciiTheme="majorHAnsi" w:hAnsiTheme="majorHAnsi" w:cstheme="majorHAnsi"/>
          <w:b/>
          <w:bCs/>
          <w:lang w:val="en-GB"/>
        </w:rPr>
        <w:t>a</w:t>
      </w:r>
      <w:r w:rsidRPr="00A33AE8">
        <w:rPr>
          <w:rFonts w:asciiTheme="majorHAnsi" w:hAnsiTheme="majorHAnsi" w:cstheme="majorHAnsi"/>
          <w:b/>
          <w:bCs/>
          <w:lang w:val="en-GB"/>
        </w:rPr>
        <w:t>mendments to the Law</w:t>
      </w:r>
      <w:r w:rsidR="004B18D4" w:rsidRPr="00A33AE8">
        <w:rPr>
          <w:rFonts w:asciiTheme="majorHAnsi" w:hAnsiTheme="majorHAnsi" w:cstheme="majorHAnsi"/>
          <w:b/>
          <w:bCs/>
          <w:lang w:val="en-GB"/>
        </w:rPr>
        <w:t xml:space="preserve"> on Energy</w:t>
      </w:r>
      <w:r w:rsidR="004B18D4" w:rsidRPr="00A33AE8">
        <w:rPr>
          <w:rStyle w:val="FootnoteReference"/>
          <w:rFonts w:asciiTheme="majorHAnsi" w:hAnsiTheme="majorHAnsi" w:cstheme="majorHAnsi"/>
          <w:b/>
          <w:bCs/>
        </w:rPr>
        <w:footnoteReference w:id="37"/>
      </w:r>
      <w:r w:rsidR="004B18D4" w:rsidRPr="00A33AE8">
        <w:rPr>
          <w:rFonts w:asciiTheme="majorHAnsi" w:hAnsiTheme="majorHAnsi" w:cstheme="majorHAnsi"/>
          <w:lang w:val="en-GB"/>
        </w:rPr>
        <w:t xml:space="preserve"> were adopted</w:t>
      </w:r>
      <w:r w:rsidR="00A24F98" w:rsidRPr="00A33AE8">
        <w:rPr>
          <w:rFonts w:asciiTheme="majorHAnsi" w:hAnsiTheme="majorHAnsi" w:cstheme="majorHAnsi"/>
          <w:lang w:val="en-GB"/>
        </w:rPr>
        <w:t>.</w:t>
      </w:r>
    </w:p>
    <w:p w14:paraId="7FAEC9EB" w14:textId="4A94F4A7" w:rsidR="00281125" w:rsidRPr="00A33AE8" w:rsidRDefault="00FE4A96" w:rsidP="001B239F">
      <w:pPr>
        <w:pStyle w:val="LDKbody"/>
        <w:rPr>
          <w:rFonts w:asciiTheme="majorHAnsi" w:hAnsiTheme="majorHAnsi" w:cstheme="majorHAnsi"/>
          <w:lang w:val="en-GB"/>
        </w:rPr>
      </w:pPr>
      <w:r w:rsidRPr="00A33AE8">
        <w:rPr>
          <w:rFonts w:asciiTheme="majorHAnsi" w:hAnsiTheme="majorHAnsi" w:cstheme="majorHAnsi"/>
          <w:lang w:val="en-GB"/>
        </w:rPr>
        <w:t xml:space="preserve">The </w:t>
      </w:r>
      <w:r w:rsidR="00281125" w:rsidRPr="00A33AE8">
        <w:rPr>
          <w:rFonts w:asciiTheme="majorHAnsi" w:hAnsiTheme="majorHAnsi" w:cstheme="majorHAnsi"/>
          <w:lang w:val="en-GB"/>
        </w:rPr>
        <w:t xml:space="preserve">Law on </w:t>
      </w:r>
      <w:r w:rsidR="00B72AA8" w:rsidRPr="00A33AE8">
        <w:rPr>
          <w:rFonts w:asciiTheme="majorHAnsi" w:hAnsiTheme="majorHAnsi" w:cstheme="majorHAnsi"/>
          <w:lang w:val="en-GB"/>
        </w:rPr>
        <w:t xml:space="preserve">Use of </w:t>
      </w:r>
      <w:r w:rsidR="00281125" w:rsidRPr="00A33AE8">
        <w:rPr>
          <w:rFonts w:asciiTheme="majorHAnsi" w:hAnsiTheme="majorHAnsi" w:cstheme="majorHAnsi"/>
          <w:lang w:val="en-GB"/>
        </w:rPr>
        <w:t>Renewable Energy Sources</w:t>
      </w:r>
      <w:r w:rsidR="00935C9F" w:rsidRPr="00A33AE8">
        <w:rPr>
          <w:rFonts w:asciiTheme="majorHAnsi" w:hAnsiTheme="majorHAnsi" w:cstheme="majorHAnsi"/>
          <w:lang w:val="en-GB"/>
        </w:rPr>
        <w:t xml:space="preserve"> (hereafter: Law on RES)</w:t>
      </w:r>
      <w:r w:rsidR="00834E75" w:rsidRPr="000007D2">
        <w:rPr>
          <w:rFonts w:asciiTheme="majorHAnsi" w:hAnsiTheme="majorHAnsi" w:cstheme="majorHAnsi"/>
          <w:lang w:val="en-GB"/>
        </w:rPr>
        <w:t xml:space="preserve"> </w:t>
      </w:r>
      <w:r w:rsidRPr="00A33AE8">
        <w:rPr>
          <w:rFonts w:asciiTheme="majorHAnsi" w:hAnsiTheme="majorHAnsi" w:cstheme="majorHAnsi"/>
          <w:lang w:val="en-GB"/>
        </w:rPr>
        <w:t xml:space="preserve">envisages the </w:t>
      </w:r>
      <w:r w:rsidR="00281125" w:rsidRPr="00A33AE8">
        <w:rPr>
          <w:rFonts w:asciiTheme="majorHAnsi" w:hAnsiTheme="majorHAnsi" w:cstheme="majorHAnsi"/>
          <w:lang w:val="en-GB"/>
        </w:rPr>
        <w:t xml:space="preserve">development of </w:t>
      </w:r>
      <w:r w:rsidRPr="00A33AE8">
        <w:rPr>
          <w:rFonts w:asciiTheme="majorHAnsi" w:hAnsiTheme="majorHAnsi" w:cstheme="majorHAnsi"/>
          <w:lang w:val="en-GB"/>
        </w:rPr>
        <w:t xml:space="preserve">a </w:t>
      </w:r>
      <w:r w:rsidR="007A506D" w:rsidRPr="00A33AE8">
        <w:rPr>
          <w:rFonts w:asciiTheme="majorHAnsi" w:hAnsiTheme="majorHAnsi" w:cstheme="majorHAnsi"/>
          <w:lang w:val="en-GB"/>
        </w:rPr>
        <w:t xml:space="preserve">new </w:t>
      </w:r>
      <w:r w:rsidR="00281125" w:rsidRPr="00A33AE8">
        <w:rPr>
          <w:rFonts w:asciiTheme="majorHAnsi" w:hAnsiTheme="majorHAnsi" w:cstheme="majorHAnsi"/>
          <w:lang w:val="en-GB"/>
        </w:rPr>
        <w:t xml:space="preserve">incentive system for </w:t>
      </w:r>
      <w:r w:rsidR="007A506D" w:rsidRPr="00A33AE8">
        <w:rPr>
          <w:rFonts w:asciiTheme="majorHAnsi" w:hAnsiTheme="majorHAnsi" w:cstheme="majorHAnsi"/>
          <w:lang w:val="en-GB"/>
        </w:rPr>
        <w:t xml:space="preserve">electricity generation from </w:t>
      </w:r>
      <w:r w:rsidR="00281125" w:rsidRPr="00A33AE8">
        <w:rPr>
          <w:rFonts w:asciiTheme="majorHAnsi" w:hAnsiTheme="majorHAnsi" w:cstheme="majorHAnsi"/>
          <w:lang w:val="en-GB"/>
        </w:rPr>
        <w:t>RES in</w:t>
      </w:r>
      <w:r w:rsidR="00682567" w:rsidRPr="00A33AE8">
        <w:rPr>
          <w:rFonts w:asciiTheme="majorHAnsi" w:hAnsiTheme="majorHAnsi" w:cstheme="majorHAnsi"/>
          <w:lang w:val="en-GB"/>
        </w:rPr>
        <w:t xml:space="preserve"> the</w:t>
      </w:r>
      <w:r w:rsidR="00281125" w:rsidRPr="00A33AE8">
        <w:rPr>
          <w:rFonts w:asciiTheme="majorHAnsi" w:hAnsiTheme="majorHAnsi" w:cstheme="majorHAnsi"/>
          <w:lang w:val="en-GB"/>
        </w:rPr>
        <w:t xml:space="preserve"> form of </w:t>
      </w:r>
      <w:r w:rsidR="007A506D" w:rsidRPr="00A33AE8">
        <w:rPr>
          <w:rFonts w:asciiTheme="majorHAnsi" w:hAnsiTheme="majorHAnsi" w:cstheme="majorHAnsi"/>
          <w:lang w:val="en-GB"/>
        </w:rPr>
        <w:t xml:space="preserve">market </w:t>
      </w:r>
      <w:r w:rsidRPr="00A33AE8">
        <w:rPr>
          <w:rFonts w:asciiTheme="majorHAnsi" w:hAnsiTheme="majorHAnsi" w:cstheme="majorHAnsi"/>
          <w:lang w:val="en-GB"/>
        </w:rPr>
        <w:t>premium</w:t>
      </w:r>
      <w:r w:rsidR="00733187" w:rsidRPr="00A33AE8">
        <w:rPr>
          <w:rFonts w:asciiTheme="majorHAnsi" w:hAnsiTheme="majorHAnsi" w:cstheme="majorHAnsi"/>
          <w:lang w:val="en-GB"/>
        </w:rPr>
        <w:t>s</w:t>
      </w:r>
      <w:r w:rsidR="00281125" w:rsidRPr="00A33AE8">
        <w:rPr>
          <w:rFonts w:asciiTheme="majorHAnsi" w:hAnsiTheme="majorHAnsi" w:cstheme="majorHAnsi"/>
          <w:lang w:val="en-GB"/>
        </w:rPr>
        <w:t xml:space="preserve">, but at the same time </w:t>
      </w:r>
      <w:r w:rsidR="00403B08" w:rsidRPr="00A33AE8">
        <w:rPr>
          <w:rFonts w:asciiTheme="majorHAnsi" w:hAnsiTheme="majorHAnsi" w:cstheme="majorHAnsi"/>
          <w:lang w:val="en-GB"/>
        </w:rPr>
        <w:t xml:space="preserve">enables </w:t>
      </w:r>
      <w:r w:rsidR="00281125" w:rsidRPr="00A33AE8">
        <w:rPr>
          <w:rFonts w:asciiTheme="majorHAnsi" w:hAnsiTheme="majorHAnsi" w:cstheme="majorHAnsi"/>
          <w:lang w:val="en-GB"/>
        </w:rPr>
        <w:t xml:space="preserve">another incentive pricing scheme in </w:t>
      </w:r>
      <w:r w:rsidR="00682567" w:rsidRPr="00A33AE8">
        <w:rPr>
          <w:rFonts w:asciiTheme="majorHAnsi" w:hAnsiTheme="majorHAnsi" w:cstheme="majorHAnsi"/>
          <w:lang w:val="en-GB"/>
        </w:rPr>
        <w:t xml:space="preserve">the </w:t>
      </w:r>
      <w:r w:rsidR="00281125" w:rsidRPr="00A33AE8">
        <w:rPr>
          <w:rFonts w:asciiTheme="majorHAnsi" w:hAnsiTheme="majorHAnsi" w:cstheme="majorHAnsi"/>
          <w:lang w:val="en-GB"/>
        </w:rPr>
        <w:t xml:space="preserve">form of limited </w:t>
      </w:r>
      <w:r w:rsidR="00402E5D" w:rsidRPr="00A33AE8">
        <w:rPr>
          <w:rFonts w:asciiTheme="majorHAnsi" w:hAnsiTheme="majorHAnsi" w:cstheme="majorHAnsi"/>
          <w:lang w:val="en-GB"/>
        </w:rPr>
        <w:t>feed-in-tariff</w:t>
      </w:r>
      <w:r w:rsidR="001B239F" w:rsidRPr="00A33AE8">
        <w:rPr>
          <w:rFonts w:asciiTheme="majorHAnsi" w:hAnsiTheme="majorHAnsi" w:cstheme="majorHAnsi"/>
          <w:lang w:val="en-GB"/>
        </w:rPr>
        <w:t>, in the separate quotas and auction processes</w:t>
      </w:r>
      <w:r w:rsidR="007A506D" w:rsidRPr="00A33AE8">
        <w:rPr>
          <w:rFonts w:asciiTheme="majorHAnsi" w:hAnsiTheme="majorHAnsi" w:cstheme="majorHAnsi"/>
          <w:lang w:val="en-GB"/>
        </w:rPr>
        <w:t xml:space="preserve"> (right to both forms of incentives is </w:t>
      </w:r>
      <w:r w:rsidR="00081D7A" w:rsidRPr="00A33AE8">
        <w:rPr>
          <w:rFonts w:asciiTheme="majorHAnsi" w:hAnsiTheme="majorHAnsi" w:cstheme="majorHAnsi"/>
          <w:lang w:val="en-GB"/>
        </w:rPr>
        <w:t>obtained</w:t>
      </w:r>
      <w:r w:rsidR="007A506D" w:rsidRPr="00A33AE8">
        <w:rPr>
          <w:rFonts w:asciiTheme="majorHAnsi" w:hAnsiTheme="majorHAnsi" w:cstheme="majorHAnsi"/>
          <w:lang w:val="en-GB"/>
        </w:rPr>
        <w:t xml:space="preserve"> within the auction process)</w:t>
      </w:r>
      <w:r w:rsidR="00281125" w:rsidRPr="00A33AE8">
        <w:rPr>
          <w:rFonts w:asciiTheme="majorHAnsi" w:hAnsiTheme="majorHAnsi" w:cstheme="majorHAnsi"/>
          <w:lang w:val="en-GB"/>
        </w:rPr>
        <w:t xml:space="preserve">. Thus, a much more favourable regulatory framework </w:t>
      </w:r>
      <w:r w:rsidR="00403B08" w:rsidRPr="00A33AE8">
        <w:rPr>
          <w:rFonts w:asciiTheme="majorHAnsi" w:hAnsiTheme="majorHAnsi" w:cstheme="majorHAnsi"/>
          <w:lang w:val="en-GB"/>
        </w:rPr>
        <w:t xml:space="preserve">creating an </w:t>
      </w:r>
      <w:r w:rsidR="00281125" w:rsidRPr="00A33AE8">
        <w:rPr>
          <w:rFonts w:asciiTheme="majorHAnsi" w:hAnsiTheme="majorHAnsi" w:cstheme="majorHAnsi"/>
          <w:lang w:val="en-GB"/>
        </w:rPr>
        <w:t xml:space="preserve">enabling environment for investments in various-scale </w:t>
      </w:r>
      <w:r w:rsidR="007A506D" w:rsidRPr="00A33AE8">
        <w:rPr>
          <w:rFonts w:asciiTheme="majorHAnsi" w:hAnsiTheme="majorHAnsi" w:cstheme="majorHAnsi"/>
          <w:lang w:val="en-GB"/>
        </w:rPr>
        <w:t xml:space="preserve">electricity generation </w:t>
      </w:r>
      <w:r w:rsidR="00281125" w:rsidRPr="00A33AE8">
        <w:rPr>
          <w:rFonts w:asciiTheme="majorHAnsi" w:hAnsiTheme="majorHAnsi" w:cstheme="majorHAnsi"/>
          <w:lang w:val="en-GB"/>
        </w:rPr>
        <w:t xml:space="preserve">RES plants </w:t>
      </w:r>
      <w:r w:rsidR="007A506D" w:rsidRPr="00A33AE8">
        <w:rPr>
          <w:rFonts w:asciiTheme="majorHAnsi" w:hAnsiTheme="majorHAnsi" w:cstheme="majorHAnsi"/>
          <w:lang w:val="en-GB"/>
        </w:rPr>
        <w:t>from RES of various capacities</w:t>
      </w:r>
      <w:r w:rsidR="00281125" w:rsidRPr="00A33AE8">
        <w:rPr>
          <w:rFonts w:asciiTheme="majorHAnsi" w:hAnsiTheme="majorHAnsi" w:cstheme="majorHAnsi"/>
          <w:lang w:val="en-GB"/>
        </w:rPr>
        <w:t xml:space="preserve"> has been set up, while the fostering progress regarding </w:t>
      </w:r>
      <w:r w:rsidRPr="00A33AE8">
        <w:rPr>
          <w:rFonts w:asciiTheme="majorHAnsi" w:hAnsiTheme="majorHAnsi" w:cstheme="majorHAnsi"/>
          <w:lang w:val="en-GB"/>
        </w:rPr>
        <w:t>investments of small capacity</w:t>
      </w:r>
      <w:r w:rsidR="00281125" w:rsidRPr="00A33AE8">
        <w:rPr>
          <w:rFonts w:asciiTheme="majorHAnsi" w:hAnsiTheme="majorHAnsi" w:cstheme="majorHAnsi"/>
          <w:lang w:val="en-GB"/>
        </w:rPr>
        <w:t xml:space="preserve"> is still foreseen through the implementation of the </w:t>
      </w:r>
      <w:r w:rsidR="0053111C" w:rsidRPr="00A33AE8">
        <w:rPr>
          <w:rFonts w:asciiTheme="majorHAnsi" w:hAnsiTheme="majorHAnsi" w:cstheme="majorHAnsi"/>
          <w:lang w:val="en-GB"/>
        </w:rPr>
        <w:t>feed in tariff</w:t>
      </w:r>
      <w:r w:rsidR="00281125" w:rsidRPr="00A33AE8">
        <w:rPr>
          <w:rFonts w:asciiTheme="majorHAnsi" w:hAnsiTheme="majorHAnsi" w:cstheme="majorHAnsi"/>
          <w:lang w:val="en-GB"/>
        </w:rPr>
        <w:t xml:space="preserve"> supporting mechanism</w:t>
      </w:r>
      <w:r w:rsidR="00935C9F" w:rsidRPr="00A33AE8">
        <w:rPr>
          <w:rFonts w:asciiTheme="majorHAnsi" w:hAnsiTheme="majorHAnsi" w:cstheme="majorHAnsi"/>
          <w:lang w:val="en-GB"/>
        </w:rPr>
        <w:t xml:space="preserve"> (projects with installed capacities under 3 MW solar </w:t>
      </w:r>
      <w:r w:rsidR="007A506D" w:rsidRPr="00A33AE8">
        <w:rPr>
          <w:rFonts w:asciiTheme="majorHAnsi" w:hAnsiTheme="majorHAnsi" w:cstheme="majorHAnsi"/>
          <w:lang w:val="en-GB"/>
        </w:rPr>
        <w:t xml:space="preserve">wind </w:t>
      </w:r>
      <w:r w:rsidR="00935C9F" w:rsidRPr="00A33AE8">
        <w:rPr>
          <w:rFonts w:asciiTheme="majorHAnsi" w:hAnsiTheme="majorHAnsi" w:cstheme="majorHAnsi"/>
          <w:lang w:val="en-GB"/>
        </w:rPr>
        <w:t>and under 0.5 MW for</w:t>
      </w:r>
      <w:r w:rsidR="007A506D" w:rsidRPr="00A33AE8">
        <w:rPr>
          <w:rFonts w:asciiTheme="majorHAnsi" w:hAnsiTheme="majorHAnsi" w:cstheme="majorHAnsi"/>
          <w:lang w:val="en-GB"/>
        </w:rPr>
        <w:t xml:space="preserve"> power plants using</w:t>
      </w:r>
      <w:r w:rsidR="00935C9F" w:rsidRPr="00A33AE8">
        <w:rPr>
          <w:rFonts w:asciiTheme="majorHAnsi" w:hAnsiTheme="majorHAnsi" w:cstheme="majorHAnsi"/>
          <w:lang w:val="en-GB"/>
        </w:rPr>
        <w:t xml:space="preserve"> other RES)</w:t>
      </w:r>
      <w:r w:rsidR="00281125" w:rsidRPr="00A33AE8">
        <w:rPr>
          <w:rFonts w:asciiTheme="majorHAnsi" w:hAnsiTheme="majorHAnsi" w:cstheme="majorHAnsi"/>
          <w:lang w:val="en-GB"/>
        </w:rPr>
        <w:t xml:space="preserve">. Finally, </w:t>
      </w:r>
      <w:r w:rsidR="00682567" w:rsidRPr="00A33AE8">
        <w:rPr>
          <w:rFonts w:asciiTheme="majorHAnsi" w:hAnsiTheme="majorHAnsi" w:cstheme="majorHAnsi"/>
          <w:lang w:val="en-GB"/>
        </w:rPr>
        <w:t xml:space="preserve">the </w:t>
      </w:r>
      <w:r w:rsidR="00281125" w:rsidRPr="00A33AE8">
        <w:rPr>
          <w:rFonts w:asciiTheme="majorHAnsi" w:hAnsiTheme="majorHAnsi" w:cstheme="majorHAnsi"/>
          <w:lang w:val="en-GB"/>
        </w:rPr>
        <w:t xml:space="preserve">Law on </w:t>
      </w:r>
      <w:r w:rsidR="007A506D" w:rsidRPr="00A33AE8">
        <w:rPr>
          <w:rFonts w:asciiTheme="majorHAnsi" w:hAnsiTheme="majorHAnsi" w:cstheme="majorHAnsi"/>
          <w:lang w:val="en-GB"/>
        </w:rPr>
        <w:t>Use of</w:t>
      </w:r>
      <w:r w:rsidR="00834E75" w:rsidRPr="000007D2">
        <w:rPr>
          <w:rFonts w:asciiTheme="majorHAnsi" w:hAnsiTheme="majorHAnsi" w:cstheme="majorHAnsi"/>
          <w:lang w:val="en-GB"/>
        </w:rPr>
        <w:t xml:space="preserve"> </w:t>
      </w:r>
      <w:r w:rsidR="00935C9F" w:rsidRPr="00A33AE8">
        <w:rPr>
          <w:rFonts w:asciiTheme="majorHAnsi" w:hAnsiTheme="majorHAnsi" w:cstheme="majorHAnsi"/>
          <w:lang w:val="en-GB"/>
        </w:rPr>
        <w:t>RES</w:t>
      </w:r>
      <w:r w:rsidR="00281125" w:rsidRPr="00A33AE8">
        <w:rPr>
          <w:rFonts w:asciiTheme="majorHAnsi" w:hAnsiTheme="majorHAnsi" w:cstheme="majorHAnsi"/>
          <w:lang w:val="en-GB"/>
        </w:rPr>
        <w:t xml:space="preserve"> initiated additional market possibilities towards the </w:t>
      </w:r>
      <w:r w:rsidR="00281125" w:rsidRPr="00A33AE8">
        <w:rPr>
          <w:rFonts w:asciiTheme="majorHAnsi" w:hAnsiTheme="majorHAnsi" w:cstheme="majorHAnsi"/>
          <w:lang w:val="en-GB"/>
        </w:rPr>
        <w:lastRenderedPageBreak/>
        <w:t xml:space="preserve">higher market penetration of RES, such as </w:t>
      </w:r>
      <w:r w:rsidR="00403B08" w:rsidRPr="00A33AE8">
        <w:rPr>
          <w:rFonts w:asciiTheme="majorHAnsi" w:hAnsiTheme="majorHAnsi" w:cstheme="majorHAnsi"/>
          <w:lang w:val="en-GB"/>
        </w:rPr>
        <w:t xml:space="preserve">facilitating the </w:t>
      </w:r>
      <w:r w:rsidR="00281125" w:rsidRPr="00A33AE8">
        <w:rPr>
          <w:rFonts w:asciiTheme="majorHAnsi" w:hAnsiTheme="majorHAnsi" w:cstheme="majorHAnsi"/>
          <w:lang w:val="en-GB"/>
        </w:rPr>
        <w:t xml:space="preserve">establishment of </w:t>
      </w:r>
      <w:r w:rsidR="001F526F" w:rsidRPr="00A33AE8">
        <w:rPr>
          <w:rFonts w:asciiTheme="majorHAnsi" w:hAnsiTheme="majorHAnsi" w:cstheme="majorHAnsi"/>
          <w:lang w:val="en-GB"/>
        </w:rPr>
        <w:t xml:space="preserve">RES </w:t>
      </w:r>
      <w:r w:rsidR="00281125" w:rsidRPr="00A33AE8">
        <w:rPr>
          <w:rFonts w:asciiTheme="majorHAnsi" w:hAnsiTheme="majorHAnsi" w:cstheme="majorHAnsi"/>
          <w:lang w:val="en-GB"/>
        </w:rPr>
        <w:t>energy communities and providing an opportunity of becoming the prosumer.</w:t>
      </w:r>
    </w:p>
    <w:p w14:paraId="6F8545C9" w14:textId="77777777" w:rsidR="007A506D" w:rsidRPr="000007D2" w:rsidRDefault="00403B08" w:rsidP="001B239F">
      <w:pPr>
        <w:pStyle w:val="LDKbody"/>
        <w:rPr>
          <w:rFonts w:asciiTheme="majorHAnsi" w:hAnsiTheme="majorHAnsi"/>
          <w:lang w:val="en-GB"/>
        </w:rPr>
      </w:pPr>
      <w:r w:rsidRPr="00A33AE8">
        <w:rPr>
          <w:rFonts w:asciiTheme="majorHAnsi" w:hAnsiTheme="majorHAnsi" w:cstheme="majorHAnsi"/>
          <w:lang w:val="en-GB"/>
        </w:rPr>
        <w:t xml:space="preserve">The </w:t>
      </w:r>
      <w:r w:rsidR="007A506D" w:rsidRPr="00A33AE8">
        <w:rPr>
          <w:rFonts w:asciiTheme="majorHAnsi" w:hAnsiTheme="majorHAnsi" w:cstheme="majorHAnsi"/>
          <w:lang w:val="en-GB"/>
        </w:rPr>
        <w:t>Law on Use of RES defines biofue</w:t>
      </w:r>
      <w:r w:rsidR="006E2DB6" w:rsidRPr="00A33AE8">
        <w:rPr>
          <w:rFonts w:asciiTheme="majorHAnsi" w:hAnsiTheme="majorHAnsi" w:cstheme="majorHAnsi"/>
          <w:lang w:val="en-GB"/>
        </w:rPr>
        <w:t>l</w:t>
      </w:r>
      <w:r w:rsidR="007A506D" w:rsidRPr="00A33AE8">
        <w:rPr>
          <w:rFonts w:asciiTheme="majorHAnsi" w:hAnsiTheme="majorHAnsi" w:cstheme="majorHAnsi"/>
          <w:lang w:val="en-GB"/>
        </w:rPr>
        <w:t xml:space="preserve">s </w:t>
      </w:r>
      <w:r w:rsidR="006E2DB6" w:rsidRPr="00A33AE8">
        <w:rPr>
          <w:rFonts w:asciiTheme="majorHAnsi" w:hAnsiTheme="majorHAnsi" w:cstheme="majorHAnsi"/>
          <w:lang w:val="en-GB"/>
        </w:rPr>
        <w:t xml:space="preserve">as liquid or gaseous </w:t>
      </w:r>
      <w:r w:rsidR="007A506D" w:rsidRPr="00A33AE8">
        <w:rPr>
          <w:rFonts w:asciiTheme="majorHAnsi" w:hAnsiTheme="majorHAnsi" w:cstheme="majorHAnsi"/>
          <w:lang w:val="en-GB"/>
        </w:rPr>
        <w:t>fu</w:t>
      </w:r>
      <w:r w:rsidR="006E2DB6" w:rsidRPr="00A33AE8">
        <w:rPr>
          <w:rFonts w:asciiTheme="majorHAnsi" w:hAnsiTheme="majorHAnsi" w:cstheme="majorHAnsi"/>
          <w:lang w:val="en-GB"/>
        </w:rPr>
        <w:t>el</w:t>
      </w:r>
      <w:r w:rsidR="007A506D" w:rsidRPr="00A33AE8">
        <w:rPr>
          <w:rFonts w:asciiTheme="majorHAnsi" w:hAnsiTheme="majorHAnsi" w:cstheme="majorHAnsi"/>
          <w:lang w:val="en-GB"/>
        </w:rPr>
        <w:t xml:space="preserve">s for </w:t>
      </w:r>
      <w:r w:rsidR="00D9721A" w:rsidRPr="00A33AE8">
        <w:rPr>
          <w:rFonts w:asciiTheme="majorHAnsi" w:hAnsiTheme="majorHAnsi" w:cstheme="majorHAnsi"/>
          <w:lang w:val="en-GB"/>
        </w:rPr>
        <w:t>transport produced</w:t>
      </w:r>
      <w:r w:rsidR="007A506D" w:rsidRPr="00A33AE8">
        <w:rPr>
          <w:rFonts w:asciiTheme="majorHAnsi" w:hAnsiTheme="majorHAnsi" w:cstheme="majorHAnsi"/>
          <w:lang w:val="en-GB"/>
        </w:rPr>
        <w:t xml:space="preserve"> from biomass, </w:t>
      </w:r>
      <w:r w:rsidR="006E2DB6" w:rsidRPr="00A33AE8">
        <w:rPr>
          <w:rFonts w:asciiTheme="majorHAnsi" w:hAnsiTheme="majorHAnsi" w:cstheme="majorHAnsi"/>
          <w:lang w:val="en-GB"/>
        </w:rPr>
        <w:t>while</w:t>
      </w:r>
      <w:r w:rsidR="007A506D" w:rsidRPr="00A33AE8">
        <w:rPr>
          <w:rFonts w:asciiTheme="majorHAnsi" w:hAnsiTheme="majorHAnsi" w:cstheme="majorHAnsi"/>
          <w:lang w:val="en-GB"/>
        </w:rPr>
        <w:t xml:space="preserve"> biomass is </w:t>
      </w:r>
      <w:r w:rsidR="006E2DB6" w:rsidRPr="00A33AE8">
        <w:rPr>
          <w:rFonts w:asciiTheme="majorHAnsi" w:hAnsiTheme="majorHAnsi" w:cstheme="majorHAnsi"/>
          <w:lang w:val="en-GB"/>
        </w:rPr>
        <w:t xml:space="preserve">defined as </w:t>
      </w:r>
      <w:r w:rsidRPr="00A33AE8">
        <w:rPr>
          <w:rFonts w:asciiTheme="majorHAnsi" w:hAnsiTheme="majorHAnsi" w:cstheme="majorHAnsi"/>
          <w:lang w:val="en-GB"/>
        </w:rPr>
        <w:t xml:space="preserve">the </w:t>
      </w:r>
      <w:r w:rsidR="007A506D" w:rsidRPr="00A33AE8">
        <w:rPr>
          <w:rFonts w:asciiTheme="majorHAnsi" w:hAnsiTheme="majorHAnsi" w:cstheme="majorHAnsi"/>
          <w:lang w:val="en-GB"/>
        </w:rPr>
        <w:t>biodegradable part of the product, waste and residues</w:t>
      </w:r>
      <w:r w:rsidR="00123282" w:rsidRPr="00A33AE8">
        <w:rPr>
          <w:rFonts w:asciiTheme="majorHAnsi" w:hAnsiTheme="majorHAnsi" w:cstheme="majorHAnsi"/>
          <w:lang w:val="en-GB"/>
        </w:rPr>
        <w:t xml:space="preserve"> of biological origin</w:t>
      </w:r>
      <w:r w:rsidR="007A506D" w:rsidRPr="00A33AE8">
        <w:rPr>
          <w:rFonts w:asciiTheme="majorHAnsi" w:hAnsiTheme="majorHAnsi" w:cstheme="majorHAnsi"/>
          <w:lang w:val="en-GB"/>
        </w:rPr>
        <w:t xml:space="preserve"> from agriculture (</w:t>
      </w:r>
      <w:r w:rsidR="00123282" w:rsidRPr="00A33AE8">
        <w:rPr>
          <w:rFonts w:asciiTheme="majorHAnsi" w:hAnsiTheme="majorHAnsi" w:cstheme="majorHAnsi"/>
          <w:lang w:val="en-GB"/>
        </w:rPr>
        <w:t xml:space="preserve">including plant and animal material), forestry and related industries, as </w:t>
      </w:r>
      <w:r w:rsidR="006E2DB6" w:rsidRPr="00A33AE8">
        <w:rPr>
          <w:rFonts w:asciiTheme="majorHAnsi" w:hAnsiTheme="majorHAnsi" w:cstheme="majorHAnsi"/>
          <w:lang w:val="en-GB"/>
        </w:rPr>
        <w:t xml:space="preserve">well as a </w:t>
      </w:r>
      <w:r w:rsidR="00123282" w:rsidRPr="00A33AE8">
        <w:rPr>
          <w:rFonts w:asciiTheme="majorHAnsi" w:hAnsiTheme="majorHAnsi" w:cstheme="majorHAnsi"/>
          <w:lang w:val="en-GB"/>
        </w:rPr>
        <w:t xml:space="preserve">biodegradable part of industrial and household waste, </w:t>
      </w:r>
      <w:r w:rsidR="006E2DB6" w:rsidRPr="00A33AE8">
        <w:rPr>
          <w:rFonts w:asciiTheme="majorHAnsi" w:hAnsiTheme="majorHAnsi" w:cstheme="majorHAnsi"/>
          <w:lang w:val="en-GB"/>
        </w:rPr>
        <w:t>in accordance with the regulations governing waste management</w:t>
      </w:r>
      <w:r w:rsidR="00BD3B4E" w:rsidRPr="00A33AE8">
        <w:rPr>
          <w:rFonts w:asciiTheme="majorHAnsi" w:hAnsiTheme="majorHAnsi" w:cstheme="majorHAnsi"/>
          <w:lang w:val="en-GB"/>
        </w:rPr>
        <w:t xml:space="preserve">. </w:t>
      </w:r>
      <w:r w:rsidR="007329B8" w:rsidRPr="00A33AE8">
        <w:rPr>
          <w:rFonts w:asciiTheme="majorHAnsi" w:hAnsiTheme="majorHAnsi" w:cstheme="majorHAnsi"/>
          <w:lang w:val="en-GB"/>
        </w:rPr>
        <w:t>Furthermore, Law on Energy also defines</w:t>
      </w:r>
      <w:r w:rsidR="007329B8" w:rsidRPr="000007D2">
        <w:rPr>
          <w:lang w:val="en-GB"/>
        </w:rPr>
        <w:t xml:space="preserve"> </w:t>
      </w:r>
      <w:r w:rsidR="007329B8" w:rsidRPr="00A33AE8">
        <w:rPr>
          <w:rFonts w:asciiTheme="majorHAnsi" w:hAnsiTheme="majorHAnsi" w:cstheme="majorHAnsi"/>
          <w:lang w:val="en-GB"/>
        </w:rPr>
        <w:t xml:space="preserve">the concepts of biomass, biofuels and bioliquids in similar manner. </w:t>
      </w:r>
      <w:r w:rsidR="00BD3B4E" w:rsidRPr="00A33AE8">
        <w:rPr>
          <w:rFonts w:asciiTheme="majorHAnsi" w:hAnsiTheme="majorHAnsi" w:cstheme="majorHAnsi"/>
          <w:lang w:val="en-GB"/>
        </w:rPr>
        <w:t>In</w:t>
      </w:r>
      <w:r w:rsidR="00123282" w:rsidRPr="00A33AE8">
        <w:rPr>
          <w:rFonts w:asciiTheme="majorHAnsi" w:hAnsiTheme="majorHAnsi" w:cstheme="majorHAnsi"/>
          <w:lang w:val="en-GB"/>
        </w:rPr>
        <w:t xml:space="preserve"> order to reach </w:t>
      </w:r>
      <w:r w:rsidR="00BD3B4E" w:rsidRPr="00A33AE8">
        <w:rPr>
          <w:rFonts w:asciiTheme="majorHAnsi" w:hAnsiTheme="majorHAnsi" w:cstheme="majorHAnsi"/>
          <w:lang w:val="en-GB"/>
        </w:rPr>
        <w:t xml:space="preserve">the </w:t>
      </w:r>
      <w:r w:rsidR="00123282" w:rsidRPr="00A33AE8">
        <w:rPr>
          <w:rFonts w:asciiTheme="majorHAnsi" w:hAnsiTheme="majorHAnsi" w:cstheme="majorHAnsi"/>
          <w:lang w:val="en-GB"/>
        </w:rPr>
        <w:t xml:space="preserve">planned share of renewables in the final energy consumption </w:t>
      </w:r>
      <w:r w:rsidR="00BD3B4E" w:rsidRPr="00A33AE8">
        <w:rPr>
          <w:rFonts w:asciiTheme="majorHAnsi" w:hAnsiTheme="majorHAnsi" w:cstheme="majorHAnsi"/>
          <w:lang w:val="en-GB"/>
        </w:rPr>
        <w:t xml:space="preserve">in transport, </w:t>
      </w:r>
      <w:r w:rsidR="00606D25" w:rsidRPr="00A33AE8">
        <w:rPr>
          <w:rFonts w:asciiTheme="majorHAnsi" w:hAnsiTheme="majorHAnsi" w:cstheme="majorHAnsi"/>
          <w:lang w:val="en-GB"/>
        </w:rPr>
        <w:t>incentives</w:t>
      </w:r>
      <w:r w:rsidR="00BD3B4E" w:rsidRPr="00A33AE8">
        <w:rPr>
          <w:rFonts w:asciiTheme="majorHAnsi" w:hAnsiTheme="majorHAnsi" w:cstheme="majorHAnsi"/>
          <w:lang w:val="en-GB"/>
        </w:rPr>
        <w:t xml:space="preserve"> can be provided to the </w:t>
      </w:r>
      <w:r w:rsidRPr="00A33AE8">
        <w:rPr>
          <w:rFonts w:asciiTheme="majorHAnsi" w:hAnsiTheme="majorHAnsi" w:cstheme="majorHAnsi"/>
          <w:lang w:val="en-GB"/>
        </w:rPr>
        <w:t xml:space="preserve">biofuels </w:t>
      </w:r>
      <w:r w:rsidR="00BD3B4E" w:rsidRPr="00A33AE8">
        <w:rPr>
          <w:rFonts w:asciiTheme="majorHAnsi" w:hAnsiTheme="majorHAnsi" w:cstheme="majorHAnsi"/>
          <w:lang w:val="en-GB"/>
        </w:rPr>
        <w:t xml:space="preserve">producers only for units producing advanced </w:t>
      </w:r>
      <w:r w:rsidR="00606D25" w:rsidRPr="00A33AE8">
        <w:rPr>
          <w:rFonts w:asciiTheme="majorHAnsi" w:hAnsiTheme="majorHAnsi" w:cstheme="majorHAnsi"/>
          <w:lang w:val="en-GB"/>
        </w:rPr>
        <w:t>biofuels</w:t>
      </w:r>
      <w:r w:rsidR="00BD3B4E" w:rsidRPr="00A33AE8">
        <w:rPr>
          <w:rFonts w:asciiTheme="majorHAnsi" w:hAnsiTheme="majorHAnsi" w:cstheme="majorHAnsi"/>
          <w:lang w:val="en-GB"/>
        </w:rPr>
        <w:t>. For the first time, the use of electricity generated from RES in transport sector is defined.</w:t>
      </w:r>
    </w:p>
    <w:p w14:paraId="66D33551" w14:textId="77777777" w:rsidR="00BD3B4E" w:rsidRPr="00A33AE8" w:rsidRDefault="00CA3709" w:rsidP="007B103D">
      <w:pPr>
        <w:pStyle w:val="LDKbody"/>
        <w:rPr>
          <w:rFonts w:asciiTheme="majorHAnsi" w:hAnsiTheme="majorHAnsi" w:cstheme="majorHAnsi"/>
          <w:lang w:val="en-GB"/>
        </w:rPr>
      </w:pPr>
      <w:r w:rsidRPr="00A33AE8">
        <w:rPr>
          <w:rFonts w:asciiTheme="majorHAnsi" w:hAnsiTheme="majorHAnsi" w:cstheme="majorHAnsi"/>
          <w:lang w:val="en-GB"/>
        </w:rPr>
        <w:t>Furthermore,</w:t>
      </w:r>
      <w:r w:rsidR="006972B5" w:rsidRPr="00A33AE8">
        <w:rPr>
          <w:rFonts w:asciiTheme="majorHAnsi" w:hAnsiTheme="majorHAnsi" w:cstheme="majorHAnsi"/>
          <w:lang w:val="en-GB"/>
        </w:rPr>
        <w:t xml:space="preserve"> the status of biofuels, bioliquids and fuels from biomass is defined in the Law on RES. In the case that biofuels, bioliquids and fuels from biomass not produced from waste comply with sustainability criteria and achieve savings in greenhouse gas emissions, the energy generated from respective fuels may be considered as RES in the gross energy consumption used in all forms of transport and subject to incentives in line with Law</w:t>
      </w:r>
      <w:r w:rsidR="00190635" w:rsidRPr="00A33AE8">
        <w:rPr>
          <w:rFonts w:asciiTheme="majorHAnsi" w:hAnsiTheme="majorHAnsi" w:cstheme="majorHAnsi"/>
          <w:lang w:val="en-GB"/>
        </w:rPr>
        <w:t xml:space="preserve"> on RES</w:t>
      </w:r>
      <w:r w:rsidR="006972B5" w:rsidRPr="00A33AE8">
        <w:rPr>
          <w:rFonts w:asciiTheme="majorHAnsi" w:hAnsiTheme="majorHAnsi" w:cstheme="majorHAnsi"/>
          <w:lang w:val="en-GB"/>
        </w:rPr>
        <w:t>.</w:t>
      </w:r>
      <w:r w:rsidR="0079007B" w:rsidRPr="000007D2">
        <w:rPr>
          <w:rFonts w:asciiTheme="majorHAnsi" w:hAnsiTheme="majorHAnsi" w:cstheme="majorHAnsi"/>
          <w:lang w:val="en-GB"/>
        </w:rPr>
        <w:t xml:space="preserve"> </w:t>
      </w:r>
      <w:r w:rsidR="006972B5" w:rsidRPr="00A33AE8">
        <w:rPr>
          <w:rFonts w:asciiTheme="majorHAnsi" w:hAnsiTheme="majorHAnsi" w:cstheme="majorHAnsi"/>
          <w:lang w:val="en-GB"/>
        </w:rPr>
        <w:t>The Law</w:t>
      </w:r>
      <w:r w:rsidR="0079007B" w:rsidRPr="000007D2">
        <w:rPr>
          <w:rFonts w:asciiTheme="majorHAnsi" w:hAnsiTheme="majorHAnsi" w:cstheme="majorHAnsi"/>
          <w:lang w:val="en-GB"/>
        </w:rPr>
        <w:t xml:space="preserve"> </w:t>
      </w:r>
      <w:r w:rsidR="0079007B" w:rsidRPr="00A33AE8">
        <w:rPr>
          <w:rFonts w:asciiTheme="majorHAnsi" w:hAnsiTheme="majorHAnsi" w:cstheme="majorHAnsi"/>
          <w:lang w:val="en-GB"/>
        </w:rPr>
        <w:t>on RES</w:t>
      </w:r>
      <w:r w:rsidR="006972B5" w:rsidRPr="00A33AE8">
        <w:rPr>
          <w:rFonts w:asciiTheme="majorHAnsi" w:hAnsiTheme="majorHAnsi" w:cstheme="majorHAnsi"/>
          <w:lang w:val="en-GB"/>
        </w:rPr>
        <w:t xml:space="preserve"> prescribes two types of incentives: (i) incentives for use of innovative technologies and new RES </w:t>
      </w:r>
      <w:r w:rsidR="00733E0C" w:rsidRPr="00733E0C">
        <w:rPr>
          <w:rFonts w:asciiTheme="majorHAnsi" w:hAnsiTheme="majorHAnsi" w:cstheme="majorHAnsi"/>
          <w:lang w:val="en-GB"/>
        </w:rPr>
        <w:t>including</w:t>
      </w:r>
      <w:r w:rsidR="006972B5" w:rsidRPr="00A33AE8">
        <w:rPr>
          <w:rFonts w:asciiTheme="majorHAnsi" w:hAnsiTheme="majorHAnsi" w:cstheme="majorHAnsi"/>
          <w:lang w:val="en-GB"/>
        </w:rPr>
        <w:t xml:space="preserve"> </w:t>
      </w:r>
      <w:r w:rsidR="00733E0C" w:rsidRPr="00733E0C">
        <w:rPr>
          <w:rFonts w:asciiTheme="majorHAnsi" w:hAnsiTheme="majorHAnsi" w:cstheme="majorHAnsi"/>
          <w:lang w:val="en-GB"/>
        </w:rPr>
        <w:t>renewable</w:t>
      </w:r>
      <w:r w:rsidR="00733E0C">
        <w:rPr>
          <w:rFonts w:asciiTheme="majorHAnsi" w:hAnsiTheme="majorHAnsi" w:cstheme="majorHAnsi"/>
          <w:lang w:val="en-GB"/>
        </w:rPr>
        <w:t xml:space="preserve"> </w:t>
      </w:r>
      <w:r w:rsidR="006972B5" w:rsidRPr="00A33AE8">
        <w:rPr>
          <w:rFonts w:asciiTheme="majorHAnsi" w:hAnsiTheme="majorHAnsi" w:cstheme="majorHAnsi"/>
          <w:lang w:val="en-GB"/>
        </w:rPr>
        <w:t>hydrogen</w:t>
      </w:r>
      <w:r w:rsidR="00733E0C">
        <w:rPr>
          <w:rFonts w:asciiTheme="majorHAnsi" w:hAnsiTheme="majorHAnsi" w:cstheme="majorHAnsi"/>
          <w:lang w:val="en-GB"/>
        </w:rPr>
        <w:t xml:space="preserve"> </w:t>
      </w:r>
      <w:r w:rsidR="00733E0C" w:rsidRPr="00733E0C">
        <w:rPr>
          <w:rFonts w:asciiTheme="majorHAnsi" w:hAnsiTheme="majorHAnsi" w:cstheme="majorHAnsi"/>
          <w:lang w:val="en-GB"/>
        </w:rPr>
        <w:t>as a storage option</w:t>
      </w:r>
      <w:r w:rsidR="006972B5" w:rsidRPr="00A33AE8">
        <w:rPr>
          <w:rFonts w:asciiTheme="majorHAnsi" w:hAnsiTheme="majorHAnsi" w:cstheme="majorHAnsi"/>
          <w:lang w:val="en-GB"/>
        </w:rPr>
        <w:t xml:space="preserve">, and (ii) incentives for the production of biofuels. </w:t>
      </w:r>
      <w:r w:rsidR="00A41EDC" w:rsidRPr="00A33AE8">
        <w:rPr>
          <w:rFonts w:asciiTheme="majorHAnsi" w:hAnsiTheme="majorHAnsi" w:cstheme="majorHAnsi"/>
          <w:lang w:val="en-GB"/>
        </w:rPr>
        <w:t>Renewable hydrogen can</w:t>
      </w:r>
      <w:r w:rsidR="005416B8" w:rsidRPr="000007D2">
        <w:rPr>
          <w:rFonts w:asciiTheme="majorHAnsi" w:hAnsiTheme="majorHAnsi" w:cstheme="majorHAnsi"/>
          <w:lang w:val="en-GB"/>
        </w:rPr>
        <w:t xml:space="preserve"> </w:t>
      </w:r>
      <w:r w:rsidR="005416B8" w:rsidRPr="00A33AE8">
        <w:rPr>
          <w:rFonts w:asciiTheme="majorHAnsi" w:hAnsiTheme="majorHAnsi" w:cstheme="majorHAnsi"/>
          <w:lang w:val="en-GB"/>
        </w:rPr>
        <w:t xml:space="preserve">be </w:t>
      </w:r>
      <w:r w:rsidR="00A41EDC" w:rsidRPr="00A33AE8">
        <w:rPr>
          <w:rFonts w:asciiTheme="majorHAnsi" w:hAnsiTheme="majorHAnsi" w:cstheme="majorHAnsi"/>
          <w:lang w:val="en-GB"/>
        </w:rPr>
        <w:t xml:space="preserve">used in the heat </w:t>
      </w:r>
      <w:r w:rsidR="00403B08" w:rsidRPr="00A33AE8">
        <w:rPr>
          <w:rFonts w:asciiTheme="majorHAnsi" w:hAnsiTheme="majorHAnsi" w:cstheme="majorHAnsi"/>
          <w:lang w:val="en-GB"/>
        </w:rPr>
        <w:t xml:space="preserve">and transport </w:t>
      </w:r>
      <w:r w:rsidR="00A41EDC" w:rsidRPr="00A33AE8">
        <w:rPr>
          <w:rFonts w:asciiTheme="majorHAnsi" w:hAnsiTheme="majorHAnsi" w:cstheme="majorHAnsi"/>
          <w:lang w:val="en-GB"/>
        </w:rPr>
        <w:t>sector</w:t>
      </w:r>
      <w:r w:rsidR="00403B08" w:rsidRPr="00A33AE8">
        <w:rPr>
          <w:rFonts w:asciiTheme="majorHAnsi" w:hAnsiTheme="majorHAnsi" w:cstheme="majorHAnsi"/>
          <w:lang w:val="en-GB"/>
        </w:rPr>
        <w:t>s</w:t>
      </w:r>
      <w:r w:rsidR="00A41EDC" w:rsidRPr="00A33AE8">
        <w:rPr>
          <w:rFonts w:asciiTheme="majorHAnsi" w:hAnsiTheme="majorHAnsi" w:cstheme="majorHAnsi"/>
          <w:lang w:val="en-GB"/>
        </w:rPr>
        <w:t xml:space="preserve">, </w:t>
      </w:r>
      <w:r w:rsidR="00403B08" w:rsidRPr="00A33AE8">
        <w:rPr>
          <w:rFonts w:asciiTheme="majorHAnsi" w:hAnsiTheme="majorHAnsi" w:cstheme="majorHAnsi"/>
          <w:lang w:val="en-GB"/>
        </w:rPr>
        <w:t>as well as replace</w:t>
      </w:r>
      <w:r w:rsidR="00124723" w:rsidRPr="00124723">
        <w:rPr>
          <w:rFonts w:asciiTheme="majorHAnsi" w:hAnsiTheme="majorHAnsi" w:cstheme="majorHAnsi"/>
          <w:lang w:val="en-GB"/>
        </w:rPr>
        <w:t>ment for</w:t>
      </w:r>
      <w:r w:rsidR="00A41EDC" w:rsidRPr="00A33AE8">
        <w:rPr>
          <w:rFonts w:asciiTheme="majorHAnsi" w:hAnsiTheme="majorHAnsi" w:cstheme="majorHAnsi"/>
          <w:lang w:val="en-GB"/>
        </w:rPr>
        <w:t xml:space="preserve"> natural gas.</w:t>
      </w:r>
    </w:p>
    <w:p w14:paraId="4FB143A9" w14:textId="77777777" w:rsidR="005E0E9A" w:rsidRPr="00A33AE8" w:rsidRDefault="005E0E9A" w:rsidP="007B103D">
      <w:pPr>
        <w:pStyle w:val="LDKbody"/>
        <w:rPr>
          <w:rFonts w:asciiTheme="majorHAnsi" w:hAnsiTheme="majorHAnsi" w:cstheme="majorHAnsi"/>
          <w:lang w:val="en-GB"/>
        </w:rPr>
      </w:pPr>
      <w:r w:rsidRPr="000007D2">
        <w:rPr>
          <w:rFonts w:asciiTheme="majorHAnsi" w:hAnsiTheme="majorHAnsi" w:cstheme="majorHAnsi"/>
          <w:b/>
          <w:bCs/>
          <w:lang w:val="en-GB"/>
        </w:rPr>
        <w:t>The Directive (EP) 2009/28</w:t>
      </w:r>
      <w:r w:rsidRPr="000007D2">
        <w:rPr>
          <w:rFonts w:asciiTheme="majorHAnsi" w:hAnsiTheme="majorHAnsi" w:cstheme="majorHAnsi"/>
          <w:lang w:val="en-GB"/>
        </w:rPr>
        <w:t xml:space="preserve"> which refers to renewable energy sources aiming at the reduction of greenhouse gases, in its segment related to the mandatory content of biofuels in motor fuels is implemented in the local legislation as of 2019 since the following documents were adopted: </w:t>
      </w:r>
      <w:r w:rsidRPr="000007D2">
        <w:rPr>
          <w:rFonts w:asciiTheme="majorHAnsi" w:hAnsiTheme="majorHAnsi" w:cstheme="majorHAnsi"/>
          <w:b/>
          <w:bCs/>
          <w:lang w:val="en-GB"/>
        </w:rPr>
        <w:t>Decree on Biofuel Market Share</w:t>
      </w:r>
      <w:r w:rsidRPr="00A33AE8">
        <w:rPr>
          <w:rStyle w:val="FootnoteReference"/>
          <w:rFonts w:asciiTheme="majorHAnsi" w:hAnsiTheme="majorHAnsi" w:cstheme="majorHAnsi"/>
        </w:rPr>
        <w:footnoteReference w:id="38"/>
      </w:r>
      <w:r w:rsidRPr="000007D2">
        <w:rPr>
          <w:rFonts w:asciiTheme="majorHAnsi" w:hAnsiTheme="majorHAnsi" w:cstheme="majorHAnsi"/>
          <w:lang w:val="en-GB"/>
        </w:rPr>
        <w:t xml:space="preserve">, </w:t>
      </w:r>
      <w:r w:rsidRPr="000007D2">
        <w:rPr>
          <w:rFonts w:asciiTheme="majorHAnsi" w:hAnsiTheme="majorHAnsi" w:cstheme="majorHAnsi"/>
          <w:b/>
          <w:bCs/>
          <w:lang w:val="en-GB"/>
        </w:rPr>
        <w:t>Rulebook on Technical and Other Requirements for Biofuels and Bioliquids</w:t>
      </w:r>
      <w:r w:rsidRPr="00A33AE8">
        <w:rPr>
          <w:rStyle w:val="FootnoteReference"/>
          <w:rFonts w:asciiTheme="majorHAnsi" w:hAnsiTheme="majorHAnsi" w:cstheme="majorHAnsi"/>
        </w:rPr>
        <w:footnoteReference w:id="39"/>
      </w:r>
      <w:r w:rsidRPr="000007D2">
        <w:rPr>
          <w:rFonts w:asciiTheme="majorHAnsi" w:hAnsiTheme="majorHAnsi" w:cstheme="majorHAnsi"/>
          <w:lang w:val="en-GB"/>
        </w:rPr>
        <w:t xml:space="preserve"> and </w:t>
      </w:r>
      <w:r w:rsidRPr="000007D2">
        <w:rPr>
          <w:rFonts w:asciiTheme="majorHAnsi" w:hAnsiTheme="majorHAnsi" w:cstheme="majorHAnsi"/>
          <w:b/>
          <w:bCs/>
          <w:lang w:val="en-GB"/>
        </w:rPr>
        <w:t>Decree on Biofuels Sustainability Criterion</w:t>
      </w:r>
      <w:r w:rsidRPr="00A33AE8">
        <w:rPr>
          <w:rStyle w:val="FootnoteReference"/>
          <w:rFonts w:asciiTheme="majorHAnsi" w:hAnsiTheme="majorHAnsi" w:cstheme="majorHAnsi"/>
        </w:rPr>
        <w:footnoteReference w:id="40"/>
      </w:r>
      <w:r w:rsidRPr="000007D2">
        <w:rPr>
          <w:rFonts w:asciiTheme="majorHAnsi" w:hAnsiTheme="majorHAnsi" w:cstheme="majorHAnsi"/>
          <w:lang w:val="en-GB"/>
        </w:rPr>
        <w:t xml:space="preserve">. </w:t>
      </w:r>
      <w:r w:rsidRPr="000007D2">
        <w:rPr>
          <w:rFonts w:asciiTheme="majorHAnsi" w:hAnsiTheme="majorHAnsi" w:cstheme="majorHAnsi"/>
          <w:b/>
          <w:bCs/>
          <w:lang w:val="en-GB"/>
        </w:rPr>
        <w:t>Rulebook on Calculation of Renewable Energy Sources Share</w:t>
      </w:r>
      <w:r w:rsidRPr="00A33AE8">
        <w:rPr>
          <w:rStyle w:val="FootnoteReference"/>
          <w:rFonts w:asciiTheme="majorHAnsi" w:hAnsiTheme="majorHAnsi" w:cstheme="majorHAnsi"/>
        </w:rPr>
        <w:footnoteReference w:id="41"/>
      </w:r>
      <w:r w:rsidRPr="000007D2">
        <w:rPr>
          <w:rFonts w:asciiTheme="majorHAnsi" w:hAnsiTheme="majorHAnsi" w:cstheme="majorHAnsi"/>
          <w:lang w:val="en-GB"/>
        </w:rPr>
        <w:t xml:space="preserve"> was adopted in 2020.</w:t>
      </w:r>
    </w:p>
    <w:p w14:paraId="5E7D7F10" w14:textId="77777777" w:rsidR="00A55C69" w:rsidRPr="00A33AE8" w:rsidRDefault="00A55C69" w:rsidP="007B103D">
      <w:pPr>
        <w:pStyle w:val="LDKbody"/>
        <w:rPr>
          <w:rFonts w:asciiTheme="majorHAnsi" w:hAnsiTheme="majorHAnsi" w:cstheme="majorHAnsi"/>
          <w:lang w:val="en-GB"/>
        </w:rPr>
      </w:pPr>
      <w:r w:rsidRPr="00A33AE8">
        <w:rPr>
          <w:rFonts w:asciiTheme="majorHAnsi" w:hAnsiTheme="majorHAnsi" w:cstheme="majorHAnsi"/>
          <w:lang w:val="en-GB"/>
        </w:rPr>
        <w:t>Amendments to the Law on Energy from 2021 introduce</w:t>
      </w:r>
      <w:r w:rsidRPr="000007D2">
        <w:rPr>
          <w:rFonts w:asciiTheme="majorHAnsi" w:hAnsiTheme="majorHAnsi" w:cstheme="majorHAnsi"/>
          <w:lang w:val="en-GB"/>
        </w:rPr>
        <w:t>d</w:t>
      </w:r>
      <w:r w:rsidRPr="00A33AE8">
        <w:rPr>
          <w:rFonts w:asciiTheme="majorHAnsi" w:hAnsiTheme="majorHAnsi" w:cstheme="majorHAnsi"/>
          <w:lang w:val="en-GB"/>
        </w:rPr>
        <w:t xml:space="preserve"> hydrogen production as motor fuel, and production and mixing of bioliquids. It was specified that there is an energy activity for the trade of oil, oil derivatives, biofuels, bioliquids, compressed natural gas, liquefied natural gas and hydrogen. Hydrogen and liquefied natural gas have been introduced into the extended concept of motor fuels, which makes it possible to trade ecologically acceptable fuels at stations for supplying means of transport, that is, to use them as energy sources in traffic.</w:t>
      </w:r>
    </w:p>
    <w:p w14:paraId="0F806C65" w14:textId="77777777" w:rsidR="00190635" w:rsidRPr="00A33AE8" w:rsidRDefault="001B239F" w:rsidP="00190635">
      <w:pPr>
        <w:pStyle w:val="LDKbody"/>
        <w:rPr>
          <w:rFonts w:asciiTheme="majorHAnsi" w:hAnsiTheme="majorHAnsi" w:cstheme="majorHAnsi"/>
          <w:lang w:val="en-GB"/>
        </w:rPr>
      </w:pPr>
      <w:r w:rsidRPr="00A33AE8">
        <w:rPr>
          <w:rFonts w:asciiTheme="majorHAnsi" w:hAnsiTheme="majorHAnsi" w:cstheme="majorHAnsi"/>
          <w:lang w:val="en-GB"/>
        </w:rPr>
        <w:t>A</w:t>
      </w:r>
      <w:r w:rsidR="00190635" w:rsidRPr="00A33AE8">
        <w:rPr>
          <w:rFonts w:asciiTheme="majorHAnsi" w:hAnsiTheme="majorHAnsi" w:cstheme="majorHAnsi"/>
          <w:lang w:val="en-GB"/>
        </w:rPr>
        <w:t xml:space="preserve">dditional </w:t>
      </w:r>
      <w:r w:rsidR="00403B08" w:rsidRPr="00A33AE8">
        <w:rPr>
          <w:rFonts w:asciiTheme="majorHAnsi" w:hAnsiTheme="majorHAnsi" w:cstheme="majorHAnsi"/>
          <w:lang w:val="en-GB"/>
        </w:rPr>
        <w:t xml:space="preserve">incentive </w:t>
      </w:r>
      <w:r w:rsidR="00A41EDC" w:rsidRPr="00A33AE8">
        <w:rPr>
          <w:rFonts w:asciiTheme="majorHAnsi" w:hAnsiTheme="majorHAnsi" w:cstheme="majorHAnsi"/>
          <w:lang w:val="en-GB"/>
        </w:rPr>
        <w:t>measures</w:t>
      </w:r>
      <w:r w:rsidR="00190635" w:rsidRPr="00A33AE8">
        <w:rPr>
          <w:rFonts w:asciiTheme="majorHAnsi" w:hAnsiTheme="majorHAnsi" w:cstheme="majorHAnsi"/>
          <w:lang w:val="en-GB"/>
        </w:rPr>
        <w:t xml:space="preserve"> are prescribed for the use of RES in the heat</w:t>
      </w:r>
      <w:r w:rsidR="00294544" w:rsidRPr="00A33AE8">
        <w:rPr>
          <w:rFonts w:asciiTheme="majorHAnsi" w:hAnsiTheme="majorHAnsi" w:cstheme="majorHAnsi"/>
          <w:lang w:val="en-GB"/>
        </w:rPr>
        <w:t>ing</w:t>
      </w:r>
      <w:r w:rsidR="00190635" w:rsidRPr="00A33AE8">
        <w:rPr>
          <w:rFonts w:asciiTheme="majorHAnsi" w:hAnsiTheme="majorHAnsi" w:cstheme="majorHAnsi"/>
          <w:lang w:val="en-GB"/>
        </w:rPr>
        <w:t xml:space="preserve"> sector. Energy entities that perform the activity of production, distribution and supply of customers with heat energy can acquire incentive measures if they use highly efficient cogeneration, waste heat or renewable energy sources. </w:t>
      </w:r>
      <w:r w:rsidR="00A41EDC" w:rsidRPr="00A33AE8">
        <w:rPr>
          <w:rFonts w:asciiTheme="majorHAnsi" w:hAnsiTheme="majorHAnsi" w:cstheme="majorHAnsi"/>
          <w:lang w:val="en-GB"/>
        </w:rPr>
        <w:t>Incentive measures in the heat sector are prescribe</w:t>
      </w:r>
      <w:r w:rsidR="003261D4" w:rsidRPr="00A33AE8">
        <w:rPr>
          <w:rFonts w:asciiTheme="majorHAnsi" w:hAnsiTheme="majorHAnsi" w:cstheme="majorHAnsi"/>
          <w:lang w:val="en-GB"/>
        </w:rPr>
        <w:t xml:space="preserve">d and </w:t>
      </w:r>
      <w:r w:rsidR="00403B08" w:rsidRPr="00A33AE8">
        <w:rPr>
          <w:rFonts w:asciiTheme="majorHAnsi" w:hAnsiTheme="majorHAnsi" w:cstheme="majorHAnsi"/>
          <w:lang w:val="en-GB"/>
        </w:rPr>
        <w:t xml:space="preserve">provided </w:t>
      </w:r>
      <w:r w:rsidR="003261D4" w:rsidRPr="00A33AE8">
        <w:rPr>
          <w:rFonts w:asciiTheme="majorHAnsi" w:hAnsiTheme="majorHAnsi" w:cstheme="majorHAnsi"/>
          <w:lang w:val="en-GB"/>
        </w:rPr>
        <w:t>by the local self-governments.</w:t>
      </w:r>
    </w:p>
    <w:p w14:paraId="4CCB2187" w14:textId="77777777" w:rsidR="007727D3" w:rsidRPr="00A33AE8" w:rsidRDefault="007727D3" w:rsidP="00AC70D7">
      <w:pPr>
        <w:pStyle w:val="LDKbody"/>
        <w:rPr>
          <w:rFonts w:asciiTheme="majorHAnsi" w:hAnsiTheme="majorHAnsi" w:cstheme="majorHAnsi"/>
          <w:lang w:val="en-GB"/>
        </w:rPr>
      </w:pPr>
    </w:p>
    <w:p w14:paraId="27D212C8" w14:textId="77777777" w:rsidR="00F26FA8" w:rsidRPr="00A33AE8" w:rsidRDefault="00F26FA8" w:rsidP="00AC70D7">
      <w:pPr>
        <w:pStyle w:val="LDKbody"/>
        <w:rPr>
          <w:rFonts w:asciiTheme="majorHAnsi" w:hAnsiTheme="majorHAnsi" w:cstheme="majorHAnsi"/>
          <w:b/>
          <w:bCs/>
          <w:lang w:val="en-GB"/>
        </w:rPr>
      </w:pPr>
      <w:r w:rsidRPr="00A33AE8">
        <w:rPr>
          <w:rFonts w:asciiTheme="majorHAnsi" w:hAnsiTheme="majorHAnsi" w:cstheme="majorHAnsi"/>
          <w:b/>
          <w:bCs/>
          <w:lang w:val="en-GB"/>
        </w:rPr>
        <w:t>Energy Efficiency</w:t>
      </w:r>
    </w:p>
    <w:p w14:paraId="41275B39" w14:textId="4F7A79A4" w:rsidR="00C22B20" w:rsidRPr="000007D2" w:rsidRDefault="0067731F" w:rsidP="00C22B20">
      <w:pPr>
        <w:pStyle w:val="LDKbody"/>
        <w:rPr>
          <w:rFonts w:asciiTheme="majorHAnsi" w:hAnsiTheme="majorHAnsi" w:cstheme="majorHAnsi"/>
          <w:lang w:val="en-GB"/>
        </w:rPr>
      </w:pPr>
      <w:r w:rsidRPr="00A33AE8">
        <w:rPr>
          <w:rFonts w:asciiTheme="majorHAnsi" w:hAnsiTheme="majorHAnsi" w:cstheme="majorHAnsi"/>
          <w:lang w:val="en-GB"/>
        </w:rPr>
        <w:t xml:space="preserve">The </w:t>
      </w:r>
      <w:r w:rsidRPr="00A33AE8">
        <w:rPr>
          <w:rFonts w:asciiTheme="majorHAnsi" w:hAnsiTheme="majorHAnsi" w:cstheme="majorHAnsi"/>
          <w:b/>
          <w:bCs/>
          <w:lang w:val="en-GB"/>
        </w:rPr>
        <w:t>Law on Energy Efficiency and Rational Use of Energy</w:t>
      </w:r>
      <w:r w:rsidRPr="00A33AE8">
        <w:rPr>
          <w:rStyle w:val="FootnoteReference"/>
          <w:rFonts w:asciiTheme="majorHAnsi" w:eastAsiaTheme="majorEastAsia" w:hAnsiTheme="majorHAnsi" w:cstheme="majorHAnsi"/>
        </w:rPr>
        <w:footnoteReference w:id="42"/>
      </w:r>
      <w:r w:rsidR="00C22B20" w:rsidRPr="00A33AE8">
        <w:rPr>
          <w:rFonts w:asciiTheme="majorHAnsi" w:eastAsiaTheme="minorHAnsi" w:hAnsiTheme="majorHAnsi" w:cstheme="majorHAnsi"/>
          <w:lang w:val="en-GB" w:eastAsia="en-US"/>
        </w:rPr>
        <w:t xml:space="preserve"> (</w:t>
      </w:r>
      <w:r w:rsidR="00C22B20" w:rsidRPr="00A33AE8">
        <w:rPr>
          <w:rFonts w:asciiTheme="majorHAnsi" w:hAnsiTheme="majorHAnsi" w:cstheme="majorHAnsi"/>
          <w:lang w:val="en-GB"/>
        </w:rPr>
        <w:t xml:space="preserve">LEERUE) </w:t>
      </w:r>
      <w:r w:rsidR="00550968" w:rsidRPr="00A33AE8">
        <w:rPr>
          <w:rFonts w:asciiTheme="majorHAnsi" w:hAnsiTheme="majorHAnsi" w:cstheme="majorHAnsi"/>
          <w:lang w:val="en-GB"/>
        </w:rPr>
        <w:t xml:space="preserve">adopted in 2021, </w:t>
      </w:r>
      <w:r w:rsidR="00DA1852" w:rsidRPr="00A33AE8">
        <w:rPr>
          <w:rFonts w:asciiTheme="majorHAnsi" w:hAnsiTheme="majorHAnsi" w:cstheme="majorHAnsi"/>
          <w:lang w:val="en-GB"/>
        </w:rPr>
        <w:t xml:space="preserve">replaced the </w:t>
      </w:r>
      <w:r w:rsidR="00DA1852" w:rsidRPr="00A33AE8">
        <w:rPr>
          <w:rFonts w:asciiTheme="majorHAnsi" w:hAnsiTheme="majorHAnsi" w:cstheme="majorHAnsi"/>
          <w:b/>
          <w:bCs/>
          <w:lang w:val="en-GB"/>
        </w:rPr>
        <w:t>Law on Efficient Use of Energy</w:t>
      </w:r>
      <w:r w:rsidR="00DA1852" w:rsidRPr="00A33AE8">
        <w:rPr>
          <w:rFonts w:asciiTheme="majorHAnsi" w:hAnsiTheme="majorHAnsi" w:cstheme="majorHAnsi"/>
          <w:b/>
          <w:bCs/>
          <w:vertAlign w:val="superscript"/>
          <w:lang w:val="en-GB"/>
        </w:rPr>
        <w:footnoteReference w:id="43"/>
      </w:r>
      <w:r w:rsidR="00DA1852" w:rsidRPr="00A33AE8">
        <w:rPr>
          <w:rFonts w:asciiTheme="majorHAnsi" w:hAnsiTheme="majorHAnsi" w:cstheme="majorHAnsi"/>
          <w:lang w:val="en-GB"/>
        </w:rPr>
        <w:t xml:space="preserve"> </w:t>
      </w:r>
      <w:r w:rsidR="00C22B20" w:rsidRPr="000007D2">
        <w:rPr>
          <w:rFonts w:asciiTheme="majorHAnsi" w:hAnsiTheme="majorHAnsi" w:cstheme="majorHAnsi"/>
          <w:lang w:val="en-GB"/>
        </w:rPr>
        <w:t>(LEUE) which was in force in the period 2013-2021. LEERUE was adopted with the aim of harmonizing with the new regulation in the field of energy efficiency in EU</w:t>
      </w:r>
      <w:r w:rsidR="00E64E9F" w:rsidRPr="000007D2">
        <w:rPr>
          <w:rFonts w:asciiTheme="majorHAnsi" w:hAnsiTheme="majorHAnsi" w:cstheme="majorHAnsi"/>
          <w:lang w:val="en-GB"/>
        </w:rPr>
        <w:t xml:space="preserve">, </w:t>
      </w:r>
      <w:r w:rsidR="00C22B20" w:rsidRPr="000007D2">
        <w:rPr>
          <w:rFonts w:asciiTheme="majorHAnsi" w:hAnsiTheme="majorHAnsi" w:cstheme="majorHAnsi"/>
          <w:lang w:val="en-GB"/>
        </w:rPr>
        <w:t xml:space="preserve">which was adopted in the meantime, as well as with the aim of improving certain provisions of LEUE. Today, LEERU </w:t>
      </w:r>
      <w:r w:rsidR="00550968" w:rsidRPr="00A33AE8">
        <w:rPr>
          <w:rFonts w:asciiTheme="majorHAnsi" w:hAnsiTheme="majorHAnsi" w:cstheme="majorHAnsi"/>
          <w:lang w:val="en-GB"/>
        </w:rPr>
        <w:t xml:space="preserve">presents a key legislative framework for the area of energy efficiency, </w:t>
      </w:r>
      <w:r w:rsidRPr="00A33AE8">
        <w:rPr>
          <w:rFonts w:asciiTheme="majorHAnsi" w:hAnsiTheme="majorHAnsi" w:cstheme="majorHAnsi"/>
          <w:lang w:val="en-GB"/>
        </w:rPr>
        <w:t>establish</w:t>
      </w:r>
      <w:r w:rsidR="00550968" w:rsidRPr="00A33AE8">
        <w:rPr>
          <w:rFonts w:asciiTheme="majorHAnsi" w:hAnsiTheme="majorHAnsi" w:cstheme="majorHAnsi"/>
          <w:lang w:val="en-GB"/>
        </w:rPr>
        <w:t>ing</w:t>
      </w:r>
      <w:r w:rsidRPr="00A33AE8">
        <w:rPr>
          <w:rFonts w:asciiTheme="majorHAnsi" w:hAnsiTheme="majorHAnsi" w:cstheme="majorHAnsi"/>
          <w:lang w:val="en-GB"/>
        </w:rPr>
        <w:t xml:space="preserve"> the terms and conditions </w:t>
      </w:r>
      <w:r w:rsidR="008F3366" w:rsidRPr="00A33AE8">
        <w:rPr>
          <w:rFonts w:asciiTheme="majorHAnsi" w:hAnsiTheme="majorHAnsi" w:cstheme="majorHAnsi"/>
          <w:lang w:val="en-GB"/>
        </w:rPr>
        <w:t xml:space="preserve">for </w:t>
      </w:r>
      <w:r w:rsidRPr="00A33AE8">
        <w:rPr>
          <w:rFonts w:asciiTheme="majorHAnsi" w:hAnsiTheme="majorHAnsi" w:cstheme="majorHAnsi"/>
          <w:lang w:val="en-GB"/>
        </w:rPr>
        <w:t>efficient use of energy and energy resources</w:t>
      </w:r>
      <w:r w:rsidR="00C22B20" w:rsidRPr="00A33AE8">
        <w:rPr>
          <w:rFonts w:asciiTheme="majorHAnsi" w:hAnsiTheme="majorHAnsi" w:cstheme="majorHAnsi"/>
          <w:lang w:val="en-GB"/>
        </w:rPr>
        <w:t>,</w:t>
      </w:r>
      <w:r w:rsidR="00F110BE" w:rsidRPr="00A33AE8">
        <w:rPr>
          <w:rFonts w:asciiTheme="majorHAnsi" w:hAnsiTheme="majorHAnsi" w:cstheme="majorHAnsi"/>
          <w:lang w:val="en-GB"/>
        </w:rPr>
        <w:t xml:space="preserve"> policy of efficient energy</w:t>
      </w:r>
      <w:r w:rsidR="008A17A4" w:rsidRPr="00A33AE8">
        <w:rPr>
          <w:rFonts w:asciiTheme="majorHAnsi" w:hAnsiTheme="majorHAnsi" w:cstheme="majorHAnsi"/>
          <w:lang w:val="en-GB"/>
        </w:rPr>
        <w:t xml:space="preserve"> use</w:t>
      </w:r>
      <w:r w:rsidR="00C22B20" w:rsidRPr="00A33AE8">
        <w:rPr>
          <w:rFonts w:asciiTheme="majorHAnsi" w:hAnsiTheme="majorHAnsi" w:cstheme="majorHAnsi"/>
          <w:lang w:val="en-GB"/>
        </w:rPr>
        <w:t xml:space="preserve">; </w:t>
      </w:r>
      <w:r w:rsidR="00F110BE" w:rsidRPr="00A33AE8">
        <w:rPr>
          <w:rFonts w:asciiTheme="majorHAnsi" w:hAnsiTheme="majorHAnsi" w:cstheme="majorHAnsi"/>
          <w:lang w:val="en-GB"/>
        </w:rPr>
        <w:t>energy management system</w:t>
      </w:r>
      <w:r w:rsidR="00C22B20" w:rsidRPr="00A33AE8">
        <w:rPr>
          <w:rFonts w:asciiTheme="majorHAnsi" w:hAnsiTheme="majorHAnsi" w:cstheme="majorHAnsi"/>
          <w:lang w:val="en-GB"/>
        </w:rPr>
        <w:t xml:space="preserve">; </w:t>
      </w:r>
      <w:r w:rsidR="008A17A4" w:rsidRPr="00A33AE8">
        <w:rPr>
          <w:rFonts w:asciiTheme="majorHAnsi" w:hAnsiTheme="majorHAnsi" w:cstheme="majorHAnsi"/>
          <w:lang w:val="en-GB"/>
        </w:rPr>
        <w:t xml:space="preserve">energy efficiency </w:t>
      </w:r>
      <w:r w:rsidR="00F110BE" w:rsidRPr="00A33AE8">
        <w:rPr>
          <w:rFonts w:asciiTheme="majorHAnsi" w:hAnsiTheme="majorHAnsi" w:cstheme="majorHAnsi"/>
          <w:lang w:val="en-GB"/>
        </w:rPr>
        <w:t>policy measures</w:t>
      </w:r>
      <w:r w:rsidR="00C22B20" w:rsidRPr="00A33AE8">
        <w:rPr>
          <w:rFonts w:asciiTheme="majorHAnsi" w:hAnsiTheme="majorHAnsi" w:cstheme="majorHAnsi"/>
          <w:lang w:val="en-GB"/>
        </w:rPr>
        <w:t xml:space="preserve">: </w:t>
      </w:r>
      <w:r w:rsidR="00F110BE" w:rsidRPr="00A33AE8">
        <w:rPr>
          <w:rFonts w:asciiTheme="majorHAnsi" w:hAnsiTheme="majorHAnsi" w:cstheme="majorHAnsi"/>
          <w:lang w:val="en-GB"/>
        </w:rPr>
        <w:t>energy</w:t>
      </w:r>
      <w:r w:rsidR="008A17A4" w:rsidRPr="00A33AE8">
        <w:rPr>
          <w:rFonts w:asciiTheme="majorHAnsi" w:hAnsiTheme="majorHAnsi" w:cstheme="majorHAnsi"/>
          <w:lang w:val="en-GB"/>
        </w:rPr>
        <w:t xml:space="preserve"> use</w:t>
      </w:r>
      <w:r w:rsidR="00F110BE" w:rsidRPr="00A33AE8">
        <w:rPr>
          <w:rFonts w:asciiTheme="majorHAnsi" w:hAnsiTheme="majorHAnsi" w:cstheme="majorHAnsi"/>
          <w:lang w:val="en-GB"/>
        </w:rPr>
        <w:t xml:space="preserve"> in buildings, </w:t>
      </w:r>
      <w:r w:rsidR="008A17A4" w:rsidRPr="00A33AE8">
        <w:rPr>
          <w:rFonts w:asciiTheme="majorHAnsi" w:hAnsiTheme="majorHAnsi" w:cstheme="majorHAnsi"/>
          <w:lang w:val="en-GB"/>
        </w:rPr>
        <w:t xml:space="preserve">in </w:t>
      </w:r>
      <w:r w:rsidR="00F110BE" w:rsidRPr="00A33AE8">
        <w:rPr>
          <w:rFonts w:asciiTheme="majorHAnsi" w:hAnsiTheme="majorHAnsi" w:cstheme="majorHAnsi"/>
          <w:lang w:val="en-GB"/>
        </w:rPr>
        <w:t xml:space="preserve">energy activities and </w:t>
      </w:r>
      <w:r w:rsidR="008A17A4" w:rsidRPr="00A33AE8">
        <w:rPr>
          <w:rFonts w:asciiTheme="majorHAnsi" w:hAnsiTheme="majorHAnsi" w:cstheme="majorHAnsi"/>
          <w:lang w:val="en-GB"/>
        </w:rPr>
        <w:t>with final customers</w:t>
      </w:r>
      <w:r w:rsidR="00F110BE" w:rsidRPr="00A33AE8">
        <w:rPr>
          <w:rFonts w:asciiTheme="majorHAnsi" w:hAnsiTheme="majorHAnsi" w:cstheme="majorHAnsi"/>
          <w:lang w:val="en-GB"/>
        </w:rPr>
        <w:t xml:space="preserve">, for energy </w:t>
      </w:r>
      <w:r w:rsidR="008A17A4" w:rsidRPr="00A33AE8">
        <w:rPr>
          <w:rFonts w:asciiTheme="majorHAnsi" w:hAnsiTheme="majorHAnsi" w:cstheme="majorHAnsi"/>
          <w:lang w:val="en-GB"/>
        </w:rPr>
        <w:t>plants</w:t>
      </w:r>
      <w:r w:rsidR="00F110BE" w:rsidRPr="00A33AE8">
        <w:rPr>
          <w:rFonts w:asciiTheme="majorHAnsi" w:hAnsiTheme="majorHAnsi" w:cstheme="majorHAnsi"/>
          <w:lang w:val="en-GB"/>
        </w:rPr>
        <w:t xml:space="preserve"> and </w:t>
      </w:r>
      <w:r w:rsidR="00F110BE" w:rsidRPr="00A33AE8">
        <w:rPr>
          <w:rFonts w:asciiTheme="majorHAnsi" w:hAnsiTheme="majorHAnsi" w:cstheme="majorHAnsi"/>
          <w:lang w:val="en-GB"/>
        </w:rPr>
        <w:lastRenderedPageBreak/>
        <w:t>energy services</w:t>
      </w:r>
      <w:r w:rsidR="00C22B20" w:rsidRPr="00A33AE8">
        <w:rPr>
          <w:rFonts w:asciiTheme="majorHAnsi" w:hAnsiTheme="majorHAnsi" w:cstheme="majorHAnsi"/>
          <w:lang w:val="en-GB"/>
        </w:rPr>
        <w:t xml:space="preserve">; </w:t>
      </w:r>
      <w:r w:rsidR="00F110BE" w:rsidRPr="00A33AE8">
        <w:rPr>
          <w:rFonts w:asciiTheme="majorHAnsi" w:hAnsiTheme="majorHAnsi" w:cstheme="majorHAnsi"/>
          <w:lang w:val="en-GB"/>
        </w:rPr>
        <w:t xml:space="preserve">energy labelling and requirements </w:t>
      </w:r>
      <w:r w:rsidR="008A17A4" w:rsidRPr="00A33AE8">
        <w:rPr>
          <w:rFonts w:asciiTheme="majorHAnsi" w:hAnsiTheme="majorHAnsi" w:cstheme="majorHAnsi"/>
          <w:lang w:val="en-GB"/>
        </w:rPr>
        <w:t>concerning</w:t>
      </w:r>
      <w:r w:rsidR="00F110BE" w:rsidRPr="00A33AE8">
        <w:rPr>
          <w:rFonts w:asciiTheme="majorHAnsi" w:hAnsiTheme="majorHAnsi" w:cstheme="majorHAnsi"/>
          <w:lang w:val="en-GB"/>
        </w:rPr>
        <w:t xml:space="preserve"> eco-design</w:t>
      </w:r>
      <w:r w:rsidR="00C22B20" w:rsidRPr="00A33AE8">
        <w:rPr>
          <w:rFonts w:asciiTheme="majorHAnsi" w:hAnsiTheme="majorHAnsi" w:cstheme="majorHAnsi"/>
          <w:lang w:val="en-GB"/>
        </w:rPr>
        <w:t xml:space="preserve">; </w:t>
      </w:r>
      <w:r w:rsidR="00F110BE" w:rsidRPr="00A33AE8">
        <w:rPr>
          <w:rFonts w:asciiTheme="majorHAnsi" w:hAnsiTheme="majorHAnsi" w:cstheme="majorHAnsi"/>
          <w:lang w:val="en-GB"/>
        </w:rPr>
        <w:t>f</w:t>
      </w:r>
      <w:r w:rsidR="008A17A4" w:rsidRPr="00A33AE8">
        <w:rPr>
          <w:rFonts w:asciiTheme="majorHAnsi" w:hAnsiTheme="majorHAnsi" w:cstheme="majorHAnsi"/>
          <w:lang w:val="en-GB"/>
        </w:rPr>
        <w:t>unding</w:t>
      </w:r>
      <w:r w:rsidR="00F110BE" w:rsidRPr="00A33AE8">
        <w:rPr>
          <w:rFonts w:asciiTheme="majorHAnsi" w:hAnsiTheme="majorHAnsi" w:cstheme="majorHAnsi"/>
          <w:lang w:val="en-GB"/>
        </w:rPr>
        <w:t>, incentives and other measures in th</w:t>
      </w:r>
      <w:r w:rsidR="008A17A4" w:rsidRPr="00A33AE8">
        <w:rPr>
          <w:rFonts w:asciiTheme="majorHAnsi" w:hAnsiTheme="majorHAnsi" w:cstheme="majorHAnsi"/>
          <w:lang w:val="en-GB"/>
        </w:rPr>
        <w:t>e field</w:t>
      </w:r>
      <w:r w:rsidR="00F110BE" w:rsidRPr="00A33AE8">
        <w:rPr>
          <w:rFonts w:asciiTheme="majorHAnsi" w:hAnsiTheme="majorHAnsi" w:cstheme="majorHAnsi"/>
          <w:lang w:val="en-GB"/>
        </w:rPr>
        <w:t>.</w:t>
      </w:r>
      <w:r w:rsidR="00C22B20" w:rsidRPr="00A33AE8">
        <w:rPr>
          <w:rFonts w:asciiTheme="majorHAnsi" w:hAnsiTheme="majorHAnsi" w:cstheme="majorHAnsi"/>
          <w:lang w:val="en-GB"/>
        </w:rPr>
        <w:t xml:space="preserve"> </w:t>
      </w:r>
      <w:r w:rsidR="007C679A" w:rsidRPr="00A33AE8">
        <w:rPr>
          <w:rFonts w:asciiTheme="majorHAnsi" w:hAnsiTheme="majorHAnsi" w:cstheme="majorHAnsi"/>
          <w:lang w:val="en-GB"/>
        </w:rPr>
        <w:t xml:space="preserve">The </w:t>
      </w:r>
      <w:r w:rsidR="008A17A4" w:rsidRPr="00A33AE8">
        <w:rPr>
          <w:rFonts w:asciiTheme="majorHAnsi" w:hAnsiTheme="majorHAnsi" w:cstheme="majorHAnsi"/>
          <w:lang w:val="en-GB"/>
        </w:rPr>
        <w:t>purpose</w:t>
      </w:r>
      <w:r w:rsidR="007C679A" w:rsidRPr="00A33AE8">
        <w:rPr>
          <w:rFonts w:asciiTheme="majorHAnsi" w:hAnsiTheme="majorHAnsi" w:cstheme="majorHAnsi"/>
          <w:lang w:val="en-GB"/>
        </w:rPr>
        <w:t xml:space="preserve"> of this law is </w:t>
      </w:r>
      <w:r w:rsidR="008A17A4" w:rsidRPr="00A33AE8">
        <w:rPr>
          <w:rFonts w:asciiTheme="majorHAnsi" w:hAnsiTheme="majorHAnsi" w:cstheme="majorHAnsi"/>
          <w:lang w:val="en-GB"/>
        </w:rPr>
        <w:t>creating</w:t>
      </w:r>
      <w:r w:rsidR="007C679A" w:rsidRPr="00A33AE8">
        <w:rPr>
          <w:rFonts w:asciiTheme="majorHAnsi" w:hAnsiTheme="majorHAnsi" w:cstheme="majorHAnsi"/>
          <w:lang w:val="en-GB"/>
        </w:rPr>
        <w:t xml:space="preserve"> conditions for efficient </w:t>
      </w:r>
      <w:r w:rsidR="008A17A4" w:rsidRPr="00A33AE8">
        <w:rPr>
          <w:rFonts w:asciiTheme="majorHAnsi" w:hAnsiTheme="majorHAnsi" w:cstheme="majorHAnsi"/>
          <w:lang w:val="en-GB"/>
        </w:rPr>
        <w:t xml:space="preserve">energy </w:t>
      </w:r>
      <w:r w:rsidR="007C679A" w:rsidRPr="00A33AE8">
        <w:rPr>
          <w:rFonts w:asciiTheme="majorHAnsi" w:hAnsiTheme="majorHAnsi" w:cstheme="majorHAnsi"/>
          <w:lang w:val="en-GB"/>
        </w:rPr>
        <w:t>use and improvement of energy efficiency</w:t>
      </w:r>
      <w:r w:rsidR="008A17A4" w:rsidRPr="00A33AE8">
        <w:rPr>
          <w:rFonts w:asciiTheme="majorHAnsi" w:hAnsiTheme="majorHAnsi" w:cstheme="majorHAnsi"/>
          <w:lang w:val="en-GB"/>
        </w:rPr>
        <w:t>, which contributes</w:t>
      </w:r>
      <w:r w:rsidR="007C679A" w:rsidRPr="00A33AE8">
        <w:rPr>
          <w:rFonts w:asciiTheme="majorHAnsi" w:hAnsiTheme="majorHAnsi" w:cstheme="majorHAnsi"/>
          <w:lang w:val="en-GB"/>
        </w:rPr>
        <w:t xml:space="preserve"> to</w:t>
      </w:r>
      <w:r w:rsidR="007C679A" w:rsidRPr="000007D2">
        <w:rPr>
          <w:rFonts w:asciiTheme="majorHAnsi" w:hAnsiTheme="majorHAnsi" w:cstheme="majorHAnsi"/>
          <w:lang w:val="en-GB"/>
        </w:rPr>
        <w:t>: energy savings, energy supply</w:t>
      </w:r>
      <w:r w:rsidR="008A17A4" w:rsidRPr="000007D2">
        <w:rPr>
          <w:rFonts w:asciiTheme="majorHAnsi" w:hAnsiTheme="majorHAnsi" w:cstheme="majorHAnsi"/>
          <w:lang w:val="en-GB"/>
        </w:rPr>
        <w:t xml:space="preserve"> security</w:t>
      </w:r>
      <w:r w:rsidR="00C22B20" w:rsidRPr="00A33AE8">
        <w:rPr>
          <w:rFonts w:asciiTheme="majorHAnsi" w:hAnsiTheme="majorHAnsi" w:cstheme="majorHAnsi"/>
          <w:lang w:val="en-GB"/>
        </w:rPr>
        <w:t>;</w:t>
      </w:r>
      <w:r w:rsidR="007C679A" w:rsidRPr="00A33AE8">
        <w:rPr>
          <w:rFonts w:asciiTheme="majorHAnsi" w:hAnsiTheme="majorHAnsi" w:cstheme="majorHAnsi"/>
          <w:lang w:val="en-GB"/>
        </w:rPr>
        <w:t xml:space="preserve"> reduc</w:t>
      </w:r>
      <w:r w:rsidR="008A17A4" w:rsidRPr="00A33AE8">
        <w:rPr>
          <w:rFonts w:asciiTheme="majorHAnsi" w:hAnsiTheme="majorHAnsi" w:cstheme="majorHAnsi"/>
          <w:lang w:val="en-GB"/>
        </w:rPr>
        <w:t>ed environmental</w:t>
      </w:r>
      <w:r w:rsidR="007C679A" w:rsidRPr="00A33AE8">
        <w:rPr>
          <w:rFonts w:asciiTheme="majorHAnsi" w:hAnsiTheme="majorHAnsi" w:cstheme="majorHAnsi"/>
          <w:lang w:val="en-GB"/>
        </w:rPr>
        <w:t xml:space="preserve"> impact </w:t>
      </w:r>
      <w:r w:rsidR="008A17A4" w:rsidRPr="00A33AE8">
        <w:rPr>
          <w:rFonts w:asciiTheme="majorHAnsi" w:hAnsiTheme="majorHAnsi" w:cstheme="majorHAnsi"/>
          <w:lang w:val="en-GB"/>
        </w:rPr>
        <w:t>and climate change impact of the</w:t>
      </w:r>
      <w:r w:rsidR="007C679A" w:rsidRPr="00A33AE8">
        <w:rPr>
          <w:rFonts w:asciiTheme="majorHAnsi" w:hAnsiTheme="majorHAnsi" w:cstheme="majorHAnsi"/>
          <w:lang w:val="en-GB"/>
        </w:rPr>
        <w:t xml:space="preserve"> energy sector</w:t>
      </w:r>
      <w:r w:rsidR="00C22B20" w:rsidRPr="00A33AE8">
        <w:rPr>
          <w:rFonts w:asciiTheme="majorHAnsi" w:hAnsiTheme="majorHAnsi" w:cstheme="majorHAnsi"/>
          <w:lang w:val="en-GB"/>
        </w:rPr>
        <w:t xml:space="preserve">; </w:t>
      </w:r>
      <w:r w:rsidR="007C679A" w:rsidRPr="00A33AE8">
        <w:rPr>
          <w:rFonts w:asciiTheme="majorHAnsi" w:hAnsiTheme="majorHAnsi" w:cstheme="majorHAnsi"/>
          <w:lang w:val="en-GB"/>
        </w:rPr>
        <w:t>sustainable use of natural and other resources</w:t>
      </w:r>
      <w:r w:rsidR="00C22B20" w:rsidRPr="00A33AE8">
        <w:rPr>
          <w:rFonts w:asciiTheme="majorHAnsi" w:hAnsiTheme="majorHAnsi" w:cstheme="majorHAnsi"/>
          <w:lang w:val="en-GB"/>
        </w:rPr>
        <w:t xml:space="preserve">; </w:t>
      </w:r>
      <w:r w:rsidR="007C679A" w:rsidRPr="00A33AE8">
        <w:rPr>
          <w:rFonts w:asciiTheme="majorHAnsi" w:hAnsiTheme="majorHAnsi" w:cstheme="majorHAnsi"/>
          <w:lang w:val="en-GB"/>
        </w:rPr>
        <w:t>increase</w:t>
      </w:r>
      <w:r w:rsidR="009E121C" w:rsidRPr="00A33AE8">
        <w:rPr>
          <w:rFonts w:asciiTheme="majorHAnsi" w:hAnsiTheme="majorHAnsi" w:cstheme="majorHAnsi"/>
          <w:lang w:val="en-GB"/>
        </w:rPr>
        <w:t>d</w:t>
      </w:r>
      <w:r w:rsidR="007C679A" w:rsidRPr="00A33AE8">
        <w:rPr>
          <w:rFonts w:asciiTheme="majorHAnsi" w:hAnsiTheme="majorHAnsi" w:cstheme="majorHAnsi"/>
          <w:lang w:val="en-GB"/>
        </w:rPr>
        <w:t xml:space="preserve"> competitiveness of the economy</w:t>
      </w:r>
      <w:r w:rsidR="00C22B20" w:rsidRPr="00A33AE8">
        <w:rPr>
          <w:rFonts w:asciiTheme="majorHAnsi" w:hAnsiTheme="majorHAnsi" w:cstheme="majorHAnsi"/>
          <w:lang w:val="en-GB"/>
        </w:rPr>
        <w:t xml:space="preserve">; </w:t>
      </w:r>
      <w:r w:rsidR="007C679A" w:rsidRPr="00A33AE8">
        <w:rPr>
          <w:rFonts w:asciiTheme="majorHAnsi" w:hAnsiTheme="majorHAnsi" w:cstheme="majorHAnsi"/>
          <w:lang w:val="en-GB"/>
        </w:rPr>
        <w:t>improve</w:t>
      </w:r>
      <w:r w:rsidR="009E121C" w:rsidRPr="00A33AE8">
        <w:rPr>
          <w:rFonts w:asciiTheme="majorHAnsi" w:hAnsiTheme="majorHAnsi" w:cstheme="majorHAnsi"/>
          <w:lang w:val="en-GB"/>
        </w:rPr>
        <w:t>d</w:t>
      </w:r>
      <w:r w:rsidR="007C679A" w:rsidRPr="00A33AE8">
        <w:rPr>
          <w:rFonts w:asciiTheme="majorHAnsi" w:hAnsiTheme="majorHAnsi" w:cstheme="majorHAnsi"/>
          <w:lang w:val="en-GB"/>
        </w:rPr>
        <w:t xml:space="preserve"> conditions for economic </w:t>
      </w:r>
      <w:r w:rsidR="009E121C" w:rsidRPr="00A33AE8">
        <w:rPr>
          <w:rFonts w:asciiTheme="majorHAnsi" w:hAnsiTheme="majorHAnsi" w:cstheme="majorHAnsi"/>
          <w:lang w:val="en-GB"/>
        </w:rPr>
        <w:t>development</w:t>
      </w:r>
      <w:r w:rsidR="007C679A" w:rsidRPr="00A33AE8">
        <w:rPr>
          <w:rFonts w:asciiTheme="majorHAnsi" w:hAnsiTheme="majorHAnsi" w:cstheme="majorHAnsi"/>
          <w:lang w:val="en-GB"/>
        </w:rPr>
        <w:t xml:space="preserve"> and </w:t>
      </w:r>
      <w:r w:rsidR="009E121C" w:rsidRPr="00A33AE8">
        <w:rPr>
          <w:rFonts w:asciiTheme="majorHAnsi" w:hAnsiTheme="majorHAnsi" w:cstheme="majorHAnsi"/>
          <w:lang w:val="en-GB"/>
        </w:rPr>
        <w:t>reduction</w:t>
      </w:r>
      <w:r w:rsidR="007C679A" w:rsidRPr="00A33AE8">
        <w:rPr>
          <w:rFonts w:asciiTheme="majorHAnsi" w:hAnsiTheme="majorHAnsi" w:cstheme="majorHAnsi"/>
          <w:lang w:val="en-GB"/>
        </w:rPr>
        <w:t xml:space="preserve"> of energy poverty</w:t>
      </w:r>
      <w:r w:rsidR="00C22B20" w:rsidRPr="00A33AE8">
        <w:rPr>
          <w:rFonts w:asciiTheme="majorHAnsi" w:hAnsiTheme="majorHAnsi" w:cstheme="majorHAnsi"/>
          <w:lang w:val="en-GB"/>
        </w:rPr>
        <w:t>.</w:t>
      </w:r>
    </w:p>
    <w:p w14:paraId="1DE36802" w14:textId="289973A7" w:rsidR="00C22B20" w:rsidRPr="000007D2" w:rsidRDefault="007C43E2" w:rsidP="00C22B20">
      <w:pPr>
        <w:pStyle w:val="LDKbody"/>
        <w:rPr>
          <w:rFonts w:asciiTheme="majorHAnsi" w:hAnsiTheme="majorHAnsi" w:cstheme="majorHAnsi"/>
          <w:lang w:val="en-GB"/>
        </w:rPr>
      </w:pPr>
      <w:r w:rsidRPr="000007D2">
        <w:rPr>
          <w:rFonts w:asciiTheme="majorHAnsi" w:hAnsiTheme="majorHAnsi" w:cstheme="majorHAnsi"/>
          <w:lang w:val="en-GB"/>
        </w:rPr>
        <w:t>With the aim</w:t>
      </w:r>
      <w:r w:rsidR="00A143F3" w:rsidRPr="000007D2">
        <w:rPr>
          <w:rFonts w:asciiTheme="majorHAnsi" w:hAnsiTheme="majorHAnsi" w:cstheme="majorHAnsi"/>
          <w:lang w:val="en-GB"/>
        </w:rPr>
        <w:t xml:space="preserve"> of </w:t>
      </w:r>
      <w:r w:rsidR="00411549" w:rsidRPr="000007D2">
        <w:rPr>
          <w:rFonts w:asciiTheme="majorHAnsi" w:hAnsiTheme="majorHAnsi" w:cstheme="majorHAnsi"/>
          <w:lang w:val="en-GB"/>
        </w:rPr>
        <w:t xml:space="preserve">financing energy efficiency, the law created the legal basis for the establishment of Directorate for </w:t>
      </w:r>
      <w:r w:rsidR="00E64E9F" w:rsidRPr="000007D2">
        <w:rPr>
          <w:rFonts w:asciiTheme="majorHAnsi" w:hAnsiTheme="majorHAnsi" w:cstheme="majorHAnsi"/>
          <w:lang w:val="en-GB"/>
        </w:rPr>
        <w:t>Fi</w:t>
      </w:r>
      <w:r w:rsidR="00411549" w:rsidRPr="000007D2">
        <w:rPr>
          <w:rFonts w:asciiTheme="majorHAnsi" w:hAnsiTheme="majorHAnsi" w:cstheme="majorHAnsi"/>
          <w:lang w:val="en-GB"/>
        </w:rPr>
        <w:t xml:space="preserve">nancing and </w:t>
      </w:r>
      <w:r w:rsidR="00E64E9F" w:rsidRPr="000007D2">
        <w:rPr>
          <w:rFonts w:asciiTheme="majorHAnsi" w:hAnsiTheme="majorHAnsi" w:cstheme="majorHAnsi"/>
          <w:lang w:val="en-GB"/>
        </w:rPr>
        <w:t>P</w:t>
      </w:r>
      <w:r w:rsidR="00411549" w:rsidRPr="000007D2">
        <w:rPr>
          <w:rFonts w:asciiTheme="majorHAnsi" w:hAnsiTheme="majorHAnsi" w:cstheme="majorHAnsi"/>
          <w:lang w:val="en-GB"/>
        </w:rPr>
        <w:t>romoti</w:t>
      </w:r>
      <w:r w:rsidR="009E121C" w:rsidRPr="000007D2">
        <w:rPr>
          <w:rFonts w:asciiTheme="majorHAnsi" w:hAnsiTheme="majorHAnsi" w:cstheme="majorHAnsi"/>
          <w:lang w:val="en-GB"/>
        </w:rPr>
        <w:t>ng</w:t>
      </w:r>
      <w:r w:rsidR="00411549" w:rsidRPr="000007D2">
        <w:rPr>
          <w:rFonts w:asciiTheme="majorHAnsi" w:hAnsiTheme="majorHAnsi" w:cstheme="majorHAnsi"/>
          <w:lang w:val="en-GB"/>
        </w:rPr>
        <w:t xml:space="preserve"> </w:t>
      </w:r>
      <w:r w:rsidR="00E64E9F" w:rsidRPr="000007D2">
        <w:rPr>
          <w:rFonts w:asciiTheme="majorHAnsi" w:hAnsiTheme="majorHAnsi" w:cstheme="majorHAnsi"/>
          <w:lang w:val="en-GB"/>
        </w:rPr>
        <w:t>E</w:t>
      </w:r>
      <w:r w:rsidR="00411549" w:rsidRPr="000007D2">
        <w:rPr>
          <w:rFonts w:asciiTheme="majorHAnsi" w:hAnsiTheme="majorHAnsi" w:cstheme="majorHAnsi"/>
          <w:lang w:val="en-GB"/>
        </w:rPr>
        <w:t xml:space="preserve">nergy </w:t>
      </w:r>
      <w:r w:rsidR="00E64E9F" w:rsidRPr="000007D2">
        <w:rPr>
          <w:rFonts w:asciiTheme="majorHAnsi" w:hAnsiTheme="majorHAnsi" w:cstheme="majorHAnsi"/>
          <w:lang w:val="en-GB"/>
        </w:rPr>
        <w:t>E</w:t>
      </w:r>
      <w:r w:rsidR="00411549" w:rsidRPr="000007D2">
        <w:rPr>
          <w:rFonts w:asciiTheme="majorHAnsi" w:hAnsiTheme="majorHAnsi" w:cstheme="majorHAnsi"/>
          <w:lang w:val="en-GB"/>
        </w:rPr>
        <w:t>fficiency and further regulate</w:t>
      </w:r>
      <w:r w:rsidR="00A143F3" w:rsidRPr="000007D2">
        <w:rPr>
          <w:rFonts w:asciiTheme="majorHAnsi" w:hAnsiTheme="majorHAnsi" w:cstheme="majorHAnsi"/>
          <w:lang w:val="en-GB"/>
        </w:rPr>
        <w:t>s conditions for contracting of energy services (ESCO).</w:t>
      </w:r>
    </w:p>
    <w:p w14:paraId="3819E773" w14:textId="40A23123" w:rsidR="00A143F3" w:rsidRPr="000007D2" w:rsidRDefault="007C43E2" w:rsidP="007C43E2">
      <w:pPr>
        <w:pStyle w:val="LDKbody"/>
        <w:rPr>
          <w:rFonts w:asciiTheme="majorHAnsi" w:hAnsiTheme="majorHAnsi" w:cstheme="majorHAnsi"/>
          <w:lang w:val="en-GB"/>
        </w:rPr>
      </w:pPr>
      <w:r w:rsidRPr="000007D2">
        <w:rPr>
          <w:rFonts w:asciiTheme="majorHAnsi" w:hAnsiTheme="majorHAnsi" w:cstheme="majorHAnsi"/>
          <w:lang w:val="en-GB"/>
        </w:rPr>
        <w:t>LEERUE</w:t>
      </w:r>
      <w:r w:rsidR="00A143F3" w:rsidRPr="000007D2">
        <w:rPr>
          <w:rFonts w:asciiTheme="majorHAnsi" w:hAnsiTheme="majorHAnsi" w:cstheme="majorHAnsi"/>
          <w:lang w:val="en-GB"/>
        </w:rPr>
        <w:t xml:space="preserve"> is </w:t>
      </w:r>
      <w:r w:rsidRPr="000007D2">
        <w:rPr>
          <w:rFonts w:asciiTheme="majorHAnsi" w:hAnsiTheme="majorHAnsi" w:cstheme="majorHAnsi"/>
          <w:lang w:val="en-GB"/>
        </w:rPr>
        <w:t>to a great deal</w:t>
      </w:r>
      <w:r w:rsidR="00A143F3" w:rsidRPr="000007D2">
        <w:rPr>
          <w:rFonts w:asciiTheme="majorHAnsi" w:hAnsiTheme="majorHAnsi" w:cstheme="majorHAnsi"/>
          <w:lang w:val="en-GB"/>
        </w:rPr>
        <w:t xml:space="preserve"> compliant with the </w:t>
      </w:r>
      <w:r w:rsidR="00A143F3" w:rsidRPr="000007D2">
        <w:rPr>
          <w:rFonts w:asciiTheme="majorHAnsi" w:hAnsiTheme="majorHAnsi" w:cstheme="majorHAnsi"/>
          <w:b/>
          <w:lang w:val="en-GB"/>
        </w:rPr>
        <w:t>Energy Efficiency Directive</w:t>
      </w:r>
      <w:r w:rsidR="00C22B20" w:rsidRPr="000007D2">
        <w:rPr>
          <w:rFonts w:asciiTheme="majorHAnsi" w:hAnsiTheme="majorHAnsi" w:cstheme="majorHAnsi"/>
          <w:b/>
          <w:lang w:val="en-GB"/>
        </w:rPr>
        <w:t xml:space="preserve"> 2012/27/</w:t>
      </w:r>
      <w:r w:rsidR="00A143F3" w:rsidRPr="000007D2">
        <w:rPr>
          <w:rFonts w:asciiTheme="majorHAnsi" w:hAnsiTheme="majorHAnsi" w:cstheme="majorHAnsi"/>
          <w:b/>
          <w:lang w:val="en-GB"/>
        </w:rPr>
        <w:t>EU</w:t>
      </w:r>
      <w:r w:rsidR="00C22B20" w:rsidRPr="000007D2">
        <w:rPr>
          <w:rFonts w:asciiTheme="majorHAnsi" w:hAnsiTheme="majorHAnsi" w:cstheme="majorHAnsi"/>
          <w:vertAlign w:val="superscript"/>
          <w:lang w:val="en-GB"/>
        </w:rPr>
        <w:footnoteReference w:id="44"/>
      </w:r>
      <w:r w:rsidR="00C22B20" w:rsidRPr="000007D2">
        <w:rPr>
          <w:rFonts w:asciiTheme="majorHAnsi" w:hAnsiTheme="majorHAnsi" w:cstheme="majorHAnsi"/>
          <w:b/>
          <w:lang w:val="en-GB"/>
        </w:rPr>
        <w:t xml:space="preserve"> </w:t>
      </w:r>
      <w:r w:rsidR="00C22B20" w:rsidRPr="000007D2">
        <w:rPr>
          <w:rFonts w:asciiTheme="majorHAnsi" w:hAnsiTheme="majorHAnsi" w:cstheme="majorHAnsi"/>
          <w:lang w:val="en-GB"/>
        </w:rPr>
        <w:t>(ЕЕ</w:t>
      </w:r>
      <w:r w:rsidR="00A143F3" w:rsidRPr="000007D2">
        <w:rPr>
          <w:rFonts w:asciiTheme="majorHAnsi" w:hAnsiTheme="majorHAnsi" w:cstheme="majorHAnsi"/>
          <w:lang w:val="en-GB"/>
        </w:rPr>
        <w:t>D</w:t>
      </w:r>
      <w:r w:rsidR="00C22B20" w:rsidRPr="000007D2">
        <w:rPr>
          <w:rFonts w:asciiTheme="majorHAnsi" w:hAnsiTheme="majorHAnsi" w:cstheme="majorHAnsi"/>
          <w:lang w:val="en-GB"/>
        </w:rPr>
        <w:t xml:space="preserve">) </w:t>
      </w:r>
      <w:r w:rsidRPr="000007D2">
        <w:rPr>
          <w:rFonts w:asciiTheme="majorHAnsi" w:hAnsiTheme="majorHAnsi" w:cstheme="majorHAnsi"/>
          <w:lang w:val="en-GB"/>
        </w:rPr>
        <w:t xml:space="preserve">and compliance </w:t>
      </w:r>
      <w:r w:rsidR="00F16162" w:rsidRPr="000007D2">
        <w:rPr>
          <w:rFonts w:asciiTheme="majorHAnsi" w:hAnsiTheme="majorHAnsi" w:cstheme="majorHAnsi"/>
          <w:lang w:val="en-GB"/>
        </w:rPr>
        <w:t>is additionally</w:t>
      </w:r>
      <w:r w:rsidRPr="000007D2">
        <w:rPr>
          <w:rFonts w:asciiTheme="majorHAnsi" w:hAnsiTheme="majorHAnsi" w:cstheme="majorHAnsi"/>
          <w:lang w:val="en-GB"/>
        </w:rPr>
        <w:t xml:space="preserve"> achieved after the adoption of </w:t>
      </w:r>
      <w:r w:rsidR="00F16162" w:rsidRPr="000007D2">
        <w:rPr>
          <w:rFonts w:asciiTheme="majorHAnsi" w:hAnsiTheme="majorHAnsi" w:cstheme="majorHAnsi"/>
          <w:lang w:val="en-GB"/>
        </w:rPr>
        <w:t xml:space="preserve">the following </w:t>
      </w:r>
      <w:r w:rsidRPr="000007D2">
        <w:rPr>
          <w:rFonts w:asciiTheme="majorHAnsi" w:hAnsiTheme="majorHAnsi" w:cstheme="majorHAnsi"/>
          <w:lang w:val="en-GB"/>
        </w:rPr>
        <w:t>by-laws</w:t>
      </w:r>
      <w:r w:rsidR="00F16162" w:rsidRPr="000007D2">
        <w:rPr>
          <w:rFonts w:asciiTheme="majorHAnsi" w:hAnsiTheme="majorHAnsi" w:cstheme="majorHAnsi"/>
          <w:lang w:val="en-GB"/>
        </w:rPr>
        <w:t>:</w:t>
      </w:r>
      <w:r w:rsidR="00566B09">
        <w:rPr>
          <w:rFonts w:asciiTheme="majorHAnsi" w:hAnsiTheme="majorHAnsi" w:cstheme="majorHAnsi"/>
          <w:lang w:val="en-GB"/>
        </w:rPr>
        <w:t xml:space="preserve"> </w:t>
      </w:r>
      <w:r w:rsidR="00F16162" w:rsidRPr="000007D2">
        <w:rPr>
          <w:rFonts w:asciiTheme="majorHAnsi" w:hAnsiTheme="majorHAnsi" w:cstheme="majorHAnsi"/>
          <w:b/>
          <w:bCs/>
          <w:lang w:val="en-GB"/>
        </w:rPr>
        <w:t>Decree on the obligations of the guaranteed supplier and on the obligations of the Authorized Contracting Party with regard to financial incentives for high-efficiency cogeneration</w:t>
      </w:r>
      <w:r w:rsidR="0008306D" w:rsidRPr="000007D2">
        <w:rPr>
          <w:rStyle w:val="FootnoteReference"/>
          <w:rFonts w:asciiTheme="majorHAnsi" w:hAnsiTheme="majorHAnsi" w:cstheme="majorHAnsi"/>
          <w:b/>
          <w:bCs/>
        </w:rPr>
        <w:footnoteReference w:id="45"/>
      </w:r>
      <w:r w:rsidR="0008306D" w:rsidRPr="000007D2">
        <w:rPr>
          <w:rFonts w:asciiTheme="majorHAnsi" w:hAnsiTheme="majorHAnsi" w:cstheme="majorHAnsi"/>
          <w:lang w:val="en-GB"/>
        </w:rPr>
        <w:t xml:space="preserve">, </w:t>
      </w:r>
      <w:r w:rsidR="00F16162" w:rsidRPr="000007D2">
        <w:rPr>
          <w:rFonts w:asciiTheme="majorHAnsi" w:hAnsiTheme="majorHAnsi" w:cstheme="majorHAnsi"/>
          <w:b/>
          <w:bCs/>
          <w:lang w:val="en-GB"/>
        </w:rPr>
        <w:t xml:space="preserve">Decree on the minimum energy efficiency requirements that must be met by new and reconstructed </w:t>
      </w:r>
      <w:r w:rsidR="0008306D" w:rsidRPr="000007D2">
        <w:rPr>
          <w:rFonts w:asciiTheme="majorHAnsi" w:hAnsiTheme="majorHAnsi" w:cstheme="majorHAnsi"/>
          <w:b/>
          <w:bCs/>
          <w:lang w:val="en-GB"/>
        </w:rPr>
        <w:t>energy facilities</w:t>
      </w:r>
      <w:r w:rsidR="0008306D" w:rsidRPr="000007D2">
        <w:rPr>
          <w:rStyle w:val="FootnoteReference"/>
          <w:rFonts w:asciiTheme="majorHAnsi" w:hAnsiTheme="majorHAnsi" w:cstheme="majorHAnsi"/>
          <w:b/>
          <w:bCs/>
        </w:rPr>
        <w:footnoteReference w:id="46"/>
      </w:r>
      <w:r w:rsidR="0008306D" w:rsidRPr="000007D2">
        <w:rPr>
          <w:rFonts w:asciiTheme="majorHAnsi" w:hAnsiTheme="majorHAnsi" w:cstheme="majorHAnsi"/>
          <w:lang w:val="en-GB"/>
        </w:rPr>
        <w:t>,</w:t>
      </w:r>
      <w:r w:rsidR="00F16162" w:rsidRPr="000007D2">
        <w:rPr>
          <w:rFonts w:asciiTheme="majorHAnsi" w:hAnsiTheme="majorHAnsi" w:cstheme="majorHAnsi"/>
          <w:lang w:val="en-GB"/>
        </w:rPr>
        <w:t xml:space="preserve"> </w:t>
      </w:r>
      <w:r w:rsidR="00F16162" w:rsidRPr="000007D2">
        <w:rPr>
          <w:rFonts w:asciiTheme="majorHAnsi" w:hAnsiTheme="majorHAnsi" w:cstheme="majorHAnsi"/>
          <w:b/>
          <w:bCs/>
          <w:lang w:val="en-GB"/>
        </w:rPr>
        <w:t>Decree on the obligors of the energy management system</w:t>
      </w:r>
      <w:r w:rsidR="0008306D" w:rsidRPr="000007D2">
        <w:rPr>
          <w:rStyle w:val="FootnoteReference"/>
          <w:rFonts w:asciiTheme="majorHAnsi" w:hAnsiTheme="majorHAnsi" w:cstheme="majorHAnsi"/>
          <w:b/>
          <w:bCs/>
        </w:rPr>
        <w:footnoteReference w:id="47"/>
      </w:r>
      <w:r w:rsidR="0008306D" w:rsidRPr="000007D2">
        <w:rPr>
          <w:rFonts w:asciiTheme="majorHAnsi" w:hAnsiTheme="majorHAnsi" w:cstheme="majorHAnsi"/>
          <w:lang w:val="en-GB"/>
        </w:rPr>
        <w:t xml:space="preserve">, </w:t>
      </w:r>
      <w:r w:rsidR="00332519" w:rsidRPr="000007D2">
        <w:rPr>
          <w:rFonts w:asciiTheme="majorHAnsi" w:hAnsiTheme="majorHAnsi" w:cstheme="majorHAnsi"/>
          <w:lang w:val="en-GB"/>
        </w:rPr>
        <w:t>and</w:t>
      </w:r>
      <w:r w:rsidR="00F16162" w:rsidRPr="000007D2">
        <w:rPr>
          <w:rFonts w:asciiTheme="majorHAnsi" w:hAnsiTheme="majorHAnsi" w:cstheme="majorHAnsi"/>
          <w:lang w:val="en-GB"/>
        </w:rPr>
        <w:t xml:space="preserve"> </w:t>
      </w:r>
      <w:r w:rsidR="00F16162" w:rsidRPr="000007D2">
        <w:rPr>
          <w:rFonts w:asciiTheme="majorHAnsi" w:hAnsiTheme="majorHAnsi" w:cstheme="majorHAnsi"/>
          <w:b/>
          <w:bCs/>
          <w:lang w:val="en-GB"/>
        </w:rPr>
        <w:t>Decree on the contract model on the feed-in tariff for the sale of electricity produced in a micro-cogeneration unit or small cogeneration</w:t>
      </w:r>
      <w:r w:rsidR="00C16E72" w:rsidRPr="000007D2">
        <w:rPr>
          <w:rStyle w:val="FootnoteReference"/>
          <w:rFonts w:asciiTheme="majorHAnsi" w:hAnsiTheme="majorHAnsi" w:cstheme="majorHAnsi"/>
          <w:b/>
          <w:bCs/>
        </w:rPr>
        <w:footnoteReference w:id="48"/>
      </w:r>
      <w:r w:rsidRPr="000007D2">
        <w:rPr>
          <w:rFonts w:asciiTheme="majorHAnsi" w:hAnsiTheme="majorHAnsi" w:cstheme="majorHAnsi"/>
          <w:lang w:val="en-GB"/>
        </w:rPr>
        <w:t xml:space="preserve">. </w:t>
      </w:r>
      <w:r w:rsidR="00566B09" w:rsidRPr="00566B09">
        <w:rPr>
          <w:rFonts w:asciiTheme="majorHAnsi" w:hAnsiTheme="majorHAnsi" w:cstheme="majorHAnsi"/>
          <w:lang w:val="en-GB"/>
        </w:rPr>
        <w:t>For full compliance miss</w:t>
      </w:r>
      <w:r w:rsidR="006904D8">
        <w:rPr>
          <w:rFonts w:asciiTheme="majorHAnsi" w:hAnsiTheme="majorHAnsi" w:cstheme="majorHAnsi"/>
          <w:lang w:val="en-GB"/>
        </w:rPr>
        <w:t>ing</w:t>
      </w:r>
      <w:r w:rsidR="00566B09" w:rsidRPr="00566B09">
        <w:rPr>
          <w:rFonts w:asciiTheme="majorHAnsi" w:hAnsiTheme="majorHAnsi" w:cstheme="majorHAnsi"/>
          <w:lang w:val="en-GB"/>
        </w:rPr>
        <w:t xml:space="preserve"> still acts on Plan of rehabilitation of CG buildings and Study on comprehensive assessments on potentials for efficient heating and cooling which should be adopt by Q1 next year. </w:t>
      </w:r>
      <w:r w:rsidRPr="000007D2">
        <w:rPr>
          <w:rFonts w:asciiTheme="majorHAnsi" w:hAnsiTheme="majorHAnsi" w:cstheme="majorHAnsi"/>
          <w:lang w:val="en-GB"/>
        </w:rPr>
        <w:t xml:space="preserve">In accordance with these provisions, among other things, it is foreseen that in the period after 2021, the targets in the field of energy efficiency will be defined through </w:t>
      </w:r>
      <w:r w:rsidR="00B006FA" w:rsidRPr="000007D2">
        <w:rPr>
          <w:rFonts w:asciiTheme="majorHAnsi" w:hAnsiTheme="majorHAnsi" w:cstheme="majorHAnsi"/>
          <w:lang w:val="en-GB"/>
        </w:rPr>
        <w:t>INECP</w:t>
      </w:r>
      <w:r w:rsidRPr="000007D2">
        <w:rPr>
          <w:rFonts w:asciiTheme="majorHAnsi" w:hAnsiTheme="majorHAnsi" w:cstheme="majorHAnsi"/>
          <w:lang w:val="en-GB"/>
        </w:rPr>
        <w:t xml:space="preserve">, instead of through energy efficiency plans, namely, the indicative target for energy efficiency, the cumulative energy savings target, as well as the energy efficiency </w:t>
      </w:r>
      <w:r w:rsidR="009E121C" w:rsidRPr="000007D2">
        <w:rPr>
          <w:rFonts w:asciiTheme="majorHAnsi" w:hAnsiTheme="majorHAnsi" w:cstheme="majorHAnsi"/>
          <w:lang w:val="en-GB"/>
        </w:rPr>
        <w:t xml:space="preserve">target </w:t>
      </w:r>
      <w:r w:rsidRPr="000007D2">
        <w:rPr>
          <w:rFonts w:asciiTheme="majorHAnsi" w:hAnsiTheme="majorHAnsi" w:cstheme="majorHAnsi"/>
          <w:lang w:val="en-GB"/>
        </w:rPr>
        <w:t>in central government buildings.</w:t>
      </w:r>
    </w:p>
    <w:p w14:paraId="54D0EEA2" w14:textId="2943DCCA" w:rsidR="00C22B20" w:rsidRPr="000007D2" w:rsidRDefault="008A17A4" w:rsidP="00C22B20">
      <w:pPr>
        <w:pStyle w:val="LDKbody"/>
        <w:rPr>
          <w:rFonts w:asciiTheme="majorHAnsi" w:hAnsiTheme="majorHAnsi" w:cstheme="majorHAnsi"/>
          <w:lang w:val="en-GB"/>
        </w:rPr>
      </w:pPr>
      <w:r w:rsidRPr="000007D2">
        <w:rPr>
          <w:rFonts w:asciiTheme="majorHAnsi" w:hAnsiTheme="majorHAnsi" w:cstheme="majorHAnsi"/>
          <w:lang w:val="en-GB"/>
        </w:rPr>
        <w:t xml:space="preserve">LEERUE </w:t>
      </w:r>
      <w:r w:rsidR="00566B09" w:rsidRPr="00566B09">
        <w:rPr>
          <w:rFonts w:asciiTheme="majorHAnsi" w:hAnsiTheme="majorHAnsi" w:cstheme="majorHAnsi"/>
          <w:lang w:val="en-GB"/>
        </w:rPr>
        <w:t>and following bylaw regulation</w:t>
      </w:r>
      <w:r w:rsidR="00566B09">
        <w:rPr>
          <w:rFonts w:asciiTheme="majorHAnsi" w:hAnsiTheme="majorHAnsi" w:cstheme="majorHAnsi"/>
          <w:lang w:val="en-GB"/>
        </w:rPr>
        <w:t xml:space="preserve"> </w:t>
      </w:r>
      <w:r w:rsidR="00566B09" w:rsidRPr="00566B09">
        <w:rPr>
          <w:rFonts w:asciiTheme="majorHAnsi" w:hAnsiTheme="majorHAnsi" w:cstheme="majorHAnsi"/>
          <w:lang w:val="en-GB"/>
        </w:rPr>
        <w:t xml:space="preserve">are </w:t>
      </w:r>
      <w:r w:rsidRPr="000007D2">
        <w:rPr>
          <w:rFonts w:asciiTheme="majorHAnsi" w:hAnsiTheme="majorHAnsi" w:cstheme="majorHAnsi"/>
          <w:lang w:val="en-GB"/>
        </w:rPr>
        <w:t>aligned with the</w:t>
      </w:r>
      <w:r w:rsidR="00C22B20" w:rsidRPr="000007D2">
        <w:rPr>
          <w:rFonts w:asciiTheme="majorHAnsi" w:hAnsiTheme="majorHAnsi" w:cstheme="majorHAnsi"/>
          <w:lang w:val="en-GB"/>
        </w:rPr>
        <w:t xml:space="preserve"> </w:t>
      </w:r>
      <w:r w:rsidRPr="000007D2">
        <w:rPr>
          <w:rFonts w:asciiTheme="majorHAnsi" w:hAnsiTheme="majorHAnsi" w:cstheme="majorHAnsi"/>
          <w:b/>
          <w:lang w:val="en-GB"/>
        </w:rPr>
        <w:t>Regulation</w:t>
      </w:r>
      <w:r w:rsidR="00C22B20" w:rsidRPr="000007D2">
        <w:rPr>
          <w:rFonts w:asciiTheme="majorHAnsi" w:hAnsiTheme="majorHAnsi" w:cstheme="majorHAnsi"/>
          <w:b/>
          <w:lang w:val="en-GB"/>
        </w:rPr>
        <w:t xml:space="preserve"> (Е</w:t>
      </w:r>
      <w:r w:rsidRPr="000007D2">
        <w:rPr>
          <w:rFonts w:asciiTheme="majorHAnsi" w:hAnsiTheme="majorHAnsi" w:cstheme="majorHAnsi"/>
          <w:b/>
          <w:lang w:val="en-GB"/>
        </w:rPr>
        <w:t>U</w:t>
      </w:r>
      <w:r w:rsidR="00C22B20" w:rsidRPr="000007D2">
        <w:rPr>
          <w:rFonts w:asciiTheme="majorHAnsi" w:hAnsiTheme="majorHAnsi" w:cstheme="majorHAnsi"/>
          <w:b/>
          <w:lang w:val="en-GB"/>
        </w:rPr>
        <w:t>) 2017/1369</w:t>
      </w:r>
      <w:r w:rsidR="00C22B20" w:rsidRPr="000007D2">
        <w:rPr>
          <w:rFonts w:asciiTheme="majorHAnsi" w:hAnsiTheme="majorHAnsi" w:cstheme="majorHAnsi"/>
          <w:lang w:val="en-GB"/>
        </w:rPr>
        <w:t xml:space="preserve"> </w:t>
      </w:r>
      <w:r w:rsidRPr="000007D2">
        <w:rPr>
          <w:rFonts w:asciiTheme="majorHAnsi" w:hAnsiTheme="majorHAnsi" w:cstheme="majorHAnsi"/>
          <w:lang w:val="en-GB"/>
        </w:rPr>
        <w:t>establishing a framework for energy efficiency labe</w:t>
      </w:r>
      <w:r w:rsidR="00566B09">
        <w:rPr>
          <w:rFonts w:asciiTheme="majorHAnsi" w:hAnsiTheme="majorHAnsi" w:cstheme="majorHAnsi"/>
          <w:lang w:val="en-GB"/>
        </w:rPr>
        <w:t>l</w:t>
      </w:r>
      <w:r w:rsidRPr="000007D2">
        <w:rPr>
          <w:rFonts w:asciiTheme="majorHAnsi" w:hAnsiTheme="majorHAnsi" w:cstheme="majorHAnsi"/>
          <w:lang w:val="en-GB"/>
        </w:rPr>
        <w:t>ling and repealing Directive</w:t>
      </w:r>
      <w:r w:rsidR="00C22B20" w:rsidRPr="000007D2">
        <w:rPr>
          <w:rFonts w:asciiTheme="majorHAnsi" w:hAnsiTheme="majorHAnsi" w:cstheme="majorHAnsi"/>
          <w:lang w:val="en-GB"/>
        </w:rPr>
        <w:t xml:space="preserve"> 2010/30/Е</w:t>
      </w:r>
      <w:r w:rsidRPr="000007D2">
        <w:rPr>
          <w:rFonts w:asciiTheme="majorHAnsi" w:hAnsiTheme="majorHAnsi" w:cstheme="majorHAnsi"/>
          <w:lang w:val="en-GB"/>
        </w:rPr>
        <w:t>U and with the</w:t>
      </w:r>
      <w:r w:rsidR="00C22B20" w:rsidRPr="000007D2">
        <w:rPr>
          <w:rFonts w:asciiTheme="majorHAnsi" w:hAnsiTheme="majorHAnsi" w:cstheme="majorHAnsi"/>
          <w:lang w:val="en-GB"/>
        </w:rPr>
        <w:t xml:space="preserve"> </w:t>
      </w:r>
      <w:r w:rsidRPr="000007D2">
        <w:rPr>
          <w:rFonts w:asciiTheme="majorHAnsi" w:hAnsiTheme="majorHAnsi" w:cstheme="majorHAnsi"/>
          <w:b/>
          <w:lang w:val="en-GB"/>
        </w:rPr>
        <w:t>Directive</w:t>
      </w:r>
      <w:r w:rsidR="00C22B20" w:rsidRPr="000007D2">
        <w:rPr>
          <w:rFonts w:asciiTheme="majorHAnsi" w:hAnsiTheme="majorHAnsi" w:cstheme="majorHAnsi"/>
          <w:b/>
          <w:lang w:val="en-GB"/>
        </w:rPr>
        <w:t xml:space="preserve"> 2009/125/Е</w:t>
      </w:r>
      <w:r w:rsidRPr="000007D2">
        <w:rPr>
          <w:rFonts w:asciiTheme="majorHAnsi" w:hAnsiTheme="majorHAnsi" w:cstheme="majorHAnsi"/>
          <w:b/>
          <w:lang w:val="en-GB"/>
        </w:rPr>
        <w:t>C</w:t>
      </w:r>
      <w:r w:rsidR="00C22B20" w:rsidRPr="000007D2">
        <w:rPr>
          <w:rFonts w:asciiTheme="majorHAnsi" w:hAnsiTheme="majorHAnsi" w:cstheme="majorHAnsi"/>
          <w:lang w:val="en-GB"/>
        </w:rPr>
        <w:t xml:space="preserve"> </w:t>
      </w:r>
      <w:r w:rsidRPr="000007D2">
        <w:rPr>
          <w:rFonts w:asciiTheme="majorHAnsi" w:hAnsiTheme="majorHAnsi" w:cstheme="majorHAnsi"/>
          <w:lang w:val="en-GB"/>
        </w:rPr>
        <w:t xml:space="preserve">establishing eco-design requirements for the products </w:t>
      </w:r>
      <w:r w:rsidR="009E121C" w:rsidRPr="000007D2">
        <w:rPr>
          <w:rFonts w:asciiTheme="majorHAnsi" w:hAnsiTheme="majorHAnsi" w:cstheme="majorHAnsi"/>
          <w:lang w:val="en-GB"/>
        </w:rPr>
        <w:t>which affect</w:t>
      </w:r>
      <w:r w:rsidRPr="000007D2">
        <w:rPr>
          <w:rFonts w:asciiTheme="majorHAnsi" w:hAnsiTheme="majorHAnsi" w:cstheme="majorHAnsi"/>
          <w:lang w:val="en-GB"/>
        </w:rPr>
        <w:t xml:space="preserve"> energy consumption. In addition, LEERUE transposed </w:t>
      </w:r>
      <w:r w:rsidR="009E121C" w:rsidRPr="000007D2">
        <w:rPr>
          <w:rFonts w:asciiTheme="majorHAnsi" w:hAnsiTheme="majorHAnsi" w:cstheme="majorHAnsi"/>
          <w:lang w:val="en-GB"/>
        </w:rPr>
        <w:t xml:space="preserve">the part of Directive </w:t>
      </w:r>
      <w:bookmarkStart w:id="74" w:name="_Hlk59990651"/>
      <w:r w:rsidR="009E121C" w:rsidRPr="000007D2">
        <w:rPr>
          <w:rFonts w:asciiTheme="majorHAnsi" w:hAnsiTheme="majorHAnsi" w:cstheme="majorHAnsi"/>
          <w:lang w:val="en-GB"/>
        </w:rPr>
        <w:t>2010/31/Е</w:t>
      </w:r>
      <w:bookmarkEnd w:id="74"/>
      <w:r w:rsidR="009E121C" w:rsidRPr="000007D2">
        <w:rPr>
          <w:rFonts w:asciiTheme="majorHAnsi" w:hAnsiTheme="majorHAnsi" w:cstheme="majorHAnsi"/>
          <w:lang w:val="en-GB"/>
        </w:rPr>
        <w:t xml:space="preserve">U on energy efficiency of buildings </w:t>
      </w:r>
      <w:r w:rsidRPr="000007D2">
        <w:rPr>
          <w:rFonts w:asciiTheme="majorHAnsi" w:hAnsiTheme="majorHAnsi" w:cstheme="majorHAnsi"/>
          <w:lang w:val="en-GB"/>
        </w:rPr>
        <w:t>into the legal system of the Republic of Serbia, with accompanying amendments, which refer to audi</w:t>
      </w:r>
      <w:r w:rsidR="00452459" w:rsidRPr="000007D2">
        <w:rPr>
          <w:rFonts w:asciiTheme="majorHAnsi" w:hAnsiTheme="majorHAnsi" w:cstheme="majorHAnsi"/>
          <w:lang w:val="en-GB"/>
        </w:rPr>
        <w:t>ti</w:t>
      </w:r>
      <w:r w:rsidRPr="000007D2">
        <w:rPr>
          <w:rFonts w:asciiTheme="majorHAnsi" w:hAnsiTheme="majorHAnsi" w:cstheme="majorHAnsi"/>
          <w:lang w:val="en-GB"/>
        </w:rPr>
        <w:t>ng of heating and air conditioning systems</w:t>
      </w:r>
      <w:r w:rsidR="00E64E9F" w:rsidRPr="000007D2">
        <w:rPr>
          <w:rFonts w:asciiTheme="majorHAnsi" w:hAnsiTheme="majorHAnsi" w:cstheme="majorHAnsi"/>
          <w:lang w:val="en-GB"/>
        </w:rPr>
        <w:t>.</w:t>
      </w:r>
    </w:p>
    <w:p w14:paraId="6E5F9E1B" w14:textId="2B79F964" w:rsidR="007A0B52" w:rsidRPr="00A33AE8" w:rsidRDefault="009E121C" w:rsidP="00D20861">
      <w:pPr>
        <w:spacing w:after="0" w:line="240" w:lineRule="auto"/>
        <w:jc w:val="both"/>
        <w:rPr>
          <w:rFonts w:asciiTheme="majorHAnsi" w:hAnsiTheme="majorHAnsi" w:cstheme="majorHAnsi"/>
          <w:sz w:val="24"/>
          <w:szCs w:val="24"/>
          <w:lang w:eastAsia="en-GB"/>
        </w:rPr>
      </w:pPr>
      <w:r w:rsidRPr="00A33AE8">
        <w:rPr>
          <w:rFonts w:asciiTheme="majorHAnsi" w:hAnsiTheme="majorHAnsi" w:cstheme="majorHAnsi"/>
        </w:rPr>
        <w:t>In the previous period, t</w:t>
      </w:r>
      <w:r w:rsidR="00474C69" w:rsidRPr="00A33AE8">
        <w:rPr>
          <w:rFonts w:asciiTheme="majorHAnsi" w:hAnsiTheme="majorHAnsi" w:cstheme="majorHAnsi"/>
        </w:rPr>
        <w:t xml:space="preserve">he Republic of Serbia has adopted </w:t>
      </w:r>
      <w:r w:rsidR="00474C69" w:rsidRPr="00A33AE8">
        <w:rPr>
          <w:rFonts w:asciiTheme="majorHAnsi" w:hAnsiTheme="majorHAnsi" w:cstheme="majorHAnsi"/>
          <w:b/>
          <w:bCs/>
        </w:rPr>
        <w:t>four National Energy Efficiency Action Plans (NEEAPs)</w:t>
      </w:r>
      <w:r w:rsidR="00474C69" w:rsidRPr="00A33AE8">
        <w:rPr>
          <w:rFonts w:asciiTheme="majorHAnsi" w:hAnsiTheme="majorHAnsi" w:cstheme="majorHAnsi"/>
        </w:rPr>
        <w:t xml:space="preserve"> for the periods of 2010 – 2012, 2013 – 2015, 2016 – 2018 and </w:t>
      </w:r>
      <w:r w:rsidR="00755370" w:rsidRPr="00A33AE8">
        <w:rPr>
          <w:rFonts w:asciiTheme="majorHAnsi" w:hAnsiTheme="majorHAnsi" w:cstheme="majorHAnsi"/>
        </w:rPr>
        <w:t xml:space="preserve">2019 – </w:t>
      </w:r>
      <w:r w:rsidR="00474C69" w:rsidRPr="00A33AE8">
        <w:rPr>
          <w:rFonts w:asciiTheme="majorHAnsi" w:hAnsiTheme="majorHAnsi" w:cstheme="majorHAnsi"/>
        </w:rPr>
        <w:t xml:space="preserve">2021, respectively. </w:t>
      </w:r>
      <w:r w:rsidRPr="00A33AE8">
        <w:rPr>
          <w:rFonts w:asciiTheme="majorHAnsi" w:hAnsiTheme="majorHAnsi" w:cstheme="majorHAnsi"/>
        </w:rPr>
        <w:t>These documents</w:t>
      </w:r>
      <w:r w:rsidR="008F117E" w:rsidRPr="00A33AE8">
        <w:rPr>
          <w:rFonts w:asciiTheme="majorHAnsi" w:hAnsiTheme="majorHAnsi" w:cstheme="majorHAnsi"/>
        </w:rPr>
        <w:t xml:space="preserve"> in the previous period</w:t>
      </w:r>
      <w:r w:rsidRPr="00A33AE8">
        <w:rPr>
          <w:rFonts w:asciiTheme="majorHAnsi" w:hAnsiTheme="majorHAnsi" w:cstheme="majorHAnsi"/>
        </w:rPr>
        <w:t xml:space="preserve"> set targets for energy efficiency improvements and defined measures </w:t>
      </w:r>
      <w:r w:rsidR="008F117E" w:rsidRPr="00A33AE8">
        <w:rPr>
          <w:rFonts w:asciiTheme="majorHAnsi" w:hAnsiTheme="majorHAnsi" w:cstheme="majorHAnsi"/>
        </w:rPr>
        <w:t>for the achievement thereof.</w:t>
      </w:r>
      <w:r w:rsidRPr="00A33AE8">
        <w:rPr>
          <w:rFonts w:asciiTheme="majorHAnsi" w:hAnsiTheme="majorHAnsi" w:cstheme="majorHAnsi"/>
        </w:rPr>
        <w:t xml:space="preserve"> </w:t>
      </w:r>
      <w:r w:rsidR="00B97FE2" w:rsidRPr="00A33AE8">
        <w:rPr>
          <w:rFonts w:asciiTheme="majorHAnsi" w:hAnsiTheme="majorHAnsi" w:cstheme="majorHAnsi"/>
        </w:rPr>
        <w:t>The</w:t>
      </w:r>
      <w:r w:rsidR="007A0B52" w:rsidRPr="00A33AE8">
        <w:rPr>
          <w:rFonts w:asciiTheme="majorHAnsi" w:hAnsiTheme="majorHAnsi" w:cstheme="majorHAnsi"/>
        </w:rPr>
        <w:t xml:space="preserve"> latest </w:t>
      </w:r>
      <w:r w:rsidR="007A0B52" w:rsidRPr="00A33AE8">
        <w:rPr>
          <w:rFonts w:asciiTheme="majorHAnsi" w:hAnsiTheme="majorHAnsi" w:cstheme="majorHAnsi"/>
          <w:b/>
          <w:bCs/>
        </w:rPr>
        <w:t>Fourth Action Plan for Energy Efficiency</w:t>
      </w:r>
      <w:r w:rsidR="007A0B52" w:rsidRPr="00A33AE8">
        <w:rPr>
          <w:rFonts w:asciiTheme="majorHAnsi" w:hAnsiTheme="majorHAnsi" w:cstheme="majorHAnsi"/>
        </w:rPr>
        <w:t xml:space="preserve"> (4</w:t>
      </w:r>
      <w:r w:rsidR="007A0B52" w:rsidRPr="00A33AE8">
        <w:rPr>
          <w:rFonts w:asciiTheme="majorHAnsi" w:hAnsiTheme="majorHAnsi" w:cstheme="majorHAnsi"/>
          <w:vertAlign w:val="superscript"/>
        </w:rPr>
        <w:t>th</w:t>
      </w:r>
      <w:r w:rsidR="007A0B52" w:rsidRPr="00A33AE8">
        <w:rPr>
          <w:rFonts w:asciiTheme="majorHAnsi" w:hAnsiTheme="majorHAnsi" w:cstheme="majorHAnsi"/>
        </w:rPr>
        <w:t xml:space="preserve"> EEAP) of the Republic of Serbia for the period until 2021 was prepared in accordance with the requirements of</w:t>
      </w:r>
      <w:r w:rsidR="00D25CAD">
        <w:rPr>
          <w:rFonts w:asciiTheme="majorHAnsi" w:hAnsiTheme="majorHAnsi" w:cstheme="majorHAnsi"/>
          <w:lang w:val="en-US"/>
        </w:rPr>
        <w:t xml:space="preserve"> adapted</w:t>
      </w:r>
      <w:r w:rsidR="007A0B52" w:rsidRPr="00A33AE8">
        <w:rPr>
          <w:rFonts w:asciiTheme="majorHAnsi" w:hAnsiTheme="majorHAnsi" w:cstheme="majorHAnsi"/>
        </w:rPr>
        <w:t xml:space="preserve"> Directive</w:t>
      </w:r>
      <w:r w:rsidR="007A0B52" w:rsidRPr="00A33AE8">
        <w:rPr>
          <w:rFonts w:asciiTheme="majorHAnsi" w:hAnsiTheme="majorHAnsi" w:cstheme="majorHAnsi"/>
          <w:b/>
          <w:bCs/>
        </w:rPr>
        <w:t xml:space="preserve"> 2012/27/</w:t>
      </w:r>
      <w:r w:rsidR="00B97FE2" w:rsidRPr="00A33AE8">
        <w:rPr>
          <w:rFonts w:asciiTheme="majorHAnsi" w:hAnsiTheme="majorHAnsi" w:cstheme="majorHAnsi"/>
          <w:b/>
          <w:bCs/>
        </w:rPr>
        <w:t>EU</w:t>
      </w:r>
      <w:r w:rsidR="00B97FE2" w:rsidRPr="00A33AE8">
        <w:rPr>
          <w:rFonts w:asciiTheme="majorHAnsi" w:hAnsiTheme="majorHAnsi" w:cstheme="majorHAnsi"/>
        </w:rPr>
        <w:t xml:space="preserve"> adopted</w:t>
      </w:r>
      <w:r w:rsidR="007A0B52" w:rsidRPr="00A33AE8">
        <w:rPr>
          <w:rFonts w:asciiTheme="majorHAnsi" w:hAnsiTheme="majorHAnsi" w:cstheme="majorHAnsi"/>
        </w:rPr>
        <w:t xml:space="preserve"> by the </w:t>
      </w:r>
      <w:r w:rsidR="00733187" w:rsidRPr="00A33AE8">
        <w:rPr>
          <w:rFonts w:asciiTheme="majorHAnsi" w:hAnsiTheme="majorHAnsi" w:cstheme="majorHAnsi"/>
        </w:rPr>
        <w:t xml:space="preserve">Ministerial Council of the </w:t>
      </w:r>
      <w:r w:rsidR="007A0B52" w:rsidRPr="00A33AE8">
        <w:rPr>
          <w:rFonts w:asciiTheme="majorHAnsi" w:hAnsiTheme="majorHAnsi" w:cstheme="majorHAnsi"/>
        </w:rPr>
        <w:t xml:space="preserve">Energy </w:t>
      </w:r>
      <w:r w:rsidR="00D20861" w:rsidRPr="00A33AE8">
        <w:rPr>
          <w:rFonts w:asciiTheme="majorHAnsi" w:hAnsiTheme="majorHAnsi" w:cstheme="majorHAnsi"/>
        </w:rPr>
        <w:t>Community</w:t>
      </w:r>
      <w:r w:rsidR="007A0B52" w:rsidRPr="00A33AE8">
        <w:rPr>
          <w:rFonts w:asciiTheme="majorHAnsi" w:hAnsiTheme="majorHAnsi" w:cstheme="majorHAnsi"/>
        </w:rPr>
        <w:t>.</w:t>
      </w:r>
    </w:p>
    <w:p w14:paraId="6541692B" w14:textId="6B9338E9" w:rsidR="0023226D" w:rsidRPr="00A33AE8" w:rsidRDefault="00733187" w:rsidP="0023226D">
      <w:pPr>
        <w:pStyle w:val="LDKbody"/>
        <w:rPr>
          <w:rFonts w:asciiTheme="majorHAnsi" w:hAnsiTheme="majorHAnsi" w:cstheme="majorHAnsi"/>
          <w:b/>
          <w:bCs/>
          <w:lang w:val="en-GB"/>
        </w:rPr>
      </w:pPr>
      <w:r w:rsidRPr="00A33AE8">
        <w:rPr>
          <w:rFonts w:asciiTheme="majorHAnsi" w:hAnsiTheme="majorHAnsi" w:cstheme="majorHAnsi"/>
          <w:lang w:val="en-GB"/>
        </w:rPr>
        <w:t>The LPC</w:t>
      </w:r>
      <w:r w:rsidR="00D17D01" w:rsidRPr="00A33AE8">
        <w:rPr>
          <w:rStyle w:val="FootnoteReference"/>
          <w:rFonts w:asciiTheme="majorHAnsi" w:hAnsiTheme="majorHAnsi" w:cstheme="majorHAnsi"/>
        </w:rPr>
        <w:footnoteReference w:id="49"/>
      </w:r>
      <w:r w:rsidRPr="00A33AE8">
        <w:rPr>
          <w:rFonts w:asciiTheme="majorHAnsi" w:hAnsiTheme="majorHAnsi" w:cstheme="majorHAnsi"/>
          <w:lang w:val="en-GB"/>
        </w:rPr>
        <w:t xml:space="preserve"> from 2009 defines the obligation to issue a certificate, i.e. the obligation to design, build, use and maintain a building in a manner that ensures prescribed energy performance. </w:t>
      </w:r>
      <w:r w:rsidR="0023226D" w:rsidRPr="00A33AE8">
        <w:rPr>
          <w:rFonts w:asciiTheme="majorHAnsi" w:hAnsiTheme="majorHAnsi" w:cstheme="majorHAnsi"/>
          <w:lang w:val="en-GB"/>
        </w:rPr>
        <w:t xml:space="preserve">Furthermore, the </w:t>
      </w:r>
      <w:r w:rsidR="0023226D" w:rsidRPr="00A33AE8">
        <w:rPr>
          <w:rFonts w:asciiTheme="majorHAnsi" w:hAnsiTheme="majorHAnsi" w:cstheme="majorHAnsi"/>
          <w:b/>
          <w:bCs/>
          <w:lang w:val="en-GB"/>
        </w:rPr>
        <w:t>Law on Amendments</w:t>
      </w:r>
      <w:r w:rsidR="0023226D" w:rsidRPr="00A33AE8">
        <w:rPr>
          <w:rFonts w:asciiTheme="majorHAnsi" w:hAnsiTheme="majorHAnsi" w:cstheme="majorHAnsi"/>
          <w:lang w:val="en-GB"/>
        </w:rPr>
        <w:t xml:space="preserve"> to </w:t>
      </w:r>
      <w:r w:rsidR="0023226D" w:rsidRPr="00A33AE8">
        <w:rPr>
          <w:rFonts w:asciiTheme="majorHAnsi" w:hAnsiTheme="majorHAnsi" w:cstheme="majorHAnsi"/>
          <w:b/>
          <w:bCs/>
          <w:lang w:val="en-GB"/>
        </w:rPr>
        <w:t>the Law on Planning and Construction</w:t>
      </w:r>
      <w:r w:rsidR="00B97FE2" w:rsidRPr="00A33AE8">
        <w:rPr>
          <w:rFonts w:asciiTheme="majorHAnsi" w:hAnsiTheme="majorHAnsi" w:cstheme="majorHAnsi"/>
          <w:b/>
          <w:bCs/>
          <w:lang w:val="en-GB"/>
        </w:rPr>
        <w:t xml:space="preserve"> </w:t>
      </w:r>
      <w:r w:rsidR="0023226D" w:rsidRPr="00A33AE8">
        <w:rPr>
          <w:rFonts w:asciiTheme="majorHAnsi" w:hAnsiTheme="majorHAnsi" w:cstheme="majorHAnsi"/>
          <w:b/>
          <w:bCs/>
          <w:lang w:val="en-GB"/>
        </w:rPr>
        <w:t>(LPC)</w:t>
      </w:r>
      <w:r w:rsidR="008C5A7E" w:rsidRPr="00A33AE8">
        <w:rPr>
          <w:rStyle w:val="FootnoteReference"/>
          <w:rFonts w:asciiTheme="majorHAnsi" w:hAnsiTheme="majorHAnsi" w:cstheme="majorHAnsi"/>
          <w:b/>
          <w:bCs/>
        </w:rPr>
        <w:footnoteReference w:id="50"/>
      </w:r>
      <w:r w:rsidR="0023226D" w:rsidRPr="00A33AE8">
        <w:rPr>
          <w:rFonts w:asciiTheme="majorHAnsi" w:hAnsiTheme="majorHAnsi" w:cstheme="majorHAnsi"/>
          <w:lang w:val="en-GB"/>
        </w:rPr>
        <w:t xml:space="preserve"> was adopted in</w:t>
      </w:r>
      <w:r w:rsidR="00151683" w:rsidRPr="000007D2">
        <w:rPr>
          <w:rFonts w:asciiTheme="majorHAnsi" w:hAnsiTheme="majorHAnsi" w:cstheme="majorHAnsi"/>
          <w:lang w:val="en-GB"/>
        </w:rPr>
        <w:t xml:space="preserve"> 2018</w:t>
      </w:r>
      <w:r w:rsidR="0023226D" w:rsidRPr="00A33AE8">
        <w:rPr>
          <w:rFonts w:asciiTheme="majorHAnsi" w:hAnsiTheme="majorHAnsi" w:cstheme="majorHAnsi"/>
          <w:lang w:val="en-GB"/>
        </w:rPr>
        <w:t xml:space="preserve">, prescribing the obligation to issue certificates on the energy performance of buildings, </w:t>
      </w:r>
      <w:r w:rsidR="00755370" w:rsidRPr="00A33AE8">
        <w:rPr>
          <w:rFonts w:asciiTheme="majorHAnsi" w:hAnsiTheme="majorHAnsi" w:cstheme="majorHAnsi"/>
          <w:lang w:val="en-GB"/>
        </w:rPr>
        <w:t xml:space="preserve">the </w:t>
      </w:r>
      <w:r w:rsidR="0023226D" w:rsidRPr="00A33AE8">
        <w:rPr>
          <w:rFonts w:asciiTheme="majorHAnsi" w:hAnsiTheme="majorHAnsi" w:cstheme="majorHAnsi"/>
          <w:lang w:val="en-GB"/>
        </w:rPr>
        <w:t xml:space="preserve">so-called energy passports through the </w:t>
      </w:r>
      <w:r w:rsidR="0023226D" w:rsidRPr="00A33AE8">
        <w:rPr>
          <w:rFonts w:asciiTheme="majorHAnsi" w:hAnsiTheme="majorHAnsi" w:cstheme="majorHAnsi"/>
          <w:lang w:val="en-GB"/>
        </w:rPr>
        <w:lastRenderedPageBreak/>
        <w:t>Central Register of Energy Passports (CREP)</w:t>
      </w:r>
      <w:r w:rsidR="00755370" w:rsidRPr="00A33AE8">
        <w:rPr>
          <w:rFonts w:asciiTheme="majorHAnsi" w:hAnsiTheme="majorHAnsi" w:cstheme="majorHAnsi"/>
          <w:lang w:val="en-GB"/>
        </w:rPr>
        <w:t>,</w:t>
      </w:r>
      <w:r w:rsidR="0023226D" w:rsidRPr="00A33AE8">
        <w:rPr>
          <w:rFonts w:asciiTheme="majorHAnsi" w:hAnsiTheme="majorHAnsi" w:cstheme="majorHAnsi"/>
          <w:lang w:val="en-GB"/>
        </w:rPr>
        <w:t xml:space="preserve"> </w:t>
      </w:r>
      <w:r w:rsidR="008C5A7E" w:rsidRPr="00A33AE8">
        <w:rPr>
          <w:rFonts w:asciiTheme="majorHAnsi" w:hAnsiTheme="majorHAnsi" w:cstheme="majorHAnsi"/>
          <w:lang w:val="en-GB"/>
        </w:rPr>
        <w:t>establishing a</w:t>
      </w:r>
      <w:r w:rsidR="0023226D" w:rsidRPr="00A33AE8">
        <w:rPr>
          <w:rFonts w:asciiTheme="majorHAnsi" w:hAnsiTheme="majorHAnsi" w:cstheme="majorHAnsi"/>
          <w:lang w:val="en-GB"/>
        </w:rPr>
        <w:t xml:space="preserve"> database of Energy Passports for the territory of the Republic of Serbia</w:t>
      </w:r>
      <w:r w:rsidR="00B574B1">
        <w:rPr>
          <w:rStyle w:val="FootnoteReference"/>
          <w:rFonts w:asciiTheme="majorHAnsi" w:hAnsiTheme="majorHAnsi" w:cstheme="majorHAnsi"/>
        </w:rPr>
        <w:footnoteReference w:id="51"/>
      </w:r>
      <w:r w:rsidR="008C5A7E" w:rsidRPr="00A33AE8">
        <w:rPr>
          <w:rFonts w:asciiTheme="majorHAnsi" w:hAnsiTheme="majorHAnsi" w:cstheme="majorHAnsi"/>
          <w:lang w:val="en-GB"/>
        </w:rPr>
        <w:t xml:space="preserve">, which includes </w:t>
      </w:r>
      <w:r w:rsidR="003F3704" w:rsidRPr="00A33AE8">
        <w:rPr>
          <w:rFonts w:asciiTheme="majorHAnsi" w:hAnsiTheme="majorHAnsi" w:cstheme="majorHAnsi"/>
          <w:lang w:val="en-GB"/>
        </w:rPr>
        <w:t>1</w:t>
      </w:r>
      <w:r w:rsidR="003F3704">
        <w:rPr>
          <w:rFonts w:asciiTheme="majorHAnsi" w:hAnsiTheme="majorHAnsi" w:cstheme="majorHAnsi"/>
          <w:lang w:val="en-GB"/>
        </w:rPr>
        <w:t>1</w:t>
      </w:r>
      <w:r w:rsidR="008C5A7E" w:rsidRPr="00A33AE8">
        <w:rPr>
          <w:rFonts w:asciiTheme="majorHAnsi" w:hAnsiTheme="majorHAnsi" w:cstheme="majorHAnsi"/>
          <w:lang w:val="en-GB"/>
        </w:rPr>
        <w:t>.</w:t>
      </w:r>
      <w:r w:rsidR="003F3704">
        <w:rPr>
          <w:rFonts w:asciiTheme="majorHAnsi" w:hAnsiTheme="majorHAnsi" w:cstheme="majorHAnsi"/>
          <w:lang w:val="en-GB"/>
        </w:rPr>
        <w:t>789</w:t>
      </w:r>
      <w:r w:rsidR="003F3704" w:rsidRPr="00A33AE8">
        <w:rPr>
          <w:rFonts w:asciiTheme="majorHAnsi" w:hAnsiTheme="majorHAnsi" w:cstheme="majorHAnsi"/>
          <w:lang w:val="en-GB"/>
        </w:rPr>
        <w:t xml:space="preserve"> </w:t>
      </w:r>
      <w:r w:rsidR="008C5A7E" w:rsidRPr="00A33AE8">
        <w:rPr>
          <w:rFonts w:asciiTheme="majorHAnsi" w:hAnsiTheme="majorHAnsi" w:cstheme="majorHAnsi"/>
          <w:lang w:val="en-GB"/>
        </w:rPr>
        <w:t>certificates of energy performance of buildings</w:t>
      </w:r>
      <w:r w:rsidR="003F3704">
        <w:rPr>
          <w:rFonts w:asciiTheme="majorHAnsi" w:hAnsiTheme="majorHAnsi" w:cstheme="majorHAnsi"/>
          <w:lang w:val="en-GB"/>
        </w:rPr>
        <w:t xml:space="preserve"> from 2013 until November 14, 2023</w:t>
      </w:r>
      <w:r w:rsidR="0023226D" w:rsidRPr="00A33AE8">
        <w:rPr>
          <w:rFonts w:asciiTheme="majorHAnsi" w:hAnsiTheme="majorHAnsi" w:cstheme="majorHAnsi"/>
          <w:lang w:val="en-GB"/>
        </w:rPr>
        <w:t>. In addition,</w:t>
      </w:r>
      <w:r w:rsidR="00A95FCA" w:rsidRPr="000007D2">
        <w:rPr>
          <w:lang w:val="en-GB"/>
        </w:rPr>
        <w:t xml:space="preserve"> </w:t>
      </w:r>
      <w:r w:rsidR="00A95FCA" w:rsidRPr="00A33AE8">
        <w:rPr>
          <w:rFonts w:asciiTheme="majorHAnsi" w:hAnsiTheme="majorHAnsi" w:cstheme="majorHAnsi"/>
          <w:lang w:val="en-GB"/>
        </w:rPr>
        <w:t>amendments to the LPC</w:t>
      </w:r>
      <w:r w:rsidR="004B7BA5" w:rsidRPr="00A33AE8">
        <w:rPr>
          <w:rStyle w:val="FootnoteReference"/>
          <w:rFonts w:asciiTheme="majorHAnsi" w:hAnsiTheme="majorHAnsi" w:cstheme="majorHAnsi"/>
        </w:rPr>
        <w:footnoteReference w:id="52"/>
      </w:r>
      <w:r w:rsidR="00A95FCA" w:rsidRPr="00A33AE8">
        <w:rPr>
          <w:rFonts w:asciiTheme="majorHAnsi" w:hAnsiTheme="majorHAnsi" w:cstheme="majorHAnsi"/>
          <w:lang w:val="en-GB"/>
        </w:rPr>
        <w:t xml:space="preserve"> made in 2020 </w:t>
      </w:r>
      <w:r w:rsidR="006D7693" w:rsidRPr="00A33AE8">
        <w:rPr>
          <w:rFonts w:asciiTheme="majorHAnsi" w:hAnsiTheme="majorHAnsi" w:cstheme="majorHAnsi"/>
          <w:lang w:val="en-GB"/>
        </w:rPr>
        <w:t>e</w:t>
      </w:r>
      <w:r w:rsidR="00A95FCA" w:rsidRPr="00A33AE8">
        <w:rPr>
          <w:rFonts w:asciiTheme="majorHAnsi" w:hAnsiTheme="majorHAnsi" w:cstheme="majorHAnsi"/>
          <w:lang w:val="en-GB"/>
        </w:rPr>
        <w:t xml:space="preserve">stablish a legal basis for the development and adoption of the </w:t>
      </w:r>
      <w:r w:rsidR="00A95FCA" w:rsidRPr="00A33AE8">
        <w:rPr>
          <w:rFonts w:asciiTheme="majorHAnsi" w:hAnsiTheme="majorHAnsi" w:cstheme="majorHAnsi"/>
          <w:b/>
          <w:bCs/>
          <w:lang w:val="en-GB"/>
        </w:rPr>
        <w:t>Long-Term Strategy for Encouraging Investment in the Renovation of the National Buildings Fund of the Republic of Serbia until 2050</w:t>
      </w:r>
      <w:r w:rsidR="008224D0" w:rsidRPr="00A33AE8">
        <w:rPr>
          <w:rStyle w:val="FootnoteReference"/>
          <w:rFonts w:asciiTheme="majorHAnsi" w:hAnsiTheme="majorHAnsi" w:cstheme="majorHAnsi"/>
          <w:b/>
          <w:bCs/>
        </w:rPr>
        <w:footnoteReference w:id="53"/>
      </w:r>
      <w:r w:rsidR="00A95FCA" w:rsidRPr="00A33AE8">
        <w:rPr>
          <w:rFonts w:asciiTheme="majorHAnsi" w:hAnsiTheme="majorHAnsi" w:cstheme="majorHAnsi"/>
          <w:lang w:val="en-GB"/>
        </w:rPr>
        <w:t>, which was adopted in the first quarter of 2022</w:t>
      </w:r>
      <w:r w:rsidR="0023226D" w:rsidRPr="00A33AE8">
        <w:rPr>
          <w:rFonts w:asciiTheme="majorHAnsi" w:hAnsiTheme="majorHAnsi" w:cstheme="majorHAnsi"/>
          <w:lang w:val="en-GB"/>
        </w:rPr>
        <w:t xml:space="preserve">. Additionally, </w:t>
      </w:r>
      <w:r w:rsidR="009141DF" w:rsidRPr="00A33AE8">
        <w:rPr>
          <w:rFonts w:asciiTheme="majorHAnsi" w:hAnsiTheme="majorHAnsi" w:cstheme="majorHAnsi"/>
          <w:lang w:val="en-GB"/>
        </w:rPr>
        <w:t>according</w:t>
      </w:r>
      <w:r w:rsidR="0061786B" w:rsidRPr="00A33AE8">
        <w:rPr>
          <w:rFonts w:asciiTheme="majorHAnsi" w:hAnsiTheme="majorHAnsi" w:cstheme="majorHAnsi"/>
          <w:lang w:val="en-GB"/>
        </w:rPr>
        <w:t xml:space="preserve"> to the </w:t>
      </w:r>
      <w:r w:rsidR="0061786B" w:rsidRPr="00A33AE8">
        <w:rPr>
          <w:rFonts w:asciiTheme="majorHAnsi" w:hAnsiTheme="majorHAnsi" w:cstheme="majorHAnsi"/>
          <w:b/>
          <w:bCs/>
          <w:lang w:val="en-GB"/>
        </w:rPr>
        <w:t>Law on Housing and Building Maintenance</w:t>
      </w:r>
      <w:r w:rsidR="0061786B" w:rsidRPr="00A33AE8">
        <w:rPr>
          <w:rFonts w:asciiTheme="majorHAnsi" w:hAnsiTheme="majorHAnsi" w:cstheme="majorHAnsi"/>
          <w:lang w:val="en-GB"/>
        </w:rPr>
        <w:t>,</w:t>
      </w:r>
      <w:r w:rsidR="0061786B" w:rsidRPr="00A33AE8">
        <w:rPr>
          <w:rFonts w:asciiTheme="majorHAnsi" w:hAnsiTheme="majorHAnsi" w:cstheme="majorHAnsi"/>
          <w:vertAlign w:val="superscript"/>
          <w:lang w:val="en-GB"/>
        </w:rPr>
        <w:footnoteReference w:id="54"/>
      </w:r>
      <w:r w:rsidR="0061786B" w:rsidRPr="00A33AE8">
        <w:rPr>
          <w:rFonts w:asciiTheme="majorHAnsi" w:hAnsiTheme="majorHAnsi" w:cstheme="majorHAnsi"/>
          <w:lang w:val="en-GB"/>
        </w:rPr>
        <w:t xml:space="preserve"> sustainable housing development constitutes one of the key principles for improving the quality of housing, through the corresponding improvement of energy efficiency. Finally, </w:t>
      </w:r>
      <w:r w:rsidR="0023226D" w:rsidRPr="00A33AE8">
        <w:rPr>
          <w:rFonts w:asciiTheme="majorHAnsi" w:hAnsiTheme="majorHAnsi" w:cstheme="majorHAnsi"/>
          <w:lang w:val="en-GB"/>
        </w:rPr>
        <w:t xml:space="preserve">the </w:t>
      </w:r>
      <w:r w:rsidR="0023226D" w:rsidRPr="00A33AE8">
        <w:rPr>
          <w:rFonts w:asciiTheme="majorHAnsi" w:hAnsiTheme="majorHAnsi" w:cstheme="majorHAnsi"/>
          <w:b/>
          <w:bCs/>
          <w:lang w:val="en-GB"/>
        </w:rPr>
        <w:t>Rulebook on energy efficiency of buildings</w:t>
      </w:r>
      <w:r w:rsidR="0023226D" w:rsidRPr="00A33AE8">
        <w:rPr>
          <w:rFonts w:asciiTheme="majorHAnsi" w:hAnsiTheme="majorHAnsi" w:cstheme="majorHAnsi"/>
          <w:vertAlign w:val="superscript"/>
          <w:lang w:val="en-GB"/>
        </w:rPr>
        <w:footnoteReference w:id="55"/>
      </w:r>
      <w:r w:rsidR="0023226D" w:rsidRPr="00A33AE8">
        <w:rPr>
          <w:rFonts w:asciiTheme="majorHAnsi" w:hAnsiTheme="majorHAnsi" w:cstheme="majorHAnsi"/>
          <w:lang w:val="en-GB"/>
        </w:rPr>
        <w:t xml:space="preserve"> regulates technical requirements, as well as the </w:t>
      </w:r>
      <w:r w:rsidR="0023226D" w:rsidRPr="00A33AE8">
        <w:rPr>
          <w:rFonts w:asciiTheme="majorHAnsi" w:hAnsiTheme="majorHAnsi" w:cstheme="majorHAnsi"/>
          <w:b/>
          <w:bCs/>
          <w:lang w:val="en-GB"/>
        </w:rPr>
        <w:t>Rulebook on conditions, content and manner of issuing energy performance certificates for buildings</w:t>
      </w:r>
      <w:r w:rsidR="0023226D" w:rsidRPr="00A33AE8">
        <w:rPr>
          <w:rFonts w:asciiTheme="majorHAnsi" w:hAnsiTheme="majorHAnsi" w:cstheme="majorHAnsi"/>
          <w:vertAlign w:val="superscript"/>
          <w:lang w:val="en-GB"/>
        </w:rPr>
        <w:footnoteReference w:id="56"/>
      </w:r>
      <w:r w:rsidR="0065290D" w:rsidRPr="000007D2">
        <w:rPr>
          <w:rFonts w:asciiTheme="majorHAnsi" w:hAnsiTheme="majorHAnsi" w:cstheme="majorHAnsi"/>
          <w:lang w:val="en-GB"/>
        </w:rPr>
        <w:t>. In 2023, the Ministry of Construction, Transport and Infrastructure proposed the Draft Law on Amendments to the Law on Planning and Construction, and the Government approved the Proposal for that law and forwarded it to the National Assembly for consideration and adoption. In the proposal of the Law, considerable attention is devoted to the further improvement of energy efficiency: Articles 12 and 13 of the Energy Performance of Buildings Directive 2010/31/EU are directly transposed and the preparation of the National methodology for calculating the energy characteristics of buildings is foreseen. Also, the Proposal of the Law foresees the prescription of the validity period of energy passports - 10 years, as well as the obligation to attach an energy certificate when certifying a contract on the sale of real estate or concluding a lease contract.</w:t>
      </w:r>
    </w:p>
    <w:p w14:paraId="196C7E1A" w14:textId="09FB3D3B" w:rsidR="0023226D" w:rsidRPr="00A33AE8" w:rsidRDefault="0061786B" w:rsidP="007A0B52">
      <w:pPr>
        <w:pStyle w:val="LDKbody"/>
        <w:rPr>
          <w:rFonts w:asciiTheme="majorHAnsi" w:hAnsiTheme="majorHAnsi" w:cstheme="majorHAnsi"/>
          <w:lang w:val="en-GB"/>
        </w:rPr>
      </w:pPr>
      <w:r w:rsidRPr="00A33AE8">
        <w:rPr>
          <w:rFonts w:asciiTheme="majorHAnsi" w:hAnsiTheme="majorHAnsi" w:cstheme="majorHAnsi"/>
          <w:lang w:val="en-GB"/>
        </w:rPr>
        <w:t xml:space="preserve">The new </w:t>
      </w:r>
      <w:r w:rsidRPr="00A33AE8">
        <w:rPr>
          <w:rFonts w:asciiTheme="majorHAnsi" w:hAnsiTheme="majorHAnsi" w:cstheme="majorHAnsi"/>
          <w:b/>
          <w:bCs/>
          <w:lang w:val="en-GB"/>
        </w:rPr>
        <w:t>Law on Public Procurement</w:t>
      </w:r>
      <w:r w:rsidR="00682FBB" w:rsidRPr="00A33AE8">
        <w:rPr>
          <w:rStyle w:val="FootnoteReference"/>
          <w:rFonts w:asciiTheme="majorHAnsi" w:hAnsiTheme="majorHAnsi" w:cstheme="majorHAnsi"/>
          <w:b/>
          <w:bCs/>
        </w:rPr>
        <w:footnoteReference w:id="57"/>
      </w:r>
      <w:r w:rsidRPr="00A33AE8">
        <w:rPr>
          <w:rFonts w:asciiTheme="majorHAnsi" w:hAnsiTheme="majorHAnsi" w:cstheme="majorHAnsi"/>
          <w:lang w:val="en-GB"/>
        </w:rPr>
        <w:t xml:space="preserve"> was adopted in 2020 </w:t>
      </w:r>
      <w:r w:rsidR="00755370" w:rsidRPr="00A33AE8">
        <w:rPr>
          <w:rFonts w:asciiTheme="majorHAnsi" w:hAnsiTheme="majorHAnsi" w:cstheme="majorHAnsi"/>
          <w:lang w:val="en-GB"/>
        </w:rPr>
        <w:t xml:space="preserve">and </w:t>
      </w:r>
      <w:r w:rsidR="005D5BE4" w:rsidRPr="00A33AE8">
        <w:rPr>
          <w:rFonts w:asciiTheme="majorHAnsi" w:hAnsiTheme="majorHAnsi" w:cstheme="majorHAnsi"/>
          <w:lang w:val="en-GB"/>
        </w:rPr>
        <w:t>provides the</w:t>
      </w:r>
      <w:r w:rsidRPr="00A33AE8">
        <w:rPr>
          <w:rFonts w:asciiTheme="majorHAnsi" w:hAnsiTheme="majorHAnsi" w:cstheme="majorHAnsi"/>
          <w:lang w:val="en-GB"/>
        </w:rPr>
        <w:t xml:space="preserve"> price-quality relationship including qualitative, environmental and/or social criteria, as well as the implementation of a cost-effectiveness approach, such as life cycle cost of goods, services or works. In this context, the country adopted the </w:t>
      </w:r>
      <w:r w:rsidRPr="00A33AE8">
        <w:rPr>
          <w:rFonts w:asciiTheme="majorHAnsi" w:hAnsiTheme="majorHAnsi" w:cstheme="majorHAnsi"/>
          <w:b/>
          <w:bCs/>
          <w:lang w:val="en-GB"/>
        </w:rPr>
        <w:t>Public Procurement Development Program in the Republic of Serbia for the period 2019-2023</w:t>
      </w:r>
      <w:r w:rsidRPr="00A33AE8">
        <w:rPr>
          <w:rFonts w:asciiTheme="majorHAnsi" w:hAnsiTheme="majorHAnsi" w:cstheme="majorHAnsi"/>
          <w:vertAlign w:val="superscript"/>
          <w:lang w:val="en-GB"/>
        </w:rPr>
        <w:footnoteReference w:id="58"/>
      </w:r>
      <w:r w:rsidR="00755370" w:rsidRPr="00A33AE8">
        <w:rPr>
          <w:rFonts w:asciiTheme="majorHAnsi" w:hAnsiTheme="majorHAnsi" w:cstheme="majorHAnsi"/>
          <w:b/>
          <w:bCs/>
          <w:lang w:val="en-GB"/>
        </w:rPr>
        <w:t>,</w:t>
      </w:r>
      <w:r w:rsidRPr="00A33AE8">
        <w:rPr>
          <w:rFonts w:asciiTheme="majorHAnsi" w:hAnsiTheme="majorHAnsi" w:cstheme="majorHAnsi"/>
          <w:lang w:val="en-GB"/>
        </w:rPr>
        <w:t xml:space="preserve"> which provides specific priorities on public procurement system taking into account the relevant EU strategy and focusing on green and social field.</w:t>
      </w:r>
    </w:p>
    <w:p w14:paraId="722E5900" w14:textId="77777777" w:rsidR="009141DF" w:rsidRPr="00A33AE8" w:rsidRDefault="009141DF" w:rsidP="007A0B52">
      <w:pPr>
        <w:pStyle w:val="LDKbody"/>
        <w:rPr>
          <w:rFonts w:asciiTheme="majorHAnsi" w:hAnsiTheme="majorHAnsi" w:cstheme="majorHAnsi"/>
          <w:lang w:val="en-GB"/>
        </w:rPr>
      </w:pPr>
      <w:r w:rsidRPr="00A33AE8">
        <w:rPr>
          <w:rFonts w:asciiTheme="majorHAnsi" w:hAnsiTheme="majorHAnsi" w:cstheme="majorHAnsi"/>
          <w:lang w:val="en-GB"/>
        </w:rPr>
        <w:t xml:space="preserve">In addition, the </w:t>
      </w:r>
      <w:r w:rsidRPr="00A33AE8">
        <w:rPr>
          <w:rFonts w:asciiTheme="majorHAnsi" w:hAnsiTheme="majorHAnsi" w:cstheme="majorHAnsi"/>
          <w:b/>
          <w:bCs/>
          <w:lang w:val="en-GB"/>
        </w:rPr>
        <w:t>Law on Fees for Use of Public Goods</w:t>
      </w:r>
      <w:r w:rsidRPr="00A33AE8">
        <w:rPr>
          <w:rFonts w:asciiTheme="majorHAnsi" w:eastAsia="Calibri" w:hAnsiTheme="majorHAnsi" w:cstheme="majorHAnsi"/>
          <w:vertAlign w:val="superscript"/>
          <w:lang w:val="en-GB"/>
        </w:rPr>
        <w:footnoteReference w:id="59"/>
      </w:r>
      <w:r w:rsidR="00755370" w:rsidRPr="00A33AE8">
        <w:rPr>
          <w:rFonts w:asciiTheme="majorHAnsi" w:hAnsiTheme="majorHAnsi" w:cstheme="majorHAnsi"/>
          <w:lang w:val="en-GB"/>
        </w:rPr>
        <w:t xml:space="preserve">stipulates </w:t>
      </w:r>
      <w:r w:rsidRPr="00A33AE8">
        <w:rPr>
          <w:rFonts w:asciiTheme="majorHAnsi" w:hAnsiTheme="majorHAnsi" w:cstheme="majorHAnsi"/>
          <w:lang w:val="en-GB"/>
        </w:rPr>
        <w:t xml:space="preserve">a fee for the improvement of energy efficiency to the energy entities that perform energy activities of electricity supply, natural gas supply and public supply of natural gas, as well as to the energy entities that perform the energy activity of production of oil products and trade in oil, oil products, biofuels, etc. In 2019, the Ministry of Mining and Energy adopted the relevant </w:t>
      </w:r>
      <w:r w:rsidRPr="00A33AE8">
        <w:rPr>
          <w:rFonts w:asciiTheme="majorHAnsi" w:hAnsiTheme="majorHAnsi" w:cstheme="majorHAnsi"/>
          <w:b/>
          <w:bCs/>
          <w:lang w:val="en-GB"/>
        </w:rPr>
        <w:t>Rulebook on the form of registration of records of taxpayers for energy efficiency improvement fees</w:t>
      </w:r>
      <w:r w:rsidR="00DE5893" w:rsidRPr="00A33AE8">
        <w:rPr>
          <w:rFonts w:asciiTheme="majorHAnsi" w:hAnsiTheme="majorHAnsi" w:cstheme="majorHAnsi"/>
          <w:lang w:val="en-GB"/>
        </w:rPr>
        <w:t xml:space="preserve">, </w:t>
      </w:r>
      <w:r w:rsidR="00DE5893" w:rsidRPr="000007D2">
        <w:rPr>
          <w:rFonts w:asciiTheme="majorHAnsi" w:hAnsiTheme="majorHAnsi" w:cstheme="majorHAnsi"/>
          <w:lang w:val="en-GB"/>
        </w:rPr>
        <w:t xml:space="preserve">on the form </w:t>
      </w:r>
      <w:r w:rsidR="008B46C9" w:rsidRPr="000007D2">
        <w:rPr>
          <w:rFonts w:asciiTheme="majorHAnsi" w:hAnsiTheme="majorHAnsi" w:cstheme="majorHAnsi"/>
          <w:lang w:val="en-GB"/>
        </w:rPr>
        <w:t>for</w:t>
      </w:r>
      <w:r w:rsidR="00DE5893" w:rsidRPr="000007D2">
        <w:rPr>
          <w:rFonts w:asciiTheme="majorHAnsi" w:hAnsiTheme="majorHAnsi" w:cstheme="majorHAnsi"/>
          <w:lang w:val="en-GB"/>
        </w:rPr>
        <w:t xml:space="preserve"> monthly and annual calculation of </w:t>
      </w:r>
      <w:r w:rsidR="008B46C9" w:rsidRPr="000007D2">
        <w:rPr>
          <w:rFonts w:asciiTheme="majorHAnsi" w:hAnsiTheme="majorHAnsi" w:cstheme="majorHAnsi"/>
          <w:lang w:val="en-GB"/>
        </w:rPr>
        <w:t xml:space="preserve">the amount of </w:t>
      </w:r>
      <w:r w:rsidR="00DE5893" w:rsidRPr="000007D2">
        <w:rPr>
          <w:rFonts w:asciiTheme="majorHAnsi" w:hAnsiTheme="majorHAnsi" w:cstheme="majorHAnsi"/>
          <w:lang w:val="en-GB"/>
        </w:rPr>
        <w:t xml:space="preserve">energy/ energy carriers supplied to consumers or </w:t>
      </w:r>
      <w:r w:rsidR="008B46C9" w:rsidRPr="000007D2">
        <w:rPr>
          <w:rFonts w:asciiTheme="majorHAnsi" w:hAnsiTheme="majorHAnsi" w:cstheme="majorHAnsi"/>
          <w:lang w:val="en-GB"/>
        </w:rPr>
        <w:t>placed on the market in the Republic of Serbia, i.e. imported into the territory of the Republic of Serbia, the form for the monthly and annual calculation for the payment of fees, the form for the payment reports, as well as the method of submitting these forms</w:t>
      </w:r>
      <w:r w:rsidRPr="00A33AE8">
        <w:rPr>
          <w:rFonts w:asciiTheme="majorHAnsi" w:hAnsiTheme="majorHAnsi" w:cstheme="majorHAnsi"/>
          <w:vertAlign w:val="superscript"/>
          <w:lang w:val="en-GB"/>
        </w:rPr>
        <w:footnoteReference w:id="60"/>
      </w:r>
      <w:r w:rsidRPr="00A33AE8">
        <w:rPr>
          <w:rFonts w:asciiTheme="majorHAnsi" w:hAnsiTheme="majorHAnsi" w:cstheme="majorHAnsi"/>
          <w:lang w:val="en-GB"/>
        </w:rPr>
        <w:t xml:space="preserve"> for the records of entities liable to pay energy efficiency improvement fee from July 2019.</w:t>
      </w:r>
    </w:p>
    <w:p w14:paraId="77193F9F" w14:textId="0668BA35" w:rsidR="006F3442" w:rsidRPr="000007D2" w:rsidRDefault="00531EA4" w:rsidP="006F3442">
      <w:pPr>
        <w:pStyle w:val="LDKbody"/>
        <w:rPr>
          <w:rFonts w:asciiTheme="majorHAnsi" w:hAnsiTheme="majorHAnsi" w:cstheme="majorHAnsi"/>
          <w:lang w:val="en-GB"/>
        </w:rPr>
      </w:pPr>
      <w:r w:rsidRPr="00A33AE8">
        <w:rPr>
          <w:rFonts w:asciiTheme="majorHAnsi" w:hAnsiTheme="majorHAnsi" w:cstheme="majorHAnsi"/>
          <w:lang w:val="en-GB"/>
        </w:rPr>
        <w:t xml:space="preserve">In </w:t>
      </w:r>
      <w:r w:rsidR="00B97FE2" w:rsidRPr="00A33AE8">
        <w:rPr>
          <w:rFonts w:asciiTheme="majorHAnsi" w:hAnsiTheme="majorHAnsi" w:cstheme="majorHAnsi"/>
          <w:lang w:val="en-GB"/>
        </w:rPr>
        <w:t>2017, the</w:t>
      </w:r>
      <w:r w:rsidR="007A0B52" w:rsidRPr="00A33AE8">
        <w:rPr>
          <w:rFonts w:asciiTheme="majorHAnsi" w:hAnsiTheme="majorHAnsi" w:cstheme="majorHAnsi"/>
          <w:b/>
          <w:bCs/>
          <w:lang w:val="en-GB"/>
        </w:rPr>
        <w:t xml:space="preserve"> Degree on establishment of implementation of Energy Sector Development Strategy of the Republic of Serbia until 2025 for the period from 2017 to 2023</w:t>
      </w:r>
      <w:r w:rsidR="00DE5893" w:rsidRPr="00A33AE8">
        <w:rPr>
          <w:rFonts w:asciiTheme="majorHAnsi" w:hAnsiTheme="majorHAnsi" w:cstheme="majorHAnsi"/>
          <w:b/>
          <w:bCs/>
          <w:lang w:val="en-GB"/>
        </w:rPr>
        <w:t xml:space="preserve"> </w:t>
      </w:r>
      <w:r w:rsidR="009F10E3" w:rsidRPr="00A33AE8">
        <w:rPr>
          <w:rStyle w:val="FootnoteReference"/>
          <w:rFonts w:asciiTheme="majorHAnsi" w:hAnsiTheme="majorHAnsi" w:cstheme="majorHAnsi"/>
          <w:b/>
          <w:bCs/>
        </w:rPr>
        <w:footnoteReference w:id="61"/>
      </w:r>
      <w:r w:rsidR="007A0B52" w:rsidRPr="00A33AE8">
        <w:rPr>
          <w:rFonts w:asciiTheme="majorHAnsi" w:hAnsiTheme="majorHAnsi" w:cstheme="majorHAnsi"/>
          <w:lang w:val="en-GB"/>
        </w:rPr>
        <w:t xml:space="preserve"> was adopted.</w:t>
      </w:r>
      <w:r w:rsidR="008F117E" w:rsidRPr="000007D2">
        <w:rPr>
          <w:rFonts w:asciiTheme="majorHAnsi" w:hAnsiTheme="majorHAnsi" w:cstheme="majorHAnsi"/>
          <w:lang w:val="en-GB"/>
        </w:rPr>
        <w:t xml:space="preserve"> </w:t>
      </w:r>
      <w:r w:rsidR="006F3442" w:rsidRPr="000007D2">
        <w:rPr>
          <w:rFonts w:asciiTheme="majorHAnsi" w:hAnsiTheme="majorHAnsi" w:cstheme="majorHAnsi"/>
          <w:lang w:val="en-GB"/>
        </w:rPr>
        <w:t>This program sets energy efficiency targets in accordance with the EED Directive until 2020, including the target for cumulative energy savings and an indicative target in the form of the maximum allowed consumption of final or primary energy.</w:t>
      </w:r>
    </w:p>
    <w:p w14:paraId="1EAAA2E3" w14:textId="77777777" w:rsidR="00B32D44" w:rsidRPr="000007D2" w:rsidRDefault="00C106FD" w:rsidP="00B32D44">
      <w:pPr>
        <w:pStyle w:val="LDKbody"/>
        <w:rPr>
          <w:rFonts w:asciiTheme="majorHAnsi" w:hAnsiTheme="majorHAnsi" w:cstheme="majorHAnsi"/>
          <w:lang w:val="en-GB"/>
        </w:rPr>
      </w:pPr>
      <w:r w:rsidRPr="000007D2">
        <w:rPr>
          <w:rFonts w:asciiTheme="majorHAnsi" w:hAnsiTheme="majorHAnsi" w:cstheme="majorHAnsi"/>
          <w:lang w:val="en-GB"/>
        </w:rPr>
        <w:lastRenderedPageBreak/>
        <w:t>On the basis of LEUE</w:t>
      </w:r>
      <w:r w:rsidR="00B32D44" w:rsidRPr="000007D2">
        <w:rPr>
          <w:rFonts w:asciiTheme="majorHAnsi" w:hAnsiTheme="majorHAnsi" w:cstheme="majorHAnsi"/>
          <w:lang w:val="en-GB"/>
        </w:rPr>
        <w:t>,</w:t>
      </w:r>
      <w:r w:rsidR="006F3442" w:rsidRPr="000007D2">
        <w:rPr>
          <w:rFonts w:asciiTheme="majorHAnsi" w:hAnsiTheme="majorHAnsi" w:cstheme="majorHAnsi"/>
          <w:lang w:val="en-GB"/>
        </w:rPr>
        <w:t xml:space="preserve"> in the period from 2014-2021, incentive</w:t>
      </w:r>
      <w:r w:rsidRPr="000007D2">
        <w:rPr>
          <w:rFonts w:asciiTheme="majorHAnsi" w:hAnsiTheme="majorHAnsi" w:cstheme="majorHAnsi"/>
          <w:lang w:val="en-GB"/>
        </w:rPr>
        <w:t>s</w:t>
      </w:r>
      <w:r w:rsidR="006F3442" w:rsidRPr="000007D2">
        <w:rPr>
          <w:rFonts w:asciiTheme="majorHAnsi" w:hAnsiTheme="majorHAnsi" w:cstheme="majorHAnsi"/>
          <w:lang w:val="en-GB"/>
        </w:rPr>
        <w:t xml:space="preserve"> for the improvement of energy efficiency were provided within the </w:t>
      </w:r>
      <w:r w:rsidR="00B32D44" w:rsidRPr="000007D2">
        <w:rPr>
          <w:rFonts w:asciiTheme="majorHAnsi" w:hAnsiTheme="majorHAnsi" w:cstheme="majorHAnsi"/>
          <w:lang w:val="en-GB"/>
        </w:rPr>
        <w:t xml:space="preserve">Budget Fund for </w:t>
      </w:r>
      <w:r w:rsidR="006F3442" w:rsidRPr="000007D2">
        <w:rPr>
          <w:rFonts w:asciiTheme="majorHAnsi" w:hAnsiTheme="majorHAnsi" w:cstheme="majorHAnsi"/>
          <w:lang w:val="en-GB"/>
        </w:rPr>
        <w:t>Energy Efficiency, a budget line whose funds were managed by the Ministry of Mining and Energy.</w:t>
      </w:r>
      <w:r w:rsidR="00B32D44" w:rsidRPr="000007D2">
        <w:rPr>
          <w:rFonts w:asciiTheme="majorHAnsi" w:hAnsiTheme="majorHAnsi" w:cstheme="majorHAnsi"/>
          <w:lang w:val="en-GB"/>
        </w:rPr>
        <w:t xml:space="preserve"> In that period, 7 public calls for the allocation of funds for the improvement of energy efficiency in buildings of public importance at the local level were implemented, through which 107 projects with a total value of about 14.4 million EUR were realized (participation of Budget Fund approx. 8.9 million EUR) and in accordance with the regulations on establishing the Program for financing activities and measures to improve the efficient use of energy, which the Government of the Republic of Serbia adopts every year on the proposal of the Ministry of Mining and Energy (MoME). In this context, significant activities related to the renovation of buildings in the country were carried out by various local institutions, as well as with the help of International Financial Institutions and donors.</w:t>
      </w:r>
    </w:p>
    <w:p w14:paraId="13379624" w14:textId="77777777" w:rsidR="00B32D44" w:rsidRPr="000007D2" w:rsidRDefault="00B32D44" w:rsidP="00B32D44">
      <w:pPr>
        <w:pStyle w:val="LDKbody"/>
        <w:rPr>
          <w:rFonts w:asciiTheme="majorHAnsi" w:hAnsiTheme="majorHAnsi" w:cstheme="majorHAnsi"/>
          <w:lang w:val="en-GB"/>
        </w:rPr>
      </w:pPr>
      <w:r w:rsidRPr="000007D2">
        <w:rPr>
          <w:rFonts w:asciiTheme="majorHAnsi" w:hAnsiTheme="majorHAnsi" w:cstheme="majorHAnsi"/>
          <w:lang w:val="en-GB"/>
        </w:rPr>
        <w:t xml:space="preserve">One of the most significant innovations brought by LEERUE is the legal basis for the establishment of the Directorate for Financing and Promoting Energy Efficiency (EE Directorate). The EE Directorate was established at the end of 2021 as a separate legal </w:t>
      </w:r>
      <w:r w:rsidR="00757F53" w:rsidRPr="000007D2">
        <w:rPr>
          <w:rFonts w:asciiTheme="majorHAnsi" w:hAnsiTheme="majorHAnsi" w:cstheme="majorHAnsi"/>
          <w:lang w:val="en-GB"/>
        </w:rPr>
        <w:t>body</w:t>
      </w:r>
      <w:r w:rsidRPr="000007D2">
        <w:rPr>
          <w:rFonts w:asciiTheme="majorHAnsi" w:hAnsiTheme="majorHAnsi" w:cstheme="majorHAnsi"/>
          <w:lang w:val="en-GB"/>
        </w:rPr>
        <w:t xml:space="preserve"> within the MoME, to </w:t>
      </w:r>
      <w:r w:rsidR="00757F53" w:rsidRPr="000007D2">
        <w:rPr>
          <w:rFonts w:asciiTheme="majorHAnsi" w:hAnsiTheme="majorHAnsi" w:cstheme="majorHAnsi"/>
          <w:lang w:val="en-GB"/>
        </w:rPr>
        <w:t>carry out</w:t>
      </w:r>
      <w:r w:rsidRPr="000007D2">
        <w:rPr>
          <w:rFonts w:asciiTheme="majorHAnsi" w:hAnsiTheme="majorHAnsi" w:cstheme="majorHAnsi"/>
          <w:lang w:val="en-GB"/>
        </w:rPr>
        <w:t xml:space="preserve"> executive and </w:t>
      </w:r>
      <w:r w:rsidR="00757F53" w:rsidRPr="000007D2">
        <w:rPr>
          <w:rFonts w:asciiTheme="majorHAnsi" w:hAnsiTheme="majorHAnsi" w:cstheme="majorHAnsi"/>
          <w:lang w:val="en-GB"/>
        </w:rPr>
        <w:t>expert operations</w:t>
      </w:r>
      <w:r w:rsidRPr="000007D2">
        <w:rPr>
          <w:rFonts w:asciiTheme="majorHAnsi" w:hAnsiTheme="majorHAnsi" w:cstheme="majorHAnsi"/>
          <w:lang w:val="en-GB"/>
        </w:rPr>
        <w:t xml:space="preserve"> relate</w:t>
      </w:r>
      <w:r w:rsidR="00757F53" w:rsidRPr="000007D2">
        <w:rPr>
          <w:rFonts w:asciiTheme="majorHAnsi" w:hAnsiTheme="majorHAnsi" w:cstheme="majorHAnsi"/>
          <w:lang w:val="en-GB"/>
        </w:rPr>
        <w:t>d</w:t>
      </w:r>
      <w:r w:rsidRPr="000007D2">
        <w:rPr>
          <w:rFonts w:asciiTheme="majorHAnsi" w:hAnsiTheme="majorHAnsi" w:cstheme="majorHAnsi"/>
          <w:lang w:val="en-GB"/>
        </w:rPr>
        <w:t xml:space="preserve"> to the financing of efficient energy use, and it</w:t>
      </w:r>
      <w:r w:rsidR="00757F53" w:rsidRPr="000007D2">
        <w:rPr>
          <w:rFonts w:asciiTheme="majorHAnsi" w:hAnsiTheme="majorHAnsi" w:cstheme="majorHAnsi"/>
          <w:lang w:val="en-GB"/>
        </w:rPr>
        <w:t>s operation</w:t>
      </w:r>
      <w:r w:rsidRPr="000007D2">
        <w:rPr>
          <w:rFonts w:asciiTheme="majorHAnsi" w:hAnsiTheme="majorHAnsi" w:cstheme="majorHAnsi"/>
          <w:lang w:val="en-GB"/>
        </w:rPr>
        <w:t xml:space="preserve"> starte</w:t>
      </w:r>
      <w:r w:rsidR="00757F53" w:rsidRPr="000007D2">
        <w:rPr>
          <w:rFonts w:asciiTheme="majorHAnsi" w:hAnsiTheme="majorHAnsi" w:cstheme="majorHAnsi"/>
          <w:lang w:val="en-GB"/>
        </w:rPr>
        <w:t>d</w:t>
      </w:r>
      <w:r w:rsidRPr="000007D2">
        <w:rPr>
          <w:rFonts w:asciiTheme="majorHAnsi" w:hAnsiTheme="majorHAnsi" w:cstheme="majorHAnsi"/>
          <w:lang w:val="en-GB"/>
        </w:rPr>
        <w:t xml:space="preserve"> in February 2022. The </w:t>
      </w:r>
      <w:r w:rsidR="00757F53" w:rsidRPr="000007D2">
        <w:rPr>
          <w:rFonts w:asciiTheme="majorHAnsi" w:hAnsiTheme="majorHAnsi" w:cstheme="majorHAnsi"/>
          <w:lang w:val="en-GB"/>
        </w:rPr>
        <w:t>tasks</w:t>
      </w:r>
      <w:r w:rsidRPr="000007D2">
        <w:rPr>
          <w:rFonts w:asciiTheme="majorHAnsi" w:hAnsiTheme="majorHAnsi" w:cstheme="majorHAnsi"/>
          <w:lang w:val="en-GB"/>
        </w:rPr>
        <w:t xml:space="preserve"> of the EE </w:t>
      </w:r>
      <w:r w:rsidR="00757F53" w:rsidRPr="000007D2">
        <w:rPr>
          <w:rFonts w:asciiTheme="majorHAnsi" w:hAnsiTheme="majorHAnsi" w:cstheme="majorHAnsi"/>
          <w:lang w:val="en-GB"/>
        </w:rPr>
        <w:t>Directorate are laid down</w:t>
      </w:r>
      <w:r w:rsidRPr="000007D2">
        <w:rPr>
          <w:rFonts w:asciiTheme="majorHAnsi" w:hAnsiTheme="majorHAnsi" w:cstheme="majorHAnsi"/>
          <w:lang w:val="en-GB"/>
        </w:rPr>
        <w:t xml:space="preserve"> in</w:t>
      </w:r>
      <w:r w:rsidR="00757F53" w:rsidRPr="000007D2">
        <w:rPr>
          <w:rFonts w:asciiTheme="majorHAnsi" w:hAnsiTheme="majorHAnsi" w:cstheme="majorHAnsi"/>
          <w:lang w:val="en-GB"/>
        </w:rPr>
        <w:t xml:space="preserve"> the</w:t>
      </w:r>
      <w:r w:rsidRPr="000007D2">
        <w:rPr>
          <w:rFonts w:asciiTheme="majorHAnsi" w:hAnsiTheme="majorHAnsi" w:cstheme="majorHAnsi"/>
          <w:lang w:val="en-GB"/>
        </w:rPr>
        <w:t xml:space="preserve"> Article 73 of the </w:t>
      </w:r>
      <w:r w:rsidR="00757F53" w:rsidRPr="000007D2">
        <w:rPr>
          <w:rFonts w:asciiTheme="majorHAnsi" w:hAnsiTheme="majorHAnsi" w:cstheme="majorHAnsi"/>
          <w:lang w:val="en-GB"/>
        </w:rPr>
        <w:t>LEERUE</w:t>
      </w:r>
      <w:r w:rsidRPr="000007D2">
        <w:rPr>
          <w:rFonts w:asciiTheme="majorHAnsi" w:hAnsiTheme="majorHAnsi" w:cstheme="majorHAnsi"/>
          <w:lang w:val="en-GB"/>
        </w:rPr>
        <w:t xml:space="preserve">. This </w:t>
      </w:r>
      <w:r w:rsidR="00757F53" w:rsidRPr="000007D2">
        <w:rPr>
          <w:rFonts w:asciiTheme="majorHAnsi" w:hAnsiTheme="majorHAnsi" w:cstheme="majorHAnsi"/>
          <w:lang w:val="en-GB"/>
        </w:rPr>
        <w:t>facilitated the launching of</w:t>
      </w:r>
      <w:r w:rsidRPr="000007D2">
        <w:rPr>
          <w:rFonts w:asciiTheme="majorHAnsi" w:hAnsiTheme="majorHAnsi" w:cstheme="majorHAnsi"/>
          <w:lang w:val="en-GB"/>
        </w:rPr>
        <w:t xml:space="preserve"> pilot projects for the allocation of funds to citizens in 2021 in cooperation with local self-government</w:t>
      </w:r>
      <w:r w:rsidR="00757F53" w:rsidRPr="000007D2">
        <w:rPr>
          <w:rFonts w:asciiTheme="majorHAnsi" w:hAnsiTheme="majorHAnsi" w:cstheme="majorHAnsi"/>
          <w:lang w:val="en-GB"/>
        </w:rPr>
        <w:t>s</w:t>
      </w:r>
      <w:r w:rsidRPr="000007D2">
        <w:rPr>
          <w:rFonts w:asciiTheme="majorHAnsi" w:hAnsiTheme="majorHAnsi" w:cstheme="majorHAnsi"/>
          <w:lang w:val="en-GB"/>
        </w:rPr>
        <w:t>, whereby incentives up to 50% are provided by the M</w:t>
      </w:r>
      <w:r w:rsidR="00757F53" w:rsidRPr="000007D2">
        <w:rPr>
          <w:rFonts w:asciiTheme="majorHAnsi" w:hAnsiTheme="majorHAnsi" w:cstheme="majorHAnsi"/>
          <w:lang w:val="en-GB"/>
        </w:rPr>
        <w:t>oME</w:t>
      </w:r>
      <w:r w:rsidRPr="000007D2">
        <w:rPr>
          <w:rFonts w:asciiTheme="majorHAnsi" w:hAnsiTheme="majorHAnsi" w:cstheme="majorHAnsi"/>
          <w:lang w:val="en-GB"/>
        </w:rPr>
        <w:t xml:space="preserve"> and local self-government units (25% each) and citizens </w:t>
      </w:r>
      <w:r w:rsidR="00757F53" w:rsidRPr="000007D2">
        <w:rPr>
          <w:rFonts w:asciiTheme="majorHAnsi" w:hAnsiTheme="majorHAnsi" w:cstheme="majorHAnsi"/>
          <w:lang w:val="en-GB"/>
        </w:rPr>
        <w:t>approx.</w:t>
      </w:r>
      <w:r w:rsidRPr="000007D2">
        <w:rPr>
          <w:rFonts w:asciiTheme="majorHAnsi" w:hAnsiTheme="majorHAnsi" w:cstheme="majorHAnsi"/>
          <w:lang w:val="en-GB"/>
        </w:rPr>
        <w:t xml:space="preserve"> 50%:</w:t>
      </w:r>
    </w:p>
    <w:p w14:paraId="568794FB" w14:textId="21CE92A2" w:rsidR="008F117E" w:rsidRPr="000007D2" w:rsidRDefault="00757F53" w:rsidP="00884F3B">
      <w:pPr>
        <w:pStyle w:val="LDKbody"/>
        <w:numPr>
          <w:ilvl w:val="0"/>
          <w:numId w:val="240"/>
        </w:numPr>
        <w:rPr>
          <w:rFonts w:asciiTheme="majorHAnsi" w:hAnsiTheme="majorHAnsi" w:cstheme="majorHAnsi"/>
          <w:lang w:val="en-GB"/>
        </w:rPr>
      </w:pPr>
      <w:r w:rsidRPr="000007D2">
        <w:rPr>
          <w:rFonts w:asciiTheme="majorHAnsi" w:hAnsiTheme="majorHAnsi" w:cstheme="majorHAnsi"/>
          <w:lang w:val="en-GB"/>
        </w:rPr>
        <w:t xml:space="preserve">for energy rehabilitation of residential </w:t>
      </w:r>
      <w:r w:rsidR="004448B4" w:rsidRPr="004448B4">
        <w:rPr>
          <w:rFonts w:asciiTheme="majorHAnsi" w:hAnsiTheme="majorHAnsi" w:cstheme="majorHAnsi"/>
          <w:lang w:val="en-GB"/>
        </w:rPr>
        <w:t>buildings</w:t>
      </w:r>
      <w:r w:rsidRPr="000007D2">
        <w:rPr>
          <w:rFonts w:asciiTheme="majorHAnsi" w:hAnsiTheme="majorHAnsi" w:cstheme="majorHAnsi"/>
          <w:lang w:val="en-GB"/>
        </w:rPr>
        <w:t>, family houses and apartments 67 LSG</w:t>
      </w:r>
      <w:r w:rsidR="008F117E" w:rsidRPr="000007D2">
        <w:rPr>
          <w:rFonts w:asciiTheme="majorHAnsi" w:hAnsiTheme="majorHAnsi" w:cstheme="majorHAnsi"/>
          <w:lang w:val="en-GB"/>
        </w:rPr>
        <w:t xml:space="preserve"> ; </w:t>
      </w:r>
      <w:r w:rsidRPr="000007D2">
        <w:rPr>
          <w:rFonts w:asciiTheme="majorHAnsi" w:hAnsiTheme="majorHAnsi" w:cstheme="majorHAnsi"/>
          <w:lang w:val="en-GB"/>
        </w:rPr>
        <w:t>approx.</w:t>
      </w:r>
      <w:r w:rsidR="008F117E" w:rsidRPr="000007D2">
        <w:rPr>
          <w:rFonts w:asciiTheme="majorHAnsi" w:hAnsiTheme="majorHAnsi" w:cstheme="majorHAnsi"/>
          <w:lang w:val="en-GB"/>
        </w:rPr>
        <w:t xml:space="preserve"> 5000 </w:t>
      </w:r>
      <w:r w:rsidRPr="000007D2">
        <w:rPr>
          <w:rFonts w:asciiTheme="majorHAnsi" w:hAnsiTheme="majorHAnsi" w:cstheme="majorHAnsi"/>
          <w:lang w:val="en-GB"/>
        </w:rPr>
        <w:t>households</w:t>
      </w:r>
      <w:r w:rsidR="008F117E" w:rsidRPr="000007D2">
        <w:rPr>
          <w:rFonts w:asciiTheme="majorHAnsi" w:hAnsiTheme="majorHAnsi" w:cstheme="majorHAnsi"/>
          <w:lang w:val="en-GB"/>
        </w:rPr>
        <w:t xml:space="preserve">; </w:t>
      </w:r>
      <w:r w:rsidRPr="000007D2">
        <w:rPr>
          <w:rFonts w:asciiTheme="majorHAnsi" w:hAnsiTheme="majorHAnsi" w:cstheme="majorHAnsi"/>
          <w:lang w:val="en-GB"/>
        </w:rPr>
        <w:t>Amount of subsidies from MoME and LSG</w:t>
      </w:r>
      <w:r w:rsidR="008F117E" w:rsidRPr="000007D2">
        <w:rPr>
          <w:rFonts w:asciiTheme="majorHAnsi" w:hAnsiTheme="majorHAnsi" w:cstheme="majorHAnsi"/>
          <w:lang w:val="en-GB"/>
        </w:rPr>
        <w:t xml:space="preserve">: 461 </w:t>
      </w:r>
      <w:r w:rsidRPr="000007D2">
        <w:rPr>
          <w:rFonts w:asciiTheme="majorHAnsi" w:hAnsiTheme="majorHAnsi" w:cstheme="majorHAnsi"/>
          <w:lang w:val="en-GB"/>
        </w:rPr>
        <w:t>million dinars</w:t>
      </w:r>
      <w:r w:rsidR="008F117E" w:rsidRPr="000007D2">
        <w:rPr>
          <w:rFonts w:asciiTheme="majorHAnsi" w:hAnsiTheme="majorHAnsi" w:cstheme="majorHAnsi"/>
          <w:lang w:val="en-GB"/>
        </w:rPr>
        <w:t xml:space="preserve">; </w:t>
      </w:r>
      <w:r w:rsidRPr="000007D2">
        <w:rPr>
          <w:rFonts w:asciiTheme="majorHAnsi" w:hAnsiTheme="majorHAnsi" w:cstheme="majorHAnsi"/>
          <w:lang w:val="en-GB"/>
        </w:rPr>
        <w:t>Expected energy savings</w:t>
      </w:r>
      <w:r w:rsidR="008F117E" w:rsidRPr="000007D2">
        <w:rPr>
          <w:rFonts w:asciiTheme="majorHAnsi" w:hAnsiTheme="majorHAnsi" w:cstheme="majorHAnsi"/>
          <w:lang w:val="en-GB"/>
        </w:rPr>
        <w:t xml:space="preserve">: </w:t>
      </w:r>
      <w:r w:rsidRPr="000007D2">
        <w:rPr>
          <w:rFonts w:asciiTheme="majorHAnsi" w:hAnsiTheme="majorHAnsi" w:cstheme="majorHAnsi"/>
          <w:lang w:val="en-GB"/>
        </w:rPr>
        <w:t xml:space="preserve">approx. </w:t>
      </w:r>
      <w:r w:rsidR="008F117E" w:rsidRPr="000007D2">
        <w:rPr>
          <w:rFonts w:asciiTheme="majorHAnsi" w:hAnsiTheme="majorHAnsi" w:cstheme="majorHAnsi"/>
          <w:lang w:val="en-GB"/>
        </w:rPr>
        <w:t xml:space="preserve">36 </w:t>
      </w:r>
      <w:r w:rsidRPr="000007D2">
        <w:rPr>
          <w:rFonts w:asciiTheme="majorHAnsi" w:hAnsiTheme="majorHAnsi" w:cstheme="majorHAnsi"/>
          <w:lang w:val="en-GB"/>
        </w:rPr>
        <w:t>million</w:t>
      </w:r>
      <w:r w:rsidR="008F117E" w:rsidRPr="000007D2">
        <w:rPr>
          <w:rFonts w:asciiTheme="majorHAnsi" w:hAnsiTheme="majorHAnsi" w:cstheme="majorHAnsi"/>
          <w:lang w:val="en-GB"/>
        </w:rPr>
        <w:t xml:space="preserve"> KWh. </w:t>
      </w:r>
      <w:r w:rsidRPr="000007D2">
        <w:rPr>
          <w:rFonts w:asciiTheme="majorHAnsi" w:hAnsiTheme="majorHAnsi" w:cstheme="majorHAnsi"/>
          <w:lang w:val="en-GB"/>
        </w:rPr>
        <w:t>Estimated reduction of</w:t>
      </w:r>
      <w:r w:rsidR="008F117E" w:rsidRPr="000007D2">
        <w:rPr>
          <w:rFonts w:asciiTheme="majorHAnsi" w:hAnsiTheme="majorHAnsi" w:cstheme="majorHAnsi"/>
          <w:lang w:val="en-GB"/>
        </w:rPr>
        <w:t xml:space="preserve"> CO2</w:t>
      </w:r>
      <w:r w:rsidRPr="000007D2">
        <w:rPr>
          <w:rFonts w:asciiTheme="majorHAnsi" w:hAnsiTheme="majorHAnsi" w:cstheme="majorHAnsi"/>
          <w:lang w:val="en-GB"/>
        </w:rPr>
        <w:t xml:space="preserve"> emissions</w:t>
      </w:r>
      <w:r w:rsidR="008F117E" w:rsidRPr="000007D2">
        <w:rPr>
          <w:rFonts w:asciiTheme="majorHAnsi" w:hAnsiTheme="majorHAnsi" w:cstheme="majorHAnsi"/>
          <w:lang w:val="en-GB"/>
        </w:rPr>
        <w:t>: 12</w:t>
      </w:r>
      <w:r w:rsidRPr="000007D2">
        <w:rPr>
          <w:rFonts w:asciiTheme="majorHAnsi" w:hAnsiTheme="majorHAnsi" w:cstheme="majorHAnsi"/>
          <w:lang w:val="en-GB"/>
        </w:rPr>
        <w:t>,</w:t>
      </w:r>
      <w:r w:rsidR="008F117E" w:rsidRPr="000007D2">
        <w:rPr>
          <w:rFonts w:asciiTheme="majorHAnsi" w:hAnsiTheme="majorHAnsi" w:cstheme="majorHAnsi"/>
          <w:lang w:val="en-GB"/>
        </w:rPr>
        <w:t>154</w:t>
      </w:r>
      <w:r w:rsidRPr="000007D2">
        <w:rPr>
          <w:rFonts w:asciiTheme="majorHAnsi" w:hAnsiTheme="majorHAnsi" w:cstheme="majorHAnsi"/>
          <w:lang w:val="en-GB"/>
        </w:rPr>
        <w:t>.</w:t>
      </w:r>
      <w:r w:rsidR="008F117E" w:rsidRPr="000007D2">
        <w:rPr>
          <w:rFonts w:asciiTheme="majorHAnsi" w:hAnsiTheme="majorHAnsi" w:cstheme="majorHAnsi"/>
          <w:lang w:val="en-GB"/>
        </w:rPr>
        <w:t xml:space="preserve">90 </w:t>
      </w:r>
      <w:r w:rsidRPr="000007D2">
        <w:rPr>
          <w:rFonts w:asciiTheme="majorHAnsi" w:hAnsiTheme="majorHAnsi" w:cstheme="majorHAnsi"/>
          <w:lang w:val="en-GB"/>
        </w:rPr>
        <w:t>t</w:t>
      </w:r>
      <w:r w:rsidR="008F117E" w:rsidRPr="000007D2">
        <w:rPr>
          <w:rFonts w:asciiTheme="majorHAnsi" w:hAnsiTheme="majorHAnsi" w:cstheme="majorHAnsi"/>
          <w:lang w:val="en-GB"/>
        </w:rPr>
        <w:t>)</w:t>
      </w:r>
    </w:p>
    <w:p w14:paraId="2A6B39FA" w14:textId="729B79C9" w:rsidR="008F117E" w:rsidRPr="000007D2" w:rsidRDefault="00757F53" w:rsidP="00884F3B">
      <w:pPr>
        <w:pStyle w:val="LDKbody"/>
        <w:numPr>
          <w:ilvl w:val="0"/>
          <w:numId w:val="240"/>
        </w:numPr>
        <w:rPr>
          <w:rFonts w:asciiTheme="majorHAnsi" w:hAnsiTheme="majorHAnsi" w:cstheme="majorHAnsi"/>
          <w:lang w:val="en-GB"/>
        </w:rPr>
      </w:pPr>
      <w:r w:rsidRPr="000007D2">
        <w:rPr>
          <w:rFonts w:asciiTheme="majorHAnsi" w:hAnsiTheme="majorHAnsi" w:cstheme="majorHAnsi"/>
          <w:lang w:val="en-GB"/>
        </w:rPr>
        <w:t>for installation of solar panels</w:t>
      </w:r>
      <w:r w:rsidR="008F117E" w:rsidRPr="000007D2">
        <w:rPr>
          <w:rFonts w:asciiTheme="majorHAnsi" w:hAnsiTheme="majorHAnsi" w:cstheme="majorHAnsi"/>
          <w:lang w:val="en-GB"/>
        </w:rPr>
        <w:t xml:space="preserve">: 37 </w:t>
      </w:r>
      <w:r w:rsidRPr="000007D2">
        <w:rPr>
          <w:rFonts w:asciiTheme="majorHAnsi" w:hAnsiTheme="majorHAnsi" w:cstheme="majorHAnsi"/>
          <w:lang w:val="en-GB"/>
        </w:rPr>
        <w:t>LSG</w:t>
      </w:r>
      <w:r w:rsidR="008F117E" w:rsidRPr="000007D2">
        <w:rPr>
          <w:rFonts w:asciiTheme="majorHAnsi" w:hAnsiTheme="majorHAnsi" w:cstheme="majorHAnsi"/>
          <w:lang w:val="en-GB"/>
        </w:rPr>
        <w:t xml:space="preserve">; 500 </w:t>
      </w:r>
      <w:r w:rsidRPr="000007D2">
        <w:rPr>
          <w:rFonts w:asciiTheme="majorHAnsi" w:hAnsiTheme="majorHAnsi" w:cstheme="majorHAnsi"/>
          <w:lang w:val="en-GB"/>
        </w:rPr>
        <w:t>households</w:t>
      </w:r>
      <w:r w:rsidR="008F117E" w:rsidRPr="000007D2">
        <w:rPr>
          <w:rFonts w:asciiTheme="majorHAnsi" w:hAnsiTheme="majorHAnsi" w:cstheme="majorHAnsi"/>
          <w:lang w:val="en-GB"/>
        </w:rPr>
        <w:t xml:space="preserve">; </w:t>
      </w:r>
      <w:r w:rsidR="004448B4" w:rsidRPr="004448B4">
        <w:rPr>
          <w:rFonts w:asciiTheme="majorHAnsi" w:hAnsiTheme="majorHAnsi" w:cstheme="majorHAnsi"/>
          <w:lang w:val="en-GB"/>
        </w:rPr>
        <w:t>Amount</w:t>
      </w:r>
      <w:r w:rsidRPr="000007D2">
        <w:rPr>
          <w:rFonts w:asciiTheme="majorHAnsi" w:hAnsiTheme="majorHAnsi" w:cstheme="majorHAnsi"/>
          <w:lang w:val="en-GB"/>
        </w:rPr>
        <w:t xml:space="preserve"> of sub</w:t>
      </w:r>
      <w:r w:rsidR="00126DFF" w:rsidRPr="000007D2">
        <w:rPr>
          <w:rFonts w:asciiTheme="majorHAnsi" w:hAnsiTheme="majorHAnsi" w:cstheme="majorHAnsi"/>
          <w:lang w:val="en-GB"/>
        </w:rPr>
        <w:t>sidies</w:t>
      </w:r>
      <w:r w:rsidRPr="000007D2">
        <w:rPr>
          <w:rFonts w:asciiTheme="majorHAnsi" w:hAnsiTheme="majorHAnsi" w:cstheme="majorHAnsi"/>
          <w:lang w:val="en-GB"/>
        </w:rPr>
        <w:t xml:space="preserve"> from MoME and LSG</w:t>
      </w:r>
      <w:r w:rsidR="008F117E" w:rsidRPr="000007D2">
        <w:rPr>
          <w:rFonts w:asciiTheme="majorHAnsi" w:hAnsiTheme="majorHAnsi" w:cstheme="majorHAnsi"/>
          <w:lang w:val="en-GB"/>
        </w:rPr>
        <w:t xml:space="preserve">: </w:t>
      </w:r>
      <w:r w:rsidRPr="000007D2">
        <w:rPr>
          <w:rFonts w:asciiTheme="majorHAnsi" w:hAnsiTheme="majorHAnsi" w:cstheme="majorHAnsi"/>
          <w:lang w:val="en-GB"/>
        </w:rPr>
        <w:t>approx.</w:t>
      </w:r>
      <w:r w:rsidR="008F117E" w:rsidRPr="000007D2">
        <w:rPr>
          <w:rFonts w:asciiTheme="majorHAnsi" w:hAnsiTheme="majorHAnsi" w:cstheme="majorHAnsi"/>
          <w:lang w:val="en-GB"/>
        </w:rPr>
        <w:t xml:space="preserve"> 200 </w:t>
      </w:r>
      <w:r w:rsidR="004448B4" w:rsidRPr="004448B4">
        <w:rPr>
          <w:rFonts w:asciiTheme="majorHAnsi" w:hAnsiTheme="majorHAnsi" w:cstheme="majorHAnsi"/>
          <w:lang w:val="en-GB"/>
        </w:rPr>
        <w:t>million</w:t>
      </w:r>
      <w:r w:rsidRPr="000007D2">
        <w:rPr>
          <w:rFonts w:asciiTheme="majorHAnsi" w:hAnsiTheme="majorHAnsi" w:cstheme="majorHAnsi"/>
          <w:lang w:val="en-GB"/>
        </w:rPr>
        <w:t xml:space="preserve"> dinars</w:t>
      </w:r>
      <w:r w:rsidR="008F117E" w:rsidRPr="000007D2">
        <w:rPr>
          <w:rFonts w:asciiTheme="majorHAnsi" w:hAnsiTheme="majorHAnsi" w:cstheme="majorHAnsi"/>
          <w:lang w:val="en-GB"/>
        </w:rPr>
        <w:t xml:space="preserve">; </w:t>
      </w:r>
      <w:r w:rsidRPr="000007D2">
        <w:rPr>
          <w:rFonts w:asciiTheme="majorHAnsi" w:hAnsiTheme="majorHAnsi" w:cstheme="majorHAnsi"/>
          <w:lang w:val="en-GB"/>
        </w:rPr>
        <w:t>Expected energy savings</w:t>
      </w:r>
      <w:r w:rsidR="008F117E" w:rsidRPr="000007D2">
        <w:rPr>
          <w:rFonts w:asciiTheme="majorHAnsi" w:hAnsiTheme="majorHAnsi" w:cstheme="majorHAnsi"/>
          <w:lang w:val="en-GB"/>
        </w:rPr>
        <w:t xml:space="preserve">: 3.000.000 KWh </w:t>
      </w:r>
      <w:r w:rsidR="004448B4" w:rsidRPr="004448B4">
        <w:rPr>
          <w:rFonts w:asciiTheme="majorHAnsi" w:hAnsiTheme="majorHAnsi" w:cstheme="majorHAnsi"/>
          <w:lang w:val="en-GB"/>
        </w:rPr>
        <w:t>annually</w:t>
      </w:r>
      <w:r w:rsidR="008F117E" w:rsidRPr="000007D2">
        <w:rPr>
          <w:rFonts w:asciiTheme="majorHAnsi" w:hAnsiTheme="majorHAnsi" w:cstheme="majorHAnsi"/>
          <w:lang w:val="en-GB"/>
        </w:rPr>
        <w:t xml:space="preserve">. </w:t>
      </w:r>
      <w:r w:rsidRPr="000007D2">
        <w:rPr>
          <w:rFonts w:asciiTheme="majorHAnsi" w:hAnsiTheme="majorHAnsi" w:cstheme="majorHAnsi"/>
          <w:lang w:val="en-GB"/>
        </w:rPr>
        <w:t>Expected reduction of</w:t>
      </w:r>
      <w:r w:rsidR="008F117E" w:rsidRPr="000007D2">
        <w:rPr>
          <w:rFonts w:asciiTheme="majorHAnsi" w:hAnsiTheme="majorHAnsi" w:cstheme="majorHAnsi"/>
          <w:lang w:val="en-GB"/>
        </w:rPr>
        <w:t xml:space="preserve"> CO2</w:t>
      </w:r>
      <w:r w:rsidRPr="000007D2">
        <w:rPr>
          <w:rFonts w:asciiTheme="majorHAnsi" w:hAnsiTheme="majorHAnsi" w:cstheme="majorHAnsi"/>
          <w:lang w:val="en-GB"/>
        </w:rPr>
        <w:t xml:space="preserve"> emissions</w:t>
      </w:r>
      <w:r w:rsidR="008F117E" w:rsidRPr="000007D2">
        <w:rPr>
          <w:rFonts w:asciiTheme="majorHAnsi" w:hAnsiTheme="majorHAnsi" w:cstheme="majorHAnsi"/>
          <w:lang w:val="en-GB"/>
        </w:rPr>
        <w:t xml:space="preserve">: 3300 </w:t>
      </w:r>
      <w:r w:rsidRPr="000007D2">
        <w:rPr>
          <w:rFonts w:asciiTheme="majorHAnsi" w:hAnsiTheme="majorHAnsi" w:cstheme="majorHAnsi"/>
          <w:lang w:val="en-GB"/>
        </w:rPr>
        <w:t xml:space="preserve">tons </w:t>
      </w:r>
      <w:r w:rsidR="004448B4" w:rsidRPr="004448B4">
        <w:rPr>
          <w:rFonts w:asciiTheme="majorHAnsi" w:hAnsiTheme="majorHAnsi" w:cstheme="majorHAnsi"/>
          <w:lang w:val="en-GB"/>
        </w:rPr>
        <w:t>annually</w:t>
      </w:r>
      <w:r w:rsidRPr="000007D2">
        <w:rPr>
          <w:rFonts w:asciiTheme="majorHAnsi" w:hAnsiTheme="majorHAnsi" w:cstheme="majorHAnsi"/>
          <w:lang w:val="en-GB"/>
        </w:rPr>
        <w:t>.</w:t>
      </w:r>
    </w:p>
    <w:p w14:paraId="6E9BE8A9" w14:textId="77777777" w:rsidR="00126DFF" w:rsidRPr="000007D2" w:rsidRDefault="00757F53" w:rsidP="00126DFF">
      <w:pPr>
        <w:pStyle w:val="LDKbody"/>
        <w:rPr>
          <w:rFonts w:asciiTheme="majorHAnsi" w:hAnsiTheme="majorHAnsi" w:cstheme="majorHAnsi"/>
          <w:lang w:val="en-GB"/>
        </w:rPr>
      </w:pPr>
      <w:r w:rsidRPr="000007D2">
        <w:rPr>
          <w:rFonts w:asciiTheme="majorHAnsi" w:hAnsiTheme="majorHAnsi" w:cstheme="majorHAnsi"/>
          <w:lang w:val="en-GB"/>
        </w:rPr>
        <w:t>This made</w:t>
      </w:r>
      <w:r w:rsidR="00126DFF" w:rsidRPr="000007D2">
        <w:rPr>
          <w:rFonts w:asciiTheme="majorHAnsi" w:hAnsiTheme="majorHAnsi" w:cstheme="majorHAnsi"/>
          <w:lang w:val="en-GB"/>
        </w:rPr>
        <w:t xml:space="preserve"> the allocation of</w:t>
      </w:r>
      <w:r w:rsidRPr="000007D2">
        <w:rPr>
          <w:rFonts w:asciiTheme="majorHAnsi" w:hAnsiTheme="majorHAnsi" w:cstheme="majorHAnsi"/>
          <w:lang w:val="en-GB"/>
        </w:rPr>
        <w:t xml:space="preserve"> significantly larger funds for financing energy efficiency </w:t>
      </w:r>
      <w:r w:rsidR="00126DFF" w:rsidRPr="000007D2">
        <w:rPr>
          <w:rFonts w:asciiTheme="majorHAnsi" w:hAnsiTheme="majorHAnsi" w:cstheme="majorHAnsi"/>
          <w:lang w:val="en-GB"/>
        </w:rPr>
        <w:t>from</w:t>
      </w:r>
      <w:r w:rsidRPr="000007D2">
        <w:rPr>
          <w:rFonts w:asciiTheme="majorHAnsi" w:hAnsiTheme="majorHAnsi" w:cstheme="majorHAnsi"/>
          <w:lang w:val="en-GB"/>
        </w:rPr>
        <w:t xml:space="preserve"> the Budget </w:t>
      </w:r>
      <w:r w:rsidR="00126DFF" w:rsidRPr="000007D2">
        <w:rPr>
          <w:rFonts w:asciiTheme="majorHAnsi" w:hAnsiTheme="majorHAnsi" w:cstheme="majorHAnsi"/>
          <w:lang w:val="en-GB"/>
        </w:rPr>
        <w:t xml:space="preserve">of RS </w:t>
      </w:r>
      <w:r w:rsidRPr="000007D2">
        <w:rPr>
          <w:rFonts w:asciiTheme="majorHAnsi" w:hAnsiTheme="majorHAnsi" w:cstheme="majorHAnsi"/>
          <w:lang w:val="en-GB"/>
        </w:rPr>
        <w:t>for 2022</w:t>
      </w:r>
      <w:r w:rsidR="00126DFF" w:rsidRPr="000007D2">
        <w:rPr>
          <w:rFonts w:asciiTheme="majorHAnsi" w:hAnsiTheme="majorHAnsi" w:cstheme="majorHAnsi"/>
          <w:lang w:val="en-GB"/>
        </w:rPr>
        <w:t xml:space="preserve"> possible</w:t>
      </w:r>
      <w:r w:rsidRPr="000007D2">
        <w:rPr>
          <w:rFonts w:asciiTheme="majorHAnsi" w:hAnsiTheme="majorHAnsi" w:cstheme="majorHAnsi"/>
          <w:lang w:val="en-GB"/>
        </w:rPr>
        <w:t>, amounting to a</w:t>
      </w:r>
      <w:r w:rsidR="00126DFF" w:rsidRPr="000007D2">
        <w:rPr>
          <w:rFonts w:asciiTheme="majorHAnsi" w:hAnsiTheme="majorHAnsi" w:cstheme="majorHAnsi"/>
          <w:lang w:val="en-GB"/>
        </w:rPr>
        <w:t>pprox.</w:t>
      </w:r>
      <w:r w:rsidRPr="000007D2">
        <w:rPr>
          <w:rFonts w:asciiTheme="majorHAnsi" w:hAnsiTheme="majorHAnsi" w:cstheme="majorHAnsi"/>
          <w:lang w:val="en-GB"/>
        </w:rPr>
        <w:t xml:space="preserve"> 2 billion RSD or </w:t>
      </w:r>
      <w:r w:rsidR="00126DFF" w:rsidRPr="000007D2">
        <w:rPr>
          <w:rFonts w:asciiTheme="majorHAnsi" w:hAnsiTheme="majorHAnsi" w:cstheme="majorHAnsi"/>
          <w:lang w:val="en-GB"/>
        </w:rPr>
        <w:t>approx.</w:t>
      </w:r>
      <w:r w:rsidRPr="000007D2">
        <w:rPr>
          <w:rFonts w:asciiTheme="majorHAnsi" w:hAnsiTheme="majorHAnsi" w:cstheme="majorHAnsi"/>
          <w:lang w:val="en-GB"/>
        </w:rPr>
        <w:t xml:space="preserve"> 17 million. EUR, </w:t>
      </w:r>
      <w:r w:rsidR="00126DFF" w:rsidRPr="000007D2">
        <w:rPr>
          <w:rFonts w:asciiTheme="majorHAnsi" w:hAnsiTheme="majorHAnsi" w:cstheme="majorHAnsi"/>
          <w:lang w:val="en-GB"/>
        </w:rPr>
        <w:t xml:space="preserve">out </w:t>
      </w:r>
      <w:r w:rsidRPr="000007D2">
        <w:rPr>
          <w:rFonts w:asciiTheme="majorHAnsi" w:hAnsiTheme="majorHAnsi" w:cstheme="majorHAnsi"/>
          <w:lang w:val="en-GB"/>
        </w:rPr>
        <w:t>of which approximately 10 million</w:t>
      </w:r>
      <w:r w:rsidR="00126DFF" w:rsidRPr="000007D2">
        <w:rPr>
          <w:rFonts w:asciiTheme="majorHAnsi" w:hAnsiTheme="majorHAnsi" w:cstheme="majorHAnsi"/>
          <w:lang w:val="en-GB"/>
        </w:rPr>
        <w:t xml:space="preserve"> EUR</w:t>
      </w:r>
      <w:r w:rsidRPr="000007D2">
        <w:rPr>
          <w:rFonts w:asciiTheme="majorHAnsi" w:hAnsiTheme="majorHAnsi" w:cstheme="majorHAnsi"/>
          <w:lang w:val="en-GB"/>
        </w:rPr>
        <w:t xml:space="preserve"> is collected annually from </w:t>
      </w:r>
      <w:r w:rsidR="00126DFF" w:rsidRPr="000007D2">
        <w:rPr>
          <w:rFonts w:asciiTheme="majorHAnsi" w:hAnsiTheme="majorHAnsi" w:cstheme="majorHAnsi"/>
          <w:lang w:val="en-GB"/>
        </w:rPr>
        <w:t>compensation charges</w:t>
      </w:r>
      <w:r w:rsidRPr="000007D2">
        <w:rPr>
          <w:rFonts w:asciiTheme="majorHAnsi" w:hAnsiTheme="majorHAnsi" w:cstheme="majorHAnsi"/>
          <w:lang w:val="en-GB"/>
        </w:rPr>
        <w:t xml:space="preserve">. </w:t>
      </w:r>
      <w:r w:rsidR="00126DFF" w:rsidRPr="000007D2">
        <w:rPr>
          <w:rFonts w:asciiTheme="majorHAnsi" w:hAnsiTheme="majorHAnsi" w:cstheme="majorHAnsi"/>
          <w:lang w:val="en-GB"/>
        </w:rPr>
        <w:t>In 2022,</w:t>
      </w:r>
      <w:r w:rsidRPr="000007D2">
        <w:rPr>
          <w:rFonts w:asciiTheme="majorHAnsi" w:hAnsiTheme="majorHAnsi" w:cstheme="majorHAnsi"/>
          <w:lang w:val="en-GB"/>
        </w:rPr>
        <w:t xml:space="preserve"> on </w:t>
      </w:r>
      <w:r w:rsidR="00126DFF" w:rsidRPr="000007D2">
        <w:rPr>
          <w:rFonts w:asciiTheme="majorHAnsi" w:hAnsiTheme="majorHAnsi" w:cstheme="majorHAnsi"/>
          <w:lang w:val="en-GB"/>
        </w:rPr>
        <w:t>the basis of these</w:t>
      </w:r>
      <w:r w:rsidRPr="000007D2">
        <w:rPr>
          <w:rFonts w:asciiTheme="majorHAnsi" w:hAnsiTheme="majorHAnsi" w:cstheme="majorHAnsi"/>
          <w:lang w:val="en-GB"/>
        </w:rPr>
        <w:t xml:space="preserve"> funds</w:t>
      </w:r>
      <w:r w:rsidR="00126DFF" w:rsidRPr="000007D2">
        <w:rPr>
          <w:rFonts w:asciiTheme="majorHAnsi" w:hAnsiTheme="majorHAnsi" w:cstheme="majorHAnsi"/>
          <w:lang w:val="en-GB"/>
        </w:rPr>
        <w:t xml:space="preserve"> and</w:t>
      </w:r>
      <w:r w:rsidRPr="000007D2">
        <w:rPr>
          <w:rFonts w:asciiTheme="majorHAnsi" w:hAnsiTheme="majorHAnsi" w:cstheme="majorHAnsi"/>
          <w:lang w:val="en-GB"/>
        </w:rPr>
        <w:t xml:space="preserve"> in cooperation with 151 L</w:t>
      </w:r>
      <w:r w:rsidR="00126DFF" w:rsidRPr="000007D2">
        <w:rPr>
          <w:rFonts w:asciiTheme="majorHAnsi" w:hAnsiTheme="majorHAnsi" w:cstheme="majorHAnsi"/>
          <w:lang w:val="en-GB"/>
        </w:rPr>
        <w:t>SG</w:t>
      </w:r>
      <w:r w:rsidRPr="000007D2">
        <w:rPr>
          <w:rFonts w:asciiTheme="majorHAnsi" w:hAnsiTheme="majorHAnsi" w:cstheme="majorHAnsi"/>
          <w:lang w:val="en-GB"/>
        </w:rPr>
        <w:t>s, the process of awarding incentives to citizens for the re</w:t>
      </w:r>
      <w:r w:rsidR="00126DFF" w:rsidRPr="000007D2">
        <w:rPr>
          <w:rFonts w:asciiTheme="majorHAnsi" w:hAnsiTheme="majorHAnsi" w:cstheme="majorHAnsi"/>
          <w:lang w:val="en-GB"/>
        </w:rPr>
        <w:t>novation</w:t>
      </w:r>
      <w:r w:rsidRPr="000007D2">
        <w:rPr>
          <w:rFonts w:asciiTheme="majorHAnsi" w:hAnsiTheme="majorHAnsi" w:cstheme="majorHAnsi"/>
          <w:lang w:val="en-GB"/>
        </w:rPr>
        <w:t xml:space="preserve"> of residential apartments, family houses and residential buildings and installation of solar panels is being implemented: 20,000 households; </w:t>
      </w:r>
      <w:r w:rsidR="00126DFF" w:rsidRPr="000007D2">
        <w:rPr>
          <w:rFonts w:asciiTheme="majorHAnsi" w:hAnsiTheme="majorHAnsi" w:cstheme="majorHAnsi"/>
          <w:lang w:val="en-GB"/>
        </w:rPr>
        <w:t>A</w:t>
      </w:r>
      <w:r w:rsidRPr="000007D2">
        <w:rPr>
          <w:rFonts w:asciiTheme="majorHAnsi" w:hAnsiTheme="majorHAnsi" w:cstheme="majorHAnsi"/>
          <w:lang w:val="en-GB"/>
        </w:rPr>
        <w:t xml:space="preserve">mount of </w:t>
      </w:r>
      <w:r w:rsidR="00126DFF" w:rsidRPr="000007D2">
        <w:rPr>
          <w:rFonts w:asciiTheme="majorHAnsi" w:hAnsiTheme="majorHAnsi" w:cstheme="majorHAnsi"/>
          <w:lang w:val="en-GB"/>
        </w:rPr>
        <w:t xml:space="preserve">subsidies of </w:t>
      </w:r>
      <w:r w:rsidRPr="000007D2">
        <w:rPr>
          <w:rFonts w:asciiTheme="majorHAnsi" w:hAnsiTheme="majorHAnsi" w:cstheme="majorHAnsi"/>
          <w:lang w:val="en-GB"/>
        </w:rPr>
        <w:t>M</w:t>
      </w:r>
      <w:r w:rsidR="00126DFF" w:rsidRPr="000007D2">
        <w:rPr>
          <w:rFonts w:asciiTheme="majorHAnsi" w:hAnsiTheme="majorHAnsi" w:cstheme="majorHAnsi"/>
          <w:lang w:val="en-GB"/>
        </w:rPr>
        <w:t>oME</w:t>
      </w:r>
      <w:r w:rsidRPr="000007D2">
        <w:rPr>
          <w:rFonts w:asciiTheme="majorHAnsi" w:hAnsiTheme="majorHAnsi" w:cstheme="majorHAnsi"/>
          <w:lang w:val="en-GB"/>
        </w:rPr>
        <w:t xml:space="preserve"> and L</w:t>
      </w:r>
      <w:r w:rsidR="00126DFF" w:rsidRPr="000007D2">
        <w:rPr>
          <w:rFonts w:asciiTheme="majorHAnsi" w:hAnsiTheme="majorHAnsi" w:cstheme="majorHAnsi"/>
          <w:lang w:val="en-GB"/>
        </w:rPr>
        <w:t>SG</w:t>
      </w:r>
      <w:r w:rsidRPr="000007D2">
        <w:rPr>
          <w:rFonts w:asciiTheme="majorHAnsi" w:hAnsiTheme="majorHAnsi" w:cstheme="majorHAnsi"/>
          <w:lang w:val="en-GB"/>
        </w:rPr>
        <w:t>: a</w:t>
      </w:r>
      <w:r w:rsidR="00126DFF" w:rsidRPr="000007D2">
        <w:rPr>
          <w:rFonts w:asciiTheme="majorHAnsi" w:hAnsiTheme="majorHAnsi" w:cstheme="majorHAnsi"/>
          <w:lang w:val="en-GB"/>
        </w:rPr>
        <w:t>pprox.</w:t>
      </w:r>
      <w:r w:rsidRPr="000007D2">
        <w:rPr>
          <w:rFonts w:asciiTheme="majorHAnsi" w:hAnsiTheme="majorHAnsi" w:cstheme="majorHAnsi"/>
          <w:lang w:val="en-GB"/>
        </w:rPr>
        <w:t xml:space="preserve"> 2 billion dinars; </w:t>
      </w:r>
      <w:r w:rsidR="00126DFF" w:rsidRPr="000007D2">
        <w:rPr>
          <w:rFonts w:asciiTheme="majorHAnsi" w:hAnsiTheme="majorHAnsi" w:cstheme="majorHAnsi"/>
          <w:lang w:val="en-GB"/>
        </w:rPr>
        <w:t>On the basis of</w:t>
      </w:r>
      <w:r w:rsidRPr="000007D2">
        <w:rPr>
          <w:rFonts w:asciiTheme="majorHAnsi" w:hAnsiTheme="majorHAnsi" w:cstheme="majorHAnsi"/>
          <w:lang w:val="en-GB"/>
        </w:rPr>
        <w:t xml:space="preserve"> </w:t>
      </w:r>
      <w:r w:rsidR="00126DFF" w:rsidRPr="000007D2">
        <w:rPr>
          <w:rFonts w:asciiTheme="majorHAnsi" w:hAnsiTheme="majorHAnsi" w:cstheme="majorHAnsi"/>
          <w:lang w:val="en-GB"/>
        </w:rPr>
        <w:t>the level</w:t>
      </w:r>
      <w:r w:rsidRPr="000007D2">
        <w:rPr>
          <w:rFonts w:asciiTheme="majorHAnsi" w:hAnsiTheme="majorHAnsi" w:cstheme="majorHAnsi"/>
          <w:lang w:val="en-GB"/>
        </w:rPr>
        <w:t xml:space="preserve"> of regional development, the least developed L</w:t>
      </w:r>
      <w:r w:rsidR="00126DFF" w:rsidRPr="000007D2">
        <w:rPr>
          <w:rFonts w:asciiTheme="majorHAnsi" w:hAnsiTheme="majorHAnsi" w:cstheme="majorHAnsi"/>
          <w:lang w:val="en-GB"/>
        </w:rPr>
        <w:t>SG</w:t>
      </w:r>
      <w:r w:rsidRPr="000007D2">
        <w:rPr>
          <w:rFonts w:asciiTheme="majorHAnsi" w:hAnsiTheme="majorHAnsi" w:cstheme="majorHAnsi"/>
          <w:lang w:val="en-GB"/>
        </w:rPr>
        <w:t xml:space="preserve"> will participate with a minimum of 30%, while other L</w:t>
      </w:r>
      <w:r w:rsidR="00126DFF" w:rsidRPr="000007D2">
        <w:rPr>
          <w:rFonts w:asciiTheme="majorHAnsi" w:hAnsiTheme="majorHAnsi" w:cstheme="majorHAnsi"/>
          <w:lang w:val="en-GB"/>
        </w:rPr>
        <w:t>SG</w:t>
      </w:r>
      <w:r w:rsidRPr="000007D2">
        <w:rPr>
          <w:rFonts w:asciiTheme="majorHAnsi" w:hAnsiTheme="majorHAnsi" w:cstheme="majorHAnsi"/>
          <w:lang w:val="en-GB"/>
        </w:rPr>
        <w:t xml:space="preserve"> will participate with a minimum of 50%. Expected energy savings: 196,276,070 kWh per year.</w:t>
      </w:r>
      <w:r w:rsidR="00126DFF" w:rsidRPr="000007D2">
        <w:rPr>
          <w:rFonts w:asciiTheme="majorHAnsi" w:hAnsiTheme="majorHAnsi" w:cstheme="majorHAnsi"/>
          <w:lang w:val="en-GB"/>
        </w:rPr>
        <w:t xml:space="preserve"> The expected reduction in CO2 emissions is 87,913 tons annually. In 2022, the 8th public call for improvement of energy efficiency of public buildings in LSG was implemented, which was the first to be implemented by the EE Directive, for which the EE Directive provided about 690 million dinars for the financing of 38 buildings of public importance; Expected energy savings of 9 million kWh per year; reduction of CO2 emissions approx. 4500 tons per year. Energy rehabilitation</w:t>
      </w:r>
      <w:r w:rsidR="00146EC0" w:rsidRPr="000007D2">
        <w:rPr>
          <w:rFonts w:asciiTheme="majorHAnsi" w:hAnsiTheme="majorHAnsi" w:cstheme="majorHAnsi"/>
          <w:lang w:val="en-GB"/>
        </w:rPr>
        <w:t xml:space="preserve"> will be carried out</w:t>
      </w:r>
      <w:r w:rsidR="00126DFF" w:rsidRPr="000007D2">
        <w:rPr>
          <w:rFonts w:asciiTheme="majorHAnsi" w:hAnsiTheme="majorHAnsi" w:cstheme="majorHAnsi"/>
          <w:lang w:val="en-GB"/>
        </w:rPr>
        <w:t>.</w:t>
      </w:r>
    </w:p>
    <w:p w14:paraId="6E39881D" w14:textId="77777777" w:rsidR="00146EC0" w:rsidRPr="000007D2" w:rsidRDefault="00146EC0" w:rsidP="00146EC0">
      <w:pPr>
        <w:pStyle w:val="LDKbody"/>
        <w:rPr>
          <w:rFonts w:asciiTheme="majorHAnsi" w:hAnsiTheme="majorHAnsi" w:cstheme="majorHAnsi"/>
          <w:lang w:val="en-GB"/>
        </w:rPr>
      </w:pPr>
      <w:r w:rsidRPr="000007D2">
        <w:rPr>
          <w:rFonts w:asciiTheme="majorHAnsi" w:hAnsiTheme="majorHAnsi" w:cstheme="majorHAnsi"/>
          <w:lang w:val="en-GB"/>
        </w:rPr>
        <w:t>Based on th</w:t>
      </w:r>
      <w:r w:rsidR="00AD0BEB" w:rsidRPr="000007D2">
        <w:rPr>
          <w:rFonts w:asciiTheme="majorHAnsi" w:hAnsiTheme="majorHAnsi" w:cstheme="majorHAnsi"/>
          <w:lang w:val="en-GB"/>
        </w:rPr>
        <w:t>ese</w:t>
      </w:r>
      <w:r w:rsidRPr="000007D2">
        <w:rPr>
          <w:rFonts w:asciiTheme="majorHAnsi" w:hAnsiTheme="majorHAnsi" w:cstheme="majorHAnsi"/>
          <w:lang w:val="en-GB"/>
        </w:rPr>
        <w:t xml:space="preserve"> funds</w:t>
      </w:r>
      <w:r w:rsidR="00AD0BEB" w:rsidRPr="000007D2">
        <w:rPr>
          <w:rFonts w:asciiTheme="majorHAnsi" w:hAnsiTheme="majorHAnsi" w:cstheme="majorHAnsi"/>
          <w:lang w:val="en-GB"/>
        </w:rPr>
        <w:t xml:space="preserve">, </w:t>
      </w:r>
      <w:r w:rsidRPr="000007D2">
        <w:rPr>
          <w:rFonts w:asciiTheme="majorHAnsi" w:hAnsiTheme="majorHAnsi" w:cstheme="majorHAnsi"/>
          <w:lang w:val="en-GB"/>
        </w:rPr>
        <w:t xml:space="preserve">World Bank loan </w:t>
      </w:r>
      <w:r w:rsidR="00AD0BEB" w:rsidRPr="000007D2">
        <w:rPr>
          <w:rFonts w:asciiTheme="majorHAnsi" w:hAnsiTheme="majorHAnsi" w:cstheme="majorHAnsi"/>
          <w:lang w:val="en-GB"/>
        </w:rPr>
        <w:t xml:space="preserve">was secured </w:t>
      </w:r>
      <w:r w:rsidRPr="000007D2">
        <w:rPr>
          <w:rFonts w:asciiTheme="majorHAnsi" w:hAnsiTheme="majorHAnsi" w:cstheme="majorHAnsi"/>
          <w:lang w:val="en-GB"/>
        </w:rPr>
        <w:t xml:space="preserve">in the amount of 50 million dollars for the implementation of the </w:t>
      </w:r>
      <w:r w:rsidR="00AD0BEB" w:rsidRPr="000007D2">
        <w:rPr>
          <w:rFonts w:asciiTheme="majorHAnsi" w:hAnsiTheme="majorHAnsi" w:cstheme="majorHAnsi"/>
          <w:lang w:val="en-GB"/>
        </w:rPr>
        <w:t>project "</w:t>
      </w:r>
      <w:r w:rsidRPr="000007D2">
        <w:rPr>
          <w:rFonts w:asciiTheme="majorHAnsi" w:hAnsiTheme="majorHAnsi" w:cstheme="majorHAnsi"/>
          <w:lang w:val="en-GB"/>
        </w:rPr>
        <w:t>Clean energy and energy efficiency for citizens in Serbia" project, wh</w:t>
      </w:r>
      <w:r w:rsidR="00AD0BEB" w:rsidRPr="000007D2">
        <w:rPr>
          <w:rFonts w:asciiTheme="majorHAnsi" w:hAnsiTheme="majorHAnsi" w:cstheme="majorHAnsi"/>
          <w:lang w:val="en-GB"/>
        </w:rPr>
        <w:t>ich will put</w:t>
      </w:r>
      <w:r w:rsidRPr="000007D2">
        <w:rPr>
          <w:rFonts w:asciiTheme="majorHAnsi" w:hAnsiTheme="majorHAnsi" w:cstheme="majorHAnsi"/>
          <w:lang w:val="en-GB"/>
        </w:rPr>
        <w:t xml:space="preserve"> special </w:t>
      </w:r>
      <w:r w:rsidR="00AD0BEB" w:rsidRPr="000007D2">
        <w:rPr>
          <w:rFonts w:asciiTheme="majorHAnsi" w:hAnsiTheme="majorHAnsi" w:cstheme="majorHAnsi"/>
          <w:lang w:val="en-GB"/>
        </w:rPr>
        <w:t>focus</w:t>
      </w:r>
      <w:r w:rsidRPr="000007D2">
        <w:rPr>
          <w:rFonts w:asciiTheme="majorHAnsi" w:hAnsiTheme="majorHAnsi" w:cstheme="majorHAnsi"/>
          <w:lang w:val="en-GB"/>
        </w:rPr>
        <w:t xml:space="preserve"> </w:t>
      </w:r>
      <w:r w:rsidR="00AD0BEB" w:rsidRPr="000007D2">
        <w:rPr>
          <w:rFonts w:asciiTheme="majorHAnsi" w:hAnsiTheme="majorHAnsi" w:cstheme="majorHAnsi"/>
          <w:lang w:val="en-GB"/>
        </w:rPr>
        <w:t>on</w:t>
      </w:r>
      <w:r w:rsidRPr="000007D2">
        <w:rPr>
          <w:rFonts w:asciiTheme="majorHAnsi" w:hAnsiTheme="majorHAnsi" w:cstheme="majorHAnsi"/>
          <w:lang w:val="en-GB"/>
        </w:rPr>
        <w:t xml:space="preserve"> socially vulnerable categories and provide </w:t>
      </w:r>
      <w:r w:rsidR="008B46C9" w:rsidRPr="000007D2">
        <w:rPr>
          <w:rFonts w:asciiTheme="majorHAnsi" w:hAnsiTheme="majorHAnsi" w:cstheme="majorHAnsi"/>
          <w:lang w:val="en-GB"/>
        </w:rPr>
        <w:t>5</w:t>
      </w:r>
      <w:r w:rsidRPr="000007D2">
        <w:rPr>
          <w:rFonts w:asciiTheme="majorHAnsi" w:hAnsiTheme="majorHAnsi" w:cstheme="majorHAnsi"/>
          <w:lang w:val="en-GB"/>
        </w:rPr>
        <w:t xml:space="preserve">0 million </w:t>
      </w:r>
      <w:r w:rsidR="00AD0BEB" w:rsidRPr="000007D2">
        <w:rPr>
          <w:rFonts w:asciiTheme="majorHAnsi" w:hAnsiTheme="majorHAnsi" w:cstheme="majorHAnsi"/>
          <w:lang w:val="en-GB"/>
        </w:rPr>
        <w:t>EUR</w:t>
      </w:r>
      <w:r w:rsidRPr="000007D2">
        <w:rPr>
          <w:rFonts w:asciiTheme="majorHAnsi" w:hAnsiTheme="majorHAnsi" w:cstheme="majorHAnsi"/>
          <w:lang w:val="en-GB"/>
        </w:rPr>
        <w:t xml:space="preserve"> from EBRD loan for implementation of the </w:t>
      </w:r>
      <w:r w:rsidR="00AD0BEB" w:rsidRPr="000007D2">
        <w:rPr>
          <w:rFonts w:asciiTheme="majorHAnsi" w:hAnsiTheme="majorHAnsi" w:cstheme="majorHAnsi"/>
          <w:lang w:val="en-GB"/>
        </w:rPr>
        <w:t xml:space="preserve">project </w:t>
      </w:r>
      <w:r w:rsidRPr="000007D2">
        <w:rPr>
          <w:rFonts w:asciiTheme="majorHAnsi" w:hAnsiTheme="majorHAnsi" w:cstheme="majorHAnsi"/>
          <w:lang w:val="en-GB"/>
        </w:rPr>
        <w:t>"Energy rehabilitation of residential and public buildings</w:t>
      </w:r>
      <w:r w:rsidR="008B46C9" w:rsidRPr="000007D2">
        <w:rPr>
          <w:rFonts w:asciiTheme="majorHAnsi" w:hAnsiTheme="majorHAnsi" w:cstheme="majorHAnsi"/>
          <w:lang w:val="en-GB"/>
        </w:rPr>
        <w:t xml:space="preserve"> connected to the district heating system</w:t>
      </w:r>
      <w:r w:rsidRPr="000007D2">
        <w:rPr>
          <w:rFonts w:asciiTheme="majorHAnsi" w:hAnsiTheme="majorHAnsi" w:cstheme="majorHAnsi"/>
          <w:lang w:val="en-GB"/>
        </w:rPr>
        <w:t>", which will focus on multi-apartment buildings with high consumption</w:t>
      </w:r>
      <w:r w:rsidR="00AD0BEB" w:rsidRPr="000007D2">
        <w:rPr>
          <w:rFonts w:asciiTheme="majorHAnsi" w:hAnsiTheme="majorHAnsi" w:cstheme="majorHAnsi"/>
          <w:lang w:val="en-GB"/>
        </w:rPr>
        <w:t xml:space="preserve"> of heat energy</w:t>
      </w:r>
      <w:r w:rsidRPr="000007D2">
        <w:rPr>
          <w:rFonts w:asciiTheme="majorHAnsi" w:hAnsiTheme="majorHAnsi" w:cstheme="majorHAnsi"/>
          <w:lang w:val="en-GB"/>
        </w:rPr>
        <w:t xml:space="preserve">, connected to district heating systems, in order to support the transition to billing </w:t>
      </w:r>
      <w:r w:rsidR="00AD0BEB" w:rsidRPr="000007D2">
        <w:rPr>
          <w:rFonts w:asciiTheme="majorHAnsi" w:hAnsiTheme="majorHAnsi" w:cstheme="majorHAnsi"/>
          <w:lang w:val="en-GB"/>
        </w:rPr>
        <w:t>on the basis of</w:t>
      </w:r>
      <w:r w:rsidRPr="000007D2">
        <w:rPr>
          <w:rFonts w:asciiTheme="majorHAnsi" w:hAnsiTheme="majorHAnsi" w:cstheme="majorHAnsi"/>
          <w:lang w:val="en-GB"/>
        </w:rPr>
        <w:t xml:space="preserve"> energy consumption. It is expected that through these projects, subsidies will be provided for around 100,000 households</w:t>
      </w:r>
      <w:r w:rsidR="007329B8" w:rsidRPr="000007D2">
        <w:rPr>
          <w:rFonts w:asciiTheme="majorHAnsi" w:hAnsiTheme="majorHAnsi" w:cstheme="majorHAnsi"/>
          <w:lang w:val="en-GB"/>
        </w:rPr>
        <w:t>.</w:t>
      </w:r>
    </w:p>
    <w:p w14:paraId="3027AFF4" w14:textId="77777777" w:rsidR="00C66875" w:rsidRPr="00A33AE8" w:rsidRDefault="00C66875" w:rsidP="00AC70D7">
      <w:pPr>
        <w:pStyle w:val="LDKbody"/>
        <w:rPr>
          <w:rFonts w:asciiTheme="majorHAnsi" w:hAnsiTheme="majorHAnsi" w:cstheme="majorHAnsi"/>
          <w:lang w:val="en-GB"/>
        </w:rPr>
      </w:pPr>
    </w:p>
    <w:p w14:paraId="7D96015F" w14:textId="77777777" w:rsidR="00D20861" w:rsidRPr="00A33AE8" w:rsidRDefault="00CD2E1E" w:rsidP="00D20861">
      <w:pPr>
        <w:pStyle w:val="LDKbody"/>
        <w:rPr>
          <w:rFonts w:asciiTheme="majorHAnsi" w:hAnsiTheme="majorHAnsi" w:cstheme="majorHAnsi"/>
          <w:b/>
          <w:bCs/>
          <w:lang w:val="en-GB"/>
        </w:rPr>
      </w:pPr>
      <w:r w:rsidRPr="00A33AE8">
        <w:rPr>
          <w:rFonts w:asciiTheme="majorHAnsi" w:hAnsiTheme="majorHAnsi" w:cstheme="majorHAnsi"/>
          <w:b/>
          <w:bCs/>
          <w:lang w:val="en-GB"/>
        </w:rPr>
        <w:t>Internal Energy Market</w:t>
      </w:r>
    </w:p>
    <w:p w14:paraId="7EBFA2A1" w14:textId="519BFDBE"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lastRenderedPageBreak/>
        <w:t xml:space="preserve">The legislative and regulatory framework for the development and regulation of the internal energy market in the Republic of Serbia is determined by the </w:t>
      </w:r>
      <w:r w:rsidRPr="00A33AE8">
        <w:rPr>
          <w:rFonts w:asciiTheme="majorHAnsi" w:hAnsiTheme="majorHAnsi" w:cstheme="majorHAnsi"/>
          <w:b/>
          <w:bCs/>
          <w:lang w:val="en-GB"/>
        </w:rPr>
        <w:t>Law on Energy</w:t>
      </w:r>
      <w:r w:rsidRPr="00A33AE8">
        <w:rPr>
          <w:rStyle w:val="FootnoteReference"/>
          <w:rFonts w:asciiTheme="majorHAnsi" w:hAnsiTheme="majorHAnsi" w:cstheme="majorHAnsi"/>
        </w:rPr>
        <w:footnoteReference w:id="62"/>
      </w:r>
      <w:r w:rsidRPr="00A33AE8">
        <w:rPr>
          <w:rFonts w:asciiTheme="majorHAnsi" w:hAnsiTheme="majorHAnsi" w:cstheme="majorHAnsi"/>
          <w:lang w:val="en-GB"/>
        </w:rPr>
        <w:t>.</w:t>
      </w:r>
    </w:p>
    <w:p w14:paraId="18CEE3EA" w14:textId="77777777" w:rsidR="00B921F4" w:rsidRPr="00A33AE8" w:rsidRDefault="006D4843" w:rsidP="00402E5D">
      <w:pPr>
        <w:spacing w:after="0" w:line="240" w:lineRule="auto"/>
        <w:jc w:val="both"/>
        <w:rPr>
          <w:rFonts w:asciiTheme="majorHAnsi" w:hAnsiTheme="majorHAnsi" w:cstheme="majorHAnsi"/>
          <w:bCs/>
        </w:rPr>
      </w:pPr>
      <w:r w:rsidRPr="00A33AE8">
        <w:rPr>
          <w:rFonts w:asciiTheme="majorHAnsi" w:hAnsiTheme="majorHAnsi" w:cstheme="majorHAnsi"/>
          <w:bCs/>
        </w:rPr>
        <w:t xml:space="preserve">The </w:t>
      </w:r>
      <w:r w:rsidR="00C66875" w:rsidRPr="00A33AE8">
        <w:rPr>
          <w:rFonts w:asciiTheme="majorHAnsi" w:hAnsiTheme="majorHAnsi" w:cstheme="majorHAnsi"/>
          <w:bCs/>
        </w:rPr>
        <w:t xml:space="preserve">Electricity Transmission </w:t>
      </w:r>
      <w:r w:rsidR="00B97FE2" w:rsidRPr="00A33AE8">
        <w:rPr>
          <w:rFonts w:asciiTheme="majorHAnsi" w:hAnsiTheme="majorHAnsi" w:cstheme="majorHAnsi"/>
          <w:bCs/>
        </w:rPr>
        <w:t>Network</w:t>
      </w:r>
      <w:r w:rsidR="00C66875" w:rsidRPr="00A33AE8">
        <w:rPr>
          <w:rFonts w:asciiTheme="majorHAnsi" w:hAnsiTheme="majorHAnsi" w:cstheme="majorHAnsi"/>
          <w:bCs/>
        </w:rPr>
        <w:t xml:space="preserve"> Ten Year Network Development Plan (</w:t>
      </w:r>
      <w:r w:rsidR="007F405B" w:rsidRPr="000007D2">
        <w:rPr>
          <w:rFonts w:asciiTheme="majorHAnsi" w:hAnsiTheme="majorHAnsi" w:cstheme="majorHAnsi"/>
          <w:bCs/>
          <w:i/>
          <w:iCs/>
        </w:rPr>
        <w:t>Ten-year transmission system development plan of the Republic of Serbia</w:t>
      </w:r>
      <w:r w:rsidR="00C66875" w:rsidRPr="00A33AE8">
        <w:rPr>
          <w:rFonts w:asciiTheme="majorHAnsi" w:hAnsiTheme="majorHAnsi" w:cstheme="majorHAnsi"/>
          <w:bCs/>
        </w:rPr>
        <w:t>) is prepared by the Transmission System Operator (TSO “Elektromreža Srbije“</w:t>
      </w:r>
      <w:r w:rsidR="00943EA6" w:rsidRPr="00A33AE8">
        <w:rPr>
          <w:rFonts w:asciiTheme="majorHAnsi" w:hAnsiTheme="majorHAnsi" w:cstheme="majorHAnsi"/>
          <w:bCs/>
        </w:rPr>
        <w:t xml:space="preserve"> - EMS</w:t>
      </w:r>
      <w:r w:rsidR="00C66875" w:rsidRPr="00A33AE8">
        <w:rPr>
          <w:rFonts w:asciiTheme="majorHAnsi" w:hAnsiTheme="majorHAnsi" w:cstheme="majorHAnsi"/>
          <w:bCs/>
        </w:rPr>
        <w:t xml:space="preserve">), which is also responsible for the operation, maintenance and construction of the electricity transmission network according to the Law on Energy and the </w:t>
      </w:r>
      <w:r w:rsidR="000909CC" w:rsidRPr="000007D2">
        <w:rPr>
          <w:rFonts w:asciiTheme="majorHAnsi" w:hAnsiTheme="majorHAnsi" w:cstheme="majorHAnsi"/>
          <w:b/>
        </w:rPr>
        <w:t>Transmission Grid</w:t>
      </w:r>
      <w:r w:rsidR="00C66875" w:rsidRPr="00A33AE8">
        <w:rPr>
          <w:rFonts w:asciiTheme="majorHAnsi" w:hAnsiTheme="majorHAnsi" w:cstheme="majorHAnsi"/>
          <w:b/>
        </w:rPr>
        <w:t xml:space="preserve"> Code</w:t>
      </w:r>
      <w:r w:rsidR="000909CC" w:rsidRPr="00A33AE8">
        <w:rPr>
          <w:rStyle w:val="FootnoteReference"/>
          <w:rFonts w:asciiTheme="majorHAnsi" w:hAnsiTheme="majorHAnsi" w:cstheme="majorHAnsi"/>
          <w:b/>
        </w:rPr>
        <w:footnoteReference w:id="63"/>
      </w:r>
      <w:r w:rsidR="00C66875" w:rsidRPr="00A33AE8">
        <w:rPr>
          <w:rFonts w:asciiTheme="majorHAnsi" w:hAnsiTheme="majorHAnsi" w:cstheme="majorHAnsi"/>
          <w:bCs/>
        </w:rPr>
        <w:t xml:space="preserve"> adopted in </w:t>
      </w:r>
      <w:r w:rsidR="008E7FD5" w:rsidRPr="00A33AE8">
        <w:rPr>
          <w:rFonts w:asciiTheme="majorHAnsi" w:hAnsiTheme="majorHAnsi" w:cstheme="majorHAnsi"/>
          <w:bCs/>
        </w:rPr>
        <w:t>April 2020</w:t>
      </w:r>
      <w:r w:rsidR="00C66875" w:rsidRPr="00A33AE8">
        <w:rPr>
          <w:rFonts w:asciiTheme="majorHAnsi" w:hAnsiTheme="majorHAnsi" w:cstheme="majorHAnsi"/>
          <w:bCs/>
        </w:rPr>
        <w:t>. The Electricity Distribution System Operator (DSO “</w:t>
      </w:r>
      <w:r w:rsidR="00500B07" w:rsidRPr="000007D2">
        <w:rPr>
          <w:rFonts w:asciiTheme="majorHAnsi" w:hAnsiTheme="majorHAnsi" w:cstheme="majorHAnsi"/>
          <w:bCs/>
        </w:rPr>
        <w:t>Elektrodistribucija Srbije d.o.o. Beograd EPS</w:t>
      </w:r>
      <w:r w:rsidR="00C66875" w:rsidRPr="00A33AE8">
        <w:rPr>
          <w:rFonts w:asciiTheme="majorHAnsi" w:hAnsiTheme="majorHAnsi" w:cstheme="majorHAnsi"/>
          <w:bCs/>
        </w:rPr>
        <w:t>”)</w:t>
      </w:r>
      <w:r w:rsidR="00943EA6" w:rsidRPr="00A33AE8">
        <w:rPr>
          <w:rFonts w:asciiTheme="majorHAnsi" w:hAnsiTheme="majorHAnsi" w:cstheme="majorHAnsi"/>
          <w:bCs/>
        </w:rPr>
        <w:t xml:space="preserve">, which ownership from </w:t>
      </w:r>
      <w:r w:rsidR="00A95FCA" w:rsidRPr="00A33AE8">
        <w:rPr>
          <w:rFonts w:asciiTheme="majorHAnsi" w:hAnsiTheme="majorHAnsi" w:cstheme="majorHAnsi"/>
          <w:bCs/>
        </w:rPr>
        <w:t>Public Enterprise "Elektroprivreda Srbije"</w:t>
      </w:r>
      <w:r w:rsidR="00943EA6" w:rsidRPr="00A33AE8">
        <w:rPr>
          <w:rFonts w:asciiTheme="majorHAnsi" w:hAnsiTheme="majorHAnsi" w:cstheme="majorHAnsi"/>
          <w:bCs/>
        </w:rPr>
        <w:t xml:space="preserve"> (EPS) was </w:t>
      </w:r>
      <w:r w:rsidR="000C524F" w:rsidRPr="00A33AE8">
        <w:rPr>
          <w:rFonts w:asciiTheme="majorHAnsi" w:hAnsiTheme="majorHAnsi" w:cstheme="majorHAnsi"/>
          <w:bCs/>
        </w:rPr>
        <w:t>transferred</w:t>
      </w:r>
      <w:r w:rsidR="00B921F4" w:rsidRPr="00A33AE8">
        <w:rPr>
          <w:rFonts w:asciiTheme="majorHAnsi" w:hAnsiTheme="majorHAnsi" w:cstheme="majorHAnsi"/>
          <w:bCs/>
        </w:rPr>
        <w:t xml:space="preserve"> to Republic of Serbia in 2020</w:t>
      </w:r>
      <w:r w:rsidR="00943EA6" w:rsidRPr="00A33AE8">
        <w:rPr>
          <w:rFonts w:asciiTheme="majorHAnsi" w:hAnsiTheme="majorHAnsi" w:cstheme="majorHAnsi"/>
          <w:bCs/>
        </w:rPr>
        <w:t xml:space="preserve">, </w:t>
      </w:r>
      <w:r w:rsidR="00C66875" w:rsidRPr="00A33AE8">
        <w:rPr>
          <w:rFonts w:asciiTheme="majorHAnsi" w:hAnsiTheme="majorHAnsi" w:cstheme="majorHAnsi"/>
          <w:bCs/>
        </w:rPr>
        <w:t xml:space="preserve">is in charge of TYNDP distribution network preparation as well as its operation and maintenance according to the Law on Energy and the </w:t>
      </w:r>
      <w:r w:rsidR="00C66875" w:rsidRPr="00A33AE8">
        <w:rPr>
          <w:rFonts w:asciiTheme="majorHAnsi" w:hAnsiTheme="majorHAnsi" w:cstheme="majorHAnsi"/>
          <w:b/>
        </w:rPr>
        <w:t>Distribution System Grid Code</w:t>
      </w:r>
      <w:r w:rsidR="00052AC8" w:rsidRPr="00A33AE8">
        <w:rPr>
          <w:rStyle w:val="FootnoteReference"/>
          <w:rFonts w:asciiTheme="majorHAnsi" w:hAnsiTheme="majorHAnsi" w:cstheme="majorHAnsi"/>
          <w:b/>
        </w:rPr>
        <w:footnoteReference w:id="64"/>
      </w:r>
      <w:r w:rsidR="00C66875" w:rsidRPr="00A33AE8">
        <w:rPr>
          <w:rFonts w:asciiTheme="majorHAnsi" w:hAnsiTheme="majorHAnsi" w:cstheme="majorHAnsi"/>
          <w:b/>
        </w:rPr>
        <w:t xml:space="preserve"> </w:t>
      </w:r>
      <w:r w:rsidR="00C66875" w:rsidRPr="00A33AE8">
        <w:rPr>
          <w:rFonts w:asciiTheme="majorHAnsi" w:hAnsiTheme="majorHAnsi" w:cstheme="majorHAnsi"/>
          <w:bCs/>
        </w:rPr>
        <w:t xml:space="preserve">adopted in </w:t>
      </w:r>
      <w:r w:rsidR="00052AC8" w:rsidRPr="000007D2">
        <w:rPr>
          <w:rFonts w:asciiTheme="majorHAnsi" w:hAnsiTheme="majorHAnsi" w:cstheme="majorHAnsi"/>
          <w:bCs/>
        </w:rPr>
        <w:t xml:space="preserve">July 2017, with amendments adopted in </w:t>
      </w:r>
      <w:r w:rsidR="0051629A" w:rsidRPr="00A33AE8">
        <w:rPr>
          <w:rFonts w:asciiTheme="majorHAnsi" w:hAnsiTheme="majorHAnsi" w:cstheme="majorHAnsi"/>
          <w:bCs/>
        </w:rPr>
        <w:t xml:space="preserve">February </w:t>
      </w:r>
      <w:r w:rsidR="00C66875" w:rsidRPr="00A33AE8">
        <w:rPr>
          <w:rFonts w:asciiTheme="majorHAnsi" w:hAnsiTheme="majorHAnsi" w:cstheme="majorHAnsi"/>
          <w:bCs/>
        </w:rPr>
        <w:t>201</w:t>
      </w:r>
      <w:r w:rsidR="0051629A" w:rsidRPr="00A33AE8">
        <w:rPr>
          <w:rFonts w:asciiTheme="majorHAnsi" w:hAnsiTheme="majorHAnsi" w:cstheme="majorHAnsi"/>
          <w:bCs/>
        </w:rPr>
        <w:t>9</w:t>
      </w:r>
      <w:r w:rsidR="00C66875" w:rsidRPr="00A33AE8">
        <w:rPr>
          <w:rFonts w:asciiTheme="majorHAnsi" w:hAnsiTheme="majorHAnsi" w:cstheme="majorHAnsi"/>
          <w:bCs/>
        </w:rPr>
        <w:t xml:space="preserve">. With regard to </w:t>
      </w:r>
      <w:r w:rsidRPr="00A33AE8">
        <w:rPr>
          <w:rFonts w:asciiTheme="majorHAnsi" w:hAnsiTheme="majorHAnsi" w:cstheme="majorHAnsi"/>
          <w:bCs/>
        </w:rPr>
        <w:t xml:space="preserve">the </w:t>
      </w:r>
      <w:r w:rsidR="00C66875" w:rsidRPr="00A33AE8">
        <w:rPr>
          <w:rFonts w:asciiTheme="majorHAnsi" w:hAnsiTheme="majorHAnsi" w:cstheme="majorHAnsi"/>
          <w:bCs/>
        </w:rPr>
        <w:t xml:space="preserve">electricity interconnectivity level </w:t>
      </w:r>
      <w:r w:rsidRPr="00A33AE8">
        <w:rPr>
          <w:rFonts w:asciiTheme="majorHAnsi" w:hAnsiTheme="majorHAnsi" w:cstheme="majorHAnsi"/>
          <w:bCs/>
        </w:rPr>
        <w:t>as per</w:t>
      </w:r>
      <w:r w:rsidR="00C66875" w:rsidRPr="00A33AE8">
        <w:rPr>
          <w:rFonts w:asciiTheme="majorHAnsi" w:hAnsiTheme="majorHAnsi" w:cstheme="majorHAnsi"/>
          <w:bCs/>
        </w:rPr>
        <w:t xml:space="preserve"> the EU 2020 and EU 2030 interconnectivity criteria,</w:t>
      </w:r>
      <w:r w:rsidRPr="00A33AE8">
        <w:rPr>
          <w:rFonts w:asciiTheme="majorHAnsi" w:hAnsiTheme="majorHAnsi" w:cstheme="majorHAnsi"/>
          <w:bCs/>
        </w:rPr>
        <w:t xml:space="preserve"> the</w:t>
      </w:r>
      <w:r w:rsidR="00A72821" w:rsidRPr="00A33AE8">
        <w:rPr>
          <w:rFonts w:asciiTheme="majorHAnsi" w:hAnsiTheme="majorHAnsi" w:cstheme="majorHAnsi"/>
          <w:bCs/>
        </w:rPr>
        <w:t xml:space="preserve"> </w:t>
      </w:r>
      <w:r w:rsidR="00C66875" w:rsidRPr="00A33AE8">
        <w:rPr>
          <w:rFonts w:asciiTheme="majorHAnsi" w:hAnsiTheme="majorHAnsi" w:cstheme="majorHAnsi"/>
          <w:b/>
        </w:rPr>
        <w:t>Electricity Interconnection Targets in the Energy Community Contracting Parties</w:t>
      </w:r>
      <w:r w:rsidR="001511F5" w:rsidRPr="00A33AE8">
        <w:rPr>
          <w:rStyle w:val="FootnoteReference"/>
          <w:rFonts w:asciiTheme="majorHAnsi" w:hAnsiTheme="majorHAnsi" w:cstheme="majorHAnsi"/>
          <w:b/>
        </w:rPr>
        <w:footnoteReference w:id="65"/>
      </w:r>
      <w:r w:rsidR="00C66875" w:rsidRPr="00A33AE8">
        <w:rPr>
          <w:rFonts w:asciiTheme="majorHAnsi" w:hAnsiTheme="majorHAnsi" w:cstheme="majorHAnsi"/>
          <w:bCs/>
        </w:rPr>
        <w:t xml:space="preserve"> study from February 2021 highlights that Serbia is achieving and overachieving set </w:t>
      </w:r>
      <w:r w:rsidR="00D20861" w:rsidRPr="00A33AE8">
        <w:rPr>
          <w:rFonts w:asciiTheme="majorHAnsi" w:hAnsiTheme="majorHAnsi" w:cstheme="majorHAnsi"/>
          <w:bCs/>
        </w:rPr>
        <w:t>targets</w:t>
      </w:r>
      <w:r w:rsidR="00C66875" w:rsidRPr="00A33AE8">
        <w:rPr>
          <w:rFonts w:asciiTheme="majorHAnsi" w:hAnsiTheme="majorHAnsi" w:cstheme="majorHAnsi"/>
          <w:bCs/>
        </w:rPr>
        <w:t>.</w:t>
      </w:r>
    </w:p>
    <w:p w14:paraId="540A515D" w14:textId="77777777" w:rsidR="00B921F4" w:rsidRPr="000007D2" w:rsidRDefault="00B921F4" w:rsidP="000007D2">
      <w:pPr>
        <w:spacing w:before="120" w:after="120" w:line="240" w:lineRule="auto"/>
        <w:jc w:val="both"/>
        <w:rPr>
          <w:rFonts w:asciiTheme="majorHAnsi" w:hAnsiTheme="majorHAnsi" w:cstheme="majorHAnsi"/>
          <w:bCs/>
        </w:rPr>
      </w:pPr>
      <w:r w:rsidRPr="000007D2">
        <w:rPr>
          <w:rFonts w:asciiTheme="majorHAnsi" w:hAnsiTheme="majorHAnsi" w:cstheme="majorHAnsi"/>
          <w:bCs/>
        </w:rPr>
        <w:t xml:space="preserve">On December 29, 2020, the Government of the Republic of </w:t>
      </w:r>
      <w:r w:rsidRPr="00A33AE8">
        <w:rPr>
          <w:rFonts w:asciiTheme="majorHAnsi" w:hAnsiTheme="majorHAnsi" w:cstheme="majorHAnsi"/>
          <w:bCs/>
        </w:rPr>
        <w:t>Serbia,</w:t>
      </w:r>
      <w:r w:rsidRPr="000007D2">
        <w:rPr>
          <w:rFonts w:asciiTheme="majorHAnsi" w:hAnsiTheme="majorHAnsi" w:cstheme="majorHAnsi"/>
          <w:bCs/>
        </w:rPr>
        <w:t xml:space="preserve"> and the Public Enterprise "Elektroprivreda Srbije" concluded the Agreement on the transfer of shares in the Distribution System Operator "EPS Distribucija" Ltd Belgrade from the Public Enterprise "Elektroprivreda Srbije" Belgrade to the Republic of Serbia.</w:t>
      </w:r>
      <w:r w:rsidRPr="00A33AE8">
        <w:rPr>
          <w:rFonts w:asciiTheme="majorHAnsi" w:hAnsiTheme="majorHAnsi" w:cstheme="majorHAnsi"/>
          <w:bCs/>
        </w:rPr>
        <w:t xml:space="preserve"> </w:t>
      </w:r>
      <w:r w:rsidRPr="000007D2">
        <w:rPr>
          <w:rFonts w:asciiTheme="majorHAnsi" w:hAnsiTheme="majorHAnsi" w:cstheme="majorHAnsi"/>
          <w:bCs/>
        </w:rPr>
        <w:t>By the decision of the Agency for Economic Registers number BD 99765/2020 of December 31, 2020, the registration was carried out according to which the Republic of Serbia was incorporated as a member of the company with a share of 100% of the capital.</w:t>
      </w:r>
    </w:p>
    <w:p w14:paraId="2AE02FF5"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By adopting the Law on Energy in 2014, Republic of Serbia transposed the majority of the Gas Directive and the Gas Regulation provisions. During </w:t>
      </w:r>
      <w:r w:rsidR="00233BD8" w:rsidRPr="00A33AE8">
        <w:rPr>
          <w:rFonts w:asciiTheme="majorHAnsi" w:hAnsiTheme="majorHAnsi" w:cstheme="majorHAnsi"/>
          <w:lang w:val="en-GB"/>
        </w:rPr>
        <w:t>2021-2022</w:t>
      </w:r>
      <w:r w:rsidRPr="00A33AE8">
        <w:rPr>
          <w:rFonts w:asciiTheme="majorHAnsi" w:hAnsiTheme="majorHAnsi" w:cstheme="majorHAnsi"/>
          <w:lang w:val="en-GB"/>
        </w:rPr>
        <w:t xml:space="preserve">, the </w:t>
      </w:r>
      <w:r w:rsidR="00943EA6" w:rsidRPr="00A33AE8">
        <w:rPr>
          <w:rFonts w:asciiTheme="majorHAnsi" w:hAnsiTheme="majorHAnsi" w:cstheme="majorHAnsi"/>
          <w:lang w:val="en-GB"/>
        </w:rPr>
        <w:t xml:space="preserve">Energy </w:t>
      </w:r>
      <w:r w:rsidRPr="00A33AE8">
        <w:rPr>
          <w:rFonts w:asciiTheme="majorHAnsi" w:hAnsiTheme="majorHAnsi" w:cstheme="majorHAnsi"/>
          <w:lang w:val="en-GB"/>
        </w:rPr>
        <w:t>Agency</w:t>
      </w:r>
      <w:r w:rsidR="00943EA6" w:rsidRPr="00A33AE8">
        <w:rPr>
          <w:rFonts w:asciiTheme="majorHAnsi" w:hAnsiTheme="majorHAnsi" w:cstheme="majorHAnsi"/>
          <w:lang w:val="en-GB"/>
        </w:rPr>
        <w:t xml:space="preserve"> of the Republic of Serbia</w:t>
      </w:r>
      <w:r w:rsidRPr="00A33AE8">
        <w:rPr>
          <w:rFonts w:asciiTheme="majorHAnsi" w:hAnsiTheme="majorHAnsi" w:cstheme="majorHAnsi"/>
          <w:lang w:val="en-GB"/>
        </w:rPr>
        <w:t xml:space="preserve"> changed and supplemented the regulations</w:t>
      </w:r>
      <w:r w:rsidR="002908B7" w:rsidRPr="00A33AE8">
        <w:rPr>
          <w:rFonts w:asciiTheme="majorHAnsi" w:hAnsiTheme="majorHAnsi" w:cstheme="majorHAnsi"/>
          <w:lang w:val="en-GB"/>
        </w:rPr>
        <w:t>,</w:t>
      </w:r>
      <w:r w:rsidRPr="00A33AE8">
        <w:rPr>
          <w:rFonts w:asciiTheme="majorHAnsi" w:hAnsiTheme="majorHAnsi" w:cstheme="majorHAnsi"/>
          <w:lang w:val="en-GB"/>
        </w:rPr>
        <w:t xml:space="preserve"> under its own competencies</w:t>
      </w:r>
      <w:r w:rsidR="006B5811" w:rsidRPr="00A33AE8">
        <w:rPr>
          <w:rFonts w:asciiTheme="majorHAnsi" w:hAnsiTheme="majorHAnsi" w:cstheme="majorHAnsi"/>
          <w:lang w:val="en-GB"/>
        </w:rPr>
        <w:t xml:space="preserve"> and according to the indicated needs</w:t>
      </w:r>
      <w:r w:rsidRPr="00A33AE8">
        <w:rPr>
          <w:rFonts w:asciiTheme="majorHAnsi" w:hAnsiTheme="majorHAnsi" w:cstheme="majorHAnsi"/>
          <w:lang w:val="en-GB"/>
        </w:rPr>
        <w:t>, for the purpose of more efficient market functioning</w:t>
      </w:r>
      <w:r w:rsidR="002908B7" w:rsidRPr="00A33AE8">
        <w:rPr>
          <w:rFonts w:asciiTheme="majorHAnsi" w:hAnsiTheme="majorHAnsi" w:cstheme="majorHAnsi"/>
          <w:lang w:val="en-GB"/>
        </w:rPr>
        <w:t>,</w:t>
      </w:r>
      <w:r w:rsidRPr="00A33AE8">
        <w:rPr>
          <w:rFonts w:asciiTheme="majorHAnsi" w:hAnsiTheme="majorHAnsi" w:cstheme="majorHAnsi"/>
          <w:lang w:val="en-GB"/>
        </w:rPr>
        <w:t xml:space="preserve"> better protection of end customers and other participants </w:t>
      </w:r>
      <w:r w:rsidR="002908B7" w:rsidRPr="00A33AE8">
        <w:rPr>
          <w:rFonts w:asciiTheme="majorHAnsi" w:hAnsiTheme="majorHAnsi" w:cstheme="majorHAnsi"/>
          <w:lang w:val="en-GB"/>
        </w:rPr>
        <w:t xml:space="preserve">in </w:t>
      </w:r>
      <w:r w:rsidRPr="00A33AE8">
        <w:rPr>
          <w:rFonts w:asciiTheme="majorHAnsi" w:hAnsiTheme="majorHAnsi" w:cstheme="majorHAnsi"/>
          <w:lang w:val="en-GB"/>
        </w:rPr>
        <w:t>the market.</w:t>
      </w:r>
    </w:p>
    <w:p w14:paraId="759C954E" w14:textId="68624740" w:rsidR="00C66875" w:rsidRPr="00A33AE8" w:rsidRDefault="002908B7" w:rsidP="00C66875">
      <w:pPr>
        <w:pStyle w:val="LDKbody"/>
        <w:rPr>
          <w:rFonts w:asciiTheme="majorHAnsi" w:hAnsiTheme="majorHAnsi" w:cstheme="majorHAnsi"/>
          <w:lang w:val="en-GB"/>
        </w:rPr>
      </w:pPr>
      <w:r w:rsidRPr="00A33AE8">
        <w:rPr>
          <w:rFonts w:asciiTheme="majorHAnsi" w:hAnsiTheme="majorHAnsi" w:cstheme="majorHAnsi"/>
          <w:lang w:val="en-GB"/>
        </w:rPr>
        <w:t xml:space="preserve">The detailed gas </w:t>
      </w:r>
      <w:r w:rsidR="00C66875" w:rsidRPr="00A33AE8">
        <w:rPr>
          <w:rFonts w:asciiTheme="majorHAnsi" w:hAnsiTheme="majorHAnsi" w:cstheme="majorHAnsi"/>
          <w:lang w:val="en-GB"/>
        </w:rPr>
        <w:t xml:space="preserve">regulation is defined by the </w:t>
      </w:r>
      <w:r w:rsidR="00C66875" w:rsidRPr="00A33AE8">
        <w:rPr>
          <w:rFonts w:asciiTheme="majorHAnsi" w:hAnsiTheme="majorHAnsi" w:cstheme="majorHAnsi"/>
          <w:b/>
          <w:bCs/>
          <w:lang w:val="en-GB"/>
        </w:rPr>
        <w:t>Transmission Network Code</w:t>
      </w:r>
      <w:r w:rsidR="003635C6" w:rsidRPr="00A33AE8">
        <w:rPr>
          <w:rFonts w:asciiTheme="majorHAnsi" w:hAnsiTheme="majorHAnsi" w:cstheme="majorHAnsi"/>
          <w:lang w:val="en-GB"/>
        </w:rPr>
        <w:t>,</w:t>
      </w:r>
      <w:r w:rsidR="00C66875" w:rsidRPr="00A33AE8">
        <w:rPr>
          <w:rFonts w:asciiTheme="majorHAnsi" w:hAnsiTheme="majorHAnsi" w:cstheme="majorHAnsi"/>
          <w:lang w:val="en-GB"/>
        </w:rPr>
        <w:t xml:space="preserve"> while the </w:t>
      </w:r>
      <w:r w:rsidR="00C66875" w:rsidRPr="00A33AE8">
        <w:rPr>
          <w:rFonts w:asciiTheme="majorHAnsi" w:hAnsiTheme="majorHAnsi" w:cstheme="majorHAnsi"/>
          <w:b/>
          <w:bCs/>
          <w:lang w:val="en-GB"/>
        </w:rPr>
        <w:t>Ten-Year Development Plan of Yugorosgaz for period 20</w:t>
      </w:r>
      <w:r w:rsidR="00265EC1" w:rsidRPr="00A33AE8">
        <w:rPr>
          <w:rFonts w:asciiTheme="majorHAnsi" w:hAnsiTheme="majorHAnsi" w:cstheme="majorHAnsi"/>
          <w:b/>
          <w:bCs/>
          <w:lang w:val="en-GB"/>
        </w:rPr>
        <w:t>21</w:t>
      </w:r>
      <w:r w:rsidR="00C66875" w:rsidRPr="00A33AE8">
        <w:rPr>
          <w:rFonts w:asciiTheme="majorHAnsi" w:hAnsiTheme="majorHAnsi" w:cstheme="majorHAnsi"/>
          <w:b/>
          <w:bCs/>
          <w:lang w:val="en-GB"/>
        </w:rPr>
        <w:t>-20</w:t>
      </w:r>
      <w:r w:rsidR="00265EC1" w:rsidRPr="00A33AE8">
        <w:rPr>
          <w:rFonts w:asciiTheme="majorHAnsi" w:hAnsiTheme="majorHAnsi" w:cstheme="majorHAnsi"/>
          <w:b/>
          <w:bCs/>
          <w:lang w:val="en-GB"/>
        </w:rPr>
        <w:t>30</w:t>
      </w:r>
      <w:r w:rsidR="00C66875" w:rsidRPr="00A33AE8">
        <w:rPr>
          <w:rFonts w:asciiTheme="majorHAnsi" w:hAnsiTheme="majorHAnsi" w:cstheme="majorHAnsi"/>
          <w:lang w:val="en-GB"/>
        </w:rPr>
        <w:t xml:space="preserve"> and </w:t>
      </w:r>
      <w:r w:rsidR="00C66875" w:rsidRPr="00A33AE8">
        <w:rPr>
          <w:rFonts w:asciiTheme="majorHAnsi" w:hAnsiTheme="majorHAnsi" w:cstheme="majorHAnsi"/>
          <w:b/>
          <w:bCs/>
          <w:lang w:val="en-GB"/>
        </w:rPr>
        <w:t xml:space="preserve">Ten-Year Development Plan of Transportgas </w:t>
      </w:r>
      <w:r w:rsidR="00227FF4" w:rsidRPr="00A33AE8">
        <w:rPr>
          <w:rFonts w:asciiTheme="majorHAnsi" w:hAnsiTheme="majorHAnsi" w:cstheme="majorHAnsi"/>
          <w:b/>
          <w:bCs/>
          <w:lang w:val="en-GB"/>
        </w:rPr>
        <w:t>Srbija</w:t>
      </w:r>
      <w:r w:rsidR="00227FF4" w:rsidRPr="00A33AE8">
        <w:rPr>
          <w:rFonts w:asciiTheme="majorHAnsi" w:hAnsiTheme="majorHAnsi" w:cstheme="majorHAnsi"/>
          <w:color w:val="4D5156"/>
          <w:sz w:val="21"/>
          <w:szCs w:val="21"/>
          <w:shd w:val="clear" w:color="auto" w:fill="FFFFFF"/>
          <w:lang w:val="en-GB"/>
        </w:rPr>
        <w:t> </w:t>
      </w:r>
      <w:r w:rsidR="00C66875" w:rsidRPr="00A33AE8">
        <w:rPr>
          <w:rFonts w:asciiTheme="majorHAnsi" w:hAnsiTheme="majorHAnsi" w:cstheme="majorHAnsi"/>
          <w:b/>
          <w:bCs/>
          <w:lang w:val="en-GB"/>
        </w:rPr>
        <w:t>for period 2020-2029</w:t>
      </w:r>
      <w:r w:rsidR="00C66875" w:rsidRPr="00A33AE8">
        <w:rPr>
          <w:rFonts w:asciiTheme="majorHAnsi" w:hAnsiTheme="majorHAnsi" w:cstheme="majorHAnsi"/>
          <w:lang w:val="en-GB"/>
        </w:rPr>
        <w:t xml:space="preserve"> present key development documents prepared by market participants.</w:t>
      </w:r>
    </w:p>
    <w:p w14:paraId="1318C03C"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Organised day-ahead market/power exchange in Serbia (JSC “SEEPEX”) was established in February 2016 on the basis of partnership between EMS and </w:t>
      </w:r>
      <w:r w:rsidR="00943EA6" w:rsidRPr="00A33AE8">
        <w:rPr>
          <w:rFonts w:asciiTheme="majorHAnsi" w:hAnsiTheme="majorHAnsi" w:cstheme="majorHAnsi"/>
          <w:lang w:val="en-GB"/>
        </w:rPr>
        <w:t>European Power Exchange (</w:t>
      </w:r>
      <w:r w:rsidRPr="00A33AE8">
        <w:rPr>
          <w:rFonts w:asciiTheme="majorHAnsi" w:hAnsiTheme="majorHAnsi" w:cstheme="majorHAnsi"/>
          <w:lang w:val="en-GB"/>
        </w:rPr>
        <w:t>EPEX SPOT</w:t>
      </w:r>
      <w:r w:rsidR="00606D25" w:rsidRPr="00A33AE8">
        <w:rPr>
          <w:rFonts w:asciiTheme="majorHAnsi" w:hAnsiTheme="majorHAnsi" w:cstheme="majorHAnsi"/>
          <w:lang w:val="en-GB"/>
        </w:rPr>
        <w:t>)</w:t>
      </w:r>
      <w:r w:rsidRPr="00A33AE8">
        <w:rPr>
          <w:rFonts w:asciiTheme="majorHAnsi" w:hAnsiTheme="majorHAnsi" w:cstheme="majorHAnsi"/>
          <w:lang w:val="en-GB"/>
        </w:rPr>
        <w:t xml:space="preserve">, pursuant to Law on Energy and after </w:t>
      </w:r>
      <w:r w:rsidR="00E926B3" w:rsidRPr="00A33AE8">
        <w:rPr>
          <w:rFonts w:asciiTheme="majorHAnsi" w:hAnsiTheme="majorHAnsi" w:cstheme="majorHAnsi"/>
          <w:lang w:val="en-GB"/>
        </w:rPr>
        <w:t xml:space="preserve">adopting the </w:t>
      </w:r>
      <w:r w:rsidRPr="00A33AE8">
        <w:rPr>
          <w:rFonts w:asciiTheme="majorHAnsi" w:hAnsiTheme="majorHAnsi" w:cstheme="majorHAnsi"/>
          <w:lang w:val="en-GB"/>
        </w:rPr>
        <w:t>amendments to the Law on VAT and the new licensing rules in 2015. The successful launch of the Serbian Day-Ahead Market is important for the power market in the South Eastern Europe since it is the first organised market in the region.</w:t>
      </w:r>
    </w:p>
    <w:p w14:paraId="37936AAE" w14:textId="1D544B4D"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At the end of 2014, the Government of the Republic of Serbia adopted a Conclusion accepting the Baseline for Restructuring JP Srbijagas, which determined that the operators of the transport and distribution system </w:t>
      </w:r>
      <w:r w:rsidR="00E926B3" w:rsidRPr="00A33AE8">
        <w:rPr>
          <w:rFonts w:asciiTheme="majorHAnsi" w:hAnsiTheme="majorHAnsi" w:cstheme="majorHAnsi"/>
          <w:lang w:val="en-GB"/>
        </w:rPr>
        <w:t xml:space="preserve">should </w:t>
      </w:r>
      <w:r w:rsidRPr="00A33AE8">
        <w:rPr>
          <w:rFonts w:asciiTheme="majorHAnsi" w:hAnsiTheme="majorHAnsi" w:cstheme="majorHAnsi"/>
          <w:lang w:val="en-GB"/>
        </w:rPr>
        <w:t xml:space="preserve">be legally separated </w:t>
      </w:r>
      <w:r w:rsidR="00E926B3" w:rsidRPr="00A33AE8">
        <w:rPr>
          <w:rFonts w:asciiTheme="majorHAnsi" w:hAnsiTheme="majorHAnsi" w:cstheme="majorHAnsi"/>
          <w:lang w:val="en-GB"/>
        </w:rPr>
        <w:t xml:space="preserve">entities </w:t>
      </w:r>
      <w:r w:rsidRPr="00A33AE8">
        <w:rPr>
          <w:rFonts w:asciiTheme="majorHAnsi" w:hAnsiTheme="majorHAnsi" w:cstheme="majorHAnsi"/>
          <w:lang w:val="en-GB"/>
        </w:rPr>
        <w:t xml:space="preserve">from JP Srbijagas. In 2020, </w:t>
      </w:r>
      <w:r w:rsidR="00E926B3" w:rsidRPr="00A33AE8">
        <w:rPr>
          <w:rFonts w:asciiTheme="majorHAnsi" w:hAnsiTheme="majorHAnsi" w:cstheme="majorHAnsi"/>
          <w:lang w:val="en-GB"/>
        </w:rPr>
        <w:t>the</w:t>
      </w:r>
      <w:r w:rsidRPr="00A33AE8">
        <w:rPr>
          <w:rFonts w:asciiTheme="majorHAnsi" w:hAnsiTheme="majorHAnsi" w:cstheme="majorHAnsi"/>
          <w:lang w:val="en-GB"/>
        </w:rPr>
        <w:t xml:space="preserve"> Government approved an </w:t>
      </w:r>
      <w:r w:rsidRPr="00A33AE8">
        <w:rPr>
          <w:rFonts w:asciiTheme="majorHAnsi" w:hAnsiTheme="majorHAnsi" w:cstheme="majorHAnsi"/>
          <w:b/>
          <w:bCs/>
          <w:lang w:val="en-GB"/>
        </w:rPr>
        <w:t>Action Plan for the Implementation of Activities for the Purpose of Reorganization of PE “Srbijagas”</w:t>
      </w:r>
      <w:r w:rsidRPr="00A33AE8">
        <w:rPr>
          <w:rFonts w:asciiTheme="majorHAnsi" w:hAnsiTheme="majorHAnsi" w:cstheme="majorHAnsi"/>
          <w:lang w:val="en-GB"/>
        </w:rPr>
        <w:t xml:space="preserve">, which </w:t>
      </w:r>
      <w:r w:rsidR="00E926B3" w:rsidRPr="00A33AE8">
        <w:rPr>
          <w:rFonts w:asciiTheme="majorHAnsi" w:hAnsiTheme="majorHAnsi" w:cstheme="majorHAnsi"/>
          <w:lang w:val="en-GB"/>
        </w:rPr>
        <w:t xml:space="preserve">stipulates </w:t>
      </w:r>
      <w:r w:rsidRPr="00A33AE8">
        <w:rPr>
          <w:rFonts w:asciiTheme="majorHAnsi" w:hAnsiTheme="majorHAnsi" w:cstheme="majorHAnsi"/>
          <w:lang w:val="en-GB"/>
        </w:rPr>
        <w:t>the separation of its gas transport and gas distribution activities, in line with the EU obligations</w:t>
      </w:r>
      <w:r w:rsidRPr="00A33AE8">
        <w:rPr>
          <w:rFonts w:asciiTheme="majorHAnsi" w:hAnsiTheme="majorHAnsi" w:cstheme="majorHAnsi"/>
          <w:b/>
          <w:bCs/>
          <w:lang w:val="en-GB"/>
        </w:rPr>
        <w:t xml:space="preserve">. </w:t>
      </w:r>
      <w:r w:rsidRPr="00A33AE8">
        <w:rPr>
          <w:rFonts w:asciiTheme="majorHAnsi" w:hAnsiTheme="majorHAnsi" w:cstheme="majorHAnsi"/>
          <w:lang w:val="en-GB"/>
        </w:rPr>
        <w:t xml:space="preserve">In accordance with the plan, </w:t>
      </w:r>
      <w:r w:rsidR="00E926B3" w:rsidRPr="00A33AE8">
        <w:rPr>
          <w:rFonts w:asciiTheme="majorHAnsi" w:hAnsiTheme="majorHAnsi" w:cstheme="majorHAnsi"/>
          <w:lang w:val="en-GB"/>
        </w:rPr>
        <w:t xml:space="preserve">the </w:t>
      </w:r>
      <w:r w:rsidRPr="00A33AE8">
        <w:rPr>
          <w:rFonts w:asciiTheme="majorHAnsi" w:hAnsiTheme="majorHAnsi" w:cstheme="majorHAnsi"/>
          <w:lang w:val="en-GB"/>
        </w:rPr>
        <w:t xml:space="preserve">ownership of the Transportgas </w:t>
      </w:r>
      <w:r w:rsidR="00B268B7" w:rsidRPr="00A33AE8">
        <w:rPr>
          <w:rFonts w:asciiTheme="majorHAnsi" w:hAnsiTheme="majorHAnsi" w:cstheme="majorHAnsi"/>
          <w:lang w:val="en-GB"/>
        </w:rPr>
        <w:t>Srbija </w:t>
      </w:r>
      <w:r w:rsidRPr="00A33AE8">
        <w:rPr>
          <w:rFonts w:asciiTheme="majorHAnsi" w:hAnsiTheme="majorHAnsi" w:cstheme="majorHAnsi"/>
          <w:lang w:val="en-GB"/>
        </w:rPr>
        <w:t>company was transferred from Srbijagas to the Government in May 2021</w:t>
      </w:r>
      <w:r w:rsidRPr="00A33AE8">
        <w:rPr>
          <w:rFonts w:asciiTheme="majorHAnsi" w:hAnsiTheme="majorHAnsi" w:cstheme="majorHAnsi"/>
          <w:b/>
          <w:bCs/>
          <w:lang w:val="en-GB"/>
        </w:rPr>
        <w:t>.</w:t>
      </w:r>
    </w:p>
    <w:p w14:paraId="2D70677C"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Pursuant to the Energy Law, </w:t>
      </w:r>
      <w:r w:rsidR="00E926B3" w:rsidRPr="00A33AE8">
        <w:rPr>
          <w:rFonts w:asciiTheme="majorHAnsi" w:hAnsiTheme="majorHAnsi" w:cstheme="majorHAnsi"/>
          <w:lang w:val="en-GB"/>
        </w:rPr>
        <w:t xml:space="preserve">the </w:t>
      </w:r>
      <w:r w:rsidRPr="00A33AE8">
        <w:rPr>
          <w:rFonts w:asciiTheme="majorHAnsi" w:hAnsiTheme="majorHAnsi" w:cstheme="majorHAnsi"/>
          <w:lang w:val="en-GB"/>
        </w:rPr>
        <w:t xml:space="preserve">conditions for the entitlement to guaranteed supply of electricity were modified. In line with this, as of 2015, the right to guaranteed supply is exercised only by households and small </w:t>
      </w:r>
      <w:r w:rsidRPr="00A33AE8">
        <w:rPr>
          <w:rFonts w:asciiTheme="majorHAnsi" w:hAnsiTheme="majorHAnsi" w:cstheme="majorHAnsi"/>
          <w:lang w:val="en-GB"/>
        </w:rPr>
        <w:lastRenderedPageBreak/>
        <w:t>customers up to 30.000 kWh</w:t>
      </w:r>
      <w:r w:rsidR="008838CD" w:rsidRPr="000007D2">
        <w:rPr>
          <w:rFonts w:asciiTheme="majorHAnsi" w:hAnsiTheme="majorHAnsi" w:cstheme="majorHAnsi"/>
          <w:lang w:val="en-GB"/>
        </w:rPr>
        <w:t>, at prices of electricity for guaranteed supply, which are according to the Law on Energy determined by the methodology adopted by the Energy Agency, which also gives consent to the decision on the price of electricity.</w:t>
      </w:r>
      <w:r w:rsidRPr="00A33AE8">
        <w:rPr>
          <w:rFonts w:asciiTheme="majorHAnsi" w:hAnsiTheme="majorHAnsi" w:cstheme="majorHAnsi"/>
          <w:lang w:val="en-GB"/>
        </w:rPr>
        <w:t xml:space="preserve"> </w:t>
      </w:r>
      <w:r w:rsidR="001C6D47" w:rsidRPr="00A33AE8">
        <w:rPr>
          <w:rFonts w:asciiTheme="majorHAnsi" w:hAnsiTheme="majorHAnsi" w:cstheme="majorHAnsi"/>
          <w:lang w:val="en-GB"/>
        </w:rPr>
        <w:t xml:space="preserve">More specifically, households </w:t>
      </w:r>
      <w:r w:rsidRPr="00A33AE8">
        <w:rPr>
          <w:rFonts w:asciiTheme="majorHAnsi" w:hAnsiTheme="majorHAnsi" w:cstheme="majorHAnsi"/>
          <w:lang w:val="en-GB"/>
        </w:rPr>
        <w:t xml:space="preserve">and small customers </w:t>
      </w:r>
      <w:r w:rsidR="001C6D47" w:rsidRPr="00A33AE8">
        <w:rPr>
          <w:rFonts w:asciiTheme="majorHAnsi" w:hAnsiTheme="majorHAnsi" w:cstheme="majorHAnsi"/>
          <w:lang w:val="en-GB"/>
        </w:rPr>
        <w:t xml:space="preserve">have the right to remain </w:t>
      </w:r>
      <w:r w:rsidRPr="00A33AE8">
        <w:rPr>
          <w:rFonts w:asciiTheme="majorHAnsi" w:hAnsiTheme="majorHAnsi" w:cstheme="majorHAnsi"/>
          <w:lang w:val="en-GB"/>
        </w:rPr>
        <w:t xml:space="preserve">with the guaranteed supplier and be supplied in line with existing contracts, but they also have </w:t>
      </w:r>
      <w:r w:rsidR="001C6D47" w:rsidRPr="00A33AE8">
        <w:rPr>
          <w:rFonts w:asciiTheme="majorHAnsi" w:hAnsiTheme="majorHAnsi" w:cstheme="majorHAnsi"/>
          <w:lang w:val="en-GB"/>
        </w:rPr>
        <w:t>the option</w:t>
      </w:r>
      <w:r w:rsidRPr="00A33AE8">
        <w:rPr>
          <w:rFonts w:asciiTheme="majorHAnsi" w:hAnsiTheme="majorHAnsi" w:cstheme="majorHAnsi"/>
          <w:lang w:val="en-GB"/>
        </w:rPr>
        <w:t xml:space="preserve"> to contract with any licenced electricity supplier in the open market. In the gas sector, all final natural gas customers are entitled to select their supplier freely in the market. Households and </w:t>
      </w:r>
      <w:hyperlink r:id="rId22" w:history="1">
        <w:r w:rsidRPr="00A33AE8">
          <w:rPr>
            <w:rStyle w:val="Hyperlink"/>
            <w:rFonts w:asciiTheme="majorHAnsi" w:hAnsiTheme="majorHAnsi" w:cstheme="majorHAnsi"/>
            <w:color w:val="auto"/>
            <w:u w:val="none"/>
            <w:lang w:val="en-GB"/>
          </w:rPr>
          <w:t>small natural gas customers</w:t>
        </w:r>
      </w:hyperlink>
      <w:r w:rsidRPr="00A33AE8">
        <w:rPr>
          <w:rFonts w:asciiTheme="majorHAnsi" w:hAnsiTheme="majorHAnsi" w:cstheme="majorHAnsi"/>
          <w:lang w:val="en-GB"/>
        </w:rPr>
        <w:t> </w:t>
      </w:r>
      <w:r w:rsidR="0051629A" w:rsidRPr="00A33AE8">
        <w:rPr>
          <w:rFonts w:asciiTheme="majorHAnsi" w:hAnsiTheme="majorHAnsi" w:cstheme="majorHAnsi"/>
          <w:lang w:val="en-GB"/>
        </w:rPr>
        <w:t>up to 100.000 m</w:t>
      </w:r>
      <w:r w:rsidR="0051629A" w:rsidRPr="00A33AE8">
        <w:rPr>
          <w:rFonts w:asciiTheme="majorHAnsi" w:hAnsiTheme="majorHAnsi" w:cstheme="majorHAnsi"/>
          <w:vertAlign w:val="superscript"/>
          <w:lang w:val="en-GB"/>
        </w:rPr>
        <w:t>3</w:t>
      </w:r>
      <w:r w:rsidR="00777466" w:rsidRPr="00A33AE8">
        <w:rPr>
          <w:rFonts w:asciiTheme="majorHAnsi" w:hAnsiTheme="majorHAnsi" w:cstheme="majorHAnsi"/>
          <w:lang w:val="en-GB"/>
        </w:rPr>
        <w:t xml:space="preserve"> </w:t>
      </w:r>
      <w:r w:rsidRPr="00A33AE8">
        <w:rPr>
          <w:rFonts w:asciiTheme="majorHAnsi" w:hAnsiTheme="majorHAnsi" w:cstheme="majorHAnsi"/>
          <w:lang w:val="en-GB"/>
        </w:rPr>
        <w:t>are entitled since 2015, but they are also still entitled to </w:t>
      </w:r>
      <w:hyperlink r:id="rId23" w:history="1">
        <w:r w:rsidRPr="00A33AE8">
          <w:rPr>
            <w:rStyle w:val="Hyperlink"/>
            <w:rFonts w:asciiTheme="majorHAnsi" w:hAnsiTheme="majorHAnsi" w:cstheme="majorHAnsi"/>
            <w:color w:val="auto"/>
            <w:u w:val="none"/>
            <w:lang w:val="en-GB"/>
          </w:rPr>
          <w:t>public supply</w:t>
        </w:r>
      </w:hyperlink>
      <w:r w:rsidRPr="00A33AE8">
        <w:rPr>
          <w:rFonts w:asciiTheme="majorHAnsi" w:hAnsiTheme="majorHAnsi" w:cstheme="majorHAnsi"/>
          <w:lang w:val="en-GB"/>
        </w:rPr>
        <w:t>. In line with energy policy goals, the development of competition in the oil, oil derivatives, biofuels and compressed natural gas sectors was stimulated in the Republic of Serbia in order to increase the efficiency of this sector via market mechanisms. In a narrow sense of energy activity regulation, regulated prices in this sector are established only for natural monopolistic activities of oil transportation via oil pipelines, i.e. oil products transport via product lines.</w:t>
      </w:r>
    </w:p>
    <w:p w14:paraId="4C3EC475" w14:textId="45D995C6"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Pursuant to the </w:t>
      </w:r>
      <w:r w:rsidR="00C15F5B" w:rsidRPr="00A33AE8">
        <w:rPr>
          <w:rFonts w:asciiTheme="majorHAnsi" w:hAnsiTheme="majorHAnsi" w:cstheme="majorHAnsi"/>
          <w:b/>
          <w:bCs/>
          <w:lang w:val="en-GB"/>
        </w:rPr>
        <w:t>Law on Amendments to Law of Energy</w:t>
      </w:r>
      <w:r w:rsidR="00C15F5B" w:rsidRPr="00A33AE8">
        <w:rPr>
          <w:rStyle w:val="FootnoteReference"/>
          <w:rFonts w:asciiTheme="majorHAnsi" w:hAnsiTheme="majorHAnsi" w:cstheme="majorHAnsi"/>
          <w:b/>
          <w:bCs/>
        </w:rPr>
        <w:footnoteReference w:id="66"/>
      </w:r>
      <w:r w:rsidRPr="00A33AE8">
        <w:rPr>
          <w:rFonts w:asciiTheme="majorHAnsi" w:hAnsiTheme="majorHAnsi" w:cstheme="majorHAnsi"/>
          <w:b/>
          <w:bCs/>
          <w:lang w:val="en-GB"/>
        </w:rPr>
        <w:t xml:space="preserve"> </w:t>
      </w:r>
      <w:r w:rsidRPr="000007D2">
        <w:rPr>
          <w:rFonts w:asciiTheme="majorHAnsi" w:hAnsiTheme="majorHAnsi" w:cstheme="majorHAnsi"/>
          <w:lang w:val="en-GB"/>
        </w:rPr>
        <w:t>from 2021</w:t>
      </w:r>
      <w:r w:rsidRPr="00A33AE8">
        <w:rPr>
          <w:rFonts w:asciiTheme="majorHAnsi" w:hAnsiTheme="majorHAnsi" w:cstheme="majorHAnsi"/>
          <w:lang w:val="en-GB"/>
        </w:rPr>
        <w:t xml:space="preserve">, a </w:t>
      </w:r>
      <w:r w:rsidRPr="00A33AE8">
        <w:rPr>
          <w:rFonts w:asciiTheme="majorHAnsi" w:hAnsiTheme="majorHAnsi" w:cstheme="majorHAnsi"/>
          <w:b/>
          <w:bCs/>
          <w:lang w:val="en-GB"/>
        </w:rPr>
        <w:t>Nominated Electricity Market Operator</w:t>
      </w:r>
      <w:r w:rsidRPr="00A33AE8">
        <w:rPr>
          <w:rFonts w:asciiTheme="majorHAnsi" w:hAnsiTheme="majorHAnsi" w:cstheme="majorHAnsi"/>
          <w:lang w:val="en-GB"/>
        </w:rPr>
        <w:t xml:space="preserve"> </w:t>
      </w:r>
      <w:r w:rsidR="00265EC1" w:rsidRPr="00A33AE8">
        <w:rPr>
          <w:rFonts w:asciiTheme="majorHAnsi" w:hAnsiTheme="majorHAnsi" w:cstheme="majorHAnsi"/>
          <w:lang w:val="en-GB"/>
        </w:rPr>
        <w:t>was</w:t>
      </w:r>
      <w:r w:rsidRPr="00A33AE8">
        <w:rPr>
          <w:rFonts w:asciiTheme="majorHAnsi" w:hAnsiTheme="majorHAnsi" w:cstheme="majorHAnsi"/>
          <w:lang w:val="en-GB"/>
        </w:rPr>
        <w:t xml:space="preserve"> appointed</w:t>
      </w:r>
      <w:r w:rsidR="00581662" w:rsidRPr="00A33AE8">
        <w:rPr>
          <w:rFonts w:asciiTheme="majorHAnsi" w:hAnsiTheme="majorHAnsi" w:cstheme="majorHAnsi"/>
          <w:lang w:val="en-GB"/>
        </w:rPr>
        <w:t xml:space="preserve"> </w:t>
      </w:r>
      <w:r w:rsidR="00265EC1" w:rsidRPr="00A33AE8">
        <w:rPr>
          <w:rFonts w:asciiTheme="majorHAnsi" w:hAnsiTheme="majorHAnsi" w:cstheme="majorHAnsi"/>
          <w:lang w:val="en-GB"/>
        </w:rPr>
        <w:t xml:space="preserve">in June 2022 and should </w:t>
      </w:r>
      <w:r w:rsidR="00581662" w:rsidRPr="00A33AE8">
        <w:rPr>
          <w:rFonts w:asciiTheme="majorHAnsi" w:hAnsiTheme="majorHAnsi" w:cstheme="majorHAnsi"/>
          <w:lang w:val="en-GB"/>
        </w:rPr>
        <w:t xml:space="preserve">be </w:t>
      </w:r>
      <w:r w:rsidRPr="00A33AE8">
        <w:rPr>
          <w:rFonts w:asciiTheme="majorHAnsi" w:hAnsiTheme="majorHAnsi" w:cstheme="majorHAnsi"/>
          <w:lang w:val="en-GB"/>
        </w:rPr>
        <w:t>responsible for the implementation of the Day-Ahead and Intraday markets with neighbouring organised markets gaining</w:t>
      </w:r>
      <w:r w:rsidR="00581662" w:rsidRPr="00A33AE8">
        <w:rPr>
          <w:rFonts w:asciiTheme="majorHAnsi" w:hAnsiTheme="majorHAnsi" w:cstheme="majorHAnsi"/>
          <w:lang w:val="en-GB"/>
        </w:rPr>
        <w:t>, thus,</w:t>
      </w:r>
      <w:r w:rsidRPr="00A33AE8">
        <w:rPr>
          <w:rFonts w:asciiTheme="majorHAnsi" w:hAnsiTheme="majorHAnsi" w:cstheme="majorHAnsi"/>
          <w:lang w:val="en-GB"/>
        </w:rPr>
        <w:t xml:space="preserve"> a central role in enabling and coordinating the market coupling process. Guarantees of origin will </w:t>
      </w:r>
      <w:r w:rsidR="00075CB0" w:rsidRPr="00A33AE8">
        <w:rPr>
          <w:rFonts w:asciiTheme="majorHAnsi" w:hAnsiTheme="majorHAnsi" w:cstheme="majorHAnsi"/>
          <w:lang w:val="en-GB"/>
        </w:rPr>
        <w:t>contribute to</w:t>
      </w:r>
      <w:r w:rsidR="00A52BE5" w:rsidRPr="00A33AE8">
        <w:rPr>
          <w:rFonts w:asciiTheme="majorHAnsi" w:hAnsiTheme="majorHAnsi" w:cstheme="majorHAnsi"/>
          <w:lang w:val="en-GB"/>
        </w:rPr>
        <w:t>wards</w:t>
      </w:r>
      <w:r w:rsidR="00075CB0" w:rsidRPr="00A33AE8">
        <w:rPr>
          <w:rFonts w:asciiTheme="majorHAnsi" w:hAnsiTheme="majorHAnsi" w:cstheme="majorHAnsi"/>
          <w:lang w:val="en-GB"/>
        </w:rPr>
        <w:t xml:space="preserve"> attracting</w:t>
      </w:r>
      <w:r w:rsidRPr="00A33AE8">
        <w:rPr>
          <w:rFonts w:asciiTheme="majorHAnsi" w:hAnsiTheme="majorHAnsi" w:cstheme="majorHAnsi"/>
          <w:lang w:val="en-GB"/>
        </w:rPr>
        <w:t xml:space="preserve"> investment</w:t>
      </w:r>
      <w:r w:rsidR="00075CB0" w:rsidRPr="00A33AE8">
        <w:rPr>
          <w:rFonts w:asciiTheme="majorHAnsi" w:hAnsiTheme="majorHAnsi" w:cstheme="majorHAnsi"/>
          <w:lang w:val="en-GB"/>
        </w:rPr>
        <w:t>s</w:t>
      </w:r>
      <w:r w:rsidRPr="00A33AE8">
        <w:rPr>
          <w:rFonts w:asciiTheme="majorHAnsi" w:hAnsiTheme="majorHAnsi" w:cstheme="majorHAnsi"/>
          <w:lang w:val="en-GB"/>
        </w:rPr>
        <w:t xml:space="preserve"> in renewable sources. </w:t>
      </w:r>
      <w:r w:rsidR="00075CB0" w:rsidRPr="00A33AE8">
        <w:rPr>
          <w:rFonts w:asciiTheme="majorHAnsi" w:hAnsiTheme="majorHAnsi" w:cstheme="majorHAnsi"/>
          <w:lang w:val="en-GB"/>
        </w:rPr>
        <w:t xml:space="preserve">To this end, </w:t>
      </w:r>
      <w:r w:rsidRPr="00A33AE8">
        <w:rPr>
          <w:rFonts w:asciiTheme="majorHAnsi" w:hAnsiTheme="majorHAnsi" w:cstheme="majorHAnsi"/>
          <w:lang w:val="en-GB"/>
        </w:rPr>
        <w:t xml:space="preserve">Republic of Serbia </w:t>
      </w:r>
      <w:r w:rsidR="00075CB0" w:rsidRPr="00A33AE8">
        <w:rPr>
          <w:rFonts w:asciiTheme="majorHAnsi" w:hAnsiTheme="majorHAnsi" w:cstheme="majorHAnsi"/>
          <w:lang w:val="en-GB"/>
        </w:rPr>
        <w:t xml:space="preserve">has </w:t>
      </w:r>
      <w:r w:rsidRPr="00A33AE8">
        <w:rPr>
          <w:rFonts w:asciiTheme="majorHAnsi" w:hAnsiTheme="majorHAnsi" w:cstheme="majorHAnsi"/>
          <w:lang w:val="en-GB"/>
        </w:rPr>
        <w:t xml:space="preserve">implemented a functional </w:t>
      </w:r>
      <w:r w:rsidRPr="00A33AE8">
        <w:rPr>
          <w:rFonts w:asciiTheme="majorHAnsi" w:hAnsiTheme="majorHAnsi" w:cstheme="majorHAnsi"/>
          <w:b/>
          <w:bCs/>
          <w:lang w:val="en-GB"/>
        </w:rPr>
        <w:t>Guarantees of origin system</w:t>
      </w:r>
      <w:r w:rsidRPr="00A33AE8">
        <w:rPr>
          <w:rFonts w:asciiTheme="majorHAnsi" w:hAnsiTheme="majorHAnsi" w:cstheme="majorHAnsi"/>
          <w:lang w:val="en-GB"/>
        </w:rPr>
        <w:t xml:space="preserve"> and </w:t>
      </w:r>
      <w:r w:rsidR="00E0485F" w:rsidRPr="00A33AE8">
        <w:rPr>
          <w:rFonts w:asciiTheme="majorHAnsi" w:hAnsiTheme="majorHAnsi" w:cstheme="majorHAnsi"/>
          <w:lang w:val="en-GB"/>
        </w:rPr>
        <w:t xml:space="preserve">EMS JSC </w:t>
      </w:r>
      <w:r w:rsidRPr="00A33AE8">
        <w:rPr>
          <w:rFonts w:asciiTheme="majorHAnsi" w:hAnsiTheme="majorHAnsi" w:cstheme="majorHAnsi"/>
          <w:lang w:val="en-GB"/>
        </w:rPr>
        <w:t xml:space="preserve">became a full membership of in the </w:t>
      </w:r>
      <w:r w:rsidRPr="00A33AE8">
        <w:rPr>
          <w:rFonts w:asciiTheme="majorHAnsi" w:hAnsiTheme="majorHAnsi" w:cstheme="majorHAnsi"/>
          <w:b/>
          <w:bCs/>
          <w:lang w:val="en-GB"/>
        </w:rPr>
        <w:t>Association of Issuing Bodies (AIB)</w:t>
      </w:r>
      <w:r w:rsidRPr="00A33AE8">
        <w:rPr>
          <w:rFonts w:asciiTheme="majorHAnsi" w:hAnsiTheme="majorHAnsi" w:cstheme="majorHAnsi"/>
          <w:lang w:val="en-GB"/>
        </w:rPr>
        <w:t xml:space="preserve">. This will allow for cross-border trade of </w:t>
      </w:r>
      <w:r w:rsidR="005D5BE4" w:rsidRPr="00A33AE8">
        <w:rPr>
          <w:rFonts w:asciiTheme="majorHAnsi" w:hAnsiTheme="majorHAnsi" w:cstheme="majorHAnsi"/>
          <w:lang w:val="en-GB"/>
        </w:rPr>
        <w:t>Guarantees of origin</w:t>
      </w:r>
      <w:r w:rsidRPr="00A33AE8">
        <w:rPr>
          <w:rFonts w:asciiTheme="majorHAnsi" w:hAnsiTheme="majorHAnsi" w:cstheme="majorHAnsi"/>
          <w:lang w:val="en-GB"/>
        </w:rPr>
        <w:t xml:space="preserve"> with the EU, which shall be continued after the RED II is transposed and implemented in all EU countries from July 2021.</w:t>
      </w:r>
    </w:p>
    <w:p w14:paraId="1F039020"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Additionally, </w:t>
      </w:r>
      <w:r w:rsidR="005037AC" w:rsidRPr="00A33AE8">
        <w:rPr>
          <w:rFonts w:asciiTheme="majorHAnsi" w:hAnsiTheme="majorHAnsi" w:cstheme="majorHAnsi"/>
          <w:lang w:val="en-GB"/>
        </w:rPr>
        <w:t xml:space="preserve">the </w:t>
      </w:r>
      <w:r w:rsidRPr="00A33AE8">
        <w:rPr>
          <w:rFonts w:asciiTheme="majorHAnsi" w:hAnsiTheme="majorHAnsi" w:cstheme="majorHAnsi"/>
          <w:b/>
          <w:bCs/>
          <w:lang w:val="en-GB"/>
        </w:rPr>
        <w:t xml:space="preserve">Law on </w:t>
      </w:r>
      <w:r w:rsidR="005448E2" w:rsidRPr="000007D2">
        <w:rPr>
          <w:rFonts w:asciiTheme="majorHAnsi" w:hAnsiTheme="majorHAnsi" w:cstheme="majorHAnsi"/>
          <w:b/>
          <w:bCs/>
          <w:lang w:val="en-GB"/>
        </w:rPr>
        <w:t>Amendments to the Law on Use of RES</w:t>
      </w:r>
      <w:r w:rsidR="005448E2" w:rsidRPr="00A33AE8">
        <w:rPr>
          <w:rStyle w:val="FootnoteReference"/>
          <w:rFonts w:asciiTheme="majorHAnsi" w:hAnsiTheme="majorHAnsi" w:cstheme="majorHAnsi"/>
        </w:rPr>
        <w:footnoteReference w:id="67"/>
      </w:r>
      <w:r w:rsidR="005448E2" w:rsidRPr="00A33AE8">
        <w:rPr>
          <w:rFonts w:asciiTheme="majorHAnsi" w:hAnsiTheme="majorHAnsi" w:cstheme="majorHAnsi"/>
          <w:lang w:val="en-GB"/>
        </w:rPr>
        <w:t xml:space="preserve"> </w:t>
      </w:r>
      <w:r w:rsidRPr="00A33AE8">
        <w:rPr>
          <w:rFonts w:asciiTheme="majorHAnsi" w:hAnsiTheme="majorHAnsi" w:cstheme="majorHAnsi"/>
          <w:lang w:val="en-GB"/>
        </w:rPr>
        <w:t xml:space="preserve">provide a better environment for the modernisation of the traditional and centralised power generation system through the introduction of the concept of prosumers, </w:t>
      </w:r>
      <w:r w:rsidR="001F526F" w:rsidRPr="000007D2">
        <w:rPr>
          <w:rFonts w:asciiTheme="majorHAnsi" w:hAnsiTheme="majorHAnsi" w:cstheme="majorHAnsi"/>
          <w:lang w:val="en-GB"/>
        </w:rPr>
        <w:t xml:space="preserve">RES </w:t>
      </w:r>
      <w:r w:rsidRPr="00A33AE8">
        <w:rPr>
          <w:rFonts w:asciiTheme="majorHAnsi" w:hAnsiTheme="majorHAnsi" w:cstheme="majorHAnsi"/>
          <w:lang w:val="en-GB"/>
        </w:rPr>
        <w:t xml:space="preserve">energy communities and aggregators as decentralised actors in the future energy market. By empowering end-users to transform their role from passive energy consumers to active market participants through renewable self-generation, the Law on use of Renewable Energy Resources promotes </w:t>
      </w:r>
      <w:r w:rsidR="005037AC" w:rsidRPr="00A33AE8">
        <w:rPr>
          <w:rFonts w:asciiTheme="majorHAnsi" w:hAnsiTheme="majorHAnsi" w:cstheme="majorHAnsi"/>
          <w:lang w:val="en-GB"/>
        </w:rPr>
        <w:t xml:space="preserve">the </w:t>
      </w:r>
      <w:r w:rsidRPr="00A33AE8">
        <w:rPr>
          <w:rFonts w:asciiTheme="majorHAnsi" w:hAnsiTheme="majorHAnsi" w:cstheme="majorHAnsi"/>
          <w:lang w:val="en-GB"/>
        </w:rPr>
        <w:t>overall idea of local generation opportunities for own needs, with the ability to connect to the grid and deliver energy surplus into the network.</w:t>
      </w:r>
    </w:p>
    <w:p w14:paraId="66BCEA5F" w14:textId="4753ADBD"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Pursuant to the </w:t>
      </w:r>
      <w:r w:rsidRPr="00A33AE8">
        <w:rPr>
          <w:rFonts w:asciiTheme="majorHAnsi" w:hAnsiTheme="majorHAnsi" w:cstheme="majorHAnsi"/>
          <w:b/>
          <w:bCs/>
          <w:lang w:val="en-GB"/>
        </w:rPr>
        <w:t>Law on Energy</w:t>
      </w:r>
      <w:r w:rsidRPr="00A33AE8">
        <w:rPr>
          <w:rStyle w:val="FootnoteReference"/>
          <w:rFonts w:asciiTheme="majorHAnsi" w:hAnsiTheme="majorHAnsi" w:cstheme="majorHAnsi"/>
        </w:rPr>
        <w:footnoteReference w:id="68"/>
      </w:r>
      <w:r w:rsidRPr="00A33AE8">
        <w:rPr>
          <w:rFonts w:asciiTheme="majorHAnsi" w:hAnsiTheme="majorHAnsi" w:cstheme="majorHAnsi"/>
          <w:lang w:val="en-GB"/>
        </w:rPr>
        <w:t xml:space="preserve">, more attention is given to energy poverty, which is marked as one of the key threats within the energy transition. Republic of Serbia sets more </w:t>
      </w:r>
      <w:r w:rsidR="005037AC" w:rsidRPr="00A33AE8">
        <w:rPr>
          <w:rFonts w:asciiTheme="majorHAnsi" w:hAnsiTheme="majorHAnsi" w:cstheme="majorHAnsi"/>
          <w:lang w:val="en-GB"/>
        </w:rPr>
        <w:t xml:space="preserve">emphasis </w:t>
      </w:r>
      <w:r w:rsidRPr="00A33AE8">
        <w:rPr>
          <w:rFonts w:asciiTheme="majorHAnsi" w:hAnsiTheme="majorHAnsi" w:cstheme="majorHAnsi"/>
          <w:lang w:val="en-GB"/>
        </w:rPr>
        <w:t xml:space="preserve">on this issue for the first time by </w:t>
      </w:r>
      <w:r w:rsidR="005037AC" w:rsidRPr="00A33AE8">
        <w:rPr>
          <w:rFonts w:asciiTheme="majorHAnsi" w:hAnsiTheme="majorHAnsi" w:cstheme="majorHAnsi"/>
          <w:lang w:val="en-GB"/>
        </w:rPr>
        <w:t xml:space="preserve">amending accordingly the </w:t>
      </w:r>
      <w:r w:rsidRPr="00A33AE8">
        <w:rPr>
          <w:rFonts w:asciiTheme="majorHAnsi" w:hAnsiTheme="majorHAnsi" w:cstheme="majorHAnsi"/>
          <w:lang w:val="en-GB"/>
        </w:rPr>
        <w:t xml:space="preserve">Law on Energy. In that sense, </w:t>
      </w:r>
      <w:r w:rsidR="005037AC" w:rsidRPr="00A33AE8">
        <w:rPr>
          <w:rFonts w:asciiTheme="majorHAnsi" w:hAnsiTheme="majorHAnsi" w:cstheme="majorHAnsi"/>
          <w:lang w:val="en-GB"/>
        </w:rPr>
        <w:t xml:space="preserve">the </w:t>
      </w:r>
      <w:r w:rsidRPr="00A33AE8">
        <w:rPr>
          <w:rFonts w:asciiTheme="majorHAnsi" w:hAnsiTheme="majorHAnsi" w:cstheme="majorHAnsi"/>
          <w:lang w:val="en-GB"/>
        </w:rPr>
        <w:t xml:space="preserve">term </w:t>
      </w:r>
      <w:r w:rsidR="005037AC" w:rsidRPr="00A33AE8">
        <w:rPr>
          <w:rFonts w:asciiTheme="majorHAnsi" w:hAnsiTheme="majorHAnsi" w:cstheme="majorHAnsi"/>
          <w:lang w:val="en-GB"/>
        </w:rPr>
        <w:t>“</w:t>
      </w:r>
      <w:r w:rsidRPr="00A33AE8">
        <w:rPr>
          <w:rFonts w:asciiTheme="majorHAnsi" w:hAnsiTheme="majorHAnsi" w:cstheme="majorHAnsi"/>
          <w:lang w:val="en-GB"/>
        </w:rPr>
        <w:t>energy poverty</w:t>
      </w:r>
      <w:r w:rsidR="005037AC" w:rsidRPr="00A33AE8">
        <w:rPr>
          <w:rFonts w:asciiTheme="majorHAnsi" w:hAnsiTheme="majorHAnsi" w:cstheme="majorHAnsi"/>
          <w:lang w:val="en-GB"/>
        </w:rPr>
        <w:t>”</w:t>
      </w:r>
      <w:r w:rsidRPr="00A33AE8">
        <w:rPr>
          <w:rFonts w:asciiTheme="majorHAnsi" w:hAnsiTheme="majorHAnsi" w:cstheme="majorHAnsi"/>
          <w:lang w:val="en-GB"/>
        </w:rPr>
        <w:t xml:space="preserve"> has been legally recognised, while the opportunities </w:t>
      </w:r>
      <w:r w:rsidR="005037AC" w:rsidRPr="00A33AE8">
        <w:rPr>
          <w:rFonts w:asciiTheme="majorHAnsi" w:hAnsiTheme="majorHAnsi" w:cstheme="majorHAnsi"/>
          <w:lang w:val="en-GB"/>
        </w:rPr>
        <w:t xml:space="preserve">addressed to </w:t>
      </w:r>
      <w:r w:rsidRPr="00A33AE8">
        <w:rPr>
          <w:rFonts w:asciiTheme="majorHAnsi" w:hAnsiTheme="majorHAnsi" w:cstheme="majorHAnsi"/>
          <w:lang w:val="en-GB"/>
        </w:rPr>
        <w:t xml:space="preserve">vulnerable customers have been expanded, covering heating sector as well. </w:t>
      </w:r>
      <w:r w:rsidR="005037AC" w:rsidRPr="00A33AE8">
        <w:rPr>
          <w:rFonts w:asciiTheme="majorHAnsi" w:hAnsiTheme="majorHAnsi" w:cstheme="majorHAnsi"/>
          <w:lang w:val="en-GB"/>
        </w:rPr>
        <w:t xml:space="preserve">For example, </w:t>
      </w:r>
      <w:r w:rsidR="00E26A24" w:rsidRPr="00A33AE8">
        <w:rPr>
          <w:rFonts w:asciiTheme="majorHAnsi" w:hAnsiTheme="majorHAnsi" w:cstheme="majorHAnsi"/>
          <w:lang w:val="en-GB"/>
        </w:rPr>
        <w:t xml:space="preserve">the </w:t>
      </w:r>
      <w:r w:rsidRPr="00A33AE8">
        <w:rPr>
          <w:rFonts w:asciiTheme="majorHAnsi" w:hAnsiTheme="majorHAnsi" w:cstheme="majorHAnsi"/>
          <w:b/>
          <w:bCs/>
          <w:lang w:val="en-GB"/>
        </w:rPr>
        <w:t>Decree on energy vulnerable customer</w:t>
      </w:r>
      <w:r w:rsidRPr="00A33AE8">
        <w:rPr>
          <w:rStyle w:val="FootnoteReference"/>
          <w:rFonts w:asciiTheme="majorHAnsi" w:hAnsiTheme="majorHAnsi" w:cstheme="majorHAnsi"/>
          <w:b/>
          <w:bCs/>
        </w:rPr>
        <w:footnoteReference w:id="69"/>
      </w:r>
      <w:r w:rsidRPr="00A33AE8">
        <w:rPr>
          <w:rFonts w:asciiTheme="majorHAnsi" w:hAnsiTheme="majorHAnsi" w:cstheme="majorHAnsi"/>
          <w:lang w:val="en-GB"/>
        </w:rPr>
        <w:t xml:space="preserve"> </w:t>
      </w:r>
      <w:r w:rsidR="00E26A24" w:rsidRPr="00A33AE8">
        <w:rPr>
          <w:rFonts w:asciiTheme="majorHAnsi" w:hAnsiTheme="majorHAnsi" w:cstheme="majorHAnsi"/>
          <w:lang w:val="en-GB"/>
        </w:rPr>
        <w:t xml:space="preserve">that </w:t>
      </w:r>
      <w:r w:rsidRPr="00A33AE8">
        <w:rPr>
          <w:rFonts w:asciiTheme="majorHAnsi" w:hAnsiTheme="majorHAnsi" w:cstheme="majorHAnsi"/>
          <w:lang w:val="en-GB"/>
        </w:rPr>
        <w:t xml:space="preserve">sets up the </w:t>
      </w:r>
      <w:r w:rsidR="005037AC" w:rsidRPr="00A33AE8">
        <w:rPr>
          <w:rFonts w:asciiTheme="majorHAnsi" w:hAnsiTheme="majorHAnsi" w:cstheme="majorHAnsi"/>
          <w:lang w:val="en-GB"/>
        </w:rPr>
        <w:t xml:space="preserve">eligibility </w:t>
      </w:r>
      <w:r w:rsidRPr="00A33AE8">
        <w:rPr>
          <w:rFonts w:asciiTheme="majorHAnsi" w:hAnsiTheme="majorHAnsi" w:cstheme="majorHAnsi"/>
          <w:lang w:val="en-GB"/>
        </w:rPr>
        <w:t>criteria for acquiring the status of energy vulnerable customer</w:t>
      </w:r>
      <w:r w:rsidR="00741B05" w:rsidRPr="000007D2">
        <w:rPr>
          <w:rFonts w:asciiTheme="majorHAnsi" w:hAnsiTheme="majorHAnsi" w:cstheme="majorHAnsi"/>
          <w:lang w:val="en-GB"/>
        </w:rPr>
        <w:t xml:space="preserve"> of </w:t>
      </w:r>
      <w:r w:rsidR="00E26A24" w:rsidRPr="000007D2">
        <w:rPr>
          <w:rFonts w:asciiTheme="majorHAnsi" w:hAnsiTheme="majorHAnsi" w:cstheme="majorHAnsi"/>
          <w:lang w:val="en-GB"/>
        </w:rPr>
        <w:t>electricity</w:t>
      </w:r>
      <w:r w:rsidR="00741B05" w:rsidRPr="000007D2">
        <w:rPr>
          <w:rFonts w:asciiTheme="majorHAnsi" w:hAnsiTheme="majorHAnsi" w:cstheme="majorHAnsi"/>
          <w:lang w:val="en-GB"/>
        </w:rPr>
        <w:t xml:space="preserve"> or natural gas</w:t>
      </w:r>
      <w:r w:rsidR="00E26A24" w:rsidRPr="000007D2">
        <w:rPr>
          <w:rFonts w:asciiTheme="majorHAnsi" w:hAnsiTheme="majorHAnsi" w:cstheme="majorHAnsi"/>
          <w:lang w:val="en-GB"/>
        </w:rPr>
        <w:t xml:space="preserve">, has been improved by the new </w:t>
      </w:r>
      <w:r w:rsidR="00E26A24" w:rsidRPr="000007D2">
        <w:rPr>
          <w:rFonts w:asciiTheme="majorHAnsi" w:hAnsiTheme="majorHAnsi" w:cstheme="majorHAnsi"/>
          <w:b/>
          <w:bCs/>
          <w:lang w:val="en-GB"/>
        </w:rPr>
        <w:t>Decree on energy vulnerable customer</w:t>
      </w:r>
      <w:r w:rsidR="00E26A24" w:rsidRPr="00A33AE8">
        <w:rPr>
          <w:rStyle w:val="FootnoteReference"/>
          <w:rFonts w:asciiTheme="majorHAnsi" w:hAnsiTheme="majorHAnsi" w:cstheme="majorHAnsi"/>
          <w:b/>
          <w:bCs/>
        </w:rPr>
        <w:footnoteReference w:id="70"/>
      </w:r>
      <w:r w:rsidR="00E26A24" w:rsidRPr="000007D2" w:rsidDel="00741B05">
        <w:rPr>
          <w:rFonts w:asciiTheme="majorHAnsi" w:hAnsiTheme="majorHAnsi" w:cstheme="majorHAnsi"/>
          <w:lang w:val="en-GB"/>
        </w:rPr>
        <w:t xml:space="preserve"> </w:t>
      </w:r>
      <w:r w:rsidR="00E26A24" w:rsidRPr="000007D2">
        <w:rPr>
          <w:rFonts w:asciiTheme="majorHAnsi" w:hAnsiTheme="majorHAnsi" w:cstheme="majorHAnsi"/>
          <w:lang w:val="en-GB"/>
        </w:rPr>
        <w:t>adopted in December 2022, which for the first time introduces aid for heating and foresee a significant increase in the number of customers eligible for aid</w:t>
      </w:r>
      <w:r w:rsidRPr="00A33AE8">
        <w:rPr>
          <w:rFonts w:asciiTheme="majorHAnsi" w:hAnsiTheme="majorHAnsi" w:cstheme="majorHAnsi"/>
          <w:lang w:val="en-GB"/>
        </w:rPr>
        <w:t xml:space="preserve">. To acquire the status, one needs to submit </w:t>
      </w:r>
      <w:r w:rsidR="005037AC" w:rsidRPr="00A33AE8">
        <w:rPr>
          <w:rFonts w:asciiTheme="majorHAnsi" w:hAnsiTheme="majorHAnsi" w:cstheme="majorHAnsi"/>
          <w:lang w:val="en-GB"/>
        </w:rPr>
        <w:t xml:space="preserve">at first </w:t>
      </w:r>
      <w:r w:rsidRPr="00A33AE8">
        <w:rPr>
          <w:rFonts w:asciiTheme="majorHAnsi" w:hAnsiTheme="majorHAnsi" w:cstheme="majorHAnsi"/>
          <w:lang w:val="en-GB"/>
        </w:rPr>
        <w:t>a request to the municipality unit responsible for social welfare activities.</w:t>
      </w:r>
    </w:p>
    <w:p w14:paraId="78783B0A" w14:textId="77777777" w:rsidR="00F26FA8" w:rsidRPr="000007D2" w:rsidRDefault="00F26FA8" w:rsidP="00AC70D7">
      <w:pPr>
        <w:pStyle w:val="LDKbody"/>
        <w:rPr>
          <w:rFonts w:asciiTheme="majorHAnsi" w:hAnsiTheme="majorHAnsi"/>
          <w:lang w:val="en-GB"/>
        </w:rPr>
      </w:pPr>
    </w:p>
    <w:p w14:paraId="377DEA7D" w14:textId="77777777" w:rsidR="00E0485F" w:rsidRPr="00A33AE8" w:rsidRDefault="00E0485F" w:rsidP="00E0485F">
      <w:pPr>
        <w:pStyle w:val="LDKbody"/>
        <w:rPr>
          <w:rFonts w:asciiTheme="majorHAnsi" w:hAnsiTheme="majorHAnsi" w:cstheme="majorHAnsi"/>
          <w:b/>
          <w:bCs/>
          <w:lang w:val="en-GB"/>
        </w:rPr>
      </w:pPr>
      <w:r w:rsidRPr="00A33AE8">
        <w:rPr>
          <w:rFonts w:asciiTheme="majorHAnsi" w:hAnsiTheme="majorHAnsi" w:cstheme="majorHAnsi"/>
          <w:b/>
          <w:bCs/>
          <w:lang w:val="en-GB"/>
        </w:rPr>
        <w:t>Energy Security</w:t>
      </w:r>
    </w:p>
    <w:p w14:paraId="7499A0FD"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The core elements in the legislation of the Republic of Serbia that regulate energy security are the </w:t>
      </w:r>
      <w:r w:rsidRPr="00A33AE8">
        <w:rPr>
          <w:rFonts w:asciiTheme="majorHAnsi" w:hAnsiTheme="majorHAnsi" w:cstheme="majorHAnsi"/>
          <w:b/>
          <w:bCs/>
          <w:lang w:val="en-GB"/>
        </w:rPr>
        <w:t>Law on Energy</w:t>
      </w:r>
      <w:r w:rsidRPr="00A33AE8">
        <w:rPr>
          <w:rStyle w:val="FootnoteReference"/>
          <w:rFonts w:asciiTheme="majorHAnsi" w:hAnsiTheme="majorHAnsi" w:cstheme="majorHAnsi"/>
        </w:rPr>
        <w:footnoteReference w:id="71"/>
      </w:r>
      <w:r w:rsidRPr="00A33AE8">
        <w:rPr>
          <w:rFonts w:asciiTheme="majorHAnsi" w:hAnsiTheme="majorHAnsi" w:cstheme="majorHAnsi"/>
          <w:lang w:val="en-GB"/>
        </w:rPr>
        <w:t xml:space="preserve"> and </w:t>
      </w:r>
      <w:r w:rsidRPr="00A33AE8">
        <w:rPr>
          <w:rFonts w:asciiTheme="majorHAnsi" w:hAnsiTheme="majorHAnsi" w:cstheme="majorHAnsi"/>
          <w:b/>
          <w:bCs/>
          <w:lang w:val="en-GB"/>
        </w:rPr>
        <w:t>Law on Commodity Reserves</w:t>
      </w:r>
      <w:r w:rsidRPr="00A33AE8">
        <w:rPr>
          <w:rStyle w:val="FootnoteReference"/>
          <w:rFonts w:asciiTheme="majorHAnsi" w:hAnsiTheme="majorHAnsi" w:cstheme="majorHAnsi"/>
        </w:rPr>
        <w:footnoteReference w:id="72"/>
      </w:r>
      <w:r w:rsidRPr="00A33AE8">
        <w:rPr>
          <w:rFonts w:asciiTheme="majorHAnsi" w:hAnsiTheme="majorHAnsi" w:cstheme="majorHAnsi"/>
          <w:lang w:val="en-GB"/>
        </w:rPr>
        <w:t xml:space="preserve">. While the Law on Energy regulates the whole spectrum of energy sector covering all energy sources, the Law on Commodity Reserves is relevant for the regulation of the </w:t>
      </w:r>
      <w:r w:rsidRPr="00A33AE8">
        <w:rPr>
          <w:rFonts w:asciiTheme="majorHAnsi" w:hAnsiTheme="majorHAnsi" w:cstheme="majorHAnsi"/>
          <w:lang w:val="en-GB"/>
        </w:rPr>
        <w:lastRenderedPageBreak/>
        <w:t xml:space="preserve">formation and use of mandatory reserves of the oil and oil products, as a part of implementation of the Directive 2009/119/EC that imposes an obligation to maintain minimum stocks of crude oil and/or petroleum products by no later than 1 January 2023. In order to establish the full legal framework for the transposition of </w:t>
      </w:r>
      <w:r w:rsidR="00E23E50" w:rsidRPr="00A33AE8">
        <w:rPr>
          <w:rFonts w:asciiTheme="majorHAnsi" w:hAnsiTheme="majorHAnsi" w:cstheme="majorHAnsi"/>
          <w:lang w:val="en-GB"/>
        </w:rPr>
        <w:t xml:space="preserve">this </w:t>
      </w:r>
      <w:r w:rsidRPr="00A33AE8">
        <w:rPr>
          <w:rFonts w:asciiTheme="majorHAnsi" w:hAnsiTheme="majorHAnsi" w:cstheme="majorHAnsi"/>
          <w:lang w:val="en-GB"/>
        </w:rPr>
        <w:t xml:space="preserve">Directive, several </w:t>
      </w:r>
      <w:r w:rsidR="00D51E45" w:rsidRPr="00A33AE8">
        <w:rPr>
          <w:rFonts w:asciiTheme="majorHAnsi" w:hAnsiTheme="majorHAnsi" w:cstheme="majorHAnsi"/>
          <w:lang w:val="en-GB"/>
        </w:rPr>
        <w:t xml:space="preserve">additional </w:t>
      </w:r>
      <w:r w:rsidRPr="00A33AE8">
        <w:rPr>
          <w:rFonts w:asciiTheme="majorHAnsi" w:hAnsiTheme="majorHAnsi" w:cstheme="majorHAnsi"/>
          <w:lang w:val="en-GB"/>
        </w:rPr>
        <w:t xml:space="preserve">regulations and by-laws </w:t>
      </w:r>
      <w:r w:rsidR="00D51E45" w:rsidRPr="00A33AE8">
        <w:rPr>
          <w:rFonts w:asciiTheme="majorHAnsi" w:hAnsiTheme="majorHAnsi" w:cstheme="majorHAnsi"/>
          <w:lang w:val="en-GB"/>
        </w:rPr>
        <w:t>need</w:t>
      </w:r>
      <w:r w:rsidRPr="00A33AE8">
        <w:rPr>
          <w:rFonts w:asciiTheme="majorHAnsi" w:hAnsiTheme="majorHAnsi" w:cstheme="majorHAnsi"/>
          <w:lang w:val="en-GB"/>
        </w:rPr>
        <w:t xml:space="preserve"> to be adopted by the Government of the Republic of Serbia and the Ministry of Mining and Energy.</w:t>
      </w:r>
      <w:r w:rsidR="00265EC1" w:rsidRPr="00A33AE8">
        <w:rPr>
          <w:rFonts w:asciiTheme="majorHAnsi" w:hAnsiTheme="majorHAnsi" w:cstheme="majorHAnsi"/>
          <w:lang w:val="en-GB"/>
        </w:rPr>
        <w:t xml:space="preserve"> The amendments to the Regulation on security of supply and the Regulation on access to transport systems related to mandatory gas reserves and certification of storage operators have been adopted as mandatory for implementation in the Energy Community.</w:t>
      </w:r>
    </w:p>
    <w:p w14:paraId="44C1F31C" w14:textId="703CF935"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In accordance to the Law on Energy, the Government adopts the </w:t>
      </w:r>
      <w:r w:rsidRPr="00A33AE8">
        <w:rPr>
          <w:rFonts w:asciiTheme="majorHAnsi" w:hAnsiTheme="majorHAnsi" w:cstheme="majorHAnsi"/>
          <w:b/>
          <w:bCs/>
          <w:lang w:val="en-GB"/>
        </w:rPr>
        <w:t>Energy Balance</w:t>
      </w:r>
      <w:r w:rsidRPr="00A33AE8">
        <w:rPr>
          <w:rFonts w:asciiTheme="majorHAnsi" w:hAnsiTheme="majorHAnsi" w:cstheme="majorHAnsi"/>
          <w:lang w:val="en-GB"/>
        </w:rPr>
        <w:t xml:space="preserve"> on the proposal of the Ministry of Mining and Energy</w:t>
      </w:r>
      <w:r w:rsidR="000744B6" w:rsidRPr="00A33AE8">
        <w:rPr>
          <w:rFonts w:asciiTheme="majorHAnsi" w:hAnsiTheme="majorHAnsi" w:cstheme="majorHAnsi"/>
          <w:lang w:val="en-GB"/>
        </w:rPr>
        <w:t xml:space="preserve"> (MoME)</w:t>
      </w:r>
      <w:r w:rsidRPr="00A33AE8">
        <w:rPr>
          <w:rFonts w:asciiTheme="majorHAnsi" w:hAnsiTheme="majorHAnsi" w:cstheme="majorHAnsi"/>
          <w:lang w:val="en-GB"/>
        </w:rPr>
        <w:t xml:space="preserve">, by the end of December </w:t>
      </w:r>
      <w:r w:rsidR="00606D25" w:rsidRPr="00A33AE8">
        <w:rPr>
          <w:rFonts w:asciiTheme="majorHAnsi" w:hAnsiTheme="majorHAnsi" w:cstheme="majorHAnsi"/>
          <w:lang w:val="en-GB"/>
        </w:rPr>
        <w:t>of the</w:t>
      </w:r>
      <w:r w:rsidR="000744B6" w:rsidRPr="00A33AE8">
        <w:rPr>
          <w:rFonts w:asciiTheme="majorHAnsi" w:hAnsiTheme="majorHAnsi" w:cstheme="majorHAnsi"/>
          <w:lang w:val="en-GB"/>
        </w:rPr>
        <w:t xml:space="preserve"> ongoing year </w:t>
      </w:r>
      <w:r w:rsidR="00250FC3" w:rsidRPr="00A33AE8">
        <w:rPr>
          <w:rFonts w:asciiTheme="majorHAnsi" w:hAnsiTheme="majorHAnsi" w:cstheme="majorHAnsi"/>
          <w:lang w:val="en-GB"/>
        </w:rPr>
        <w:t>f</w:t>
      </w:r>
      <w:r w:rsidRPr="00A33AE8">
        <w:rPr>
          <w:rFonts w:asciiTheme="majorHAnsi" w:hAnsiTheme="majorHAnsi" w:cstheme="majorHAnsi"/>
          <w:lang w:val="en-GB"/>
        </w:rPr>
        <w:t xml:space="preserve">or the next year, </w:t>
      </w:r>
      <w:r w:rsidR="00B95F28" w:rsidRPr="00A33AE8">
        <w:rPr>
          <w:rFonts w:asciiTheme="majorHAnsi" w:hAnsiTheme="majorHAnsi" w:cstheme="majorHAnsi"/>
          <w:lang w:val="en-GB"/>
        </w:rPr>
        <w:t>where</w:t>
      </w:r>
      <w:r w:rsidRPr="00A33AE8">
        <w:rPr>
          <w:rFonts w:asciiTheme="majorHAnsi" w:hAnsiTheme="majorHAnsi" w:cstheme="majorHAnsi"/>
          <w:lang w:val="en-GB"/>
        </w:rPr>
        <w:t xml:space="preserve"> the annual energy needs, expressed on a monthly basis, necessary to ensure reliable, secure and quality customer supply</w:t>
      </w:r>
      <w:r w:rsidR="00B95F28" w:rsidRPr="00A33AE8">
        <w:rPr>
          <w:rFonts w:asciiTheme="majorHAnsi" w:hAnsiTheme="majorHAnsi" w:cstheme="majorHAnsi"/>
          <w:lang w:val="en-GB"/>
        </w:rPr>
        <w:t xml:space="preserve"> are determined</w:t>
      </w:r>
      <w:r w:rsidRPr="00A33AE8">
        <w:rPr>
          <w:rFonts w:asciiTheme="majorHAnsi" w:hAnsiTheme="majorHAnsi" w:cstheme="majorHAnsi"/>
          <w:lang w:val="en-GB"/>
        </w:rPr>
        <w:t xml:space="preserve">. </w:t>
      </w:r>
      <w:r w:rsidR="00B95F28" w:rsidRPr="00A33AE8">
        <w:rPr>
          <w:rFonts w:asciiTheme="majorHAnsi" w:hAnsiTheme="majorHAnsi" w:cstheme="majorHAnsi"/>
          <w:lang w:val="en-GB"/>
        </w:rPr>
        <w:t>In addition</w:t>
      </w:r>
      <w:r w:rsidRPr="00A33AE8">
        <w:rPr>
          <w:rFonts w:asciiTheme="majorHAnsi" w:hAnsiTheme="majorHAnsi" w:cstheme="majorHAnsi"/>
          <w:lang w:val="en-GB"/>
        </w:rPr>
        <w:t>,</w:t>
      </w:r>
      <w:r w:rsidR="00B95F28" w:rsidRPr="00A33AE8">
        <w:rPr>
          <w:rFonts w:asciiTheme="majorHAnsi" w:hAnsiTheme="majorHAnsi" w:cstheme="majorHAnsi"/>
          <w:lang w:val="en-GB"/>
        </w:rPr>
        <w:t xml:space="preserve"> the</w:t>
      </w:r>
      <w:r w:rsidR="00DC2972" w:rsidRPr="000007D2">
        <w:rPr>
          <w:rFonts w:asciiTheme="majorHAnsi" w:hAnsiTheme="majorHAnsi" w:cstheme="majorHAnsi"/>
          <w:lang w:val="en-GB"/>
        </w:rPr>
        <w:t xml:space="preserve"> </w:t>
      </w:r>
      <w:r w:rsidRPr="00A33AE8">
        <w:rPr>
          <w:rFonts w:asciiTheme="majorHAnsi" w:hAnsiTheme="majorHAnsi" w:cstheme="majorHAnsi"/>
          <w:b/>
          <w:bCs/>
          <w:lang w:val="en-GB"/>
        </w:rPr>
        <w:t>Law on Critical Infrastructure</w:t>
      </w:r>
      <w:r w:rsidRPr="00A33AE8">
        <w:rPr>
          <w:rStyle w:val="FootnoteReference"/>
          <w:rFonts w:asciiTheme="majorHAnsi" w:hAnsiTheme="majorHAnsi" w:cstheme="majorHAnsi"/>
          <w:b/>
          <w:bCs/>
        </w:rPr>
        <w:footnoteReference w:id="73"/>
      </w:r>
      <w:r w:rsidRPr="00A33AE8">
        <w:rPr>
          <w:rFonts w:asciiTheme="majorHAnsi" w:hAnsiTheme="majorHAnsi" w:cstheme="majorHAnsi"/>
          <w:lang w:val="en-GB"/>
        </w:rPr>
        <w:t xml:space="preserve"> has identified key sectors </w:t>
      </w:r>
      <w:r w:rsidR="00B95F28" w:rsidRPr="00A33AE8">
        <w:rPr>
          <w:rFonts w:asciiTheme="majorHAnsi" w:hAnsiTheme="majorHAnsi" w:cstheme="majorHAnsi"/>
          <w:lang w:val="en-GB"/>
        </w:rPr>
        <w:t>where</w:t>
      </w:r>
      <w:r w:rsidRPr="00A33AE8">
        <w:rPr>
          <w:rFonts w:asciiTheme="majorHAnsi" w:hAnsiTheme="majorHAnsi" w:cstheme="majorHAnsi"/>
          <w:lang w:val="en-GB"/>
        </w:rPr>
        <w:t xml:space="preserve"> critical infrastructure is </w:t>
      </w:r>
      <w:r w:rsidR="00B95F28" w:rsidRPr="00A33AE8">
        <w:rPr>
          <w:rFonts w:asciiTheme="majorHAnsi" w:hAnsiTheme="majorHAnsi" w:cstheme="majorHAnsi"/>
          <w:lang w:val="en-GB"/>
        </w:rPr>
        <w:t xml:space="preserve">needed and the </w:t>
      </w:r>
      <w:r w:rsidRPr="00A33AE8">
        <w:rPr>
          <w:rFonts w:asciiTheme="majorHAnsi" w:hAnsiTheme="majorHAnsi" w:cstheme="majorHAnsi"/>
          <w:lang w:val="en-GB"/>
        </w:rPr>
        <w:t xml:space="preserve">energy sector </w:t>
      </w:r>
      <w:r w:rsidR="00B95F28" w:rsidRPr="00A33AE8">
        <w:rPr>
          <w:rFonts w:asciiTheme="majorHAnsi" w:hAnsiTheme="majorHAnsi" w:cstheme="majorHAnsi"/>
          <w:lang w:val="en-GB"/>
        </w:rPr>
        <w:t>is</w:t>
      </w:r>
      <w:r w:rsidRPr="00A33AE8">
        <w:rPr>
          <w:rFonts w:asciiTheme="majorHAnsi" w:hAnsiTheme="majorHAnsi" w:cstheme="majorHAnsi"/>
          <w:lang w:val="en-GB"/>
        </w:rPr>
        <w:t xml:space="preserve"> listed as the first one.</w:t>
      </w:r>
    </w:p>
    <w:p w14:paraId="5F9853E9"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The Government of the Republic of Serbia prescribes </w:t>
      </w:r>
      <w:r w:rsidR="00194955" w:rsidRPr="00A33AE8">
        <w:rPr>
          <w:rFonts w:asciiTheme="majorHAnsi" w:hAnsiTheme="majorHAnsi" w:cstheme="majorHAnsi"/>
          <w:lang w:val="en-GB"/>
        </w:rPr>
        <w:t xml:space="preserve">the </w:t>
      </w:r>
      <w:r w:rsidRPr="00A33AE8">
        <w:rPr>
          <w:rFonts w:asciiTheme="majorHAnsi" w:hAnsiTheme="majorHAnsi" w:cstheme="majorHAnsi"/>
          <w:lang w:val="en-GB"/>
        </w:rPr>
        <w:t xml:space="preserve">conditions for delivery and supply of electricity, oil and natural gas, as well as the measures to be taken if the security of energy and energy sources supply is endangered due to market or system disturbances. </w:t>
      </w:r>
      <w:r w:rsidR="00DD5A48" w:rsidRPr="00A33AE8">
        <w:rPr>
          <w:rFonts w:asciiTheme="majorHAnsi" w:hAnsiTheme="majorHAnsi" w:cstheme="majorHAnsi"/>
          <w:lang w:val="en-GB"/>
        </w:rPr>
        <w:t xml:space="preserve">To this end, </w:t>
      </w:r>
      <w:r w:rsidRPr="00A33AE8">
        <w:rPr>
          <w:rFonts w:asciiTheme="majorHAnsi" w:hAnsiTheme="majorHAnsi" w:cstheme="majorHAnsi"/>
          <w:lang w:val="en-GB"/>
        </w:rPr>
        <w:t xml:space="preserve">Republic of Serbia has well established </w:t>
      </w:r>
      <w:r w:rsidR="00FB2F9C" w:rsidRPr="00A33AE8">
        <w:rPr>
          <w:rFonts w:asciiTheme="majorHAnsi" w:hAnsiTheme="majorHAnsi" w:cstheme="majorHAnsi"/>
          <w:lang w:val="en-GB"/>
        </w:rPr>
        <w:t xml:space="preserve">the delivery of electricity and natural gas and </w:t>
      </w:r>
      <w:r w:rsidRPr="00A33AE8">
        <w:rPr>
          <w:rFonts w:asciiTheme="majorHAnsi" w:hAnsiTheme="majorHAnsi" w:cstheme="majorHAnsi"/>
          <w:lang w:val="en-GB"/>
        </w:rPr>
        <w:t xml:space="preserve">security of supply secondary legislation </w:t>
      </w:r>
      <w:r w:rsidR="008D1120" w:rsidRPr="00A33AE8">
        <w:rPr>
          <w:rFonts w:asciiTheme="majorHAnsi" w:hAnsiTheme="majorHAnsi" w:cstheme="majorHAnsi"/>
          <w:lang w:val="en-GB"/>
        </w:rPr>
        <w:t xml:space="preserve">through </w:t>
      </w:r>
      <w:r w:rsidRPr="00A33AE8">
        <w:rPr>
          <w:rFonts w:asciiTheme="majorHAnsi" w:hAnsiTheme="majorHAnsi" w:cstheme="majorHAnsi"/>
          <w:lang w:val="en-GB"/>
        </w:rPr>
        <w:t>two major decrees</w:t>
      </w:r>
      <w:r w:rsidR="008D1120" w:rsidRPr="00A33AE8">
        <w:rPr>
          <w:rFonts w:asciiTheme="majorHAnsi" w:hAnsiTheme="majorHAnsi" w:cstheme="majorHAnsi"/>
          <w:lang w:val="en-GB"/>
        </w:rPr>
        <w:t>; i.e.</w:t>
      </w:r>
      <w:r w:rsidR="00060936" w:rsidRPr="000007D2">
        <w:rPr>
          <w:rFonts w:asciiTheme="majorHAnsi" w:hAnsiTheme="majorHAnsi" w:cstheme="majorHAnsi"/>
          <w:lang w:val="en-GB"/>
        </w:rPr>
        <w:t xml:space="preserve"> </w:t>
      </w:r>
      <w:r w:rsidR="008D1120" w:rsidRPr="00A33AE8">
        <w:rPr>
          <w:rFonts w:asciiTheme="majorHAnsi" w:hAnsiTheme="majorHAnsi" w:cstheme="majorHAnsi"/>
          <w:lang w:val="en-GB"/>
        </w:rPr>
        <w:t xml:space="preserve">the </w:t>
      </w:r>
      <w:r w:rsidRPr="00A33AE8">
        <w:rPr>
          <w:rFonts w:asciiTheme="majorHAnsi" w:hAnsiTheme="majorHAnsi" w:cstheme="majorHAnsi"/>
          <w:b/>
          <w:bCs/>
          <w:lang w:val="en-GB"/>
        </w:rPr>
        <w:t>Decree</w:t>
      </w:r>
      <w:r w:rsidR="00060936" w:rsidRPr="000007D2">
        <w:rPr>
          <w:rFonts w:asciiTheme="majorHAnsi" w:hAnsiTheme="majorHAnsi" w:cstheme="majorHAnsi"/>
          <w:b/>
          <w:bCs/>
          <w:lang w:val="en-GB"/>
        </w:rPr>
        <w:t xml:space="preserve"> </w:t>
      </w:r>
      <w:r w:rsidRPr="00A33AE8">
        <w:rPr>
          <w:rFonts w:asciiTheme="majorHAnsi" w:hAnsiTheme="majorHAnsi" w:cstheme="majorHAnsi"/>
          <w:b/>
          <w:bCs/>
          <w:lang w:val="en-GB"/>
        </w:rPr>
        <w:t>on Conditions for Delivery and Supply of Electricity</w:t>
      </w:r>
      <w:r w:rsidRPr="00A33AE8">
        <w:rPr>
          <w:rStyle w:val="FootnoteReference"/>
          <w:rFonts w:asciiTheme="majorHAnsi" w:hAnsiTheme="majorHAnsi" w:cstheme="majorHAnsi"/>
        </w:rPr>
        <w:footnoteReference w:id="74"/>
      </w:r>
      <w:r w:rsidRPr="00A33AE8">
        <w:rPr>
          <w:rFonts w:asciiTheme="majorHAnsi" w:hAnsiTheme="majorHAnsi" w:cstheme="majorHAnsi"/>
          <w:lang w:val="en-GB"/>
        </w:rPr>
        <w:t xml:space="preserve"> and </w:t>
      </w:r>
      <w:r w:rsidR="008D1120" w:rsidRPr="00A33AE8">
        <w:rPr>
          <w:rFonts w:asciiTheme="majorHAnsi" w:hAnsiTheme="majorHAnsi" w:cstheme="majorHAnsi"/>
          <w:lang w:val="en-GB"/>
        </w:rPr>
        <w:t xml:space="preserve">the </w:t>
      </w:r>
      <w:r w:rsidRPr="00A33AE8">
        <w:rPr>
          <w:rFonts w:asciiTheme="majorHAnsi" w:hAnsiTheme="majorHAnsi" w:cstheme="majorHAnsi"/>
          <w:b/>
          <w:bCs/>
          <w:lang w:val="en-GB"/>
        </w:rPr>
        <w:t>Decree on Conditions of Natural Gas Delivery and Supply</w:t>
      </w:r>
      <w:r w:rsidRPr="00A33AE8">
        <w:rPr>
          <w:rStyle w:val="FootnoteReference"/>
          <w:rFonts w:asciiTheme="majorHAnsi" w:hAnsiTheme="majorHAnsi" w:cstheme="majorHAnsi"/>
        </w:rPr>
        <w:footnoteReference w:id="75"/>
      </w:r>
      <w:r w:rsidRPr="00A33AE8">
        <w:rPr>
          <w:rFonts w:asciiTheme="majorHAnsi" w:hAnsiTheme="majorHAnsi" w:cstheme="majorHAnsi"/>
          <w:lang w:val="en-GB"/>
        </w:rPr>
        <w:t xml:space="preserve">. Moreover, </w:t>
      </w:r>
      <w:r w:rsidR="008D1120" w:rsidRPr="00A33AE8">
        <w:rPr>
          <w:rFonts w:asciiTheme="majorHAnsi" w:hAnsiTheme="majorHAnsi" w:cstheme="majorHAnsi"/>
          <w:lang w:val="en-GB"/>
        </w:rPr>
        <w:t xml:space="preserve">the </w:t>
      </w:r>
      <w:r w:rsidRPr="00A33AE8">
        <w:rPr>
          <w:rFonts w:asciiTheme="majorHAnsi" w:hAnsiTheme="majorHAnsi" w:cstheme="majorHAnsi"/>
          <w:lang w:val="en-GB"/>
        </w:rPr>
        <w:t xml:space="preserve">country </w:t>
      </w:r>
      <w:r w:rsidR="008D1120" w:rsidRPr="00A33AE8">
        <w:rPr>
          <w:rFonts w:asciiTheme="majorHAnsi" w:hAnsiTheme="majorHAnsi" w:cstheme="majorHAnsi"/>
          <w:lang w:val="en-GB"/>
        </w:rPr>
        <w:t>is fully</w:t>
      </w:r>
      <w:r w:rsidR="00060936" w:rsidRPr="000007D2">
        <w:rPr>
          <w:rFonts w:asciiTheme="majorHAnsi" w:hAnsiTheme="majorHAnsi" w:cstheme="majorHAnsi"/>
          <w:lang w:val="en-GB"/>
        </w:rPr>
        <w:t xml:space="preserve"> </w:t>
      </w:r>
      <w:r w:rsidR="008D1120" w:rsidRPr="00A33AE8">
        <w:rPr>
          <w:rFonts w:asciiTheme="majorHAnsi" w:hAnsiTheme="majorHAnsi" w:cstheme="majorHAnsi"/>
          <w:lang w:val="en-GB"/>
        </w:rPr>
        <w:t xml:space="preserve">aligned </w:t>
      </w:r>
      <w:r w:rsidRPr="00A33AE8">
        <w:rPr>
          <w:rFonts w:asciiTheme="majorHAnsi" w:hAnsiTheme="majorHAnsi" w:cstheme="majorHAnsi"/>
          <w:lang w:val="en-GB"/>
        </w:rPr>
        <w:t xml:space="preserve">with the EU acquis on </w:t>
      </w:r>
      <w:r w:rsidR="008D1120" w:rsidRPr="00A33AE8">
        <w:rPr>
          <w:rFonts w:asciiTheme="majorHAnsi" w:hAnsiTheme="majorHAnsi" w:cstheme="majorHAnsi"/>
          <w:lang w:val="en-GB"/>
        </w:rPr>
        <w:t xml:space="preserve">emergency oil stocks in the framework of </w:t>
      </w:r>
      <w:r w:rsidRPr="00A33AE8">
        <w:rPr>
          <w:rFonts w:asciiTheme="majorHAnsi" w:hAnsiTheme="majorHAnsi" w:cstheme="majorHAnsi"/>
          <w:lang w:val="en-GB"/>
        </w:rPr>
        <w:t xml:space="preserve">security of supply on, defined by </w:t>
      </w:r>
      <w:r w:rsidRPr="00A33AE8">
        <w:rPr>
          <w:rFonts w:asciiTheme="majorHAnsi" w:hAnsiTheme="majorHAnsi" w:cstheme="majorHAnsi"/>
          <w:b/>
          <w:bCs/>
          <w:lang w:val="en-GB"/>
        </w:rPr>
        <w:t>Decree on determining the Program of measures in case the security of energy and energy supply is endangered (Emergency plan)</w:t>
      </w:r>
      <w:r w:rsidRPr="00A33AE8">
        <w:rPr>
          <w:rStyle w:val="FootnoteReference"/>
          <w:rFonts w:asciiTheme="majorHAnsi" w:hAnsiTheme="majorHAnsi" w:cstheme="majorHAnsi"/>
        </w:rPr>
        <w:footnoteReference w:id="76"/>
      </w:r>
      <w:r w:rsidRPr="00A33AE8">
        <w:rPr>
          <w:rFonts w:asciiTheme="majorHAnsi" w:hAnsiTheme="majorHAnsi" w:cstheme="majorHAnsi"/>
          <w:lang w:val="en-GB"/>
        </w:rPr>
        <w:t xml:space="preserve"> and </w:t>
      </w:r>
      <w:r w:rsidRPr="00A33AE8">
        <w:rPr>
          <w:rFonts w:asciiTheme="majorHAnsi" w:hAnsiTheme="majorHAnsi" w:cstheme="majorHAnsi"/>
          <w:b/>
          <w:bCs/>
          <w:lang w:val="en-GB"/>
        </w:rPr>
        <w:t>Decree on the procurement plan and criteria for the formation of mandatory oil reserves</w:t>
      </w:r>
      <w:r w:rsidRPr="00A33AE8">
        <w:rPr>
          <w:rStyle w:val="FootnoteReference"/>
          <w:rFonts w:asciiTheme="majorHAnsi" w:hAnsiTheme="majorHAnsi" w:cstheme="majorHAnsi"/>
        </w:rPr>
        <w:footnoteReference w:id="77"/>
      </w:r>
      <w:r w:rsidRPr="00A33AE8">
        <w:rPr>
          <w:rFonts w:asciiTheme="majorHAnsi" w:hAnsiTheme="majorHAnsi" w:cstheme="majorHAnsi"/>
          <w:lang w:val="en-GB"/>
        </w:rPr>
        <w:t>.</w:t>
      </w:r>
      <w:r w:rsidR="00265EC1" w:rsidRPr="00A33AE8">
        <w:rPr>
          <w:rFonts w:asciiTheme="majorHAnsi" w:hAnsiTheme="majorHAnsi" w:cstheme="majorHAnsi"/>
          <w:lang w:val="en-GB"/>
        </w:rPr>
        <w:t xml:space="preserve"> In 2021, the Government adopted the </w:t>
      </w:r>
      <w:r w:rsidR="00265EC1" w:rsidRPr="00A33AE8">
        <w:rPr>
          <w:rFonts w:asciiTheme="majorHAnsi" w:hAnsiTheme="majorHAnsi" w:cstheme="majorHAnsi"/>
          <w:b/>
          <w:bCs/>
          <w:lang w:val="en-GB"/>
        </w:rPr>
        <w:t>Decree on Amendments to the Decree on the Plan and Criteria for the Formation of Mandatory Reserves of Oil and Oil Derivatives</w:t>
      </w:r>
      <w:r w:rsidR="00265EC1" w:rsidRPr="00A33AE8">
        <w:rPr>
          <w:rStyle w:val="FootnoteReference"/>
          <w:rFonts w:asciiTheme="majorHAnsi" w:hAnsiTheme="majorHAnsi" w:cstheme="majorHAnsi"/>
          <w:b/>
          <w:bCs/>
        </w:rPr>
        <w:footnoteReference w:id="78"/>
      </w:r>
      <w:r w:rsidR="00265EC1" w:rsidRPr="00A33AE8">
        <w:rPr>
          <w:rFonts w:asciiTheme="majorHAnsi" w:hAnsiTheme="majorHAnsi" w:cstheme="majorHAnsi"/>
          <w:lang w:val="en-GB"/>
        </w:rPr>
        <w:t xml:space="preserve"> which defines that crude oil for the purposes of forming mandatory reserves is procured in a quality whose parameters meet the conditions established by the Rules on the operation of the oil transport system by oil pipeline, as well as that mandatory reserves can be renewed by exchange, sale and purchase. Also, the </w:t>
      </w:r>
      <w:r w:rsidR="00265EC1" w:rsidRPr="00A33AE8">
        <w:rPr>
          <w:rFonts w:asciiTheme="majorHAnsi" w:hAnsiTheme="majorHAnsi" w:cstheme="majorHAnsi"/>
          <w:b/>
          <w:bCs/>
          <w:lang w:val="en-GB"/>
        </w:rPr>
        <w:t>Rulebook on establishing the Annual Program for the formation and maintenance of mandatory oil reserves for 2021</w:t>
      </w:r>
      <w:r w:rsidR="00265EC1" w:rsidRPr="00A33AE8">
        <w:rPr>
          <w:rStyle w:val="FootnoteReference"/>
          <w:rFonts w:asciiTheme="majorHAnsi" w:hAnsiTheme="majorHAnsi" w:cstheme="majorHAnsi"/>
          <w:b/>
          <w:bCs/>
        </w:rPr>
        <w:footnoteReference w:id="79"/>
      </w:r>
      <w:r w:rsidR="00265EC1" w:rsidRPr="00A33AE8">
        <w:rPr>
          <w:rFonts w:asciiTheme="majorHAnsi" w:hAnsiTheme="majorHAnsi" w:cstheme="majorHAnsi"/>
          <w:lang w:val="en-GB"/>
        </w:rPr>
        <w:t xml:space="preserve"> was adopted.</w:t>
      </w:r>
    </w:p>
    <w:p w14:paraId="71D7EA35" w14:textId="6E316661"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In accordance to the provisions of Article 315 of the Law on Energy </w:t>
      </w:r>
      <w:r w:rsidR="008D1120" w:rsidRPr="00A33AE8">
        <w:rPr>
          <w:rFonts w:asciiTheme="majorHAnsi" w:hAnsiTheme="majorHAnsi" w:cstheme="majorHAnsi"/>
          <w:lang w:val="en-GB"/>
        </w:rPr>
        <w:t>stipulating the</w:t>
      </w:r>
      <w:r w:rsidRPr="00A33AE8">
        <w:rPr>
          <w:rFonts w:asciiTheme="majorHAnsi" w:hAnsiTheme="majorHAnsi" w:cstheme="majorHAnsi"/>
          <w:lang w:val="en-GB"/>
        </w:rPr>
        <w:t xml:space="preserve"> adopt</w:t>
      </w:r>
      <w:r w:rsidR="008D1120" w:rsidRPr="00A33AE8">
        <w:rPr>
          <w:rFonts w:asciiTheme="majorHAnsi" w:hAnsiTheme="majorHAnsi" w:cstheme="majorHAnsi"/>
          <w:lang w:val="en-GB"/>
        </w:rPr>
        <w:t>ion of</w:t>
      </w:r>
      <w:r w:rsidRPr="00A33AE8">
        <w:rPr>
          <w:rFonts w:asciiTheme="majorHAnsi" w:hAnsiTheme="majorHAnsi" w:cstheme="majorHAnsi"/>
          <w:lang w:val="en-GB"/>
        </w:rPr>
        <w:t xml:space="preserve"> a Preventive Action Plan and Emergency Plan in order to ensure the security of natural gas supply,</w:t>
      </w:r>
      <w:r w:rsidR="008D1120" w:rsidRPr="00A33AE8">
        <w:rPr>
          <w:rFonts w:asciiTheme="majorHAnsi" w:hAnsiTheme="majorHAnsi" w:cstheme="majorHAnsi"/>
          <w:lang w:val="en-GB"/>
        </w:rPr>
        <w:t xml:space="preserve"> as well as</w:t>
      </w:r>
      <w:r w:rsidRPr="00A33AE8">
        <w:rPr>
          <w:rFonts w:asciiTheme="majorHAnsi" w:hAnsiTheme="majorHAnsi" w:cstheme="majorHAnsi"/>
          <w:lang w:val="en-GB"/>
        </w:rPr>
        <w:t xml:space="preserve"> in accordance to the provisions of the </w:t>
      </w:r>
      <w:r w:rsidRPr="00A33AE8">
        <w:rPr>
          <w:rFonts w:asciiTheme="majorHAnsi" w:hAnsiTheme="majorHAnsi" w:cstheme="majorHAnsi"/>
          <w:b/>
          <w:bCs/>
          <w:lang w:val="en-GB"/>
        </w:rPr>
        <w:t>Decree on establishment of Preventive action plan for safeguarding of security of natural gas supply</w:t>
      </w:r>
      <w:r w:rsidRPr="00A33AE8">
        <w:rPr>
          <w:rStyle w:val="FootnoteReference"/>
          <w:rFonts w:asciiTheme="majorHAnsi" w:hAnsiTheme="majorHAnsi" w:cstheme="majorHAnsi"/>
        </w:rPr>
        <w:footnoteReference w:id="80"/>
      </w:r>
      <w:r w:rsidRPr="00A33AE8">
        <w:rPr>
          <w:rFonts w:asciiTheme="majorHAnsi" w:hAnsiTheme="majorHAnsi" w:cstheme="majorHAnsi"/>
          <w:lang w:val="en-GB"/>
        </w:rPr>
        <w:t xml:space="preserve"> and </w:t>
      </w:r>
      <w:r w:rsidRPr="00A33AE8">
        <w:rPr>
          <w:rFonts w:asciiTheme="majorHAnsi" w:hAnsiTheme="majorHAnsi" w:cstheme="majorHAnsi"/>
          <w:b/>
          <w:bCs/>
          <w:lang w:val="en-GB"/>
        </w:rPr>
        <w:t>Decree on establishment of Emergency plan for safeguarding of security of natural gas supply</w:t>
      </w:r>
      <w:r w:rsidRPr="00A33AE8">
        <w:rPr>
          <w:rStyle w:val="FootnoteReference"/>
          <w:rFonts w:asciiTheme="majorHAnsi" w:hAnsiTheme="majorHAnsi" w:cstheme="majorHAnsi"/>
        </w:rPr>
        <w:footnoteReference w:id="81"/>
      </w:r>
      <w:r w:rsidRPr="00A33AE8">
        <w:rPr>
          <w:rFonts w:asciiTheme="majorHAnsi" w:hAnsiTheme="majorHAnsi" w:cstheme="majorHAnsi"/>
          <w:lang w:val="en-GB"/>
        </w:rPr>
        <w:t xml:space="preserve">, Republic of Serbia has developed the </w:t>
      </w:r>
      <w:r w:rsidRPr="00A33AE8">
        <w:rPr>
          <w:rFonts w:asciiTheme="majorHAnsi" w:hAnsiTheme="majorHAnsi" w:cstheme="majorHAnsi"/>
          <w:b/>
          <w:bCs/>
          <w:lang w:val="en-GB"/>
        </w:rPr>
        <w:t>Emergency Plan for safeguarding of security of natural gas supply</w:t>
      </w:r>
      <w:r w:rsidRPr="00A33AE8">
        <w:rPr>
          <w:rFonts w:asciiTheme="majorHAnsi" w:hAnsiTheme="majorHAnsi" w:cstheme="majorHAnsi"/>
          <w:lang w:val="en-GB"/>
        </w:rPr>
        <w:t xml:space="preserve"> and </w:t>
      </w:r>
      <w:r w:rsidRPr="00A33AE8">
        <w:rPr>
          <w:rFonts w:asciiTheme="majorHAnsi" w:hAnsiTheme="majorHAnsi" w:cstheme="majorHAnsi"/>
          <w:b/>
          <w:bCs/>
          <w:lang w:val="en-GB"/>
        </w:rPr>
        <w:t>Preventive Action Plan for safeguarding of security of natural gas supply</w:t>
      </w:r>
      <w:r w:rsidRPr="00A33AE8">
        <w:rPr>
          <w:rFonts w:asciiTheme="majorHAnsi" w:hAnsiTheme="majorHAnsi" w:cstheme="majorHAnsi"/>
          <w:lang w:val="en-GB"/>
        </w:rPr>
        <w:t>. The Emergency plan determines measures</w:t>
      </w:r>
      <w:r w:rsidR="008D1120" w:rsidRPr="00A33AE8">
        <w:rPr>
          <w:rFonts w:asciiTheme="majorHAnsi" w:hAnsiTheme="majorHAnsi" w:cstheme="majorHAnsi"/>
          <w:lang w:val="en-GB"/>
        </w:rPr>
        <w:t xml:space="preserve"> and</w:t>
      </w:r>
      <w:r w:rsidRPr="00A33AE8">
        <w:rPr>
          <w:rFonts w:asciiTheme="majorHAnsi" w:hAnsiTheme="majorHAnsi" w:cstheme="majorHAnsi"/>
          <w:lang w:val="en-GB"/>
        </w:rPr>
        <w:t xml:space="preserve"> energy service companies </w:t>
      </w:r>
      <w:r w:rsidR="008D1120" w:rsidRPr="00A33AE8">
        <w:rPr>
          <w:rFonts w:asciiTheme="majorHAnsi" w:hAnsiTheme="majorHAnsi" w:cstheme="majorHAnsi"/>
          <w:lang w:val="en-GB"/>
        </w:rPr>
        <w:t xml:space="preserve">that </w:t>
      </w:r>
      <w:r w:rsidRPr="00A33AE8">
        <w:rPr>
          <w:rFonts w:asciiTheme="majorHAnsi" w:hAnsiTheme="majorHAnsi" w:cstheme="majorHAnsi"/>
          <w:lang w:val="en-GB"/>
        </w:rPr>
        <w:t xml:space="preserve">will be responsible for ensuring the security of the transmission system and the security of supply of certain groups of end customers, </w:t>
      </w:r>
      <w:r w:rsidR="008D1120" w:rsidRPr="00A33AE8">
        <w:rPr>
          <w:rFonts w:asciiTheme="majorHAnsi" w:hAnsiTheme="majorHAnsi" w:cstheme="majorHAnsi"/>
          <w:lang w:val="en-GB"/>
        </w:rPr>
        <w:t xml:space="preserve">as well as </w:t>
      </w:r>
      <w:r w:rsidRPr="00A33AE8">
        <w:rPr>
          <w:rFonts w:asciiTheme="majorHAnsi" w:hAnsiTheme="majorHAnsi" w:cstheme="majorHAnsi"/>
          <w:lang w:val="en-GB"/>
        </w:rPr>
        <w:t>the quantity and capacity of natural gas in case of general shortage of natural gas. The Preventive Action plan contains a risk assessment in terms of achieving security of supply</w:t>
      </w:r>
      <w:r w:rsidR="00BA3C02" w:rsidRPr="00A33AE8">
        <w:rPr>
          <w:rFonts w:asciiTheme="majorHAnsi" w:hAnsiTheme="majorHAnsi" w:cstheme="majorHAnsi"/>
          <w:lang w:val="en-GB"/>
        </w:rPr>
        <w:t xml:space="preserve"> in addition </w:t>
      </w:r>
      <w:r w:rsidR="001A63CB" w:rsidRPr="00A33AE8">
        <w:rPr>
          <w:rFonts w:asciiTheme="majorHAnsi" w:hAnsiTheme="majorHAnsi" w:cstheme="majorHAnsi"/>
          <w:lang w:val="en-GB"/>
        </w:rPr>
        <w:t xml:space="preserve">to </w:t>
      </w:r>
      <w:r w:rsidRPr="00A33AE8">
        <w:rPr>
          <w:rFonts w:asciiTheme="majorHAnsi" w:hAnsiTheme="majorHAnsi" w:cstheme="majorHAnsi"/>
          <w:lang w:val="en-GB"/>
        </w:rPr>
        <w:t xml:space="preserve">measures </w:t>
      </w:r>
      <w:r w:rsidR="001A63CB" w:rsidRPr="00A33AE8">
        <w:rPr>
          <w:rFonts w:asciiTheme="majorHAnsi" w:hAnsiTheme="majorHAnsi" w:cstheme="majorHAnsi"/>
          <w:lang w:val="en-GB"/>
        </w:rPr>
        <w:t xml:space="preserve">on how to </w:t>
      </w:r>
      <w:r w:rsidRPr="00A33AE8">
        <w:rPr>
          <w:rFonts w:asciiTheme="majorHAnsi" w:hAnsiTheme="majorHAnsi" w:cstheme="majorHAnsi"/>
          <w:lang w:val="en-GB"/>
        </w:rPr>
        <w:t xml:space="preserve">mitigate the identified </w:t>
      </w:r>
      <w:r w:rsidRPr="00A33AE8">
        <w:rPr>
          <w:rFonts w:asciiTheme="majorHAnsi" w:hAnsiTheme="majorHAnsi" w:cstheme="majorHAnsi"/>
          <w:lang w:val="en-GB"/>
        </w:rPr>
        <w:lastRenderedPageBreak/>
        <w:t>risks related to the required transportation capacity in order to meet the total demand for natural gas and to secure the supply of certain groups of final customers of natural gas.</w:t>
      </w:r>
    </w:p>
    <w:p w14:paraId="0340E7EC" w14:textId="78318874"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Pursuant to Article 18, paragraph 3 of the Law on Commodity Reserves, </w:t>
      </w:r>
      <w:r w:rsidR="00BA3C02" w:rsidRPr="00A33AE8">
        <w:rPr>
          <w:rFonts w:asciiTheme="majorHAnsi" w:hAnsiTheme="majorHAnsi" w:cstheme="majorHAnsi"/>
          <w:lang w:val="en-GB"/>
        </w:rPr>
        <w:t xml:space="preserve">the </w:t>
      </w:r>
      <w:r w:rsidR="000744B6" w:rsidRPr="00A33AE8">
        <w:rPr>
          <w:rFonts w:asciiTheme="majorHAnsi" w:hAnsiTheme="majorHAnsi" w:cstheme="majorHAnsi"/>
          <w:lang w:val="en-GB"/>
        </w:rPr>
        <w:t>MoME</w:t>
      </w:r>
      <w:r w:rsidRPr="00A33AE8">
        <w:rPr>
          <w:rFonts w:asciiTheme="majorHAnsi" w:hAnsiTheme="majorHAnsi" w:cstheme="majorHAnsi"/>
          <w:lang w:val="en-GB"/>
        </w:rPr>
        <w:t xml:space="preserve"> adopts</w:t>
      </w:r>
      <w:r w:rsidRPr="00A33AE8">
        <w:rPr>
          <w:rFonts w:asciiTheme="majorHAnsi" w:hAnsiTheme="majorHAnsi" w:cstheme="majorHAnsi"/>
          <w:b/>
          <w:bCs/>
          <w:lang w:val="en-GB"/>
        </w:rPr>
        <w:t xml:space="preserve"> Rulebook on determining the Annual Program for the Formation and Maintenance of Mandatory Reserves of Petroleum and Petroleum Products for 2020</w:t>
      </w:r>
      <w:r w:rsidRPr="00A33AE8">
        <w:rPr>
          <w:rStyle w:val="FootnoteReference"/>
          <w:rFonts w:asciiTheme="majorHAnsi" w:hAnsiTheme="majorHAnsi" w:cstheme="majorHAnsi"/>
        </w:rPr>
        <w:footnoteReference w:id="82"/>
      </w:r>
      <w:r w:rsidRPr="00A33AE8">
        <w:rPr>
          <w:rFonts w:asciiTheme="majorHAnsi" w:hAnsiTheme="majorHAnsi" w:cstheme="majorHAnsi"/>
          <w:lang w:val="en-GB"/>
        </w:rPr>
        <w:t>on the regular annual basis.</w:t>
      </w:r>
      <w:r w:rsidR="0019293C" w:rsidRPr="000007D2">
        <w:rPr>
          <w:rFonts w:asciiTheme="majorHAnsi" w:hAnsiTheme="majorHAnsi" w:cstheme="majorHAnsi"/>
          <w:lang w:val="en-GB"/>
        </w:rPr>
        <w:t xml:space="preserve"> </w:t>
      </w:r>
      <w:r w:rsidR="00790D18" w:rsidRPr="00A33AE8">
        <w:rPr>
          <w:rFonts w:asciiTheme="majorHAnsi" w:hAnsiTheme="majorHAnsi" w:cstheme="majorHAnsi"/>
          <w:bCs/>
          <w:lang w:val="en-GB"/>
        </w:rPr>
        <w:t>To this end,</w:t>
      </w:r>
      <w:r w:rsidR="0019293C" w:rsidRPr="000007D2">
        <w:rPr>
          <w:rFonts w:asciiTheme="majorHAnsi" w:hAnsiTheme="majorHAnsi" w:cstheme="majorHAnsi"/>
          <w:bCs/>
          <w:lang w:val="en-GB"/>
        </w:rPr>
        <w:t xml:space="preserve"> </w:t>
      </w:r>
      <w:r w:rsidRPr="00A33AE8">
        <w:rPr>
          <w:rFonts w:asciiTheme="majorHAnsi" w:hAnsiTheme="majorHAnsi" w:cstheme="majorHAnsi"/>
          <w:lang w:val="en-GB"/>
        </w:rPr>
        <w:t>Serbia adopted a long-term plan to establish and maintain emergency oil stock</w:t>
      </w:r>
      <w:r w:rsidR="00CE5CD1" w:rsidRPr="00A33AE8">
        <w:rPr>
          <w:rFonts w:asciiTheme="majorHAnsi" w:hAnsiTheme="majorHAnsi" w:cstheme="majorHAnsi"/>
          <w:lang w:val="en-GB"/>
        </w:rPr>
        <w:t xml:space="preserve">s in 2018 and </w:t>
      </w:r>
      <w:r w:rsidRPr="00A33AE8">
        <w:rPr>
          <w:rFonts w:asciiTheme="majorHAnsi" w:hAnsiTheme="majorHAnsi" w:cstheme="majorHAnsi"/>
          <w:lang w:val="en-GB"/>
        </w:rPr>
        <w:t xml:space="preserve">the </w:t>
      </w:r>
      <w:r w:rsidRPr="00A33AE8">
        <w:rPr>
          <w:rFonts w:asciiTheme="majorHAnsi" w:hAnsiTheme="majorHAnsi" w:cstheme="majorHAnsi"/>
          <w:b/>
          <w:bCs/>
          <w:lang w:val="en-GB"/>
        </w:rPr>
        <w:t>Emergency Response Plan</w:t>
      </w:r>
      <w:r w:rsidRPr="00A33AE8">
        <w:rPr>
          <w:rStyle w:val="FootnoteReference"/>
          <w:rFonts w:asciiTheme="majorHAnsi" w:hAnsiTheme="majorHAnsi" w:cstheme="majorHAnsi"/>
          <w:b/>
          <w:bCs/>
        </w:rPr>
        <w:footnoteReference w:id="83"/>
      </w:r>
      <w:r w:rsidR="00CE5CD1" w:rsidRPr="00A33AE8">
        <w:rPr>
          <w:rFonts w:asciiTheme="majorHAnsi" w:hAnsiTheme="majorHAnsi" w:cstheme="majorHAnsi"/>
          <w:lang w:val="en-GB"/>
        </w:rPr>
        <w:t xml:space="preserve">in 2019. The latter </w:t>
      </w:r>
      <w:r w:rsidRPr="00A33AE8">
        <w:rPr>
          <w:rFonts w:asciiTheme="majorHAnsi" w:hAnsiTheme="majorHAnsi" w:cstheme="majorHAnsi"/>
          <w:lang w:val="en-GB"/>
        </w:rPr>
        <w:t>lays out the procedures and steps to be undertaken by the main entities in Serbia responsible for taking action during an oil supply crisis</w:t>
      </w:r>
      <w:r w:rsidR="00CE5CD1" w:rsidRPr="00A33AE8">
        <w:rPr>
          <w:rFonts w:asciiTheme="majorHAnsi" w:hAnsiTheme="majorHAnsi" w:cstheme="majorHAnsi"/>
          <w:lang w:val="en-GB"/>
        </w:rPr>
        <w:t xml:space="preserve">. Those include </w:t>
      </w:r>
      <w:r w:rsidRPr="00A33AE8">
        <w:rPr>
          <w:rFonts w:asciiTheme="majorHAnsi" w:hAnsiTheme="majorHAnsi" w:cstheme="majorHAnsi"/>
          <w:lang w:val="en-GB"/>
        </w:rPr>
        <w:t>the procedures and criteria for the identification of a supply disruption</w:t>
      </w:r>
      <w:r w:rsidR="00CE5CD1" w:rsidRPr="00A33AE8">
        <w:rPr>
          <w:rFonts w:asciiTheme="majorHAnsi" w:hAnsiTheme="majorHAnsi" w:cstheme="majorHAnsi"/>
          <w:lang w:val="en-GB"/>
        </w:rPr>
        <w:t xml:space="preserve"> and </w:t>
      </w:r>
      <w:r w:rsidRPr="00A33AE8">
        <w:rPr>
          <w:rFonts w:asciiTheme="majorHAnsi" w:hAnsiTheme="majorHAnsi" w:cstheme="majorHAnsi"/>
          <w:lang w:val="en-GB"/>
        </w:rPr>
        <w:t>the normalization of supply to the Serbian market</w:t>
      </w:r>
      <w:r w:rsidR="00CE5CD1" w:rsidRPr="00A33AE8">
        <w:rPr>
          <w:rFonts w:asciiTheme="majorHAnsi" w:hAnsiTheme="majorHAnsi" w:cstheme="majorHAnsi"/>
          <w:lang w:val="en-GB"/>
        </w:rPr>
        <w:t>. It also</w:t>
      </w:r>
      <w:r w:rsidRPr="00A33AE8">
        <w:rPr>
          <w:rFonts w:asciiTheme="majorHAnsi" w:hAnsiTheme="majorHAnsi" w:cstheme="majorHAnsi"/>
          <w:lang w:val="en-GB"/>
        </w:rPr>
        <w:t xml:space="preserve"> appoints the authorit</w:t>
      </w:r>
      <w:r w:rsidR="00256A2F" w:rsidRPr="00A33AE8">
        <w:rPr>
          <w:rFonts w:asciiTheme="majorHAnsi" w:hAnsiTheme="majorHAnsi" w:cstheme="majorHAnsi"/>
          <w:lang w:val="en-GB"/>
        </w:rPr>
        <w:t>ies</w:t>
      </w:r>
      <w:r w:rsidR="0019293C" w:rsidRPr="000007D2">
        <w:rPr>
          <w:rFonts w:asciiTheme="majorHAnsi" w:hAnsiTheme="majorHAnsi" w:cstheme="majorHAnsi"/>
          <w:lang w:val="en-GB"/>
        </w:rPr>
        <w:t xml:space="preserve"> </w:t>
      </w:r>
      <w:r w:rsidR="00CE5CD1" w:rsidRPr="00A33AE8">
        <w:rPr>
          <w:rFonts w:asciiTheme="majorHAnsi" w:hAnsiTheme="majorHAnsi" w:cstheme="majorHAnsi"/>
          <w:lang w:val="en-GB"/>
        </w:rPr>
        <w:t>being responsible</w:t>
      </w:r>
      <w:r w:rsidRPr="00A33AE8">
        <w:rPr>
          <w:rFonts w:asciiTheme="majorHAnsi" w:hAnsiTheme="majorHAnsi" w:cstheme="majorHAnsi"/>
          <w:lang w:val="en-GB"/>
        </w:rPr>
        <w:t xml:space="preserve"> for eliminating supply disruptions</w:t>
      </w:r>
      <w:r w:rsidR="00256A2F" w:rsidRPr="00A33AE8">
        <w:rPr>
          <w:rFonts w:asciiTheme="majorHAnsi" w:hAnsiTheme="majorHAnsi" w:cstheme="majorHAnsi"/>
          <w:lang w:val="en-GB"/>
        </w:rPr>
        <w:t xml:space="preserve"> such as Governmental institutions in charge of energy and public and private entities in the oil and gas industry. </w:t>
      </w:r>
      <w:r w:rsidRPr="00A33AE8">
        <w:rPr>
          <w:rFonts w:asciiTheme="majorHAnsi" w:hAnsiTheme="majorHAnsi" w:cstheme="majorHAnsi"/>
          <w:lang w:val="en-GB"/>
        </w:rPr>
        <w:t xml:space="preserve">In 2019, the Ministry of Mining and Energy submitted the </w:t>
      </w:r>
      <w:r w:rsidRPr="00A33AE8">
        <w:rPr>
          <w:rFonts w:asciiTheme="majorHAnsi" w:hAnsiTheme="majorHAnsi" w:cstheme="majorHAnsi"/>
          <w:b/>
          <w:bCs/>
          <w:lang w:val="en-GB"/>
        </w:rPr>
        <w:t>Security of Supply Statement 2018</w:t>
      </w:r>
      <w:r w:rsidRPr="00A33AE8">
        <w:rPr>
          <w:rFonts w:asciiTheme="majorHAnsi" w:hAnsiTheme="majorHAnsi" w:cstheme="majorHAnsi"/>
          <w:lang w:val="en-GB"/>
        </w:rPr>
        <w:t xml:space="preserve"> to the Energy Community Secretariat.</w:t>
      </w:r>
    </w:p>
    <w:p w14:paraId="6C0DF52A"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The </w:t>
      </w:r>
      <w:r w:rsidRPr="00A33AE8">
        <w:rPr>
          <w:rFonts w:asciiTheme="majorHAnsi" w:hAnsiTheme="majorHAnsi" w:cstheme="majorHAnsi"/>
          <w:b/>
          <w:bCs/>
          <w:lang w:val="en-GB"/>
        </w:rPr>
        <w:t xml:space="preserve">Working Group </w:t>
      </w:r>
      <w:r w:rsidR="006535BC" w:rsidRPr="00A33AE8">
        <w:rPr>
          <w:rFonts w:asciiTheme="majorHAnsi" w:hAnsiTheme="majorHAnsi" w:cstheme="majorHAnsi"/>
          <w:b/>
          <w:bCs/>
          <w:lang w:val="en-GB"/>
        </w:rPr>
        <w:t xml:space="preserve">(WG) </w:t>
      </w:r>
      <w:r w:rsidRPr="00A33AE8">
        <w:rPr>
          <w:rFonts w:asciiTheme="majorHAnsi" w:hAnsiTheme="majorHAnsi" w:cstheme="majorHAnsi"/>
          <w:b/>
          <w:bCs/>
          <w:lang w:val="en-GB"/>
        </w:rPr>
        <w:t>for the review and monitoring the situation regarding security of energy and fuels supply</w:t>
      </w:r>
      <w:r w:rsidRPr="00A33AE8">
        <w:rPr>
          <w:rFonts w:asciiTheme="majorHAnsi" w:hAnsiTheme="majorHAnsi" w:cstheme="majorHAnsi"/>
          <w:lang w:val="en-GB"/>
        </w:rPr>
        <w:t xml:space="preserve"> in the Republic of Serbia has been </w:t>
      </w:r>
      <w:r w:rsidR="00F10A58" w:rsidRPr="00A33AE8">
        <w:rPr>
          <w:rFonts w:asciiTheme="majorHAnsi" w:hAnsiTheme="majorHAnsi" w:cstheme="majorHAnsi"/>
          <w:lang w:val="en-GB"/>
        </w:rPr>
        <w:t xml:space="preserve">appointed by the Ministry of Mining and Energy and operates </w:t>
      </w:r>
      <w:r w:rsidRPr="00A33AE8">
        <w:rPr>
          <w:rFonts w:asciiTheme="majorHAnsi" w:hAnsiTheme="majorHAnsi" w:cstheme="majorHAnsi"/>
          <w:lang w:val="en-GB"/>
        </w:rPr>
        <w:t xml:space="preserve">since 2005. It consists of the representatives of Ministry in charge of energy, Energy Agency of the Republic of Serbia (AERS), </w:t>
      </w:r>
      <w:r w:rsidR="00427057" w:rsidRPr="00A33AE8">
        <w:rPr>
          <w:rFonts w:asciiTheme="majorHAnsi" w:hAnsiTheme="majorHAnsi" w:cstheme="majorHAnsi"/>
          <w:lang w:val="en-GB"/>
        </w:rPr>
        <w:t>JSC</w:t>
      </w:r>
      <w:r w:rsidRPr="00A33AE8">
        <w:rPr>
          <w:rFonts w:asciiTheme="majorHAnsi" w:hAnsiTheme="majorHAnsi" w:cstheme="majorHAnsi"/>
          <w:lang w:val="en-GB"/>
        </w:rPr>
        <w:t xml:space="preserve"> EPS, JSC EMS, PE Srbijagas, JSC NIS, Serbian Association of heating plants, Provincial Secretariat for Energy and Mineral Resources, Energy Administration of the Belgrade city, and "JKP Beogradske elektrane </w:t>
      </w:r>
      <w:r w:rsidR="00B97FE2" w:rsidRPr="00A33AE8">
        <w:rPr>
          <w:rFonts w:asciiTheme="majorHAnsi" w:hAnsiTheme="majorHAnsi" w:cstheme="majorHAnsi"/>
          <w:lang w:val="en-GB"/>
        </w:rPr>
        <w:t>Beograd”. Its</w:t>
      </w:r>
      <w:r w:rsidR="00F10A58" w:rsidRPr="00A33AE8">
        <w:rPr>
          <w:rFonts w:asciiTheme="majorHAnsi" w:hAnsiTheme="majorHAnsi" w:cstheme="majorHAnsi"/>
          <w:lang w:val="en-GB"/>
        </w:rPr>
        <w:t xml:space="preserve"> mandate is to </w:t>
      </w:r>
      <w:r w:rsidRPr="00A33AE8">
        <w:rPr>
          <w:rFonts w:asciiTheme="majorHAnsi" w:hAnsiTheme="majorHAnsi" w:cstheme="majorHAnsi"/>
          <w:lang w:val="en-GB"/>
        </w:rPr>
        <w:t xml:space="preserve">monitor the security of energy and energy sources supply, </w:t>
      </w:r>
      <w:r w:rsidR="00655C77" w:rsidRPr="00A33AE8">
        <w:rPr>
          <w:rFonts w:asciiTheme="majorHAnsi" w:hAnsiTheme="majorHAnsi" w:cstheme="majorHAnsi"/>
          <w:lang w:val="en-GB"/>
        </w:rPr>
        <w:t xml:space="preserve">propose </w:t>
      </w:r>
      <w:r w:rsidRPr="00A33AE8">
        <w:rPr>
          <w:rFonts w:asciiTheme="majorHAnsi" w:hAnsiTheme="majorHAnsi" w:cstheme="majorHAnsi"/>
          <w:lang w:val="en-GB"/>
        </w:rPr>
        <w:t xml:space="preserve">appropriate measures, </w:t>
      </w:r>
      <w:r w:rsidR="00655C77" w:rsidRPr="00A33AE8">
        <w:rPr>
          <w:rFonts w:asciiTheme="majorHAnsi" w:hAnsiTheme="majorHAnsi" w:cstheme="majorHAnsi"/>
          <w:lang w:val="en-GB"/>
        </w:rPr>
        <w:t xml:space="preserve">prepare </w:t>
      </w:r>
      <w:r w:rsidRPr="00A33AE8">
        <w:rPr>
          <w:rFonts w:asciiTheme="majorHAnsi" w:hAnsiTheme="majorHAnsi" w:cstheme="majorHAnsi"/>
          <w:lang w:val="en-GB"/>
        </w:rPr>
        <w:t xml:space="preserve">the basis for a report on the security of electricity and natural gas supply and </w:t>
      </w:r>
      <w:r w:rsidR="00655C77" w:rsidRPr="00A33AE8">
        <w:rPr>
          <w:rFonts w:asciiTheme="majorHAnsi" w:hAnsiTheme="majorHAnsi" w:cstheme="majorHAnsi"/>
          <w:lang w:val="en-GB"/>
        </w:rPr>
        <w:t xml:space="preserve">propose </w:t>
      </w:r>
      <w:r w:rsidRPr="00A33AE8">
        <w:rPr>
          <w:rFonts w:asciiTheme="majorHAnsi" w:hAnsiTheme="majorHAnsi" w:cstheme="majorHAnsi"/>
          <w:lang w:val="en-GB"/>
        </w:rPr>
        <w:t xml:space="preserve">measures in case </w:t>
      </w:r>
      <w:r w:rsidR="00655C77" w:rsidRPr="00A33AE8">
        <w:rPr>
          <w:rFonts w:asciiTheme="majorHAnsi" w:hAnsiTheme="majorHAnsi" w:cstheme="majorHAnsi"/>
          <w:lang w:val="en-GB"/>
        </w:rPr>
        <w:t xml:space="preserve">of </w:t>
      </w:r>
      <w:r w:rsidRPr="00A33AE8">
        <w:rPr>
          <w:rFonts w:asciiTheme="majorHAnsi" w:hAnsiTheme="majorHAnsi" w:cstheme="majorHAnsi"/>
          <w:lang w:val="en-GB"/>
        </w:rPr>
        <w:t>compromised security of customer supply or energy system operation, due to insufficient supply on the energy market or the occurrence of other extraordinary circumstances.</w:t>
      </w:r>
    </w:p>
    <w:p w14:paraId="6E834172" w14:textId="5CE20768"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Other relevant bodies in charge of energy security are </w:t>
      </w:r>
      <w:r w:rsidR="0094320E" w:rsidRPr="00A33AE8">
        <w:rPr>
          <w:rFonts w:asciiTheme="majorHAnsi" w:hAnsiTheme="majorHAnsi" w:cstheme="majorHAnsi"/>
          <w:lang w:val="en-GB"/>
        </w:rPr>
        <w:t xml:space="preserve">the </w:t>
      </w:r>
      <w:r w:rsidRPr="00A33AE8">
        <w:rPr>
          <w:rFonts w:asciiTheme="majorHAnsi" w:hAnsiTheme="majorHAnsi" w:cstheme="majorHAnsi"/>
          <w:b/>
          <w:bCs/>
          <w:lang w:val="en-GB"/>
        </w:rPr>
        <w:t>Administration for energy reserves</w:t>
      </w:r>
      <w:r w:rsidRPr="00A33AE8">
        <w:rPr>
          <w:rFonts w:asciiTheme="majorHAnsi" w:hAnsiTheme="majorHAnsi" w:cstheme="majorHAnsi"/>
          <w:lang w:val="en-GB"/>
        </w:rPr>
        <w:t xml:space="preserve"> within the </w:t>
      </w:r>
      <w:r w:rsidR="00D946F9" w:rsidRPr="00A33AE8">
        <w:rPr>
          <w:rFonts w:asciiTheme="majorHAnsi" w:hAnsiTheme="majorHAnsi" w:cstheme="majorHAnsi"/>
          <w:lang w:val="en-GB"/>
        </w:rPr>
        <w:t>MoME</w:t>
      </w:r>
      <w:r w:rsidR="00387367" w:rsidRPr="00A33AE8">
        <w:rPr>
          <w:rFonts w:asciiTheme="majorHAnsi" w:hAnsiTheme="majorHAnsi" w:cstheme="majorHAnsi"/>
          <w:lang w:val="en-GB"/>
        </w:rPr>
        <w:t xml:space="preserve"> and the</w:t>
      </w:r>
      <w:r w:rsidRPr="00A33AE8">
        <w:rPr>
          <w:rFonts w:asciiTheme="majorHAnsi" w:hAnsiTheme="majorHAnsi" w:cstheme="majorHAnsi"/>
          <w:lang w:val="en-GB"/>
        </w:rPr>
        <w:t xml:space="preserve"> specific</w:t>
      </w:r>
      <w:r w:rsidR="00387367" w:rsidRPr="00A33AE8">
        <w:rPr>
          <w:rFonts w:asciiTheme="majorHAnsi" w:hAnsiTheme="majorHAnsi" w:cstheme="majorHAnsi"/>
          <w:lang w:val="en-GB"/>
        </w:rPr>
        <w:t>ally</w:t>
      </w:r>
      <w:r w:rsidRPr="00A33AE8">
        <w:rPr>
          <w:rFonts w:asciiTheme="majorHAnsi" w:hAnsiTheme="majorHAnsi" w:cstheme="majorHAnsi"/>
          <w:lang w:val="en-GB"/>
        </w:rPr>
        <w:t xml:space="preserve"> formed </w:t>
      </w:r>
      <w:r w:rsidRPr="00A33AE8">
        <w:rPr>
          <w:rFonts w:asciiTheme="majorHAnsi" w:hAnsiTheme="majorHAnsi" w:cstheme="majorHAnsi"/>
          <w:b/>
          <w:bCs/>
          <w:lang w:val="en-GB"/>
        </w:rPr>
        <w:t>Group for central storage body</w:t>
      </w:r>
      <w:r w:rsidRPr="00A33AE8">
        <w:rPr>
          <w:rFonts w:asciiTheme="majorHAnsi" w:hAnsiTheme="majorHAnsi" w:cstheme="majorHAnsi"/>
          <w:lang w:val="en-GB"/>
        </w:rPr>
        <w:t xml:space="preserve">, </w:t>
      </w:r>
      <w:r w:rsidR="00387367" w:rsidRPr="00A33AE8">
        <w:rPr>
          <w:rFonts w:asciiTheme="majorHAnsi" w:hAnsiTheme="majorHAnsi" w:cstheme="majorHAnsi"/>
          <w:lang w:val="en-GB"/>
        </w:rPr>
        <w:t xml:space="preserve">as well as the </w:t>
      </w:r>
      <w:r w:rsidRPr="00A33AE8">
        <w:rPr>
          <w:rFonts w:asciiTheme="majorHAnsi" w:hAnsiTheme="majorHAnsi" w:cstheme="majorHAnsi"/>
          <w:b/>
          <w:bCs/>
          <w:lang w:val="en-GB"/>
        </w:rPr>
        <w:t xml:space="preserve">Department for Energy </w:t>
      </w:r>
      <w:r w:rsidRPr="00A33AE8">
        <w:rPr>
          <w:rFonts w:asciiTheme="majorHAnsi" w:hAnsiTheme="majorHAnsi" w:cstheme="majorHAnsi"/>
          <w:lang w:val="en-GB"/>
        </w:rPr>
        <w:t>within the</w:t>
      </w:r>
      <w:r w:rsidRPr="00A33AE8">
        <w:rPr>
          <w:rFonts w:asciiTheme="majorHAnsi" w:hAnsiTheme="majorHAnsi" w:cstheme="majorHAnsi"/>
          <w:b/>
          <w:bCs/>
          <w:lang w:val="en-GB"/>
        </w:rPr>
        <w:t xml:space="preserve"> Republic Directorate for Commodity Reserves</w:t>
      </w:r>
      <w:r w:rsidRPr="00A33AE8">
        <w:rPr>
          <w:rFonts w:asciiTheme="majorHAnsi" w:hAnsiTheme="majorHAnsi" w:cstheme="majorHAnsi"/>
          <w:lang w:val="en-GB"/>
        </w:rPr>
        <w:t xml:space="preserve">. In line with the by-laws, Republic of Serbia has established the </w:t>
      </w:r>
      <w:r w:rsidRPr="00A33AE8">
        <w:rPr>
          <w:rFonts w:asciiTheme="majorHAnsi" w:hAnsiTheme="majorHAnsi" w:cstheme="majorHAnsi"/>
          <w:b/>
          <w:bCs/>
          <w:lang w:val="en-GB"/>
        </w:rPr>
        <w:t>National Emergency Strategy Organization (NESO)</w:t>
      </w:r>
      <w:r w:rsidRPr="00A33AE8">
        <w:rPr>
          <w:rFonts w:asciiTheme="majorHAnsi" w:hAnsiTheme="majorHAnsi" w:cstheme="majorHAnsi"/>
          <w:lang w:val="en-GB"/>
        </w:rPr>
        <w:t xml:space="preserve"> that </w:t>
      </w:r>
      <w:r w:rsidR="002371A1" w:rsidRPr="00A33AE8">
        <w:rPr>
          <w:rFonts w:asciiTheme="majorHAnsi" w:hAnsiTheme="majorHAnsi" w:cstheme="majorHAnsi"/>
          <w:lang w:val="en-GB"/>
        </w:rPr>
        <w:t>re</w:t>
      </w:r>
      <w:r w:rsidRPr="00A33AE8">
        <w:rPr>
          <w:rFonts w:asciiTheme="majorHAnsi" w:hAnsiTheme="majorHAnsi" w:cstheme="majorHAnsi"/>
          <w:lang w:val="en-GB"/>
        </w:rPr>
        <w:t xml:space="preserve">presents the general framework for dealing with crisis situations in the oil sector, chaired by the State Secretary of the </w:t>
      </w:r>
      <w:r w:rsidR="00D946F9" w:rsidRPr="00A33AE8">
        <w:rPr>
          <w:rFonts w:asciiTheme="majorHAnsi" w:hAnsiTheme="majorHAnsi" w:cstheme="majorHAnsi"/>
          <w:lang w:val="en-GB"/>
        </w:rPr>
        <w:t>MoME</w:t>
      </w:r>
      <w:r w:rsidRPr="00A33AE8">
        <w:rPr>
          <w:rFonts w:asciiTheme="majorHAnsi" w:hAnsiTheme="majorHAnsi" w:cstheme="majorHAnsi"/>
          <w:lang w:val="en-GB"/>
        </w:rPr>
        <w:t xml:space="preserve"> and consisted of representatives from the Oil and Gas Sector within the </w:t>
      </w:r>
      <w:r w:rsidR="00D946F9" w:rsidRPr="00A33AE8">
        <w:rPr>
          <w:rFonts w:asciiTheme="majorHAnsi" w:hAnsiTheme="majorHAnsi" w:cstheme="majorHAnsi"/>
          <w:lang w:val="en-GB"/>
        </w:rPr>
        <w:t>MoME</w:t>
      </w:r>
      <w:r w:rsidRPr="00A33AE8">
        <w:rPr>
          <w:rFonts w:asciiTheme="majorHAnsi" w:hAnsiTheme="majorHAnsi" w:cstheme="majorHAnsi"/>
          <w:lang w:val="en-GB"/>
        </w:rPr>
        <w:t xml:space="preserve">, as well as representatives from the Republic Directorate for Commodity Reserves, the Republic Bureau of Statistics, Ministry of Trade, Tourism and Telecommunications, Ministry of Finance, Ministry of Interior, </w:t>
      </w:r>
      <w:r w:rsidR="00B646F1" w:rsidRPr="00B646F1">
        <w:rPr>
          <w:rFonts w:asciiTheme="majorHAnsi" w:hAnsiTheme="majorHAnsi" w:cstheme="majorHAnsi"/>
          <w:lang w:val="en-GB"/>
        </w:rPr>
        <w:t>Ministry of Construction, Transport and Infrastructure</w:t>
      </w:r>
      <w:r w:rsidRPr="00A33AE8">
        <w:rPr>
          <w:rFonts w:asciiTheme="majorHAnsi" w:hAnsiTheme="majorHAnsi" w:cstheme="majorHAnsi"/>
          <w:lang w:val="en-GB"/>
        </w:rPr>
        <w:t xml:space="preserve"> and oil companies operating on the market of the Republic of Serbia.</w:t>
      </w:r>
    </w:p>
    <w:p w14:paraId="3C72A6A1" w14:textId="143C9DAB" w:rsidR="00D20861" w:rsidRDefault="00D20861" w:rsidP="00D20861">
      <w:pPr>
        <w:pStyle w:val="LDKbody"/>
        <w:rPr>
          <w:rFonts w:asciiTheme="majorHAnsi" w:hAnsiTheme="majorHAnsi" w:cstheme="majorHAnsi"/>
          <w:lang w:val="en-GB"/>
        </w:rPr>
      </w:pPr>
      <w:r w:rsidRPr="00A33AE8">
        <w:rPr>
          <w:rFonts w:asciiTheme="majorHAnsi" w:hAnsiTheme="majorHAnsi" w:cstheme="majorHAnsi"/>
          <w:lang w:val="en-GB"/>
        </w:rPr>
        <w:t xml:space="preserve">In accordance </w:t>
      </w:r>
      <w:r w:rsidR="0019293C" w:rsidRPr="000007D2">
        <w:rPr>
          <w:rFonts w:asciiTheme="majorHAnsi" w:hAnsiTheme="majorHAnsi" w:cstheme="majorHAnsi"/>
          <w:lang w:val="en-GB"/>
        </w:rPr>
        <w:t>with</w:t>
      </w:r>
      <w:r w:rsidR="0019293C" w:rsidRPr="00A33AE8">
        <w:rPr>
          <w:rFonts w:asciiTheme="majorHAnsi" w:hAnsiTheme="majorHAnsi" w:cstheme="majorHAnsi"/>
          <w:lang w:val="en-GB"/>
        </w:rPr>
        <w:t xml:space="preserve"> </w:t>
      </w:r>
      <w:r w:rsidRPr="00A33AE8">
        <w:rPr>
          <w:rFonts w:asciiTheme="majorHAnsi" w:hAnsiTheme="majorHAnsi" w:cstheme="majorHAnsi"/>
          <w:lang w:val="en-GB"/>
        </w:rPr>
        <w:t>the Articles 111 and 250 of the Law on Energy, the transmission system operators for electricity and natural gas are obliged to submit a ten-year</w:t>
      </w:r>
      <w:r w:rsidR="007F405B" w:rsidRPr="00A33AE8">
        <w:rPr>
          <w:rFonts w:asciiTheme="majorHAnsi" w:hAnsiTheme="majorHAnsi" w:cstheme="majorHAnsi"/>
          <w:lang w:val="en-GB"/>
        </w:rPr>
        <w:t xml:space="preserve"> (transmission) </w:t>
      </w:r>
      <w:r w:rsidRPr="00A33AE8">
        <w:rPr>
          <w:rFonts w:asciiTheme="majorHAnsi" w:hAnsiTheme="majorHAnsi" w:cstheme="majorHAnsi"/>
          <w:lang w:val="en-GB"/>
        </w:rPr>
        <w:t xml:space="preserve">network development plan </w:t>
      </w:r>
      <w:r w:rsidR="007F405B" w:rsidRPr="00A33AE8">
        <w:rPr>
          <w:rFonts w:asciiTheme="majorHAnsi" w:hAnsiTheme="majorHAnsi" w:cstheme="majorHAnsi"/>
          <w:lang w:val="en-GB"/>
        </w:rPr>
        <w:t xml:space="preserve">for which they are in charge </w:t>
      </w:r>
      <w:r w:rsidRPr="00A33AE8">
        <w:rPr>
          <w:rFonts w:asciiTheme="majorHAnsi" w:hAnsiTheme="majorHAnsi" w:cstheme="majorHAnsi"/>
          <w:lang w:val="en-GB"/>
        </w:rPr>
        <w:t>to the Regulator for approval. Regarding the network development planning in the natural gas sector, there are two crucial</w:t>
      </w:r>
      <w:r w:rsidR="00465885" w:rsidRPr="00A33AE8">
        <w:rPr>
          <w:rFonts w:asciiTheme="majorHAnsi" w:hAnsiTheme="majorHAnsi" w:cstheme="majorHAnsi"/>
          <w:lang w:val="en-GB"/>
        </w:rPr>
        <w:t xml:space="preserve"> ones</w:t>
      </w:r>
      <w:r w:rsidR="00B646F1">
        <w:rPr>
          <w:rFonts w:asciiTheme="majorHAnsi" w:hAnsiTheme="majorHAnsi" w:cstheme="majorHAnsi"/>
          <w:lang w:val="sr-Cyrl-RS"/>
        </w:rPr>
        <w:t>,</w:t>
      </w:r>
      <w:r w:rsidR="00465885" w:rsidRPr="00A33AE8">
        <w:rPr>
          <w:rFonts w:asciiTheme="majorHAnsi" w:hAnsiTheme="majorHAnsi" w:cstheme="majorHAnsi"/>
          <w:lang w:val="en-GB"/>
        </w:rPr>
        <w:t xml:space="preserve"> i.e. </w:t>
      </w:r>
      <w:r w:rsidRPr="00A33AE8">
        <w:rPr>
          <w:rFonts w:asciiTheme="majorHAnsi" w:hAnsiTheme="majorHAnsi" w:cstheme="majorHAnsi"/>
          <w:b/>
          <w:bCs/>
          <w:lang w:val="en-GB"/>
        </w:rPr>
        <w:t>T</w:t>
      </w:r>
      <w:r w:rsidR="00A95FCA" w:rsidRPr="00A33AE8">
        <w:rPr>
          <w:rFonts w:asciiTheme="majorHAnsi" w:hAnsiTheme="majorHAnsi" w:cstheme="majorHAnsi"/>
          <w:b/>
          <w:bCs/>
          <w:lang w:val="en-GB"/>
        </w:rPr>
        <w:t>ransport</w:t>
      </w:r>
      <w:r w:rsidRPr="00A33AE8">
        <w:rPr>
          <w:rFonts w:asciiTheme="majorHAnsi" w:hAnsiTheme="majorHAnsi" w:cstheme="majorHAnsi"/>
          <w:b/>
          <w:bCs/>
          <w:lang w:val="en-GB"/>
        </w:rPr>
        <w:t xml:space="preserve"> System Development Plan of Transportgas for period 2020-2029</w:t>
      </w:r>
      <w:r w:rsidRPr="00A33AE8">
        <w:rPr>
          <w:rFonts w:asciiTheme="majorHAnsi" w:hAnsiTheme="majorHAnsi" w:cstheme="majorHAnsi"/>
          <w:lang w:val="en-GB"/>
        </w:rPr>
        <w:t xml:space="preserve"> and </w:t>
      </w:r>
      <w:r w:rsidRPr="00A33AE8">
        <w:rPr>
          <w:rFonts w:asciiTheme="majorHAnsi" w:hAnsiTheme="majorHAnsi" w:cstheme="majorHAnsi"/>
          <w:b/>
          <w:bCs/>
          <w:lang w:val="en-GB"/>
        </w:rPr>
        <w:t>T</w:t>
      </w:r>
      <w:r w:rsidR="00A95FCA" w:rsidRPr="00A33AE8">
        <w:rPr>
          <w:rFonts w:asciiTheme="majorHAnsi" w:hAnsiTheme="majorHAnsi" w:cstheme="majorHAnsi"/>
          <w:b/>
          <w:bCs/>
          <w:lang w:val="en-GB"/>
        </w:rPr>
        <w:t>ransport</w:t>
      </w:r>
      <w:r w:rsidRPr="00A33AE8">
        <w:rPr>
          <w:rFonts w:asciiTheme="majorHAnsi" w:hAnsiTheme="majorHAnsi" w:cstheme="majorHAnsi"/>
          <w:b/>
          <w:bCs/>
          <w:lang w:val="en-GB"/>
        </w:rPr>
        <w:t xml:space="preserve"> System Development Plan of Yugorosgaz covering period 20</w:t>
      </w:r>
      <w:r w:rsidR="003F25A3" w:rsidRPr="00A33AE8">
        <w:rPr>
          <w:rFonts w:asciiTheme="majorHAnsi" w:hAnsiTheme="majorHAnsi" w:cstheme="majorHAnsi"/>
          <w:b/>
          <w:bCs/>
          <w:lang w:val="en-GB"/>
        </w:rPr>
        <w:t>21</w:t>
      </w:r>
      <w:r w:rsidRPr="00A33AE8">
        <w:rPr>
          <w:rFonts w:asciiTheme="majorHAnsi" w:hAnsiTheme="majorHAnsi" w:cstheme="majorHAnsi"/>
          <w:b/>
          <w:bCs/>
          <w:lang w:val="en-GB"/>
        </w:rPr>
        <w:t>-20</w:t>
      </w:r>
      <w:r w:rsidR="003F25A3" w:rsidRPr="00A33AE8">
        <w:rPr>
          <w:rFonts w:asciiTheme="majorHAnsi" w:hAnsiTheme="majorHAnsi" w:cstheme="majorHAnsi"/>
          <w:b/>
          <w:bCs/>
          <w:lang w:val="en-GB"/>
        </w:rPr>
        <w:t>30</w:t>
      </w:r>
      <w:r w:rsidR="00A95FCA" w:rsidRPr="00A33AE8">
        <w:rPr>
          <w:rFonts w:asciiTheme="majorHAnsi" w:hAnsiTheme="majorHAnsi" w:cstheme="majorHAnsi"/>
          <w:lang w:val="en-GB"/>
        </w:rPr>
        <w:t>.</w:t>
      </w:r>
      <w:r w:rsidRPr="00A33AE8">
        <w:rPr>
          <w:rFonts w:asciiTheme="majorHAnsi" w:hAnsiTheme="majorHAnsi" w:cstheme="majorHAnsi"/>
          <w:lang w:val="en-GB"/>
        </w:rPr>
        <w:t xml:space="preserve"> </w:t>
      </w:r>
      <w:r w:rsidR="00465885" w:rsidRPr="00A33AE8">
        <w:rPr>
          <w:rFonts w:asciiTheme="majorHAnsi" w:hAnsiTheme="majorHAnsi" w:cstheme="majorHAnsi"/>
          <w:lang w:val="en-GB"/>
        </w:rPr>
        <w:t>With respect to</w:t>
      </w:r>
      <w:r w:rsidRPr="00A33AE8">
        <w:rPr>
          <w:rFonts w:asciiTheme="majorHAnsi" w:hAnsiTheme="majorHAnsi" w:cstheme="majorHAnsi"/>
          <w:lang w:val="en-GB"/>
        </w:rPr>
        <w:t xml:space="preserve"> the electricity sector, </w:t>
      </w:r>
      <w:r w:rsidRPr="00A33AE8">
        <w:rPr>
          <w:rFonts w:asciiTheme="majorHAnsi" w:hAnsiTheme="majorHAnsi" w:cstheme="majorHAnsi"/>
          <w:b/>
          <w:bCs/>
          <w:lang w:val="en-GB"/>
        </w:rPr>
        <w:t>Transmission System Development Plan for period 202</w:t>
      </w:r>
      <w:r w:rsidR="003F25A3" w:rsidRPr="00A33AE8">
        <w:rPr>
          <w:rFonts w:asciiTheme="majorHAnsi" w:hAnsiTheme="majorHAnsi" w:cstheme="majorHAnsi"/>
          <w:b/>
          <w:bCs/>
          <w:lang w:val="en-GB"/>
        </w:rPr>
        <w:t>1</w:t>
      </w:r>
      <w:r w:rsidRPr="00A33AE8">
        <w:rPr>
          <w:rFonts w:asciiTheme="majorHAnsi" w:hAnsiTheme="majorHAnsi" w:cstheme="majorHAnsi"/>
          <w:b/>
          <w:bCs/>
          <w:lang w:val="en-GB"/>
        </w:rPr>
        <w:t>-20</w:t>
      </w:r>
      <w:r w:rsidR="003F25A3" w:rsidRPr="00A33AE8">
        <w:rPr>
          <w:rFonts w:asciiTheme="majorHAnsi" w:hAnsiTheme="majorHAnsi" w:cstheme="majorHAnsi"/>
          <w:b/>
          <w:bCs/>
          <w:lang w:val="en-GB"/>
        </w:rPr>
        <w:t>30</w:t>
      </w:r>
      <w:r w:rsidRPr="00A33AE8">
        <w:rPr>
          <w:rFonts w:asciiTheme="majorHAnsi" w:hAnsiTheme="majorHAnsi" w:cstheme="majorHAnsi"/>
          <w:lang w:val="en-GB"/>
        </w:rPr>
        <w:t xml:space="preserve"> presents the development planning of EMS</w:t>
      </w:r>
      <w:r w:rsidR="003F25A3" w:rsidRPr="00A33AE8">
        <w:rPr>
          <w:rFonts w:asciiTheme="majorHAnsi" w:hAnsiTheme="majorHAnsi" w:cstheme="majorHAnsi"/>
          <w:lang w:val="en-GB"/>
        </w:rPr>
        <w:t xml:space="preserve">, while </w:t>
      </w:r>
      <w:r w:rsidR="003F25A3" w:rsidRPr="00A33AE8">
        <w:rPr>
          <w:rFonts w:asciiTheme="majorHAnsi" w:hAnsiTheme="majorHAnsi" w:cstheme="majorHAnsi"/>
          <w:b/>
          <w:bCs/>
          <w:lang w:val="en-GB"/>
        </w:rPr>
        <w:t>Distribution System Development Plan for period 2021-2030</w:t>
      </w:r>
      <w:r w:rsidR="003F25A3" w:rsidRPr="00A33AE8">
        <w:rPr>
          <w:rFonts w:asciiTheme="majorHAnsi" w:hAnsiTheme="majorHAnsi" w:cstheme="majorHAnsi"/>
          <w:lang w:val="en-GB"/>
        </w:rPr>
        <w:t xml:space="preserve"> has been approved as well.</w:t>
      </w:r>
      <w:r w:rsidR="003F25A3" w:rsidRPr="00A33AE8" w:rsidDel="003F25A3">
        <w:rPr>
          <w:rFonts w:asciiTheme="majorHAnsi" w:hAnsiTheme="majorHAnsi" w:cstheme="majorHAnsi"/>
          <w:lang w:val="en-GB"/>
        </w:rPr>
        <w:t xml:space="preserve"> </w:t>
      </w:r>
      <w:r w:rsidR="00B337B8" w:rsidRPr="00A33AE8">
        <w:rPr>
          <w:rFonts w:asciiTheme="majorHAnsi" w:hAnsiTheme="majorHAnsi" w:cstheme="majorHAnsi"/>
          <w:lang w:val="en-GB"/>
        </w:rPr>
        <w:t xml:space="preserve">Furthermore, in accordance </w:t>
      </w:r>
      <w:r w:rsidR="00B337B8" w:rsidRPr="000007D2">
        <w:rPr>
          <w:rFonts w:asciiTheme="majorHAnsi" w:hAnsiTheme="majorHAnsi" w:cstheme="majorHAnsi"/>
          <w:lang w:val="en-GB"/>
        </w:rPr>
        <w:t>with</w:t>
      </w:r>
      <w:r w:rsidR="00B337B8" w:rsidRPr="00A33AE8">
        <w:rPr>
          <w:rFonts w:asciiTheme="majorHAnsi" w:hAnsiTheme="majorHAnsi" w:cstheme="majorHAnsi"/>
          <w:lang w:val="en-GB"/>
        </w:rPr>
        <w:t xml:space="preserve"> the Article 325 of the Law on Energy, energy entities that transport oil by pipelines are obliged to adopt five-year development plans.</w:t>
      </w:r>
    </w:p>
    <w:p w14:paraId="156F3DD7" w14:textId="77777777" w:rsidR="00FB11C7" w:rsidRPr="00A33AE8" w:rsidRDefault="00FB11C7" w:rsidP="00D20861">
      <w:pPr>
        <w:pStyle w:val="LDKbody"/>
        <w:rPr>
          <w:rFonts w:asciiTheme="majorHAnsi" w:hAnsiTheme="majorHAnsi" w:cstheme="majorHAnsi"/>
          <w:lang w:val="en-GB"/>
        </w:rPr>
      </w:pPr>
      <w:r w:rsidRPr="00FB11C7">
        <w:rPr>
          <w:rFonts w:asciiTheme="majorHAnsi" w:hAnsiTheme="majorHAnsi" w:cstheme="majorHAnsi"/>
          <w:lang w:val="en-GB"/>
        </w:rPr>
        <w:t>The Government of the Republic of Serbia</w:t>
      </w:r>
      <w:r>
        <w:rPr>
          <w:rFonts w:asciiTheme="majorHAnsi" w:hAnsiTheme="majorHAnsi" w:cstheme="majorHAnsi"/>
          <w:lang w:val="en-GB"/>
        </w:rPr>
        <w:t xml:space="preserve"> in June 2023 has adopted </w:t>
      </w:r>
      <w:r w:rsidRPr="00FB11C7">
        <w:rPr>
          <w:rFonts w:asciiTheme="majorHAnsi" w:hAnsiTheme="majorHAnsi" w:cstheme="majorHAnsi"/>
          <w:lang w:val="en-GB"/>
        </w:rPr>
        <w:t xml:space="preserve">Conclusion on the acceptance of the </w:t>
      </w:r>
      <w:r>
        <w:rPr>
          <w:rFonts w:asciiTheme="majorHAnsi" w:hAnsiTheme="majorHAnsi" w:cstheme="majorHAnsi"/>
          <w:lang w:val="en-GB"/>
        </w:rPr>
        <w:t>S</w:t>
      </w:r>
      <w:r w:rsidRPr="00FB11C7">
        <w:rPr>
          <w:rFonts w:asciiTheme="majorHAnsi" w:hAnsiTheme="majorHAnsi" w:cstheme="majorHAnsi"/>
          <w:lang w:val="en-GB"/>
        </w:rPr>
        <w:t>tarting points of the Plan for the development of energy infrastructure and energy efficiency measures for the period up to 2028 with projections up to 2030, which defines key goals in all areas of the energy sector: electricity production, transmission and distribution network, natural gas sector, oil and oil derivatives sector and energy efficiency.</w:t>
      </w:r>
      <w:r>
        <w:rPr>
          <w:rFonts w:asciiTheme="majorHAnsi" w:hAnsiTheme="majorHAnsi" w:cstheme="majorHAnsi"/>
          <w:lang w:val="en-GB"/>
        </w:rPr>
        <w:t xml:space="preserve"> </w:t>
      </w:r>
      <w:r w:rsidRPr="00FB11C7">
        <w:rPr>
          <w:rFonts w:asciiTheme="majorHAnsi" w:hAnsiTheme="majorHAnsi" w:cstheme="majorHAnsi"/>
          <w:lang w:val="en-GB"/>
        </w:rPr>
        <w:t xml:space="preserve">The main goal of the plan is to define the basic directions of strategic development that </w:t>
      </w:r>
      <w:r w:rsidRPr="00FB11C7">
        <w:rPr>
          <w:rFonts w:asciiTheme="majorHAnsi" w:hAnsiTheme="majorHAnsi" w:cstheme="majorHAnsi"/>
          <w:lang w:val="en-GB"/>
        </w:rPr>
        <w:lastRenderedPageBreak/>
        <w:t xml:space="preserve">will be part of the new Energy </w:t>
      </w:r>
      <w:r>
        <w:rPr>
          <w:rFonts w:asciiTheme="majorHAnsi" w:hAnsiTheme="majorHAnsi" w:cstheme="majorHAnsi"/>
          <w:lang w:val="en-GB"/>
        </w:rPr>
        <w:t xml:space="preserve">Sector </w:t>
      </w:r>
      <w:r w:rsidRPr="00FB11C7">
        <w:rPr>
          <w:rFonts w:asciiTheme="majorHAnsi" w:hAnsiTheme="majorHAnsi" w:cstheme="majorHAnsi"/>
          <w:lang w:val="en-GB"/>
        </w:rPr>
        <w:t xml:space="preserve">Development Strategy of the Republic of Serbia, which is planned to be adopted by the end of 2023. The emphasis of the plan is on understanding the degree of realization of projects foreseen by the valid Energy </w:t>
      </w:r>
      <w:r>
        <w:rPr>
          <w:rFonts w:asciiTheme="majorHAnsi" w:hAnsiTheme="majorHAnsi" w:cstheme="majorHAnsi"/>
          <w:lang w:val="en-GB"/>
        </w:rPr>
        <w:t xml:space="preserve">Sector Development </w:t>
      </w:r>
      <w:r w:rsidRPr="00FB11C7">
        <w:rPr>
          <w:rFonts w:asciiTheme="majorHAnsi" w:hAnsiTheme="majorHAnsi" w:cstheme="majorHAnsi"/>
          <w:lang w:val="en-GB"/>
        </w:rPr>
        <w:t>Strategy of the Republic of Serbia until 2025 with projections until 2030</w:t>
      </w:r>
      <w:r>
        <w:rPr>
          <w:rStyle w:val="FootnoteReference"/>
          <w:rFonts w:asciiTheme="majorHAnsi" w:hAnsiTheme="majorHAnsi" w:cstheme="majorHAnsi"/>
        </w:rPr>
        <w:footnoteReference w:id="84"/>
      </w:r>
      <w:r w:rsidRPr="00FB11C7">
        <w:rPr>
          <w:rFonts w:asciiTheme="majorHAnsi" w:hAnsiTheme="majorHAnsi" w:cstheme="majorHAnsi"/>
          <w:lang w:val="en-GB"/>
        </w:rPr>
        <w:t>, on the identification of new projects and consumption projections until 2040 with projections until 2050.</w:t>
      </w:r>
    </w:p>
    <w:p w14:paraId="67A4224A" w14:textId="77777777" w:rsidR="00C66875" w:rsidRPr="00A33AE8" w:rsidRDefault="008E04A0" w:rsidP="00C66875">
      <w:pPr>
        <w:pStyle w:val="LDKbody"/>
        <w:rPr>
          <w:rFonts w:asciiTheme="majorHAnsi" w:hAnsiTheme="majorHAnsi" w:cstheme="majorHAnsi"/>
          <w:lang w:val="en-GB"/>
        </w:rPr>
      </w:pPr>
      <w:r w:rsidRPr="00A33AE8">
        <w:rPr>
          <w:rFonts w:asciiTheme="majorHAnsi" w:hAnsiTheme="majorHAnsi" w:cstheme="majorHAnsi"/>
          <w:lang w:val="en-GB"/>
        </w:rPr>
        <w:t>Regarding the</w:t>
      </w:r>
      <w:r w:rsidR="00C66875" w:rsidRPr="00A33AE8">
        <w:rPr>
          <w:rFonts w:asciiTheme="majorHAnsi" w:hAnsiTheme="majorHAnsi" w:cstheme="majorHAnsi"/>
          <w:lang w:val="en-GB"/>
        </w:rPr>
        <w:t xml:space="preserve"> emerging security issue, </w:t>
      </w:r>
      <w:r w:rsidR="00C66875" w:rsidRPr="00A33AE8">
        <w:rPr>
          <w:rFonts w:asciiTheme="majorHAnsi" w:hAnsiTheme="majorHAnsi" w:cstheme="majorHAnsi"/>
          <w:b/>
          <w:bCs/>
          <w:lang w:val="en-GB"/>
        </w:rPr>
        <w:t>cyber</w:t>
      </w:r>
      <w:r w:rsidR="005979DC" w:rsidRPr="000007D2">
        <w:rPr>
          <w:rFonts w:asciiTheme="majorHAnsi" w:hAnsiTheme="majorHAnsi" w:cstheme="majorHAnsi"/>
          <w:b/>
          <w:bCs/>
          <w:lang w:val="en-GB"/>
        </w:rPr>
        <w:t xml:space="preserve"> </w:t>
      </w:r>
      <w:r w:rsidR="00C66875" w:rsidRPr="00A33AE8">
        <w:rPr>
          <w:rFonts w:asciiTheme="majorHAnsi" w:hAnsiTheme="majorHAnsi" w:cstheme="majorHAnsi"/>
          <w:b/>
          <w:bCs/>
          <w:lang w:val="en-GB"/>
        </w:rPr>
        <w:t>security</w:t>
      </w:r>
      <w:r w:rsidR="00C66875" w:rsidRPr="00A33AE8">
        <w:rPr>
          <w:rFonts w:asciiTheme="majorHAnsi" w:hAnsiTheme="majorHAnsi" w:cstheme="majorHAnsi"/>
          <w:lang w:val="en-GB"/>
        </w:rPr>
        <w:t xml:space="preserve"> in energy sector is effectively implemented through the concept of information and communication (ICT) systems of special importance, set by the </w:t>
      </w:r>
      <w:r w:rsidR="00C66875" w:rsidRPr="00A33AE8">
        <w:rPr>
          <w:rFonts w:asciiTheme="majorHAnsi" w:hAnsiTheme="majorHAnsi" w:cstheme="majorHAnsi"/>
          <w:b/>
          <w:bCs/>
          <w:lang w:val="en-GB"/>
        </w:rPr>
        <w:t>Law on Information Security</w:t>
      </w:r>
      <w:r w:rsidR="00C66875" w:rsidRPr="00A33AE8">
        <w:rPr>
          <w:rStyle w:val="FootnoteReference"/>
          <w:rFonts w:asciiTheme="majorHAnsi" w:hAnsiTheme="majorHAnsi" w:cstheme="majorHAnsi"/>
        </w:rPr>
        <w:footnoteReference w:id="85"/>
      </w:r>
      <w:r w:rsidR="00C66875" w:rsidRPr="00A33AE8">
        <w:rPr>
          <w:rFonts w:asciiTheme="majorHAnsi" w:hAnsiTheme="majorHAnsi" w:cstheme="majorHAnsi"/>
          <w:lang w:val="en-GB"/>
        </w:rPr>
        <w:t xml:space="preserve"> in 2016 as the comprehensive overall legal and institutional framework for cybersecurity. </w:t>
      </w:r>
      <w:r w:rsidRPr="00A33AE8">
        <w:rPr>
          <w:rFonts w:asciiTheme="majorHAnsi" w:hAnsiTheme="majorHAnsi" w:cstheme="majorHAnsi"/>
          <w:lang w:val="en-GB"/>
        </w:rPr>
        <w:t xml:space="preserve">Alongside with the Law, the </w:t>
      </w:r>
      <w:r w:rsidR="00C66875" w:rsidRPr="00A33AE8">
        <w:rPr>
          <w:rFonts w:asciiTheme="majorHAnsi" w:hAnsiTheme="majorHAnsi" w:cstheme="majorHAnsi"/>
          <w:b/>
          <w:bCs/>
          <w:lang w:val="en-GB"/>
        </w:rPr>
        <w:t>Decree on determining the List of activities in areas where activities of general interest are performed and in which information and communication systems of special importance are used</w:t>
      </w:r>
      <w:r w:rsidR="00C66875" w:rsidRPr="00A33AE8">
        <w:rPr>
          <w:rStyle w:val="FootnoteReference"/>
          <w:rFonts w:asciiTheme="majorHAnsi" w:hAnsiTheme="majorHAnsi" w:cstheme="majorHAnsi"/>
        </w:rPr>
        <w:footnoteReference w:id="86"/>
      </w:r>
      <w:r w:rsidR="00C66875" w:rsidRPr="00A33AE8">
        <w:rPr>
          <w:rFonts w:asciiTheme="majorHAnsi" w:hAnsiTheme="majorHAnsi" w:cstheme="majorHAnsi"/>
          <w:lang w:val="en-GB"/>
        </w:rPr>
        <w:t xml:space="preserve"> emphasize</w:t>
      </w:r>
      <w:r w:rsidRPr="00A33AE8">
        <w:rPr>
          <w:rFonts w:asciiTheme="majorHAnsi" w:hAnsiTheme="majorHAnsi" w:cstheme="majorHAnsi"/>
          <w:lang w:val="en-GB"/>
        </w:rPr>
        <w:t>s</w:t>
      </w:r>
      <w:r w:rsidR="00C66875" w:rsidRPr="00A33AE8">
        <w:rPr>
          <w:rFonts w:asciiTheme="majorHAnsi" w:hAnsiTheme="majorHAnsi" w:cstheme="majorHAnsi"/>
          <w:lang w:val="en-GB"/>
        </w:rPr>
        <w:t xml:space="preserve"> the energy sector as </w:t>
      </w:r>
      <w:r w:rsidRPr="00A33AE8">
        <w:rPr>
          <w:rFonts w:asciiTheme="majorHAnsi" w:hAnsiTheme="majorHAnsi" w:cstheme="majorHAnsi"/>
          <w:lang w:val="en-GB"/>
        </w:rPr>
        <w:t xml:space="preserve">being </w:t>
      </w:r>
      <w:r w:rsidR="00C66875" w:rsidRPr="00A33AE8">
        <w:rPr>
          <w:rFonts w:asciiTheme="majorHAnsi" w:hAnsiTheme="majorHAnsi" w:cstheme="majorHAnsi"/>
          <w:lang w:val="en-GB"/>
        </w:rPr>
        <w:t xml:space="preserve">one of </w:t>
      </w:r>
      <w:r w:rsidR="00EE0A4D" w:rsidRPr="00A33AE8">
        <w:rPr>
          <w:rFonts w:asciiTheme="majorHAnsi" w:hAnsiTheme="majorHAnsi" w:cstheme="majorHAnsi"/>
          <w:lang w:val="en-GB"/>
        </w:rPr>
        <w:t xml:space="preserve">those </w:t>
      </w:r>
      <w:r w:rsidR="00C66875" w:rsidRPr="00A33AE8">
        <w:rPr>
          <w:rFonts w:asciiTheme="majorHAnsi" w:hAnsiTheme="majorHAnsi" w:cstheme="majorHAnsi"/>
          <w:lang w:val="en-GB"/>
        </w:rPr>
        <w:t>essential</w:t>
      </w:r>
      <w:r w:rsidR="00190FCA" w:rsidRPr="00A33AE8">
        <w:rPr>
          <w:rFonts w:asciiTheme="majorHAnsi" w:hAnsiTheme="majorHAnsi" w:cstheme="majorHAnsi"/>
          <w:lang w:val="en-GB"/>
        </w:rPr>
        <w:t xml:space="preserve"> areas and</w:t>
      </w:r>
      <w:r w:rsidR="005979DC" w:rsidRPr="000007D2">
        <w:rPr>
          <w:rFonts w:asciiTheme="majorHAnsi" w:hAnsiTheme="majorHAnsi" w:cstheme="majorHAnsi"/>
          <w:lang w:val="en-GB"/>
        </w:rPr>
        <w:t xml:space="preserve"> </w:t>
      </w:r>
      <w:r w:rsidR="00190FCA" w:rsidRPr="00A33AE8">
        <w:rPr>
          <w:rFonts w:asciiTheme="majorHAnsi" w:hAnsiTheme="majorHAnsi" w:cstheme="majorHAnsi"/>
          <w:lang w:val="en-GB"/>
        </w:rPr>
        <w:t xml:space="preserve">lists </w:t>
      </w:r>
      <w:r w:rsidR="00C66875" w:rsidRPr="00A33AE8">
        <w:rPr>
          <w:rFonts w:asciiTheme="majorHAnsi" w:hAnsiTheme="majorHAnsi" w:cstheme="majorHAnsi"/>
          <w:lang w:val="en-GB"/>
        </w:rPr>
        <w:t xml:space="preserve">activities such as electricity generation, transmission and distribution; exploration, exploitation, refining, transport and distribution of oil and oil derivatives; exploration, exploitation, refining, transport and distribution of natural gas and liquefied gas; coal production and processing. The </w:t>
      </w:r>
      <w:r w:rsidR="00C66875" w:rsidRPr="00A33AE8">
        <w:rPr>
          <w:rFonts w:asciiTheme="majorHAnsi" w:hAnsiTheme="majorHAnsi" w:cstheme="majorHAnsi"/>
          <w:b/>
          <w:bCs/>
          <w:lang w:val="en-GB"/>
        </w:rPr>
        <w:t xml:space="preserve">Strategy for Development of Information Security </w:t>
      </w:r>
      <w:r w:rsidR="0000556B">
        <w:rPr>
          <w:rFonts w:asciiTheme="majorHAnsi" w:hAnsiTheme="majorHAnsi" w:cstheme="majorHAnsi"/>
          <w:b/>
          <w:bCs/>
          <w:lang w:val="en-GB"/>
        </w:rPr>
        <w:t xml:space="preserve">in the Republic of Serbia </w:t>
      </w:r>
      <w:r w:rsidR="00C66875" w:rsidRPr="00A33AE8">
        <w:rPr>
          <w:rFonts w:asciiTheme="majorHAnsi" w:hAnsiTheme="majorHAnsi" w:cstheme="majorHAnsi"/>
          <w:b/>
          <w:bCs/>
          <w:lang w:val="en-GB"/>
        </w:rPr>
        <w:t xml:space="preserve">for the period 2017 </w:t>
      </w:r>
      <w:r w:rsidR="005979DC" w:rsidRPr="00A33AE8">
        <w:rPr>
          <w:rFonts w:asciiTheme="majorHAnsi" w:hAnsiTheme="majorHAnsi" w:cstheme="majorHAnsi"/>
          <w:b/>
          <w:bCs/>
          <w:lang w:val="en-GB"/>
        </w:rPr>
        <w:t>–</w:t>
      </w:r>
      <w:r w:rsidR="00C66875" w:rsidRPr="00A33AE8">
        <w:rPr>
          <w:rFonts w:asciiTheme="majorHAnsi" w:hAnsiTheme="majorHAnsi" w:cstheme="majorHAnsi"/>
          <w:b/>
          <w:bCs/>
          <w:lang w:val="en-GB"/>
        </w:rPr>
        <w:t xml:space="preserve"> 2020</w:t>
      </w:r>
      <w:r w:rsidR="0000556B">
        <w:rPr>
          <w:rStyle w:val="FootnoteReference"/>
          <w:rFonts w:asciiTheme="majorHAnsi" w:hAnsiTheme="majorHAnsi" w:cstheme="majorHAnsi"/>
          <w:b/>
          <w:bCs/>
        </w:rPr>
        <w:footnoteReference w:id="87"/>
      </w:r>
      <w:r w:rsidR="005979DC" w:rsidRPr="000007D2">
        <w:rPr>
          <w:rFonts w:asciiTheme="majorHAnsi" w:hAnsiTheme="majorHAnsi" w:cstheme="majorHAnsi"/>
          <w:b/>
          <w:bCs/>
          <w:lang w:val="en-GB"/>
        </w:rPr>
        <w:t xml:space="preserve"> </w:t>
      </w:r>
      <w:r w:rsidR="00EE0A4D" w:rsidRPr="00A33AE8">
        <w:rPr>
          <w:rFonts w:asciiTheme="majorHAnsi" w:hAnsiTheme="majorHAnsi" w:cstheme="majorHAnsi"/>
          <w:lang w:val="en-GB"/>
        </w:rPr>
        <w:t>is linked to the implementation of Directive 2016/1148/EC (NIS Directive</w:t>
      </w:r>
      <w:r w:rsidR="008E40F4" w:rsidRPr="00A33AE8">
        <w:rPr>
          <w:rFonts w:asciiTheme="majorHAnsi" w:hAnsiTheme="majorHAnsi" w:cstheme="majorHAnsi"/>
          <w:lang w:val="en-GB"/>
        </w:rPr>
        <w:t>), introduces</w:t>
      </w:r>
      <w:r w:rsidR="005979DC" w:rsidRPr="000007D2">
        <w:rPr>
          <w:rFonts w:asciiTheme="majorHAnsi" w:hAnsiTheme="majorHAnsi" w:cstheme="majorHAnsi"/>
          <w:lang w:val="en-GB"/>
        </w:rPr>
        <w:t xml:space="preserve"> </w:t>
      </w:r>
      <w:r w:rsidR="00C66875" w:rsidRPr="00A33AE8">
        <w:rPr>
          <w:rFonts w:asciiTheme="majorHAnsi" w:hAnsiTheme="majorHAnsi" w:cstheme="majorHAnsi"/>
          <w:lang w:val="en-GB"/>
        </w:rPr>
        <w:t xml:space="preserve">the principles and </w:t>
      </w:r>
      <w:r w:rsidR="00EB0D3C" w:rsidRPr="00A33AE8">
        <w:rPr>
          <w:rFonts w:asciiTheme="majorHAnsi" w:hAnsiTheme="majorHAnsi" w:cstheme="majorHAnsi"/>
          <w:lang w:val="en-GB"/>
        </w:rPr>
        <w:t xml:space="preserve">defines the </w:t>
      </w:r>
      <w:r w:rsidR="00C66875" w:rsidRPr="00A33AE8">
        <w:rPr>
          <w:rFonts w:asciiTheme="majorHAnsi" w:hAnsiTheme="majorHAnsi" w:cstheme="majorHAnsi"/>
          <w:lang w:val="en-GB"/>
        </w:rPr>
        <w:t xml:space="preserve">objectives in security of the ICT systems of special importance, </w:t>
      </w:r>
      <w:r w:rsidR="00EB0D3C" w:rsidRPr="00A33AE8">
        <w:rPr>
          <w:rFonts w:asciiTheme="majorHAnsi" w:hAnsiTheme="majorHAnsi" w:cstheme="majorHAnsi"/>
          <w:lang w:val="en-GB"/>
        </w:rPr>
        <w:t xml:space="preserve">as well as </w:t>
      </w:r>
      <w:r w:rsidR="00C66875" w:rsidRPr="00A33AE8">
        <w:rPr>
          <w:rFonts w:asciiTheme="majorHAnsi" w:hAnsiTheme="majorHAnsi" w:cstheme="majorHAnsi"/>
          <w:lang w:val="en-GB"/>
        </w:rPr>
        <w:t>fight</w:t>
      </w:r>
      <w:r w:rsidR="00EB0D3C" w:rsidRPr="00A33AE8">
        <w:rPr>
          <w:rFonts w:asciiTheme="majorHAnsi" w:hAnsiTheme="majorHAnsi" w:cstheme="majorHAnsi"/>
          <w:lang w:val="en-GB"/>
        </w:rPr>
        <w:t>s</w:t>
      </w:r>
      <w:r w:rsidR="00C66875" w:rsidRPr="00A33AE8">
        <w:rPr>
          <w:rFonts w:asciiTheme="majorHAnsi" w:hAnsiTheme="majorHAnsi" w:cstheme="majorHAnsi"/>
          <w:lang w:val="en-GB"/>
        </w:rPr>
        <w:t xml:space="preserve"> against cybercrime</w:t>
      </w:r>
      <w:r w:rsidR="00EB0D3C" w:rsidRPr="00A33AE8">
        <w:rPr>
          <w:rFonts w:asciiTheme="majorHAnsi" w:hAnsiTheme="majorHAnsi" w:cstheme="majorHAnsi"/>
          <w:lang w:val="en-GB"/>
        </w:rPr>
        <w:t xml:space="preserve">. However, </w:t>
      </w:r>
      <w:r w:rsidR="00C66875" w:rsidRPr="00A33AE8">
        <w:rPr>
          <w:rFonts w:asciiTheme="majorHAnsi" w:hAnsiTheme="majorHAnsi" w:cstheme="majorHAnsi"/>
          <w:lang w:val="en-GB"/>
        </w:rPr>
        <w:t>there were no energy-specific policies identified in the Strategy.</w:t>
      </w:r>
    </w:p>
    <w:p w14:paraId="1EC47223" w14:textId="77777777" w:rsidR="00C66875"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 xml:space="preserve">Risk assessment is defined in the Law on Information Security and in the </w:t>
      </w:r>
      <w:r w:rsidRPr="00A33AE8">
        <w:rPr>
          <w:rFonts w:asciiTheme="majorHAnsi" w:hAnsiTheme="majorHAnsi" w:cstheme="majorHAnsi"/>
          <w:b/>
          <w:bCs/>
          <w:lang w:val="en-GB"/>
        </w:rPr>
        <w:t>Regulation on More Detailed Contents of Enhancement on Security of ICT of Special Significance</w:t>
      </w:r>
      <w:r w:rsidRPr="00A33AE8">
        <w:rPr>
          <w:rStyle w:val="FootnoteReference"/>
          <w:rFonts w:asciiTheme="majorHAnsi" w:hAnsiTheme="majorHAnsi" w:cstheme="majorHAnsi"/>
          <w:b/>
          <w:bCs/>
        </w:rPr>
        <w:footnoteReference w:id="88"/>
      </w:r>
      <w:r w:rsidR="002371A1" w:rsidRPr="00A33AE8">
        <w:rPr>
          <w:rFonts w:asciiTheme="majorHAnsi" w:hAnsiTheme="majorHAnsi" w:cstheme="majorHAnsi"/>
          <w:b/>
          <w:bCs/>
          <w:lang w:val="en-GB"/>
        </w:rPr>
        <w:t>.</w:t>
      </w:r>
      <w:r w:rsidR="00026DCB" w:rsidRPr="00A33AE8">
        <w:rPr>
          <w:rFonts w:asciiTheme="majorHAnsi" w:hAnsiTheme="majorHAnsi" w:cstheme="majorHAnsi"/>
          <w:lang w:val="en-GB"/>
        </w:rPr>
        <w:t xml:space="preserve">It is </w:t>
      </w:r>
      <w:r w:rsidRPr="00A33AE8">
        <w:rPr>
          <w:rFonts w:asciiTheme="majorHAnsi" w:hAnsiTheme="majorHAnsi" w:cstheme="majorHAnsi"/>
          <w:lang w:val="en-GB"/>
        </w:rPr>
        <w:t xml:space="preserve">performed by the </w:t>
      </w:r>
      <w:r w:rsidRPr="00A33AE8">
        <w:rPr>
          <w:rFonts w:asciiTheme="majorHAnsi" w:hAnsiTheme="majorHAnsi" w:cstheme="majorHAnsi"/>
          <w:b/>
          <w:bCs/>
          <w:lang w:val="en-GB"/>
        </w:rPr>
        <w:t>national computer emergency response team (SRB-CERT)</w:t>
      </w:r>
      <w:r w:rsidRPr="00A33AE8">
        <w:rPr>
          <w:rFonts w:asciiTheme="majorHAnsi" w:hAnsiTheme="majorHAnsi" w:cstheme="majorHAnsi"/>
          <w:lang w:val="en-GB"/>
        </w:rPr>
        <w:t xml:space="preserve">, responsible for the energy sector, operating within the Regulatory Agency for Electronic Communications and Postal Services. One of the main </w:t>
      </w:r>
      <w:r w:rsidR="00AE4B26" w:rsidRPr="00A33AE8">
        <w:rPr>
          <w:rFonts w:asciiTheme="majorHAnsi" w:hAnsiTheme="majorHAnsi" w:cstheme="majorHAnsi"/>
          <w:lang w:val="en-GB"/>
        </w:rPr>
        <w:t xml:space="preserve">drawbacks of </w:t>
      </w:r>
      <w:r w:rsidRPr="00A33AE8">
        <w:rPr>
          <w:rFonts w:asciiTheme="majorHAnsi" w:hAnsiTheme="majorHAnsi" w:cstheme="majorHAnsi"/>
          <w:lang w:val="en-GB"/>
        </w:rPr>
        <w:t>the risk assessment is the</w:t>
      </w:r>
      <w:r w:rsidR="00AE4B26" w:rsidRPr="00A33AE8">
        <w:rPr>
          <w:rFonts w:asciiTheme="majorHAnsi" w:hAnsiTheme="majorHAnsi" w:cstheme="majorHAnsi"/>
          <w:lang w:val="en-GB"/>
        </w:rPr>
        <w:t xml:space="preserve"> lack of </w:t>
      </w:r>
      <w:r w:rsidRPr="00A33AE8">
        <w:rPr>
          <w:rFonts w:asciiTheme="majorHAnsi" w:hAnsiTheme="majorHAnsi" w:cstheme="majorHAnsi"/>
          <w:lang w:val="en-GB"/>
        </w:rPr>
        <w:t>consideration of cross-border component.</w:t>
      </w:r>
    </w:p>
    <w:p w14:paraId="715B68DA" w14:textId="7479631D" w:rsidR="00096DBF" w:rsidRPr="00A33AE8" w:rsidRDefault="00C66875" w:rsidP="00C66875">
      <w:pPr>
        <w:pStyle w:val="LDKbody"/>
        <w:rPr>
          <w:rFonts w:asciiTheme="majorHAnsi" w:hAnsiTheme="majorHAnsi" w:cstheme="majorHAnsi"/>
          <w:lang w:val="en-GB"/>
        </w:rPr>
      </w:pPr>
      <w:r w:rsidRPr="00A33AE8">
        <w:rPr>
          <w:rFonts w:asciiTheme="majorHAnsi" w:hAnsiTheme="majorHAnsi" w:cstheme="majorHAnsi"/>
          <w:lang w:val="en-GB"/>
        </w:rPr>
        <w:t>Starting in 2019, inspection</w:t>
      </w:r>
      <w:r w:rsidR="00CA3EEA" w:rsidRPr="00A33AE8">
        <w:rPr>
          <w:rFonts w:asciiTheme="majorHAnsi" w:hAnsiTheme="majorHAnsi" w:cstheme="majorHAnsi"/>
          <w:lang w:val="en-GB"/>
        </w:rPr>
        <w:t xml:space="preserve"> and</w:t>
      </w:r>
      <w:r w:rsidRPr="00A33AE8">
        <w:rPr>
          <w:rFonts w:asciiTheme="majorHAnsi" w:hAnsiTheme="majorHAnsi" w:cstheme="majorHAnsi"/>
          <w:lang w:val="en-GB"/>
        </w:rPr>
        <w:t xml:space="preserve"> supervision of information and communications technologies (ICT) has been </w:t>
      </w:r>
      <w:r w:rsidR="00CA3EEA" w:rsidRPr="00A33AE8">
        <w:rPr>
          <w:rFonts w:asciiTheme="majorHAnsi" w:hAnsiTheme="majorHAnsi" w:cstheme="majorHAnsi"/>
          <w:lang w:val="en-GB"/>
        </w:rPr>
        <w:t xml:space="preserve">performed </w:t>
      </w:r>
      <w:r w:rsidRPr="00A33AE8">
        <w:rPr>
          <w:rFonts w:asciiTheme="majorHAnsi" w:hAnsiTheme="majorHAnsi" w:cstheme="majorHAnsi"/>
          <w:lang w:val="en-GB"/>
        </w:rPr>
        <w:t xml:space="preserve">on </w:t>
      </w:r>
      <w:r w:rsidR="00CA3EEA" w:rsidRPr="00A33AE8">
        <w:rPr>
          <w:rFonts w:asciiTheme="majorHAnsi" w:hAnsiTheme="majorHAnsi" w:cstheme="majorHAnsi"/>
          <w:lang w:val="en-GB"/>
        </w:rPr>
        <w:t xml:space="preserve">an </w:t>
      </w:r>
      <w:r w:rsidRPr="00A33AE8">
        <w:rPr>
          <w:rFonts w:asciiTheme="majorHAnsi" w:hAnsiTheme="majorHAnsi" w:cstheme="majorHAnsi"/>
          <w:lang w:val="en-GB"/>
        </w:rPr>
        <w:t xml:space="preserve">annual basis by the Department for Information Security and Electronic Business within the Sector of Information Society and Information Security of the Ministry of Trade, Tourism and Telecommunications. In 2020, inspection </w:t>
      </w:r>
      <w:r w:rsidR="00CA3EEA" w:rsidRPr="00A33AE8">
        <w:rPr>
          <w:rFonts w:asciiTheme="majorHAnsi" w:hAnsiTheme="majorHAnsi" w:cstheme="majorHAnsi"/>
          <w:lang w:val="en-GB"/>
        </w:rPr>
        <w:t xml:space="preserve">and </w:t>
      </w:r>
      <w:r w:rsidRPr="00A33AE8">
        <w:rPr>
          <w:rFonts w:asciiTheme="majorHAnsi" w:hAnsiTheme="majorHAnsi" w:cstheme="majorHAnsi"/>
          <w:lang w:val="en-GB"/>
        </w:rPr>
        <w:t xml:space="preserve">supervision </w:t>
      </w:r>
      <w:r w:rsidR="008E40F4" w:rsidRPr="00A33AE8">
        <w:rPr>
          <w:rFonts w:asciiTheme="majorHAnsi" w:hAnsiTheme="majorHAnsi" w:cstheme="majorHAnsi"/>
          <w:lang w:val="en-GB"/>
        </w:rPr>
        <w:t>were</w:t>
      </w:r>
      <w:r w:rsidRPr="00A33AE8">
        <w:rPr>
          <w:rFonts w:asciiTheme="majorHAnsi" w:hAnsiTheme="majorHAnsi" w:cstheme="majorHAnsi"/>
          <w:lang w:val="en-GB"/>
        </w:rPr>
        <w:t xml:space="preserve"> carried out for</w:t>
      </w:r>
      <w:r w:rsidR="00500B07" w:rsidRPr="00A33AE8">
        <w:rPr>
          <w:rFonts w:asciiTheme="majorHAnsi" w:hAnsiTheme="majorHAnsi" w:cstheme="majorHAnsi"/>
          <w:lang w:val="en-GB"/>
        </w:rPr>
        <w:t xml:space="preserve"> </w:t>
      </w:r>
      <w:r w:rsidR="00500B07" w:rsidRPr="000007D2">
        <w:rPr>
          <w:rFonts w:asciiTheme="majorHAnsi" w:hAnsiTheme="majorHAnsi" w:cstheme="majorHAnsi"/>
          <w:bCs/>
          <w:lang w:val="en-GB"/>
        </w:rPr>
        <w:t>“Elektromreža Srbije“ - EMS</w:t>
      </w:r>
      <w:r w:rsidRPr="00A33AE8">
        <w:rPr>
          <w:rFonts w:asciiTheme="majorHAnsi" w:hAnsiTheme="majorHAnsi" w:cstheme="majorHAnsi"/>
          <w:lang w:val="en-GB"/>
        </w:rPr>
        <w:t xml:space="preserve">, Srbijagas and NIS, while during the 2021 </w:t>
      </w:r>
      <w:r w:rsidR="00D02C4C" w:rsidRPr="00A33AE8">
        <w:rPr>
          <w:rFonts w:asciiTheme="majorHAnsi" w:hAnsiTheme="majorHAnsi" w:cstheme="majorHAnsi"/>
          <w:lang w:val="en-GB"/>
        </w:rPr>
        <w:t>they have</w:t>
      </w:r>
      <w:r w:rsidRPr="00A33AE8">
        <w:rPr>
          <w:rFonts w:asciiTheme="majorHAnsi" w:hAnsiTheme="majorHAnsi" w:cstheme="majorHAnsi"/>
          <w:lang w:val="en-GB"/>
        </w:rPr>
        <w:t xml:space="preserve"> to be done for Public Utility Company Beogradske elektrane (</w:t>
      </w:r>
      <w:r w:rsidR="00D02C4C" w:rsidRPr="00A33AE8">
        <w:rPr>
          <w:rFonts w:asciiTheme="majorHAnsi" w:hAnsiTheme="majorHAnsi" w:cstheme="majorHAnsi"/>
          <w:lang w:val="en-GB"/>
        </w:rPr>
        <w:t xml:space="preserve">2021 </w:t>
      </w:r>
      <w:r w:rsidRPr="00A33AE8">
        <w:rPr>
          <w:rFonts w:asciiTheme="majorHAnsi" w:hAnsiTheme="majorHAnsi" w:cstheme="majorHAnsi"/>
          <w:lang w:val="en-GB"/>
        </w:rPr>
        <w:t>Q1), Transportgas (</w:t>
      </w:r>
      <w:r w:rsidR="00D02C4C" w:rsidRPr="00A33AE8">
        <w:rPr>
          <w:rFonts w:asciiTheme="majorHAnsi" w:hAnsiTheme="majorHAnsi" w:cstheme="majorHAnsi"/>
          <w:lang w:val="en-GB"/>
        </w:rPr>
        <w:t xml:space="preserve">2021 </w:t>
      </w:r>
      <w:r w:rsidRPr="00A33AE8">
        <w:rPr>
          <w:rFonts w:asciiTheme="majorHAnsi" w:hAnsiTheme="majorHAnsi" w:cstheme="majorHAnsi"/>
          <w:lang w:val="en-GB"/>
        </w:rPr>
        <w:t xml:space="preserve">Q3) and </w:t>
      </w:r>
      <w:r w:rsidR="00B006FA" w:rsidRPr="00A33AE8">
        <w:rPr>
          <w:rFonts w:asciiTheme="majorHAnsi" w:hAnsiTheme="majorHAnsi" w:cstheme="majorHAnsi"/>
          <w:lang w:val="en-GB"/>
        </w:rPr>
        <w:t>Elektrodistribucija Srbije</w:t>
      </w:r>
      <w:r w:rsidRPr="00A33AE8">
        <w:rPr>
          <w:rFonts w:asciiTheme="majorHAnsi" w:hAnsiTheme="majorHAnsi" w:cstheme="majorHAnsi"/>
          <w:lang w:val="en-GB"/>
        </w:rPr>
        <w:t xml:space="preserve"> (</w:t>
      </w:r>
      <w:r w:rsidR="00D02C4C" w:rsidRPr="00A33AE8">
        <w:rPr>
          <w:rFonts w:asciiTheme="majorHAnsi" w:hAnsiTheme="majorHAnsi" w:cstheme="majorHAnsi"/>
          <w:lang w:val="en-GB"/>
        </w:rPr>
        <w:t xml:space="preserve">2021 </w:t>
      </w:r>
      <w:r w:rsidRPr="00A33AE8">
        <w:rPr>
          <w:rFonts w:asciiTheme="majorHAnsi" w:hAnsiTheme="majorHAnsi" w:cstheme="majorHAnsi"/>
          <w:lang w:val="en-GB"/>
        </w:rPr>
        <w:t>Q4).</w:t>
      </w:r>
    </w:p>
    <w:p w14:paraId="53AB03F1" w14:textId="6FDC4000" w:rsidR="00990FC7" w:rsidRPr="00A33AE8" w:rsidRDefault="00A33AE8" w:rsidP="00D50B3E">
      <w:pPr>
        <w:pStyle w:val="LDKbody"/>
        <w:rPr>
          <w:rFonts w:asciiTheme="majorHAnsi" w:hAnsiTheme="majorHAnsi" w:cstheme="majorHAnsi"/>
          <w:lang w:val="en-GB"/>
        </w:rPr>
      </w:pPr>
      <w:r w:rsidRPr="000007D2">
        <w:rPr>
          <w:rFonts w:asciiTheme="majorHAnsi" w:hAnsiTheme="majorHAnsi" w:cstheme="majorHAnsi"/>
          <w:lang w:val="en-GB"/>
        </w:rPr>
        <w:t>In Serbia, the Law prohibiting construction of nuclear power plants in the Federal Republic of Yugoslavia</w:t>
      </w:r>
      <w:r w:rsidR="00515489">
        <w:rPr>
          <w:rStyle w:val="FootnoteReference"/>
          <w:rFonts w:asciiTheme="majorHAnsi" w:hAnsiTheme="majorHAnsi" w:cstheme="majorHAnsi"/>
        </w:rPr>
        <w:footnoteReference w:id="89"/>
      </w:r>
      <w:r w:rsidRPr="000007D2">
        <w:rPr>
          <w:rFonts w:asciiTheme="majorHAnsi" w:hAnsiTheme="majorHAnsi" w:cstheme="majorHAnsi"/>
          <w:lang w:val="en-GB"/>
        </w:rPr>
        <w:t xml:space="preserve"> is in force, which prohibits making investment decisions, preparation of investment programmes and technical documentation for the construction of nuclear power plants, nuclear fuel fabrication facilities</w:t>
      </w:r>
      <w:r>
        <w:rPr>
          <w:rFonts w:asciiTheme="majorHAnsi" w:hAnsiTheme="majorHAnsi" w:cstheme="majorHAnsi"/>
          <w:lang w:val="en-GB"/>
        </w:rPr>
        <w:t xml:space="preserve"> </w:t>
      </w:r>
      <w:r w:rsidRPr="000007D2">
        <w:rPr>
          <w:rFonts w:asciiTheme="majorHAnsi" w:hAnsiTheme="majorHAnsi" w:cstheme="majorHAnsi"/>
          <w:lang w:val="en-GB"/>
        </w:rPr>
        <w:t>and the facilities to reprocess spent nuclear fuel for nuclear power plants.</w:t>
      </w:r>
      <w:r w:rsidR="00D50B3E">
        <w:rPr>
          <w:rFonts w:asciiTheme="majorHAnsi" w:hAnsiTheme="majorHAnsi" w:cstheme="majorHAnsi"/>
          <w:lang w:val="en-GB"/>
        </w:rPr>
        <w:t xml:space="preserve"> </w:t>
      </w:r>
      <w:r w:rsidR="00D50B3E" w:rsidRPr="00D50B3E">
        <w:rPr>
          <w:rFonts w:asciiTheme="majorHAnsi" w:hAnsiTheme="majorHAnsi" w:cstheme="majorHAnsi"/>
          <w:lang w:val="en-GB"/>
        </w:rPr>
        <w:t xml:space="preserve">The provisions of </w:t>
      </w:r>
      <w:r w:rsidR="00D50B3E">
        <w:rPr>
          <w:rFonts w:asciiTheme="majorHAnsi" w:hAnsiTheme="majorHAnsi" w:cstheme="majorHAnsi"/>
          <w:lang w:val="en-GB"/>
        </w:rPr>
        <w:t>the Law do</w:t>
      </w:r>
      <w:r w:rsidR="00D50B3E" w:rsidRPr="00D50B3E">
        <w:rPr>
          <w:rFonts w:asciiTheme="majorHAnsi" w:hAnsiTheme="majorHAnsi" w:cstheme="majorHAnsi"/>
          <w:lang w:val="en-GB"/>
        </w:rPr>
        <w:t xml:space="preserve"> not pertain to any scientific research and development activities, mining and geological research activities, geological and seismic research</w:t>
      </w:r>
      <w:r w:rsidR="00541F72">
        <w:rPr>
          <w:rFonts w:asciiTheme="majorHAnsi" w:hAnsiTheme="majorHAnsi" w:cstheme="majorHAnsi"/>
          <w:lang w:val="sr-Cyrl-RS"/>
        </w:rPr>
        <w:t>,</w:t>
      </w:r>
      <w:r w:rsidR="00D50B3E" w:rsidRPr="00D50B3E">
        <w:rPr>
          <w:rFonts w:asciiTheme="majorHAnsi" w:hAnsiTheme="majorHAnsi" w:cstheme="majorHAnsi"/>
          <w:lang w:val="en-GB"/>
        </w:rPr>
        <w:t xml:space="preserve"> and staff</w:t>
      </w:r>
      <w:r w:rsidR="00D50B3E">
        <w:rPr>
          <w:rFonts w:asciiTheme="majorHAnsi" w:hAnsiTheme="majorHAnsi" w:cstheme="majorHAnsi"/>
          <w:lang w:val="en-GB"/>
        </w:rPr>
        <w:t xml:space="preserve"> </w:t>
      </w:r>
      <w:r w:rsidR="00D50B3E" w:rsidRPr="00D50B3E">
        <w:rPr>
          <w:rFonts w:asciiTheme="majorHAnsi" w:hAnsiTheme="majorHAnsi" w:cstheme="majorHAnsi"/>
          <w:lang w:val="en-GB"/>
        </w:rPr>
        <w:t>education</w:t>
      </w:r>
      <w:r w:rsidR="00D50B3E">
        <w:rPr>
          <w:rFonts w:asciiTheme="majorHAnsi" w:hAnsiTheme="majorHAnsi" w:cstheme="majorHAnsi"/>
          <w:lang w:val="en-GB"/>
        </w:rPr>
        <w:t xml:space="preserve"> in the </w:t>
      </w:r>
      <w:r w:rsidR="00D50B3E" w:rsidRPr="00D50B3E">
        <w:rPr>
          <w:rFonts w:asciiTheme="majorHAnsi" w:hAnsiTheme="majorHAnsi" w:cstheme="majorHAnsi"/>
          <w:lang w:val="en-GB"/>
        </w:rPr>
        <w:t>field of nuclear energy development.</w:t>
      </w:r>
    </w:p>
    <w:p w14:paraId="62C322B2" w14:textId="77777777" w:rsidR="00F26FA8" w:rsidRPr="00A33AE8" w:rsidRDefault="00F26FA8" w:rsidP="00AC70D7">
      <w:pPr>
        <w:pStyle w:val="LDKbody"/>
        <w:rPr>
          <w:rFonts w:asciiTheme="majorHAnsi" w:hAnsiTheme="majorHAnsi" w:cstheme="majorHAnsi"/>
          <w:b/>
          <w:bCs/>
          <w:lang w:val="en-GB"/>
        </w:rPr>
      </w:pPr>
      <w:r w:rsidRPr="00A33AE8">
        <w:rPr>
          <w:rFonts w:asciiTheme="majorHAnsi" w:hAnsiTheme="majorHAnsi" w:cstheme="majorHAnsi"/>
          <w:b/>
          <w:bCs/>
          <w:lang w:val="en-GB"/>
        </w:rPr>
        <w:t>Research, Innovation and Competitiveness</w:t>
      </w:r>
    </w:p>
    <w:p w14:paraId="7316E0F3" w14:textId="6F903290"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Republic of Serbia’</w:t>
      </w:r>
      <w:r w:rsidR="0040465F" w:rsidRPr="00A33AE8">
        <w:rPr>
          <w:rFonts w:asciiTheme="majorHAnsi" w:hAnsiTheme="majorHAnsi" w:cstheme="majorHAnsi"/>
          <w:lang w:val="en-GB"/>
        </w:rPr>
        <w:t>s</w:t>
      </w:r>
      <w:r w:rsidRPr="00A33AE8">
        <w:rPr>
          <w:rFonts w:asciiTheme="majorHAnsi" w:hAnsiTheme="majorHAnsi" w:cstheme="majorHAnsi"/>
          <w:lang w:val="en-GB"/>
        </w:rPr>
        <w:t xml:space="preserve"> strategic and legislative framework in the area of science, research and innovation is in line with the EU Acquis Communautaire. In 2016, Serbia </w:t>
      </w:r>
      <w:r w:rsidR="005D5BE4" w:rsidRPr="00A33AE8">
        <w:rPr>
          <w:rFonts w:asciiTheme="majorHAnsi" w:hAnsiTheme="majorHAnsi" w:cstheme="majorHAnsi"/>
          <w:lang w:val="en-GB"/>
        </w:rPr>
        <w:t>opened</w:t>
      </w:r>
      <w:r w:rsidRPr="00A33AE8">
        <w:rPr>
          <w:rFonts w:asciiTheme="majorHAnsi" w:hAnsiTheme="majorHAnsi" w:cstheme="majorHAnsi"/>
          <w:lang w:val="en-GB"/>
        </w:rPr>
        <w:t xml:space="preserve"> the </w:t>
      </w:r>
      <w:r w:rsidRPr="00A33AE8">
        <w:rPr>
          <w:rFonts w:asciiTheme="majorHAnsi" w:hAnsiTheme="majorHAnsi" w:cstheme="majorHAnsi"/>
          <w:b/>
          <w:bCs/>
          <w:lang w:val="en-GB"/>
        </w:rPr>
        <w:t>Negotiating Chapter 25: Science and Research</w:t>
      </w:r>
      <w:r w:rsidRPr="00A33AE8">
        <w:rPr>
          <w:rFonts w:asciiTheme="majorHAnsi" w:hAnsiTheme="majorHAnsi" w:cstheme="majorHAnsi"/>
          <w:lang w:val="en-GB"/>
        </w:rPr>
        <w:t xml:space="preserve"> within the pre-</w:t>
      </w:r>
      <w:r w:rsidR="005D5BE4" w:rsidRPr="00A33AE8">
        <w:rPr>
          <w:rFonts w:asciiTheme="majorHAnsi" w:hAnsiTheme="majorHAnsi" w:cstheme="majorHAnsi"/>
          <w:lang w:val="en-GB"/>
        </w:rPr>
        <w:t>accession</w:t>
      </w:r>
      <w:r w:rsidRPr="00A33AE8">
        <w:rPr>
          <w:rFonts w:asciiTheme="majorHAnsi" w:hAnsiTheme="majorHAnsi" w:cstheme="majorHAnsi"/>
          <w:lang w:val="en-GB"/>
        </w:rPr>
        <w:t xml:space="preserve"> negotiation process with the European Union and then temporarily </w:t>
      </w:r>
      <w:r w:rsidR="00E0485F" w:rsidRPr="00A33AE8">
        <w:rPr>
          <w:rFonts w:asciiTheme="majorHAnsi" w:hAnsiTheme="majorHAnsi" w:cstheme="majorHAnsi"/>
          <w:lang w:val="en-GB"/>
        </w:rPr>
        <w:t xml:space="preserve">provisionally </w:t>
      </w:r>
      <w:r w:rsidRPr="00A33AE8">
        <w:rPr>
          <w:rFonts w:asciiTheme="majorHAnsi" w:hAnsiTheme="majorHAnsi" w:cstheme="majorHAnsi"/>
          <w:lang w:val="en-GB"/>
        </w:rPr>
        <w:t>closed</w:t>
      </w:r>
      <w:r w:rsidR="0040465F" w:rsidRPr="00A33AE8">
        <w:rPr>
          <w:rFonts w:asciiTheme="majorHAnsi" w:hAnsiTheme="majorHAnsi" w:cstheme="majorHAnsi"/>
          <w:lang w:val="en-GB"/>
        </w:rPr>
        <w:t xml:space="preserve"> it</w:t>
      </w:r>
      <w:r w:rsidRPr="00A33AE8">
        <w:rPr>
          <w:rFonts w:asciiTheme="majorHAnsi" w:hAnsiTheme="majorHAnsi" w:cstheme="majorHAnsi"/>
          <w:lang w:val="en-GB"/>
        </w:rPr>
        <w:t xml:space="preserve">, </w:t>
      </w:r>
      <w:r w:rsidR="005D5BE4" w:rsidRPr="00A33AE8">
        <w:rPr>
          <w:rFonts w:asciiTheme="majorHAnsi" w:hAnsiTheme="majorHAnsi" w:cstheme="majorHAnsi"/>
          <w:lang w:val="en-GB"/>
        </w:rPr>
        <w:t>becoming</w:t>
      </w:r>
      <w:r w:rsidRPr="00A33AE8">
        <w:rPr>
          <w:rFonts w:asciiTheme="majorHAnsi" w:hAnsiTheme="majorHAnsi" w:cstheme="majorHAnsi"/>
          <w:lang w:val="en-GB"/>
        </w:rPr>
        <w:t xml:space="preserve"> the first chapter the Serbia successfully closed in negotiations with the EU. In the same year, the </w:t>
      </w:r>
      <w:r w:rsidRPr="00A33AE8">
        <w:rPr>
          <w:rFonts w:asciiTheme="majorHAnsi" w:hAnsiTheme="majorHAnsi" w:cstheme="majorHAnsi"/>
          <w:b/>
          <w:bCs/>
          <w:lang w:val="en-GB"/>
        </w:rPr>
        <w:t xml:space="preserve">Strategy of Scientific and Technological Development of the Republic of Serbia for the </w:t>
      </w:r>
      <w:r w:rsidRPr="00A33AE8">
        <w:rPr>
          <w:rFonts w:asciiTheme="majorHAnsi" w:hAnsiTheme="majorHAnsi" w:cstheme="majorHAnsi"/>
          <w:b/>
          <w:bCs/>
          <w:lang w:val="en-GB"/>
        </w:rPr>
        <w:lastRenderedPageBreak/>
        <w:t>period from 2016 to 2020 – “Research for Innovation”</w:t>
      </w:r>
      <w:r w:rsidR="003B38F4" w:rsidRPr="00A33AE8">
        <w:rPr>
          <w:rStyle w:val="FootnoteReference"/>
          <w:rFonts w:asciiTheme="majorHAnsi" w:hAnsiTheme="majorHAnsi" w:cstheme="majorHAnsi"/>
          <w:b/>
          <w:bCs/>
        </w:rPr>
        <w:footnoteReference w:id="90"/>
      </w:r>
      <w:r w:rsidRPr="00A33AE8">
        <w:rPr>
          <w:rFonts w:asciiTheme="majorHAnsi" w:hAnsiTheme="majorHAnsi" w:cstheme="majorHAnsi"/>
          <w:lang w:val="en-GB"/>
        </w:rPr>
        <w:t xml:space="preserve"> was adopted. Also, the </w:t>
      </w:r>
      <w:r w:rsidRPr="00A33AE8">
        <w:rPr>
          <w:rFonts w:asciiTheme="majorHAnsi" w:hAnsiTheme="majorHAnsi" w:cstheme="majorHAnsi"/>
          <w:b/>
          <w:lang w:val="en-GB"/>
        </w:rPr>
        <w:t>Smart Specialization Strategy of Serbia (4S)</w:t>
      </w:r>
      <w:r w:rsidRPr="00A33AE8">
        <w:rPr>
          <w:rFonts w:asciiTheme="majorHAnsi" w:hAnsiTheme="majorHAnsi" w:cstheme="majorHAnsi"/>
          <w:lang w:val="en-GB"/>
        </w:rPr>
        <w:t xml:space="preserve"> development process was formally initiated in late 2016 by the Ministry of Education, Science and Technological Development and the Public Policy Secretariat of the Republic of Serbia, as a starting transformative step. Following that, Serbia became the first non-EU country to join </w:t>
      </w:r>
      <w:r w:rsidRPr="00A33AE8">
        <w:rPr>
          <w:rFonts w:asciiTheme="majorHAnsi" w:hAnsiTheme="majorHAnsi" w:cstheme="majorHAnsi"/>
          <w:b/>
          <w:bCs/>
          <w:lang w:val="en-GB"/>
        </w:rPr>
        <w:t xml:space="preserve">the Platform of Countries and Regions </w:t>
      </w:r>
      <w:r w:rsidRPr="00A33AE8">
        <w:rPr>
          <w:rFonts w:asciiTheme="majorHAnsi" w:hAnsiTheme="majorHAnsi" w:cstheme="majorHAnsi"/>
          <w:lang w:val="en-GB"/>
        </w:rPr>
        <w:t xml:space="preserve">that have entered into the Smart Specialization Strategy and finally, Serbia has applied new paradigm of innovation policy and smart specialisation development approach, by the adoption of </w:t>
      </w:r>
      <w:r w:rsidRPr="00A33AE8">
        <w:rPr>
          <w:rFonts w:asciiTheme="majorHAnsi" w:hAnsiTheme="majorHAnsi" w:cstheme="majorHAnsi"/>
          <w:b/>
          <w:bCs/>
          <w:lang w:val="en-GB"/>
        </w:rPr>
        <w:t>Smart Specialization Strategy of Serbia (4S) for the period 2020 to 2027</w:t>
      </w:r>
      <w:r w:rsidRPr="00A33AE8">
        <w:rPr>
          <w:rStyle w:val="FootnoteReference"/>
          <w:rFonts w:asciiTheme="majorHAnsi" w:hAnsiTheme="majorHAnsi" w:cstheme="majorHAnsi"/>
          <w:b/>
          <w:bCs/>
        </w:rPr>
        <w:footnoteReference w:id="91"/>
      </w:r>
      <w:r w:rsidRPr="00A33AE8">
        <w:rPr>
          <w:rFonts w:asciiTheme="majorHAnsi" w:hAnsiTheme="majorHAnsi" w:cstheme="majorHAnsi"/>
          <w:lang w:val="en-GB"/>
        </w:rPr>
        <w:t xml:space="preserve"> in 2020.</w:t>
      </w:r>
    </w:p>
    <w:p w14:paraId="4FC0C5C2" w14:textId="09F0B42E"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The general vision of this strategic document is to support the development of a smart and creative Republic of Serbia, highly competitive in the world, recognized by its knowledge-based innovations, partnerships from domestic ecosystem and creativity of individuals in areas of sustainable high-technology production of high value-added food for the future, sophisticated software solutions for global market and inter-sectoral-based industrial innovations. General vision means that as of 2027, the Serbian economy will </w:t>
      </w:r>
      <w:r w:rsidR="0040465F" w:rsidRPr="00A33AE8">
        <w:rPr>
          <w:rFonts w:asciiTheme="majorHAnsi" w:hAnsiTheme="majorHAnsi" w:cstheme="majorHAnsi"/>
          <w:lang w:val="en-GB"/>
        </w:rPr>
        <w:t xml:space="preserve">- </w:t>
      </w:r>
      <w:r w:rsidRPr="00A33AE8">
        <w:rPr>
          <w:rFonts w:asciiTheme="majorHAnsi" w:hAnsiTheme="majorHAnsi" w:cstheme="majorHAnsi"/>
          <w:lang w:val="en-GB"/>
        </w:rPr>
        <w:t xml:space="preserve">to a great extent </w:t>
      </w:r>
      <w:r w:rsidR="0040465F" w:rsidRPr="00A33AE8">
        <w:rPr>
          <w:rFonts w:asciiTheme="majorHAnsi" w:hAnsiTheme="majorHAnsi" w:cstheme="majorHAnsi"/>
          <w:lang w:val="en-GB"/>
        </w:rPr>
        <w:t xml:space="preserve">- </w:t>
      </w:r>
      <w:r w:rsidRPr="00A33AE8">
        <w:rPr>
          <w:rFonts w:asciiTheme="majorHAnsi" w:hAnsiTheme="majorHAnsi" w:cstheme="majorHAnsi"/>
          <w:lang w:val="en-GB"/>
        </w:rPr>
        <w:t xml:space="preserve">be based on knowledge and innovations </w:t>
      </w:r>
      <w:r w:rsidR="0040465F" w:rsidRPr="00A33AE8">
        <w:rPr>
          <w:rFonts w:asciiTheme="majorHAnsi" w:hAnsiTheme="majorHAnsi" w:cstheme="majorHAnsi"/>
          <w:lang w:val="en-GB"/>
        </w:rPr>
        <w:t xml:space="preserve">and include </w:t>
      </w:r>
      <w:r w:rsidRPr="00A33AE8">
        <w:rPr>
          <w:rFonts w:asciiTheme="majorHAnsi" w:hAnsiTheme="majorHAnsi" w:cstheme="majorHAnsi"/>
          <w:lang w:val="en-GB"/>
        </w:rPr>
        <w:t>crucial priority strategy areas supported to create greater competitiveness and better positions in global supply chains. Thus, the key pillars of this strategy are science, competitiveness, education, communication and digitalization, and agriculture.</w:t>
      </w:r>
    </w:p>
    <w:p w14:paraId="316F8A81" w14:textId="723CF18B"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In the period from the adoption of the strategy titled "Research for Innovation", a number of envisaged measures were implemented, such as an adoption of the </w:t>
      </w:r>
      <w:r w:rsidRPr="00A33AE8">
        <w:rPr>
          <w:rFonts w:asciiTheme="majorHAnsi" w:hAnsiTheme="majorHAnsi" w:cstheme="majorHAnsi"/>
          <w:b/>
          <w:bCs/>
          <w:lang w:val="en-GB"/>
        </w:rPr>
        <w:t>Law on the Science Fund</w:t>
      </w:r>
      <w:r w:rsidRPr="00A33AE8">
        <w:rPr>
          <w:rStyle w:val="FootnoteReference"/>
          <w:rFonts w:asciiTheme="majorHAnsi" w:hAnsiTheme="majorHAnsi" w:cstheme="majorHAnsi"/>
          <w:b/>
          <w:bCs/>
        </w:rPr>
        <w:footnoteReference w:id="92"/>
      </w:r>
      <w:r w:rsidRPr="00A33AE8">
        <w:rPr>
          <w:rFonts w:asciiTheme="majorHAnsi" w:hAnsiTheme="majorHAnsi" w:cstheme="majorHAnsi"/>
          <w:lang w:val="en-GB"/>
        </w:rPr>
        <w:t xml:space="preserve">in 2018 and the </w:t>
      </w:r>
      <w:r w:rsidRPr="00A33AE8">
        <w:rPr>
          <w:rFonts w:asciiTheme="majorHAnsi" w:hAnsiTheme="majorHAnsi" w:cstheme="majorHAnsi"/>
          <w:b/>
          <w:bCs/>
          <w:lang w:val="en-GB"/>
        </w:rPr>
        <w:t>Law on Science and Research</w:t>
      </w:r>
      <w:r w:rsidRPr="00A33AE8">
        <w:rPr>
          <w:rStyle w:val="FootnoteReference"/>
          <w:rFonts w:asciiTheme="majorHAnsi" w:hAnsiTheme="majorHAnsi" w:cstheme="majorHAnsi"/>
          <w:b/>
          <w:bCs/>
        </w:rPr>
        <w:footnoteReference w:id="93"/>
      </w:r>
      <w:r w:rsidRPr="00A33AE8">
        <w:rPr>
          <w:rFonts w:asciiTheme="majorHAnsi" w:hAnsiTheme="majorHAnsi" w:cstheme="majorHAnsi"/>
          <w:lang w:val="en-GB"/>
        </w:rPr>
        <w:t xml:space="preserve"> in 2019, that has made key steps in reforming the system of organization and financing of science. Those laws enabled implementation of a new model of financing research activities through institutional and competitive project financing. The establishment and operation of the </w:t>
      </w:r>
      <w:r w:rsidRPr="00A33AE8">
        <w:rPr>
          <w:rFonts w:asciiTheme="majorHAnsi" w:hAnsiTheme="majorHAnsi" w:cstheme="majorHAnsi"/>
          <w:b/>
          <w:bCs/>
          <w:lang w:val="en-GB"/>
        </w:rPr>
        <w:t>Science Fund of the Republic of Serbia</w:t>
      </w:r>
      <w:r w:rsidRPr="00A33AE8">
        <w:rPr>
          <w:rFonts w:asciiTheme="majorHAnsi" w:hAnsiTheme="majorHAnsi" w:cstheme="majorHAnsi"/>
          <w:lang w:val="en-GB"/>
        </w:rPr>
        <w:t xml:space="preserve"> regulates and improves the area of support for scientific research, while the institutional support of the Government through the </w:t>
      </w:r>
      <w:r w:rsidRPr="00A33AE8">
        <w:rPr>
          <w:rFonts w:asciiTheme="majorHAnsi" w:hAnsiTheme="majorHAnsi" w:cstheme="majorHAnsi"/>
          <w:b/>
          <w:bCs/>
          <w:lang w:val="en-GB"/>
        </w:rPr>
        <w:t>Innovation Fund</w:t>
      </w:r>
      <w:r w:rsidRPr="00A33AE8">
        <w:rPr>
          <w:rFonts w:asciiTheme="majorHAnsi" w:hAnsiTheme="majorHAnsi" w:cstheme="majorHAnsi"/>
          <w:lang w:val="en-GB"/>
        </w:rPr>
        <w:t xml:space="preserve"> has as goal to enable cooperation between investors and international donors to provide greater funding, to foster university-business cooperation in order to translate scientific achievements into real economy, and to encourage small and medium-sized enterprises engaged in innovation activities.</w:t>
      </w:r>
    </w:p>
    <w:p w14:paraId="1F214757" w14:textId="270B617A"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Following that, the </w:t>
      </w:r>
      <w:r w:rsidRPr="00A33AE8">
        <w:rPr>
          <w:rFonts w:asciiTheme="majorHAnsi" w:hAnsiTheme="majorHAnsi" w:cstheme="majorHAnsi"/>
          <w:b/>
          <w:bCs/>
          <w:lang w:val="en-GB"/>
        </w:rPr>
        <w:t xml:space="preserve">Strategy of Scientific and Technological Development of </w:t>
      </w:r>
      <w:r w:rsidR="00D10B0F" w:rsidRPr="00A33AE8">
        <w:rPr>
          <w:rFonts w:asciiTheme="majorHAnsi" w:hAnsiTheme="majorHAnsi" w:cstheme="majorHAnsi"/>
          <w:b/>
          <w:bCs/>
          <w:lang w:val="en-GB"/>
        </w:rPr>
        <w:t xml:space="preserve">the Republic of </w:t>
      </w:r>
      <w:r w:rsidRPr="00A33AE8">
        <w:rPr>
          <w:rFonts w:asciiTheme="majorHAnsi" w:hAnsiTheme="majorHAnsi" w:cstheme="majorHAnsi"/>
          <w:b/>
          <w:bCs/>
          <w:lang w:val="en-GB"/>
        </w:rPr>
        <w:t xml:space="preserve">Serbia </w:t>
      </w:r>
      <w:r w:rsidR="00D10B0F" w:rsidRPr="00A33AE8">
        <w:rPr>
          <w:rFonts w:asciiTheme="majorHAnsi" w:hAnsiTheme="majorHAnsi" w:cstheme="majorHAnsi"/>
          <w:b/>
          <w:bCs/>
          <w:lang w:val="en-GB"/>
        </w:rPr>
        <w:t xml:space="preserve">for the period </w:t>
      </w:r>
      <w:r w:rsidRPr="00A33AE8">
        <w:rPr>
          <w:rFonts w:asciiTheme="majorHAnsi" w:hAnsiTheme="majorHAnsi" w:cstheme="majorHAnsi"/>
          <w:b/>
          <w:bCs/>
          <w:lang w:val="en-GB"/>
        </w:rPr>
        <w:t>from 2021 to 2025</w:t>
      </w:r>
      <w:r w:rsidRPr="00A33AE8">
        <w:rPr>
          <w:rFonts w:asciiTheme="majorHAnsi" w:hAnsiTheme="majorHAnsi" w:cstheme="majorHAnsi"/>
          <w:lang w:val="en-GB"/>
        </w:rPr>
        <w:t xml:space="preserve"> </w:t>
      </w:r>
      <w:r w:rsidRPr="00A33AE8">
        <w:rPr>
          <w:rFonts w:asciiTheme="majorHAnsi" w:hAnsiTheme="majorHAnsi" w:cstheme="majorHAnsi"/>
          <w:b/>
          <w:bCs/>
          <w:lang w:val="en-GB"/>
        </w:rPr>
        <w:t>“The Power of Knowledge”</w:t>
      </w:r>
      <w:r w:rsidRPr="00A33AE8">
        <w:rPr>
          <w:rStyle w:val="FootnoteReference"/>
          <w:rFonts w:asciiTheme="majorHAnsi" w:hAnsiTheme="majorHAnsi" w:cstheme="majorHAnsi"/>
          <w:b/>
          <w:bCs/>
        </w:rPr>
        <w:footnoteReference w:id="94"/>
      </w:r>
      <w:r w:rsidRPr="00A33AE8">
        <w:rPr>
          <w:rFonts w:asciiTheme="majorHAnsi" w:hAnsiTheme="majorHAnsi" w:cstheme="majorHAnsi"/>
          <w:lang w:val="en-GB"/>
        </w:rPr>
        <w:t xml:space="preserve">, </w:t>
      </w:r>
      <w:r w:rsidR="0040465F" w:rsidRPr="00A33AE8">
        <w:rPr>
          <w:rFonts w:asciiTheme="majorHAnsi" w:hAnsiTheme="majorHAnsi" w:cstheme="majorHAnsi"/>
          <w:lang w:val="en-GB"/>
        </w:rPr>
        <w:t xml:space="preserve">was </w:t>
      </w:r>
      <w:r w:rsidRPr="00A33AE8">
        <w:rPr>
          <w:rFonts w:asciiTheme="majorHAnsi" w:hAnsiTheme="majorHAnsi" w:cstheme="majorHAnsi"/>
          <w:lang w:val="en-GB"/>
        </w:rPr>
        <w:t xml:space="preserve">prepared by the Ministry of Education, Science and Technological Development and adopted in 2021. An integral part of this strategy is the three-year period </w:t>
      </w:r>
      <w:r w:rsidRPr="00A33AE8">
        <w:rPr>
          <w:rFonts w:asciiTheme="majorHAnsi" w:hAnsiTheme="majorHAnsi" w:cstheme="majorHAnsi"/>
          <w:b/>
          <w:bCs/>
          <w:lang w:val="en-GB"/>
        </w:rPr>
        <w:t>Action Plan for 2021-2023</w:t>
      </w:r>
      <w:r w:rsidRPr="00A33AE8">
        <w:rPr>
          <w:rFonts w:asciiTheme="majorHAnsi" w:hAnsiTheme="majorHAnsi" w:cstheme="majorHAnsi"/>
          <w:lang w:val="en-GB"/>
        </w:rPr>
        <w:t xml:space="preserve">. The strategy aims to enable the acceleration of Serbia’s development and the country’s integration into the European research space through the upgrade of the science-technology and innovation system. The </w:t>
      </w:r>
      <w:r w:rsidRPr="00A33AE8">
        <w:rPr>
          <w:rFonts w:asciiTheme="majorHAnsi" w:hAnsiTheme="majorHAnsi" w:cstheme="majorHAnsi"/>
          <w:b/>
          <w:bCs/>
          <w:lang w:val="en-GB"/>
        </w:rPr>
        <w:t>Industrial Policy Strategy from 2021 to 2030</w:t>
      </w:r>
      <w:r w:rsidRPr="00A33AE8">
        <w:rPr>
          <w:rFonts w:asciiTheme="majorHAnsi" w:hAnsiTheme="majorHAnsi" w:cstheme="majorHAnsi"/>
          <w:lang w:val="en-GB"/>
        </w:rPr>
        <w:t xml:space="preserve"> that replaced the previous </w:t>
      </w:r>
      <w:r w:rsidRPr="00A33AE8">
        <w:rPr>
          <w:rFonts w:asciiTheme="majorHAnsi" w:hAnsiTheme="majorHAnsi" w:cstheme="majorHAnsi"/>
          <w:b/>
          <w:bCs/>
          <w:lang w:val="en-GB"/>
        </w:rPr>
        <w:t>Strategy for the Development of Industry</w:t>
      </w:r>
      <w:r w:rsidRPr="00A33AE8">
        <w:rPr>
          <w:rFonts w:asciiTheme="majorHAnsi" w:hAnsiTheme="majorHAnsi" w:cstheme="majorHAnsi"/>
          <w:lang w:val="en-GB"/>
        </w:rPr>
        <w:t xml:space="preserve"> is extremely relevant to 4S and the overall objective of the new strategy is to raise competitiveness of the industry of the Republic of Serbia with a focus on industry-led development, which implies advanced production and high value-added services.</w:t>
      </w:r>
    </w:p>
    <w:p w14:paraId="5ABA8B3A" w14:textId="7AA74215"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Focusing on the national capacities and current state of development, Republic of Serbia has around 2,000 researchers per one million inhabitants, which is higher than other countries of the Western Balkans</w:t>
      </w:r>
      <w:r w:rsidR="00BE5DEF" w:rsidRPr="00A33AE8">
        <w:rPr>
          <w:rFonts w:asciiTheme="majorHAnsi" w:hAnsiTheme="majorHAnsi" w:cstheme="majorHAnsi"/>
          <w:lang w:val="en-GB"/>
        </w:rPr>
        <w:t xml:space="preserve"> region</w:t>
      </w:r>
      <w:r w:rsidRPr="00A33AE8">
        <w:rPr>
          <w:rFonts w:asciiTheme="majorHAnsi" w:hAnsiTheme="majorHAnsi" w:cstheme="majorHAnsi"/>
          <w:lang w:val="en-GB"/>
        </w:rPr>
        <w:t xml:space="preserve">, but less than developed EU countries </w:t>
      </w:r>
      <w:r w:rsidR="0040465F" w:rsidRPr="00A33AE8">
        <w:rPr>
          <w:rFonts w:asciiTheme="majorHAnsi" w:hAnsiTheme="majorHAnsi" w:cstheme="majorHAnsi"/>
          <w:lang w:val="en-GB"/>
        </w:rPr>
        <w:t xml:space="preserve">in </w:t>
      </w:r>
      <w:r w:rsidRPr="00A33AE8">
        <w:rPr>
          <w:rFonts w:asciiTheme="majorHAnsi" w:hAnsiTheme="majorHAnsi" w:cstheme="majorHAnsi"/>
          <w:lang w:val="en-GB"/>
        </w:rPr>
        <w:t xml:space="preserve">the region. In total, there are around 15,000 researchers officially and this number has been constantly rising. Given that the greatest number of researchers are in the public sector, such as institutions of higher education and institutes, the number of researchers has been </w:t>
      </w:r>
      <w:r w:rsidR="0040465F" w:rsidRPr="00A33AE8">
        <w:rPr>
          <w:rFonts w:asciiTheme="majorHAnsi" w:hAnsiTheme="majorHAnsi" w:cstheme="majorHAnsi"/>
          <w:lang w:val="en-GB"/>
        </w:rPr>
        <w:t xml:space="preserve">stagnant </w:t>
      </w:r>
      <w:r w:rsidRPr="00A33AE8">
        <w:rPr>
          <w:rFonts w:asciiTheme="majorHAnsi" w:hAnsiTheme="majorHAnsi" w:cstheme="majorHAnsi"/>
          <w:lang w:val="en-GB"/>
        </w:rPr>
        <w:t>since 2016 and even a mild decrease has been registered.</w:t>
      </w:r>
    </w:p>
    <w:p w14:paraId="417C19DF" w14:textId="77777777"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More than half of business entities in Serbia have been characterized as innovative with a significant upward trend in the number of innovative enterprises in the last couple of years. Enterprises, on the other hand, invest very little in R&amp;I, while innovations are generally incremental in nature with very few businesses that have made radical innovations and developed a worldwide product. This situation in the business sector is also </w:t>
      </w:r>
      <w:r w:rsidRPr="00A33AE8">
        <w:rPr>
          <w:rFonts w:asciiTheme="majorHAnsi" w:hAnsiTheme="majorHAnsi" w:cstheme="majorHAnsi"/>
          <w:lang w:val="en-GB"/>
        </w:rPr>
        <w:lastRenderedPageBreak/>
        <w:t>reflected in the relatively low number of patents compared to other countries. Anyway, there has been a growing trend in the number of innovators among business entities since 2012. The largest share of innovators' businesses is in the Information and Communication sector and in the Manufacturing industry, while in the case of energy sector, the share of innovators</w:t>
      </w:r>
      <w:r w:rsidR="00785E0F" w:rsidRPr="00A33AE8">
        <w:rPr>
          <w:rFonts w:asciiTheme="majorHAnsi" w:hAnsiTheme="majorHAnsi" w:cstheme="majorHAnsi"/>
          <w:lang w:val="en-GB"/>
        </w:rPr>
        <w:t>’</w:t>
      </w:r>
      <w:r w:rsidR="004D3A83" w:rsidRPr="000007D2">
        <w:rPr>
          <w:rFonts w:asciiTheme="majorHAnsi" w:hAnsiTheme="majorHAnsi" w:cstheme="majorHAnsi"/>
          <w:lang w:val="en-GB"/>
        </w:rPr>
        <w:t xml:space="preserve"> </w:t>
      </w:r>
      <w:r w:rsidR="00DD5A48" w:rsidRPr="00A33AE8">
        <w:rPr>
          <w:rFonts w:asciiTheme="majorHAnsi" w:hAnsiTheme="majorHAnsi" w:cstheme="majorHAnsi"/>
          <w:lang w:val="en-GB"/>
        </w:rPr>
        <w:t>business</w:t>
      </w:r>
      <w:r w:rsidR="00785E0F" w:rsidRPr="00A33AE8">
        <w:rPr>
          <w:rFonts w:asciiTheme="majorHAnsi" w:hAnsiTheme="majorHAnsi" w:cstheme="majorHAnsi"/>
          <w:lang w:val="en-GB"/>
        </w:rPr>
        <w:t>es</w:t>
      </w:r>
      <w:r w:rsidRPr="00A33AE8">
        <w:rPr>
          <w:rFonts w:asciiTheme="majorHAnsi" w:hAnsiTheme="majorHAnsi" w:cstheme="majorHAnsi"/>
          <w:lang w:val="en-GB"/>
        </w:rPr>
        <w:t xml:space="preserve"> was over 42% in period 2012-2018. On the other hand, the number of patent applications is at a low level, but the number of patents granted for inventions by domestic inventors abroad on the basis of international and/or European patent applications has grown over the last couple of years.</w:t>
      </w:r>
    </w:p>
    <w:p w14:paraId="50F945C5" w14:textId="7D9F2BBE"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In 2015, a partnership of the Government, the City of Belgrade and the University of Belgrade established the first </w:t>
      </w:r>
      <w:r w:rsidRPr="00A33AE8">
        <w:rPr>
          <w:rFonts w:asciiTheme="majorHAnsi" w:hAnsiTheme="majorHAnsi" w:cstheme="majorHAnsi"/>
          <w:b/>
          <w:bCs/>
          <w:lang w:val="en-GB"/>
        </w:rPr>
        <w:t>Science and Technological Park,</w:t>
      </w:r>
      <w:r w:rsidRPr="00A33AE8">
        <w:rPr>
          <w:rFonts w:asciiTheme="majorHAnsi" w:hAnsiTheme="majorHAnsi" w:cstheme="majorHAnsi"/>
          <w:bCs/>
          <w:lang w:val="en-GB"/>
        </w:rPr>
        <w:t xml:space="preserve"> located in Belgrade</w:t>
      </w:r>
      <w:r w:rsidRPr="00A33AE8">
        <w:rPr>
          <w:rFonts w:asciiTheme="majorHAnsi" w:hAnsiTheme="majorHAnsi" w:cstheme="majorHAnsi"/>
          <w:lang w:val="en-GB"/>
        </w:rPr>
        <w:t>,</w:t>
      </w:r>
      <w:r w:rsidR="004D3A83" w:rsidRPr="000007D2">
        <w:rPr>
          <w:rFonts w:asciiTheme="majorHAnsi" w:hAnsiTheme="majorHAnsi" w:cstheme="majorHAnsi"/>
          <w:lang w:val="en-GB"/>
        </w:rPr>
        <w:t xml:space="preserve"> </w:t>
      </w:r>
      <w:r w:rsidR="00785E0F" w:rsidRPr="00A33AE8">
        <w:rPr>
          <w:rFonts w:asciiTheme="majorHAnsi" w:hAnsiTheme="majorHAnsi" w:cstheme="majorHAnsi"/>
          <w:lang w:val="en-GB"/>
        </w:rPr>
        <w:t xml:space="preserve">as a measure to stimulate scientific and innovation development. Additional </w:t>
      </w:r>
      <w:r w:rsidRPr="00A33AE8">
        <w:rPr>
          <w:rFonts w:asciiTheme="majorHAnsi" w:hAnsiTheme="majorHAnsi" w:cstheme="majorHAnsi"/>
          <w:lang w:val="en-GB"/>
        </w:rPr>
        <w:t xml:space="preserve">science and technology parks </w:t>
      </w:r>
      <w:r w:rsidR="00785E0F" w:rsidRPr="00A33AE8">
        <w:rPr>
          <w:rFonts w:asciiTheme="majorHAnsi" w:hAnsiTheme="majorHAnsi" w:cstheme="majorHAnsi"/>
          <w:lang w:val="en-GB"/>
        </w:rPr>
        <w:t>have been constructed</w:t>
      </w:r>
      <w:r w:rsidRPr="00A33AE8">
        <w:rPr>
          <w:rFonts w:asciiTheme="majorHAnsi" w:hAnsiTheme="majorHAnsi" w:cstheme="majorHAnsi"/>
          <w:lang w:val="en-GB"/>
        </w:rPr>
        <w:t xml:space="preserve"> in </w:t>
      </w:r>
      <w:r w:rsidR="00FC75B7" w:rsidRPr="00A33AE8">
        <w:rPr>
          <w:rFonts w:asciiTheme="majorHAnsi" w:hAnsiTheme="majorHAnsi" w:cstheme="majorHAnsi"/>
          <w:lang w:val="en-GB"/>
        </w:rPr>
        <w:t>three</w:t>
      </w:r>
      <w:r w:rsidRPr="00A33AE8">
        <w:rPr>
          <w:rFonts w:asciiTheme="majorHAnsi" w:hAnsiTheme="majorHAnsi" w:cstheme="majorHAnsi"/>
          <w:lang w:val="en-GB"/>
        </w:rPr>
        <w:t xml:space="preserve"> more cities</w:t>
      </w:r>
      <w:r w:rsidR="00FC75B7" w:rsidRPr="00A33AE8">
        <w:rPr>
          <w:rFonts w:asciiTheme="majorHAnsi" w:hAnsiTheme="majorHAnsi" w:cstheme="majorHAnsi"/>
          <w:lang w:val="en-GB"/>
        </w:rPr>
        <w:t xml:space="preserve"> – Nis, Novi Sad and Cacak</w:t>
      </w:r>
      <w:r w:rsidRPr="00A33AE8">
        <w:rPr>
          <w:rFonts w:asciiTheme="majorHAnsi" w:hAnsiTheme="majorHAnsi" w:cstheme="majorHAnsi"/>
          <w:lang w:val="en-GB"/>
        </w:rPr>
        <w:t xml:space="preserve">. In 2018, with a view to implementing positive changes to the European scientific community, the </w:t>
      </w:r>
      <w:r w:rsidRPr="00A33AE8">
        <w:rPr>
          <w:rFonts w:asciiTheme="majorHAnsi" w:hAnsiTheme="majorHAnsi" w:cstheme="majorHAnsi"/>
          <w:b/>
          <w:bCs/>
          <w:lang w:val="en-GB"/>
        </w:rPr>
        <w:t>Platform for Open Science</w:t>
      </w:r>
      <w:r w:rsidRPr="00A33AE8">
        <w:rPr>
          <w:rFonts w:asciiTheme="majorHAnsi" w:hAnsiTheme="majorHAnsi" w:cstheme="majorHAnsi"/>
          <w:lang w:val="en-GB"/>
        </w:rPr>
        <w:t xml:space="preserve"> was adopted in Serbia. At national level in the energy and climate area, within the </w:t>
      </w:r>
      <w:r w:rsidRPr="00A33AE8">
        <w:rPr>
          <w:rFonts w:asciiTheme="majorHAnsi" w:hAnsiTheme="majorHAnsi" w:cstheme="majorHAnsi"/>
          <w:b/>
          <w:bCs/>
          <w:lang w:val="en-GB"/>
        </w:rPr>
        <w:t>Sector for technological development, technology transfer and innovation system</w:t>
      </w:r>
      <w:r w:rsidRPr="00A33AE8">
        <w:rPr>
          <w:rFonts w:asciiTheme="majorHAnsi" w:hAnsiTheme="majorHAnsi" w:cstheme="majorHAnsi"/>
          <w:lang w:val="en-GB"/>
        </w:rPr>
        <w:t xml:space="preserve"> of the Ministry of Education, Science and Technological Development, there is an </w:t>
      </w:r>
      <w:r w:rsidRPr="00A33AE8">
        <w:rPr>
          <w:rFonts w:asciiTheme="majorHAnsi" w:hAnsiTheme="majorHAnsi" w:cstheme="majorHAnsi"/>
          <w:b/>
          <w:bCs/>
          <w:lang w:val="en-GB"/>
        </w:rPr>
        <w:t>Energy, Mining and Energy Efficiency area</w:t>
      </w:r>
      <w:r w:rsidRPr="00A33AE8">
        <w:rPr>
          <w:rFonts w:asciiTheme="majorHAnsi" w:hAnsiTheme="majorHAnsi" w:cstheme="majorHAnsi"/>
          <w:lang w:val="en-GB"/>
        </w:rPr>
        <w:t xml:space="preserve"> as one of the key fields. Another body that exists under the Ministry of Education, Science and Technological Development is the </w:t>
      </w:r>
      <w:r w:rsidRPr="00A33AE8">
        <w:rPr>
          <w:rFonts w:asciiTheme="majorHAnsi" w:hAnsiTheme="majorHAnsi" w:cstheme="majorHAnsi"/>
          <w:b/>
          <w:bCs/>
          <w:lang w:val="en-GB"/>
        </w:rPr>
        <w:t>National Council for Scientific and Technological Development</w:t>
      </w:r>
      <w:r w:rsidRPr="00A33AE8">
        <w:rPr>
          <w:rFonts w:asciiTheme="majorHAnsi" w:hAnsiTheme="majorHAnsi" w:cstheme="majorHAnsi"/>
          <w:lang w:val="en-GB"/>
        </w:rPr>
        <w:t xml:space="preserve">. Besides that, there are many other institutions and bodies that are contributing to the development of the research and innovation issues, such as the </w:t>
      </w:r>
      <w:r w:rsidRPr="00A33AE8">
        <w:rPr>
          <w:rFonts w:asciiTheme="majorHAnsi" w:hAnsiTheme="majorHAnsi" w:cstheme="majorHAnsi"/>
          <w:b/>
          <w:bCs/>
          <w:lang w:val="en-GB"/>
        </w:rPr>
        <w:t>Serbian Academy of Sciences and Arts (SANU)</w:t>
      </w:r>
      <w:r w:rsidRPr="00A33AE8">
        <w:rPr>
          <w:rFonts w:asciiTheme="majorHAnsi" w:hAnsiTheme="majorHAnsi" w:cstheme="majorHAnsi"/>
          <w:lang w:val="en-GB"/>
        </w:rPr>
        <w:t xml:space="preserve"> and the </w:t>
      </w:r>
      <w:r w:rsidRPr="00A33AE8">
        <w:rPr>
          <w:rFonts w:asciiTheme="majorHAnsi" w:hAnsiTheme="majorHAnsi" w:cstheme="majorHAnsi"/>
          <w:b/>
          <w:bCs/>
          <w:lang w:val="en-GB"/>
        </w:rPr>
        <w:t>Center for Promotion of Science</w:t>
      </w:r>
      <w:r w:rsidRPr="00A33AE8">
        <w:rPr>
          <w:rFonts w:asciiTheme="majorHAnsi" w:hAnsiTheme="majorHAnsi" w:cstheme="majorHAnsi"/>
          <w:lang w:val="en-GB"/>
        </w:rPr>
        <w:t xml:space="preserve">, with different responsibilities and objectives. </w:t>
      </w:r>
      <w:r w:rsidR="00AD0008" w:rsidRPr="00A33AE8">
        <w:rPr>
          <w:rFonts w:asciiTheme="majorHAnsi" w:hAnsiTheme="majorHAnsi" w:cstheme="majorHAnsi"/>
          <w:lang w:val="en-GB"/>
        </w:rPr>
        <w:t>However,</w:t>
      </w:r>
      <w:r w:rsidRPr="00A33AE8">
        <w:rPr>
          <w:rFonts w:asciiTheme="majorHAnsi" w:hAnsiTheme="majorHAnsi" w:cstheme="majorHAnsi"/>
          <w:lang w:val="en-GB"/>
        </w:rPr>
        <w:t xml:space="preserve"> most of them don’t have specific targets and objectives regarding the research and innovation in the field of energy, as is also the case with the above-mentioned strategies, while there are no specific calls in the fields of Energy and Environment (and/or Climate Change). In any case, many institutes and faculties are very active in conducting and performing research and innovation in energy technologies. Regarding the competitiveness, relevant institutions are the </w:t>
      </w:r>
      <w:r w:rsidR="00B45CF3" w:rsidRPr="00A33AE8">
        <w:rPr>
          <w:rFonts w:asciiTheme="majorHAnsi" w:hAnsiTheme="majorHAnsi" w:cstheme="majorHAnsi"/>
          <w:b/>
          <w:bCs/>
          <w:lang w:val="en-GB"/>
        </w:rPr>
        <w:t>Chamber of Commerce and Industry of Serbia</w:t>
      </w:r>
      <w:r w:rsidRPr="00A33AE8">
        <w:rPr>
          <w:rFonts w:asciiTheme="majorHAnsi" w:hAnsiTheme="majorHAnsi" w:cstheme="majorHAnsi"/>
          <w:lang w:val="en-GB"/>
        </w:rPr>
        <w:t xml:space="preserve">, </w:t>
      </w:r>
      <w:r w:rsidRPr="00A33AE8">
        <w:rPr>
          <w:rFonts w:asciiTheme="majorHAnsi" w:hAnsiTheme="majorHAnsi" w:cstheme="majorHAnsi"/>
          <w:b/>
          <w:bCs/>
          <w:lang w:val="en-GB"/>
        </w:rPr>
        <w:t>Development Agency of Serbia</w:t>
      </w:r>
      <w:r w:rsidRPr="00A33AE8">
        <w:rPr>
          <w:rFonts w:asciiTheme="majorHAnsi" w:hAnsiTheme="majorHAnsi" w:cstheme="majorHAnsi"/>
          <w:lang w:val="en-GB"/>
        </w:rPr>
        <w:t xml:space="preserve"> and </w:t>
      </w:r>
      <w:r w:rsidRPr="00A33AE8">
        <w:rPr>
          <w:rFonts w:asciiTheme="majorHAnsi" w:hAnsiTheme="majorHAnsi" w:cstheme="majorHAnsi"/>
          <w:b/>
          <w:bCs/>
          <w:lang w:val="en-GB"/>
        </w:rPr>
        <w:t>Commission for Protection of Competition</w:t>
      </w:r>
      <w:r w:rsidRPr="00A33AE8">
        <w:rPr>
          <w:rFonts w:asciiTheme="majorHAnsi" w:hAnsiTheme="majorHAnsi" w:cstheme="majorHAnsi"/>
          <w:lang w:val="en-GB"/>
        </w:rPr>
        <w:t>.</w:t>
      </w:r>
    </w:p>
    <w:p w14:paraId="05F67488" w14:textId="5E5E0BA3" w:rsidR="00D0644C"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The Republic of Serbia is </w:t>
      </w:r>
      <w:r w:rsidR="005D5BE4" w:rsidRPr="00A33AE8">
        <w:rPr>
          <w:rFonts w:asciiTheme="majorHAnsi" w:hAnsiTheme="majorHAnsi" w:cstheme="majorHAnsi"/>
          <w:lang w:val="en-GB"/>
        </w:rPr>
        <w:t>successfully</w:t>
      </w:r>
      <w:r w:rsidRPr="00A33AE8">
        <w:rPr>
          <w:rFonts w:asciiTheme="majorHAnsi" w:hAnsiTheme="majorHAnsi" w:cstheme="majorHAnsi"/>
          <w:lang w:val="en-GB"/>
        </w:rPr>
        <w:t xml:space="preserve"> conducting international cooperation, mainly through bilateral cooperation programs, cooperation within the region/macro region, and EU programs. An agreement signed in 2014 by the Government of Serbia and the European Union enabled participation of the </w:t>
      </w:r>
      <w:r w:rsidR="004F6C54" w:rsidRPr="00A33AE8">
        <w:rPr>
          <w:rFonts w:asciiTheme="majorHAnsi" w:hAnsiTheme="majorHAnsi" w:cstheme="majorHAnsi"/>
          <w:lang w:val="en-GB"/>
        </w:rPr>
        <w:t>former</w:t>
      </w:r>
      <w:r w:rsidRPr="00A33AE8">
        <w:rPr>
          <w:rFonts w:asciiTheme="majorHAnsi" w:hAnsiTheme="majorHAnsi" w:cstheme="majorHAnsi"/>
          <w:lang w:val="en-GB"/>
        </w:rPr>
        <w:t xml:space="preserve"> in the </w:t>
      </w:r>
      <w:r w:rsidRPr="00A33AE8">
        <w:rPr>
          <w:rFonts w:asciiTheme="majorHAnsi" w:hAnsiTheme="majorHAnsi" w:cstheme="majorHAnsi"/>
          <w:b/>
          <w:bCs/>
          <w:lang w:val="en-GB"/>
        </w:rPr>
        <w:t>Horizon 2020 program</w:t>
      </w:r>
      <w:r w:rsidRPr="00A33AE8">
        <w:rPr>
          <w:rFonts w:asciiTheme="majorHAnsi" w:hAnsiTheme="majorHAnsi" w:cstheme="majorHAnsi"/>
          <w:lang w:val="en-GB"/>
        </w:rPr>
        <w:t xml:space="preserve">. </w:t>
      </w:r>
      <w:r w:rsidR="004F6C54" w:rsidRPr="00A33AE8">
        <w:rPr>
          <w:rFonts w:asciiTheme="majorHAnsi" w:hAnsiTheme="majorHAnsi" w:cstheme="majorHAnsi"/>
          <w:lang w:val="en-GB"/>
        </w:rPr>
        <w:t>As a result of that</w:t>
      </w:r>
      <w:r w:rsidRPr="00A33AE8">
        <w:rPr>
          <w:rFonts w:asciiTheme="majorHAnsi" w:hAnsiTheme="majorHAnsi" w:cstheme="majorHAnsi"/>
          <w:lang w:val="en-GB"/>
        </w:rPr>
        <w:t xml:space="preserve">, the participation of Serbian scientific teams significantly expanded in the projects financed </w:t>
      </w:r>
      <w:r w:rsidR="004F6C54" w:rsidRPr="00A33AE8">
        <w:rPr>
          <w:rFonts w:asciiTheme="majorHAnsi" w:hAnsiTheme="majorHAnsi" w:cstheme="majorHAnsi"/>
          <w:lang w:val="en-GB"/>
        </w:rPr>
        <w:t xml:space="preserve">by </w:t>
      </w:r>
      <w:r w:rsidRPr="00A33AE8">
        <w:rPr>
          <w:rFonts w:asciiTheme="majorHAnsi" w:hAnsiTheme="majorHAnsi" w:cstheme="majorHAnsi"/>
          <w:lang w:val="en-GB"/>
        </w:rPr>
        <w:t xml:space="preserve">Horizon 2020. According to the data from January 2020, 446 institutions from the Republic of Serbia </w:t>
      </w:r>
      <w:r w:rsidR="004F6C54" w:rsidRPr="00A33AE8">
        <w:rPr>
          <w:rFonts w:asciiTheme="majorHAnsi" w:hAnsiTheme="majorHAnsi" w:cstheme="majorHAnsi"/>
          <w:lang w:val="en-GB"/>
        </w:rPr>
        <w:t>participate</w:t>
      </w:r>
      <w:r w:rsidRPr="00A33AE8">
        <w:rPr>
          <w:rFonts w:asciiTheme="majorHAnsi" w:hAnsiTheme="majorHAnsi" w:cstheme="majorHAnsi"/>
          <w:lang w:val="en-GB"/>
        </w:rPr>
        <w:t xml:space="preserve"> in the program as part of 311 projects approved for financing, where 149 participants are from the private sector. The majority of projects are in the area of food, about 20%, followed by the energy and information </w:t>
      </w:r>
      <w:r w:rsidR="005D5BE4" w:rsidRPr="00A33AE8">
        <w:rPr>
          <w:rFonts w:asciiTheme="majorHAnsi" w:hAnsiTheme="majorHAnsi" w:cstheme="majorHAnsi"/>
          <w:lang w:val="en-GB"/>
        </w:rPr>
        <w:t>technology</w:t>
      </w:r>
      <w:r w:rsidRPr="00A33AE8">
        <w:rPr>
          <w:rFonts w:asciiTheme="majorHAnsi" w:hAnsiTheme="majorHAnsi" w:cstheme="majorHAnsi"/>
          <w:lang w:val="en-GB"/>
        </w:rPr>
        <w:t>.</w:t>
      </w:r>
    </w:p>
    <w:p w14:paraId="5AE13057" w14:textId="77777777" w:rsidR="00F26FA8" w:rsidRPr="00A33AE8" w:rsidRDefault="00D0644C" w:rsidP="00D0644C">
      <w:pPr>
        <w:pStyle w:val="LDKbody"/>
        <w:rPr>
          <w:rFonts w:asciiTheme="majorHAnsi" w:hAnsiTheme="majorHAnsi" w:cstheme="majorHAnsi"/>
          <w:lang w:val="en-GB"/>
        </w:rPr>
      </w:pPr>
      <w:r w:rsidRPr="00A33AE8">
        <w:rPr>
          <w:rFonts w:asciiTheme="majorHAnsi" w:hAnsiTheme="majorHAnsi" w:cstheme="majorHAnsi"/>
          <w:lang w:val="en-GB"/>
        </w:rPr>
        <w:t xml:space="preserve">Additionally, the Republic of Serbia is extremely active in the implementation of the </w:t>
      </w:r>
      <w:r w:rsidRPr="00A33AE8">
        <w:rPr>
          <w:rFonts w:asciiTheme="majorHAnsi" w:hAnsiTheme="majorHAnsi" w:cstheme="majorHAnsi"/>
          <w:b/>
          <w:bCs/>
          <w:lang w:val="en-GB"/>
        </w:rPr>
        <w:t>EU Strategy for the Danube Region</w:t>
      </w:r>
      <w:r w:rsidRPr="00A33AE8">
        <w:rPr>
          <w:rFonts w:asciiTheme="majorHAnsi" w:hAnsiTheme="majorHAnsi" w:cstheme="majorHAnsi"/>
          <w:lang w:val="en-GB"/>
        </w:rPr>
        <w:t xml:space="preserve"> where it coordinates the Priority Area 7 “To develop the Knowledge Society (research, education and ICT)”. The Republic of Serbia is currently coordinating the pillar connecting the region with the </w:t>
      </w:r>
      <w:r w:rsidRPr="00A33AE8">
        <w:rPr>
          <w:rFonts w:asciiTheme="majorHAnsi" w:hAnsiTheme="majorHAnsi" w:cstheme="majorHAnsi"/>
          <w:b/>
          <w:bCs/>
          <w:lang w:val="en-GB"/>
        </w:rPr>
        <w:t>EU Strategy for the Adriatic-Ionian Region</w:t>
      </w:r>
      <w:r w:rsidRPr="00A33AE8">
        <w:rPr>
          <w:rFonts w:asciiTheme="majorHAnsi" w:hAnsiTheme="majorHAnsi" w:cstheme="majorHAnsi"/>
          <w:lang w:val="en-GB"/>
        </w:rPr>
        <w:t xml:space="preserve">, </w:t>
      </w:r>
      <w:r w:rsidR="00860FDC" w:rsidRPr="00A33AE8">
        <w:rPr>
          <w:rFonts w:asciiTheme="majorHAnsi" w:hAnsiTheme="majorHAnsi" w:cstheme="majorHAnsi"/>
          <w:lang w:val="en-GB"/>
        </w:rPr>
        <w:t xml:space="preserve">an </w:t>
      </w:r>
      <w:r w:rsidRPr="00A33AE8">
        <w:rPr>
          <w:rFonts w:asciiTheme="majorHAnsi" w:hAnsiTheme="majorHAnsi" w:cstheme="majorHAnsi"/>
          <w:lang w:val="en-GB"/>
        </w:rPr>
        <w:t xml:space="preserve">initiative that has the objective to promote economic and social prosperity and growth in the region by improving its attractiveness, competitiveness and cohesion. The Republic of Serbia is also active in the </w:t>
      </w:r>
      <w:r w:rsidRPr="00A33AE8">
        <w:rPr>
          <w:rFonts w:asciiTheme="majorHAnsi" w:hAnsiTheme="majorHAnsi" w:cstheme="majorHAnsi"/>
          <w:b/>
          <w:bCs/>
          <w:lang w:val="en-GB"/>
        </w:rPr>
        <w:t xml:space="preserve">European Strategic Forum for Research Infrastructure (ESFRI) </w:t>
      </w:r>
      <w:r w:rsidRPr="00A33AE8">
        <w:rPr>
          <w:rFonts w:asciiTheme="majorHAnsi" w:hAnsiTheme="majorHAnsi" w:cstheme="majorHAnsi"/>
          <w:lang w:val="en-GB"/>
        </w:rPr>
        <w:t xml:space="preserve">and in four consortiums of the </w:t>
      </w:r>
      <w:r w:rsidRPr="00A33AE8">
        <w:rPr>
          <w:rFonts w:asciiTheme="majorHAnsi" w:hAnsiTheme="majorHAnsi" w:cstheme="majorHAnsi"/>
          <w:b/>
          <w:bCs/>
          <w:lang w:val="en-GB"/>
        </w:rPr>
        <w:t>European Research Infrastructure Consortium (ERIC): CERIC (Central European Research Infrastructure Consortium), DARIAH (Digital Research Infrastructure for the Arts and Humanities), ESS (European Social Survey) and CESSDA (Consortium of European Social Science Data Archives)</w:t>
      </w:r>
      <w:r w:rsidRPr="00A33AE8">
        <w:rPr>
          <w:rFonts w:asciiTheme="majorHAnsi" w:hAnsiTheme="majorHAnsi" w:cstheme="majorHAnsi"/>
          <w:lang w:val="en-GB"/>
        </w:rPr>
        <w:t xml:space="preserve">. Moreover, Serbia has developed intensive cooperation at several levels with </w:t>
      </w:r>
      <w:r w:rsidRPr="00A33AE8">
        <w:rPr>
          <w:rFonts w:asciiTheme="majorHAnsi" w:hAnsiTheme="majorHAnsi" w:cstheme="majorHAnsi"/>
          <w:b/>
          <w:bCs/>
          <w:lang w:val="en-GB"/>
        </w:rPr>
        <w:t xml:space="preserve">Joint Research Center (JCR) of the European Commission, </w:t>
      </w:r>
      <w:r w:rsidRPr="00A33AE8">
        <w:rPr>
          <w:rFonts w:asciiTheme="majorHAnsi" w:hAnsiTheme="majorHAnsi" w:cstheme="majorHAnsi"/>
          <w:lang w:val="en-GB"/>
        </w:rPr>
        <w:t xml:space="preserve">and it also demonstrates a high level of activity in EUREKA and COST programs. Finally, the </w:t>
      </w:r>
      <w:r w:rsidRPr="00A33AE8">
        <w:rPr>
          <w:rFonts w:asciiTheme="majorHAnsi" w:hAnsiTheme="majorHAnsi" w:cstheme="majorHAnsi"/>
          <w:b/>
          <w:bCs/>
          <w:lang w:val="en-GB"/>
        </w:rPr>
        <w:t>Common Regional Market Action Plan for 2021-2024</w:t>
      </w:r>
      <w:r w:rsidRPr="00A33AE8">
        <w:rPr>
          <w:rFonts w:asciiTheme="majorHAnsi" w:hAnsiTheme="majorHAnsi" w:cstheme="majorHAnsi"/>
          <w:lang w:val="en-GB"/>
        </w:rPr>
        <w:t xml:space="preserve">, prepared by Central European Free Trade Agreement (CEFTA) Secretariat contains expectations and plans regarding the regional </w:t>
      </w:r>
      <w:r w:rsidR="00860FDC" w:rsidRPr="00A33AE8">
        <w:rPr>
          <w:rFonts w:asciiTheme="majorHAnsi" w:hAnsiTheme="majorHAnsi" w:cstheme="majorHAnsi"/>
          <w:lang w:val="en-GB"/>
        </w:rPr>
        <w:t xml:space="preserve">mobility </w:t>
      </w:r>
      <w:r w:rsidRPr="00A33AE8">
        <w:rPr>
          <w:rFonts w:asciiTheme="majorHAnsi" w:hAnsiTheme="majorHAnsi" w:cstheme="majorHAnsi"/>
          <w:lang w:val="en-GB"/>
        </w:rPr>
        <w:t>of researche</w:t>
      </w:r>
      <w:r w:rsidR="00860FDC" w:rsidRPr="00A33AE8">
        <w:rPr>
          <w:rFonts w:asciiTheme="majorHAnsi" w:hAnsiTheme="majorHAnsi" w:cstheme="majorHAnsi"/>
          <w:lang w:val="en-GB"/>
        </w:rPr>
        <w:t>r</w:t>
      </w:r>
      <w:r w:rsidRPr="00A33AE8">
        <w:rPr>
          <w:rFonts w:asciiTheme="majorHAnsi" w:hAnsiTheme="majorHAnsi" w:cstheme="majorHAnsi"/>
          <w:lang w:val="en-GB"/>
        </w:rPr>
        <w:t xml:space="preserve">s, knowledge sharing and cooperation in </w:t>
      </w:r>
      <w:r w:rsidR="00860FDC" w:rsidRPr="00A33AE8">
        <w:rPr>
          <w:rFonts w:asciiTheme="majorHAnsi" w:hAnsiTheme="majorHAnsi" w:cstheme="majorHAnsi"/>
          <w:lang w:val="en-GB"/>
        </w:rPr>
        <w:t xml:space="preserve">the </w:t>
      </w:r>
      <w:r w:rsidRPr="00A33AE8">
        <w:rPr>
          <w:rFonts w:asciiTheme="majorHAnsi" w:hAnsiTheme="majorHAnsi" w:cstheme="majorHAnsi"/>
          <w:lang w:val="en-GB"/>
        </w:rPr>
        <w:t>field of innovation, as one of the key pillars.</w:t>
      </w:r>
    </w:p>
    <w:p w14:paraId="0C085685" w14:textId="77777777" w:rsidR="00F26FA8" w:rsidRPr="00A33AE8" w:rsidRDefault="00F26FA8" w:rsidP="00AC70D7">
      <w:pPr>
        <w:pStyle w:val="LDKbody"/>
        <w:rPr>
          <w:lang w:val="en-GB"/>
        </w:rPr>
      </w:pPr>
    </w:p>
    <w:p w14:paraId="36EBE8C9" w14:textId="77777777" w:rsidR="00AC70D7" w:rsidRPr="00A33AE8" w:rsidRDefault="00AC70D7" w:rsidP="00990FC7">
      <w:pPr>
        <w:pStyle w:val="Heading4"/>
        <w:spacing w:after="160"/>
        <w:ind w:left="714" w:hanging="357"/>
      </w:pPr>
      <w:r w:rsidRPr="00A33AE8">
        <w:t>Key issues of cross-border relevance</w:t>
      </w:r>
    </w:p>
    <w:p w14:paraId="134E30E7" w14:textId="77777777" w:rsidR="00A82E61" w:rsidRPr="00A33AE8" w:rsidRDefault="00A82E61" w:rsidP="00A82E61">
      <w:pPr>
        <w:pStyle w:val="LDKbody"/>
        <w:rPr>
          <w:rFonts w:asciiTheme="majorHAnsi" w:hAnsiTheme="majorHAnsi" w:cstheme="majorHAnsi"/>
          <w:lang w:val="en-GB"/>
        </w:rPr>
      </w:pPr>
      <w:r w:rsidRPr="00A33AE8">
        <w:rPr>
          <w:rFonts w:asciiTheme="majorHAnsi" w:hAnsiTheme="majorHAnsi" w:cstheme="majorHAnsi"/>
          <w:lang w:val="en-GB"/>
        </w:rPr>
        <w:t xml:space="preserve">The Republic of Serbia is member of the Central and South Eastern Europe energy connectivity (CESEC), an organisation that works to accelerate the integration of central eastern and south eastern European gas and </w:t>
      </w:r>
      <w:r w:rsidRPr="00A33AE8">
        <w:rPr>
          <w:rFonts w:asciiTheme="majorHAnsi" w:hAnsiTheme="majorHAnsi" w:cstheme="majorHAnsi"/>
          <w:lang w:val="en-GB"/>
        </w:rPr>
        <w:lastRenderedPageBreak/>
        <w:t xml:space="preserve">electricity markets, together with all other EnC Contracting Parties and </w:t>
      </w:r>
      <w:r w:rsidR="003274B1" w:rsidRPr="00A33AE8">
        <w:rPr>
          <w:rFonts w:asciiTheme="majorHAnsi" w:hAnsiTheme="majorHAnsi" w:cstheme="majorHAnsi"/>
          <w:lang w:val="en-GB"/>
        </w:rPr>
        <w:t xml:space="preserve">nine </w:t>
      </w:r>
      <w:r w:rsidRPr="00A33AE8">
        <w:rPr>
          <w:rFonts w:asciiTheme="majorHAnsi" w:hAnsiTheme="majorHAnsi" w:cstheme="majorHAnsi"/>
          <w:lang w:val="en-GB"/>
        </w:rPr>
        <w:t>EU Member States</w:t>
      </w:r>
      <w:r w:rsidR="003274B1" w:rsidRPr="00A33AE8">
        <w:rPr>
          <w:rFonts w:asciiTheme="majorHAnsi" w:hAnsiTheme="majorHAnsi" w:cstheme="majorHAnsi"/>
          <w:lang w:val="en-GB"/>
        </w:rPr>
        <w:t xml:space="preserve">, </w:t>
      </w:r>
      <w:r w:rsidR="00B97FE2" w:rsidRPr="00A33AE8">
        <w:rPr>
          <w:rFonts w:asciiTheme="majorHAnsi" w:hAnsiTheme="majorHAnsi" w:cstheme="majorHAnsi"/>
          <w:lang w:val="en-GB"/>
        </w:rPr>
        <w:t>i.e. Austria</w:t>
      </w:r>
      <w:r w:rsidRPr="00A33AE8">
        <w:rPr>
          <w:rFonts w:asciiTheme="majorHAnsi" w:hAnsiTheme="majorHAnsi" w:cstheme="majorHAnsi"/>
          <w:lang w:val="en-GB"/>
        </w:rPr>
        <w:t>, Bulgaria, Croatia, Greece, Hungary, Italy, Romania, Slovakia</w:t>
      </w:r>
      <w:r w:rsidR="00586A88">
        <w:rPr>
          <w:rFonts w:asciiTheme="majorHAnsi" w:hAnsiTheme="majorHAnsi" w:cstheme="majorHAnsi"/>
          <w:lang w:val="en-GB"/>
        </w:rPr>
        <w:t xml:space="preserve"> </w:t>
      </w:r>
      <w:r w:rsidR="00586A88" w:rsidRPr="005B2C66">
        <w:rPr>
          <w:rFonts w:ascii="Calibri Light" w:hAnsi="Calibri Light" w:cs="Calibri Light"/>
          <w:lang w:val="en-GB"/>
        </w:rPr>
        <w:t>(</w:t>
      </w:r>
      <w:r w:rsidR="00586A88" w:rsidRPr="005B2C66">
        <w:rPr>
          <w:rFonts w:ascii="Calibri Light" w:eastAsiaTheme="minorHAnsi" w:hAnsi="Calibri Light" w:cs="Calibri Light"/>
          <w:color w:val="202124"/>
          <w:shd w:val="clear" w:color="auto" w:fill="FFFFFF"/>
          <w:lang w:val="en-GB" w:eastAsia="en-US"/>
        </w:rPr>
        <w:t>Slovakia is no longer a member of CESEC since 2021)</w:t>
      </w:r>
      <w:r w:rsidRPr="005B2C66">
        <w:rPr>
          <w:rFonts w:ascii="Calibri Light" w:hAnsi="Calibri Light" w:cs="Calibri Light"/>
          <w:lang w:val="en-GB"/>
        </w:rPr>
        <w:t xml:space="preserve"> </w:t>
      </w:r>
      <w:r w:rsidRPr="00A33AE8">
        <w:rPr>
          <w:rFonts w:asciiTheme="majorHAnsi" w:hAnsiTheme="majorHAnsi" w:cstheme="majorHAnsi"/>
          <w:lang w:val="en-GB"/>
        </w:rPr>
        <w:t xml:space="preserve">and Slovenia. Furthermore, the Republic of Serbia participates and contributes to </w:t>
      </w:r>
      <w:r w:rsidR="003274B1" w:rsidRPr="00A33AE8">
        <w:rPr>
          <w:rFonts w:asciiTheme="majorHAnsi" w:hAnsiTheme="majorHAnsi" w:cstheme="majorHAnsi"/>
          <w:lang w:val="en-GB"/>
        </w:rPr>
        <w:t xml:space="preserve">the </w:t>
      </w:r>
      <w:r w:rsidRPr="00A33AE8">
        <w:rPr>
          <w:rFonts w:asciiTheme="majorHAnsi" w:hAnsiTheme="majorHAnsi" w:cstheme="majorHAnsi"/>
          <w:lang w:val="en-GB"/>
        </w:rPr>
        <w:t xml:space="preserve">Regional Meetings and Workshops, as well </w:t>
      </w:r>
      <w:r w:rsidR="003274B1" w:rsidRPr="00A33AE8">
        <w:rPr>
          <w:rFonts w:asciiTheme="majorHAnsi" w:hAnsiTheme="majorHAnsi" w:cstheme="majorHAnsi"/>
          <w:lang w:val="en-GB"/>
        </w:rPr>
        <w:t>as the Regional</w:t>
      </w:r>
      <w:r w:rsidRPr="00A33AE8">
        <w:rPr>
          <w:rFonts w:asciiTheme="majorHAnsi" w:hAnsiTheme="majorHAnsi" w:cstheme="majorHAnsi"/>
          <w:lang w:val="en-GB"/>
        </w:rPr>
        <w:t xml:space="preserve"> Exchange events organized by </w:t>
      </w:r>
      <w:r w:rsidR="003274B1" w:rsidRPr="00A33AE8">
        <w:rPr>
          <w:rFonts w:asciiTheme="majorHAnsi" w:hAnsiTheme="majorHAnsi" w:cstheme="majorHAnsi"/>
          <w:lang w:val="en-GB"/>
        </w:rPr>
        <w:t xml:space="preserve">the </w:t>
      </w:r>
      <w:r w:rsidRPr="00A33AE8">
        <w:rPr>
          <w:rFonts w:asciiTheme="majorHAnsi" w:hAnsiTheme="majorHAnsi" w:cstheme="majorHAnsi"/>
          <w:lang w:val="en-GB"/>
        </w:rPr>
        <w:t xml:space="preserve">GIZ Open Regional Fund - Energy Efficiency (ORF-EE) in order to facilitate a discussion </w:t>
      </w:r>
      <w:r w:rsidR="003274B1" w:rsidRPr="00A33AE8">
        <w:rPr>
          <w:rFonts w:asciiTheme="majorHAnsi" w:hAnsiTheme="majorHAnsi" w:cstheme="majorHAnsi"/>
          <w:lang w:val="en-GB"/>
        </w:rPr>
        <w:t xml:space="preserve">on </w:t>
      </w:r>
      <w:r w:rsidRPr="00A33AE8">
        <w:rPr>
          <w:rFonts w:asciiTheme="majorHAnsi" w:hAnsiTheme="majorHAnsi" w:cstheme="majorHAnsi"/>
          <w:lang w:val="en-GB"/>
        </w:rPr>
        <w:t>modelling approaches, data availability and quality, challenges, best practices, cross-sectoral and regional issues.</w:t>
      </w:r>
    </w:p>
    <w:p w14:paraId="39B6C524" w14:textId="77777777" w:rsidR="00A82E61" w:rsidRPr="00A33AE8" w:rsidRDefault="003274B1" w:rsidP="00A82E61">
      <w:pPr>
        <w:pStyle w:val="LDKbody"/>
        <w:rPr>
          <w:rFonts w:asciiTheme="majorHAnsi" w:hAnsiTheme="majorHAnsi" w:cstheme="majorHAnsi"/>
          <w:lang w:val="en-GB"/>
        </w:rPr>
      </w:pPr>
      <w:r w:rsidRPr="00A33AE8">
        <w:rPr>
          <w:rFonts w:asciiTheme="majorHAnsi" w:hAnsiTheme="majorHAnsi" w:cstheme="majorHAnsi"/>
          <w:lang w:val="en-GB"/>
        </w:rPr>
        <w:t xml:space="preserve">More specifically, the Ministry of Energy and Mining participates in </w:t>
      </w:r>
      <w:r w:rsidR="00A82E61" w:rsidRPr="00A33AE8">
        <w:rPr>
          <w:rFonts w:asciiTheme="majorHAnsi" w:hAnsiTheme="majorHAnsi" w:cstheme="majorHAnsi"/>
          <w:lang w:val="en-GB"/>
        </w:rPr>
        <w:t xml:space="preserve">the </w:t>
      </w:r>
      <w:r w:rsidRPr="00A33AE8">
        <w:rPr>
          <w:rFonts w:asciiTheme="majorHAnsi" w:hAnsiTheme="majorHAnsi" w:cstheme="majorHAnsi"/>
          <w:lang w:val="en-GB"/>
        </w:rPr>
        <w:t xml:space="preserve">listed </w:t>
      </w:r>
      <w:r w:rsidR="00A82E61" w:rsidRPr="00A33AE8">
        <w:rPr>
          <w:rFonts w:asciiTheme="majorHAnsi" w:hAnsiTheme="majorHAnsi" w:cstheme="majorHAnsi"/>
          <w:lang w:val="en-GB"/>
        </w:rPr>
        <w:t>Energy Community technical working groups</w:t>
      </w:r>
      <w:r w:rsidRPr="00A33AE8">
        <w:rPr>
          <w:rFonts w:asciiTheme="majorHAnsi" w:hAnsiTheme="majorHAnsi" w:cstheme="majorHAnsi"/>
          <w:lang w:val="en-GB"/>
        </w:rPr>
        <w:t>:</w:t>
      </w:r>
    </w:p>
    <w:p w14:paraId="33B5CAE6" w14:textId="77777777" w:rsidR="00A82E61" w:rsidRPr="00A33AE8" w:rsidRDefault="00A82E61" w:rsidP="00A82E61">
      <w:pPr>
        <w:pStyle w:val="LDKBullets-main"/>
        <w:rPr>
          <w:rFonts w:asciiTheme="majorHAnsi" w:hAnsiTheme="majorHAnsi" w:cstheme="majorHAnsi"/>
        </w:rPr>
      </w:pPr>
      <w:r w:rsidRPr="00A33AE8">
        <w:rPr>
          <w:rFonts w:asciiTheme="majorHAnsi" w:hAnsiTheme="majorHAnsi" w:cstheme="majorHAnsi"/>
        </w:rPr>
        <w:t>Energy Efficiency Coordination Group,</w:t>
      </w:r>
    </w:p>
    <w:p w14:paraId="6035A4B5" w14:textId="77777777" w:rsidR="00A82E61" w:rsidRPr="00A33AE8" w:rsidRDefault="00A82E61" w:rsidP="00A82E61">
      <w:pPr>
        <w:pStyle w:val="LDKBullets-main"/>
        <w:rPr>
          <w:rFonts w:asciiTheme="majorHAnsi" w:hAnsiTheme="majorHAnsi" w:cstheme="majorHAnsi"/>
        </w:rPr>
      </w:pPr>
      <w:r w:rsidRPr="00A33AE8">
        <w:rPr>
          <w:rFonts w:asciiTheme="majorHAnsi" w:hAnsiTheme="majorHAnsi" w:cstheme="majorHAnsi"/>
        </w:rPr>
        <w:t>Renewable Energy Coordination Group,</w:t>
      </w:r>
    </w:p>
    <w:p w14:paraId="04FC94B7" w14:textId="77777777" w:rsidR="00A82E61" w:rsidRPr="00A33AE8" w:rsidRDefault="00A82E61" w:rsidP="00A82E61">
      <w:pPr>
        <w:pStyle w:val="LDKBullets-main"/>
        <w:rPr>
          <w:rFonts w:asciiTheme="majorHAnsi" w:hAnsiTheme="majorHAnsi" w:cstheme="majorHAnsi"/>
        </w:rPr>
      </w:pPr>
      <w:r w:rsidRPr="00A33AE8">
        <w:rPr>
          <w:rFonts w:asciiTheme="majorHAnsi" w:hAnsiTheme="majorHAnsi" w:cstheme="majorHAnsi"/>
        </w:rPr>
        <w:t>Security of Supply Coordination Group,</w:t>
      </w:r>
    </w:p>
    <w:p w14:paraId="68E1E59A" w14:textId="77777777" w:rsidR="00A82E61" w:rsidRPr="00A33AE8" w:rsidRDefault="00A82E61" w:rsidP="00A82E61">
      <w:pPr>
        <w:pStyle w:val="LDKBullets-main"/>
        <w:rPr>
          <w:rFonts w:asciiTheme="majorHAnsi" w:hAnsiTheme="majorHAnsi" w:cstheme="majorHAnsi"/>
        </w:rPr>
      </w:pPr>
      <w:r w:rsidRPr="00A33AE8">
        <w:rPr>
          <w:rFonts w:asciiTheme="majorHAnsi" w:hAnsiTheme="majorHAnsi" w:cstheme="majorHAnsi"/>
        </w:rPr>
        <w:t>Coordination Group of Distribution System Operators for Electricity,</w:t>
      </w:r>
    </w:p>
    <w:p w14:paraId="3D323CD5" w14:textId="77777777" w:rsidR="00A82E61" w:rsidRPr="00A33AE8" w:rsidRDefault="00A82E61" w:rsidP="00A82E61">
      <w:pPr>
        <w:pStyle w:val="LDKBullets-main"/>
        <w:rPr>
          <w:rFonts w:asciiTheme="majorHAnsi" w:hAnsiTheme="majorHAnsi" w:cstheme="majorHAnsi"/>
        </w:rPr>
      </w:pPr>
      <w:r w:rsidRPr="00A33AE8">
        <w:rPr>
          <w:rFonts w:asciiTheme="majorHAnsi" w:hAnsiTheme="majorHAnsi" w:cstheme="majorHAnsi"/>
        </w:rPr>
        <w:t>Coordination Group for Cyber</w:t>
      </w:r>
      <w:r w:rsidR="002856A0" w:rsidRPr="00A33AE8">
        <w:rPr>
          <w:rFonts w:asciiTheme="majorHAnsi" w:hAnsiTheme="majorHAnsi" w:cstheme="majorHAnsi"/>
        </w:rPr>
        <w:t xml:space="preserve"> </w:t>
      </w:r>
      <w:r w:rsidRPr="00A33AE8">
        <w:rPr>
          <w:rFonts w:asciiTheme="majorHAnsi" w:hAnsiTheme="majorHAnsi" w:cstheme="majorHAnsi"/>
        </w:rPr>
        <w:t>security and Critical Infrastructure,</w:t>
      </w:r>
    </w:p>
    <w:p w14:paraId="4B5482D5" w14:textId="77777777" w:rsidR="00A82E61" w:rsidRPr="00A33AE8" w:rsidRDefault="00A82E61" w:rsidP="00A82E61">
      <w:pPr>
        <w:pStyle w:val="LDKBullets-main"/>
        <w:rPr>
          <w:rFonts w:asciiTheme="majorHAnsi" w:hAnsiTheme="majorHAnsi" w:cstheme="majorHAnsi"/>
        </w:rPr>
      </w:pPr>
      <w:r w:rsidRPr="00A33AE8">
        <w:rPr>
          <w:rFonts w:asciiTheme="majorHAnsi" w:hAnsiTheme="majorHAnsi" w:cstheme="majorHAnsi"/>
        </w:rPr>
        <w:t>PECI electricity and gas Coordination Groups.</w:t>
      </w:r>
    </w:p>
    <w:p w14:paraId="042BFBDA" w14:textId="77777777" w:rsidR="00A82E61" w:rsidRPr="00A33AE8" w:rsidRDefault="00A82E61" w:rsidP="00A82E61">
      <w:pPr>
        <w:pStyle w:val="LDKbody"/>
        <w:rPr>
          <w:rFonts w:asciiTheme="majorHAnsi" w:hAnsiTheme="majorHAnsi" w:cstheme="majorHAnsi"/>
          <w:lang w:val="en-GB"/>
        </w:rPr>
      </w:pPr>
      <w:r w:rsidRPr="00A33AE8">
        <w:rPr>
          <w:rFonts w:asciiTheme="majorHAnsi" w:hAnsiTheme="majorHAnsi" w:cstheme="majorHAnsi"/>
          <w:lang w:val="en-GB"/>
        </w:rPr>
        <w:t>EMS is a full member of the European Network of Transmission System Operators for Electricity (ENTSO-E).</w:t>
      </w:r>
      <w:r w:rsidR="00500B07" w:rsidRPr="000007D2">
        <w:rPr>
          <w:rFonts w:asciiTheme="majorHAnsi" w:hAnsiTheme="majorHAnsi" w:cstheme="majorHAnsi"/>
          <w:bCs/>
          <w:lang w:val="en-GB"/>
        </w:rPr>
        <w:t xml:space="preserve"> “Elektromreža Srbije“ - EMS</w:t>
      </w:r>
      <w:r w:rsidRPr="00A33AE8">
        <w:rPr>
          <w:rFonts w:asciiTheme="majorHAnsi" w:hAnsiTheme="majorHAnsi" w:cstheme="majorHAnsi"/>
          <w:lang w:val="en-GB"/>
        </w:rPr>
        <w:t xml:space="preserve"> is also one of the founders of the first Regional Security Coordinator in the Southeast Europe, company Security Coordination Centre SCC Ltd. Belgrade, and stakeholder together with JSC “Crnogorski Elektroprenosni Sistem” (CGES) that is TSO from Montenegro and “Nezavisni Operator Sistema u Bosni i Hercegovini” (NOSBiH) that is ISO from Bosnia and Herzegovina.</w:t>
      </w:r>
    </w:p>
    <w:p w14:paraId="26697ED6" w14:textId="77777777" w:rsidR="00A82E61" w:rsidRPr="00A33AE8" w:rsidRDefault="00A82E61" w:rsidP="00A82E61">
      <w:pPr>
        <w:pStyle w:val="LDKbody"/>
        <w:rPr>
          <w:rFonts w:asciiTheme="majorHAnsi" w:hAnsiTheme="majorHAnsi" w:cstheme="majorHAnsi"/>
          <w:lang w:val="en-GB"/>
        </w:rPr>
      </w:pPr>
      <w:r w:rsidRPr="00A33AE8">
        <w:rPr>
          <w:rFonts w:asciiTheme="majorHAnsi" w:hAnsiTheme="majorHAnsi" w:cstheme="majorHAnsi"/>
          <w:lang w:val="en-GB"/>
        </w:rPr>
        <w:t xml:space="preserve">The Energy Agency of the Republic of Serbia participates in the work of the Energy Community Regulatory Board, </w:t>
      </w:r>
      <w:r w:rsidR="008B2C75" w:rsidRPr="00A33AE8">
        <w:rPr>
          <w:rFonts w:asciiTheme="majorHAnsi" w:hAnsiTheme="majorHAnsi" w:cstheme="majorHAnsi"/>
          <w:lang w:val="en-GB"/>
        </w:rPr>
        <w:t xml:space="preserve">is part of the </w:t>
      </w:r>
      <w:r w:rsidRPr="00A33AE8">
        <w:rPr>
          <w:rFonts w:asciiTheme="majorHAnsi" w:hAnsiTheme="majorHAnsi" w:cstheme="majorHAnsi"/>
          <w:lang w:val="en-GB"/>
        </w:rPr>
        <w:t>advisory body of the Ministerial Council of the Energy Community, and in the work of the Electricity and Natural Gas Forums</w:t>
      </w:r>
      <w:r w:rsidR="004622EB" w:rsidRPr="00A33AE8">
        <w:rPr>
          <w:rFonts w:asciiTheme="majorHAnsi" w:hAnsiTheme="majorHAnsi" w:cstheme="majorHAnsi"/>
          <w:lang w:val="en-GB"/>
        </w:rPr>
        <w:t>, as well as in the Balkan Forum</w:t>
      </w:r>
      <w:r w:rsidRPr="00A33AE8">
        <w:rPr>
          <w:rFonts w:asciiTheme="majorHAnsi" w:hAnsiTheme="majorHAnsi" w:cstheme="majorHAnsi"/>
          <w:lang w:val="en-GB"/>
        </w:rPr>
        <w:t>. The Energy Agency of the Republic of Serbia is a fully empowered member of the Energy Regulators Regional Association (ERRA), a specialized association of regulators with the aim to improve collaboration, experience exchange, and capacity building of member regulators. The Energy Agency of the Republic of Serbia also participates, as an observer, in the work of the Council of European Energy Regulators (CEER). By joining this Council, the Energy Regulatory Commission gains experience in implementing the Third Package of Legislation and the challenges that EU Member States face in creating a single, competitive, efficient and sustainable internal energy market in the European Union, as well as with new packages of the European legislation.</w:t>
      </w:r>
    </w:p>
    <w:p w14:paraId="3833AAC3" w14:textId="58F1508B" w:rsidR="00E73B12" w:rsidRPr="00A33AE8" w:rsidRDefault="00A82E61">
      <w:pPr>
        <w:pStyle w:val="LDKbody"/>
        <w:rPr>
          <w:rFonts w:asciiTheme="majorHAnsi" w:hAnsiTheme="majorHAnsi" w:cstheme="majorHAnsi"/>
          <w:lang w:val="en-GB"/>
        </w:rPr>
      </w:pPr>
      <w:r w:rsidRPr="00A33AE8">
        <w:rPr>
          <w:rFonts w:asciiTheme="majorHAnsi" w:hAnsiTheme="majorHAnsi" w:cstheme="majorHAnsi"/>
          <w:lang w:val="en-GB"/>
        </w:rPr>
        <w:t xml:space="preserve">SEEPEX is participant to the TRINITY project (transmission system enhancement of </w:t>
      </w:r>
      <w:r w:rsidR="00E337A6" w:rsidRPr="00A33AE8">
        <w:rPr>
          <w:rFonts w:asciiTheme="majorHAnsi" w:hAnsiTheme="majorHAnsi" w:cstheme="majorHAnsi"/>
          <w:lang w:val="en-GB"/>
        </w:rPr>
        <w:t>regional</w:t>
      </w:r>
      <w:r w:rsidRPr="00A33AE8">
        <w:rPr>
          <w:rFonts w:asciiTheme="majorHAnsi" w:hAnsiTheme="majorHAnsi" w:cstheme="majorHAnsi"/>
          <w:lang w:val="en-GB"/>
        </w:rPr>
        <w:t xml:space="preserve"> borders by means of intelligent market technology), </w:t>
      </w:r>
      <w:r w:rsidR="00E337A6" w:rsidRPr="00A33AE8">
        <w:rPr>
          <w:rFonts w:asciiTheme="majorHAnsi" w:hAnsiTheme="majorHAnsi" w:cstheme="majorHAnsi"/>
          <w:lang w:val="en-GB"/>
        </w:rPr>
        <w:t xml:space="preserve">the </w:t>
      </w:r>
      <w:r w:rsidRPr="00A33AE8">
        <w:rPr>
          <w:rFonts w:asciiTheme="majorHAnsi" w:hAnsiTheme="majorHAnsi" w:cstheme="majorHAnsi"/>
          <w:lang w:val="en-GB"/>
        </w:rPr>
        <w:t xml:space="preserve">main goal </w:t>
      </w:r>
      <w:r w:rsidR="00E337A6" w:rsidRPr="00A33AE8">
        <w:rPr>
          <w:rFonts w:asciiTheme="majorHAnsi" w:hAnsiTheme="majorHAnsi" w:cstheme="majorHAnsi"/>
          <w:lang w:val="en-GB"/>
        </w:rPr>
        <w:t xml:space="preserve">of which </w:t>
      </w:r>
      <w:r w:rsidRPr="00A33AE8">
        <w:rPr>
          <w:rFonts w:asciiTheme="majorHAnsi" w:hAnsiTheme="majorHAnsi" w:cstheme="majorHAnsi"/>
          <w:lang w:val="en-GB"/>
        </w:rPr>
        <w:t xml:space="preserve">is to enhance cooperation and coordination among the Transmission System Operators of South-Eastern Europe (SEE) in order to support the integration of the electricity markets in the region, while promoting higher penetration of clean energy sources. TRINITY addresses the EU’s Research Horizon Framework 2020 Programme within the call </w:t>
      </w:r>
      <w:r w:rsidR="00E337A6" w:rsidRPr="00A33AE8">
        <w:rPr>
          <w:rFonts w:asciiTheme="majorHAnsi" w:hAnsiTheme="majorHAnsi" w:cstheme="majorHAnsi"/>
          <w:lang w:val="en-GB"/>
        </w:rPr>
        <w:t>“</w:t>
      </w:r>
      <w:r w:rsidRPr="00A33AE8">
        <w:rPr>
          <w:rFonts w:asciiTheme="majorHAnsi" w:hAnsiTheme="majorHAnsi" w:cstheme="majorHAnsi"/>
          <w:lang w:val="en-GB"/>
        </w:rPr>
        <w:t>Building a low-carbon, climate resilient future: secure, clean and efficient energy</w:t>
      </w:r>
      <w:r w:rsidR="00E337A6" w:rsidRPr="00A33AE8">
        <w:rPr>
          <w:rFonts w:asciiTheme="majorHAnsi" w:hAnsiTheme="majorHAnsi" w:cstheme="majorHAnsi"/>
          <w:lang w:val="en-GB"/>
        </w:rPr>
        <w:t>”</w:t>
      </w:r>
      <w:r w:rsidRPr="00A33AE8">
        <w:rPr>
          <w:rFonts w:asciiTheme="majorHAnsi" w:hAnsiTheme="majorHAnsi" w:cstheme="majorHAnsi"/>
          <w:lang w:val="en-GB"/>
        </w:rPr>
        <w:t>. SEEPEX is the leader of Work Package 3: TRINITY SEE Cross-Border Market Coupling Framework that aims to demonstrate benefits of a coordinated work of the intra-day electricity market, common regional capacity reserve market, bilateral trade and guarantees of origin market, taking into consideration EU and non-EU countries.</w:t>
      </w:r>
    </w:p>
    <w:p w14:paraId="312ADE92" w14:textId="77777777" w:rsidR="007727D3" w:rsidRPr="00A33AE8" w:rsidRDefault="007727D3" w:rsidP="00AC70D7">
      <w:pPr>
        <w:pStyle w:val="LDKbody"/>
        <w:rPr>
          <w:lang w:val="en-GB"/>
        </w:rPr>
      </w:pPr>
    </w:p>
    <w:p w14:paraId="54A957D0" w14:textId="77777777" w:rsidR="00AC70D7" w:rsidRPr="00A33AE8" w:rsidRDefault="006D4BAE" w:rsidP="00B46F49">
      <w:pPr>
        <w:pStyle w:val="Heading4"/>
      </w:pPr>
      <w:r w:rsidRPr="00A33AE8">
        <w:t>Governance</w:t>
      </w:r>
      <w:r w:rsidR="00AC70D7" w:rsidRPr="00A33AE8">
        <w:t xml:space="preserve"> structure of implementing national energy and climate policies</w:t>
      </w:r>
    </w:p>
    <w:p w14:paraId="7F9A990E" w14:textId="77777777" w:rsidR="00A82E61" w:rsidRPr="00A33AE8" w:rsidRDefault="00A82E61" w:rsidP="00A82E61">
      <w:pPr>
        <w:pStyle w:val="LDKbody"/>
        <w:rPr>
          <w:rFonts w:asciiTheme="majorHAnsi" w:hAnsiTheme="majorHAnsi" w:cstheme="majorHAnsi"/>
          <w:lang w:val="en-GB"/>
        </w:rPr>
      </w:pPr>
      <w:r w:rsidRPr="00A33AE8">
        <w:rPr>
          <w:rFonts w:asciiTheme="majorHAnsi" w:hAnsiTheme="majorHAnsi" w:cstheme="majorHAnsi"/>
          <w:lang w:val="en-GB"/>
        </w:rPr>
        <w:t xml:space="preserve">The process of </w:t>
      </w:r>
      <w:r w:rsidR="00E337A6" w:rsidRPr="00A33AE8">
        <w:rPr>
          <w:rFonts w:asciiTheme="majorHAnsi" w:hAnsiTheme="majorHAnsi" w:cstheme="majorHAnsi"/>
          <w:lang w:val="en-GB"/>
        </w:rPr>
        <w:t xml:space="preserve">developing </w:t>
      </w:r>
      <w:r w:rsidRPr="00A33AE8">
        <w:rPr>
          <w:rFonts w:asciiTheme="majorHAnsi" w:hAnsiTheme="majorHAnsi" w:cstheme="majorHAnsi"/>
          <w:lang w:val="en-GB"/>
        </w:rPr>
        <w:t>and prepar</w:t>
      </w:r>
      <w:r w:rsidR="00E337A6" w:rsidRPr="00A33AE8">
        <w:rPr>
          <w:rFonts w:asciiTheme="majorHAnsi" w:hAnsiTheme="majorHAnsi" w:cstheme="majorHAnsi"/>
          <w:lang w:val="en-GB"/>
        </w:rPr>
        <w:t>ing</w:t>
      </w:r>
      <w:r w:rsidRPr="00A33AE8">
        <w:rPr>
          <w:rFonts w:asciiTheme="majorHAnsi" w:hAnsiTheme="majorHAnsi" w:cstheme="majorHAnsi"/>
          <w:lang w:val="en-GB"/>
        </w:rPr>
        <w:t xml:space="preserve"> the </w:t>
      </w:r>
      <w:r w:rsidR="00B006FA" w:rsidRPr="00A33AE8">
        <w:rPr>
          <w:rFonts w:asciiTheme="majorHAnsi" w:hAnsiTheme="majorHAnsi" w:cstheme="majorHAnsi"/>
          <w:lang w:val="en-GB"/>
        </w:rPr>
        <w:t xml:space="preserve">Integrated </w:t>
      </w:r>
      <w:r w:rsidRPr="00A33AE8">
        <w:rPr>
          <w:rFonts w:asciiTheme="majorHAnsi" w:hAnsiTheme="majorHAnsi" w:cstheme="majorHAnsi"/>
          <w:lang w:val="en-GB"/>
        </w:rPr>
        <w:t xml:space="preserve">National Energy and Climate Plan has been </w:t>
      </w:r>
      <w:r w:rsidR="00E337A6" w:rsidRPr="00A33AE8">
        <w:rPr>
          <w:rFonts w:asciiTheme="majorHAnsi" w:hAnsiTheme="majorHAnsi" w:cstheme="majorHAnsi"/>
          <w:lang w:val="en-GB"/>
        </w:rPr>
        <w:t xml:space="preserve">implemented </w:t>
      </w:r>
      <w:r w:rsidRPr="00A33AE8">
        <w:rPr>
          <w:rFonts w:asciiTheme="majorHAnsi" w:hAnsiTheme="majorHAnsi" w:cstheme="majorHAnsi"/>
          <w:lang w:val="en-GB"/>
        </w:rPr>
        <w:t xml:space="preserve">within the framework of the project “Further Development Energy Planning Capacity“, launched in February 2021. </w:t>
      </w:r>
      <w:r w:rsidR="00E337A6" w:rsidRPr="00A33AE8">
        <w:rPr>
          <w:rFonts w:asciiTheme="majorHAnsi" w:hAnsiTheme="majorHAnsi" w:cstheme="majorHAnsi"/>
          <w:lang w:val="en-GB"/>
        </w:rPr>
        <w:t xml:space="preserve">Following the identification of </w:t>
      </w:r>
      <w:r w:rsidRPr="00A33AE8">
        <w:rPr>
          <w:rFonts w:asciiTheme="majorHAnsi" w:hAnsiTheme="majorHAnsi" w:cstheme="majorHAnsi"/>
          <w:lang w:val="en-GB"/>
        </w:rPr>
        <w:t xml:space="preserve">the relevant institutions, bodies and companies, </w:t>
      </w:r>
      <w:r w:rsidR="00E337A6" w:rsidRPr="00A33AE8">
        <w:rPr>
          <w:rFonts w:asciiTheme="majorHAnsi" w:hAnsiTheme="majorHAnsi" w:cstheme="majorHAnsi"/>
          <w:lang w:val="en-GB"/>
        </w:rPr>
        <w:t xml:space="preserve">the </w:t>
      </w:r>
      <w:r w:rsidRPr="00A33AE8">
        <w:rPr>
          <w:rFonts w:asciiTheme="majorHAnsi" w:hAnsiTheme="majorHAnsi" w:cstheme="majorHAnsi"/>
          <w:lang w:val="en-GB"/>
        </w:rPr>
        <w:t>Working Groups have been established</w:t>
      </w:r>
      <w:r w:rsidR="00E337A6" w:rsidRPr="00A33AE8">
        <w:rPr>
          <w:rFonts w:asciiTheme="majorHAnsi" w:hAnsiTheme="majorHAnsi" w:cstheme="majorHAnsi"/>
          <w:lang w:val="en-GB"/>
        </w:rPr>
        <w:t xml:space="preserve"> (see</w:t>
      </w:r>
      <w:r w:rsidRPr="00A33AE8">
        <w:rPr>
          <w:rFonts w:asciiTheme="majorHAnsi" w:hAnsiTheme="majorHAnsi" w:cstheme="majorHAnsi"/>
          <w:lang w:val="en-GB"/>
        </w:rPr>
        <w:t xml:space="preserve"> Chapter 1.3.ii</w:t>
      </w:r>
      <w:r w:rsidR="00E337A6" w:rsidRPr="00A33AE8">
        <w:rPr>
          <w:rFonts w:asciiTheme="majorHAnsi" w:hAnsiTheme="majorHAnsi" w:cstheme="majorHAnsi"/>
          <w:lang w:val="en-GB"/>
        </w:rPr>
        <w:t>)</w:t>
      </w:r>
      <w:r w:rsidRPr="00A33AE8">
        <w:rPr>
          <w:rFonts w:asciiTheme="majorHAnsi" w:hAnsiTheme="majorHAnsi" w:cstheme="majorHAnsi"/>
          <w:lang w:val="en-GB"/>
        </w:rPr>
        <w:t>.</w:t>
      </w:r>
    </w:p>
    <w:p w14:paraId="68EEADC3" w14:textId="3CABC6A7" w:rsidR="00970DC2" w:rsidRPr="00A33AE8" w:rsidRDefault="00A82E61" w:rsidP="001B1BB6">
      <w:pPr>
        <w:spacing w:after="120" w:line="240" w:lineRule="auto"/>
        <w:jc w:val="both"/>
        <w:rPr>
          <w:rFonts w:asciiTheme="majorHAnsi" w:hAnsiTheme="majorHAnsi" w:cstheme="majorHAnsi"/>
        </w:rPr>
      </w:pPr>
      <w:r w:rsidRPr="00A33AE8">
        <w:rPr>
          <w:rFonts w:asciiTheme="majorHAnsi" w:hAnsiTheme="majorHAnsi" w:cstheme="majorHAnsi"/>
        </w:rPr>
        <w:t xml:space="preserve">The Government of the Republic of Serbia </w:t>
      </w:r>
      <w:r w:rsidR="00E337A6" w:rsidRPr="00A33AE8">
        <w:rPr>
          <w:rFonts w:asciiTheme="majorHAnsi" w:hAnsiTheme="majorHAnsi" w:cstheme="majorHAnsi"/>
        </w:rPr>
        <w:t>re</w:t>
      </w:r>
      <w:r w:rsidRPr="00A33AE8">
        <w:rPr>
          <w:rFonts w:asciiTheme="majorHAnsi" w:hAnsiTheme="majorHAnsi" w:cstheme="majorHAnsi"/>
        </w:rPr>
        <w:t>presents the national adoption authority</w:t>
      </w:r>
      <w:r w:rsidR="00012C97" w:rsidRPr="00A33AE8">
        <w:rPr>
          <w:rFonts w:asciiTheme="majorHAnsi" w:hAnsiTheme="majorHAnsi" w:cstheme="majorHAnsi"/>
        </w:rPr>
        <w:t xml:space="preserve"> for a period of up to ten years</w:t>
      </w:r>
      <w:r w:rsidRPr="00A33AE8">
        <w:rPr>
          <w:rFonts w:asciiTheme="majorHAnsi" w:hAnsiTheme="majorHAnsi" w:cstheme="majorHAnsi"/>
        </w:rPr>
        <w:t xml:space="preserve">, as per </w:t>
      </w:r>
      <w:r w:rsidR="00E337A6" w:rsidRPr="00A33AE8">
        <w:rPr>
          <w:rFonts w:asciiTheme="majorHAnsi" w:hAnsiTheme="majorHAnsi" w:cstheme="majorHAnsi"/>
        </w:rPr>
        <w:t xml:space="preserve">the </w:t>
      </w:r>
      <w:r w:rsidRPr="00A33AE8">
        <w:rPr>
          <w:rFonts w:asciiTheme="majorHAnsi" w:hAnsiTheme="majorHAnsi" w:cstheme="majorHAnsi"/>
        </w:rPr>
        <w:t xml:space="preserve">Law on Energy, while the Ministry of Mining and Energy </w:t>
      </w:r>
      <w:r w:rsidR="00E337A6" w:rsidRPr="00A33AE8">
        <w:rPr>
          <w:rFonts w:asciiTheme="majorHAnsi" w:hAnsiTheme="majorHAnsi" w:cstheme="majorHAnsi"/>
        </w:rPr>
        <w:t>is responsible for</w:t>
      </w:r>
      <w:r w:rsidRPr="00A33AE8">
        <w:rPr>
          <w:rFonts w:asciiTheme="majorHAnsi" w:hAnsiTheme="majorHAnsi" w:cstheme="majorHAnsi"/>
        </w:rPr>
        <w:t xml:space="preserve"> the </w:t>
      </w:r>
      <w:r w:rsidR="00012C97" w:rsidRPr="00A33AE8">
        <w:rPr>
          <w:rFonts w:asciiTheme="majorHAnsi" w:hAnsiTheme="majorHAnsi" w:cstheme="majorHAnsi"/>
        </w:rPr>
        <w:t xml:space="preserve">preparation of </w:t>
      </w:r>
      <w:r w:rsidR="00966D5C" w:rsidRPr="00A33AE8">
        <w:rPr>
          <w:rFonts w:asciiTheme="majorHAnsi" w:hAnsiTheme="majorHAnsi" w:cstheme="majorHAnsi"/>
        </w:rPr>
        <w:t xml:space="preserve">the </w:t>
      </w:r>
      <w:r w:rsidR="00012C97" w:rsidRPr="00A33AE8">
        <w:rPr>
          <w:rFonts w:asciiTheme="majorHAnsi" w:hAnsiTheme="majorHAnsi" w:cstheme="majorHAnsi"/>
        </w:rPr>
        <w:t>INECP in cooperation with other relevant ministries</w:t>
      </w:r>
      <w:r w:rsidR="00966D5C" w:rsidRPr="00A33AE8">
        <w:rPr>
          <w:rFonts w:asciiTheme="majorHAnsi" w:hAnsiTheme="majorHAnsi" w:cstheme="majorHAnsi"/>
        </w:rPr>
        <w:t>.</w:t>
      </w:r>
      <w:r w:rsidR="00B97FE2" w:rsidRPr="00A33AE8">
        <w:rPr>
          <w:rFonts w:asciiTheme="majorHAnsi" w:hAnsiTheme="majorHAnsi" w:cstheme="majorHAnsi"/>
        </w:rPr>
        <w:t xml:space="preserve"> </w:t>
      </w:r>
      <w:r w:rsidRPr="00A33AE8">
        <w:rPr>
          <w:rFonts w:asciiTheme="majorHAnsi" w:hAnsiTheme="majorHAnsi" w:cstheme="majorHAnsi"/>
        </w:rPr>
        <w:t xml:space="preserve">During the development and preparation of </w:t>
      </w:r>
      <w:r w:rsidR="002C2A4D" w:rsidRPr="00A33AE8">
        <w:rPr>
          <w:rFonts w:asciiTheme="majorHAnsi" w:hAnsiTheme="majorHAnsi" w:cstheme="majorHAnsi"/>
        </w:rPr>
        <w:t xml:space="preserve">the </w:t>
      </w:r>
      <w:r w:rsidR="00B006FA" w:rsidRPr="00A33AE8">
        <w:rPr>
          <w:rFonts w:asciiTheme="majorHAnsi" w:hAnsiTheme="majorHAnsi" w:cstheme="majorHAnsi"/>
        </w:rPr>
        <w:lastRenderedPageBreak/>
        <w:t>INECP</w:t>
      </w:r>
      <w:r w:rsidRPr="00A33AE8">
        <w:rPr>
          <w:rFonts w:asciiTheme="majorHAnsi" w:hAnsiTheme="majorHAnsi" w:cstheme="majorHAnsi"/>
        </w:rPr>
        <w:t xml:space="preserve">, the </w:t>
      </w:r>
      <w:r w:rsidR="002C2A4D" w:rsidRPr="00A33AE8">
        <w:rPr>
          <w:rFonts w:asciiTheme="majorHAnsi" w:hAnsiTheme="majorHAnsi" w:cstheme="majorHAnsi"/>
        </w:rPr>
        <w:t xml:space="preserve">Consultant provided technical support to the Ministry of Mining and Energy, as well </w:t>
      </w:r>
      <w:r w:rsidRPr="00A33AE8">
        <w:rPr>
          <w:rFonts w:asciiTheme="majorHAnsi" w:hAnsiTheme="majorHAnsi" w:cstheme="majorHAnsi"/>
        </w:rPr>
        <w:t xml:space="preserve">to the other institutions and bodies involved in the process, in terms of transfer knowledge based on the extensive international experience, implementation of best solutions and specific expertise that </w:t>
      </w:r>
      <w:r w:rsidR="002C2A4D" w:rsidRPr="00A33AE8">
        <w:rPr>
          <w:rFonts w:asciiTheme="majorHAnsi" w:hAnsiTheme="majorHAnsi" w:cstheme="majorHAnsi"/>
        </w:rPr>
        <w:t xml:space="preserve">would </w:t>
      </w:r>
      <w:r w:rsidRPr="00A33AE8">
        <w:rPr>
          <w:rFonts w:asciiTheme="majorHAnsi" w:hAnsiTheme="majorHAnsi" w:cstheme="majorHAnsi"/>
        </w:rPr>
        <w:t xml:space="preserve">facilitate and accelerate the process. Finally, </w:t>
      </w:r>
      <w:r w:rsidR="002C2A4D" w:rsidRPr="00A33AE8">
        <w:rPr>
          <w:rFonts w:asciiTheme="majorHAnsi" w:hAnsiTheme="majorHAnsi" w:cstheme="majorHAnsi"/>
        </w:rPr>
        <w:t xml:space="preserve">the </w:t>
      </w:r>
      <w:r w:rsidRPr="00A33AE8">
        <w:rPr>
          <w:rFonts w:asciiTheme="majorHAnsi" w:hAnsiTheme="majorHAnsi" w:cstheme="majorHAnsi"/>
        </w:rPr>
        <w:t xml:space="preserve">responsibility over the project progress </w:t>
      </w:r>
      <w:r w:rsidR="00224D53" w:rsidRPr="00A33AE8">
        <w:rPr>
          <w:rFonts w:asciiTheme="majorHAnsi" w:hAnsiTheme="majorHAnsi" w:cstheme="majorHAnsi"/>
        </w:rPr>
        <w:t>is assigned to the Project Steering Committee</w:t>
      </w:r>
      <w:r w:rsidR="001C1A4B" w:rsidRPr="00A33AE8">
        <w:rPr>
          <w:rFonts w:asciiTheme="majorHAnsi" w:hAnsiTheme="majorHAnsi" w:cstheme="majorHAnsi"/>
        </w:rPr>
        <w:t xml:space="preserve">, which is </w:t>
      </w:r>
      <w:r w:rsidR="00493CB9" w:rsidRPr="00A33AE8">
        <w:rPr>
          <w:rFonts w:asciiTheme="majorHAnsi" w:hAnsiTheme="majorHAnsi" w:cstheme="majorHAnsi"/>
        </w:rPr>
        <w:t xml:space="preserve">the </w:t>
      </w:r>
      <w:r w:rsidRPr="00A33AE8">
        <w:rPr>
          <w:rFonts w:asciiTheme="majorHAnsi" w:hAnsiTheme="majorHAnsi" w:cstheme="majorHAnsi"/>
        </w:rPr>
        <w:t xml:space="preserve">implementation </w:t>
      </w:r>
      <w:r w:rsidR="00493CB9" w:rsidRPr="00A33AE8">
        <w:rPr>
          <w:rFonts w:asciiTheme="majorHAnsi" w:hAnsiTheme="majorHAnsi" w:cstheme="majorHAnsi"/>
        </w:rPr>
        <w:t xml:space="preserve">and </w:t>
      </w:r>
      <w:r w:rsidRPr="00A33AE8">
        <w:rPr>
          <w:rFonts w:asciiTheme="majorHAnsi" w:hAnsiTheme="majorHAnsi" w:cstheme="majorHAnsi"/>
        </w:rPr>
        <w:t xml:space="preserve">monitoring body </w:t>
      </w:r>
      <w:r w:rsidR="00493CB9" w:rsidRPr="00A33AE8">
        <w:rPr>
          <w:rFonts w:asciiTheme="majorHAnsi" w:hAnsiTheme="majorHAnsi" w:cstheme="majorHAnsi"/>
        </w:rPr>
        <w:t>consisting</w:t>
      </w:r>
      <w:r w:rsidRPr="00A33AE8">
        <w:rPr>
          <w:rFonts w:asciiTheme="majorHAnsi" w:hAnsiTheme="majorHAnsi" w:cstheme="majorHAnsi"/>
        </w:rPr>
        <w:t xml:space="preserve"> of various governmental institutions.</w:t>
      </w:r>
    </w:p>
    <w:p w14:paraId="6C5971DD" w14:textId="163F177D" w:rsidR="00D70E4B" w:rsidRDefault="00D70E4B" w:rsidP="0087794A">
      <w:pPr>
        <w:pStyle w:val="Caption"/>
        <w:keepNext/>
        <w:jc w:val="both"/>
      </w:pPr>
      <w:bookmarkStart w:id="77" w:name="_Toc154575205"/>
      <w:r>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14</w:t>
      </w:r>
      <w:r w:rsidR="006E0533">
        <w:rPr>
          <w:noProof/>
        </w:rPr>
        <w:fldChar w:fldCharType="end"/>
      </w:r>
      <w:r>
        <w:t xml:space="preserve">: </w:t>
      </w:r>
      <w:r w:rsidRPr="00D70E4B">
        <w:t>Governance of the preparation and development of the Integrated National Energy and Climate Plan</w:t>
      </w:r>
      <w:bookmarkEnd w:id="77"/>
    </w:p>
    <w:p w14:paraId="0EDFAC05" w14:textId="77777777" w:rsidR="00FB07DA" w:rsidRPr="00A33AE8" w:rsidRDefault="00143714" w:rsidP="00FB07DA">
      <w:pPr>
        <w:pStyle w:val="LDKbody"/>
        <w:rPr>
          <w:rFonts w:asciiTheme="majorHAnsi" w:hAnsiTheme="majorHAnsi" w:cstheme="majorHAnsi"/>
          <w:lang w:val="en-GB"/>
        </w:rPr>
      </w:pPr>
      <w:r w:rsidRPr="00520E08">
        <w:rPr>
          <w:rFonts w:asciiTheme="majorHAnsi" w:hAnsiTheme="majorHAnsi" w:cstheme="majorHAnsi"/>
          <w:noProof/>
          <w:lang w:val="en-US" w:eastAsia="en-US"/>
        </w:rPr>
        <w:drawing>
          <wp:inline distT="0" distB="0" distL="0" distR="0" wp14:anchorId="241D16BA" wp14:editId="6D138B68">
            <wp:extent cx="6093460" cy="2757214"/>
            <wp:effectExtent l="0" t="0" r="2540" b="5080"/>
            <wp:docPr id="1714709865" name="Picture 171470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4745" cy="2766845"/>
                    </a:xfrm>
                    <a:prstGeom prst="rect">
                      <a:avLst/>
                    </a:prstGeom>
                    <a:noFill/>
                  </pic:spPr>
                </pic:pic>
              </a:graphicData>
            </a:graphic>
          </wp:inline>
        </w:drawing>
      </w:r>
    </w:p>
    <w:p w14:paraId="35D700AD" w14:textId="77777777" w:rsidR="00FB07DA" w:rsidRPr="00A33AE8" w:rsidRDefault="00A82E61" w:rsidP="00AC70D7">
      <w:pPr>
        <w:pStyle w:val="LDKbody"/>
        <w:rPr>
          <w:rFonts w:asciiTheme="majorHAnsi" w:hAnsiTheme="majorHAnsi" w:cstheme="majorHAnsi"/>
          <w:lang w:val="en-GB"/>
        </w:rPr>
      </w:pPr>
      <w:r w:rsidRPr="00A33AE8">
        <w:rPr>
          <w:rFonts w:asciiTheme="majorHAnsi" w:hAnsiTheme="majorHAnsi" w:cstheme="majorHAnsi"/>
          <w:lang w:val="en-GB"/>
        </w:rPr>
        <w:t xml:space="preserve">The advisory role of the Energy Community has been </w:t>
      </w:r>
      <w:r w:rsidR="000F6AC5" w:rsidRPr="00A33AE8">
        <w:rPr>
          <w:rFonts w:asciiTheme="majorHAnsi" w:hAnsiTheme="majorHAnsi" w:cstheme="majorHAnsi"/>
          <w:lang w:val="en-GB"/>
        </w:rPr>
        <w:t xml:space="preserve">exerted </w:t>
      </w:r>
      <w:r w:rsidRPr="00A33AE8">
        <w:rPr>
          <w:rFonts w:asciiTheme="majorHAnsi" w:hAnsiTheme="majorHAnsi" w:cstheme="majorHAnsi"/>
          <w:lang w:val="en-GB"/>
        </w:rPr>
        <w:t xml:space="preserve">to </w:t>
      </w:r>
      <w:r w:rsidR="000F6AC5" w:rsidRPr="00A33AE8">
        <w:rPr>
          <w:rFonts w:asciiTheme="majorHAnsi" w:hAnsiTheme="majorHAnsi" w:cstheme="majorHAnsi"/>
          <w:lang w:val="en-GB"/>
        </w:rPr>
        <w:t xml:space="preserve">a </w:t>
      </w:r>
      <w:r w:rsidRPr="00A33AE8">
        <w:rPr>
          <w:rFonts w:asciiTheme="majorHAnsi" w:hAnsiTheme="majorHAnsi" w:cstheme="majorHAnsi"/>
          <w:lang w:val="en-GB"/>
        </w:rPr>
        <w:t xml:space="preserve">certain extent, mainly during the official consultations of the Republic of Serbia with the Energy Community Secretariat on Draft </w:t>
      </w:r>
      <w:r w:rsidR="00B006FA" w:rsidRPr="00A33AE8">
        <w:rPr>
          <w:rFonts w:asciiTheme="majorHAnsi" w:hAnsiTheme="majorHAnsi" w:cstheme="majorHAnsi"/>
          <w:lang w:val="en-GB"/>
        </w:rPr>
        <w:t>INECP</w:t>
      </w:r>
      <w:r w:rsidRPr="00A33AE8">
        <w:rPr>
          <w:rFonts w:asciiTheme="majorHAnsi" w:hAnsiTheme="majorHAnsi" w:cstheme="majorHAnsi"/>
          <w:lang w:val="en-GB"/>
        </w:rPr>
        <w:t xml:space="preserve"> and </w:t>
      </w:r>
      <w:r w:rsidR="000F6AC5" w:rsidRPr="00A33AE8">
        <w:rPr>
          <w:rFonts w:asciiTheme="majorHAnsi" w:hAnsiTheme="majorHAnsi" w:cstheme="majorHAnsi"/>
          <w:lang w:val="en-GB"/>
        </w:rPr>
        <w:t xml:space="preserve">while </w:t>
      </w:r>
      <w:r w:rsidRPr="00A33AE8">
        <w:rPr>
          <w:rFonts w:asciiTheme="majorHAnsi" w:hAnsiTheme="majorHAnsi" w:cstheme="majorHAnsi"/>
          <w:lang w:val="en-GB"/>
        </w:rPr>
        <w:t>provi</w:t>
      </w:r>
      <w:r w:rsidR="000F6AC5" w:rsidRPr="00A33AE8">
        <w:rPr>
          <w:rFonts w:asciiTheme="majorHAnsi" w:hAnsiTheme="majorHAnsi" w:cstheme="majorHAnsi"/>
          <w:lang w:val="en-GB"/>
        </w:rPr>
        <w:t>ding</w:t>
      </w:r>
      <w:r w:rsidRPr="00A33AE8">
        <w:rPr>
          <w:rFonts w:asciiTheme="majorHAnsi" w:hAnsiTheme="majorHAnsi" w:cstheme="majorHAnsi"/>
          <w:lang w:val="en-GB"/>
        </w:rPr>
        <w:t xml:space="preserve"> the recommendations for the finalization of the document. However, from the early phase of the development and preparation of </w:t>
      </w:r>
      <w:r w:rsidR="00B006FA" w:rsidRPr="00A33AE8">
        <w:rPr>
          <w:rFonts w:asciiTheme="majorHAnsi" w:hAnsiTheme="majorHAnsi" w:cstheme="majorHAnsi"/>
          <w:lang w:val="en-GB"/>
        </w:rPr>
        <w:t>INECP</w:t>
      </w:r>
      <w:r w:rsidRPr="00A33AE8">
        <w:rPr>
          <w:rFonts w:asciiTheme="majorHAnsi" w:hAnsiTheme="majorHAnsi" w:cstheme="majorHAnsi"/>
          <w:lang w:val="en-GB"/>
        </w:rPr>
        <w:t xml:space="preserve">, </w:t>
      </w:r>
      <w:r w:rsidR="00012958" w:rsidRPr="00A33AE8">
        <w:rPr>
          <w:rFonts w:asciiTheme="majorHAnsi" w:hAnsiTheme="majorHAnsi" w:cstheme="majorHAnsi"/>
          <w:lang w:val="en-GB"/>
        </w:rPr>
        <w:t xml:space="preserve">the </w:t>
      </w:r>
      <w:r w:rsidRPr="00A33AE8">
        <w:rPr>
          <w:rFonts w:asciiTheme="majorHAnsi" w:hAnsiTheme="majorHAnsi" w:cstheme="majorHAnsi"/>
          <w:lang w:val="en-GB"/>
        </w:rPr>
        <w:t xml:space="preserve">Energy Community has been regularly following the </w:t>
      </w:r>
      <w:r w:rsidR="00BA6ACB" w:rsidRPr="00A33AE8">
        <w:rPr>
          <w:rFonts w:asciiTheme="majorHAnsi" w:hAnsiTheme="majorHAnsi" w:cstheme="majorHAnsi"/>
          <w:lang w:val="en-GB"/>
        </w:rPr>
        <w:t xml:space="preserve">overall </w:t>
      </w:r>
      <w:r w:rsidRPr="00A33AE8">
        <w:rPr>
          <w:rFonts w:asciiTheme="majorHAnsi" w:hAnsiTheme="majorHAnsi" w:cstheme="majorHAnsi"/>
          <w:lang w:val="en-GB"/>
        </w:rPr>
        <w:t xml:space="preserve">progress, primarily through the various Energy Community working groups and other </w:t>
      </w:r>
      <w:r w:rsidR="00BA6ACB" w:rsidRPr="00A33AE8">
        <w:rPr>
          <w:rFonts w:asciiTheme="majorHAnsi" w:hAnsiTheme="majorHAnsi" w:cstheme="majorHAnsi"/>
          <w:lang w:val="en-GB"/>
        </w:rPr>
        <w:t>relevant</w:t>
      </w:r>
      <w:r w:rsidRPr="00A33AE8">
        <w:rPr>
          <w:rFonts w:asciiTheme="majorHAnsi" w:hAnsiTheme="majorHAnsi" w:cstheme="majorHAnsi"/>
          <w:lang w:val="en-GB"/>
        </w:rPr>
        <w:t xml:space="preserve"> communication platforms and mechanisms.</w:t>
      </w:r>
    </w:p>
    <w:p w14:paraId="1441C3EB" w14:textId="77777777" w:rsidR="00BF13DE" w:rsidRPr="00A33AE8" w:rsidRDefault="00BF13DE" w:rsidP="00BF13DE">
      <w:pPr>
        <w:pStyle w:val="LDKbody"/>
        <w:rPr>
          <w:rFonts w:asciiTheme="majorHAnsi" w:hAnsiTheme="majorHAnsi" w:cstheme="majorHAnsi"/>
          <w:lang w:val="en-GB"/>
        </w:rPr>
      </w:pPr>
      <w:r w:rsidRPr="00A33AE8">
        <w:rPr>
          <w:rFonts w:asciiTheme="majorHAnsi" w:hAnsiTheme="majorHAnsi" w:cstheme="majorHAnsi"/>
          <w:lang w:val="en-GB"/>
        </w:rPr>
        <w:t>The Ministry of Environmental Protection is responsible for monitoring and reporting policy measures arising from the adopted Low carbon Development Strategy</w:t>
      </w:r>
      <w:r w:rsidRPr="000007D2">
        <w:rPr>
          <w:rFonts w:asciiTheme="majorHAnsi" w:hAnsiTheme="majorHAnsi" w:cstheme="majorHAnsi"/>
          <w:lang w:val="en-GB"/>
        </w:rPr>
        <w:t xml:space="preserve"> of the Republic of Serbia for the period 2023-2030 with projections by 2050</w:t>
      </w:r>
      <w:r w:rsidRPr="00A33AE8">
        <w:rPr>
          <w:rFonts w:asciiTheme="majorHAnsi" w:hAnsiTheme="majorHAnsi" w:cstheme="majorHAnsi"/>
          <w:lang w:val="en-GB"/>
        </w:rPr>
        <w:t>. It is also responsible for the creation of a national cross-sectoral Climate Change Adaptation Plan with an Action Plan, based on a project financed from EU IPA fonds. The Environmental Protection Agency, as a body within the Ministry of Environmental Protection, with the capacity of a legal entity, performs professional tasks related to the development, harmonization, and management of the national information system for environmental protection, which includes the inventory of gases with the greenhouse effect.</w:t>
      </w:r>
    </w:p>
    <w:p w14:paraId="3A05C465" w14:textId="77777777" w:rsidR="00BF13DE" w:rsidRPr="00A33AE8" w:rsidRDefault="00BF13DE" w:rsidP="00BF13DE">
      <w:pPr>
        <w:pStyle w:val="LDKbody"/>
        <w:rPr>
          <w:rFonts w:asciiTheme="majorHAnsi" w:hAnsiTheme="majorHAnsi" w:cstheme="majorHAnsi"/>
          <w:lang w:val="en-GB"/>
        </w:rPr>
      </w:pPr>
      <w:r w:rsidRPr="00A33AE8">
        <w:rPr>
          <w:rFonts w:asciiTheme="majorHAnsi" w:hAnsiTheme="majorHAnsi" w:cstheme="majorHAnsi"/>
          <w:lang w:val="en-GB"/>
        </w:rPr>
        <w:t>MOME conducts auctions for incentives for renewable energy sources process based on available quotas prescribed by the Government. The database for energy audits and the energy management system (SEMIS) is organized, implemented, and monitored by MOME, as well as the implementation of the energy management system goals. Main activities of MOME in the field of energy efficiency (EE), as a state administration body competent for energy efficiency, are creating policy, regulatory and incentive conditions for the rational use of energy and increasing EE.</w:t>
      </w:r>
    </w:p>
    <w:p w14:paraId="0A4C2F1C" w14:textId="77777777" w:rsidR="00BF13DE" w:rsidRPr="00A33AE8" w:rsidRDefault="00BF13DE" w:rsidP="00BF13DE">
      <w:pPr>
        <w:pStyle w:val="LDKbody"/>
        <w:rPr>
          <w:rFonts w:asciiTheme="majorHAnsi" w:hAnsiTheme="majorHAnsi" w:cstheme="majorHAnsi"/>
          <w:lang w:val="en-GB"/>
        </w:rPr>
      </w:pPr>
      <w:r w:rsidRPr="00A33AE8">
        <w:rPr>
          <w:rFonts w:asciiTheme="majorHAnsi" w:hAnsiTheme="majorHAnsi" w:cstheme="majorHAnsi"/>
          <w:lang w:val="en-GB"/>
        </w:rPr>
        <w:t>The unit for urban development within the Ministry of Construction, Transport, and Infrastructure (MCTI) is responsible for monitoring the implementation of the targets and measures established by the Sustainable Urban Development Strategy of the Republic of Serbia until 2030</w:t>
      </w:r>
      <w:r w:rsidR="001F2432" w:rsidRPr="00A33AE8">
        <w:rPr>
          <w:rStyle w:val="FootnoteReference"/>
          <w:rFonts w:asciiTheme="majorHAnsi" w:hAnsiTheme="majorHAnsi" w:cstheme="majorHAnsi"/>
        </w:rPr>
        <w:footnoteReference w:id="95"/>
      </w:r>
      <w:r w:rsidRPr="00A33AE8">
        <w:rPr>
          <w:rFonts w:asciiTheme="majorHAnsi" w:hAnsiTheme="majorHAnsi" w:cstheme="majorHAnsi"/>
          <w:lang w:val="en-GB"/>
        </w:rPr>
        <w:t xml:space="preserve"> and the three-year action plans at the </w:t>
      </w:r>
      <w:r w:rsidRPr="00A33AE8">
        <w:rPr>
          <w:rFonts w:asciiTheme="majorHAnsi" w:hAnsiTheme="majorHAnsi" w:cstheme="majorHAnsi"/>
          <w:lang w:val="en-GB"/>
        </w:rPr>
        <w:lastRenderedPageBreak/>
        <w:t>national level. Certificate on the energy performance of buildings is issued through the Central Register of Energy Passports (CREP), which is administrated and maintained by MCTI.</w:t>
      </w:r>
    </w:p>
    <w:p w14:paraId="27B80589" w14:textId="77777777" w:rsidR="00BF13DE" w:rsidRPr="00A33AE8" w:rsidRDefault="00BF13DE" w:rsidP="00BF13DE">
      <w:pPr>
        <w:pStyle w:val="LDKbody"/>
        <w:rPr>
          <w:rFonts w:asciiTheme="majorHAnsi" w:hAnsiTheme="majorHAnsi" w:cstheme="majorHAnsi"/>
          <w:lang w:val="en-GB"/>
        </w:rPr>
      </w:pPr>
      <w:r w:rsidRPr="00A33AE8">
        <w:rPr>
          <w:rFonts w:asciiTheme="majorHAnsi" w:hAnsiTheme="majorHAnsi" w:cstheme="majorHAnsi"/>
          <w:lang w:val="en-GB"/>
        </w:rPr>
        <w:t>The Electricity Transmission Network Ten Year Network Development Plan (TYNDP) is prepared by the Transmission System Operator (EMS), which is also responsible for the operation, maintenance, and construction of the electricity transmission network according to the Law on Energy and the Transmission Grid Code.</w:t>
      </w:r>
    </w:p>
    <w:p w14:paraId="59B933BB" w14:textId="77777777" w:rsidR="00BF13DE" w:rsidRPr="00A33AE8" w:rsidRDefault="00BF13DE" w:rsidP="00BF13DE">
      <w:pPr>
        <w:pStyle w:val="LDKbody"/>
        <w:rPr>
          <w:rFonts w:asciiTheme="majorHAnsi" w:hAnsiTheme="majorHAnsi" w:cstheme="majorHAnsi"/>
          <w:lang w:val="en-GB"/>
        </w:rPr>
      </w:pPr>
      <w:r w:rsidRPr="00A33AE8">
        <w:rPr>
          <w:rFonts w:asciiTheme="majorHAnsi" w:hAnsiTheme="majorHAnsi" w:cstheme="majorHAnsi"/>
          <w:lang w:val="en-GB"/>
        </w:rPr>
        <w:t xml:space="preserve">The Electricity Distribution System Operator (DSO “Elektrodistribucija Srbije”) is </w:t>
      </w:r>
      <w:r w:rsidR="007B04F7" w:rsidRPr="00A33AE8">
        <w:rPr>
          <w:rFonts w:asciiTheme="majorHAnsi" w:hAnsiTheme="majorHAnsi" w:cstheme="majorHAnsi"/>
          <w:lang w:val="en-GB"/>
        </w:rPr>
        <w:t>responsible for the</w:t>
      </w:r>
      <w:r w:rsidRPr="00A33AE8">
        <w:rPr>
          <w:rFonts w:asciiTheme="majorHAnsi" w:hAnsiTheme="majorHAnsi" w:cstheme="majorHAnsi"/>
          <w:lang w:val="en-GB"/>
        </w:rPr>
        <w:t xml:space="preserve"> TYNDP distribution network preparation as well as its operation and maintenance according to the Law on Energy and the Distribution System Grid Code.</w:t>
      </w:r>
    </w:p>
    <w:p w14:paraId="31027A68" w14:textId="77777777" w:rsidR="00BF13DE" w:rsidRPr="00A33AE8" w:rsidRDefault="00BF13DE" w:rsidP="00BF13DE">
      <w:pPr>
        <w:pStyle w:val="LDKbody"/>
        <w:rPr>
          <w:rFonts w:asciiTheme="majorHAnsi" w:hAnsiTheme="majorHAnsi" w:cstheme="majorHAnsi"/>
          <w:lang w:val="en-GB"/>
        </w:rPr>
      </w:pPr>
      <w:r w:rsidRPr="00A33AE8">
        <w:rPr>
          <w:rFonts w:asciiTheme="majorHAnsi" w:hAnsiTheme="majorHAnsi" w:cstheme="majorHAnsi"/>
          <w:lang w:val="en-GB"/>
        </w:rPr>
        <w:t>The Energy Agency of the Republic of Serbia (“AERS”) is an independent, regulatory body established pursuant to the Law on Energy with primary task to develop and enhance the electricity and gas market based on the principles of non-discrimination and effective competition by creating a stable regulatory framework. The most important Energy Agency jurisdiction areas are certification and licencing of transmission/transport system operator, price regulation and energy market monitoring.</w:t>
      </w:r>
    </w:p>
    <w:p w14:paraId="471EA9B8" w14:textId="77777777" w:rsidR="00931D02" w:rsidRPr="00A33AE8" w:rsidRDefault="00B759CC" w:rsidP="00B759CC">
      <w:pPr>
        <w:pStyle w:val="Heading2"/>
      </w:pPr>
      <w:bookmarkStart w:id="78" w:name="_Toc79772544"/>
      <w:bookmarkStart w:id="79" w:name="_Toc118991763"/>
      <w:bookmarkStart w:id="80" w:name="_Toc153545033"/>
      <w:r w:rsidRPr="00A33AE8">
        <w:t>Consultations and involvement of national and Union entities and their outcome</w:t>
      </w:r>
      <w:bookmarkEnd w:id="78"/>
      <w:bookmarkEnd w:id="79"/>
      <w:bookmarkEnd w:id="80"/>
    </w:p>
    <w:p w14:paraId="7E61CBAF" w14:textId="77777777" w:rsidR="00AC70D7" w:rsidRPr="002C0FF4" w:rsidRDefault="00AC70D7" w:rsidP="00884F3B">
      <w:pPr>
        <w:pStyle w:val="Heading4"/>
        <w:numPr>
          <w:ilvl w:val="0"/>
          <w:numId w:val="5"/>
        </w:numPr>
        <w:spacing w:after="160"/>
        <w:ind w:left="714" w:hanging="357"/>
      </w:pPr>
      <w:r w:rsidRPr="002C0FF4">
        <w:t xml:space="preserve">Involvement of the </w:t>
      </w:r>
      <w:r w:rsidR="00012C97" w:rsidRPr="002C0FF4">
        <w:t>N</w:t>
      </w:r>
      <w:r w:rsidRPr="002C0FF4">
        <w:t xml:space="preserve">ational </w:t>
      </w:r>
      <w:r w:rsidR="00012C97" w:rsidRPr="002C0FF4">
        <w:t>Assembly</w:t>
      </w:r>
    </w:p>
    <w:p w14:paraId="08D00299" w14:textId="77777777" w:rsidR="004974A9" w:rsidRPr="00A33AE8" w:rsidRDefault="004974A9" w:rsidP="00966D5C">
      <w:pPr>
        <w:spacing w:after="0" w:line="240" w:lineRule="auto"/>
        <w:jc w:val="both"/>
        <w:rPr>
          <w:rFonts w:asciiTheme="majorHAnsi" w:hAnsiTheme="majorHAnsi" w:cstheme="majorHAnsi"/>
          <w:sz w:val="24"/>
          <w:szCs w:val="24"/>
          <w:lang w:eastAsia="en-GB"/>
        </w:rPr>
      </w:pPr>
      <w:r w:rsidRPr="00A33AE8">
        <w:rPr>
          <w:rFonts w:asciiTheme="majorHAnsi" w:hAnsiTheme="majorHAnsi" w:cstheme="majorHAnsi"/>
        </w:rPr>
        <w:t xml:space="preserve">The provisions of the Energy Law do not envisage the </w:t>
      </w:r>
      <w:r w:rsidR="003F11E7" w:rsidRPr="00A33AE8">
        <w:rPr>
          <w:rFonts w:asciiTheme="majorHAnsi" w:hAnsiTheme="majorHAnsi" w:cstheme="majorHAnsi"/>
        </w:rPr>
        <w:t xml:space="preserve">participation </w:t>
      </w:r>
      <w:r w:rsidRPr="00A33AE8">
        <w:rPr>
          <w:rFonts w:asciiTheme="majorHAnsi" w:hAnsiTheme="majorHAnsi" w:cstheme="majorHAnsi"/>
        </w:rPr>
        <w:t xml:space="preserve">of the Parliament in the process of preparation or adoption of the </w:t>
      </w:r>
      <w:r w:rsidR="00012C97" w:rsidRPr="00A33AE8">
        <w:rPr>
          <w:rFonts w:asciiTheme="majorHAnsi" w:hAnsiTheme="majorHAnsi" w:cstheme="majorHAnsi"/>
        </w:rPr>
        <w:t xml:space="preserve">Integrated </w:t>
      </w:r>
      <w:r w:rsidRPr="00A33AE8">
        <w:rPr>
          <w:rFonts w:asciiTheme="majorHAnsi" w:hAnsiTheme="majorHAnsi" w:cstheme="majorHAnsi"/>
        </w:rPr>
        <w:t xml:space="preserve">National Energy and Climate Plan of the Republic of Serbia. In accordance with the Article 8a of the Law on Energy, the </w:t>
      </w:r>
      <w:r w:rsidR="00012C97" w:rsidRPr="00A33AE8">
        <w:rPr>
          <w:rFonts w:asciiTheme="majorHAnsi" w:hAnsiTheme="majorHAnsi" w:cstheme="majorHAnsi"/>
        </w:rPr>
        <w:t xml:space="preserve">Integrated </w:t>
      </w:r>
      <w:r w:rsidRPr="00A33AE8">
        <w:rPr>
          <w:rFonts w:asciiTheme="majorHAnsi" w:hAnsiTheme="majorHAnsi" w:cstheme="majorHAnsi"/>
        </w:rPr>
        <w:t xml:space="preserve">National Energy and Climate Plan of the Republic of Serbia shall be adopted by the Government of the Republic of </w:t>
      </w:r>
      <w:r w:rsidR="00966D5C" w:rsidRPr="00A33AE8">
        <w:rPr>
          <w:rFonts w:asciiTheme="majorHAnsi" w:hAnsiTheme="majorHAnsi" w:cstheme="majorHAnsi"/>
        </w:rPr>
        <w:t>Serbia</w:t>
      </w:r>
      <w:r w:rsidRPr="00A33AE8">
        <w:rPr>
          <w:rFonts w:asciiTheme="majorHAnsi" w:hAnsiTheme="majorHAnsi" w:cstheme="majorHAnsi"/>
        </w:rPr>
        <w:t>.</w:t>
      </w:r>
      <w:r w:rsidR="00735FE4">
        <w:rPr>
          <w:rFonts w:asciiTheme="majorHAnsi" w:hAnsiTheme="majorHAnsi" w:cstheme="majorHAnsi"/>
        </w:rPr>
        <w:t xml:space="preserve"> </w:t>
      </w:r>
      <w:r w:rsidR="00735FE4" w:rsidRPr="00735FE4">
        <w:rPr>
          <w:rFonts w:asciiTheme="majorHAnsi" w:hAnsiTheme="majorHAnsi" w:cstheme="majorHAnsi"/>
        </w:rPr>
        <w:t>On February 8, 2022, the process of creating INECP was presented before the Parliamentary Forum for Energy Policy of Serbia.</w:t>
      </w:r>
    </w:p>
    <w:p w14:paraId="2F004B2D" w14:textId="77777777" w:rsidR="00660C87" w:rsidRPr="00EC19B0" w:rsidRDefault="00AC70D7" w:rsidP="00884F3B">
      <w:pPr>
        <w:pStyle w:val="Heading4"/>
        <w:numPr>
          <w:ilvl w:val="0"/>
          <w:numId w:val="6"/>
        </w:numPr>
        <w:rPr>
          <w:rFonts w:cstheme="majorHAnsi"/>
        </w:rPr>
      </w:pPr>
      <w:r w:rsidRPr="00A33AE8">
        <w:t>Consultations of stakeholders, including the social partners, and engagement of civil society and the general</w:t>
      </w:r>
      <w:r w:rsidR="002A6F5E" w:rsidRPr="00A33AE8">
        <w:t xml:space="preserve"> </w:t>
      </w:r>
      <w:r w:rsidRPr="00A33AE8">
        <w:t>public</w:t>
      </w:r>
    </w:p>
    <w:p w14:paraId="3950BB8A" w14:textId="097A243A" w:rsidR="0047633B" w:rsidRDefault="00660C87" w:rsidP="002719D2">
      <w:pPr>
        <w:pStyle w:val="LDKbody"/>
        <w:rPr>
          <w:rFonts w:asciiTheme="majorHAnsi" w:hAnsiTheme="majorHAnsi" w:cstheme="majorHAnsi"/>
          <w:lang w:val="en-GB"/>
        </w:rPr>
      </w:pPr>
      <w:r w:rsidRPr="00660C87">
        <w:rPr>
          <w:rFonts w:asciiTheme="majorHAnsi" w:hAnsiTheme="majorHAnsi" w:cstheme="majorHAnsi"/>
          <w:lang w:val="en-GB"/>
        </w:rPr>
        <w:t>Since February 2021, the Ministry of Mining and Energy has been working on the development of INECP within the project "Further Development of Energy Planning Capacities", which is financed entirely from the IPA fund of the European Union.</w:t>
      </w:r>
    </w:p>
    <w:p w14:paraId="69376DD4" w14:textId="77777777" w:rsidR="00660C87" w:rsidRDefault="0047633B" w:rsidP="002719D2">
      <w:pPr>
        <w:pStyle w:val="LDKbody"/>
        <w:rPr>
          <w:rFonts w:asciiTheme="majorHAnsi" w:hAnsiTheme="majorHAnsi" w:cstheme="majorHAnsi"/>
          <w:lang w:val="en-GB"/>
        </w:rPr>
      </w:pPr>
      <w:r w:rsidRPr="0047633B">
        <w:rPr>
          <w:rFonts w:asciiTheme="majorHAnsi" w:hAnsiTheme="majorHAnsi" w:cstheme="majorHAnsi"/>
          <w:lang w:val="en-GB"/>
        </w:rPr>
        <w:t>Basic information about the project within which the development of INECP is planned, was published on the EUzaTEBE portal: Further development of capacity for energy planning (euzatebe.rs).</w:t>
      </w:r>
      <w:r>
        <w:rPr>
          <w:rFonts w:asciiTheme="majorHAnsi" w:hAnsiTheme="majorHAnsi" w:cstheme="majorHAnsi"/>
          <w:lang w:val="en-GB"/>
        </w:rPr>
        <w:t xml:space="preserve"> </w:t>
      </w:r>
      <w:r w:rsidRPr="0047633B">
        <w:rPr>
          <w:rFonts w:asciiTheme="majorHAnsi" w:hAnsiTheme="majorHAnsi" w:cstheme="majorHAnsi"/>
          <w:lang w:val="en-GB"/>
        </w:rPr>
        <w:t>Information about the beginning of the process of developing the Integrated National Energy and Climate Plan of the Republic of Serbia for the period up to 2030 with a vision up to 2050 was published on the website of the Ministry of Mining and Energy on April 20, 2021, after the Initial Meeting and the First Meeting of the Project Steering Committee, which informed the public that the project, among other things, envisages the implementation of public consultations and consultations with the Energy Community</w:t>
      </w:r>
      <w:r w:rsidR="00205F24">
        <w:rPr>
          <w:rFonts w:asciiTheme="majorHAnsi" w:hAnsiTheme="majorHAnsi" w:cstheme="majorHAnsi"/>
          <w:lang w:val="en-US"/>
        </w:rPr>
        <w:t xml:space="preserve"> Secretariat</w:t>
      </w:r>
      <w:r w:rsidRPr="0047633B">
        <w:rPr>
          <w:rFonts w:asciiTheme="majorHAnsi" w:hAnsiTheme="majorHAnsi" w:cstheme="majorHAnsi"/>
          <w:lang w:val="en-GB"/>
        </w:rPr>
        <w:t>, the preparation and adoption of the Strategic Environmental Impact Assessment Report and the adoption of INECP by the Government of Serbia.</w:t>
      </w:r>
    </w:p>
    <w:p w14:paraId="0E7D4FE9" w14:textId="2DCC7746" w:rsidR="002719D2" w:rsidRPr="00A33AE8" w:rsidRDefault="0047633B" w:rsidP="002719D2">
      <w:pPr>
        <w:pStyle w:val="LDKbody"/>
        <w:rPr>
          <w:rFonts w:asciiTheme="majorHAnsi" w:hAnsiTheme="majorHAnsi" w:cstheme="majorHAnsi"/>
          <w:lang w:val="en-GB"/>
        </w:rPr>
      </w:pPr>
      <w:r w:rsidRPr="0047633B">
        <w:rPr>
          <w:rFonts w:asciiTheme="majorHAnsi" w:hAnsiTheme="majorHAnsi" w:cstheme="majorHAnsi"/>
          <w:lang w:val="en-GB"/>
        </w:rPr>
        <w:t xml:space="preserve">In order to supervise and monitor the implementation of this project in accordance with the Terms of Reference, two multi-sector Working Groups were formed, in which, in addition to representatives of the Ministry of Mining and Energy, a large number of relevant ministries and institutions, public and private companies, civil society organizations </w:t>
      </w:r>
      <w:r w:rsidR="00E129E2">
        <w:rPr>
          <w:rFonts w:asciiTheme="majorHAnsi" w:hAnsiTheme="majorHAnsi" w:cstheme="majorHAnsi"/>
          <w:lang w:val="en-GB"/>
        </w:rPr>
        <w:t>we</w:t>
      </w:r>
      <w:r w:rsidRPr="0047633B">
        <w:rPr>
          <w:rFonts w:asciiTheme="majorHAnsi" w:hAnsiTheme="majorHAnsi" w:cstheme="majorHAnsi"/>
          <w:lang w:val="en-GB"/>
        </w:rPr>
        <w:t xml:space="preserve">re included, while the activities </w:t>
      </w:r>
      <w:r w:rsidR="00E129E2">
        <w:rPr>
          <w:rFonts w:asciiTheme="majorHAnsi" w:hAnsiTheme="majorHAnsi" w:cstheme="majorHAnsi"/>
          <w:lang w:val="en-GB"/>
        </w:rPr>
        <w:t>we</w:t>
      </w:r>
      <w:r w:rsidRPr="0047633B">
        <w:rPr>
          <w:rFonts w:asciiTheme="majorHAnsi" w:hAnsiTheme="majorHAnsi" w:cstheme="majorHAnsi"/>
          <w:lang w:val="en-GB"/>
        </w:rPr>
        <w:t>re monitored by representatives of the Energy Community, the European Commission, the EU Delegation to RS, the EBRD and the Japanese Business Alliance.</w:t>
      </w:r>
      <w:r>
        <w:rPr>
          <w:rFonts w:asciiTheme="majorHAnsi" w:hAnsiTheme="majorHAnsi" w:cstheme="majorHAnsi"/>
          <w:lang w:val="en-GB"/>
        </w:rPr>
        <w:t xml:space="preserve"> </w:t>
      </w:r>
      <w:r w:rsidR="002719D2" w:rsidRPr="00A33AE8">
        <w:rPr>
          <w:rFonts w:asciiTheme="majorHAnsi" w:hAnsiTheme="majorHAnsi" w:cstheme="majorHAnsi"/>
          <w:lang w:val="en-GB"/>
        </w:rPr>
        <w:t xml:space="preserve">Specifically, WG1 </w:t>
      </w:r>
      <w:r w:rsidR="00022496">
        <w:rPr>
          <w:rFonts w:asciiTheme="majorHAnsi" w:hAnsiTheme="majorHAnsi" w:cstheme="majorHAnsi"/>
          <w:lang w:val="en-GB"/>
        </w:rPr>
        <w:t>wa</w:t>
      </w:r>
      <w:r w:rsidR="00022496" w:rsidRPr="00A33AE8">
        <w:rPr>
          <w:rFonts w:asciiTheme="majorHAnsi" w:hAnsiTheme="majorHAnsi" w:cstheme="majorHAnsi"/>
          <w:lang w:val="en-GB"/>
        </w:rPr>
        <w:t xml:space="preserve">s </w:t>
      </w:r>
      <w:r w:rsidR="002719D2" w:rsidRPr="00A33AE8">
        <w:rPr>
          <w:rFonts w:asciiTheme="majorHAnsi" w:hAnsiTheme="majorHAnsi" w:cstheme="majorHAnsi"/>
          <w:lang w:val="en-GB"/>
        </w:rPr>
        <w:t>modelling-orientated</w:t>
      </w:r>
      <w:r w:rsidR="002F17E0" w:rsidRPr="00A33AE8">
        <w:rPr>
          <w:rFonts w:asciiTheme="majorHAnsi" w:hAnsiTheme="majorHAnsi" w:cstheme="majorHAnsi"/>
          <w:lang w:val="en-GB"/>
        </w:rPr>
        <w:t xml:space="preserve"> and </w:t>
      </w:r>
      <w:r w:rsidR="002719D2" w:rsidRPr="00A33AE8">
        <w:rPr>
          <w:rFonts w:asciiTheme="majorHAnsi" w:hAnsiTheme="majorHAnsi" w:cstheme="majorHAnsi"/>
          <w:lang w:val="en-GB"/>
        </w:rPr>
        <w:t xml:space="preserve">responsible for analytical work, while WG2 </w:t>
      </w:r>
      <w:r w:rsidR="00022496">
        <w:rPr>
          <w:rFonts w:asciiTheme="majorHAnsi" w:hAnsiTheme="majorHAnsi" w:cstheme="majorHAnsi"/>
          <w:lang w:val="en-GB"/>
        </w:rPr>
        <w:t>wa</w:t>
      </w:r>
      <w:r w:rsidR="00022496" w:rsidRPr="00A33AE8">
        <w:rPr>
          <w:rFonts w:asciiTheme="majorHAnsi" w:hAnsiTheme="majorHAnsi" w:cstheme="majorHAnsi"/>
          <w:lang w:val="en-GB"/>
        </w:rPr>
        <w:t xml:space="preserve">s </w:t>
      </w:r>
      <w:r w:rsidR="002719D2" w:rsidRPr="00A33AE8">
        <w:rPr>
          <w:rFonts w:asciiTheme="majorHAnsi" w:hAnsiTheme="majorHAnsi" w:cstheme="majorHAnsi"/>
          <w:lang w:val="en-GB"/>
        </w:rPr>
        <w:t>policy-orientated</w:t>
      </w:r>
      <w:r w:rsidR="002F17E0" w:rsidRPr="00A33AE8">
        <w:rPr>
          <w:rFonts w:asciiTheme="majorHAnsi" w:hAnsiTheme="majorHAnsi" w:cstheme="majorHAnsi"/>
          <w:lang w:val="en-GB"/>
        </w:rPr>
        <w:t xml:space="preserve"> and tasked with the</w:t>
      </w:r>
      <w:r w:rsidR="002719D2" w:rsidRPr="00A33AE8">
        <w:rPr>
          <w:rFonts w:asciiTheme="majorHAnsi" w:hAnsiTheme="majorHAnsi" w:cstheme="majorHAnsi"/>
          <w:lang w:val="en-GB"/>
        </w:rPr>
        <w:t xml:space="preserve"> drafting </w:t>
      </w:r>
      <w:r w:rsidR="002F17E0" w:rsidRPr="00A33AE8">
        <w:rPr>
          <w:rFonts w:asciiTheme="majorHAnsi" w:hAnsiTheme="majorHAnsi" w:cstheme="majorHAnsi"/>
          <w:lang w:val="en-GB"/>
        </w:rPr>
        <w:t xml:space="preserve">of </w:t>
      </w:r>
      <w:r w:rsidR="002719D2" w:rsidRPr="00A33AE8">
        <w:rPr>
          <w:rFonts w:asciiTheme="majorHAnsi" w:hAnsiTheme="majorHAnsi" w:cstheme="majorHAnsi"/>
          <w:lang w:val="en-GB"/>
        </w:rPr>
        <w:t xml:space="preserve">the </w:t>
      </w:r>
      <w:r w:rsidR="00B006FA" w:rsidRPr="00A33AE8">
        <w:rPr>
          <w:rFonts w:asciiTheme="majorHAnsi" w:hAnsiTheme="majorHAnsi" w:cstheme="majorHAnsi"/>
          <w:lang w:val="en-GB"/>
        </w:rPr>
        <w:t xml:space="preserve">Integrated </w:t>
      </w:r>
      <w:r w:rsidR="002719D2" w:rsidRPr="00A33AE8">
        <w:rPr>
          <w:rFonts w:asciiTheme="majorHAnsi" w:hAnsiTheme="majorHAnsi" w:cstheme="majorHAnsi"/>
          <w:lang w:val="en-GB"/>
        </w:rPr>
        <w:t>National Energy and Climate Plan (</w:t>
      </w:r>
      <w:r w:rsidR="00B006FA" w:rsidRPr="00A33AE8">
        <w:rPr>
          <w:rFonts w:asciiTheme="majorHAnsi" w:hAnsiTheme="majorHAnsi" w:cstheme="majorHAnsi"/>
          <w:lang w:val="en-GB"/>
        </w:rPr>
        <w:t>INECP</w:t>
      </w:r>
      <w:r w:rsidR="002719D2" w:rsidRPr="00A33AE8">
        <w:rPr>
          <w:rFonts w:asciiTheme="majorHAnsi" w:hAnsiTheme="majorHAnsi" w:cstheme="majorHAnsi"/>
          <w:lang w:val="en-GB"/>
        </w:rPr>
        <w:t xml:space="preserve">). The overall process of the development and preparation of the </w:t>
      </w:r>
      <w:r w:rsidR="00B006FA" w:rsidRPr="00A33AE8">
        <w:rPr>
          <w:rFonts w:asciiTheme="majorHAnsi" w:hAnsiTheme="majorHAnsi" w:cstheme="majorHAnsi"/>
          <w:lang w:val="en-GB"/>
        </w:rPr>
        <w:t>INECP</w:t>
      </w:r>
      <w:r w:rsidR="002719D2" w:rsidRPr="00A33AE8">
        <w:rPr>
          <w:rFonts w:asciiTheme="majorHAnsi" w:hAnsiTheme="majorHAnsi" w:cstheme="majorHAnsi"/>
          <w:lang w:val="en-GB"/>
        </w:rPr>
        <w:t xml:space="preserve"> </w:t>
      </w:r>
      <w:r w:rsidR="00E129E2">
        <w:rPr>
          <w:rFonts w:asciiTheme="majorHAnsi" w:hAnsiTheme="majorHAnsi" w:cstheme="majorHAnsi"/>
          <w:lang w:val="en-GB"/>
        </w:rPr>
        <w:t>wa</w:t>
      </w:r>
      <w:r w:rsidR="00E129E2" w:rsidRPr="00A33AE8">
        <w:rPr>
          <w:rFonts w:asciiTheme="majorHAnsi" w:hAnsiTheme="majorHAnsi" w:cstheme="majorHAnsi"/>
          <w:lang w:val="en-GB"/>
        </w:rPr>
        <w:t xml:space="preserve">s </w:t>
      </w:r>
      <w:r w:rsidR="002719D2" w:rsidRPr="00A33AE8">
        <w:rPr>
          <w:rFonts w:asciiTheme="majorHAnsi" w:hAnsiTheme="majorHAnsi" w:cstheme="majorHAnsi"/>
          <w:lang w:val="en-GB"/>
        </w:rPr>
        <w:t xml:space="preserve">coordinated by the Ministry of Mining and Energy, </w:t>
      </w:r>
      <w:r w:rsidR="002115A0" w:rsidRPr="00A33AE8">
        <w:rPr>
          <w:rFonts w:asciiTheme="majorHAnsi" w:hAnsiTheme="majorHAnsi" w:cstheme="majorHAnsi"/>
          <w:lang w:val="en-GB"/>
        </w:rPr>
        <w:t>being the</w:t>
      </w:r>
      <w:r w:rsidR="002719D2" w:rsidRPr="00A33AE8">
        <w:rPr>
          <w:rFonts w:asciiTheme="majorHAnsi" w:hAnsiTheme="majorHAnsi" w:cstheme="majorHAnsi"/>
          <w:lang w:val="en-GB"/>
        </w:rPr>
        <w:t xml:space="preserve"> leading </w:t>
      </w:r>
      <w:r w:rsidR="008E176F" w:rsidRPr="00A33AE8">
        <w:rPr>
          <w:rFonts w:asciiTheme="majorHAnsi" w:hAnsiTheme="majorHAnsi" w:cstheme="majorHAnsi"/>
          <w:lang w:val="en-GB"/>
        </w:rPr>
        <w:t xml:space="preserve">Ministry </w:t>
      </w:r>
      <w:r w:rsidR="002719D2" w:rsidRPr="00A33AE8">
        <w:rPr>
          <w:rFonts w:asciiTheme="majorHAnsi" w:hAnsiTheme="majorHAnsi" w:cstheme="majorHAnsi"/>
          <w:lang w:val="en-GB"/>
        </w:rPr>
        <w:t>for document preparation and key beneficiary of the above-mentioned project.</w:t>
      </w:r>
    </w:p>
    <w:p w14:paraId="4B4F6209" w14:textId="4B641F3B" w:rsidR="00D70E4B" w:rsidRDefault="00D70E4B" w:rsidP="0087794A">
      <w:pPr>
        <w:pStyle w:val="Caption"/>
        <w:keepNext/>
        <w:jc w:val="both"/>
      </w:pPr>
      <w:bookmarkStart w:id="81" w:name="_Toc154575206"/>
      <w:r>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15</w:t>
      </w:r>
      <w:r w:rsidR="006E0533">
        <w:rPr>
          <w:noProof/>
        </w:rPr>
        <w:fldChar w:fldCharType="end"/>
      </w:r>
      <w:r>
        <w:t xml:space="preserve">: </w:t>
      </w:r>
      <w:r w:rsidRPr="00D70E4B">
        <w:t>Structure of the Working Groups per entities involved</w:t>
      </w:r>
      <w:bookmarkEnd w:id="81"/>
    </w:p>
    <w:p w14:paraId="72EE377F" w14:textId="77777777" w:rsidR="002719D2" w:rsidRPr="00A33AE8" w:rsidRDefault="007D4C1D" w:rsidP="002719D2">
      <w:pPr>
        <w:keepNext/>
        <w:jc w:val="both"/>
      </w:pPr>
      <w:r w:rsidRPr="000007D2">
        <w:rPr>
          <w:noProof/>
          <w:lang w:val="en-US"/>
        </w:rPr>
        <w:drawing>
          <wp:inline distT="0" distB="0" distL="0" distR="0" wp14:anchorId="1E18555F" wp14:editId="268FE838">
            <wp:extent cx="6096000" cy="3429000"/>
            <wp:effectExtent l="0" t="0" r="0" b="0"/>
            <wp:docPr id="1479166756" name="Picture 1479166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pic:spPr>
                </pic:pic>
              </a:graphicData>
            </a:graphic>
          </wp:inline>
        </w:drawing>
      </w:r>
    </w:p>
    <w:p w14:paraId="37D3FE9F" w14:textId="77777777" w:rsidR="007D1305" w:rsidRDefault="007D1305" w:rsidP="00990FC7">
      <w:pPr>
        <w:spacing w:line="240" w:lineRule="auto"/>
        <w:jc w:val="both"/>
        <w:rPr>
          <w:rFonts w:asciiTheme="majorHAnsi" w:hAnsiTheme="majorHAnsi" w:cstheme="majorHAnsi"/>
        </w:rPr>
      </w:pPr>
      <w:r w:rsidRPr="00A33AE8">
        <w:rPr>
          <w:rFonts w:asciiTheme="majorHAnsi" w:hAnsiTheme="majorHAnsi" w:cstheme="majorHAnsi"/>
        </w:rPr>
        <w:t>Initially, t</w:t>
      </w:r>
      <w:r w:rsidR="00856699" w:rsidRPr="00A33AE8">
        <w:rPr>
          <w:rFonts w:asciiTheme="majorHAnsi" w:hAnsiTheme="majorHAnsi" w:cstheme="majorHAnsi"/>
        </w:rPr>
        <w:t>he Working Groups consist</w:t>
      </w:r>
      <w:r w:rsidRPr="00A33AE8">
        <w:rPr>
          <w:rFonts w:asciiTheme="majorHAnsi" w:hAnsiTheme="majorHAnsi" w:cstheme="majorHAnsi"/>
        </w:rPr>
        <w:t>ed</w:t>
      </w:r>
      <w:r w:rsidR="00856699" w:rsidRPr="00A33AE8">
        <w:rPr>
          <w:rFonts w:asciiTheme="majorHAnsi" w:hAnsiTheme="majorHAnsi" w:cstheme="majorHAnsi"/>
        </w:rPr>
        <w:t xml:space="preserve"> of 19 national stakeholders and </w:t>
      </w:r>
      <w:r w:rsidR="002115A0" w:rsidRPr="00A33AE8">
        <w:rPr>
          <w:rFonts w:asciiTheme="majorHAnsi" w:hAnsiTheme="majorHAnsi" w:cstheme="majorHAnsi"/>
        </w:rPr>
        <w:t xml:space="preserve">a </w:t>
      </w:r>
      <w:r w:rsidR="00856699" w:rsidRPr="00A33AE8">
        <w:rPr>
          <w:rFonts w:asciiTheme="majorHAnsi" w:hAnsiTheme="majorHAnsi" w:cstheme="majorHAnsi"/>
        </w:rPr>
        <w:t>total of 83 representatives</w:t>
      </w:r>
      <w:r w:rsidR="006C4983" w:rsidRPr="00A33AE8">
        <w:rPr>
          <w:rFonts w:asciiTheme="majorHAnsi" w:hAnsiTheme="majorHAnsi" w:cstheme="majorHAnsi"/>
        </w:rPr>
        <w:t>.</w:t>
      </w:r>
      <w:r w:rsidR="006B48DE" w:rsidRPr="00A33AE8">
        <w:rPr>
          <w:rFonts w:asciiTheme="majorHAnsi" w:hAnsiTheme="majorHAnsi" w:cstheme="majorHAnsi"/>
        </w:rPr>
        <w:t xml:space="preserve"> </w:t>
      </w:r>
      <w:r w:rsidR="006C4983" w:rsidRPr="00A33AE8">
        <w:rPr>
          <w:rFonts w:asciiTheme="majorHAnsi" w:hAnsiTheme="majorHAnsi" w:cstheme="majorHAnsi"/>
        </w:rPr>
        <w:t xml:space="preserve">The stakeholders include: </w:t>
      </w:r>
      <w:r w:rsidR="00856699" w:rsidRPr="00A33AE8">
        <w:rPr>
          <w:rFonts w:asciiTheme="majorHAnsi" w:hAnsiTheme="majorHAnsi" w:cstheme="majorHAnsi"/>
        </w:rPr>
        <w:t xml:space="preserve">6 governmental institutions </w:t>
      </w:r>
      <w:r w:rsidR="002719D2" w:rsidRPr="00A33AE8">
        <w:rPr>
          <w:rFonts w:asciiTheme="majorHAnsi" w:hAnsiTheme="majorHAnsi" w:cstheme="majorHAnsi"/>
        </w:rPr>
        <w:t xml:space="preserve">(5 Ministries and Directorate for Energy Reserves), 6 </w:t>
      </w:r>
      <w:r w:rsidR="00ED6E44" w:rsidRPr="00A33AE8">
        <w:rPr>
          <w:rFonts w:asciiTheme="majorHAnsi" w:hAnsiTheme="majorHAnsi" w:cstheme="majorHAnsi"/>
        </w:rPr>
        <w:t xml:space="preserve">stakeholders representing </w:t>
      </w:r>
      <w:r w:rsidR="002719D2" w:rsidRPr="00A33AE8">
        <w:rPr>
          <w:rFonts w:asciiTheme="majorHAnsi" w:hAnsiTheme="majorHAnsi" w:cstheme="majorHAnsi"/>
        </w:rPr>
        <w:t xml:space="preserve">agencies, regulators and </w:t>
      </w:r>
      <w:r w:rsidR="00105B38" w:rsidRPr="00A33AE8">
        <w:rPr>
          <w:rFonts w:asciiTheme="majorHAnsi" w:hAnsiTheme="majorHAnsi" w:cstheme="majorHAnsi"/>
        </w:rPr>
        <w:t xml:space="preserve">a </w:t>
      </w:r>
      <w:r w:rsidR="002719D2" w:rsidRPr="00A33AE8">
        <w:rPr>
          <w:rFonts w:asciiTheme="majorHAnsi" w:hAnsiTheme="majorHAnsi" w:cstheme="majorHAnsi"/>
        </w:rPr>
        <w:t>statistical office</w:t>
      </w:r>
      <w:r w:rsidR="00105B38" w:rsidRPr="00A33AE8">
        <w:rPr>
          <w:rFonts w:asciiTheme="majorHAnsi" w:hAnsiTheme="majorHAnsi" w:cstheme="majorHAnsi"/>
        </w:rPr>
        <w:t>,</w:t>
      </w:r>
      <w:r w:rsidR="002719D2" w:rsidRPr="00A33AE8">
        <w:rPr>
          <w:rFonts w:asciiTheme="majorHAnsi" w:hAnsiTheme="majorHAnsi" w:cstheme="majorHAnsi"/>
        </w:rPr>
        <w:t xml:space="preserve"> and 7 energy companies</w:t>
      </w:r>
      <w:r w:rsidR="00B97FE2" w:rsidRPr="00A33AE8">
        <w:rPr>
          <w:rFonts w:asciiTheme="majorHAnsi" w:hAnsiTheme="majorHAnsi" w:cstheme="majorHAnsi"/>
        </w:rPr>
        <w:t>.</w:t>
      </w:r>
      <w:r w:rsidR="002719D2" w:rsidRPr="00A33AE8">
        <w:rPr>
          <w:rFonts w:asciiTheme="majorHAnsi" w:hAnsiTheme="majorHAnsi" w:cstheme="majorHAnsi"/>
        </w:rPr>
        <w:t xml:space="preserve"> </w:t>
      </w:r>
      <w:r w:rsidRPr="00A33AE8">
        <w:rPr>
          <w:rFonts w:asciiTheme="majorHAnsi" w:hAnsiTheme="majorHAnsi" w:cstheme="majorHAnsi"/>
        </w:rPr>
        <w:t xml:space="preserve">In order to </w:t>
      </w:r>
      <w:r w:rsidR="001D53EE" w:rsidRPr="00A33AE8">
        <w:rPr>
          <w:rFonts w:asciiTheme="majorHAnsi" w:hAnsiTheme="majorHAnsi" w:cstheme="majorHAnsi"/>
        </w:rPr>
        <w:t xml:space="preserve">ensure that </w:t>
      </w:r>
      <w:r w:rsidRPr="00A33AE8">
        <w:rPr>
          <w:rFonts w:asciiTheme="majorHAnsi" w:hAnsiTheme="majorHAnsi" w:cstheme="majorHAnsi"/>
        </w:rPr>
        <w:t xml:space="preserve">representatives of the civil society participate regularly in the development and preparation process of the </w:t>
      </w:r>
      <w:r w:rsidR="00B006FA" w:rsidRPr="00A33AE8">
        <w:rPr>
          <w:rFonts w:asciiTheme="majorHAnsi" w:hAnsiTheme="majorHAnsi" w:cstheme="majorHAnsi"/>
        </w:rPr>
        <w:t>INECP</w:t>
      </w:r>
      <w:r w:rsidRPr="00A33AE8">
        <w:rPr>
          <w:rFonts w:asciiTheme="majorHAnsi" w:hAnsiTheme="majorHAnsi" w:cstheme="majorHAnsi"/>
        </w:rPr>
        <w:t>, the working groups have been subsequently expanded</w:t>
      </w:r>
      <w:r w:rsidR="00ED6E44" w:rsidRPr="00A33AE8">
        <w:rPr>
          <w:rFonts w:asciiTheme="majorHAnsi" w:hAnsiTheme="majorHAnsi" w:cstheme="majorHAnsi"/>
        </w:rPr>
        <w:t xml:space="preserve">. </w:t>
      </w:r>
      <w:r w:rsidR="003C3022" w:rsidRPr="00A33AE8">
        <w:rPr>
          <w:rFonts w:asciiTheme="majorHAnsi" w:hAnsiTheme="majorHAnsi" w:cstheme="majorHAnsi"/>
        </w:rPr>
        <w:t>P</w:t>
      </w:r>
      <w:r w:rsidRPr="00A33AE8">
        <w:rPr>
          <w:rFonts w:asciiTheme="majorHAnsi" w:hAnsiTheme="majorHAnsi" w:cstheme="majorHAnsi"/>
        </w:rPr>
        <w:t>ublic call to civil society organizations for membership in the working groups of the Ministry of Mining and Energy</w:t>
      </w:r>
      <w:r w:rsidR="00ED6E44" w:rsidRPr="00A33AE8">
        <w:rPr>
          <w:rFonts w:asciiTheme="majorHAnsi" w:hAnsiTheme="majorHAnsi" w:cstheme="majorHAnsi"/>
        </w:rPr>
        <w:t xml:space="preserve"> was </w:t>
      </w:r>
      <w:r w:rsidR="003C3022" w:rsidRPr="00A33AE8">
        <w:rPr>
          <w:rFonts w:asciiTheme="majorHAnsi" w:hAnsiTheme="majorHAnsi" w:cstheme="majorHAnsi"/>
        </w:rPr>
        <w:t>initiated</w:t>
      </w:r>
      <w:r w:rsidR="00ED6E44" w:rsidRPr="00A33AE8">
        <w:rPr>
          <w:rFonts w:asciiTheme="majorHAnsi" w:hAnsiTheme="majorHAnsi" w:cstheme="majorHAnsi"/>
        </w:rPr>
        <w:t xml:space="preserve"> in </w:t>
      </w:r>
      <w:r w:rsidR="003C3022" w:rsidRPr="00A33AE8">
        <w:rPr>
          <w:rFonts w:asciiTheme="majorHAnsi" w:hAnsiTheme="majorHAnsi" w:cstheme="majorHAnsi"/>
        </w:rPr>
        <w:t>2021</w:t>
      </w:r>
      <w:r w:rsidRPr="00A33AE8">
        <w:rPr>
          <w:rFonts w:asciiTheme="majorHAnsi" w:hAnsiTheme="majorHAnsi" w:cstheme="majorHAnsi"/>
        </w:rPr>
        <w:t xml:space="preserve">. </w:t>
      </w:r>
      <w:r w:rsidR="00ED1835" w:rsidRPr="00A33AE8">
        <w:rPr>
          <w:rFonts w:asciiTheme="majorHAnsi" w:hAnsiTheme="majorHAnsi" w:cstheme="majorHAnsi"/>
        </w:rPr>
        <w:t>Thus, the representatives of the RES Foundation</w:t>
      </w:r>
      <w:r w:rsidR="003C3022" w:rsidRPr="00A33AE8">
        <w:rPr>
          <w:rFonts w:asciiTheme="majorHAnsi" w:hAnsiTheme="majorHAnsi" w:cstheme="majorHAnsi"/>
        </w:rPr>
        <w:t>,</w:t>
      </w:r>
      <w:r w:rsidR="00ED1835" w:rsidRPr="00A33AE8">
        <w:rPr>
          <w:rFonts w:asciiTheme="majorHAnsi" w:hAnsiTheme="majorHAnsi" w:cstheme="majorHAnsi"/>
        </w:rPr>
        <w:t xml:space="preserve"> Belgrade Open School (BOS) </w:t>
      </w:r>
      <w:r w:rsidR="003C3022" w:rsidRPr="00A33AE8">
        <w:rPr>
          <w:rFonts w:asciiTheme="majorHAnsi" w:hAnsiTheme="majorHAnsi" w:cstheme="majorHAnsi"/>
        </w:rPr>
        <w:t xml:space="preserve">and Center for ecology and sustainable development (CEKOR) </w:t>
      </w:r>
      <w:r w:rsidR="00ED1835" w:rsidRPr="00A33AE8">
        <w:rPr>
          <w:rFonts w:asciiTheme="majorHAnsi" w:hAnsiTheme="majorHAnsi" w:cstheme="majorHAnsi"/>
        </w:rPr>
        <w:t>joined WG1 and WG2 as regular members</w:t>
      </w:r>
      <w:r w:rsidRPr="00A33AE8">
        <w:rPr>
          <w:rFonts w:asciiTheme="majorHAnsi" w:hAnsiTheme="majorHAnsi" w:cstheme="majorHAnsi"/>
        </w:rPr>
        <w:t>.</w:t>
      </w:r>
    </w:p>
    <w:p w14:paraId="5ADBDA6C" w14:textId="77777777" w:rsidR="002719D2" w:rsidRPr="00A33AE8" w:rsidRDefault="002719D2" w:rsidP="001F62E4">
      <w:pPr>
        <w:spacing w:after="0" w:line="240" w:lineRule="auto"/>
        <w:jc w:val="both"/>
        <w:rPr>
          <w:rFonts w:asciiTheme="majorHAnsi" w:hAnsiTheme="majorHAnsi" w:cstheme="majorHAnsi"/>
          <w:sz w:val="24"/>
          <w:szCs w:val="24"/>
          <w:lang w:eastAsia="en-GB"/>
        </w:rPr>
      </w:pPr>
      <w:r w:rsidRPr="00A33AE8">
        <w:rPr>
          <w:rFonts w:asciiTheme="majorHAnsi" w:hAnsiTheme="majorHAnsi" w:cstheme="majorHAnsi"/>
        </w:rPr>
        <w:t xml:space="preserve">Additionally, in order to secure high quality of planning, mitigate gaps and fully mobilize existing national capacities, </w:t>
      </w:r>
      <w:r w:rsidR="001D53EE" w:rsidRPr="00A33AE8">
        <w:rPr>
          <w:rFonts w:asciiTheme="majorHAnsi" w:hAnsiTheme="majorHAnsi" w:cstheme="majorHAnsi"/>
        </w:rPr>
        <w:t xml:space="preserve">the </w:t>
      </w:r>
      <w:r w:rsidRPr="00A33AE8">
        <w:rPr>
          <w:rFonts w:asciiTheme="majorHAnsi" w:hAnsiTheme="majorHAnsi" w:cstheme="majorHAnsi"/>
        </w:rPr>
        <w:t xml:space="preserve">overall process is constantly supported by </w:t>
      </w:r>
      <w:r w:rsidR="001D53EE" w:rsidRPr="00A33AE8">
        <w:rPr>
          <w:rFonts w:asciiTheme="majorHAnsi" w:hAnsiTheme="majorHAnsi" w:cstheme="majorHAnsi"/>
        </w:rPr>
        <w:t>a number</w:t>
      </w:r>
      <w:r w:rsidRPr="00A33AE8">
        <w:rPr>
          <w:rFonts w:asciiTheme="majorHAnsi" w:hAnsiTheme="majorHAnsi" w:cstheme="majorHAnsi"/>
        </w:rPr>
        <w:t xml:space="preserve"> of relevant bodies, such as various business </w:t>
      </w:r>
      <w:r w:rsidR="00856699" w:rsidRPr="00A33AE8">
        <w:rPr>
          <w:rFonts w:asciiTheme="majorHAnsi" w:hAnsiTheme="majorHAnsi" w:cstheme="majorHAnsi"/>
        </w:rPr>
        <w:t>associations</w:t>
      </w:r>
      <w:r w:rsidRPr="00A33AE8">
        <w:rPr>
          <w:rFonts w:asciiTheme="majorHAnsi" w:hAnsiTheme="majorHAnsi" w:cstheme="majorHAnsi"/>
        </w:rPr>
        <w:t xml:space="preserve">, research institutions and others, on </w:t>
      </w:r>
      <w:r w:rsidRPr="00A33AE8">
        <w:rPr>
          <w:rFonts w:asciiTheme="majorHAnsi" w:hAnsiTheme="majorHAnsi" w:cstheme="majorHAnsi"/>
          <w:i/>
          <w:iCs/>
        </w:rPr>
        <w:t>ad hoc</w:t>
      </w:r>
      <w:r w:rsidRPr="00A33AE8">
        <w:rPr>
          <w:rFonts w:asciiTheme="majorHAnsi" w:hAnsiTheme="majorHAnsi" w:cstheme="majorHAnsi"/>
        </w:rPr>
        <w:t xml:space="preserve"> basis for particular </w:t>
      </w:r>
      <w:r w:rsidR="008A4F23" w:rsidRPr="00A33AE8">
        <w:rPr>
          <w:rFonts w:asciiTheme="majorHAnsi" w:hAnsiTheme="majorHAnsi" w:cstheme="majorHAnsi"/>
        </w:rPr>
        <w:t>issues</w:t>
      </w:r>
      <w:r w:rsidRPr="00A33AE8">
        <w:rPr>
          <w:rFonts w:asciiTheme="majorHAnsi" w:hAnsiTheme="majorHAnsi" w:cstheme="majorHAnsi"/>
        </w:rPr>
        <w:t xml:space="preserve">. </w:t>
      </w:r>
      <w:r w:rsidR="00856699" w:rsidRPr="00A33AE8">
        <w:rPr>
          <w:rFonts w:asciiTheme="majorHAnsi" w:hAnsiTheme="majorHAnsi" w:cstheme="majorHAnsi"/>
        </w:rPr>
        <w:t xml:space="preserve">The concept of the decision-making process, discussion sessions and overall communication </w:t>
      </w:r>
      <w:r w:rsidR="001D53EE" w:rsidRPr="00A33AE8">
        <w:rPr>
          <w:rFonts w:asciiTheme="majorHAnsi" w:hAnsiTheme="majorHAnsi" w:cstheme="majorHAnsi"/>
        </w:rPr>
        <w:t>is realized through</w:t>
      </w:r>
      <w:r w:rsidR="00856699" w:rsidRPr="00A33AE8">
        <w:rPr>
          <w:rFonts w:asciiTheme="majorHAnsi" w:hAnsiTheme="majorHAnsi" w:cstheme="majorHAnsi"/>
        </w:rPr>
        <w:t xml:space="preserve"> the Working Group meetings that have been held regularly, but also through the introduction of </w:t>
      </w:r>
      <w:r w:rsidR="001D53EE" w:rsidRPr="00A33AE8">
        <w:rPr>
          <w:rFonts w:asciiTheme="majorHAnsi" w:hAnsiTheme="majorHAnsi" w:cstheme="majorHAnsi"/>
        </w:rPr>
        <w:t xml:space="preserve">the </w:t>
      </w:r>
      <w:r w:rsidR="00856699" w:rsidRPr="00A33AE8">
        <w:rPr>
          <w:rFonts w:asciiTheme="majorHAnsi" w:hAnsiTheme="majorHAnsi" w:cstheme="majorHAnsi"/>
        </w:rPr>
        <w:t>regularly conducted so-called “dimensional meetings”, dedicated to each of the five dimensions</w:t>
      </w:r>
      <w:r w:rsidR="001D53EE" w:rsidRPr="00A33AE8">
        <w:rPr>
          <w:rFonts w:asciiTheme="majorHAnsi" w:hAnsiTheme="majorHAnsi" w:cstheme="majorHAnsi"/>
        </w:rPr>
        <w:t xml:space="preserve"> (i.e. Decarbonization, E</w:t>
      </w:r>
      <w:r w:rsidR="00CA2566" w:rsidRPr="00A33AE8">
        <w:rPr>
          <w:rFonts w:asciiTheme="majorHAnsi" w:hAnsiTheme="majorHAnsi" w:cstheme="majorHAnsi"/>
        </w:rPr>
        <w:t xml:space="preserve">nergy </w:t>
      </w:r>
      <w:r w:rsidR="001D53EE" w:rsidRPr="00A33AE8">
        <w:rPr>
          <w:rFonts w:asciiTheme="majorHAnsi" w:hAnsiTheme="majorHAnsi" w:cstheme="majorHAnsi"/>
        </w:rPr>
        <w:t>E</w:t>
      </w:r>
      <w:r w:rsidR="00CA2566" w:rsidRPr="00A33AE8">
        <w:rPr>
          <w:rFonts w:asciiTheme="majorHAnsi" w:hAnsiTheme="majorHAnsi" w:cstheme="majorHAnsi"/>
        </w:rPr>
        <w:t>fficiency</w:t>
      </w:r>
      <w:r w:rsidR="001D53EE" w:rsidRPr="00A33AE8">
        <w:rPr>
          <w:rFonts w:asciiTheme="majorHAnsi" w:hAnsiTheme="majorHAnsi" w:cstheme="majorHAnsi"/>
        </w:rPr>
        <w:t>, Internal Energy Market, Energy Security, and Research, Innovation and Competitiveness)</w:t>
      </w:r>
      <w:r w:rsidR="00856699" w:rsidRPr="00A33AE8">
        <w:rPr>
          <w:rFonts w:asciiTheme="majorHAnsi" w:hAnsiTheme="majorHAnsi" w:cstheme="majorHAnsi"/>
        </w:rPr>
        <w:t xml:space="preserve"> and with aim to elaborate each dimension in </w:t>
      </w:r>
      <w:r w:rsidR="00081D7A" w:rsidRPr="00A33AE8">
        <w:rPr>
          <w:rFonts w:asciiTheme="majorHAnsi" w:hAnsiTheme="majorHAnsi" w:cstheme="majorHAnsi"/>
        </w:rPr>
        <w:t>detail</w:t>
      </w:r>
      <w:r w:rsidRPr="00A33AE8">
        <w:rPr>
          <w:rFonts w:asciiTheme="majorHAnsi" w:hAnsiTheme="majorHAnsi" w:cstheme="majorHAnsi"/>
        </w:rPr>
        <w:t xml:space="preserve">. Due to the limited timeframe for the elaboration of the </w:t>
      </w:r>
      <w:r w:rsidR="00B006FA" w:rsidRPr="00A33AE8">
        <w:rPr>
          <w:rFonts w:asciiTheme="majorHAnsi" w:hAnsiTheme="majorHAnsi" w:cstheme="majorHAnsi"/>
        </w:rPr>
        <w:t>INECP</w:t>
      </w:r>
      <w:r w:rsidRPr="00A33AE8">
        <w:rPr>
          <w:rFonts w:asciiTheme="majorHAnsi" w:hAnsiTheme="majorHAnsi" w:cstheme="majorHAnsi"/>
        </w:rPr>
        <w:t xml:space="preserve"> and the rather demanding organizational effort, there is no strict definition or establishment of sub-groups along the five dimensions of the Energy Union, but their participation has been unofficially allocated as per their </w:t>
      </w:r>
      <w:r w:rsidR="00FD44D0" w:rsidRPr="00A33AE8">
        <w:rPr>
          <w:rFonts w:asciiTheme="majorHAnsi" w:hAnsiTheme="majorHAnsi" w:cstheme="majorHAnsi"/>
        </w:rPr>
        <w:t>responsibility</w:t>
      </w:r>
      <w:r w:rsidR="00856699" w:rsidRPr="00A33AE8">
        <w:rPr>
          <w:rFonts w:asciiTheme="majorHAnsi" w:hAnsiTheme="majorHAnsi" w:cstheme="majorHAnsi"/>
        </w:rPr>
        <w:t xml:space="preserve"> and relevance</w:t>
      </w:r>
      <w:r w:rsidRPr="00A33AE8">
        <w:rPr>
          <w:rFonts w:asciiTheme="majorHAnsi" w:hAnsiTheme="majorHAnsi" w:cstheme="majorHAnsi"/>
        </w:rPr>
        <w:t>.</w:t>
      </w:r>
    </w:p>
    <w:p w14:paraId="7D00BE62" w14:textId="250581F0" w:rsidR="001F4028" w:rsidRDefault="00856699" w:rsidP="0087794A">
      <w:pPr>
        <w:pStyle w:val="LDKbody"/>
      </w:pPr>
      <w:r w:rsidRPr="00A33AE8">
        <w:rPr>
          <w:rFonts w:asciiTheme="majorHAnsi" w:hAnsiTheme="majorHAnsi" w:cstheme="majorHAnsi"/>
          <w:lang w:val="en-GB"/>
        </w:rPr>
        <w:t>The detailed scheme of the relevant participants per dimension within the project is presented in the following figure:</w:t>
      </w:r>
      <w:bookmarkStart w:id="82" w:name="_Toc79772585"/>
      <w:bookmarkStart w:id="83" w:name="_Toc118992270"/>
    </w:p>
    <w:p w14:paraId="2816FC52" w14:textId="7B3047CE" w:rsidR="00660745" w:rsidRDefault="00660745" w:rsidP="0087794A">
      <w:pPr>
        <w:pStyle w:val="Caption"/>
        <w:keepNext/>
        <w:jc w:val="both"/>
      </w:pPr>
      <w:bookmarkStart w:id="84" w:name="_Toc154575207"/>
      <w:bookmarkEnd w:id="82"/>
      <w:bookmarkEnd w:id="83"/>
      <w:r>
        <w:lastRenderedPageBreak/>
        <w:t xml:space="preserve">Figure </w:t>
      </w:r>
      <w:r w:rsidR="006E0533">
        <w:fldChar w:fldCharType="begin"/>
      </w:r>
      <w:r w:rsidR="006E0533">
        <w:instrText xml:space="preserve"> STYLEREF 1 \s </w:instrText>
      </w:r>
      <w:r w:rsidR="006E0533">
        <w:fldChar w:fldCharType="separate"/>
      </w:r>
      <w:r w:rsidR="00B62877">
        <w:rPr>
          <w:noProof/>
        </w:rPr>
        <w:t>1</w:t>
      </w:r>
      <w:r w:rsidR="006E0533">
        <w:rPr>
          <w:noProof/>
        </w:rPr>
        <w:fldChar w:fldCharType="end"/>
      </w:r>
      <w:r w:rsidR="00B62877">
        <w:t>.</w:t>
      </w:r>
      <w:r w:rsidR="006E0533">
        <w:fldChar w:fldCharType="begin"/>
      </w:r>
      <w:r w:rsidR="006E0533">
        <w:instrText xml:space="preserve"> SEQ Figure \* ARABIC </w:instrText>
      </w:r>
      <w:r w:rsidR="006E0533">
        <w:instrText xml:space="preserve">\s 1 </w:instrText>
      </w:r>
      <w:r w:rsidR="006E0533">
        <w:fldChar w:fldCharType="separate"/>
      </w:r>
      <w:r w:rsidR="00B62877">
        <w:rPr>
          <w:noProof/>
        </w:rPr>
        <w:t>16</w:t>
      </w:r>
      <w:r w:rsidR="006E0533">
        <w:rPr>
          <w:noProof/>
        </w:rPr>
        <w:fldChar w:fldCharType="end"/>
      </w:r>
      <w:r>
        <w:t xml:space="preserve">: </w:t>
      </w:r>
      <w:r w:rsidRPr="00660745">
        <w:t>Involvement of project participants per dimension</w:t>
      </w:r>
      <w:bookmarkEnd w:id="84"/>
    </w:p>
    <w:p w14:paraId="04854C36" w14:textId="77777777" w:rsidR="000A0D7C" w:rsidRPr="00A33AE8" w:rsidRDefault="001F62E4" w:rsidP="002719D2">
      <w:pPr>
        <w:pStyle w:val="LDKbody"/>
        <w:rPr>
          <w:lang w:val="en-GB"/>
        </w:rPr>
      </w:pPr>
      <w:r w:rsidRPr="000007D2">
        <w:rPr>
          <w:noProof/>
          <w:lang w:val="en-US" w:eastAsia="en-US"/>
        </w:rPr>
        <w:drawing>
          <wp:inline distT="0" distB="0" distL="0" distR="0" wp14:anchorId="0D32177A" wp14:editId="55BB6482">
            <wp:extent cx="6119642" cy="1688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45590" cy="1695624"/>
                    </a:xfrm>
                    <a:prstGeom prst="rect">
                      <a:avLst/>
                    </a:prstGeom>
                    <a:noFill/>
                  </pic:spPr>
                </pic:pic>
              </a:graphicData>
            </a:graphic>
          </wp:inline>
        </w:drawing>
      </w:r>
    </w:p>
    <w:p w14:paraId="08C95723" w14:textId="1E81E5C4" w:rsidR="00374390" w:rsidRPr="00A33AE8" w:rsidRDefault="00856699" w:rsidP="008A5737">
      <w:pPr>
        <w:jc w:val="both"/>
        <w:rPr>
          <w:rFonts w:asciiTheme="majorHAnsi" w:hAnsiTheme="majorHAnsi" w:cstheme="majorHAnsi"/>
        </w:rPr>
      </w:pPr>
      <w:r w:rsidRPr="00A33AE8">
        <w:rPr>
          <w:rFonts w:asciiTheme="majorHAnsi" w:hAnsiTheme="majorHAnsi" w:cstheme="majorHAnsi"/>
          <w:lang w:eastAsia="el-GR"/>
        </w:rPr>
        <w:t xml:space="preserve">The institutions that </w:t>
      </w:r>
      <w:r w:rsidR="00B67FB6" w:rsidRPr="00A33AE8">
        <w:rPr>
          <w:rFonts w:asciiTheme="majorHAnsi" w:hAnsiTheme="majorHAnsi" w:cstheme="majorHAnsi"/>
          <w:lang w:eastAsia="el-GR"/>
        </w:rPr>
        <w:t>re</w:t>
      </w:r>
      <w:r w:rsidRPr="00A33AE8">
        <w:rPr>
          <w:rFonts w:asciiTheme="majorHAnsi" w:hAnsiTheme="majorHAnsi" w:cstheme="majorHAnsi"/>
          <w:lang w:eastAsia="el-GR"/>
        </w:rPr>
        <w:t>present supporting bodies</w:t>
      </w:r>
      <w:r w:rsidR="006B48DE" w:rsidRPr="00A33AE8">
        <w:rPr>
          <w:rFonts w:asciiTheme="majorHAnsi" w:hAnsiTheme="majorHAnsi" w:cstheme="majorHAnsi"/>
          <w:lang w:eastAsia="el-GR"/>
        </w:rPr>
        <w:t xml:space="preserve"> </w:t>
      </w:r>
      <w:r w:rsidRPr="00A33AE8">
        <w:rPr>
          <w:rFonts w:asciiTheme="majorHAnsi" w:hAnsiTheme="majorHAnsi" w:cstheme="majorHAnsi"/>
          <w:lang w:eastAsia="el-GR"/>
        </w:rPr>
        <w:t>in the project</w:t>
      </w:r>
      <w:r w:rsidR="00CA2566" w:rsidRPr="00A33AE8">
        <w:rPr>
          <w:rFonts w:asciiTheme="majorHAnsi" w:hAnsiTheme="majorHAnsi" w:cstheme="majorHAnsi"/>
          <w:lang w:eastAsia="el-GR"/>
        </w:rPr>
        <w:t>,</w:t>
      </w:r>
      <w:r w:rsidR="006B48DE" w:rsidRPr="00A33AE8">
        <w:rPr>
          <w:rFonts w:asciiTheme="majorHAnsi" w:hAnsiTheme="majorHAnsi" w:cstheme="majorHAnsi"/>
          <w:lang w:eastAsia="el-GR"/>
        </w:rPr>
        <w:t xml:space="preserve"> </w:t>
      </w:r>
      <w:r w:rsidR="00CA2566" w:rsidRPr="00A33AE8">
        <w:rPr>
          <w:rFonts w:asciiTheme="majorHAnsi" w:hAnsiTheme="majorHAnsi" w:cstheme="majorHAnsi"/>
          <w:lang w:eastAsia="el-GR"/>
        </w:rPr>
        <w:t xml:space="preserve">which are not members of the Working Group, </w:t>
      </w:r>
      <w:r w:rsidRPr="00A33AE8">
        <w:rPr>
          <w:rFonts w:asciiTheme="majorHAnsi" w:hAnsiTheme="majorHAnsi" w:cstheme="majorHAnsi"/>
          <w:lang w:eastAsia="el-GR"/>
        </w:rPr>
        <w:t>are mainly active in the dimension</w:t>
      </w:r>
      <w:r w:rsidR="004231D7" w:rsidRPr="00A33AE8">
        <w:rPr>
          <w:rFonts w:asciiTheme="majorHAnsi" w:hAnsiTheme="majorHAnsi" w:cstheme="majorHAnsi"/>
          <w:lang w:eastAsia="el-GR"/>
        </w:rPr>
        <w:t>s</w:t>
      </w:r>
      <w:r w:rsidRPr="00A33AE8">
        <w:rPr>
          <w:rFonts w:asciiTheme="majorHAnsi" w:hAnsiTheme="majorHAnsi" w:cstheme="majorHAnsi"/>
          <w:lang w:eastAsia="el-GR"/>
        </w:rPr>
        <w:t xml:space="preserve"> of energy efficiency and research, innovation and competitiveness. </w:t>
      </w:r>
      <w:r w:rsidR="0047633B" w:rsidRPr="0047633B">
        <w:rPr>
          <w:rFonts w:asciiTheme="majorHAnsi" w:hAnsiTheme="majorHAnsi" w:cstheme="majorHAnsi"/>
          <w:lang w:eastAsia="el-GR"/>
        </w:rPr>
        <w:t xml:space="preserve">In the period from April to July 2021, a large amount of data was collected in the format of input data for energy modelling tools. </w:t>
      </w:r>
      <w:r w:rsidRPr="00A33AE8">
        <w:rPr>
          <w:rFonts w:asciiTheme="majorHAnsi" w:hAnsiTheme="majorHAnsi" w:cstheme="majorHAnsi"/>
          <w:lang w:eastAsia="el-GR"/>
        </w:rPr>
        <w:t xml:space="preserve">The Ministry of Mining and Energy </w:t>
      </w:r>
      <w:r w:rsidR="00B8621C">
        <w:rPr>
          <w:rFonts w:asciiTheme="majorHAnsi" w:hAnsiTheme="majorHAnsi" w:cstheme="majorHAnsi"/>
          <w:lang w:eastAsia="el-GR"/>
        </w:rPr>
        <w:t>w</w:t>
      </w:r>
      <w:r w:rsidR="00B8621C" w:rsidRPr="00A33AE8">
        <w:rPr>
          <w:rFonts w:asciiTheme="majorHAnsi" w:hAnsiTheme="majorHAnsi" w:cstheme="majorHAnsi"/>
          <w:lang w:eastAsia="el-GR"/>
        </w:rPr>
        <w:t xml:space="preserve">as </w:t>
      </w:r>
      <w:r w:rsidRPr="00A33AE8">
        <w:rPr>
          <w:rFonts w:asciiTheme="majorHAnsi" w:hAnsiTheme="majorHAnsi" w:cstheme="majorHAnsi"/>
          <w:lang w:eastAsia="el-GR"/>
        </w:rPr>
        <w:t>collecting the opinions of various educational institutions</w:t>
      </w:r>
      <w:r w:rsidR="0047633B" w:rsidRPr="0047633B">
        <w:rPr>
          <w:rFonts w:asciiTheme="majorHAnsi" w:hAnsiTheme="majorHAnsi" w:cstheme="majorHAnsi"/>
          <w:lang w:eastAsia="el-GR"/>
        </w:rPr>
        <w:t>, scientific institutes and associations</w:t>
      </w:r>
      <w:r w:rsidRPr="00A33AE8">
        <w:rPr>
          <w:rFonts w:asciiTheme="majorHAnsi" w:hAnsiTheme="majorHAnsi" w:cstheme="majorHAnsi"/>
          <w:lang w:eastAsia="el-GR"/>
        </w:rPr>
        <w:t xml:space="preserve"> on specific topics, in accordance with their responsibilities and relevance, such as University of Belgrade, University of Novi Sad, University of Nis and University of Kragujevac. The same procedure applies for the Electrical Engineering Institute Nikola Tesla and Institute Mihailo Pupin, as well as the Serbian Academy of Sciences and Arts (SANU). </w:t>
      </w:r>
      <w:r w:rsidRPr="00A33AE8">
        <w:rPr>
          <w:rFonts w:asciiTheme="majorHAnsi" w:hAnsiTheme="majorHAnsi" w:cstheme="majorHAnsi"/>
        </w:rPr>
        <w:t xml:space="preserve">Additionally, the business association “Heat Plants of Serbia” has been participating in the meetings regarding the district heating, while the Belgrade Metro and Train Company has delivered appropriate data and information on the ongoing project and planned activities regarding the development of the railway transport in the city of Belgrade. </w:t>
      </w:r>
      <w:r w:rsidR="00CB5612" w:rsidRPr="00A33AE8">
        <w:rPr>
          <w:rFonts w:asciiTheme="majorHAnsi" w:hAnsiTheme="majorHAnsi" w:cstheme="majorHAnsi"/>
        </w:rPr>
        <w:t>Moreover</w:t>
      </w:r>
      <w:r w:rsidRPr="00A33AE8">
        <w:rPr>
          <w:rFonts w:asciiTheme="majorHAnsi" w:hAnsiTheme="majorHAnsi" w:cstheme="majorHAnsi"/>
        </w:rPr>
        <w:t xml:space="preserve">, during the analysis of the energy poverty situation in the Republic of Serbia and preparation of the </w:t>
      </w:r>
      <w:r w:rsidR="00B006FA" w:rsidRPr="00A33AE8">
        <w:rPr>
          <w:rFonts w:asciiTheme="majorHAnsi" w:hAnsiTheme="majorHAnsi" w:cstheme="majorHAnsi"/>
        </w:rPr>
        <w:t>INECP</w:t>
      </w:r>
      <w:r w:rsidRPr="00A33AE8">
        <w:rPr>
          <w:rFonts w:asciiTheme="majorHAnsi" w:hAnsiTheme="majorHAnsi" w:cstheme="majorHAnsi"/>
        </w:rPr>
        <w:t xml:space="preserve">, the study of the non-governmental organization RES Foundation on the energy poverty in the Republic of Serbia in 2021 </w:t>
      </w:r>
      <w:r w:rsidR="0032100D" w:rsidRPr="00A33AE8">
        <w:rPr>
          <w:rFonts w:asciiTheme="majorHAnsi" w:hAnsiTheme="majorHAnsi" w:cstheme="majorHAnsi"/>
        </w:rPr>
        <w:t>was</w:t>
      </w:r>
      <w:r w:rsidRPr="00A33AE8">
        <w:rPr>
          <w:rFonts w:asciiTheme="majorHAnsi" w:hAnsiTheme="majorHAnsi" w:cstheme="majorHAnsi"/>
        </w:rPr>
        <w:t xml:space="preserve"> taken into consideration.</w:t>
      </w:r>
      <w:r w:rsidR="0047633B">
        <w:rPr>
          <w:rFonts w:asciiTheme="majorHAnsi" w:hAnsiTheme="majorHAnsi" w:cstheme="majorHAnsi"/>
        </w:rPr>
        <w:t xml:space="preserve"> Additionally, f</w:t>
      </w:r>
      <w:r w:rsidR="0047633B" w:rsidRPr="0047633B">
        <w:rPr>
          <w:rFonts w:asciiTheme="majorHAnsi" w:hAnsiTheme="majorHAnsi" w:cstheme="majorHAnsi"/>
        </w:rPr>
        <w:t>ollowing institutions were contacted and consulted: The Faculty of Mechanical Engineering, University of Belgrade, Faculty of Forestry, University of Belgrade, Faculty of Electrical Engineering, University of Belgrade, Faculty of Technology and Metallurgy, University of Belgrade, Faculty of Mechanical Engineering, University of Niš, Faculty of Agriculture, University of Novi Sad, Faculty of Engineering, University of Kragujevac, Institute</w:t>
      </w:r>
      <w:r w:rsidR="00AA5B58">
        <w:rPr>
          <w:rFonts w:asciiTheme="majorHAnsi" w:hAnsiTheme="majorHAnsi" w:cstheme="majorHAnsi"/>
          <w:lang w:val="sr-Cyrl-CS"/>
        </w:rPr>
        <w:t xml:space="preserve"> </w:t>
      </w:r>
      <w:r w:rsidR="00AA5B58">
        <w:rPr>
          <w:rFonts w:asciiTheme="majorHAnsi" w:hAnsiTheme="majorHAnsi" w:cstheme="majorHAnsi"/>
          <w:lang w:val="en-US"/>
        </w:rPr>
        <w:t xml:space="preserve">of Nuclear Sciences “Vinca”, </w:t>
      </w:r>
      <w:r w:rsidR="0082421C" w:rsidRPr="0047633B">
        <w:rPr>
          <w:rFonts w:asciiTheme="majorHAnsi" w:hAnsiTheme="majorHAnsi" w:cstheme="majorHAnsi"/>
        </w:rPr>
        <w:t>University of Belgrade</w:t>
      </w:r>
      <w:r w:rsidR="0047633B" w:rsidRPr="0047633B">
        <w:rPr>
          <w:rFonts w:asciiTheme="majorHAnsi" w:hAnsiTheme="majorHAnsi" w:cstheme="majorHAnsi"/>
        </w:rPr>
        <w:t>, Faculty of Technical Sciences, University of Novi Sad, Ministry of Agriculture, Forestry and Water Management.</w:t>
      </w:r>
    </w:p>
    <w:p w14:paraId="2F2090F0" w14:textId="77777777" w:rsidR="00EC19B0" w:rsidRDefault="008A5737" w:rsidP="002C0FF4">
      <w:pPr>
        <w:jc w:val="both"/>
        <w:rPr>
          <w:rFonts w:asciiTheme="majorHAnsi" w:hAnsiTheme="majorHAnsi" w:cstheme="majorHAnsi"/>
        </w:rPr>
      </w:pPr>
      <w:r w:rsidRPr="00A33AE8">
        <w:rPr>
          <w:rFonts w:asciiTheme="majorHAnsi" w:hAnsiTheme="majorHAnsi" w:cstheme="majorHAnsi"/>
        </w:rPr>
        <w:t xml:space="preserve">Finally, during the preparation of draft </w:t>
      </w:r>
      <w:r w:rsidR="00B006FA" w:rsidRPr="00A33AE8">
        <w:rPr>
          <w:rFonts w:asciiTheme="majorHAnsi" w:hAnsiTheme="majorHAnsi" w:cstheme="majorHAnsi"/>
        </w:rPr>
        <w:t>INECP</w:t>
      </w:r>
      <w:r w:rsidRPr="00A33AE8">
        <w:rPr>
          <w:rFonts w:asciiTheme="majorHAnsi" w:hAnsiTheme="majorHAnsi" w:cstheme="majorHAnsi"/>
        </w:rPr>
        <w:t xml:space="preserve">, a series of bilateral and multilateral meetings has been held with various stakeholders. </w:t>
      </w:r>
      <w:r w:rsidR="00CC2610" w:rsidRPr="00A33AE8">
        <w:rPr>
          <w:rFonts w:asciiTheme="majorHAnsi" w:hAnsiTheme="majorHAnsi" w:cstheme="majorHAnsi"/>
        </w:rPr>
        <w:t xml:space="preserve">Thus, efforts made resulted in </w:t>
      </w:r>
      <w:r w:rsidR="00815D70" w:rsidRPr="00A33AE8">
        <w:rPr>
          <w:rFonts w:asciiTheme="majorHAnsi" w:hAnsiTheme="majorHAnsi" w:cstheme="majorHAnsi"/>
        </w:rPr>
        <w:t xml:space="preserve">11 Working Group </w:t>
      </w:r>
      <w:r w:rsidR="00606D25" w:rsidRPr="00A33AE8">
        <w:rPr>
          <w:rFonts w:asciiTheme="majorHAnsi" w:hAnsiTheme="majorHAnsi" w:cstheme="majorHAnsi"/>
        </w:rPr>
        <w:t>meetings</w:t>
      </w:r>
      <w:r w:rsidR="00815D70" w:rsidRPr="00A33AE8">
        <w:rPr>
          <w:rFonts w:asciiTheme="majorHAnsi" w:hAnsiTheme="majorHAnsi" w:cstheme="majorHAnsi"/>
        </w:rPr>
        <w:t xml:space="preserve"> and </w:t>
      </w:r>
      <w:r w:rsidR="00CC2610" w:rsidRPr="00A33AE8">
        <w:rPr>
          <w:rFonts w:asciiTheme="majorHAnsi" w:hAnsiTheme="majorHAnsi" w:cstheme="majorHAnsi"/>
        </w:rPr>
        <w:t>about 50 bilateral meetings, as the inclusiveness has been governance’s priority.</w:t>
      </w:r>
    </w:p>
    <w:p w14:paraId="0F651C02" w14:textId="77777777" w:rsidR="00EC19B0" w:rsidRPr="00EC19B0" w:rsidRDefault="00EC19B0" w:rsidP="00EC19B0">
      <w:pPr>
        <w:jc w:val="both"/>
        <w:rPr>
          <w:rFonts w:asciiTheme="majorHAnsi" w:hAnsiTheme="majorHAnsi" w:cstheme="majorHAnsi"/>
        </w:rPr>
      </w:pPr>
      <w:r w:rsidRPr="00EC19B0">
        <w:rPr>
          <w:rFonts w:asciiTheme="majorHAnsi" w:hAnsiTheme="majorHAnsi" w:cstheme="majorHAnsi"/>
        </w:rPr>
        <w:t>In the period from August 9, 2022, to September 5, 2022, the Ministry of Mining and Energy conducted early public consultations during which the interested public was invited to send their comments, questions and suggestions to the published working scenarios that were prepared for the preparation of the INECP. The subject of early public consultations were: Scenario 1, Scenario 2, Scenario 3 and Scenario S, with a note that no comments and questions were submitted on Scenario 6 (Fit for 55) because it was done solely for the purpose of insight into what would happen if the goals of the Republic of Serbia were equal to the objectives of the EU.</w:t>
      </w:r>
    </w:p>
    <w:p w14:paraId="34F043E1" w14:textId="77777777" w:rsidR="00EC19B0" w:rsidRPr="00EC19B0" w:rsidRDefault="00EC19B0" w:rsidP="00EC19B0">
      <w:pPr>
        <w:jc w:val="both"/>
        <w:rPr>
          <w:rFonts w:asciiTheme="majorHAnsi" w:hAnsiTheme="majorHAnsi" w:cstheme="majorHAnsi"/>
        </w:rPr>
      </w:pPr>
      <w:r w:rsidRPr="00EC19B0">
        <w:rPr>
          <w:rFonts w:asciiTheme="majorHAnsi" w:hAnsiTheme="majorHAnsi" w:cstheme="majorHAnsi"/>
        </w:rPr>
        <w:t>The Ministry of Mining and Energy organized public consultations for the professional public and other interested parties to submit their comments and suggestions on the Integrated National Energy and Climate Plan of the Republic of Serbia for the period up to 2030 in the period from June 13, 2023, to July 28, 2023. including the perspective to 2050. The public hearing was conducted as follows:</w:t>
      </w:r>
    </w:p>
    <w:p w14:paraId="0068EFB3" w14:textId="77777777" w:rsidR="00EC19B0" w:rsidRPr="005B2C66" w:rsidRDefault="00EC19B0" w:rsidP="00884F3B">
      <w:pPr>
        <w:pStyle w:val="ListParagraph"/>
        <w:numPr>
          <w:ilvl w:val="0"/>
          <w:numId w:val="289"/>
        </w:numPr>
        <w:jc w:val="both"/>
        <w:rPr>
          <w:rFonts w:asciiTheme="majorHAnsi" w:hAnsiTheme="majorHAnsi" w:cstheme="majorHAnsi"/>
        </w:rPr>
      </w:pPr>
      <w:r w:rsidRPr="005B2C66">
        <w:rPr>
          <w:rFonts w:asciiTheme="majorHAnsi" w:hAnsiTheme="majorHAnsi" w:cstheme="majorHAnsi"/>
        </w:rPr>
        <w:t>in the form of a presentation and consultation at a public hearing that was held at the Serbian Chamber of Commerce on July 11, 2023, from 10:00 a.m. to 1:00 p.m. in Belgrade;</w:t>
      </w:r>
    </w:p>
    <w:p w14:paraId="54C05B27" w14:textId="77777777" w:rsidR="00EC19B0" w:rsidRPr="005B2C66" w:rsidRDefault="00EC19B0" w:rsidP="00884F3B">
      <w:pPr>
        <w:pStyle w:val="ListParagraph"/>
        <w:numPr>
          <w:ilvl w:val="0"/>
          <w:numId w:val="289"/>
        </w:numPr>
        <w:jc w:val="both"/>
        <w:rPr>
          <w:rFonts w:asciiTheme="majorHAnsi" w:hAnsiTheme="majorHAnsi" w:cstheme="majorHAnsi"/>
        </w:rPr>
      </w:pPr>
      <w:r w:rsidRPr="005B2C66">
        <w:rPr>
          <w:rFonts w:asciiTheme="majorHAnsi" w:hAnsiTheme="majorHAnsi" w:cstheme="majorHAnsi"/>
        </w:rPr>
        <w:t>in the form of a presentation and consultation at a public hearing that was held in the Regional Chamber of Commerce, Novi Sad, on July 12, 2023, from 11:00 a.m. to 2:00 p.m. in Novi Sad;</w:t>
      </w:r>
    </w:p>
    <w:p w14:paraId="7275B8B0" w14:textId="77777777" w:rsidR="002C0FF4" w:rsidRPr="005B2C66" w:rsidRDefault="00EC19B0" w:rsidP="00884F3B">
      <w:pPr>
        <w:pStyle w:val="ListParagraph"/>
        <w:numPr>
          <w:ilvl w:val="0"/>
          <w:numId w:val="289"/>
        </w:numPr>
        <w:jc w:val="both"/>
        <w:rPr>
          <w:rFonts w:asciiTheme="majorHAnsi" w:hAnsiTheme="majorHAnsi" w:cstheme="majorHAnsi"/>
        </w:rPr>
      </w:pPr>
      <w:r w:rsidRPr="005B2C66">
        <w:rPr>
          <w:rFonts w:asciiTheme="majorHAnsi" w:hAnsiTheme="majorHAnsi" w:cstheme="majorHAnsi"/>
        </w:rPr>
        <w:lastRenderedPageBreak/>
        <w:t>in the form of a presentation and consultation at a public hearing that was held at the Niš Regional Chamber of Commerce on July 14, 2023, from 11:00 a.m. to 2:00 p.m. in Niš.</w:t>
      </w:r>
    </w:p>
    <w:p w14:paraId="293B3824" w14:textId="77777777" w:rsidR="002C0FF4" w:rsidRDefault="002C0FF4" w:rsidP="00EC19B0">
      <w:pPr>
        <w:jc w:val="both"/>
        <w:rPr>
          <w:rFonts w:asciiTheme="majorHAnsi" w:hAnsiTheme="majorHAnsi" w:cstheme="majorHAnsi"/>
        </w:rPr>
      </w:pPr>
      <w:r w:rsidRPr="005B2C66">
        <w:rPr>
          <w:rFonts w:asciiTheme="majorHAnsi" w:hAnsiTheme="majorHAnsi" w:cstheme="majorHAnsi"/>
        </w:rPr>
        <w:t xml:space="preserve">Draft INECP </w:t>
      </w:r>
      <w:r>
        <w:rPr>
          <w:rFonts w:asciiTheme="majorHAnsi" w:hAnsiTheme="majorHAnsi" w:cstheme="majorHAnsi"/>
        </w:rPr>
        <w:t>w</w:t>
      </w:r>
      <w:r w:rsidRPr="005B2C66">
        <w:rPr>
          <w:rFonts w:asciiTheme="majorHAnsi" w:hAnsiTheme="majorHAnsi" w:cstheme="majorHAnsi"/>
        </w:rPr>
        <w:t xml:space="preserve">as put up for public consultations, providing the opportunity to the wider public, civil society, non-governmental institutions, local and regional authorities, and any other interested party to comment, as part of ensuring transparency within the planning process. </w:t>
      </w:r>
      <w:r w:rsidRPr="002C0FF4">
        <w:rPr>
          <w:rFonts w:asciiTheme="majorHAnsi" w:hAnsiTheme="majorHAnsi" w:cstheme="majorHAnsi"/>
        </w:rPr>
        <w:t>In parallel the consultations with the Energy Community Secretariat</w:t>
      </w:r>
      <w:r>
        <w:rPr>
          <w:rFonts w:asciiTheme="majorHAnsi" w:hAnsiTheme="majorHAnsi" w:cstheme="majorHAnsi"/>
        </w:rPr>
        <w:t xml:space="preserve"> were held. T</w:t>
      </w:r>
      <w:r w:rsidRPr="002C0FF4">
        <w:rPr>
          <w:rFonts w:asciiTheme="majorHAnsi" w:hAnsiTheme="majorHAnsi" w:cstheme="majorHAnsi"/>
        </w:rPr>
        <w:t xml:space="preserve">he </w:t>
      </w:r>
      <w:r w:rsidRPr="005B2C66">
        <w:rPr>
          <w:rFonts w:asciiTheme="majorHAnsi" w:hAnsiTheme="majorHAnsi" w:cstheme="majorHAnsi"/>
        </w:rPr>
        <w:t xml:space="preserve">major conclusions of the planning </w:t>
      </w:r>
      <w:r w:rsidR="00723784">
        <w:rPr>
          <w:rFonts w:asciiTheme="majorHAnsi" w:hAnsiTheme="majorHAnsi" w:cstheme="majorHAnsi"/>
        </w:rPr>
        <w:t>we</w:t>
      </w:r>
      <w:r w:rsidRPr="005B2C66">
        <w:rPr>
          <w:rFonts w:asciiTheme="majorHAnsi" w:hAnsiTheme="majorHAnsi" w:cstheme="majorHAnsi"/>
        </w:rPr>
        <w:t>re conducted at the local level, such as the Green City Action Plan of the City of Belgrade and the Sustainable Energy and Climate Action Plan of the City of Belgrade for the period until 2030, have been taken into consideration in the early phase of the development and preparation of the Integrated National Energy and Climate Plan, due to the need for achieving comprehensiveness and compatibility of the national-level and local-level planning.</w:t>
      </w:r>
    </w:p>
    <w:p w14:paraId="5FE58ED3" w14:textId="77777777" w:rsidR="00EC19B0" w:rsidRPr="00A33AE8" w:rsidRDefault="00EC19B0" w:rsidP="00EC19B0">
      <w:pPr>
        <w:jc w:val="both"/>
        <w:rPr>
          <w:rFonts w:asciiTheme="majorHAnsi" w:hAnsiTheme="majorHAnsi" w:cstheme="majorHAnsi"/>
        </w:rPr>
      </w:pPr>
      <w:r w:rsidRPr="00EC19B0">
        <w:rPr>
          <w:rFonts w:asciiTheme="majorHAnsi" w:hAnsiTheme="majorHAnsi" w:cstheme="majorHAnsi"/>
        </w:rPr>
        <w:t>During the public consultation process, objections, proposals and suggestions are received by multiple stakeholders, consisted of various ministries, state institutions, governmental agencies, civil society organizations, environmental organizations, public and private companies, private persons and others. After the end of the public consultation, the Working Group considered and addressed all the received comments, proposals and suggestions. On the INECP 549 comments were received and on SEA of INECP 67 comments. Wide range of comments and suggestions received significantly enhances the INECP and SEA of INECP, and these recommendations are ensuring that the INECP is comprehensive, robust, and in line with national and international energy and climate objectives.</w:t>
      </w:r>
    </w:p>
    <w:p w14:paraId="04A51504" w14:textId="77777777" w:rsidR="00AC70D7" w:rsidRPr="00A33AE8" w:rsidRDefault="00AC70D7" w:rsidP="00884F3B">
      <w:pPr>
        <w:pStyle w:val="Heading4"/>
        <w:numPr>
          <w:ilvl w:val="0"/>
          <w:numId w:val="6"/>
        </w:numPr>
        <w:spacing w:after="160"/>
        <w:ind w:left="714" w:hanging="357"/>
      </w:pPr>
      <w:r w:rsidRPr="00A33AE8">
        <w:t xml:space="preserve">Consultations of other </w:t>
      </w:r>
      <w:r w:rsidR="00374390" w:rsidRPr="00A33AE8">
        <w:t xml:space="preserve">Energy Community Contracting Parties and European Union </w:t>
      </w:r>
      <w:r w:rsidRPr="00A33AE8">
        <w:t>Member States</w:t>
      </w:r>
    </w:p>
    <w:p w14:paraId="4C23DE32" w14:textId="785850DD" w:rsidR="00AC70D7" w:rsidRPr="00A33AE8" w:rsidRDefault="00856699" w:rsidP="00B47B3E">
      <w:pPr>
        <w:jc w:val="both"/>
      </w:pPr>
      <w:r w:rsidRPr="00A33AE8">
        <w:rPr>
          <w:rFonts w:asciiTheme="majorHAnsi" w:hAnsiTheme="majorHAnsi" w:cstheme="majorHAnsi"/>
          <w:lang w:eastAsia="el-GR"/>
        </w:rPr>
        <w:t xml:space="preserve">Since the European Union Member States have finalized and adopted their </w:t>
      </w:r>
      <w:r w:rsidR="00B006FA" w:rsidRPr="00A33AE8">
        <w:rPr>
          <w:rFonts w:asciiTheme="majorHAnsi" w:hAnsiTheme="majorHAnsi" w:cstheme="majorHAnsi"/>
          <w:lang w:eastAsia="el-GR"/>
        </w:rPr>
        <w:t>INECP</w:t>
      </w:r>
      <w:r w:rsidRPr="00A33AE8">
        <w:rPr>
          <w:rFonts w:asciiTheme="majorHAnsi" w:hAnsiTheme="majorHAnsi" w:cstheme="majorHAnsi"/>
          <w:lang w:eastAsia="el-GR"/>
        </w:rPr>
        <w:t xml:space="preserve">s until 2021, the Republic of Serbia had an opportunity to access each plan with a special focus on those prepared by the neighbouring countries. First and foremost, the Republic of Serbia </w:t>
      </w:r>
      <w:r w:rsidR="0032100D" w:rsidRPr="00A33AE8">
        <w:rPr>
          <w:rFonts w:asciiTheme="majorHAnsi" w:hAnsiTheme="majorHAnsi" w:cstheme="majorHAnsi"/>
          <w:lang w:eastAsia="el-GR"/>
        </w:rPr>
        <w:t>assessed</w:t>
      </w:r>
      <w:r w:rsidRPr="00A33AE8">
        <w:rPr>
          <w:rFonts w:asciiTheme="majorHAnsi" w:hAnsiTheme="majorHAnsi" w:cstheme="majorHAnsi"/>
          <w:lang w:eastAsia="el-GR"/>
        </w:rPr>
        <w:t xml:space="preserve"> the </w:t>
      </w:r>
      <w:r w:rsidR="00B006FA" w:rsidRPr="00A33AE8">
        <w:rPr>
          <w:rFonts w:asciiTheme="majorHAnsi" w:hAnsiTheme="majorHAnsi" w:cstheme="majorHAnsi"/>
          <w:lang w:eastAsia="el-GR"/>
        </w:rPr>
        <w:t>INECP</w:t>
      </w:r>
      <w:r w:rsidRPr="00A33AE8">
        <w:rPr>
          <w:rFonts w:asciiTheme="majorHAnsi" w:hAnsiTheme="majorHAnsi" w:cstheme="majorHAnsi"/>
          <w:lang w:eastAsia="el-GR"/>
        </w:rPr>
        <w:t xml:space="preserve">s of countries with </w:t>
      </w:r>
      <w:r w:rsidR="0032100D" w:rsidRPr="00A33AE8">
        <w:rPr>
          <w:rFonts w:asciiTheme="majorHAnsi" w:hAnsiTheme="majorHAnsi" w:cstheme="majorHAnsi"/>
          <w:lang w:eastAsia="el-GR"/>
        </w:rPr>
        <w:t xml:space="preserve">common </w:t>
      </w:r>
      <w:r w:rsidRPr="00A33AE8">
        <w:rPr>
          <w:rFonts w:asciiTheme="majorHAnsi" w:hAnsiTheme="majorHAnsi" w:cstheme="majorHAnsi"/>
          <w:lang w:eastAsia="el-GR"/>
        </w:rPr>
        <w:t>borders</w:t>
      </w:r>
      <w:r w:rsidR="0032100D" w:rsidRPr="00A33AE8">
        <w:rPr>
          <w:rFonts w:asciiTheme="majorHAnsi" w:hAnsiTheme="majorHAnsi" w:cstheme="majorHAnsi"/>
          <w:lang w:eastAsia="el-GR"/>
        </w:rPr>
        <w:t>,</w:t>
      </w:r>
      <w:r w:rsidRPr="00A33AE8">
        <w:rPr>
          <w:rFonts w:asciiTheme="majorHAnsi" w:hAnsiTheme="majorHAnsi" w:cstheme="majorHAnsi"/>
          <w:lang w:eastAsia="el-GR"/>
        </w:rPr>
        <w:t xml:space="preserve"> such as Croatia, Bulgaria, Romania and Hungary</w:t>
      </w:r>
      <w:r w:rsidR="00AA6313">
        <w:rPr>
          <w:rFonts w:asciiTheme="majorHAnsi" w:hAnsiTheme="majorHAnsi" w:cstheme="majorHAnsi"/>
          <w:lang w:eastAsia="el-GR"/>
        </w:rPr>
        <w:t xml:space="preserve">. </w:t>
      </w:r>
      <w:r w:rsidR="0032100D" w:rsidRPr="00A33AE8">
        <w:rPr>
          <w:rFonts w:asciiTheme="majorHAnsi" w:hAnsiTheme="majorHAnsi" w:cstheme="majorHAnsi"/>
          <w:lang w:eastAsia="el-GR"/>
        </w:rPr>
        <w:t>A</w:t>
      </w:r>
      <w:r w:rsidRPr="00A33AE8">
        <w:rPr>
          <w:rFonts w:asciiTheme="majorHAnsi" w:hAnsiTheme="majorHAnsi" w:cstheme="majorHAnsi"/>
          <w:lang w:eastAsia="el-GR"/>
        </w:rPr>
        <w:t>t the same time</w:t>
      </w:r>
      <w:r w:rsidR="0032100D" w:rsidRPr="00A33AE8">
        <w:rPr>
          <w:rFonts w:asciiTheme="majorHAnsi" w:hAnsiTheme="majorHAnsi" w:cstheme="majorHAnsi"/>
          <w:lang w:eastAsia="el-GR"/>
        </w:rPr>
        <w:t>,</w:t>
      </w:r>
      <w:r w:rsidR="006B48DE" w:rsidRPr="00A33AE8">
        <w:rPr>
          <w:rFonts w:asciiTheme="majorHAnsi" w:hAnsiTheme="majorHAnsi" w:cstheme="majorHAnsi"/>
          <w:lang w:eastAsia="el-GR"/>
        </w:rPr>
        <w:t xml:space="preserve"> </w:t>
      </w:r>
      <w:r w:rsidR="0032100D" w:rsidRPr="00A33AE8">
        <w:rPr>
          <w:rFonts w:asciiTheme="majorHAnsi" w:hAnsiTheme="majorHAnsi" w:cstheme="majorHAnsi"/>
          <w:lang w:eastAsia="el-GR"/>
        </w:rPr>
        <w:t>the Republic of Serbia considered all</w:t>
      </w:r>
      <w:r w:rsidRPr="00A33AE8">
        <w:rPr>
          <w:rFonts w:asciiTheme="majorHAnsi" w:hAnsiTheme="majorHAnsi" w:cstheme="majorHAnsi"/>
          <w:lang w:eastAsia="el-GR"/>
        </w:rPr>
        <w:t xml:space="preserve"> European </w:t>
      </w:r>
      <w:r w:rsidR="00B006FA" w:rsidRPr="00A33AE8">
        <w:rPr>
          <w:rFonts w:asciiTheme="majorHAnsi" w:hAnsiTheme="majorHAnsi" w:cstheme="majorHAnsi"/>
          <w:lang w:eastAsia="el-GR"/>
        </w:rPr>
        <w:t>INECP</w:t>
      </w:r>
      <w:r w:rsidRPr="00A33AE8">
        <w:rPr>
          <w:rFonts w:asciiTheme="majorHAnsi" w:hAnsiTheme="majorHAnsi" w:cstheme="majorHAnsi"/>
          <w:lang w:eastAsia="el-GR"/>
        </w:rPr>
        <w:t xml:space="preserve">s. Moreover, </w:t>
      </w:r>
      <w:r w:rsidR="00AA6313">
        <w:rPr>
          <w:rFonts w:asciiTheme="majorHAnsi" w:hAnsiTheme="majorHAnsi" w:cstheme="majorHAnsi"/>
          <w:lang w:eastAsia="el-GR"/>
        </w:rPr>
        <w:t>transboundary consultations were done with</w:t>
      </w:r>
      <w:r w:rsidR="00AA6313" w:rsidRPr="00AA6313">
        <w:rPr>
          <w:rFonts w:asciiTheme="majorHAnsi" w:hAnsiTheme="majorHAnsi" w:cstheme="majorHAnsi"/>
          <w:lang w:eastAsia="el-GR"/>
        </w:rPr>
        <w:t xml:space="preserve"> </w:t>
      </w:r>
      <w:r w:rsidR="00AA6313" w:rsidRPr="00A33AE8">
        <w:rPr>
          <w:rFonts w:asciiTheme="majorHAnsi" w:hAnsiTheme="majorHAnsi" w:cstheme="majorHAnsi"/>
          <w:lang w:eastAsia="el-GR"/>
        </w:rPr>
        <w:t>Croatia, Bulgaria, Romania</w:t>
      </w:r>
      <w:r w:rsidR="00AA6313">
        <w:rPr>
          <w:rFonts w:asciiTheme="majorHAnsi" w:hAnsiTheme="majorHAnsi" w:cstheme="majorHAnsi"/>
          <w:lang w:eastAsia="el-GR"/>
        </w:rPr>
        <w:t>,</w:t>
      </w:r>
      <w:r w:rsidR="00AA6313" w:rsidRPr="00A33AE8">
        <w:rPr>
          <w:rFonts w:asciiTheme="majorHAnsi" w:hAnsiTheme="majorHAnsi" w:cstheme="majorHAnsi"/>
          <w:lang w:eastAsia="el-GR"/>
        </w:rPr>
        <w:t xml:space="preserve"> Hungary</w:t>
      </w:r>
      <w:r w:rsidR="00AA6313">
        <w:rPr>
          <w:rFonts w:asciiTheme="majorHAnsi" w:hAnsiTheme="majorHAnsi" w:cstheme="majorHAnsi"/>
          <w:lang w:eastAsia="el-GR"/>
        </w:rPr>
        <w:t>, Bosnia and Hercegovina, North Macedonia, Montenegro and Albania.</w:t>
      </w:r>
    </w:p>
    <w:p w14:paraId="170FF04B" w14:textId="77777777" w:rsidR="000B5E38" w:rsidRDefault="000B5E38" w:rsidP="00856699">
      <w:pPr>
        <w:jc w:val="both"/>
        <w:rPr>
          <w:rFonts w:asciiTheme="majorHAnsi" w:hAnsiTheme="majorHAnsi" w:cstheme="majorHAnsi"/>
          <w:lang w:eastAsia="el-GR"/>
        </w:rPr>
      </w:pPr>
      <w:bookmarkStart w:id="85" w:name="_Hlk151328131"/>
    </w:p>
    <w:p w14:paraId="598235B3" w14:textId="77777777" w:rsidR="000B5E38" w:rsidRPr="000B5E38" w:rsidRDefault="000B5E38" w:rsidP="00884F3B">
      <w:pPr>
        <w:pStyle w:val="ListParagraph"/>
        <w:numPr>
          <w:ilvl w:val="0"/>
          <w:numId w:val="6"/>
        </w:numPr>
        <w:jc w:val="both"/>
        <w:rPr>
          <w:rFonts w:asciiTheme="majorHAnsi" w:eastAsiaTheme="majorEastAsia" w:hAnsiTheme="majorHAnsi" w:cstheme="majorBidi"/>
          <w:b/>
          <w:bCs/>
          <w:iCs/>
          <w:color w:val="01406B"/>
          <w:szCs w:val="24"/>
        </w:rPr>
      </w:pPr>
      <w:r w:rsidRPr="000B5E38">
        <w:rPr>
          <w:rFonts w:asciiTheme="majorHAnsi" w:eastAsiaTheme="majorEastAsia" w:hAnsiTheme="majorHAnsi" w:cstheme="majorBidi"/>
          <w:b/>
          <w:bCs/>
          <w:iCs/>
          <w:color w:val="01406B"/>
          <w:szCs w:val="24"/>
        </w:rPr>
        <w:t>Consultations with the Energy Community Secretariat</w:t>
      </w:r>
    </w:p>
    <w:p w14:paraId="735306AA" w14:textId="6F23251E" w:rsidR="0047540A" w:rsidRPr="005B2C66" w:rsidRDefault="00856699" w:rsidP="00856699">
      <w:pPr>
        <w:jc w:val="both"/>
        <w:rPr>
          <w:rFonts w:asciiTheme="majorHAnsi" w:hAnsiTheme="majorHAnsi" w:cstheme="majorHAnsi"/>
          <w:lang w:eastAsia="el-GR"/>
        </w:rPr>
      </w:pPr>
      <w:r w:rsidRPr="0047540A">
        <w:rPr>
          <w:rFonts w:asciiTheme="majorHAnsi" w:hAnsiTheme="majorHAnsi" w:cstheme="majorHAnsi"/>
          <w:lang w:eastAsia="el-GR"/>
        </w:rPr>
        <w:t xml:space="preserve">Since the beginning of the development and preparation of the Draft </w:t>
      </w:r>
      <w:r w:rsidR="00B006FA" w:rsidRPr="0047540A">
        <w:rPr>
          <w:rFonts w:asciiTheme="majorHAnsi" w:hAnsiTheme="majorHAnsi" w:cstheme="majorHAnsi"/>
          <w:lang w:eastAsia="el-GR"/>
        </w:rPr>
        <w:t>INECP</w:t>
      </w:r>
      <w:r w:rsidRPr="0047540A">
        <w:rPr>
          <w:rFonts w:asciiTheme="majorHAnsi" w:hAnsiTheme="majorHAnsi" w:cstheme="majorHAnsi"/>
          <w:lang w:eastAsia="el-GR"/>
        </w:rPr>
        <w:t xml:space="preserve"> of the Republic of Serbia, the Energy Community Secretariat has been closely following the progress of the overall process, providing the necessary support as needed. Formally, this involvement of the EnC Secretariat is realized through the work of Ministerial Council of the EnC, as well as within the various existing thematic coordination groups, platforms and initiatives at the level of the Energy Community, but also other regional energy-related and climate-related formats where Energy Community actively participates.</w:t>
      </w:r>
    </w:p>
    <w:bookmarkEnd w:id="85"/>
    <w:p w14:paraId="5333A483" w14:textId="06AE5D2D" w:rsidR="009D5FE6" w:rsidRDefault="009D5FE6" w:rsidP="009D5FE6">
      <w:pPr>
        <w:jc w:val="both"/>
        <w:rPr>
          <w:rFonts w:ascii="Calibri Light" w:hAnsi="Calibri Light" w:cs="Calibri Light"/>
          <w:lang w:eastAsia="el-GR"/>
        </w:rPr>
      </w:pPr>
      <w:r w:rsidRPr="00884A0C">
        <w:rPr>
          <w:rFonts w:ascii="Calibri Light" w:hAnsi="Calibri Light" w:cs="Calibri Light"/>
          <w:lang w:eastAsia="el-GR"/>
        </w:rPr>
        <w:t>The EnC Secretariat has sent 31 recommendations</w:t>
      </w:r>
      <w:r>
        <w:rPr>
          <w:rFonts w:ascii="Calibri Light" w:hAnsi="Calibri Light" w:cs="Calibri Light"/>
          <w:lang w:eastAsia="el-GR"/>
        </w:rPr>
        <w:t xml:space="preserve"> for the revision of</w:t>
      </w:r>
      <w:r w:rsidRPr="00884A0C">
        <w:rPr>
          <w:rFonts w:ascii="Calibri Light" w:hAnsi="Calibri Light" w:cs="Calibri Light"/>
          <w:lang w:eastAsia="el-GR"/>
        </w:rPr>
        <w:t xml:space="preserve"> the Draft INECP. All recommendations have been considered thoroughly and further revisions have been implemented in this final version. </w:t>
      </w:r>
      <w:r w:rsidR="007E4C11">
        <w:rPr>
          <w:rFonts w:ascii="Calibri Light" w:hAnsi="Calibri Light" w:cs="Calibri Light"/>
          <w:lang w:eastAsia="el-GR"/>
        </w:rPr>
        <w:t>For all</w:t>
      </w:r>
      <w:r w:rsidRPr="00884A0C">
        <w:rPr>
          <w:rFonts w:ascii="Calibri Light" w:hAnsi="Calibri Light" w:cs="Calibri Light"/>
          <w:lang w:eastAsia="el-GR"/>
        </w:rPr>
        <w:t xml:space="preserve"> recommendations </w:t>
      </w:r>
      <w:r w:rsidR="007E4C11">
        <w:rPr>
          <w:rFonts w:ascii="Calibri Light" w:hAnsi="Calibri Light" w:cs="Calibri Light"/>
          <w:lang w:eastAsia="el-GR"/>
        </w:rPr>
        <w:t>there are</w:t>
      </w:r>
      <w:r w:rsidRPr="00884A0C">
        <w:rPr>
          <w:rFonts w:ascii="Calibri Light" w:hAnsi="Calibri Light" w:cs="Calibri Light"/>
          <w:lang w:eastAsia="el-GR"/>
        </w:rPr>
        <w:t xml:space="preserve"> justification</w:t>
      </w:r>
      <w:r w:rsidR="007E4C11">
        <w:rPr>
          <w:rFonts w:ascii="Calibri Light" w:hAnsi="Calibri Light" w:cs="Calibri Light"/>
          <w:lang w:eastAsia="el-GR"/>
        </w:rPr>
        <w:t>s how they are considered.</w:t>
      </w:r>
    </w:p>
    <w:p w14:paraId="7F3B200F" w14:textId="77777777" w:rsidR="009D5FE6" w:rsidRDefault="009D5FE6" w:rsidP="009D5FE6">
      <w:pPr>
        <w:jc w:val="both"/>
        <w:rPr>
          <w:rFonts w:ascii="Calibri Light" w:hAnsi="Calibri Light" w:cs="Calibri Light"/>
          <w:lang w:eastAsia="el-GR"/>
        </w:rPr>
      </w:pPr>
      <w:r>
        <w:rPr>
          <w:rFonts w:ascii="Calibri Light" w:hAnsi="Calibri Light" w:cs="Calibri Light"/>
          <w:lang w:eastAsia="el-GR"/>
        </w:rPr>
        <w:t>As it concerns the key indicators for 2030, as set by the Ministerial Council of December 2022 (</w:t>
      </w:r>
      <w:r w:rsidRPr="0087794A">
        <w:rPr>
          <w:rFonts w:ascii="Calibri Light" w:hAnsi="Calibri Light" w:cs="Calibri Light"/>
          <w:lang w:eastAsia="el-GR"/>
        </w:rPr>
        <w:t xml:space="preserve">Decision 2022/02/MC-EnC) </w:t>
      </w:r>
      <w:r>
        <w:rPr>
          <w:rFonts w:ascii="Calibri Light" w:hAnsi="Calibri Light" w:cs="Calibri Light"/>
          <w:lang w:eastAsia="el-GR"/>
        </w:rPr>
        <w:t xml:space="preserve">while the </w:t>
      </w:r>
      <w:r w:rsidRPr="00884A0C">
        <w:rPr>
          <w:rFonts w:ascii="Calibri Light" w:hAnsi="Calibri Light" w:cs="Calibri Light"/>
          <w:lang w:eastAsia="el-GR"/>
        </w:rPr>
        <w:t>GHG emissions reduction target</w:t>
      </w:r>
      <w:r>
        <w:rPr>
          <w:rFonts w:ascii="Calibri Light" w:hAnsi="Calibri Light" w:cs="Calibri Light"/>
          <w:lang w:eastAsia="el-GR"/>
        </w:rPr>
        <w:t xml:space="preserve"> remains unchanged, the FEC has been slightly reduced and the PEC has slightly increased</w:t>
      </w:r>
      <w:r w:rsidRPr="00884A0C">
        <w:rPr>
          <w:rFonts w:ascii="Calibri Light" w:hAnsi="Calibri Light" w:cs="Calibri Light"/>
          <w:lang w:eastAsia="el-GR"/>
        </w:rPr>
        <w:t xml:space="preserve">, </w:t>
      </w:r>
      <w:r>
        <w:rPr>
          <w:rFonts w:ascii="Calibri Light" w:hAnsi="Calibri Light" w:cs="Calibri Light"/>
          <w:lang w:eastAsia="el-GR"/>
        </w:rPr>
        <w:t xml:space="preserve">the gap of the </w:t>
      </w:r>
      <w:r w:rsidRPr="00884A0C">
        <w:rPr>
          <w:rFonts w:ascii="Calibri Light" w:hAnsi="Calibri Light" w:cs="Calibri Light"/>
          <w:lang w:eastAsia="el-GR"/>
        </w:rPr>
        <w:t xml:space="preserve">RES </w:t>
      </w:r>
      <w:r>
        <w:rPr>
          <w:rFonts w:ascii="Calibri Light" w:hAnsi="Calibri Light" w:cs="Calibri Light"/>
          <w:lang w:eastAsia="el-GR"/>
        </w:rPr>
        <w:t xml:space="preserve">percentage in </w:t>
      </w:r>
      <w:r w:rsidRPr="00884A0C">
        <w:rPr>
          <w:rFonts w:ascii="Calibri Light" w:hAnsi="Calibri Light" w:cs="Calibri Light"/>
          <w:lang w:eastAsia="el-GR"/>
        </w:rPr>
        <w:t>GFEC</w:t>
      </w:r>
      <w:r>
        <w:rPr>
          <w:rFonts w:ascii="Calibri Light" w:hAnsi="Calibri Light" w:cs="Calibri Light"/>
          <w:lang w:eastAsia="el-GR"/>
        </w:rPr>
        <w:t xml:space="preserve"> remains unchanged as the least target to be achieved. A detailed justification is provided in Chapter 2 to </w:t>
      </w:r>
      <w:r w:rsidRPr="005F703A">
        <w:rPr>
          <w:rFonts w:ascii="Calibri Light" w:hAnsi="Calibri Light" w:cs="Calibri Light"/>
          <w:lang w:eastAsia="el-GR"/>
        </w:rPr>
        <w:t xml:space="preserve">explain the specific national circumstances to justify the gap between the ambition in the draft NECP and the target </w:t>
      </w:r>
      <w:r>
        <w:rPr>
          <w:rFonts w:ascii="Calibri Light" w:hAnsi="Calibri Light" w:cs="Calibri Light"/>
          <w:lang w:eastAsia="el-GR"/>
        </w:rPr>
        <w:t>set by EnC Secretariat, as well as concerning the i</w:t>
      </w:r>
      <w:r w:rsidRPr="00F01D16">
        <w:rPr>
          <w:rFonts w:ascii="Calibri Light" w:hAnsi="Calibri Light" w:cs="Calibri Light"/>
          <w:lang w:eastAsia="el-GR"/>
        </w:rPr>
        <w:t xml:space="preserve">ncrease </w:t>
      </w:r>
      <w:r>
        <w:rPr>
          <w:rFonts w:ascii="Calibri Light" w:hAnsi="Calibri Light" w:cs="Calibri Light"/>
          <w:lang w:eastAsia="el-GR"/>
        </w:rPr>
        <w:t xml:space="preserve">of </w:t>
      </w:r>
      <w:r w:rsidRPr="00F01D16">
        <w:rPr>
          <w:rFonts w:ascii="Calibri Light" w:hAnsi="Calibri Light" w:cs="Calibri Light"/>
          <w:lang w:eastAsia="el-GR"/>
        </w:rPr>
        <w:t>the target for the share of renewable energy sources in heating and cooling, including district heating</w:t>
      </w:r>
      <w:r>
        <w:rPr>
          <w:rFonts w:ascii="Calibri Light" w:hAnsi="Calibri Light" w:cs="Calibri Light"/>
          <w:lang w:eastAsia="el-GR"/>
        </w:rPr>
        <w:t>.</w:t>
      </w:r>
    </w:p>
    <w:p w14:paraId="1A49E3ED" w14:textId="6A393161" w:rsidR="009D5FE6" w:rsidRPr="00F01D16" w:rsidRDefault="009D5FE6" w:rsidP="009D5FE6">
      <w:pPr>
        <w:jc w:val="both"/>
        <w:rPr>
          <w:rFonts w:ascii="Calibri Light" w:hAnsi="Calibri Light" w:cs="Calibri Light"/>
          <w:lang w:val="en-US" w:eastAsia="el-GR"/>
        </w:rPr>
      </w:pPr>
      <w:r>
        <w:rPr>
          <w:rFonts w:ascii="Calibri Light" w:hAnsi="Calibri Light" w:cs="Calibri Light"/>
          <w:lang w:val="en-US" w:eastAsia="el-GR"/>
        </w:rPr>
        <w:t xml:space="preserve">Also, in the analysis has been considered </w:t>
      </w:r>
      <w:r w:rsidRPr="00F01D16">
        <w:rPr>
          <w:rFonts w:ascii="Calibri Light" w:hAnsi="Calibri Light" w:cs="Calibri Light"/>
          <w:lang w:val="en-US" w:eastAsia="el-GR"/>
        </w:rPr>
        <w:t>a gradual introduction of carbon pricing in the sectors that are expected to be influenced by CBAM</w:t>
      </w:r>
      <w:r>
        <w:rPr>
          <w:rFonts w:ascii="Calibri Light" w:hAnsi="Calibri Light" w:cs="Calibri Light"/>
          <w:lang w:val="en-US" w:eastAsia="el-GR"/>
        </w:rPr>
        <w:t xml:space="preserve">, but taking into consideration the </w:t>
      </w:r>
      <w:r w:rsidRPr="00F01D16">
        <w:rPr>
          <w:rFonts w:ascii="Calibri Light" w:hAnsi="Calibri Light" w:cs="Calibri Light"/>
          <w:lang w:val="en-US" w:eastAsia="el-GR"/>
        </w:rPr>
        <w:t xml:space="preserve">uncertainty on the mode of </w:t>
      </w:r>
      <w:r w:rsidRPr="00F01D16">
        <w:rPr>
          <w:rFonts w:ascii="Calibri Light" w:hAnsi="Calibri Light" w:cs="Calibri Light"/>
          <w:lang w:val="en-US" w:eastAsia="el-GR"/>
        </w:rPr>
        <w:lastRenderedPageBreak/>
        <w:t>implementation of carbon pricing</w:t>
      </w:r>
      <w:r>
        <w:rPr>
          <w:rFonts w:ascii="Calibri Light" w:hAnsi="Calibri Light" w:cs="Calibri Light"/>
          <w:lang w:val="en-US" w:eastAsia="el-GR"/>
        </w:rPr>
        <w:t xml:space="preserve">, while </w:t>
      </w:r>
      <w:r w:rsidRPr="00F01D16">
        <w:rPr>
          <w:rFonts w:ascii="Calibri Light" w:hAnsi="Calibri Light" w:cs="Calibri Light"/>
          <w:lang w:val="en-US" w:eastAsia="el-GR"/>
        </w:rPr>
        <w:t>CBAM regulation was adopted in May 2023 by EU and it is not possible to include relevant precise information in NECP</w:t>
      </w:r>
      <w:r w:rsidR="00B62877">
        <w:rPr>
          <w:rFonts w:ascii="Calibri Light" w:hAnsi="Calibri Light" w:cs="Calibri Light"/>
          <w:lang w:val="en-US" w:eastAsia="el-GR"/>
        </w:rPr>
        <w:t>.</w:t>
      </w:r>
    </w:p>
    <w:p w14:paraId="1FB9B3F8" w14:textId="77777777" w:rsidR="009D5FE6" w:rsidRPr="00884A0C" w:rsidRDefault="009D5FE6" w:rsidP="009D5FE6">
      <w:pPr>
        <w:jc w:val="both"/>
        <w:rPr>
          <w:rFonts w:ascii="Calibri Light" w:hAnsi="Calibri Light" w:cs="Calibri Light"/>
          <w:lang w:eastAsia="el-GR"/>
        </w:rPr>
      </w:pPr>
      <w:r w:rsidRPr="00884A0C">
        <w:rPr>
          <w:rFonts w:ascii="Calibri Light" w:hAnsi="Calibri Light" w:cs="Calibri Light"/>
          <w:lang w:eastAsia="el-GR"/>
        </w:rPr>
        <w:t>However, the modernisation of coal mining is coupled with a modernisation of the older power plants, so that they can be compatible</w:t>
      </w:r>
      <w:r>
        <w:rPr>
          <w:rFonts w:ascii="Calibri Light" w:hAnsi="Calibri Light" w:cs="Calibri Light"/>
          <w:lang w:eastAsia="el-GR"/>
        </w:rPr>
        <w:t xml:space="preserve"> </w:t>
      </w:r>
      <w:r w:rsidRPr="00884A0C">
        <w:rPr>
          <w:rFonts w:ascii="Calibri Light" w:hAnsi="Calibri Light" w:cs="Calibri Light"/>
          <w:lang w:eastAsia="el-GR"/>
        </w:rPr>
        <w:t>with projected gradual reduction of generation from lignite and the Large Combustion Plant Directive requirements. Also, the planned decreasing engagement of Thermal Power Plants and investments in gas infrastructure to ensure the smooth energy transition in Serbia are considered key and significant transitional measures, providing Security of Supply.</w:t>
      </w:r>
    </w:p>
    <w:p w14:paraId="323A05C4" w14:textId="77777777" w:rsidR="0047540A" w:rsidRDefault="0047540A" w:rsidP="00856699">
      <w:pPr>
        <w:jc w:val="both"/>
        <w:rPr>
          <w:rFonts w:asciiTheme="majorHAnsi" w:hAnsiTheme="majorHAnsi" w:cstheme="majorHAnsi"/>
          <w:lang w:eastAsia="el-GR"/>
        </w:rPr>
      </w:pPr>
    </w:p>
    <w:p w14:paraId="76FBED6B" w14:textId="77777777" w:rsidR="0050501C" w:rsidRPr="00A33AE8" w:rsidRDefault="0050501C" w:rsidP="0050501C">
      <w:pPr>
        <w:pStyle w:val="Heading2"/>
      </w:pPr>
      <w:bookmarkStart w:id="86" w:name="_Toc151036033"/>
      <w:bookmarkStart w:id="87" w:name="_Toc88558965"/>
      <w:bookmarkStart w:id="88" w:name="_Toc79772545"/>
      <w:bookmarkStart w:id="89" w:name="_Toc118991764"/>
      <w:bookmarkStart w:id="90" w:name="_Toc153545034"/>
      <w:bookmarkEnd w:id="86"/>
      <w:bookmarkEnd w:id="87"/>
      <w:r w:rsidRPr="00A33AE8">
        <w:t>Regional cooperation in preparing the plan</w:t>
      </w:r>
      <w:bookmarkEnd w:id="88"/>
      <w:bookmarkEnd w:id="89"/>
      <w:bookmarkEnd w:id="90"/>
    </w:p>
    <w:p w14:paraId="39D00B12" w14:textId="77777777" w:rsidR="0041580B" w:rsidRPr="00A33AE8" w:rsidRDefault="0041580B" w:rsidP="00884F3B">
      <w:pPr>
        <w:pStyle w:val="Heading4"/>
        <w:numPr>
          <w:ilvl w:val="0"/>
          <w:numId w:val="7"/>
        </w:numPr>
        <w:spacing w:after="160"/>
        <w:ind w:left="714" w:hanging="357"/>
        <w:rPr>
          <w:lang w:eastAsia="el-GR"/>
        </w:rPr>
      </w:pPr>
      <w:r w:rsidRPr="00A33AE8">
        <w:rPr>
          <w:lang w:eastAsia="el-GR"/>
        </w:rPr>
        <w:t xml:space="preserve">Elements subject to joint or coordinated planning with other </w:t>
      </w:r>
      <w:r w:rsidRPr="00A33AE8">
        <w:t>Energy Community Contracting Parties and European Union Member States</w:t>
      </w:r>
    </w:p>
    <w:p w14:paraId="7D458C46" w14:textId="77777777" w:rsidR="00E220A9" w:rsidRPr="00A33AE8" w:rsidRDefault="00E220A9" w:rsidP="00E220A9">
      <w:pPr>
        <w:rPr>
          <w:rFonts w:asciiTheme="majorHAnsi" w:hAnsiTheme="majorHAnsi" w:cstheme="majorHAnsi"/>
          <w:lang w:eastAsia="el-GR"/>
        </w:rPr>
      </w:pPr>
      <w:r w:rsidRPr="00A33AE8">
        <w:rPr>
          <w:rFonts w:asciiTheme="majorHAnsi" w:hAnsiTheme="majorHAnsi" w:cstheme="majorHAnsi"/>
          <w:lang w:eastAsia="el-GR"/>
        </w:rPr>
        <w:t>From the point of view of the Republic of Serbia, the recognised elements of cross-border significance are:</w:t>
      </w:r>
    </w:p>
    <w:p w14:paraId="7023585B" w14:textId="77777777" w:rsidR="00E220A9" w:rsidRPr="00A33AE8" w:rsidRDefault="00E220A9" w:rsidP="00E220A9">
      <w:pPr>
        <w:pStyle w:val="LDKBullets-main"/>
        <w:rPr>
          <w:rFonts w:asciiTheme="majorHAnsi" w:hAnsiTheme="majorHAnsi" w:cstheme="majorHAnsi"/>
        </w:rPr>
      </w:pPr>
      <w:r w:rsidRPr="00A33AE8">
        <w:rPr>
          <w:rFonts w:asciiTheme="majorHAnsi" w:hAnsiTheme="majorHAnsi" w:cstheme="majorHAnsi"/>
        </w:rPr>
        <w:t>integration of energy markets,</w:t>
      </w:r>
    </w:p>
    <w:p w14:paraId="17018FE0" w14:textId="77777777" w:rsidR="00E220A9" w:rsidRPr="00A33AE8" w:rsidRDefault="00E220A9" w:rsidP="00E220A9">
      <w:pPr>
        <w:pStyle w:val="LDKBullets-main"/>
        <w:rPr>
          <w:rFonts w:asciiTheme="majorHAnsi" w:hAnsiTheme="majorHAnsi" w:cstheme="majorHAnsi"/>
        </w:rPr>
      </w:pPr>
      <w:r w:rsidRPr="00A33AE8">
        <w:rPr>
          <w:rFonts w:asciiTheme="majorHAnsi" w:hAnsiTheme="majorHAnsi" w:cstheme="majorHAnsi"/>
        </w:rPr>
        <w:t>major infrastructure projects close to the national border and cross-border infrastructure projects,</w:t>
      </w:r>
    </w:p>
    <w:p w14:paraId="31F93EBF" w14:textId="77777777" w:rsidR="00E220A9" w:rsidRPr="00A33AE8" w:rsidRDefault="00E220A9" w:rsidP="00E220A9">
      <w:pPr>
        <w:pStyle w:val="LDKBullets-main"/>
        <w:rPr>
          <w:rFonts w:asciiTheme="majorHAnsi" w:hAnsiTheme="majorHAnsi" w:cstheme="majorHAnsi"/>
        </w:rPr>
      </w:pPr>
      <w:r w:rsidRPr="00A33AE8">
        <w:rPr>
          <w:rFonts w:asciiTheme="majorHAnsi" w:hAnsiTheme="majorHAnsi" w:cstheme="majorHAnsi"/>
        </w:rPr>
        <w:t>international scientific and research cooperation, and</w:t>
      </w:r>
    </w:p>
    <w:p w14:paraId="41E8EBF8" w14:textId="77777777" w:rsidR="00374390" w:rsidRPr="00A33AE8" w:rsidRDefault="00E220A9" w:rsidP="004E2DBE">
      <w:pPr>
        <w:pStyle w:val="LDKBullets-main"/>
        <w:rPr>
          <w:rFonts w:asciiTheme="majorHAnsi" w:hAnsiTheme="majorHAnsi" w:cstheme="majorHAnsi"/>
        </w:rPr>
      </w:pPr>
      <w:r w:rsidRPr="00A33AE8">
        <w:rPr>
          <w:rFonts w:asciiTheme="majorHAnsi" w:hAnsiTheme="majorHAnsi" w:cstheme="majorHAnsi"/>
        </w:rPr>
        <w:t>other activities that may affect other EnC Contracting Parties and EU Member States.</w:t>
      </w:r>
    </w:p>
    <w:p w14:paraId="1FB166FB" w14:textId="77777777" w:rsidR="0050501C" w:rsidRPr="00A33AE8" w:rsidRDefault="00AC70D7" w:rsidP="00884F3B">
      <w:pPr>
        <w:pStyle w:val="Heading4"/>
        <w:numPr>
          <w:ilvl w:val="0"/>
          <w:numId w:val="7"/>
        </w:numPr>
        <w:spacing w:after="160"/>
        <w:rPr>
          <w:lang w:eastAsia="el-GR"/>
        </w:rPr>
      </w:pPr>
      <w:r w:rsidRPr="00A33AE8">
        <w:rPr>
          <w:lang w:eastAsia="el-GR"/>
        </w:rPr>
        <w:t>Explanation of how regional cooperation is considered in the plan</w:t>
      </w:r>
    </w:p>
    <w:p w14:paraId="73C87582" w14:textId="77777777" w:rsidR="00272BAC" w:rsidRDefault="00C83B7D" w:rsidP="005B2C66">
      <w:pPr>
        <w:jc w:val="both"/>
        <w:rPr>
          <w:rFonts w:ascii="Calibri Light" w:hAnsi="Calibri Light" w:cs="Calibri Light"/>
          <w:lang w:eastAsia="el-GR"/>
        </w:rPr>
      </w:pPr>
      <w:r w:rsidRPr="005B2C66">
        <w:rPr>
          <w:rFonts w:ascii="Calibri Light" w:hAnsi="Calibri Light" w:cs="Calibri Light"/>
          <w:lang w:eastAsia="el-GR"/>
        </w:rPr>
        <w:t xml:space="preserve">The </w:t>
      </w:r>
      <w:r w:rsidR="00382E0E" w:rsidRPr="00272BAC">
        <w:rPr>
          <w:rFonts w:ascii="Calibri Light" w:hAnsi="Calibri Light" w:cs="Calibri Light"/>
          <w:lang w:eastAsia="el-GR"/>
        </w:rPr>
        <w:t xml:space="preserve">Consultation with the region </w:t>
      </w:r>
      <w:r w:rsidR="00B8621C" w:rsidRPr="005B2C66">
        <w:rPr>
          <w:rFonts w:ascii="Calibri Light" w:hAnsi="Calibri Light" w:cs="Calibri Light"/>
          <w:lang w:eastAsia="el-GR"/>
        </w:rPr>
        <w:t>was</w:t>
      </w:r>
      <w:r w:rsidR="00382E0E" w:rsidRPr="00272BAC">
        <w:rPr>
          <w:rFonts w:ascii="Calibri Light" w:hAnsi="Calibri Light" w:cs="Calibri Light"/>
          <w:lang w:eastAsia="el-GR"/>
        </w:rPr>
        <w:t xml:space="preserve"> implemented in parallel with the public consultation of the Draft Plan. </w:t>
      </w:r>
      <w:bookmarkStart w:id="91" w:name="_Toc79772546"/>
      <w:r>
        <w:rPr>
          <w:rFonts w:ascii="Calibri Light" w:hAnsi="Calibri Light" w:cs="Calibri Light"/>
          <w:lang w:eastAsia="el-GR"/>
        </w:rPr>
        <w:t>However, the period was extended and for more than 4 months until the preparation of the final version o</w:t>
      </w:r>
      <w:r w:rsidR="00272BAC">
        <w:rPr>
          <w:rFonts w:ascii="Calibri Light" w:hAnsi="Calibri Light" w:cs="Calibri Light"/>
          <w:lang w:eastAsia="el-GR"/>
        </w:rPr>
        <w:t>f</w:t>
      </w:r>
      <w:r>
        <w:rPr>
          <w:rFonts w:ascii="Calibri Light" w:hAnsi="Calibri Light" w:cs="Calibri Light"/>
          <w:lang w:eastAsia="el-GR"/>
        </w:rPr>
        <w:t xml:space="preserve"> INECP. During the Consultation period</w:t>
      </w:r>
      <w:r w:rsidR="00272BAC">
        <w:rPr>
          <w:rFonts w:ascii="Calibri Light" w:hAnsi="Calibri Light" w:cs="Calibri Light"/>
          <w:lang w:eastAsia="el-GR"/>
        </w:rPr>
        <w:t>,</w:t>
      </w:r>
      <w:r>
        <w:rPr>
          <w:rFonts w:ascii="Calibri Light" w:hAnsi="Calibri Light" w:cs="Calibri Light"/>
          <w:lang w:eastAsia="el-GR"/>
        </w:rPr>
        <w:t xml:space="preserve"> </w:t>
      </w:r>
      <w:r w:rsidR="00272BAC">
        <w:rPr>
          <w:rFonts w:ascii="Calibri Light" w:hAnsi="Calibri Light" w:cs="Calibri Light"/>
          <w:lang w:eastAsia="el-GR"/>
        </w:rPr>
        <w:t xml:space="preserve">only </w:t>
      </w:r>
      <w:r>
        <w:rPr>
          <w:rFonts w:ascii="Calibri Light" w:hAnsi="Calibri Light" w:cs="Calibri Light"/>
          <w:lang w:eastAsia="el-GR"/>
        </w:rPr>
        <w:t xml:space="preserve">one comments has been received by The Ministry of Environment, Waters and Forests of Romania </w:t>
      </w:r>
      <w:r w:rsidR="00272BAC">
        <w:rPr>
          <w:rFonts w:ascii="Calibri Light" w:hAnsi="Calibri Light" w:cs="Calibri Light"/>
          <w:lang w:eastAsia="el-GR"/>
        </w:rPr>
        <w:t>on the Strategic Environmental Impact Assessment of INECP and relevant clarifications have been provided accordingly.</w:t>
      </w:r>
    </w:p>
    <w:p w14:paraId="6C51039F" w14:textId="77777777" w:rsidR="00620B7D" w:rsidRPr="00A33AE8" w:rsidRDefault="00620B7D" w:rsidP="00171644">
      <w:pPr>
        <w:rPr>
          <w:rFonts w:ascii="Calibri Light" w:eastAsia="Times New Roman" w:hAnsi="Calibri Light" w:cs="Calibri Light"/>
          <w:b/>
          <w:smallCaps/>
          <w:color w:val="FFFFFF"/>
          <w:kern w:val="28"/>
          <w:sz w:val="48"/>
          <w:szCs w:val="32"/>
          <w:lang w:eastAsia="el-GR"/>
        </w:rPr>
      </w:pPr>
      <w:r w:rsidRPr="00A33AE8">
        <w:br w:type="page"/>
      </w:r>
    </w:p>
    <w:p w14:paraId="7B04CD4A" w14:textId="77777777" w:rsidR="0041580B" w:rsidRPr="00A33AE8" w:rsidRDefault="0041580B" w:rsidP="0041580B">
      <w:pPr>
        <w:pStyle w:val="Heading1"/>
        <w:jc w:val="left"/>
      </w:pPr>
      <w:bookmarkStart w:id="92" w:name="_Toc118991765"/>
      <w:bookmarkStart w:id="93" w:name="_Toc153545035"/>
      <w:r w:rsidRPr="00A33AE8">
        <w:lastRenderedPageBreak/>
        <w:t>NATIONAL OBJECTIVES AND TARGETS</w:t>
      </w:r>
      <w:bookmarkEnd w:id="91"/>
      <w:bookmarkEnd w:id="92"/>
      <w:bookmarkEnd w:id="93"/>
    </w:p>
    <w:p w14:paraId="02448AB2" w14:textId="77777777" w:rsidR="009C22FE" w:rsidRPr="009C22FE" w:rsidRDefault="009C22FE" w:rsidP="009C22FE">
      <w:pPr>
        <w:pStyle w:val="LDKBody1"/>
      </w:pPr>
      <w:bookmarkStart w:id="94" w:name="_Toc79772547"/>
      <w:r w:rsidRPr="009C22FE">
        <w:t>The comprehensive approach of the Integrated National Energy and Climate Plan necessitates addressing its five dimensions in a coordinated manner, setting the following objectives, targets and contributions:</w:t>
      </w:r>
    </w:p>
    <w:p w14:paraId="1A89770E" w14:textId="2F28529F" w:rsidR="009C22FE" w:rsidRPr="00C847E4" w:rsidRDefault="009C22FE" w:rsidP="00B13BB9">
      <w:pPr>
        <w:pStyle w:val="LDKBody1"/>
        <w:ind w:firstLine="284"/>
      </w:pPr>
      <w:r w:rsidRPr="00C847E4">
        <w:t>As regards the Decarbonisation dimension:</w:t>
      </w:r>
    </w:p>
    <w:p w14:paraId="26A903E5" w14:textId="77777777" w:rsidR="009C22FE" w:rsidRPr="00C847E4" w:rsidRDefault="009C22FE" w:rsidP="00884F3B">
      <w:pPr>
        <w:pStyle w:val="LDKBody1"/>
        <w:numPr>
          <w:ilvl w:val="0"/>
          <w:numId w:val="291"/>
        </w:numPr>
      </w:pPr>
      <w:r w:rsidRPr="00C847E4">
        <w:t>A binding national target for reducing net greenhouse gasses emissions in 2030, compared to 1990 levels.</w:t>
      </w:r>
    </w:p>
    <w:p w14:paraId="3D072E53" w14:textId="38F66552" w:rsidR="009C22FE" w:rsidRPr="00C847E4" w:rsidRDefault="009C22FE" w:rsidP="00884F3B">
      <w:pPr>
        <w:pStyle w:val="LDKBody1"/>
        <w:numPr>
          <w:ilvl w:val="0"/>
          <w:numId w:val="291"/>
        </w:numPr>
      </w:pPr>
      <w:r w:rsidRPr="00C847E4">
        <w:t>An economy wide target for the contribution of renewable energy sources in the gross final energy consumption of the country in 2030.</w:t>
      </w:r>
    </w:p>
    <w:p w14:paraId="57890097" w14:textId="77777777" w:rsidR="009C22FE" w:rsidRPr="00C847E4" w:rsidRDefault="009C22FE" w:rsidP="00B13BB9">
      <w:pPr>
        <w:pStyle w:val="LDKBody1"/>
        <w:ind w:firstLine="284"/>
      </w:pPr>
      <w:r w:rsidRPr="00C847E4">
        <w:t>As regards the Energy Efficiency dimension</w:t>
      </w:r>
    </w:p>
    <w:p w14:paraId="3DE883E9" w14:textId="5F99C02C" w:rsidR="009C22FE" w:rsidRPr="00C847E4" w:rsidRDefault="009C22FE" w:rsidP="00884F3B">
      <w:pPr>
        <w:pStyle w:val="LDKBody1"/>
        <w:numPr>
          <w:ilvl w:val="0"/>
          <w:numId w:val="292"/>
        </w:numPr>
      </w:pPr>
      <w:r w:rsidRPr="00C847E4">
        <w:t>A national energy efficiency target for 2030 expressed as primary energy consumption and final energy consumption.</w:t>
      </w:r>
    </w:p>
    <w:p w14:paraId="1C19606E" w14:textId="77777777" w:rsidR="009C22FE" w:rsidRPr="00C847E4" w:rsidRDefault="009C22FE" w:rsidP="00884F3B">
      <w:pPr>
        <w:pStyle w:val="LDKBody1"/>
        <w:numPr>
          <w:ilvl w:val="0"/>
          <w:numId w:val="292"/>
        </w:numPr>
      </w:pPr>
      <w:r w:rsidRPr="00C847E4">
        <w:t>Cumulative end-use energy savings to be achieved over the period 2025-2030 as defined under point (b) of Article 7(1) on the energy saving obligations pursuant to Directive 2012/27/EU as adapted and adopted by</w:t>
      </w:r>
      <w:r w:rsidR="00CF1634">
        <w:rPr>
          <w:lang w:val="sr-Cyrl-CS"/>
        </w:rPr>
        <w:t xml:space="preserve"> </w:t>
      </w:r>
      <w:r w:rsidR="00CF1634">
        <w:rPr>
          <w:lang w:val="en-US"/>
        </w:rPr>
        <w:t>the Energy Community</w:t>
      </w:r>
      <w:r w:rsidRPr="00C847E4">
        <w:t xml:space="preserve"> Ministerial Council Decisions 2015/08/MC-EnC, 2021/14/MC-EnC and 2022/02/MC-EnC.</w:t>
      </w:r>
    </w:p>
    <w:p w14:paraId="14952D30" w14:textId="77777777" w:rsidR="009C22FE" w:rsidRPr="00C847E4" w:rsidRDefault="009C22FE" w:rsidP="00B13BB9">
      <w:pPr>
        <w:pStyle w:val="LDKBody1"/>
        <w:ind w:firstLine="284"/>
      </w:pPr>
      <w:r w:rsidRPr="00C847E4">
        <w:t>As regards the Energy Security dimension</w:t>
      </w:r>
    </w:p>
    <w:p w14:paraId="39F33A05" w14:textId="77777777" w:rsidR="009C22FE" w:rsidRPr="00C847E4" w:rsidRDefault="009C22FE" w:rsidP="00884F3B">
      <w:pPr>
        <w:pStyle w:val="LDKBody1"/>
        <w:numPr>
          <w:ilvl w:val="0"/>
          <w:numId w:val="293"/>
        </w:numPr>
      </w:pPr>
      <w:r w:rsidRPr="00C847E4">
        <w:t xml:space="preserve">National objectives increasing the diversification of energy sources and supply from third countries, the purpose of which </w:t>
      </w:r>
      <w:r w:rsidR="00EA7DC0" w:rsidRPr="00C847E4">
        <w:rPr>
          <w:lang w:val="en-US"/>
        </w:rPr>
        <w:t>shall</w:t>
      </w:r>
      <w:r w:rsidRPr="00C847E4">
        <w:t xml:space="preserve"> be to reduce energy import dependency, increasing the flexibility of the national energy system, and addressing constrained or interrupted supply of an energy source, for the purpose of improving the resilience of regional and national energy systems.</w:t>
      </w:r>
    </w:p>
    <w:p w14:paraId="43059268" w14:textId="77777777" w:rsidR="009C22FE" w:rsidRPr="00C847E4" w:rsidRDefault="009C22FE" w:rsidP="00B13BB9">
      <w:pPr>
        <w:pStyle w:val="LDKBody1"/>
        <w:ind w:firstLine="284"/>
      </w:pPr>
      <w:r w:rsidRPr="00C847E4">
        <w:t>As regards the Internal market dimension:</w:t>
      </w:r>
    </w:p>
    <w:p w14:paraId="47CE6949" w14:textId="286E3978" w:rsidR="009C22FE" w:rsidRPr="00C847E4" w:rsidRDefault="009C22FE" w:rsidP="00884F3B">
      <w:pPr>
        <w:pStyle w:val="LDKBody1"/>
        <w:numPr>
          <w:ilvl w:val="0"/>
          <w:numId w:val="293"/>
        </w:numPr>
      </w:pPr>
      <w:r w:rsidRPr="00C847E4">
        <w:t>Objectives related to the level of electricity interconnectivity, key electricity and gas transmission infrastructure projects, national objectives related to aspects of internal energy market</w:t>
      </w:r>
      <w:r w:rsidR="00EA7DC0" w:rsidRPr="00C847E4">
        <w:t xml:space="preserve"> (fostering regional energy cooperation and increasing regional market integration)</w:t>
      </w:r>
      <w:r w:rsidRPr="00C847E4">
        <w:t>.</w:t>
      </w:r>
    </w:p>
    <w:p w14:paraId="54A9F6A0" w14:textId="77777777" w:rsidR="009C22FE" w:rsidRPr="00C847E4" w:rsidRDefault="009C22FE" w:rsidP="00B13BB9">
      <w:pPr>
        <w:pStyle w:val="LDKBody1"/>
        <w:ind w:firstLine="284"/>
      </w:pPr>
      <w:r w:rsidRPr="00C847E4">
        <w:t>As regards the Research, Innovation and Competitiveness dimension:</w:t>
      </w:r>
    </w:p>
    <w:p w14:paraId="1767418D" w14:textId="279F7022" w:rsidR="009C22FE" w:rsidRPr="00C847E4" w:rsidRDefault="009C22FE" w:rsidP="00884F3B">
      <w:pPr>
        <w:pStyle w:val="LDKBody1"/>
        <w:numPr>
          <w:ilvl w:val="0"/>
          <w:numId w:val="293"/>
        </w:numPr>
        <w:spacing w:after="240"/>
      </w:pPr>
      <w:r w:rsidRPr="00C847E4">
        <w:t>National objectives for public and private research and innovation related to the Energy Union</w:t>
      </w:r>
      <w:r w:rsidR="00304A2C" w:rsidRPr="00C847E4">
        <w:rPr>
          <w:lang w:val="en-US"/>
        </w:rPr>
        <w:t xml:space="preserve"> priorities</w:t>
      </w:r>
      <w:r w:rsidRPr="00C847E4">
        <w:t>.</w:t>
      </w:r>
    </w:p>
    <w:p w14:paraId="6F4A8780" w14:textId="77777777" w:rsidR="009B1C67" w:rsidRPr="005B2C66" w:rsidRDefault="009B1C67" w:rsidP="00342EE7">
      <w:pPr>
        <w:pStyle w:val="BodyText"/>
        <w:spacing w:before="120" w:line="276" w:lineRule="auto"/>
        <w:ind w:right="193"/>
        <w:rPr>
          <w:rFonts w:asciiTheme="majorHAnsi" w:eastAsiaTheme="majorEastAsia" w:hAnsiTheme="majorHAnsi" w:cstheme="majorBidi"/>
          <w:b/>
          <w:bCs/>
          <w:i/>
          <w:color w:val="01406B"/>
          <w:szCs w:val="24"/>
        </w:rPr>
      </w:pPr>
      <w:r w:rsidRPr="005B2C66">
        <w:rPr>
          <w:rFonts w:asciiTheme="majorHAnsi" w:eastAsiaTheme="majorEastAsia" w:hAnsiTheme="majorHAnsi" w:cstheme="majorBidi"/>
          <w:b/>
          <w:bCs/>
          <w:i/>
          <w:color w:val="01406B"/>
          <w:szCs w:val="24"/>
        </w:rPr>
        <w:t>Governance mechanism for the implementation of the INECP, maximizing synergies between measures and efficient use of their budget</w:t>
      </w:r>
    </w:p>
    <w:p w14:paraId="193D2C11" w14:textId="77777777" w:rsidR="009B1C67" w:rsidRPr="00A162D1" w:rsidRDefault="009B1C67" w:rsidP="005B2C66">
      <w:pPr>
        <w:pStyle w:val="BodyText"/>
        <w:spacing w:before="120" w:line="276" w:lineRule="auto"/>
        <w:ind w:right="193"/>
        <w:rPr>
          <w:rFonts w:asciiTheme="majorHAnsi" w:hAnsiTheme="majorHAnsi" w:cstheme="majorHAnsi"/>
          <w:szCs w:val="22"/>
        </w:rPr>
      </w:pPr>
      <w:r w:rsidRPr="00673450">
        <w:rPr>
          <w:rFonts w:asciiTheme="majorHAnsi" w:hAnsiTheme="majorHAnsi" w:cstheme="majorHAnsi"/>
          <w:szCs w:val="22"/>
        </w:rPr>
        <w:t xml:space="preserve">It should be noted that the development of a governance framework, to monitor and assess in a cohesive manner the attainment of the specified targets and the implementation of the policy measures as described in </w:t>
      </w:r>
      <w:r w:rsidRPr="00B13BB9">
        <w:rPr>
          <w:rFonts w:asciiTheme="majorHAnsi" w:hAnsiTheme="majorHAnsi" w:cstheme="majorHAnsi"/>
          <w:szCs w:val="22"/>
        </w:rPr>
        <w:t>details in Chapter 3 will be occurred through the operation of the monitoring and governance mechanism, which will be developed in compliance with the provisions of the national legislation, including the conduction of detailed expert control and the imposition of penalties for non-compliant cases.</w:t>
      </w:r>
    </w:p>
    <w:p w14:paraId="5AD057AC" w14:textId="2A9DA364" w:rsidR="009B1C67" w:rsidRPr="00A162D1" w:rsidRDefault="009B1C67" w:rsidP="009B1C67">
      <w:pPr>
        <w:pStyle w:val="BodyText"/>
        <w:spacing w:before="120" w:line="276" w:lineRule="auto"/>
        <w:ind w:right="193"/>
        <w:rPr>
          <w:rFonts w:asciiTheme="majorHAnsi" w:hAnsiTheme="majorHAnsi" w:cstheme="majorHAnsi"/>
        </w:rPr>
      </w:pPr>
      <w:r w:rsidRPr="003A77D8">
        <w:rPr>
          <w:rFonts w:asciiTheme="majorHAnsi" w:hAnsiTheme="majorHAnsi" w:cstheme="majorHAnsi"/>
          <w:szCs w:val="22"/>
        </w:rPr>
        <w:t>This governance framework aims to ensure the centralized and integrated monitoring of the implementation of policy measures and ensure the stakeholders’ contribution during their implementation with a view to attaining the INECP objectives.</w:t>
      </w:r>
    </w:p>
    <w:p w14:paraId="05C056FA" w14:textId="7C920166" w:rsidR="009B1C67" w:rsidRPr="00A162D1" w:rsidRDefault="009B1C67" w:rsidP="009B1C67">
      <w:pPr>
        <w:pStyle w:val="BodyText"/>
        <w:spacing w:before="120" w:line="276" w:lineRule="auto"/>
        <w:ind w:right="193"/>
        <w:rPr>
          <w:rFonts w:asciiTheme="majorHAnsi" w:hAnsiTheme="majorHAnsi" w:cstheme="majorHAnsi"/>
        </w:rPr>
      </w:pPr>
      <w:r w:rsidRPr="00A162D1">
        <w:rPr>
          <w:rFonts w:asciiTheme="majorHAnsi" w:hAnsiTheme="majorHAnsi" w:cstheme="majorHAnsi"/>
          <w:szCs w:val="22"/>
        </w:rPr>
        <w:t>This governance framework will help facilitate cooperation and communication between stakeholders in each and across the five different dimensions, thus ensuring maximum synergies between the policy measures implemented under all dimensions for the INECP.</w:t>
      </w:r>
    </w:p>
    <w:p w14:paraId="3ED5611A" w14:textId="77777777" w:rsidR="009B1C67" w:rsidRPr="00A162D1" w:rsidRDefault="009B1C67" w:rsidP="009B1C67">
      <w:pPr>
        <w:pStyle w:val="BodyText"/>
        <w:spacing w:before="120" w:line="276" w:lineRule="auto"/>
        <w:ind w:right="193"/>
        <w:rPr>
          <w:rFonts w:asciiTheme="majorHAnsi" w:hAnsiTheme="majorHAnsi" w:cstheme="majorHAnsi"/>
        </w:rPr>
      </w:pPr>
      <w:r w:rsidRPr="00A162D1">
        <w:rPr>
          <w:rFonts w:asciiTheme="majorHAnsi" w:hAnsiTheme="majorHAnsi" w:cstheme="majorHAnsi"/>
          <w:szCs w:val="22"/>
        </w:rPr>
        <w:lastRenderedPageBreak/>
        <w:t>A Working Group for Energy and Climate chaired by The Ministry of Mining and Energy should play an important role in developing and implementing this governance framework, with the following functions among others:</w:t>
      </w:r>
    </w:p>
    <w:p w14:paraId="1AFB09B3" w14:textId="084CB09A" w:rsidR="009B1C67" w:rsidRPr="00A162D1" w:rsidRDefault="009B1C67" w:rsidP="00884F3B">
      <w:pPr>
        <w:pStyle w:val="BodyText"/>
        <w:numPr>
          <w:ilvl w:val="0"/>
          <w:numId w:val="296"/>
        </w:numPr>
        <w:spacing w:before="120" w:line="276" w:lineRule="auto"/>
        <w:ind w:right="193"/>
        <w:rPr>
          <w:rFonts w:asciiTheme="majorHAnsi" w:hAnsiTheme="majorHAnsi" w:cstheme="majorHAnsi"/>
        </w:rPr>
      </w:pPr>
      <w:r w:rsidRPr="00A162D1">
        <w:rPr>
          <w:rFonts w:asciiTheme="majorHAnsi" w:hAnsiTheme="majorHAnsi" w:cstheme="majorHAnsi"/>
          <w:szCs w:val="22"/>
        </w:rPr>
        <w:t>Formulating the national priorities and the methodology and guidelines for energy planning, as well as updating the NECP.</w:t>
      </w:r>
    </w:p>
    <w:p w14:paraId="2BAFD70B" w14:textId="011FB1E1" w:rsidR="009B1C67" w:rsidRPr="00A162D1" w:rsidRDefault="009B1C67" w:rsidP="00884F3B">
      <w:pPr>
        <w:pStyle w:val="BodyText"/>
        <w:numPr>
          <w:ilvl w:val="0"/>
          <w:numId w:val="296"/>
        </w:numPr>
        <w:spacing w:before="120" w:line="276" w:lineRule="auto"/>
        <w:ind w:right="193"/>
        <w:rPr>
          <w:rFonts w:asciiTheme="majorHAnsi" w:hAnsiTheme="majorHAnsi" w:cstheme="majorHAnsi"/>
        </w:rPr>
      </w:pPr>
      <w:r w:rsidRPr="00A162D1">
        <w:rPr>
          <w:rFonts w:asciiTheme="majorHAnsi" w:hAnsiTheme="majorHAnsi" w:cstheme="majorHAnsi"/>
          <w:szCs w:val="22"/>
        </w:rPr>
        <w:t>Analyzing and updating the energy system development scenarios.</w:t>
      </w:r>
    </w:p>
    <w:p w14:paraId="13D9919F" w14:textId="37F7C57A" w:rsidR="009B1C67" w:rsidRPr="00A162D1" w:rsidRDefault="009B1C67" w:rsidP="00884F3B">
      <w:pPr>
        <w:pStyle w:val="BodyText"/>
        <w:numPr>
          <w:ilvl w:val="0"/>
          <w:numId w:val="296"/>
        </w:numPr>
        <w:spacing w:before="120" w:line="276" w:lineRule="auto"/>
        <w:ind w:right="193"/>
        <w:rPr>
          <w:rFonts w:asciiTheme="majorHAnsi" w:hAnsiTheme="majorHAnsi" w:cstheme="majorHAnsi"/>
        </w:rPr>
      </w:pPr>
      <w:r w:rsidRPr="00A162D1">
        <w:rPr>
          <w:rFonts w:asciiTheme="majorHAnsi" w:hAnsiTheme="majorHAnsi" w:cstheme="majorHAnsi"/>
          <w:szCs w:val="22"/>
        </w:rPr>
        <w:t>Planning and promoting proposals for energy policies and actions and making recommendations on taking corrective measures in the event of deviations.</w:t>
      </w:r>
    </w:p>
    <w:p w14:paraId="1CB44553" w14:textId="375FB0C3" w:rsidR="009B1C67" w:rsidRPr="00A162D1" w:rsidRDefault="009B1C67" w:rsidP="00884F3B">
      <w:pPr>
        <w:pStyle w:val="BodyText"/>
        <w:numPr>
          <w:ilvl w:val="0"/>
          <w:numId w:val="296"/>
        </w:numPr>
        <w:spacing w:before="120" w:line="276" w:lineRule="auto"/>
        <w:ind w:right="193"/>
        <w:rPr>
          <w:rFonts w:asciiTheme="majorHAnsi" w:hAnsiTheme="majorHAnsi" w:cstheme="majorHAnsi"/>
        </w:rPr>
      </w:pPr>
      <w:r w:rsidRPr="00A162D1">
        <w:rPr>
          <w:rFonts w:asciiTheme="majorHAnsi" w:hAnsiTheme="majorHAnsi" w:cstheme="majorHAnsi"/>
          <w:szCs w:val="22"/>
        </w:rPr>
        <w:t>Providing guidelines to institutional bodies.</w:t>
      </w:r>
    </w:p>
    <w:p w14:paraId="4AD43C58" w14:textId="77777777" w:rsidR="009B1C67" w:rsidRPr="00A162D1" w:rsidRDefault="009B1C67" w:rsidP="009B1C67">
      <w:pPr>
        <w:pStyle w:val="BodyText"/>
        <w:spacing w:before="120" w:line="276" w:lineRule="auto"/>
        <w:ind w:right="193"/>
        <w:rPr>
          <w:rFonts w:asciiTheme="majorHAnsi" w:hAnsiTheme="majorHAnsi" w:cstheme="majorHAnsi"/>
        </w:rPr>
      </w:pPr>
      <w:r w:rsidRPr="00A162D1">
        <w:rPr>
          <w:rFonts w:asciiTheme="majorHAnsi" w:hAnsiTheme="majorHAnsi" w:cstheme="majorHAnsi"/>
          <w:szCs w:val="22"/>
        </w:rPr>
        <w:t>Furthermore, stakeholders should take into account the provisions of the NECP in their own development policies in order to contribute towards the smooth and effective implementation of the policy measures laid down in the NECP.</w:t>
      </w:r>
    </w:p>
    <w:p w14:paraId="4B1BE8D7" w14:textId="6D0D0D2B" w:rsidR="009B1C67" w:rsidRPr="00A162D1" w:rsidRDefault="009B1C67" w:rsidP="009B1C67">
      <w:pPr>
        <w:pStyle w:val="BodyText"/>
        <w:spacing w:before="120" w:line="276" w:lineRule="auto"/>
        <w:ind w:right="193"/>
        <w:rPr>
          <w:rFonts w:asciiTheme="majorHAnsi" w:hAnsiTheme="majorHAnsi" w:cstheme="majorHAnsi"/>
        </w:rPr>
      </w:pPr>
      <w:r w:rsidRPr="00A162D1">
        <w:rPr>
          <w:rFonts w:asciiTheme="majorHAnsi" w:hAnsiTheme="majorHAnsi" w:cstheme="majorHAnsi"/>
          <w:szCs w:val="22"/>
        </w:rPr>
        <w:t>To that end, a coordination mechanism will be developed, consisting of committees or groups intended to ensure the relevance of other related national strategies, such as waste management, circular economy and climate change adaptation.</w:t>
      </w:r>
    </w:p>
    <w:p w14:paraId="08C05707" w14:textId="28BF0CC7" w:rsidR="009B1C67" w:rsidRPr="00A162D1" w:rsidRDefault="009B1C67" w:rsidP="009B1C67">
      <w:pPr>
        <w:pStyle w:val="BodyText"/>
        <w:spacing w:before="120" w:line="276" w:lineRule="auto"/>
        <w:ind w:right="193"/>
        <w:rPr>
          <w:rFonts w:asciiTheme="majorHAnsi" w:hAnsiTheme="majorHAnsi" w:cstheme="majorHAnsi"/>
        </w:rPr>
      </w:pPr>
      <w:r w:rsidRPr="00A162D1">
        <w:rPr>
          <w:rFonts w:asciiTheme="majorHAnsi" w:hAnsiTheme="majorHAnsi" w:cstheme="majorHAnsi"/>
          <w:szCs w:val="22"/>
        </w:rPr>
        <w:t>The implementation of the governance framework will result in ensuring continuity of the policies and measures to be implemented and consistency of both public and private institutional bodies involved in the implementation of these policies and measures.</w:t>
      </w:r>
    </w:p>
    <w:p w14:paraId="55D74FA1" w14:textId="77777777" w:rsidR="009B1C67" w:rsidRPr="00673450" w:rsidRDefault="009B1C67" w:rsidP="009B1C67">
      <w:pPr>
        <w:pStyle w:val="BodyText"/>
        <w:spacing w:before="120" w:line="276" w:lineRule="auto"/>
        <w:ind w:right="193"/>
        <w:rPr>
          <w:rFonts w:asciiTheme="majorHAnsi" w:hAnsiTheme="majorHAnsi" w:cstheme="majorHAnsi"/>
        </w:rPr>
      </w:pPr>
      <w:r w:rsidRPr="00A162D1">
        <w:rPr>
          <w:rFonts w:asciiTheme="majorHAnsi" w:hAnsiTheme="majorHAnsi" w:cstheme="majorHAnsi"/>
          <w:szCs w:val="22"/>
        </w:rPr>
        <w:t>A fundamental component of the governance framework will be the development of integrated monitoring mechanism for the policies and measures under implementation. This mechanism will include</w:t>
      </w:r>
      <w:r w:rsidRPr="00673450">
        <w:rPr>
          <w:rFonts w:asciiTheme="majorHAnsi" w:hAnsiTheme="majorHAnsi" w:cstheme="majorHAnsi"/>
          <w:szCs w:val="22"/>
        </w:rPr>
        <w:t xml:space="preserve"> procedures for ongoing monitoring of both the attainment of the individual NECP objectives and the performance and impact of each policy measure individually, including by the use of relevant critical performance indicators.</w:t>
      </w:r>
    </w:p>
    <w:p w14:paraId="4016B425" w14:textId="445A0655" w:rsidR="009B1C67" w:rsidRPr="00673450" w:rsidRDefault="009B1C67" w:rsidP="009B1C67">
      <w:pPr>
        <w:pStyle w:val="BodyText"/>
        <w:spacing w:before="120" w:line="276" w:lineRule="auto"/>
        <w:ind w:right="193"/>
        <w:rPr>
          <w:rFonts w:asciiTheme="majorHAnsi" w:hAnsiTheme="majorHAnsi" w:cstheme="majorHAnsi"/>
        </w:rPr>
      </w:pPr>
      <w:r w:rsidRPr="00673450">
        <w:rPr>
          <w:rFonts w:asciiTheme="majorHAnsi" w:hAnsiTheme="majorHAnsi" w:cstheme="majorHAnsi"/>
          <w:szCs w:val="22"/>
        </w:rPr>
        <w:t>Naturally, in the course of implementing the NECP, account will be taken of any deviations, firstly for the above bodies to take possible corrective measures and secondly to ensure the security of supply in the Republic of Serbia.</w:t>
      </w:r>
    </w:p>
    <w:p w14:paraId="4209D56B" w14:textId="77777777" w:rsidR="009B1C67" w:rsidRDefault="009B1C67" w:rsidP="009B1C67">
      <w:pPr>
        <w:pStyle w:val="BodyText"/>
        <w:spacing w:before="120" w:line="276" w:lineRule="auto"/>
        <w:ind w:right="193"/>
        <w:rPr>
          <w:rFonts w:asciiTheme="majorHAnsi" w:hAnsiTheme="majorHAnsi" w:cstheme="majorHAnsi"/>
          <w:szCs w:val="22"/>
        </w:rPr>
      </w:pPr>
      <w:r w:rsidRPr="00673450">
        <w:rPr>
          <w:rFonts w:asciiTheme="majorHAnsi" w:hAnsiTheme="majorHAnsi" w:cstheme="majorHAnsi"/>
          <w:szCs w:val="22"/>
        </w:rPr>
        <w:t>A relevant model will be used in designing and implementing financing mechanisms and programmes. These financing mechanisms and programmes will be designed including, inter alia, maximising the expected leverage of resources, using available public funds more efficiently, adopting innovative funding tools, ensuring more active mobilisation of the domestic financial sector and maximising synergies between different policy objectives.</w:t>
      </w:r>
    </w:p>
    <w:p w14:paraId="0E4D4BE1" w14:textId="77777777" w:rsidR="009B1C67" w:rsidRPr="005B2C66" w:rsidRDefault="009B1C67" w:rsidP="005B2C66">
      <w:pPr>
        <w:pStyle w:val="BodyText"/>
        <w:spacing w:before="120" w:line="276" w:lineRule="auto"/>
        <w:ind w:right="193"/>
        <w:rPr>
          <w:rFonts w:asciiTheme="majorHAnsi" w:hAnsiTheme="majorHAnsi" w:cstheme="majorHAnsi"/>
        </w:rPr>
      </w:pPr>
      <w:r w:rsidRPr="009B1C67">
        <w:rPr>
          <w:rFonts w:asciiTheme="majorHAnsi" w:hAnsiTheme="majorHAnsi" w:cstheme="majorHAnsi"/>
        </w:rPr>
        <w:t>The following sub-chapters present the policy objectives and targets for each one of the above-mentioned dimensions for the Republic of Serbia.</w:t>
      </w:r>
    </w:p>
    <w:p w14:paraId="4664C0B1" w14:textId="77777777" w:rsidR="00653D73" w:rsidRPr="00A33AE8" w:rsidRDefault="00653D73" w:rsidP="00653D73">
      <w:pPr>
        <w:pStyle w:val="Heading2"/>
      </w:pPr>
      <w:bookmarkStart w:id="95" w:name="_Toc151036036"/>
      <w:bookmarkStart w:id="96" w:name="_Toc118991766"/>
      <w:bookmarkStart w:id="97" w:name="_Toc153545036"/>
      <w:bookmarkEnd w:id="94"/>
      <w:bookmarkEnd w:id="95"/>
      <w:r w:rsidRPr="00A33AE8">
        <w:t>Climate change, emissions and reduction of greenhouse gases</w:t>
      </w:r>
      <w:bookmarkEnd w:id="96"/>
      <w:bookmarkEnd w:id="97"/>
    </w:p>
    <w:p w14:paraId="33DBB1F0" w14:textId="6C22BA3E" w:rsidR="00B46E64" w:rsidRDefault="00653D73" w:rsidP="00653D73">
      <w:pPr>
        <w:pStyle w:val="BodyText"/>
        <w:spacing w:before="120" w:line="276" w:lineRule="auto"/>
        <w:ind w:right="197"/>
        <w:rPr>
          <w:rFonts w:asciiTheme="majorHAnsi" w:hAnsiTheme="majorHAnsi" w:cstheme="majorHAnsi"/>
          <w:szCs w:val="22"/>
        </w:rPr>
      </w:pPr>
      <w:bookmarkStart w:id="98" w:name="_bookmark25"/>
      <w:bookmarkEnd w:id="98"/>
      <w:r w:rsidRPr="00A33AE8">
        <w:rPr>
          <w:rFonts w:asciiTheme="majorHAnsi" w:hAnsiTheme="majorHAnsi" w:cstheme="majorHAnsi"/>
          <w:szCs w:val="22"/>
        </w:rPr>
        <w:t xml:space="preserve">A central target has been set for </w:t>
      </w:r>
      <w:r w:rsidRPr="00A33AE8">
        <w:rPr>
          <w:rFonts w:asciiTheme="majorHAnsi" w:hAnsiTheme="majorHAnsi" w:cstheme="majorHAnsi"/>
          <w:b/>
          <w:bCs/>
          <w:szCs w:val="22"/>
        </w:rPr>
        <w:t>reducing the GHG emissions</w:t>
      </w:r>
      <w:r w:rsidRPr="00A33AE8">
        <w:rPr>
          <w:rFonts w:asciiTheme="majorHAnsi" w:hAnsiTheme="majorHAnsi" w:cstheme="majorHAnsi"/>
          <w:szCs w:val="22"/>
        </w:rPr>
        <w:t xml:space="preserve"> by </w:t>
      </w:r>
      <w:r w:rsidR="00DC6943" w:rsidRPr="00A33AE8">
        <w:rPr>
          <w:rFonts w:asciiTheme="majorHAnsi" w:hAnsiTheme="majorHAnsi" w:cstheme="majorHAnsi"/>
          <w:szCs w:val="22"/>
        </w:rPr>
        <w:t>40.</w:t>
      </w:r>
      <w:r w:rsidR="0052163B" w:rsidRPr="000007D2">
        <w:rPr>
          <w:rFonts w:asciiTheme="majorHAnsi" w:hAnsiTheme="majorHAnsi" w:cstheme="majorHAnsi"/>
          <w:szCs w:val="22"/>
        </w:rPr>
        <w:t>3</w:t>
      </w:r>
      <w:r w:rsidRPr="00A33AE8">
        <w:rPr>
          <w:rFonts w:asciiTheme="majorHAnsi" w:hAnsiTheme="majorHAnsi" w:cstheme="majorHAnsi"/>
          <w:szCs w:val="22"/>
        </w:rPr>
        <w:t>% in</w:t>
      </w:r>
      <w:r w:rsidR="00A57AE7" w:rsidRPr="00A33AE8">
        <w:rPr>
          <w:rFonts w:asciiTheme="majorHAnsi" w:hAnsiTheme="majorHAnsi" w:cstheme="majorHAnsi"/>
          <w:szCs w:val="22"/>
        </w:rPr>
        <w:t xml:space="preserve"> </w:t>
      </w:r>
      <w:r w:rsidRPr="00A33AE8">
        <w:rPr>
          <w:rFonts w:asciiTheme="majorHAnsi" w:hAnsiTheme="majorHAnsi" w:cstheme="majorHAnsi"/>
          <w:szCs w:val="22"/>
        </w:rPr>
        <w:t>2030 compared to 1990</w:t>
      </w:r>
      <w:r w:rsidR="00DC6943" w:rsidRPr="00A33AE8">
        <w:rPr>
          <w:rFonts w:asciiTheme="majorHAnsi" w:hAnsiTheme="majorHAnsi" w:cstheme="majorHAnsi"/>
          <w:szCs w:val="22"/>
        </w:rPr>
        <w:t xml:space="preserve"> including agriculture, waste and LULUCF. </w:t>
      </w:r>
      <w:r w:rsidR="00B46E64">
        <w:rPr>
          <w:rFonts w:asciiTheme="majorHAnsi" w:hAnsiTheme="majorHAnsi" w:cstheme="majorHAnsi"/>
          <w:szCs w:val="22"/>
        </w:rPr>
        <w:t xml:space="preserve">This target is in line with </w:t>
      </w:r>
      <w:r w:rsidR="00B46E64">
        <w:rPr>
          <w:rFonts w:ascii="Calibri Light" w:hAnsi="Calibri Light" w:cs="Calibri Light"/>
        </w:rPr>
        <w:t xml:space="preserve">Article </w:t>
      </w:r>
      <w:r w:rsidR="00907DF7">
        <w:rPr>
          <w:rFonts w:ascii="Calibri Light" w:hAnsi="Calibri Light" w:cs="Calibri Light"/>
        </w:rPr>
        <w:t>4</w:t>
      </w:r>
      <w:r w:rsidR="00B46E64">
        <w:rPr>
          <w:rFonts w:ascii="Calibri Light" w:hAnsi="Calibri Light" w:cs="Calibri Light"/>
        </w:rPr>
        <w:t xml:space="preserve"> of Decision no. 2022/02</w:t>
      </w:r>
      <w:r w:rsidR="00B46E64" w:rsidRPr="005B2C66">
        <w:rPr>
          <w:rFonts w:ascii="Calibri Light" w:hAnsi="Calibri Light" w:cs="Calibri Light"/>
        </w:rPr>
        <w:t>/MC-EnC</w:t>
      </w:r>
      <w:r w:rsidR="00B46E64">
        <w:rPr>
          <w:rFonts w:ascii="Calibri Light" w:hAnsi="Calibri Light" w:cs="Calibri Light"/>
          <w:lang w:val="sr-Cyrl-CS"/>
        </w:rPr>
        <w:t xml:space="preserve"> </w:t>
      </w:r>
      <w:r w:rsidR="00B46E64">
        <w:rPr>
          <w:rFonts w:ascii="Calibri Light" w:hAnsi="Calibri Light" w:cs="Calibri Light"/>
          <w:lang w:val="en-US"/>
        </w:rPr>
        <w:t>of the Energy Community Ministerial Council,</w:t>
      </w:r>
      <w:r w:rsidR="00B46E64" w:rsidRPr="005B2C66">
        <w:rPr>
          <w:rFonts w:ascii="Calibri Light" w:hAnsi="Calibri Light" w:cs="Calibri Light"/>
        </w:rPr>
        <w:t xml:space="preserve"> point (</w:t>
      </w:r>
      <w:r w:rsidR="00907DF7">
        <w:rPr>
          <w:rFonts w:ascii="Calibri Light" w:hAnsi="Calibri Light" w:cs="Calibri Light"/>
        </w:rPr>
        <w:t>13</w:t>
      </w:r>
      <w:r w:rsidR="00B46E64" w:rsidRPr="005B2C66">
        <w:rPr>
          <w:rFonts w:ascii="Calibri Light" w:hAnsi="Calibri Light" w:cs="Calibri Light"/>
        </w:rPr>
        <w:t>)</w:t>
      </w:r>
      <w:r w:rsidR="00B46E64">
        <w:rPr>
          <w:rFonts w:ascii="Calibri Light" w:hAnsi="Calibri Light" w:cs="Calibri Light"/>
        </w:rPr>
        <w:t xml:space="preserve">. </w:t>
      </w:r>
      <w:r w:rsidR="00DC6943" w:rsidRPr="00A33AE8">
        <w:rPr>
          <w:rFonts w:asciiTheme="majorHAnsi" w:hAnsiTheme="majorHAnsi" w:cstheme="majorHAnsi"/>
          <w:szCs w:val="22"/>
        </w:rPr>
        <w:t xml:space="preserve">This is </w:t>
      </w:r>
      <w:r w:rsidR="00B46E64">
        <w:rPr>
          <w:rFonts w:asciiTheme="majorHAnsi" w:hAnsiTheme="majorHAnsi" w:cstheme="majorHAnsi"/>
          <w:szCs w:val="22"/>
        </w:rPr>
        <w:t xml:space="preserve">also </w:t>
      </w:r>
      <w:r w:rsidR="00DC6943" w:rsidRPr="00A33AE8">
        <w:rPr>
          <w:rFonts w:asciiTheme="majorHAnsi" w:hAnsiTheme="majorHAnsi" w:cstheme="majorHAnsi"/>
          <w:szCs w:val="22"/>
        </w:rPr>
        <w:t>consistent with the targets set in the recently updated Nationally Determined Contribution (NDC).</w:t>
      </w:r>
      <w:r w:rsidRPr="00A33AE8">
        <w:rPr>
          <w:rFonts w:asciiTheme="majorHAnsi" w:hAnsiTheme="majorHAnsi" w:cstheme="majorHAnsi"/>
          <w:szCs w:val="22"/>
        </w:rPr>
        <w:t xml:space="preserve"> A well-balanced mixture of policies and measures will be initiated in order to mitigate the GHG emissions in all supply and demand sectors.</w:t>
      </w:r>
      <w:bookmarkStart w:id="99" w:name="_bookmark26"/>
      <w:bookmarkEnd w:id="99"/>
    </w:p>
    <w:p w14:paraId="425B39BB" w14:textId="1423936E" w:rsidR="006C5F46" w:rsidRDefault="006C5F46" w:rsidP="00653D73">
      <w:pPr>
        <w:pStyle w:val="BodyText"/>
        <w:spacing w:before="120" w:line="276" w:lineRule="auto"/>
        <w:ind w:right="197"/>
        <w:rPr>
          <w:rFonts w:asciiTheme="majorHAnsi" w:hAnsiTheme="majorHAnsi" w:cstheme="majorHAnsi"/>
          <w:szCs w:val="22"/>
        </w:rPr>
      </w:pPr>
      <w:r>
        <w:rPr>
          <w:rFonts w:asciiTheme="majorHAnsi" w:hAnsiTheme="majorHAnsi" w:cstheme="majorHAnsi"/>
          <w:szCs w:val="22"/>
        </w:rPr>
        <w:t>The annual trajectory from 2025 until 2030 for reaching the national contribution can be seen in the following Table.</w:t>
      </w:r>
    </w:p>
    <w:p w14:paraId="050608D8" w14:textId="77777777" w:rsidR="006C5F46" w:rsidRDefault="006C5F46" w:rsidP="00653D73">
      <w:pPr>
        <w:pStyle w:val="BodyText"/>
        <w:spacing w:before="120" w:line="276" w:lineRule="auto"/>
        <w:ind w:right="197"/>
        <w:rPr>
          <w:rFonts w:asciiTheme="majorHAnsi" w:hAnsiTheme="majorHAnsi" w:cstheme="majorHAnsi"/>
          <w:szCs w:val="22"/>
        </w:rPr>
      </w:pPr>
    </w:p>
    <w:p w14:paraId="7F1FBDD4" w14:textId="5EBDE5ED" w:rsidR="006C5F46" w:rsidRPr="00A33AE8" w:rsidRDefault="006C5F46" w:rsidP="006C5F46">
      <w:pPr>
        <w:pStyle w:val="Caption"/>
        <w:keepNext/>
        <w:jc w:val="center"/>
      </w:pPr>
      <w:bookmarkStart w:id="100" w:name="_Toc153545067"/>
      <w:r w:rsidRPr="00A33AE8">
        <w:t xml:space="preserve">Table </w:t>
      </w:r>
      <w:r w:rsidR="006E0533">
        <w:fldChar w:fldCharType="begin"/>
      </w:r>
      <w:r w:rsidR="006E0533">
        <w:instrText xml:space="preserve"> STYLEREF 1 \s </w:instrText>
      </w:r>
      <w:r w:rsidR="006E0533">
        <w:fldChar w:fldCharType="separate"/>
      </w:r>
      <w:r w:rsidR="00A84B9C">
        <w:rPr>
          <w:noProof/>
        </w:rPr>
        <w:t>2</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r w:rsidRPr="00A33AE8">
        <w:t xml:space="preserve">: </w:t>
      </w:r>
      <w:r>
        <w:rPr>
          <w:rFonts w:asciiTheme="minorHAnsi" w:hAnsiTheme="minorHAnsi" w:cstheme="minorHAnsi"/>
        </w:rPr>
        <w:t>Annual trajectory of GHG emissions reduction</w:t>
      </w:r>
      <w:bookmarkEnd w:id="100"/>
    </w:p>
    <w:tbl>
      <w:tblPr>
        <w:tblStyle w:val="GridTable4-Accent11"/>
        <w:tblW w:w="7901" w:type="dxa"/>
        <w:jc w:val="center"/>
        <w:tblLook w:val="04A0" w:firstRow="1" w:lastRow="0" w:firstColumn="1" w:lastColumn="0" w:noHBand="0" w:noVBand="1"/>
      </w:tblPr>
      <w:tblGrid>
        <w:gridCol w:w="2255"/>
        <w:gridCol w:w="941"/>
        <w:gridCol w:w="941"/>
        <w:gridCol w:w="941"/>
        <w:gridCol w:w="941"/>
        <w:gridCol w:w="941"/>
        <w:gridCol w:w="941"/>
      </w:tblGrid>
      <w:tr w:rsidR="0011056D" w:rsidRPr="006C5F46" w14:paraId="00337558" w14:textId="77777777" w:rsidTr="0011056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tcPr>
          <w:p w14:paraId="1F7AFC43" w14:textId="77777777" w:rsidR="006C5F46" w:rsidRPr="0087794A" w:rsidRDefault="006C5F46" w:rsidP="006C5F46">
            <w:pPr>
              <w:spacing w:line="240" w:lineRule="auto"/>
              <w:jc w:val="right"/>
              <w:rPr>
                <w:rFonts w:ascii="Calibri" w:eastAsia="Times New Roman" w:hAnsi="Calibri" w:cs="Calibri"/>
                <w:color w:val="000000"/>
                <w:lang w:val="en-US" w:eastAsia="en-GB"/>
              </w:rPr>
            </w:pPr>
          </w:p>
        </w:tc>
        <w:tc>
          <w:tcPr>
            <w:tcW w:w="941" w:type="dxa"/>
            <w:noWrap/>
            <w:hideMark/>
          </w:tcPr>
          <w:p w14:paraId="6ADE7ACE" w14:textId="48A93C4C" w:rsidR="006C5F46" w:rsidRPr="006C5F46" w:rsidRDefault="006C5F46" w:rsidP="006C5F4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2025</w:t>
            </w:r>
          </w:p>
        </w:tc>
        <w:tc>
          <w:tcPr>
            <w:tcW w:w="941" w:type="dxa"/>
            <w:noWrap/>
            <w:hideMark/>
          </w:tcPr>
          <w:p w14:paraId="741A251F" w14:textId="77777777" w:rsidR="006C5F46" w:rsidRPr="006C5F46" w:rsidRDefault="006C5F46" w:rsidP="006C5F4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2026</w:t>
            </w:r>
          </w:p>
        </w:tc>
        <w:tc>
          <w:tcPr>
            <w:tcW w:w="941" w:type="dxa"/>
            <w:noWrap/>
            <w:hideMark/>
          </w:tcPr>
          <w:p w14:paraId="2A0F12DE" w14:textId="77777777" w:rsidR="006C5F46" w:rsidRPr="006C5F46" w:rsidRDefault="006C5F46" w:rsidP="006C5F4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2027</w:t>
            </w:r>
          </w:p>
        </w:tc>
        <w:tc>
          <w:tcPr>
            <w:tcW w:w="941" w:type="dxa"/>
            <w:noWrap/>
            <w:hideMark/>
          </w:tcPr>
          <w:p w14:paraId="1F53AB30" w14:textId="77777777" w:rsidR="006C5F46" w:rsidRPr="006C5F46" w:rsidRDefault="006C5F46" w:rsidP="006C5F4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2028</w:t>
            </w:r>
          </w:p>
        </w:tc>
        <w:tc>
          <w:tcPr>
            <w:tcW w:w="941" w:type="dxa"/>
            <w:noWrap/>
            <w:hideMark/>
          </w:tcPr>
          <w:p w14:paraId="67DB106D" w14:textId="77777777" w:rsidR="006C5F46" w:rsidRPr="006C5F46" w:rsidRDefault="006C5F46" w:rsidP="006C5F4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2029</w:t>
            </w:r>
          </w:p>
        </w:tc>
        <w:tc>
          <w:tcPr>
            <w:tcW w:w="941" w:type="dxa"/>
            <w:noWrap/>
            <w:hideMark/>
          </w:tcPr>
          <w:p w14:paraId="5A120415" w14:textId="77777777" w:rsidR="006C5F46" w:rsidRPr="006C5F46" w:rsidRDefault="006C5F46" w:rsidP="006C5F4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2030</w:t>
            </w:r>
          </w:p>
        </w:tc>
      </w:tr>
      <w:tr w:rsidR="0011056D" w:rsidRPr="006C5F46" w14:paraId="11DF1FD7" w14:textId="77777777" w:rsidTr="001105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55" w:type="dxa"/>
          </w:tcPr>
          <w:p w14:paraId="5ECD1269" w14:textId="44BF0A63" w:rsidR="006C5F46" w:rsidRPr="006C5F46" w:rsidRDefault="006C5F46" w:rsidP="0087794A">
            <w:pPr>
              <w:spacing w:line="240" w:lineRule="auto"/>
              <w:rPr>
                <w:rFonts w:ascii="Calibri" w:eastAsia="Times New Roman" w:hAnsi="Calibri" w:cs="Calibri"/>
                <w:color w:val="000000"/>
                <w:lang w:eastAsia="en-GB"/>
              </w:rPr>
            </w:pPr>
            <w:r>
              <w:rPr>
                <w:rFonts w:ascii="Calibri" w:eastAsia="Times New Roman" w:hAnsi="Calibri" w:cs="Calibri"/>
                <w:color w:val="000000"/>
                <w:lang w:eastAsia="en-GB"/>
              </w:rPr>
              <w:t>Reduction w.r.t. 1990</w:t>
            </w:r>
          </w:p>
        </w:tc>
        <w:tc>
          <w:tcPr>
            <w:tcW w:w="941" w:type="dxa"/>
            <w:noWrap/>
            <w:hideMark/>
          </w:tcPr>
          <w:p w14:paraId="525041E0" w14:textId="4C2C6936" w:rsidR="006C5F46" w:rsidRPr="006C5F46" w:rsidRDefault="006C5F46" w:rsidP="006C5F4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-30.7%</w:t>
            </w:r>
          </w:p>
        </w:tc>
        <w:tc>
          <w:tcPr>
            <w:tcW w:w="941" w:type="dxa"/>
            <w:noWrap/>
            <w:hideMark/>
          </w:tcPr>
          <w:p w14:paraId="6BFC0BCF" w14:textId="77777777" w:rsidR="006C5F46" w:rsidRPr="006C5F46" w:rsidRDefault="006C5F46" w:rsidP="006C5F4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-32.0%</w:t>
            </w:r>
          </w:p>
        </w:tc>
        <w:tc>
          <w:tcPr>
            <w:tcW w:w="941" w:type="dxa"/>
            <w:noWrap/>
            <w:hideMark/>
          </w:tcPr>
          <w:p w14:paraId="3F5DF172" w14:textId="77777777" w:rsidR="006C5F46" w:rsidRPr="006C5F46" w:rsidRDefault="006C5F46" w:rsidP="006C5F4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-32.5%</w:t>
            </w:r>
          </w:p>
        </w:tc>
        <w:tc>
          <w:tcPr>
            <w:tcW w:w="941" w:type="dxa"/>
            <w:noWrap/>
            <w:hideMark/>
          </w:tcPr>
          <w:p w14:paraId="120475F6" w14:textId="77777777" w:rsidR="006C5F46" w:rsidRPr="006C5F46" w:rsidRDefault="006C5F46" w:rsidP="006C5F4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-33.7%</w:t>
            </w:r>
          </w:p>
        </w:tc>
        <w:tc>
          <w:tcPr>
            <w:tcW w:w="941" w:type="dxa"/>
            <w:noWrap/>
            <w:hideMark/>
          </w:tcPr>
          <w:p w14:paraId="502E2626" w14:textId="77777777" w:rsidR="006C5F46" w:rsidRPr="006C5F46" w:rsidRDefault="006C5F46" w:rsidP="006C5F4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-36.0%</w:t>
            </w:r>
          </w:p>
        </w:tc>
        <w:tc>
          <w:tcPr>
            <w:tcW w:w="941" w:type="dxa"/>
            <w:noWrap/>
            <w:hideMark/>
          </w:tcPr>
          <w:p w14:paraId="157A5A19" w14:textId="288E0C66" w:rsidR="006C5F46" w:rsidRPr="006C5F46" w:rsidRDefault="006C5F46" w:rsidP="006C5F4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6C5F46">
              <w:rPr>
                <w:rFonts w:ascii="Calibri" w:eastAsia="Times New Roman" w:hAnsi="Calibri" w:cs="Calibri"/>
                <w:color w:val="000000"/>
                <w:lang w:eastAsia="en-GB"/>
              </w:rPr>
              <w:t>-40.</w:t>
            </w:r>
            <w:r>
              <w:rPr>
                <w:rFonts w:ascii="Calibri" w:eastAsia="Times New Roman" w:hAnsi="Calibri" w:cs="Calibri"/>
                <w:color w:val="000000"/>
                <w:lang w:eastAsia="en-GB"/>
              </w:rPr>
              <w:t>3</w:t>
            </w:r>
            <w:r w:rsidRPr="006C5F46">
              <w:rPr>
                <w:rFonts w:ascii="Calibri" w:eastAsia="Times New Roman" w:hAnsi="Calibri" w:cs="Calibri"/>
                <w:color w:val="000000"/>
                <w:lang w:eastAsia="en-GB"/>
              </w:rPr>
              <w:t>%</w:t>
            </w:r>
          </w:p>
        </w:tc>
      </w:tr>
    </w:tbl>
    <w:p w14:paraId="3915E442" w14:textId="77777777" w:rsidR="00653D73" w:rsidRPr="00A33AE8" w:rsidRDefault="00653D73" w:rsidP="00653D73">
      <w:pPr>
        <w:pStyle w:val="BodyText"/>
        <w:spacing w:before="120" w:line="276" w:lineRule="auto"/>
        <w:ind w:right="195"/>
        <w:rPr>
          <w:rFonts w:asciiTheme="majorHAnsi" w:hAnsiTheme="majorHAnsi" w:cstheme="majorHAnsi"/>
          <w:szCs w:val="22"/>
        </w:rPr>
      </w:pPr>
      <w:bookmarkStart w:id="101" w:name="_bookmark27"/>
      <w:bookmarkEnd w:id="101"/>
      <w:r w:rsidRPr="00A33AE8">
        <w:rPr>
          <w:rFonts w:asciiTheme="majorHAnsi" w:hAnsiTheme="majorHAnsi" w:cstheme="majorHAnsi"/>
          <w:szCs w:val="22"/>
        </w:rPr>
        <w:t xml:space="preserve">Priority is also given on the </w:t>
      </w:r>
      <w:r w:rsidRPr="00A33AE8">
        <w:rPr>
          <w:rFonts w:asciiTheme="majorHAnsi" w:hAnsiTheme="majorHAnsi" w:cstheme="majorHAnsi"/>
          <w:b/>
          <w:szCs w:val="22"/>
        </w:rPr>
        <w:t>climate</w:t>
      </w:r>
      <w:r w:rsidR="00A57AE7" w:rsidRPr="00A33AE8">
        <w:rPr>
          <w:rFonts w:asciiTheme="majorHAnsi" w:hAnsiTheme="majorHAnsi" w:cstheme="majorHAnsi"/>
          <w:b/>
          <w:szCs w:val="22"/>
        </w:rPr>
        <w:t xml:space="preserve"> </w:t>
      </w:r>
      <w:r w:rsidRPr="00A33AE8">
        <w:rPr>
          <w:rFonts w:asciiTheme="majorHAnsi" w:hAnsiTheme="majorHAnsi" w:cstheme="majorHAnsi"/>
          <w:b/>
          <w:szCs w:val="22"/>
        </w:rPr>
        <w:t>change adaptation</w:t>
      </w:r>
      <w:r w:rsidRPr="00A33AE8">
        <w:rPr>
          <w:rFonts w:asciiTheme="majorHAnsi" w:hAnsiTheme="majorHAnsi" w:cstheme="majorHAnsi"/>
          <w:szCs w:val="22"/>
        </w:rPr>
        <w:t xml:space="preserve">, as Republic of Serbia </w:t>
      </w:r>
      <w:r w:rsidR="009B35EF" w:rsidRPr="00A33AE8">
        <w:rPr>
          <w:rFonts w:asciiTheme="majorHAnsi" w:hAnsiTheme="majorHAnsi" w:cstheme="majorHAnsi"/>
          <w:szCs w:val="22"/>
        </w:rPr>
        <w:t>according to the Law on Climate Change started drafting</w:t>
      </w:r>
      <w:r w:rsidRPr="00A33AE8">
        <w:rPr>
          <w:rFonts w:asciiTheme="majorHAnsi" w:hAnsiTheme="majorHAnsi" w:cstheme="majorHAnsi"/>
          <w:szCs w:val="22"/>
        </w:rPr>
        <w:t xml:space="preserve"> the Climate Change</w:t>
      </w:r>
      <w:r w:rsidR="009B35EF" w:rsidRPr="00A33AE8">
        <w:rPr>
          <w:rFonts w:asciiTheme="majorHAnsi" w:hAnsiTheme="majorHAnsi" w:cstheme="majorHAnsi"/>
          <w:szCs w:val="22"/>
        </w:rPr>
        <w:t xml:space="preserve"> Adaptation Programme with Action Plan</w:t>
      </w:r>
      <w:r w:rsidRPr="00A33AE8">
        <w:rPr>
          <w:rFonts w:asciiTheme="majorHAnsi" w:hAnsiTheme="majorHAnsi" w:cstheme="majorHAnsi"/>
          <w:szCs w:val="22"/>
        </w:rPr>
        <w:t>, which will specify</w:t>
      </w:r>
      <w:r w:rsidR="00AA318D" w:rsidRPr="00A33AE8">
        <w:rPr>
          <w:rFonts w:asciiTheme="majorHAnsi" w:hAnsiTheme="majorHAnsi" w:cstheme="majorHAnsi"/>
          <w:szCs w:val="22"/>
        </w:rPr>
        <w:t xml:space="preserve"> </w:t>
      </w:r>
      <w:r w:rsidRPr="00A33AE8">
        <w:rPr>
          <w:rFonts w:asciiTheme="majorHAnsi" w:hAnsiTheme="majorHAnsi" w:cstheme="majorHAnsi"/>
          <w:szCs w:val="22"/>
        </w:rPr>
        <w:t xml:space="preserve">the general objectives, </w:t>
      </w:r>
      <w:r w:rsidR="009B35EF" w:rsidRPr="00A33AE8">
        <w:rPr>
          <w:rFonts w:asciiTheme="majorHAnsi" w:hAnsiTheme="majorHAnsi" w:cstheme="majorHAnsi"/>
          <w:szCs w:val="22"/>
        </w:rPr>
        <w:t xml:space="preserve">identify the sectors most affected by climate change, and measures to adapt to changed climate conditions </w:t>
      </w:r>
      <w:r w:rsidRPr="00A33AE8">
        <w:rPr>
          <w:rFonts w:asciiTheme="majorHAnsi" w:hAnsiTheme="majorHAnsi" w:cstheme="majorHAnsi"/>
          <w:szCs w:val="22"/>
        </w:rPr>
        <w:t>within the framework set by the United</w:t>
      </w:r>
      <w:r w:rsidR="00AA318D" w:rsidRPr="00A33AE8">
        <w:rPr>
          <w:rFonts w:asciiTheme="majorHAnsi" w:hAnsiTheme="majorHAnsi" w:cstheme="majorHAnsi"/>
          <w:szCs w:val="22"/>
        </w:rPr>
        <w:t xml:space="preserve"> </w:t>
      </w:r>
      <w:r w:rsidRPr="00A33AE8">
        <w:rPr>
          <w:rFonts w:asciiTheme="majorHAnsi" w:hAnsiTheme="majorHAnsi" w:cstheme="majorHAnsi"/>
          <w:szCs w:val="22"/>
        </w:rPr>
        <w:t>Nations</w:t>
      </w:r>
      <w:r w:rsidR="00AA318D" w:rsidRPr="00A33AE8">
        <w:rPr>
          <w:rFonts w:asciiTheme="majorHAnsi" w:hAnsiTheme="majorHAnsi" w:cstheme="majorHAnsi"/>
          <w:szCs w:val="22"/>
        </w:rPr>
        <w:t xml:space="preserve"> </w:t>
      </w:r>
      <w:r w:rsidR="00B97FE2" w:rsidRPr="00A33AE8">
        <w:rPr>
          <w:rFonts w:asciiTheme="majorHAnsi" w:hAnsiTheme="majorHAnsi" w:cstheme="majorHAnsi"/>
          <w:szCs w:val="22"/>
        </w:rPr>
        <w:t>Convention</w:t>
      </w:r>
      <w:r w:rsidR="00AA318D" w:rsidRPr="00A33AE8">
        <w:rPr>
          <w:rFonts w:asciiTheme="majorHAnsi" w:hAnsiTheme="majorHAnsi" w:cstheme="majorHAnsi"/>
          <w:szCs w:val="22"/>
        </w:rPr>
        <w:t xml:space="preserve"> </w:t>
      </w:r>
      <w:r w:rsidRPr="00A33AE8">
        <w:rPr>
          <w:rFonts w:asciiTheme="majorHAnsi" w:hAnsiTheme="majorHAnsi" w:cstheme="majorHAnsi"/>
          <w:szCs w:val="22"/>
        </w:rPr>
        <w:t>on</w:t>
      </w:r>
      <w:r w:rsidR="00AA318D" w:rsidRPr="00A33AE8">
        <w:rPr>
          <w:rFonts w:asciiTheme="majorHAnsi" w:hAnsiTheme="majorHAnsi" w:cstheme="majorHAnsi"/>
          <w:szCs w:val="22"/>
        </w:rPr>
        <w:t xml:space="preserve"> </w:t>
      </w:r>
      <w:r w:rsidRPr="00A33AE8">
        <w:rPr>
          <w:rFonts w:asciiTheme="majorHAnsi" w:hAnsiTheme="majorHAnsi" w:cstheme="majorHAnsi"/>
          <w:szCs w:val="22"/>
        </w:rPr>
        <w:t>Climate Change,</w:t>
      </w:r>
      <w:r w:rsidR="00AA318D" w:rsidRPr="00A33AE8">
        <w:rPr>
          <w:rFonts w:asciiTheme="majorHAnsi" w:hAnsiTheme="majorHAnsi" w:cstheme="majorHAnsi"/>
          <w:szCs w:val="22"/>
        </w:rPr>
        <w:t xml:space="preserve"> </w:t>
      </w:r>
      <w:r w:rsidRPr="00A33AE8">
        <w:rPr>
          <w:rFonts w:asciiTheme="majorHAnsi" w:hAnsiTheme="majorHAnsi" w:cstheme="majorHAnsi"/>
          <w:szCs w:val="22"/>
        </w:rPr>
        <w:t>EU</w:t>
      </w:r>
      <w:r w:rsidR="00AA318D" w:rsidRPr="00A33AE8">
        <w:rPr>
          <w:rFonts w:asciiTheme="majorHAnsi" w:hAnsiTheme="majorHAnsi" w:cstheme="majorHAnsi"/>
          <w:szCs w:val="22"/>
        </w:rPr>
        <w:t xml:space="preserve"> </w:t>
      </w:r>
      <w:r w:rsidRPr="00A33AE8">
        <w:rPr>
          <w:rFonts w:asciiTheme="majorHAnsi" w:hAnsiTheme="majorHAnsi" w:cstheme="majorHAnsi"/>
          <w:szCs w:val="22"/>
        </w:rPr>
        <w:t>directives and</w:t>
      </w:r>
      <w:r w:rsidR="00AA318D" w:rsidRPr="00A33AE8">
        <w:rPr>
          <w:rFonts w:asciiTheme="majorHAnsi" w:hAnsiTheme="majorHAnsi" w:cstheme="majorHAnsi"/>
          <w:szCs w:val="22"/>
        </w:rPr>
        <w:t xml:space="preserve"> </w:t>
      </w:r>
      <w:r w:rsidRPr="00A33AE8">
        <w:rPr>
          <w:rFonts w:asciiTheme="majorHAnsi" w:hAnsiTheme="majorHAnsi" w:cstheme="majorHAnsi"/>
          <w:szCs w:val="22"/>
        </w:rPr>
        <w:t>international</w:t>
      </w:r>
      <w:r w:rsidR="00AA318D" w:rsidRPr="00A33AE8">
        <w:rPr>
          <w:rFonts w:asciiTheme="majorHAnsi" w:hAnsiTheme="majorHAnsi" w:cstheme="majorHAnsi"/>
          <w:szCs w:val="22"/>
        </w:rPr>
        <w:t xml:space="preserve"> </w:t>
      </w:r>
      <w:r w:rsidRPr="00A33AE8">
        <w:rPr>
          <w:rFonts w:asciiTheme="majorHAnsi" w:hAnsiTheme="majorHAnsi" w:cstheme="majorHAnsi"/>
          <w:szCs w:val="22"/>
        </w:rPr>
        <w:t>experience.</w:t>
      </w:r>
    </w:p>
    <w:p w14:paraId="17E28382" w14:textId="77777777" w:rsidR="00653D73" w:rsidRPr="00A33AE8" w:rsidRDefault="00653D73" w:rsidP="00653D73">
      <w:pPr>
        <w:pStyle w:val="BodyText"/>
        <w:spacing w:before="120" w:line="276" w:lineRule="auto"/>
        <w:ind w:right="195"/>
        <w:rPr>
          <w:rFonts w:asciiTheme="majorHAnsi" w:hAnsiTheme="majorHAnsi" w:cstheme="majorHAnsi"/>
          <w:szCs w:val="22"/>
        </w:rPr>
      </w:pPr>
      <w:r w:rsidRPr="00A33AE8">
        <w:rPr>
          <w:rFonts w:asciiTheme="majorHAnsi" w:hAnsiTheme="majorHAnsi" w:cstheme="majorHAnsi"/>
          <w:szCs w:val="22"/>
        </w:rPr>
        <w:t xml:space="preserve">Finally, the promotion of the </w:t>
      </w:r>
      <w:r w:rsidRPr="00A33AE8">
        <w:rPr>
          <w:rFonts w:asciiTheme="majorHAnsi" w:hAnsiTheme="majorHAnsi" w:cstheme="majorHAnsi"/>
          <w:b/>
          <w:szCs w:val="22"/>
        </w:rPr>
        <w:t xml:space="preserve">circular economy and bioeconomy will be fostered also </w:t>
      </w:r>
      <w:r w:rsidRPr="00A33AE8">
        <w:rPr>
          <w:rFonts w:asciiTheme="majorHAnsi" w:hAnsiTheme="majorHAnsi" w:cstheme="majorHAnsi"/>
          <w:szCs w:val="22"/>
        </w:rPr>
        <w:t>contributing to the attainment of the climate change mitigation</w:t>
      </w:r>
      <w:r w:rsidR="00AA318D" w:rsidRPr="00A33AE8">
        <w:rPr>
          <w:rFonts w:asciiTheme="majorHAnsi" w:hAnsiTheme="majorHAnsi" w:cstheme="majorHAnsi"/>
          <w:szCs w:val="22"/>
        </w:rPr>
        <w:t xml:space="preserve"> </w:t>
      </w:r>
      <w:r w:rsidRPr="00A33AE8">
        <w:rPr>
          <w:rFonts w:asciiTheme="majorHAnsi" w:hAnsiTheme="majorHAnsi" w:cstheme="majorHAnsi"/>
          <w:szCs w:val="22"/>
        </w:rPr>
        <w:t>objective. The shift to a</w:t>
      </w:r>
      <w:r w:rsidR="00AA318D" w:rsidRPr="00A33AE8">
        <w:rPr>
          <w:rFonts w:asciiTheme="majorHAnsi" w:hAnsiTheme="majorHAnsi" w:cstheme="majorHAnsi"/>
          <w:szCs w:val="22"/>
        </w:rPr>
        <w:t xml:space="preserve"> </w:t>
      </w:r>
      <w:r w:rsidRPr="00A33AE8">
        <w:rPr>
          <w:rFonts w:asciiTheme="majorHAnsi" w:hAnsiTheme="majorHAnsi" w:cstheme="majorHAnsi"/>
          <w:szCs w:val="22"/>
        </w:rPr>
        <w:t>circular pattern can lead to a significant reduction in GHG emissions through the recycling and re-use</w:t>
      </w:r>
      <w:r w:rsidR="00AA318D" w:rsidRPr="00A33AE8">
        <w:rPr>
          <w:rFonts w:asciiTheme="majorHAnsi" w:hAnsiTheme="majorHAnsi" w:cstheme="majorHAnsi"/>
          <w:szCs w:val="22"/>
        </w:rPr>
        <w:t xml:space="preserve"> </w:t>
      </w:r>
      <w:r w:rsidRPr="00A33AE8">
        <w:rPr>
          <w:rFonts w:asciiTheme="majorHAnsi" w:hAnsiTheme="majorHAnsi" w:cstheme="majorHAnsi"/>
          <w:szCs w:val="22"/>
        </w:rPr>
        <w:t>of materials, the more efficient use of resources and more eco-friendly product design, as well as</w:t>
      </w:r>
      <w:r w:rsidR="00AA318D" w:rsidRPr="00A33AE8">
        <w:rPr>
          <w:rFonts w:asciiTheme="majorHAnsi" w:hAnsiTheme="majorHAnsi" w:cstheme="majorHAnsi"/>
          <w:szCs w:val="22"/>
        </w:rPr>
        <w:t xml:space="preserve"> </w:t>
      </w:r>
      <w:r w:rsidRPr="00A33AE8">
        <w:rPr>
          <w:rFonts w:asciiTheme="majorHAnsi" w:hAnsiTheme="majorHAnsi" w:cstheme="majorHAnsi"/>
          <w:szCs w:val="22"/>
        </w:rPr>
        <w:t>the introduction of new circular business models, especially in industry, transport and</w:t>
      </w:r>
      <w:r w:rsidR="00AA318D" w:rsidRPr="00A33AE8">
        <w:rPr>
          <w:rFonts w:asciiTheme="majorHAnsi" w:hAnsiTheme="majorHAnsi" w:cstheme="majorHAnsi"/>
          <w:szCs w:val="22"/>
        </w:rPr>
        <w:t xml:space="preserve"> </w:t>
      </w:r>
      <w:r w:rsidRPr="00A33AE8">
        <w:rPr>
          <w:rFonts w:asciiTheme="majorHAnsi" w:hAnsiTheme="majorHAnsi" w:cstheme="majorHAnsi"/>
          <w:szCs w:val="22"/>
        </w:rPr>
        <w:t>the</w:t>
      </w:r>
      <w:r w:rsidR="00AA318D" w:rsidRPr="00A33AE8">
        <w:rPr>
          <w:rFonts w:asciiTheme="majorHAnsi" w:hAnsiTheme="majorHAnsi" w:cstheme="majorHAnsi"/>
          <w:szCs w:val="22"/>
        </w:rPr>
        <w:t xml:space="preserve"> </w:t>
      </w:r>
      <w:r w:rsidRPr="00A33AE8">
        <w:rPr>
          <w:rFonts w:asciiTheme="majorHAnsi" w:hAnsiTheme="majorHAnsi" w:cstheme="majorHAnsi"/>
          <w:szCs w:val="22"/>
        </w:rPr>
        <w:t>built</w:t>
      </w:r>
      <w:r w:rsidR="00AA318D" w:rsidRPr="00A33AE8">
        <w:rPr>
          <w:rFonts w:asciiTheme="majorHAnsi" w:hAnsiTheme="majorHAnsi" w:cstheme="majorHAnsi"/>
          <w:szCs w:val="22"/>
        </w:rPr>
        <w:t xml:space="preserve"> </w:t>
      </w:r>
      <w:r w:rsidRPr="00A33AE8">
        <w:rPr>
          <w:rFonts w:asciiTheme="majorHAnsi" w:hAnsiTheme="majorHAnsi" w:cstheme="majorHAnsi"/>
          <w:szCs w:val="22"/>
        </w:rPr>
        <w:t>environment.</w:t>
      </w:r>
    </w:p>
    <w:p w14:paraId="67DBC94C" w14:textId="77777777" w:rsidR="00653D73" w:rsidRPr="00A33AE8" w:rsidRDefault="00653D73" w:rsidP="00653D73">
      <w:pPr>
        <w:pStyle w:val="Heading2"/>
      </w:pPr>
      <w:bookmarkStart w:id="102" w:name="_Toc118991767"/>
      <w:bookmarkStart w:id="103" w:name="_Toc153545037"/>
      <w:bookmarkStart w:id="104" w:name="_Hlk151026145"/>
      <w:r w:rsidRPr="00A33AE8">
        <w:t>Renewable energy sources</w:t>
      </w:r>
      <w:bookmarkEnd w:id="102"/>
      <w:bookmarkEnd w:id="103"/>
    </w:p>
    <w:p w14:paraId="07E6CFD9" w14:textId="1E599E26" w:rsidR="00363A61" w:rsidRDefault="00363A61" w:rsidP="00653D73">
      <w:pPr>
        <w:spacing w:before="120" w:after="120" w:line="276" w:lineRule="auto"/>
        <w:ind w:right="194"/>
        <w:jc w:val="both"/>
        <w:rPr>
          <w:rFonts w:asciiTheme="majorHAnsi" w:hAnsiTheme="majorHAnsi" w:cstheme="majorHAnsi"/>
        </w:rPr>
      </w:pPr>
      <w:bookmarkStart w:id="105" w:name="_bookmark30"/>
      <w:bookmarkStart w:id="106" w:name="_bookmark31"/>
      <w:bookmarkStart w:id="107" w:name="_bookmark32"/>
      <w:bookmarkEnd w:id="105"/>
      <w:bookmarkEnd w:id="106"/>
      <w:bookmarkEnd w:id="107"/>
      <w:r>
        <w:rPr>
          <w:rFonts w:ascii="Calibri Light" w:hAnsi="Calibri Light" w:cs="Calibri Light"/>
        </w:rPr>
        <w:t>According to Article 2 of Decision no. 2022/02</w:t>
      </w:r>
      <w:r w:rsidRPr="005B2C66">
        <w:rPr>
          <w:rFonts w:ascii="Calibri Light" w:hAnsi="Calibri Light" w:cs="Calibri Light"/>
        </w:rPr>
        <w:t>/MC-EnC</w:t>
      </w:r>
      <w:r>
        <w:rPr>
          <w:rFonts w:ascii="Calibri Light" w:hAnsi="Calibri Light" w:cs="Calibri Light"/>
          <w:lang w:val="sr-Cyrl-CS"/>
        </w:rPr>
        <w:t xml:space="preserve"> </w:t>
      </w:r>
      <w:r>
        <w:rPr>
          <w:rFonts w:ascii="Calibri Light" w:hAnsi="Calibri Light" w:cs="Calibri Light"/>
          <w:lang w:val="en-US"/>
        </w:rPr>
        <w:t>of the Energy Community Ministerial Council,</w:t>
      </w:r>
      <w:r w:rsidRPr="005B2C66">
        <w:rPr>
          <w:rFonts w:ascii="Calibri Light" w:hAnsi="Calibri Light" w:cs="Calibri Light"/>
        </w:rPr>
        <w:t xml:space="preserve"> point (5),</w:t>
      </w:r>
      <w:r>
        <w:rPr>
          <w:rFonts w:ascii="Calibri Light" w:hAnsi="Calibri Light" w:cs="Calibri Light"/>
        </w:rPr>
        <w:t xml:space="preserve"> a national contribution </w:t>
      </w:r>
      <w:r w:rsidRPr="005B2C66">
        <w:rPr>
          <w:rFonts w:ascii="Calibri Light" w:hAnsi="Calibri Light" w:cs="Calibri Light"/>
        </w:rPr>
        <w:t>target of 40.7% for RES in the G</w:t>
      </w:r>
      <w:r>
        <w:rPr>
          <w:rFonts w:ascii="Calibri Light" w:hAnsi="Calibri Light" w:cs="Calibri Light"/>
        </w:rPr>
        <w:t xml:space="preserve">ross </w:t>
      </w:r>
      <w:r w:rsidRPr="005B2C66">
        <w:rPr>
          <w:rFonts w:ascii="Calibri Light" w:hAnsi="Calibri Light" w:cs="Calibri Light"/>
        </w:rPr>
        <w:t>F</w:t>
      </w:r>
      <w:r>
        <w:rPr>
          <w:rFonts w:ascii="Calibri Light" w:hAnsi="Calibri Light" w:cs="Calibri Light"/>
        </w:rPr>
        <w:t xml:space="preserve">inal </w:t>
      </w:r>
      <w:r w:rsidRPr="005B2C66">
        <w:rPr>
          <w:rFonts w:ascii="Calibri Light" w:hAnsi="Calibri Light" w:cs="Calibri Light"/>
        </w:rPr>
        <w:t>E</w:t>
      </w:r>
      <w:r>
        <w:rPr>
          <w:rFonts w:ascii="Calibri Light" w:hAnsi="Calibri Light" w:cs="Calibri Light"/>
        </w:rPr>
        <w:t xml:space="preserve">nergy </w:t>
      </w:r>
      <w:r w:rsidRPr="005B2C66">
        <w:rPr>
          <w:rFonts w:ascii="Calibri Light" w:hAnsi="Calibri Light" w:cs="Calibri Light"/>
        </w:rPr>
        <w:t>C</w:t>
      </w:r>
      <w:r>
        <w:rPr>
          <w:rFonts w:ascii="Calibri Light" w:hAnsi="Calibri Light" w:cs="Calibri Light"/>
        </w:rPr>
        <w:t>onsumption</w:t>
      </w:r>
      <w:r w:rsidRPr="005B2C66">
        <w:rPr>
          <w:rFonts w:ascii="Calibri Light" w:hAnsi="Calibri Light" w:cs="Calibri Light"/>
        </w:rPr>
        <w:t xml:space="preserve"> </w:t>
      </w:r>
      <w:r>
        <w:rPr>
          <w:rFonts w:ascii="Calibri Light" w:hAnsi="Calibri Light" w:cs="Calibri Light"/>
        </w:rPr>
        <w:t xml:space="preserve">was decided </w:t>
      </w:r>
      <w:r w:rsidRPr="005B2C66">
        <w:rPr>
          <w:rFonts w:ascii="Calibri Light" w:hAnsi="Calibri Light" w:cs="Calibri Light"/>
        </w:rPr>
        <w:t>for the Republic of Serbia</w:t>
      </w:r>
      <w:r>
        <w:rPr>
          <w:rFonts w:ascii="Calibri Light" w:hAnsi="Calibri Light" w:cs="Calibri Light"/>
        </w:rPr>
        <w:t>.</w:t>
      </w:r>
    </w:p>
    <w:p w14:paraId="638CC275" w14:textId="23630AD5" w:rsidR="00310024" w:rsidRDefault="00363A61" w:rsidP="00653D73">
      <w:pPr>
        <w:spacing w:before="120" w:after="120" w:line="276" w:lineRule="auto"/>
        <w:ind w:right="194"/>
        <w:jc w:val="both"/>
        <w:rPr>
          <w:rFonts w:asciiTheme="majorHAnsi" w:hAnsiTheme="majorHAnsi" w:cstheme="majorHAnsi"/>
        </w:rPr>
      </w:pPr>
      <w:r>
        <w:rPr>
          <w:rFonts w:asciiTheme="majorHAnsi" w:hAnsiTheme="majorHAnsi" w:cstheme="majorHAnsi"/>
        </w:rPr>
        <w:t>The current I</w:t>
      </w:r>
      <w:r w:rsidRPr="00A33AE8">
        <w:rPr>
          <w:rFonts w:asciiTheme="majorHAnsi" w:hAnsiTheme="majorHAnsi" w:cstheme="majorHAnsi"/>
        </w:rPr>
        <w:t xml:space="preserve">NECP </w:t>
      </w:r>
      <w:r>
        <w:rPr>
          <w:rFonts w:asciiTheme="majorHAnsi" w:hAnsiTheme="majorHAnsi" w:cstheme="majorHAnsi"/>
        </w:rPr>
        <w:t>specifies the</w:t>
      </w:r>
      <w:r w:rsidRPr="00A33AE8">
        <w:rPr>
          <w:rFonts w:asciiTheme="majorHAnsi" w:hAnsiTheme="majorHAnsi" w:cstheme="majorHAnsi"/>
        </w:rPr>
        <w:t xml:space="preserve"> </w:t>
      </w:r>
      <w:r w:rsidR="00653D73" w:rsidRPr="0087794A">
        <w:rPr>
          <w:rFonts w:asciiTheme="majorHAnsi" w:hAnsiTheme="majorHAnsi" w:cstheme="majorHAnsi"/>
          <w:b/>
          <w:bCs/>
        </w:rPr>
        <w:t xml:space="preserve">national </w:t>
      </w:r>
      <w:r w:rsidRPr="0087794A">
        <w:rPr>
          <w:rFonts w:asciiTheme="majorHAnsi" w:hAnsiTheme="majorHAnsi" w:cstheme="majorHAnsi"/>
          <w:b/>
          <w:bCs/>
        </w:rPr>
        <w:t>contribution target</w:t>
      </w:r>
      <w:r w:rsidRPr="00A33AE8">
        <w:rPr>
          <w:rFonts w:asciiTheme="majorHAnsi" w:hAnsiTheme="majorHAnsi" w:cstheme="majorHAnsi"/>
        </w:rPr>
        <w:t xml:space="preserve"> </w:t>
      </w:r>
      <w:r w:rsidR="00653D73" w:rsidRPr="00A33AE8">
        <w:rPr>
          <w:rFonts w:asciiTheme="majorHAnsi" w:hAnsiTheme="majorHAnsi" w:cstheme="majorHAnsi"/>
        </w:rPr>
        <w:t xml:space="preserve">for the </w:t>
      </w:r>
      <w:r w:rsidR="00653D73" w:rsidRPr="0087794A">
        <w:rPr>
          <w:rFonts w:asciiTheme="majorHAnsi" w:hAnsiTheme="majorHAnsi" w:cstheme="majorHAnsi"/>
          <w:b/>
          <w:bCs/>
        </w:rPr>
        <w:t>RES share in the gross final energy consumption</w:t>
      </w:r>
      <w:r w:rsidR="00653D73" w:rsidRPr="00A33AE8">
        <w:rPr>
          <w:rFonts w:asciiTheme="majorHAnsi" w:hAnsiTheme="majorHAnsi" w:cstheme="majorHAnsi"/>
        </w:rPr>
        <w:t xml:space="preserve"> </w:t>
      </w:r>
      <w:r>
        <w:rPr>
          <w:rFonts w:asciiTheme="majorHAnsi" w:hAnsiTheme="majorHAnsi" w:cstheme="majorHAnsi"/>
        </w:rPr>
        <w:t>to</w:t>
      </w:r>
      <w:r w:rsidRPr="00A33AE8">
        <w:rPr>
          <w:rFonts w:asciiTheme="majorHAnsi" w:hAnsiTheme="majorHAnsi" w:cstheme="majorHAnsi"/>
        </w:rPr>
        <w:t xml:space="preserve"> </w:t>
      </w:r>
      <w:r w:rsidR="00653D73" w:rsidRPr="00A33AE8">
        <w:rPr>
          <w:rFonts w:asciiTheme="majorHAnsi" w:hAnsiTheme="majorHAnsi" w:cstheme="majorHAnsi"/>
        </w:rPr>
        <w:t xml:space="preserve">at least </w:t>
      </w:r>
      <w:r w:rsidR="001A061B" w:rsidRPr="00A33AE8">
        <w:rPr>
          <w:rFonts w:asciiTheme="majorHAnsi" w:hAnsiTheme="majorHAnsi" w:cstheme="majorHAnsi"/>
        </w:rPr>
        <w:t>3</w:t>
      </w:r>
      <w:r w:rsidR="001A061B" w:rsidRPr="000007D2">
        <w:rPr>
          <w:rFonts w:asciiTheme="majorHAnsi" w:hAnsiTheme="majorHAnsi" w:cstheme="majorHAnsi"/>
        </w:rPr>
        <w:t>3</w:t>
      </w:r>
      <w:r w:rsidR="00DC6943" w:rsidRPr="00A33AE8">
        <w:rPr>
          <w:rFonts w:asciiTheme="majorHAnsi" w:hAnsiTheme="majorHAnsi" w:cstheme="majorHAnsi"/>
        </w:rPr>
        <w:t>.</w:t>
      </w:r>
      <w:r w:rsidR="001A061B" w:rsidRPr="000007D2">
        <w:rPr>
          <w:rFonts w:asciiTheme="majorHAnsi" w:hAnsiTheme="majorHAnsi" w:cstheme="majorHAnsi"/>
        </w:rPr>
        <w:t>6</w:t>
      </w:r>
      <w:r w:rsidR="00653D73" w:rsidRPr="00A33AE8">
        <w:rPr>
          <w:rFonts w:asciiTheme="majorHAnsi" w:hAnsiTheme="majorHAnsi" w:cstheme="majorHAnsi"/>
        </w:rPr>
        <w:t xml:space="preserve">% in 2030. Additional objectives have been set </w:t>
      </w:r>
      <w:r w:rsidR="003F0326">
        <w:rPr>
          <w:rFonts w:asciiTheme="majorHAnsi" w:hAnsiTheme="majorHAnsi" w:cstheme="majorHAnsi"/>
        </w:rPr>
        <w:t>per sector</w:t>
      </w:r>
      <w:r w:rsidR="00D0238C">
        <w:rPr>
          <w:rFonts w:asciiTheme="majorHAnsi" w:hAnsiTheme="majorHAnsi" w:cstheme="majorHAnsi"/>
        </w:rPr>
        <w:t xml:space="preserve"> and </w:t>
      </w:r>
      <w:r w:rsidR="00653D73" w:rsidRPr="00A33AE8">
        <w:rPr>
          <w:rFonts w:asciiTheme="majorHAnsi" w:hAnsiTheme="majorHAnsi" w:cstheme="majorHAnsi"/>
        </w:rPr>
        <w:t xml:space="preserve">the share of RES in </w:t>
      </w:r>
      <w:r w:rsidR="003F0326">
        <w:rPr>
          <w:rFonts w:asciiTheme="majorHAnsi" w:hAnsiTheme="majorHAnsi" w:cstheme="majorHAnsi"/>
        </w:rPr>
        <w:t>electricity generation</w:t>
      </w:r>
      <w:r w:rsidR="00653D73" w:rsidRPr="00A33AE8">
        <w:rPr>
          <w:rFonts w:asciiTheme="majorHAnsi" w:hAnsiTheme="majorHAnsi" w:cstheme="majorHAnsi"/>
        </w:rPr>
        <w:t xml:space="preserve"> </w:t>
      </w:r>
      <w:r w:rsidR="003F0326">
        <w:rPr>
          <w:rFonts w:asciiTheme="majorHAnsi" w:hAnsiTheme="majorHAnsi" w:cstheme="majorHAnsi"/>
        </w:rPr>
        <w:t>shall</w:t>
      </w:r>
      <w:r w:rsidR="003F0326" w:rsidRPr="00A33AE8">
        <w:rPr>
          <w:rFonts w:asciiTheme="majorHAnsi" w:hAnsiTheme="majorHAnsi" w:cstheme="majorHAnsi"/>
        </w:rPr>
        <w:t xml:space="preserve"> </w:t>
      </w:r>
      <w:r w:rsidR="00653D73" w:rsidRPr="00A33AE8">
        <w:rPr>
          <w:rFonts w:asciiTheme="majorHAnsi" w:hAnsiTheme="majorHAnsi" w:cstheme="majorHAnsi"/>
        </w:rPr>
        <w:t xml:space="preserve">reach at least </w:t>
      </w:r>
      <w:r w:rsidR="001A061B" w:rsidRPr="00A33AE8">
        <w:rPr>
          <w:rFonts w:asciiTheme="majorHAnsi" w:hAnsiTheme="majorHAnsi" w:cstheme="majorHAnsi"/>
        </w:rPr>
        <w:t>4</w:t>
      </w:r>
      <w:r w:rsidR="001A061B" w:rsidRPr="000007D2">
        <w:rPr>
          <w:rFonts w:asciiTheme="majorHAnsi" w:hAnsiTheme="majorHAnsi" w:cstheme="majorHAnsi"/>
        </w:rPr>
        <w:t>5.2</w:t>
      </w:r>
      <w:r w:rsidR="00653D73" w:rsidRPr="00A33AE8">
        <w:rPr>
          <w:rFonts w:asciiTheme="majorHAnsi" w:hAnsiTheme="majorHAnsi" w:cstheme="majorHAnsi"/>
        </w:rPr>
        <w:t xml:space="preserve">%, the share of RES in covering heating and cooling demand </w:t>
      </w:r>
      <w:r w:rsidR="008A70B7" w:rsidRPr="00A33AE8">
        <w:rPr>
          <w:rFonts w:asciiTheme="majorHAnsi" w:hAnsiTheme="majorHAnsi" w:cstheme="majorHAnsi"/>
        </w:rPr>
        <w:t>4</w:t>
      </w:r>
      <w:r w:rsidR="008A70B7" w:rsidRPr="000007D2">
        <w:rPr>
          <w:rFonts w:asciiTheme="majorHAnsi" w:hAnsiTheme="majorHAnsi" w:cstheme="majorHAnsi"/>
        </w:rPr>
        <w:t>1</w:t>
      </w:r>
      <w:r w:rsidR="00DC6943" w:rsidRPr="00A33AE8">
        <w:rPr>
          <w:rFonts w:asciiTheme="majorHAnsi" w:hAnsiTheme="majorHAnsi" w:cstheme="majorHAnsi"/>
        </w:rPr>
        <w:t>.</w:t>
      </w:r>
      <w:r w:rsidR="008A70B7" w:rsidRPr="000007D2">
        <w:rPr>
          <w:rFonts w:asciiTheme="majorHAnsi" w:hAnsiTheme="majorHAnsi" w:cstheme="majorHAnsi"/>
        </w:rPr>
        <w:t>4</w:t>
      </w:r>
      <w:r w:rsidR="00653D73" w:rsidRPr="00A33AE8">
        <w:rPr>
          <w:rFonts w:asciiTheme="majorHAnsi" w:hAnsiTheme="majorHAnsi" w:cstheme="majorHAnsi"/>
        </w:rPr>
        <w:t>%</w:t>
      </w:r>
      <w:r w:rsidR="003F0326">
        <w:rPr>
          <w:rFonts w:asciiTheme="majorHAnsi" w:hAnsiTheme="majorHAnsi" w:cstheme="majorHAnsi"/>
        </w:rPr>
        <w:t>,</w:t>
      </w:r>
      <w:r w:rsidR="00653D73" w:rsidRPr="00A33AE8">
        <w:rPr>
          <w:rFonts w:asciiTheme="majorHAnsi" w:hAnsiTheme="majorHAnsi" w:cstheme="majorHAnsi"/>
        </w:rPr>
        <w:t xml:space="preserve"> and the </w:t>
      </w:r>
      <w:bookmarkStart w:id="108" w:name="_Hlk137198365"/>
      <w:r w:rsidR="00653D73" w:rsidRPr="00A33AE8">
        <w:rPr>
          <w:rFonts w:asciiTheme="majorHAnsi" w:hAnsiTheme="majorHAnsi" w:cstheme="majorHAnsi"/>
        </w:rPr>
        <w:t xml:space="preserve">share of RES in the transport sector to </w:t>
      </w:r>
      <w:r w:rsidR="00DC6943" w:rsidRPr="00A33AE8">
        <w:rPr>
          <w:rFonts w:asciiTheme="majorHAnsi" w:hAnsiTheme="majorHAnsi" w:cstheme="majorHAnsi"/>
        </w:rPr>
        <w:t xml:space="preserve">reach </w:t>
      </w:r>
      <w:r w:rsidR="006A128A" w:rsidRPr="000007D2">
        <w:rPr>
          <w:rFonts w:asciiTheme="majorHAnsi" w:hAnsiTheme="majorHAnsi" w:cstheme="majorHAnsi"/>
        </w:rPr>
        <w:t>7</w:t>
      </w:r>
      <w:r w:rsidR="00653D73" w:rsidRPr="00A33AE8">
        <w:rPr>
          <w:rFonts w:asciiTheme="majorHAnsi" w:hAnsiTheme="majorHAnsi" w:cstheme="majorHAnsi"/>
        </w:rPr>
        <w:t xml:space="preserve">% </w:t>
      </w:r>
      <w:bookmarkEnd w:id="108"/>
      <w:r w:rsidR="00110F05">
        <w:rPr>
          <w:rFonts w:asciiTheme="majorHAnsi" w:hAnsiTheme="majorHAnsi" w:cstheme="majorHAnsi"/>
        </w:rPr>
        <w:t xml:space="preserve">(with multipliers) &amp; 3.2% (without multipliers) </w:t>
      </w:r>
      <w:r w:rsidR="00653D73" w:rsidRPr="00A33AE8">
        <w:rPr>
          <w:rFonts w:asciiTheme="majorHAnsi" w:hAnsiTheme="majorHAnsi" w:cstheme="majorHAnsi"/>
        </w:rPr>
        <w:t>in alignment with the relevant EU calculation methodology.</w:t>
      </w:r>
    </w:p>
    <w:p w14:paraId="75C655DA" w14:textId="2A0CE87C" w:rsidR="00653D73" w:rsidRDefault="006C5F46" w:rsidP="00653D73">
      <w:pPr>
        <w:spacing w:before="120" w:after="120" w:line="276" w:lineRule="auto"/>
        <w:ind w:right="194"/>
        <w:jc w:val="both"/>
        <w:rPr>
          <w:rFonts w:asciiTheme="majorHAnsi" w:hAnsiTheme="majorHAnsi" w:cstheme="majorHAnsi"/>
        </w:rPr>
      </w:pPr>
      <w:r>
        <w:rPr>
          <w:rFonts w:asciiTheme="majorHAnsi" w:hAnsiTheme="majorHAnsi" w:cstheme="majorHAnsi"/>
        </w:rPr>
        <w:t>The annual trajectory of the targets until 2030 can be seen in the following table</w:t>
      </w:r>
      <w:r w:rsidR="00EA730B">
        <w:rPr>
          <w:rFonts w:asciiTheme="majorHAnsi" w:hAnsiTheme="majorHAnsi" w:cstheme="majorHAnsi"/>
        </w:rPr>
        <w:t>.</w:t>
      </w:r>
    </w:p>
    <w:p w14:paraId="5551A91C" w14:textId="021C4104" w:rsidR="00EA730B" w:rsidRPr="0087794A" w:rsidRDefault="00EA730B" w:rsidP="00EA730B">
      <w:pPr>
        <w:pStyle w:val="Caption"/>
        <w:keepNext/>
        <w:jc w:val="center"/>
        <w:rPr>
          <w:rFonts w:asciiTheme="minorHAnsi" w:hAnsiTheme="minorHAnsi" w:cstheme="minorHAnsi"/>
        </w:rPr>
      </w:pPr>
      <w:bookmarkStart w:id="109" w:name="_Toc153545068"/>
      <w:r w:rsidRPr="0087794A">
        <w:rPr>
          <w:rFonts w:asciiTheme="minorHAnsi" w:hAnsiTheme="minorHAnsi" w:cstheme="minorHAnsi"/>
        </w:rPr>
        <w:t xml:space="preserve">Table </w:t>
      </w:r>
      <w:r w:rsidR="00A84B9C">
        <w:rPr>
          <w:rFonts w:asciiTheme="minorHAnsi" w:hAnsiTheme="minorHAnsi" w:cstheme="minorHAnsi"/>
        </w:rPr>
        <w:fldChar w:fldCharType="begin"/>
      </w:r>
      <w:r w:rsidR="00A84B9C">
        <w:rPr>
          <w:rFonts w:asciiTheme="minorHAnsi" w:hAnsiTheme="minorHAnsi" w:cstheme="minorHAnsi"/>
        </w:rPr>
        <w:instrText xml:space="preserve"> STYLEREF 1 \s </w:instrText>
      </w:r>
      <w:r w:rsidR="00A84B9C">
        <w:rPr>
          <w:rFonts w:asciiTheme="minorHAnsi" w:hAnsiTheme="minorHAnsi" w:cstheme="minorHAnsi"/>
        </w:rPr>
        <w:fldChar w:fldCharType="separate"/>
      </w:r>
      <w:r w:rsidR="00A84B9C">
        <w:rPr>
          <w:rFonts w:asciiTheme="minorHAnsi" w:hAnsiTheme="minorHAnsi" w:cstheme="minorHAnsi"/>
          <w:noProof/>
        </w:rPr>
        <w:t>2</w:t>
      </w:r>
      <w:r w:rsidR="00A84B9C">
        <w:rPr>
          <w:rFonts w:asciiTheme="minorHAnsi" w:hAnsiTheme="minorHAnsi" w:cstheme="minorHAnsi"/>
        </w:rPr>
        <w:fldChar w:fldCharType="end"/>
      </w:r>
      <w:r w:rsidR="00A84B9C">
        <w:rPr>
          <w:rFonts w:asciiTheme="minorHAnsi" w:hAnsiTheme="minorHAnsi" w:cstheme="minorHAnsi"/>
        </w:rPr>
        <w:t>.</w:t>
      </w:r>
      <w:r w:rsidR="00A84B9C">
        <w:rPr>
          <w:rFonts w:asciiTheme="minorHAnsi" w:hAnsiTheme="minorHAnsi" w:cstheme="minorHAnsi"/>
        </w:rPr>
        <w:fldChar w:fldCharType="begin"/>
      </w:r>
      <w:r w:rsidR="00A84B9C">
        <w:rPr>
          <w:rFonts w:asciiTheme="minorHAnsi" w:hAnsiTheme="minorHAnsi" w:cstheme="minorHAnsi"/>
        </w:rPr>
        <w:instrText xml:space="preserve"> SEQ Table \* ARABIC \s 1 </w:instrText>
      </w:r>
      <w:r w:rsidR="00A84B9C">
        <w:rPr>
          <w:rFonts w:asciiTheme="minorHAnsi" w:hAnsiTheme="minorHAnsi" w:cstheme="minorHAnsi"/>
        </w:rPr>
        <w:fldChar w:fldCharType="separate"/>
      </w:r>
      <w:r w:rsidR="00A84B9C">
        <w:rPr>
          <w:rFonts w:asciiTheme="minorHAnsi" w:hAnsiTheme="minorHAnsi" w:cstheme="minorHAnsi"/>
          <w:noProof/>
        </w:rPr>
        <w:t>2</w:t>
      </w:r>
      <w:r w:rsidR="00A84B9C">
        <w:rPr>
          <w:rFonts w:asciiTheme="minorHAnsi" w:hAnsiTheme="minorHAnsi" w:cstheme="minorHAnsi"/>
        </w:rPr>
        <w:fldChar w:fldCharType="end"/>
      </w:r>
      <w:r w:rsidRPr="0087794A">
        <w:rPr>
          <w:rFonts w:asciiTheme="minorHAnsi" w:hAnsiTheme="minorHAnsi" w:cstheme="minorHAnsi"/>
        </w:rPr>
        <w:t xml:space="preserve">: </w:t>
      </w:r>
      <w:r>
        <w:rPr>
          <w:rFonts w:asciiTheme="minorHAnsi" w:hAnsiTheme="minorHAnsi" w:cstheme="minorHAnsi"/>
        </w:rPr>
        <w:t>Annual trajectory of RES share</w:t>
      </w:r>
      <w:bookmarkEnd w:id="109"/>
    </w:p>
    <w:tbl>
      <w:tblPr>
        <w:tblStyle w:val="GridTable4-Accent11"/>
        <w:tblW w:w="9741" w:type="dxa"/>
        <w:jc w:val="center"/>
        <w:tblLayout w:type="fixed"/>
        <w:tblLook w:val="04A0" w:firstRow="1" w:lastRow="0" w:firstColumn="1" w:lastColumn="0" w:noHBand="0" w:noVBand="1"/>
      </w:tblPr>
      <w:tblGrid>
        <w:gridCol w:w="3763"/>
        <w:gridCol w:w="996"/>
        <w:gridCol w:w="996"/>
        <w:gridCol w:w="997"/>
        <w:gridCol w:w="996"/>
        <w:gridCol w:w="996"/>
        <w:gridCol w:w="997"/>
      </w:tblGrid>
      <w:tr w:rsidR="005D6205" w:rsidRPr="004D1B81" w14:paraId="51D5B425" w14:textId="77777777" w:rsidTr="008779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50DEC8AF" w14:textId="77777777" w:rsidR="004D1B81" w:rsidRPr="0087794A" w:rsidRDefault="004D1B81" w:rsidP="004D1B81">
            <w:pPr>
              <w:spacing w:line="240" w:lineRule="auto"/>
              <w:jc w:val="right"/>
              <w:rPr>
                <w:rFonts w:ascii="Calibri" w:eastAsia="Times New Roman" w:hAnsi="Calibri" w:cs="Calibri"/>
                <w:color w:val="000000"/>
                <w:lang w:val="en-US" w:eastAsia="en-GB"/>
              </w:rPr>
            </w:pPr>
          </w:p>
        </w:tc>
        <w:tc>
          <w:tcPr>
            <w:tcW w:w="0" w:type="dxa"/>
            <w:noWrap/>
            <w:vAlign w:val="center"/>
            <w:hideMark/>
          </w:tcPr>
          <w:p w14:paraId="013BF7C4" w14:textId="103809DB" w:rsidR="004D1B81" w:rsidRPr="004D1B81" w:rsidRDefault="004D1B81" w:rsidP="0087794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2025</w:t>
            </w:r>
          </w:p>
        </w:tc>
        <w:tc>
          <w:tcPr>
            <w:tcW w:w="0" w:type="dxa"/>
            <w:noWrap/>
            <w:vAlign w:val="center"/>
            <w:hideMark/>
          </w:tcPr>
          <w:p w14:paraId="749CB89F" w14:textId="77777777" w:rsidR="004D1B81" w:rsidRPr="004D1B81" w:rsidRDefault="004D1B81" w:rsidP="0087794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2026</w:t>
            </w:r>
          </w:p>
        </w:tc>
        <w:tc>
          <w:tcPr>
            <w:tcW w:w="0" w:type="dxa"/>
            <w:noWrap/>
            <w:vAlign w:val="center"/>
            <w:hideMark/>
          </w:tcPr>
          <w:p w14:paraId="3B63A23A" w14:textId="77777777" w:rsidR="004D1B81" w:rsidRPr="004D1B81" w:rsidRDefault="004D1B81" w:rsidP="0087794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2027</w:t>
            </w:r>
          </w:p>
        </w:tc>
        <w:tc>
          <w:tcPr>
            <w:tcW w:w="0" w:type="dxa"/>
            <w:noWrap/>
            <w:vAlign w:val="center"/>
            <w:hideMark/>
          </w:tcPr>
          <w:p w14:paraId="785350D3" w14:textId="77777777" w:rsidR="004D1B81" w:rsidRPr="004D1B81" w:rsidRDefault="004D1B81" w:rsidP="0087794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2028</w:t>
            </w:r>
          </w:p>
        </w:tc>
        <w:tc>
          <w:tcPr>
            <w:tcW w:w="0" w:type="dxa"/>
            <w:noWrap/>
            <w:vAlign w:val="center"/>
            <w:hideMark/>
          </w:tcPr>
          <w:p w14:paraId="2F50B2FA" w14:textId="77777777" w:rsidR="004D1B81" w:rsidRPr="004D1B81" w:rsidRDefault="004D1B81" w:rsidP="0087794A">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2029</w:t>
            </w:r>
          </w:p>
        </w:tc>
        <w:tc>
          <w:tcPr>
            <w:tcW w:w="0" w:type="dxa"/>
            <w:noWrap/>
            <w:vAlign w:val="center"/>
            <w:hideMark/>
          </w:tcPr>
          <w:p w14:paraId="45EEF244" w14:textId="77777777" w:rsidR="004D1B81" w:rsidRPr="004D1B81" w:rsidRDefault="004D1B81" w:rsidP="005D620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2030</w:t>
            </w:r>
          </w:p>
        </w:tc>
      </w:tr>
      <w:tr w:rsidR="005D6205" w:rsidRPr="004D1B81" w14:paraId="654EE553" w14:textId="77777777" w:rsidTr="005D620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63" w:type="dxa"/>
            <w:vAlign w:val="center"/>
          </w:tcPr>
          <w:p w14:paraId="78AD60E8" w14:textId="6BED8518" w:rsidR="004D1B81" w:rsidRPr="0087794A" w:rsidRDefault="004D1B81" w:rsidP="005D6205">
            <w:pPr>
              <w:spacing w:line="240" w:lineRule="auto"/>
              <w:jc w:val="center"/>
              <w:rPr>
                <w:rFonts w:ascii="Calibri" w:eastAsia="Times New Roman" w:hAnsi="Calibri" w:cs="Calibri"/>
                <w:color w:val="000000"/>
                <w:lang w:val="en-US" w:eastAsia="en-GB"/>
              </w:rPr>
            </w:pPr>
            <w:r w:rsidRPr="0087794A">
              <w:rPr>
                <w:rFonts w:ascii="Calibri" w:eastAsia="Times New Roman" w:hAnsi="Calibri" w:cs="Calibri"/>
                <w:color w:val="000000"/>
                <w:lang w:val="en-US" w:eastAsia="en-GB"/>
              </w:rPr>
              <w:t>Share of RES in GFEC</w:t>
            </w:r>
          </w:p>
        </w:tc>
        <w:tc>
          <w:tcPr>
            <w:tcW w:w="996" w:type="dxa"/>
            <w:noWrap/>
            <w:vAlign w:val="center"/>
            <w:hideMark/>
          </w:tcPr>
          <w:p w14:paraId="6BDDAC61" w14:textId="0DC5CF46" w:rsidR="004D1B81" w:rsidRPr="004D1B81" w:rsidRDefault="004D1B81"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29.8%</w:t>
            </w:r>
          </w:p>
        </w:tc>
        <w:tc>
          <w:tcPr>
            <w:tcW w:w="996" w:type="dxa"/>
            <w:noWrap/>
            <w:vAlign w:val="center"/>
            <w:hideMark/>
          </w:tcPr>
          <w:p w14:paraId="322AF8A1" w14:textId="77777777" w:rsidR="004D1B81" w:rsidRPr="004D1B81" w:rsidRDefault="004D1B81"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30.6%</w:t>
            </w:r>
          </w:p>
        </w:tc>
        <w:tc>
          <w:tcPr>
            <w:tcW w:w="997" w:type="dxa"/>
            <w:noWrap/>
            <w:vAlign w:val="center"/>
            <w:hideMark/>
          </w:tcPr>
          <w:p w14:paraId="359107D7" w14:textId="77777777" w:rsidR="004D1B81" w:rsidRPr="004D1B81" w:rsidRDefault="004D1B81"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31.2%</w:t>
            </w:r>
          </w:p>
        </w:tc>
        <w:tc>
          <w:tcPr>
            <w:tcW w:w="996" w:type="dxa"/>
            <w:noWrap/>
            <w:vAlign w:val="center"/>
            <w:hideMark/>
          </w:tcPr>
          <w:p w14:paraId="17E6844C" w14:textId="77777777" w:rsidR="004D1B81" w:rsidRPr="004D1B81" w:rsidRDefault="004D1B81"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31.9%</w:t>
            </w:r>
          </w:p>
        </w:tc>
        <w:tc>
          <w:tcPr>
            <w:tcW w:w="996" w:type="dxa"/>
            <w:noWrap/>
            <w:vAlign w:val="center"/>
            <w:hideMark/>
          </w:tcPr>
          <w:p w14:paraId="016E0C23" w14:textId="77777777" w:rsidR="004D1B81" w:rsidRPr="004D1B81" w:rsidRDefault="004D1B81"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32.6%</w:t>
            </w:r>
          </w:p>
        </w:tc>
        <w:tc>
          <w:tcPr>
            <w:tcW w:w="997" w:type="dxa"/>
            <w:noWrap/>
            <w:vAlign w:val="center"/>
            <w:hideMark/>
          </w:tcPr>
          <w:p w14:paraId="75D45ADA" w14:textId="77777777" w:rsidR="004D1B81" w:rsidRPr="004D1B81" w:rsidRDefault="004D1B81"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4D1B81">
              <w:rPr>
                <w:rFonts w:ascii="Calibri" w:eastAsia="Times New Roman" w:hAnsi="Calibri" w:cs="Calibri"/>
                <w:color w:val="000000"/>
                <w:lang w:eastAsia="en-GB"/>
              </w:rPr>
              <w:t>33.6%</w:t>
            </w:r>
          </w:p>
        </w:tc>
      </w:tr>
      <w:tr w:rsidR="005D6205" w:rsidRPr="004D1B81" w14:paraId="63C3C333" w14:textId="77777777" w:rsidTr="0087794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8978148" w14:textId="4F4CBE9F" w:rsidR="005D6205" w:rsidRPr="005D6205" w:rsidRDefault="005D6205" w:rsidP="005D6205">
            <w:pPr>
              <w:spacing w:line="240" w:lineRule="auto"/>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RES in Electricity</w:t>
            </w:r>
          </w:p>
        </w:tc>
        <w:tc>
          <w:tcPr>
            <w:tcW w:w="996" w:type="dxa"/>
            <w:noWrap/>
            <w:vAlign w:val="center"/>
          </w:tcPr>
          <w:p w14:paraId="67479CDE" w14:textId="022E343F"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34.7%</w:t>
            </w:r>
          </w:p>
        </w:tc>
        <w:tc>
          <w:tcPr>
            <w:tcW w:w="996" w:type="dxa"/>
            <w:noWrap/>
            <w:vAlign w:val="center"/>
          </w:tcPr>
          <w:p w14:paraId="4159D846" w14:textId="3491EB0F"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36.7%</w:t>
            </w:r>
          </w:p>
        </w:tc>
        <w:tc>
          <w:tcPr>
            <w:tcW w:w="997" w:type="dxa"/>
            <w:noWrap/>
            <w:vAlign w:val="center"/>
          </w:tcPr>
          <w:p w14:paraId="2ECAD74A" w14:textId="5CF3615C"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38.0%</w:t>
            </w:r>
          </w:p>
        </w:tc>
        <w:tc>
          <w:tcPr>
            <w:tcW w:w="996" w:type="dxa"/>
            <w:noWrap/>
            <w:vAlign w:val="center"/>
          </w:tcPr>
          <w:p w14:paraId="36B1EDE7" w14:textId="7FEAE820"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39.8%</w:t>
            </w:r>
          </w:p>
        </w:tc>
        <w:tc>
          <w:tcPr>
            <w:tcW w:w="996" w:type="dxa"/>
            <w:noWrap/>
            <w:vAlign w:val="center"/>
          </w:tcPr>
          <w:p w14:paraId="63007D59" w14:textId="71D80E6E"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41.5%</w:t>
            </w:r>
          </w:p>
        </w:tc>
        <w:tc>
          <w:tcPr>
            <w:tcW w:w="997" w:type="dxa"/>
            <w:noWrap/>
            <w:vAlign w:val="center"/>
          </w:tcPr>
          <w:p w14:paraId="24D5B5A5" w14:textId="08AE8714"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45.2%</w:t>
            </w:r>
          </w:p>
        </w:tc>
      </w:tr>
      <w:tr w:rsidR="005D6205" w:rsidRPr="004D1B81" w14:paraId="36F54DAA" w14:textId="77777777" w:rsidTr="008779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1CB06F2" w14:textId="4E39B5A0" w:rsidR="005D6205" w:rsidRPr="005D6205" w:rsidRDefault="005D6205" w:rsidP="005D6205">
            <w:pPr>
              <w:spacing w:line="240" w:lineRule="auto"/>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RES in Heating and Cooling</w:t>
            </w:r>
          </w:p>
        </w:tc>
        <w:tc>
          <w:tcPr>
            <w:tcW w:w="996" w:type="dxa"/>
            <w:noWrap/>
            <w:vAlign w:val="center"/>
          </w:tcPr>
          <w:p w14:paraId="34D62F48" w14:textId="419718B2" w:rsidR="005D6205" w:rsidRPr="004D1B81"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41.1%</w:t>
            </w:r>
          </w:p>
        </w:tc>
        <w:tc>
          <w:tcPr>
            <w:tcW w:w="996" w:type="dxa"/>
            <w:noWrap/>
            <w:vAlign w:val="center"/>
          </w:tcPr>
          <w:p w14:paraId="17E0ADEF" w14:textId="2A80BA25" w:rsidR="005D6205" w:rsidRPr="004D1B81"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41.5%</w:t>
            </w:r>
          </w:p>
        </w:tc>
        <w:tc>
          <w:tcPr>
            <w:tcW w:w="997" w:type="dxa"/>
            <w:noWrap/>
            <w:vAlign w:val="center"/>
          </w:tcPr>
          <w:p w14:paraId="217D55F6" w14:textId="2771F9E8" w:rsidR="005D6205" w:rsidRPr="004D1B81"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41.2%</w:t>
            </w:r>
          </w:p>
        </w:tc>
        <w:tc>
          <w:tcPr>
            <w:tcW w:w="996" w:type="dxa"/>
            <w:noWrap/>
            <w:vAlign w:val="center"/>
          </w:tcPr>
          <w:p w14:paraId="60577151" w14:textId="5A8CF24D" w:rsidR="005D6205" w:rsidRPr="004D1B81"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41.1%</w:t>
            </w:r>
          </w:p>
        </w:tc>
        <w:tc>
          <w:tcPr>
            <w:tcW w:w="996" w:type="dxa"/>
            <w:noWrap/>
            <w:vAlign w:val="center"/>
          </w:tcPr>
          <w:p w14:paraId="15A31E0C" w14:textId="6C385693" w:rsidR="005D6205" w:rsidRPr="004D1B81"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41.0%</w:t>
            </w:r>
          </w:p>
        </w:tc>
        <w:tc>
          <w:tcPr>
            <w:tcW w:w="997" w:type="dxa"/>
            <w:noWrap/>
            <w:vAlign w:val="center"/>
          </w:tcPr>
          <w:p w14:paraId="2DC4823C" w14:textId="485E471A" w:rsidR="005D6205" w:rsidRPr="004D1B81"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41.4%</w:t>
            </w:r>
          </w:p>
        </w:tc>
      </w:tr>
      <w:tr w:rsidR="005D6205" w:rsidRPr="004D1B81" w14:paraId="204211AD" w14:textId="77777777" w:rsidTr="0087794A">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8C69F35" w14:textId="16F98921" w:rsidR="005D6205" w:rsidRPr="005D6205" w:rsidRDefault="005D6205" w:rsidP="005D6205">
            <w:pPr>
              <w:spacing w:line="240" w:lineRule="auto"/>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RES in transportation</w:t>
            </w:r>
          </w:p>
        </w:tc>
        <w:tc>
          <w:tcPr>
            <w:tcW w:w="996" w:type="dxa"/>
            <w:noWrap/>
            <w:vAlign w:val="center"/>
          </w:tcPr>
          <w:p w14:paraId="26D6A207" w14:textId="5C9B4D44"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1.8%</w:t>
            </w:r>
          </w:p>
        </w:tc>
        <w:tc>
          <w:tcPr>
            <w:tcW w:w="996" w:type="dxa"/>
            <w:noWrap/>
            <w:vAlign w:val="center"/>
          </w:tcPr>
          <w:p w14:paraId="13129DFE" w14:textId="63DA9A78"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2.1%</w:t>
            </w:r>
          </w:p>
        </w:tc>
        <w:tc>
          <w:tcPr>
            <w:tcW w:w="997" w:type="dxa"/>
            <w:noWrap/>
            <w:vAlign w:val="center"/>
          </w:tcPr>
          <w:p w14:paraId="4C43DCA2" w14:textId="5464C842"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2.3%</w:t>
            </w:r>
          </w:p>
        </w:tc>
        <w:tc>
          <w:tcPr>
            <w:tcW w:w="996" w:type="dxa"/>
            <w:noWrap/>
            <w:vAlign w:val="center"/>
          </w:tcPr>
          <w:p w14:paraId="62741801" w14:textId="39635D93"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2.6%</w:t>
            </w:r>
          </w:p>
        </w:tc>
        <w:tc>
          <w:tcPr>
            <w:tcW w:w="996" w:type="dxa"/>
            <w:noWrap/>
            <w:vAlign w:val="center"/>
          </w:tcPr>
          <w:p w14:paraId="1AC9C072" w14:textId="3409A2D3"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2.9%</w:t>
            </w:r>
          </w:p>
        </w:tc>
        <w:tc>
          <w:tcPr>
            <w:tcW w:w="997" w:type="dxa"/>
            <w:noWrap/>
            <w:vAlign w:val="center"/>
          </w:tcPr>
          <w:p w14:paraId="48E8A656" w14:textId="70B84AFF" w:rsidR="005D6205" w:rsidRPr="004D1B81" w:rsidRDefault="005D6205" w:rsidP="005D6205">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007D2">
              <w:rPr>
                <w:rFonts w:ascii="Calibri Light" w:hAnsi="Calibri Light" w:cs="Calibri Light"/>
                <w:color w:val="000000" w:themeColor="text1"/>
              </w:rPr>
              <w:t>3.2%</w:t>
            </w:r>
          </w:p>
        </w:tc>
      </w:tr>
      <w:tr w:rsidR="005D6205" w:rsidRPr="004D1B81" w14:paraId="2BC4D525" w14:textId="77777777" w:rsidTr="008779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6077964" w14:textId="7E0E6DD5" w:rsidR="005D6205" w:rsidRPr="005D6205" w:rsidRDefault="005D6205" w:rsidP="005D6205">
            <w:pPr>
              <w:spacing w:line="240" w:lineRule="auto"/>
              <w:jc w:val="center"/>
              <w:rPr>
                <w:rFonts w:ascii="Calibri" w:eastAsia="Times New Roman" w:hAnsi="Calibri" w:cs="Calibri"/>
                <w:color w:val="000000"/>
                <w:lang w:val="en-US" w:eastAsia="en-GB"/>
              </w:rPr>
            </w:pPr>
            <w:r>
              <w:rPr>
                <w:rFonts w:ascii="Calibri" w:eastAsia="Times New Roman" w:hAnsi="Calibri" w:cs="Calibri"/>
                <w:color w:val="000000"/>
                <w:lang w:val="en-US" w:eastAsia="en-GB"/>
              </w:rPr>
              <w:t>Contribution of biofuels in the RES in transportation share</w:t>
            </w:r>
          </w:p>
        </w:tc>
        <w:tc>
          <w:tcPr>
            <w:tcW w:w="996" w:type="dxa"/>
            <w:noWrap/>
            <w:vAlign w:val="center"/>
          </w:tcPr>
          <w:p w14:paraId="27C8C2C7" w14:textId="4CF00A0F" w:rsidR="005D6205" w:rsidRPr="0087794A"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87794A">
              <w:rPr>
                <w:rFonts w:ascii="Calibri Light" w:hAnsi="Calibri Light" w:cs="Calibri Light"/>
                <w:color w:val="000000" w:themeColor="text1"/>
              </w:rPr>
              <w:t>1.3%</w:t>
            </w:r>
          </w:p>
        </w:tc>
        <w:tc>
          <w:tcPr>
            <w:tcW w:w="996" w:type="dxa"/>
            <w:noWrap/>
            <w:vAlign w:val="center"/>
          </w:tcPr>
          <w:p w14:paraId="5BE510C7" w14:textId="69220A60" w:rsidR="005D6205" w:rsidRPr="0087794A"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87794A">
              <w:rPr>
                <w:rFonts w:ascii="Calibri Light" w:hAnsi="Calibri Light" w:cs="Calibri Light"/>
                <w:color w:val="000000" w:themeColor="text1"/>
              </w:rPr>
              <w:t>1.5%</w:t>
            </w:r>
          </w:p>
        </w:tc>
        <w:tc>
          <w:tcPr>
            <w:tcW w:w="997" w:type="dxa"/>
            <w:noWrap/>
            <w:vAlign w:val="center"/>
          </w:tcPr>
          <w:p w14:paraId="7DC17CE1" w14:textId="59F4FAE3" w:rsidR="005D6205" w:rsidRPr="0087794A"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87794A">
              <w:rPr>
                <w:rFonts w:ascii="Calibri Light" w:hAnsi="Calibri Light" w:cs="Calibri Light"/>
                <w:color w:val="000000" w:themeColor="text1"/>
              </w:rPr>
              <w:t>1.6%</w:t>
            </w:r>
          </w:p>
        </w:tc>
        <w:tc>
          <w:tcPr>
            <w:tcW w:w="996" w:type="dxa"/>
            <w:noWrap/>
            <w:vAlign w:val="center"/>
          </w:tcPr>
          <w:p w14:paraId="02E0B4BC" w14:textId="2649B387" w:rsidR="005D6205" w:rsidRPr="0087794A"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87794A">
              <w:rPr>
                <w:rFonts w:ascii="Calibri Light" w:hAnsi="Calibri Light" w:cs="Calibri Light"/>
                <w:color w:val="000000" w:themeColor="text1"/>
              </w:rPr>
              <w:t>1.8%</w:t>
            </w:r>
          </w:p>
        </w:tc>
        <w:tc>
          <w:tcPr>
            <w:tcW w:w="996" w:type="dxa"/>
            <w:noWrap/>
            <w:vAlign w:val="center"/>
          </w:tcPr>
          <w:p w14:paraId="0182407B" w14:textId="74790C72" w:rsidR="005D6205" w:rsidRPr="0087794A"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87794A">
              <w:rPr>
                <w:rFonts w:ascii="Calibri Light" w:hAnsi="Calibri Light" w:cs="Calibri Light"/>
                <w:color w:val="000000" w:themeColor="text1"/>
              </w:rPr>
              <w:t>2.0%</w:t>
            </w:r>
          </w:p>
        </w:tc>
        <w:tc>
          <w:tcPr>
            <w:tcW w:w="997" w:type="dxa"/>
            <w:noWrap/>
            <w:vAlign w:val="center"/>
          </w:tcPr>
          <w:p w14:paraId="7CF05A4A" w14:textId="62DF596A" w:rsidR="005D6205" w:rsidRPr="0087794A" w:rsidRDefault="005D6205" w:rsidP="005D620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themeColor="text1"/>
              </w:rPr>
            </w:pPr>
            <w:r w:rsidRPr="0087794A">
              <w:rPr>
                <w:rFonts w:ascii="Calibri Light" w:hAnsi="Calibri Light" w:cs="Calibri Light"/>
                <w:color w:val="000000" w:themeColor="text1"/>
              </w:rPr>
              <w:t>2.1%</w:t>
            </w:r>
          </w:p>
        </w:tc>
      </w:tr>
    </w:tbl>
    <w:p w14:paraId="5A015597" w14:textId="77777777" w:rsidR="006C5F46" w:rsidRDefault="006C5F46" w:rsidP="00653D73">
      <w:pPr>
        <w:spacing w:before="120" w:after="120" w:line="276" w:lineRule="auto"/>
        <w:ind w:right="194"/>
        <w:jc w:val="both"/>
        <w:rPr>
          <w:rFonts w:asciiTheme="majorHAnsi" w:hAnsiTheme="majorHAnsi" w:cstheme="majorHAnsi"/>
        </w:rPr>
      </w:pPr>
    </w:p>
    <w:p w14:paraId="2D9B459A" w14:textId="55989F20" w:rsidR="008C597A" w:rsidRDefault="00363A61" w:rsidP="005B2C66">
      <w:pPr>
        <w:spacing w:line="259" w:lineRule="auto"/>
        <w:jc w:val="both"/>
        <w:rPr>
          <w:rFonts w:ascii="Calibri Light" w:hAnsi="Calibri Light" w:cs="Calibri Light"/>
        </w:rPr>
      </w:pPr>
      <w:r>
        <w:rPr>
          <w:rFonts w:ascii="Calibri Light" w:hAnsi="Calibri Light" w:cs="Calibri Light"/>
        </w:rPr>
        <w:t>The deviation of the national contribution target from the</w:t>
      </w:r>
      <w:r w:rsidR="006B4500">
        <w:rPr>
          <w:rFonts w:ascii="Calibri Light" w:hAnsi="Calibri Light" w:cs="Calibri Light"/>
        </w:rPr>
        <w:t xml:space="preserve"> Ministerial Decision</w:t>
      </w:r>
      <w:r>
        <w:rPr>
          <w:rFonts w:ascii="Calibri Light" w:hAnsi="Calibri Light" w:cs="Calibri Light"/>
        </w:rPr>
        <w:t xml:space="preserve"> </w:t>
      </w:r>
      <w:r w:rsidR="006B4500">
        <w:rPr>
          <w:rFonts w:ascii="Calibri Light" w:hAnsi="Calibri Light" w:cs="Calibri Light"/>
        </w:rPr>
        <w:t>(</w:t>
      </w:r>
      <w:r>
        <w:rPr>
          <w:rFonts w:ascii="Calibri Light" w:hAnsi="Calibri Light" w:cs="Calibri Light"/>
        </w:rPr>
        <w:t>MD</w:t>
      </w:r>
      <w:r w:rsidR="006B4500">
        <w:rPr>
          <w:rFonts w:ascii="Calibri Light" w:hAnsi="Calibri Light" w:cs="Calibri Light"/>
        </w:rPr>
        <w:t>)</w:t>
      </w:r>
      <w:r>
        <w:rPr>
          <w:rFonts w:ascii="Calibri Light" w:hAnsi="Calibri Light" w:cs="Calibri Light"/>
        </w:rPr>
        <w:t xml:space="preserve"> is justified </w:t>
      </w:r>
      <w:r w:rsidR="008C597A">
        <w:rPr>
          <w:rFonts w:ascii="Calibri Light" w:hAnsi="Calibri Light" w:cs="Calibri Light"/>
        </w:rPr>
        <w:t xml:space="preserve">according to specific circumstances foreseen under Article 6 of the MD and more specifically </w:t>
      </w:r>
      <w:r>
        <w:rPr>
          <w:rFonts w:ascii="Calibri Light" w:hAnsi="Calibri Light" w:cs="Calibri Light"/>
        </w:rPr>
        <w:t>under the criteria of Article 31 of the Governance Regulation</w:t>
      </w:r>
      <w:r w:rsidR="008C597A">
        <w:rPr>
          <w:rFonts w:ascii="Calibri Light" w:hAnsi="Calibri Light" w:cs="Calibri Light"/>
        </w:rPr>
        <w:t xml:space="preserve"> as follows:</w:t>
      </w:r>
    </w:p>
    <w:p w14:paraId="46FFEF31" w14:textId="5B1D7A38" w:rsidR="008C597A" w:rsidRDefault="008C597A" w:rsidP="008464FC">
      <w:pPr>
        <w:pStyle w:val="ListParagraph"/>
        <w:numPr>
          <w:ilvl w:val="0"/>
          <w:numId w:val="264"/>
        </w:numPr>
        <w:spacing w:line="259" w:lineRule="auto"/>
        <w:jc w:val="both"/>
        <w:rPr>
          <w:rFonts w:ascii="Calibri Light" w:hAnsi="Calibri Light" w:cs="Calibri Light"/>
        </w:rPr>
      </w:pPr>
      <w:r>
        <w:rPr>
          <w:rFonts w:ascii="Calibri Light" w:hAnsi="Calibri Light" w:cs="Calibri Light"/>
        </w:rPr>
        <w:t xml:space="preserve">According to criterion </w:t>
      </w:r>
      <w:r w:rsidRPr="0087794A">
        <w:rPr>
          <w:rFonts w:ascii="Calibri Light" w:hAnsi="Calibri Light" w:cs="Calibri Light"/>
          <w:b/>
          <w:bCs/>
        </w:rPr>
        <w:t>(ii) economic conditions and potential, including GDP per capita; potential for cost-effective renewable energy deployment</w:t>
      </w:r>
      <w:r w:rsidR="00556720">
        <w:rPr>
          <w:rFonts w:ascii="Calibri Light" w:hAnsi="Calibri Light" w:cs="Calibri Light"/>
        </w:rPr>
        <w:t>,</w:t>
      </w:r>
    </w:p>
    <w:p w14:paraId="04205E62" w14:textId="77777777" w:rsidR="00C8120C" w:rsidRPr="0087794A" w:rsidRDefault="00C8120C" w:rsidP="0087794A">
      <w:pPr>
        <w:pStyle w:val="ListParagraph"/>
        <w:spacing w:line="259" w:lineRule="auto"/>
        <w:jc w:val="both"/>
        <w:rPr>
          <w:rFonts w:ascii="Calibri Light" w:hAnsi="Calibri Light" w:cs="Calibri Light"/>
          <w:lang w:val="en-US"/>
        </w:rPr>
      </w:pPr>
    </w:p>
    <w:p w14:paraId="1D55830F" w14:textId="53187DFB" w:rsidR="00556720" w:rsidRPr="0087794A" w:rsidRDefault="00556720" w:rsidP="0087794A">
      <w:pPr>
        <w:pStyle w:val="ListParagraph"/>
        <w:numPr>
          <w:ilvl w:val="0"/>
          <w:numId w:val="345"/>
        </w:numPr>
        <w:spacing w:line="259" w:lineRule="auto"/>
        <w:jc w:val="both"/>
        <w:rPr>
          <w:rFonts w:ascii="Calibri Light" w:hAnsi="Calibri Light" w:cs="Calibri Light"/>
        </w:rPr>
      </w:pPr>
      <w:r w:rsidRPr="0087794A">
        <w:rPr>
          <w:rFonts w:ascii="Calibri Light" w:hAnsi="Calibri Light" w:cs="Calibri Light"/>
        </w:rPr>
        <w:t>The analysis</w:t>
      </w:r>
      <w:r w:rsidR="008C597A" w:rsidRPr="0087794A">
        <w:rPr>
          <w:rFonts w:ascii="Calibri Light" w:hAnsi="Calibri Light" w:cs="Calibri Light"/>
        </w:rPr>
        <w:t xml:space="preserve"> indicated that the </w:t>
      </w:r>
      <w:r w:rsidR="00C8120C" w:rsidRPr="0087794A">
        <w:rPr>
          <w:rFonts w:ascii="Calibri Light" w:hAnsi="Calibri Light" w:cs="Calibri Light"/>
        </w:rPr>
        <w:t xml:space="preserve">achievement of the national contribution </w:t>
      </w:r>
      <w:r w:rsidR="00D34550">
        <w:rPr>
          <w:rFonts w:ascii="Calibri Light" w:hAnsi="Calibri Light" w:cs="Calibri Light"/>
        </w:rPr>
        <w:t>proposed by</w:t>
      </w:r>
      <w:r w:rsidR="00C8120C" w:rsidRPr="0087794A">
        <w:rPr>
          <w:rFonts w:ascii="Calibri Light" w:hAnsi="Calibri Light" w:cs="Calibri Light"/>
        </w:rPr>
        <w:t xml:space="preserve"> the MD, would r</w:t>
      </w:r>
      <w:r w:rsidR="008C597A" w:rsidRPr="0087794A">
        <w:rPr>
          <w:rFonts w:ascii="Calibri Light" w:hAnsi="Calibri Light" w:cs="Calibri Light"/>
        </w:rPr>
        <w:t xml:space="preserve">equire an unrealistic increase in the use of heat pumps in households and in the tertiary sector, </w:t>
      </w:r>
      <w:r w:rsidRPr="0087794A">
        <w:rPr>
          <w:rFonts w:ascii="Calibri Light" w:hAnsi="Calibri Light" w:cs="Calibri Light"/>
        </w:rPr>
        <w:lastRenderedPageBreak/>
        <w:t>reaching 11.1 GWth by 2030, corresponding to 444 thousand units, which means an unrealistic addition of 1.6 GWth, almost 63 thousand units per year until 2030, while</w:t>
      </w:r>
      <w:r w:rsidR="008C597A" w:rsidRPr="0087794A">
        <w:rPr>
          <w:rFonts w:ascii="Calibri Light" w:hAnsi="Calibri Light" w:cs="Calibri Light"/>
        </w:rPr>
        <w:t xml:space="preserve"> according to the current trends only 4 thousand heat pumps were sold in Serbia in 2021, and we can expect that around 30 to 40 thousand heat pumps could be installed annually in the next 7 years</w:t>
      </w:r>
      <w:r w:rsidRPr="0087794A">
        <w:rPr>
          <w:rFonts w:ascii="Calibri Light" w:hAnsi="Calibri Light" w:cs="Calibri Light"/>
        </w:rPr>
        <w:t>. In the INECP proposed national contribution the installation of heat pumps reaches 7 GWth (282 thousand units) by 2030 corresponding to an average annual addition of about 40 thousand units</w:t>
      </w:r>
      <w:r w:rsidR="0044183A">
        <w:rPr>
          <w:rFonts w:ascii="Calibri Light" w:hAnsi="Calibri Light" w:cs="Calibri Light"/>
        </w:rPr>
        <w:t>, a number still realistically ambitious</w:t>
      </w:r>
      <w:r w:rsidRPr="0087794A">
        <w:rPr>
          <w:rFonts w:ascii="Calibri Light" w:hAnsi="Calibri Light" w:cs="Calibri Light"/>
        </w:rPr>
        <w:t>. An average Seasonal Performance Factor (SPF) of 3.3 is considered by 2030, which is closer to the average efficiency of current trends for the equipment, while the higher target would require SPF at the level of 5, which is a performance that can be achieved by high-end products only.</w:t>
      </w:r>
    </w:p>
    <w:p w14:paraId="7279E0C8" w14:textId="6DA5DB60" w:rsidR="00556720" w:rsidRPr="0087794A" w:rsidRDefault="00556720" w:rsidP="0087794A">
      <w:pPr>
        <w:pStyle w:val="ListParagraph"/>
        <w:numPr>
          <w:ilvl w:val="0"/>
          <w:numId w:val="345"/>
        </w:numPr>
        <w:spacing w:line="259" w:lineRule="auto"/>
        <w:jc w:val="both"/>
        <w:rPr>
          <w:rFonts w:ascii="Calibri Light" w:hAnsi="Calibri Light" w:cs="Calibri Light"/>
        </w:rPr>
      </w:pPr>
      <w:r w:rsidRPr="0087794A">
        <w:rPr>
          <w:rFonts w:ascii="Calibri Light" w:hAnsi="Calibri Light" w:cs="Calibri Light"/>
        </w:rPr>
        <w:t>The MD</w:t>
      </w:r>
      <w:r w:rsidRPr="00D34550">
        <w:rPr>
          <w:rFonts w:ascii="Calibri Light" w:hAnsi="Calibri Light" w:cs="Calibri Light"/>
        </w:rPr>
        <w:t xml:space="preserve"> </w:t>
      </w:r>
      <w:r w:rsidR="00D34550">
        <w:rPr>
          <w:rFonts w:ascii="Calibri Light" w:hAnsi="Calibri Light" w:cs="Calibri Light"/>
        </w:rPr>
        <w:t xml:space="preserve">proposed </w:t>
      </w:r>
      <w:r w:rsidRPr="00D34550">
        <w:rPr>
          <w:rFonts w:ascii="Calibri Light" w:hAnsi="Calibri Light" w:cs="Calibri Light"/>
        </w:rPr>
        <w:t>national contribution</w:t>
      </w:r>
      <w:r w:rsidRPr="0087794A">
        <w:rPr>
          <w:rFonts w:ascii="Calibri Light" w:hAnsi="Calibri Light" w:cs="Calibri Light"/>
        </w:rPr>
        <w:t xml:space="preserve"> would i</w:t>
      </w:r>
      <w:r w:rsidR="008C597A" w:rsidRPr="0087794A">
        <w:rPr>
          <w:rFonts w:ascii="Calibri Light" w:hAnsi="Calibri Light" w:cs="Calibri Light"/>
        </w:rPr>
        <w:t>mpl</w:t>
      </w:r>
      <w:r w:rsidRPr="0087794A">
        <w:rPr>
          <w:rFonts w:ascii="Calibri Light" w:hAnsi="Calibri Light" w:cs="Calibri Light"/>
        </w:rPr>
        <w:t>y</w:t>
      </w:r>
      <w:r w:rsidR="008C597A" w:rsidRPr="0087794A">
        <w:rPr>
          <w:rFonts w:ascii="Calibri Light" w:hAnsi="Calibri Light" w:cs="Calibri Light"/>
        </w:rPr>
        <w:t xml:space="preserve"> a high level of export of electricity which can be considered unsuitable to a rational planning of the use of the natural resources of Serbia.</w:t>
      </w:r>
      <w:r w:rsidRPr="00D34550">
        <w:rPr>
          <w:rFonts w:ascii="Calibri Light" w:hAnsi="Calibri Light" w:cs="Calibri Light"/>
        </w:rPr>
        <w:t xml:space="preserve"> </w:t>
      </w:r>
      <w:r w:rsidR="008C597A" w:rsidRPr="00D34550">
        <w:rPr>
          <w:rFonts w:ascii="Calibri Light" w:hAnsi="Calibri Light" w:cs="Calibri Light"/>
        </w:rPr>
        <w:t xml:space="preserve">The analysis </w:t>
      </w:r>
      <w:r w:rsidR="00D34550" w:rsidRPr="0087794A">
        <w:rPr>
          <w:rFonts w:ascii="Calibri Light" w:hAnsi="Calibri Light" w:cs="Calibri Light"/>
        </w:rPr>
        <w:t>indicated</w:t>
      </w:r>
      <w:r w:rsidR="008C597A" w:rsidRPr="00D34550">
        <w:rPr>
          <w:rFonts w:ascii="Calibri Light" w:hAnsi="Calibri Light" w:cs="Calibri Light"/>
        </w:rPr>
        <w:t xml:space="preserve"> net exports at the level of 5TWh by 2030 which is rather high and cannot be justified by relevant studies. </w:t>
      </w:r>
      <w:r w:rsidR="00D34550" w:rsidRPr="0087794A">
        <w:rPr>
          <w:rFonts w:ascii="Calibri Light" w:hAnsi="Calibri Light" w:cs="Calibri Light"/>
        </w:rPr>
        <w:t xml:space="preserve">The INECP </w:t>
      </w:r>
      <w:r w:rsidR="00D34550" w:rsidRPr="00D34550">
        <w:rPr>
          <w:rFonts w:ascii="Calibri Light" w:hAnsi="Calibri Light" w:cs="Calibri Light"/>
        </w:rPr>
        <w:t>analysis</w:t>
      </w:r>
      <w:r w:rsidR="00D34550" w:rsidRPr="0087794A">
        <w:rPr>
          <w:rFonts w:ascii="Calibri Light" w:hAnsi="Calibri Light" w:cs="Calibri Light"/>
        </w:rPr>
        <w:t xml:space="preserve"> projects 0.</w:t>
      </w:r>
      <w:r w:rsidR="006B4500">
        <w:rPr>
          <w:rFonts w:ascii="Calibri Light" w:hAnsi="Calibri Light" w:cs="Calibri Light"/>
        </w:rPr>
        <w:t>7</w:t>
      </w:r>
      <w:r w:rsidR="00D34550" w:rsidRPr="0087794A">
        <w:rPr>
          <w:rFonts w:ascii="Calibri Light" w:hAnsi="Calibri Light" w:cs="Calibri Light"/>
        </w:rPr>
        <w:t>TWh of net exports by 2030, indicating a power system which is self-sufficient.</w:t>
      </w:r>
    </w:p>
    <w:p w14:paraId="7EDFCED7" w14:textId="77777777" w:rsidR="008176E9" w:rsidRDefault="00D34550" w:rsidP="008464FC">
      <w:pPr>
        <w:pStyle w:val="ListParagraph"/>
        <w:numPr>
          <w:ilvl w:val="0"/>
          <w:numId w:val="345"/>
        </w:numPr>
        <w:spacing w:line="259" w:lineRule="auto"/>
        <w:jc w:val="both"/>
        <w:rPr>
          <w:rFonts w:ascii="Calibri Light" w:hAnsi="Calibri Light" w:cs="Calibri Light"/>
        </w:rPr>
      </w:pPr>
      <w:r w:rsidRPr="007F13AA">
        <w:rPr>
          <w:rFonts w:ascii="Calibri Light" w:hAnsi="Calibri Light" w:cs="Calibri Light"/>
        </w:rPr>
        <w:t>The MD</w:t>
      </w:r>
      <w:r w:rsidRPr="00D34550">
        <w:rPr>
          <w:rFonts w:ascii="Calibri Light" w:hAnsi="Calibri Light" w:cs="Calibri Light"/>
        </w:rPr>
        <w:t xml:space="preserve"> </w:t>
      </w:r>
      <w:r>
        <w:rPr>
          <w:rFonts w:ascii="Calibri Light" w:hAnsi="Calibri Light" w:cs="Calibri Light"/>
        </w:rPr>
        <w:t xml:space="preserve">proposed </w:t>
      </w:r>
      <w:r w:rsidRPr="00D34550">
        <w:rPr>
          <w:rFonts w:ascii="Calibri Light" w:hAnsi="Calibri Light" w:cs="Calibri Light"/>
        </w:rPr>
        <w:t>national contribution</w:t>
      </w:r>
      <w:r w:rsidR="008C597A" w:rsidRPr="0087794A">
        <w:rPr>
          <w:rFonts w:ascii="Calibri Light" w:hAnsi="Calibri Light" w:cs="Calibri Light"/>
        </w:rPr>
        <w:t xml:space="preserve">, </w:t>
      </w:r>
      <w:r>
        <w:rPr>
          <w:rFonts w:ascii="Calibri Light" w:hAnsi="Calibri Light" w:cs="Calibri Light"/>
        </w:rPr>
        <w:t>would require at least</w:t>
      </w:r>
      <w:r w:rsidR="008C597A" w:rsidRPr="0087794A">
        <w:rPr>
          <w:rFonts w:ascii="Calibri Light" w:hAnsi="Calibri Light" w:cs="Calibri Light"/>
        </w:rPr>
        <w:t xml:space="preserve"> 88 ktoe</w:t>
      </w:r>
      <w:r>
        <w:rPr>
          <w:rFonts w:ascii="Calibri Light" w:hAnsi="Calibri Light" w:cs="Calibri Light"/>
        </w:rPr>
        <w:t xml:space="preserve"> of eligible biofuels </w:t>
      </w:r>
      <w:r w:rsidRPr="00914A59">
        <w:rPr>
          <w:rFonts w:ascii="Calibri Light" w:hAnsi="Calibri Light" w:cs="Calibri Light"/>
        </w:rPr>
        <w:t>and the introduction of 89 thousand electric vehicles</w:t>
      </w:r>
      <w:r w:rsidRPr="00D34550">
        <w:rPr>
          <w:rFonts w:ascii="Calibri Light" w:hAnsi="Calibri Light" w:cs="Calibri Light"/>
        </w:rPr>
        <w:t xml:space="preserve"> </w:t>
      </w:r>
      <w:r w:rsidR="008C597A" w:rsidRPr="0087794A">
        <w:rPr>
          <w:rFonts w:ascii="Calibri Light" w:hAnsi="Calibri Light" w:cs="Calibri Light"/>
        </w:rPr>
        <w:t>in 2030.</w:t>
      </w:r>
      <w:r>
        <w:rPr>
          <w:rFonts w:ascii="Calibri Light" w:hAnsi="Calibri Light" w:cs="Calibri Light"/>
        </w:rPr>
        <w:t xml:space="preserve"> The INECP national contribution includes a m</w:t>
      </w:r>
      <w:r w:rsidRPr="00D34550">
        <w:rPr>
          <w:rFonts w:ascii="Calibri Light" w:hAnsi="Calibri Light" w:cs="Calibri Light"/>
        </w:rPr>
        <w:t xml:space="preserve">ore realistic assumption for biofuels (49ktoe by 2030) and the introduction of EVs </w:t>
      </w:r>
      <w:r>
        <w:rPr>
          <w:rFonts w:ascii="Calibri Light" w:hAnsi="Calibri Light" w:cs="Calibri Light"/>
        </w:rPr>
        <w:t xml:space="preserve">reaching </w:t>
      </w:r>
      <w:r w:rsidRPr="00D34550">
        <w:rPr>
          <w:rFonts w:ascii="Calibri Light" w:hAnsi="Calibri Light" w:cs="Calibri Light"/>
        </w:rPr>
        <w:t>44 thousand by 2030</w:t>
      </w:r>
      <w:r>
        <w:rPr>
          <w:rFonts w:ascii="Calibri Light" w:hAnsi="Calibri Light" w:cs="Calibri Light"/>
        </w:rPr>
        <w:t>.</w:t>
      </w:r>
    </w:p>
    <w:p w14:paraId="52E0CC85" w14:textId="01E665E6" w:rsidR="008C597A" w:rsidRPr="0087794A" w:rsidRDefault="00D34550" w:rsidP="0087794A">
      <w:pPr>
        <w:pStyle w:val="ListParagraph"/>
        <w:numPr>
          <w:ilvl w:val="0"/>
          <w:numId w:val="345"/>
        </w:numPr>
        <w:spacing w:line="259" w:lineRule="auto"/>
        <w:jc w:val="both"/>
        <w:rPr>
          <w:rFonts w:ascii="Calibri Light" w:hAnsi="Calibri Light" w:cs="Calibri Light"/>
        </w:rPr>
      </w:pPr>
      <w:r w:rsidRPr="0087794A">
        <w:rPr>
          <w:rFonts w:ascii="Calibri Light" w:hAnsi="Calibri Light" w:cs="Calibri Light"/>
        </w:rPr>
        <w:t xml:space="preserve">The MD proposed national contribution would require higher capacities of variable renewable technologies in the network, which would require higher balancing reserve (more than the available in the market for 2030) and expose the system to risk. The analysis showed that this would </w:t>
      </w:r>
      <w:r w:rsidR="008176E9" w:rsidRPr="0087794A">
        <w:rPr>
          <w:rFonts w:ascii="Calibri Light" w:hAnsi="Calibri Light" w:cs="Calibri Light"/>
        </w:rPr>
        <w:t xml:space="preserve">further </w:t>
      </w:r>
      <w:r w:rsidRPr="0087794A">
        <w:rPr>
          <w:rFonts w:ascii="Calibri Light" w:hAnsi="Calibri Light" w:cs="Calibri Light"/>
        </w:rPr>
        <w:t>require t</w:t>
      </w:r>
      <w:r w:rsidR="008176E9" w:rsidRPr="0087794A">
        <w:rPr>
          <w:rFonts w:ascii="Calibri Light" w:hAnsi="Calibri Light" w:cs="Calibri Light"/>
        </w:rPr>
        <w:t>he</w:t>
      </w:r>
      <w:r w:rsidRPr="0087794A">
        <w:rPr>
          <w:rFonts w:ascii="Calibri Light" w:hAnsi="Calibri Light" w:cs="Calibri Light"/>
        </w:rPr>
        <w:t xml:space="preserve"> install</w:t>
      </w:r>
      <w:r w:rsidR="008176E9" w:rsidRPr="0087794A">
        <w:rPr>
          <w:rFonts w:ascii="Calibri Light" w:hAnsi="Calibri Light" w:cs="Calibri Light"/>
        </w:rPr>
        <w:t>ation of</w:t>
      </w:r>
      <w:r w:rsidRPr="0087794A">
        <w:rPr>
          <w:rFonts w:ascii="Calibri Light" w:hAnsi="Calibri Light" w:cs="Calibri Light"/>
        </w:rPr>
        <w:t xml:space="preserve"> hydro pump storage stations at an over optimistic timeframe, requiring </w:t>
      </w:r>
      <w:r w:rsidR="008C597A" w:rsidRPr="0087794A">
        <w:rPr>
          <w:rFonts w:ascii="Calibri Light" w:hAnsi="Calibri Light" w:cs="Calibri Light"/>
        </w:rPr>
        <w:t>that Bistrica will be operation</w:t>
      </w:r>
      <w:r w:rsidR="008176E9" w:rsidRPr="0087794A">
        <w:rPr>
          <w:rFonts w:ascii="Calibri Light" w:hAnsi="Calibri Light" w:cs="Calibri Light"/>
        </w:rPr>
        <w:t>al</w:t>
      </w:r>
      <w:r w:rsidR="008C597A" w:rsidRPr="0087794A">
        <w:rPr>
          <w:rFonts w:ascii="Calibri Light" w:hAnsi="Calibri Light" w:cs="Calibri Light"/>
        </w:rPr>
        <w:t xml:space="preserve"> by 2028 and Djerdap 3 by 2030. In </w:t>
      </w:r>
      <w:r w:rsidRPr="0087794A">
        <w:rPr>
          <w:rFonts w:ascii="Calibri Light" w:hAnsi="Calibri Light" w:cs="Calibri Light"/>
        </w:rPr>
        <w:t>the INCEP analysis a</w:t>
      </w:r>
      <w:r w:rsidR="008C597A" w:rsidRPr="0087794A">
        <w:rPr>
          <w:rFonts w:ascii="Calibri Light" w:hAnsi="Calibri Light" w:cs="Calibri Light"/>
        </w:rPr>
        <w:t xml:space="preserve"> more realistic schedule </w:t>
      </w:r>
      <w:r w:rsidRPr="0087794A">
        <w:rPr>
          <w:rFonts w:ascii="Calibri Light" w:hAnsi="Calibri Light" w:cs="Calibri Light"/>
        </w:rPr>
        <w:t xml:space="preserve">is applied with </w:t>
      </w:r>
      <w:r w:rsidR="008C597A" w:rsidRPr="0087794A">
        <w:rPr>
          <w:rFonts w:ascii="Calibri Light" w:hAnsi="Calibri Light" w:cs="Calibri Light"/>
        </w:rPr>
        <w:t xml:space="preserve">Bistrica </w:t>
      </w:r>
      <w:r w:rsidRPr="0087794A">
        <w:rPr>
          <w:rFonts w:ascii="Calibri Light" w:hAnsi="Calibri Light" w:cs="Calibri Light"/>
        </w:rPr>
        <w:t>o</w:t>
      </w:r>
      <w:r w:rsidR="008C597A" w:rsidRPr="0087794A">
        <w:rPr>
          <w:rFonts w:ascii="Calibri Light" w:hAnsi="Calibri Light" w:cs="Calibri Light"/>
        </w:rPr>
        <w:t>perat</w:t>
      </w:r>
      <w:r w:rsidRPr="0087794A">
        <w:rPr>
          <w:rFonts w:ascii="Calibri Light" w:hAnsi="Calibri Light" w:cs="Calibri Light"/>
        </w:rPr>
        <w:t>ional</w:t>
      </w:r>
      <w:r w:rsidR="008C597A" w:rsidRPr="0087794A">
        <w:rPr>
          <w:rFonts w:ascii="Calibri Light" w:hAnsi="Calibri Light" w:cs="Calibri Light"/>
        </w:rPr>
        <w:t xml:space="preserve"> by 2032 and Djerdap 3 by 2035</w:t>
      </w:r>
      <w:r w:rsidR="008176E9" w:rsidRPr="0087794A">
        <w:rPr>
          <w:rFonts w:ascii="Calibri Light" w:hAnsi="Calibri Light" w:cs="Calibri Light"/>
        </w:rPr>
        <w:t>, providing the additional flexibility and balancing requirements for the system</w:t>
      </w:r>
      <w:r w:rsidR="008C597A" w:rsidRPr="0087794A">
        <w:rPr>
          <w:rFonts w:ascii="Calibri Light" w:hAnsi="Calibri Light" w:cs="Calibri Light"/>
        </w:rPr>
        <w:t>.</w:t>
      </w:r>
    </w:p>
    <w:p w14:paraId="3F78B455" w14:textId="534F1944" w:rsidR="008C597A" w:rsidRDefault="008C597A" w:rsidP="008464FC">
      <w:pPr>
        <w:pStyle w:val="ListParagraph"/>
        <w:numPr>
          <w:ilvl w:val="0"/>
          <w:numId w:val="264"/>
        </w:numPr>
        <w:spacing w:line="259" w:lineRule="auto"/>
        <w:jc w:val="both"/>
        <w:rPr>
          <w:rFonts w:ascii="Calibri Light" w:hAnsi="Calibri Light" w:cs="Calibri Light"/>
        </w:rPr>
      </w:pPr>
      <w:r>
        <w:rPr>
          <w:rFonts w:ascii="Calibri Light" w:hAnsi="Calibri Light" w:cs="Calibri Light"/>
        </w:rPr>
        <w:t xml:space="preserve">According to criterion </w:t>
      </w:r>
      <w:r w:rsidRPr="0087794A">
        <w:rPr>
          <w:rFonts w:ascii="Calibri Light" w:hAnsi="Calibri Light" w:cs="Calibri Light"/>
          <w:b/>
          <w:bCs/>
        </w:rPr>
        <w:t>(iii) geographical, environmental and natural constraints, including those of non-interconnected areas and regions</w:t>
      </w:r>
      <w:r w:rsidR="008176E9">
        <w:rPr>
          <w:rFonts w:ascii="Calibri Light" w:hAnsi="Calibri Light" w:cs="Calibri Light"/>
        </w:rPr>
        <w:t>:</w:t>
      </w:r>
    </w:p>
    <w:p w14:paraId="655312AA" w14:textId="457EAFE8" w:rsidR="00556720" w:rsidRPr="00556720" w:rsidRDefault="00556720" w:rsidP="0087794A">
      <w:pPr>
        <w:pStyle w:val="ListParagraph"/>
        <w:numPr>
          <w:ilvl w:val="0"/>
          <w:numId w:val="347"/>
        </w:numPr>
        <w:spacing w:line="259" w:lineRule="auto"/>
        <w:jc w:val="both"/>
        <w:rPr>
          <w:rFonts w:ascii="Calibri Light" w:hAnsi="Calibri Light" w:cs="Calibri Light"/>
        </w:rPr>
      </w:pPr>
      <w:r w:rsidRPr="0087794A">
        <w:rPr>
          <w:rFonts w:ascii="Calibri Light" w:hAnsi="Calibri Light" w:cs="Calibri Light"/>
        </w:rPr>
        <w:t xml:space="preserve">The MD national contribution would </w:t>
      </w:r>
      <w:r w:rsidR="008C597A" w:rsidRPr="0087794A">
        <w:rPr>
          <w:rFonts w:ascii="Calibri Light" w:hAnsi="Calibri Light" w:cs="Calibri Light"/>
        </w:rPr>
        <w:t>require the use of biomass above the resources that can be exploited in a sustainable manner in Serbia</w:t>
      </w:r>
      <w:r w:rsidRPr="0087794A">
        <w:rPr>
          <w:rFonts w:ascii="Calibri Light" w:hAnsi="Calibri Light" w:cs="Calibri Light"/>
        </w:rPr>
        <w:t xml:space="preserve">. </w:t>
      </w:r>
      <w:r w:rsidRPr="00556720">
        <w:rPr>
          <w:rFonts w:ascii="Calibri Light" w:hAnsi="Calibri Light" w:cs="Calibri Light"/>
        </w:rPr>
        <w:t xml:space="preserve">The necessary </w:t>
      </w:r>
      <w:r w:rsidR="008C597A" w:rsidRPr="0087794A">
        <w:rPr>
          <w:rFonts w:ascii="Calibri Light" w:hAnsi="Calibri Light" w:cs="Calibri Light"/>
        </w:rPr>
        <w:t xml:space="preserve">primary production of biomass </w:t>
      </w:r>
      <w:r w:rsidR="008176E9" w:rsidRPr="008176E9">
        <w:rPr>
          <w:rFonts w:ascii="Calibri Light" w:hAnsi="Calibri Light" w:cs="Calibri Light"/>
        </w:rPr>
        <w:t>to</w:t>
      </w:r>
      <w:r w:rsidR="008C597A" w:rsidRPr="0087794A">
        <w:rPr>
          <w:rFonts w:ascii="Calibri Light" w:hAnsi="Calibri Light" w:cs="Calibri Light"/>
        </w:rPr>
        <w:t xml:space="preserve"> reach this target was estimated to be 1.9 Mtoe by 2030 which is above the level the estimated sustainable potential for agricultural and forest biomass</w:t>
      </w:r>
      <w:r w:rsidR="008176E9">
        <w:rPr>
          <w:rFonts w:ascii="Calibri Light" w:hAnsi="Calibri Light" w:cs="Calibri Light"/>
        </w:rPr>
        <w:t xml:space="preserve"> (current s</w:t>
      </w:r>
      <w:r w:rsidR="008C597A" w:rsidRPr="0087794A">
        <w:rPr>
          <w:rFonts w:ascii="Calibri Light" w:hAnsi="Calibri Light" w:cs="Calibri Light"/>
        </w:rPr>
        <w:t>tudies put the technical potential at the level of 1.9-2.0Mtoe but sustainability criteria considerations reduce this level</w:t>
      </w:r>
      <w:r w:rsidR="008176E9">
        <w:rPr>
          <w:rFonts w:ascii="Calibri Light" w:hAnsi="Calibri Light" w:cs="Calibri Light"/>
        </w:rPr>
        <w:t>)</w:t>
      </w:r>
      <w:r w:rsidR="008C597A" w:rsidRPr="0087794A">
        <w:rPr>
          <w:rFonts w:ascii="Calibri Light" w:hAnsi="Calibri Light" w:cs="Calibri Light"/>
        </w:rPr>
        <w:t>.</w:t>
      </w:r>
      <w:r w:rsidRPr="00556720">
        <w:rPr>
          <w:rFonts w:ascii="Calibri Light" w:hAnsi="Calibri Light" w:cs="Calibri Light"/>
        </w:rPr>
        <w:t xml:space="preserve"> The </w:t>
      </w:r>
      <w:r>
        <w:rPr>
          <w:rFonts w:ascii="Calibri Light" w:hAnsi="Calibri Light" w:cs="Calibri Light"/>
        </w:rPr>
        <w:t>INECP national contribution</w:t>
      </w:r>
      <w:r w:rsidRPr="00556720">
        <w:rPr>
          <w:rFonts w:ascii="Calibri Light" w:hAnsi="Calibri Light" w:cs="Calibri Light"/>
        </w:rPr>
        <w:t xml:space="preserve"> </w:t>
      </w:r>
      <w:r>
        <w:rPr>
          <w:rFonts w:ascii="Calibri Light" w:hAnsi="Calibri Light" w:cs="Calibri Light"/>
        </w:rPr>
        <w:t>requires</w:t>
      </w:r>
      <w:r w:rsidRPr="00556720">
        <w:rPr>
          <w:rFonts w:ascii="Calibri Light" w:hAnsi="Calibri Light" w:cs="Calibri Light"/>
        </w:rPr>
        <w:t xml:space="preserve"> a primary production of 1.7Mtoe of biomass in 2030</w:t>
      </w:r>
      <w:r>
        <w:rPr>
          <w:rFonts w:ascii="Calibri Light" w:hAnsi="Calibri Light" w:cs="Calibri Light"/>
        </w:rPr>
        <w:t xml:space="preserve">, </w:t>
      </w:r>
      <w:r w:rsidRPr="00556720">
        <w:rPr>
          <w:rFonts w:ascii="Calibri Light" w:hAnsi="Calibri Light" w:cs="Calibri Light"/>
        </w:rPr>
        <w:t>close to today’s level, but consumed in more efficient devices.</w:t>
      </w:r>
    </w:p>
    <w:p w14:paraId="115FE1E4" w14:textId="095DB252" w:rsidR="008F7C0C" w:rsidRPr="008F7C0C" w:rsidRDefault="008F7C0C" w:rsidP="0087794A">
      <w:pPr>
        <w:spacing w:line="259" w:lineRule="auto"/>
        <w:jc w:val="both"/>
        <w:rPr>
          <w:rFonts w:ascii="Calibri Light" w:hAnsi="Calibri Light" w:cs="Calibri Light"/>
        </w:rPr>
      </w:pPr>
      <w:r w:rsidRPr="0087794A">
        <w:rPr>
          <w:rFonts w:ascii="Calibri Light" w:hAnsi="Calibri Light" w:cs="Calibri Light"/>
        </w:rPr>
        <w:t xml:space="preserve">For the </w:t>
      </w:r>
      <w:r>
        <w:rPr>
          <w:rFonts w:ascii="Calibri Light" w:hAnsi="Calibri Light" w:cs="Calibri Light"/>
        </w:rPr>
        <w:t>s</w:t>
      </w:r>
      <w:r w:rsidRPr="0087794A">
        <w:rPr>
          <w:rFonts w:ascii="Calibri Light" w:hAnsi="Calibri Light" w:cs="Calibri Light"/>
        </w:rPr>
        <w:t xml:space="preserve">pecific case </w:t>
      </w:r>
      <w:r>
        <w:rPr>
          <w:rFonts w:ascii="Calibri Light" w:hAnsi="Calibri Light" w:cs="Calibri Light"/>
        </w:rPr>
        <w:t xml:space="preserve">of the </w:t>
      </w:r>
      <w:r w:rsidRPr="0087794A">
        <w:rPr>
          <w:rFonts w:ascii="Calibri Light" w:hAnsi="Calibri Light" w:cs="Calibri Light"/>
        </w:rPr>
        <w:t xml:space="preserve">target </w:t>
      </w:r>
      <w:r>
        <w:rPr>
          <w:rFonts w:ascii="Calibri Light" w:hAnsi="Calibri Light" w:cs="Calibri Light"/>
        </w:rPr>
        <w:t xml:space="preserve">in the </w:t>
      </w:r>
      <w:r w:rsidRPr="0087794A">
        <w:rPr>
          <w:rFonts w:ascii="Calibri Light" w:hAnsi="Calibri Light" w:cs="Calibri Light"/>
        </w:rPr>
        <w:t>heating and cooling sector</w:t>
      </w:r>
      <w:r>
        <w:rPr>
          <w:rFonts w:ascii="Calibri Light" w:hAnsi="Calibri Light" w:cs="Calibri Light"/>
        </w:rPr>
        <w:t xml:space="preserve">, it should be noted that </w:t>
      </w:r>
      <w:r w:rsidRPr="0087794A">
        <w:rPr>
          <w:rFonts w:ascii="Calibri Light" w:hAnsi="Calibri Light" w:cs="Calibri Light"/>
        </w:rPr>
        <w:t xml:space="preserve">the indicative targets from Article 23 of RED II, </w:t>
      </w:r>
      <w:r>
        <w:rPr>
          <w:rFonts w:ascii="Calibri Light" w:hAnsi="Calibri Light" w:cs="Calibri Light"/>
        </w:rPr>
        <w:t>are</w:t>
      </w:r>
      <w:r w:rsidRPr="0087794A">
        <w:rPr>
          <w:rFonts w:ascii="Calibri Light" w:hAnsi="Calibri Light" w:cs="Calibri Light"/>
        </w:rPr>
        <w:t xml:space="preserve"> not binding and the EnC member</w:t>
      </w:r>
      <w:r>
        <w:rPr>
          <w:rFonts w:ascii="Calibri Light" w:hAnsi="Calibri Light" w:cs="Calibri Light"/>
        </w:rPr>
        <w:t>s</w:t>
      </w:r>
      <w:r w:rsidRPr="0087794A">
        <w:rPr>
          <w:rFonts w:ascii="Calibri Light" w:hAnsi="Calibri Light" w:cs="Calibri Light"/>
        </w:rPr>
        <w:t xml:space="preserve"> </w:t>
      </w:r>
      <w:r>
        <w:rPr>
          <w:rFonts w:ascii="Calibri Light" w:hAnsi="Calibri Light" w:cs="Calibri Light"/>
        </w:rPr>
        <w:t>are</w:t>
      </w:r>
      <w:r w:rsidRPr="0087794A">
        <w:rPr>
          <w:rFonts w:ascii="Calibri Light" w:hAnsi="Calibri Light" w:cs="Calibri Light"/>
        </w:rPr>
        <w:t xml:space="preserve"> not obliged to monitor the growth of 1,1% RES per year in the heating and cooling sector. </w:t>
      </w:r>
      <w:r w:rsidR="003D0623">
        <w:rPr>
          <w:rFonts w:ascii="Calibri Light" w:hAnsi="Calibri Light" w:cs="Calibri Light"/>
        </w:rPr>
        <w:t>Achieving</w:t>
      </w:r>
      <w:r w:rsidRPr="0087794A">
        <w:rPr>
          <w:rFonts w:ascii="Calibri Light" w:hAnsi="Calibri Light" w:cs="Calibri Light"/>
        </w:rPr>
        <w:t xml:space="preserve"> </w:t>
      </w:r>
      <w:r w:rsidR="003D0623">
        <w:rPr>
          <w:rFonts w:ascii="Calibri Light" w:hAnsi="Calibri Light" w:cs="Calibri Light"/>
        </w:rPr>
        <w:t xml:space="preserve">an </w:t>
      </w:r>
      <w:r w:rsidRPr="0087794A">
        <w:rPr>
          <w:rFonts w:ascii="Calibri Light" w:hAnsi="Calibri Light" w:cs="Calibri Light"/>
        </w:rPr>
        <w:t xml:space="preserve">average growth rate </w:t>
      </w:r>
      <w:r w:rsidR="003D0623">
        <w:rPr>
          <w:rFonts w:ascii="Calibri Light" w:hAnsi="Calibri Light" w:cs="Calibri Light"/>
        </w:rPr>
        <w:t>of</w:t>
      </w:r>
      <w:r w:rsidRPr="0087794A">
        <w:rPr>
          <w:rFonts w:ascii="Calibri Light" w:hAnsi="Calibri Light" w:cs="Calibri Light"/>
        </w:rPr>
        <w:t xml:space="preserve"> 1.1% per year </w:t>
      </w:r>
      <w:r w:rsidR="003D0623">
        <w:rPr>
          <w:rFonts w:ascii="Calibri Light" w:hAnsi="Calibri Light" w:cs="Calibri Light"/>
        </w:rPr>
        <w:t>would require the</w:t>
      </w:r>
      <w:r w:rsidRPr="0087794A">
        <w:rPr>
          <w:rFonts w:ascii="Calibri Light" w:hAnsi="Calibri Light" w:cs="Calibri Light"/>
        </w:rPr>
        <w:t xml:space="preserve"> </w:t>
      </w:r>
      <w:r w:rsidR="003D0623">
        <w:rPr>
          <w:rFonts w:ascii="Calibri Light" w:hAnsi="Calibri Light" w:cs="Calibri Light"/>
        </w:rPr>
        <w:t>over-optimistic</w:t>
      </w:r>
      <w:r w:rsidRPr="0087794A">
        <w:rPr>
          <w:rFonts w:ascii="Calibri Light" w:hAnsi="Calibri Light" w:cs="Calibri Light"/>
        </w:rPr>
        <w:t xml:space="preserve"> assumptions described above regarding the sustainable potential of biomass and the rate of introduction and </w:t>
      </w:r>
      <w:r w:rsidR="003D0623">
        <w:rPr>
          <w:rFonts w:ascii="Calibri Light" w:hAnsi="Calibri Light" w:cs="Calibri Light"/>
        </w:rPr>
        <w:t>SPF</w:t>
      </w:r>
      <w:r w:rsidRPr="0087794A">
        <w:rPr>
          <w:rFonts w:ascii="Calibri Light" w:hAnsi="Calibri Light" w:cs="Calibri Light"/>
        </w:rPr>
        <w:t xml:space="preserve"> of heat pumps.</w:t>
      </w:r>
      <w:r w:rsidR="003D0623">
        <w:rPr>
          <w:rFonts w:ascii="Calibri Light" w:hAnsi="Calibri Light" w:cs="Calibri Light"/>
        </w:rPr>
        <w:t xml:space="preserve"> With the </w:t>
      </w:r>
      <w:r w:rsidRPr="008F7C0C">
        <w:rPr>
          <w:rFonts w:ascii="Calibri Light" w:hAnsi="Calibri Light" w:cs="Calibri Light"/>
        </w:rPr>
        <w:t>more realistic assumptions</w:t>
      </w:r>
      <w:r w:rsidR="003D0623">
        <w:rPr>
          <w:rFonts w:ascii="Calibri Light" w:hAnsi="Calibri Light" w:cs="Calibri Light"/>
        </w:rPr>
        <w:t xml:space="preserve"> applied for the calculation of the INECP national contribution, </w:t>
      </w:r>
      <w:r w:rsidRPr="008F7C0C">
        <w:rPr>
          <w:rFonts w:ascii="Calibri Light" w:hAnsi="Calibri Light" w:cs="Calibri Light"/>
        </w:rPr>
        <w:t>an average annual growth rate of 0.6% per year until 2030</w:t>
      </w:r>
      <w:r w:rsidR="003D0623">
        <w:rPr>
          <w:rFonts w:ascii="Calibri Light" w:hAnsi="Calibri Light" w:cs="Calibri Light"/>
        </w:rPr>
        <w:t xml:space="preserve"> is achieved</w:t>
      </w:r>
      <w:r w:rsidRPr="008F7C0C">
        <w:rPr>
          <w:rFonts w:ascii="Calibri Light" w:hAnsi="Calibri Light" w:cs="Calibri Light"/>
        </w:rPr>
        <w:t>.</w:t>
      </w:r>
    </w:p>
    <w:p w14:paraId="1A5CD9EB" w14:textId="0EDDDFE0" w:rsidR="008C597A" w:rsidRDefault="008176E9" w:rsidP="008C597A">
      <w:pPr>
        <w:spacing w:line="259" w:lineRule="auto"/>
        <w:jc w:val="both"/>
        <w:rPr>
          <w:rFonts w:ascii="Calibri Light" w:hAnsi="Calibri Light" w:cs="Calibri Light"/>
        </w:rPr>
      </w:pPr>
      <w:r>
        <w:rPr>
          <w:rFonts w:ascii="Calibri Light" w:hAnsi="Calibri Light" w:cs="Calibri Light"/>
        </w:rPr>
        <w:t xml:space="preserve">The above considerations indicate that the </w:t>
      </w:r>
      <w:r w:rsidRPr="008176E9">
        <w:rPr>
          <w:rFonts w:ascii="Calibri Light" w:hAnsi="Calibri Light" w:cs="Calibri Light"/>
        </w:rPr>
        <w:t xml:space="preserve">national contribution </w:t>
      </w:r>
      <w:r>
        <w:rPr>
          <w:rFonts w:ascii="Calibri Light" w:hAnsi="Calibri Light" w:cs="Calibri Light"/>
        </w:rPr>
        <w:t>of 33,6% of RES in GFEC as documented in this INECP is acceptable, achievable but also very ambitious to be met in the short time period until 2030.</w:t>
      </w:r>
    </w:p>
    <w:p w14:paraId="0D4ABED7" w14:textId="77777777" w:rsidR="00606D94" w:rsidRPr="00431320" w:rsidRDefault="00606D94" w:rsidP="000007D2">
      <w:pPr>
        <w:jc w:val="both"/>
        <w:rPr>
          <w:rFonts w:ascii="Calibri Light" w:hAnsi="Calibri Light" w:cs="Calibri Light"/>
          <w:lang w:val="en-US"/>
        </w:rPr>
      </w:pPr>
      <w:r w:rsidRPr="00431320">
        <w:rPr>
          <w:rFonts w:ascii="Calibri Light" w:hAnsi="Calibri Light" w:cs="Calibri Light"/>
        </w:rPr>
        <w:t xml:space="preserve">However, intensive discussions with all relevant stakeholders and taking into account the </w:t>
      </w:r>
      <w:r w:rsidRPr="00431320">
        <w:rPr>
          <w:rFonts w:ascii="Calibri Light" w:hAnsi="Calibri Light" w:cs="Calibri Light"/>
          <w:lang w:val="en-US"/>
        </w:rPr>
        <w:t>“</w:t>
      </w:r>
      <w:r w:rsidRPr="00431320">
        <w:rPr>
          <w:rFonts w:ascii="Calibri Light" w:hAnsi="Calibri Light" w:cs="Calibri Light"/>
          <w:b/>
          <w:bCs/>
          <w:lang w:val="sr-Latn-RS"/>
        </w:rPr>
        <w:t xml:space="preserve">Basic Principles of Energy Infrastructure Development Plan and Energy Efficiency Measures for the period until 2028 with projections until 2030“ (Goverment’s Conclusion on adoption  05 no. </w:t>
      </w:r>
      <w:bookmarkStart w:id="110" w:name="_Hlk148697763"/>
      <w:r w:rsidRPr="00431320">
        <w:rPr>
          <w:rFonts w:ascii="Calibri Light" w:hAnsi="Calibri Light" w:cs="Calibri Light"/>
          <w:b/>
          <w:bCs/>
          <w:lang w:val="sr-Latn-RS"/>
        </w:rPr>
        <w:t>312-5262/2023-1</w:t>
      </w:r>
      <w:bookmarkEnd w:id="110"/>
      <w:r w:rsidRPr="00431320">
        <w:rPr>
          <w:rFonts w:ascii="Calibri Light" w:hAnsi="Calibri Light" w:cs="Calibri Light"/>
          <w:b/>
          <w:bCs/>
          <w:lang w:val="sr-Latn-RS"/>
        </w:rPr>
        <w:t xml:space="preserve"> from </w:t>
      </w:r>
      <w:bookmarkStart w:id="111" w:name="_Hlk148697771"/>
      <w:r w:rsidRPr="00431320">
        <w:rPr>
          <w:rFonts w:ascii="Calibri Light" w:hAnsi="Calibri Light" w:cs="Calibri Light"/>
          <w:b/>
          <w:bCs/>
          <w:lang w:val="sr-Latn-RS"/>
        </w:rPr>
        <w:t>15/6/2023</w:t>
      </w:r>
      <w:bookmarkEnd w:id="111"/>
      <w:r w:rsidRPr="00431320">
        <w:rPr>
          <w:rFonts w:ascii="Calibri Light" w:hAnsi="Calibri Light" w:cs="Calibri Light"/>
          <w:b/>
          <w:bCs/>
          <w:lang w:val="sr-Latn-RS"/>
        </w:rPr>
        <w:t xml:space="preserve">) - </w:t>
      </w:r>
      <w:r w:rsidRPr="00431320">
        <w:rPr>
          <w:rFonts w:ascii="Calibri Light" w:hAnsi="Calibri Light" w:cs="Calibri Light"/>
          <w:lang w:val="en-US"/>
        </w:rPr>
        <w:t>“EIDP&amp;EEM”, a further update has been implemented with:</w:t>
      </w:r>
    </w:p>
    <w:p w14:paraId="078806DD" w14:textId="77777777" w:rsidR="00606D94" w:rsidRPr="00431320" w:rsidRDefault="00606D94" w:rsidP="00884F3B">
      <w:pPr>
        <w:pStyle w:val="ListParagraph"/>
        <w:numPr>
          <w:ilvl w:val="0"/>
          <w:numId w:val="265"/>
        </w:numPr>
        <w:spacing w:before="120" w:after="240"/>
        <w:jc w:val="both"/>
        <w:rPr>
          <w:rFonts w:ascii="Calibri Light" w:hAnsi="Calibri Light" w:cs="Calibri Light"/>
        </w:rPr>
      </w:pPr>
      <w:r w:rsidRPr="00431320">
        <w:rPr>
          <w:rFonts w:ascii="Calibri Light" w:hAnsi="Calibri Light" w:cs="Calibri Light"/>
        </w:rPr>
        <w:lastRenderedPageBreak/>
        <w:t>The introduction of a gas fired power plant operating by 2029, which supports the reduction of generation from lignite but also offers the necessary stability to the power system. This led to a slight reduction of the share of RES in electricity generation.</w:t>
      </w:r>
    </w:p>
    <w:p w14:paraId="087C0E13" w14:textId="77777777" w:rsidR="00606D94" w:rsidRPr="00431320" w:rsidRDefault="00606D94" w:rsidP="00884F3B">
      <w:pPr>
        <w:pStyle w:val="ListParagraph"/>
        <w:numPr>
          <w:ilvl w:val="0"/>
          <w:numId w:val="265"/>
        </w:numPr>
        <w:spacing w:before="120" w:after="240"/>
        <w:jc w:val="both"/>
        <w:rPr>
          <w:rFonts w:ascii="Calibri Light" w:hAnsi="Calibri Light" w:cs="Calibri Light"/>
        </w:rPr>
      </w:pPr>
      <w:r w:rsidRPr="00431320">
        <w:rPr>
          <w:rFonts w:ascii="Calibri Light" w:hAnsi="Calibri Light" w:cs="Calibri Light"/>
        </w:rPr>
        <w:t>A reduced operation of the lignite fired plants (reduced by 25% in 2030 compared to 2021) as a result of the gas fired plant.</w:t>
      </w:r>
    </w:p>
    <w:p w14:paraId="1A34B4D0" w14:textId="77777777" w:rsidR="00606D94" w:rsidRPr="00431320" w:rsidRDefault="00606D94" w:rsidP="00884F3B">
      <w:pPr>
        <w:pStyle w:val="ListParagraph"/>
        <w:numPr>
          <w:ilvl w:val="0"/>
          <w:numId w:val="265"/>
        </w:numPr>
        <w:spacing w:before="120" w:after="240"/>
        <w:jc w:val="both"/>
        <w:rPr>
          <w:rFonts w:ascii="Calibri Light" w:hAnsi="Calibri Light" w:cs="Calibri Light"/>
        </w:rPr>
      </w:pPr>
      <w:r w:rsidRPr="00431320">
        <w:rPr>
          <w:rFonts w:ascii="Calibri Light" w:hAnsi="Calibri Light" w:cs="Calibri Light"/>
        </w:rPr>
        <w:t>Incorporating a more realistic cost of investing in transmission system expansion in the case of introducing more variable RES in electricity generation.</w:t>
      </w:r>
    </w:p>
    <w:p w14:paraId="73095518" w14:textId="115745EA" w:rsidR="00606D94" w:rsidRPr="00431320" w:rsidRDefault="00606D94" w:rsidP="00884F3B">
      <w:pPr>
        <w:pStyle w:val="ListParagraph"/>
        <w:numPr>
          <w:ilvl w:val="0"/>
          <w:numId w:val="265"/>
        </w:numPr>
        <w:spacing w:before="120" w:after="240"/>
        <w:jc w:val="both"/>
        <w:rPr>
          <w:rFonts w:ascii="Calibri Light" w:hAnsi="Calibri Light" w:cs="Calibri Light"/>
        </w:rPr>
      </w:pPr>
      <w:r w:rsidRPr="00431320">
        <w:rPr>
          <w:rFonts w:ascii="Calibri Light" w:hAnsi="Calibri Light" w:cs="Calibri Light"/>
        </w:rPr>
        <w:t xml:space="preserve">A more realistic penetration of biofuels in transportation (reducing the total amount of biofuels in 2030 from </w:t>
      </w:r>
      <w:bookmarkStart w:id="112" w:name="_Hlk148698957"/>
      <w:r w:rsidRPr="00431320">
        <w:rPr>
          <w:rFonts w:ascii="Calibri Light" w:hAnsi="Calibri Light" w:cs="Calibri Light"/>
        </w:rPr>
        <w:t>70ktoe to 49ktoe</w:t>
      </w:r>
      <w:bookmarkEnd w:id="112"/>
      <w:r w:rsidRPr="00431320">
        <w:rPr>
          <w:rFonts w:ascii="Calibri Light" w:hAnsi="Calibri Light" w:cs="Calibri Light"/>
        </w:rPr>
        <w:t>) and a more realistic introduction of electric vehicles (reducing the total number of EVs in 2030 from 77.6 thousand to 44.8 thousand), which led to a slightly lower share of RES in transportation.</w:t>
      </w:r>
    </w:p>
    <w:p w14:paraId="48126923" w14:textId="77777777" w:rsidR="00655545" w:rsidRPr="000007D2" w:rsidRDefault="00606D94" w:rsidP="000007D2">
      <w:pPr>
        <w:spacing w:before="120" w:after="240"/>
        <w:jc w:val="both"/>
        <w:rPr>
          <w:rFonts w:ascii="Calibri Light" w:hAnsi="Calibri Light" w:cs="Calibri Light"/>
        </w:rPr>
      </w:pPr>
      <w:r w:rsidRPr="00431320">
        <w:rPr>
          <w:rFonts w:ascii="Calibri Light" w:hAnsi="Calibri Light" w:cs="Calibri Light"/>
        </w:rPr>
        <w:t>This analysis led to a share of 33</w:t>
      </w:r>
      <w:r>
        <w:rPr>
          <w:rFonts w:ascii="Calibri Light" w:hAnsi="Calibri Light" w:cs="Calibri Light"/>
        </w:rPr>
        <w:t>.</w:t>
      </w:r>
      <w:r w:rsidRPr="00431320">
        <w:rPr>
          <w:rFonts w:ascii="Calibri Light" w:hAnsi="Calibri Light" w:cs="Calibri Light"/>
        </w:rPr>
        <w:t xml:space="preserve">6% of RES in the GFEC as an acceptable and achievable target aligned with the same level of ambition for the reduction of greenhouse gas emissions which remains at the same level as before, </w:t>
      </w:r>
      <w:r w:rsidRPr="00060B5A">
        <w:rPr>
          <w:rFonts w:ascii="Calibri Light" w:hAnsi="Calibri Light" w:cs="Calibri Light"/>
        </w:rPr>
        <w:t>consistent</w:t>
      </w:r>
      <w:r w:rsidRPr="00431320">
        <w:rPr>
          <w:rFonts w:ascii="Calibri Light" w:hAnsi="Calibri Light" w:cs="Calibri Light"/>
        </w:rPr>
        <w:t xml:space="preserve"> with the country’s Low Carbon Development Strategy. The sectoral shares were reviewed to be 45.2% RES in electricity generation, 3.2% RES in transportation (without multipliers) and 41.4% RES in heating.</w:t>
      </w:r>
    </w:p>
    <w:p w14:paraId="05584174" w14:textId="77777777" w:rsidR="00653D73" w:rsidRPr="005B2C66" w:rsidRDefault="00655545" w:rsidP="00653D73">
      <w:pPr>
        <w:spacing w:before="120" w:after="120" w:line="276" w:lineRule="auto"/>
        <w:ind w:right="194"/>
        <w:jc w:val="both"/>
        <w:rPr>
          <w:rFonts w:asciiTheme="majorHAnsi" w:hAnsiTheme="majorHAnsi" w:cstheme="majorHAnsi"/>
          <w:lang w:val="en-US"/>
        </w:rPr>
      </w:pPr>
      <w:r>
        <w:rPr>
          <w:rFonts w:asciiTheme="majorHAnsi" w:hAnsiTheme="majorHAnsi" w:cstheme="majorHAnsi"/>
        </w:rPr>
        <w:t>The</w:t>
      </w:r>
      <w:r w:rsidRPr="00A33AE8">
        <w:rPr>
          <w:rFonts w:asciiTheme="majorHAnsi" w:hAnsiTheme="majorHAnsi" w:cstheme="majorHAnsi"/>
        </w:rPr>
        <w:t xml:space="preserve"> </w:t>
      </w:r>
      <w:r w:rsidR="00653D73" w:rsidRPr="00A33AE8">
        <w:rPr>
          <w:rFonts w:asciiTheme="majorHAnsi" w:hAnsiTheme="majorHAnsi" w:cstheme="majorHAnsi"/>
        </w:rPr>
        <w:t xml:space="preserve">specified objectives for </w:t>
      </w:r>
      <w:r w:rsidR="00653D73" w:rsidRPr="00A33AE8">
        <w:rPr>
          <w:rFonts w:asciiTheme="majorHAnsi" w:hAnsiTheme="majorHAnsi" w:cstheme="majorHAnsi"/>
          <w:b/>
          <w:bCs/>
        </w:rPr>
        <w:t>the penetration of RES are related directly to the evolution of final consumption necessitating the achievement of the relevant energy efficiency targets</w:t>
      </w:r>
      <w:r w:rsidR="00653D73" w:rsidRPr="00A33AE8">
        <w:rPr>
          <w:rFonts w:asciiTheme="majorHAnsi" w:hAnsiTheme="majorHAnsi" w:cstheme="majorHAnsi"/>
        </w:rPr>
        <w:t>. Apparently, the key pillar for fulfilling the national objective for the penetration of RES is the contribution of RES in the electricity consumption</w:t>
      </w:r>
      <w:r w:rsidR="0010360B">
        <w:rPr>
          <w:rFonts w:asciiTheme="majorHAnsi" w:hAnsiTheme="majorHAnsi" w:cstheme="majorHAnsi"/>
        </w:rPr>
        <w:t>,</w:t>
      </w:r>
      <w:r w:rsidR="00653D73" w:rsidRPr="00A33AE8">
        <w:rPr>
          <w:rFonts w:asciiTheme="majorHAnsi" w:hAnsiTheme="majorHAnsi" w:cstheme="majorHAnsi"/>
        </w:rPr>
        <w:t xml:space="preserve"> </w:t>
      </w:r>
      <w:r w:rsidR="0010360B">
        <w:rPr>
          <w:rFonts w:asciiTheme="majorHAnsi" w:hAnsiTheme="majorHAnsi" w:cstheme="majorHAnsi"/>
        </w:rPr>
        <w:t xml:space="preserve">which </w:t>
      </w:r>
      <w:r w:rsidR="00653D73" w:rsidRPr="00A33AE8">
        <w:rPr>
          <w:rFonts w:asciiTheme="majorHAnsi" w:hAnsiTheme="majorHAnsi" w:cstheme="majorHAnsi"/>
        </w:rPr>
        <w:t>high</w:t>
      </w:r>
      <w:r w:rsidR="0010360B">
        <w:rPr>
          <w:rFonts w:asciiTheme="majorHAnsi" w:hAnsiTheme="majorHAnsi" w:cstheme="majorHAnsi"/>
        </w:rPr>
        <w:t>ly</w:t>
      </w:r>
      <w:r w:rsidR="00653D73" w:rsidRPr="00A33AE8">
        <w:rPr>
          <w:rFonts w:asciiTheme="majorHAnsi" w:hAnsiTheme="majorHAnsi" w:cstheme="majorHAnsi"/>
        </w:rPr>
        <w:t xml:space="preserve"> demand</w:t>
      </w:r>
      <w:r w:rsidR="0010360B">
        <w:rPr>
          <w:rFonts w:asciiTheme="majorHAnsi" w:hAnsiTheme="majorHAnsi" w:cstheme="majorHAnsi"/>
        </w:rPr>
        <w:t>s</w:t>
      </w:r>
      <w:r w:rsidR="00653D73" w:rsidRPr="00A33AE8">
        <w:rPr>
          <w:rFonts w:asciiTheme="majorHAnsi" w:hAnsiTheme="majorHAnsi" w:cstheme="majorHAnsi"/>
        </w:rPr>
        <w:t xml:space="preserve"> for the timely and efficient implementation of the planned policies and measures.</w:t>
      </w:r>
    </w:p>
    <w:p w14:paraId="25D3BB89" w14:textId="77777777" w:rsidR="00653D73" w:rsidRPr="00A33AE8" w:rsidRDefault="00653D73" w:rsidP="00653D73">
      <w:pPr>
        <w:spacing w:before="120" w:after="120" w:line="276" w:lineRule="auto"/>
        <w:ind w:right="194"/>
        <w:jc w:val="both"/>
        <w:rPr>
          <w:rFonts w:asciiTheme="majorHAnsi" w:hAnsiTheme="majorHAnsi" w:cstheme="majorHAnsi"/>
        </w:rPr>
      </w:pPr>
      <w:r w:rsidRPr="00A33AE8">
        <w:rPr>
          <w:rFonts w:asciiTheme="majorHAnsi" w:hAnsiTheme="majorHAnsi"/>
        </w:rPr>
        <w:t>Despite the fact that the target can be assessed as ambitious, it can be assessed also as realistic taking into consideration both the technical and economic potential and the entrepreneurial interest already expressed.</w:t>
      </w:r>
    </w:p>
    <w:p w14:paraId="46CE39AE" w14:textId="77777777" w:rsidR="00653D73" w:rsidRPr="00A33AE8" w:rsidRDefault="00653D73" w:rsidP="00653D73">
      <w:pPr>
        <w:spacing w:before="120" w:after="120" w:line="276" w:lineRule="auto"/>
        <w:ind w:right="194"/>
        <w:jc w:val="both"/>
        <w:rPr>
          <w:rFonts w:asciiTheme="majorHAnsi" w:hAnsiTheme="majorHAnsi" w:cstheme="majorHAnsi"/>
        </w:rPr>
      </w:pPr>
      <w:r w:rsidRPr="00A33AE8">
        <w:rPr>
          <w:rFonts w:asciiTheme="majorHAnsi" w:hAnsiTheme="majorHAnsi" w:cstheme="majorHAnsi"/>
        </w:rPr>
        <w:t xml:space="preserve">The </w:t>
      </w:r>
      <w:r w:rsidRPr="00A33AE8">
        <w:rPr>
          <w:rFonts w:asciiTheme="majorHAnsi" w:hAnsiTheme="majorHAnsi" w:cstheme="majorHAnsi"/>
          <w:b/>
          <w:bCs/>
        </w:rPr>
        <w:t>electrification and the coupling of the final consumption sectors</w:t>
      </w:r>
      <w:r w:rsidRPr="00A33AE8">
        <w:rPr>
          <w:rFonts w:asciiTheme="majorHAnsi" w:hAnsiTheme="majorHAnsi" w:cstheme="majorHAnsi"/>
        </w:rPr>
        <w:t xml:space="preserve"> are also promoted in order to increase the share of RES in the final energy consumption. Initially, the </w:t>
      </w:r>
      <w:r w:rsidRPr="00A33AE8">
        <w:rPr>
          <w:rFonts w:asciiTheme="majorHAnsi" w:hAnsiTheme="majorHAnsi" w:cstheme="majorHAnsi"/>
          <w:b/>
          <w:bCs/>
        </w:rPr>
        <w:t>gradual electrification of the transport sector</w:t>
      </w:r>
      <w:r w:rsidRPr="00A33AE8">
        <w:rPr>
          <w:rFonts w:asciiTheme="majorHAnsi" w:hAnsiTheme="majorHAnsi" w:cstheme="majorHAnsi"/>
        </w:rPr>
        <w:t xml:space="preserve"> comprises a major challenge until 2030. More specifically, a considerable penetration of electric vehicles is expected to substantially influence a number of dimensions in the </w:t>
      </w:r>
      <w:r w:rsidR="00723D73">
        <w:rPr>
          <w:rFonts w:asciiTheme="majorHAnsi" w:hAnsiTheme="majorHAnsi" w:cstheme="majorHAnsi"/>
        </w:rPr>
        <w:t>I</w:t>
      </w:r>
      <w:r w:rsidRPr="00A33AE8">
        <w:rPr>
          <w:rFonts w:asciiTheme="majorHAnsi" w:hAnsiTheme="majorHAnsi" w:cstheme="majorHAnsi"/>
        </w:rPr>
        <w:t xml:space="preserve">NECP. The aim is to achieve this penetration at the most cost-effective approach for the national economy, while ensuring that certain prerequisites for the electrification of the transport sector, such as the simultaneous development of the charging infrastructure and the adoption of the regulatory framework are timely </w:t>
      </w:r>
      <w:r w:rsidR="00606D25" w:rsidRPr="00A33AE8">
        <w:rPr>
          <w:rFonts w:asciiTheme="majorHAnsi" w:hAnsiTheme="majorHAnsi" w:cstheme="majorHAnsi"/>
        </w:rPr>
        <w:t>fulfilled.</w:t>
      </w:r>
    </w:p>
    <w:p w14:paraId="7087A9EA" w14:textId="77777777" w:rsidR="00653D73" w:rsidRPr="00A33AE8" w:rsidRDefault="00653D73" w:rsidP="00653D73">
      <w:pPr>
        <w:spacing w:before="120" w:after="120" w:line="276" w:lineRule="auto"/>
        <w:ind w:right="194"/>
        <w:jc w:val="both"/>
        <w:rPr>
          <w:rFonts w:asciiTheme="majorHAnsi" w:hAnsiTheme="majorHAnsi" w:cstheme="majorHAnsi"/>
        </w:rPr>
      </w:pPr>
      <w:r w:rsidRPr="00A33AE8">
        <w:rPr>
          <w:rFonts w:asciiTheme="majorHAnsi" w:hAnsiTheme="majorHAnsi" w:cstheme="majorHAnsi"/>
        </w:rPr>
        <w:t xml:space="preserve">Moreover, the </w:t>
      </w:r>
      <w:r w:rsidRPr="00A33AE8">
        <w:rPr>
          <w:rFonts w:asciiTheme="majorHAnsi" w:hAnsiTheme="majorHAnsi" w:cstheme="majorHAnsi"/>
          <w:b/>
          <w:bCs/>
        </w:rPr>
        <w:t>sector coupling</w:t>
      </w:r>
      <w:r w:rsidRPr="00A33AE8">
        <w:rPr>
          <w:rFonts w:asciiTheme="majorHAnsi" w:hAnsiTheme="majorHAnsi" w:cstheme="majorHAnsi"/>
        </w:rPr>
        <w:t xml:space="preserve"> will contribute to the maximization of the RES in the different end-uses and, apparently, the electrification of different end-uses is an essential component in achieving this aim. The role of heat pumps, along with the energy storage systems and the self-consumption schemes, is critical for the fulfilment of the sector coupling. Similarly, the mixing of hydrogen or biomethane into the natural gas network will contribute also to sector coupling.</w:t>
      </w:r>
    </w:p>
    <w:p w14:paraId="1F8E70D1" w14:textId="77777777" w:rsidR="00653D73" w:rsidRPr="00A33AE8" w:rsidRDefault="00653D73" w:rsidP="00653D73">
      <w:pPr>
        <w:spacing w:before="120" w:after="120" w:line="276" w:lineRule="auto"/>
        <w:ind w:right="194"/>
        <w:jc w:val="both"/>
        <w:rPr>
          <w:rFonts w:asciiTheme="majorHAnsi" w:hAnsiTheme="majorHAnsi" w:cstheme="majorHAnsi"/>
        </w:rPr>
      </w:pPr>
      <w:r w:rsidRPr="00A33AE8">
        <w:rPr>
          <w:rFonts w:asciiTheme="majorHAnsi" w:hAnsiTheme="majorHAnsi" w:cstheme="majorHAnsi"/>
        </w:rPr>
        <w:t xml:space="preserve">An objective has also been set for </w:t>
      </w:r>
      <w:r w:rsidRPr="00A33AE8">
        <w:rPr>
          <w:rFonts w:asciiTheme="majorHAnsi" w:hAnsiTheme="majorHAnsi" w:cstheme="majorHAnsi"/>
          <w:b/>
          <w:bCs/>
        </w:rPr>
        <w:t xml:space="preserve">promoting RES technologies in buildings through </w:t>
      </w:r>
      <w:r w:rsidR="00606D25" w:rsidRPr="00A33AE8">
        <w:rPr>
          <w:rFonts w:asciiTheme="majorHAnsi" w:hAnsiTheme="majorHAnsi" w:cstheme="majorHAnsi"/>
          <w:b/>
          <w:bCs/>
        </w:rPr>
        <w:t>self-consumption</w:t>
      </w:r>
      <w:r w:rsidRPr="00A33AE8">
        <w:rPr>
          <w:rFonts w:asciiTheme="majorHAnsi" w:hAnsiTheme="majorHAnsi" w:cstheme="majorHAnsi"/>
          <w:b/>
          <w:bCs/>
        </w:rPr>
        <w:t xml:space="preserve"> schemes</w:t>
      </w:r>
      <w:r w:rsidRPr="00A33AE8">
        <w:rPr>
          <w:rFonts w:asciiTheme="majorHAnsi" w:hAnsiTheme="majorHAnsi" w:cstheme="majorHAnsi"/>
        </w:rPr>
        <w:t xml:space="preserve">. More specifically, the installed capacity of the RES technologies for electricity production </w:t>
      </w:r>
      <w:r w:rsidR="008A2E74" w:rsidRPr="00A33AE8">
        <w:rPr>
          <w:rFonts w:asciiTheme="majorHAnsi" w:hAnsiTheme="majorHAnsi" w:cstheme="majorHAnsi"/>
        </w:rPr>
        <w:t xml:space="preserve">(mainly </w:t>
      </w:r>
      <w:r w:rsidR="007742AD" w:rsidRPr="00A33AE8">
        <w:rPr>
          <w:rFonts w:asciiTheme="majorHAnsi" w:hAnsiTheme="majorHAnsi" w:cstheme="majorHAnsi"/>
        </w:rPr>
        <w:t xml:space="preserve">Roof top </w:t>
      </w:r>
      <w:r w:rsidR="008A2E74" w:rsidRPr="00A33AE8">
        <w:rPr>
          <w:rFonts w:asciiTheme="majorHAnsi" w:hAnsiTheme="majorHAnsi" w:cstheme="majorHAnsi"/>
        </w:rPr>
        <w:t xml:space="preserve">photovoltaic </w:t>
      </w:r>
      <w:r w:rsidR="007742AD" w:rsidRPr="00A33AE8">
        <w:rPr>
          <w:rFonts w:asciiTheme="majorHAnsi" w:hAnsiTheme="majorHAnsi" w:cstheme="majorHAnsi"/>
        </w:rPr>
        <w:t>systems</w:t>
      </w:r>
      <w:r w:rsidR="008A2E74" w:rsidRPr="00A33AE8">
        <w:rPr>
          <w:rFonts w:asciiTheme="majorHAnsi" w:hAnsiTheme="majorHAnsi" w:cstheme="majorHAnsi"/>
        </w:rPr>
        <w:t xml:space="preserve">) </w:t>
      </w:r>
      <w:r w:rsidRPr="00A33AE8">
        <w:rPr>
          <w:rFonts w:asciiTheme="majorHAnsi" w:hAnsiTheme="majorHAnsi" w:cstheme="majorHAnsi"/>
        </w:rPr>
        <w:t xml:space="preserve">are expected to reach up to </w:t>
      </w:r>
      <w:r w:rsidR="00DC6943" w:rsidRPr="00A33AE8">
        <w:rPr>
          <w:rFonts w:asciiTheme="majorHAnsi" w:hAnsiTheme="majorHAnsi" w:cstheme="majorHAnsi"/>
        </w:rPr>
        <w:t>0.5</w:t>
      </w:r>
      <w:r w:rsidRPr="00A33AE8">
        <w:rPr>
          <w:rFonts w:asciiTheme="majorHAnsi" w:hAnsiTheme="majorHAnsi" w:cstheme="majorHAnsi"/>
        </w:rPr>
        <w:t xml:space="preserve"> GW in 2030 being capable of covering</w:t>
      </w:r>
      <w:r w:rsidR="00DC6943" w:rsidRPr="00A33AE8">
        <w:rPr>
          <w:rFonts w:asciiTheme="majorHAnsi" w:hAnsiTheme="majorHAnsi" w:cstheme="majorHAnsi"/>
        </w:rPr>
        <w:t xml:space="preserve"> approximately</w:t>
      </w:r>
      <w:r w:rsidRPr="00A33AE8">
        <w:rPr>
          <w:rFonts w:asciiTheme="majorHAnsi" w:hAnsiTheme="majorHAnsi" w:cstheme="majorHAnsi"/>
        </w:rPr>
        <w:t xml:space="preserve"> </w:t>
      </w:r>
      <w:r w:rsidR="00DC6943" w:rsidRPr="00A33AE8">
        <w:rPr>
          <w:rFonts w:asciiTheme="majorHAnsi" w:hAnsiTheme="majorHAnsi" w:cstheme="majorHAnsi"/>
        </w:rPr>
        <w:t>5</w:t>
      </w:r>
      <w:r w:rsidRPr="00A33AE8">
        <w:rPr>
          <w:rFonts w:asciiTheme="majorHAnsi" w:hAnsiTheme="majorHAnsi" w:cstheme="majorHAnsi"/>
        </w:rPr>
        <w:t>% of the electricity consumption in residential sector.</w:t>
      </w:r>
    </w:p>
    <w:p w14:paraId="368AD0AD" w14:textId="77777777" w:rsidR="00653D73" w:rsidRPr="00A33AE8" w:rsidRDefault="00653D73" w:rsidP="00653D73">
      <w:pPr>
        <w:spacing w:before="120" w:after="120" w:line="276" w:lineRule="auto"/>
        <w:ind w:right="194"/>
        <w:jc w:val="both"/>
        <w:rPr>
          <w:rFonts w:asciiTheme="majorHAnsi" w:hAnsiTheme="majorHAnsi" w:cstheme="majorHAnsi"/>
        </w:rPr>
      </w:pPr>
      <w:r w:rsidRPr="00A33AE8">
        <w:rPr>
          <w:rFonts w:asciiTheme="majorHAnsi" w:hAnsiTheme="majorHAnsi" w:cstheme="majorHAnsi"/>
        </w:rPr>
        <w:t xml:space="preserve">New </w:t>
      </w:r>
      <w:r w:rsidRPr="00A33AE8">
        <w:rPr>
          <w:rFonts w:asciiTheme="majorHAnsi" w:hAnsiTheme="majorHAnsi" w:cstheme="majorHAnsi"/>
          <w:b/>
          <w:bCs/>
        </w:rPr>
        <w:t>innovative RES technologies</w:t>
      </w:r>
      <w:r w:rsidRPr="00A33AE8">
        <w:rPr>
          <w:rFonts w:asciiTheme="majorHAnsi" w:hAnsiTheme="majorHAnsi" w:cstheme="majorHAnsi"/>
        </w:rPr>
        <w:t xml:space="preserve"> for electricity production will be promoted also within the </w:t>
      </w:r>
      <w:r w:rsidR="00723D73">
        <w:rPr>
          <w:rFonts w:asciiTheme="majorHAnsi" w:hAnsiTheme="majorHAnsi" w:cstheme="majorHAnsi"/>
        </w:rPr>
        <w:t>I</w:t>
      </w:r>
      <w:r w:rsidRPr="00A33AE8">
        <w:rPr>
          <w:rFonts w:asciiTheme="majorHAnsi" w:hAnsiTheme="majorHAnsi" w:cstheme="majorHAnsi"/>
        </w:rPr>
        <w:t>NECP through pilot projects in order to assess their effectiveness, such as: small wind turbines</w:t>
      </w:r>
      <w:r w:rsidR="00124723" w:rsidRPr="00124723">
        <w:rPr>
          <w:rFonts w:asciiTheme="majorHAnsi" w:hAnsiTheme="majorHAnsi" w:cstheme="majorHAnsi"/>
        </w:rPr>
        <w:t>, use of renewable hydrogen production for storing electricity generated from variable RES</w:t>
      </w:r>
      <w:r w:rsidR="003F0326">
        <w:rPr>
          <w:rFonts w:asciiTheme="majorHAnsi" w:hAnsiTheme="majorHAnsi" w:cstheme="majorHAnsi"/>
        </w:rPr>
        <w:t>,</w:t>
      </w:r>
      <w:r w:rsidRPr="00A33AE8">
        <w:rPr>
          <w:rFonts w:asciiTheme="majorHAnsi" w:hAnsiTheme="majorHAnsi" w:cstheme="majorHAnsi"/>
        </w:rPr>
        <w:t xml:space="preserve"> etc.</w:t>
      </w:r>
    </w:p>
    <w:p w14:paraId="06745305" w14:textId="77777777" w:rsidR="004D082F" w:rsidRDefault="00653D73" w:rsidP="004D082F">
      <w:pPr>
        <w:spacing w:before="120" w:after="120" w:line="276" w:lineRule="auto"/>
        <w:ind w:right="194"/>
        <w:jc w:val="both"/>
        <w:rPr>
          <w:rFonts w:asciiTheme="majorHAnsi" w:hAnsiTheme="majorHAnsi" w:cstheme="majorHAnsi"/>
        </w:rPr>
      </w:pPr>
      <w:r w:rsidRPr="00A33AE8">
        <w:rPr>
          <w:rFonts w:asciiTheme="majorHAnsi" w:hAnsiTheme="majorHAnsi" w:cstheme="majorHAnsi"/>
        </w:rPr>
        <w:lastRenderedPageBreak/>
        <w:t xml:space="preserve">The use of RES for covering the heating and cooling demand will be achieved mainly through the </w:t>
      </w:r>
      <w:r w:rsidR="00DC6943" w:rsidRPr="00A33AE8">
        <w:rPr>
          <w:rFonts w:asciiTheme="majorHAnsi" w:hAnsiTheme="majorHAnsi" w:cstheme="majorHAnsi"/>
          <w:b/>
          <w:bCs/>
        </w:rPr>
        <w:t xml:space="preserve">large </w:t>
      </w:r>
      <w:r w:rsidRPr="00A33AE8">
        <w:rPr>
          <w:rFonts w:asciiTheme="majorHAnsi" w:hAnsiTheme="majorHAnsi" w:cstheme="majorHAnsi"/>
          <w:b/>
          <w:bCs/>
        </w:rPr>
        <w:t xml:space="preserve">installation of heat pumps </w:t>
      </w:r>
      <w:r w:rsidRPr="00A33AE8">
        <w:rPr>
          <w:rFonts w:asciiTheme="majorHAnsi" w:hAnsiTheme="majorHAnsi" w:cstheme="majorHAnsi"/>
        </w:rPr>
        <w:t>(</w:t>
      </w:r>
      <w:r w:rsidR="00E7037A" w:rsidRPr="00A33AE8">
        <w:rPr>
          <w:rFonts w:asciiTheme="majorHAnsi" w:hAnsiTheme="majorHAnsi" w:cstheme="majorHAnsi"/>
        </w:rPr>
        <w:t>approximately</w:t>
      </w:r>
      <w:r w:rsidRPr="00A33AE8">
        <w:rPr>
          <w:rFonts w:asciiTheme="majorHAnsi" w:hAnsiTheme="majorHAnsi" w:cstheme="majorHAnsi"/>
        </w:rPr>
        <w:t xml:space="preserve"> </w:t>
      </w:r>
      <w:r w:rsidR="00E7037A" w:rsidRPr="00A33AE8">
        <w:rPr>
          <w:rFonts w:asciiTheme="majorHAnsi" w:hAnsiTheme="majorHAnsi" w:cstheme="majorHAnsi"/>
        </w:rPr>
        <w:t>7</w:t>
      </w:r>
      <w:r w:rsidR="00DC6943" w:rsidRPr="00A33AE8">
        <w:rPr>
          <w:rFonts w:asciiTheme="majorHAnsi" w:hAnsiTheme="majorHAnsi" w:cstheme="majorHAnsi"/>
        </w:rPr>
        <w:t xml:space="preserve"> </w:t>
      </w:r>
      <w:r w:rsidRPr="00A33AE8">
        <w:rPr>
          <w:rFonts w:asciiTheme="majorHAnsi" w:hAnsiTheme="majorHAnsi" w:cstheme="majorHAnsi"/>
        </w:rPr>
        <w:t>GW</w:t>
      </w:r>
      <w:bookmarkStart w:id="113" w:name="_Hlk148701258"/>
      <w:r w:rsidR="00086C2E">
        <w:rPr>
          <w:rFonts w:asciiTheme="majorHAnsi" w:hAnsiTheme="majorHAnsi" w:cstheme="majorHAnsi"/>
        </w:rPr>
        <w:t>th</w:t>
      </w:r>
      <w:bookmarkEnd w:id="113"/>
      <w:r w:rsidRPr="00A33AE8">
        <w:rPr>
          <w:rFonts w:asciiTheme="majorHAnsi" w:hAnsiTheme="majorHAnsi" w:cstheme="majorHAnsi"/>
        </w:rPr>
        <w:t>), while the role of solar thermal systems, geothermal energy, and biomass is also essential.</w:t>
      </w:r>
    </w:p>
    <w:p w14:paraId="5656A726" w14:textId="5C21EA63" w:rsidR="00CE7FB3" w:rsidRPr="00A33AE8" w:rsidRDefault="00110F05" w:rsidP="0046363F">
      <w:pPr>
        <w:spacing w:before="120" w:after="120" w:line="276" w:lineRule="auto"/>
        <w:ind w:right="194"/>
        <w:jc w:val="both"/>
        <w:rPr>
          <w:rFonts w:asciiTheme="majorHAnsi" w:hAnsiTheme="majorHAnsi" w:cstheme="majorHAnsi"/>
        </w:rPr>
      </w:pPr>
      <w:r w:rsidRPr="004D082F">
        <w:rPr>
          <w:rFonts w:asciiTheme="majorHAnsi" w:hAnsiTheme="majorHAnsi" w:cstheme="majorHAnsi"/>
        </w:rPr>
        <w:t xml:space="preserve">The </w:t>
      </w:r>
      <w:r>
        <w:rPr>
          <w:rFonts w:asciiTheme="majorHAnsi" w:hAnsiTheme="majorHAnsi" w:cstheme="majorHAnsi"/>
        </w:rPr>
        <w:t>proposed</w:t>
      </w:r>
      <w:r w:rsidRPr="004D082F">
        <w:rPr>
          <w:rFonts w:asciiTheme="majorHAnsi" w:hAnsiTheme="majorHAnsi" w:cstheme="majorHAnsi"/>
        </w:rPr>
        <w:t xml:space="preserve"> target </w:t>
      </w:r>
      <w:r>
        <w:rPr>
          <w:rFonts w:asciiTheme="majorHAnsi" w:hAnsiTheme="majorHAnsi" w:cstheme="majorHAnsi"/>
        </w:rPr>
        <w:t xml:space="preserve">under </w:t>
      </w:r>
      <w:r w:rsidR="001A042C">
        <w:rPr>
          <w:rFonts w:ascii="Calibri Light" w:hAnsi="Calibri Light" w:cs="Calibri Light"/>
        </w:rPr>
        <w:t>Article 2 Decision no. 2022/</w:t>
      </w:r>
      <w:r w:rsidR="007348FA">
        <w:rPr>
          <w:rFonts w:ascii="Calibri Light" w:hAnsi="Calibri Light" w:cs="Calibri Light"/>
        </w:rPr>
        <w:t>02</w:t>
      </w:r>
      <w:r w:rsidRPr="003934F2">
        <w:rPr>
          <w:rFonts w:ascii="Calibri Light" w:hAnsi="Calibri Light" w:cs="Calibri Light"/>
        </w:rPr>
        <w:t>/MC-EnC</w:t>
      </w:r>
      <w:r w:rsidRPr="004D082F">
        <w:rPr>
          <w:rFonts w:asciiTheme="majorHAnsi" w:hAnsiTheme="majorHAnsi" w:cstheme="majorHAnsi"/>
        </w:rPr>
        <w:t xml:space="preserve"> for increasing the utilization of RES in heating and cooling by 1</w:t>
      </w:r>
      <w:r>
        <w:rPr>
          <w:rFonts w:asciiTheme="majorHAnsi" w:hAnsiTheme="majorHAnsi" w:cstheme="majorHAnsi"/>
        </w:rPr>
        <w:t>.</w:t>
      </w:r>
      <w:r w:rsidRPr="004D082F">
        <w:rPr>
          <w:rFonts w:asciiTheme="majorHAnsi" w:hAnsiTheme="majorHAnsi" w:cstheme="majorHAnsi"/>
        </w:rPr>
        <w:t>1</w:t>
      </w:r>
      <w:r>
        <w:rPr>
          <w:rFonts w:asciiTheme="majorHAnsi" w:hAnsiTheme="majorHAnsi" w:cstheme="majorHAnsi"/>
        </w:rPr>
        <w:t>%</w:t>
      </w:r>
      <w:r w:rsidRPr="004D082F">
        <w:rPr>
          <w:rFonts w:asciiTheme="majorHAnsi" w:hAnsiTheme="majorHAnsi" w:cstheme="majorHAnsi"/>
        </w:rPr>
        <w:t xml:space="preserve"> in 2030 is not realistic and feasible to be achieved</w:t>
      </w:r>
      <w:r>
        <w:rPr>
          <w:rFonts w:asciiTheme="majorHAnsi" w:hAnsiTheme="majorHAnsi" w:cstheme="majorHAnsi"/>
        </w:rPr>
        <w:t>, since it</w:t>
      </w:r>
      <w:r w:rsidRPr="004D082F">
        <w:rPr>
          <w:rFonts w:asciiTheme="majorHAnsi" w:hAnsiTheme="majorHAnsi" w:cstheme="majorHAnsi"/>
        </w:rPr>
        <w:t xml:space="preserve"> can be attained mainly through the massive deployment of heat pumps</w:t>
      </w:r>
      <w:r>
        <w:rPr>
          <w:rFonts w:asciiTheme="majorHAnsi" w:hAnsiTheme="majorHAnsi" w:cstheme="majorHAnsi"/>
        </w:rPr>
        <w:t>. However,</w:t>
      </w:r>
      <w:r w:rsidRPr="004D082F">
        <w:rPr>
          <w:rFonts w:asciiTheme="majorHAnsi" w:hAnsiTheme="majorHAnsi" w:cstheme="majorHAnsi"/>
        </w:rPr>
        <w:t xml:space="preserve"> the existing biomass potential has almost been exploited and the </w:t>
      </w:r>
      <w:r>
        <w:rPr>
          <w:rFonts w:asciiTheme="majorHAnsi" w:hAnsiTheme="majorHAnsi" w:cstheme="majorHAnsi"/>
        </w:rPr>
        <w:t xml:space="preserve">other </w:t>
      </w:r>
      <w:r w:rsidRPr="004D082F">
        <w:rPr>
          <w:rFonts w:asciiTheme="majorHAnsi" w:hAnsiTheme="majorHAnsi" w:cstheme="majorHAnsi"/>
        </w:rPr>
        <w:t>remaining RES technologies don’t have meaningful prospects for further penetration.</w:t>
      </w:r>
    </w:p>
    <w:p w14:paraId="05097B70" w14:textId="47BAC2ED" w:rsidR="0046363F" w:rsidRPr="0046363F" w:rsidRDefault="00653D73" w:rsidP="0046363F">
      <w:pPr>
        <w:spacing w:before="120" w:after="120" w:line="276" w:lineRule="auto"/>
        <w:ind w:right="194"/>
        <w:jc w:val="both"/>
        <w:rPr>
          <w:rFonts w:asciiTheme="majorHAnsi" w:hAnsiTheme="majorHAnsi" w:cstheme="majorHAnsi"/>
        </w:rPr>
      </w:pPr>
      <w:r w:rsidRPr="00A33AE8">
        <w:rPr>
          <w:rFonts w:asciiTheme="majorHAnsi" w:hAnsiTheme="majorHAnsi" w:cstheme="majorHAnsi"/>
        </w:rPr>
        <w:t xml:space="preserve">Moreover, the </w:t>
      </w:r>
      <w:r w:rsidRPr="00A33AE8">
        <w:rPr>
          <w:rFonts w:asciiTheme="majorHAnsi" w:hAnsiTheme="majorHAnsi" w:cstheme="majorHAnsi"/>
          <w:b/>
          <w:bCs/>
        </w:rPr>
        <w:t>further utilization of RES in the district heating networks</w:t>
      </w:r>
      <w:r w:rsidRPr="00A33AE8">
        <w:rPr>
          <w:rFonts w:asciiTheme="majorHAnsi" w:hAnsiTheme="majorHAnsi" w:cstheme="majorHAnsi"/>
        </w:rPr>
        <w:t xml:space="preserve"> will be achieved mainly through biomass (</w:t>
      </w:r>
      <w:r w:rsidR="005E55FC" w:rsidRPr="00A33AE8">
        <w:rPr>
          <w:rFonts w:asciiTheme="majorHAnsi" w:hAnsiTheme="majorHAnsi" w:cstheme="majorHAnsi"/>
        </w:rPr>
        <w:t>2.7</w:t>
      </w:r>
      <w:r w:rsidR="00ED6EA4" w:rsidRPr="00A33AE8">
        <w:rPr>
          <w:rFonts w:asciiTheme="majorHAnsi" w:hAnsiTheme="majorHAnsi"/>
        </w:rPr>
        <w:t xml:space="preserve"> </w:t>
      </w:r>
      <w:r w:rsidRPr="00A33AE8">
        <w:rPr>
          <w:rFonts w:asciiTheme="majorHAnsi" w:hAnsiTheme="majorHAnsi"/>
        </w:rPr>
        <w:t>ktoe</w:t>
      </w:r>
      <w:r w:rsidRPr="00A33AE8">
        <w:rPr>
          <w:rFonts w:asciiTheme="majorHAnsi" w:hAnsiTheme="majorHAnsi" w:cstheme="majorHAnsi"/>
        </w:rPr>
        <w:t>), while the gradual exploitation of other RES is intended, such as biomethane, hydrogen and geothermal energy.</w:t>
      </w:r>
      <w:r w:rsidR="00544779">
        <w:rPr>
          <w:rFonts w:asciiTheme="majorHAnsi" w:hAnsiTheme="majorHAnsi" w:cstheme="majorHAnsi"/>
        </w:rPr>
        <w:t xml:space="preserve"> </w:t>
      </w:r>
      <w:r w:rsidR="00544779" w:rsidRPr="00544779">
        <w:rPr>
          <w:rFonts w:asciiTheme="majorHAnsi" w:hAnsiTheme="majorHAnsi" w:cstheme="majorHAnsi"/>
        </w:rPr>
        <w:t xml:space="preserve">In accordance with the Energy Law and Rulebook on the detailed content and guidelines for determining the national goals of the </w:t>
      </w:r>
      <w:r w:rsidR="00544779">
        <w:rPr>
          <w:rFonts w:asciiTheme="majorHAnsi" w:hAnsiTheme="majorHAnsi" w:cstheme="majorHAnsi"/>
        </w:rPr>
        <w:t>I</w:t>
      </w:r>
      <w:r w:rsidR="00544779" w:rsidRPr="00544779">
        <w:rPr>
          <w:rFonts w:asciiTheme="majorHAnsi" w:hAnsiTheme="majorHAnsi" w:cstheme="majorHAnsi"/>
        </w:rPr>
        <w:t xml:space="preserve">ntegrated </w:t>
      </w:r>
      <w:r w:rsidR="00544779">
        <w:rPr>
          <w:rFonts w:asciiTheme="majorHAnsi" w:hAnsiTheme="majorHAnsi" w:cstheme="majorHAnsi"/>
        </w:rPr>
        <w:t>N</w:t>
      </w:r>
      <w:r w:rsidR="00544779" w:rsidRPr="00544779">
        <w:rPr>
          <w:rFonts w:asciiTheme="majorHAnsi" w:hAnsiTheme="majorHAnsi" w:cstheme="majorHAnsi"/>
        </w:rPr>
        <w:t xml:space="preserve">ational </w:t>
      </w:r>
      <w:r w:rsidR="00544779">
        <w:rPr>
          <w:rFonts w:asciiTheme="majorHAnsi" w:hAnsiTheme="majorHAnsi" w:cstheme="majorHAnsi"/>
        </w:rPr>
        <w:t>E</w:t>
      </w:r>
      <w:r w:rsidR="00544779" w:rsidRPr="00544779">
        <w:rPr>
          <w:rFonts w:asciiTheme="majorHAnsi" w:hAnsiTheme="majorHAnsi" w:cstheme="majorHAnsi"/>
        </w:rPr>
        <w:t xml:space="preserve">nergy and </w:t>
      </w:r>
      <w:r w:rsidR="00544779">
        <w:rPr>
          <w:rFonts w:asciiTheme="majorHAnsi" w:hAnsiTheme="majorHAnsi" w:cstheme="majorHAnsi"/>
        </w:rPr>
        <w:t>C</w:t>
      </w:r>
      <w:r w:rsidR="00544779" w:rsidRPr="00544779">
        <w:rPr>
          <w:rFonts w:asciiTheme="majorHAnsi" w:hAnsiTheme="majorHAnsi" w:cstheme="majorHAnsi"/>
        </w:rPr>
        <w:t xml:space="preserve">limate </w:t>
      </w:r>
      <w:r w:rsidR="00544779">
        <w:rPr>
          <w:rFonts w:asciiTheme="majorHAnsi" w:hAnsiTheme="majorHAnsi" w:cstheme="majorHAnsi"/>
        </w:rPr>
        <w:t>P</w:t>
      </w:r>
      <w:r w:rsidR="00544779" w:rsidRPr="00544779">
        <w:rPr>
          <w:rFonts w:asciiTheme="majorHAnsi" w:hAnsiTheme="majorHAnsi" w:cstheme="majorHAnsi"/>
        </w:rPr>
        <w:t>lan, the method of its preparation and reporting on its implementation, there is obligation to revise INECP every 4 years. In the process of the revision of INECP, target for RES in heating and cooling will be analysed in order to include biomethane and other RES for heating and cooling.</w:t>
      </w:r>
    </w:p>
    <w:p w14:paraId="061C8EC0" w14:textId="57D12D56" w:rsidR="0046363F" w:rsidRDefault="0046363F" w:rsidP="0046363F">
      <w:pPr>
        <w:spacing w:before="120" w:after="120" w:line="276" w:lineRule="auto"/>
        <w:ind w:right="194"/>
        <w:jc w:val="both"/>
        <w:rPr>
          <w:rFonts w:asciiTheme="majorHAnsi" w:hAnsiTheme="majorHAnsi" w:cstheme="majorHAnsi"/>
        </w:rPr>
      </w:pPr>
      <w:r w:rsidRPr="0046363F">
        <w:rPr>
          <w:rFonts w:asciiTheme="majorHAnsi" w:hAnsiTheme="majorHAnsi" w:cstheme="majorHAnsi"/>
        </w:rPr>
        <w:t>More detailed analysis regarding the potential of sustainable biomass and biogas is required in order to see the potential of increasing the contribution of bioenergy in the longer term. Currently the use of biomass is mainly in appliances with very low efficiency (wood stoves) therefore large quantities of biomass are consumed to cover the heating demand, having as a result unrealistically high shares of RES calculations.</w:t>
      </w:r>
    </w:p>
    <w:p w14:paraId="4F89FAFF" w14:textId="09431EBB" w:rsidR="00CE7FB3" w:rsidRDefault="00CE7FB3" w:rsidP="00D22368">
      <w:pPr>
        <w:spacing w:before="120" w:after="240"/>
        <w:jc w:val="both"/>
        <w:rPr>
          <w:rFonts w:ascii="Calibri Light" w:hAnsi="Calibri Light" w:cs="Calibri Light"/>
        </w:rPr>
      </w:pPr>
      <w:r w:rsidRPr="00CE7FB3">
        <w:rPr>
          <w:rFonts w:ascii="Calibri Light" w:hAnsi="Calibri Light" w:cs="Calibri Light"/>
        </w:rPr>
        <w:t>Furthermore, new technologies will be considered for the period towards 2050 (for example centralised heat pump) which are currently very expensive and are not introduced in the solution.</w:t>
      </w:r>
    </w:p>
    <w:p w14:paraId="1D66AB4F" w14:textId="77777777" w:rsidR="00653D73" w:rsidRPr="00A33AE8" w:rsidRDefault="00653D73" w:rsidP="00653D73">
      <w:pPr>
        <w:spacing w:before="120" w:after="120" w:line="276" w:lineRule="auto"/>
        <w:ind w:right="194"/>
        <w:jc w:val="both"/>
        <w:rPr>
          <w:rFonts w:asciiTheme="majorHAnsi" w:hAnsiTheme="majorHAnsi" w:cstheme="majorHAnsi"/>
        </w:rPr>
      </w:pPr>
      <w:r w:rsidRPr="00A33AE8">
        <w:rPr>
          <w:rFonts w:asciiTheme="majorHAnsi" w:hAnsiTheme="majorHAnsi" w:cstheme="majorHAnsi"/>
        </w:rPr>
        <w:t xml:space="preserve">Finally, the </w:t>
      </w:r>
      <w:r w:rsidRPr="00A33AE8">
        <w:rPr>
          <w:rFonts w:asciiTheme="majorHAnsi" w:hAnsiTheme="majorHAnsi" w:cstheme="majorHAnsi"/>
          <w:b/>
          <w:bCs/>
        </w:rPr>
        <w:t>contribution of electric vehicles</w:t>
      </w:r>
      <w:r w:rsidRPr="00A33AE8">
        <w:rPr>
          <w:rFonts w:asciiTheme="majorHAnsi" w:hAnsiTheme="majorHAnsi" w:cstheme="majorHAnsi"/>
        </w:rPr>
        <w:t xml:space="preserve"> is expected to be substantial for the further promotion of RES. It should be noted that </w:t>
      </w:r>
      <w:r w:rsidR="00606D94" w:rsidRPr="00A33AE8">
        <w:rPr>
          <w:rFonts w:asciiTheme="majorHAnsi" w:hAnsiTheme="majorHAnsi" w:cstheme="majorHAnsi"/>
        </w:rPr>
        <w:t>4</w:t>
      </w:r>
      <w:r w:rsidR="00606D94">
        <w:rPr>
          <w:rFonts w:asciiTheme="majorHAnsi" w:hAnsiTheme="majorHAnsi" w:cstheme="majorHAnsi"/>
        </w:rPr>
        <w:t>4</w:t>
      </w:r>
      <w:r w:rsidR="003F0326">
        <w:rPr>
          <w:rFonts w:asciiTheme="majorHAnsi" w:hAnsiTheme="majorHAnsi" w:cstheme="majorHAnsi"/>
        </w:rPr>
        <w:t>.8</w:t>
      </w:r>
      <w:r w:rsidR="00606D94" w:rsidRPr="00A33AE8">
        <w:rPr>
          <w:rFonts w:asciiTheme="majorHAnsi" w:hAnsiTheme="majorHAnsi" w:cstheme="majorHAnsi"/>
        </w:rPr>
        <w:t xml:space="preserve"> </w:t>
      </w:r>
      <w:r w:rsidRPr="00A33AE8">
        <w:rPr>
          <w:rFonts w:asciiTheme="majorHAnsi" w:hAnsiTheme="majorHAnsi" w:cstheme="majorHAnsi"/>
        </w:rPr>
        <w:t>thousand electric vehicles (both passenger and light-duty) approximately will be registered until 2030. Last but not least, the contribution of biofuels will remain dominant, with a particularly increasing share of advanced biofuels until 2030 (</w:t>
      </w:r>
      <w:r w:rsidR="005E55FC" w:rsidRPr="00A33AE8">
        <w:rPr>
          <w:rFonts w:asciiTheme="majorHAnsi" w:hAnsiTheme="majorHAnsi" w:cstheme="majorHAnsi"/>
        </w:rPr>
        <w:t>49</w:t>
      </w:r>
      <w:r w:rsidR="00411B08" w:rsidRPr="00A33AE8">
        <w:rPr>
          <w:rFonts w:asciiTheme="majorHAnsi" w:hAnsiTheme="majorHAnsi" w:cstheme="majorHAnsi"/>
        </w:rPr>
        <w:t xml:space="preserve"> </w:t>
      </w:r>
      <w:r w:rsidRPr="00A33AE8">
        <w:rPr>
          <w:rFonts w:asciiTheme="majorHAnsi" w:hAnsiTheme="majorHAnsi" w:cstheme="majorHAnsi"/>
        </w:rPr>
        <w:t>ktoe</w:t>
      </w:r>
      <w:r w:rsidR="00167F02" w:rsidRPr="00A33AE8">
        <w:rPr>
          <w:rFonts w:asciiTheme="majorHAnsi" w:hAnsiTheme="majorHAnsi" w:cstheme="majorHAnsi"/>
        </w:rPr>
        <w:t xml:space="preserve"> without assuming the foreseen multipliers</w:t>
      </w:r>
      <w:r w:rsidRPr="00A33AE8">
        <w:rPr>
          <w:rFonts w:asciiTheme="majorHAnsi" w:hAnsiTheme="majorHAnsi" w:cstheme="majorHAnsi"/>
        </w:rPr>
        <w:t>).</w:t>
      </w:r>
    </w:p>
    <w:p w14:paraId="06C6A7AE" w14:textId="77777777" w:rsidR="00653D73" w:rsidRPr="00A33AE8" w:rsidRDefault="00653D73" w:rsidP="00653D73">
      <w:pPr>
        <w:pStyle w:val="Heading2"/>
      </w:pPr>
      <w:bookmarkStart w:id="114" w:name="_bookmark38"/>
      <w:bookmarkStart w:id="115" w:name="_bookmark39"/>
      <w:bookmarkStart w:id="116" w:name="_Toc118991768"/>
      <w:bookmarkStart w:id="117" w:name="_Toc153545038"/>
      <w:bookmarkEnd w:id="104"/>
      <w:bookmarkEnd w:id="114"/>
      <w:bookmarkEnd w:id="115"/>
      <w:r w:rsidRPr="00A33AE8">
        <w:t>Improvement in energy efficiency</w:t>
      </w:r>
      <w:bookmarkEnd w:id="116"/>
      <w:bookmarkEnd w:id="117"/>
    </w:p>
    <w:p w14:paraId="531C12BD" w14:textId="6A90828F" w:rsidR="00907DF7" w:rsidRDefault="00653D73" w:rsidP="00653D73">
      <w:pPr>
        <w:pStyle w:val="BodyText"/>
        <w:spacing w:before="120" w:line="276" w:lineRule="auto"/>
        <w:ind w:right="192"/>
        <w:rPr>
          <w:rFonts w:asciiTheme="majorHAnsi" w:hAnsiTheme="majorHAnsi" w:cstheme="majorHAnsi"/>
          <w:szCs w:val="22"/>
        </w:rPr>
      </w:pPr>
      <w:bookmarkStart w:id="118" w:name="_bookmark40"/>
      <w:bookmarkStart w:id="119" w:name="_bookmark41"/>
      <w:bookmarkEnd w:id="118"/>
      <w:bookmarkEnd w:id="119"/>
      <w:r w:rsidRPr="00A33AE8">
        <w:rPr>
          <w:rFonts w:asciiTheme="majorHAnsi" w:hAnsiTheme="majorHAnsi" w:cstheme="majorHAnsi"/>
          <w:szCs w:val="22"/>
        </w:rPr>
        <w:t xml:space="preserve">An objective with significant importance within the </w:t>
      </w:r>
      <w:r w:rsidR="007742AD" w:rsidRPr="00A33AE8">
        <w:rPr>
          <w:rFonts w:asciiTheme="majorHAnsi" w:hAnsiTheme="majorHAnsi" w:cstheme="majorHAnsi"/>
          <w:szCs w:val="22"/>
        </w:rPr>
        <w:t>I</w:t>
      </w:r>
      <w:r w:rsidRPr="00A33AE8">
        <w:rPr>
          <w:rFonts w:asciiTheme="majorHAnsi" w:hAnsiTheme="majorHAnsi" w:cstheme="majorHAnsi"/>
          <w:szCs w:val="22"/>
        </w:rPr>
        <w:t xml:space="preserve">NECP is </w:t>
      </w:r>
      <w:r w:rsidRPr="00A33AE8">
        <w:rPr>
          <w:rFonts w:asciiTheme="majorHAnsi" w:hAnsiTheme="majorHAnsi" w:cstheme="majorHAnsi"/>
          <w:b/>
          <w:bCs/>
          <w:szCs w:val="22"/>
        </w:rPr>
        <w:t>the improvement of energy efficiency</w:t>
      </w:r>
      <w:r w:rsidRPr="00A33AE8">
        <w:rPr>
          <w:rFonts w:asciiTheme="majorHAnsi" w:hAnsiTheme="majorHAnsi" w:cstheme="majorHAnsi"/>
          <w:szCs w:val="22"/>
        </w:rPr>
        <w:t xml:space="preserve"> managing to restrain the final energy consumption at a level that doesn’t exceed 9.</w:t>
      </w:r>
      <w:r w:rsidR="005E55FC" w:rsidRPr="00A33AE8">
        <w:rPr>
          <w:rFonts w:asciiTheme="majorHAnsi" w:hAnsiTheme="majorHAnsi" w:cstheme="majorHAnsi"/>
          <w:szCs w:val="22"/>
        </w:rPr>
        <w:t>7</w:t>
      </w:r>
      <w:r w:rsidRPr="00A33AE8">
        <w:rPr>
          <w:rFonts w:asciiTheme="majorHAnsi" w:hAnsiTheme="majorHAnsi" w:cstheme="majorHAnsi"/>
          <w:szCs w:val="22"/>
        </w:rPr>
        <w:t xml:space="preserve"> Mtoe in 2030. The </w:t>
      </w:r>
      <w:r w:rsidR="008A2E74" w:rsidRPr="00A33AE8">
        <w:rPr>
          <w:rFonts w:asciiTheme="majorHAnsi" w:hAnsiTheme="majorHAnsi" w:cstheme="majorHAnsi"/>
          <w:szCs w:val="22"/>
        </w:rPr>
        <w:t xml:space="preserve">same tendency is observed also for the case of </w:t>
      </w:r>
      <w:r w:rsidRPr="00A33AE8">
        <w:rPr>
          <w:rFonts w:asciiTheme="majorHAnsi" w:hAnsiTheme="majorHAnsi" w:cstheme="majorHAnsi"/>
          <w:szCs w:val="22"/>
        </w:rPr>
        <w:t>primary energy consumption</w:t>
      </w:r>
      <w:r w:rsidR="008A2E74" w:rsidRPr="00A33AE8">
        <w:rPr>
          <w:rFonts w:asciiTheme="majorHAnsi" w:hAnsiTheme="majorHAnsi" w:cstheme="majorHAnsi"/>
          <w:szCs w:val="22"/>
        </w:rPr>
        <w:t>, which</w:t>
      </w:r>
      <w:r w:rsidR="008F117E" w:rsidRPr="00A33AE8">
        <w:rPr>
          <w:rFonts w:asciiTheme="majorHAnsi" w:hAnsiTheme="majorHAnsi"/>
        </w:rPr>
        <w:t xml:space="preserve"> </w:t>
      </w:r>
      <w:r w:rsidR="008F117E" w:rsidRPr="000007D2">
        <w:rPr>
          <w:rFonts w:asciiTheme="majorHAnsi" w:hAnsiTheme="majorHAnsi" w:cstheme="majorHAnsi"/>
          <w:szCs w:val="22"/>
        </w:rPr>
        <w:t xml:space="preserve">should be less than </w:t>
      </w:r>
      <w:r w:rsidR="005E55FC" w:rsidRPr="00A33AE8">
        <w:rPr>
          <w:rFonts w:asciiTheme="majorHAnsi" w:hAnsiTheme="majorHAnsi" w:cstheme="majorHAnsi"/>
          <w:szCs w:val="22"/>
        </w:rPr>
        <w:t>1</w:t>
      </w:r>
      <w:r w:rsidR="006A128A" w:rsidRPr="00A33AE8">
        <w:rPr>
          <w:rFonts w:asciiTheme="majorHAnsi" w:hAnsiTheme="majorHAnsi" w:cstheme="majorHAnsi"/>
          <w:szCs w:val="22"/>
        </w:rPr>
        <w:t>4</w:t>
      </w:r>
      <w:r w:rsidR="002B593F" w:rsidRPr="00A33AE8">
        <w:rPr>
          <w:rFonts w:asciiTheme="majorHAnsi" w:hAnsiTheme="majorHAnsi" w:cstheme="majorHAnsi"/>
          <w:szCs w:val="22"/>
        </w:rPr>
        <w:t>.</w:t>
      </w:r>
      <w:r w:rsidR="006A128A" w:rsidRPr="00A33AE8">
        <w:rPr>
          <w:rFonts w:asciiTheme="majorHAnsi" w:hAnsiTheme="majorHAnsi" w:cstheme="majorHAnsi"/>
          <w:szCs w:val="22"/>
        </w:rPr>
        <w:t>68</w:t>
      </w:r>
      <w:r w:rsidRPr="00A33AE8">
        <w:rPr>
          <w:rFonts w:asciiTheme="majorHAnsi" w:hAnsiTheme="majorHAnsi" w:cstheme="majorHAnsi"/>
          <w:szCs w:val="22"/>
        </w:rPr>
        <w:t xml:space="preserve"> Mtoe</w:t>
      </w:r>
      <w:r w:rsidR="008A2E74" w:rsidRPr="00A33AE8">
        <w:rPr>
          <w:rFonts w:asciiTheme="majorHAnsi" w:hAnsiTheme="majorHAnsi" w:cstheme="majorHAnsi"/>
          <w:szCs w:val="22"/>
        </w:rPr>
        <w:t xml:space="preserve"> in 2030</w:t>
      </w:r>
      <w:r w:rsidRPr="00A33AE8">
        <w:rPr>
          <w:rFonts w:asciiTheme="majorHAnsi" w:hAnsiTheme="majorHAnsi" w:cstheme="majorHAnsi"/>
          <w:szCs w:val="22"/>
        </w:rPr>
        <w:t>.</w:t>
      </w:r>
    </w:p>
    <w:p w14:paraId="017A9570" w14:textId="44ED993E" w:rsidR="00907DF7" w:rsidRDefault="00907DF7" w:rsidP="00653D73">
      <w:pPr>
        <w:pStyle w:val="BodyText"/>
        <w:spacing w:before="120" w:line="276" w:lineRule="auto"/>
        <w:ind w:right="192"/>
        <w:rPr>
          <w:rFonts w:asciiTheme="majorHAnsi" w:hAnsiTheme="majorHAnsi" w:cstheme="majorHAnsi"/>
          <w:szCs w:val="22"/>
        </w:rPr>
      </w:pPr>
      <w:r>
        <w:rPr>
          <w:rFonts w:asciiTheme="majorHAnsi" w:hAnsiTheme="majorHAnsi" w:cstheme="majorHAnsi"/>
          <w:szCs w:val="22"/>
        </w:rPr>
        <w:t xml:space="preserve">These targets are in line with </w:t>
      </w:r>
      <w:r>
        <w:rPr>
          <w:rFonts w:ascii="Calibri Light" w:hAnsi="Calibri Light" w:cs="Calibri Light"/>
        </w:rPr>
        <w:t>Article 3 of Decision no. 2022/02</w:t>
      </w:r>
      <w:r w:rsidRPr="005B2C66">
        <w:rPr>
          <w:rFonts w:ascii="Calibri Light" w:hAnsi="Calibri Light" w:cs="Calibri Light"/>
        </w:rPr>
        <w:t>/MC-EnC</w:t>
      </w:r>
      <w:r>
        <w:rPr>
          <w:rFonts w:ascii="Calibri Light" w:hAnsi="Calibri Light" w:cs="Calibri Light"/>
          <w:lang w:val="sr-Cyrl-CS"/>
        </w:rPr>
        <w:t xml:space="preserve"> </w:t>
      </w:r>
      <w:r>
        <w:rPr>
          <w:rFonts w:ascii="Calibri Light" w:hAnsi="Calibri Light" w:cs="Calibri Light"/>
          <w:lang w:val="en-US"/>
        </w:rPr>
        <w:t>of the Energy Community Ministerial Council,</w:t>
      </w:r>
      <w:r w:rsidRPr="005B2C66">
        <w:rPr>
          <w:rFonts w:ascii="Calibri Light" w:hAnsi="Calibri Light" w:cs="Calibri Light"/>
        </w:rPr>
        <w:t xml:space="preserve"> point (</w:t>
      </w:r>
      <w:r>
        <w:rPr>
          <w:rFonts w:ascii="Calibri Light" w:hAnsi="Calibri Light" w:cs="Calibri Light"/>
        </w:rPr>
        <w:t>4</w:t>
      </w:r>
      <w:r w:rsidRPr="005B2C66">
        <w:rPr>
          <w:rFonts w:ascii="Calibri Light" w:hAnsi="Calibri Light" w:cs="Calibri Light"/>
        </w:rPr>
        <w:t>)</w:t>
      </w:r>
      <w:r>
        <w:rPr>
          <w:rFonts w:ascii="Calibri Light" w:hAnsi="Calibri Light" w:cs="Calibri Light"/>
        </w:rPr>
        <w:t>, where the differences are in the sense of statistical error.</w:t>
      </w:r>
    </w:p>
    <w:p w14:paraId="0E1B779C" w14:textId="68EF0E40" w:rsidR="00653D73" w:rsidRDefault="00EA730B" w:rsidP="00653D73">
      <w:pPr>
        <w:pStyle w:val="BodyText"/>
        <w:spacing w:before="120" w:line="276" w:lineRule="auto"/>
        <w:ind w:right="192"/>
        <w:rPr>
          <w:rFonts w:asciiTheme="majorHAnsi" w:hAnsiTheme="majorHAnsi" w:cstheme="majorHAnsi"/>
          <w:szCs w:val="22"/>
        </w:rPr>
      </w:pPr>
      <w:r>
        <w:rPr>
          <w:rFonts w:asciiTheme="majorHAnsi" w:hAnsiTheme="majorHAnsi" w:cstheme="majorHAnsi"/>
          <w:szCs w:val="22"/>
        </w:rPr>
        <w:t>The annual trajectory for achieving the targets of 2030 can be seen in</w:t>
      </w:r>
      <w:r w:rsidR="00CD0941">
        <w:rPr>
          <w:rFonts w:asciiTheme="majorHAnsi" w:hAnsiTheme="majorHAnsi" w:cstheme="majorHAnsi"/>
          <w:szCs w:val="22"/>
        </w:rPr>
        <w:t xml:space="preserve"> </w:t>
      </w:r>
      <w:r w:rsidR="00CD0941">
        <w:rPr>
          <w:rFonts w:asciiTheme="majorHAnsi" w:hAnsiTheme="majorHAnsi" w:cstheme="majorHAnsi"/>
          <w:szCs w:val="22"/>
        </w:rPr>
        <w:fldChar w:fldCharType="begin"/>
      </w:r>
      <w:r w:rsidR="00CD0941">
        <w:rPr>
          <w:rFonts w:asciiTheme="majorHAnsi" w:hAnsiTheme="majorHAnsi" w:cstheme="majorHAnsi"/>
          <w:szCs w:val="22"/>
        </w:rPr>
        <w:instrText xml:space="preserve"> REF _Ref153541764 \h  \* MERGEFORMAT </w:instrText>
      </w:r>
      <w:r w:rsidR="00CD0941">
        <w:rPr>
          <w:rFonts w:asciiTheme="majorHAnsi" w:hAnsiTheme="majorHAnsi" w:cstheme="majorHAnsi"/>
          <w:szCs w:val="22"/>
        </w:rPr>
      </w:r>
      <w:r w:rsidR="00CD0941">
        <w:rPr>
          <w:rFonts w:asciiTheme="majorHAnsi" w:hAnsiTheme="majorHAnsi" w:cstheme="majorHAnsi"/>
          <w:szCs w:val="22"/>
        </w:rPr>
        <w:fldChar w:fldCharType="separate"/>
      </w:r>
      <w:r w:rsidR="00CD0941" w:rsidRPr="0087794A">
        <w:rPr>
          <w:rFonts w:asciiTheme="majorHAnsi" w:hAnsiTheme="majorHAnsi" w:cstheme="majorHAnsi"/>
          <w:szCs w:val="22"/>
        </w:rPr>
        <w:t>Table 2.3</w:t>
      </w:r>
      <w:r w:rsidR="00CD0941">
        <w:rPr>
          <w:rFonts w:asciiTheme="majorHAnsi" w:hAnsiTheme="majorHAnsi" w:cstheme="majorHAnsi"/>
          <w:szCs w:val="22"/>
        </w:rPr>
        <w:fldChar w:fldCharType="end"/>
      </w:r>
      <w:r>
        <w:rPr>
          <w:rFonts w:asciiTheme="majorHAnsi" w:hAnsiTheme="majorHAnsi" w:cstheme="majorHAnsi"/>
          <w:szCs w:val="22"/>
        </w:rPr>
        <w:t>.</w:t>
      </w:r>
    </w:p>
    <w:p w14:paraId="2C09D48B" w14:textId="143A7356" w:rsidR="00092FEB" w:rsidRDefault="00092FEB" w:rsidP="0087794A">
      <w:pPr>
        <w:pStyle w:val="Caption"/>
        <w:keepNext/>
      </w:pPr>
      <w:bookmarkStart w:id="120" w:name="_Ref153541764"/>
      <w:bookmarkStart w:id="121" w:name="_Toc153545069"/>
      <w:r>
        <w:t xml:space="preserve">Table </w:t>
      </w:r>
      <w:r w:rsidR="006E0533">
        <w:fldChar w:fldCharType="begin"/>
      </w:r>
      <w:r w:rsidR="006E0533">
        <w:instrText xml:space="preserve"> STYLEREF 1 \s </w:instrText>
      </w:r>
      <w:r w:rsidR="006E0533">
        <w:fldChar w:fldCharType="separate"/>
      </w:r>
      <w:r w:rsidR="00A84B9C">
        <w:rPr>
          <w:noProof/>
        </w:rPr>
        <w:t>2</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3</w:t>
      </w:r>
      <w:r w:rsidR="006E0533">
        <w:rPr>
          <w:noProof/>
        </w:rPr>
        <w:fldChar w:fldCharType="end"/>
      </w:r>
      <w:bookmarkEnd w:id="120"/>
      <w:r w:rsidRPr="00092FEB">
        <w:t>: Annual trajectory of FEC and PEC</w:t>
      </w:r>
      <w:bookmarkEnd w:id="121"/>
    </w:p>
    <w:tbl>
      <w:tblPr>
        <w:tblStyle w:val="GridTable4-Accent11"/>
        <w:tblW w:w="0" w:type="auto"/>
        <w:jc w:val="center"/>
        <w:tblLayout w:type="fixed"/>
        <w:tblLook w:val="04A0" w:firstRow="1" w:lastRow="0" w:firstColumn="1" w:lastColumn="0" w:noHBand="0" w:noVBand="1"/>
      </w:tblPr>
      <w:tblGrid>
        <w:gridCol w:w="2990"/>
        <w:gridCol w:w="828"/>
        <w:gridCol w:w="828"/>
        <w:gridCol w:w="828"/>
        <w:gridCol w:w="828"/>
        <w:gridCol w:w="828"/>
        <w:gridCol w:w="828"/>
      </w:tblGrid>
      <w:tr w:rsidR="00EA730B" w:rsidRPr="00EA730B" w14:paraId="666FC605" w14:textId="77777777" w:rsidTr="0087794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90" w:type="dxa"/>
          </w:tcPr>
          <w:p w14:paraId="6F700085" w14:textId="058328F4" w:rsidR="00EA730B" w:rsidRPr="00EA730B" w:rsidRDefault="00EA730B" w:rsidP="008464FC">
            <w:pPr>
              <w:spacing w:line="240" w:lineRule="auto"/>
              <w:jc w:val="right"/>
              <w:rPr>
                <w:rFonts w:ascii="Calibri" w:eastAsia="Times New Roman" w:hAnsi="Calibri" w:cs="Calibri"/>
                <w:color w:val="000000"/>
                <w:lang w:eastAsia="en-GB"/>
              </w:rPr>
            </w:pPr>
            <w:r>
              <w:rPr>
                <w:rFonts w:ascii="Calibri" w:hAnsi="Calibri" w:cs="Calibri"/>
                <w:color w:val="000000"/>
              </w:rPr>
              <w:t>(Mtoe)</w:t>
            </w:r>
          </w:p>
        </w:tc>
        <w:tc>
          <w:tcPr>
            <w:tcW w:w="828" w:type="dxa"/>
            <w:noWrap/>
            <w:hideMark/>
          </w:tcPr>
          <w:p w14:paraId="7898338C" w14:textId="04A956B5" w:rsidR="00EA730B" w:rsidRPr="0087794A" w:rsidRDefault="00EA730B" w:rsidP="0087794A">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2025</w:t>
            </w:r>
          </w:p>
        </w:tc>
        <w:tc>
          <w:tcPr>
            <w:tcW w:w="828" w:type="dxa"/>
            <w:noWrap/>
            <w:hideMark/>
          </w:tcPr>
          <w:p w14:paraId="01FE7E3F" w14:textId="77777777" w:rsidR="00EA730B" w:rsidRPr="0087794A" w:rsidRDefault="00EA730B" w:rsidP="0087794A">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2026</w:t>
            </w:r>
          </w:p>
        </w:tc>
        <w:tc>
          <w:tcPr>
            <w:tcW w:w="828" w:type="dxa"/>
            <w:noWrap/>
            <w:hideMark/>
          </w:tcPr>
          <w:p w14:paraId="1B3DD815" w14:textId="77777777" w:rsidR="00EA730B" w:rsidRPr="0087794A" w:rsidRDefault="00EA730B" w:rsidP="0087794A">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2027</w:t>
            </w:r>
          </w:p>
        </w:tc>
        <w:tc>
          <w:tcPr>
            <w:tcW w:w="828" w:type="dxa"/>
            <w:noWrap/>
            <w:hideMark/>
          </w:tcPr>
          <w:p w14:paraId="2E976304" w14:textId="77777777" w:rsidR="00EA730B" w:rsidRPr="0087794A" w:rsidRDefault="00EA730B" w:rsidP="0087794A">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2028</w:t>
            </w:r>
          </w:p>
        </w:tc>
        <w:tc>
          <w:tcPr>
            <w:tcW w:w="828" w:type="dxa"/>
            <w:noWrap/>
            <w:hideMark/>
          </w:tcPr>
          <w:p w14:paraId="00BE6294" w14:textId="77777777" w:rsidR="00EA730B" w:rsidRPr="0087794A" w:rsidRDefault="00EA730B" w:rsidP="0087794A">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2029</w:t>
            </w:r>
          </w:p>
        </w:tc>
        <w:tc>
          <w:tcPr>
            <w:tcW w:w="828" w:type="dxa"/>
            <w:noWrap/>
            <w:hideMark/>
          </w:tcPr>
          <w:p w14:paraId="22D87E3E" w14:textId="77777777" w:rsidR="00EA730B" w:rsidRPr="0087794A" w:rsidRDefault="00EA730B" w:rsidP="0087794A">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2030</w:t>
            </w:r>
          </w:p>
        </w:tc>
      </w:tr>
      <w:tr w:rsidR="00EA730B" w:rsidRPr="00EA730B" w14:paraId="545AC9B7" w14:textId="77777777" w:rsidTr="0087794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90" w:type="dxa"/>
          </w:tcPr>
          <w:p w14:paraId="043965A9" w14:textId="1F307947" w:rsidR="00EA730B" w:rsidRPr="00EA730B" w:rsidRDefault="00EA730B" w:rsidP="0087794A">
            <w:pPr>
              <w:spacing w:line="240" w:lineRule="auto"/>
              <w:rPr>
                <w:rFonts w:ascii="Calibri" w:eastAsia="Times New Roman" w:hAnsi="Calibri" w:cs="Calibri"/>
                <w:color w:val="000000"/>
                <w:lang w:eastAsia="en-GB"/>
              </w:rPr>
            </w:pPr>
            <w:r>
              <w:rPr>
                <w:rFonts w:ascii="Calibri" w:hAnsi="Calibri" w:cs="Calibri"/>
                <w:color w:val="000000"/>
              </w:rPr>
              <w:t>Final Energy Consumption</w:t>
            </w:r>
          </w:p>
        </w:tc>
        <w:tc>
          <w:tcPr>
            <w:tcW w:w="828" w:type="dxa"/>
            <w:noWrap/>
            <w:hideMark/>
          </w:tcPr>
          <w:p w14:paraId="5CF1D4BD" w14:textId="36D0D2F2" w:rsidR="00EA730B" w:rsidRPr="0087794A" w:rsidRDefault="00EA730B" w:rsidP="0087794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9.3</w:t>
            </w:r>
          </w:p>
        </w:tc>
        <w:tc>
          <w:tcPr>
            <w:tcW w:w="828" w:type="dxa"/>
            <w:noWrap/>
            <w:hideMark/>
          </w:tcPr>
          <w:p w14:paraId="447B39F1" w14:textId="34B2D77A" w:rsidR="00EA730B" w:rsidRPr="0087794A" w:rsidRDefault="00EA730B" w:rsidP="0087794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9.3</w:t>
            </w:r>
          </w:p>
        </w:tc>
        <w:tc>
          <w:tcPr>
            <w:tcW w:w="828" w:type="dxa"/>
            <w:noWrap/>
            <w:hideMark/>
          </w:tcPr>
          <w:p w14:paraId="466A9FE0" w14:textId="643B5A98" w:rsidR="00EA730B" w:rsidRPr="0087794A" w:rsidRDefault="00EA730B" w:rsidP="0087794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9.4</w:t>
            </w:r>
          </w:p>
        </w:tc>
        <w:tc>
          <w:tcPr>
            <w:tcW w:w="828" w:type="dxa"/>
            <w:noWrap/>
            <w:hideMark/>
          </w:tcPr>
          <w:p w14:paraId="03843F9A" w14:textId="6D78FB05" w:rsidR="00EA730B" w:rsidRPr="0087794A" w:rsidRDefault="00EA730B" w:rsidP="0087794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9.5</w:t>
            </w:r>
          </w:p>
        </w:tc>
        <w:tc>
          <w:tcPr>
            <w:tcW w:w="828" w:type="dxa"/>
            <w:noWrap/>
            <w:hideMark/>
          </w:tcPr>
          <w:p w14:paraId="0388A7A7" w14:textId="02CD10AB" w:rsidR="00EA730B" w:rsidRPr="0087794A" w:rsidRDefault="00EA730B" w:rsidP="0087794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9.6</w:t>
            </w:r>
          </w:p>
        </w:tc>
        <w:tc>
          <w:tcPr>
            <w:tcW w:w="828" w:type="dxa"/>
            <w:noWrap/>
            <w:hideMark/>
          </w:tcPr>
          <w:p w14:paraId="2C9467B1" w14:textId="322A7FA0" w:rsidR="00EA730B" w:rsidRPr="0087794A" w:rsidRDefault="00EA730B" w:rsidP="0087794A">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9.7</w:t>
            </w:r>
          </w:p>
        </w:tc>
      </w:tr>
      <w:tr w:rsidR="00EA730B" w:rsidRPr="00EA730B" w14:paraId="0AEE67D2" w14:textId="77777777" w:rsidTr="0087794A">
        <w:trPr>
          <w:trHeight w:val="300"/>
          <w:jc w:val="center"/>
        </w:trPr>
        <w:tc>
          <w:tcPr>
            <w:cnfStyle w:val="001000000000" w:firstRow="0" w:lastRow="0" w:firstColumn="1" w:lastColumn="0" w:oddVBand="0" w:evenVBand="0" w:oddHBand="0" w:evenHBand="0" w:firstRowFirstColumn="0" w:firstRowLastColumn="0" w:lastRowFirstColumn="0" w:lastRowLastColumn="0"/>
            <w:tcW w:w="2990" w:type="dxa"/>
          </w:tcPr>
          <w:p w14:paraId="26CBEB79" w14:textId="6F4CACAA" w:rsidR="00EA730B" w:rsidRPr="00EA730B" w:rsidRDefault="00EA730B" w:rsidP="0087794A">
            <w:pPr>
              <w:spacing w:line="240" w:lineRule="auto"/>
              <w:rPr>
                <w:rFonts w:ascii="Calibri" w:eastAsia="Times New Roman" w:hAnsi="Calibri" w:cs="Calibri"/>
                <w:color w:val="000000"/>
                <w:lang w:eastAsia="en-GB"/>
              </w:rPr>
            </w:pPr>
            <w:r>
              <w:rPr>
                <w:rFonts w:ascii="Calibri" w:hAnsi="Calibri" w:cs="Calibri"/>
                <w:color w:val="000000"/>
              </w:rPr>
              <w:t>Primary Energy Consumption</w:t>
            </w:r>
          </w:p>
        </w:tc>
        <w:tc>
          <w:tcPr>
            <w:tcW w:w="828" w:type="dxa"/>
            <w:noWrap/>
            <w:hideMark/>
          </w:tcPr>
          <w:p w14:paraId="1A108D67" w14:textId="28FDAC68" w:rsidR="00EA730B" w:rsidRPr="0087794A" w:rsidRDefault="00EA730B" w:rsidP="0087794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15.15</w:t>
            </w:r>
          </w:p>
        </w:tc>
        <w:tc>
          <w:tcPr>
            <w:tcW w:w="828" w:type="dxa"/>
            <w:noWrap/>
            <w:hideMark/>
          </w:tcPr>
          <w:p w14:paraId="080D6DBB" w14:textId="75AC3099" w:rsidR="00EA730B" w:rsidRPr="0087794A" w:rsidRDefault="00EA730B" w:rsidP="0087794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15.09</w:t>
            </w:r>
          </w:p>
        </w:tc>
        <w:tc>
          <w:tcPr>
            <w:tcW w:w="828" w:type="dxa"/>
            <w:noWrap/>
            <w:hideMark/>
          </w:tcPr>
          <w:p w14:paraId="06375316" w14:textId="1E782BAC" w:rsidR="00EA730B" w:rsidRPr="0087794A" w:rsidRDefault="00EA730B" w:rsidP="0087794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15.11</w:t>
            </w:r>
          </w:p>
        </w:tc>
        <w:tc>
          <w:tcPr>
            <w:tcW w:w="828" w:type="dxa"/>
            <w:noWrap/>
            <w:hideMark/>
          </w:tcPr>
          <w:p w14:paraId="137B36A8" w14:textId="66C48C57" w:rsidR="00EA730B" w:rsidRPr="0087794A" w:rsidRDefault="00EA730B" w:rsidP="0087794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15.06</w:t>
            </w:r>
          </w:p>
        </w:tc>
        <w:tc>
          <w:tcPr>
            <w:tcW w:w="828" w:type="dxa"/>
            <w:noWrap/>
            <w:hideMark/>
          </w:tcPr>
          <w:p w14:paraId="78EC7F54" w14:textId="0D272719" w:rsidR="00EA730B" w:rsidRPr="0087794A" w:rsidRDefault="00EA730B" w:rsidP="0087794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14.83</w:t>
            </w:r>
          </w:p>
        </w:tc>
        <w:tc>
          <w:tcPr>
            <w:tcW w:w="828" w:type="dxa"/>
            <w:noWrap/>
            <w:hideMark/>
          </w:tcPr>
          <w:p w14:paraId="23DDB17A" w14:textId="1658C00C" w:rsidR="00EA730B" w:rsidRPr="0087794A" w:rsidRDefault="00EA730B" w:rsidP="0087794A">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7794A">
              <w:rPr>
                <w:rFonts w:ascii="Calibri" w:eastAsia="Times New Roman" w:hAnsi="Calibri" w:cs="Calibri"/>
                <w:color w:val="000000"/>
                <w:lang w:eastAsia="en-GB"/>
              </w:rPr>
              <w:t>14.68</w:t>
            </w:r>
          </w:p>
        </w:tc>
      </w:tr>
    </w:tbl>
    <w:p w14:paraId="4EC85464" w14:textId="77777777" w:rsidR="00653D73" w:rsidRPr="00A33AE8" w:rsidRDefault="00653D73" w:rsidP="00653D73">
      <w:pPr>
        <w:pStyle w:val="BodyText"/>
        <w:spacing w:before="120" w:line="276" w:lineRule="auto"/>
        <w:ind w:right="192"/>
        <w:rPr>
          <w:rFonts w:asciiTheme="majorHAnsi" w:hAnsiTheme="majorHAnsi" w:cstheme="majorHAnsi"/>
          <w:szCs w:val="22"/>
        </w:rPr>
      </w:pPr>
      <w:r w:rsidRPr="00A33AE8">
        <w:rPr>
          <w:rFonts w:asciiTheme="majorHAnsi" w:hAnsiTheme="majorHAnsi" w:cstheme="majorHAnsi"/>
          <w:szCs w:val="22"/>
        </w:rPr>
        <w:t xml:space="preserve">An additional </w:t>
      </w:r>
      <w:r w:rsidRPr="00A33AE8">
        <w:rPr>
          <w:rFonts w:asciiTheme="majorHAnsi" w:hAnsiTheme="majorHAnsi" w:cstheme="majorHAnsi"/>
          <w:b/>
          <w:bCs/>
          <w:szCs w:val="22"/>
        </w:rPr>
        <w:t>energy saving target has been specified according to the provisions of Article 7 of Directive 2012/27/EU</w:t>
      </w:r>
      <w:r w:rsidRPr="00A33AE8">
        <w:rPr>
          <w:rFonts w:asciiTheme="majorHAnsi" w:hAnsiTheme="majorHAnsi" w:cstheme="majorHAnsi"/>
          <w:szCs w:val="22"/>
        </w:rPr>
        <w:t xml:space="preserve">. Moreover, specifically, 506 ktoe of cumulative final energy savings should be </w:t>
      </w:r>
      <w:r w:rsidR="000F65F4" w:rsidRPr="00A33AE8">
        <w:rPr>
          <w:rFonts w:asciiTheme="majorHAnsi" w:hAnsiTheme="majorHAnsi" w:cstheme="majorHAnsi"/>
          <w:szCs w:val="22"/>
        </w:rPr>
        <w:t xml:space="preserve">achieved </w:t>
      </w:r>
      <w:r w:rsidRPr="00A33AE8">
        <w:rPr>
          <w:rFonts w:asciiTheme="majorHAnsi" w:hAnsiTheme="majorHAnsi" w:cstheme="majorHAnsi"/>
          <w:szCs w:val="22"/>
        </w:rPr>
        <w:t>by the implementation of energy efficiency measures over the period 2024-2030.</w:t>
      </w:r>
    </w:p>
    <w:p w14:paraId="765A6D6C" w14:textId="50F3C341" w:rsidR="00653D73" w:rsidRPr="00A33AE8" w:rsidRDefault="00653D73" w:rsidP="00653D73">
      <w:pPr>
        <w:pStyle w:val="BodyText"/>
        <w:spacing w:before="120" w:line="276" w:lineRule="auto"/>
        <w:ind w:right="192"/>
        <w:rPr>
          <w:rFonts w:asciiTheme="majorHAnsi" w:hAnsiTheme="majorHAnsi" w:cstheme="majorHAnsi"/>
          <w:szCs w:val="22"/>
        </w:rPr>
      </w:pPr>
      <w:r w:rsidRPr="00A33AE8">
        <w:rPr>
          <w:rFonts w:asciiTheme="majorHAnsi" w:hAnsiTheme="majorHAnsi" w:cstheme="majorHAnsi"/>
          <w:szCs w:val="22"/>
        </w:rPr>
        <w:lastRenderedPageBreak/>
        <w:t xml:space="preserve">The need to </w:t>
      </w:r>
      <w:r w:rsidRPr="00A33AE8">
        <w:rPr>
          <w:rFonts w:asciiTheme="majorHAnsi" w:hAnsiTheme="majorHAnsi" w:cstheme="majorHAnsi"/>
          <w:b/>
          <w:bCs/>
          <w:szCs w:val="22"/>
        </w:rPr>
        <w:t>renovate the existing building stock</w:t>
      </w:r>
      <w:r w:rsidRPr="00A33AE8">
        <w:rPr>
          <w:rFonts w:asciiTheme="majorHAnsi" w:hAnsiTheme="majorHAnsi" w:cstheme="majorHAnsi"/>
          <w:szCs w:val="22"/>
        </w:rPr>
        <w:t xml:space="preserve"> is indisputable, leading not only to significant energy and cost savings but improving simultaneously the comfort, safety and health conditions in the renovated buildings. </w:t>
      </w:r>
      <w:r w:rsidR="002B593F" w:rsidRPr="00A33AE8">
        <w:rPr>
          <w:rFonts w:asciiTheme="majorHAnsi" w:hAnsiTheme="majorHAnsi" w:cstheme="majorHAnsi"/>
          <w:szCs w:val="22"/>
        </w:rPr>
        <w:t xml:space="preserve">The renovation rates, estimated within the framework of the Long-term Strategy for Encouraging Investments in Renovation of the National Building Stock of the Republic of Serbia by </w:t>
      </w:r>
      <w:r w:rsidR="00F967AA" w:rsidRPr="000007D2">
        <w:rPr>
          <w:rFonts w:asciiTheme="majorHAnsi" w:hAnsiTheme="majorHAnsi" w:cstheme="majorHAnsi"/>
          <w:szCs w:val="22"/>
        </w:rPr>
        <w:t>2050</w:t>
      </w:r>
      <w:r w:rsidR="00AD0F92">
        <w:rPr>
          <w:rStyle w:val="FootnoteReference"/>
          <w:rFonts w:asciiTheme="majorHAnsi" w:hAnsiTheme="majorHAnsi" w:cstheme="majorHAnsi"/>
          <w:szCs w:val="22"/>
        </w:rPr>
        <w:footnoteReference w:id="96"/>
      </w:r>
      <w:r w:rsidR="00F967AA" w:rsidRPr="000007D2">
        <w:rPr>
          <w:rFonts w:asciiTheme="majorHAnsi" w:hAnsiTheme="majorHAnsi" w:cstheme="majorHAnsi"/>
          <w:szCs w:val="22"/>
        </w:rPr>
        <w:t xml:space="preserve"> </w:t>
      </w:r>
      <w:r w:rsidRPr="00A33AE8">
        <w:rPr>
          <w:rFonts w:asciiTheme="majorHAnsi" w:hAnsiTheme="majorHAnsi" w:cstheme="majorHAnsi"/>
          <w:szCs w:val="22"/>
        </w:rPr>
        <w:t>for the case of the residential and non-residential buildings</w:t>
      </w:r>
      <w:r w:rsidR="002B593F" w:rsidRPr="00A33AE8">
        <w:rPr>
          <w:rFonts w:asciiTheme="majorHAnsi" w:hAnsiTheme="majorHAnsi" w:cstheme="majorHAnsi"/>
          <w:szCs w:val="22"/>
        </w:rPr>
        <w:t>,</w:t>
      </w:r>
      <w:r w:rsidRPr="00A33AE8">
        <w:rPr>
          <w:rFonts w:asciiTheme="majorHAnsi" w:hAnsiTheme="majorHAnsi" w:cstheme="majorHAnsi"/>
          <w:szCs w:val="22"/>
        </w:rPr>
        <w:t xml:space="preserve"> respectively</w:t>
      </w:r>
      <w:r w:rsidR="002B593F" w:rsidRPr="00A33AE8">
        <w:rPr>
          <w:rFonts w:asciiTheme="majorHAnsi" w:hAnsiTheme="majorHAnsi" w:cstheme="majorHAnsi"/>
          <w:szCs w:val="22"/>
        </w:rPr>
        <w:t>,</w:t>
      </w:r>
      <w:r w:rsidRPr="00A33AE8">
        <w:rPr>
          <w:rFonts w:asciiTheme="majorHAnsi" w:hAnsiTheme="majorHAnsi" w:cstheme="majorHAnsi"/>
          <w:szCs w:val="22"/>
        </w:rPr>
        <w:t xml:space="preserve"> </w:t>
      </w:r>
      <w:r w:rsidR="002B593F" w:rsidRPr="00A33AE8">
        <w:rPr>
          <w:rFonts w:asciiTheme="majorHAnsi" w:hAnsiTheme="majorHAnsi" w:cstheme="majorHAnsi"/>
          <w:szCs w:val="22"/>
        </w:rPr>
        <w:t>have been</w:t>
      </w:r>
      <w:r w:rsidRPr="00A33AE8">
        <w:rPr>
          <w:rFonts w:asciiTheme="majorHAnsi" w:hAnsiTheme="majorHAnsi" w:cstheme="majorHAnsi"/>
          <w:szCs w:val="22"/>
        </w:rPr>
        <w:t xml:space="preserve"> </w:t>
      </w:r>
      <w:r w:rsidR="002B593F" w:rsidRPr="00A33AE8">
        <w:rPr>
          <w:rFonts w:asciiTheme="majorHAnsi" w:hAnsiTheme="majorHAnsi" w:cstheme="majorHAnsi"/>
          <w:szCs w:val="22"/>
        </w:rPr>
        <w:t xml:space="preserve">taken into consideration </w:t>
      </w:r>
      <w:r w:rsidRPr="00A33AE8">
        <w:rPr>
          <w:rFonts w:asciiTheme="majorHAnsi" w:hAnsiTheme="majorHAnsi" w:cstheme="majorHAnsi"/>
          <w:szCs w:val="22"/>
        </w:rPr>
        <w:t xml:space="preserve">within the framework of the </w:t>
      </w:r>
      <w:r w:rsidR="00723D73">
        <w:rPr>
          <w:rFonts w:asciiTheme="majorHAnsi" w:hAnsiTheme="majorHAnsi" w:cstheme="majorHAnsi"/>
          <w:szCs w:val="22"/>
        </w:rPr>
        <w:t>I</w:t>
      </w:r>
      <w:r w:rsidRPr="00A33AE8">
        <w:rPr>
          <w:rFonts w:asciiTheme="majorHAnsi" w:hAnsiTheme="majorHAnsi" w:cstheme="majorHAnsi"/>
          <w:szCs w:val="22"/>
        </w:rPr>
        <w:t xml:space="preserve">NECP until 2030 in order to ensure </w:t>
      </w:r>
      <w:r w:rsidR="002B593F" w:rsidRPr="00A33AE8">
        <w:rPr>
          <w:rFonts w:asciiTheme="majorHAnsi" w:hAnsiTheme="majorHAnsi" w:cstheme="majorHAnsi"/>
          <w:szCs w:val="22"/>
        </w:rPr>
        <w:t xml:space="preserve">their full alignment and to facilitate </w:t>
      </w:r>
      <w:r w:rsidRPr="00A33AE8">
        <w:rPr>
          <w:rFonts w:asciiTheme="majorHAnsi" w:hAnsiTheme="majorHAnsi" w:cstheme="majorHAnsi"/>
          <w:szCs w:val="22"/>
        </w:rPr>
        <w:t>the sufficient renovation of the building stock.</w:t>
      </w:r>
    </w:p>
    <w:p w14:paraId="491C659C" w14:textId="32967B31" w:rsidR="00653D73" w:rsidRPr="000007D2" w:rsidRDefault="00653D73" w:rsidP="00653D73">
      <w:pPr>
        <w:pStyle w:val="BodyText"/>
        <w:spacing w:before="120" w:line="276" w:lineRule="auto"/>
        <w:ind w:right="192"/>
        <w:rPr>
          <w:rFonts w:asciiTheme="majorHAnsi" w:hAnsiTheme="majorHAnsi" w:cstheme="majorHAnsi"/>
          <w:szCs w:val="22"/>
        </w:rPr>
      </w:pPr>
      <w:r w:rsidRPr="00A33AE8">
        <w:rPr>
          <w:rFonts w:asciiTheme="majorHAnsi" w:hAnsiTheme="majorHAnsi" w:cstheme="majorHAnsi"/>
          <w:szCs w:val="22"/>
        </w:rPr>
        <w:t xml:space="preserve">Finally, the implementation of the planned policies and measures in the end-users for improving the energy efficiency requires the </w:t>
      </w:r>
      <w:r w:rsidRPr="00A33AE8">
        <w:rPr>
          <w:rFonts w:asciiTheme="majorHAnsi" w:hAnsiTheme="majorHAnsi" w:cstheme="majorHAnsi"/>
          <w:b/>
          <w:bCs/>
          <w:szCs w:val="22"/>
        </w:rPr>
        <w:t>design of efficient financing mechanisms</w:t>
      </w:r>
      <w:r w:rsidRPr="00A33AE8">
        <w:rPr>
          <w:rFonts w:asciiTheme="majorHAnsi" w:hAnsiTheme="majorHAnsi" w:cstheme="majorHAnsi"/>
          <w:szCs w:val="22"/>
        </w:rPr>
        <w:t xml:space="preserve"> in order to increase and maximize the current levels of </w:t>
      </w:r>
      <w:r w:rsidR="00B96857" w:rsidRPr="00A33AE8">
        <w:rPr>
          <w:rFonts w:asciiTheme="majorHAnsi" w:hAnsiTheme="majorHAnsi" w:cstheme="majorHAnsi"/>
          <w:szCs w:val="22"/>
        </w:rPr>
        <w:t xml:space="preserve">own funds </w:t>
      </w:r>
      <w:r w:rsidRPr="00A33AE8">
        <w:rPr>
          <w:rFonts w:asciiTheme="majorHAnsi" w:hAnsiTheme="majorHAnsi" w:cstheme="majorHAnsi"/>
          <w:szCs w:val="22"/>
        </w:rPr>
        <w:t xml:space="preserve">leverage. The active involvement of the financial sector and the promotion of </w:t>
      </w:r>
      <w:r w:rsidRPr="00A33AE8">
        <w:rPr>
          <w:rFonts w:asciiTheme="majorHAnsi" w:hAnsiTheme="majorHAnsi" w:cstheme="majorHAnsi"/>
          <w:b/>
          <w:bCs/>
          <w:szCs w:val="22"/>
        </w:rPr>
        <w:t>innovative financing instruments</w:t>
      </w:r>
      <w:r w:rsidRPr="00A33AE8">
        <w:rPr>
          <w:rFonts w:asciiTheme="majorHAnsi" w:hAnsiTheme="majorHAnsi" w:cstheme="majorHAnsi"/>
          <w:szCs w:val="22"/>
        </w:rPr>
        <w:t>, including the promotion of energy performance contracts and energy services, are critical parameters for attaining this objective.</w:t>
      </w:r>
      <w:r w:rsidR="000F65F4" w:rsidRPr="000007D2">
        <w:rPr>
          <w:rFonts w:asciiTheme="majorHAnsi" w:hAnsiTheme="majorHAnsi" w:cstheme="majorHAnsi"/>
          <w:szCs w:val="22"/>
        </w:rPr>
        <w:t xml:space="preserve"> </w:t>
      </w:r>
      <w:r w:rsidR="006D3754" w:rsidRPr="00A33AE8">
        <w:rPr>
          <w:rFonts w:asciiTheme="majorHAnsi" w:hAnsiTheme="majorHAnsi" w:cstheme="majorHAnsi"/>
          <w:szCs w:val="22"/>
        </w:rPr>
        <w:t xml:space="preserve">The </w:t>
      </w:r>
      <w:r w:rsidR="006D3754" w:rsidRPr="000007D2">
        <w:rPr>
          <w:rFonts w:asciiTheme="majorHAnsi" w:hAnsiTheme="majorHAnsi" w:cstheme="majorHAnsi"/>
          <w:szCs w:val="22"/>
          <w:lang w:bidi="sr-Cyrl-CS"/>
        </w:rPr>
        <w:t xml:space="preserve">Energy Efficiency Directorate will play a special role for the creation and implementation of financing mechanism. The capacities of the Directorate should be strengthened in the coming period, and </w:t>
      </w:r>
      <w:r w:rsidR="006D3754" w:rsidRPr="000007D2">
        <w:rPr>
          <w:rFonts w:asciiTheme="majorHAnsi" w:hAnsiTheme="majorHAnsi" w:cstheme="majorHAnsi"/>
        </w:rPr>
        <w:t xml:space="preserve">its legal status should be further improved. This will enable the implementation of adequate financial mechanisms for the promotion of EE. The Directorate is already implementing activities for the financing of energy efficiency improvements in households and in public sector buildings </w:t>
      </w:r>
      <w:r w:rsidR="0052163B" w:rsidRPr="000007D2">
        <w:rPr>
          <w:rFonts w:asciiTheme="majorHAnsi" w:hAnsiTheme="majorHAnsi" w:cstheme="majorHAnsi"/>
        </w:rPr>
        <w:t>at</w:t>
      </w:r>
      <w:r w:rsidR="006D3754" w:rsidRPr="000007D2">
        <w:rPr>
          <w:rFonts w:asciiTheme="majorHAnsi" w:hAnsiTheme="majorHAnsi" w:cstheme="majorHAnsi"/>
        </w:rPr>
        <w:t xml:space="preserve"> the local level as previously described.</w:t>
      </w:r>
    </w:p>
    <w:p w14:paraId="6172FA6B" w14:textId="77777777" w:rsidR="00653D73" w:rsidRPr="00A33AE8" w:rsidRDefault="00653D73" w:rsidP="00653D73">
      <w:pPr>
        <w:pStyle w:val="Heading2"/>
      </w:pPr>
      <w:bookmarkStart w:id="122" w:name="_bookmark43"/>
      <w:bookmarkStart w:id="123" w:name="_Toc118991769"/>
      <w:bookmarkStart w:id="124" w:name="_Toc153545039"/>
      <w:bookmarkEnd w:id="122"/>
      <w:r w:rsidRPr="00A33AE8">
        <w:t>Energy security</w:t>
      </w:r>
      <w:bookmarkEnd w:id="123"/>
      <w:bookmarkEnd w:id="124"/>
    </w:p>
    <w:p w14:paraId="12FDD887" w14:textId="77777777" w:rsidR="00653D73" w:rsidRPr="00A33AE8" w:rsidRDefault="00653D73" w:rsidP="00653D73">
      <w:pPr>
        <w:pStyle w:val="BodyText"/>
        <w:spacing w:before="120" w:line="276" w:lineRule="auto"/>
        <w:ind w:right="202"/>
        <w:rPr>
          <w:rFonts w:asciiTheme="majorHAnsi" w:hAnsiTheme="majorHAnsi" w:cstheme="majorHAnsi"/>
          <w:szCs w:val="22"/>
        </w:rPr>
      </w:pPr>
      <w:bookmarkStart w:id="125" w:name="_bookmark44"/>
      <w:bookmarkEnd w:id="125"/>
      <w:r w:rsidRPr="00A33AE8">
        <w:rPr>
          <w:rFonts w:asciiTheme="majorHAnsi" w:hAnsiTheme="majorHAnsi" w:cstheme="majorHAnsi"/>
          <w:szCs w:val="22"/>
        </w:rPr>
        <w:t xml:space="preserve">The diversification of energy sources and fuel supplying countries is the main objective of the </w:t>
      </w:r>
      <w:r w:rsidR="00723D73">
        <w:rPr>
          <w:rFonts w:asciiTheme="majorHAnsi" w:hAnsiTheme="majorHAnsi" w:cstheme="majorHAnsi"/>
          <w:szCs w:val="22"/>
        </w:rPr>
        <w:t>I</w:t>
      </w:r>
      <w:r w:rsidRPr="00A33AE8">
        <w:rPr>
          <w:rFonts w:asciiTheme="majorHAnsi" w:hAnsiTheme="majorHAnsi" w:cstheme="majorHAnsi"/>
          <w:szCs w:val="22"/>
        </w:rPr>
        <w:t xml:space="preserve">NECP for the dimension of energy security. More specifically, policies and measures will be launched to </w:t>
      </w:r>
      <w:r w:rsidRPr="00A33AE8">
        <w:rPr>
          <w:rFonts w:asciiTheme="majorHAnsi" w:hAnsiTheme="majorHAnsi" w:cstheme="majorHAnsi"/>
          <w:b/>
          <w:bCs/>
          <w:szCs w:val="22"/>
        </w:rPr>
        <w:t>strengthen the diversification of energy sources</w:t>
      </w:r>
      <w:r w:rsidRPr="00A33AE8">
        <w:rPr>
          <w:rFonts w:asciiTheme="majorHAnsi" w:hAnsiTheme="majorHAnsi" w:cstheme="majorHAnsi"/>
          <w:szCs w:val="22"/>
        </w:rPr>
        <w:t xml:space="preserve"> in order to prevent</w:t>
      </w:r>
      <w:r w:rsidRPr="00A33AE8">
        <w:rPr>
          <w:rFonts w:asciiTheme="majorHAnsi" w:hAnsiTheme="majorHAnsi" w:cstheme="majorHAnsi"/>
          <w:spacing w:val="1"/>
          <w:szCs w:val="22"/>
        </w:rPr>
        <w:t xml:space="preserve"> the </w:t>
      </w:r>
      <w:r w:rsidRPr="00A33AE8">
        <w:rPr>
          <w:rFonts w:asciiTheme="majorHAnsi" w:hAnsiTheme="majorHAnsi" w:cstheme="majorHAnsi"/>
          <w:szCs w:val="22"/>
        </w:rPr>
        <w:t>dependence on just one fuel or just one country. The achieved</w:t>
      </w:r>
      <w:r w:rsidR="00F942AB" w:rsidRPr="00A33AE8">
        <w:rPr>
          <w:rFonts w:asciiTheme="majorHAnsi" w:hAnsiTheme="majorHAnsi" w:cstheme="majorHAnsi"/>
          <w:szCs w:val="22"/>
        </w:rPr>
        <w:t xml:space="preserve"> </w:t>
      </w:r>
      <w:r w:rsidRPr="00A33AE8">
        <w:rPr>
          <w:rFonts w:asciiTheme="majorHAnsi" w:hAnsiTheme="majorHAnsi" w:cstheme="majorHAnsi"/>
          <w:szCs w:val="22"/>
        </w:rPr>
        <w:t>diversification will increase the competitiveness between fuels and suppliers from third countries</w:t>
      </w:r>
      <w:r w:rsidR="00F942AB" w:rsidRPr="00A33AE8">
        <w:rPr>
          <w:rFonts w:asciiTheme="majorHAnsi" w:hAnsiTheme="majorHAnsi" w:cstheme="majorHAnsi"/>
          <w:szCs w:val="22"/>
        </w:rPr>
        <w:t xml:space="preserve"> </w:t>
      </w:r>
      <w:r w:rsidRPr="00A33AE8">
        <w:rPr>
          <w:rFonts w:asciiTheme="majorHAnsi" w:hAnsiTheme="majorHAnsi" w:cstheme="majorHAnsi"/>
          <w:szCs w:val="22"/>
        </w:rPr>
        <w:t>leading to reduced energy prices, enhancing the security of supply and also protecting the supply of energy in the event of an energy</w:t>
      </w:r>
      <w:r w:rsidR="008A3FEC" w:rsidRPr="00A33AE8">
        <w:rPr>
          <w:rFonts w:asciiTheme="majorHAnsi" w:hAnsiTheme="majorHAnsi" w:cstheme="majorHAnsi"/>
          <w:szCs w:val="22"/>
        </w:rPr>
        <w:t xml:space="preserve"> </w:t>
      </w:r>
      <w:r w:rsidRPr="00A33AE8">
        <w:rPr>
          <w:rFonts w:asciiTheme="majorHAnsi" w:hAnsiTheme="majorHAnsi" w:cstheme="majorHAnsi"/>
          <w:szCs w:val="22"/>
        </w:rPr>
        <w:t>crisis</w:t>
      </w:r>
      <w:r w:rsidR="008A3FEC" w:rsidRPr="00A33AE8">
        <w:rPr>
          <w:rFonts w:asciiTheme="majorHAnsi" w:hAnsiTheme="majorHAnsi" w:cstheme="majorHAnsi"/>
          <w:szCs w:val="22"/>
        </w:rPr>
        <w:t xml:space="preserve"> </w:t>
      </w:r>
      <w:r w:rsidRPr="00A33AE8">
        <w:rPr>
          <w:rFonts w:asciiTheme="majorHAnsi" w:hAnsiTheme="majorHAnsi" w:cstheme="majorHAnsi"/>
          <w:szCs w:val="22"/>
        </w:rPr>
        <w:t>at</w:t>
      </w:r>
      <w:r w:rsidR="008A3FEC" w:rsidRPr="00A33AE8">
        <w:rPr>
          <w:rFonts w:asciiTheme="majorHAnsi" w:hAnsiTheme="majorHAnsi" w:cstheme="majorHAnsi"/>
          <w:szCs w:val="22"/>
        </w:rPr>
        <w:t xml:space="preserve"> </w:t>
      </w:r>
      <w:r w:rsidRPr="00A33AE8">
        <w:rPr>
          <w:rFonts w:asciiTheme="majorHAnsi" w:hAnsiTheme="majorHAnsi" w:cstheme="majorHAnsi"/>
          <w:szCs w:val="22"/>
        </w:rPr>
        <w:t>regional level.</w:t>
      </w:r>
    </w:p>
    <w:p w14:paraId="2F687DF9" w14:textId="77777777" w:rsidR="00653D73" w:rsidRPr="00A33AE8" w:rsidRDefault="00653D73" w:rsidP="00653D73">
      <w:pPr>
        <w:pStyle w:val="BodyText"/>
        <w:spacing w:before="120" w:line="276" w:lineRule="auto"/>
        <w:ind w:right="202"/>
        <w:rPr>
          <w:rFonts w:asciiTheme="majorHAnsi" w:hAnsiTheme="majorHAnsi" w:cstheme="majorHAnsi"/>
          <w:spacing w:val="1"/>
          <w:szCs w:val="22"/>
        </w:rPr>
      </w:pPr>
      <w:r w:rsidRPr="00A33AE8">
        <w:rPr>
          <w:rFonts w:asciiTheme="majorHAnsi" w:hAnsiTheme="majorHAnsi" w:cstheme="majorHAnsi"/>
          <w:szCs w:val="22"/>
        </w:rPr>
        <w:t xml:space="preserve">Obviously, the </w:t>
      </w:r>
      <w:r w:rsidRPr="00A33AE8">
        <w:rPr>
          <w:rFonts w:asciiTheme="majorHAnsi" w:hAnsiTheme="majorHAnsi" w:cstheme="majorHAnsi"/>
          <w:b/>
          <w:bCs/>
          <w:szCs w:val="22"/>
        </w:rPr>
        <w:t xml:space="preserve">optimal utilization of domestic energy sources </w:t>
      </w:r>
      <w:r w:rsidRPr="00A33AE8">
        <w:rPr>
          <w:rFonts w:asciiTheme="majorHAnsi" w:hAnsiTheme="majorHAnsi" w:cstheme="majorHAnsi"/>
          <w:szCs w:val="22"/>
        </w:rPr>
        <w:t>should be ensured to enhance the energy security. The identification of the existing potential and the</w:t>
      </w:r>
      <w:r w:rsidR="008A3FEC" w:rsidRPr="00A33AE8">
        <w:rPr>
          <w:rFonts w:asciiTheme="majorHAnsi" w:hAnsiTheme="majorHAnsi" w:cstheme="majorHAnsi"/>
          <w:szCs w:val="22"/>
        </w:rPr>
        <w:t xml:space="preserve"> </w:t>
      </w:r>
      <w:r w:rsidRPr="00A33AE8">
        <w:rPr>
          <w:rFonts w:asciiTheme="majorHAnsi" w:hAnsiTheme="majorHAnsi" w:cstheme="majorHAnsi"/>
          <w:szCs w:val="22"/>
        </w:rPr>
        <w:t xml:space="preserve">most cost-effective utilization of domestic energy sources is essential target within the framework of the </w:t>
      </w:r>
      <w:r w:rsidR="00723D73">
        <w:rPr>
          <w:rFonts w:asciiTheme="majorHAnsi" w:hAnsiTheme="majorHAnsi" w:cstheme="majorHAnsi"/>
          <w:szCs w:val="22"/>
        </w:rPr>
        <w:t>I</w:t>
      </w:r>
      <w:r w:rsidRPr="00A33AE8">
        <w:rPr>
          <w:rFonts w:asciiTheme="majorHAnsi" w:hAnsiTheme="majorHAnsi" w:cstheme="majorHAnsi"/>
          <w:szCs w:val="22"/>
        </w:rPr>
        <w:t>NECP. Emphasis will be given on the utilization and use of RES</w:t>
      </w:r>
      <w:r w:rsidR="008A3FEC" w:rsidRPr="00A33AE8">
        <w:rPr>
          <w:rFonts w:asciiTheme="majorHAnsi" w:hAnsiTheme="majorHAnsi" w:cstheme="majorHAnsi"/>
          <w:szCs w:val="22"/>
        </w:rPr>
        <w:t xml:space="preserve"> </w:t>
      </w:r>
      <w:r w:rsidRPr="00A33AE8">
        <w:rPr>
          <w:rFonts w:asciiTheme="majorHAnsi" w:hAnsiTheme="majorHAnsi" w:cstheme="majorHAnsi"/>
          <w:szCs w:val="22"/>
        </w:rPr>
        <w:t>potential, both for electricity production and for direct use in end-uses contributing substantially towards</w:t>
      </w:r>
      <w:r w:rsidR="008A3FEC" w:rsidRPr="00A33AE8">
        <w:rPr>
          <w:rFonts w:asciiTheme="majorHAnsi" w:hAnsiTheme="majorHAnsi" w:cstheme="majorHAnsi"/>
          <w:szCs w:val="22"/>
        </w:rPr>
        <w:t xml:space="preserve"> </w:t>
      </w:r>
      <w:r w:rsidRPr="00A33AE8">
        <w:rPr>
          <w:rFonts w:asciiTheme="majorHAnsi" w:hAnsiTheme="majorHAnsi" w:cstheme="majorHAnsi"/>
          <w:szCs w:val="22"/>
        </w:rPr>
        <w:t>energy</w:t>
      </w:r>
      <w:r w:rsidR="008A3FEC" w:rsidRPr="00A33AE8">
        <w:rPr>
          <w:rFonts w:asciiTheme="majorHAnsi" w:hAnsiTheme="majorHAnsi" w:cstheme="majorHAnsi"/>
          <w:szCs w:val="22"/>
        </w:rPr>
        <w:t xml:space="preserve"> </w:t>
      </w:r>
      <w:r w:rsidRPr="00A33AE8">
        <w:rPr>
          <w:rFonts w:asciiTheme="majorHAnsi" w:hAnsiTheme="majorHAnsi" w:cstheme="majorHAnsi"/>
          <w:szCs w:val="22"/>
        </w:rPr>
        <w:t>security.</w:t>
      </w:r>
    </w:p>
    <w:p w14:paraId="56B58582" w14:textId="77777777" w:rsidR="00653D73" w:rsidRPr="00A33AE8" w:rsidRDefault="00653D73" w:rsidP="00653D73">
      <w:pPr>
        <w:pStyle w:val="BodyText"/>
        <w:spacing w:before="120" w:line="276" w:lineRule="auto"/>
        <w:ind w:right="194"/>
        <w:rPr>
          <w:rFonts w:asciiTheme="majorHAnsi" w:hAnsiTheme="majorHAnsi" w:cstheme="majorHAnsi"/>
          <w:szCs w:val="22"/>
        </w:rPr>
      </w:pPr>
      <w:r w:rsidRPr="00A33AE8">
        <w:rPr>
          <w:rFonts w:asciiTheme="majorHAnsi" w:hAnsiTheme="majorHAnsi" w:cstheme="majorHAnsi"/>
          <w:b/>
          <w:bCs/>
          <w:szCs w:val="22"/>
        </w:rPr>
        <w:t>Strengthening</w:t>
      </w:r>
      <w:r w:rsidR="008A3FEC" w:rsidRPr="00A33AE8">
        <w:rPr>
          <w:rFonts w:asciiTheme="majorHAnsi" w:hAnsiTheme="majorHAnsi" w:cstheme="majorHAnsi"/>
          <w:b/>
          <w:bCs/>
          <w:szCs w:val="22"/>
        </w:rPr>
        <w:t xml:space="preserve"> </w:t>
      </w:r>
      <w:r w:rsidRPr="00A33AE8">
        <w:rPr>
          <w:rFonts w:asciiTheme="majorHAnsi" w:hAnsiTheme="majorHAnsi" w:cstheme="majorHAnsi"/>
          <w:b/>
          <w:bCs/>
          <w:szCs w:val="22"/>
        </w:rPr>
        <w:t>the</w:t>
      </w:r>
      <w:r w:rsidR="008A3FEC" w:rsidRPr="00A33AE8">
        <w:rPr>
          <w:rFonts w:asciiTheme="majorHAnsi" w:hAnsiTheme="majorHAnsi" w:cstheme="majorHAnsi"/>
          <w:b/>
          <w:bCs/>
          <w:szCs w:val="22"/>
        </w:rPr>
        <w:t xml:space="preserve"> </w:t>
      </w:r>
      <w:r w:rsidRPr="00A33AE8">
        <w:rPr>
          <w:rFonts w:asciiTheme="majorHAnsi" w:hAnsiTheme="majorHAnsi" w:cstheme="majorHAnsi"/>
          <w:b/>
          <w:bCs/>
          <w:szCs w:val="22"/>
        </w:rPr>
        <w:t>geopolitical</w:t>
      </w:r>
      <w:r w:rsidR="008A3FEC" w:rsidRPr="00A33AE8">
        <w:rPr>
          <w:rFonts w:asciiTheme="majorHAnsi" w:hAnsiTheme="majorHAnsi" w:cstheme="majorHAnsi"/>
          <w:b/>
          <w:bCs/>
          <w:szCs w:val="22"/>
        </w:rPr>
        <w:t xml:space="preserve"> </w:t>
      </w:r>
      <w:r w:rsidRPr="00A33AE8">
        <w:rPr>
          <w:rFonts w:asciiTheme="majorHAnsi" w:hAnsiTheme="majorHAnsi" w:cstheme="majorHAnsi"/>
          <w:b/>
          <w:bCs/>
          <w:szCs w:val="22"/>
        </w:rPr>
        <w:t>role</w:t>
      </w:r>
      <w:r w:rsidR="008A3FEC" w:rsidRPr="00A33AE8">
        <w:rPr>
          <w:rFonts w:asciiTheme="majorHAnsi" w:hAnsiTheme="majorHAnsi" w:cstheme="majorHAnsi"/>
          <w:b/>
          <w:bCs/>
          <w:szCs w:val="22"/>
        </w:rPr>
        <w:t xml:space="preserve"> </w:t>
      </w:r>
      <w:r w:rsidRPr="00A33AE8">
        <w:rPr>
          <w:rFonts w:asciiTheme="majorHAnsi" w:hAnsiTheme="majorHAnsi" w:cstheme="majorHAnsi"/>
          <w:szCs w:val="22"/>
        </w:rPr>
        <w:t>of</w:t>
      </w:r>
      <w:r w:rsidR="008A3FEC" w:rsidRPr="00A33AE8">
        <w:rPr>
          <w:rFonts w:asciiTheme="majorHAnsi" w:hAnsiTheme="majorHAnsi" w:cstheme="majorHAnsi"/>
          <w:szCs w:val="22"/>
        </w:rPr>
        <w:t xml:space="preserve"> </w:t>
      </w:r>
      <w:r w:rsidR="00C95FE8" w:rsidRPr="00A33AE8">
        <w:rPr>
          <w:rFonts w:asciiTheme="majorHAnsi" w:hAnsiTheme="majorHAnsi" w:cstheme="majorHAnsi"/>
          <w:szCs w:val="22"/>
        </w:rPr>
        <w:t xml:space="preserve">the </w:t>
      </w:r>
      <w:r w:rsidRPr="00A33AE8">
        <w:rPr>
          <w:rFonts w:asciiTheme="majorHAnsi" w:hAnsiTheme="majorHAnsi" w:cstheme="majorHAnsi"/>
          <w:szCs w:val="22"/>
        </w:rPr>
        <w:t>Republic of Serbia constitute</w:t>
      </w:r>
      <w:r w:rsidR="008A3FEC" w:rsidRPr="00A33AE8">
        <w:rPr>
          <w:rFonts w:asciiTheme="majorHAnsi" w:hAnsiTheme="majorHAnsi" w:cstheme="majorHAnsi"/>
          <w:szCs w:val="22"/>
        </w:rPr>
        <w:t>s</w:t>
      </w:r>
      <w:r w:rsidRPr="00A33AE8">
        <w:rPr>
          <w:rFonts w:asciiTheme="majorHAnsi" w:hAnsiTheme="majorHAnsi" w:cstheme="majorHAnsi"/>
          <w:szCs w:val="22"/>
        </w:rPr>
        <w:t xml:space="preserve"> another vital objective.</w:t>
      </w:r>
      <w:r w:rsidR="008A3FEC" w:rsidRPr="00A33AE8">
        <w:rPr>
          <w:rFonts w:asciiTheme="majorHAnsi" w:hAnsiTheme="majorHAnsi" w:cstheme="majorHAnsi"/>
          <w:szCs w:val="22"/>
        </w:rPr>
        <w:t xml:space="preserve"> </w:t>
      </w:r>
      <w:r w:rsidRPr="00A33AE8">
        <w:rPr>
          <w:rFonts w:asciiTheme="majorHAnsi" w:hAnsiTheme="majorHAnsi" w:cstheme="majorHAnsi"/>
          <w:szCs w:val="22"/>
        </w:rPr>
        <w:t>Therefore,</w:t>
      </w:r>
      <w:r w:rsidR="008A3FEC" w:rsidRPr="00A33AE8">
        <w:rPr>
          <w:rFonts w:asciiTheme="majorHAnsi" w:hAnsiTheme="majorHAnsi" w:cstheme="majorHAnsi"/>
          <w:szCs w:val="22"/>
        </w:rPr>
        <w:t xml:space="preserve"> </w:t>
      </w:r>
      <w:r w:rsidRPr="00A33AE8">
        <w:rPr>
          <w:rFonts w:asciiTheme="majorHAnsi" w:hAnsiTheme="majorHAnsi" w:cstheme="majorHAnsi"/>
          <w:szCs w:val="22"/>
        </w:rPr>
        <w:t>it is urgent</w:t>
      </w:r>
      <w:r w:rsidR="008A3FEC" w:rsidRPr="00A33AE8">
        <w:rPr>
          <w:rFonts w:asciiTheme="majorHAnsi" w:hAnsiTheme="majorHAnsi" w:cstheme="majorHAnsi"/>
          <w:szCs w:val="22"/>
        </w:rPr>
        <w:t xml:space="preserve"> </w:t>
      </w:r>
      <w:r w:rsidRPr="00A33AE8">
        <w:rPr>
          <w:rFonts w:asciiTheme="majorHAnsi" w:hAnsiTheme="majorHAnsi" w:cstheme="majorHAnsi"/>
          <w:szCs w:val="22"/>
        </w:rPr>
        <w:t>to</w:t>
      </w:r>
      <w:r w:rsidR="008A3FEC" w:rsidRPr="00A33AE8">
        <w:rPr>
          <w:rFonts w:asciiTheme="majorHAnsi" w:hAnsiTheme="majorHAnsi" w:cstheme="majorHAnsi"/>
          <w:szCs w:val="22"/>
        </w:rPr>
        <w:t xml:space="preserve"> </w:t>
      </w:r>
      <w:r w:rsidRPr="00A33AE8">
        <w:rPr>
          <w:rFonts w:asciiTheme="majorHAnsi" w:hAnsiTheme="majorHAnsi" w:cstheme="majorHAnsi"/>
          <w:szCs w:val="22"/>
        </w:rPr>
        <w:t>complete the existing interconnections and to design new international interconnections with</w:t>
      </w:r>
      <w:r w:rsidR="008A3FEC" w:rsidRPr="00A33AE8">
        <w:rPr>
          <w:rFonts w:asciiTheme="majorHAnsi" w:hAnsiTheme="majorHAnsi" w:cstheme="majorHAnsi"/>
          <w:szCs w:val="22"/>
        </w:rPr>
        <w:t xml:space="preserve"> </w:t>
      </w:r>
      <w:r w:rsidRPr="00A33AE8">
        <w:rPr>
          <w:rFonts w:asciiTheme="majorHAnsi" w:hAnsiTheme="majorHAnsi" w:cstheme="majorHAnsi"/>
          <w:szCs w:val="22"/>
        </w:rPr>
        <w:t>pipelines</w:t>
      </w:r>
      <w:r w:rsidR="008A3FEC" w:rsidRPr="00A33AE8">
        <w:rPr>
          <w:rFonts w:asciiTheme="majorHAnsi" w:hAnsiTheme="majorHAnsi" w:cstheme="majorHAnsi"/>
          <w:szCs w:val="22"/>
        </w:rPr>
        <w:t xml:space="preserve"> </w:t>
      </w:r>
      <w:r w:rsidRPr="00A33AE8">
        <w:rPr>
          <w:rFonts w:asciiTheme="majorHAnsi" w:hAnsiTheme="majorHAnsi" w:cstheme="majorHAnsi"/>
          <w:szCs w:val="22"/>
        </w:rPr>
        <w:t>from</w:t>
      </w:r>
      <w:r w:rsidR="008A3FEC" w:rsidRPr="00A33AE8">
        <w:rPr>
          <w:rFonts w:asciiTheme="majorHAnsi" w:hAnsiTheme="majorHAnsi" w:cstheme="majorHAnsi"/>
          <w:szCs w:val="22"/>
        </w:rPr>
        <w:t xml:space="preserve"> </w:t>
      </w:r>
      <w:r w:rsidR="00606D25" w:rsidRPr="00A33AE8">
        <w:rPr>
          <w:rFonts w:asciiTheme="majorHAnsi" w:hAnsiTheme="majorHAnsi" w:cstheme="majorHAnsi"/>
          <w:szCs w:val="22"/>
        </w:rPr>
        <w:t>neighbouring</w:t>
      </w:r>
      <w:r w:rsidR="008A3FEC" w:rsidRPr="00A33AE8">
        <w:rPr>
          <w:rFonts w:asciiTheme="majorHAnsi" w:hAnsiTheme="majorHAnsi" w:cstheme="majorHAnsi"/>
          <w:szCs w:val="22"/>
        </w:rPr>
        <w:t xml:space="preserve"> </w:t>
      </w:r>
      <w:r w:rsidRPr="00A33AE8">
        <w:rPr>
          <w:rFonts w:asciiTheme="majorHAnsi" w:hAnsiTheme="majorHAnsi" w:cstheme="majorHAnsi"/>
          <w:szCs w:val="22"/>
        </w:rPr>
        <w:t>countries.</w:t>
      </w:r>
      <w:r w:rsidR="008A3FEC" w:rsidRPr="00A33AE8">
        <w:rPr>
          <w:rFonts w:asciiTheme="majorHAnsi" w:hAnsiTheme="majorHAnsi" w:cstheme="majorHAnsi"/>
          <w:szCs w:val="22"/>
        </w:rPr>
        <w:t xml:space="preserve"> </w:t>
      </w:r>
      <w:r w:rsidRPr="00A33AE8">
        <w:rPr>
          <w:rFonts w:asciiTheme="majorHAnsi" w:hAnsiTheme="majorHAnsi" w:cstheme="majorHAnsi"/>
          <w:szCs w:val="22"/>
        </w:rPr>
        <w:t>Furthermore,</w:t>
      </w:r>
      <w:r w:rsidR="008A3FEC" w:rsidRPr="00A33AE8">
        <w:rPr>
          <w:rFonts w:asciiTheme="majorHAnsi" w:hAnsiTheme="majorHAnsi" w:cstheme="majorHAnsi"/>
          <w:szCs w:val="22"/>
        </w:rPr>
        <w:t xml:space="preserve"> </w:t>
      </w:r>
      <w:r w:rsidRPr="00A33AE8">
        <w:rPr>
          <w:rFonts w:asciiTheme="majorHAnsi" w:hAnsiTheme="majorHAnsi" w:cstheme="majorHAnsi"/>
          <w:szCs w:val="22"/>
        </w:rPr>
        <w:t>these</w:t>
      </w:r>
      <w:r w:rsidR="008A3FEC" w:rsidRPr="00A33AE8">
        <w:rPr>
          <w:rFonts w:asciiTheme="majorHAnsi" w:hAnsiTheme="majorHAnsi" w:cstheme="majorHAnsi"/>
          <w:szCs w:val="22"/>
        </w:rPr>
        <w:t xml:space="preserve"> </w:t>
      </w:r>
      <w:r w:rsidRPr="00A33AE8">
        <w:rPr>
          <w:rFonts w:asciiTheme="majorHAnsi" w:hAnsiTheme="majorHAnsi" w:cstheme="majorHAnsi"/>
          <w:szCs w:val="22"/>
        </w:rPr>
        <w:t>actions</w:t>
      </w:r>
      <w:r w:rsidR="008A3FEC" w:rsidRPr="00A33AE8">
        <w:rPr>
          <w:rFonts w:asciiTheme="majorHAnsi" w:hAnsiTheme="majorHAnsi" w:cstheme="majorHAnsi"/>
          <w:szCs w:val="22"/>
        </w:rPr>
        <w:t xml:space="preserve"> </w:t>
      </w:r>
      <w:r w:rsidRPr="00A33AE8">
        <w:rPr>
          <w:rFonts w:asciiTheme="majorHAnsi" w:hAnsiTheme="majorHAnsi" w:cstheme="majorHAnsi"/>
          <w:szCs w:val="22"/>
        </w:rPr>
        <w:t>will</w:t>
      </w:r>
      <w:r w:rsidR="008A3FEC" w:rsidRPr="00A33AE8">
        <w:rPr>
          <w:rFonts w:asciiTheme="majorHAnsi" w:hAnsiTheme="majorHAnsi" w:cstheme="majorHAnsi"/>
          <w:szCs w:val="22"/>
        </w:rPr>
        <w:t xml:space="preserve"> </w:t>
      </w:r>
      <w:r w:rsidRPr="00A33AE8">
        <w:rPr>
          <w:rFonts w:asciiTheme="majorHAnsi" w:hAnsiTheme="majorHAnsi" w:cstheme="majorHAnsi"/>
          <w:szCs w:val="22"/>
        </w:rPr>
        <w:t>also</w:t>
      </w:r>
      <w:r w:rsidR="008A3FEC" w:rsidRPr="00A33AE8">
        <w:rPr>
          <w:rFonts w:asciiTheme="majorHAnsi" w:hAnsiTheme="majorHAnsi" w:cstheme="majorHAnsi"/>
          <w:szCs w:val="22"/>
        </w:rPr>
        <w:t xml:space="preserve"> </w:t>
      </w:r>
      <w:r w:rsidRPr="00A33AE8">
        <w:rPr>
          <w:rFonts w:asciiTheme="majorHAnsi" w:hAnsiTheme="majorHAnsi" w:cstheme="majorHAnsi"/>
          <w:szCs w:val="22"/>
        </w:rPr>
        <w:t>contribute</w:t>
      </w:r>
      <w:r w:rsidR="008A3FEC" w:rsidRPr="00A33AE8">
        <w:rPr>
          <w:rFonts w:asciiTheme="majorHAnsi" w:hAnsiTheme="majorHAnsi" w:cstheme="majorHAnsi"/>
          <w:szCs w:val="22"/>
        </w:rPr>
        <w:t xml:space="preserve"> </w:t>
      </w:r>
      <w:r w:rsidRPr="00A33AE8">
        <w:rPr>
          <w:rFonts w:asciiTheme="majorHAnsi" w:hAnsiTheme="majorHAnsi" w:cstheme="majorHAnsi"/>
          <w:szCs w:val="22"/>
        </w:rPr>
        <w:t>to</w:t>
      </w:r>
      <w:r w:rsidR="008A3FEC" w:rsidRPr="00A33AE8">
        <w:rPr>
          <w:rFonts w:asciiTheme="majorHAnsi" w:hAnsiTheme="majorHAnsi" w:cstheme="majorHAnsi"/>
          <w:szCs w:val="22"/>
        </w:rPr>
        <w:t xml:space="preserve"> </w:t>
      </w:r>
      <w:r w:rsidRPr="00A33AE8">
        <w:rPr>
          <w:rFonts w:asciiTheme="majorHAnsi" w:hAnsiTheme="majorHAnsi" w:cstheme="majorHAnsi"/>
          <w:szCs w:val="22"/>
        </w:rPr>
        <w:t>the</w:t>
      </w:r>
      <w:r w:rsidR="008A3FEC" w:rsidRPr="00A33AE8">
        <w:rPr>
          <w:rFonts w:asciiTheme="majorHAnsi" w:hAnsiTheme="majorHAnsi" w:cstheme="majorHAnsi"/>
          <w:szCs w:val="22"/>
        </w:rPr>
        <w:t xml:space="preserve"> </w:t>
      </w:r>
      <w:r w:rsidRPr="00A33AE8">
        <w:rPr>
          <w:rFonts w:asciiTheme="majorHAnsi" w:hAnsiTheme="majorHAnsi" w:cstheme="majorHAnsi"/>
          <w:szCs w:val="22"/>
        </w:rPr>
        <w:t>diversification</w:t>
      </w:r>
      <w:r w:rsidR="008A3FEC" w:rsidRPr="00A33AE8">
        <w:rPr>
          <w:rFonts w:asciiTheme="majorHAnsi" w:hAnsiTheme="majorHAnsi" w:cstheme="majorHAnsi"/>
          <w:szCs w:val="22"/>
        </w:rPr>
        <w:t xml:space="preserve"> </w:t>
      </w:r>
      <w:r w:rsidRPr="00A33AE8">
        <w:rPr>
          <w:rFonts w:asciiTheme="majorHAnsi" w:hAnsiTheme="majorHAnsi" w:cstheme="majorHAnsi"/>
          <w:szCs w:val="22"/>
        </w:rPr>
        <w:t>of</w:t>
      </w:r>
      <w:r w:rsidR="008A3FEC" w:rsidRPr="00A33AE8">
        <w:rPr>
          <w:rFonts w:asciiTheme="majorHAnsi" w:hAnsiTheme="majorHAnsi" w:cstheme="majorHAnsi"/>
          <w:szCs w:val="22"/>
        </w:rPr>
        <w:t xml:space="preserve"> </w:t>
      </w:r>
      <w:r w:rsidRPr="00A33AE8">
        <w:rPr>
          <w:rFonts w:asciiTheme="majorHAnsi" w:hAnsiTheme="majorHAnsi" w:cstheme="majorHAnsi"/>
          <w:szCs w:val="22"/>
        </w:rPr>
        <w:t>energy</w:t>
      </w:r>
      <w:r w:rsidR="008A3FEC" w:rsidRPr="00A33AE8">
        <w:rPr>
          <w:rFonts w:asciiTheme="majorHAnsi" w:hAnsiTheme="majorHAnsi" w:cstheme="majorHAnsi"/>
          <w:szCs w:val="22"/>
        </w:rPr>
        <w:t xml:space="preserve"> </w:t>
      </w:r>
      <w:r w:rsidRPr="00A33AE8">
        <w:rPr>
          <w:rFonts w:asciiTheme="majorHAnsi" w:hAnsiTheme="majorHAnsi" w:cstheme="majorHAnsi"/>
          <w:szCs w:val="22"/>
        </w:rPr>
        <w:t>sources and</w:t>
      </w:r>
      <w:r w:rsidR="008A3FEC" w:rsidRPr="00A33AE8">
        <w:rPr>
          <w:rFonts w:asciiTheme="majorHAnsi" w:hAnsiTheme="majorHAnsi" w:cstheme="majorHAnsi"/>
          <w:szCs w:val="22"/>
        </w:rPr>
        <w:t xml:space="preserve"> </w:t>
      </w:r>
      <w:r w:rsidRPr="00A33AE8">
        <w:rPr>
          <w:rFonts w:asciiTheme="majorHAnsi" w:hAnsiTheme="majorHAnsi" w:cstheme="majorHAnsi"/>
          <w:szCs w:val="22"/>
        </w:rPr>
        <w:t>supply</w:t>
      </w:r>
      <w:r w:rsidR="008A3FEC" w:rsidRPr="00A33AE8">
        <w:rPr>
          <w:rFonts w:asciiTheme="majorHAnsi" w:hAnsiTheme="majorHAnsi" w:cstheme="majorHAnsi"/>
          <w:szCs w:val="22"/>
        </w:rPr>
        <w:t xml:space="preserve"> </w:t>
      </w:r>
      <w:r w:rsidRPr="00A33AE8">
        <w:rPr>
          <w:rFonts w:asciiTheme="majorHAnsi" w:hAnsiTheme="majorHAnsi" w:cstheme="majorHAnsi"/>
          <w:szCs w:val="22"/>
        </w:rPr>
        <w:t>routes from</w:t>
      </w:r>
      <w:r w:rsidR="008A3FEC" w:rsidRPr="00A33AE8">
        <w:rPr>
          <w:rFonts w:asciiTheme="majorHAnsi" w:hAnsiTheme="majorHAnsi" w:cstheme="majorHAnsi"/>
          <w:szCs w:val="22"/>
        </w:rPr>
        <w:t xml:space="preserve"> </w:t>
      </w:r>
      <w:r w:rsidRPr="00A33AE8">
        <w:rPr>
          <w:rFonts w:asciiTheme="majorHAnsi" w:hAnsiTheme="majorHAnsi" w:cstheme="majorHAnsi"/>
          <w:szCs w:val="22"/>
        </w:rPr>
        <w:t>third</w:t>
      </w:r>
      <w:r w:rsidR="008A3FEC" w:rsidRPr="00A33AE8">
        <w:rPr>
          <w:rFonts w:asciiTheme="majorHAnsi" w:hAnsiTheme="majorHAnsi" w:cstheme="majorHAnsi"/>
          <w:szCs w:val="22"/>
        </w:rPr>
        <w:t xml:space="preserve"> </w:t>
      </w:r>
      <w:r w:rsidRPr="00A33AE8">
        <w:rPr>
          <w:rFonts w:asciiTheme="majorHAnsi" w:hAnsiTheme="majorHAnsi" w:cstheme="majorHAnsi"/>
          <w:szCs w:val="22"/>
        </w:rPr>
        <w:t>countries. Several cross-border</w:t>
      </w:r>
      <w:r w:rsidR="008A3FEC" w:rsidRPr="00A33AE8">
        <w:rPr>
          <w:rFonts w:asciiTheme="majorHAnsi" w:hAnsiTheme="majorHAnsi" w:cstheme="majorHAnsi"/>
          <w:szCs w:val="22"/>
        </w:rPr>
        <w:t xml:space="preserve"> </w:t>
      </w:r>
      <w:r w:rsidRPr="00A33AE8">
        <w:rPr>
          <w:rFonts w:asciiTheme="majorHAnsi" w:hAnsiTheme="majorHAnsi" w:cstheme="majorHAnsi"/>
          <w:szCs w:val="22"/>
        </w:rPr>
        <w:t>/</w:t>
      </w:r>
      <w:r w:rsidR="008A3FEC" w:rsidRPr="00A33AE8">
        <w:rPr>
          <w:rFonts w:asciiTheme="majorHAnsi" w:hAnsiTheme="majorHAnsi" w:cstheme="majorHAnsi"/>
          <w:szCs w:val="22"/>
        </w:rPr>
        <w:t xml:space="preserve"> </w:t>
      </w:r>
      <w:r w:rsidRPr="00A33AE8">
        <w:rPr>
          <w:rFonts w:asciiTheme="majorHAnsi" w:hAnsiTheme="majorHAnsi" w:cstheme="majorHAnsi"/>
          <w:szCs w:val="22"/>
        </w:rPr>
        <w:t>international natural gas transportation projects will be promoted, enhancing</w:t>
      </w:r>
      <w:r w:rsidR="008A3FEC" w:rsidRPr="00A33AE8">
        <w:rPr>
          <w:rFonts w:asciiTheme="majorHAnsi" w:hAnsiTheme="majorHAnsi" w:cstheme="majorHAnsi"/>
          <w:szCs w:val="22"/>
        </w:rPr>
        <w:t xml:space="preserve"> </w:t>
      </w:r>
      <w:r w:rsidRPr="00A33AE8">
        <w:rPr>
          <w:rFonts w:asciiTheme="majorHAnsi" w:hAnsiTheme="majorHAnsi" w:cstheme="majorHAnsi"/>
          <w:szCs w:val="22"/>
        </w:rPr>
        <w:t>the</w:t>
      </w:r>
      <w:r w:rsidR="008A3FEC" w:rsidRPr="00A33AE8">
        <w:rPr>
          <w:rFonts w:asciiTheme="majorHAnsi" w:hAnsiTheme="majorHAnsi" w:cstheme="majorHAnsi"/>
          <w:szCs w:val="22"/>
        </w:rPr>
        <w:t xml:space="preserve"> </w:t>
      </w:r>
      <w:r w:rsidRPr="00A33AE8">
        <w:rPr>
          <w:rFonts w:asciiTheme="majorHAnsi" w:hAnsiTheme="majorHAnsi" w:cstheme="majorHAnsi"/>
          <w:szCs w:val="22"/>
        </w:rPr>
        <w:t>diversification</w:t>
      </w:r>
      <w:r w:rsidR="008A3FEC" w:rsidRPr="00A33AE8">
        <w:rPr>
          <w:rFonts w:asciiTheme="majorHAnsi" w:hAnsiTheme="majorHAnsi" w:cstheme="majorHAnsi"/>
          <w:szCs w:val="22"/>
        </w:rPr>
        <w:t xml:space="preserve"> </w:t>
      </w:r>
      <w:r w:rsidRPr="00A33AE8">
        <w:rPr>
          <w:rFonts w:asciiTheme="majorHAnsi" w:hAnsiTheme="majorHAnsi" w:cstheme="majorHAnsi"/>
          <w:szCs w:val="22"/>
        </w:rPr>
        <w:t>of</w:t>
      </w:r>
      <w:r w:rsidR="008A3FEC" w:rsidRPr="00A33AE8">
        <w:rPr>
          <w:rFonts w:asciiTheme="majorHAnsi" w:hAnsiTheme="majorHAnsi" w:cstheme="majorHAnsi"/>
          <w:szCs w:val="22"/>
        </w:rPr>
        <w:t xml:space="preserve"> </w:t>
      </w:r>
      <w:r w:rsidRPr="00A33AE8">
        <w:rPr>
          <w:rFonts w:asciiTheme="majorHAnsi" w:hAnsiTheme="majorHAnsi" w:cstheme="majorHAnsi"/>
          <w:szCs w:val="22"/>
        </w:rPr>
        <w:t>energy</w:t>
      </w:r>
      <w:r w:rsidR="008A3FEC" w:rsidRPr="00A33AE8">
        <w:rPr>
          <w:rFonts w:asciiTheme="majorHAnsi" w:hAnsiTheme="majorHAnsi" w:cstheme="majorHAnsi"/>
          <w:szCs w:val="22"/>
        </w:rPr>
        <w:t xml:space="preserve"> </w:t>
      </w:r>
      <w:r w:rsidRPr="00A33AE8">
        <w:rPr>
          <w:rFonts w:asciiTheme="majorHAnsi" w:hAnsiTheme="majorHAnsi" w:cstheme="majorHAnsi"/>
          <w:szCs w:val="22"/>
        </w:rPr>
        <w:t>sources</w:t>
      </w:r>
      <w:r w:rsidR="008A3FEC" w:rsidRPr="00A33AE8">
        <w:rPr>
          <w:rFonts w:asciiTheme="majorHAnsi" w:hAnsiTheme="majorHAnsi" w:cstheme="majorHAnsi"/>
          <w:szCs w:val="22"/>
        </w:rPr>
        <w:t xml:space="preserve"> </w:t>
      </w:r>
      <w:r w:rsidRPr="00A33AE8">
        <w:rPr>
          <w:rFonts w:asciiTheme="majorHAnsi" w:hAnsiTheme="majorHAnsi" w:cstheme="majorHAnsi"/>
          <w:szCs w:val="22"/>
        </w:rPr>
        <w:t>and,</w:t>
      </w:r>
      <w:r w:rsidR="008A3FEC" w:rsidRPr="00A33AE8">
        <w:rPr>
          <w:rFonts w:asciiTheme="majorHAnsi" w:hAnsiTheme="majorHAnsi" w:cstheme="majorHAnsi"/>
          <w:szCs w:val="22"/>
        </w:rPr>
        <w:t xml:space="preserve"> </w:t>
      </w:r>
      <w:r w:rsidRPr="00A33AE8">
        <w:rPr>
          <w:rFonts w:asciiTheme="majorHAnsi" w:hAnsiTheme="majorHAnsi" w:cstheme="majorHAnsi"/>
          <w:szCs w:val="22"/>
        </w:rPr>
        <w:t>in</w:t>
      </w:r>
      <w:r w:rsidR="008A3FEC" w:rsidRPr="00A33AE8">
        <w:rPr>
          <w:rFonts w:asciiTheme="majorHAnsi" w:hAnsiTheme="majorHAnsi" w:cstheme="majorHAnsi"/>
          <w:szCs w:val="22"/>
        </w:rPr>
        <w:t xml:space="preserve"> </w:t>
      </w:r>
      <w:r w:rsidRPr="00A33AE8">
        <w:rPr>
          <w:rFonts w:asciiTheme="majorHAnsi" w:hAnsiTheme="majorHAnsi" w:cstheme="majorHAnsi"/>
          <w:szCs w:val="22"/>
        </w:rPr>
        <w:t>conjunction</w:t>
      </w:r>
      <w:r w:rsidR="008A3FEC" w:rsidRPr="00A33AE8">
        <w:rPr>
          <w:rFonts w:asciiTheme="majorHAnsi" w:hAnsiTheme="majorHAnsi" w:cstheme="majorHAnsi"/>
          <w:szCs w:val="22"/>
        </w:rPr>
        <w:t xml:space="preserve"> </w:t>
      </w:r>
      <w:r w:rsidRPr="00A33AE8">
        <w:rPr>
          <w:rFonts w:asciiTheme="majorHAnsi" w:hAnsiTheme="majorHAnsi" w:cstheme="majorHAnsi"/>
          <w:szCs w:val="22"/>
        </w:rPr>
        <w:t>with</w:t>
      </w:r>
      <w:r w:rsidR="008A3FEC" w:rsidRPr="00A33AE8">
        <w:rPr>
          <w:rFonts w:asciiTheme="majorHAnsi" w:hAnsiTheme="majorHAnsi" w:cstheme="majorHAnsi"/>
          <w:szCs w:val="22"/>
        </w:rPr>
        <w:t xml:space="preserve"> </w:t>
      </w:r>
      <w:r w:rsidRPr="00A33AE8">
        <w:rPr>
          <w:rFonts w:asciiTheme="majorHAnsi" w:hAnsiTheme="majorHAnsi" w:cstheme="majorHAnsi"/>
          <w:szCs w:val="22"/>
        </w:rPr>
        <w:t>the</w:t>
      </w:r>
      <w:r w:rsidR="008A3FEC" w:rsidRPr="00A33AE8">
        <w:rPr>
          <w:rFonts w:asciiTheme="majorHAnsi" w:hAnsiTheme="majorHAnsi" w:cstheme="majorHAnsi"/>
          <w:szCs w:val="22"/>
        </w:rPr>
        <w:t xml:space="preserve"> </w:t>
      </w:r>
      <w:r w:rsidRPr="00A33AE8">
        <w:rPr>
          <w:rFonts w:asciiTheme="majorHAnsi" w:hAnsiTheme="majorHAnsi" w:cstheme="majorHAnsi"/>
          <w:szCs w:val="22"/>
        </w:rPr>
        <w:t>promotion</w:t>
      </w:r>
      <w:r w:rsidR="008A3FEC" w:rsidRPr="00A33AE8">
        <w:rPr>
          <w:rFonts w:asciiTheme="majorHAnsi" w:hAnsiTheme="majorHAnsi" w:cstheme="majorHAnsi"/>
          <w:szCs w:val="22"/>
        </w:rPr>
        <w:t xml:space="preserve"> </w:t>
      </w:r>
      <w:r w:rsidRPr="00A33AE8">
        <w:rPr>
          <w:rFonts w:asciiTheme="majorHAnsi" w:hAnsiTheme="majorHAnsi" w:cstheme="majorHAnsi"/>
          <w:szCs w:val="22"/>
        </w:rPr>
        <w:t>of</w:t>
      </w:r>
      <w:r w:rsidR="008A3FEC" w:rsidRPr="00A33AE8">
        <w:rPr>
          <w:rFonts w:asciiTheme="majorHAnsi" w:hAnsiTheme="majorHAnsi" w:cstheme="majorHAnsi"/>
          <w:szCs w:val="22"/>
        </w:rPr>
        <w:t xml:space="preserve"> </w:t>
      </w:r>
      <w:r w:rsidRPr="00A33AE8">
        <w:rPr>
          <w:rFonts w:asciiTheme="majorHAnsi" w:hAnsiTheme="majorHAnsi" w:cstheme="majorHAnsi"/>
          <w:szCs w:val="22"/>
        </w:rPr>
        <w:t>natural</w:t>
      </w:r>
      <w:r w:rsidR="008A3FEC" w:rsidRPr="00A33AE8">
        <w:rPr>
          <w:rFonts w:asciiTheme="majorHAnsi" w:hAnsiTheme="majorHAnsi" w:cstheme="majorHAnsi"/>
          <w:szCs w:val="22"/>
        </w:rPr>
        <w:t xml:space="preserve"> </w:t>
      </w:r>
      <w:r w:rsidRPr="00A33AE8">
        <w:rPr>
          <w:rFonts w:asciiTheme="majorHAnsi" w:hAnsiTheme="majorHAnsi" w:cstheme="majorHAnsi"/>
          <w:szCs w:val="22"/>
        </w:rPr>
        <w:t>gas</w:t>
      </w:r>
      <w:r w:rsidR="008A3FEC" w:rsidRPr="00A33AE8">
        <w:rPr>
          <w:rFonts w:asciiTheme="majorHAnsi" w:hAnsiTheme="majorHAnsi" w:cstheme="majorHAnsi"/>
          <w:szCs w:val="22"/>
        </w:rPr>
        <w:t xml:space="preserve"> </w:t>
      </w:r>
      <w:r w:rsidRPr="00A33AE8">
        <w:rPr>
          <w:rFonts w:asciiTheme="majorHAnsi" w:hAnsiTheme="majorHAnsi" w:cstheme="majorHAnsi"/>
          <w:szCs w:val="22"/>
        </w:rPr>
        <w:t>storage</w:t>
      </w:r>
      <w:r w:rsidR="008A3FEC" w:rsidRPr="00A33AE8">
        <w:rPr>
          <w:rFonts w:asciiTheme="majorHAnsi" w:hAnsiTheme="majorHAnsi" w:cstheme="majorHAnsi"/>
          <w:szCs w:val="22"/>
        </w:rPr>
        <w:t xml:space="preserve"> </w:t>
      </w:r>
      <w:r w:rsidRPr="00A33AE8">
        <w:rPr>
          <w:rFonts w:asciiTheme="majorHAnsi" w:hAnsiTheme="majorHAnsi" w:cstheme="majorHAnsi"/>
          <w:szCs w:val="22"/>
        </w:rPr>
        <w:t>projects,</w:t>
      </w:r>
      <w:r w:rsidR="008A3FEC" w:rsidRPr="00A33AE8">
        <w:rPr>
          <w:rFonts w:asciiTheme="majorHAnsi" w:hAnsiTheme="majorHAnsi" w:cstheme="majorHAnsi"/>
          <w:szCs w:val="22"/>
        </w:rPr>
        <w:t xml:space="preserve"> </w:t>
      </w:r>
      <w:r w:rsidRPr="00A33AE8">
        <w:rPr>
          <w:rFonts w:asciiTheme="majorHAnsi" w:hAnsiTheme="majorHAnsi" w:cstheme="majorHAnsi"/>
          <w:szCs w:val="22"/>
        </w:rPr>
        <w:t>ensuring</w:t>
      </w:r>
      <w:r w:rsidR="008A3FEC" w:rsidRPr="00A33AE8">
        <w:rPr>
          <w:rFonts w:asciiTheme="majorHAnsi" w:hAnsiTheme="majorHAnsi" w:cstheme="majorHAnsi"/>
          <w:szCs w:val="22"/>
        </w:rPr>
        <w:t xml:space="preserve"> </w:t>
      </w:r>
      <w:r w:rsidRPr="00A33AE8">
        <w:rPr>
          <w:rFonts w:asciiTheme="majorHAnsi" w:hAnsiTheme="majorHAnsi" w:cstheme="majorHAnsi"/>
          <w:szCs w:val="22"/>
        </w:rPr>
        <w:t>the adequacy</w:t>
      </w:r>
      <w:r w:rsidR="008A3FEC" w:rsidRPr="00A33AE8">
        <w:rPr>
          <w:rFonts w:asciiTheme="majorHAnsi" w:hAnsiTheme="majorHAnsi" w:cstheme="majorHAnsi"/>
          <w:szCs w:val="22"/>
        </w:rPr>
        <w:t xml:space="preserve"> </w:t>
      </w:r>
      <w:r w:rsidRPr="00A33AE8">
        <w:rPr>
          <w:rFonts w:asciiTheme="majorHAnsi" w:hAnsiTheme="majorHAnsi" w:cstheme="majorHAnsi"/>
          <w:szCs w:val="22"/>
        </w:rPr>
        <w:t>in</w:t>
      </w:r>
      <w:r w:rsidRPr="00A33AE8">
        <w:rPr>
          <w:rFonts w:asciiTheme="majorHAnsi" w:hAnsiTheme="majorHAnsi" w:cstheme="majorHAnsi"/>
          <w:spacing w:val="2"/>
          <w:szCs w:val="22"/>
        </w:rPr>
        <w:t xml:space="preserve"> the </w:t>
      </w:r>
      <w:r w:rsidRPr="00A33AE8">
        <w:rPr>
          <w:rFonts w:asciiTheme="majorHAnsi" w:hAnsiTheme="majorHAnsi" w:cstheme="majorHAnsi"/>
          <w:szCs w:val="22"/>
        </w:rPr>
        <w:t>case</w:t>
      </w:r>
      <w:r w:rsidR="008A3FEC" w:rsidRPr="00A33AE8">
        <w:rPr>
          <w:rFonts w:asciiTheme="majorHAnsi" w:hAnsiTheme="majorHAnsi" w:cstheme="majorHAnsi"/>
          <w:szCs w:val="22"/>
        </w:rPr>
        <w:t xml:space="preserve"> </w:t>
      </w:r>
      <w:r w:rsidRPr="00A33AE8">
        <w:rPr>
          <w:rFonts w:asciiTheme="majorHAnsi" w:hAnsiTheme="majorHAnsi" w:cstheme="majorHAnsi"/>
          <w:szCs w:val="22"/>
        </w:rPr>
        <w:t>of</w:t>
      </w:r>
      <w:r w:rsidRPr="00A33AE8">
        <w:rPr>
          <w:rFonts w:asciiTheme="majorHAnsi" w:hAnsiTheme="majorHAnsi" w:cstheme="majorHAnsi"/>
          <w:spacing w:val="1"/>
          <w:szCs w:val="22"/>
        </w:rPr>
        <w:t xml:space="preserve"> a </w:t>
      </w:r>
      <w:r w:rsidRPr="00A33AE8">
        <w:rPr>
          <w:rFonts w:asciiTheme="majorHAnsi" w:hAnsiTheme="majorHAnsi" w:cstheme="majorHAnsi"/>
          <w:szCs w:val="22"/>
        </w:rPr>
        <w:t>natural</w:t>
      </w:r>
      <w:r w:rsidR="008A3FEC" w:rsidRPr="00A33AE8">
        <w:rPr>
          <w:rFonts w:asciiTheme="majorHAnsi" w:hAnsiTheme="majorHAnsi" w:cstheme="majorHAnsi"/>
          <w:szCs w:val="22"/>
        </w:rPr>
        <w:t xml:space="preserve"> </w:t>
      </w:r>
      <w:r w:rsidRPr="00A33AE8">
        <w:rPr>
          <w:rFonts w:asciiTheme="majorHAnsi" w:hAnsiTheme="majorHAnsi" w:cstheme="majorHAnsi"/>
          <w:szCs w:val="22"/>
        </w:rPr>
        <w:t>gas shortage.</w:t>
      </w:r>
    </w:p>
    <w:p w14:paraId="0CCFB415" w14:textId="77777777" w:rsidR="00653D73" w:rsidRPr="00A33AE8" w:rsidRDefault="00653D73" w:rsidP="00653D73">
      <w:pPr>
        <w:pStyle w:val="BodyText"/>
        <w:spacing w:before="120" w:line="276" w:lineRule="auto"/>
        <w:ind w:right="189"/>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stabilization of the energy dependency rate</w:t>
      </w:r>
      <w:r w:rsidRPr="00A33AE8">
        <w:rPr>
          <w:rFonts w:asciiTheme="majorHAnsi" w:hAnsiTheme="majorHAnsi" w:cstheme="majorHAnsi"/>
          <w:szCs w:val="22"/>
        </w:rPr>
        <w:t xml:space="preserve"> is another important objective within the </w:t>
      </w:r>
      <w:r w:rsidR="00723D73">
        <w:rPr>
          <w:rFonts w:asciiTheme="majorHAnsi" w:hAnsiTheme="majorHAnsi" w:cstheme="majorHAnsi"/>
          <w:szCs w:val="22"/>
        </w:rPr>
        <w:t>I</w:t>
      </w:r>
      <w:r w:rsidRPr="00A33AE8">
        <w:rPr>
          <w:rFonts w:asciiTheme="majorHAnsi" w:hAnsiTheme="majorHAnsi" w:cstheme="majorHAnsi"/>
          <w:szCs w:val="22"/>
        </w:rPr>
        <w:t>NECP.</w:t>
      </w:r>
      <w:r w:rsidR="00C95FE8" w:rsidRPr="00A33AE8">
        <w:rPr>
          <w:rFonts w:asciiTheme="majorHAnsi" w:hAnsiTheme="majorHAnsi" w:cstheme="majorHAnsi"/>
          <w:szCs w:val="22"/>
        </w:rPr>
        <w:t xml:space="preserve"> </w:t>
      </w:r>
      <w:r w:rsidRPr="00A33AE8">
        <w:rPr>
          <w:rFonts w:asciiTheme="majorHAnsi" w:hAnsiTheme="majorHAnsi" w:cstheme="majorHAnsi"/>
          <w:szCs w:val="22"/>
        </w:rPr>
        <w:t>The current energy</w:t>
      </w:r>
      <w:r w:rsidR="00C95FE8" w:rsidRPr="00A33AE8">
        <w:rPr>
          <w:rFonts w:asciiTheme="majorHAnsi" w:hAnsiTheme="majorHAnsi" w:cstheme="majorHAnsi"/>
          <w:szCs w:val="22"/>
        </w:rPr>
        <w:t xml:space="preserve"> </w:t>
      </w:r>
      <w:r w:rsidRPr="00A33AE8">
        <w:rPr>
          <w:rFonts w:asciiTheme="majorHAnsi" w:hAnsiTheme="majorHAnsi" w:cstheme="majorHAnsi"/>
          <w:szCs w:val="22"/>
        </w:rPr>
        <w:t>dependency is relatively low and it is imperative to restrain it in similar levels due to the high penetration of petroleum products and, to a lesser degree,</w:t>
      </w:r>
      <w:r w:rsidR="00C95FE8" w:rsidRPr="00A33AE8">
        <w:rPr>
          <w:rFonts w:asciiTheme="majorHAnsi" w:hAnsiTheme="majorHAnsi" w:cstheme="majorHAnsi"/>
          <w:szCs w:val="22"/>
        </w:rPr>
        <w:t xml:space="preserve"> </w:t>
      </w:r>
      <w:r w:rsidRPr="00A33AE8">
        <w:rPr>
          <w:rFonts w:asciiTheme="majorHAnsi" w:hAnsiTheme="majorHAnsi" w:cstheme="majorHAnsi"/>
          <w:szCs w:val="22"/>
        </w:rPr>
        <w:t xml:space="preserve">natural gas. Consequently, the energy dependency should not surpass the level of </w:t>
      </w:r>
      <w:r w:rsidR="003B20CD" w:rsidRPr="00A33AE8">
        <w:rPr>
          <w:rFonts w:asciiTheme="majorHAnsi" w:hAnsiTheme="majorHAnsi" w:cstheme="majorHAnsi"/>
          <w:szCs w:val="22"/>
        </w:rPr>
        <w:t>41</w:t>
      </w:r>
      <w:r w:rsidRPr="00A33AE8">
        <w:rPr>
          <w:rFonts w:asciiTheme="majorHAnsi" w:hAnsiTheme="majorHAnsi" w:cstheme="majorHAnsi"/>
          <w:szCs w:val="22"/>
        </w:rPr>
        <w:t>% in 2030.</w:t>
      </w:r>
    </w:p>
    <w:p w14:paraId="173C33AB" w14:textId="77777777" w:rsidR="00653D73" w:rsidRPr="00A33AE8"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bCs/>
          <w:szCs w:val="22"/>
        </w:rPr>
        <w:lastRenderedPageBreak/>
        <w:t>Finally, another objective</w:t>
      </w:r>
      <w:r w:rsidRPr="00A33AE8">
        <w:rPr>
          <w:rFonts w:asciiTheme="majorHAnsi" w:hAnsiTheme="majorHAnsi" w:cstheme="majorHAnsi"/>
          <w:szCs w:val="22"/>
        </w:rPr>
        <w:t xml:space="preserve"> is to ensure the </w:t>
      </w:r>
      <w:r w:rsidRPr="00A33AE8">
        <w:rPr>
          <w:rFonts w:asciiTheme="majorHAnsi" w:hAnsiTheme="majorHAnsi" w:cstheme="majorHAnsi"/>
          <w:b/>
          <w:bCs/>
          <w:szCs w:val="22"/>
        </w:rPr>
        <w:t>required electricity system</w:t>
      </w:r>
      <w:r w:rsidR="00D1551B" w:rsidRPr="00A33AE8">
        <w:rPr>
          <w:rFonts w:asciiTheme="majorHAnsi" w:hAnsiTheme="majorHAnsi" w:cstheme="majorHAnsi"/>
          <w:b/>
          <w:bCs/>
          <w:szCs w:val="22"/>
        </w:rPr>
        <w:t xml:space="preserve"> </w:t>
      </w:r>
      <w:r w:rsidRPr="00A33AE8">
        <w:rPr>
          <w:rFonts w:asciiTheme="majorHAnsi" w:hAnsiTheme="majorHAnsi" w:cstheme="majorHAnsi"/>
          <w:b/>
          <w:bCs/>
          <w:szCs w:val="22"/>
        </w:rPr>
        <w:t xml:space="preserve">adequacy </w:t>
      </w:r>
      <w:r w:rsidRPr="00A33AE8">
        <w:rPr>
          <w:rFonts w:asciiTheme="majorHAnsi" w:hAnsiTheme="majorHAnsi" w:cstheme="majorHAnsi"/>
          <w:szCs w:val="22"/>
        </w:rPr>
        <w:t>in</w:t>
      </w:r>
      <w:r w:rsidR="00D1551B" w:rsidRPr="00A33AE8">
        <w:rPr>
          <w:rFonts w:asciiTheme="majorHAnsi" w:hAnsiTheme="majorHAnsi" w:cstheme="majorHAnsi"/>
          <w:szCs w:val="22"/>
        </w:rPr>
        <w:t xml:space="preserve"> </w:t>
      </w:r>
      <w:r w:rsidRPr="00A33AE8">
        <w:rPr>
          <w:rFonts w:asciiTheme="majorHAnsi" w:hAnsiTheme="majorHAnsi" w:cstheme="majorHAnsi"/>
          <w:szCs w:val="22"/>
        </w:rPr>
        <w:t>order</w:t>
      </w:r>
      <w:r w:rsidR="00D1551B" w:rsidRPr="00A33AE8">
        <w:rPr>
          <w:rFonts w:asciiTheme="majorHAnsi" w:hAnsiTheme="majorHAnsi" w:cstheme="majorHAnsi"/>
          <w:szCs w:val="22"/>
        </w:rPr>
        <w:t xml:space="preserve"> </w:t>
      </w:r>
      <w:r w:rsidRPr="00A33AE8">
        <w:rPr>
          <w:rFonts w:asciiTheme="majorHAnsi" w:hAnsiTheme="majorHAnsi" w:cstheme="majorHAnsi"/>
          <w:szCs w:val="22"/>
        </w:rPr>
        <w:t>to</w:t>
      </w:r>
      <w:r w:rsidR="00D1551B" w:rsidRPr="00A33AE8">
        <w:rPr>
          <w:rFonts w:asciiTheme="majorHAnsi" w:hAnsiTheme="majorHAnsi" w:cstheme="majorHAnsi"/>
          <w:szCs w:val="22"/>
        </w:rPr>
        <w:t xml:space="preserve"> </w:t>
      </w:r>
      <w:r w:rsidRPr="00A33AE8">
        <w:rPr>
          <w:rFonts w:asciiTheme="majorHAnsi" w:hAnsiTheme="majorHAnsi" w:cstheme="majorHAnsi"/>
          <w:szCs w:val="22"/>
        </w:rPr>
        <w:t>attain</w:t>
      </w:r>
      <w:r w:rsidR="00D1551B" w:rsidRPr="00A33AE8">
        <w:rPr>
          <w:rFonts w:asciiTheme="majorHAnsi" w:hAnsiTheme="majorHAnsi" w:cstheme="majorHAnsi"/>
          <w:szCs w:val="22"/>
        </w:rPr>
        <w:t xml:space="preserve"> </w:t>
      </w:r>
      <w:r w:rsidRPr="00A33AE8">
        <w:rPr>
          <w:rFonts w:asciiTheme="majorHAnsi" w:hAnsiTheme="majorHAnsi" w:cstheme="majorHAnsi"/>
          <w:szCs w:val="22"/>
        </w:rPr>
        <w:t>a</w:t>
      </w:r>
      <w:r w:rsidR="00D1551B" w:rsidRPr="00A33AE8">
        <w:rPr>
          <w:rFonts w:asciiTheme="majorHAnsi" w:hAnsiTheme="majorHAnsi" w:cstheme="majorHAnsi"/>
          <w:szCs w:val="22"/>
        </w:rPr>
        <w:t xml:space="preserve"> </w:t>
      </w:r>
      <w:r w:rsidRPr="00A33AE8">
        <w:rPr>
          <w:rFonts w:asciiTheme="majorHAnsi" w:hAnsiTheme="majorHAnsi" w:cstheme="majorHAnsi"/>
          <w:szCs w:val="22"/>
        </w:rPr>
        <w:t>minimum</w:t>
      </w:r>
      <w:r w:rsidR="00D1551B" w:rsidRPr="00A33AE8">
        <w:rPr>
          <w:rFonts w:asciiTheme="majorHAnsi" w:hAnsiTheme="majorHAnsi" w:cstheme="majorHAnsi"/>
          <w:szCs w:val="22"/>
        </w:rPr>
        <w:t xml:space="preserve"> </w:t>
      </w:r>
      <w:r w:rsidRPr="00A33AE8">
        <w:rPr>
          <w:rFonts w:asciiTheme="majorHAnsi" w:hAnsiTheme="majorHAnsi" w:cstheme="majorHAnsi"/>
          <w:szCs w:val="22"/>
        </w:rPr>
        <w:t>level</w:t>
      </w:r>
      <w:r w:rsidR="00D1551B" w:rsidRPr="00A33AE8">
        <w:rPr>
          <w:rFonts w:asciiTheme="majorHAnsi" w:hAnsiTheme="majorHAnsi" w:cstheme="majorHAnsi"/>
          <w:szCs w:val="22"/>
        </w:rPr>
        <w:t xml:space="preserve"> </w:t>
      </w:r>
      <w:r w:rsidRPr="00A33AE8">
        <w:rPr>
          <w:rFonts w:asciiTheme="majorHAnsi" w:hAnsiTheme="majorHAnsi" w:cstheme="majorHAnsi"/>
          <w:szCs w:val="22"/>
        </w:rPr>
        <w:t>of</w:t>
      </w:r>
      <w:r w:rsidR="00D1551B" w:rsidRPr="00A33AE8">
        <w:rPr>
          <w:rFonts w:asciiTheme="majorHAnsi" w:hAnsiTheme="majorHAnsi" w:cstheme="majorHAnsi"/>
          <w:szCs w:val="22"/>
        </w:rPr>
        <w:t xml:space="preserve"> </w:t>
      </w:r>
      <w:r w:rsidRPr="00A33AE8">
        <w:rPr>
          <w:rFonts w:asciiTheme="majorHAnsi" w:hAnsiTheme="majorHAnsi" w:cstheme="majorHAnsi"/>
          <w:szCs w:val="22"/>
        </w:rPr>
        <w:t>reliability</w:t>
      </w:r>
      <w:r w:rsidR="00D1551B" w:rsidRPr="00A33AE8">
        <w:rPr>
          <w:rFonts w:asciiTheme="majorHAnsi" w:hAnsiTheme="majorHAnsi" w:cstheme="majorHAnsi"/>
          <w:szCs w:val="22"/>
        </w:rPr>
        <w:t xml:space="preserve"> </w:t>
      </w:r>
      <w:r w:rsidRPr="00A33AE8">
        <w:rPr>
          <w:rFonts w:asciiTheme="majorHAnsi" w:hAnsiTheme="majorHAnsi" w:cstheme="majorHAnsi"/>
          <w:szCs w:val="22"/>
        </w:rPr>
        <w:t>for</w:t>
      </w:r>
      <w:r w:rsidR="00D1551B" w:rsidRPr="00A33AE8">
        <w:rPr>
          <w:rFonts w:asciiTheme="majorHAnsi" w:hAnsiTheme="majorHAnsi" w:cstheme="majorHAnsi"/>
          <w:szCs w:val="22"/>
        </w:rPr>
        <w:t xml:space="preserve"> </w:t>
      </w:r>
      <w:r w:rsidRPr="00A33AE8">
        <w:rPr>
          <w:rFonts w:asciiTheme="majorHAnsi" w:hAnsiTheme="majorHAnsi" w:cstheme="majorHAnsi"/>
          <w:szCs w:val="22"/>
        </w:rPr>
        <w:t>covering</w:t>
      </w:r>
      <w:r w:rsidR="00D1551B" w:rsidRPr="00A33AE8">
        <w:rPr>
          <w:rFonts w:asciiTheme="majorHAnsi" w:hAnsiTheme="majorHAnsi" w:cstheme="majorHAnsi"/>
          <w:szCs w:val="22"/>
        </w:rPr>
        <w:t xml:space="preserve"> </w:t>
      </w:r>
      <w:r w:rsidRPr="00A33AE8">
        <w:rPr>
          <w:rFonts w:asciiTheme="majorHAnsi" w:hAnsiTheme="majorHAnsi" w:cstheme="majorHAnsi"/>
          <w:szCs w:val="22"/>
        </w:rPr>
        <w:t>the</w:t>
      </w:r>
      <w:r w:rsidR="00D1551B" w:rsidRPr="00A33AE8">
        <w:rPr>
          <w:rFonts w:asciiTheme="majorHAnsi" w:hAnsiTheme="majorHAnsi" w:cstheme="majorHAnsi"/>
          <w:szCs w:val="22"/>
        </w:rPr>
        <w:t xml:space="preserve"> </w:t>
      </w:r>
      <w:r w:rsidRPr="00A33AE8">
        <w:rPr>
          <w:rFonts w:asciiTheme="majorHAnsi" w:hAnsiTheme="majorHAnsi" w:cstheme="majorHAnsi"/>
          <w:szCs w:val="22"/>
        </w:rPr>
        <w:t>demand</w:t>
      </w:r>
      <w:r w:rsidR="00D1551B" w:rsidRPr="00A33AE8">
        <w:rPr>
          <w:rFonts w:asciiTheme="majorHAnsi" w:hAnsiTheme="majorHAnsi" w:cstheme="majorHAnsi"/>
          <w:szCs w:val="22"/>
        </w:rPr>
        <w:t xml:space="preserve"> </w:t>
      </w:r>
      <w:r w:rsidRPr="00A33AE8">
        <w:rPr>
          <w:rFonts w:asciiTheme="majorHAnsi" w:hAnsiTheme="majorHAnsi" w:cstheme="majorHAnsi"/>
          <w:szCs w:val="22"/>
        </w:rPr>
        <w:t>for</w:t>
      </w:r>
      <w:r w:rsidR="00D1551B" w:rsidRPr="00A33AE8">
        <w:rPr>
          <w:rFonts w:asciiTheme="majorHAnsi" w:hAnsiTheme="majorHAnsi" w:cstheme="majorHAnsi"/>
          <w:szCs w:val="22"/>
        </w:rPr>
        <w:t xml:space="preserve"> </w:t>
      </w:r>
      <w:r w:rsidRPr="00A33AE8">
        <w:rPr>
          <w:rFonts w:asciiTheme="majorHAnsi" w:hAnsiTheme="majorHAnsi" w:cstheme="majorHAnsi"/>
          <w:szCs w:val="22"/>
        </w:rPr>
        <w:t xml:space="preserve">electricity, in conjunction </w:t>
      </w:r>
      <w:r w:rsidR="00D1551B" w:rsidRPr="000007D2">
        <w:rPr>
          <w:rFonts w:asciiTheme="majorHAnsi" w:hAnsiTheme="majorHAnsi" w:cstheme="majorHAnsi"/>
          <w:szCs w:val="22"/>
        </w:rPr>
        <w:t xml:space="preserve">with </w:t>
      </w:r>
      <w:r w:rsidRPr="00A33AE8">
        <w:rPr>
          <w:rFonts w:asciiTheme="majorHAnsi" w:hAnsiTheme="majorHAnsi" w:cstheme="majorHAnsi"/>
          <w:szCs w:val="22"/>
        </w:rPr>
        <w:t>the decision to reduce the electricity production by lignite plants. To attain this objective, it will be necessary to adopt mechanisms for strengthening the</w:t>
      </w:r>
      <w:r w:rsidR="00D1551B" w:rsidRPr="00A33AE8">
        <w:rPr>
          <w:rFonts w:asciiTheme="majorHAnsi" w:hAnsiTheme="majorHAnsi" w:cstheme="majorHAnsi"/>
          <w:szCs w:val="22"/>
        </w:rPr>
        <w:t xml:space="preserve"> </w:t>
      </w:r>
      <w:r w:rsidR="00B22F35">
        <w:rPr>
          <w:rFonts w:asciiTheme="majorHAnsi" w:hAnsiTheme="majorHAnsi" w:cstheme="majorHAnsi"/>
          <w:szCs w:val="22"/>
        </w:rPr>
        <w:t xml:space="preserve">flexibility of the </w:t>
      </w:r>
      <w:r w:rsidRPr="00A33AE8">
        <w:rPr>
          <w:rFonts w:asciiTheme="majorHAnsi" w:hAnsiTheme="majorHAnsi" w:cstheme="majorHAnsi"/>
          <w:szCs w:val="22"/>
        </w:rPr>
        <w:t>system with additional electricity production capacity or promoting a demand response scheme.</w:t>
      </w:r>
    </w:p>
    <w:p w14:paraId="7B96D6C6" w14:textId="77777777" w:rsidR="00653D73" w:rsidRPr="00A33AE8" w:rsidRDefault="00653D73" w:rsidP="00653D73">
      <w:pPr>
        <w:pStyle w:val="Heading2"/>
      </w:pPr>
      <w:bookmarkStart w:id="126" w:name="_bookmark46"/>
      <w:bookmarkStart w:id="127" w:name="_Toc118991770"/>
      <w:bookmarkStart w:id="128" w:name="_Toc153545040"/>
      <w:bookmarkEnd w:id="126"/>
      <w:r w:rsidRPr="00A33AE8">
        <w:t>Internal energy market</w:t>
      </w:r>
      <w:bookmarkEnd w:id="127"/>
      <w:bookmarkEnd w:id="128"/>
    </w:p>
    <w:p w14:paraId="64BA57D9" w14:textId="77777777" w:rsidR="00653D73" w:rsidRPr="00A33AE8" w:rsidRDefault="00653D73" w:rsidP="00653D73">
      <w:pPr>
        <w:pStyle w:val="BodyText"/>
        <w:spacing w:before="120" w:line="276" w:lineRule="auto"/>
        <w:ind w:right="200"/>
        <w:rPr>
          <w:rFonts w:asciiTheme="majorHAnsi" w:hAnsiTheme="majorHAnsi" w:cstheme="majorHAnsi"/>
          <w:szCs w:val="22"/>
        </w:rPr>
      </w:pPr>
      <w:bookmarkStart w:id="129" w:name="_bookmark47"/>
      <w:bookmarkEnd w:id="129"/>
      <w:r w:rsidRPr="00A33AE8">
        <w:rPr>
          <w:rFonts w:asciiTheme="majorHAnsi" w:hAnsiTheme="majorHAnsi" w:cstheme="majorHAnsi"/>
          <w:szCs w:val="22"/>
        </w:rPr>
        <w:t xml:space="preserve">The </w:t>
      </w:r>
      <w:r w:rsidRPr="00A33AE8">
        <w:rPr>
          <w:rFonts w:asciiTheme="majorHAnsi" w:hAnsiTheme="majorHAnsi" w:cstheme="majorHAnsi"/>
          <w:b/>
          <w:bCs/>
          <w:szCs w:val="22"/>
        </w:rPr>
        <w:t>market</w:t>
      </w:r>
      <w:r w:rsidR="00D1551B" w:rsidRPr="00A33AE8">
        <w:rPr>
          <w:rFonts w:asciiTheme="majorHAnsi" w:hAnsiTheme="majorHAnsi" w:cstheme="majorHAnsi"/>
          <w:b/>
          <w:bCs/>
          <w:szCs w:val="22"/>
        </w:rPr>
        <w:t xml:space="preserve"> </w:t>
      </w:r>
      <w:r w:rsidRPr="00A33AE8">
        <w:rPr>
          <w:rFonts w:asciiTheme="majorHAnsi" w:hAnsiTheme="majorHAnsi" w:cstheme="majorHAnsi"/>
          <w:b/>
          <w:bCs/>
          <w:szCs w:val="22"/>
        </w:rPr>
        <w:t>integration</w:t>
      </w:r>
      <w:r w:rsidR="00D1551B" w:rsidRPr="00A33AE8">
        <w:rPr>
          <w:rFonts w:asciiTheme="majorHAnsi" w:hAnsiTheme="majorHAnsi" w:cstheme="majorHAnsi"/>
          <w:b/>
          <w:bCs/>
          <w:szCs w:val="22"/>
        </w:rPr>
        <w:t xml:space="preserve"> </w:t>
      </w:r>
      <w:r w:rsidRPr="00A33AE8">
        <w:rPr>
          <w:rFonts w:asciiTheme="majorHAnsi" w:hAnsiTheme="majorHAnsi" w:cstheme="majorHAnsi"/>
          <w:b/>
          <w:bCs/>
          <w:szCs w:val="22"/>
        </w:rPr>
        <w:t>and</w:t>
      </w:r>
      <w:r w:rsidRPr="00A33AE8">
        <w:rPr>
          <w:rFonts w:asciiTheme="majorHAnsi" w:hAnsiTheme="majorHAnsi" w:cstheme="majorHAnsi"/>
          <w:b/>
          <w:bCs/>
          <w:spacing w:val="-7"/>
          <w:szCs w:val="22"/>
        </w:rPr>
        <w:t xml:space="preserve"> the establishment of </w:t>
      </w:r>
      <w:r w:rsidRPr="00A33AE8">
        <w:rPr>
          <w:rFonts w:asciiTheme="majorHAnsi" w:hAnsiTheme="majorHAnsi" w:cstheme="majorHAnsi"/>
          <w:b/>
          <w:bCs/>
          <w:szCs w:val="22"/>
        </w:rPr>
        <w:t>competitive</w:t>
      </w:r>
      <w:r w:rsidR="00D1551B" w:rsidRPr="00A33AE8">
        <w:rPr>
          <w:rFonts w:asciiTheme="majorHAnsi" w:hAnsiTheme="majorHAnsi" w:cstheme="majorHAnsi"/>
          <w:b/>
          <w:bCs/>
          <w:szCs w:val="22"/>
        </w:rPr>
        <w:t xml:space="preserve"> </w:t>
      </w:r>
      <w:r w:rsidRPr="00A33AE8">
        <w:rPr>
          <w:rFonts w:asciiTheme="majorHAnsi" w:hAnsiTheme="majorHAnsi" w:cstheme="majorHAnsi"/>
          <w:b/>
          <w:bCs/>
          <w:szCs w:val="22"/>
        </w:rPr>
        <w:t>energy</w:t>
      </w:r>
      <w:r w:rsidR="00D1551B" w:rsidRPr="00A33AE8">
        <w:rPr>
          <w:rFonts w:asciiTheme="majorHAnsi" w:hAnsiTheme="majorHAnsi" w:cstheme="majorHAnsi"/>
          <w:b/>
          <w:bCs/>
          <w:szCs w:val="22"/>
        </w:rPr>
        <w:t xml:space="preserve"> </w:t>
      </w:r>
      <w:r w:rsidRPr="00A33AE8">
        <w:rPr>
          <w:rFonts w:asciiTheme="majorHAnsi" w:hAnsiTheme="majorHAnsi" w:cstheme="majorHAnsi"/>
          <w:b/>
          <w:bCs/>
          <w:szCs w:val="22"/>
        </w:rPr>
        <w:t>markets</w:t>
      </w:r>
      <w:r w:rsidRPr="00A33AE8">
        <w:rPr>
          <w:rFonts w:asciiTheme="majorHAnsi" w:hAnsiTheme="majorHAnsi" w:cstheme="majorHAnsi"/>
          <w:szCs w:val="22"/>
        </w:rPr>
        <w:t xml:space="preserve"> will be promoted within the dimension of internal energy market. The required reforms will be initiated for harmonizing</w:t>
      </w:r>
      <w:r w:rsidR="00D1551B" w:rsidRPr="00A33AE8">
        <w:rPr>
          <w:rFonts w:asciiTheme="majorHAnsi" w:hAnsiTheme="majorHAnsi" w:cstheme="majorHAnsi"/>
          <w:szCs w:val="22"/>
        </w:rPr>
        <w:t xml:space="preserve"> </w:t>
      </w:r>
      <w:r w:rsidRPr="00A33AE8">
        <w:rPr>
          <w:rFonts w:asciiTheme="majorHAnsi" w:hAnsiTheme="majorHAnsi" w:cstheme="majorHAnsi"/>
          <w:szCs w:val="22"/>
        </w:rPr>
        <w:t>the</w:t>
      </w:r>
      <w:r w:rsidR="00D1551B" w:rsidRPr="00A33AE8">
        <w:rPr>
          <w:rFonts w:asciiTheme="majorHAnsi" w:hAnsiTheme="majorHAnsi" w:cstheme="majorHAnsi"/>
          <w:szCs w:val="22"/>
        </w:rPr>
        <w:t xml:space="preserve"> </w:t>
      </w:r>
      <w:r w:rsidRPr="00A33AE8">
        <w:rPr>
          <w:rFonts w:asciiTheme="majorHAnsi" w:hAnsiTheme="majorHAnsi" w:cstheme="majorHAnsi"/>
          <w:szCs w:val="22"/>
        </w:rPr>
        <w:t>domestic</w:t>
      </w:r>
      <w:r w:rsidR="00D1551B" w:rsidRPr="00A33AE8">
        <w:rPr>
          <w:rFonts w:asciiTheme="majorHAnsi" w:hAnsiTheme="majorHAnsi" w:cstheme="majorHAnsi"/>
          <w:szCs w:val="22"/>
        </w:rPr>
        <w:t xml:space="preserve"> </w:t>
      </w:r>
      <w:r w:rsidRPr="00A33AE8">
        <w:rPr>
          <w:rFonts w:asciiTheme="majorHAnsi" w:hAnsiTheme="majorHAnsi" w:cstheme="majorHAnsi"/>
          <w:szCs w:val="22"/>
        </w:rPr>
        <w:t>markets</w:t>
      </w:r>
      <w:r w:rsidR="00D1551B" w:rsidRPr="00A33AE8">
        <w:rPr>
          <w:rFonts w:asciiTheme="majorHAnsi" w:hAnsiTheme="majorHAnsi" w:cstheme="majorHAnsi"/>
          <w:szCs w:val="22"/>
        </w:rPr>
        <w:t xml:space="preserve"> </w:t>
      </w:r>
      <w:r w:rsidRPr="00A33AE8">
        <w:rPr>
          <w:rFonts w:asciiTheme="majorHAnsi" w:hAnsiTheme="majorHAnsi" w:cstheme="majorHAnsi"/>
          <w:szCs w:val="22"/>
        </w:rPr>
        <w:t>in</w:t>
      </w:r>
      <w:r w:rsidR="00D1551B" w:rsidRPr="00A33AE8">
        <w:rPr>
          <w:rFonts w:asciiTheme="majorHAnsi" w:hAnsiTheme="majorHAnsi" w:cstheme="majorHAnsi"/>
          <w:szCs w:val="22"/>
        </w:rPr>
        <w:t xml:space="preserve"> </w:t>
      </w:r>
      <w:r w:rsidRPr="00A33AE8">
        <w:rPr>
          <w:rFonts w:asciiTheme="majorHAnsi" w:hAnsiTheme="majorHAnsi" w:cstheme="majorHAnsi"/>
          <w:szCs w:val="22"/>
        </w:rPr>
        <w:t>electricity</w:t>
      </w:r>
      <w:r w:rsidR="00D1551B" w:rsidRPr="00A33AE8">
        <w:rPr>
          <w:rFonts w:asciiTheme="majorHAnsi" w:hAnsiTheme="majorHAnsi" w:cstheme="majorHAnsi"/>
          <w:szCs w:val="22"/>
        </w:rPr>
        <w:t xml:space="preserve"> </w:t>
      </w:r>
      <w:r w:rsidRPr="00A33AE8">
        <w:rPr>
          <w:rFonts w:asciiTheme="majorHAnsi" w:hAnsiTheme="majorHAnsi" w:cstheme="majorHAnsi"/>
          <w:szCs w:val="22"/>
        </w:rPr>
        <w:t>and</w:t>
      </w:r>
      <w:r w:rsidR="00D1551B" w:rsidRPr="00A33AE8">
        <w:rPr>
          <w:rFonts w:asciiTheme="majorHAnsi" w:hAnsiTheme="majorHAnsi" w:cstheme="majorHAnsi"/>
          <w:szCs w:val="22"/>
        </w:rPr>
        <w:t xml:space="preserve"> </w:t>
      </w:r>
      <w:r w:rsidRPr="00A33AE8">
        <w:rPr>
          <w:rFonts w:asciiTheme="majorHAnsi" w:hAnsiTheme="majorHAnsi" w:cstheme="majorHAnsi"/>
          <w:szCs w:val="22"/>
        </w:rPr>
        <w:t>natural</w:t>
      </w:r>
      <w:r w:rsidR="00D1551B" w:rsidRPr="00A33AE8">
        <w:rPr>
          <w:rFonts w:asciiTheme="majorHAnsi" w:hAnsiTheme="majorHAnsi" w:cstheme="majorHAnsi"/>
          <w:szCs w:val="22"/>
        </w:rPr>
        <w:t xml:space="preserve"> </w:t>
      </w:r>
      <w:r w:rsidRPr="00A33AE8">
        <w:rPr>
          <w:rFonts w:asciiTheme="majorHAnsi" w:hAnsiTheme="majorHAnsi" w:cstheme="majorHAnsi"/>
          <w:szCs w:val="22"/>
        </w:rPr>
        <w:t>gas</w:t>
      </w:r>
      <w:r w:rsidR="00D1551B" w:rsidRPr="00A33AE8">
        <w:rPr>
          <w:rFonts w:asciiTheme="majorHAnsi" w:hAnsiTheme="majorHAnsi" w:cstheme="majorHAnsi"/>
          <w:szCs w:val="22"/>
        </w:rPr>
        <w:t xml:space="preserve"> </w:t>
      </w:r>
      <w:r w:rsidRPr="00A33AE8">
        <w:rPr>
          <w:rFonts w:asciiTheme="majorHAnsi" w:hAnsiTheme="majorHAnsi" w:cstheme="majorHAnsi"/>
          <w:szCs w:val="22"/>
        </w:rPr>
        <w:t>with the EU</w:t>
      </w:r>
      <w:r w:rsidR="00D1551B" w:rsidRPr="00A33AE8">
        <w:rPr>
          <w:rFonts w:asciiTheme="majorHAnsi" w:hAnsiTheme="majorHAnsi" w:cstheme="majorHAnsi"/>
          <w:szCs w:val="22"/>
        </w:rPr>
        <w:t xml:space="preserve"> </w:t>
      </w:r>
      <w:r w:rsidRPr="00A33AE8">
        <w:rPr>
          <w:rFonts w:asciiTheme="majorHAnsi" w:hAnsiTheme="majorHAnsi" w:cstheme="majorHAnsi"/>
          <w:szCs w:val="22"/>
        </w:rPr>
        <w:t>directives</w:t>
      </w:r>
      <w:r w:rsidR="00D1551B" w:rsidRPr="00A33AE8">
        <w:rPr>
          <w:rFonts w:asciiTheme="majorHAnsi" w:hAnsiTheme="majorHAnsi" w:cstheme="majorHAnsi"/>
          <w:szCs w:val="22"/>
        </w:rPr>
        <w:t xml:space="preserve"> </w:t>
      </w:r>
      <w:r w:rsidRPr="00A33AE8">
        <w:rPr>
          <w:rFonts w:asciiTheme="majorHAnsi" w:hAnsiTheme="majorHAnsi" w:cstheme="majorHAnsi"/>
          <w:szCs w:val="22"/>
        </w:rPr>
        <w:t>and</w:t>
      </w:r>
      <w:r w:rsidR="00D1551B" w:rsidRPr="00A33AE8">
        <w:rPr>
          <w:rFonts w:asciiTheme="majorHAnsi" w:hAnsiTheme="majorHAnsi" w:cstheme="majorHAnsi"/>
          <w:szCs w:val="22"/>
        </w:rPr>
        <w:t xml:space="preserve"> </w:t>
      </w:r>
      <w:r w:rsidRPr="00A33AE8">
        <w:rPr>
          <w:rFonts w:asciiTheme="majorHAnsi" w:hAnsiTheme="majorHAnsi" w:cstheme="majorHAnsi"/>
          <w:szCs w:val="22"/>
        </w:rPr>
        <w:t>regulations</w:t>
      </w:r>
      <w:r w:rsidR="00D1551B" w:rsidRPr="00A33AE8">
        <w:rPr>
          <w:rFonts w:asciiTheme="majorHAnsi" w:hAnsiTheme="majorHAnsi" w:cstheme="majorHAnsi"/>
          <w:szCs w:val="22"/>
        </w:rPr>
        <w:t xml:space="preserve"> </w:t>
      </w:r>
      <w:r w:rsidRPr="00A33AE8">
        <w:rPr>
          <w:rFonts w:asciiTheme="majorHAnsi" w:hAnsiTheme="majorHAnsi" w:cstheme="majorHAnsi"/>
          <w:szCs w:val="22"/>
        </w:rPr>
        <w:t>on</w:t>
      </w:r>
      <w:r w:rsidR="00D1551B" w:rsidRPr="00A33AE8">
        <w:rPr>
          <w:rFonts w:asciiTheme="majorHAnsi" w:hAnsiTheme="majorHAnsi" w:cstheme="majorHAnsi"/>
          <w:szCs w:val="22"/>
        </w:rPr>
        <w:t xml:space="preserve"> </w:t>
      </w:r>
      <w:r w:rsidRPr="00A33AE8">
        <w:rPr>
          <w:rFonts w:asciiTheme="majorHAnsi" w:hAnsiTheme="majorHAnsi" w:cstheme="majorHAnsi"/>
          <w:szCs w:val="22"/>
        </w:rPr>
        <w:t>the</w:t>
      </w:r>
      <w:r w:rsidR="00D1551B" w:rsidRPr="00A33AE8">
        <w:rPr>
          <w:rFonts w:asciiTheme="majorHAnsi" w:hAnsiTheme="majorHAnsi" w:cstheme="majorHAnsi"/>
          <w:szCs w:val="22"/>
        </w:rPr>
        <w:t xml:space="preserve"> </w:t>
      </w:r>
      <w:r w:rsidRPr="00A33AE8">
        <w:rPr>
          <w:rFonts w:asciiTheme="majorHAnsi" w:hAnsiTheme="majorHAnsi" w:cstheme="majorHAnsi"/>
          <w:szCs w:val="22"/>
        </w:rPr>
        <w:t>respective markets.</w:t>
      </w:r>
    </w:p>
    <w:p w14:paraId="5BC90BA7" w14:textId="77777777" w:rsidR="00653D73" w:rsidRPr="00A33AE8" w:rsidRDefault="00653D73" w:rsidP="00653D73">
      <w:pPr>
        <w:pStyle w:val="BodyText"/>
        <w:spacing w:before="120" w:line="276" w:lineRule="auto"/>
        <w:ind w:right="199"/>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coupling of the energy markets</w:t>
      </w:r>
      <w:r w:rsidRPr="00A33AE8">
        <w:rPr>
          <w:rFonts w:asciiTheme="majorHAnsi" w:hAnsiTheme="majorHAnsi" w:cstheme="majorHAnsi"/>
          <w:szCs w:val="22"/>
        </w:rPr>
        <w:t xml:space="preserve"> will, due to improved energy flows via the interconnections</w:t>
      </w:r>
      <w:r w:rsidR="00B22F35">
        <w:rPr>
          <w:rFonts w:asciiTheme="majorHAnsi" w:hAnsiTheme="majorHAnsi" w:cstheme="majorHAnsi"/>
          <w:szCs w:val="22"/>
        </w:rPr>
        <w:t xml:space="preserve"> (minimum cross-zonal capacity target of 70%)</w:t>
      </w:r>
      <w:r w:rsidRPr="00A33AE8">
        <w:rPr>
          <w:rFonts w:asciiTheme="majorHAnsi" w:hAnsiTheme="majorHAnsi" w:cstheme="majorHAnsi"/>
          <w:szCs w:val="22"/>
        </w:rPr>
        <w:t>, help to increase the liquidity of the interconnected markets and enable the participation of RES in</w:t>
      </w:r>
      <w:r w:rsidR="008E6CC6" w:rsidRPr="00A33AE8">
        <w:rPr>
          <w:rFonts w:asciiTheme="majorHAnsi" w:hAnsiTheme="majorHAnsi" w:cstheme="majorHAnsi"/>
          <w:szCs w:val="22"/>
        </w:rPr>
        <w:t xml:space="preserve"> </w:t>
      </w:r>
      <w:r w:rsidRPr="00A33AE8">
        <w:rPr>
          <w:rFonts w:asciiTheme="majorHAnsi" w:hAnsiTheme="majorHAnsi" w:cstheme="majorHAnsi"/>
          <w:szCs w:val="22"/>
        </w:rPr>
        <w:t>the</w:t>
      </w:r>
      <w:r w:rsidR="008E6CC6" w:rsidRPr="00A33AE8">
        <w:rPr>
          <w:rFonts w:asciiTheme="majorHAnsi" w:hAnsiTheme="majorHAnsi" w:cstheme="majorHAnsi"/>
          <w:szCs w:val="22"/>
        </w:rPr>
        <w:t xml:space="preserve"> </w:t>
      </w:r>
      <w:r w:rsidRPr="00A33AE8">
        <w:rPr>
          <w:rFonts w:asciiTheme="majorHAnsi" w:hAnsiTheme="majorHAnsi" w:cstheme="majorHAnsi"/>
          <w:szCs w:val="22"/>
        </w:rPr>
        <w:t>cross-border</w:t>
      </w:r>
      <w:r w:rsidR="008E6CC6" w:rsidRPr="00A33AE8">
        <w:rPr>
          <w:rFonts w:asciiTheme="majorHAnsi" w:hAnsiTheme="majorHAnsi" w:cstheme="majorHAnsi"/>
          <w:szCs w:val="22"/>
        </w:rPr>
        <w:t xml:space="preserve"> </w:t>
      </w:r>
      <w:r w:rsidRPr="00A33AE8">
        <w:rPr>
          <w:rFonts w:asciiTheme="majorHAnsi" w:hAnsiTheme="majorHAnsi" w:cstheme="majorHAnsi"/>
          <w:szCs w:val="22"/>
        </w:rPr>
        <w:t>trade</w:t>
      </w:r>
      <w:r w:rsidR="008E6CC6" w:rsidRPr="00A33AE8">
        <w:rPr>
          <w:rFonts w:asciiTheme="majorHAnsi" w:hAnsiTheme="majorHAnsi" w:cstheme="majorHAnsi"/>
          <w:szCs w:val="22"/>
        </w:rPr>
        <w:t xml:space="preserve"> </w:t>
      </w:r>
      <w:r w:rsidRPr="00A33AE8">
        <w:rPr>
          <w:rFonts w:asciiTheme="majorHAnsi" w:hAnsiTheme="majorHAnsi" w:cstheme="majorHAnsi"/>
          <w:szCs w:val="22"/>
        </w:rPr>
        <w:t>of</w:t>
      </w:r>
      <w:r w:rsidR="008E6CC6" w:rsidRPr="00A33AE8">
        <w:rPr>
          <w:rFonts w:asciiTheme="majorHAnsi" w:hAnsiTheme="majorHAnsi" w:cstheme="majorHAnsi"/>
          <w:szCs w:val="22"/>
        </w:rPr>
        <w:t xml:space="preserve"> </w:t>
      </w:r>
      <w:r w:rsidRPr="00A33AE8">
        <w:rPr>
          <w:rFonts w:asciiTheme="majorHAnsi" w:hAnsiTheme="majorHAnsi" w:cstheme="majorHAnsi"/>
          <w:szCs w:val="22"/>
        </w:rPr>
        <w:t>electricity.</w:t>
      </w:r>
    </w:p>
    <w:p w14:paraId="4AD0EE1E" w14:textId="77777777" w:rsidR="00653D73" w:rsidRPr="00A33AE8" w:rsidRDefault="00653D73" w:rsidP="00653D73">
      <w:pPr>
        <w:pStyle w:val="BodyText"/>
        <w:spacing w:before="120" w:line="276" w:lineRule="auto"/>
        <w:ind w:right="202"/>
        <w:rPr>
          <w:rFonts w:asciiTheme="majorHAnsi" w:hAnsiTheme="majorHAnsi" w:cstheme="majorHAnsi"/>
          <w:szCs w:val="22"/>
        </w:rPr>
      </w:pPr>
      <w:r w:rsidRPr="00A33AE8">
        <w:rPr>
          <w:rFonts w:asciiTheme="majorHAnsi" w:hAnsiTheme="majorHAnsi" w:cstheme="majorHAnsi"/>
          <w:szCs w:val="22"/>
        </w:rPr>
        <w:t>The participation in the new energy markets will allow RES to have the incentive and the capability to balance their</w:t>
      </w:r>
      <w:r w:rsidR="008E6CC6" w:rsidRPr="00A33AE8">
        <w:rPr>
          <w:rFonts w:asciiTheme="majorHAnsi" w:hAnsiTheme="majorHAnsi" w:cstheme="majorHAnsi"/>
          <w:szCs w:val="22"/>
        </w:rPr>
        <w:t xml:space="preserve"> </w:t>
      </w:r>
      <w:r w:rsidRPr="00A33AE8">
        <w:rPr>
          <w:rFonts w:asciiTheme="majorHAnsi" w:hAnsiTheme="majorHAnsi" w:cstheme="majorHAnsi"/>
          <w:szCs w:val="22"/>
        </w:rPr>
        <w:t>production closer to real time, thus reducing the needs and the associated costs for reserves and</w:t>
      </w:r>
      <w:r w:rsidR="008E6CC6" w:rsidRPr="00A33AE8">
        <w:rPr>
          <w:rFonts w:asciiTheme="majorHAnsi" w:hAnsiTheme="majorHAnsi" w:cstheme="majorHAnsi"/>
          <w:szCs w:val="22"/>
        </w:rPr>
        <w:t xml:space="preserve"> </w:t>
      </w:r>
      <w:r w:rsidRPr="00A33AE8">
        <w:rPr>
          <w:rFonts w:asciiTheme="majorHAnsi" w:hAnsiTheme="majorHAnsi" w:cstheme="majorHAnsi"/>
          <w:szCs w:val="22"/>
        </w:rPr>
        <w:t>increasing</w:t>
      </w:r>
      <w:r w:rsidRPr="00A33AE8">
        <w:rPr>
          <w:rFonts w:asciiTheme="majorHAnsi" w:hAnsiTheme="majorHAnsi" w:cstheme="majorHAnsi"/>
          <w:spacing w:val="-1"/>
          <w:szCs w:val="22"/>
        </w:rPr>
        <w:t xml:space="preserve"> the </w:t>
      </w:r>
      <w:r w:rsidRPr="00A33AE8">
        <w:rPr>
          <w:rFonts w:asciiTheme="majorHAnsi" w:hAnsiTheme="majorHAnsi" w:cstheme="majorHAnsi"/>
          <w:szCs w:val="22"/>
        </w:rPr>
        <w:t>system</w:t>
      </w:r>
      <w:r w:rsidR="008E6CC6" w:rsidRPr="00A33AE8">
        <w:rPr>
          <w:rFonts w:asciiTheme="majorHAnsi" w:hAnsiTheme="majorHAnsi" w:cstheme="majorHAnsi"/>
          <w:szCs w:val="22"/>
        </w:rPr>
        <w:t xml:space="preserve"> </w:t>
      </w:r>
      <w:r w:rsidRPr="00A33AE8">
        <w:rPr>
          <w:rFonts w:asciiTheme="majorHAnsi" w:hAnsiTheme="majorHAnsi" w:cstheme="majorHAnsi"/>
          <w:szCs w:val="22"/>
        </w:rPr>
        <w:t>security.</w:t>
      </w:r>
    </w:p>
    <w:p w14:paraId="4C4BD6AE" w14:textId="77777777" w:rsidR="00653D73" w:rsidRPr="00A33AE8"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Another objective is also to </w:t>
      </w:r>
      <w:r w:rsidRPr="00A33AE8">
        <w:rPr>
          <w:rFonts w:asciiTheme="majorHAnsi" w:hAnsiTheme="majorHAnsi" w:cstheme="majorHAnsi"/>
          <w:b/>
          <w:bCs/>
          <w:szCs w:val="22"/>
        </w:rPr>
        <w:t>strengthen the role of electricity market consumers</w:t>
      </w:r>
      <w:r w:rsidRPr="00A33AE8">
        <w:rPr>
          <w:rFonts w:asciiTheme="majorHAnsi" w:hAnsiTheme="majorHAnsi" w:cstheme="majorHAnsi"/>
          <w:szCs w:val="22"/>
        </w:rPr>
        <w:t xml:space="preserve"> by increasing</w:t>
      </w:r>
      <w:r w:rsidR="008E6CC6" w:rsidRPr="00A33AE8">
        <w:rPr>
          <w:rFonts w:asciiTheme="majorHAnsi" w:hAnsiTheme="majorHAnsi" w:cstheme="majorHAnsi"/>
          <w:szCs w:val="22"/>
        </w:rPr>
        <w:t xml:space="preserve"> </w:t>
      </w:r>
      <w:r w:rsidRPr="00A33AE8">
        <w:rPr>
          <w:rFonts w:asciiTheme="majorHAnsi" w:hAnsiTheme="majorHAnsi" w:cstheme="majorHAnsi"/>
          <w:szCs w:val="22"/>
        </w:rPr>
        <w:t>demand-side participation in the electricity market and to promote the deployment of storage</w:t>
      </w:r>
      <w:r w:rsidR="008E6CC6" w:rsidRPr="00A33AE8">
        <w:rPr>
          <w:rFonts w:asciiTheme="majorHAnsi" w:hAnsiTheme="majorHAnsi" w:cstheme="majorHAnsi"/>
          <w:szCs w:val="22"/>
        </w:rPr>
        <w:t xml:space="preserve"> </w:t>
      </w:r>
      <w:r w:rsidRPr="00A33AE8">
        <w:rPr>
          <w:rFonts w:asciiTheme="majorHAnsi" w:hAnsiTheme="majorHAnsi" w:cstheme="majorHAnsi"/>
          <w:szCs w:val="22"/>
        </w:rPr>
        <w:t xml:space="preserve">systems that will ensure lower </w:t>
      </w:r>
      <w:r w:rsidR="00A1008E" w:rsidRPr="00A33AE8">
        <w:rPr>
          <w:rFonts w:asciiTheme="majorHAnsi" w:hAnsiTheme="majorHAnsi" w:cstheme="majorHAnsi"/>
          <w:szCs w:val="22"/>
        </w:rPr>
        <w:t>energy</w:t>
      </w:r>
      <w:r w:rsidRPr="00A33AE8">
        <w:rPr>
          <w:rFonts w:asciiTheme="majorHAnsi" w:hAnsiTheme="majorHAnsi" w:cstheme="majorHAnsi"/>
          <w:szCs w:val="22"/>
        </w:rPr>
        <w:t xml:space="preserve"> prices and will strengthen the penetration of RES</w:t>
      </w:r>
      <w:r w:rsidR="00682810" w:rsidRPr="00A33AE8">
        <w:rPr>
          <w:rFonts w:asciiTheme="majorHAnsi" w:hAnsiTheme="majorHAnsi" w:cstheme="majorHAnsi"/>
          <w:szCs w:val="22"/>
        </w:rPr>
        <w:t xml:space="preserve"> </w:t>
      </w:r>
      <w:r w:rsidRPr="00A33AE8">
        <w:rPr>
          <w:rFonts w:asciiTheme="majorHAnsi" w:hAnsiTheme="majorHAnsi" w:cstheme="majorHAnsi"/>
          <w:szCs w:val="22"/>
        </w:rPr>
        <w:t>and</w:t>
      </w:r>
      <w:r w:rsidRPr="00A33AE8">
        <w:rPr>
          <w:rFonts w:asciiTheme="majorHAnsi" w:hAnsiTheme="majorHAnsi" w:cstheme="majorHAnsi"/>
          <w:spacing w:val="-1"/>
          <w:szCs w:val="22"/>
        </w:rPr>
        <w:t xml:space="preserve"> electricity system adequacy</w:t>
      </w:r>
      <w:r w:rsidRPr="00A33AE8">
        <w:rPr>
          <w:rFonts w:asciiTheme="majorHAnsi" w:hAnsiTheme="majorHAnsi" w:cstheme="majorHAnsi"/>
          <w:szCs w:val="22"/>
        </w:rPr>
        <w:t>.</w:t>
      </w:r>
    </w:p>
    <w:p w14:paraId="1477ACA0" w14:textId="77777777" w:rsidR="00653D73" w:rsidRPr="00A33AE8" w:rsidRDefault="00653D73" w:rsidP="00653D73">
      <w:pPr>
        <w:pStyle w:val="BodyText"/>
        <w:spacing w:before="120" w:line="276" w:lineRule="auto"/>
        <w:ind w:right="194"/>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digitization of the energy system</w:t>
      </w:r>
      <w:r w:rsidRPr="00A33AE8">
        <w:rPr>
          <w:rFonts w:asciiTheme="majorHAnsi" w:hAnsiTheme="majorHAnsi" w:cstheme="majorHAnsi"/>
          <w:szCs w:val="22"/>
        </w:rPr>
        <w:t xml:space="preserve"> is a prerequisite for the</w:t>
      </w:r>
      <w:r w:rsidR="003C05B5" w:rsidRPr="00A33AE8">
        <w:rPr>
          <w:rFonts w:asciiTheme="majorHAnsi" w:hAnsiTheme="majorHAnsi" w:cstheme="majorHAnsi"/>
          <w:szCs w:val="22"/>
        </w:rPr>
        <w:t xml:space="preserve"> </w:t>
      </w:r>
      <w:r w:rsidRPr="00A33AE8">
        <w:rPr>
          <w:rFonts w:asciiTheme="majorHAnsi" w:hAnsiTheme="majorHAnsi" w:cstheme="majorHAnsi"/>
          <w:szCs w:val="22"/>
        </w:rPr>
        <w:t>development of properly operational and competitive domestic energy markets and for the</w:t>
      </w:r>
      <w:r w:rsidR="00682810" w:rsidRPr="00A33AE8">
        <w:rPr>
          <w:rFonts w:asciiTheme="majorHAnsi" w:hAnsiTheme="majorHAnsi" w:cstheme="majorHAnsi"/>
          <w:szCs w:val="22"/>
        </w:rPr>
        <w:t xml:space="preserve"> </w:t>
      </w:r>
      <w:r w:rsidRPr="00A33AE8">
        <w:rPr>
          <w:rFonts w:asciiTheme="majorHAnsi" w:hAnsiTheme="majorHAnsi" w:cstheme="majorHAnsi"/>
          <w:szCs w:val="22"/>
        </w:rPr>
        <w:t>optimal implementation and use of all technological applications and market mechanisms that</w:t>
      </w:r>
      <w:r w:rsidR="00682810" w:rsidRPr="00A33AE8">
        <w:rPr>
          <w:rFonts w:asciiTheme="majorHAnsi" w:hAnsiTheme="majorHAnsi" w:cstheme="majorHAnsi"/>
          <w:szCs w:val="22"/>
        </w:rPr>
        <w:t xml:space="preserve"> </w:t>
      </w:r>
      <w:r w:rsidRPr="00A33AE8">
        <w:rPr>
          <w:rFonts w:asciiTheme="majorHAnsi" w:hAnsiTheme="majorHAnsi" w:cstheme="majorHAnsi"/>
          <w:szCs w:val="22"/>
        </w:rPr>
        <w:t>can be developed in the context of the energy markets. Emphasis will be placed, through the</w:t>
      </w:r>
      <w:r w:rsidR="00682810" w:rsidRPr="00A33AE8">
        <w:rPr>
          <w:rFonts w:asciiTheme="majorHAnsi" w:hAnsiTheme="majorHAnsi" w:cstheme="majorHAnsi"/>
          <w:szCs w:val="22"/>
        </w:rPr>
        <w:t xml:space="preserve"> </w:t>
      </w:r>
      <w:r w:rsidRPr="00A33AE8">
        <w:rPr>
          <w:rFonts w:asciiTheme="majorHAnsi" w:hAnsiTheme="majorHAnsi" w:cstheme="majorHAnsi"/>
          <w:szCs w:val="22"/>
        </w:rPr>
        <w:t>operators’</w:t>
      </w:r>
      <w:r w:rsidR="00682810" w:rsidRPr="00A33AE8">
        <w:rPr>
          <w:rFonts w:asciiTheme="majorHAnsi" w:hAnsiTheme="majorHAnsi" w:cstheme="majorHAnsi"/>
          <w:szCs w:val="22"/>
        </w:rPr>
        <w:t xml:space="preserve"> </w:t>
      </w:r>
      <w:r w:rsidRPr="00A33AE8">
        <w:rPr>
          <w:rFonts w:asciiTheme="majorHAnsi" w:hAnsiTheme="majorHAnsi" w:cstheme="majorHAnsi"/>
          <w:szCs w:val="22"/>
        </w:rPr>
        <w:t>development</w:t>
      </w:r>
      <w:r w:rsidR="00682810" w:rsidRPr="00A33AE8">
        <w:rPr>
          <w:rFonts w:asciiTheme="majorHAnsi" w:hAnsiTheme="majorHAnsi" w:cstheme="majorHAnsi"/>
          <w:szCs w:val="22"/>
        </w:rPr>
        <w:t xml:space="preserve"> </w:t>
      </w:r>
      <w:r w:rsidRPr="00A33AE8">
        <w:rPr>
          <w:rFonts w:asciiTheme="majorHAnsi" w:hAnsiTheme="majorHAnsi" w:cstheme="majorHAnsi"/>
          <w:szCs w:val="22"/>
        </w:rPr>
        <w:t>programmes,</w:t>
      </w:r>
      <w:r w:rsidR="00682810" w:rsidRPr="00A33AE8">
        <w:rPr>
          <w:rFonts w:asciiTheme="majorHAnsi" w:hAnsiTheme="majorHAnsi" w:cstheme="majorHAnsi"/>
          <w:szCs w:val="22"/>
        </w:rPr>
        <w:t xml:space="preserve"> </w:t>
      </w:r>
      <w:r w:rsidRPr="00A33AE8">
        <w:rPr>
          <w:rFonts w:asciiTheme="majorHAnsi" w:hAnsiTheme="majorHAnsi" w:cstheme="majorHAnsi"/>
          <w:szCs w:val="22"/>
        </w:rPr>
        <w:t>on</w:t>
      </w:r>
      <w:r w:rsidR="00682810" w:rsidRPr="00A33AE8">
        <w:rPr>
          <w:rFonts w:asciiTheme="majorHAnsi" w:hAnsiTheme="majorHAnsi" w:cstheme="majorHAnsi"/>
          <w:szCs w:val="22"/>
        </w:rPr>
        <w:t xml:space="preserve"> </w:t>
      </w:r>
      <w:r w:rsidRPr="00A33AE8">
        <w:rPr>
          <w:rFonts w:asciiTheme="majorHAnsi" w:hAnsiTheme="majorHAnsi" w:cstheme="majorHAnsi"/>
          <w:szCs w:val="22"/>
        </w:rPr>
        <w:t>planning</w:t>
      </w:r>
      <w:r w:rsidR="00682810" w:rsidRPr="00A33AE8">
        <w:rPr>
          <w:rFonts w:asciiTheme="majorHAnsi" w:hAnsiTheme="majorHAnsi" w:cstheme="majorHAnsi"/>
          <w:szCs w:val="22"/>
        </w:rPr>
        <w:t xml:space="preserve"> </w:t>
      </w:r>
      <w:r w:rsidRPr="00A33AE8">
        <w:rPr>
          <w:rFonts w:asciiTheme="majorHAnsi" w:hAnsiTheme="majorHAnsi" w:cstheme="majorHAnsi"/>
          <w:szCs w:val="22"/>
        </w:rPr>
        <w:t>and</w:t>
      </w:r>
      <w:r w:rsidR="00682810" w:rsidRPr="00A33AE8">
        <w:rPr>
          <w:rFonts w:asciiTheme="majorHAnsi" w:hAnsiTheme="majorHAnsi" w:cstheme="majorHAnsi"/>
          <w:szCs w:val="22"/>
        </w:rPr>
        <w:t xml:space="preserve"> </w:t>
      </w:r>
      <w:r w:rsidRPr="00A33AE8">
        <w:rPr>
          <w:rFonts w:asciiTheme="majorHAnsi" w:hAnsiTheme="majorHAnsi" w:cstheme="majorHAnsi"/>
          <w:szCs w:val="22"/>
        </w:rPr>
        <w:t>implementing</w:t>
      </w:r>
      <w:r w:rsidR="00682810" w:rsidRPr="00A33AE8">
        <w:rPr>
          <w:rFonts w:asciiTheme="majorHAnsi" w:hAnsiTheme="majorHAnsi" w:cstheme="majorHAnsi"/>
          <w:szCs w:val="22"/>
        </w:rPr>
        <w:t xml:space="preserve"> </w:t>
      </w:r>
      <w:r w:rsidRPr="00A33AE8">
        <w:rPr>
          <w:rFonts w:asciiTheme="majorHAnsi" w:hAnsiTheme="majorHAnsi" w:cstheme="majorHAnsi"/>
          <w:szCs w:val="22"/>
        </w:rPr>
        <w:t>the</w:t>
      </w:r>
      <w:r w:rsidR="00682810" w:rsidRPr="00A33AE8">
        <w:rPr>
          <w:rFonts w:asciiTheme="majorHAnsi" w:hAnsiTheme="majorHAnsi" w:cstheme="majorHAnsi"/>
          <w:szCs w:val="22"/>
        </w:rPr>
        <w:t xml:space="preserve"> </w:t>
      </w:r>
      <w:r w:rsidRPr="00A33AE8">
        <w:rPr>
          <w:rFonts w:asciiTheme="majorHAnsi" w:hAnsiTheme="majorHAnsi" w:cstheme="majorHAnsi"/>
          <w:szCs w:val="22"/>
        </w:rPr>
        <w:t>relevant</w:t>
      </w:r>
      <w:r w:rsidR="00682810" w:rsidRPr="00A33AE8">
        <w:rPr>
          <w:rFonts w:asciiTheme="majorHAnsi" w:hAnsiTheme="majorHAnsi" w:cstheme="majorHAnsi"/>
          <w:szCs w:val="22"/>
        </w:rPr>
        <w:t xml:space="preserve"> </w:t>
      </w:r>
      <w:r w:rsidRPr="00A33AE8">
        <w:rPr>
          <w:rFonts w:asciiTheme="majorHAnsi" w:hAnsiTheme="majorHAnsi" w:cstheme="majorHAnsi"/>
          <w:szCs w:val="22"/>
        </w:rPr>
        <w:t>infrastructure</w:t>
      </w:r>
      <w:r w:rsidR="00682810" w:rsidRPr="00A33AE8">
        <w:rPr>
          <w:rFonts w:asciiTheme="majorHAnsi" w:hAnsiTheme="majorHAnsi" w:cstheme="majorHAnsi"/>
          <w:szCs w:val="22"/>
        </w:rPr>
        <w:t xml:space="preserve"> </w:t>
      </w:r>
      <w:r w:rsidRPr="00A33AE8">
        <w:rPr>
          <w:rFonts w:asciiTheme="majorHAnsi" w:hAnsiTheme="majorHAnsi" w:cstheme="majorHAnsi"/>
          <w:szCs w:val="22"/>
        </w:rPr>
        <w:t>projects, information</w:t>
      </w:r>
      <w:r w:rsidR="00682810" w:rsidRPr="00A33AE8">
        <w:rPr>
          <w:rFonts w:asciiTheme="majorHAnsi" w:hAnsiTheme="majorHAnsi" w:cstheme="majorHAnsi"/>
          <w:szCs w:val="22"/>
        </w:rPr>
        <w:t xml:space="preserve"> </w:t>
      </w:r>
      <w:r w:rsidRPr="00A33AE8">
        <w:rPr>
          <w:rFonts w:asciiTheme="majorHAnsi" w:hAnsiTheme="majorHAnsi" w:cstheme="majorHAnsi"/>
          <w:szCs w:val="22"/>
        </w:rPr>
        <w:t>systems,</w:t>
      </w:r>
      <w:r w:rsidR="00682810" w:rsidRPr="00A33AE8">
        <w:rPr>
          <w:rFonts w:asciiTheme="majorHAnsi" w:hAnsiTheme="majorHAnsi" w:cstheme="majorHAnsi"/>
          <w:szCs w:val="22"/>
        </w:rPr>
        <w:t xml:space="preserve"> </w:t>
      </w:r>
      <w:r w:rsidRPr="00A33AE8">
        <w:rPr>
          <w:rFonts w:asciiTheme="majorHAnsi" w:hAnsiTheme="majorHAnsi" w:cstheme="majorHAnsi"/>
          <w:szCs w:val="22"/>
        </w:rPr>
        <w:t>control</w:t>
      </w:r>
      <w:r w:rsidR="00682810" w:rsidRPr="00A33AE8">
        <w:rPr>
          <w:rFonts w:asciiTheme="majorHAnsi" w:hAnsiTheme="majorHAnsi" w:cstheme="majorHAnsi"/>
          <w:szCs w:val="22"/>
        </w:rPr>
        <w:t xml:space="preserve"> </w:t>
      </w:r>
      <w:r w:rsidR="00606D25" w:rsidRPr="00A33AE8">
        <w:rPr>
          <w:rFonts w:asciiTheme="majorHAnsi" w:hAnsiTheme="majorHAnsi" w:cstheme="majorHAnsi"/>
          <w:szCs w:val="22"/>
        </w:rPr>
        <w:t>centres</w:t>
      </w:r>
      <w:r w:rsidR="00682810" w:rsidRPr="00A33AE8">
        <w:rPr>
          <w:rFonts w:asciiTheme="majorHAnsi" w:hAnsiTheme="majorHAnsi" w:cstheme="majorHAnsi"/>
          <w:szCs w:val="22"/>
        </w:rPr>
        <w:t xml:space="preserve"> </w:t>
      </w:r>
      <w:r w:rsidRPr="00A33AE8">
        <w:rPr>
          <w:rFonts w:asciiTheme="majorHAnsi" w:hAnsiTheme="majorHAnsi" w:cstheme="majorHAnsi"/>
          <w:szCs w:val="22"/>
        </w:rPr>
        <w:t>and</w:t>
      </w:r>
      <w:r w:rsidR="00682810" w:rsidRPr="00A33AE8">
        <w:rPr>
          <w:rFonts w:asciiTheme="majorHAnsi" w:hAnsiTheme="majorHAnsi" w:cstheme="majorHAnsi"/>
          <w:szCs w:val="22"/>
        </w:rPr>
        <w:t xml:space="preserve"> </w:t>
      </w:r>
      <w:r w:rsidRPr="00A33AE8">
        <w:rPr>
          <w:rFonts w:asciiTheme="majorHAnsi" w:hAnsiTheme="majorHAnsi" w:cstheme="majorHAnsi"/>
          <w:szCs w:val="22"/>
        </w:rPr>
        <w:t>metering</w:t>
      </w:r>
      <w:r w:rsidR="00682810" w:rsidRPr="00A33AE8">
        <w:rPr>
          <w:rFonts w:asciiTheme="majorHAnsi" w:hAnsiTheme="majorHAnsi" w:cstheme="majorHAnsi"/>
          <w:szCs w:val="22"/>
        </w:rPr>
        <w:t xml:space="preserve"> </w:t>
      </w:r>
      <w:r w:rsidRPr="00A33AE8">
        <w:rPr>
          <w:rFonts w:asciiTheme="majorHAnsi" w:hAnsiTheme="majorHAnsi" w:cstheme="majorHAnsi"/>
          <w:szCs w:val="22"/>
        </w:rPr>
        <w:t>devices</w:t>
      </w:r>
      <w:r w:rsidR="00682810" w:rsidRPr="00A33AE8">
        <w:rPr>
          <w:rFonts w:asciiTheme="majorHAnsi" w:hAnsiTheme="majorHAnsi" w:cstheme="majorHAnsi"/>
          <w:szCs w:val="22"/>
        </w:rPr>
        <w:t xml:space="preserve"> </w:t>
      </w:r>
      <w:r w:rsidRPr="00A33AE8">
        <w:rPr>
          <w:rFonts w:asciiTheme="majorHAnsi" w:hAnsiTheme="majorHAnsi" w:cstheme="majorHAnsi"/>
          <w:szCs w:val="22"/>
        </w:rPr>
        <w:t>that</w:t>
      </w:r>
      <w:r w:rsidR="00682810" w:rsidRPr="00A33AE8">
        <w:rPr>
          <w:rFonts w:asciiTheme="majorHAnsi" w:hAnsiTheme="majorHAnsi" w:cstheme="majorHAnsi"/>
          <w:szCs w:val="22"/>
        </w:rPr>
        <w:t xml:space="preserve"> </w:t>
      </w:r>
      <w:r w:rsidR="00606D25" w:rsidRPr="00A33AE8">
        <w:rPr>
          <w:rFonts w:asciiTheme="majorHAnsi" w:hAnsiTheme="majorHAnsi" w:cstheme="majorHAnsi"/>
          <w:spacing w:val="1"/>
          <w:szCs w:val="22"/>
        </w:rPr>
        <w:t>will allow</w:t>
      </w:r>
      <w:r w:rsidR="00682810" w:rsidRPr="00A33AE8">
        <w:rPr>
          <w:rFonts w:asciiTheme="majorHAnsi" w:hAnsiTheme="majorHAnsi" w:cstheme="majorHAnsi"/>
          <w:spacing w:val="1"/>
          <w:szCs w:val="22"/>
        </w:rPr>
        <w:t xml:space="preserve"> </w:t>
      </w:r>
      <w:r w:rsidRPr="00A33AE8">
        <w:rPr>
          <w:rFonts w:asciiTheme="majorHAnsi" w:hAnsiTheme="majorHAnsi" w:cstheme="majorHAnsi"/>
          <w:szCs w:val="22"/>
        </w:rPr>
        <w:t>for the complete transition from the current energy system to a fully digitized one, also</w:t>
      </w:r>
      <w:r w:rsidR="00682810" w:rsidRPr="00A33AE8">
        <w:rPr>
          <w:rFonts w:asciiTheme="majorHAnsi" w:hAnsiTheme="majorHAnsi" w:cstheme="majorHAnsi"/>
          <w:szCs w:val="22"/>
        </w:rPr>
        <w:t xml:space="preserve"> </w:t>
      </w:r>
      <w:r w:rsidRPr="00A33AE8">
        <w:rPr>
          <w:rFonts w:asciiTheme="majorHAnsi" w:hAnsiTheme="majorHAnsi" w:cstheme="majorHAnsi"/>
          <w:szCs w:val="22"/>
        </w:rPr>
        <w:t>ensuring the secure management of the consumer data.</w:t>
      </w:r>
    </w:p>
    <w:p w14:paraId="4E2640AE" w14:textId="77777777" w:rsidR="00653D73" w:rsidRPr="00A33AE8"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bCs/>
          <w:szCs w:val="22"/>
        </w:rPr>
        <w:t xml:space="preserve">The </w:t>
      </w:r>
      <w:r w:rsidRPr="00A33AE8">
        <w:rPr>
          <w:rFonts w:asciiTheme="majorHAnsi" w:hAnsiTheme="majorHAnsi" w:cstheme="majorHAnsi"/>
          <w:b/>
          <w:szCs w:val="22"/>
        </w:rPr>
        <w:t>alleviation of energy poverty</w:t>
      </w:r>
      <w:r w:rsidRPr="00A33AE8">
        <w:rPr>
          <w:rFonts w:asciiTheme="majorHAnsi" w:hAnsiTheme="majorHAnsi" w:cstheme="majorHAnsi"/>
          <w:bCs/>
          <w:szCs w:val="22"/>
        </w:rPr>
        <w:t xml:space="preserve"> is perceived also as an objective taking into account that it has</w:t>
      </w:r>
      <w:r w:rsidRPr="00A33AE8">
        <w:rPr>
          <w:rFonts w:asciiTheme="majorHAnsi" w:hAnsiTheme="majorHAnsi" w:cstheme="majorHAnsi"/>
          <w:szCs w:val="22"/>
        </w:rPr>
        <w:t xml:space="preserve"> worsened gradually</w:t>
      </w:r>
      <w:r w:rsidR="00682810" w:rsidRPr="00A33AE8">
        <w:rPr>
          <w:rFonts w:asciiTheme="majorHAnsi" w:hAnsiTheme="majorHAnsi" w:cstheme="majorHAnsi"/>
          <w:szCs w:val="22"/>
        </w:rPr>
        <w:t xml:space="preserve"> </w:t>
      </w:r>
      <w:r w:rsidRPr="00A33AE8">
        <w:rPr>
          <w:rFonts w:asciiTheme="majorHAnsi" w:hAnsiTheme="majorHAnsi" w:cstheme="majorHAnsi"/>
          <w:szCs w:val="22"/>
        </w:rPr>
        <w:t>due to the energy crisis. The reduction of energy poverty by 75% in 2030 compared to 2020 has been set as national target.</w:t>
      </w:r>
    </w:p>
    <w:p w14:paraId="2C8C22C9" w14:textId="77777777" w:rsidR="00653D73" w:rsidRPr="00A33AE8"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bCs/>
          <w:szCs w:val="22"/>
        </w:rPr>
        <w:t xml:space="preserve">Finally, the contribution of </w:t>
      </w:r>
      <w:r w:rsidR="00504AB8" w:rsidRPr="00504AB8">
        <w:rPr>
          <w:rFonts w:asciiTheme="majorHAnsi" w:hAnsiTheme="majorHAnsi" w:cstheme="majorHAnsi"/>
          <w:b/>
          <w:szCs w:val="22"/>
        </w:rPr>
        <w:t>self-consumption</w:t>
      </w:r>
      <w:r w:rsidRPr="00A33AE8">
        <w:rPr>
          <w:rFonts w:asciiTheme="majorHAnsi" w:hAnsiTheme="majorHAnsi" w:cstheme="majorHAnsi"/>
          <w:b/>
          <w:szCs w:val="22"/>
        </w:rPr>
        <w:t xml:space="preserve"> and local energy</w:t>
      </w:r>
      <w:r w:rsidR="00682810" w:rsidRPr="00A33AE8">
        <w:rPr>
          <w:rFonts w:asciiTheme="majorHAnsi" w:hAnsiTheme="majorHAnsi" w:cstheme="majorHAnsi"/>
          <w:b/>
          <w:szCs w:val="22"/>
        </w:rPr>
        <w:t xml:space="preserve"> </w:t>
      </w:r>
      <w:r w:rsidRPr="00A33AE8">
        <w:rPr>
          <w:rFonts w:asciiTheme="majorHAnsi" w:hAnsiTheme="majorHAnsi" w:cstheme="majorHAnsi"/>
          <w:b/>
          <w:szCs w:val="22"/>
        </w:rPr>
        <w:t>community schemes</w:t>
      </w:r>
      <w:r w:rsidRPr="00A33AE8">
        <w:rPr>
          <w:rFonts w:asciiTheme="majorHAnsi" w:hAnsiTheme="majorHAnsi" w:cstheme="majorHAnsi"/>
          <w:bCs/>
          <w:szCs w:val="22"/>
        </w:rPr>
        <w:t xml:space="preserve"> is </w:t>
      </w:r>
      <w:r w:rsidR="00801EF6" w:rsidRPr="00A33AE8">
        <w:rPr>
          <w:rFonts w:asciiTheme="majorHAnsi" w:hAnsiTheme="majorHAnsi" w:cstheme="majorHAnsi"/>
          <w:bCs/>
          <w:szCs w:val="22"/>
        </w:rPr>
        <w:t>twofold</w:t>
      </w:r>
      <w:r w:rsidRPr="00A33AE8">
        <w:rPr>
          <w:rFonts w:asciiTheme="majorHAnsi" w:hAnsiTheme="majorHAnsi" w:cstheme="majorHAnsi"/>
          <w:bCs/>
          <w:szCs w:val="22"/>
        </w:rPr>
        <w:t>, as they will</w:t>
      </w:r>
      <w:r w:rsidRPr="00A33AE8">
        <w:rPr>
          <w:rFonts w:asciiTheme="majorHAnsi" w:hAnsiTheme="majorHAnsi" w:cstheme="majorHAnsi"/>
          <w:szCs w:val="22"/>
        </w:rPr>
        <w:t xml:space="preserve"> contribute both to the implementation of RES and</w:t>
      </w:r>
      <w:r w:rsidR="00682810" w:rsidRPr="00A33AE8">
        <w:rPr>
          <w:rFonts w:asciiTheme="majorHAnsi" w:hAnsiTheme="majorHAnsi" w:cstheme="majorHAnsi"/>
          <w:szCs w:val="22"/>
        </w:rPr>
        <w:t xml:space="preserve"> </w:t>
      </w:r>
      <w:r w:rsidRPr="00A33AE8">
        <w:rPr>
          <w:rFonts w:asciiTheme="majorHAnsi" w:hAnsiTheme="majorHAnsi" w:cstheme="majorHAnsi"/>
          <w:szCs w:val="22"/>
        </w:rPr>
        <w:t>energy efficiency investments, as presented previously, and to the more active participation of the local community strengthening of the role of consumers. The quantitative objective has been specified to install and</w:t>
      </w:r>
      <w:r w:rsidR="00682810" w:rsidRPr="00A33AE8">
        <w:rPr>
          <w:rFonts w:asciiTheme="majorHAnsi" w:hAnsiTheme="majorHAnsi" w:cstheme="majorHAnsi"/>
          <w:szCs w:val="22"/>
        </w:rPr>
        <w:t xml:space="preserve"> </w:t>
      </w:r>
      <w:r w:rsidRPr="00A33AE8">
        <w:rPr>
          <w:rFonts w:asciiTheme="majorHAnsi" w:hAnsiTheme="majorHAnsi" w:cstheme="majorHAnsi"/>
          <w:szCs w:val="22"/>
        </w:rPr>
        <w:t xml:space="preserve">operate new </w:t>
      </w:r>
      <w:r w:rsidR="00606D25" w:rsidRPr="00A33AE8">
        <w:rPr>
          <w:rFonts w:asciiTheme="majorHAnsi" w:hAnsiTheme="majorHAnsi" w:cstheme="majorHAnsi"/>
          <w:szCs w:val="22"/>
        </w:rPr>
        <w:t>self-consumption</w:t>
      </w:r>
      <w:r w:rsidRPr="00A33AE8">
        <w:rPr>
          <w:rFonts w:asciiTheme="majorHAnsi" w:hAnsiTheme="majorHAnsi" w:cstheme="majorHAnsi"/>
          <w:szCs w:val="22"/>
        </w:rPr>
        <w:t xml:space="preserve"> </w:t>
      </w:r>
      <w:r w:rsidR="00504AB8" w:rsidRPr="00504AB8">
        <w:rPr>
          <w:rFonts w:asciiTheme="majorHAnsi" w:hAnsiTheme="majorHAnsi" w:cstheme="majorHAnsi"/>
          <w:szCs w:val="22"/>
        </w:rPr>
        <w:t>scheme</w:t>
      </w:r>
      <w:r w:rsidRPr="00A33AE8">
        <w:rPr>
          <w:rFonts w:asciiTheme="majorHAnsi" w:hAnsiTheme="majorHAnsi" w:cstheme="majorHAnsi"/>
          <w:szCs w:val="22"/>
        </w:rPr>
        <w:t xml:space="preserve"> with an installed capacity equal to </w:t>
      </w:r>
      <w:r w:rsidR="00D21503" w:rsidRPr="00A33AE8">
        <w:rPr>
          <w:rFonts w:asciiTheme="majorHAnsi" w:hAnsiTheme="majorHAnsi" w:cstheme="majorHAnsi"/>
          <w:szCs w:val="22"/>
        </w:rPr>
        <w:t>0.5 GW</w:t>
      </w:r>
      <w:r w:rsidRPr="00A33AE8">
        <w:rPr>
          <w:rFonts w:asciiTheme="majorHAnsi" w:hAnsiTheme="majorHAnsi" w:cstheme="majorHAnsi"/>
          <w:szCs w:val="22"/>
        </w:rPr>
        <w:t xml:space="preserve"> </w:t>
      </w:r>
      <w:r w:rsidR="00944CB4" w:rsidRPr="00A33AE8">
        <w:rPr>
          <w:rFonts w:asciiTheme="majorHAnsi" w:hAnsiTheme="majorHAnsi" w:cstheme="majorHAnsi"/>
          <w:szCs w:val="22"/>
        </w:rPr>
        <w:t xml:space="preserve">(mainly </w:t>
      </w:r>
      <w:r w:rsidR="00AC1EC9" w:rsidRPr="000007D2">
        <w:rPr>
          <w:rFonts w:asciiTheme="majorHAnsi" w:hAnsiTheme="majorHAnsi" w:cstheme="majorHAnsi"/>
          <w:szCs w:val="22"/>
        </w:rPr>
        <w:t xml:space="preserve">Roof top </w:t>
      </w:r>
      <w:r w:rsidR="00944CB4" w:rsidRPr="00A33AE8">
        <w:rPr>
          <w:rFonts w:asciiTheme="majorHAnsi" w:hAnsiTheme="majorHAnsi" w:cstheme="majorHAnsi"/>
          <w:szCs w:val="22"/>
        </w:rPr>
        <w:t xml:space="preserve">photovoltaic </w:t>
      </w:r>
      <w:r w:rsidR="00AC1EC9" w:rsidRPr="00A33AE8">
        <w:rPr>
          <w:rFonts w:asciiTheme="majorHAnsi" w:hAnsiTheme="majorHAnsi" w:cstheme="majorHAnsi"/>
          <w:szCs w:val="22"/>
        </w:rPr>
        <w:t>systems</w:t>
      </w:r>
      <w:r w:rsidR="00944CB4" w:rsidRPr="00A33AE8">
        <w:rPr>
          <w:rFonts w:asciiTheme="majorHAnsi" w:hAnsiTheme="majorHAnsi" w:cstheme="majorHAnsi"/>
          <w:szCs w:val="22"/>
        </w:rPr>
        <w:t xml:space="preserve">) </w:t>
      </w:r>
      <w:r w:rsidRPr="00A33AE8">
        <w:rPr>
          <w:rFonts w:asciiTheme="majorHAnsi" w:hAnsiTheme="majorHAnsi" w:cstheme="majorHAnsi"/>
          <w:szCs w:val="22"/>
        </w:rPr>
        <w:t>in 2030.</w:t>
      </w:r>
      <w:bookmarkStart w:id="130" w:name="_bookmark48"/>
      <w:bookmarkEnd w:id="130"/>
    </w:p>
    <w:p w14:paraId="171F4F1D" w14:textId="77777777" w:rsidR="00653D73" w:rsidRPr="00A33AE8" w:rsidRDefault="00653D73" w:rsidP="00653D73">
      <w:pPr>
        <w:pStyle w:val="Heading2"/>
      </w:pPr>
      <w:bookmarkStart w:id="131" w:name="_bookmark49"/>
      <w:bookmarkStart w:id="132" w:name="_Toc118991771"/>
      <w:bookmarkStart w:id="133" w:name="_Toc153545041"/>
      <w:bookmarkEnd w:id="131"/>
      <w:r w:rsidRPr="00A33AE8">
        <w:t>Research, innovation and competitiveness</w:t>
      </w:r>
      <w:bookmarkEnd w:id="132"/>
      <w:bookmarkEnd w:id="133"/>
    </w:p>
    <w:p w14:paraId="272ADA10" w14:textId="77777777" w:rsidR="00653D73" w:rsidRPr="00A33AE8" w:rsidRDefault="00653D73" w:rsidP="00653D73">
      <w:pPr>
        <w:pStyle w:val="BodyText"/>
        <w:spacing w:before="120" w:line="276" w:lineRule="auto"/>
        <w:ind w:right="193"/>
        <w:rPr>
          <w:rFonts w:asciiTheme="majorHAnsi" w:hAnsiTheme="majorHAnsi" w:cstheme="majorHAnsi"/>
          <w:szCs w:val="22"/>
        </w:rPr>
      </w:pPr>
      <w:bookmarkStart w:id="134" w:name="_bookmark50"/>
      <w:bookmarkEnd w:id="134"/>
      <w:r w:rsidRPr="00A33AE8">
        <w:rPr>
          <w:rFonts w:asciiTheme="majorHAnsi" w:hAnsiTheme="majorHAnsi" w:cstheme="majorHAnsi"/>
          <w:szCs w:val="22"/>
        </w:rPr>
        <w:t xml:space="preserve">The </w:t>
      </w:r>
      <w:r w:rsidRPr="00A33AE8">
        <w:rPr>
          <w:rFonts w:asciiTheme="majorHAnsi" w:hAnsiTheme="majorHAnsi" w:cstheme="majorHAnsi"/>
          <w:b/>
          <w:bCs/>
          <w:szCs w:val="22"/>
        </w:rPr>
        <w:t>promotion of research and innovation</w:t>
      </w:r>
      <w:r w:rsidRPr="00A33AE8">
        <w:rPr>
          <w:rFonts w:asciiTheme="majorHAnsi" w:hAnsiTheme="majorHAnsi" w:cstheme="majorHAnsi"/>
          <w:szCs w:val="22"/>
        </w:rPr>
        <w:t xml:space="preserve"> will continue to be a priority through supporting innovative technologies, which will contribute to the fulfilment of the energy and climate targets. The annual</w:t>
      </w:r>
      <w:r w:rsidR="00682810" w:rsidRPr="00A33AE8">
        <w:rPr>
          <w:rFonts w:asciiTheme="majorHAnsi" w:hAnsiTheme="majorHAnsi" w:cstheme="majorHAnsi"/>
          <w:szCs w:val="22"/>
        </w:rPr>
        <w:t xml:space="preserve"> </w:t>
      </w:r>
      <w:r w:rsidRPr="00A33AE8">
        <w:rPr>
          <w:rFonts w:asciiTheme="majorHAnsi" w:hAnsiTheme="majorHAnsi" w:cstheme="majorHAnsi"/>
          <w:szCs w:val="22"/>
        </w:rPr>
        <w:t>expenditure</w:t>
      </w:r>
      <w:r w:rsidR="00682810" w:rsidRPr="00A33AE8">
        <w:rPr>
          <w:rFonts w:asciiTheme="majorHAnsi" w:hAnsiTheme="majorHAnsi" w:cstheme="majorHAnsi"/>
          <w:szCs w:val="22"/>
        </w:rPr>
        <w:t xml:space="preserve"> </w:t>
      </w:r>
      <w:r w:rsidRPr="00A33AE8">
        <w:rPr>
          <w:rFonts w:asciiTheme="majorHAnsi" w:hAnsiTheme="majorHAnsi" w:cstheme="majorHAnsi"/>
          <w:szCs w:val="22"/>
        </w:rPr>
        <w:t>for the further support of the research</w:t>
      </w:r>
      <w:r w:rsidR="00682810" w:rsidRPr="00A33AE8">
        <w:rPr>
          <w:rFonts w:asciiTheme="majorHAnsi" w:hAnsiTheme="majorHAnsi" w:cstheme="majorHAnsi"/>
          <w:szCs w:val="22"/>
        </w:rPr>
        <w:t xml:space="preserve"> </w:t>
      </w:r>
      <w:r w:rsidRPr="00A33AE8">
        <w:rPr>
          <w:rFonts w:asciiTheme="majorHAnsi" w:hAnsiTheme="majorHAnsi" w:cstheme="majorHAnsi"/>
          <w:szCs w:val="22"/>
        </w:rPr>
        <w:t>and</w:t>
      </w:r>
      <w:r w:rsidR="00682810" w:rsidRPr="00A33AE8">
        <w:rPr>
          <w:rFonts w:asciiTheme="majorHAnsi" w:hAnsiTheme="majorHAnsi" w:cstheme="majorHAnsi"/>
          <w:szCs w:val="22"/>
        </w:rPr>
        <w:t xml:space="preserve"> </w:t>
      </w:r>
      <w:r w:rsidRPr="00A33AE8">
        <w:rPr>
          <w:rFonts w:asciiTheme="majorHAnsi" w:hAnsiTheme="majorHAnsi" w:cstheme="majorHAnsi"/>
          <w:szCs w:val="22"/>
        </w:rPr>
        <w:t>technological</w:t>
      </w:r>
      <w:r w:rsidR="00682810" w:rsidRPr="00A33AE8">
        <w:rPr>
          <w:rFonts w:asciiTheme="majorHAnsi" w:hAnsiTheme="majorHAnsi" w:cstheme="majorHAnsi"/>
          <w:szCs w:val="22"/>
        </w:rPr>
        <w:t xml:space="preserve"> </w:t>
      </w:r>
      <w:r w:rsidRPr="00A33AE8">
        <w:rPr>
          <w:rFonts w:asciiTheme="majorHAnsi" w:hAnsiTheme="majorHAnsi" w:cstheme="majorHAnsi"/>
          <w:szCs w:val="22"/>
        </w:rPr>
        <w:t>development is expected to double in 2030 compared to 2020.</w:t>
      </w:r>
    </w:p>
    <w:p w14:paraId="31FC5914" w14:textId="5200D3D4" w:rsidR="00653D73"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The </w:t>
      </w:r>
      <w:r w:rsidR="00CD2E1E" w:rsidRPr="00A33AE8">
        <w:rPr>
          <w:rFonts w:asciiTheme="majorHAnsi" w:hAnsiTheme="majorHAnsi" w:cstheme="majorHAnsi"/>
          <w:b/>
          <w:bCs/>
          <w:szCs w:val="22"/>
        </w:rPr>
        <w:t>improvement of</w:t>
      </w:r>
      <w:r w:rsidRPr="00A33AE8">
        <w:rPr>
          <w:rFonts w:asciiTheme="majorHAnsi" w:hAnsiTheme="majorHAnsi" w:cstheme="majorHAnsi"/>
          <w:b/>
          <w:bCs/>
          <w:szCs w:val="22"/>
        </w:rPr>
        <w:t xml:space="preserve"> the energy intensity and </w:t>
      </w:r>
      <w:r w:rsidR="00CD2E1E" w:rsidRPr="00A33AE8">
        <w:rPr>
          <w:rFonts w:asciiTheme="majorHAnsi" w:hAnsiTheme="majorHAnsi" w:cstheme="majorHAnsi"/>
          <w:b/>
          <w:bCs/>
          <w:szCs w:val="22"/>
        </w:rPr>
        <w:t>greenhouse gas emissions intensity</w:t>
      </w:r>
      <w:r w:rsidRPr="00A33AE8">
        <w:rPr>
          <w:rFonts w:asciiTheme="majorHAnsi" w:hAnsiTheme="majorHAnsi" w:cstheme="majorHAnsi"/>
          <w:szCs w:val="22"/>
        </w:rPr>
        <w:t xml:space="preserve"> will manage to increase the competitiveness of Serbian economy. More specifically, the adoption of targeted energy efficiency </w:t>
      </w:r>
      <w:r w:rsidRPr="00A33AE8">
        <w:rPr>
          <w:rFonts w:asciiTheme="majorHAnsi" w:hAnsiTheme="majorHAnsi" w:cstheme="majorHAnsi"/>
          <w:szCs w:val="22"/>
        </w:rPr>
        <w:lastRenderedPageBreak/>
        <w:t>policies and measures will contribute to both to reduce energy costs and to enhance the competitiveness of the various economic sectors.</w:t>
      </w:r>
    </w:p>
    <w:p w14:paraId="38F20FC2" w14:textId="77777777" w:rsidR="00301CD6" w:rsidRPr="00A33AE8" w:rsidRDefault="00301CD6" w:rsidP="001A3889">
      <w:pPr>
        <w:pStyle w:val="BodyText"/>
        <w:spacing w:before="120" w:line="276" w:lineRule="auto"/>
        <w:ind w:right="197"/>
        <w:rPr>
          <w:rFonts w:asciiTheme="majorHAnsi" w:hAnsiTheme="majorHAnsi" w:cstheme="majorHAnsi"/>
          <w:szCs w:val="22"/>
        </w:rPr>
      </w:pPr>
      <w:r w:rsidRPr="002B35F7">
        <w:rPr>
          <w:rFonts w:asciiTheme="majorHAnsi" w:hAnsiTheme="majorHAnsi" w:cstheme="majorHAnsi"/>
          <w:szCs w:val="22"/>
        </w:rPr>
        <w:t xml:space="preserve">In view of the commitment of the </w:t>
      </w:r>
      <w:r w:rsidRPr="008675DB">
        <w:rPr>
          <w:rFonts w:asciiTheme="majorHAnsi" w:hAnsiTheme="majorHAnsi" w:cstheme="majorHAnsi"/>
          <w:szCs w:val="22"/>
        </w:rPr>
        <w:t>Government</w:t>
      </w:r>
      <w:r w:rsidRPr="002B35F7">
        <w:rPr>
          <w:rFonts w:asciiTheme="majorHAnsi" w:hAnsiTheme="majorHAnsi" w:cstheme="majorHAnsi"/>
          <w:szCs w:val="22"/>
        </w:rPr>
        <w:t xml:space="preserve"> of Serbia under the Sofia declaration</w:t>
      </w:r>
      <w:r>
        <w:rPr>
          <w:rFonts w:asciiTheme="majorHAnsi" w:hAnsiTheme="majorHAnsi" w:cstheme="majorHAnsi"/>
          <w:szCs w:val="22"/>
        </w:rPr>
        <w:t xml:space="preserve">, the potential of Carbon Capture, Utilisation and Storage </w:t>
      </w:r>
      <w:r w:rsidR="0084607C">
        <w:rPr>
          <w:rFonts w:asciiTheme="majorHAnsi" w:hAnsiTheme="majorHAnsi" w:cstheme="majorHAnsi"/>
          <w:szCs w:val="22"/>
        </w:rPr>
        <w:t>(CCUS</w:t>
      </w:r>
      <w:r w:rsidR="0084607C">
        <w:rPr>
          <w:rFonts w:asciiTheme="majorHAnsi" w:hAnsiTheme="majorHAnsi" w:cstheme="majorHAnsi"/>
          <w:szCs w:val="22"/>
          <w:lang w:val="en-US"/>
        </w:rPr>
        <w:t xml:space="preserve">) </w:t>
      </w:r>
      <w:r>
        <w:rPr>
          <w:rFonts w:asciiTheme="majorHAnsi" w:hAnsiTheme="majorHAnsi" w:cstheme="majorHAnsi"/>
          <w:szCs w:val="22"/>
        </w:rPr>
        <w:t>options should be investigated in detail for the longer-term period. The aim would be to capture unavoidable carbon dioxide emissions and utilize them further in industrial applications or store them. An analysis of the potential of CO2 storage options in Serbia would be necessary and further research and demonstration activities would be implemented.</w:t>
      </w:r>
      <w:r w:rsidR="0084607C">
        <w:rPr>
          <w:rFonts w:asciiTheme="majorHAnsi" w:hAnsiTheme="majorHAnsi" w:cstheme="majorHAnsi"/>
          <w:szCs w:val="22"/>
        </w:rPr>
        <w:t xml:space="preserve"> The expected adoption of the </w:t>
      </w:r>
      <w:r w:rsidR="0084607C" w:rsidRPr="0084607C">
        <w:rPr>
          <w:rFonts w:asciiTheme="majorHAnsi" w:hAnsiTheme="majorHAnsi" w:cstheme="majorHAnsi"/>
          <w:szCs w:val="22"/>
        </w:rPr>
        <w:t>Directive 2009/31/EC on the geological storage of carbon dioxide</w:t>
      </w:r>
      <w:r w:rsidR="0084607C">
        <w:rPr>
          <w:rFonts w:asciiTheme="majorHAnsi" w:hAnsiTheme="majorHAnsi" w:cstheme="majorHAnsi"/>
          <w:szCs w:val="22"/>
        </w:rPr>
        <w:t xml:space="preserve"> by the </w:t>
      </w:r>
      <w:r w:rsidR="00D33CDA">
        <w:rPr>
          <w:rFonts w:asciiTheme="majorHAnsi" w:hAnsiTheme="majorHAnsi" w:cstheme="majorHAnsi"/>
          <w:szCs w:val="22"/>
        </w:rPr>
        <w:t>Ministerial Council of the EnC, will set the scene for the future implementation of CCUS projects in the region and in Serbia in particular.</w:t>
      </w:r>
    </w:p>
    <w:p w14:paraId="395367DC" w14:textId="77777777" w:rsidR="00653D73" w:rsidRPr="00A33AE8"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reduction of the energy cost</w:t>
      </w:r>
      <w:r w:rsidRPr="00A33AE8">
        <w:rPr>
          <w:rFonts w:asciiTheme="majorHAnsi" w:hAnsiTheme="majorHAnsi" w:cstheme="majorHAnsi"/>
          <w:szCs w:val="22"/>
        </w:rPr>
        <w:t xml:space="preserve"> will make the energy products more accessible to all consumers. The design of the required policies and measures will take into account the purchasing power of consumers and their special groups, as well as any specificities related to local characteristics, such as those of rural areas. Maintaining an average cost of energy products below the </w:t>
      </w:r>
      <w:r w:rsidR="009D1486" w:rsidRPr="00A33AE8">
        <w:rPr>
          <w:rFonts w:asciiTheme="majorHAnsi" w:hAnsiTheme="majorHAnsi" w:cstheme="majorHAnsi"/>
          <w:szCs w:val="22"/>
        </w:rPr>
        <w:t>European average</w:t>
      </w:r>
      <w:r w:rsidRPr="00A33AE8">
        <w:rPr>
          <w:rFonts w:asciiTheme="majorHAnsi" w:hAnsiTheme="majorHAnsi" w:cstheme="majorHAnsi"/>
          <w:szCs w:val="22"/>
        </w:rPr>
        <w:t xml:space="preserve"> end-user level has been set as a </w:t>
      </w:r>
      <w:r w:rsidR="00AC1EC9" w:rsidRPr="00A33AE8">
        <w:rPr>
          <w:rFonts w:asciiTheme="majorHAnsi" w:hAnsiTheme="majorHAnsi" w:cstheme="majorHAnsi"/>
          <w:szCs w:val="22"/>
        </w:rPr>
        <w:t xml:space="preserve">goal </w:t>
      </w:r>
      <w:r w:rsidRPr="00A33AE8">
        <w:rPr>
          <w:rFonts w:asciiTheme="majorHAnsi" w:hAnsiTheme="majorHAnsi" w:cstheme="majorHAnsi"/>
          <w:szCs w:val="22"/>
        </w:rPr>
        <w:t xml:space="preserve">within the </w:t>
      </w:r>
      <w:r w:rsidR="00723D73">
        <w:rPr>
          <w:rFonts w:asciiTheme="majorHAnsi" w:hAnsiTheme="majorHAnsi" w:cstheme="majorHAnsi"/>
          <w:szCs w:val="22"/>
        </w:rPr>
        <w:t>I</w:t>
      </w:r>
      <w:r w:rsidRPr="00A33AE8">
        <w:rPr>
          <w:rFonts w:asciiTheme="majorHAnsi" w:hAnsiTheme="majorHAnsi" w:cstheme="majorHAnsi"/>
          <w:szCs w:val="22"/>
        </w:rPr>
        <w:t>NECP.</w:t>
      </w:r>
    </w:p>
    <w:p w14:paraId="4FC4295B" w14:textId="04CB3B5E" w:rsidR="00653D73" w:rsidRPr="00A33AE8" w:rsidRDefault="00653D73" w:rsidP="00653D73">
      <w:pPr>
        <w:pStyle w:val="BodyText"/>
        <w:spacing w:before="120" w:line="276" w:lineRule="auto"/>
        <w:ind w:right="193"/>
        <w:rPr>
          <w:rFonts w:asciiTheme="majorHAnsi" w:hAnsiTheme="majorHAnsi" w:cstheme="majorHAnsi"/>
          <w:szCs w:val="22"/>
        </w:rPr>
      </w:pPr>
      <w:r w:rsidRPr="00A33AE8">
        <w:rPr>
          <w:rFonts w:asciiTheme="majorHAnsi" w:hAnsiTheme="majorHAnsi" w:cstheme="majorHAnsi"/>
          <w:szCs w:val="22"/>
        </w:rPr>
        <w:t xml:space="preserve">The </w:t>
      </w:r>
      <w:r w:rsidRPr="00A33AE8">
        <w:rPr>
          <w:rFonts w:asciiTheme="majorHAnsi" w:hAnsiTheme="majorHAnsi" w:cstheme="majorHAnsi"/>
          <w:b/>
          <w:bCs/>
          <w:szCs w:val="22"/>
        </w:rPr>
        <w:t>domestic added value of the energy sector</w:t>
      </w:r>
      <w:r w:rsidRPr="00A33AE8">
        <w:rPr>
          <w:rFonts w:asciiTheme="majorHAnsi" w:hAnsiTheme="majorHAnsi" w:cstheme="majorHAnsi"/>
          <w:szCs w:val="22"/>
        </w:rPr>
        <w:t xml:space="preserve"> will be increased with the identification and promotion of innovative applications and services in the energy sector with high domestic added value increasing the gross domestic product and enhancing the sustainability of the energy sector. In addition, this objective also ensures an increase in the number of direct and indirect jobs due to activities in the energy sector.</w:t>
      </w:r>
    </w:p>
    <w:p w14:paraId="33735802" w14:textId="03B14657" w:rsidR="00CD0941" w:rsidRDefault="00653D73" w:rsidP="005B2C66">
      <w:pPr>
        <w:pStyle w:val="BodyText"/>
        <w:spacing w:before="120" w:line="276" w:lineRule="auto"/>
        <w:ind w:right="193"/>
        <w:rPr>
          <w:rFonts w:asciiTheme="majorHAnsi" w:hAnsiTheme="majorHAnsi" w:cstheme="majorHAnsi"/>
        </w:rPr>
      </w:pPr>
      <w:r w:rsidRPr="00A33AE8">
        <w:rPr>
          <w:rFonts w:asciiTheme="majorHAnsi" w:hAnsiTheme="majorHAnsi" w:cstheme="majorHAnsi"/>
          <w:szCs w:val="22"/>
        </w:rPr>
        <w:t xml:space="preserve">Finally, </w:t>
      </w:r>
      <w:r w:rsidR="003B20CD" w:rsidRPr="00A33AE8">
        <w:rPr>
          <w:rFonts w:asciiTheme="majorHAnsi" w:hAnsiTheme="majorHAnsi" w:cstheme="majorHAnsi"/>
          <w:szCs w:val="22"/>
        </w:rPr>
        <w:t xml:space="preserve">the policies and measures, which will be integrated into the Just Transition </w:t>
      </w:r>
      <w:r w:rsidR="008405F3">
        <w:rPr>
          <w:rFonts w:asciiTheme="majorHAnsi" w:hAnsiTheme="majorHAnsi" w:cstheme="majorHAnsi"/>
          <w:szCs w:val="22"/>
        </w:rPr>
        <w:t xml:space="preserve">Action </w:t>
      </w:r>
      <w:r w:rsidR="003B20CD" w:rsidRPr="00A33AE8">
        <w:rPr>
          <w:rFonts w:asciiTheme="majorHAnsi" w:hAnsiTheme="majorHAnsi" w:cstheme="majorHAnsi"/>
          <w:szCs w:val="22"/>
        </w:rPr>
        <w:t xml:space="preserve">Plan, will be implemented in </w:t>
      </w:r>
      <w:r w:rsidRPr="00A33AE8">
        <w:rPr>
          <w:rFonts w:asciiTheme="majorHAnsi" w:hAnsiTheme="majorHAnsi" w:cstheme="majorHAnsi"/>
          <w:szCs w:val="22"/>
        </w:rPr>
        <w:t xml:space="preserve">the areas that will be affected most by the </w:t>
      </w:r>
      <w:r w:rsidRPr="00A33AE8">
        <w:rPr>
          <w:rFonts w:asciiTheme="majorHAnsi" w:hAnsiTheme="majorHAnsi" w:cstheme="majorHAnsi"/>
          <w:b/>
          <w:bCs/>
          <w:szCs w:val="22"/>
        </w:rPr>
        <w:t>transition to a low-carbon economy</w:t>
      </w:r>
      <w:r w:rsidRPr="00A33AE8">
        <w:rPr>
          <w:rFonts w:asciiTheme="majorHAnsi" w:hAnsiTheme="majorHAnsi" w:cstheme="majorHAnsi"/>
          <w:szCs w:val="22"/>
        </w:rPr>
        <w:t xml:space="preserve">. The challenges faced in the lignite-dependent areas during the transition to a low-carbon economy can be tackled with tailored solutions to support the structural transformation and to accelerate the process of economic diversification and technological transition. The aim is to elaborate a sustainable </w:t>
      </w:r>
      <w:r w:rsidR="00212A33">
        <w:rPr>
          <w:rFonts w:asciiTheme="majorHAnsi" w:hAnsiTheme="majorHAnsi" w:cstheme="majorHAnsi"/>
          <w:szCs w:val="22"/>
        </w:rPr>
        <w:t xml:space="preserve">even regional </w:t>
      </w:r>
      <w:r w:rsidRPr="00A33AE8">
        <w:rPr>
          <w:rFonts w:asciiTheme="majorHAnsi" w:hAnsiTheme="majorHAnsi" w:cstheme="majorHAnsi"/>
          <w:szCs w:val="22"/>
        </w:rPr>
        <w:t>development strategy, focusing on sectors with dynamic prospects in terms of output, employment and income indicators.</w:t>
      </w:r>
    </w:p>
    <w:p w14:paraId="5E3E562F" w14:textId="77777777" w:rsidR="00CD0941" w:rsidRDefault="00CD0941">
      <w:pPr>
        <w:spacing w:line="259" w:lineRule="auto"/>
        <w:rPr>
          <w:rFonts w:asciiTheme="majorHAnsi" w:eastAsia="Times New Roman" w:hAnsiTheme="majorHAnsi" w:cstheme="majorHAnsi"/>
          <w:szCs w:val="20"/>
        </w:rPr>
      </w:pPr>
      <w:r>
        <w:rPr>
          <w:rFonts w:asciiTheme="majorHAnsi" w:hAnsiTheme="majorHAnsi" w:cstheme="majorHAnsi"/>
        </w:rPr>
        <w:br w:type="page"/>
      </w:r>
    </w:p>
    <w:p w14:paraId="16FE9EE5" w14:textId="77777777" w:rsidR="008A4F23" w:rsidRDefault="00C654D0" w:rsidP="008A4F23">
      <w:pPr>
        <w:pStyle w:val="Heading1"/>
        <w:rPr>
          <w:b w:val="0"/>
        </w:rPr>
      </w:pPr>
      <w:bookmarkStart w:id="135" w:name="_Toc153544449"/>
      <w:bookmarkStart w:id="136" w:name="_Toc153545042"/>
      <w:bookmarkStart w:id="137" w:name="_Toc153544450"/>
      <w:bookmarkStart w:id="138" w:name="_Toc153545043"/>
      <w:bookmarkStart w:id="139" w:name="_Toc79772552"/>
      <w:bookmarkEnd w:id="135"/>
      <w:bookmarkEnd w:id="136"/>
      <w:bookmarkEnd w:id="137"/>
      <w:bookmarkEnd w:id="138"/>
      <w:r w:rsidRPr="00A33AE8">
        <w:rPr>
          <w:b w:val="0"/>
        </w:rPr>
        <w:lastRenderedPageBreak/>
        <w:t xml:space="preserve"> </w:t>
      </w:r>
      <w:bookmarkStart w:id="140" w:name="_Toc118991772"/>
      <w:bookmarkStart w:id="141" w:name="_Toc153545044"/>
      <w:r w:rsidR="008A4F23" w:rsidRPr="00A33AE8">
        <w:rPr>
          <w:b w:val="0"/>
        </w:rPr>
        <w:t>POLICIES AND MEASURES</w:t>
      </w:r>
      <w:bookmarkEnd w:id="139"/>
      <w:bookmarkEnd w:id="140"/>
      <w:bookmarkEnd w:id="141"/>
    </w:p>
    <w:p w14:paraId="41227A67" w14:textId="77777777" w:rsidR="003B15E9" w:rsidRPr="00D43E1C" w:rsidRDefault="003B15E9" w:rsidP="003B15E9">
      <w:pPr>
        <w:spacing w:before="240"/>
        <w:jc w:val="both"/>
        <w:rPr>
          <w:rFonts w:asciiTheme="majorHAnsi" w:hAnsiTheme="majorHAnsi" w:cstheme="majorHAnsi"/>
          <w:bCs/>
          <w:color w:val="000000"/>
        </w:rPr>
      </w:pPr>
      <w:r w:rsidRPr="00D43E1C">
        <w:rPr>
          <w:rFonts w:asciiTheme="majorHAnsi" w:hAnsiTheme="majorHAnsi" w:cstheme="majorHAnsi"/>
          <w:bCs/>
          <w:color w:val="000000"/>
        </w:rPr>
        <w:t xml:space="preserve">The main existing and planned policies and measures to achieve the objectives and targets presented in Chapter 2, are analysed in the following sections. The analysis includes among others, details on </w:t>
      </w:r>
      <w:r>
        <w:rPr>
          <w:rFonts w:asciiTheme="majorHAnsi" w:hAnsiTheme="majorHAnsi" w:cstheme="majorHAnsi"/>
          <w:bCs/>
          <w:color w:val="000000"/>
        </w:rPr>
        <w:t xml:space="preserve">quantified objectives, </w:t>
      </w:r>
      <w:r w:rsidRPr="00D43E1C">
        <w:rPr>
          <w:rFonts w:asciiTheme="majorHAnsi" w:hAnsiTheme="majorHAnsi" w:cstheme="majorHAnsi"/>
          <w:bCs/>
          <w:color w:val="000000"/>
        </w:rPr>
        <w:t xml:space="preserve">the timeframe for the implementation, </w:t>
      </w:r>
      <w:r>
        <w:rPr>
          <w:rFonts w:asciiTheme="majorHAnsi" w:hAnsiTheme="majorHAnsi" w:cstheme="majorHAnsi"/>
          <w:bCs/>
          <w:color w:val="000000"/>
        </w:rPr>
        <w:t xml:space="preserve">the progress </w:t>
      </w:r>
      <w:r w:rsidR="004E0E5C">
        <w:rPr>
          <w:rFonts w:asciiTheme="majorHAnsi" w:hAnsiTheme="majorHAnsi" w:cstheme="majorHAnsi"/>
          <w:bCs/>
          <w:color w:val="000000"/>
        </w:rPr>
        <w:t>indicators</w:t>
      </w:r>
      <w:r>
        <w:rPr>
          <w:rFonts w:asciiTheme="majorHAnsi" w:hAnsiTheme="majorHAnsi" w:cstheme="majorHAnsi"/>
          <w:bCs/>
          <w:color w:val="000000"/>
        </w:rPr>
        <w:t xml:space="preserve">, </w:t>
      </w:r>
      <w:r w:rsidRPr="00D43E1C">
        <w:rPr>
          <w:rFonts w:asciiTheme="majorHAnsi" w:hAnsiTheme="majorHAnsi" w:cstheme="majorHAnsi"/>
          <w:bCs/>
          <w:color w:val="000000"/>
        </w:rPr>
        <w:t>implementing and monitoring entities, estimated implementation costs and appropriate financing sources</w:t>
      </w:r>
      <w:r>
        <w:rPr>
          <w:rFonts w:asciiTheme="majorHAnsi" w:hAnsiTheme="majorHAnsi" w:cstheme="majorHAnsi"/>
          <w:bCs/>
          <w:color w:val="000000"/>
        </w:rPr>
        <w:t xml:space="preserve"> where feasible</w:t>
      </w:r>
      <w:r w:rsidRPr="00D43E1C">
        <w:rPr>
          <w:rFonts w:asciiTheme="majorHAnsi" w:hAnsiTheme="majorHAnsi" w:cstheme="majorHAnsi"/>
          <w:bCs/>
          <w:color w:val="000000"/>
        </w:rPr>
        <w:t>.</w:t>
      </w:r>
    </w:p>
    <w:p w14:paraId="62BE98A2" w14:textId="77777777" w:rsidR="00351DC9" w:rsidRPr="00A33AE8" w:rsidRDefault="00351DC9" w:rsidP="00351DC9">
      <w:pPr>
        <w:pStyle w:val="Heading2"/>
      </w:pPr>
      <w:bookmarkStart w:id="142" w:name="_Toc151036044"/>
      <w:bookmarkStart w:id="143" w:name="_Toc79772553"/>
      <w:bookmarkStart w:id="144" w:name="_Toc118991773"/>
      <w:bookmarkStart w:id="145" w:name="_Toc153545045"/>
      <w:bookmarkEnd w:id="142"/>
      <w:r w:rsidRPr="00A33AE8">
        <w:t>Dimension Decarbonisation</w:t>
      </w:r>
      <w:bookmarkEnd w:id="143"/>
      <w:bookmarkEnd w:id="144"/>
      <w:bookmarkEnd w:id="145"/>
    </w:p>
    <w:p w14:paraId="44F2692D" w14:textId="77777777" w:rsidR="0041580B" w:rsidRPr="00A33AE8" w:rsidRDefault="0041580B" w:rsidP="0041580B">
      <w:pPr>
        <w:pStyle w:val="Heading3"/>
      </w:pPr>
      <w:r w:rsidRPr="00A33AE8">
        <w:t xml:space="preserve">GHG emissions and </w:t>
      </w:r>
      <w:r w:rsidR="00C35A38" w:rsidRPr="00A33AE8">
        <w:t>reduction</w:t>
      </w:r>
    </w:p>
    <w:p w14:paraId="22B9B386" w14:textId="77777777" w:rsidR="005D0066" w:rsidRPr="00A33AE8" w:rsidRDefault="005D0066" w:rsidP="00884F3B">
      <w:pPr>
        <w:pStyle w:val="Heading4"/>
        <w:numPr>
          <w:ilvl w:val="0"/>
          <w:numId w:val="229"/>
        </w:numPr>
        <w:jc w:val="both"/>
      </w:pPr>
      <w:r w:rsidRPr="00A33AE8">
        <w:t xml:space="preserve">Policies and measures to achieve the target set under Regulation (EU) 2018/842 as referred in point 2.1 and policies and measures to comply with Regulation (EU) 2018/841, covering all key emitting sectors and sectors for the enhancement of removals, with an outlook to the long-term vision and goal to become a low-carbon economy with a 50 years perspective and achieving a balance between emissions and </w:t>
      </w:r>
      <w:r w:rsidR="00C35A38" w:rsidRPr="00A33AE8">
        <w:t>reduction</w:t>
      </w:r>
      <w:r w:rsidRPr="00A33AE8">
        <w:t xml:space="preserve"> in accordance with the Paris Agreement</w:t>
      </w:r>
    </w:p>
    <w:p w14:paraId="4928DCCB" w14:textId="462EB185" w:rsidR="005D0066" w:rsidRPr="00A33AE8" w:rsidRDefault="005D0066" w:rsidP="00031002">
      <w:pPr>
        <w:spacing w:before="240"/>
        <w:jc w:val="both"/>
        <w:rPr>
          <w:rFonts w:asciiTheme="majorHAnsi" w:hAnsiTheme="majorHAnsi" w:cstheme="majorHAnsi"/>
          <w:bCs/>
          <w:color w:val="000000"/>
        </w:rPr>
      </w:pPr>
      <w:r w:rsidRPr="00A33AE8">
        <w:rPr>
          <w:rFonts w:asciiTheme="majorHAnsi" w:hAnsiTheme="majorHAnsi" w:cstheme="majorHAnsi"/>
          <w:bCs/>
          <w:color w:val="000000"/>
        </w:rPr>
        <w:t>The INECP envisages a number of decarbonisation-related policy measures in terms of energy and non-energy related GHG emissions. The existing and planned policy measures in the energy field, which generates about 80% of GHG emissions in the Republic of Serbia, will have a major contribution to decarbonisation process. Existing measures for decarbonisation will be extended until 2030 and will complement the measures supporting RES sector transformation and other dimensions of the Energy Union, including energy efficiency, the internal energy market and energy security.</w:t>
      </w:r>
    </w:p>
    <w:p w14:paraId="3FAB2BAB" w14:textId="77777777" w:rsidR="005D0066" w:rsidRPr="00A33AE8" w:rsidRDefault="005D0066" w:rsidP="002A08C2">
      <w:pPr>
        <w:spacing w:before="160"/>
        <w:jc w:val="both"/>
        <w:rPr>
          <w:rFonts w:asciiTheme="majorHAnsi" w:hAnsiTheme="majorHAnsi" w:cstheme="majorHAnsi"/>
          <w:bCs/>
          <w:color w:val="000000"/>
        </w:rPr>
      </w:pPr>
      <w:r w:rsidRPr="00A33AE8">
        <w:rPr>
          <w:rFonts w:asciiTheme="majorHAnsi" w:hAnsiTheme="majorHAnsi" w:cstheme="majorHAnsi"/>
          <w:bCs/>
          <w:color w:val="000000"/>
        </w:rPr>
        <w:t xml:space="preserve">Work on improving greenhouse gas inventories and updating Serbia’s Nationally Determined Contribution to the Paris Agreement is progressing. Alignment of legislation on monitoring, reporting and verification of GHG emissions in line with the EU </w:t>
      </w:r>
      <w:r w:rsidR="003009EF" w:rsidRPr="00A33AE8">
        <w:rPr>
          <w:rFonts w:asciiTheme="majorHAnsi" w:hAnsiTheme="majorHAnsi" w:cstheme="majorHAnsi"/>
          <w:bCs/>
          <w:color w:val="000000"/>
        </w:rPr>
        <w:t>Emissions Trading System (</w:t>
      </w:r>
      <w:r w:rsidRPr="00A33AE8">
        <w:rPr>
          <w:rFonts w:asciiTheme="majorHAnsi" w:hAnsiTheme="majorHAnsi" w:cstheme="majorHAnsi"/>
          <w:bCs/>
          <w:color w:val="000000"/>
        </w:rPr>
        <w:t>ETS</w:t>
      </w:r>
      <w:r w:rsidR="003009EF" w:rsidRPr="00A33AE8">
        <w:rPr>
          <w:rFonts w:asciiTheme="majorHAnsi" w:hAnsiTheme="majorHAnsi" w:cstheme="majorHAnsi"/>
          <w:bCs/>
          <w:color w:val="000000"/>
        </w:rPr>
        <w:t>)</w:t>
      </w:r>
      <w:r w:rsidRPr="00A33AE8">
        <w:rPr>
          <w:rFonts w:asciiTheme="majorHAnsi" w:hAnsiTheme="majorHAnsi" w:cstheme="majorHAnsi"/>
          <w:bCs/>
          <w:color w:val="000000"/>
        </w:rPr>
        <w:t xml:space="preserve"> and Effort Sharing Regulation is </w:t>
      </w:r>
      <w:r w:rsidR="00C35A38" w:rsidRPr="00A33AE8">
        <w:rPr>
          <w:rFonts w:asciiTheme="majorHAnsi" w:hAnsiTheme="majorHAnsi" w:cstheme="majorHAnsi"/>
          <w:bCs/>
          <w:color w:val="000000"/>
        </w:rPr>
        <w:t>implemented through the Law on Climate Change</w:t>
      </w:r>
      <w:r w:rsidR="0028366A" w:rsidRPr="00A33AE8">
        <w:rPr>
          <w:rStyle w:val="FootnoteReference"/>
          <w:rFonts w:asciiTheme="majorHAnsi" w:hAnsiTheme="majorHAnsi" w:cstheme="majorHAnsi"/>
          <w:bCs/>
          <w:color w:val="000000"/>
        </w:rPr>
        <w:footnoteReference w:id="97"/>
      </w:r>
      <w:r w:rsidRPr="00A33AE8">
        <w:rPr>
          <w:rFonts w:asciiTheme="majorHAnsi" w:hAnsiTheme="majorHAnsi" w:cstheme="majorHAnsi"/>
          <w:bCs/>
          <w:color w:val="000000"/>
        </w:rPr>
        <w:t xml:space="preserve">. </w:t>
      </w:r>
      <w:r w:rsidR="002A08C2" w:rsidRPr="002A08C2">
        <w:rPr>
          <w:rFonts w:asciiTheme="majorHAnsi" w:hAnsiTheme="majorHAnsi" w:cstheme="majorHAnsi"/>
          <w:bCs/>
          <w:color w:val="000000"/>
        </w:rPr>
        <w:t>Based on Article 58, Paragraph 8 of the Law on Climate Change (Official Gazette of the RS, No. 26/21)</w:t>
      </w:r>
      <w:r w:rsidR="002A08C2">
        <w:rPr>
          <w:rFonts w:asciiTheme="majorHAnsi" w:hAnsiTheme="majorHAnsi" w:cstheme="majorHAnsi"/>
          <w:bCs/>
          <w:color w:val="000000"/>
        </w:rPr>
        <w:t xml:space="preserve"> t</w:t>
      </w:r>
      <w:r w:rsidR="002A08C2" w:rsidRPr="002A08C2">
        <w:rPr>
          <w:rFonts w:asciiTheme="majorHAnsi" w:hAnsiTheme="majorHAnsi" w:cstheme="majorHAnsi"/>
          <w:bCs/>
          <w:color w:val="000000"/>
        </w:rPr>
        <w:t>he Minist</w:t>
      </w:r>
      <w:r w:rsidR="002A08C2">
        <w:rPr>
          <w:rFonts w:asciiTheme="majorHAnsi" w:hAnsiTheme="majorHAnsi" w:cstheme="majorHAnsi"/>
          <w:bCs/>
          <w:color w:val="000000"/>
        </w:rPr>
        <w:t>ry</w:t>
      </w:r>
      <w:r w:rsidR="002A08C2" w:rsidRPr="002A08C2">
        <w:rPr>
          <w:rFonts w:asciiTheme="majorHAnsi" w:hAnsiTheme="majorHAnsi" w:cstheme="majorHAnsi"/>
          <w:bCs/>
          <w:color w:val="000000"/>
        </w:rPr>
        <w:t xml:space="preserve"> of Environmental Protection </w:t>
      </w:r>
      <w:r w:rsidR="002A08C2">
        <w:rPr>
          <w:rFonts w:asciiTheme="majorHAnsi" w:hAnsiTheme="majorHAnsi" w:cstheme="majorHAnsi"/>
          <w:bCs/>
          <w:color w:val="000000"/>
        </w:rPr>
        <w:t xml:space="preserve">adopted </w:t>
      </w:r>
      <w:r w:rsidR="002A08C2" w:rsidRPr="002A08C2">
        <w:rPr>
          <w:rFonts w:asciiTheme="majorHAnsi" w:hAnsiTheme="majorHAnsi" w:cstheme="majorHAnsi"/>
          <w:bCs/>
          <w:color w:val="000000"/>
        </w:rPr>
        <w:t>R</w:t>
      </w:r>
      <w:r w:rsidR="002A08C2">
        <w:rPr>
          <w:rFonts w:asciiTheme="majorHAnsi" w:hAnsiTheme="majorHAnsi" w:cstheme="majorHAnsi"/>
          <w:bCs/>
          <w:color w:val="000000"/>
        </w:rPr>
        <w:t xml:space="preserve">ulebook </w:t>
      </w:r>
      <w:r w:rsidR="002A08C2" w:rsidRPr="002A08C2">
        <w:rPr>
          <w:rFonts w:asciiTheme="majorHAnsi" w:hAnsiTheme="majorHAnsi" w:cstheme="majorHAnsi"/>
          <w:bCs/>
          <w:color w:val="000000"/>
        </w:rPr>
        <w:t>on the content of the National Inventory of Greenhouse Gases and the National Report on the Inventory of Greenhouse Gases</w:t>
      </w:r>
      <w:r w:rsidR="002A08C2">
        <w:rPr>
          <w:rFonts w:asciiTheme="majorHAnsi" w:hAnsiTheme="majorHAnsi" w:cstheme="majorHAnsi"/>
          <w:bCs/>
          <w:color w:val="000000"/>
        </w:rPr>
        <w:t xml:space="preserve"> (</w:t>
      </w:r>
      <w:r w:rsidR="002A08C2" w:rsidRPr="002A08C2">
        <w:rPr>
          <w:rFonts w:asciiTheme="majorHAnsi" w:hAnsiTheme="majorHAnsi" w:cstheme="majorHAnsi"/>
          <w:bCs/>
          <w:color w:val="000000"/>
        </w:rPr>
        <w:t xml:space="preserve">Official Gazette of the RS, No. </w:t>
      </w:r>
      <w:r w:rsidR="002A08C2">
        <w:rPr>
          <w:rFonts w:asciiTheme="majorHAnsi" w:hAnsiTheme="majorHAnsi" w:cstheme="majorHAnsi"/>
          <w:bCs/>
          <w:color w:val="000000"/>
        </w:rPr>
        <w:t>55</w:t>
      </w:r>
      <w:r w:rsidR="002A08C2" w:rsidRPr="002A08C2">
        <w:rPr>
          <w:rFonts w:asciiTheme="majorHAnsi" w:hAnsiTheme="majorHAnsi" w:cstheme="majorHAnsi"/>
          <w:bCs/>
          <w:color w:val="000000"/>
        </w:rPr>
        <w:t>/2</w:t>
      </w:r>
      <w:r w:rsidR="002A08C2">
        <w:rPr>
          <w:rFonts w:asciiTheme="majorHAnsi" w:hAnsiTheme="majorHAnsi" w:cstheme="majorHAnsi"/>
          <w:bCs/>
          <w:color w:val="000000"/>
        </w:rPr>
        <w:t xml:space="preserve">3). According to the Rulebook the content of the Inventory is aligned with the </w:t>
      </w:r>
      <w:r w:rsidR="002A08C2" w:rsidRPr="002A08C2">
        <w:rPr>
          <w:rFonts w:asciiTheme="majorHAnsi" w:hAnsiTheme="majorHAnsi" w:cstheme="majorHAnsi"/>
          <w:bCs/>
          <w:color w:val="000000"/>
        </w:rPr>
        <w:t>Paris Agreement and the IPCC guidelines related to the preparation of the GHG inventory.</w:t>
      </w:r>
      <w:r w:rsidR="002A08C2">
        <w:rPr>
          <w:rFonts w:asciiTheme="majorHAnsi" w:hAnsiTheme="majorHAnsi" w:cstheme="majorHAnsi"/>
          <w:bCs/>
          <w:color w:val="000000"/>
        </w:rPr>
        <w:t xml:space="preserve"> Inventory contains</w:t>
      </w:r>
      <w:r w:rsidR="002A08C2" w:rsidRPr="002A08C2">
        <w:t xml:space="preserve"> </w:t>
      </w:r>
      <w:r w:rsidR="002A08C2" w:rsidRPr="002A08C2">
        <w:rPr>
          <w:rFonts w:asciiTheme="majorHAnsi" w:hAnsiTheme="majorHAnsi" w:cstheme="majorHAnsi"/>
          <w:bCs/>
          <w:color w:val="000000"/>
        </w:rPr>
        <w:t xml:space="preserve">data on activities, which are required for the assessment of source </w:t>
      </w:r>
      <w:r w:rsidR="002A08C2">
        <w:rPr>
          <w:rFonts w:asciiTheme="majorHAnsi" w:hAnsiTheme="majorHAnsi" w:cstheme="majorHAnsi"/>
          <w:bCs/>
          <w:color w:val="000000"/>
        </w:rPr>
        <w:t xml:space="preserve">GHG </w:t>
      </w:r>
      <w:r w:rsidR="002A08C2" w:rsidRPr="002A08C2">
        <w:rPr>
          <w:rFonts w:asciiTheme="majorHAnsi" w:hAnsiTheme="majorHAnsi" w:cstheme="majorHAnsi"/>
          <w:bCs/>
          <w:color w:val="000000"/>
        </w:rPr>
        <w:t>emissions and removal by sinks in accordance with the IPCC Guidelines</w:t>
      </w:r>
      <w:r w:rsidR="002A08C2">
        <w:rPr>
          <w:rFonts w:asciiTheme="majorHAnsi" w:hAnsiTheme="majorHAnsi" w:cstheme="majorHAnsi"/>
          <w:bCs/>
          <w:color w:val="000000"/>
        </w:rPr>
        <w:t xml:space="preserve">. </w:t>
      </w:r>
      <w:r w:rsidR="002A08C2" w:rsidRPr="002A08C2">
        <w:rPr>
          <w:rFonts w:asciiTheme="majorHAnsi" w:hAnsiTheme="majorHAnsi" w:cstheme="majorHAnsi"/>
          <w:bCs/>
          <w:color w:val="000000"/>
        </w:rPr>
        <w:t>The Republic of Serbia needs to strengthen its administrative and technical capacity at all levels and further increase investments towards green energy transition.</w:t>
      </w:r>
    </w:p>
    <w:p w14:paraId="24B70362" w14:textId="77777777" w:rsidR="00E237EF" w:rsidRPr="00A33AE8" w:rsidRDefault="008E726B" w:rsidP="00031002">
      <w:pPr>
        <w:jc w:val="both"/>
        <w:rPr>
          <w:rFonts w:asciiTheme="majorHAnsi" w:hAnsiTheme="majorHAnsi" w:cstheme="majorHAnsi"/>
          <w:b/>
          <w:bCs/>
          <w:color w:val="000000"/>
        </w:rPr>
      </w:pPr>
      <w:r w:rsidRPr="00A33AE8">
        <w:rPr>
          <w:rFonts w:asciiTheme="majorHAnsi" w:hAnsiTheme="majorHAnsi" w:cstheme="majorHAnsi"/>
          <w:b/>
          <w:bCs/>
          <w:color w:val="000000"/>
        </w:rPr>
        <w:t>Regulatory Measures</w:t>
      </w:r>
    </w:p>
    <w:p w14:paraId="1C098C4A" w14:textId="77777777" w:rsidR="00137874" w:rsidRPr="00A33AE8" w:rsidRDefault="005E61D8" w:rsidP="00EF77E4">
      <w:pPr>
        <w:jc w:val="both"/>
        <w:rPr>
          <w:rFonts w:asciiTheme="majorHAnsi" w:hAnsiTheme="majorHAnsi" w:cstheme="majorHAnsi"/>
          <w:iCs/>
          <w:color w:val="000000"/>
        </w:rPr>
      </w:pPr>
      <w:r w:rsidRPr="00A33AE8">
        <w:rPr>
          <w:rFonts w:asciiTheme="majorHAnsi" w:hAnsiTheme="majorHAnsi" w:cstheme="majorHAnsi"/>
          <w:iCs/>
          <w:color w:val="000000"/>
        </w:rPr>
        <w:t xml:space="preserve">Apart from proposed policy measures regarding energy and non-energy related GHG emission reduction targets, </w:t>
      </w:r>
      <w:r w:rsidR="00136E1C" w:rsidRPr="00A33AE8">
        <w:rPr>
          <w:rFonts w:asciiTheme="majorHAnsi" w:hAnsiTheme="majorHAnsi" w:cstheme="majorHAnsi"/>
          <w:iCs/>
          <w:color w:val="000000"/>
        </w:rPr>
        <w:t>6</w:t>
      </w:r>
      <w:r w:rsidRPr="00A33AE8">
        <w:rPr>
          <w:rFonts w:asciiTheme="majorHAnsi" w:hAnsiTheme="majorHAnsi" w:cstheme="majorHAnsi"/>
          <w:iCs/>
          <w:color w:val="000000"/>
        </w:rPr>
        <w:t xml:space="preserve"> policy measures are also proposed in order to improve the existing regulatory framework and aware </w:t>
      </w:r>
      <w:r w:rsidR="00B113C7" w:rsidRPr="00A33AE8">
        <w:rPr>
          <w:rFonts w:asciiTheme="majorHAnsi" w:hAnsiTheme="majorHAnsi" w:cstheme="majorHAnsi"/>
          <w:iCs/>
          <w:color w:val="000000"/>
        </w:rPr>
        <w:t xml:space="preserve">the public </w:t>
      </w:r>
      <w:r w:rsidRPr="00A33AE8">
        <w:rPr>
          <w:rFonts w:asciiTheme="majorHAnsi" w:hAnsiTheme="majorHAnsi" w:cstheme="majorHAnsi"/>
          <w:iCs/>
          <w:color w:val="000000"/>
        </w:rPr>
        <w:t xml:space="preserve">for the </w:t>
      </w:r>
      <w:r w:rsidR="00B113C7" w:rsidRPr="00A33AE8">
        <w:rPr>
          <w:rFonts w:asciiTheme="majorHAnsi" w:hAnsiTheme="majorHAnsi" w:cstheme="majorHAnsi"/>
          <w:iCs/>
          <w:color w:val="000000"/>
        </w:rPr>
        <w:t>environmental impact of energy consumption with the aim of motivating, stimulating and informing them to change their behaviour and continue to engage.</w:t>
      </w:r>
    </w:p>
    <w:p w14:paraId="7E28AE01" w14:textId="77777777" w:rsidR="001F4028" w:rsidRPr="00A33AE8" w:rsidRDefault="001F4028" w:rsidP="00EF77E4">
      <w:pPr>
        <w:jc w:val="both"/>
        <w:rPr>
          <w:rFonts w:asciiTheme="majorHAnsi" w:hAnsiTheme="majorHAnsi" w:cstheme="majorHAnsi"/>
          <w:iCs/>
          <w:color w:val="000000"/>
        </w:rPr>
      </w:pPr>
    </w:p>
    <w:tbl>
      <w:tblPr>
        <w:tblW w:w="9680" w:type="dxa"/>
        <w:tblLook w:val="04A0" w:firstRow="1" w:lastRow="0" w:firstColumn="1" w:lastColumn="0" w:noHBand="0" w:noVBand="1"/>
      </w:tblPr>
      <w:tblGrid>
        <w:gridCol w:w="3402"/>
        <w:gridCol w:w="973"/>
        <w:gridCol w:w="967"/>
        <w:gridCol w:w="4338"/>
      </w:tblGrid>
      <w:tr w:rsidR="00136E1C" w:rsidRPr="00A33AE8" w14:paraId="02D73B75" w14:textId="77777777" w:rsidTr="006904D8">
        <w:trPr>
          <w:trHeight w:val="349"/>
        </w:trPr>
        <w:tc>
          <w:tcPr>
            <w:tcW w:w="3402"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9A85F43" w14:textId="77777777" w:rsidR="00136E1C" w:rsidRPr="00A33AE8" w:rsidRDefault="00136E1C" w:rsidP="000B7C3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73" w:type="dxa"/>
            <w:tcBorders>
              <w:top w:val="single" w:sz="8" w:space="0" w:color="auto"/>
              <w:left w:val="nil"/>
              <w:bottom w:val="single" w:sz="8" w:space="0" w:color="auto"/>
              <w:right w:val="single" w:sz="8" w:space="0" w:color="auto"/>
            </w:tcBorders>
            <w:shd w:val="clear" w:color="auto" w:fill="E7E6E6" w:themeFill="background2"/>
            <w:vAlign w:val="center"/>
            <w:hideMark/>
          </w:tcPr>
          <w:p w14:paraId="4B5B73C4" w14:textId="77777777" w:rsidR="00136E1C" w:rsidRPr="00A33AE8" w:rsidRDefault="00136E1C" w:rsidP="000B7C3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w:t>
            </w:r>
          </w:p>
        </w:tc>
        <w:tc>
          <w:tcPr>
            <w:tcW w:w="967" w:type="dxa"/>
            <w:tcBorders>
              <w:top w:val="single" w:sz="8" w:space="0" w:color="auto"/>
              <w:left w:val="nil"/>
              <w:bottom w:val="single" w:sz="8" w:space="0" w:color="auto"/>
              <w:right w:val="single" w:sz="8" w:space="0" w:color="auto"/>
            </w:tcBorders>
            <w:shd w:val="clear" w:color="000000" w:fill="244062"/>
            <w:vAlign w:val="center"/>
            <w:hideMark/>
          </w:tcPr>
          <w:p w14:paraId="0E750BBC"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338" w:type="dxa"/>
            <w:tcBorders>
              <w:top w:val="single" w:sz="8" w:space="0" w:color="auto"/>
              <w:left w:val="nil"/>
              <w:bottom w:val="single" w:sz="8" w:space="0" w:color="auto"/>
              <w:right w:val="single" w:sz="8" w:space="0" w:color="auto"/>
            </w:tcBorders>
            <w:shd w:val="clear" w:color="auto" w:fill="E7E6E6" w:themeFill="background2"/>
            <w:vAlign w:val="center"/>
            <w:hideMark/>
          </w:tcPr>
          <w:p w14:paraId="3B4FE37E" w14:textId="77777777" w:rsidR="00136E1C" w:rsidRPr="00A33AE8" w:rsidRDefault="00136E1C" w:rsidP="000B7C3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Introduction of carbon </w:t>
            </w:r>
            <w:r w:rsidR="00504AB8">
              <w:rPr>
                <w:rFonts w:ascii="Calibri Light" w:eastAsia="Times New Roman" w:hAnsi="Calibri Light" w:cs="Calibri Light"/>
                <w:b/>
                <w:bCs/>
                <w:color w:val="000000"/>
                <w:sz w:val="20"/>
                <w:szCs w:val="20"/>
                <w:lang w:eastAsia="en-GB"/>
              </w:rPr>
              <w:t>pricing</w:t>
            </w:r>
            <w:r w:rsidR="005B5808" w:rsidRPr="00A33AE8">
              <w:rPr>
                <w:rFonts w:ascii="Calibri Light" w:eastAsia="Times New Roman" w:hAnsi="Calibri Light" w:cs="Calibri Light"/>
                <w:b/>
                <w:bCs/>
                <w:color w:val="000000"/>
                <w:sz w:val="20"/>
                <w:szCs w:val="20"/>
                <w:lang w:eastAsia="en-GB"/>
              </w:rPr>
              <w:t xml:space="preserve"> on energy</w:t>
            </w:r>
          </w:p>
        </w:tc>
      </w:tr>
      <w:tr w:rsidR="00136E1C" w:rsidRPr="00A33AE8" w14:paraId="1C7FEF99" w14:textId="77777777" w:rsidTr="006904D8">
        <w:trPr>
          <w:trHeight w:val="271"/>
        </w:trPr>
        <w:tc>
          <w:tcPr>
            <w:tcW w:w="3402" w:type="dxa"/>
            <w:tcBorders>
              <w:top w:val="nil"/>
              <w:left w:val="single" w:sz="8" w:space="0" w:color="auto"/>
              <w:bottom w:val="single" w:sz="8" w:space="0" w:color="auto"/>
              <w:right w:val="nil"/>
            </w:tcBorders>
            <w:shd w:val="clear" w:color="000000" w:fill="244062"/>
            <w:vAlign w:val="center"/>
            <w:hideMark/>
          </w:tcPr>
          <w:p w14:paraId="1610B373"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19C1023F" w14:textId="77777777" w:rsidR="00136E1C" w:rsidRPr="00A33AE8" w:rsidRDefault="00136E1C" w:rsidP="000B7C3A">
            <w:pPr>
              <w:spacing w:after="0" w:line="240" w:lineRule="auto"/>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Carbon emissions reduction</w:t>
            </w:r>
          </w:p>
        </w:tc>
      </w:tr>
      <w:tr w:rsidR="00136E1C" w:rsidRPr="00A33AE8" w14:paraId="639C4A20"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731789B6"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278" w:type="dxa"/>
            <w:gridSpan w:val="3"/>
            <w:tcBorders>
              <w:top w:val="single" w:sz="8" w:space="0" w:color="auto"/>
              <w:left w:val="nil"/>
              <w:bottom w:val="single" w:sz="8" w:space="0" w:color="auto"/>
              <w:right w:val="single" w:sz="8" w:space="0" w:color="000000"/>
            </w:tcBorders>
            <w:shd w:val="clear" w:color="auto" w:fill="auto"/>
            <w:vAlign w:val="center"/>
          </w:tcPr>
          <w:p w14:paraId="690AEFBE" w14:textId="77777777" w:rsidR="00136E1C" w:rsidRPr="00A33AE8" w:rsidRDefault="005B5808"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Contribution to the objective of r</w:t>
            </w:r>
            <w:r w:rsidR="00136E1C" w:rsidRPr="00A33AE8">
              <w:rPr>
                <w:rFonts w:asciiTheme="majorHAnsi" w:eastAsia="Times New Roman" w:hAnsiTheme="majorHAnsi" w:cstheme="majorHAnsi"/>
                <w:color w:val="000000"/>
                <w:sz w:val="20"/>
                <w:szCs w:val="20"/>
                <w:lang w:eastAsia="en-GB"/>
              </w:rPr>
              <w:t xml:space="preserve">eduction of GHG emissions by </w:t>
            </w:r>
            <w:r w:rsidRPr="00A33AE8">
              <w:rPr>
                <w:rFonts w:asciiTheme="majorHAnsi" w:eastAsia="Times New Roman" w:hAnsiTheme="majorHAnsi" w:cstheme="majorHAnsi"/>
                <w:color w:val="000000"/>
                <w:sz w:val="20"/>
                <w:szCs w:val="20"/>
                <w:lang w:eastAsia="en-GB"/>
              </w:rPr>
              <w:t>33</w:t>
            </w:r>
            <w:r w:rsidR="001D14E7" w:rsidRPr="000007D2">
              <w:rPr>
                <w:rFonts w:asciiTheme="majorHAnsi" w:eastAsia="Times New Roman" w:hAnsiTheme="majorHAnsi" w:cstheme="majorHAnsi"/>
                <w:color w:val="000000"/>
                <w:sz w:val="20"/>
                <w:szCs w:val="20"/>
                <w:lang w:eastAsia="en-GB"/>
              </w:rPr>
              <w:t>.</w:t>
            </w:r>
            <w:r w:rsidR="001D14E7" w:rsidRPr="000007D2">
              <w:rPr>
                <w:rFonts w:eastAsia="Times New Roman"/>
                <w:color w:val="000000"/>
                <w:sz w:val="20"/>
                <w:szCs w:val="20"/>
                <w:lang w:eastAsia="en-GB"/>
              </w:rPr>
              <w:t>3</w:t>
            </w:r>
            <w:r w:rsidR="00136E1C" w:rsidRPr="00A33AE8">
              <w:rPr>
                <w:rFonts w:asciiTheme="majorHAnsi" w:eastAsia="Times New Roman" w:hAnsiTheme="majorHAnsi" w:cstheme="majorHAnsi"/>
                <w:color w:val="000000"/>
                <w:sz w:val="20"/>
                <w:szCs w:val="20"/>
                <w:lang w:eastAsia="en-GB"/>
              </w:rPr>
              <w:t xml:space="preserve">% </w:t>
            </w:r>
            <w:r w:rsidR="00D21503" w:rsidRPr="00A33AE8">
              <w:rPr>
                <w:rFonts w:asciiTheme="majorHAnsi" w:eastAsia="Times New Roman" w:hAnsiTheme="majorHAnsi" w:cstheme="majorHAnsi"/>
                <w:color w:val="000000"/>
                <w:sz w:val="20"/>
                <w:szCs w:val="20"/>
                <w:lang w:eastAsia="en-GB"/>
              </w:rPr>
              <w:t>(with</w:t>
            </w:r>
            <w:r w:rsidRPr="00A33AE8">
              <w:rPr>
                <w:rFonts w:asciiTheme="majorHAnsi" w:eastAsia="Times New Roman" w:hAnsiTheme="majorHAnsi" w:cstheme="majorHAnsi"/>
                <w:color w:val="000000"/>
                <w:sz w:val="20"/>
                <w:szCs w:val="20"/>
                <w:lang w:eastAsia="en-GB"/>
              </w:rPr>
              <w:t>out</w:t>
            </w:r>
            <w:r w:rsidR="00D21503" w:rsidRPr="00A33AE8">
              <w:rPr>
                <w:rFonts w:asciiTheme="majorHAnsi" w:eastAsia="Times New Roman" w:hAnsiTheme="majorHAnsi" w:cstheme="majorHAnsi"/>
                <w:color w:val="000000"/>
                <w:sz w:val="20"/>
                <w:szCs w:val="20"/>
                <w:lang w:eastAsia="en-GB"/>
              </w:rPr>
              <w:t xml:space="preserve"> LULUCF) </w:t>
            </w:r>
            <w:r w:rsidR="00136E1C" w:rsidRPr="00A33AE8">
              <w:rPr>
                <w:rFonts w:asciiTheme="majorHAnsi" w:eastAsia="Times New Roman" w:hAnsiTheme="majorHAnsi" w:cstheme="majorHAnsi"/>
                <w:color w:val="000000"/>
                <w:sz w:val="20"/>
                <w:szCs w:val="20"/>
                <w:lang w:eastAsia="en-GB"/>
              </w:rPr>
              <w:t xml:space="preserve">by 2030 compared to 1990 levels </w:t>
            </w:r>
          </w:p>
        </w:tc>
      </w:tr>
      <w:tr w:rsidR="00136E1C" w:rsidRPr="00A33AE8" w14:paraId="133D4322" w14:textId="77777777" w:rsidTr="006904D8">
        <w:trPr>
          <w:trHeight w:val="563"/>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7DD4A25C"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6165A379" w14:textId="085D1F0D" w:rsidR="00136E1C" w:rsidRPr="00A33AE8" w:rsidRDefault="00E50F42" w:rsidP="00B871B6">
            <w:pPr>
              <w:spacing w:after="0" w:line="240" w:lineRule="auto"/>
              <w:jc w:val="both"/>
              <w:rPr>
                <w:rFonts w:asciiTheme="majorHAnsi" w:eastAsia="Times New Roman" w:hAnsiTheme="majorHAnsi" w:cstheme="majorHAnsi"/>
                <w:color w:val="000000"/>
                <w:sz w:val="20"/>
                <w:szCs w:val="20"/>
                <w:lang w:eastAsia="en-GB"/>
              </w:rPr>
            </w:pPr>
            <w:r w:rsidRPr="005E78D8">
              <w:rPr>
                <w:rFonts w:asciiTheme="majorHAnsi" w:eastAsia="Times New Roman" w:hAnsiTheme="majorHAnsi" w:cstheme="majorHAnsi"/>
                <w:color w:val="000000"/>
                <w:sz w:val="20"/>
                <w:szCs w:val="20"/>
                <w:lang w:eastAsia="en-GB"/>
              </w:rPr>
              <w:t>PM_D1</w:t>
            </w:r>
            <w:r w:rsidR="00A162D1" w:rsidRPr="005E78D8">
              <w:rPr>
                <w:rFonts w:asciiTheme="majorHAnsi" w:eastAsia="Times New Roman" w:hAnsiTheme="majorHAnsi" w:cstheme="majorHAnsi"/>
                <w:color w:val="000000"/>
                <w:sz w:val="20"/>
                <w:szCs w:val="20"/>
                <w:lang w:eastAsia="en-GB"/>
              </w:rPr>
              <w:t>, with implementation of the ETS or other instruments of carbon pricing,</w:t>
            </w:r>
            <w:r w:rsidRPr="005E78D8">
              <w:rPr>
                <w:rFonts w:asciiTheme="majorHAnsi" w:eastAsia="Times New Roman" w:hAnsiTheme="majorHAnsi" w:cstheme="majorHAnsi"/>
                <w:color w:val="000000"/>
                <w:sz w:val="20"/>
                <w:szCs w:val="20"/>
                <w:lang w:eastAsia="en-GB"/>
              </w:rPr>
              <w:t xml:space="preserve"> will speed up the phasing-out of conventional fuels</w:t>
            </w:r>
            <w:r w:rsidR="00B871B6" w:rsidRPr="005E78D8">
              <w:rPr>
                <w:rFonts w:asciiTheme="majorHAnsi" w:eastAsia="Times New Roman" w:hAnsiTheme="majorHAnsi" w:cstheme="majorHAnsi"/>
                <w:color w:val="000000"/>
                <w:sz w:val="20"/>
                <w:szCs w:val="20"/>
                <w:lang w:eastAsia="en-GB"/>
              </w:rPr>
              <w:t>. The funds collected from carbon pricing will be used to</w:t>
            </w:r>
            <w:r w:rsidRPr="005E78D8">
              <w:rPr>
                <w:rFonts w:asciiTheme="majorHAnsi" w:eastAsia="Times New Roman" w:hAnsiTheme="majorHAnsi" w:cstheme="majorHAnsi"/>
                <w:color w:val="000000"/>
                <w:sz w:val="20"/>
                <w:szCs w:val="20"/>
                <w:lang w:eastAsia="en-GB"/>
              </w:rPr>
              <w:t xml:space="preserve"> stimulate the investments in RES</w:t>
            </w:r>
            <w:r w:rsidR="00B871B6" w:rsidRPr="005E78D8">
              <w:rPr>
                <w:rFonts w:asciiTheme="majorHAnsi" w:eastAsia="Times New Roman" w:hAnsiTheme="majorHAnsi" w:cstheme="majorHAnsi"/>
                <w:color w:val="000000"/>
                <w:sz w:val="20"/>
                <w:szCs w:val="20"/>
                <w:lang w:eastAsia="en-GB"/>
              </w:rPr>
              <w:t xml:space="preserve">, </w:t>
            </w:r>
            <w:r w:rsidRPr="005E78D8">
              <w:rPr>
                <w:rFonts w:asciiTheme="majorHAnsi" w:eastAsia="Times New Roman" w:hAnsiTheme="majorHAnsi" w:cstheme="majorHAnsi"/>
                <w:color w:val="000000"/>
                <w:sz w:val="20"/>
                <w:szCs w:val="20"/>
                <w:lang w:eastAsia="en-GB"/>
              </w:rPr>
              <w:t>increase the penetration of energy efficiency measures</w:t>
            </w:r>
            <w:r w:rsidR="00C22EF7" w:rsidRPr="005E78D8">
              <w:rPr>
                <w:rFonts w:asciiTheme="majorHAnsi" w:eastAsia="Times New Roman" w:hAnsiTheme="majorHAnsi" w:cstheme="majorHAnsi"/>
                <w:color w:val="000000"/>
                <w:sz w:val="20"/>
                <w:szCs w:val="20"/>
                <w:lang w:eastAsia="en-GB"/>
              </w:rPr>
              <w:t xml:space="preserve"> </w:t>
            </w:r>
            <w:r w:rsidR="00B871B6" w:rsidRPr="005E78D8">
              <w:rPr>
                <w:rFonts w:asciiTheme="majorHAnsi" w:eastAsia="Times New Roman" w:hAnsiTheme="majorHAnsi" w:cstheme="majorHAnsi"/>
                <w:color w:val="000000"/>
                <w:sz w:val="20"/>
                <w:szCs w:val="20"/>
                <w:lang w:eastAsia="en-GB"/>
              </w:rPr>
              <w:t>and mitigate social and economic consequences of decarbonisation.</w:t>
            </w:r>
            <w:r w:rsidRPr="005E78D8">
              <w:rPr>
                <w:rFonts w:asciiTheme="majorHAnsi" w:eastAsia="Times New Roman" w:hAnsiTheme="majorHAnsi" w:cstheme="majorHAnsi"/>
                <w:color w:val="000000"/>
                <w:sz w:val="20"/>
                <w:szCs w:val="20"/>
                <w:lang w:eastAsia="en-GB"/>
              </w:rPr>
              <w:t xml:space="preserve"> The establishment of a mechanism on carbon pricing </w:t>
            </w:r>
            <w:r w:rsidR="00652A21" w:rsidRPr="005E78D8">
              <w:rPr>
                <w:rFonts w:asciiTheme="majorHAnsi" w:eastAsia="Times New Roman" w:hAnsiTheme="majorHAnsi" w:cstheme="majorHAnsi"/>
                <w:color w:val="000000"/>
                <w:sz w:val="20"/>
                <w:szCs w:val="20"/>
                <w:lang w:eastAsia="en-GB"/>
              </w:rPr>
              <w:t xml:space="preserve">will </w:t>
            </w:r>
            <w:r w:rsidR="00B871B6" w:rsidRPr="005E78D8">
              <w:rPr>
                <w:rFonts w:asciiTheme="majorHAnsi" w:eastAsia="Times New Roman" w:hAnsiTheme="majorHAnsi" w:cstheme="majorHAnsi"/>
                <w:color w:val="000000"/>
                <w:sz w:val="20"/>
                <w:szCs w:val="20"/>
                <w:lang w:eastAsia="en-GB"/>
              </w:rPr>
              <w:t>decrease or eliminate</w:t>
            </w:r>
            <w:r w:rsidR="00652A21" w:rsidRPr="005E78D8">
              <w:rPr>
                <w:rFonts w:asciiTheme="majorHAnsi" w:eastAsia="Times New Roman" w:hAnsiTheme="majorHAnsi" w:cstheme="majorHAnsi"/>
                <w:color w:val="000000"/>
                <w:sz w:val="20"/>
                <w:szCs w:val="20"/>
                <w:lang w:eastAsia="en-GB"/>
              </w:rPr>
              <w:t xml:space="preserve"> co</w:t>
            </w:r>
            <w:r w:rsidR="00B871B6" w:rsidRPr="005E78D8">
              <w:rPr>
                <w:rFonts w:asciiTheme="majorHAnsi" w:eastAsia="Times New Roman" w:hAnsiTheme="majorHAnsi" w:cstheme="majorHAnsi"/>
                <w:color w:val="000000"/>
                <w:sz w:val="20"/>
                <w:szCs w:val="20"/>
                <w:lang w:eastAsia="en-GB"/>
              </w:rPr>
              <w:t xml:space="preserve">sts </w:t>
            </w:r>
            <w:r w:rsidR="00652A21" w:rsidRPr="005E78D8">
              <w:rPr>
                <w:rFonts w:asciiTheme="majorHAnsi" w:eastAsia="Times New Roman" w:hAnsiTheme="majorHAnsi" w:cstheme="majorHAnsi"/>
                <w:color w:val="000000"/>
                <w:sz w:val="20"/>
                <w:szCs w:val="20"/>
                <w:lang w:eastAsia="en-GB"/>
              </w:rPr>
              <w:t xml:space="preserve">of </w:t>
            </w:r>
            <w:r w:rsidRPr="005E78D8">
              <w:rPr>
                <w:rFonts w:asciiTheme="majorHAnsi" w:eastAsia="Times New Roman" w:hAnsiTheme="majorHAnsi" w:cstheme="majorHAnsi"/>
                <w:color w:val="000000"/>
                <w:sz w:val="20"/>
                <w:szCs w:val="20"/>
                <w:lang w:eastAsia="en-GB"/>
              </w:rPr>
              <w:t>implementation of the EU Carbon Border Adjustment Mechanism, which entered into force in its transitional phase as of 1 October 2023.</w:t>
            </w:r>
          </w:p>
        </w:tc>
      </w:tr>
      <w:tr w:rsidR="00136E1C" w:rsidRPr="00A33AE8" w14:paraId="432EE5CA"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30453197"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698C3735" w14:textId="77777777" w:rsidR="00136E1C" w:rsidRPr="00A33AE8" w:rsidRDefault="005B5808"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136E1C" w:rsidRPr="00A33AE8">
              <w:rPr>
                <w:rFonts w:asciiTheme="majorHAnsi" w:eastAsia="Times New Roman" w:hAnsiTheme="majorHAnsi" w:cstheme="majorHAnsi"/>
                <w:color w:val="000000"/>
                <w:sz w:val="20"/>
                <w:szCs w:val="20"/>
                <w:lang w:eastAsia="en-GB"/>
              </w:rPr>
              <w:t>-2030</w:t>
            </w:r>
            <w:r w:rsidR="00B91663" w:rsidRPr="00A33AE8">
              <w:rPr>
                <w:rFonts w:asciiTheme="majorHAnsi" w:eastAsia="Times New Roman" w:hAnsiTheme="majorHAnsi" w:cstheme="majorHAnsi"/>
                <w:color w:val="000000"/>
                <w:sz w:val="20"/>
                <w:szCs w:val="20"/>
                <w:lang w:eastAsia="en-GB"/>
              </w:rPr>
              <w:t xml:space="preserve"> including the preparation period</w:t>
            </w:r>
          </w:p>
        </w:tc>
      </w:tr>
      <w:tr w:rsidR="00136E1C" w:rsidRPr="00A33AE8" w14:paraId="09BA5FD8"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793241AF"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180EC579" w14:textId="77777777" w:rsidR="00136E1C" w:rsidRPr="00A33AE8" w:rsidRDefault="00136E1C"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136E1C" w:rsidRPr="00A33AE8" w14:paraId="261961ED"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4DFB8D60"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466B86A6" w14:textId="77777777" w:rsidR="00136E1C" w:rsidRPr="00A33AE8" w:rsidRDefault="00136E1C"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723D73">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136E1C" w:rsidRPr="00A33AE8" w14:paraId="7A9412D2"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36CE8FD9"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2D714E00" w14:textId="77777777" w:rsidR="00136E1C" w:rsidRPr="00A33AE8" w:rsidRDefault="00136E1C" w:rsidP="00884F3B">
            <w:pPr>
              <w:numPr>
                <w:ilvl w:val="0"/>
                <w:numId w:val="215"/>
              </w:numPr>
              <w:spacing w:after="0" w:line="240" w:lineRule="auto"/>
              <w:contextualSpacing/>
              <w:jc w:val="both"/>
              <w:rPr>
                <w:rFonts w:asciiTheme="majorHAnsi" w:eastAsia="Times New Roman" w:hAnsiTheme="majorHAnsi" w:cstheme="majorHAnsi"/>
                <w:color w:val="000000"/>
                <w:sz w:val="20"/>
                <w:szCs w:val="20"/>
                <w:lang w:eastAsia="en-GB"/>
              </w:rPr>
            </w:pPr>
          </w:p>
          <w:p w14:paraId="6ECA2B7E" w14:textId="77777777" w:rsidR="00136E1C" w:rsidRPr="00A33AE8" w:rsidRDefault="00136E1C" w:rsidP="00884F3B">
            <w:pPr>
              <w:numPr>
                <w:ilvl w:val="0"/>
                <w:numId w:val="215"/>
              </w:numPr>
              <w:spacing w:after="0" w:line="240" w:lineRule="auto"/>
              <w:contextualSpacing/>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w:t>
            </w:r>
            <w:r w:rsidR="005B5808" w:rsidRPr="00A33AE8">
              <w:rPr>
                <w:rFonts w:asciiTheme="majorHAnsi" w:eastAsia="Times New Roman" w:hAnsiTheme="majorHAnsi" w:cstheme="majorHAnsi"/>
                <w:color w:val="000000"/>
                <w:sz w:val="20"/>
                <w:szCs w:val="20"/>
                <w:lang w:eastAsia="en-GB"/>
              </w:rPr>
              <w:t>Finance</w:t>
            </w:r>
          </w:p>
          <w:p w14:paraId="5CF36447" w14:textId="77777777" w:rsidR="005B5808" w:rsidRDefault="005B5808" w:rsidP="00884F3B">
            <w:pPr>
              <w:numPr>
                <w:ilvl w:val="0"/>
                <w:numId w:val="215"/>
              </w:numPr>
              <w:spacing w:after="0" w:line="240" w:lineRule="auto"/>
              <w:contextualSpacing/>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005ADA07" w14:textId="77777777" w:rsidR="008B5719" w:rsidRPr="00A33AE8" w:rsidRDefault="008B5719" w:rsidP="00884F3B">
            <w:pPr>
              <w:numPr>
                <w:ilvl w:val="0"/>
                <w:numId w:val="215"/>
              </w:numPr>
              <w:spacing w:after="0" w:line="240" w:lineRule="auto"/>
              <w:contextualSpacing/>
              <w:jc w:val="both"/>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Ministry of Environmental Protection</w:t>
            </w:r>
          </w:p>
          <w:p w14:paraId="386AF70A" w14:textId="77777777" w:rsidR="00136E1C" w:rsidRPr="00A33AE8" w:rsidRDefault="00136E1C" w:rsidP="00884F3B">
            <w:pPr>
              <w:numPr>
                <w:ilvl w:val="0"/>
                <w:numId w:val="215"/>
              </w:numPr>
              <w:spacing w:after="0" w:line="240" w:lineRule="auto"/>
              <w:contextualSpacing/>
              <w:jc w:val="both"/>
              <w:rPr>
                <w:rFonts w:asciiTheme="majorHAnsi" w:eastAsia="Times New Roman" w:hAnsiTheme="majorHAnsi" w:cstheme="majorHAnsi"/>
                <w:color w:val="000000"/>
                <w:sz w:val="20"/>
                <w:szCs w:val="20"/>
                <w:lang w:eastAsia="en-GB"/>
              </w:rPr>
            </w:pPr>
          </w:p>
        </w:tc>
      </w:tr>
      <w:tr w:rsidR="00136E1C" w:rsidRPr="00A33AE8" w14:paraId="141E73C2" w14:textId="77777777" w:rsidTr="006904D8">
        <w:trPr>
          <w:trHeight w:val="315"/>
        </w:trPr>
        <w:tc>
          <w:tcPr>
            <w:tcW w:w="3402" w:type="dxa"/>
            <w:tcBorders>
              <w:top w:val="nil"/>
              <w:left w:val="single" w:sz="8" w:space="0" w:color="auto"/>
              <w:bottom w:val="single" w:sz="8" w:space="0" w:color="auto"/>
              <w:right w:val="nil"/>
            </w:tcBorders>
            <w:shd w:val="clear" w:color="000000" w:fill="244062"/>
            <w:vAlign w:val="center"/>
            <w:hideMark/>
          </w:tcPr>
          <w:p w14:paraId="1DA308DD"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1297C275" w14:textId="77777777" w:rsidR="005B5808" w:rsidRPr="00A33AE8" w:rsidRDefault="005B5808" w:rsidP="00884F3B">
            <w:pPr>
              <w:pStyle w:val="ListParagraph"/>
              <w:numPr>
                <w:ilvl w:val="0"/>
                <w:numId w:val="215"/>
              </w:numPr>
              <w:spacing w:after="0"/>
              <w:ind w:left="714" w:hanging="357"/>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630BB082" w14:textId="77777777" w:rsidR="00136E1C" w:rsidRPr="00A33AE8" w:rsidRDefault="00136E1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527F594C" w14:textId="77777777" w:rsidR="00136E1C" w:rsidRDefault="00136E1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A918BED" w14:textId="77777777" w:rsidR="004F1682" w:rsidRDefault="004F1682"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Public utility companies</w:t>
            </w:r>
          </w:p>
          <w:p w14:paraId="3CB202B3" w14:textId="77777777" w:rsidR="004F1682" w:rsidRPr="00A33AE8" w:rsidRDefault="004F1682"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Private investors</w:t>
            </w:r>
          </w:p>
        </w:tc>
      </w:tr>
      <w:tr w:rsidR="00136E1C" w:rsidRPr="00A33AE8" w14:paraId="636290E3" w14:textId="77777777" w:rsidTr="006904D8">
        <w:trPr>
          <w:trHeight w:val="315"/>
        </w:trPr>
        <w:tc>
          <w:tcPr>
            <w:tcW w:w="3402" w:type="dxa"/>
            <w:tcBorders>
              <w:top w:val="nil"/>
              <w:left w:val="single" w:sz="8" w:space="0" w:color="auto"/>
              <w:bottom w:val="single" w:sz="8" w:space="0" w:color="auto"/>
              <w:right w:val="nil"/>
            </w:tcBorders>
            <w:shd w:val="clear" w:color="000000" w:fill="244062"/>
            <w:vAlign w:val="center"/>
            <w:hideMark/>
          </w:tcPr>
          <w:p w14:paraId="6F4B8E13"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40965C5F" w14:textId="77777777" w:rsidR="00136E1C" w:rsidRPr="00A33AE8" w:rsidRDefault="00136E1C"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p>
        </w:tc>
      </w:tr>
      <w:tr w:rsidR="00136E1C" w:rsidRPr="00A33AE8" w14:paraId="64F2DEB1" w14:textId="77777777" w:rsidTr="006904D8">
        <w:trPr>
          <w:trHeight w:val="561"/>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575D2F47"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78" w:type="dxa"/>
            <w:gridSpan w:val="3"/>
            <w:tcBorders>
              <w:top w:val="single" w:sz="8" w:space="0" w:color="auto"/>
              <w:left w:val="nil"/>
              <w:bottom w:val="single" w:sz="8" w:space="0" w:color="auto"/>
              <w:right w:val="single" w:sz="8" w:space="0" w:color="000000"/>
            </w:tcBorders>
            <w:shd w:val="clear" w:color="auto" w:fill="auto"/>
            <w:vAlign w:val="center"/>
          </w:tcPr>
          <w:p w14:paraId="2CEB9654" w14:textId="77777777" w:rsidR="00136E1C" w:rsidRPr="00A33AE8" w:rsidRDefault="00136E1C" w:rsidP="000B7C3A">
            <w:pPr>
              <w:spacing w:after="0" w:line="240" w:lineRule="auto"/>
              <w:rPr>
                <w:rFonts w:asciiTheme="majorHAnsi" w:eastAsia="Times New Roman" w:hAnsiTheme="majorHAnsi" w:cstheme="majorHAnsi"/>
                <w:color w:val="000000"/>
                <w:sz w:val="20"/>
                <w:szCs w:val="20"/>
                <w:lang w:eastAsia="en-GB"/>
              </w:rPr>
            </w:pPr>
          </w:p>
        </w:tc>
      </w:tr>
      <w:tr w:rsidR="007625E1" w:rsidRPr="00A33AE8" w14:paraId="601FAFDE" w14:textId="77777777" w:rsidTr="006904D8">
        <w:trPr>
          <w:trHeight w:val="450"/>
        </w:trPr>
        <w:tc>
          <w:tcPr>
            <w:tcW w:w="3402" w:type="dxa"/>
            <w:tcBorders>
              <w:top w:val="nil"/>
              <w:left w:val="single" w:sz="8" w:space="0" w:color="auto"/>
              <w:bottom w:val="single" w:sz="8" w:space="0" w:color="000000"/>
              <w:right w:val="single" w:sz="8" w:space="0" w:color="auto"/>
            </w:tcBorders>
            <w:shd w:val="clear" w:color="000000" w:fill="244062"/>
            <w:vAlign w:val="center"/>
            <w:hideMark/>
          </w:tcPr>
          <w:p w14:paraId="545625C2"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78" w:type="dxa"/>
            <w:gridSpan w:val="3"/>
            <w:tcBorders>
              <w:top w:val="single" w:sz="8" w:space="0" w:color="auto"/>
              <w:left w:val="single" w:sz="8" w:space="0" w:color="auto"/>
              <w:bottom w:val="single" w:sz="8" w:space="0" w:color="000000"/>
              <w:right w:val="single" w:sz="8" w:space="0" w:color="000000"/>
            </w:tcBorders>
            <w:shd w:val="clear" w:color="auto" w:fill="auto"/>
            <w:vAlign w:val="center"/>
            <w:hideMark/>
          </w:tcPr>
          <w:p w14:paraId="20D68100" w14:textId="777CE021" w:rsidR="00136E1C" w:rsidRPr="00A33AE8" w:rsidRDefault="00136E1C" w:rsidP="00884F3B">
            <w:pPr>
              <w:numPr>
                <w:ilvl w:val="0"/>
                <w:numId w:val="179"/>
              </w:numPr>
              <w:spacing w:after="0" w:line="240" w:lineRule="auto"/>
              <w:contextualSpacing/>
              <w:rPr>
                <w:rFonts w:asciiTheme="majorHAnsi" w:eastAsia="Times New Roman" w:hAnsiTheme="majorHAnsi" w:cstheme="majorHAnsi"/>
                <w:color w:val="000000"/>
                <w:sz w:val="20"/>
                <w:szCs w:val="20"/>
                <w:lang w:eastAsia="en-GB"/>
              </w:rPr>
            </w:pPr>
          </w:p>
        </w:tc>
      </w:tr>
      <w:tr w:rsidR="005B7A9D" w:rsidRPr="00A33AE8" w14:paraId="46D0DB50" w14:textId="77777777" w:rsidTr="006904D8">
        <w:trPr>
          <w:trHeight w:val="297"/>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1BC4B432" w14:textId="77777777" w:rsidR="005B7A9D" w:rsidRPr="00A33AE8" w:rsidRDefault="005B7A9D"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6441AE84" w14:textId="77777777" w:rsidR="005B7A9D" w:rsidRPr="00A33AE8" w:rsidRDefault="005B7A9D" w:rsidP="00884F3B">
            <w:pPr>
              <w:numPr>
                <w:ilvl w:val="0"/>
                <w:numId w:val="109"/>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r>
      <w:tr w:rsidR="00136E1C" w:rsidRPr="00A33AE8" w14:paraId="5C2BC418"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557A7257"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78" w:type="dxa"/>
            <w:gridSpan w:val="3"/>
            <w:tcBorders>
              <w:top w:val="single" w:sz="8" w:space="0" w:color="auto"/>
              <w:left w:val="nil"/>
              <w:bottom w:val="single" w:sz="8" w:space="0" w:color="auto"/>
              <w:right w:val="single" w:sz="8" w:space="0" w:color="000000"/>
            </w:tcBorders>
            <w:shd w:val="clear" w:color="auto" w:fill="auto"/>
            <w:vAlign w:val="center"/>
          </w:tcPr>
          <w:p w14:paraId="55814B1F" w14:textId="77777777" w:rsidR="00136E1C" w:rsidRPr="00A33AE8" w:rsidRDefault="00B744C0" w:rsidP="000B7C3A">
            <w:pPr>
              <w:spacing w:after="0" w:line="240" w:lineRule="auto"/>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 xml:space="preserve">0.2 </w:t>
            </w:r>
            <w:r w:rsidRPr="00B744C0">
              <w:rPr>
                <w:rFonts w:asciiTheme="majorHAnsi" w:eastAsia="Times New Roman" w:hAnsiTheme="majorHAnsi" w:cstheme="majorHAnsi"/>
                <w:color w:val="000000"/>
                <w:sz w:val="20"/>
                <w:szCs w:val="20"/>
                <w:lang w:eastAsia="en-GB"/>
              </w:rPr>
              <w:t>M€</w:t>
            </w:r>
          </w:p>
        </w:tc>
      </w:tr>
      <w:tr w:rsidR="00136E1C" w:rsidRPr="00A33AE8" w14:paraId="3ED35254" w14:textId="77777777" w:rsidTr="006904D8">
        <w:trPr>
          <w:trHeight w:val="315"/>
        </w:trPr>
        <w:tc>
          <w:tcPr>
            <w:tcW w:w="3402" w:type="dxa"/>
            <w:tcBorders>
              <w:top w:val="nil"/>
              <w:left w:val="single" w:sz="8" w:space="0" w:color="auto"/>
              <w:bottom w:val="single" w:sz="8" w:space="0" w:color="auto"/>
              <w:right w:val="single" w:sz="8" w:space="0" w:color="auto"/>
            </w:tcBorders>
            <w:shd w:val="clear" w:color="000000" w:fill="244062"/>
            <w:vAlign w:val="center"/>
            <w:hideMark/>
          </w:tcPr>
          <w:p w14:paraId="160EB2C6" w14:textId="77777777" w:rsidR="00136E1C" w:rsidRPr="00A33AE8" w:rsidRDefault="00136E1C"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78" w:type="dxa"/>
            <w:gridSpan w:val="3"/>
            <w:tcBorders>
              <w:top w:val="single" w:sz="8" w:space="0" w:color="auto"/>
              <w:left w:val="nil"/>
              <w:bottom w:val="single" w:sz="8" w:space="0" w:color="auto"/>
              <w:right w:val="single" w:sz="8" w:space="0" w:color="000000"/>
            </w:tcBorders>
            <w:shd w:val="clear" w:color="auto" w:fill="auto"/>
            <w:vAlign w:val="center"/>
            <w:hideMark/>
          </w:tcPr>
          <w:p w14:paraId="4CED188A" w14:textId="77777777" w:rsidR="00136E1C" w:rsidRPr="00A33AE8" w:rsidRDefault="00136E1C"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 and other funds, public funds</w:t>
            </w:r>
          </w:p>
        </w:tc>
      </w:tr>
    </w:tbl>
    <w:p w14:paraId="4C0A4572" w14:textId="77777777" w:rsidR="00136E1C" w:rsidRPr="00A33AE8" w:rsidRDefault="00136E1C" w:rsidP="00EF77E4">
      <w:pPr>
        <w:jc w:val="both"/>
        <w:rPr>
          <w:rFonts w:asciiTheme="majorHAnsi" w:hAnsiTheme="majorHAnsi" w:cstheme="majorHAnsi"/>
        </w:rPr>
      </w:pPr>
    </w:p>
    <w:tbl>
      <w:tblPr>
        <w:tblW w:w="9680" w:type="dxa"/>
        <w:tblLook w:val="04A0" w:firstRow="1" w:lastRow="0" w:firstColumn="1" w:lastColumn="0" w:noHBand="0" w:noVBand="1"/>
      </w:tblPr>
      <w:tblGrid>
        <w:gridCol w:w="3323"/>
        <w:gridCol w:w="951"/>
        <w:gridCol w:w="945"/>
        <w:gridCol w:w="4239"/>
        <w:gridCol w:w="222"/>
      </w:tblGrid>
      <w:tr w:rsidR="00137874" w:rsidRPr="00A33AE8" w14:paraId="65A77D67" w14:textId="77777777" w:rsidTr="006769DA">
        <w:trPr>
          <w:trHeight w:val="349"/>
        </w:trPr>
        <w:tc>
          <w:tcPr>
            <w:tcW w:w="332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116F397" w14:textId="77777777" w:rsidR="00137874" w:rsidRPr="00A33AE8" w:rsidRDefault="0013787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288BC525" w14:textId="77777777" w:rsidR="00137874" w:rsidRPr="00A33AE8" w:rsidRDefault="00137874" w:rsidP="00136E1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w:t>
            </w:r>
            <w:r w:rsidR="00136E1C" w:rsidRPr="00A33AE8">
              <w:rPr>
                <w:rFonts w:ascii="Calibri Light" w:eastAsia="Times New Roman" w:hAnsi="Calibri Light" w:cs="Calibri Light"/>
                <w:b/>
                <w:bCs/>
                <w:color w:val="000000"/>
                <w:sz w:val="20"/>
                <w:szCs w:val="20"/>
                <w:lang w:eastAsia="en-GB"/>
              </w:rPr>
              <w:t>2</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1516D564"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9" w:type="dxa"/>
            <w:gridSpan w:val="2"/>
            <w:tcBorders>
              <w:top w:val="single" w:sz="8" w:space="0" w:color="auto"/>
              <w:left w:val="nil"/>
              <w:bottom w:val="single" w:sz="8" w:space="0" w:color="auto"/>
              <w:right w:val="single" w:sz="8" w:space="0" w:color="auto"/>
            </w:tcBorders>
            <w:shd w:val="clear" w:color="auto" w:fill="E7E6E6" w:themeFill="background2"/>
            <w:vAlign w:val="center"/>
            <w:hideMark/>
          </w:tcPr>
          <w:p w14:paraId="2805129B" w14:textId="77777777" w:rsidR="00137874" w:rsidRPr="00A33AE8" w:rsidRDefault="007A0A9C" w:rsidP="006769DA">
            <w:pPr>
              <w:spacing w:after="0" w:line="240" w:lineRule="auto"/>
              <w:jc w:val="both"/>
              <w:rPr>
                <w:rFonts w:ascii="Calibri Light" w:eastAsia="Times New Roman" w:hAnsi="Calibri Light" w:cs="Calibri Light"/>
                <w:b/>
                <w:bCs/>
                <w:color w:val="000000"/>
                <w:sz w:val="20"/>
                <w:szCs w:val="20"/>
                <w:lang w:eastAsia="en-GB"/>
              </w:rPr>
            </w:pPr>
            <w:r>
              <w:rPr>
                <w:rFonts w:ascii="Calibri Light" w:eastAsia="Times New Roman" w:hAnsi="Calibri Light" w:cs="Calibri Light"/>
                <w:b/>
                <w:bCs/>
                <w:color w:val="000000"/>
                <w:sz w:val="20"/>
                <w:szCs w:val="20"/>
                <w:lang w:eastAsia="en-GB"/>
              </w:rPr>
              <w:t>M</w:t>
            </w:r>
            <w:r w:rsidR="00137874" w:rsidRPr="00A33AE8">
              <w:rPr>
                <w:rFonts w:ascii="Calibri Light" w:eastAsia="Times New Roman" w:hAnsi="Calibri Light" w:cs="Calibri Light"/>
                <w:b/>
                <w:bCs/>
                <w:color w:val="000000"/>
                <w:sz w:val="20"/>
                <w:szCs w:val="20"/>
                <w:lang w:eastAsia="en-GB"/>
              </w:rPr>
              <w:t xml:space="preserve">onitoring </w:t>
            </w:r>
            <w:r>
              <w:rPr>
                <w:rFonts w:ascii="Calibri Light" w:eastAsia="Times New Roman" w:hAnsi="Calibri Light" w:cs="Calibri Light"/>
                <w:b/>
                <w:bCs/>
                <w:color w:val="000000"/>
                <w:sz w:val="20"/>
                <w:szCs w:val="20"/>
                <w:lang w:eastAsia="en-GB"/>
              </w:rPr>
              <w:t xml:space="preserve">and revision </w:t>
            </w:r>
            <w:r w:rsidR="00137874" w:rsidRPr="00A33AE8">
              <w:rPr>
                <w:rFonts w:ascii="Calibri Light" w:eastAsia="Times New Roman" w:hAnsi="Calibri Light" w:cs="Calibri Light"/>
                <w:b/>
                <w:bCs/>
                <w:color w:val="000000"/>
                <w:sz w:val="20"/>
                <w:szCs w:val="20"/>
                <w:lang w:eastAsia="en-GB"/>
              </w:rPr>
              <w:t>of the Low-carbon Development Strategy</w:t>
            </w:r>
            <w:r w:rsidR="009263B4">
              <w:rPr>
                <w:rFonts w:ascii="Calibri Light" w:eastAsia="Times New Roman" w:hAnsi="Calibri Light" w:cs="Calibri Light"/>
                <w:b/>
                <w:bCs/>
                <w:color w:val="000000"/>
                <w:sz w:val="20"/>
                <w:szCs w:val="20"/>
                <w:lang w:eastAsia="en-GB"/>
              </w:rPr>
              <w:t xml:space="preserve"> </w:t>
            </w:r>
            <w:r w:rsidR="009263B4" w:rsidRPr="009263B4">
              <w:rPr>
                <w:rFonts w:ascii="Calibri Light" w:eastAsia="Times New Roman" w:hAnsi="Calibri Light" w:cs="Calibri Light"/>
                <w:b/>
                <w:bCs/>
                <w:color w:val="000000"/>
                <w:sz w:val="20"/>
                <w:szCs w:val="20"/>
                <w:lang w:eastAsia="en-GB"/>
              </w:rPr>
              <w:t>and implementation of the Climate Change Adaptation Programme with Action Plan</w:t>
            </w:r>
          </w:p>
        </w:tc>
      </w:tr>
      <w:tr w:rsidR="00137874" w:rsidRPr="00A33AE8" w14:paraId="460E19BC" w14:textId="77777777" w:rsidTr="00CB008F">
        <w:trPr>
          <w:trHeight w:val="271"/>
        </w:trPr>
        <w:tc>
          <w:tcPr>
            <w:tcW w:w="3323" w:type="dxa"/>
            <w:tcBorders>
              <w:top w:val="nil"/>
              <w:left w:val="single" w:sz="8" w:space="0" w:color="auto"/>
              <w:bottom w:val="single" w:sz="8" w:space="0" w:color="auto"/>
              <w:right w:val="nil"/>
            </w:tcBorders>
            <w:shd w:val="clear" w:color="000000" w:fill="244062"/>
            <w:vAlign w:val="center"/>
            <w:hideMark/>
          </w:tcPr>
          <w:p w14:paraId="6582C1FD"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5" w:type="dxa"/>
            <w:gridSpan w:val="4"/>
            <w:tcBorders>
              <w:top w:val="single" w:sz="8" w:space="0" w:color="auto"/>
              <w:left w:val="nil"/>
              <w:bottom w:val="single" w:sz="8" w:space="0" w:color="auto"/>
              <w:right w:val="single" w:sz="8" w:space="0" w:color="000000"/>
            </w:tcBorders>
            <w:shd w:val="clear" w:color="auto" w:fill="auto"/>
            <w:vAlign w:val="center"/>
            <w:hideMark/>
          </w:tcPr>
          <w:p w14:paraId="6459047D" w14:textId="77777777" w:rsidR="00137874" w:rsidRPr="00A33AE8" w:rsidRDefault="00137874" w:rsidP="006769DA">
            <w:pPr>
              <w:spacing w:after="0" w:line="240" w:lineRule="auto"/>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Carbon emissions reduction</w:t>
            </w:r>
          </w:p>
        </w:tc>
      </w:tr>
      <w:tr w:rsidR="00137874" w:rsidRPr="00A33AE8" w14:paraId="21025676"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25FE1179"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5" w:type="dxa"/>
            <w:gridSpan w:val="4"/>
            <w:tcBorders>
              <w:top w:val="single" w:sz="8" w:space="0" w:color="auto"/>
              <w:left w:val="nil"/>
              <w:bottom w:val="single" w:sz="8" w:space="0" w:color="auto"/>
              <w:right w:val="single" w:sz="8" w:space="0" w:color="000000"/>
            </w:tcBorders>
            <w:shd w:val="clear" w:color="auto" w:fill="auto"/>
            <w:vAlign w:val="center"/>
          </w:tcPr>
          <w:p w14:paraId="1EF11012" w14:textId="77777777" w:rsidR="00137874" w:rsidRPr="00A33AE8" w:rsidRDefault="005B5808" w:rsidP="00136E1C">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Contribution to the objective of reduction of GHG emissions by 33.3% (without LULUCF) by 2030 compared to 1990 levels</w:t>
            </w:r>
          </w:p>
        </w:tc>
      </w:tr>
      <w:tr w:rsidR="00137874" w:rsidRPr="00A33AE8" w14:paraId="7ECB119F" w14:textId="77777777" w:rsidTr="000007D2">
        <w:trPr>
          <w:trHeight w:val="1447"/>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71BBB120"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5" w:type="dxa"/>
            <w:gridSpan w:val="4"/>
            <w:tcBorders>
              <w:top w:val="single" w:sz="8" w:space="0" w:color="auto"/>
              <w:left w:val="nil"/>
              <w:bottom w:val="single" w:sz="8" w:space="0" w:color="auto"/>
              <w:right w:val="single" w:sz="8" w:space="0" w:color="000000"/>
            </w:tcBorders>
            <w:shd w:val="clear" w:color="auto" w:fill="auto"/>
            <w:vAlign w:val="center"/>
            <w:hideMark/>
          </w:tcPr>
          <w:p w14:paraId="488704AC" w14:textId="77777777" w:rsidR="00137874" w:rsidRPr="00A33AE8" w:rsidRDefault="00137874"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w:t>
            </w:r>
            <w:r w:rsidR="001D14E7" w:rsidRPr="00A33AE8">
              <w:rPr>
                <w:rFonts w:asciiTheme="majorHAnsi" w:eastAsia="Times New Roman" w:hAnsiTheme="majorHAnsi" w:cstheme="majorHAnsi"/>
                <w:color w:val="000000"/>
                <w:sz w:val="20"/>
                <w:szCs w:val="20"/>
                <w:lang w:eastAsia="en-GB"/>
              </w:rPr>
              <w:t>D</w:t>
            </w:r>
            <w:r w:rsidR="001D14E7" w:rsidRPr="000007D2">
              <w:rPr>
                <w:rFonts w:asciiTheme="majorHAnsi" w:eastAsia="Times New Roman" w:hAnsiTheme="majorHAnsi" w:cstheme="majorHAnsi"/>
                <w:color w:val="000000"/>
                <w:sz w:val="20"/>
                <w:szCs w:val="20"/>
                <w:lang w:eastAsia="en-GB"/>
              </w:rPr>
              <w:t>2</w:t>
            </w:r>
            <w:r w:rsidR="001D14E7"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 xml:space="preserve">will facilitate the process of monitoring </w:t>
            </w:r>
            <w:r w:rsidR="007A0A9C">
              <w:rPr>
                <w:rFonts w:asciiTheme="majorHAnsi" w:eastAsia="Times New Roman" w:hAnsiTheme="majorHAnsi" w:cstheme="majorHAnsi"/>
                <w:color w:val="000000"/>
                <w:sz w:val="20"/>
                <w:szCs w:val="20"/>
                <w:lang w:eastAsia="en-GB"/>
              </w:rPr>
              <w:t xml:space="preserve">and revision of </w:t>
            </w:r>
            <w:r w:rsidRPr="00A33AE8">
              <w:rPr>
                <w:rFonts w:asciiTheme="majorHAnsi" w:eastAsia="Times New Roman" w:hAnsiTheme="majorHAnsi" w:cstheme="majorHAnsi"/>
                <w:color w:val="000000"/>
                <w:sz w:val="20"/>
                <w:szCs w:val="20"/>
                <w:lang w:eastAsia="en-GB"/>
              </w:rPr>
              <w:t xml:space="preserve">the adopted </w:t>
            </w:r>
            <w:r w:rsidR="005B5808" w:rsidRPr="00A33AE8">
              <w:rPr>
                <w:rFonts w:asciiTheme="majorHAnsi" w:eastAsia="Times New Roman" w:hAnsiTheme="majorHAnsi" w:cstheme="majorHAnsi"/>
                <w:color w:val="000000"/>
                <w:sz w:val="20"/>
                <w:szCs w:val="20"/>
                <w:lang w:eastAsia="en-GB"/>
              </w:rPr>
              <w:t>Low</w:t>
            </w:r>
            <w:r w:rsidRPr="00A33AE8">
              <w:rPr>
                <w:rFonts w:asciiTheme="majorHAnsi" w:eastAsia="Times New Roman" w:hAnsiTheme="majorHAnsi" w:cstheme="majorHAnsi"/>
                <w:color w:val="000000"/>
                <w:sz w:val="20"/>
                <w:szCs w:val="20"/>
                <w:lang w:eastAsia="en-GB"/>
              </w:rPr>
              <w:t>-</w:t>
            </w:r>
            <w:r w:rsidR="005B5808" w:rsidRPr="00A33AE8">
              <w:rPr>
                <w:rFonts w:asciiTheme="majorHAnsi" w:eastAsia="Times New Roman" w:hAnsiTheme="majorHAnsi" w:cstheme="majorHAnsi"/>
                <w:color w:val="000000"/>
                <w:sz w:val="20"/>
                <w:szCs w:val="20"/>
                <w:lang w:eastAsia="en-GB"/>
              </w:rPr>
              <w:t>Carbon Development Strategy, taking into account its main goals that are the fulfilment of obligations under the Paris Agreement and the proposal of recommendations for the alignment of Serbia’s GHG emissions pathway to the EU’s in an affordable and social way.</w:t>
            </w:r>
            <w:r w:rsidR="009263B4">
              <w:rPr>
                <w:rFonts w:asciiTheme="majorHAnsi" w:eastAsia="Times New Roman" w:hAnsiTheme="majorHAnsi" w:cstheme="majorHAnsi"/>
                <w:color w:val="000000"/>
                <w:sz w:val="20"/>
                <w:szCs w:val="20"/>
                <w:lang w:eastAsia="en-GB"/>
              </w:rPr>
              <w:t xml:space="preserve"> </w:t>
            </w:r>
            <w:r w:rsidR="009263B4" w:rsidRPr="009263B4">
              <w:rPr>
                <w:rFonts w:asciiTheme="majorHAnsi" w:eastAsia="Times New Roman" w:hAnsiTheme="majorHAnsi" w:cstheme="majorHAnsi"/>
                <w:color w:val="000000"/>
                <w:sz w:val="20"/>
                <w:szCs w:val="20"/>
                <w:lang w:eastAsia="en-GB"/>
              </w:rPr>
              <w:t>In addition, according to the Climate Change Law, Serbia will complete and implement the Climate Change Adaptation Programme with Action Plan, which will specify the general objectives, identify the sectors most affected by climate change, and measures to adapt to changed climate conditions within the framework set by the United Nations Convention on Climate Change, EU directives and international experience.</w:t>
            </w:r>
            <w:r w:rsidR="003C1300">
              <w:t xml:space="preserve"> </w:t>
            </w:r>
            <w:r w:rsidR="003C1300" w:rsidRPr="003C1300">
              <w:rPr>
                <w:rFonts w:asciiTheme="majorHAnsi" w:eastAsia="Times New Roman" w:hAnsiTheme="majorHAnsi" w:cstheme="majorHAnsi"/>
                <w:color w:val="000000"/>
                <w:sz w:val="20"/>
                <w:szCs w:val="20"/>
                <w:lang w:eastAsia="en-GB"/>
              </w:rPr>
              <w:t xml:space="preserve">In addition, adaptation measures envisaged for implementation at state level should also be planned and implemented at local level. It is necessary to strengthen institutions that will implement activities at local level and generally monitor and supervise the </w:t>
            </w:r>
            <w:r w:rsidR="003C1300" w:rsidRPr="003C1300">
              <w:rPr>
                <w:rFonts w:asciiTheme="majorHAnsi" w:eastAsia="Times New Roman" w:hAnsiTheme="majorHAnsi" w:cstheme="majorHAnsi"/>
                <w:color w:val="000000"/>
                <w:sz w:val="20"/>
                <w:szCs w:val="20"/>
                <w:lang w:eastAsia="en-GB"/>
              </w:rPr>
              <w:lastRenderedPageBreak/>
              <w:t>implementation of these local plans, projects, etc. in the field of energy and climate.</w:t>
            </w:r>
          </w:p>
        </w:tc>
      </w:tr>
      <w:tr w:rsidR="00137874" w:rsidRPr="00A33AE8" w14:paraId="25B8F1AA"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F700A7B"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35" w:type="dxa"/>
            <w:gridSpan w:val="4"/>
            <w:tcBorders>
              <w:top w:val="single" w:sz="8" w:space="0" w:color="auto"/>
              <w:left w:val="nil"/>
              <w:bottom w:val="single" w:sz="8" w:space="0" w:color="auto"/>
              <w:right w:val="single" w:sz="8" w:space="0" w:color="000000"/>
            </w:tcBorders>
            <w:shd w:val="clear" w:color="auto" w:fill="auto"/>
            <w:vAlign w:val="center"/>
            <w:hideMark/>
          </w:tcPr>
          <w:p w14:paraId="184EE521" w14:textId="77777777" w:rsidR="00137874" w:rsidRPr="00A33AE8" w:rsidRDefault="005B5808" w:rsidP="00136E1C">
            <w:p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olor w:val="000000"/>
                <w:sz w:val="20"/>
              </w:rPr>
              <w:t>2023</w:t>
            </w:r>
            <w:r w:rsidR="00137874" w:rsidRPr="00A33AE8">
              <w:rPr>
                <w:rFonts w:asciiTheme="majorHAnsi" w:hAnsiTheme="majorHAnsi"/>
                <w:color w:val="000000"/>
                <w:sz w:val="20"/>
              </w:rPr>
              <w:t>-</w:t>
            </w:r>
            <w:r w:rsidR="00137874" w:rsidRPr="00A33AE8">
              <w:rPr>
                <w:rFonts w:asciiTheme="majorHAnsi" w:eastAsia="Times New Roman" w:hAnsiTheme="majorHAnsi" w:cstheme="majorHAnsi"/>
                <w:color w:val="000000"/>
                <w:sz w:val="20"/>
                <w:szCs w:val="20"/>
                <w:lang w:eastAsia="en-GB"/>
              </w:rPr>
              <w:t>2030</w:t>
            </w:r>
          </w:p>
        </w:tc>
      </w:tr>
      <w:tr w:rsidR="00137874" w:rsidRPr="00A33AE8" w14:paraId="7FA11D86"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31BD5F5"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5" w:type="dxa"/>
            <w:gridSpan w:val="4"/>
            <w:tcBorders>
              <w:top w:val="single" w:sz="8" w:space="0" w:color="auto"/>
              <w:left w:val="nil"/>
              <w:bottom w:val="single" w:sz="8" w:space="0" w:color="auto"/>
              <w:right w:val="single" w:sz="8" w:space="0" w:color="000000"/>
            </w:tcBorders>
            <w:shd w:val="clear" w:color="auto" w:fill="auto"/>
            <w:vAlign w:val="center"/>
            <w:hideMark/>
          </w:tcPr>
          <w:p w14:paraId="1DEBF19F" w14:textId="77777777" w:rsidR="00137874" w:rsidRPr="00A33AE8" w:rsidRDefault="00BA3B67"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137874" w:rsidRPr="00A33AE8" w14:paraId="4F65E1AD"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2F6A9CB"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5" w:type="dxa"/>
            <w:gridSpan w:val="4"/>
            <w:tcBorders>
              <w:top w:val="single" w:sz="8" w:space="0" w:color="auto"/>
              <w:left w:val="nil"/>
              <w:bottom w:val="single" w:sz="8" w:space="0" w:color="auto"/>
              <w:right w:val="single" w:sz="8" w:space="0" w:color="000000"/>
            </w:tcBorders>
            <w:shd w:val="clear" w:color="auto" w:fill="auto"/>
            <w:vAlign w:val="center"/>
            <w:hideMark/>
          </w:tcPr>
          <w:p w14:paraId="2BDCC45D"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723D73">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137874" w:rsidRPr="00A33AE8" w14:paraId="4DFF5418"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128F850A"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5" w:type="dxa"/>
            <w:gridSpan w:val="4"/>
            <w:tcBorders>
              <w:top w:val="single" w:sz="8" w:space="0" w:color="auto"/>
              <w:left w:val="nil"/>
              <w:bottom w:val="single" w:sz="8" w:space="0" w:color="auto"/>
              <w:right w:val="single" w:sz="8" w:space="0" w:color="000000"/>
            </w:tcBorders>
            <w:shd w:val="clear" w:color="auto" w:fill="auto"/>
            <w:vAlign w:val="center"/>
            <w:hideMark/>
          </w:tcPr>
          <w:p w14:paraId="26EF8649" w14:textId="77777777" w:rsidR="00137874" w:rsidRPr="00A33AE8" w:rsidRDefault="00137874" w:rsidP="00884F3B">
            <w:pPr>
              <w:pStyle w:val="ListParagraph"/>
              <w:numPr>
                <w:ilvl w:val="0"/>
                <w:numId w:val="2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137874" w:rsidRPr="00A33AE8" w14:paraId="78737375" w14:textId="77777777" w:rsidTr="006769DA">
        <w:trPr>
          <w:gridAfter w:val="1"/>
          <w:wAfter w:w="222" w:type="dxa"/>
          <w:trHeight w:val="315"/>
        </w:trPr>
        <w:tc>
          <w:tcPr>
            <w:tcW w:w="3323" w:type="dxa"/>
            <w:tcBorders>
              <w:top w:val="nil"/>
              <w:left w:val="single" w:sz="8" w:space="0" w:color="auto"/>
              <w:bottom w:val="single" w:sz="8" w:space="0" w:color="auto"/>
              <w:right w:val="nil"/>
            </w:tcBorders>
            <w:shd w:val="clear" w:color="000000" w:fill="244062"/>
            <w:vAlign w:val="center"/>
            <w:hideMark/>
          </w:tcPr>
          <w:p w14:paraId="5749F1B0"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4AC9C607" w14:textId="77777777" w:rsidR="00137874" w:rsidRPr="00A33AE8" w:rsidRDefault="00137874" w:rsidP="00884F3B">
            <w:pPr>
              <w:pStyle w:val="ListParagraph"/>
              <w:numPr>
                <w:ilvl w:val="0"/>
                <w:numId w:val="21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39BED342" w14:textId="77777777" w:rsidR="00137874" w:rsidRDefault="00137874" w:rsidP="00884F3B">
            <w:pPr>
              <w:pStyle w:val="ListParagraph"/>
              <w:numPr>
                <w:ilvl w:val="0"/>
                <w:numId w:val="21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8BB6736" w14:textId="77777777" w:rsidR="008B5719" w:rsidRPr="00A33AE8" w:rsidRDefault="008B5719" w:rsidP="00884F3B">
            <w:pPr>
              <w:pStyle w:val="ListParagraph"/>
              <w:numPr>
                <w:ilvl w:val="0"/>
                <w:numId w:val="215"/>
              </w:numPr>
              <w:spacing w:after="0" w:line="240" w:lineRule="auto"/>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Other relevant institutions</w:t>
            </w:r>
          </w:p>
        </w:tc>
      </w:tr>
      <w:tr w:rsidR="00137874" w:rsidRPr="00A33AE8" w14:paraId="759F8001" w14:textId="77777777" w:rsidTr="006769DA">
        <w:trPr>
          <w:gridAfter w:val="1"/>
          <w:wAfter w:w="222" w:type="dxa"/>
          <w:trHeight w:val="315"/>
        </w:trPr>
        <w:tc>
          <w:tcPr>
            <w:tcW w:w="3323" w:type="dxa"/>
            <w:tcBorders>
              <w:top w:val="nil"/>
              <w:left w:val="single" w:sz="8" w:space="0" w:color="auto"/>
              <w:bottom w:val="single" w:sz="8" w:space="0" w:color="auto"/>
              <w:right w:val="nil"/>
            </w:tcBorders>
            <w:shd w:val="clear" w:color="000000" w:fill="244062"/>
            <w:vAlign w:val="center"/>
            <w:hideMark/>
          </w:tcPr>
          <w:p w14:paraId="00213E7A"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16668240"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p>
        </w:tc>
      </w:tr>
      <w:tr w:rsidR="00137874" w:rsidRPr="00A33AE8" w14:paraId="28C0EEF7" w14:textId="77777777" w:rsidTr="006769DA">
        <w:trPr>
          <w:gridAfter w:val="1"/>
          <w:wAfter w:w="222" w:type="dxa"/>
          <w:trHeight w:val="561"/>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02FE9BC3" w14:textId="77777777" w:rsidR="00137874" w:rsidRPr="00A33AE8" w:rsidRDefault="0003331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w:t>
            </w:r>
            <w:r w:rsidR="00137874" w:rsidRPr="00A33AE8">
              <w:rPr>
                <w:rFonts w:ascii="Calibri Light" w:eastAsia="Times New Roman" w:hAnsi="Calibri Light" w:cs="Calibri Light"/>
                <w:b/>
                <w:bCs/>
                <w:color w:val="FFFFFF"/>
                <w:sz w:val="20"/>
                <w:szCs w:val="20"/>
                <w:lang w:eastAsia="en-GB"/>
              </w:rPr>
              <w:t>elevant Energy Union dimension(s) affected</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7CAA3505"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p>
        </w:tc>
      </w:tr>
      <w:tr w:rsidR="00137874" w:rsidRPr="00A33AE8" w14:paraId="0FBD0E29" w14:textId="77777777" w:rsidTr="006769DA">
        <w:trPr>
          <w:gridAfter w:val="1"/>
          <w:wAfter w:w="222" w:type="dxa"/>
          <w:trHeight w:val="450"/>
        </w:trPr>
        <w:tc>
          <w:tcPr>
            <w:tcW w:w="332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C9C44BD"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05B351" w14:textId="77777777" w:rsidR="00137874" w:rsidRPr="00A33AE8" w:rsidRDefault="005B5808" w:rsidP="00884F3B">
            <w:pPr>
              <w:pStyle w:val="ListParagraph"/>
              <w:numPr>
                <w:ilvl w:val="0"/>
                <w:numId w:val="17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2018/1999</w:t>
            </w:r>
          </w:p>
        </w:tc>
      </w:tr>
      <w:tr w:rsidR="00137874" w:rsidRPr="00A33AE8" w14:paraId="7BCB32EB" w14:textId="77777777" w:rsidTr="006769DA">
        <w:trPr>
          <w:trHeight w:val="300"/>
        </w:trPr>
        <w:tc>
          <w:tcPr>
            <w:tcW w:w="3323" w:type="dxa"/>
            <w:vMerge/>
            <w:tcBorders>
              <w:top w:val="nil"/>
              <w:left w:val="single" w:sz="8" w:space="0" w:color="auto"/>
              <w:bottom w:val="single" w:sz="8" w:space="0" w:color="000000"/>
              <w:right w:val="single" w:sz="8" w:space="0" w:color="auto"/>
            </w:tcBorders>
            <w:vAlign w:val="center"/>
            <w:hideMark/>
          </w:tcPr>
          <w:p w14:paraId="62D4E54D"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p>
        </w:tc>
        <w:tc>
          <w:tcPr>
            <w:tcW w:w="6135" w:type="dxa"/>
            <w:gridSpan w:val="3"/>
            <w:vMerge/>
            <w:tcBorders>
              <w:top w:val="single" w:sz="8" w:space="0" w:color="auto"/>
              <w:left w:val="single" w:sz="8" w:space="0" w:color="auto"/>
              <w:bottom w:val="single" w:sz="8" w:space="0" w:color="000000"/>
              <w:right w:val="single" w:sz="8" w:space="0" w:color="000000"/>
            </w:tcBorders>
            <w:vAlign w:val="center"/>
            <w:hideMark/>
          </w:tcPr>
          <w:p w14:paraId="1C6DB3D6"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798CBB2" w14:textId="77777777" w:rsidR="00137874" w:rsidRPr="00A33AE8" w:rsidRDefault="00137874" w:rsidP="006769DA">
            <w:pPr>
              <w:spacing w:after="0" w:line="240" w:lineRule="auto"/>
              <w:rPr>
                <w:rFonts w:ascii="Calibri Light" w:eastAsia="Times New Roman" w:hAnsi="Calibri Light" w:cs="Calibri Light"/>
                <w:color w:val="000000"/>
                <w:sz w:val="20"/>
                <w:szCs w:val="20"/>
                <w:lang w:eastAsia="en-GB"/>
              </w:rPr>
            </w:pPr>
          </w:p>
        </w:tc>
      </w:tr>
      <w:tr w:rsidR="00137874" w:rsidRPr="00A33AE8" w14:paraId="739B2448" w14:textId="77777777" w:rsidTr="006769DA">
        <w:trPr>
          <w:trHeight w:val="60"/>
        </w:trPr>
        <w:tc>
          <w:tcPr>
            <w:tcW w:w="3323" w:type="dxa"/>
            <w:vMerge/>
            <w:tcBorders>
              <w:top w:val="nil"/>
              <w:left w:val="single" w:sz="8" w:space="0" w:color="auto"/>
              <w:bottom w:val="single" w:sz="8" w:space="0" w:color="000000"/>
              <w:right w:val="single" w:sz="8" w:space="0" w:color="auto"/>
            </w:tcBorders>
            <w:vAlign w:val="center"/>
            <w:hideMark/>
          </w:tcPr>
          <w:p w14:paraId="3D6D579C"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p>
        </w:tc>
        <w:tc>
          <w:tcPr>
            <w:tcW w:w="6135" w:type="dxa"/>
            <w:gridSpan w:val="3"/>
            <w:vMerge/>
            <w:tcBorders>
              <w:top w:val="single" w:sz="8" w:space="0" w:color="auto"/>
              <w:left w:val="single" w:sz="8" w:space="0" w:color="auto"/>
              <w:bottom w:val="single" w:sz="8" w:space="0" w:color="000000"/>
              <w:right w:val="single" w:sz="8" w:space="0" w:color="000000"/>
            </w:tcBorders>
            <w:vAlign w:val="center"/>
            <w:hideMark/>
          </w:tcPr>
          <w:p w14:paraId="26C6C76D"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2DD6C93"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012020B0" w14:textId="77777777" w:rsidTr="006769DA">
        <w:trPr>
          <w:trHeight w:val="297"/>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21CBD90A"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24522A47" w14:textId="77777777" w:rsidR="007808ED" w:rsidRPr="000007D2" w:rsidRDefault="007808ED" w:rsidP="00884F3B">
            <w:pPr>
              <w:pStyle w:val="ListParagraph"/>
              <w:numPr>
                <w:ilvl w:val="0"/>
                <w:numId w:val="109"/>
              </w:numPr>
              <w:rPr>
                <w:rFonts w:asciiTheme="majorHAnsi" w:eastAsia="Times New Roman" w:hAnsiTheme="majorHAnsi" w:cstheme="majorHAnsi"/>
                <w:color w:val="000000"/>
                <w:sz w:val="20"/>
                <w:szCs w:val="20"/>
                <w:lang w:eastAsia="en-GB"/>
              </w:rPr>
            </w:pPr>
            <w:r w:rsidRPr="007808ED">
              <w:rPr>
                <w:rFonts w:asciiTheme="majorHAnsi" w:eastAsia="Times New Roman" w:hAnsiTheme="majorHAnsi" w:cstheme="majorHAnsi"/>
                <w:color w:val="000000"/>
                <w:sz w:val="20"/>
                <w:szCs w:val="20"/>
                <w:lang w:eastAsia="en-GB"/>
              </w:rPr>
              <w:t>Law on Climate Change</w:t>
            </w:r>
          </w:p>
          <w:p w14:paraId="7F2CB0DE" w14:textId="77777777" w:rsidR="00137874" w:rsidRPr="00A33AE8" w:rsidRDefault="005B5808"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708A34FF"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6EBC746C"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892B1C4"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3EBA7E07"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1.4 M€</w:t>
            </w:r>
          </w:p>
        </w:tc>
        <w:tc>
          <w:tcPr>
            <w:tcW w:w="222" w:type="dxa"/>
            <w:vAlign w:val="center"/>
          </w:tcPr>
          <w:p w14:paraId="13819EF9"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70A88F42"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ECB3564"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64CC155E"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BA3B67"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045CA167"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bl>
    <w:p w14:paraId="0D8CC294" w14:textId="77777777" w:rsidR="00137874" w:rsidRPr="00A33AE8" w:rsidRDefault="00137874" w:rsidP="00137874">
      <w:pPr>
        <w:pStyle w:val="LDKbody"/>
        <w:rPr>
          <w:lang w:val="en-GB"/>
        </w:rPr>
      </w:pPr>
    </w:p>
    <w:tbl>
      <w:tblPr>
        <w:tblW w:w="9680" w:type="dxa"/>
        <w:tblLook w:val="04A0" w:firstRow="1" w:lastRow="0" w:firstColumn="1" w:lastColumn="0" w:noHBand="0" w:noVBand="1"/>
      </w:tblPr>
      <w:tblGrid>
        <w:gridCol w:w="3330"/>
        <w:gridCol w:w="951"/>
        <w:gridCol w:w="946"/>
        <w:gridCol w:w="4231"/>
        <w:gridCol w:w="222"/>
      </w:tblGrid>
      <w:tr w:rsidR="00137874" w:rsidRPr="00A33AE8" w14:paraId="5CBEC6F8" w14:textId="77777777" w:rsidTr="006769DA">
        <w:trPr>
          <w:gridAfter w:val="1"/>
          <w:wAfter w:w="222" w:type="dxa"/>
          <w:trHeight w:val="421"/>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C1154F2" w14:textId="77777777" w:rsidR="00137874" w:rsidRPr="00A33AE8" w:rsidRDefault="0013787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6FF4B60E" w14:textId="77777777" w:rsidR="00137874" w:rsidRPr="00A33AE8" w:rsidRDefault="00137874" w:rsidP="00136E1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w:t>
            </w:r>
            <w:r w:rsidR="00136E1C" w:rsidRPr="00A33AE8">
              <w:rPr>
                <w:rFonts w:ascii="Calibri Light" w:eastAsia="Times New Roman" w:hAnsi="Calibri Light" w:cs="Calibri Light"/>
                <w:b/>
                <w:bCs/>
                <w:color w:val="000000"/>
                <w:sz w:val="20"/>
                <w:szCs w:val="20"/>
                <w:lang w:eastAsia="en-GB"/>
              </w:rPr>
              <w:t>3</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19F937E4"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1" w:type="dxa"/>
            <w:tcBorders>
              <w:top w:val="single" w:sz="8" w:space="0" w:color="auto"/>
              <w:left w:val="nil"/>
              <w:bottom w:val="single" w:sz="8" w:space="0" w:color="auto"/>
              <w:right w:val="single" w:sz="8" w:space="0" w:color="auto"/>
            </w:tcBorders>
            <w:shd w:val="clear" w:color="auto" w:fill="E7E6E6" w:themeFill="background2"/>
            <w:vAlign w:val="center"/>
            <w:hideMark/>
          </w:tcPr>
          <w:p w14:paraId="08E1E299" w14:textId="77777777" w:rsidR="00137874" w:rsidRPr="00A33AE8" w:rsidRDefault="00137874" w:rsidP="006769DA">
            <w:pPr>
              <w:spacing w:after="0" w:line="240" w:lineRule="auto"/>
              <w:rPr>
                <w:rFonts w:ascii="Times New Roman" w:hAnsi="Times New Roman" w:cs="Times New Roman"/>
                <w:sz w:val="24"/>
                <w:szCs w:val="24"/>
                <w:lang w:eastAsia="en-GB"/>
              </w:rPr>
            </w:pPr>
            <w:r w:rsidRPr="00A33AE8">
              <w:rPr>
                <w:rFonts w:ascii="Calibri Light" w:eastAsia="Times New Roman" w:hAnsi="Calibri Light" w:cs="Calibri Light"/>
                <w:b/>
                <w:bCs/>
                <w:color w:val="000000"/>
                <w:sz w:val="20"/>
                <w:szCs w:val="20"/>
                <w:lang w:eastAsia="en-GB"/>
              </w:rPr>
              <w:t>Promoting circular economy</w:t>
            </w:r>
          </w:p>
        </w:tc>
      </w:tr>
      <w:tr w:rsidR="00137874" w:rsidRPr="005B3685" w14:paraId="15CD6B23" w14:textId="77777777" w:rsidTr="006769DA">
        <w:trPr>
          <w:gridAfter w:val="1"/>
          <w:wAfter w:w="222" w:type="dxa"/>
          <w:trHeight w:val="474"/>
        </w:trPr>
        <w:tc>
          <w:tcPr>
            <w:tcW w:w="3330" w:type="dxa"/>
            <w:tcBorders>
              <w:top w:val="nil"/>
              <w:left w:val="single" w:sz="8" w:space="0" w:color="auto"/>
              <w:bottom w:val="single" w:sz="8" w:space="0" w:color="auto"/>
              <w:right w:val="nil"/>
            </w:tcBorders>
            <w:shd w:val="clear" w:color="000000" w:fill="244062"/>
            <w:vAlign w:val="center"/>
            <w:hideMark/>
          </w:tcPr>
          <w:p w14:paraId="1DE40B90"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09C4344"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GHG emissions reduction</w:t>
            </w:r>
          </w:p>
        </w:tc>
      </w:tr>
      <w:tr w:rsidR="00137874" w:rsidRPr="00A33AE8" w14:paraId="471DD54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0493D29E"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603B404" w14:textId="77777777" w:rsidR="00137874" w:rsidRPr="00A33AE8" w:rsidRDefault="005B5808"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Reduce GHG emissions in the waste sector by 13% by 2030, compared to 2010</w:t>
            </w:r>
          </w:p>
        </w:tc>
      </w:tr>
      <w:tr w:rsidR="00137874" w:rsidRPr="00A33AE8" w14:paraId="27B99298" w14:textId="77777777" w:rsidTr="006769DA">
        <w:trPr>
          <w:gridAfter w:val="1"/>
          <w:wAfter w:w="222" w:type="dxa"/>
          <w:trHeight w:val="229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E8B8D68"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ABCCAB7" w14:textId="77777777" w:rsidR="00137874" w:rsidRPr="00A33AE8" w:rsidRDefault="00137874" w:rsidP="006769DA">
            <w:pPr>
              <w:spacing w:after="0" w:line="240" w:lineRule="auto"/>
              <w:jc w:val="both"/>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PM_</w:t>
            </w:r>
            <w:r w:rsidR="005C53F3" w:rsidRPr="00A33AE8">
              <w:rPr>
                <w:rFonts w:asciiTheme="majorHAnsi" w:eastAsia="Times New Roman" w:hAnsiTheme="majorHAnsi" w:cstheme="majorHAnsi"/>
                <w:color w:val="000000"/>
                <w:sz w:val="20"/>
                <w:szCs w:val="20"/>
                <w:lang w:eastAsia="en-GB"/>
              </w:rPr>
              <w:t>D</w:t>
            </w:r>
            <w:r w:rsidR="005C53F3">
              <w:rPr>
                <w:rFonts w:asciiTheme="majorHAnsi" w:eastAsia="Times New Roman" w:hAnsiTheme="majorHAnsi" w:cstheme="majorHAnsi"/>
                <w:color w:val="000000"/>
                <w:sz w:val="20"/>
                <w:szCs w:val="20"/>
                <w:lang w:eastAsia="en-GB"/>
              </w:rPr>
              <w:t>3</w:t>
            </w:r>
            <w:r w:rsidR="005C53F3"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 xml:space="preserve">will promote actions in accordance </w:t>
            </w:r>
            <w:r w:rsidR="005B5808" w:rsidRPr="00A33AE8">
              <w:rPr>
                <w:rFonts w:asciiTheme="majorHAnsi" w:eastAsia="Times New Roman" w:hAnsiTheme="majorHAnsi" w:cstheme="majorHAnsi"/>
                <w:color w:val="000000"/>
                <w:sz w:val="20"/>
                <w:szCs w:val="20"/>
                <w:lang w:eastAsia="en-GB"/>
              </w:rPr>
              <w:t>with</w:t>
            </w:r>
            <w:r w:rsidRPr="00A33AE8">
              <w:rPr>
                <w:rFonts w:asciiTheme="majorHAnsi" w:eastAsia="Times New Roman" w:hAnsiTheme="majorHAnsi" w:cstheme="majorHAnsi"/>
                <w:color w:val="000000"/>
                <w:sz w:val="20"/>
                <w:szCs w:val="20"/>
                <w:lang w:eastAsia="en-GB"/>
              </w:rPr>
              <w:t xml:space="preserve"> the </w:t>
            </w:r>
            <w:r w:rsidR="005B5808" w:rsidRPr="00A33AE8">
              <w:rPr>
                <w:rFonts w:asciiTheme="majorHAnsi" w:eastAsia="Times New Roman" w:hAnsiTheme="majorHAnsi" w:cstheme="majorHAnsi"/>
                <w:color w:val="000000"/>
                <w:sz w:val="20"/>
                <w:szCs w:val="20"/>
                <w:lang w:eastAsia="en-GB"/>
              </w:rPr>
              <w:t>Circular economy development programme in the Republic of Serbia for the period 2022-2024</w:t>
            </w:r>
            <w:r w:rsidRPr="00A33AE8">
              <w:rPr>
                <w:rFonts w:asciiTheme="majorHAnsi" w:eastAsia="Times New Roman" w:hAnsiTheme="majorHAnsi" w:cstheme="majorHAnsi"/>
                <w:color w:val="000000"/>
                <w:sz w:val="20"/>
                <w:szCs w:val="20"/>
                <w:lang w:eastAsia="en-GB"/>
              </w:rPr>
              <w:t xml:space="preserve"> aiming at shifting to a circular pattern that can lead to a significant reduction in GHG emissions through recycling and reuse of materials, more efficient use of resources and more eco-friendly product design, as well as through the introduction of new ‘circular’ business models, especially in industry, transport and the built environment. A series of actions for the develop</w:t>
            </w:r>
            <w:r w:rsidR="00136E1C" w:rsidRPr="00A33AE8">
              <w:rPr>
                <w:rFonts w:asciiTheme="majorHAnsi" w:eastAsia="Times New Roman" w:hAnsiTheme="majorHAnsi" w:cstheme="majorHAnsi"/>
                <w:color w:val="000000"/>
                <w:sz w:val="20"/>
                <w:szCs w:val="20"/>
                <w:lang w:eastAsia="en-GB"/>
              </w:rPr>
              <w:t xml:space="preserve">ment of financial instruments, </w:t>
            </w:r>
            <w:r w:rsidRPr="00A33AE8">
              <w:rPr>
                <w:rFonts w:asciiTheme="majorHAnsi" w:eastAsia="Times New Roman" w:hAnsiTheme="majorHAnsi" w:cstheme="majorHAnsi"/>
                <w:color w:val="000000"/>
                <w:sz w:val="20"/>
                <w:szCs w:val="20"/>
                <w:lang w:eastAsia="en-GB"/>
              </w:rPr>
              <w:t>planning and establishment of a regulatory framework will also be examined.</w:t>
            </w:r>
          </w:p>
        </w:tc>
      </w:tr>
      <w:tr w:rsidR="00137874" w:rsidRPr="00A33AE8" w14:paraId="7F70BA6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53988F8"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B484AF7" w14:textId="77777777" w:rsidR="00137874" w:rsidRPr="00A33AE8" w:rsidRDefault="005B580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137874" w:rsidRPr="00A33AE8">
              <w:rPr>
                <w:rFonts w:asciiTheme="majorHAnsi" w:eastAsia="Times New Roman" w:hAnsiTheme="majorHAnsi" w:cstheme="majorHAnsi"/>
                <w:color w:val="000000"/>
                <w:sz w:val="20"/>
                <w:szCs w:val="20"/>
                <w:lang w:eastAsia="en-GB"/>
              </w:rPr>
              <w:t>-2030</w:t>
            </w:r>
          </w:p>
        </w:tc>
      </w:tr>
      <w:tr w:rsidR="00137874" w:rsidRPr="00A33AE8" w14:paraId="42D24B5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2ABBEA3"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1BD3621" w14:textId="77777777" w:rsidR="00137874" w:rsidRPr="00A33AE8" w:rsidRDefault="00136E1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Reform </w:t>
            </w:r>
          </w:p>
        </w:tc>
      </w:tr>
      <w:tr w:rsidR="00137874" w:rsidRPr="00A33AE8" w14:paraId="725F6A36"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8A0D053"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C64CED3"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723D73">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137874" w:rsidRPr="00A33AE8" w14:paraId="53CB68D8"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17A99AB"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7661F4B" w14:textId="77777777" w:rsidR="00137874" w:rsidRPr="00A33AE8" w:rsidRDefault="00137874" w:rsidP="00884F3B">
            <w:pPr>
              <w:pStyle w:val="ListParagraph"/>
              <w:numPr>
                <w:ilvl w:val="0"/>
                <w:numId w:val="10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137874" w:rsidRPr="00A33AE8" w14:paraId="521D705A"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3D821630"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29A029C"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2962E5FA"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Agency for Environmental Protection</w:t>
            </w:r>
          </w:p>
        </w:tc>
      </w:tr>
      <w:tr w:rsidR="00137874" w:rsidRPr="00A33AE8" w14:paraId="4E7B6D10"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4E6BFFF1"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04692D3"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emissions reduction (Gg CO2-eq)</w:t>
            </w:r>
          </w:p>
        </w:tc>
      </w:tr>
      <w:tr w:rsidR="006C6A30" w:rsidRPr="00A33AE8" w14:paraId="23219E26" w14:textId="77777777" w:rsidTr="006769DA">
        <w:trPr>
          <w:gridAfter w:val="1"/>
          <w:wAfter w:w="222" w:type="dxa"/>
          <w:trHeight w:val="621"/>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013D26E"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437CBB13"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137874" w:rsidRPr="00A33AE8" w14:paraId="657CCA94"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BBCCDE7"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33F64C" w14:textId="77777777" w:rsidR="00137874" w:rsidRPr="00A33AE8" w:rsidRDefault="005B5808" w:rsidP="00884F3B">
            <w:pPr>
              <w:pStyle w:val="ListParagraph"/>
              <w:numPr>
                <w:ilvl w:val="0"/>
                <w:numId w:val="10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2018/1999</w:t>
            </w:r>
          </w:p>
        </w:tc>
      </w:tr>
      <w:tr w:rsidR="00137874" w:rsidRPr="00A33AE8" w14:paraId="56B1676C"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7F746B1A"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303DAE65"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9582C89" w14:textId="77777777" w:rsidR="00137874" w:rsidRPr="00A33AE8" w:rsidRDefault="00137874" w:rsidP="006769DA">
            <w:pPr>
              <w:spacing w:after="0" w:line="240" w:lineRule="auto"/>
              <w:rPr>
                <w:rFonts w:ascii="Calibri Light" w:eastAsia="Times New Roman" w:hAnsi="Calibri Light" w:cs="Calibri Light"/>
                <w:color w:val="000000"/>
                <w:sz w:val="20"/>
                <w:szCs w:val="20"/>
                <w:lang w:eastAsia="en-GB"/>
              </w:rPr>
            </w:pPr>
          </w:p>
        </w:tc>
      </w:tr>
      <w:tr w:rsidR="00137874" w:rsidRPr="00A33AE8" w14:paraId="4999B465" w14:textId="77777777" w:rsidTr="006769DA">
        <w:trPr>
          <w:trHeight w:val="60"/>
        </w:trPr>
        <w:tc>
          <w:tcPr>
            <w:tcW w:w="3330" w:type="dxa"/>
            <w:vMerge/>
            <w:tcBorders>
              <w:top w:val="nil"/>
              <w:left w:val="single" w:sz="8" w:space="0" w:color="auto"/>
              <w:bottom w:val="single" w:sz="8" w:space="0" w:color="000000"/>
              <w:right w:val="single" w:sz="8" w:space="0" w:color="auto"/>
            </w:tcBorders>
            <w:vAlign w:val="center"/>
            <w:hideMark/>
          </w:tcPr>
          <w:p w14:paraId="6ED98A66"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2A9F6809"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066FA36"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227B4C21" w14:textId="77777777" w:rsidTr="006769DA">
        <w:trPr>
          <w:trHeight w:val="571"/>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8AA6B2C"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CDE40B7" w14:textId="77777777" w:rsidR="00927CCE" w:rsidRPr="00A33AE8" w:rsidRDefault="00927CCE" w:rsidP="00884F3B">
            <w:pPr>
              <w:pStyle w:val="ListParagraph"/>
              <w:numPr>
                <w:ilvl w:val="0"/>
                <w:numId w:val="19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Circular </w:t>
            </w:r>
            <w:r w:rsidR="00A54302" w:rsidRPr="00A33AE8">
              <w:rPr>
                <w:rFonts w:asciiTheme="majorHAnsi" w:eastAsia="Times New Roman" w:hAnsiTheme="majorHAnsi" w:cstheme="majorHAnsi"/>
                <w:color w:val="000000"/>
                <w:sz w:val="20"/>
                <w:szCs w:val="20"/>
                <w:lang w:eastAsia="en-GB"/>
              </w:rPr>
              <w:t>E</w:t>
            </w:r>
            <w:r w:rsidRPr="00A33AE8">
              <w:rPr>
                <w:rFonts w:asciiTheme="majorHAnsi" w:eastAsia="Times New Roman" w:hAnsiTheme="majorHAnsi" w:cstheme="majorHAnsi"/>
                <w:color w:val="000000"/>
                <w:sz w:val="20"/>
                <w:szCs w:val="20"/>
                <w:lang w:eastAsia="en-GB"/>
              </w:rPr>
              <w:t xml:space="preserve">conomy </w:t>
            </w:r>
            <w:r w:rsidR="00A54302" w:rsidRPr="00A33AE8">
              <w:rPr>
                <w:rFonts w:asciiTheme="majorHAnsi" w:eastAsia="Times New Roman" w:hAnsiTheme="majorHAnsi" w:cstheme="majorHAnsi"/>
                <w:color w:val="000000"/>
                <w:sz w:val="20"/>
                <w:szCs w:val="20"/>
                <w:lang w:eastAsia="en-GB"/>
              </w:rPr>
              <w:t>D</w:t>
            </w:r>
            <w:r w:rsidRPr="00A33AE8">
              <w:rPr>
                <w:rFonts w:asciiTheme="majorHAnsi" w:eastAsia="Times New Roman" w:hAnsiTheme="majorHAnsi" w:cstheme="majorHAnsi"/>
                <w:color w:val="000000"/>
                <w:sz w:val="20"/>
                <w:szCs w:val="20"/>
                <w:lang w:eastAsia="en-GB"/>
              </w:rPr>
              <w:t xml:space="preserve">evelopment </w:t>
            </w:r>
            <w:r w:rsidR="00A54302" w:rsidRPr="00A33AE8">
              <w:rPr>
                <w:rFonts w:asciiTheme="majorHAnsi" w:eastAsia="Times New Roman" w:hAnsiTheme="majorHAnsi" w:cstheme="majorHAnsi"/>
                <w:color w:val="000000"/>
                <w:sz w:val="20"/>
                <w:szCs w:val="20"/>
                <w:lang w:eastAsia="en-GB"/>
              </w:rPr>
              <w:t>P</w:t>
            </w:r>
            <w:r w:rsidRPr="00A33AE8">
              <w:rPr>
                <w:rFonts w:asciiTheme="majorHAnsi" w:eastAsia="Times New Roman" w:hAnsiTheme="majorHAnsi" w:cstheme="majorHAnsi"/>
                <w:color w:val="000000"/>
                <w:sz w:val="20"/>
                <w:szCs w:val="20"/>
                <w:lang w:eastAsia="en-GB"/>
              </w:rPr>
              <w:t xml:space="preserve">rogramme </w:t>
            </w:r>
            <w:r w:rsidR="00A54302" w:rsidRPr="00A33AE8">
              <w:rPr>
                <w:rFonts w:asciiTheme="majorHAnsi" w:eastAsia="Times New Roman" w:hAnsiTheme="majorHAnsi" w:cstheme="majorHAnsi"/>
                <w:color w:val="000000"/>
                <w:sz w:val="20"/>
                <w:szCs w:val="20"/>
                <w:lang w:eastAsia="en-GB"/>
              </w:rPr>
              <w:t xml:space="preserve">in the Republic of Serbia </w:t>
            </w:r>
            <w:r w:rsidRPr="00A33AE8">
              <w:rPr>
                <w:rFonts w:asciiTheme="majorHAnsi" w:eastAsia="Times New Roman" w:hAnsiTheme="majorHAnsi" w:cstheme="majorHAnsi"/>
                <w:color w:val="000000"/>
                <w:sz w:val="20"/>
                <w:szCs w:val="20"/>
                <w:lang w:eastAsia="en-GB"/>
              </w:rPr>
              <w:t>2022-2024</w:t>
            </w:r>
          </w:p>
          <w:p w14:paraId="65657C21" w14:textId="77777777" w:rsidR="00137874" w:rsidRPr="00A33AE8" w:rsidRDefault="00927CCE" w:rsidP="00884F3B">
            <w:pPr>
              <w:pStyle w:val="ListParagraph"/>
              <w:numPr>
                <w:ilvl w:val="0"/>
                <w:numId w:val="193"/>
              </w:numPr>
              <w:spacing w:after="0" w:line="240" w:lineRule="auto"/>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 xml:space="preserve">Waste Management Programme </w:t>
            </w:r>
            <w:r w:rsidR="00A54302" w:rsidRPr="00A33AE8">
              <w:rPr>
                <w:rFonts w:asciiTheme="majorHAnsi" w:eastAsia="Times New Roman" w:hAnsiTheme="majorHAnsi" w:cstheme="majorHAnsi"/>
                <w:color w:val="000000"/>
                <w:sz w:val="20"/>
                <w:szCs w:val="20"/>
                <w:lang w:eastAsia="en-GB"/>
              </w:rPr>
              <w:t xml:space="preserve">of the Republic of Serbia for the period </w:t>
            </w:r>
            <w:r w:rsidRPr="00A33AE8">
              <w:rPr>
                <w:rFonts w:asciiTheme="majorHAnsi" w:eastAsia="Times New Roman" w:hAnsiTheme="majorHAnsi" w:cstheme="majorHAnsi"/>
                <w:color w:val="000000"/>
                <w:sz w:val="20"/>
                <w:szCs w:val="20"/>
                <w:lang w:eastAsia="en-GB"/>
              </w:rPr>
              <w:t>2022-2031</w:t>
            </w:r>
          </w:p>
        </w:tc>
        <w:tc>
          <w:tcPr>
            <w:tcW w:w="222" w:type="dxa"/>
            <w:vAlign w:val="center"/>
            <w:hideMark/>
          </w:tcPr>
          <w:p w14:paraId="0157DB0E"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6CB07F45"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F244FA0"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F0F96F6"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4.5 M€</w:t>
            </w:r>
          </w:p>
        </w:tc>
        <w:tc>
          <w:tcPr>
            <w:tcW w:w="222" w:type="dxa"/>
            <w:vAlign w:val="center"/>
            <w:hideMark/>
          </w:tcPr>
          <w:p w14:paraId="741F37E7"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0B999601"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A0F58B3"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49CAB4C0"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BA3B67"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00850EE8"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bl>
    <w:p w14:paraId="1E1C4EED" w14:textId="77777777" w:rsidR="00137874" w:rsidRPr="00A33AE8" w:rsidRDefault="00137874" w:rsidP="00137874">
      <w:pPr>
        <w:pStyle w:val="LDKbody"/>
        <w:rPr>
          <w:lang w:val="en-GB"/>
        </w:rPr>
      </w:pPr>
    </w:p>
    <w:tbl>
      <w:tblPr>
        <w:tblW w:w="9680" w:type="dxa"/>
        <w:tblLook w:val="04A0" w:firstRow="1" w:lastRow="0" w:firstColumn="1" w:lastColumn="0" w:noHBand="0" w:noVBand="1"/>
      </w:tblPr>
      <w:tblGrid>
        <w:gridCol w:w="3311"/>
        <w:gridCol w:w="939"/>
        <w:gridCol w:w="942"/>
        <w:gridCol w:w="4211"/>
        <w:gridCol w:w="277"/>
      </w:tblGrid>
      <w:tr w:rsidR="00137874" w:rsidRPr="00A33AE8" w14:paraId="7401FF60" w14:textId="77777777" w:rsidTr="000007D2">
        <w:trPr>
          <w:gridAfter w:val="1"/>
          <w:wAfter w:w="277" w:type="dxa"/>
          <w:trHeight w:val="508"/>
        </w:trPr>
        <w:tc>
          <w:tcPr>
            <w:tcW w:w="331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F0C9FAB" w14:textId="77777777" w:rsidR="00137874" w:rsidRPr="00A33AE8" w:rsidRDefault="0013787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625642D7" w14:textId="77777777" w:rsidR="00137874" w:rsidRPr="00A33AE8" w:rsidRDefault="00137874" w:rsidP="00D70FC7">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w:t>
            </w:r>
            <w:r w:rsidR="00D70FC7" w:rsidRPr="00A33AE8">
              <w:rPr>
                <w:rFonts w:ascii="Calibri Light" w:eastAsia="Times New Roman" w:hAnsi="Calibri Light" w:cs="Calibri Light"/>
                <w:b/>
                <w:bCs/>
                <w:color w:val="000000"/>
                <w:sz w:val="20"/>
                <w:szCs w:val="20"/>
                <w:lang w:eastAsia="en-GB"/>
              </w:rPr>
              <w:t>4</w:t>
            </w:r>
          </w:p>
        </w:tc>
        <w:tc>
          <w:tcPr>
            <w:tcW w:w="942" w:type="dxa"/>
            <w:tcBorders>
              <w:top w:val="single" w:sz="8" w:space="0" w:color="auto"/>
              <w:left w:val="nil"/>
              <w:bottom w:val="single" w:sz="8" w:space="0" w:color="auto"/>
              <w:right w:val="single" w:sz="8" w:space="0" w:color="auto"/>
            </w:tcBorders>
            <w:shd w:val="clear" w:color="000000" w:fill="244062"/>
            <w:vAlign w:val="center"/>
            <w:hideMark/>
          </w:tcPr>
          <w:p w14:paraId="224F20DA"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0AC1081" w14:textId="77777777" w:rsidR="00137874" w:rsidRPr="00A33AE8" w:rsidRDefault="00137874" w:rsidP="006769DA">
            <w:pPr>
              <w:spacing w:after="0" w:line="240" w:lineRule="auto"/>
              <w:jc w:val="both"/>
              <w:rPr>
                <w:rFonts w:ascii="Times New Roman" w:hAnsi="Times New Roman" w:cs="Times New Roman"/>
                <w:sz w:val="24"/>
                <w:szCs w:val="24"/>
                <w:lang w:eastAsia="en-GB"/>
              </w:rPr>
            </w:pPr>
            <w:r w:rsidRPr="00A33AE8">
              <w:rPr>
                <w:rFonts w:ascii="Calibri Light" w:eastAsia="Times New Roman" w:hAnsi="Calibri Light" w:cs="Calibri Light"/>
                <w:b/>
                <w:bCs/>
                <w:color w:val="000000"/>
                <w:sz w:val="20"/>
                <w:szCs w:val="20"/>
                <w:lang w:eastAsia="en-GB"/>
              </w:rPr>
              <w:t xml:space="preserve">Organizing awareness campaigns for better information dissemination </w:t>
            </w:r>
            <w:r w:rsidR="00927CCE" w:rsidRPr="00A33AE8">
              <w:rPr>
                <w:rFonts w:ascii="Calibri Light" w:eastAsia="Times New Roman" w:hAnsi="Calibri Light" w:cs="Calibri Light"/>
                <w:b/>
                <w:bCs/>
                <w:color w:val="000000"/>
                <w:sz w:val="20"/>
                <w:szCs w:val="20"/>
                <w:lang w:eastAsia="en-GB"/>
              </w:rPr>
              <w:t>about climate change</w:t>
            </w:r>
          </w:p>
        </w:tc>
      </w:tr>
      <w:tr w:rsidR="00137874" w:rsidRPr="00A33AE8" w14:paraId="254186D0" w14:textId="77777777" w:rsidTr="000007D2">
        <w:trPr>
          <w:gridAfter w:val="1"/>
          <w:wAfter w:w="277" w:type="dxa"/>
          <w:trHeight w:val="402"/>
        </w:trPr>
        <w:tc>
          <w:tcPr>
            <w:tcW w:w="3311" w:type="dxa"/>
            <w:tcBorders>
              <w:top w:val="nil"/>
              <w:left w:val="single" w:sz="8" w:space="0" w:color="auto"/>
              <w:bottom w:val="single" w:sz="8" w:space="0" w:color="auto"/>
              <w:right w:val="nil"/>
            </w:tcBorders>
            <w:shd w:val="clear" w:color="000000" w:fill="244062"/>
            <w:vAlign w:val="center"/>
            <w:hideMark/>
          </w:tcPr>
          <w:p w14:paraId="0BAEEFE7"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5136254B"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GHG emissions reduction</w:t>
            </w:r>
          </w:p>
        </w:tc>
      </w:tr>
      <w:tr w:rsidR="00137874" w:rsidRPr="00A33AE8" w14:paraId="3CD6C095" w14:textId="77777777" w:rsidTr="000007D2">
        <w:trPr>
          <w:gridAfter w:val="1"/>
          <w:wAfter w:w="277"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DDDA7DC"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1B7D9C02" w14:textId="77777777" w:rsidR="00137874" w:rsidRPr="000007D2" w:rsidRDefault="00927CCE" w:rsidP="00D70FC7">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Contribution to the objective of reduction of GHG emissions by 33.3% (without LULUCF) by 2030 compared to 1990 levels</w:t>
            </w:r>
          </w:p>
        </w:tc>
      </w:tr>
      <w:tr w:rsidR="00137874" w:rsidRPr="00A33AE8" w14:paraId="1CD86FC5" w14:textId="77777777" w:rsidTr="000007D2">
        <w:trPr>
          <w:gridAfter w:val="1"/>
          <w:wAfter w:w="277" w:type="dxa"/>
          <w:trHeight w:val="1619"/>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5A6F564"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4120A7F6" w14:textId="77777777" w:rsidR="00137874" w:rsidRPr="00A33AE8" w:rsidRDefault="00137874"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w:t>
            </w:r>
            <w:r w:rsidR="001D14E7" w:rsidRPr="00A33AE8">
              <w:rPr>
                <w:rFonts w:asciiTheme="majorHAnsi" w:eastAsia="Times New Roman" w:hAnsiTheme="majorHAnsi" w:cstheme="majorHAnsi"/>
                <w:color w:val="000000"/>
                <w:sz w:val="20"/>
                <w:szCs w:val="20"/>
                <w:lang w:eastAsia="en-GB"/>
              </w:rPr>
              <w:t>D</w:t>
            </w:r>
            <w:r w:rsidR="001D14E7" w:rsidRPr="000007D2">
              <w:rPr>
                <w:rFonts w:asciiTheme="majorHAnsi" w:eastAsia="Times New Roman" w:hAnsiTheme="majorHAnsi" w:cstheme="majorHAnsi"/>
                <w:color w:val="000000"/>
                <w:sz w:val="20"/>
                <w:szCs w:val="20"/>
                <w:lang w:eastAsia="en-GB"/>
              </w:rPr>
              <w:t>4</w:t>
            </w:r>
            <w:r w:rsidR="001D14E7"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will promote the organisation of information and awareness-raising activities and consultations</w:t>
            </w:r>
            <w:r w:rsidR="003454DC" w:rsidRPr="00A33AE8">
              <w:rPr>
                <w:rFonts w:asciiTheme="majorHAnsi" w:eastAsia="Times New Roman" w:hAnsiTheme="majorHAnsi" w:cstheme="majorHAnsi"/>
                <w:color w:val="000000"/>
                <w:sz w:val="20"/>
                <w:szCs w:val="20"/>
                <w:lang w:eastAsia="en-GB"/>
              </w:rPr>
              <w:t xml:space="preserve"> about climate change</w:t>
            </w:r>
            <w:r w:rsidRPr="00A33AE8">
              <w:rPr>
                <w:rFonts w:asciiTheme="majorHAnsi" w:eastAsia="Times New Roman" w:hAnsiTheme="majorHAnsi" w:cstheme="majorHAnsi"/>
                <w:color w:val="000000"/>
                <w:sz w:val="20"/>
                <w:szCs w:val="20"/>
                <w:lang w:eastAsia="en-GB"/>
              </w:rPr>
              <w:t>. The</w:t>
            </w:r>
            <w:r w:rsidR="003375E1" w:rsidRPr="00A33AE8">
              <w:rPr>
                <w:rFonts w:asciiTheme="majorHAnsi" w:eastAsia="Times New Roman" w:hAnsiTheme="majorHAnsi" w:cstheme="majorHAnsi"/>
                <w:color w:val="000000"/>
                <w:sz w:val="20"/>
                <w:szCs w:val="20"/>
                <w:lang w:eastAsia="en-GB"/>
              </w:rPr>
              <w:t>s</w:t>
            </w:r>
            <w:r w:rsidRPr="00A33AE8">
              <w:rPr>
                <w:rFonts w:asciiTheme="majorHAnsi" w:eastAsia="Times New Roman" w:hAnsiTheme="majorHAnsi" w:cstheme="majorHAnsi"/>
                <w:color w:val="000000"/>
                <w:sz w:val="20"/>
                <w:szCs w:val="20"/>
                <w:lang w:eastAsia="en-GB"/>
              </w:rPr>
              <w:t>e will be focused on behavioural changing through initiatives in the areas of teaching, education and awareness raising, with particular attention being paid to the importance of raising awareness on the environmental impact of consumption and with the aim of motivating, stimulating</w:t>
            </w:r>
            <w:r w:rsidR="003454DC" w:rsidRPr="00A33AE8">
              <w:rPr>
                <w:rFonts w:asciiTheme="majorHAnsi" w:eastAsia="Times New Roman" w:hAnsiTheme="majorHAnsi" w:cstheme="majorHAnsi"/>
                <w:color w:val="000000"/>
                <w:sz w:val="20"/>
                <w:szCs w:val="20"/>
                <w:lang w:eastAsia="en-GB"/>
              </w:rPr>
              <w:t>,</w:t>
            </w:r>
            <w:r w:rsidRPr="00A33AE8">
              <w:rPr>
                <w:rFonts w:asciiTheme="majorHAnsi" w:eastAsia="Times New Roman" w:hAnsiTheme="majorHAnsi" w:cstheme="majorHAnsi"/>
                <w:color w:val="000000"/>
                <w:sz w:val="20"/>
                <w:szCs w:val="20"/>
                <w:lang w:eastAsia="en-GB"/>
              </w:rPr>
              <w:t xml:space="preserve"> and informing the public to change their behaviour and continue to engage. </w:t>
            </w:r>
            <w:r w:rsidR="003454DC" w:rsidRPr="00A33AE8">
              <w:rPr>
                <w:rFonts w:asciiTheme="majorHAnsi" w:eastAsia="Times New Roman" w:hAnsiTheme="majorHAnsi" w:cstheme="majorHAnsi"/>
                <w:color w:val="000000"/>
                <w:sz w:val="20"/>
                <w:szCs w:val="20"/>
                <w:lang w:eastAsia="en-GB"/>
              </w:rPr>
              <w:t>For instance, education of residents is necessary to reduce CH4 emissions from animal enteric fermentation, use of fertilizers, management of emissions from fertilizers, and to reduce emissions of nitrogen oxides from the soil. It is necessary to educate farmers for the use of harvest residues and residues from forestry for heating and meeting other energy needs in agriculture.</w:t>
            </w:r>
          </w:p>
        </w:tc>
      </w:tr>
      <w:tr w:rsidR="00137874" w:rsidRPr="00A33AE8" w14:paraId="35C44356" w14:textId="77777777" w:rsidTr="000007D2">
        <w:trPr>
          <w:gridAfter w:val="1"/>
          <w:wAfter w:w="277"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644A585"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028EA7B4" w14:textId="77777777" w:rsidR="00137874" w:rsidRPr="00A33AE8" w:rsidRDefault="003454D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137874" w:rsidRPr="00A33AE8">
              <w:rPr>
                <w:rFonts w:asciiTheme="majorHAnsi" w:eastAsia="Times New Roman" w:hAnsiTheme="majorHAnsi" w:cstheme="majorHAnsi"/>
                <w:color w:val="000000"/>
                <w:sz w:val="20"/>
                <w:szCs w:val="20"/>
                <w:lang w:eastAsia="en-GB"/>
              </w:rPr>
              <w:t>-2030</w:t>
            </w:r>
          </w:p>
        </w:tc>
      </w:tr>
      <w:tr w:rsidR="00137874" w:rsidRPr="00A33AE8" w14:paraId="176703AE" w14:textId="77777777" w:rsidTr="000007D2">
        <w:trPr>
          <w:gridAfter w:val="1"/>
          <w:wAfter w:w="277"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55814C2"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5F213123" w14:textId="77777777" w:rsidR="00137874" w:rsidRPr="000007D2" w:rsidRDefault="00D70FC7"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Reform</w:t>
            </w:r>
          </w:p>
        </w:tc>
      </w:tr>
      <w:tr w:rsidR="00137874" w:rsidRPr="00A33AE8" w14:paraId="386698E3" w14:textId="77777777" w:rsidTr="000007D2">
        <w:trPr>
          <w:gridAfter w:val="1"/>
          <w:wAfter w:w="277"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6604D644"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629CE769"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723D73">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137874" w:rsidRPr="00A33AE8" w14:paraId="2869D221" w14:textId="77777777" w:rsidTr="000007D2">
        <w:trPr>
          <w:gridAfter w:val="1"/>
          <w:wAfter w:w="277"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3040BF7"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5D4BD1DA" w14:textId="77777777" w:rsidR="00137874" w:rsidRPr="00A33AE8" w:rsidRDefault="00137874" w:rsidP="00884F3B">
            <w:pPr>
              <w:pStyle w:val="ListParagraph"/>
              <w:numPr>
                <w:ilvl w:val="0"/>
                <w:numId w:val="19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40BE9134" w14:textId="77777777" w:rsidR="003454DC" w:rsidRPr="00A33AE8" w:rsidRDefault="003454DC" w:rsidP="00884F3B">
            <w:pPr>
              <w:pStyle w:val="ListParagraph"/>
              <w:numPr>
                <w:ilvl w:val="0"/>
                <w:numId w:val="19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69D55F24" w14:textId="77777777" w:rsidR="003454DC" w:rsidRPr="00A33AE8" w:rsidRDefault="003454DC" w:rsidP="00884F3B">
            <w:pPr>
              <w:pStyle w:val="ListParagraph"/>
              <w:numPr>
                <w:ilvl w:val="0"/>
                <w:numId w:val="19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Labour, Employment, Veteran and Social Affairs</w:t>
            </w:r>
          </w:p>
          <w:p w14:paraId="39AFCD75" w14:textId="77777777" w:rsidR="003454DC" w:rsidRPr="00A33AE8" w:rsidRDefault="003454DC" w:rsidP="00884F3B">
            <w:pPr>
              <w:pStyle w:val="ListParagraph"/>
              <w:numPr>
                <w:ilvl w:val="0"/>
                <w:numId w:val="19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w:t>
            </w:r>
          </w:p>
        </w:tc>
      </w:tr>
      <w:tr w:rsidR="00137874" w:rsidRPr="00A33AE8" w14:paraId="2778BB88" w14:textId="77777777" w:rsidTr="000007D2">
        <w:trPr>
          <w:gridAfter w:val="1"/>
          <w:wAfter w:w="277"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7EAF008B"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1AB4DC6B" w14:textId="77777777" w:rsidR="00137874" w:rsidRPr="00A33AE8" w:rsidRDefault="00137874" w:rsidP="00884F3B">
            <w:pPr>
              <w:pStyle w:val="ListParagraph"/>
              <w:numPr>
                <w:ilvl w:val="0"/>
                <w:numId w:val="19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tc>
      </w:tr>
      <w:tr w:rsidR="00137874" w:rsidRPr="00A33AE8" w14:paraId="18B94140" w14:textId="77777777" w:rsidTr="000007D2">
        <w:trPr>
          <w:gridAfter w:val="1"/>
          <w:wAfter w:w="277"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5DBF0EE5"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05AB53C4" w14:textId="77777777" w:rsidR="00137874" w:rsidRPr="00A33AE8" w:rsidRDefault="003454D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Estimated mitigation impact by 2030 (Gg CO2-eq)</w:t>
            </w:r>
          </w:p>
        </w:tc>
      </w:tr>
      <w:tr w:rsidR="006C6A30" w:rsidRPr="00A33AE8" w14:paraId="0660F07B" w14:textId="77777777" w:rsidTr="000007D2">
        <w:trPr>
          <w:gridAfter w:val="1"/>
          <w:wAfter w:w="277" w:type="dxa"/>
          <w:trHeight w:val="301"/>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608ECD3"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092" w:type="dxa"/>
            <w:gridSpan w:val="3"/>
            <w:tcBorders>
              <w:top w:val="single" w:sz="8" w:space="0" w:color="auto"/>
              <w:left w:val="nil"/>
              <w:bottom w:val="single" w:sz="8" w:space="0" w:color="auto"/>
              <w:right w:val="single" w:sz="8" w:space="0" w:color="000000"/>
            </w:tcBorders>
            <w:shd w:val="clear" w:color="auto" w:fill="auto"/>
            <w:vAlign w:val="center"/>
          </w:tcPr>
          <w:p w14:paraId="6F721372"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137874" w:rsidRPr="00A33AE8" w14:paraId="5F6A241D" w14:textId="77777777" w:rsidTr="000007D2">
        <w:trPr>
          <w:gridAfter w:val="1"/>
          <w:wAfter w:w="277" w:type="dxa"/>
          <w:trHeight w:val="450"/>
        </w:trPr>
        <w:tc>
          <w:tcPr>
            <w:tcW w:w="331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FF66018"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09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9D16883" w14:textId="77777777" w:rsidR="00137874" w:rsidRPr="00A33AE8" w:rsidRDefault="00137874" w:rsidP="00884F3B">
            <w:pPr>
              <w:pStyle w:val="ListParagraph"/>
              <w:numPr>
                <w:ilvl w:val="0"/>
                <w:numId w:val="17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3454DC" w:rsidRPr="00A33AE8">
              <w:rPr>
                <w:rFonts w:asciiTheme="majorHAnsi" w:eastAsia="Times New Roman" w:hAnsiTheme="majorHAnsi" w:cstheme="majorHAnsi"/>
                <w:color w:val="000000"/>
                <w:sz w:val="20"/>
                <w:szCs w:val="20"/>
                <w:lang w:eastAsia="en-GB"/>
              </w:rPr>
              <w:t>2018/1999</w:t>
            </w:r>
          </w:p>
          <w:p w14:paraId="31A343BB"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p>
        </w:tc>
      </w:tr>
      <w:tr w:rsidR="00137874" w:rsidRPr="00A33AE8" w14:paraId="1B633578" w14:textId="77777777" w:rsidTr="000007D2">
        <w:trPr>
          <w:trHeight w:val="300"/>
        </w:trPr>
        <w:tc>
          <w:tcPr>
            <w:tcW w:w="3311" w:type="dxa"/>
            <w:vMerge/>
            <w:tcBorders>
              <w:top w:val="nil"/>
              <w:left w:val="single" w:sz="8" w:space="0" w:color="auto"/>
              <w:bottom w:val="single" w:sz="8" w:space="0" w:color="000000"/>
              <w:right w:val="single" w:sz="8" w:space="0" w:color="auto"/>
            </w:tcBorders>
            <w:vAlign w:val="center"/>
            <w:hideMark/>
          </w:tcPr>
          <w:p w14:paraId="05F85BCF"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p>
        </w:tc>
        <w:tc>
          <w:tcPr>
            <w:tcW w:w="6092" w:type="dxa"/>
            <w:gridSpan w:val="3"/>
            <w:vMerge/>
            <w:tcBorders>
              <w:top w:val="single" w:sz="8" w:space="0" w:color="auto"/>
              <w:left w:val="single" w:sz="8" w:space="0" w:color="auto"/>
              <w:bottom w:val="single" w:sz="8" w:space="0" w:color="000000"/>
              <w:right w:val="single" w:sz="8" w:space="0" w:color="000000"/>
            </w:tcBorders>
            <w:vAlign w:val="center"/>
            <w:hideMark/>
          </w:tcPr>
          <w:p w14:paraId="23E6BD90"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p>
        </w:tc>
        <w:tc>
          <w:tcPr>
            <w:tcW w:w="277" w:type="dxa"/>
            <w:tcBorders>
              <w:top w:val="nil"/>
              <w:left w:val="nil"/>
              <w:bottom w:val="nil"/>
              <w:right w:val="nil"/>
            </w:tcBorders>
            <w:shd w:val="clear" w:color="auto" w:fill="auto"/>
            <w:noWrap/>
            <w:vAlign w:val="bottom"/>
            <w:hideMark/>
          </w:tcPr>
          <w:p w14:paraId="6602FAFA" w14:textId="77777777" w:rsidR="00137874" w:rsidRPr="00A33AE8" w:rsidRDefault="00137874" w:rsidP="006769DA">
            <w:pPr>
              <w:spacing w:after="0" w:line="240" w:lineRule="auto"/>
              <w:rPr>
                <w:rFonts w:ascii="Calibri Light" w:eastAsia="Times New Roman" w:hAnsi="Calibri Light" w:cs="Calibri Light"/>
                <w:color w:val="000000"/>
                <w:sz w:val="20"/>
                <w:szCs w:val="20"/>
                <w:lang w:eastAsia="en-GB"/>
              </w:rPr>
            </w:pPr>
          </w:p>
        </w:tc>
      </w:tr>
      <w:tr w:rsidR="00137874" w:rsidRPr="00A33AE8" w14:paraId="6088C349" w14:textId="77777777" w:rsidTr="000007D2">
        <w:trPr>
          <w:trHeight w:val="60"/>
        </w:trPr>
        <w:tc>
          <w:tcPr>
            <w:tcW w:w="3311" w:type="dxa"/>
            <w:vMerge/>
            <w:tcBorders>
              <w:top w:val="nil"/>
              <w:left w:val="single" w:sz="8" w:space="0" w:color="auto"/>
              <w:bottom w:val="single" w:sz="8" w:space="0" w:color="000000"/>
              <w:right w:val="single" w:sz="8" w:space="0" w:color="auto"/>
            </w:tcBorders>
            <w:vAlign w:val="center"/>
            <w:hideMark/>
          </w:tcPr>
          <w:p w14:paraId="4806FE9B"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p>
        </w:tc>
        <w:tc>
          <w:tcPr>
            <w:tcW w:w="6092" w:type="dxa"/>
            <w:gridSpan w:val="3"/>
            <w:vMerge/>
            <w:tcBorders>
              <w:top w:val="single" w:sz="8" w:space="0" w:color="auto"/>
              <w:left w:val="single" w:sz="8" w:space="0" w:color="auto"/>
              <w:bottom w:val="single" w:sz="8" w:space="0" w:color="000000"/>
              <w:right w:val="single" w:sz="8" w:space="0" w:color="000000"/>
            </w:tcBorders>
            <w:vAlign w:val="center"/>
            <w:hideMark/>
          </w:tcPr>
          <w:p w14:paraId="4F625B1F" w14:textId="77777777" w:rsidR="00137874" w:rsidRPr="00A33AE8" w:rsidRDefault="00137874" w:rsidP="00884F3B">
            <w:pPr>
              <w:pStyle w:val="ListParagraph"/>
              <w:numPr>
                <w:ilvl w:val="0"/>
                <w:numId w:val="109"/>
              </w:numPr>
              <w:spacing w:after="0" w:line="240" w:lineRule="auto"/>
              <w:rPr>
                <w:rFonts w:asciiTheme="majorHAnsi" w:eastAsia="Times New Roman" w:hAnsiTheme="majorHAnsi" w:cstheme="majorHAnsi"/>
                <w:color w:val="000000"/>
                <w:sz w:val="20"/>
                <w:szCs w:val="20"/>
                <w:lang w:eastAsia="en-GB"/>
              </w:rPr>
            </w:pPr>
          </w:p>
        </w:tc>
        <w:tc>
          <w:tcPr>
            <w:tcW w:w="277" w:type="dxa"/>
            <w:tcBorders>
              <w:top w:val="nil"/>
              <w:left w:val="nil"/>
              <w:bottom w:val="nil"/>
              <w:right w:val="nil"/>
            </w:tcBorders>
            <w:shd w:val="clear" w:color="auto" w:fill="auto"/>
            <w:noWrap/>
            <w:vAlign w:val="bottom"/>
            <w:hideMark/>
          </w:tcPr>
          <w:p w14:paraId="0B4E93CD"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337877F7" w14:textId="77777777" w:rsidTr="000007D2">
        <w:trPr>
          <w:trHeight w:val="493"/>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79B8C0FA"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3FD02185" w14:textId="77777777" w:rsidR="00137874" w:rsidRPr="000007D2" w:rsidRDefault="003454DC" w:rsidP="00884F3B">
            <w:pPr>
              <w:pStyle w:val="ListParagraph"/>
              <w:numPr>
                <w:ilvl w:val="0"/>
                <w:numId w:val="17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77" w:type="dxa"/>
            <w:vAlign w:val="center"/>
            <w:hideMark/>
          </w:tcPr>
          <w:p w14:paraId="2EA2B7F8"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75B7DB80" w14:textId="77777777" w:rsidTr="000007D2">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2F9F1486"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04E331B3" w14:textId="77777777" w:rsidR="00137874" w:rsidRPr="000007D2" w:rsidRDefault="003454DC" w:rsidP="00D70FC7">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Under examination</w:t>
            </w:r>
          </w:p>
        </w:tc>
        <w:tc>
          <w:tcPr>
            <w:tcW w:w="277" w:type="dxa"/>
            <w:vAlign w:val="center"/>
            <w:hideMark/>
          </w:tcPr>
          <w:p w14:paraId="1AF64B6A"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r w:rsidR="00137874" w:rsidRPr="00A33AE8" w14:paraId="1E8A2F6E" w14:textId="77777777" w:rsidTr="000007D2">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296CADF8" w14:textId="77777777" w:rsidR="00137874" w:rsidRPr="00A33AE8" w:rsidRDefault="0013787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092" w:type="dxa"/>
            <w:gridSpan w:val="3"/>
            <w:tcBorders>
              <w:top w:val="single" w:sz="8" w:space="0" w:color="auto"/>
              <w:left w:val="nil"/>
              <w:bottom w:val="single" w:sz="8" w:space="0" w:color="auto"/>
              <w:right w:val="single" w:sz="8" w:space="0" w:color="000000"/>
            </w:tcBorders>
            <w:shd w:val="clear" w:color="auto" w:fill="auto"/>
            <w:vAlign w:val="center"/>
            <w:hideMark/>
          </w:tcPr>
          <w:p w14:paraId="495ACF4C" w14:textId="77777777" w:rsidR="00137874" w:rsidRPr="00A33AE8" w:rsidRDefault="00137874"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BA3B67" w:rsidRPr="00A33AE8">
              <w:rPr>
                <w:rFonts w:asciiTheme="majorHAnsi" w:eastAsia="Times New Roman" w:hAnsiTheme="majorHAnsi" w:cstheme="majorHAnsi"/>
                <w:color w:val="000000"/>
                <w:sz w:val="20"/>
                <w:szCs w:val="20"/>
                <w:lang w:eastAsia="en-GB"/>
              </w:rPr>
              <w:t>public funds</w:t>
            </w:r>
          </w:p>
        </w:tc>
        <w:tc>
          <w:tcPr>
            <w:tcW w:w="277" w:type="dxa"/>
            <w:vAlign w:val="center"/>
            <w:hideMark/>
          </w:tcPr>
          <w:p w14:paraId="3BCF6609" w14:textId="77777777" w:rsidR="00137874" w:rsidRPr="00A33AE8" w:rsidRDefault="00137874" w:rsidP="006769DA">
            <w:pPr>
              <w:spacing w:after="0" w:line="240" w:lineRule="auto"/>
              <w:rPr>
                <w:rFonts w:ascii="Times New Roman" w:eastAsia="Times New Roman" w:hAnsi="Times New Roman" w:cs="Times New Roman"/>
                <w:sz w:val="20"/>
                <w:szCs w:val="20"/>
                <w:lang w:eastAsia="en-GB"/>
              </w:rPr>
            </w:pPr>
          </w:p>
        </w:tc>
      </w:tr>
    </w:tbl>
    <w:p w14:paraId="364A3F5E" w14:textId="77777777" w:rsidR="00D70FC7" w:rsidRDefault="00D70FC7" w:rsidP="00EF77E4">
      <w:pPr>
        <w:spacing w:before="240"/>
        <w:jc w:val="both"/>
        <w:rPr>
          <w:rFonts w:asciiTheme="majorHAnsi" w:hAnsiTheme="majorHAnsi" w:cstheme="majorHAnsi"/>
          <w:b/>
          <w:bCs/>
          <w:color w:val="000000"/>
        </w:rPr>
      </w:pPr>
    </w:p>
    <w:p w14:paraId="596DB9A9" w14:textId="77777777" w:rsidR="001F4028" w:rsidRDefault="001F4028" w:rsidP="00EF77E4">
      <w:pPr>
        <w:spacing w:before="240"/>
        <w:jc w:val="both"/>
        <w:rPr>
          <w:rFonts w:asciiTheme="majorHAnsi" w:hAnsiTheme="majorHAnsi" w:cstheme="majorHAnsi"/>
          <w:b/>
          <w:bCs/>
          <w:color w:val="000000"/>
        </w:rPr>
      </w:pPr>
    </w:p>
    <w:p w14:paraId="6178714B" w14:textId="77777777" w:rsidR="001F4028" w:rsidRPr="00A33AE8" w:rsidRDefault="001F4028" w:rsidP="00EF77E4">
      <w:pPr>
        <w:spacing w:before="240"/>
        <w:jc w:val="both"/>
        <w:rPr>
          <w:rFonts w:asciiTheme="majorHAnsi" w:hAnsiTheme="majorHAnsi" w:cstheme="majorHAnsi"/>
          <w:b/>
          <w:bCs/>
          <w:color w:val="000000"/>
        </w:rPr>
      </w:pPr>
    </w:p>
    <w:tbl>
      <w:tblPr>
        <w:tblW w:w="9680" w:type="dxa"/>
        <w:tblInd w:w="-10" w:type="dxa"/>
        <w:tblLook w:val="04A0" w:firstRow="1" w:lastRow="0" w:firstColumn="1" w:lastColumn="0" w:noHBand="0" w:noVBand="1"/>
      </w:tblPr>
      <w:tblGrid>
        <w:gridCol w:w="3323"/>
        <w:gridCol w:w="951"/>
        <w:gridCol w:w="945"/>
        <w:gridCol w:w="4239"/>
        <w:gridCol w:w="222"/>
      </w:tblGrid>
      <w:tr w:rsidR="00D70FC7" w:rsidRPr="00A33AE8" w14:paraId="5B057EBF" w14:textId="77777777" w:rsidTr="000B7C3A">
        <w:trPr>
          <w:gridAfter w:val="1"/>
          <w:wAfter w:w="222" w:type="dxa"/>
          <w:trHeight w:val="349"/>
        </w:trPr>
        <w:tc>
          <w:tcPr>
            <w:tcW w:w="332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49F2F79" w14:textId="77777777" w:rsidR="00D70FC7" w:rsidRPr="00A33AE8" w:rsidRDefault="00D70FC7" w:rsidP="000B7C3A">
            <w:pPr>
              <w:spacing w:after="0" w:line="240" w:lineRule="auto"/>
              <w:jc w:val="both"/>
              <w:rPr>
                <w:rFonts w:ascii="Calibri Light" w:eastAsia="Times New Roman" w:hAnsi="Calibri Light" w:cs="Calibri Light"/>
                <w:b/>
                <w:bCs/>
                <w:color w:val="FFFFFF"/>
                <w:sz w:val="20"/>
                <w:szCs w:val="20"/>
                <w:lang w:eastAsia="en-GB"/>
              </w:rPr>
            </w:pPr>
            <w:bookmarkStart w:id="146" w:name="_Hlk151389898"/>
            <w:r w:rsidRPr="00A33AE8">
              <w:rPr>
                <w:rFonts w:ascii="Calibri Light" w:eastAsia="Times New Roman" w:hAnsi="Calibri Light" w:cs="Calibri Light"/>
                <w:b/>
                <w:bCs/>
                <w:color w:val="FFFFFF"/>
                <w:sz w:val="20"/>
                <w:szCs w:val="20"/>
                <w:lang w:eastAsia="en-GB"/>
              </w:rPr>
              <w:lastRenderedPageBreak/>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9ED1E02" w14:textId="77777777" w:rsidR="00D70FC7" w:rsidRPr="00A33AE8" w:rsidRDefault="00D70FC7" w:rsidP="000B7C3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PM_D6</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28A4FF88"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5CEBBED9" w14:textId="77777777" w:rsidR="00D70FC7" w:rsidRPr="00A33AE8" w:rsidRDefault="005F53C8" w:rsidP="000B7C3A">
            <w:pPr>
              <w:spacing w:after="0" w:line="240" w:lineRule="auto"/>
              <w:jc w:val="both"/>
              <w:rPr>
                <w:rFonts w:ascii="Calibri Light" w:eastAsia="Times New Roman" w:hAnsi="Calibri Light" w:cs="Calibri Light"/>
                <w:b/>
                <w:bCs/>
                <w:color w:val="000000"/>
                <w:sz w:val="20"/>
                <w:szCs w:val="20"/>
                <w:lang w:eastAsia="en-GB"/>
              </w:rPr>
            </w:pPr>
            <w:r>
              <w:rPr>
                <w:rFonts w:ascii="Calibri Light" w:eastAsia="Times New Roman" w:hAnsi="Calibri Light" w:cs="Calibri Light"/>
                <w:b/>
                <w:bCs/>
                <w:color w:val="000000"/>
                <w:sz w:val="20"/>
                <w:szCs w:val="20"/>
                <w:lang w:eastAsia="en-GB"/>
              </w:rPr>
              <w:t>M</w:t>
            </w:r>
            <w:r w:rsidR="00D70FC7" w:rsidRPr="00A33AE8">
              <w:rPr>
                <w:rFonts w:ascii="Calibri Light" w:eastAsia="Times New Roman" w:hAnsi="Calibri Light" w:cs="Calibri Light"/>
                <w:b/>
                <w:bCs/>
                <w:color w:val="000000"/>
                <w:sz w:val="20"/>
                <w:szCs w:val="20"/>
                <w:lang w:eastAsia="en-GB"/>
              </w:rPr>
              <w:t xml:space="preserve">onitoring </w:t>
            </w:r>
            <w:r>
              <w:rPr>
                <w:rFonts w:ascii="Calibri Light" w:eastAsia="Times New Roman" w:hAnsi="Calibri Light" w:cs="Calibri Light"/>
                <w:b/>
                <w:bCs/>
                <w:color w:val="000000"/>
                <w:sz w:val="20"/>
                <w:szCs w:val="20"/>
                <w:lang w:eastAsia="en-GB"/>
              </w:rPr>
              <w:t xml:space="preserve">and revision </w:t>
            </w:r>
            <w:r w:rsidR="00D70FC7" w:rsidRPr="00A33AE8">
              <w:rPr>
                <w:rFonts w:ascii="Calibri Light" w:eastAsia="Times New Roman" w:hAnsi="Calibri Light" w:cs="Calibri Light"/>
                <w:b/>
                <w:bCs/>
                <w:color w:val="000000"/>
                <w:sz w:val="20"/>
                <w:szCs w:val="20"/>
                <w:lang w:eastAsia="en-GB"/>
              </w:rPr>
              <w:t>of Just Transition</w:t>
            </w:r>
            <w:r w:rsidR="008405F3">
              <w:rPr>
                <w:rFonts w:ascii="Calibri Light" w:eastAsia="Times New Roman" w:hAnsi="Calibri Light" w:cs="Calibri Light"/>
                <w:b/>
                <w:bCs/>
                <w:color w:val="000000"/>
                <w:sz w:val="20"/>
                <w:szCs w:val="20"/>
                <w:lang w:eastAsia="en-GB"/>
              </w:rPr>
              <w:t xml:space="preserve"> Action</w:t>
            </w:r>
            <w:r w:rsidR="003454DC" w:rsidRPr="00A33AE8">
              <w:rPr>
                <w:rFonts w:ascii="Calibri Light" w:eastAsia="Times New Roman" w:hAnsi="Calibri Light" w:cs="Calibri Light"/>
                <w:b/>
                <w:bCs/>
                <w:color w:val="000000"/>
                <w:sz w:val="20"/>
                <w:szCs w:val="20"/>
                <w:lang w:eastAsia="en-GB"/>
              </w:rPr>
              <w:t xml:space="preserve"> </w:t>
            </w:r>
            <w:r w:rsidR="00D70FC7" w:rsidRPr="00A33AE8">
              <w:rPr>
                <w:rFonts w:ascii="Calibri Light" w:eastAsia="Times New Roman" w:hAnsi="Calibri Light" w:cs="Calibri Light"/>
                <w:b/>
                <w:bCs/>
                <w:color w:val="000000"/>
                <w:sz w:val="20"/>
                <w:szCs w:val="20"/>
                <w:lang w:eastAsia="en-GB"/>
              </w:rPr>
              <w:t xml:space="preserve">Plan </w:t>
            </w:r>
          </w:p>
        </w:tc>
      </w:tr>
      <w:bookmarkEnd w:id="146"/>
      <w:tr w:rsidR="00D70FC7" w:rsidRPr="00A33AE8" w14:paraId="596F9999" w14:textId="77777777" w:rsidTr="000B7C3A">
        <w:trPr>
          <w:gridAfter w:val="1"/>
          <w:wAfter w:w="222" w:type="dxa"/>
          <w:trHeight w:val="271"/>
        </w:trPr>
        <w:tc>
          <w:tcPr>
            <w:tcW w:w="3323" w:type="dxa"/>
            <w:tcBorders>
              <w:top w:val="nil"/>
              <w:left w:val="single" w:sz="8" w:space="0" w:color="auto"/>
              <w:bottom w:val="single" w:sz="8" w:space="0" w:color="auto"/>
              <w:right w:val="nil"/>
            </w:tcBorders>
            <w:shd w:val="clear" w:color="000000" w:fill="244062"/>
            <w:vAlign w:val="center"/>
            <w:hideMark/>
          </w:tcPr>
          <w:p w14:paraId="7CDC3F26"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286F85E0" w14:textId="77777777" w:rsidR="00D70FC7" w:rsidRPr="00A33AE8" w:rsidRDefault="00D70FC7" w:rsidP="000B7C3A">
            <w:pPr>
              <w:spacing w:after="0" w:line="240" w:lineRule="auto"/>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Carbon emissions reduction</w:t>
            </w:r>
          </w:p>
        </w:tc>
      </w:tr>
      <w:tr w:rsidR="00D70FC7" w:rsidRPr="00A33AE8" w14:paraId="22032300" w14:textId="77777777" w:rsidTr="000B7C3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29645767"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0979D593" w14:textId="77777777" w:rsidR="00D70FC7" w:rsidRPr="00A33AE8" w:rsidRDefault="003454DC"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Contribution to the objective of reduction of GHG emissions by </w:t>
            </w:r>
            <w:r w:rsidR="001F4028" w:rsidRPr="005B2C66">
              <w:rPr>
                <w:rFonts w:asciiTheme="majorHAnsi" w:eastAsia="Times New Roman" w:hAnsiTheme="majorHAnsi" w:cstheme="majorHAnsi"/>
                <w:color w:val="000000"/>
                <w:sz w:val="20"/>
                <w:szCs w:val="20"/>
                <w:lang w:val="en-US" w:eastAsia="en-GB"/>
              </w:rPr>
              <w:t>40.</w:t>
            </w:r>
            <w:r w:rsidRPr="00A33AE8">
              <w:rPr>
                <w:rFonts w:asciiTheme="majorHAnsi" w:eastAsia="Times New Roman" w:hAnsiTheme="majorHAnsi" w:cstheme="majorHAnsi"/>
                <w:color w:val="000000"/>
                <w:sz w:val="20"/>
                <w:szCs w:val="20"/>
                <w:lang w:eastAsia="en-GB"/>
              </w:rPr>
              <w:t>3% by 2030 compared to 1990 levels</w:t>
            </w:r>
          </w:p>
        </w:tc>
      </w:tr>
      <w:tr w:rsidR="00D70FC7" w:rsidRPr="00A33AE8" w14:paraId="1499B44A" w14:textId="77777777" w:rsidTr="000007D2">
        <w:trPr>
          <w:gridAfter w:val="1"/>
          <w:wAfter w:w="222" w:type="dxa"/>
          <w:trHeight w:val="836"/>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D626C1F" w14:textId="0CAF4ADA"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73DAD925" w14:textId="3BD74039" w:rsidR="000E7475" w:rsidRDefault="00D70FC7" w:rsidP="000B7C3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PM_D6 will aim at the revival of the local economy, the securing of jobs and the creation of new ones, through a flexible developmental transformation of the areas involved. The Just Transition</w:t>
            </w:r>
            <w:r w:rsidR="008405F3">
              <w:rPr>
                <w:rFonts w:asciiTheme="majorHAnsi" w:eastAsia="Times New Roman" w:hAnsiTheme="majorHAnsi" w:cstheme="majorHAnsi"/>
                <w:color w:val="000000"/>
                <w:sz w:val="20"/>
                <w:szCs w:val="20"/>
                <w:lang w:eastAsia="en-GB"/>
              </w:rPr>
              <w:t xml:space="preserve"> Action</w:t>
            </w:r>
            <w:r w:rsidRPr="00A33AE8">
              <w:rPr>
                <w:rFonts w:asciiTheme="majorHAnsi" w:eastAsia="Times New Roman" w:hAnsiTheme="majorHAnsi" w:cstheme="majorHAnsi"/>
                <w:color w:val="000000"/>
                <w:sz w:val="20"/>
                <w:szCs w:val="20"/>
                <w:lang w:eastAsia="en-GB"/>
              </w:rPr>
              <w:t xml:space="preserve"> Plan will identify the pillars of development, which will contribute on the achievement of the goals, while emphasis will be given on the improvement of infrastructure and the alternative utilization of lands, currently occupied by lignite mines.</w:t>
            </w:r>
            <w:r w:rsidRPr="00A33AE8">
              <w:t xml:space="preserve"> </w:t>
            </w:r>
            <w:r w:rsidRPr="00A33AE8">
              <w:rPr>
                <w:rFonts w:asciiTheme="majorHAnsi" w:eastAsia="Times New Roman" w:hAnsiTheme="majorHAnsi" w:cstheme="majorHAnsi"/>
                <w:color w:val="000000"/>
                <w:sz w:val="20"/>
                <w:szCs w:val="20"/>
                <w:lang w:eastAsia="en-GB"/>
              </w:rPr>
              <w:t xml:space="preserve">In addition, stakeholder consultation and engagement in the preparation of the plans, including with social partners and civil society, </w:t>
            </w:r>
            <w:r w:rsidR="008405F3">
              <w:rPr>
                <w:rFonts w:asciiTheme="majorHAnsi" w:eastAsia="Times New Roman" w:hAnsiTheme="majorHAnsi" w:cstheme="majorHAnsi"/>
                <w:color w:val="000000"/>
                <w:sz w:val="20"/>
                <w:szCs w:val="20"/>
                <w:lang w:eastAsia="en-GB"/>
              </w:rPr>
              <w:t>is of crucial importance</w:t>
            </w:r>
            <w:r w:rsidRPr="00A33AE8">
              <w:rPr>
                <w:rFonts w:asciiTheme="majorHAnsi" w:eastAsia="Times New Roman" w:hAnsiTheme="majorHAnsi" w:cstheme="majorHAnsi"/>
                <w:color w:val="000000"/>
                <w:sz w:val="20"/>
                <w:szCs w:val="20"/>
                <w:lang w:eastAsia="en-GB"/>
              </w:rPr>
              <w:t xml:space="preserve">. It will also include tax incentives, along with the subsidies, to attract investments, </w:t>
            </w:r>
            <w:r w:rsidR="003454DC" w:rsidRPr="00A33AE8">
              <w:rPr>
                <w:rFonts w:asciiTheme="majorHAnsi" w:eastAsia="Times New Roman" w:hAnsiTheme="majorHAnsi" w:cstheme="majorHAnsi"/>
                <w:color w:val="000000"/>
                <w:sz w:val="20"/>
                <w:szCs w:val="20"/>
                <w:lang w:eastAsia="en-GB"/>
              </w:rPr>
              <w:t>the creation of spatial plans and measures of remediation and recultivation</w:t>
            </w:r>
            <w:r w:rsidRPr="00A33AE8">
              <w:rPr>
                <w:rFonts w:asciiTheme="majorHAnsi" w:eastAsia="Times New Roman" w:hAnsiTheme="majorHAnsi" w:cstheme="majorHAnsi"/>
                <w:color w:val="000000"/>
                <w:sz w:val="20"/>
                <w:szCs w:val="20"/>
                <w:lang w:eastAsia="en-GB"/>
              </w:rPr>
              <w:t xml:space="preserve"> in order to identify the available land uses after the closure of lignite mines and the timetables for the implementation of investments.</w:t>
            </w:r>
            <w:r w:rsidR="003454DC" w:rsidRPr="00A33AE8">
              <w:rPr>
                <w:rFonts w:asciiTheme="majorHAnsi" w:eastAsia="Times New Roman" w:hAnsiTheme="majorHAnsi" w:cstheme="majorHAnsi"/>
                <w:color w:val="000000"/>
                <w:sz w:val="20"/>
                <w:szCs w:val="20"/>
                <w:lang w:eastAsia="en-GB"/>
              </w:rPr>
              <w:t xml:space="preserve"> The Just Transition </w:t>
            </w:r>
            <w:r w:rsidR="008405F3">
              <w:rPr>
                <w:rFonts w:asciiTheme="majorHAnsi" w:eastAsia="Times New Roman" w:hAnsiTheme="majorHAnsi" w:cstheme="majorHAnsi"/>
                <w:color w:val="000000"/>
                <w:sz w:val="20"/>
                <w:szCs w:val="20"/>
                <w:lang w:eastAsia="en-GB"/>
              </w:rPr>
              <w:t xml:space="preserve">Action </w:t>
            </w:r>
            <w:r w:rsidR="003454DC" w:rsidRPr="00A33AE8">
              <w:rPr>
                <w:rFonts w:asciiTheme="majorHAnsi" w:eastAsia="Times New Roman" w:hAnsiTheme="majorHAnsi" w:cstheme="majorHAnsi"/>
                <w:color w:val="000000"/>
                <w:sz w:val="20"/>
                <w:szCs w:val="20"/>
                <w:lang w:eastAsia="en-GB"/>
              </w:rPr>
              <w:t>Plan will include recommendations for enhanced institutional and governance structures, required policy reforms to support a Just Transition and a pipeline of potential targeted investments.</w:t>
            </w:r>
          </w:p>
          <w:p w14:paraId="2DC95242" w14:textId="4BC798EF" w:rsidR="000E7475" w:rsidRDefault="000E7475" w:rsidP="000B7C3A">
            <w:pPr>
              <w:spacing w:after="0" w:line="240" w:lineRule="auto"/>
              <w:jc w:val="both"/>
              <w:rPr>
                <w:rFonts w:asciiTheme="majorHAnsi" w:eastAsia="Times New Roman" w:hAnsiTheme="majorHAnsi" w:cstheme="majorHAnsi"/>
                <w:color w:val="000000"/>
                <w:sz w:val="20"/>
                <w:szCs w:val="20"/>
                <w:lang w:eastAsia="en-GB"/>
              </w:rPr>
            </w:pPr>
            <w:r w:rsidRPr="000E7475">
              <w:rPr>
                <w:rFonts w:asciiTheme="majorHAnsi" w:eastAsia="Times New Roman" w:hAnsiTheme="majorHAnsi" w:cstheme="majorHAnsi"/>
                <w:color w:val="000000"/>
                <w:sz w:val="20"/>
                <w:szCs w:val="20"/>
                <w:lang w:eastAsia="en-GB"/>
              </w:rPr>
              <w:t>For example, the Just Transition Action Plan may include policy and investment recommendations such as the amendment of the Gas Transmission Code regarding the injection of hydrogen and renewable gases into the national natural gas network, development of the necessary infrastructure from the TSO and DSOs, preparedness plans of the mobility &amp; industry sector for the uptake of hydrogen, etc.</w:t>
            </w:r>
          </w:p>
          <w:p w14:paraId="1F658485" w14:textId="4342D494" w:rsidR="00D70FC7" w:rsidRPr="00A33AE8" w:rsidRDefault="003454DC" w:rsidP="000B7C3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This PM refers to </w:t>
            </w:r>
            <w:r w:rsidR="006A7092">
              <w:rPr>
                <w:rFonts w:asciiTheme="majorHAnsi" w:eastAsia="Times New Roman" w:hAnsiTheme="majorHAnsi" w:cstheme="majorHAnsi"/>
                <w:color w:val="000000"/>
                <w:sz w:val="20"/>
                <w:szCs w:val="20"/>
                <w:lang w:eastAsia="en-GB"/>
              </w:rPr>
              <w:t xml:space="preserve">the monitoring and Revision of the Action Plan that will be prepared by </w:t>
            </w:r>
            <w:r w:rsidRPr="00A33AE8">
              <w:rPr>
                <w:rFonts w:asciiTheme="majorHAnsi" w:eastAsia="Times New Roman" w:hAnsiTheme="majorHAnsi" w:cstheme="majorHAnsi"/>
                <w:color w:val="000000"/>
                <w:sz w:val="20"/>
                <w:szCs w:val="20"/>
                <w:lang w:eastAsia="en-GB"/>
              </w:rPr>
              <w:t>the “Just Transition Diagnostics” document that is still in the preparation process.</w:t>
            </w:r>
            <w:r w:rsidR="006A7092">
              <w:rPr>
                <w:rFonts w:asciiTheme="majorHAnsi" w:eastAsia="Times New Roman" w:hAnsiTheme="majorHAnsi" w:cstheme="majorHAnsi"/>
                <w:color w:val="000000"/>
                <w:sz w:val="20"/>
                <w:szCs w:val="20"/>
                <w:lang w:eastAsia="en-GB"/>
              </w:rPr>
              <w:t xml:space="preserve"> The Implementation cost of the measures of the Action Plan is under examination and it is not part of the implementation cost of this measure.</w:t>
            </w:r>
          </w:p>
        </w:tc>
      </w:tr>
      <w:tr w:rsidR="00D70FC7" w:rsidRPr="00A33AE8" w14:paraId="72D84317" w14:textId="77777777" w:rsidTr="000B7C3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7A649C8"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716961C2" w14:textId="77777777" w:rsidR="00D70FC7" w:rsidRPr="00A33AE8" w:rsidRDefault="003454DC"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D70FC7" w:rsidRPr="00A33AE8">
              <w:rPr>
                <w:rFonts w:asciiTheme="majorHAnsi" w:eastAsia="Times New Roman" w:hAnsiTheme="majorHAnsi" w:cstheme="majorHAnsi"/>
                <w:color w:val="000000"/>
                <w:sz w:val="20"/>
                <w:szCs w:val="20"/>
                <w:lang w:eastAsia="en-GB"/>
              </w:rPr>
              <w:t>-2030</w:t>
            </w:r>
          </w:p>
        </w:tc>
      </w:tr>
      <w:tr w:rsidR="00D70FC7" w:rsidRPr="00A33AE8" w14:paraId="2B4561C6" w14:textId="77777777" w:rsidTr="000B7C3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D92ADAF"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2F1DF4CE" w14:textId="77777777" w:rsidR="00D70FC7" w:rsidRPr="00A33AE8" w:rsidRDefault="00D70FC7"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D70FC7" w:rsidRPr="00A33AE8" w14:paraId="3DCB80C5" w14:textId="77777777" w:rsidTr="000B7C3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1FC4A1BA"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557D2A45" w14:textId="77777777" w:rsidR="00D70FC7" w:rsidRPr="00A33AE8" w:rsidRDefault="00D70FC7"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723D73">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D70FC7" w:rsidRPr="00A33AE8" w14:paraId="49E4195F" w14:textId="77777777" w:rsidTr="000B7C3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317C807"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026192CF" w14:textId="77777777" w:rsidR="003454DC" w:rsidRPr="000007D2" w:rsidRDefault="003454DC" w:rsidP="001A3889">
            <w:pPr>
              <w:pStyle w:val="ListParagraph"/>
              <w:spacing w:after="0"/>
              <w:ind w:left="714"/>
              <w:rPr>
                <w:rFonts w:asciiTheme="majorHAnsi" w:eastAsia="Times New Roman" w:hAnsiTheme="majorHAnsi" w:cstheme="majorHAnsi"/>
                <w:color w:val="000000"/>
                <w:sz w:val="20"/>
                <w:szCs w:val="20"/>
                <w:lang w:eastAsia="en-GB"/>
              </w:rPr>
            </w:pPr>
          </w:p>
          <w:p w14:paraId="7449AFA4" w14:textId="77777777" w:rsidR="00D70FC7" w:rsidRPr="00A33AE8" w:rsidRDefault="00D70FC7" w:rsidP="00884F3B">
            <w:pPr>
              <w:numPr>
                <w:ilvl w:val="0"/>
                <w:numId w:val="215"/>
              </w:numPr>
              <w:spacing w:after="0" w:line="240" w:lineRule="auto"/>
              <w:contextualSpacing/>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D70FC7" w:rsidRPr="00A33AE8" w14:paraId="7651D131" w14:textId="77777777" w:rsidTr="000B7C3A">
        <w:trPr>
          <w:gridAfter w:val="1"/>
          <w:wAfter w:w="222" w:type="dxa"/>
          <w:trHeight w:val="315"/>
        </w:trPr>
        <w:tc>
          <w:tcPr>
            <w:tcW w:w="3323" w:type="dxa"/>
            <w:tcBorders>
              <w:top w:val="nil"/>
              <w:left w:val="single" w:sz="8" w:space="0" w:color="auto"/>
              <w:bottom w:val="single" w:sz="8" w:space="0" w:color="auto"/>
              <w:right w:val="nil"/>
            </w:tcBorders>
            <w:shd w:val="clear" w:color="000000" w:fill="244062"/>
            <w:vAlign w:val="center"/>
            <w:hideMark/>
          </w:tcPr>
          <w:p w14:paraId="4EAE268E"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0A09F5A6" w14:textId="77777777" w:rsidR="00D70FC7" w:rsidRPr="00A33AE8" w:rsidRDefault="00D70FC7"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3B218F89" w14:textId="77777777" w:rsidR="00D70FC7" w:rsidRPr="00A33AE8" w:rsidRDefault="00D70FC7"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118C5762" w14:textId="75E1FDBD" w:rsidR="003454DC" w:rsidRPr="00A33AE8" w:rsidRDefault="003454D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Labor, Employment, Veteran and Social Policy</w:t>
            </w:r>
          </w:p>
          <w:p w14:paraId="5001118F" w14:textId="77777777" w:rsidR="003454DC" w:rsidRPr="00A33AE8" w:rsidRDefault="003454D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w:t>
            </w:r>
          </w:p>
          <w:p w14:paraId="540B7550" w14:textId="77777777" w:rsidR="003454DC" w:rsidRPr="00A33AE8" w:rsidRDefault="003454D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Economy</w:t>
            </w:r>
          </w:p>
          <w:p w14:paraId="56A05A26" w14:textId="77777777" w:rsidR="003454DC" w:rsidRPr="00A33AE8" w:rsidRDefault="003454D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regional chambers of commerce</w:t>
            </w:r>
          </w:p>
          <w:p w14:paraId="60AF46B5" w14:textId="77777777" w:rsidR="003454DC" w:rsidRPr="00A33AE8" w:rsidRDefault="003454D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Local self-government units</w:t>
            </w:r>
          </w:p>
          <w:p w14:paraId="3F3884F7" w14:textId="77777777" w:rsidR="003454DC" w:rsidRPr="00A33AE8" w:rsidRDefault="003454DC" w:rsidP="00884F3B">
            <w:pPr>
              <w:numPr>
                <w:ilvl w:val="0"/>
                <w:numId w:val="215"/>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Social and Economic Council</w:t>
            </w:r>
          </w:p>
        </w:tc>
      </w:tr>
      <w:tr w:rsidR="00D70FC7" w:rsidRPr="00A33AE8" w14:paraId="198B32D8" w14:textId="77777777" w:rsidTr="000B7C3A">
        <w:trPr>
          <w:gridAfter w:val="1"/>
          <w:wAfter w:w="222" w:type="dxa"/>
          <w:trHeight w:val="315"/>
        </w:trPr>
        <w:tc>
          <w:tcPr>
            <w:tcW w:w="3323" w:type="dxa"/>
            <w:tcBorders>
              <w:top w:val="nil"/>
              <w:left w:val="single" w:sz="8" w:space="0" w:color="auto"/>
              <w:bottom w:val="single" w:sz="8" w:space="0" w:color="auto"/>
              <w:right w:val="nil"/>
            </w:tcBorders>
            <w:shd w:val="clear" w:color="000000" w:fill="244062"/>
            <w:vAlign w:val="center"/>
            <w:hideMark/>
          </w:tcPr>
          <w:p w14:paraId="3BD3405C"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3258D121" w14:textId="79D042E7" w:rsidR="003454DC" w:rsidRPr="000007D2" w:rsidRDefault="003454DC" w:rsidP="00884F3B">
            <w:pPr>
              <w:pStyle w:val="ListParagraph"/>
              <w:numPr>
                <w:ilvl w:val="0"/>
                <w:numId w:val="248"/>
              </w:numPr>
              <w:spacing w:after="0" w:line="240" w:lineRule="auto"/>
              <w:rPr>
                <w:rFonts w:asciiTheme="majorHAnsi" w:eastAsia="Times New Roman" w:hAnsiTheme="majorHAnsi" w:cstheme="majorHAnsi"/>
                <w:color w:val="000000"/>
                <w:sz w:val="20"/>
                <w:szCs w:val="20"/>
                <w:lang w:eastAsia="en-GB"/>
              </w:rPr>
            </w:pPr>
            <w:r w:rsidRPr="000007D2">
              <w:rPr>
                <w:rFonts w:asciiTheme="majorHAnsi" w:eastAsia="Times New Roman" w:hAnsiTheme="majorHAnsi" w:cstheme="majorHAnsi"/>
                <w:color w:val="000000"/>
                <w:sz w:val="20"/>
                <w:szCs w:val="20"/>
                <w:lang w:eastAsia="en-GB"/>
              </w:rPr>
              <w:t>Emissions per capita tCO2e/capita</w:t>
            </w:r>
          </w:p>
          <w:p w14:paraId="145BB250" w14:textId="77777777" w:rsidR="003454DC" w:rsidRPr="000007D2" w:rsidRDefault="003454DC" w:rsidP="00884F3B">
            <w:pPr>
              <w:pStyle w:val="ListParagraph"/>
              <w:numPr>
                <w:ilvl w:val="0"/>
                <w:numId w:val="248"/>
              </w:numPr>
              <w:spacing w:after="0" w:line="240" w:lineRule="auto"/>
              <w:rPr>
                <w:rFonts w:asciiTheme="majorHAnsi" w:eastAsia="Times New Roman" w:hAnsiTheme="majorHAnsi" w:cstheme="majorHAnsi"/>
                <w:color w:val="000000"/>
                <w:sz w:val="20"/>
                <w:szCs w:val="20"/>
                <w:lang w:eastAsia="en-GB"/>
              </w:rPr>
            </w:pPr>
            <w:r w:rsidRPr="000007D2">
              <w:rPr>
                <w:rFonts w:asciiTheme="majorHAnsi" w:eastAsia="Times New Roman" w:hAnsiTheme="majorHAnsi" w:cstheme="majorHAnsi"/>
                <w:color w:val="000000"/>
                <w:sz w:val="20"/>
                <w:szCs w:val="20"/>
                <w:lang w:eastAsia="en-GB"/>
              </w:rPr>
              <w:t>Carbon intensity of the economy tCO2e/GDP (MioEUR’13)</w:t>
            </w:r>
          </w:p>
          <w:p w14:paraId="1CD459F1" w14:textId="77777777" w:rsidR="00D70FC7" w:rsidRPr="000007D2" w:rsidRDefault="003454DC" w:rsidP="00884F3B">
            <w:pPr>
              <w:pStyle w:val="ListParagraph"/>
              <w:numPr>
                <w:ilvl w:val="0"/>
                <w:numId w:val="248"/>
              </w:numPr>
              <w:spacing w:after="0" w:line="240" w:lineRule="auto"/>
              <w:rPr>
                <w:rFonts w:asciiTheme="majorHAnsi" w:eastAsia="Times New Roman" w:hAnsiTheme="majorHAnsi" w:cstheme="majorHAnsi"/>
                <w:color w:val="000000"/>
                <w:sz w:val="20"/>
                <w:szCs w:val="20"/>
                <w:lang w:eastAsia="en-GB"/>
              </w:rPr>
            </w:pPr>
            <w:r w:rsidRPr="000007D2">
              <w:rPr>
                <w:rFonts w:asciiTheme="majorHAnsi" w:eastAsia="Times New Roman" w:hAnsiTheme="majorHAnsi" w:cstheme="majorHAnsi"/>
                <w:color w:val="000000"/>
                <w:sz w:val="20"/>
                <w:szCs w:val="20"/>
                <w:lang w:eastAsia="en-GB"/>
              </w:rPr>
              <w:t>Energy related CO2 intensity of GDP tCO2/GDP (MioEUR’13)</w:t>
            </w:r>
          </w:p>
        </w:tc>
      </w:tr>
      <w:tr w:rsidR="00D70FC7" w:rsidRPr="00A33AE8" w14:paraId="6B590468" w14:textId="77777777" w:rsidTr="005B2C66">
        <w:trPr>
          <w:gridAfter w:val="1"/>
          <w:wAfter w:w="222" w:type="dxa"/>
          <w:trHeight w:val="323"/>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0C2A361B"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4A6A4EAC" w14:textId="77777777" w:rsidR="00D70FC7" w:rsidRPr="00A33AE8" w:rsidRDefault="00D70FC7" w:rsidP="000B7C3A">
            <w:pPr>
              <w:spacing w:after="0" w:line="240" w:lineRule="auto"/>
              <w:rPr>
                <w:rFonts w:asciiTheme="majorHAnsi" w:eastAsia="Times New Roman" w:hAnsiTheme="majorHAnsi" w:cstheme="majorHAnsi"/>
                <w:color w:val="000000"/>
                <w:sz w:val="20"/>
                <w:szCs w:val="20"/>
                <w:lang w:eastAsia="en-GB"/>
              </w:rPr>
            </w:pPr>
          </w:p>
        </w:tc>
      </w:tr>
      <w:tr w:rsidR="00D70FC7" w:rsidRPr="00A33AE8" w14:paraId="45D48915" w14:textId="77777777" w:rsidTr="000B7C3A">
        <w:trPr>
          <w:gridAfter w:val="1"/>
          <w:wAfter w:w="222" w:type="dxa"/>
          <w:trHeight w:val="450"/>
        </w:trPr>
        <w:tc>
          <w:tcPr>
            <w:tcW w:w="332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10B0783"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F2BFEA3" w14:textId="77777777" w:rsidR="00D70FC7" w:rsidRPr="00A33AE8" w:rsidRDefault="00D70FC7" w:rsidP="00884F3B">
            <w:pPr>
              <w:numPr>
                <w:ilvl w:val="0"/>
                <w:numId w:val="179"/>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2244EC" w:rsidRPr="00A33AE8">
              <w:rPr>
                <w:rFonts w:asciiTheme="majorHAnsi" w:eastAsia="Times New Roman" w:hAnsiTheme="majorHAnsi" w:cstheme="majorHAnsi"/>
                <w:color w:val="000000"/>
                <w:sz w:val="20"/>
                <w:szCs w:val="20"/>
                <w:lang w:eastAsia="en-GB"/>
              </w:rPr>
              <w:t>2018/1999</w:t>
            </w:r>
          </w:p>
        </w:tc>
      </w:tr>
      <w:tr w:rsidR="00D70FC7" w:rsidRPr="00A33AE8" w14:paraId="410F8292" w14:textId="77777777" w:rsidTr="005B2C66">
        <w:trPr>
          <w:trHeight w:val="50"/>
        </w:trPr>
        <w:tc>
          <w:tcPr>
            <w:tcW w:w="3323" w:type="dxa"/>
            <w:vMerge/>
            <w:tcBorders>
              <w:top w:val="nil"/>
              <w:left w:val="single" w:sz="8" w:space="0" w:color="auto"/>
              <w:bottom w:val="single" w:sz="8" w:space="0" w:color="000000"/>
              <w:right w:val="single" w:sz="8" w:space="0" w:color="auto"/>
            </w:tcBorders>
            <w:vAlign w:val="center"/>
            <w:hideMark/>
          </w:tcPr>
          <w:p w14:paraId="059BCA9E"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p>
        </w:tc>
        <w:tc>
          <w:tcPr>
            <w:tcW w:w="6135" w:type="dxa"/>
            <w:gridSpan w:val="3"/>
            <w:vMerge/>
            <w:tcBorders>
              <w:top w:val="single" w:sz="8" w:space="0" w:color="auto"/>
              <w:left w:val="single" w:sz="8" w:space="0" w:color="auto"/>
              <w:bottom w:val="single" w:sz="8" w:space="0" w:color="000000"/>
              <w:right w:val="single" w:sz="8" w:space="0" w:color="000000"/>
            </w:tcBorders>
            <w:vAlign w:val="center"/>
            <w:hideMark/>
          </w:tcPr>
          <w:p w14:paraId="44B8B6A9" w14:textId="77777777" w:rsidR="00D70FC7" w:rsidRPr="00A33AE8" w:rsidRDefault="00D70FC7" w:rsidP="00884F3B">
            <w:pPr>
              <w:numPr>
                <w:ilvl w:val="0"/>
                <w:numId w:val="109"/>
              </w:numPr>
              <w:spacing w:after="0" w:line="240" w:lineRule="auto"/>
              <w:contextualSpacing/>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D445220" w14:textId="77777777" w:rsidR="00D70FC7" w:rsidRPr="00A33AE8" w:rsidRDefault="00D70FC7" w:rsidP="000B7C3A">
            <w:pPr>
              <w:spacing w:after="0" w:line="240" w:lineRule="auto"/>
              <w:rPr>
                <w:rFonts w:ascii="Calibri Light" w:eastAsia="Times New Roman" w:hAnsi="Calibri Light" w:cs="Calibri Light"/>
                <w:color w:val="000000"/>
                <w:sz w:val="20"/>
                <w:szCs w:val="20"/>
                <w:lang w:eastAsia="en-GB"/>
              </w:rPr>
            </w:pPr>
          </w:p>
        </w:tc>
      </w:tr>
      <w:tr w:rsidR="00D70FC7" w:rsidRPr="00A33AE8" w14:paraId="66F65759" w14:textId="77777777" w:rsidTr="000B7C3A">
        <w:trPr>
          <w:trHeight w:val="60"/>
        </w:trPr>
        <w:tc>
          <w:tcPr>
            <w:tcW w:w="3323" w:type="dxa"/>
            <w:vMerge/>
            <w:tcBorders>
              <w:top w:val="nil"/>
              <w:left w:val="single" w:sz="8" w:space="0" w:color="auto"/>
              <w:bottom w:val="single" w:sz="8" w:space="0" w:color="000000"/>
              <w:right w:val="single" w:sz="8" w:space="0" w:color="auto"/>
            </w:tcBorders>
            <w:vAlign w:val="center"/>
            <w:hideMark/>
          </w:tcPr>
          <w:p w14:paraId="0B10F914"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p>
        </w:tc>
        <w:tc>
          <w:tcPr>
            <w:tcW w:w="6135" w:type="dxa"/>
            <w:gridSpan w:val="3"/>
            <w:vMerge/>
            <w:tcBorders>
              <w:top w:val="single" w:sz="8" w:space="0" w:color="auto"/>
              <w:left w:val="single" w:sz="8" w:space="0" w:color="auto"/>
              <w:bottom w:val="single" w:sz="8" w:space="0" w:color="000000"/>
              <w:right w:val="single" w:sz="8" w:space="0" w:color="000000"/>
            </w:tcBorders>
            <w:vAlign w:val="center"/>
            <w:hideMark/>
          </w:tcPr>
          <w:p w14:paraId="2530262B" w14:textId="77777777" w:rsidR="00D70FC7" w:rsidRPr="00A33AE8" w:rsidRDefault="00D70FC7" w:rsidP="00884F3B">
            <w:pPr>
              <w:numPr>
                <w:ilvl w:val="0"/>
                <w:numId w:val="109"/>
              </w:numPr>
              <w:spacing w:after="0" w:line="240" w:lineRule="auto"/>
              <w:contextualSpacing/>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3351869" w14:textId="77777777" w:rsidR="00D70FC7" w:rsidRPr="00A33AE8" w:rsidRDefault="00D70FC7" w:rsidP="000B7C3A">
            <w:pPr>
              <w:spacing w:after="0" w:line="240" w:lineRule="auto"/>
              <w:rPr>
                <w:rFonts w:ascii="Times New Roman" w:eastAsia="Times New Roman" w:hAnsi="Times New Roman" w:cs="Times New Roman"/>
                <w:sz w:val="20"/>
                <w:szCs w:val="20"/>
                <w:lang w:eastAsia="en-GB"/>
              </w:rPr>
            </w:pPr>
          </w:p>
        </w:tc>
      </w:tr>
      <w:tr w:rsidR="00D70FC7" w:rsidRPr="00A33AE8" w14:paraId="62D386A1" w14:textId="77777777" w:rsidTr="000B7C3A">
        <w:trPr>
          <w:trHeight w:val="297"/>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1381DE0E"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78308810" w14:textId="77777777" w:rsidR="00D70FC7" w:rsidRPr="00A33AE8" w:rsidRDefault="002244EC" w:rsidP="00884F3B">
            <w:pPr>
              <w:numPr>
                <w:ilvl w:val="0"/>
                <w:numId w:val="109"/>
              </w:numPr>
              <w:spacing w:after="0" w:line="240" w:lineRule="auto"/>
              <w:contextualSpacing/>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78E0CADD" w14:textId="77777777" w:rsidR="00D70FC7" w:rsidRPr="00A33AE8" w:rsidRDefault="00D70FC7" w:rsidP="000B7C3A">
            <w:pPr>
              <w:spacing w:after="0" w:line="240" w:lineRule="auto"/>
              <w:rPr>
                <w:rFonts w:ascii="Times New Roman" w:eastAsia="Times New Roman" w:hAnsi="Times New Roman" w:cs="Times New Roman"/>
                <w:sz w:val="20"/>
                <w:szCs w:val="20"/>
                <w:lang w:eastAsia="en-GB"/>
              </w:rPr>
            </w:pPr>
          </w:p>
        </w:tc>
      </w:tr>
      <w:tr w:rsidR="00D70FC7" w:rsidRPr="00A33AE8" w14:paraId="10A3CC36" w14:textId="77777777" w:rsidTr="000B7C3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7E0C28D"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349482ED" w14:textId="77777777" w:rsidR="00D70FC7" w:rsidRPr="00A33AE8" w:rsidRDefault="00D70FC7"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 M€</w:t>
            </w:r>
          </w:p>
        </w:tc>
        <w:tc>
          <w:tcPr>
            <w:tcW w:w="222" w:type="dxa"/>
            <w:vAlign w:val="center"/>
          </w:tcPr>
          <w:p w14:paraId="406F808F" w14:textId="77777777" w:rsidR="00D70FC7" w:rsidRPr="00A33AE8" w:rsidRDefault="00D70FC7" w:rsidP="000B7C3A">
            <w:pPr>
              <w:spacing w:after="0" w:line="240" w:lineRule="auto"/>
              <w:rPr>
                <w:rFonts w:ascii="Times New Roman" w:eastAsia="Times New Roman" w:hAnsi="Times New Roman" w:cs="Times New Roman"/>
                <w:sz w:val="20"/>
                <w:szCs w:val="20"/>
                <w:lang w:eastAsia="en-GB"/>
              </w:rPr>
            </w:pPr>
          </w:p>
        </w:tc>
      </w:tr>
      <w:tr w:rsidR="00D70FC7" w:rsidRPr="00A33AE8" w14:paraId="70BE5361" w14:textId="77777777" w:rsidTr="000B7C3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76DDFA6C" w14:textId="77777777" w:rsidR="00D70FC7" w:rsidRPr="00A33AE8" w:rsidRDefault="00D70FC7"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Financing source(s)</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3CDCF406" w14:textId="77777777" w:rsidR="00D70FC7" w:rsidRPr="00A33AE8" w:rsidRDefault="00D70FC7" w:rsidP="000B7C3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038A6E83" w14:textId="77777777" w:rsidR="00D70FC7" w:rsidRPr="00A33AE8" w:rsidRDefault="00D70FC7" w:rsidP="000B7C3A">
            <w:pPr>
              <w:spacing w:after="0" w:line="240" w:lineRule="auto"/>
              <w:rPr>
                <w:rFonts w:ascii="Times New Roman" w:eastAsia="Times New Roman" w:hAnsi="Times New Roman" w:cs="Times New Roman"/>
                <w:sz w:val="20"/>
                <w:szCs w:val="20"/>
                <w:lang w:eastAsia="en-GB"/>
              </w:rPr>
            </w:pPr>
          </w:p>
        </w:tc>
      </w:tr>
    </w:tbl>
    <w:p w14:paraId="5091AE7E" w14:textId="77777777" w:rsidR="005D0066" w:rsidRPr="00A33AE8" w:rsidRDefault="005D0066" w:rsidP="00EF77E4">
      <w:pPr>
        <w:spacing w:before="240"/>
        <w:jc w:val="both"/>
        <w:rPr>
          <w:rFonts w:asciiTheme="majorHAnsi" w:hAnsiTheme="majorHAnsi" w:cstheme="majorHAnsi"/>
          <w:b/>
          <w:bCs/>
          <w:color w:val="000000"/>
        </w:rPr>
      </w:pPr>
      <w:r w:rsidRPr="00A33AE8">
        <w:rPr>
          <w:rFonts w:asciiTheme="majorHAnsi" w:hAnsiTheme="majorHAnsi" w:cstheme="majorHAnsi"/>
          <w:b/>
          <w:bCs/>
          <w:color w:val="000000"/>
        </w:rPr>
        <w:t>Energy Sector</w:t>
      </w:r>
    </w:p>
    <w:p w14:paraId="7FDFF428" w14:textId="77777777" w:rsidR="005D0066" w:rsidRPr="00A33AE8" w:rsidRDefault="005D0066" w:rsidP="00EF77E4">
      <w:pPr>
        <w:spacing w:before="240"/>
        <w:jc w:val="both"/>
        <w:rPr>
          <w:rFonts w:asciiTheme="majorHAnsi" w:hAnsiTheme="majorHAnsi" w:cstheme="majorHAnsi"/>
          <w:iCs/>
          <w:color w:val="000000"/>
        </w:rPr>
      </w:pPr>
      <w:r w:rsidRPr="00A33AE8">
        <w:rPr>
          <w:rFonts w:asciiTheme="majorHAnsi" w:hAnsiTheme="majorHAnsi" w:cstheme="majorHAnsi"/>
          <w:iCs/>
          <w:color w:val="000000"/>
        </w:rPr>
        <w:t xml:space="preserve">GHG emissions in the energy sector (generation of electricity and heat, petroleum processing, production of solid energy resources) are determined by the quantity of energy used in processes and the unit emission factor of energy sources. GHG emissions can be reduced by decreasing the quantity of consumed energy, </w:t>
      </w:r>
      <w:r w:rsidR="00FE230E" w:rsidRPr="00A33AE8">
        <w:rPr>
          <w:rFonts w:asciiTheme="majorHAnsi" w:hAnsiTheme="majorHAnsi" w:cstheme="majorHAnsi"/>
          <w:iCs/>
          <w:color w:val="000000"/>
        </w:rPr>
        <w:t xml:space="preserve">by </w:t>
      </w:r>
      <w:r w:rsidRPr="00A33AE8">
        <w:rPr>
          <w:rFonts w:asciiTheme="majorHAnsi" w:hAnsiTheme="majorHAnsi" w:cstheme="majorHAnsi"/>
          <w:iCs/>
          <w:color w:val="000000"/>
        </w:rPr>
        <w:t>increasing the use of renewable energy sources, and by replacing fossil fuels.</w:t>
      </w:r>
    </w:p>
    <w:p w14:paraId="4DA6A14F" w14:textId="77777777" w:rsidR="005D0066" w:rsidRPr="00A33AE8" w:rsidRDefault="005D0066" w:rsidP="00EF77E4">
      <w:pPr>
        <w:spacing w:before="240"/>
        <w:jc w:val="both"/>
        <w:rPr>
          <w:rFonts w:asciiTheme="majorHAnsi" w:hAnsiTheme="majorHAnsi" w:cstheme="majorHAnsi"/>
          <w:iCs/>
          <w:color w:val="000000"/>
        </w:rPr>
      </w:pPr>
      <w:r w:rsidRPr="00A33AE8">
        <w:rPr>
          <w:rFonts w:asciiTheme="majorHAnsi" w:hAnsiTheme="majorHAnsi" w:cstheme="majorHAnsi"/>
          <w:iCs/>
          <w:color w:val="000000"/>
        </w:rPr>
        <w:t>The majority of the policy measures with an impact on decarbonisation intended for the energy sector are included, among others, in the dimensions of renewable energy sources, energy efficiency, the internal energy market and energy security, as the changes in these dimensions lead to overall GHG emissions reduction.</w:t>
      </w:r>
    </w:p>
    <w:p w14:paraId="0C873A6E" w14:textId="45A392E0" w:rsidR="005D0066" w:rsidRPr="00A33AE8" w:rsidRDefault="005D0066" w:rsidP="00EF77E4">
      <w:pPr>
        <w:spacing w:before="240"/>
        <w:jc w:val="both"/>
        <w:rPr>
          <w:rFonts w:asciiTheme="majorHAnsi" w:hAnsiTheme="majorHAnsi" w:cstheme="majorHAnsi"/>
          <w:b/>
          <w:bCs/>
          <w:color w:val="000000"/>
        </w:rPr>
      </w:pPr>
      <w:r w:rsidRPr="00A33AE8">
        <w:rPr>
          <w:rFonts w:asciiTheme="majorHAnsi" w:hAnsiTheme="majorHAnsi" w:cstheme="majorHAnsi"/>
          <w:b/>
          <w:bCs/>
          <w:color w:val="000000"/>
        </w:rPr>
        <w:t>Industrial Sector</w:t>
      </w:r>
    </w:p>
    <w:p w14:paraId="3AD94290" w14:textId="7843199E"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As regards industrial pollution and risk management</w:t>
      </w:r>
      <w:r w:rsidR="008B5719">
        <w:rPr>
          <w:rFonts w:asciiTheme="majorHAnsi" w:hAnsiTheme="majorHAnsi" w:cstheme="majorHAnsi"/>
          <w:bCs/>
          <w:color w:val="000000"/>
        </w:rPr>
        <w:t xml:space="preserve"> the integrated permits system was incorporated in the Law on Integrated Pollution Prevention and Control from 2004, introducing into the legislation of the Republic of Serbia one of the key directive</w:t>
      </w:r>
      <w:r w:rsidR="00252F36">
        <w:rPr>
          <w:rFonts w:asciiTheme="majorHAnsi" w:hAnsiTheme="majorHAnsi" w:cstheme="majorHAnsi"/>
          <w:bCs/>
          <w:color w:val="000000"/>
        </w:rPr>
        <w:t>s</w:t>
      </w:r>
      <w:r w:rsidR="008B5719">
        <w:rPr>
          <w:rFonts w:asciiTheme="majorHAnsi" w:hAnsiTheme="majorHAnsi" w:cstheme="majorHAnsi"/>
          <w:bCs/>
          <w:color w:val="000000"/>
        </w:rPr>
        <w:t xml:space="preserve"> Council Directive 96/61/EC of 24 September 1996 (IPPC Directive). The Law is applied to </w:t>
      </w:r>
      <w:r w:rsidR="00824A87">
        <w:rPr>
          <w:rFonts w:asciiTheme="majorHAnsi" w:hAnsiTheme="majorHAnsi" w:cstheme="majorHAnsi"/>
          <w:bCs/>
          <w:color w:val="000000"/>
        </w:rPr>
        <w:t>installations and</w:t>
      </w:r>
      <w:r w:rsidR="008B5719">
        <w:rPr>
          <w:rFonts w:asciiTheme="majorHAnsi" w:hAnsiTheme="majorHAnsi" w:cstheme="majorHAnsi"/>
          <w:bCs/>
          <w:color w:val="000000"/>
        </w:rPr>
        <w:t xml:space="preserve"> activities which are classified according to the level of pollution and risk </w:t>
      </w:r>
      <w:r w:rsidR="00824A87">
        <w:rPr>
          <w:rFonts w:asciiTheme="majorHAnsi" w:hAnsiTheme="majorHAnsi" w:cstheme="majorHAnsi"/>
          <w:bCs/>
          <w:color w:val="000000"/>
        </w:rPr>
        <w:t xml:space="preserve">such activities pose to the human health and the environment. Over time, the application of this law revealed problems and unwillingness of operators to respond to the requirement introduced by this law (extensive documentation that must be prepared and obtained, </w:t>
      </w:r>
      <w:r w:rsidR="004F1682">
        <w:rPr>
          <w:rFonts w:asciiTheme="majorHAnsi" w:hAnsiTheme="majorHAnsi" w:cstheme="majorHAnsi"/>
          <w:bCs/>
          <w:color w:val="000000"/>
          <w:lang w:val="en-US"/>
        </w:rPr>
        <w:t xml:space="preserve">which </w:t>
      </w:r>
      <w:r w:rsidR="00832E70">
        <w:rPr>
          <w:rFonts w:asciiTheme="majorHAnsi" w:hAnsiTheme="majorHAnsi" w:cstheme="majorHAnsi"/>
          <w:bCs/>
          <w:color w:val="000000"/>
          <w:lang w:val="en-US"/>
        </w:rPr>
        <w:t xml:space="preserve">requires large funds and </w:t>
      </w:r>
      <w:r w:rsidR="00252F36">
        <w:rPr>
          <w:rFonts w:asciiTheme="majorHAnsi" w:hAnsiTheme="majorHAnsi" w:cstheme="majorHAnsi"/>
          <w:bCs/>
          <w:color w:val="000000"/>
          <w:lang w:val="en-US"/>
        </w:rPr>
        <w:t>prior to</w:t>
      </w:r>
      <w:r w:rsidR="00832E70">
        <w:rPr>
          <w:rFonts w:asciiTheme="majorHAnsi" w:hAnsiTheme="majorHAnsi" w:cstheme="majorHAnsi"/>
          <w:bCs/>
          <w:color w:val="000000"/>
          <w:lang w:val="en-US"/>
        </w:rPr>
        <w:t xml:space="preserve"> that </w:t>
      </w:r>
      <w:r w:rsidR="009E0051">
        <w:rPr>
          <w:rFonts w:asciiTheme="majorHAnsi" w:hAnsiTheme="majorHAnsi" w:cstheme="majorHAnsi"/>
          <w:bCs/>
          <w:color w:val="000000"/>
          <w:lang w:val="en-US"/>
        </w:rPr>
        <w:t xml:space="preserve">significant material investments in equipment innovation and harmonization of applied technologies </w:t>
      </w:r>
      <w:r w:rsidR="004F1682">
        <w:rPr>
          <w:rFonts w:asciiTheme="majorHAnsi" w:hAnsiTheme="majorHAnsi" w:cstheme="majorHAnsi"/>
          <w:bCs/>
          <w:color w:val="000000"/>
          <w:lang w:val="en-US"/>
        </w:rPr>
        <w:t>using</w:t>
      </w:r>
      <w:r w:rsidR="009E0051">
        <w:rPr>
          <w:rFonts w:asciiTheme="majorHAnsi" w:hAnsiTheme="majorHAnsi" w:cstheme="majorHAnsi"/>
          <w:bCs/>
          <w:color w:val="000000"/>
          <w:lang w:val="en-US"/>
        </w:rPr>
        <w:t xml:space="preserve"> </w:t>
      </w:r>
      <w:r w:rsidR="00252F36">
        <w:rPr>
          <w:rFonts w:asciiTheme="majorHAnsi" w:hAnsiTheme="majorHAnsi" w:cstheme="majorHAnsi"/>
          <w:bCs/>
          <w:color w:val="000000"/>
          <w:lang w:val="en-US"/>
        </w:rPr>
        <w:t xml:space="preserve">the </w:t>
      </w:r>
      <w:r w:rsidR="009E0051">
        <w:rPr>
          <w:rFonts w:asciiTheme="majorHAnsi" w:hAnsiTheme="majorHAnsi" w:cstheme="majorHAnsi"/>
          <w:bCs/>
          <w:color w:val="000000"/>
          <w:lang w:val="en-US"/>
        </w:rPr>
        <w:t>best available techniques), as well as problems obtain</w:t>
      </w:r>
      <w:r w:rsidR="00784D8E">
        <w:rPr>
          <w:rFonts w:asciiTheme="majorHAnsi" w:hAnsiTheme="majorHAnsi" w:cstheme="majorHAnsi"/>
          <w:bCs/>
          <w:color w:val="000000"/>
          <w:lang w:val="en-US"/>
        </w:rPr>
        <w:t>ing</w:t>
      </w:r>
      <w:r w:rsidR="009E0051">
        <w:rPr>
          <w:rFonts w:asciiTheme="majorHAnsi" w:hAnsiTheme="majorHAnsi" w:cstheme="majorHAnsi"/>
          <w:bCs/>
          <w:color w:val="000000"/>
          <w:lang w:val="en-US"/>
        </w:rPr>
        <w:t xml:space="preserve"> </w:t>
      </w:r>
      <w:r w:rsidR="00784D8E">
        <w:rPr>
          <w:rFonts w:asciiTheme="majorHAnsi" w:hAnsiTheme="majorHAnsi" w:cstheme="majorHAnsi"/>
          <w:bCs/>
          <w:color w:val="000000"/>
          <w:lang w:val="en-US"/>
        </w:rPr>
        <w:t xml:space="preserve">the </w:t>
      </w:r>
      <w:r w:rsidR="009E0051">
        <w:rPr>
          <w:rFonts w:asciiTheme="majorHAnsi" w:hAnsiTheme="majorHAnsi" w:cstheme="majorHAnsi"/>
          <w:bCs/>
          <w:color w:val="000000"/>
          <w:lang w:val="en-US"/>
        </w:rPr>
        <w:t>necessary permits, decisions, consents or approvals</w:t>
      </w:r>
      <w:r w:rsidR="00252F36">
        <w:rPr>
          <w:rFonts w:asciiTheme="majorHAnsi" w:hAnsiTheme="majorHAnsi" w:cstheme="majorHAnsi"/>
          <w:bCs/>
          <w:color w:val="000000"/>
          <w:lang w:val="en-US"/>
        </w:rPr>
        <w:t>.</w:t>
      </w:r>
      <w:r w:rsidR="00832E70">
        <w:rPr>
          <w:rFonts w:asciiTheme="majorHAnsi" w:hAnsiTheme="majorHAnsi" w:cstheme="majorHAnsi"/>
          <w:bCs/>
          <w:color w:val="000000"/>
          <w:lang w:val="en-US"/>
        </w:rPr>
        <w:t xml:space="preserve"> </w:t>
      </w:r>
      <w:r w:rsidR="00824A87">
        <w:rPr>
          <w:rFonts w:asciiTheme="majorHAnsi" w:hAnsiTheme="majorHAnsi" w:cstheme="majorHAnsi"/>
          <w:bCs/>
          <w:color w:val="000000"/>
        </w:rPr>
        <w:t xml:space="preserve">Furthermore, responsible institutions faced the lack of necessary capacities. </w:t>
      </w:r>
      <w:r w:rsidR="00CA635C">
        <w:rPr>
          <w:rFonts w:asciiTheme="majorHAnsi" w:hAnsiTheme="majorHAnsi" w:cstheme="majorHAnsi"/>
          <w:bCs/>
          <w:color w:val="000000"/>
          <w:lang w:val="en-US"/>
        </w:rPr>
        <w:t xml:space="preserve">All </w:t>
      </w:r>
      <w:r w:rsidR="00784D8E">
        <w:rPr>
          <w:rFonts w:asciiTheme="majorHAnsi" w:hAnsiTheme="majorHAnsi" w:cstheme="majorHAnsi"/>
          <w:bCs/>
          <w:color w:val="000000"/>
          <w:lang w:val="en-US"/>
        </w:rPr>
        <w:t xml:space="preserve">of </w:t>
      </w:r>
      <w:r w:rsidR="00CA635C">
        <w:rPr>
          <w:rFonts w:asciiTheme="majorHAnsi" w:hAnsiTheme="majorHAnsi" w:cstheme="majorHAnsi"/>
          <w:bCs/>
          <w:color w:val="000000"/>
          <w:lang w:val="en-US"/>
        </w:rPr>
        <w:t xml:space="preserve">this </w:t>
      </w:r>
      <w:r w:rsidR="00784D8E">
        <w:rPr>
          <w:rFonts w:asciiTheme="majorHAnsi" w:hAnsiTheme="majorHAnsi" w:cstheme="majorHAnsi"/>
          <w:bCs/>
          <w:color w:val="000000"/>
          <w:lang w:val="en-US"/>
        </w:rPr>
        <w:t xml:space="preserve">often </w:t>
      </w:r>
      <w:r w:rsidR="003E6D1E">
        <w:rPr>
          <w:rFonts w:asciiTheme="majorHAnsi" w:hAnsiTheme="majorHAnsi" w:cstheme="majorHAnsi"/>
          <w:bCs/>
          <w:color w:val="000000"/>
          <w:lang w:val="en-US"/>
        </w:rPr>
        <w:t xml:space="preserve">led to </w:t>
      </w:r>
      <w:r w:rsidR="00784D8E">
        <w:rPr>
          <w:rFonts w:asciiTheme="majorHAnsi" w:hAnsiTheme="majorHAnsi" w:cstheme="majorHAnsi"/>
          <w:bCs/>
          <w:color w:val="000000"/>
          <w:lang w:val="en-US"/>
        </w:rPr>
        <w:t>incomplete permit</w:t>
      </w:r>
      <w:r w:rsidR="005562DC">
        <w:rPr>
          <w:rFonts w:asciiTheme="majorHAnsi" w:hAnsiTheme="majorHAnsi" w:cstheme="majorHAnsi"/>
          <w:bCs/>
          <w:color w:val="000000"/>
          <w:lang w:val="en-US"/>
        </w:rPr>
        <w:t xml:space="preserve"> requests</w:t>
      </w:r>
      <w:r w:rsidR="003E6D1E">
        <w:rPr>
          <w:rFonts w:asciiTheme="majorHAnsi" w:hAnsiTheme="majorHAnsi" w:cstheme="majorHAnsi"/>
          <w:bCs/>
          <w:color w:val="000000"/>
          <w:lang w:val="en-US"/>
        </w:rPr>
        <w:t xml:space="preserve"> (requests were being submitted only due to deadlines), which together with the duration of procedure, </w:t>
      </w:r>
      <w:r w:rsidR="00826D5F">
        <w:rPr>
          <w:rFonts w:asciiTheme="majorHAnsi" w:hAnsiTheme="majorHAnsi" w:cstheme="majorHAnsi"/>
          <w:bCs/>
          <w:color w:val="000000"/>
        </w:rPr>
        <w:t>waiting for necessary documentation from other institutions and supplementation of request</w:t>
      </w:r>
      <w:r w:rsidR="004F1682">
        <w:rPr>
          <w:rFonts w:asciiTheme="majorHAnsi" w:hAnsiTheme="majorHAnsi" w:cstheme="majorHAnsi"/>
          <w:bCs/>
          <w:color w:val="000000"/>
        </w:rPr>
        <w:t>s</w:t>
      </w:r>
      <w:r w:rsidR="00826D5F">
        <w:rPr>
          <w:rFonts w:asciiTheme="majorHAnsi" w:hAnsiTheme="majorHAnsi" w:cstheme="majorHAnsi"/>
          <w:bCs/>
          <w:color w:val="000000"/>
        </w:rPr>
        <w:t xml:space="preserve">, represented </w:t>
      </w:r>
      <w:r w:rsidR="00252F36">
        <w:rPr>
          <w:rFonts w:asciiTheme="majorHAnsi" w:hAnsiTheme="majorHAnsi" w:cstheme="majorHAnsi"/>
          <w:bCs/>
          <w:color w:val="000000"/>
        </w:rPr>
        <w:t xml:space="preserve">the </w:t>
      </w:r>
      <w:r w:rsidR="00826D5F">
        <w:rPr>
          <w:rFonts w:asciiTheme="majorHAnsi" w:hAnsiTheme="majorHAnsi" w:cstheme="majorHAnsi"/>
          <w:bCs/>
          <w:color w:val="000000"/>
        </w:rPr>
        <w:t xml:space="preserve">reason for long duration of procedures and relatively small number of issued permits compared to the number of operators and </w:t>
      </w:r>
      <w:r w:rsidR="00252F36">
        <w:rPr>
          <w:rFonts w:asciiTheme="majorHAnsi" w:hAnsiTheme="majorHAnsi" w:cstheme="majorHAnsi"/>
          <w:bCs/>
          <w:color w:val="000000"/>
        </w:rPr>
        <w:t>aligned deadlines of their obtainment. In the meantime, procedure for the preparation of the new law on industrial emissions started, along with by-laws for the alignment with the Industrial Emissions Directive 2010/75/EnC, which is expected to be ready for adoption procedure by the end of 2024.</w:t>
      </w:r>
      <w:r w:rsidRPr="00A33AE8">
        <w:rPr>
          <w:rFonts w:asciiTheme="majorHAnsi" w:hAnsiTheme="majorHAnsi" w:cstheme="majorHAnsi"/>
          <w:bCs/>
          <w:color w:val="000000"/>
        </w:rPr>
        <w:t xml:space="preserve"> The Republic of Serbia needs to increase capacities for managing the integrated permitting processes, while the country should tackle industrial pollution by enforcing the polluters’ pay-principle in order to encourage the industry to invest in green solutions</w:t>
      </w:r>
      <w:r w:rsidRPr="00A33AE8">
        <w:rPr>
          <w:rFonts w:asciiTheme="majorHAnsi" w:hAnsiTheme="majorHAnsi" w:cstheme="majorHAnsi"/>
          <w:vertAlign w:val="superscript"/>
        </w:rPr>
        <w:footnoteReference w:id="98"/>
      </w:r>
      <w:r w:rsidRPr="00A33AE8">
        <w:rPr>
          <w:rFonts w:asciiTheme="majorHAnsi" w:hAnsiTheme="majorHAnsi" w:cstheme="majorHAnsi"/>
          <w:bCs/>
          <w:color w:val="000000"/>
        </w:rPr>
        <w:t>.</w:t>
      </w:r>
    </w:p>
    <w:p w14:paraId="3BDB556C" w14:textId="77777777" w:rsidR="00F5495E" w:rsidRPr="00A33AE8" w:rsidRDefault="005D0066" w:rsidP="00EF77E4">
      <w:pPr>
        <w:jc w:val="both"/>
        <w:rPr>
          <w:rFonts w:asciiTheme="majorHAnsi" w:hAnsiTheme="majorHAnsi" w:cstheme="majorHAnsi"/>
        </w:rPr>
      </w:pPr>
      <w:r w:rsidRPr="00A33AE8">
        <w:rPr>
          <w:rFonts w:asciiTheme="majorHAnsi" w:hAnsiTheme="majorHAnsi" w:cstheme="majorHAnsi"/>
          <w:bCs/>
          <w:color w:val="000000"/>
        </w:rPr>
        <w:t>Furthermore, regarding buildings in the industrial and service sectors, demand for cooling during the summer needs to be reduced (thermal renovation and efficiency standards for new buildings). Support will be possible under the funding policy in place for phasing out the use of fluorinated gases with a high global warming potential (GWP) (e.g. refrigeration and air-conditioning units) at an earlier stage. It will also be ensured (e.g. through contact with trade associations in the refrigeration and air-conditioning industry and providing information about new refrigerants) that Serbian companies or persons working at such companies have the necessary knowledge regarding alternative refrigerants and skills for working with such refrigerants.</w:t>
      </w:r>
    </w:p>
    <w:tbl>
      <w:tblPr>
        <w:tblW w:w="9680" w:type="dxa"/>
        <w:tblLook w:val="04A0" w:firstRow="1" w:lastRow="0" w:firstColumn="1" w:lastColumn="0" w:noHBand="0" w:noVBand="1"/>
      </w:tblPr>
      <w:tblGrid>
        <w:gridCol w:w="3323"/>
        <w:gridCol w:w="954"/>
        <w:gridCol w:w="944"/>
        <w:gridCol w:w="4237"/>
        <w:gridCol w:w="222"/>
      </w:tblGrid>
      <w:tr w:rsidR="00F5495E" w:rsidRPr="00A33AE8" w14:paraId="659CAE7F" w14:textId="77777777" w:rsidTr="006769DA">
        <w:trPr>
          <w:gridAfter w:val="1"/>
          <w:wAfter w:w="222" w:type="dxa"/>
          <w:trHeight w:val="780"/>
        </w:trPr>
        <w:tc>
          <w:tcPr>
            <w:tcW w:w="332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868D22B" w14:textId="77777777" w:rsidR="00F5495E" w:rsidRPr="00A33AE8" w:rsidRDefault="00F5495E"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4" w:type="dxa"/>
            <w:tcBorders>
              <w:top w:val="single" w:sz="8" w:space="0" w:color="auto"/>
              <w:left w:val="nil"/>
              <w:bottom w:val="single" w:sz="8" w:space="0" w:color="auto"/>
              <w:right w:val="single" w:sz="8" w:space="0" w:color="auto"/>
            </w:tcBorders>
            <w:shd w:val="clear" w:color="auto" w:fill="E7E6E6" w:themeFill="background2"/>
            <w:vAlign w:val="center"/>
            <w:hideMark/>
          </w:tcPr>
          <w:p w14:paraId="1853B5D5" w14:textId="77777777" w:rsidR="00F5495E" w:rsidRPr="00A33AE8" w:rsidRDefault="00F5495E"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PM_D5</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5E7369AB"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7" w:type="dxa"/>
            <w:tcBorders>
              <w:top w:val="single" w:sz="8" w:space="0" w:color="auto"/>
              <w:left w:val="nil"/>
              <w:bottom w:val="single" w:sz="8" w:space="0" w:color="auto"/>
              <w:right w:val="single" w:sz="8" w:space="0" w:color="auto"/>
            </w:tcBorders>
            <w:shd w:val="clear" w:color="auto" w:fill="E7E6E6" w:themeFill="background2"/>
            <w:vAlign w:val="center"/>
            <w:hideMark/>
          </w:tcPr>
          <w:p w14:paraId="0CA9B54B" w14:textId="77777777" w:rsidR="00F5495E" w:rsidRPr="00A33AE8" w:rsidRDefault="00F5495E"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Implementation of </w:t>
            </w:r>
            <w:r w:rsidR="00A703AD" w:rsidRPr="00A33AE8">
              <w:rPr>
                <w:rFonts w:ascii="Calibri Light" w:eastAsia="Times New Roman" w:hAnsi="Calibri Light" w:cs="Calibri Light"/>
                <w:b/>
                <w:bCs/>
                <w:color w:val="000000"/>
                <w:sz w:val="20"/>
                <w:szCs w:val="20"/>
                <w:lang w:eastAsia="en-GB"/>
              </w:rPr>
              <w:t>best available technologies</w:t>
            </w:r>
            <w:r w:rsidRPr="00A33AE8">
              <w:rPr>
                <w:rFonts w:ascii="Calibri Light" w:eastAsia="Times New Roman" w:hAnsi="Calibri Light" w:cs="Calibri Light"/>
                <w:b/>
                <w:bCs/>
                <w:color w:val="000000"/>
                <w:sz w:val="20"/>
                <w:szCs w:val="20"/>
                <w:lang w:eastAsia="en-GB"/>
              </w:rPr>
              <w:t xml:space="preserve"> in production processes in specific industries</w:t>
            </w:r>
          </w:p>
        </w:tc>
      </w:tr>
      <w:tr w:rsidR="00F5495E" w:rsidRPr="00A33AE8" w14:paraId="56BEC37E" w14:textId="77777777" w:rsidTr="006769DA">
        <w:trPr>
          <w:gridAfter w:val="1"/>
          <w:wAfter w:w="222" w:type="dxa"/>
          <w:trHeight w:val="339"/>
        </w:trPr>
        <w:tc>
          <w:tcPr>
            <w:tcW w:w="3323" w:type="dxa"/>
            <w:tcBorders>
              <w:top w:val="nil"/>
              <w:left w:val="single" w:sz="8" w:space="0" w:color="auto"/>
              <w:bottom w:val="single" w:sz="8" w:space="0" w:color="auto"/>
              <w:right w:val="nil"/>
            </w:tcBorders>
            <w:shd w:val="clear" w:color="000000" w:fill="244062"/>
            <w:vAlign w:val="center"/>
            <w:hideMark/>
          </w:tcPr>
          <w:p w14:paraId="46DF3D71"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7D44E2D3" w14:textId="77777777" w:rsidR="00F5495E" w:rsidRPr="00A33AE8" w:rsidRDefault="00F5495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GHG emissions reduction</w:t>
            </w:r>
          </w:p>
        </w:tc>
      </w:tr>
      <w:tr w:rsidR="00F5495E" w:rsidRPr="00A33AE8" w14:paraId="6B6DD68F" w14:textId="77777777" w:rsidTr="006769D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F5EA8F0"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1D83FC2C" w14:textId="079B906F" w:rsidR="00F5495E" w:rsidRPr="00A33AE8" w:rsidRDefault="0006244D" w:rsidP="002A0D90">
            <w:pPr>
              <w:spacing w:after="0" w:line="240" w:lineRule="auto"/>
              <w:jc w:val="both"/>
              <w:rPr>
                <w:rFonts w:asciiTheme="majorHAnsi" w:eastAsia="Times New Roman" w:hAnsiTheme="majorHAnsi" w:cstheme="majorHAnsi"/>
                <w:color w:val="000000"/>
                <w:sz w:val="20"/>
                <w:szCs w:val="20"/>
                <w:lang w:eastAsia="en-GB"/>
              </w:rPr>
            </w:pPr>
            <w:r w:rsidRPr="0006244D">
              <w:rPr>
                <w:rFonts w:asciiTheme="majorHAnsi" w:eastAsia="Times New Roman" w:hAnsiTheme="majorHAnsi" w:cstheme="majorHAnsi"/>
                <w:color w:val="000000"/>
                <w:sz w:val="20"/>
                <w:szCs w:val="20"/>
                <w:lang w:eastAsia="en-GB"/>
              </w:rPr>
              <w:t>Contribution to the objective of reduction of GHG emissions by 33.3% (without LULUCF) by 2030 compared to 1990 levels</w:t>
            </w:r>
          </w:p>
        </w:tc>
      </w:tr>
      <w:tr w:rsidR="00F5495E" w:rsidRPr="00A33AE8" w14:paraId="365A9E4A" w14:textId="77777777" w:rsidTr="006769DA">
        <w:trPr>
          <w:gridAfter w:val="1"/>
          <w:wAfter w:w="222" w:type="dxa"/>
          <w:trHeight w:val="1044"/>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FCD1D17"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2AE1DFFC" w14:textId="77777777" w:rsidR="00F5495E" w:rsidRPr="00A33AE8" w:rsidRDefault="00F5495E"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PM_D5 will facilitate non-energy related GHG emission reductions by </w:t>
            </w:r>
            <w:r w:rsidR="00A703AD" w:rsidRPr="00A33AE8">
              <w:rPr>
                <w:rFonts w:asciiTheme="majorHAnsi" w:eastAsia="Times New Roman" w:hAnsiTheme="majorHAnsi" w:cstheme="majorHAnsi"/>
                <w:color w:val="000000"/>
                <w:sz w:val="20"/>
                <w:szCs w:val="20"/>
                <w:lang w:eastAsia="en-GB"/>
              </w:rPr>
              <w:t xml:space="preserve">the </w:t>
            </w:r>
            <w:r w:rsidRPr="00A33AE8">
              <w:rPr>
                <w:rFonts w:asciiTheme="majorHAnsi" w:eastAsia="Times New Roman" w:hAnsiTheme="majorHAnsi" w:cstheme="majorHAnsi"/>
                <w:color w:val="000000"/>
                <w:sz w:val="20"/>
                <w:szCs w:val="20"/>
                <w:lang w:eastAsia="en-GB"/>
              </w:rPr>
              <w:t xml:space="preserve">modernization of industrial process </w:t>
            </w:r>
            <w:r w:rsidR="00DD2939" w:rsidRPr="00A33AE8">
              <w:rPr>
                <w:rFonts w:asciiTheme="majorHAnsi" w:eastAsia="Times New Roman" w:hAnsiTheme="majorHAnsi" w:cstheme="majorHAnsi"/>
                <w:color w:val="000000"/>
                <w:sz w:val="20"/>
                <w:szCs w:val="20"/>
                <w:lang w:eastAsia="en-GB"/>
              </w:rPr>
              <w:t xml:space="preserve">technologies </w:t>
            </w:r>
            <w:r w:rsidRPr="00A33AE8">
              <w:rPr>
                <w:rFonts w:asciiTheme="majorHAnsi" w:eastAsia="Times New Roman" w:hAnsiTheme="majorHAnsi" w:cstheme="majorHAnsi"/>
                <w:color w:val="000000"/>
                <w:sz w:val="20"/>
                <w:szCs w:val="20"/>
                <w:lang w:eastAsia="en-GB"/>
              </w:rPr>
              <w:t xml:space="preserve">and increased material efficiency </w:t>
            </w:r>
            <w:r w:rsidR="0006244D">
              <w:rPr>
                <w:rFonts w:asciiTheme="majorHAnsi" w:eastAsia="Times New Roman" w:hAnsiTheme="majorHAnsi" w:cstheme="majorHAnsi"/>
                <w:color w:val="000000"/>
                <w:sz w:val="20"/>
                <w:szCs w:val="20"/>
                <w:lang w:eastAsia="en-GB"/>
              </w:rPr>
              <w:t xml:space="preserve">for the prevention of pollutants in air, water, soil </w:t>
            </w:r>
            <w:r w:rsidRPr="00A33AE8">
              <w:rPr>
                <w:rFonts w:asciiTheme="majorHAnsi" w:eastAsia="Times New Roman" w:hAnsiTheme="majorHAnsi" w:cstheme="majorHAnsi"/>
                <w:color w:val="000000"/>
                <w:sz w:val="20"/>
                <w:szCs w:val="20"/>
                <w:lang w:eastAsia="en-GB"/>
              </w:rPr>
              <w:t>in</w:t>
            </w:r>
            <w:r w:rsidR="0006244D">
              <w:rPr>
                <w:rFonts w:asciiTheme="majorHAnsi" w:eastAsia="Times New Roman" w:hAnsiTheme="majorHAnsi" w:cstheme="majorHAnsi"/>
                <w:color w:val="000000"/>
                <w:sz w:val="20"/>
                <w:szCs w:val="20"/>
                <w:lang w:eastAsia="en-GB"/>
              </w:rPr>
              <w:t xml:space="preserve"> production and processing of metals, industrial metals, chemical industry, waste management, chemical industry, waste management, food processing plants etc. with application of best available technologies (BAT) in accordance with BREF documents for specific areas of industrial production. </w:t>
            </w:r>
          </w:p>
        </w:tc>
      </w:tr>
      <w:tr w:rsidR="00F5495E" w:rsidRPr="00A33AE8" w14:paraId="2C7FEFDC" w14:textId="77777777" w:rsidTr="006769D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D774B42"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748EFCAA" w14:textId="77777777" w:rsidR="00F5495E" w:rsidRPr="00A33AE8" w:rsidRDefault="00DD293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F5495E" w:rsidRPr="00A33AE8">
              <w:rPr>
                <w:rFonts w:asciiTheme="majorHAnsi" w:eastAsia="Times New Roman" w:hAnsiTheme="majorHAnsi" w:cstheme="majorHAnsi"/>
                <w:color w:val="000000"/>
                <w:sz w:val="20"/>
                <w:szCs w:val="20"/>
                <w:lang w:eastAsia="en-GB"/>
              </w:rPr>
              <w:t>-2030</w:t>
            </w:r>
          </w:p>
        </w:tc>
      </w:tr>
      <w:tr w:rsidR="00F5495E" w:rsidRPr="00A33AE8" w14:paraId="5E271D96" w14:textId="77777777" w:rsidTr="006769D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3218631"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7825D346" w14:textId="77777777" w:rsidR="00F5495E" w:rsidRPr="00A33AE8" w:rsidRDefault="008E5372"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F5495E" w:rsidRPr="00A33AE8" w14:paraId="43567998" w14:textId="77777777" w:rsidTr="006769D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1DA6F8C2"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29A1E838" w14:textId="77777777" w:rsidR="00F5495E" w:rsidRPr="00A33AE8" w:rsidRDefault="00F5495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Industry</w:t>
            </w:r>
          </w:p>
        </w:tc>
      </w:tr>
      <w:tr w:rsidR="00F5495E" w:rsidRPr="00A33AE8" w14:paraId="5ED6CA3C" w14:textId="77777777" w:rsidTr="006769DA">
        <w:trPr>
          <w:gridAfter w:val="1"/>
          <w:wAfter w:w="222" w:type="dxa"/>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783A079"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3FB01D25" w14:textId="77777777" w:rsidR="00F5495E" w:rsidRPr="00A33AE8" w:rsidRDefault="00F5495E" w:rsidP="00884F3B">
            <w:pPr>
              <w:pStyle w:val="ListParagraph"/>
              <w:numPr>
                <w:ilvl w:val="0"/>
                <w:numId w:val="216"/>
              </w:numPr>
              <w:spacing w:after="0" w:line="240" w:lineRule="auto"/>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Ministry of Environmental Protection</w:t>
            </w:r>
          </w:p>
          <w:p w14:paraId="625AF074" w14:textId="77777777" w:rsidR="00F5495E" w:rsidRPr="000007D2" w:rsidRDefault="00F5495E" w:rsidP="00884F3B">
            <w:pPr>
              <w:pStyle w:val="ListParagraph"/>
              <w:numPr>
                <w:ilvl w:val="0"/>
                <w:numId w:val="216"/>
              </w:numPr>
              <w:spacing w:after="0" w:line="240" w:lineRule="auto"/>
              <w:rPr>
                <w:rFonts w:asciiTheme="majorHAnsi" w:hAnsiTheme="majorHAnsi" w:cstheme="majorHAnsi"/>
                <w:sz w:val="24"/>
                <w:szCs w:val="24"/>
                <w:lang w:eastAsia="en-GB"/>
              </w:rPr>
            </w:pPr>
            <w:r w:rsidRPr="00A33AE8">
              <w:rPr>
                <w:rFonts w:asciiTheme="majorHAnsi" w:eastAsia="Times New Roman" w:hAnsiTheme="majorHAnsi" w:cstheme="majorHAnsi"/>
                <w:color w:val="000000"/>
                <w:sz w:val="20"/>
                <w:szCs w:val="20"/>
                <w:lang w:eastAsia="en-GB"/>
              </w:rPr>
              <w:t xml:space="preserve">Ministry of </w:t>
            </w:r>
            <w:r w:rsidR="00DD2939" w:rsidRPr="00A33AE8">
              <w:rPr>
                <w:rFonts w:asciiTheme="majorHAnsi" w:eastAsia="Times New Roman" w:hAnsiTheme="majorHAnsi" w:cstheme="majorHAnsi"/>
                <w:color w:val="000000"/>
                <w:sz w:val="20"/>
                <w:szCs w:val="20"/>
                <w:lang w:eastAsia="en-GB"/>
              </w:rPr>
              <w:t>Economy</w:t>
            </w:r>
          </w:p>
          <w:p w14:paraId="55C76E14" w14:textId="77777777" w:rsidR="00DD2939" w:rsidRPr="00A33AE8" w:rsidRDefault="00DD2939" w:rsidP="00884F3B">
            <w:pPr>
              <w:pStyle w:val="ListParagraph"/>
              <w:numPr>
                <w:ilvl w:val="0"/>
                <w:numId w:val="216"/>
              </w:numPr>
              <w:spacing w:after="0" w:line="240" w:lineRule="auto"/>
              <w:rPr>
                <w:rFonts w:asciiTheme="majorHAnsi" w:hAnsiTheme="majorHAnsi" w:cstheme="majorHAnsi"/>
                <w:sz w:val="24"/>
                <w:szCs w:val="24"/>
                <w:lang w:eastAsia="en-GB"/>
              </w:rPr>
            </w:pPr>
            <w:r w:rsidRPr="000007D2">
              <w:rPr>
                <w:rFonts w:asciiTheme="majorHAnsi" w:eastAsia="Times New Roman" w:hAnsiTheme="majorHAnsi" w:cstheme="majorHAnsi"/>
                <w:color w:val="000000"/>
                <w:sz w:val="20"/>
                <w:szCs w:val="20"/>
                <w:lang w:eastAsia="en-GB"/>
              </w:rPr>
              <w:t>Chamber of Commerce and Industry</w:t>
            </w:r>
          </w:p>
        </w:tc>
      </w:tr>
      <w:tr w:rsidR="00F5495E" w:rsidRPr="00A33AE8" w14:paraId="451091D5" w14:textId="77777777" w:rsidTr="006769DA">
        <w:trPr>
          <w:gridAfter w:val="1"/>
          <w:wAfter w:w="222" w:type="dxa"/>
          <w:trHeight w:val="315"/>
        </w:trPr>
        <w:tc>
          <w:tcPr>
            <w:tcW w:w="3323" w:type="dxa"/>
            <w:tcBorders>
              <w:top w:val="nil"/>
              <w:left w:val="single" w:sz="8" w:space="0" w:color="auto"/>
              <w:bottom w:val="single" w:sz="8" w:space="0" w:color="auto"/>
              <w:right w:val="nil"/>
            </w:tcBorders>
            <w:shd w:val="clear" w:color="000000" w:fill="244062"/>
            <w:vAlign w:val="center"/>
            <w:hideMark/>
          </w:tcPr>
          <w:p w14:paraId="711938E2"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6FA8352D" w14:textId="77777777" w:rsidR="00F5495E" w:rsidRPr="00A33AE8" w:rsidRDefault="00F5495E" w:rsidP="00884F3B">
            <w:pPr>
              <w:pStyle w:val="ListParagraph"/>
              <w:numPr>
                <w:ilvl w:val="0"/>
                <w:numId w:val="21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230D01F3" w14:textId="77777777" w:rsidR="00F5495E" w:rsidRPr="00A33AE8" w:rsidRDefault="00F5495E" w:rsidP="00884F3B">
            <w:pPr>
              <w:pStyle w:val="ListParagraph"/>
              <w:numPr>
                <w:ilvl w:val="0"/>
                <w:numId w:val="21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F5495E" w:rsidRPr="00A33AE8" w14:paraId="4049E7D2" w14:textId="77777777" w:rsidTr="006769DA">
        <w:trPr>
          <w:gridAfter w:val="1"/>
          <w:wAfter w:w="222" w:type="dxa"/>
          <w:trHeight w:val="315"/>
        </w:trPr>
        <w:tc>
          <w:tcPr>
            <w:tcW w:w="3323" w:type="dxa"/>
            <w:tcBorders>
              <w:top w:val="nil"/>
              <w:left w:val="single" w:sz="8" w:space="0" w:color="auto"/>
              <w:bottom w:val="single" w:sz="8" w:space="0" w:color="auto"/>
              <w:right w:val="nil"/>
            </w:tcBorders>
            <w:shd w:val="clear" w:color="000000" w:fill="244062"/>
            <w:vAlign w:val="center"/>
            <w:hideMark/>
          </w:tcPr>
          <w:p w14:paraId="27B767F4"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421BD1BC" w14:textId="77777777" w:rsidR="00F5495E" w:rsidRPr="00A33AE8" w:rsidRDefault="00F5495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emissions reduction (Gg CO2-eq)</w:t>
            </w:r>
          </w:p>
        </w:tc>
      </w:tr>
      <w:tr w:rsidR="00D21FE6" w:rsidRPr="00A33AE8" w14:paraId="756804D0" w14:textId="77777777" w:rsidTr="006769DA">
        <w:trPr>
          <w:gridAfter w:val="1"/>
          <w:wAfter w:w="222" w:type="dxa"/>
          <w:trHeight w:val="49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E4F4AEA" w14:textId="77777777" w:rsidR="00D21FE6" w:rsidRPr="00A33AE8" w:rsidRDefault="00D21FE6" w:rsidP="00D21FE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72F9D4DD" w14:textId="77777777" w:rsidR="00D21FE6" w:rsidRPr="00A33AE8" w:rsidRDefault="00D21FE6"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Efficiency</w:t>
            </w:r>
          </w:p>
        </w:tc>
      </w:tr>
      <w:tr w:rsidR="00D21FE6" w:rsidRPr="00A33AE8" w14:paraId="571E55DE" w14:textId="77777777" w:rsidTr="006769DA">
        <w:trPr>
          <w:gridAfter w:val="1"/>
          <w:wAfter w:w="222" w:type="dxa"/>
          <w:trHeight w:val="450"/>
        </w:trPr>
        <w:tc>
          <w:tcPr>
            <w:tcW w:w="332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28D9A5F" w14:textId="77777777" w:rsidR="00D21FE6" w:rsidRPr="00A33AE8" w:rsidRDefault="00D21FE6" w:rsidP="00D21FE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67FD42" w14:textId="77777777" w:rsidR="00D21FE6" w:rsidRDefault="00D21FE6"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795E30" w:rsidRPr="00A33AE8">
              <w:rPr>
                <w:rFonts w:asciiTheme="majorHAnsi" w:eastAsia="Times New Roman" w:hAnsiTheme="majorHAnsi" w:cstheme="majorHAnsi"/>
                <w:color w:val="000000"/>
                <w:sz w:val="20"/>
                <w:szCs w:val="20"/>
                <w:lang w:eastAsia="en-GB"/>
              </w:rPr>
              <w:t>2018/1999</w:t>
            </w:r>
          </w:p>
          <w:p w14:paraId="196BC983" w14:textId="77777777" w:rsidR="00252F36" w:rsidRPr="00A33AE8" w:rsidRDefault="00252F36"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Industrial Emissions Directive 2010/75/EnC</w:t>
            </w:r>
          </w:p>
        </w:tc>
      </w:tr>
      <w:tr w:rsidR="00D21FE6" w:rsidRPr="00A33AE8" w14:paraId="65C990E9" w14:textId="77777777" w:rsidTr="006769DA">
        <w:trPr>
          <w:trHeight w:val="300"/>
        </w:trPr>
        <w:tc>
          <w:tcPr>
            <w:tcW w:w="3323" w:type="dxa"/>
            <w:vMerge/>
            <w:tcBorders>
              <w:top w:val="nil"/>
              <w:left w:val="single" w:sz="8" w:space="0" w:color="auto"/>
              <w:bottom w:val="single" w:sz="8" w:space="0" w:color="000000"/>
              <w:right w:val="single" w:sz="8" w:space="0" w:color="auto"/>
            </w:tcBorders>
            <w:vAlign w:val="center"/>
            <w:hideMark/>
          </w:tcPr>
          <w:p w14:paraId="41D11717" w14:textId="77777777" w:rsidR="00D21FE6" w:rsidRPr="00A33AE8" w:rsidRDefault="00D21FE6" w:rsidP="00D21FE6">
            <w:pPr>
              <w:spacing w:after="0" w:line="240" w:lineRule="auto"/>
              <w:rPr>
                <w:rFonts w:ascii="Calibri Light" w:eastAsia="Times New Roman" w:hAnsi="Calibri Light" w:cs="Calibri Light"/>
                <w:b/>
                <w:bCs/>
                <w:color w:val="FFFFFF"/>
                <w:sz w:val="20"/>
                <w:szCs w:val="20"/>
                <w:lang w:eastAsia="en-GB"/>
              </w:rPr>
            </w:pPr>
          </w:p>
        </w:tc>
        <w:tc>
          <w:tcPr>
            <w:tcW w:w="6135" w:type="dxa"/>
            <w:gridSpan w:val="3"/>
            <w:vMerge/>
            <w:tcBorders>
              <w:top w:val="single" w:sz="8" w:space="0" w:color="auto"/>
              <w:left w:val="single" w:sz="8" w:space="0" w:color="auto"/>
              <w:bottom w:val="single" w:sz="8" w:space="0" w:color="000000"/>
              <w:right w:val="single" w:sz="8" w:space="0" w:color="000000"/>
            </w:tcBorders>
            <w:vAlign w:val="center"/>
            <w:hideMark/>
          </w:tcPr>
          <w:p w14:paraId="0D6FA759" w14:textId="77777777" w:rsidR="00D21FE6" w:rsidRPr="00A33AE8" w:rsidRDefault="00D21FE6"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F73BA95" w14:textId="77777777" w:rsidR="00D21FE6" w:rsidRPr="00A33AE8" w:rsidRDefault="00D21FE6" w:rsidP="00D21FE6">
            <w:pPr>
              <w:spacing w:after="0" w:line="240" w:lineRule="auto"/>
              <w:rPr>
                <w:rFonts w:ascii="Calibri Light" w:eastAsia="Times New Roman" w:hAnsi="Calibri Light" w:cs="Calibri Light"/>
                <w:color w:val="000000"/>
                <w:sz w:val="20"/>
                <w:szCs w:val="20"/>
                <w:lang w:eastAsia="en-GB"/>
              </w:rPr>
            </w:pPr>
          </w:p>
        </w:tc>
      </w:tr>
      <w:tr w:rsidR="00D21FE6" w:rsidRPr="00A33AE8" w14:paraId="5EB687E6" w14:textId="77777777" w:rsidTr="006769DA">
        <w:trPr>
          <w:trHeight w:val="60"/>
        </w:trPr>
        <w:tc>
          <w:tcPr>
            <w:tcW w:w="3323" w:type="dxa"/>
            <w:vMerge/>
            <w:tcBorders>
              <w:top w:val="nil"/>
              <w:left w:val="single" w:sz="8" w:space="0" w:color="auto"/>
              <w:bottom w:val="single" w:sz="8" w:space="0" w:color="000000"/>
              <w:right w:val="single" w:sz="8" w:space="0" w:color="auto"/>
            </w:tcBorders>
            <w:vAlign w:val="center"/>
            <w:hideMark/>
          </w:tcPr>
          <w:p w14:paraId="00C92FFD" w14:textId="77777777" w:rsidR="00D21FE6" w:rsidRPr="00A33AE8" w:rsidRDefault="00D21FE6" w:rsidP="00D21FE6">
            <w:pPr>
              <w:spacing w:after="0" w:line="240" w:lineRule="auto"/>
              <w:rPr>
                <w:rFonts w:ascii="Calibri Light" w:eastAsia="Times New Roman" w:hAnsi="Calibri Light" w:cs="Calibri Light"/>
                <w:b/>
                <w:bCs/>
                <w:color w:val="FFFFFF"/>
                <w:sz w:val="20"/>
                <w:szCs w:val="20"/>
                <w:lang w:eastAsia="en-GB"/>
              </w:rPr>
            </w:pPr>
          </w:p>
        </w:tc>
        <w:tc>
          <w:tcPr>
            <w:tcW w:w="6135" w:type="dxa"/>
            <w:gridSpan w:val="3"/>
            <w:vMerge/>
            <w:tcBorders>
              <w:top w:val="single" w:sz="8" w:space="0" w:color="auto"/>
              <w:left w:val="single" w:sz="8" w:space="0" w:color="auto"/>
              <w:bottom w:val="single" w:sz="8" w:space="0" w:color="000000"/>
              <w:right w:val="single" w:sz="8" w:space="0" w:color="000000"/>
            </w:tcBorders>
            <w:vAlign w:val="center"/>
            <w:hideMark/>
          </w:tcPr>
          <w:p w14:paraId="41429B42" w14:textId="77777777" w:rsidR="00D21FE6" w:rsidRPr="00A33AE8" w:rsidRDefault="00D21FE6"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34AFC1C" w14:textId="77777777" w:rsidR="00D21FE6" w:rsidRPr="00A33AE8" w:rsidRDefault="00D21FE6" w:rsidP="00D21FE6">
            <w:pPr>
              <w:spacing w:after="0" w:line="240" w:lineRule="auto"/>
              <w:rPr>
                <w:rFonts w:ascii="Times New Roman" w:eastAsia="Times New Roman" w:hAnsi="Times New Roman" w:cs="Times New Roman"/>
                <w:sz w:val="20"/>
                <w:szCs w:val="20"/>
                <w:lang w:eastAsia="en-GB"/>
              </w:rPr>
            </w:pPr>
          </w:p>
        </w:tc>
      </w:tr>
      <w:tr w:rsidR="00D21FE6" w:rsidRPr="00A33AE8" w14:paraId="235ABDD1" w14:textId="77777777" w:rsidTr="006769DA">
        <w:trPr>
          <w:trHeight w:val="287"/>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1B887892" w14:textId="77777777" w:rsidR="00D21FE6" w:rsidRPr="00A33AE8" w:rsidRDefault="00D21FE6" w:rsidP="00D21FE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5" w:type="dxa"/>
            <w:gridSpan w:val="3"/>
            <w:tcBorders>
              <w:top w:val="single" w:sz="8" w:space="0" w:color="auto"/>
              <w:left w:val="nil"/>
              <w:bottom w:val="single" w:sz="8" w:space="0" w:color="auto"/>
              <w:right w:val="single" w:sz="8" w:space="0" w:color="000000"/>
            </w:tcBorders>
            <w:shd w:val="clear" w:color="auto" w:fill="auto"/>
            <w:vAlign w:val="center"/>
            <w:hideMark/>
          </w:tcPr>
          <w:p w14:paraId="5D862FBC" w14:textId="77777777" w:rsidR="00D21FE6" w:rsidRPr="00A33AE8" w:rsidRDefault="00795E30"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7FE2300F" w14:textId="77777777" w:rsidR="00D21FE6" w:rsidRPr="00A33AE8" w:rsidRDefault="00D21FE6" w:rsidP="00D21FE6">
            <w:pPr>
              <w:spacing w:after="0" w:line="240" w:lineRule="auto"/>
              <w:rPr>
                <w:rFonts w:ascii="Times New Roman" w:eastAsia="Times New Roman" w:hAnsi="Times New Roman" w:cs="Times New Roman"/>
                <w:sz w:val="20"/>
                <w:szCs w:val="20"/>
                <w:lang w:eastAsia="en-GB"/>
              </w:rPr>
            </w:pPr>
          </w:p>
        </w:tc>
      </w:tr>
      <w:tr w:rsidR="00D21FE6" w:rsidRPr="00A33AE8" w14:paraId="4F2EA785"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6B30B2E5" w14:textId="77777777" w:rsidR="00D21FE6" w:rsidRPr="00A33AE8" w:rsidRDefault="00D21FE6" w:rsidP="00D21FE6">
            <w:pPr>
              <w:spacing w:after="0" w:line="240" w:lineRule="auto"/>
              <w:rPr>
                <w:rFonts w:ascii="Times New Roman" w:hAnsi="Times New Roman" w:cs="Times New Roman"/>
                <w:sz w:val="24"/>
                <w:szCs w:val="24"/>
                <w:lang w:eastAsia="en-GB"/>
              </w:rPr>
            </w:pPr>
            <w:r w:rsidRPr="00A33AE8">
              <w:rPr>
                <w:rFonts w:ascii="Calibri Light" w:eastAsia="Times New Roman" w:hAnsi="Calibri Light" w:cs="Calibri Light"/>
                <w:b/>
                <w:bCs/>
                <w:color w:val="FFFFFF"/>
                <w:sz w:val="20"/>
                <w:szCs w:val="20"/>
                <w:lang w:eastAsia="en-GB"/>
              </w:rPr>
              <w:t>Implementation cost</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464BEF55" w14:textId="77777777" w:rsidR="00D21FE6" w:rsidRPr="00A33AE8" w:rsidRDefault="00D21FE6" w:rsidP="00D21FE6">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29 M€</w:t>
            </w:r>
          </w:p>
        </w:tc>
        <w:tc>
          <w:tcPr>
            <w:tcW w:w="222" w:type="dxa"/>
            <w:vAlign w:val="center"/>
            <w:hideMark/>
          </w:tcPr>
          <w:p w14:paraId="6A295855" w14:textId="77777777" w:rsidR="00D21FE6" w:rsidRPr="00A33AE8" w:rsidRDefault="00D21FE6" w:rsidP="00D21FE6">
            <w:pPr>
              <w:spacing w:after="0" w:line="240" w:lineRule="auto"/>
              <w:rPr>
                <w:rFonts w:ascii="Times New Roman" w:eastAsia="Times New Roman" w:hAnsi="Times New Roman" w:cs="Times New Roman"/>
                <w:sz w:val="20"/>
                <w:szCs w:val="20"/>
                <w:lang w:eastAsia="en-GB"/>
              </w:rPr>
            </w:pPr>
          </w:p>
        </w:tc>
      </w:tr>
      <w:tr w:rsidR="00D21FE6" w:rsidRPr="00A33AE8" w14:paraId="05B9520F" w14:textId="77777777" w:rsidTr="006769DA">
        <w:trPr>
          <w:trHeight w:val="315"/>
        </w:trPr>
        <w:tc>
          <w:tcPr>
            <w:tcW w:w="3323" w:type="dxa"/>
            <w:tcBorders>
              <w:top w:val="nil"/>
              <w:left w:val="single" w:sz="8" w:space="0" w:color="auto"/>
              <w:bottom w:val="single" w:sz="8" w:space="0" w:color="auto"/>
              <w:right w:val="single" w:sz="8" w:space="0" w:color="auto"/>
            </w:tcBorders>
            <w:shd w:val="clear" w:color="000000" w:fill="244062"/>
            <w:vAlign w:val="center"/>
            <w:hideMark/>
          </w:tcPr>
          <w:p w14:paraId="4BDD6FB5" w14:textId="77777777" w:rsidR="00D21FE6" w:rsidRPr="00A33AE8" w:rsidRDefault="00D21FE6" w:rsidP="00D21FE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5" w:type="dxa"/>
            <w:gridSpan w:val="3"/>
            <w:tcBorders>
              <w:top w:val="single" w:sz="8" w:space="0" w:color="auto"/>
              <w:left w:val="nil"/>
              <w:bottom w:val="single" w:sz="8" w:space="0" w:color="auto"/>
              <w:right w:val="single" w:sz="8" w:space="0" w:color="000000"/>
            </w:tcBorders>
            <w:shd w:val="clear" w:color="auto" w:fill="auto"/>
            <w:vAlign w:val="center"/>
          </w:tcPr>
          <w:p w14:paraId="09135D28" w14:textId="77777777" w:rsidR="00D21FE6" w:rsidRPr="00A33AE8" w:rsidRDefault="00D21FE6" w:rsidP="00D21FE6">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46E9784F" w14:textId="77777777" w:rsidR="00D21FE6" w:rsidRPr="00A33AE8" w:rsidRDefault="00D21FE6" w:rsidP="00D21FE6">
            <w:pPr>
              <w:spacing w:after="0" w:line="240" w:lineRule="auto"/>
              <w:rPr>
                <w:rFonts w:ascii="Times New Roman" w:eastAsia="Times New Roman" w:hAnsi="Times New Roman" w:cs="Times New Roman"/>
                <w:sz w:val="20"/>
                <w:szCs w:val="20"/>
                <w:lang w:eastAsia="en-GB"/>
              </w:rPr>
            </w:pPr>
          </w:p>
        </w:tc>
      </w:tr>
    </w:tbl>
    <w:p w14:paraId="318DB762" w14:textId="77777777" w:rsidR="00F5495E" w:rsidRPr="00A33AE8" w:rsidRDefault="00F5495E" w:rsidP="00F5495E">
      <w:pPr>
        <w:pStyle w:val="LDKbody"/>
        <w:rPr>
          <w:lang w:val="en-GB"/>
        </w:rPr>
      </w:pPr>
    </w:p>
    <w:tbl>
      <w:tblPr>
        <w:tblW w:w="9680" w:type="dxa"/>
        <w:tblLook w:val="04A0" w:firstRow="1" w:lastRow="0" w:firstColumn="1" w:lastColumn="0" w:noHBand="0" w:noVBand="1"/>
      </w:tblPr>
      <w:tblGrid>
        <w:gridCol w:w="3325"/>
        <w:gridCol w:w="960"/>
        <w:gridCol w:w="945"/>
        <w:gridCol w:w="4228"/>
        <w:gridCol w:w="222"/>
      </w:tblGrid>
      <w:tr w:rsidR="00F5495E" w:rsidRPr="00A33AE8" w14:paraId="7CD89156" w14:textId="77777777" w:rsidTr="006769DA">
        <w:trPr>
          <w:gridAfter w:val="1"/>
          <w:wAfter w:w="222" w:type="dxa"/>
          <w:trHeight w:val="780"/>
        </w:trPr>
        <w:tc>
          <w:tcPr>
            <w:tcW w:w="332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4C0EB57" w14:textId="77777777" w:rsidR="00F5495E" w:rsidRPr="00A33AE8" w:rsidRDefault="00F5495E"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4" w:type="dxa"/>
            <w:tcBorders>
              <w:top w:val="single" w:sz="8" w:space="0" w:color="auto"/>
              <w:left w:val="nil"/>
              <w:bottom w:val="single" w:sz="8" w:space="0" w:color="auto"/>
              <w:right w:val="single" w:sz="8" w:space="0" w:color="auto"/>
            </w:tcBorders>
            <w:shd w:val="clear" w:color="auto" w:fill="E7E6E6" w:themeFill="background2"/>
            <w:vAlign w:val="center"/>
            <w:hideMark/>
          </w:tcPr>
          <w:p w14:paraId="1811400D" w14:textId="77777777" w:rsidR="00F5495E" w:rsidRPr="00A33AE8" w:rsidRDefault="00F5495E"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B744C0" w:rsidRPr="00A33AE8">
              <w:rPr>
                <w:rFonts w:ascii="Calibri Light" w:eastAsia="Times New Roman" w:hAnsi="Calibri Light" w:cs="Calibri Light"/>
                <w:b/>
                <w:bCs/>
                <w:color w:val="000000"/>
                <w:sz w:val="20"/>
                <w:szCs w:val="20"/>
                <w:lang w:eastAsia="en-GB"/>
              </w:rPr>
              <w:t>D</w:t>
            </w:r>
            <w:r w:rsidR="00B744C0">
              <w:rPr>
                <w:rFonts w:ascii="Calibri Light" w:eastAsia="Times New Roman" w:hAnsi="Calibri Light" w:cs="Calibri Light"/>
                <w:b/>
                <w:bCs/>
                <w:color w:val="000000"/>
                <w:sz w:val="20"/>
                <w:szCs w:val="20"/>
                <w:lang w:eastAsia="en-GB"/>
              </w:rPr>
              <w:t>5.1</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68D2E539"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2" w:type="dxa"/>
            <w:tcBorders>
              <w:top w:val="single" w:sz="8" w:space="0" w:color="auto"/>
              <w:left w:val="nil"/>
              <w:bottom w:val="single" w:sz="8" w:space="0" w:color="auto"/>
              <w:right w:val="single" w:sz="8" w:space="0" w:color="auto"/>
            </w:tcBorders>
            <w:shd w:val="clear" w:color="auto" w:fill="E7E6E6" w:themeFill="background2"/>
            <w:vAlign w:val="center"/>
            <w:hideMark/>
          </w:tcPr>
          <w:p w14:paraId="7DB0A5E1" w14:textId="77777777" w:rsidR="00F5495E" w:rsidRPr="00A33AE8" w:rsidRDefault="00EE1F9E"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Measures for the reduction of emissions of fluorinated gases with greenhouse effect in the refrigeration and air conditioning equipment</w:t>
            </w:r>
          </w:p>
        </w:tc>
      </w:tr>
      <w:tr w:rsidR="00F5495E" w:rsidRPr="00A33AE8" w14:paraId="0624004F" w14:textId="77777777" w:rsidTr="006769DA">
        <w:trPr>
          <w:gridAfter w:val="1"/>
          <w:wAfter w:w="222" w:type="dxa"/>
          <w:trHeight w:val="323"/>
        </w:trPr>
        <w:tc>
          <w:tcPr>
            <w:tcW w:w="3327" w:type="dxa"/>
            <w:tcBorders>
              <w:top w:val="nil"/>
              <w:left w:val="single" w:sz="8" w:space="0" w:color="auto"/>
              <w:bottom w:val="single" w:sz="8" w:space="0" w:color="auto"/>
              <w:right w:val="nil"/>
            </w:tcBorders>
            <w:shd w:val="clear" w:color="000000" w:fill="244062"/>
            <w:vAlign w:val="center"/>
            <w:hideMark/>
          </w:tcPr>
          <w:p w14:paraId="1B4C7FF6"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0D5D39C" w14:textId="77777777" w:rsidR="00F5495E" w:rsidRPr="00A33AE8" w:rsidRDefault="00EE1F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Reduction of emissions of </w:t>
            </w:r>
            <w:r w:rsidR="00F5495E" w:rsidRPr="00A33AE8">
              <w:rPr>
                <w:rFonts w:asciiTheme="majorHAnsi" w:eastAsia="Times New Roman" w:hAnsiTheme="majorHAnsi" w:cstheme="majorHAnsi"/>
                <w:color w:val="000000"/>
                <w:sz w:val="20"/>
                <w:szCs w:val="20"/>
                <w:lang w:eastAsia="en-GB"/>
              </w:rPr>
              <w:t>Fluorinated gas</w:t>
            </w:r>
            <w:r w:rsidRPr="00A33AE8">
              <w:rPr>
                <w:rFonts w:asciiTheme="majorHAnsi" w:eastAsia="Times New Roman" w:hAnsiTheme="majorHAnsi" w:cstheme="majorHAnsi"/>
                <w:color w:val="000000"/>
                <w:sz w:val="20"/>
                <w:szCs w:val="20"/>
                <w:lang w:eastAsia="en-GB"/>
              </w:rPr>
              <w:t>es with greenhouse effect</w:t>
            </w:r>
          </w:p>
        </w:tc>
      </w:tr>
      <w:tr w:rsidR="00F5495E" w:rsidRPr="00A33AE8" w14:paraId="4B8CBE7F"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2E2C9B1C"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04754CC" w14:textId="77777777" w:rsidR="00F5495E" w:rsidRPr="00A33AE8" w:rsidRDefault="00EE1F9E"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Contribution to the objective of reduction of GHG emissions by 33.3% (without LULUCF) by 2030 compared to 1990 levels</w:t>
            </w:r>
          </w:p>
        </w:tc>
      </w:tr>
      <w:tr w:rsidR="00F5495E" w:rsidRPr="00A33AE8" w14:paraId="59149F8A" w14:textId="77777777" w:rsidTr="006769DA">
        <w:trPr>
          <w:gridAfter w:val="1"/>
          <w:wAfter w:w="222" w:type="dxa"/>
          <w:trHeight w:val="229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174E44E"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C676838" w14:textId="77777777" w:rsidR="00EE1F9E" w:rsidRPr="00A33AE8" w:rsidRDefault="00EE1F9E" w:rsidP="00EE1F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w:t>
            </w:r>
            <w:r w:rsidR="00B744C0">
              <w:rPr>
                <w:rFonts w:asciiTheme="majorHAnsi" w:eastAsia="Times New Roman" w:hAnsiTheme="majorHAnsi" w:cstheme="majorHAnsi"/>
                <w:color w:val="000000"/>
                <w:sz w:val="20"/>
                <w:szCs w:val="20"/>
                <w:lang w:eastAsia="en-GB"/>
              </w:rPr>
              <w:t>5.1</w:t>
            </w:r>
            <w:r w:rsidRPr="00A33AE8">
              <w:rPr>
                <w:rFonts w:asciiTheme="majorHAnsi" w:eastAsia="Times New Roman" w:hAnsiTheme="majorHAnsi" w:cstheme="majorHAnsi"/>
                <w:color w:val="000000"/>
                <w:sz w:val="20"/>
                <w:szCs w:val="20"/>
                <w:lang w:eastAsia="en-GB"/>
              </w:rPr>
              <w:t xml:space="preserve"> will enable reduction of fluorinated gases by preventing leaks and emissions, as well as control of fluorinated gases use. Indicative measures include:</w:t>
            </w:r>
          </w:p>
          <w:p w14:paraId="1615E4C5" w14:textId="77777777" w:rsidR="00EE1F9E" w:rsidRPr="000007D2" w:rsidRDefault="00EE1F9E" w:rsidP="00884F3B">
            <w:pPr>
              <w:pStyle w:val="ListParagraph"/>
              <w:numPr>
                <w:ilvl w:val="0"/>
                <w:numId w:val="249"/>
              </w:numPr>
              <w:spacing w:after="0" w:line="240" w:lineRule="auto"/>
              <w:jc w:val="both"/>
              <w:rPr>
                <w:rFonts w:asciiTheme="majorHAnsi" w:eastAsia="Times New Roman" w:hAnsiTheme="majorHAnsi" w:cstheme="majorHAnsi"/>
                <w:color w:val="000000"/>
                <w:sz w:val="20"/>
                <w:szCs w:val="20"/>
                <w:lang w:eastAsia="en-GB"/>
              </w:rPr>
            </w:pPr>
            <w:r w:rsidRPr="000007D2">
              <w:rPr>
                <w:rFonts w:asciiTheme="majorHAnsi" w:eastAsia="Times New Roman" w:hAnsiTheme="majorHAnsi" w:cstheme="majorHAnsi"/>
                <w:color w:val="000000"/>
                <w:sz w:val="20"/>
                <w:szCs w:val="20"/>
                <w:lang w:eastAsia="en-GB"/>
              </w:rPr>
              <w:t>Reduction of the consumption of fluorinated gases with greenhouse effect (HFC) in accordance with the established deadlines and obligations according to the ratified Kigali amendment</w:t>
            </w:r>
          </w:p>
          <w:p w14:paraId="60F6046C" w14:textId="77777777" w:rsidR="00F5495E" w:rsidRPr="000007D2" w:rsidRDefault="00EE1F9E" w:rsidP="00884F3B">
            <w:pPr>
              <w:pStyle w:val="ListParagraph"/>
              <w:numPr>
                <w:ilvl w:val="0"/>
                <w:numId w:val="249"/>
              </w:numPr>
              <w:spacing w:after="0" w:line="240" w:lineRule="auto"/>
              <w:jc w:val="both"/>
              <w:rPr>
                <w:rFonts w:asciiTheme="majorHAnsi" w:eastAsia="Times New Roman" w:hAnsiTheme="majorHAnsi" w:cstheme="majorHAnsi"/>
                <w:color w:val="000000"/>
                <w:sz w:val="20"/>
                <w:szCs w:val="20"/>
                <w:lang w:eastAsia="en-GB"/>
              </w:rPr>
            </w:pPr>
            <w:r w:rsidRPr="000007D2">
              <w:rPr>
                <w:rFonts w:asciiTheme="majorHAnsi" w:eastAsia="Times New Roman" w:hAnsiTheme="majorHAnsi" w:cstheme="majorHAnsi"/>
                <w:color w:val="000000"/>
                <w:sz w:val="20"/>
                <w:szCs w:val="20"/>
                <w:lang w:eastAsia="en-GB"/>
              </w:rPr>
              <w:t>Implementation and improvement of established system for training and certification of refrigeration and air-conditioning repair technicians.</w:t>
            </w:r>
          </w:p>
        </w:tc>
      </w:tr>
      <w:tr w:rsidR="00F5495E" w:rsidRPr="00A33AE8" w14:paraId="7D13A23E"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07395817"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3DF50D7F" w14:textId="77777777" w:rsidR="00F5495E" w:rsidRPr="00A33AE8" w:rsidRDefault="00EE1F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F5495E" w:rsidRPr="00A33AE8">
              <w:rPr>
                <w:rFonts w:asciiTheme="majorHAnsi" w:eastAsia="Times New Roman" w:hAnsiTheme="majorHAnsi" w:cstheme="majorHAnsi"/>
                <w:color w:val="000000"/>
                <w:sz w:val="20"/>
                <w:szCs w:val="20"/>
                <w:lang w:eastAsia="en-GB"/>
              </w:rPr>
              <w:t>-2030</w:t>
            </w:r>
          </w:p>
        </w:tc>
      </w:tr>
      <w:tr w:rsidR="00F5495E" w:rsidRPr="00A33AE8" w14:paraId="4C9DD619"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5440DF2"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ED7ECA2" w14:textId="77777777" w:rsidR="00F5495E" w:rsidRPr="00A33AE8" w:rsidRDefault="008E5372"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F5495E" w:rsidRPr="00A33AE8" w14:paraId="39544137"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E2B4F5A"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3E901A78" w14:textId="77777777" w:rsidR="00F5495E" w:rsidRPr="00A33AE8" w:rsidRDefault="00F5495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Industrial, services</w:t>
            </w:r>
          </w:p>
        </w:tc>
      </w:tr>
      <w:tr w:rsidR="00F5495E" w:rsidRPr="00A33AE8" w14:paraId="4F605816"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056A9BA"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7BA411A" w14:textId="77777777" w:rsidR="00F5495E" w:rsidRPr="00A33AE8" w:rsidRDefault="00F5495E" w:rsidP="00884F3B">
            <w:pPr>
              <w:pStyle w:val="ListParagraph"/>
              <w:numPr>
                <w:ilvl w:val="0"/>
                <w:numId w:val="1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F5495E" w:rsidRPr="00A33AE8" w14:paraId="4591E8A2"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3E20356F"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74AEBD4F" w14:textId="77777777" w:rsidR="00F5495E" w:rsidRPr="00A33AE8" w:rsidRDefault="00F5495E"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6EA185AB" w14:textId="77777777" w:rsidR="00F5495E" w:rsidRPr="00A33AE8" w:rsidRDefault="00F5495E" w:rsidP="00884F3B">
            <w:pPr>
              <w:pStyle w:val="ListParagraph"/>
              <w:numPr>
                <w:ilvl w:val="0"/>
                <w:numId w:val="1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Agency for Environmental Protection</w:t>
            </w:r>
          </w:p>
        </w:tc>
      </w:tr>
      <w:tr w:rsidR="00F5495E" w:rsidRPr="00A33AE8" w14:paraId="71AADC97"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09965DE8"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Progress indicators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89D3298" w14:textId="77777777" w:rsidR="00F5495E" w:rsidRPr="00A33AE8" w:rsidRDefault="00F5495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Annual reduction </w:t>
            </w:r>
            <w:r w:rsidR="00EE1F9E" w:rsidRPr="00A33AE8">
              <w:rPr>
                <w:rFonts w:asciiTheme="majorHAnsi" w:eastAsia="Times New Roman" w:hAnsiTheme="majorHAnsi" w:cstheme="majorHAnsi"/>
                <w:color w:val="000000"/>
                <w:sz w:val="20"/>
                <w:szCs w:val="20"/>
                <w:lang w:eastAsia="en-GB"/>
              </w:rPr>
              <w:t xml:space="preserve">of fluorinated GHG </w:t>
            </w:r>
            <w:r w:rsidR="00E16752">
              <w:rPr>
                <w:rFonts w:asciiTheme="majorHAnsi" w:eastAsia="Times New Roman" w:hAnsiTheme="majorHAnsi" w:cstheme="majorHAnsi"/>
                <w:color w:val="000000"/>
                <w:sz w:val="20"/>
                <w:szCs w:val="20"/>
                <w:lang w:eastAsia="en-GB"/>
              </w:rPr>
              <w:t>consumption</w:t>
            </w:r>
            <w:r w:rsidR="00EE1F9E" w:rsidRPr="00A33AE8">
              <w:rPr>
                <w:rFonts w:asciiTheme="majorHAnsi" w:eastAsia="Times New Roman" w:hAnsiTheme="majorHAnsi" w:cstheme="majorHAnsi"/>
                <w:color w:val="000000"/>
                <w:sz w:val="20"/>
                <w:szCs w:val="20"/>
                <w:lang w:eastAsia="en-GB"/>
              </w:rPr>
              <w:t xml:space="preserve"> (HFC) </w:t>
            </w:r>
            <w:r w:rsidRPr="00A33AE8">
              <w:rPr>
                <w:rFonts w:asciiTheme="majorHAnsi" w:eastAsia="Times New Roman" w:hAnsiTheme="majorHAnsi" w:cstheme="majorHAnsi"/>
                <w:color w:val="000000"/>
                <w:sz w:val="20"/>
                <w:szCs w:val="20"/>
                <w:lang w:eastAsia="en-GB"/>
              </w:rPr>
              <w:t>(Gg CO2-eq)</w:t>
            </w:r>
          </w:p>
        </w:tc>
      </w:tr>
      <w:tr w:rsidR="006C6A30" w:rsidRPr="00A33AE8" w14:paraId="12453A58" w14:textId="77777777" w:rsidTr="006769DA">
        <w:trPr>
          <w:gridAfter w:val="1"/>
          <w:wAfter w:w="222" w:type="dxa"/>
          <w:trHeight w:val="287"/>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2DD71DC"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tcPr>
          <w:p w14:paraId="4465D911"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F5495E" w:rsidRPr="00A33AE8" w14:paraId="6C7086A4" w14:textId="77777777" w:rsidTr="006769DA">
        <w:trPr>
          <w:gridAfter w:val="1"/>
          <w:wAfter w:w="222" w:type="dxa"/>
          <w:trHeight w:val="450"/>
        </w:trPr>
        <w:tc>
          <w:tcPr>
            <w:tcW w:w="332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4DBFB4B"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6441E01" w14:textId="77777777" w:rsidR="00EE1F9E" w:rsidRPr="00A33AE8" w:rsidRDefault="00EE1F9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2018/1999</w:t>
            </w:r>
          </w:p>
          <w:p w14:paraId="7E3FB0DA" w14:textId="77777777" w:rsidR="00F5495E" w:rsidRPr="00A33AE8" w:rsidRDefault="00EE1F9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517/2014</w:t>
            </w:r>
          </w:p>
        </w:tc>
      </w:tr>
      <w:tr w:rsidR="00F5495E" w:rsidRPr="00A33AE8" w14:paraId="6F5F380E" w14:textId="77777777" w:rsidTr="006769DA">
        <w:trPr>
          <w:trHeight w:val="300"/>
        </w:trPr>
        <w:tc>
          <w:tcPr>
            <w:tcW w:w="3327" w:type="dxa"/>
            <w:vMerge/>
            <w:tcBorders>
              <w:top w:val="nil"/>
              <w:left w:val="single" w:sz="8" w:space="0" w:color="auto"/>
              <w:bottom w:val="single" w:sz="8" w:space="0" w:color="000000"/>
              <w:right w:val="single" w:sz="8" w:space="0" w:color="auto"/>
            </w:tcBorders>
            <w:vAlign w:val="center"/>
            <w:hideMark/>
          </w:tcPr>
          <w:p w14:paraId="33EA2DB3"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39E80A10" w14:textId="77777777" w:rsidR="00F5495E" w:rsidRPr="00A33AE8" w:rsidRDefault="00F5495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5D6E015" w14:textId="77777777" w:rsidR="00F5495E" w:rsidRPr="00A33AE8" w:rsidRDefault="00F5495E" w:rsidP="006769DA">
            <w:pPr>
              <w:spacing w:after="0" w:line="240" w:lineRule="auto"/>
              <w:rPr>
                <w:rFonts w:ascii="Calibri Light" w:eastAsia="Times New Roman" w:hAnsi="Calibri Light" w:cs="Calibri Light"/>
                <w:color w:val="000000"/>
                <w:sz w:val="20"/>
                <w:szCs w:val="20"/>
                <w:lang w:eastAsia="en-GB"/>
              </w:rPr>
            </w:pPr>
          </w:p>
        </w:tc>
      </w:tr>
      <w:tr w:rsidR="00F5495E" w:rsidRPr="00A33AE8" w14:paraId="39200393" w14:textId="77777777" w:rsidTr="006769DA">
        <w:trPr>
          <w:trHeight w:val="60"/>
        </w:trPr>
        <w:tc>
          <w:tcPr>
            <w:tcW w:w="3327" w:type="dxa"/>
            <w:vMerge/>
            <w:tcBorders>
              <w:top w:val="nil"/>
              <w:left w:val="single" w:sz="8" w:space="0" w:color="auto"/>
              <w:bottom w:val="single" w:sz="8" w:space="0" w:color="000000"/>
              <w:right w:val="single" w:sz="8" w:space="0" w:color="auto"/>
            </w:tcBorders>
            <w:vAlign w:val="center"/>
            <w:hideMark/>
          </w:tcPr>
          <w:p w14:paraId="32F6544B"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2F0C879B" w14:textId="77777777" w:rsidR="00F5495E" w:rsidRPr="00A33AE8" w:rsidRDefault="00F5495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EBB0E4B" w14:textId="77777777" w:rsidR="00F5495E" w:rsidRPr="00A33AE8" w:rsidRDefault="00F5495E" w:rsidP="006769DA">
            <w:pPr>
              <w:spacing w:after="0" w:line="240" w:lineRule="auto"/>
              <w:rPr>
                <w:rFonts w:ascii="Times New Roman" w:eastAsia="Times New Roman" w:hAnsi="Times New Roman" w:cs="Times New Roman"/>
                <w:sz w:val="20"/>
                <w:szCs w:val="20"/>
                <w:lang w:eastAsia="en-GB"/>
              </w:rPr>
            </w:pPr>
          </w:p>
        </w:tc>
      </w:tr>
      <w:tr w:rsidR="00F5495E" w:rsidRPr="00A33AE8" w14:paraId="189172E4" w14:textId="77777777" w:rsidTr="006769DA">
        <w:trPr>
          <w:trHeight w:val="221"/>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C35FE50"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E6A09B8" w14:textId="77777777" w:rsidR="00EE1F9E" w:rsidRPr="00A33AE8" w:rsidRDefault="00EE1F9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Air Protection Law</w:t>
            </w:r>
          </w:p>
          <w:p w14:paraId="2503BCB3" w14:textId="77777777" w:rsidR="00EE1F9E" w:rsidRPr="00A33AE8" w:rsidRDefault="00EE1F9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Air Protection Programme of the Republic of Serbia for the period 2022-2030 with an Action Plan</w:t>
            </w:r>
          </w:p>
          <w:p w14:paraId="1B6AE53D" w14:textId="77777777" w:rsidR="00EE1F9E" w:rsidRPr="00A33AE8" w:rsidRDefault="00EE1F9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Ratification of Amendment to the Montreal Protocol on Substances that Deplete the Ozone Layer (Kigali Amendment)</w:t>
            </w:r>
          </w:p>
          <w:p w14:paraId="6EE91033" w14:textId="77777777" w:rsidR="00F5495E" w:rsidRPr="00A33AE8" w:rsidRDefault="00EE1F9E" w:rsidP="00884F3B">
            <w:pPr>
              <w:pStyle w:val="ListParagraph"/>
              <w:numPr>
                <w:ilvl w:val="0"/>
                <w:numId w:val="1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7E1F79D2" w14:textId="77777777" w:rsidR="00F5495E" w:rsidRPr="00A33AE8" w:rsidRDefault="00F5495E" w:rsidP="006769DA">
            <w:pPr>
              <w:spacing w:after="0" w:line="240" w:lineRule="auto"/>
              <w:rPr>
                <w:rFonts w:ascii="Times New Roman" w:eastAsia="Times New Roman" w:hAnsi="Times New Roman" w:cs="Times New Roman"/>
                <w:sz w:val="20"/>
                <w:szCs w:val="20"/>
                <w:lang w:eastAsia="en-GB"/>
              </w:rPr>
            </w:pPr>
          </w:p>
        </w:tc>
      </w:tr>
      <w:tr w:rsidR="00F5495E" w:rsidRPr="00A33AE8" w14:paraId="51654756"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EF14336"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8AC32CE" w14:textId="77777777" w:rsidR="00F5495E" w:rsidRPr="00A33AE8" w:rsidRDefault="00E16752" w:rsidP="006769DA">
            <w:pPr>
              <w:spacing w:after="0" w:line="240" w:lineRule="auto"/>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Implementation costs are not known</w:t>
            </w:r>
          </w:p>
        </w:tc>
        <w:tc>
          <w:tcPr>
            <w:tcW w:w="222" w:type="dxa"/>
            <w:vAlign w:val="center"/>
            <w:hideMark/>
          </w:tcPr>
          <w:p w14:paraId="7125C78C" w14:textId="77777777" w:rsidR="00F5495E" w:rsidRPr="00A33AE8" w:rsidRDefault="00F5495E" w:rsidP="006769DA">
            <w:pPr>
              <w:spacing w:after="0" w:line="240" w:lineRule="auto"/>
              <w:rPr>
                <w:rFonts w:ascii="Times New Roman" w:eastAsia="Times New Roman" w:hAnsi="Times New Roman" w:cs="Times New Roman"/>
                <w:sz w:val="20"/>
                <w:szCs w:val="20"/>
                <w:lang w:eastAsia="en-GB"/>
              </w:rPr>
            </w:pPr>
          </w:p>
        </w:tc>
      </w:tr>
      <w:tr w:rsidR="00F5495E" w:rsidRPr="00A33AE8" w14:paraId="0DE13F1D"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356E8349" w14:textId="77777777" w:rsidR="00F5495E" w:rsidRPr="00A33AE8" w:rsidRDefault="00F5495E"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BAF6793" w14:textId="77777777" w:rsidR="00F5495E" w:rsidRPr="00A33AE8" w:rsidRDefault="00F5495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8E5372"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43256D5C" w14:textId="77777777" w:rsidR="00F5495E" w:rsidRPr="00A33AE8" w:rsidRDefault="00F5495E" w:rsidP="006769DA">
            <w:pPr>
              <w:spacing w:after="0" w:line="240" w:lineRule="auto"/>
              <w:rPr>
                <w:rFonts w:ascii="Times New Roman" w:eastAsia="Times New Roman" w:hAnsi="Times New Roman" w:cs="Times New Roman"/>
                <w:sz w:val="20"/>
                <w:szCs w:val="20"/>
                <w:lang w:eastAsia="en-GB"/>
              </w:rPr>
            </w:pPr>
          </w:p>
        </w:tc>
      </w:tr>
    </w:tbl>
    <w:p w14:paraId="153EE31A" w14:textId="77777777" w:rsidR="005D0066" w:rsidRPr="00A33AE8" w:rsidRDefault="005D0066" w:rsidP="00EF77E4">
      <w:pPr>
        <w:spacing w:before="240"/>
        <w:jc w:val="both"/>
        <w:rPr>
          <w:rFonts w:asciiTheme="majorHAnsi" w:hAnsiTheme="majorHAnsi" w:cstheme="majorHAnsi"/>
          <w:b/>
          <w:bCs/>
          <w:color w:val="000000"/>
        </w:rPr>
      </w:pPr>
      <w:r w:rsidRPr="00A33AE8">
        <w:rPr>
          <w:rFonts w:asciiTheme="majorHAnsi" w:hAnsiTheme="majorHAnsi" w:cstheme="majorHAnsi"/>
          <w:b/>
          <w:bCs/>
          <w:color w:val="000000"/>
        </w:rPr>
        <w:t>Waste Management Sector</w:t>
      </w:r>
    </w:p>
    <w:p w14:paraId="289B0C54" w14:textId="7600B8C1"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The Ministry of Environmental Protection published the Roadmap for the Circular Economy in Serbia</w:t>
      </w:r>
      <w:r w:rsidRPr="00A33AE8">
        <w:rPr>
          <w:rFonts w:asciiTheme="majorHAnsi" w:hAnsiTheme="majorHAnsi" w:cstheme="majorHAnsi"/>
          <w:vertAlign w:val="superscript"/>
        </w:rPr>
        <w:footnoteReference w:id="99"/>
      </w:r>
      <w:r w:rsidRPr="00A33AE8">
        <w:rPr>
          <w:rFonts w:asciiTheme="majorHAnsi" w:hAnsiTheme="majorHAnsi" w:cstheme="majorHAnsi"/>
          <w:bCs/>
          <w:color w:val="000000"/>
        </w:rPr>
        <w:t xml:space="preserve">in 2020, which confirms the strategy to harmonise Serbian and EU waste legislation, in particular the waste </w:t>
      </w:r>
      <w:r w:rsidR="00F94C11" w:rsidRPr="00A33AE8">
        <w:rPr>
          <w:rFonts w:asciiTheme="majorHAnsi" w:hAnsiTheme="majorHAnsi" w:cstheme="majorHAnsi"/>
          <w:bCs/>
          <w:color w:val="000000"/>
        </w:rPr>
        <w:t xml:space="preserve">management </w:t>
      </w:r>
      <w:r w:rsidRPr="00A33AE8">
        <w:rPr>
          <w:rFonts w:asciiTheme="majorHAnsi" w:hAnsiTheme="majorHAnsi" w:cstheme="majorHAnsi"/>
          <w:bCs/>
          <w:color w:val="000000"/>
        </w:rPr>
        <w:t>framework, landfill, packaging and plastics directives. The Roadmap contains recommendations on the sustainable use of resources, waste prevention and circular product design, as well as more specific measures for manufacturing, agricultural, packaging and construction waste.</w:t>
      </w:r>
    </w:p>
    <w:p w14:paraId="5F34A89D" w14:textId="77777777" w:rsidR="00F94C11" w:rsidRPr="00A33AE8" w:rsidRDefault="00F94C11"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Furthermore, in February 2022, the Waste Management Programme of the Republic of Serbia for the period 2022-20</w:t>
      </w:r>
      <w:r w:rsidR="00A54302" w:rsidRPr="00A33AE8">
        <w:rPr>
          <w:rFonts w:asciiTheme="majorHAnsi" w:hAnsiTheme="majorHAnsi" w:cstheme="majorHAnsi"/>
          <w:bCs/>
          <w:color w:val="000000"/>
        </w:rPr>
        <w:t>31</w:t>
      </w:r>
      <w:r w:rsidR="00A54302" w:rsidRPr="00A33AE8">
        <w:rPr>
          <w:rStyle w:val="FootnoteReference"/>
          <w:rFonts w:asciiTheme="majorHAnsi" w:hAnsiTheme="majorHAnsi" w:cstheme="majorHAnsi"/>
          <w:bCs/>
          <w:color w:val="000000"/>
        </w:rPr>
        <w:footnoteReference w:id="100"/>
      </w:r>
      <w:r w:rsidRPr="00A33AE8">
        <w:rPr>
          <w:rFonts w:asciiTheme="majorHAnsi" w:hAnsiTheme="majorHAnsi" w:cstheme="majorHAnsi"/>
          <w:bCs/>
          <w:color w:val="000000"/>
        </w:rPr>
        <w:t xml:space="preserve"> was adopted and the Action Plan </w:t>
      </w:r>
      <w:r w:rsidR="00A54302" w:rsidRPr="00A33AE8">
        <w:rPr>
          <w:rFonts w:asciiTheme="majorHAnsi" w:hAnsiTheme="majorHAnsi" w:cstheme="majorHAnsi"/>
          <w:bCs/>
          <w:color w:val="000000"/>
        </w:rPr>
        <w:t xml:space="preserve">for the period 2022-2024 </w:t>
      </w:r>
      <w:r w:rsidRPr="00A33AE8">
        <w:rPr>
          <w:rFonts w:asciiTheme="majorHAnsi" w:hAnsiTheme="majorHAnsi" w:cstheme="majorHAnsi"/>
          <w:bCs/>
          <w:color w:val="000000"/>
        </w:rPr>
        <w:t>for the Implementation of Waste Management Programme was adopted in May 2022.</w:t>
      </w:r>
    </w:p>
    <w:p w14:paraId="02356E6C" w14:textId="77777777" w:rsidR="00DB2B79" w:rsidRPr="00A33AE8" w:rsidRDefault="005D0066" w:rsidP="00EF77E4">
      <w:pPr>
        <w:jc w:val="both"/>
        <w:rPr>
          <w:rFonts w:asciiTheme="majorHAnsi" w:hAnsiTheme="majorHAnsi" w:cstheme="majorHAnsi"/>
        </w:rPr>
      </w:pPr>
      <w:r w:rsidRPr="00A33AE8">
        <w:rPr>
          <w:rFonts w:asciiTheme="majorHAnsi" w:hAnsiTheme="majorHAnsi" w:cstheme="majorHAnsi"/>
          <w:bCs/>
          <w:color w:val="000000"/>
        </w:rPr>
        <w:t xml:space="preserve">All in all, the Republic of Serbia has a good level of alignment with the EU acquis. </w:t>
      </w:r>
      <w:r w:rsidR="00005644" w:rsidRPr="00A33AE8">
        <w:rPr>
          <w:rFonts w:asciiTheme="majorHAnsi" w:hAnsiTheme="majorHAnsi" w:cstheme="majorHAnsi"/>
          <w:bCs/>
          <w:color w:val="000000"/>
        </w:rPr>
        <w:t xml:space="preserve">More specifically, </w:t>
      </w:r>
      <w:r w:rsidRPr="00A33AE8">
        <w:rPr>
          <w:rFonts w:asciiTheme="majorHAnsi" w:hAnsiTheme="majorHAnsi" w:cstheme="majorHAnsi"/>
          <w:bCs/>
          <w:color w:val="000000"/>
        </w:rPr>
        <w:t xml:space="preserve">Serbia developed </w:t>
      </w:r>
      <w:r w:rsidR="00005644" w:rsidRPr="00A33AE8">
        <w:rPr>
          <w:rFonts w:asciiTheme="majorHAnsi" w:hAnsiTheme="majorHAnsi" w:cstheme="majorHAnsi"/>
          <w:bCs/>
          <w:color w:val="000000"/>
        </w:rPr>
        <w:t xml:space="preserve">and adopted </w:t>
      </w:r>
      <w:r w:rsidR="003E27EC" w:rsidRPr="00A33AE8">
        <w:rPr>
          <w:rFonts w:asciiTheme="majorHAnsi" w:hAnsiTheme="majorHAnsi" w:cstheme="majorHAnsi"/>
          <w:bCs/>
          <w:color w:val="000000"/>
        </w:rPr>
        <w:t>the Waste Management Programme of the Republic of Serbia for the period 2022-2031 and in September 2023 the Sludge Management Programme for the Republic of Serbia for the period 2023-2032</w:t>
      </w:r>
      <w:r w:rsidR="003E27EC" w:rsidRPr="00A33AE8">
        <w:rPr>
          <w:rStyle w:val="FootnoteReference"/>
          <w:rFonts w:asciiTheme="majorHAnsi" w:hAnsiTheme="majorHAnsi" w:cstheme="majorHAnsi"/>
          <w:bCs/>
          <w:color w:val="000000"/>
        </w:rPr>
        <w:footnoteReference w:id="101"/>
      </w:r>
      <w:r w:rsidRPr="00A33AE8">
        <w:rPr>
          <w:rFonts w:asciiTheme="majorHAnsi" w:hAnsiTheme="majorHAnsi" w:cstheme="majorHAnsi"/>
          <w:bCs/>
          <w:color w:val="000000"/>
        </w:rPr>
        <w:t>. The by-law on treatment of the equipment and waste containing polychlorinated biphenyl, currently in the adoption procedure, will fully transpose the relevant EU directive. Serbia proceeded with the permanent disposal of historic hazardous waste. Additional economic instruments for special waste streams need to be developed. The proportion of recycled waste in overall waste management is still low, e.g. 3% for municipal waste, based on European Commission’s data</w:t>
      </w:r>
      <w:r w:rsidRPr="00A33AE8">
        <w:rPr>
          <w:rFonts w:asciiTheme="majorHAnsi" w:hAnsiTheme="majorHAnsi" w:cstheme="majorHAnsi"/>
          <w:vertAlign w:val="superscript"/>
        </w:rPr>
        <w:footnoteReference w:id="102"/>
      </w:r>
      <w:r w:rsidRPr="00A33AE8">
        <w:rPr>
          <w:rFonts w:asciiTheme="majorHAnsi" w:hAnsiTheme="majorHAnsi" w:cstheme="majorHAnsi"/>
          <w:bCs/>
          <w:color w:val="000000"/>
        </w:rPr>
        <w:t xml:space="preserve">. Serbia needs to redouble its efforts to close its non-compliant landfills and invest in waste reduction, separation and recycling. </w:t>
      </w:r>
      <w:r w:rsidR="00120929" w:rsidRPr="00A33AE8">
        <w:rPr>
          <w:rFonts w:asciiTheme="majorHAnsi" w:hAnsiTheme="majorHAnsi" w:cstheme="majorHAnsi"/>
          <w:bCs/>
          <w:color w:val="000000"/>
        </w:rPr>
        <w:t>A new sanitary landfill in Vinča was built in the second phase of disposal of municipal waste. Plant for energy utilization of municipal waste and landfill gas was constructed which is currently in the phase of licence obtainment</w:t>
      </w:r>
      <w:r w:rsidRPr="00A33AE8">
        <w:rPr>
          <w:rFonts w:asciiTheme="majorHAnsi" w:hAnsiTheme="majorHAnsi" w:cstheme="majorHAnsi"/>
          <w:bCs/>
          <w:color w:val="000000"/>
        </w:rPr>
        <w:t>.</w:t>
      </w:r>
    </w:p>
    <w:tbl>
      <w:tblPr>
        <w:tblW w:w="9680" w:type="dxa"/>
        <w:tblLook w:val="04A0" w:firstRow="1" w:lastRow="0" w:firstColumn="1" w:lastColumn="0" w:noHBand="0" w:noVBand="1"/>
      </w:tblPr>
      <w:tblGrid>
        <w:gridCol w:w="3270"/>
        <w:gridCol w:w="1114"/>
        <w:gridCol w:w="934"/>
        <w:gridCol w:w="4140"/>
        <w:gridCol w:w="222"/>
      </w:tblGrid>
      <w:tr w:rsidR="00DB2B79" w:rsidRPr="00A33AE8" w14:paraId="7615BFD5" w14:textId="77777777" w:rsidTr="006769DA">
        <w:trPr>
          <w:gridAfter w:val="1"/>
          <w:wAfter w:w="222" w:type="dxa"/>
          <w:trHeight w:val="780"/>
        </w:trPr>
        <w:tc>
          <w:tcPr>
            <w:tcW w:w="327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6D9E17A" w14:textId="77777777" w:rsidR="00DB2B79" w:rsidRPr="00A33AE8" w:rsidRDefault="00DB2B7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7FABE0A8"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PM_D14</w:t>
            </w:r>
          </w:p>
        </w:tc>
        <w:tc>
          <w:tcPr>
            <w:tcW w:w="934" w:type="dxa"/>
            <w:tcBorders>
              <w:top w:val="single" w:sz="8" w:space="0" w:color="auto"/>
              <w:left w:val="nil"/>
              <w:bottom w:val="single" w:sz="8" w:space="0" w:color="auto"/>
              <w:right w:val="single" w:sz="8" w:space="0" w:color="auto"/>
            </w:tcBorders>
            <w:shd w:val="clear" w:color="000000" w:fill="244062"/>
            <w:vAlign w:val="center"/>
            <w:hideMark/>
          </w:tcPr>
          <w:p w14:paraId="7FD68DFB"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511C740"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Improvement of wastewater treatment and discharge</w:t>
            </w:r>
            <w:r w:rsidR="00120929" w:rsidRPr="00A33AE8">
              <w:rPr>
                <w:rFonts w:ascii="Calibri Light" w:eastAsia="Times New Roman" w:hAnsi="Calibri Light" w:cs="Calibri Light"/>
                <w:b/>
                <w:bCs/>
                <w:color w:val="000000"/>
                <w:sz w:val="20"/>
                <w:szCs w:val="20"/>
                <w:lang w:eastAsia="en-GB"/>
              </w:rPr>
              <w:t xml:space="preserve"> system</w:t>
            </w:r>
          </w:p>
        </w:tc>
      </w:tr>
      <w:tr w:rsidR="00DB2B79" w:rsidRPr="00A33AE8" w14:paraId="5F688A30" w14:textId="77777777" w:rsidTr="006769DA">
        <w:trPr>
          <w:gridAfter w:val="1"/>
          <w:wAfter w:w="222" w:type="dxa"/>
          <w:trHeight w:val="287"/>
        </w:trPr>
        <w:tc>
          <w:tcPr>
            <w:tcW w:w="3270" w:type="dxa"/>
            <w:tcBorders>
              <w:top w:val="nil"/>
              <w:left w:val="single" w:sz="8" w:space="0" w:color="auto"/>
              <w:bottom w:val="single" w:sz="8" w:space="0" w:color="auto"/>
              <w:right w:val="nil"/>
            </w:tcBorders>
            <w:shd w:val="clear" w:color="000000" w:fill="244062"/>
            <w:vAlign w:val="center"/>
            <w:hideMark/>
          </w:tcPr>
          <w:p w14:paraId="3B6D499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6AABE477"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GHG emissions reduction</w:t>
            </w:r>
          </w:p>
        </w:tc>
      </w:tr>
      <w:tr w:rsidR="00DB2B79" w:rsidRPr="00A33AE8" w14:paraId="72C59E36"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488A2EED"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78370B9E" w14:textId="77777777" w:rsidR="00DB2B79" w:rsidRPr="00A33AE8" w:rsidRDefault="00E16752" w:rsidP="002A0D90">
            <w:pPr>
              <w:spacing w:after="0" w:line="240" w:lineRule="auto"/>
              <w:jc w:val="both"/>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Contribution to the objective of reduction of GHG emissions by 33.3% (without LULUCF) by 2030 compared to 1990 levels</w:t>
            </w:r>
          </w:p>
        </w:tc>
      </w:tr>
      <w:tr w:rsidR="00DB2B79" w:rsidRPr="00A33AE8" w14:paraId="72DD0D6F" w14:textId="77777777" w:rsidTr="006769DA">
        <w:trPr>
          <w:gridAfter w:val="1"/>
          <w:wAfter w:w="222" w:type="dxa"/>
          <w:trHeight w:val="1062"/>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22537A86"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779038B9" w14:textId="77777777" w:rsidR="00DB2B79" w:rsidRPr="00A33AE8" w:rsidRDefault="00DB2B79"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PM_D14 will facilitate actions, such as the construction of wastewater treatment facilities, for improving the wastewater treatment and disposal, as wastewater can be a source of methane (CH</w:t>
            </w:r>
            <w:r w:rsidRPr="00A33AE8">
              <w:rPr>
                <w:rFonts w:asciiTheme="majorHAnsi" w:eastAsia="Times New Roman" w:hAnsiTheme="majorHAnsi" w:cstheme="majorHAnsi"/>
                <w:color w:val="000000"/>
                <w:sz w:val="20"/>
                <w:szCs w:val="20"/>
                <w:vertAlign w:val="subscript"/>
                <w:lang w:eastAsia="en-GB"/>
              </w:rPr>
              <w:t>4</w:t>
            </w:r>
            <w:r w:rsidRPr="00A33AE8">
              <w:rPr>
                <w:rFonts w:asciiTheme="majorHAnsi" w:eastAsia="Times New Roman" w:hAnsiTheme="majorHAnsi" w:cstheme="majorHAnsi"/>
                <w:color w:val="000000"/>
                <w:sz w:val="20"/>
                <w:szCs w:val="20"/>
                <w:lang w:eastAsia="en-GB"/>
              </w:rPr>
              <w:t>) when treated or disposed anaerobically or, when dissolved, CH</w:t>
            </w:r>
            <w:r w:rsidRPr="00A33AE8">
              <w:rPr>
                <w:rFonts w:asciiTheme="majorHAnsi" w:eastAsia="Times New Roman" w:hAnsiTheme="majorHAnsi" w:cstheme="majorHAnsi"/>
                <w:color w:val="000000"/>
                <w:sz w:val="20"/>
                <w:szCs w:val="20"/>
                <w:vertAlign w:val="subscript"/>
                <w:lang w:eastAsia="en-GB"/>
              </w:rPr>
              <w:t>4</w:t>
            </w:r>
            <w:r w:rsidRPr="00A33AE8">
              <w:rPr>
                <w:rFonts w:asciiTheme="majorHAnsi" w:eastAsia="Times New Roman" w:hAnsiTheme="majorHAnsi" w:cstheme="majorHAnsi"/>
                <w:color w:val="000000"/>
                <w:sz w:val="20"/>
                <w:szCs w:val="20"/>
                <w:lang w:eastAsia="en-GB"/>
              </w:rPr>
              <w:t xml:space="preserve"> enters aerated treatment systems.</w:t>
            </w:r>
          </w:p>
        </w:tc>
      </w:tr>
      <w:tr w:rsidR="00DB2B79" w:rsidRPr="00A33AE8" w14:paraId="3D66B38F"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255961D3"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710A90EC" w14:textId="77777777" w:rsidR="00DB2B79" w:rsidRPr="00A33AE8" w:rsidRDefault="0012092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DB2B79" w:rsidRPr="00A33AE8">
              <w:rPr>
                <w:rFonts w:asciiTheme="majorHAnsi" w:eastAsia="Times New Roman" w:hAnsiTheme="majorHAnsi" w:cstheme="majorHAnsi"/>
                <w:color w:val="000000"/>
                <w:sz w:val="20"/>
                <w:szCs w:val="20"/>
                <w:lang w:eastAsia="en-GB"/>
              </w:rPr>
              <w:t>-2030</w:t>
            </w:r>
          </w:p>
        </w:tc>
      </w:tr>
      <w:tr w:rsidR="00DB2B79" w:rsidRPr="00A33AE8" w14:paraId="31CA7447"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2803385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E9413DB" w14:textId="77777777" w:rsidR="00DB2B79" w:rsidRPr="00A33AE8" w:rsidRDefault="00303EBD"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DB2B79" w:rsidRPr="00A33AE8" w14:paraId="55BDD614"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EDB98B7"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97E84EB"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w:t>
            </w:r>
          </w:p>
        </w:tc>
      </w:tr>
      <w:tr w:rsidR="00DB2B79" w:rsidRPr="00A33AE8" w14:paraId="278EEBB8"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6ECAABA2"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7027550B" w14:textId="77777777" w:rsidR="00DB2B79" w:rsidRPr="00A33AE8" w:rsidRDefault="00DB2B79" w:rsidP="00884F3B">
            <w:pPr>
              <w:pStyle w:val="ListParagraph"/>
              <w:numPr>
                <w:ilvl w:val="0"/>
                <w:numId w:val="22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2FF6761E" w14:textId="77777777" w:rsidR="00120929" w:rsidRPr="00A33AE8" w:rsidRDefault="00120929" w:rsidP="00884F3B">
            <w:pPr>
              <w:pStyle w:val="ListParagraph"/>
              <w:numPr>
                <w:ilvl w:val="0"/>
                <w:numId w:val="22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Construction, Transportation and Infrastructure</w:t>
            </w:r>
          </w:p>
          <w:p w14:paraId="1D1E1EC3" w14:textId="77777777" w:rsidR="00120929" w:rsidRPr="00A33AE8" w:rsidRDefault="00120929" w:rsidP="00884F3B">
            <w:pPr>
              <w:pStyle w:val="ListParagraph"/>
              <w:numPr>
                <w:ilvl w:val="0"/>
                <w:numId w:val="22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Agriculture, Forestry and Water Economy</w:t>
            </w:r>
          </w:p>
        </w:tc>
      </w:tr>
      <w:tr w:rsidR="00DB2B79" w:rsidRPr="00A33AE8" w14:paraId="4280BF47" w14:textId="77777777" w:rsidTr="006769DA">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30F5B342"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5CEAB468" w14:textId="77777777" w:rsidR="00DB2B79" w:rsidRPr="000007D2" w:rsidRDefault="00DB2B79" w:rsidP="00884F3B">
            <w:pPr>
              <w:pStyle w:val="ListParagraph"/>
              <w:numPr>
                <w:ilvl w:val="0"/>
                <w:numId w:val="223"/>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p w14:paraId="3317D3EC" w14:textId="77777777" w:rsidR="00120929" w:rsidRPr="00A33AE8" w:rsidRDefault="00120929" w:rsidP="00884F3B">
            <w:pPr>
              <w:pStyle w:val="ListParagraph"/>
              <w:numPr>
                <w:ilvl w:val="0"/>
                <w:numId w:val="22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Construction, Transportation and Infrastructure</w:t>
            </w:r>
          </w:p>
          <w:p w14:paraId="3429CBEB" w14:textId="77777777" w:rsidR="00120929" w:rsidRPr="00A33AE8" w:rsidRDefault="00120929" w:rsidP="00884F3B">
            <w:pPr>
              <w:pStyle w:val="ListParagraph"/>
              <w:numPr>
                <w:ilvl w:val="0"/>
                <w:numId w:val="22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Agriculture, Forestry and Water Economy</w:t>
            </w:r>
          </w:p>
        </w:tc>
      </w:tr>
      <w:tr w:rsidR="00DB2B79" w:rsidRPr="00A33AE8" w14:paraId="007EAED5" w14:textId="77777777" w:rsidTr="006769DA">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6036D684"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2D069FC" w14:textId="77777777" w:rsidR="00DB2B79" w:rsidRPr="00A33AE8" w:rsidRDefault="00152EB6" w:rsidP="006769DA">
            <w:pPr>
              <w:spacing w:after="0" w:line="240" w:lineRule="auto"/>
              <w:rPr>
                <w:rFonts w:asciiTheme="majorHAnsi" w:eastAsia="Times New Roman" w:hAnsiTheme="majorHAnsi" w:cstheme="majorHAnsi"/>
                <w:color w:val="000000"/>
                <w:sz w:val="20"/>
                <w:szCs w:val="20"/>
                <w:lang w:eastAsia="en-GB"/>
              </w:rPr>
            </w:pPr>
            <w:r w:rsidRPr="00152EB6">
              <w:rPr>
                <w:rFonts w:asciiTheme="majorHAnsi" w:eastAsia="Times New Roman" w:hAnsiTheme="majorHAnsi" w:cstheme="majorHAnsi"/>
                <w:color w:val="000000"/>
                <w:sz w:val="20"/>
                <w:szCs w:val="20"/>
                <w:lang w:eastAsia="en-GB"/>
              </w:rPr>
              <w:t>Annual increase in wastewater treatment plants</w:t>
            </w:r>
          </w:p>
        </w:tc>
      </w:tr>
      <w:tr w:rsidR="006C6A30" w:rsidRPr="00A33AE8" w14:paraId="5F4FA61D" w14:textId="77777777" w:rsidTr="006769DA">
        <w:trPr>
          <w:gridAfter w:val="1"/>
          <w:wAfter w:w="222" w:type="dxa"/>
          <w:trHeight w:val="60"/>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1705E365"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57F14E24"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DB2B79" w:rsidRPr="00A33AE8" w14:paraId="42EEAAD7" w14:textId="77777777" w:rsidTr="006769DA">
        <w:trPr>
          <w:gridAfter w:val="1"/>
          <w:wAfter w:w="222" w:type="dxa"/>
          <w:trHeight w:val="450"/>
        </w:trPr>
        <w:tc>
          <w:tcPr>
            <w:tcW w:w="327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DA47F67"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B8563A" w14:textId="77777777" w:rsidR="0012092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120929" w:rsidRPr="00A33AE8">
              <w:rPr>
                <w:rFonts w:asciiTheme="majorHAnsi" w:eastAsia="Times New Roman" w:hAnsiTheme="majorHAnsi" w:cstheme="majorHAnsi"/>
                <w:color w:val="000000"/>
                <w:sz w:val="20"/>
                <w:szCs w:val="20"/>
                <w:lang w:eastAsia="en-GB"/>
              </w:rPr>
              <w:t>2018/1999</w:t>
            </w:r>
          </w:p>
          <w:p w14:paraId="0CD0D7AC" w14:textId="77777777" w:rsidR="00DB2B79" w:rsidRPr="00A33AE8" w:rsidRDefault="0012092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91/271/EEC</w:t>
            </w:r>
          </w:p>
        </w:tc>
      </w:tr>
      <w:tr w:rsidR="00DB2B79" w:rsidRPr="00A33AE8" w14:paraId="7C408D47" w14:textId="77777777" w:rsidTr="006769DA">
        <w:trPr>
          <w:trHeight w:val="300"/>
        </w:trPr>
        <w:tc>
          <w:tcPr>
            <w:tcW w:w="3270" w:type="dxa"/>
            <w:vMerge/>
            <w:tcBorders>
              <w:top w:val="nil"/>
              <w:left w:val="single" w:sz="8" w:space="0" w:color="auto"/>
              <w:bottom w:val="single" w:sz="8" w:space="0" w:color="000000"/>
              <w:right w:val="single" w:sz="8" w:space="0" w:color="auto"/>
            </w:tcBorders>
            <w:vAlign w:val="center"/>
            <w:hideMark/>
          </w:tcPr>
          <w:p w14:paraId="591CCD46"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40FBE819" w14:textId="77777777" w:rsidR="00DB2B7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B03CF9D" w14:textId="77777777" w:rsidR="00DB2B79" w:rsidRPr="00A33AE8" w:rsidRDefault="00DB2B79" w:rsidP="006769DA">
            <w:pPr>
              <w:spacing w:after="0" w:line="240" w:lineRule="auto"/>
              <w:rPr>
                <w:rFonts w:ascii="Calibri Light" w:eastAsia="Times New Roman" w:hAnsi="Calibri Light" w:cs="Calibri Light"/>
                <w:color w:val="000000"/>
                <w:sz w:val="20"/>
                <w:szCs w:val="20"/>
                <w:lang w:eastAsia="en-GB"/>
              </w:rPr>
            </w:pPr>
          </w:p>
        </w:tc>
      </w:tr>
      <w:tr w:rsidR="00DB2B79" w:rsidRPr="00A33AE8" w14:paraId="0DCEF3E3" w14:textId="77777777" w:rsidTr="006769DA">
        <w:trPr>
          <w:trHeight w:val="60"/>
        </w:trPr>
        <w:tc>
          <w:tcPr>
            <w:tcW w:w="3270" w:type="dxa"/>
            <w:vMerge/>
            <w:tcBorders>
              <w:top w:val="nil"/>
              <w:left w:val="single" w:sz="8" w:space="0" w:color="auto"/>
              <w:bottom w:val="single" w:sz="8" w:space="0" w:color="000000"/>
              <w:right w:val="single" w:sz="8" w:space="0" w:color="auto"/>
            </w:tcBorders>
            <w:vAlign w:val="center"/>
            <w:hideMark/>
          </w:tcPr>
          <w:p w14:paraId="5378D56D"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5DA0A185" w14:textId="77777777" w:rsidR="00DB2B7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6614CDF"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0BFCC76B" w14:textId="77777777" w:rsidTr="006769DA">
        <w:trPr>
          <w:trHeight w:val="413"/>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76EFC18"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57C9FA23" w14:textId="77777777" w:rsidR="00120929" w:rsidRPr="00A33AE8" w:rsidRDefault="0012092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Water Management Strategy of the territory of the Republic of Serbia until 2034</w:t>
            </w:r>
            <w:r w:rsidR="004441F6" w:rsidRPr="00A33AE8">
              <w:rPr>
                <w:rStyle w:val="FootnoteReference"/>
                <w:rFonts w:asciiTheme="majorHAnsi" w:eastAsia="Times New Roman" w:hAnsiTheme="majorHAnsi" w:cstheme="majorHAnsi"/>
                <w:color w:val="000000"/>
                <w:sz w:val="20"/>
                <w:szCs w:val="20"/>
                <w:lang w:eastAsia="en-GB"/>
              </w:rPr>
              <w:footnoteReference w:id="103"/>
            </w:r>
          </w:p>
          <w:p w14:paraId="7A8DED3F" w14:textId="77777777" w:rsidR="00120929" w:rsidRPr="00A33AE8" w:rsidRDefault="0012092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Water Management P</w:t>
            </w:r>
            <w:r w:rsidR="004441F6" w:rsidRPr="00A33AE8">
              <w:rPr>
                <w:rFonts w:asciiTheme="majorHAnsi" w:eastAsia="Times New Roman" w:hAnsiTheme="majorHAnsi" w:cstheme="majorHAnsi"/>
                <w:color w:val="000000"/>
                <w:sz w:val="20"/>
                <w:szCs w:val="20"/>
                <w:lang w:eastAsia="en-GB"/>
              </w:rPr>
              <w:t>lan</w:t>
            </w:r>
            <w:r w:rsidRPr="00A33AE8">
              <w:rPr>
                <w:rFonts w:asciiTheme="majorHAnsi" w:eastAsia="Times New Roman" w:hAnsiTheme="majorHAnsi" w:cstheme="majorHAnsi"/>
                <w:color w:val="000000"/>
                <w:sz w:val="20"/>
                <w:szCs w:val="20"/>
                <w:lang w:eastAsia="en-GB"/>
              </w:rPr>
              <w:t xml:space="preserve"> of the territory of the Republic of Serbia until 2027</w:t>
            </w:r>
            <w:r w:rsidR="004441F6" w:rsidRPr="00A33AE8">
              <w:rPr>
                <w:rStyle w:val="FootnoteReference"/>
                <w:rFonts w:asciiTheme="majorHAnsi" w:eastAsia="Times New Roman" w:hAnsiTheme="majorHAnsi" w:cstheme="majorHAnsi"/>
                <w:color w:val="000000"/>
                <w:sz w:val="20"/>
                <w:szCs w:val="20"/>
                <w:lang w:eastAsia="en-GB"/>
              </w:rPr>
              <w:footnoteReference w:id="104"/>
            </w:r>
          </w:p>
          <w:p w14:paraId="31D3969A" w14:textId="77777777" w:rsidR="00DB2B79" w:rsidRPr="00A33AE8" w:rsidRDefault="0012092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Water Law</w:t>
            </w:r>
            <w:r w:rsidR="004441F6" w:rsidRPr="00A33AE8">
              <w:rPr>
                <w:rStyle w:val="FootnoteReference"/>
                <w:rFonts w:asciiTheme="majorHAnsi" w:eastAsia="Times New Roman" w:hAnsiTheme="majorHAnsi" w:cstheme="majorHAnsi"/>
                <w:color w:val="000000"/>
                <w:sz w:val="20"/>
                <w:szCs w:val="20"/>
                <w:lang w:eastAsia="en-GB"/>
              </w:rPr>
              <w:footnoteReference w:id="105"/>
            </w:r>
          </w:p>
        </w:tc>
        <w:tc>
          <w:tcPr>
            <w:tcW w:w="222" w:type="dxa"/>
            <w:vAlign w:val="center"/>
            <w:hideMark/>
          </w:tcPr>
          <w:p w14:paraId="1D457095"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56F71419" w14:textId="77777777" w:rsidTr="006769DA">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7B7B0BB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3A7C6B81"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90 M€</w:t>
            </w:r>
          </w:p>
        </w:tc>
        <w:tc>
          <w:tcPr>
            <w:tcW w:w="222" w:type="dxa"/>
            <w:vAlign w:val="center"/>
            <w:hideMark/>
          </w:tcPr>
          <w:p w14:paraId="52350469"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61596C3F" w14:textId="77777777" w:rsidTr="006769DA">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FCAE8C2"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065046FA"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303EBD"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50BF98E5"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bl>
    <w:p w14:paraId="3E9A8BAC" w14:textId="77777777" w:rsidR="00DB2B79" w:rsidRPr="00A33AE8" w:rsidRDefault="00DB2B79" w:rsidP="00DB2B79">
      <w:pPr>
        <w:pStyle w:val="LDKbody"/>
        <w:rPr>
          <w:lang w:val="en-GB"/>
        </w:rPr>
      </w:pPr>
    </w:p>
    <w:tbl>
      <w:tblPr>
        <w:tblW w:w="9680" w:type="dxa"/>
        <w:tblLook w:val="04A0" w:firstRow="1" w:lastRow="0" w:firstColumn="1" w:lastColumn="0" w:noHBand="0" w:noVBand="1"/>
      </w:tblPr>
      <w:tblGrid>
        <w:gridCol w:w="3268"/>
        <w:gridCol w:w="1114"/>
        <w:gridCol w:w="934"/>
        <w:gridCol w:w="4142"/>
        <w:gridCol w:w="222"/>
      </w:tblGrid>
      <w:tr w:rsidR="00DB2B79" w:rsidRPr="00A33AE8" w14:paraId="44248706" w14:textId="77777777" w:rsidTr="006769DA">
        <w:trPr>
          <w:gridAfter w:val="1"/>
          <w:wAfter w:w="222" w:type="dxa"/>
          <w:trHeight w:val="780"/>
        </w:trPr>
        <w:tc>
          <w:tcPr>
            <w:tcW w:w="326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9ED16B5" w14:textId="77777777" w:rsidR="00DB2B79" w:rsidRPr="00A33AE8" w:rsidRDefault="00DB2B7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278CF3B3"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PM_D15</w:t>
            </w:r>
          </w:p>
        </w:tc>
        <w:tc>
          <w:tcPr>
            <w:tcW w:w="934" w:type="dxa"/>
            <w:tcBorders>
              <w:top w:val="single" w:sz="8" w:space="0" w:color="auto"/>
              <w:left w:val="nil"/>
              <w:bottom w:val="single" w:sz="8" w:space="0" w:color="auto"/>
              <w:right w:val="single" w:sz="8" w:space="0" w:color="auto"/>
            </w:tcBorders>
            <w:shd w:val="clear" w:color="000000" w:fill="244062"/>
            <w:vAlign w:val="center"/>
            <w:hideMark/>
          </w:tcPr>
          <w:p w14:paraId="656DDA9D"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4268A8E7"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Improvement of </w:t>
            </w:r>
            <w:r w:rsidR="00DB1C1F" w:rsidRPr="00A33AE8">
              <w:rPr>
                <w:rFonts w:ascii="Calibri Light" w:eastAsia="Times New Roman" w:hAnsi="Calibri Light" w:cs="Calibri Light"/>
                <w:b/>
                <w:bCs/>
                <w:color w:val="000000"/>
                <w:sz w:val="20"/>
                <w:szCs w:val="20"/>
                <w:lang w:eastAsia="en-GB"/>
              </w:rPr>
              <w:t xml:space="preserve">municipal </w:t>
            </w:r>
            <w:r w:rsidRPr="00A33AE8">
              <w:rPr>
                <w:rFonts w:ascii="Calibri Light" w:eastAsia="Times New Roman" w:hAnsi="Calibri Light" w:cs="Calibri Light"/>
                <w:b/>
                <w:bCs/>
                <w:color w:val="000000"/>
                <w:sz w:val="20"/>
                <w:szCs w:val="20"/>
                <w:lang w:eastAsia="en-GB"/>
              </w:rPr>
              <w:t xml:space="preserve">waste management </w:t>
            </w:r>
            <w:r w:rsidR="00DB1C1F" w:rsidRPr="00A33AE8">
              <w:rPr>
                <w:rFonts w:ascii="Calibri Light" w:eastAsia="Times New Roman" w:hAnsi="Calibri Light" w:cs="Calibri Light"/>
                <w:b/>
                <w:bCs/>
                <w:color w:val="000000"/>
                <w:sz w:val="20"/>
                <w:szCs w:val="20"/>
                <w:lang w:eastAsia="en-GB"/>
              </w:rPr>
              <w:t>system, through increased recycling rates, reduced disposal of biodegradable waste on landfills and unsanitary landfills</w:t>
            </w:r>
          </w:p>
        </w:tc>
      </w:tr>
      <w:tr w:rsidR="00DB2B79" w:rsidRPr="00A33AE8" w14:paraId="5383AE0F" w14:textId="77777777" w:rsidTr="006769DA">
        <w:trPr>
          <w:gridAfter w:val="1"/>
          <w:wAfter w:w="222" w:type="dxa"/>
          <w:trHeight w:val="267"/>
        </w:trPr>
        <w:tc>
          <w:tcPr>
            <w:tcW w:w="3268" w:type="dxa"/>
            <w:tcBorders>
              <w:top w:val="nil"/>
              <w:left w:val="single" w:sz="8" w:space="0" w:color="auto"/>
              <w:bottom w:val="single" w:sz="8" w:space="0" w:color="auto"/>
              <w:right w:val="nil"/>
            </w:tcBorders>
            <w:shd w:val="clear" w:color="000000" w:fill="244062"/>
            <w:vAlign w:val="center"/>
            <w:hideMark/>
          </w:tcPr>
          <w:p w14:paraId="485CDA9B"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2D3B3597"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GHG emissions reduction</w:t>
            </w:r>
          </w:p>
        </w:tc>
      </w:tr>
      <w:tr w:rsidR="00DB2B79" w:rsidRPr="00A33AE8" w14:paraId="15D7F140" w14:textId="77777777" w:rsidTr="006769DA">
        <w:trPr>
          <w:gridAfter w:val="1"/>
          <w:wAfter w:w="222" w:type="dxa"/>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7DB944DF"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47940D88" w14:textId="77777777" w:rsidR="00DB2B79" w:rsidRPr="00A33AE8" w:rsidRDefault="00DB2B79"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Reduce GHG emissions in the waste sector by 13% by 2030 compared to 2010, </w:t>
            </w:r>
            <w:r w:rsidR="00DB1C1F" w:rsidRPr="00A33AE8">
              <w:rPr>
                <w:rFonts w:asciiTheme="majorHAnsi" w:eastAsia="Times New Roman" w:hAnsiTheme="majorHAnsi" w:cstheme="majorHAnsi"/>
                <w:color w:val="000000"/>
                <w:sz w:val="20"/>
                <w:szCs w:val="20"/>
                <w:lang w:eastAsia="en-GB"/>
              </w:rPr>
              <w:t>reduction of biodegradable waste at landfills by 50% by 2032 and by 35% by 2039</w:t>
            </w:r>
          </w:p>
        </w:tc>
      </w:tr>
      <w:tr w:rsidR="00DB2B79" w:rsidRPr="00A33AE8" w14:paraId="3A36B0B8" w14:textId="77777777" w:rsidTr="006769DA">
        <w:trPr>
          <w:gridAfter w:val="1"/>
          <w:wAfter w:w="222" w:type="dxa"/>
          <w:trHeight w:val="229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184EEBBC"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26B649B7" w14:textId="77777777" w:rsidR="00DB2B79" w:rsidRPr="00A33AE8" w:rsidRDefault="00DB2B79"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PM_D15 will promote actions concerning the integrated management of organic waste and include its separate collection and treatment, either aerobic or anaerobic, which may produce compost, digestion or other material and/or energy recovery. In addition, it is planned to strengthen and upgrade the recycling infrastructure in order to fully cover the needs of the country. As part of a comprehensive waste management plan, a number of waste treatment plants are expected to be constructed in order to reduce processing residues, aiming at diverting from landfill a percentage of </w:t>
            </w:r>
            <w:r w:rsidR="00112901" w:rsidRPr="00A33AE8">
              <w:rPr>
                <w:rFonts w:asciiTheme="majorHAnsi" w:eastAsia="Times New Roman" w:hAnsiTheme="majorHAnsi" w:cstheme="majorHAnsi"/>
                <w:color w:val="000000"/>
                <w:sz w:val="20"/>
                <w:szCs w:val="20"/>
                <w:lang w:eastAsia="en-GB"/>
              </w:rPr>
              <w:t>at least</w:t>
            </w:r>
            <w:r w:rsidRPr="00A33AE8">
              <w:rPr>
                <w:rFonts w:asciiTheme="majorHAnsi" w:eastAsia="Times New Roman" w:hAnsiTheme="majorHAnsi" w:cstheme="majorHAnsi"/>
                <w:color w:val="000000"/>
                <w:sz w:val="20"/>
                <w:szCs w:val="20"/>
                <w:lang w:eastAsia="en-GB"/>
              </w:rPr>
              <w:t xml:space="preserve"> 90%</w:t>
            </w:r>
            <w:r w:rsidR="00112901" w:rsidRPr="00A33AE8">
              <w:t xml:space="preserve"> </w:t>
            </w:r>
            <w:r w:rsidR="00112901" w:rsidRPr="00A33AE8">
              <w:rPr>
                <w:rFonts w:asciiTheme="majorHAnsi" w:eastAsia="Times New Roman" w:hAnsiTheme="majorHAnsi" w:cstheme="majorHAnsi"/>
                <w:color w:val="000000"/>
                <w:sz w:val="20"/>
                <w:szCs w:val="20"/>
                <w:lang w:eastAsia="en-GB"/>
              </w:rPr>
              <w:t>of the total municipal waste.</w:t>
            </w:r>
          </w:p>
        </w:tc>
      </w:tr>
      <w:tr w:rsidR="00DB2B79" w:rsidRPr="00A33AE8" w14:paraId="21DA0C39" w14:textId="77777777" w:rsidTr="006769DA">
        <w:trPr>
          <w:gridAfter w:val="1"/>
          <w:wAfter w:w="222" w:type="dxa"/>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5F26685F"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5F7EE312" w14:textId="77777777" w:rsidR="00DB2B79" w:rsidRPr="00A33AE8" w:rsidRDefault="00112901"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DB2B79" w:rsidRPr="00A33AE8">
              <w:rPr>
                <w:rFonts w:asciiTheme="majorHAnsi" w:eastAsia="Times New Roman" w:hAnsiTheme="majorHAnsi" w:cstheme="majorHAnsi"/>
                <w:color w:val="000000"/>
                <w:sz w:val="20"/>
                <w:szCs w:val="20"/>
                <w:lang w:eastAsia="en-GB"/>
              </w:rPr>
              <w:t>-</w:t>
            </w:r>
            <w:r w:rsidRPr="00A33AE8">
              <w:rPr>
                <w:rFonts w:asciiTheme="majorHAnsi" w:eastAsia="Times New Roman" w:hAnsiTheme="majorHAnsi" w:cstheme="majorHAnsi"/>
                <w:color w:val="000000"/>
                <w:sz w:val="20"/>
                <w:szCs w:val="20"/>
                <w:lang w:eastAsia="en-GB"/>
              </w:rPr>
              <w:t>2034</w:t>
            </w:r>
          </w:p>
        </w:tc>
      </w:tr>
      <w:tr w:rsidR="00DB2B79" w:rsidRPr="00A33AE8" w14:paraId="2C330C6C" w14:textId="77777777" w:rsidTr="006769DA">
        <w:trPr>
          <w:gridAfter w:val="1"/>
          <w:wAfter w:w="222" w:type="dxa"/>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4513A2A6"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1D53A022" w14:textId="77777777" w:rsidR="00DB2B79" w:rsidRPr="00A33AE8" w:rsidRDefault="00EC1D5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DB2B79" w:rsidRPr="00A33AE8" w14:paraId="65D1BEF1" w14:textId="77777777" w:rsidTr="006769DA">
        <w:trPr>
          <w:gridAfter w:val="1"/>
          <w:wAfter w:w="222" w:type="dxa"/>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3D705D6E"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Sectors covered/affected</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1ABD28C5"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w:t>
            </w:r>
          </w:p>
        </w:tc>
      </w:tr>
      <w:tr w:rsidR="00DB2B79" w:rsidRPr="00A33AE8" w14:paraId="75CED322" w14:textId="77777777" w:rsidTr="006769DA">
        <w:trPr>
          <w:gridAfter w:val="1"/>
          <w:wAfter w:w="222" w:type="dxa"/>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3A97184A"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518BA892" w14:textId="77777777" w:rsidR="00DB2B79" w:rsidRPr="00A33AE8" w:rsidRDefault="00DB2B79" w:rsidP="00884F3B">
            <w:pPr>
              <w:pStyle w:val="ListParagraph"/>
              <w:numPr>
                <w:ilvl w:val="0"/>
                <w:numId w:val="11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DB2B79" w:rsidRPr="00A33AE8" w14:paraId="229CADDE" w14:textId="77777777" w:rsidTr="006769DA">
        <w:trPr>
          <w:gridAfter w:val="1"/>
          <w:wAfter w:w="222" w:type="dxa"/>
          <w:trHeight w:val="315"/>
        </w:trPr>
        <w:tc>
          <w:tcPr>
            <w:tcW w:w="3268" w:type="dxa"/>
            <w:tcBorders>
              <w:top w:val="nil"/>
              <w:left w:val="single" w:sz="8" w:space="0" w:color="auto"/>
              <w:bottom w:val="single" w:sz="8" w:space="0" w:color="auto"/>
              <w:right w:val="nil"/>
            </w:tcBorders>
            <w:shd w:val="clear" w:color="000000" w:fill="244062"/>
            <w:vAlign w:val="center"/>
            <w:hideMark/>
          </w:tcPr>
          <w:p w14:paraId="1A86C75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3F9A6EE2" w14:textId="77777777" w:rsidR="00DB2B7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tc>
      </w:tr>
      <w:tr w:rsidR="00DB2B79" w:rsidRPr="00A33AE8" w14:paraId="1177991C" w14:textId="77777777" w:rsidTr="006769DA">
        <w:trPr>
          <w:gridAfter w:val="1"/>
          <w:wAfter w:w="222" w:type="dxa"/>
          <w:trHeight w:val="315"/>
        </w:trPr>
        <w:tc>
          <w:tcPr>
            <w:tcW w:w="3268" w:type="dxa"/>
            <w:tcBorders>
              <w:top w:val="nil"/>
              <w:left w:val="single" w:sz="8" w:space="0" w:color="auto"/>
              <w:bottom w:val="single" w:sz="8" w:space="0" w:color="auto"/>
              <w:right w:val="nil"/>
            </w:tcBorders>
            <w:shd w:val="clear" w:color="000000" w:fill="244062"/>
            <w:vAlign w:val="center"/>
            <w:hideMark/>
          </w:tcPr>
          <w:p w14:paraId="6FC6E85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3CCCA235" w14:textId="77777777" w:rsidR="00DB2B79" w:rsidRPr="00A33AE8" w:rsidRDefault="00DB2B79"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amount of emissions reduction from i</w:t>
            </w:r>
            <w:r w:rsidRPr="00A33AE8">
              <w:rPr>
                <w:rFonts w:asciiTheme="majorHAnsi" w:eastAsia="Times New Roman" w:hAnsiTheme="majorHAnsi" w:cstheme="majorHAnsi"/>
                <w:bCs/>
                <w:color w:val="000000"/>
                <w:sz w:val="20"/>
                <w:szCs w:val="20"/>
                <w:lang w:eastAsia="en-GB"/>
              </w:rPr>
              <w:t>mproved waste management practices</w:t>
            </w:r>
            <w:r w:rsidRPr="00A33AE8">
              <w:rPr>
                <w:rFonts w:asciiTheme="majorHAnsi" w:eastAsia="Times New Roman" w:hAnsiTheme="majorHAnsi" w:cstheme="majorHAnsi"/>
                <w:color w:val="000000"/>
                <w:sz w:val="20"/>
                <w:szCs w:val="20"/>
                <w:lang w:eastAsia="en-GB"/>
              </w:rPr>
              <w:t xml:space="preserve">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p>
        </w:tc>
      </w:tr>
      <w:tr w:rsidR="006C6A30" w:rsidRPr="00A33AE8" w14:paraId="499414A0" w14:textId="77777777" w:rsidTr="006769DA">
        <w:trPr>
          <w:gridAfter w:val="1"/>
          <w:wAfter w:w="222" w:type="dxa"/>
          <w:trHeight w:val="423"/>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34397015"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0" w:type="dxa"/>
            <w:gridSpan w:val="3"/>
            <w:tcBorders>
              <w:top w:val="single" w:sz="8" w:space="0" w:color="auto"/>
              <w:left w:val="nil"/>
              <w:bottom w:val="single" w:sz="8" w:space="0" w:color="auto"/>
              <w:right w:val="single" w:sz="8" w:space="0" w:color="000000"/>
            </w:tcBorders>
            <w:shd w:val="clear" w:color="auto" w:fill="auto"/>
            <w:vAlign w:val="center"/>
          </w:tcPr>
          <w:p w14:paraId="1A8DB637"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DB2B79" w:rsidRPr="00A33AE8" w14:paraId="0F258EE1" w14:textId="77777777" w:rsidTr="006769DA">
        <w:trPr>
          <w:gridAfter w:val="1"/>
          <w:wAfter w:w="222" w:type="dxa"/>
          <w:trHeight w:val="450"/>
        </w:trPr>
        <w:tc>
          <w:tcPr>
            <w:tcW w:w="326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0E8244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4C39B31" w14:textId="77777777" w:rsidR="00DB2B7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112901" w:rsidRPr="00A33AE8">
              <w:rPr>
                <w:rFonts w:asciiTheme="majorHAnsi" w:eastAsia="Times New Roman" w:hAnsiTheme="majorHAnsi" w:cstheme="majorHAnsi"/>
                <w:color w:val="000000"/>
                <w:sz w:val="20"/>
                <w:szCs w:val="20"/>
                <w:lang w:eastAsia="en-GB"/>
              </w:rPr>
              <w:t>2018/1999</w:t>
            </w:r>
          </w:p>
        </w:tc>
      </w:tr>
      <w:tr w:rsidR="00DB2B79" w:rsidRPr="00A33AE8" w14:paraId="49E078FA" w14:textId="77777777" w:rsidTr="006769DA">
        <w:trPr>
          <w:trHeight w:val="300"/>
        </w:trPr>
        <w:tc>
          <w:tcPr>
            <w:tcW w:w="3268" w:type="dxa"/>
            <w:vMerge/>
            <w:tcBorders>
              <w:top w:val="nil"/>
              <w:left w:val="single" w:sz="8" w:space="0" w:color="auto"/>
              <w:bottom w:val="single" w:sz="8" w:space="0" w:color="000000"/>
              <w:right w:val="single" w:sz="8" w:space="0" w:color="auto"/>
            </w:tcBorders>
            <w:vAlign w:val="center"/>
            <w:hideMark/>
          </w:tcPr>
          <w:p w14:paraId="2EE70CC1"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90" w:type="dxa"/>
            <w:gridSpan w:val="3"/>
            <w:vMerge/>
            <w:tcBorders>
              <w:top w:val="single" w:sz="8" w:space="0" w:color="auto"/>
              <w:left w:val="single" w:sz="8" w:space="0" w:color="auto"/>
              <w:bottom w:val="single" w:sz="8" w:space="0" w:color="000000"/>
              <w:right w:val="single" w:sz="8" w:space="0" w:color="000000"/>
            </w:tcBorders>
            <w:vAlign w:val="center"/>
            <w:hideMark/>
          </w:tcPr>
          <w:p w14:paraId="70E118BC" w14:textId="77777777" w:rsidR="00DB2B7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67ECF39" w14:textId="77777777" w:rsidR="00DB2B79" w:rsidRPr="00A33AE8" w:rsidRDefault="00DB2B79" w:rsidP="006769DA">
            <w:pPr>
              <w:spacing w:after="0" w:line="240" w:lineRule="auto"/>
              <w:rPr>
                <w:rFonts w:ascii="Calibri Light" w:eastAsia="Times New Roman" w:hAnsi="Calibri Light" w:cs="Calibri Light"/>
                <w:color w:val="000000"/>
                <w:sz w:val="20"/>
                <w:szCs w:val="20"/>
                <w:lang w:eastAsia="en-GB"/>
              </w:rPr>
            </w:pPr>
          </w:p>
        </w:tc>
      </w:tr>
      <w:tr w:rsidR="00DB2B79" w:rsidRPr="00A33AE8" w14:paraId="14D21D73" w14:textId="77777777" w:rsidTr="006769DA">
        <w:trPr>
          <w:trHeight w:val="60"/>
        </w:trPr>
        <w:tc>
          <w:tcPr>
            <w:tcW w:w="3268" w:type="dxa"/>
            <w:vMerge/>
            <w:tcBorders>
              <w:top w:val="nil"/>
              <w:left w:val="single" w:sz="8" w:space="0" w:color="auto"/>
              <w:bottom w:val="single" w:sz="8" w:space="0" w:color="000000"/>
              <w:right w:val="single" w:sz="8" w:space="0" w:color="auto"/>
            </w:tcBorders>
            <w:vAlign w:val="center"/>
            <w:hideMark/>
          </w:tcPr>
          <w:p w14:paraId="438DDC4C"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90" w:type="dxa"/>
            <w:gridSpan w:val="3"/>
            <w:vMerge/>
            <w:tcBorders>
              <w:top w:val="single" w:sz="8" w:space="0" w:color="auto"/>
              <w:left w:val="single" w:sz="8" w:space="0" w:color="auto"/>
              <w:bottom w:val="single" w:sz="8" w:space="0" w:color="000000"/>
              <w:right w:val="single" w:sz="8" w:space="0" w:color="000000"/>
            </w:tcBorders>
            <w:vAlign w:val="center"/>
            <w:hideMark/>
          </w:tcPr>
          <w:p w14:paraId="34492268" w14:textId="77777777" w:rsidR="00DB2B79" w:rsidRPr="00A33AE8" w:rsidRDefault="00DB2B79"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4B9BE9A"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37124629" w14:textId="77777777" w:rsidTr="006769DA">
        <w:trPr>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5BC06FDC"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009035C6" w14:textId="77777777" w:rsidR="00DB2B79" w:rsidRPr="00A33AE8" w:rsidRDefault="000B25F8" w:rsidP="00884F3B">
            <w:pPr>
              <w:pStyle w:val="ListParagraph"/>
              <w:numPr>
                <w:ilvl w:val="0"/>
                <w:numId w:val="1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 Management Programme of the Republic of Serbia for the period 2022-2031</w:t>
            </w:r>
          </w:p>
        </w:tc>
        <w:tc>
          <w:tcPr>
            <w:tcW w:w="222" w:type="dxa"/>
            <w:vAlign w:val="center"/>
            <w:hideMark/>
          </w:tcPr>
          <w:p w14:paraId="376BA128"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7116615F" w14:textId="77777777" w:rsidTr="006769DA">
        <w:trPr>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531A74E6"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39038BDF"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80 M€</w:t>
            </w:r>
          </w:p>
        </w:tc>
        <w:tc>
          <w:tcPr>
            <w:tcW w:w="222" w:type="dxa"/>
            <w:vAlign w:val="center"/>
            <w:hideMark/>
          </w:tcPr>
          <w:p w14:paraId="5819CE90"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4255D473" w14:textId="77777777" w:rsidTr="006769DA">
        <w:trPr>
          <w:trHeight w:val="315"/>
        </w:trPr>
        <w:tc>
          <w:tcPr>
            <w:tcW w:w="3268" w:type="dxa"/>
            <w:tcBorders>
              <w:top w:val="nil"/>
              <w:left w:val="single" w:sz="8" w:space="0" w:color="auto"/>
              <w:bottom w:val="single" w:sz="8" w:space="0" w:color="auto"/>
              <w:right w:val="single" w:sz="8" w:space="0" w:color="auto"/>
            </w:tcBorders>
            <w:shd w:val="clear" w:color="000000" w:fill="244062"/>
            <w:vAlign w:val="center"/>
            <w:hideMark/>
          </w:tcPr>
          <w:p w14:paraId="02A26B68"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0" w:type="dxa"/>
            <w:gridSpan w:val="3"/>
            <w:tcBorders>
              <w:top w:val="single" w:sz="8" w:space="0" w:color="auto"/>
              <w:left w:val="nil"/>
              <w:bottom w:val="single" w:sz="8" w:space="0" w:color="auto"/>
              <w:right w:val="single" w:sz="8" w:space="0" w:color="000000"/>
            </w:tcBorders>
            <w:shd w:val="clear" w:color="auto" w:fill="auto"/>
            <w:vAlign w:val="center"/>
            <w:hideMark/>
          </w:tcPr>
          <w:p w14:paraId="2BFF2BDB"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EC1D53"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77423771"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bl>
    <w:p w14:paraId="71C416EB" w14:textId="77777777" w:rsidR="00DB2B79" w:rsidRPr="00A33AE8" w:rsidRDefault="00DB2B79" w:rsidP="00DB2B79">
      <w:pPr>
        <w:pStyle w:val="LDKbody"/>
        <w:rPr>
          <w:lang w:val="en-GB"/>
        </w:rPr>
      </w:pPr>
    </w:p>
    <w:tbl>
      <w:tblPr>
        <w:tblW w:w="9680" w:type="dxa"/>
        <w:tblLook w:val="04A0" w:firstRow="1" w:lastRow="0" w:firstColumn="1" w:lastColumn="0" w:noHBand="0" w:noVBand="1"/>
      </w:tblPr>
      <w:tblGrid>
        <w:gridCol w:w="3275"/>
        <w:gridCol w:w="1114"/>
        <w:gridCol w:w="935"/>
        <w:gridCol w:w="4134"/>
        <w:gridCol w:w="222"/>
      </w:tblGrid>
      <w:tr w:rsidR="00DB2B79" w:rsidRPr="00A33AE8" w14:paraId="1252EC0E" w14:textId="77777777" w:rsidTr="006769DA">
        <w:trPr>
          <w:gridAfter w:val="1"/>
          <w:wAfter w:w="222" w:type="dxa"/>
          <w:trHeight w:val="594"/>
        </w:trPr>
        <w:tc>
          <w:tcPr>
            <w:tcW w:w="327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AB018BB" w14:textId="77777777" w:rsidR="00DB2B79" w:rsidRPr="00A33AE8" w:rsidRDefault="00DB2B7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20B16C04"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PM_D16</w:t>
            </w:r>
          </w:p>
        </w:tc>
        <w:tc>
          <w:tcPr>
            <w:tcW w:w="935" w:type="dxa"/>
            <w:tcBorders>
              <w:top w:val="single" w:sz="8" w:space="0" w:color="auto"/>
              <w:left w:val="nil"/>
              <w:bottom w:val="single" w:sz="8" w:space="0" w:color="auto"/>
              <w:right w:val="single" w:sz="8" w:space="0" w:color="auto"/>
            </w:tcBorders>
            <w:shd w:val="clear" w:color="000000" w:fill="244062"/>
            <w:vAlign w:val="center"/>
            <w:hideMark/>
          </w:tcPr>
          <w:p w14:paraId="5189A421"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4" w:type="dxa"/>
            <w:tcBorders>
              <w:top w:val="single" w:sz="8" w:space="0" w:color="auto"/>
              <w:left w:val="nil"/>
              <w:bottom w:val="single" w:sz="8" w:space="0" w:color="auto"/>
              <w:right w:val="single" w:sz="8" w:space="0" w:color="auto"/>
            </w:tcBorders>
            <w:shd w:val="clear" w:color="auto" w:fill="E7E6E6" w:themeFill="background2"/>
            <w:vAlign w:val="center"/>
            <w:hideMark/>
          </w:tcPr>
          <w:p w14:paraId="286A5530"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Higher percentage of municipal solid waste treated by biological treatment options </w:t>
            </w:r>
          </w:p>
        </w:tc>
      </w:tr>
      <w:tr w:rsidR="00DB2B79" w:rsidRPr="00A33AE8" w14:paraId="03036062" w14:textId="77777777" w:rsidTr="006769DA">
        <w:trPr>
          <w:gridAfter w:val="1"/>
          <w:wAfter w:w="222" w:type="dxa"/>
          <w:trHeight w:val="405"/>
        </w:trPr>
        <w:tc>
          <w:tcPr>
            <w:tcW w:w="3275" w:type="dxa"/>
            <w:tcBorders>
              <w:top w:val="nil"/>
              <w:left w:val="single" w:sz="8" w:space="0" w:color="auto"/>
              <w:bottom w:val="single" w:sz="8" w:space="0" w:color="auto"/>
              <w:right w:val="nil"/>
            </w:tcBorders>
            <w:shd w:val="clear" w:color="000000" w:fill="244062"/>
            <w:vAlign w:val="center"/>
            <w:hideMark/>
          </w:tcPr>
          <w:p w14:paraId="123691DB"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52863DF2"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GHG emissions reduction</w:t>
            </w:r>
          </w:p>
        </w:tc>
      </w:tr>
      <w:tr w:rsidR="00DB2B79" w:rsidRPr="00A33AE8" w14:paraId="398AA1B8" w14:textId="77777777" w:rsidTr="006769DA">
        <w:trPr>
          <w:gridAfter w:val="1"/>
          <w:wAfter w:w="222" w:type="dxa"/>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33953F8F"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7FB40E04" w14:textId="77777777" w:rsidR="00DB2B79" w:rsidRPr="00A33AE8" w:rsidRDefault="00DB2B79"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Reduce GHG emissions in the waste sector by 13% by 2030 compared to 2010</w:t>
            </w:r>
          </w:p>
        </w:tc>
      </w:tr>
      <w:tr w:rsidR="00DB2B79" w:rsidRPr="00A33AE8" w14:paraId="7F6A0E0E" w14:textId="77777777" w:rsidTr="006769DA">
        <w:trPr>
          <w:gridAfter w:val="1"/>
          <w:wAfter w:w="222" w:type="dxa"/>
          <w:trHeight w:val="1242"/>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166AE9D6"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1E996FFD" w14:textId="2748BA3F" w:rsidR="00DB2B79" w:rsidRPr="00A33AE8" w:rsidRDefault="00DB2B79"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PM_D16 will promote the municipal waste treatment through biological treatment options, namely composting and anaerobic digestion of organic waste, such as food waste, garden (yard) and park waste and sludge. The end-products of the biological treatment can, depending on its quality, be recycled as fertiliser and soil amendment, or be</w:t>
            </w:r>
            <w:r w:rsidR="000B25F8" w:rsidRPr="00A33AE8">
              <w:rPr>
                <w:rFonts w:asciiTheme="majorHAnsi" w:eastAsia="Times New Roman" w:hAnsiTheme="majorHAnsi" w:cstheme="majorHAnsi"/>
                <w:color w:val="000000"/>
                <w:sz w:val="20"/>
                <w:szCs w:val="20"/>
                <w:lang w:eastAsia="en-GB"/>
              </w:rPr>
              <w:t xml:space="preserve"> utilized at the landfill as recultivation layer.</w:t>
            </w:r>
          </w:p>
        </w:tc>
      </w:tr>
      <w:tr w:rsidR="00DB2B79" w:rsidRPr="00A33AE8" w14:paraId="76B71591" w14:textId="77777777" w:rsidTr="006769DA">
        <w:trPr>
          <w:gridAfter w:val="1"/>
          <w:wAfter w:w="222" w:type="dxa"/>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22AA246D"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74442E74" w14:textId="77777777" w:rsidR="00DB2B79" w:rsidRPr="00A33AE8" w:rsidRDefault="000B25F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DB2B79" w:rsidRPr="00A33AE8">
              <w:rPr>
                <w:rFonts w:asciiTheme="majorHAnsi" w:eastAsia="Times New Roman" w:hAnsiTheme="majorHAnsi" w:cstheme="majorHAnsi"/>
                <w:color w:val="000000"/>
                <w:sz w:val="20"/>
                <w:szCs w:val="20"/>
                <w:lang w:eastAsia="en-GB"/>
              </w:rPr>
              <w:t>-2030</w:t>
            </w:r>
          </w:p>
        </w:tc>
      </w:tr>
      <w:tr w:rsidR="00DB2B79" w:rsidRPr="00A33AE8" w14:paraId="45D59178" w14:textId="77777777" w:rsidTr="006769DA">
        <w:trPr>
          <w:gridAfter w:val="1"/>
          <w:wAfter w:w="222" w:type="dxa"/>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68C35E93"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2A1013D5" w14:textId="77777777" w:rsidR="00DB2B79" w:rsidRPr="00A33AE8" w:rsidRDefault="00EC1D5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DB2B79" w:rsidRPr="00A33AE8" w14:paraId="1AA1804F" w14:textId="77777777" w:rsidTr="006769DA">
        <w:trPr>
          <w:gridAfter w:val="1"/>
          <w:wAfter w:w="222" w:type="dxa"/>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2D3A803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385471E0"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w:t>
            </w:r>
          </w:p>
        </w:tc>
      </w:tr>
      <w:tr w:rsidR="00DB2B79" w:rsidRPr="00A33AE8" w14:paraId="0EC66294" w14:textId="77777777" w:rsidTr="006769DA">
        <w:trPr>
          <w:gridAfter w:val="1"/>
          <w:wAfter w:w="222" w:type="dxa"/>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40C419AF"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3E1A3740" w14:textId="77777777" w:rsidR="00DB2B79" w:rsidRPr="00A33AE8" w:rsidRDefault="00DB2B79" w:rsidP="00884F3B">
            <w:pPr>
              <w:pStyle w:val="ListParagraph"/>
              <w:numPr>
                <w:ilvl w:val="0"/>
                <w:numId w:val="22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DB2B79" w:rsidRPr="00A33AE8" w14:paraId="2C988673" w14:textId="77777777" w:rsidTr="006769DA">
        <w:trPr>
          <w:gridAfter w:val="1"/>
          <w:wAfter w:w="222" w:type="dxa"/>
          <w:trHeight w:val="315"/>
        </w:trPr>
        <w:tc>
          <w:tcPr>
            <w:tcW w:w="3275" w:type="dxa"/>
            <w:tcBorders>
              <w:top w:val="nil"/>
              <w:left w:val="single" w:sz="8" w:space="0" w:color="auto"/>
              <w:bottom w:val="single" w:sz="8" w:space="0" w:color="auto"/>
              <w:right w:val="nil"/>
            </w:tcBorders>
            <w:shd w:val="clear" w:color="000000" w:fill="244062"/>
            <w:vAlign w:val="center"/>
            <w:hideMark/>
          </w:tcPr>
          <w:p w14:paraId="6BC07073"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3" w:type="dxa"/>
            <w:gridSpan w:val="3"/>
            <w:tcBorders>
              <w:top w:val="single" w:sz="8" w:space="0" w:color="auto"/>
              <w:left w:val="nil"/>
              <w:bottom w:val="single" w:sz="8" w:space="0" w:color="auto"/>
              <w:right w:val="single" w:sz="8" w:space="0" w:color="000000"/>
            </w:tcBorders>
            <w:shd w:val="clear" w:color="auto" w:fill="auto"/>
            <w:vAlign w:val="center"/>
          </w:tcPr>
          <w:p w14:paraId="50A6DDD1" w14:textId="77777777" w:rsidR="00DB2B79" w:rsidRPr="00A33AE8" w:rsidRDefault="00DB2B79" w:rsidP="00884F3B">
            <w:pPr>
              <w:pStyle w:val="ListParagraph"/>
              <w:numPr>
                <w:ilvl w:val="0"/>
                <w:numId w:val="224"/>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tc>
      </w:tr>
      <w:tr w:rsidR="00DB2B79" w:rsidRPr="00A33AE8" w14:paraId="4846935B" w14:textId="77777777" w:rsidTr="006769DA">
        <w:trPr>
          <w:gridAfter w:val="1"/>
          <w:wAfter w:w="222" w:type="dxa"/>
          <w:trHeight w:val="315"/>
        </w:trPr>
        <w:tc>
          <w:tcPr>
            <w:tcW w:w="3275" w:type="dxa"/>
            <w:tcBorders>
              <w:top w:val="nil"/>
              <w:left w:val="single" w:sz="8" w:space="0" w:color="auto"/>
              <w:bottom w:val="single" w:sz="8" w:space="0" w:color="auto"/>
              <w:right w:val="nil"/>
            </w:tcBorders>
            <w:shd w:val="clear" w:color="000000" w:fill="244062"/>
            <w:vAlign w:val="center"/>
            <w:hideMark/>
          </w:tcPr>
          <w:p w14:paraId="726AB65A"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02E28CF7"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amount of 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r w:rsidR="00152EB6" w:rsidRPr="00152EB6">
              <w:rPr>
                <w:rFonts w:asciiTheme="majorHAnsi" w:eastAsia="Times New Roman" w:hAnsiTheme="majorHAnsi" w:cstheme="majorHAnsi"/>
                <w:color w:val="000000"/>
                <w:sz w:val="20"/>
                <w:szCs w:val="20"/>
                <w:lang w:eastAsia="en-GB"/>
              </w:rPr>
              <w:t xml:space="preserve"> and annual amount of CH4 (Gg) captured</w:t>
            </w:r>
          </w:p>
        </w:tc>
      </w:tr>
      <w:tr w:rsidR="006C6A30" w:rsidRPr="00A33AE8" w14:paraId="3D499C57" w14:textId="77777777" w:rsidTr="006769DA">
        <w:trPr>
          <w:gridAfter w:val="1"/>
          <w:wAfter w:w="222" w:type="dxa"/>
          <w:trHeight w:val="493"/>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568FE9A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3" w:type="dxa"/>
            <w:gridSpan w:val="3"/>
            <w:tcBorders>
              <w:top w:val="single" w:sz="8" w:space="0" w:color="auto"/>
              <w:left w:val="nil"/>
              <w:bottom w:val="single" w:sz="8" w:space="0" w:color="auto"/>
              <w:right w:val="single" w:sz="8" w:space="0" w:color="000000"/>
            </w:tcBorders>
            <w:shd w:val="clear" w:color="auto" w:fill="auto"/>
            <w:vAlign w:val="center"/>
          </w:tcPr>
          <w:p w14:paraId="6A042D45"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DB2B79" w:rsidRPr="00A33AE8" w14:paraId="31E73F03" w14:textId="77777777" w:rsidTr="006769DA">
        <w:trPr>
          <w:gridAfter w:val="1"/>
          <w:wAfter w:w="222" w:type="dxa"/>
          <w:trHeight w:val="450"/>
        </w:trPr>
        <w:tc>
          <w:tcPr>
            <w:tcW w:w="327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BFF7B23"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23DD23" w14:textId="77777777" w:rsidR="00DB2B79" w:rsidRPr="00A33AE8" w:rsidRDefault="00DB2B79" w:rsidP="00884F3B">
            <w:pPr>
              <w:pStyle w:val="ListParagraph"/>
              <w:numPr>
                <w:ilvl w:val="0"/>
                <w:numId w:val="11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0B25F8" w:rsidRPr="00A33AE8">
              <w:rPr>
                <w:rFonts w:asciiTheme="majorHAnsi" w:eastAsia="Times New Roman" w:hAnsiTheme="majorHAnsi" w:cstheme="majorHAnsi"/>
                <w:color w:val="000000"/>
                <w:sz w:val="20"/>
                <w:szCs w:val="20"/>
                <w:lang w:eastAsia="en-GB"/>
              </w:rPr>
              <w:t>2018/1999</w:t>
            </w:r>
          </w:p>
        </w:tc>
      </w:tr>
      <w:tr w:rsidR="00DB2B79" w:rsidRPr="00A33AE8" w14:paraId="4F974085" w14:textId="77777777" w:rsidTr="006769DA">
        <w:trPr>
          <w:trHeight w:val="300"/>
        </w:trPr>
        <w:tc>
          <w:tcPr>
            <w:tcW w:w="3275" w:type="dxa"/>
            <w:vMerge/>
            <w:tcBorders>
              <w:top w:val="nil"/>
              <w:left w:val="single" w:sz="8" w:space="0" w:color="auto"/>
              <w:bottom w:val="single" w:sz="8" w:space="0" w:color="000000"/>
              <w:right w:val="single" w:sz="8" w:space="0" w:color="auto"/>
            </w:tcBorders>
            <w:vAlign w:val="center"/>
            <w:hideMark/>
          </w:tcPr>
          <w:p w14:paraId="0F6931E1"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3" w:type="dxa"/>
            <w:gridSpan w:val="3"/>
            <w:vMerge/>
            <w:tcBorders>
              <w:top w:val="single" w:sz="8" w:space="0" w:color="auto"/>
              <w:left w:val="single" w:sz="8" w:space="0" w:color="auto"/>
              <w:bottom w:val="single" w:sz="8" w:space="0" w:color="000000"/>
              <w:right w:val="single" w:sz="8" w:space="0" w:color="000000"/>
            </w:tcBorders>
            <w:vAlign w:val="center"/>
            <w:hideMark/>
          </w:tcPr>
          <w:p w14:paraId="51AB4BC5" w14:textId="77777777" w:rsidR="00DB2B79" w:rsidRPr="00A33AE8" w:rsidRDefault="00DB2B79" w:rsidP="00884F3B">
            <w:pPr>
              <w:pStyle w:val="ListParagraph"/>
              <w:numPr>
                <w:ilvl w:val="0"/>
                <w:numId w:val="119"/>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386A5E6" w14:textId="77777777" w:rsidR="00DB2B79" w:rsidRPr="00A33AE8" w:rsidRDefault="00DB2B79" w:rsidP="006769DA">
            <w:pPr>
              <w:spacing w:after="0" w:line="240" w:lineRule="auto"/>
              <w:rPr>
                <w:rFonts w:ascii="Calibri Light" w:eastAsia="Times New Roman" w:hAnsi="Calibri Light" w:cs="Calibri Light"/>
                <w:color w:val="000000"/>
                <w:sz w:val="20"/>
                <w:szCs w:val="20"/>
                <w:lang w:eastAsia="en-GB"/>
              </w:rPr>
            </w:pPr>
          </w:p>
        </w:tc>
      </w:tr>
      <w:tr w:rsidR="00DB2B79" w:rsidRPr="00A33AE8" w14:paraId="47F31DEE" w14:textId="77777777" w:rsidTr="006769DA">
        <w:trPr>
          <w:trHeight w:val="60"/>
        </w:trPr>
        <w:tc>
          <w:tcPr>
            <w:tcW w:w="3275" w:type="dxa"/>
            <w:vMerge/>
            <w:tcBorders>
              <w:top w:val="nil"/>
              <w:left w:val="single" w:sz="8" w:space="0" w:color="auto"/>
              <w:bottom w:val="single" w:sz="8" w:space="0" w:color="000000"/>
              <w:right w:val="single" w:sz="8" w:space="0" w:color="auto"/>
            </w:tcBorders>
            <w:vAlign w:val="center"/>
            <w:hideMark/>
          </w:tcPr>
          <w:p w14:paraId="78931198"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3" w:type="dxa"/>
            <w:gridSpan w:val="3"/>
            <w:vMerge/>
            <w:tcBorders>
              <w:top w:val="single" w:sz="8" w:space="0" w:color="auto"/>
              <w:left w:val="single" w:sz="8" w:space="0" w:color="auto"/>
              <w:bottom w:val="single" w:sz="8" w:space="0" w:color="000000"/>
              <w:right w:val="single" w:sz="8" w:space="0" w:color="000000"/>
            </w:tcBorders>
            <w:vAlign w:val="center"/>
            <w:hideMark/>
          </w:tcPr>
          <w:p w14:paraId="3D16E7E9" w14:textId="77777777" w:rsidR="00DB2B79" w:rsidRPr="00A33AE8" w:rsidRDefault="00DB2B79" w:rsidP="00884F3B">
            <w:pPr>
              <w:pStyle w:val="ListParagraph"/>
              <w:numPr>
                <w:ilvl w:val="0"/>
                <w:numId w:val="119"/>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2CB9A81"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0B3B4D00" w14:textId="77777777" w:rsidTr="006769DA">
        <w:trPr>
          <w:trHeight w:val="38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54D00FD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4CFCD03F" w14:textId="77777777" w:rsidR="00DB2B79" w:rsidRPr="00A33AE8" w:rsidRDefault="000B25F8" w:rsidP="00884F3B">
            <w:pPr>
              <w:pStyle w:val="ListParagraph"/>
              <w:numPr>
                <w:ilvl w:val="0"/>
                <w:numId w:val="11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 Management Programme of the Republic of Serbia for the period 2022-2031</w:t>
            </w:r>
          </w:p>
        </w:tc>
        <w:tc>
          <w:tcPr>
            <w:tcW w:w="222" w:type="dxa"/>
            <w:vAlign w:val="center"/>
            <w:hideMark/>
          </w:tcPr>
          <w:p w14:paraId="19CDE79E"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76B0FF1B" w14:textId="77777777" w:rsidTr="006769DA">
        <w:trPr>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7D05C01B"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3" w:type="dxa"/>
            <w:gridSpan w:val="3"/>
            <w:tcBorders>
              <w:top w:val="single" w:sz="8" w:space="0" w:color="auto"/>
              <w:left w:val="nil"/>
              <w:bottom w:val="single" w:sz="8" w:space="0" w:color="auto"/>
              <w:right w:val="single" w:sz="8" w:space="0" w:color="000000"/>
            </w:tcBorders>
            <w:shd w:val="clear" w:color="auto" w:fill="auto"/>
            <w:vAlign w:val="center"/>
          </w:tcPr>
          <w:p w14:paraId="60A7B41B"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85 M€</w:t>
            </w:r>
          </w:p>
        </w:tc>
        <w:tc>
          <w:tcPr>
            <w:tcW w:w="222" w:type="dxa"/>
            <w:vAlign w:val="center"/>
            <w:hideMark/>
          </w:tcPr>
          <w:p w14:paraId="1CB56A05"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62F53D07" w14:textId="77777777" w:rsidTr="006769DA">
        <w:trPr>
          <w:trHeight w:val="315"/>
        </w:trPr>
        <w:tc>
          <w:tcPr>
            <w:tcW w:w="3275" w:type="dxa"/>
            <w:tcBorders>
              <w:top w:val="nil"/>
              <w:left w:val="single" w:sz="8" w:space="0" w:color="auto"/>
              <w:bottom w:val="single" w:sz="8" w:space="0" w:color="auto"/>
              <w:right w:val="single" w:sz="8" w:space="0" w:color="auto"/>
            </w:tcBorders>
            <w:shd w:val="clear" w:color="000000" w:fill="244062"/>
            <w:vAlign w:val="center"/>
            <w:hideMark/>
          </w:tcPr>
          <w:p w14:paraId="7F379EF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3" w:type="dxa"/>
            <w:gridSpan w:val="3"/>
            <w:tcBorders>
              <w:top w:val="single" w:sz="8" w:space="0" w:color="auto"/>
              <w:left w:val="nil"/>
              <w:bottom w:val="single" w:sz="8" w:space="0" w:color="auto"/>
              <w:right w:val="single" w:sz="8" w:space="0" w:color="000000"/>
            </w:tcBorders>
            <w:shd w:val="clear" w:color="auto" w:fill="auto"/>
            <w:vAlign w:val="center"/>
          </w:tcPr>
          <w:p w14:paraId="13DAB384"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EC1D53"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48258893"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bl>
    <w:p w14:paraId="75331646" w14:textId="77777777" w:rsidR="00DB2B79" w:rsidRPr="00A33AE8" w:rsidRDefault="00DB2B79" w:rsidP="00DB2B79">
      <w:pPr>
        <w:pStyle w:val="LDKbody"/>
        <w:rPr>
          <w:lang w:val="en-GB"/>
        </w:rPr>
      </w:pPr>
    </w:p>
    <w:tbl>
      <w:tblPr>
        <w:tblW w:w="9680" w:type="dxa"/>
        <w:tblLook w:val="04A0" w:firstRow="1" w:lastRow="0" w:firstColumn="1" w:lastColumn="0" w:noHBand="0" w:noVBand="1"/>
      </w:tblPr>
      <w:tblGrid>
        <w:gridCol w:w="3276"/>
        <w:gridCol w:w="1114"/>
        <w:gridCol w:w="936"/>
        <w:gridCol w:w="4132"/>
        <w:gridCol w:w="222"/>
      </w:tblGrid>
      <w:tr w:rsidR="00DB2B79" w:rsidRPr="00A33AE8" w14:paraId="3EE1D69B" w14:textId="77777777" w:rsidTr="006769DA">
        <w:trPr>
          <w:gridAfter w:val="1"/>
          <w:wAfter w:w="222" w:type="dxa"/>
          <w:trHeight w:val="780"/>
        </w:trPr>
        <w:tc>
          <w:tcPr>
            <w:tcW w:w="3276"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3EA6860" w14:textId="77777777" w:rsidR="00DB2B79" w:rsidRPr="00A33AE8" w:rsidRDefault="00DB2B7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12B308EA"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PM_D17</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7969AAE8"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2" w:type="dxa"/>
            <w:tcBorders>
              <w:top w:val="single" w:sz="8" w:space="0" w:color="auto"/>
              <w:left w:val="nil"/>
              <w:bottom w:val="single" w:sz="8" w:space="0" w:color="auto"/>
              <w:right w:val="single" w:sz="8" w:space="0" w:color="auto"/>
            </w:tcBorders>
            <w:shd w:val="clear" w:color="auto" w:fill="E7E6E6" w:themeFill="background2"/>
            <w:vAlign w:val="center"/>
            <w:hideMark/>
          </w:tcPr>
          <w:p w14:paraId="65CE856F"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Utilisation of the entire amount of methane (CH</w:t>
            </w:r>
            <w:r w:rsidRPr="00A33AE8">
              <w:rPr>
                <w:rFonts w:ascii="Calibri Light" w:eastAsia="Times New Roman" w:hAnsi="Calibri Light" w:cs="Calibri Light"/>
                <w:b/>
                <w:bCs/>
                <w:color w:val="000000"/>
                <w:sz w:val="20"/>
                <w:szCs w:val="20"/>
                <w:vertAlign w:val="subscript"/>
                <w:lang w:eastAsia="en-GB"/>
              </w:rPr>
              <w:t>4</w:t>
            </w:r>
            <w:r w:rsidRPr="00A33AE8">
              <w:rPr>
                <w:rFonts w:ascii="Calibri Light" w:eastAsia="Times New Roman" w:hAnsi="Calibri Light" w:cs="Calibri Light"/>
                <w:b/>
                <w:bCs/>
                <w:color w:val="000000"/>
                <w:sz w:val="20"/>
                <w:szCs w:val="20"/>
                <w:lang w:eastAsia="en-GB"/>
              </w:rPr>
              <w:t xml:space="preserve">) generated from all the dumped quantities of waste that end up in sanitary landfills </w:t>
            </w:r>
          </w:p>
        </w:tc>
      </w:tr>
      <w:tr w:rsidR="00DB2B79" w:rsidRPr="00A33AE8" w14:paraId="2A0C870C" w14:textId="77777777" w:rsidTr="006769DA">
        <w:trPr>
          <w:gridAfter w:val="1"/>
          <w:wAfter w:w="222" w:type="dxa"/>
          <w:trHeight w:val="435"/>
        </w:trPr>
        <w:tc>
          <w:tcPr>
            <w:tcW w:w="3276" w:type="dxa"/>
            <w:tcBorders>
              <w:top w:val="nil"/>
              <w:left w:val="single" w:sz="8" w:space="0" w:color="auto"/>
              <w:bottom w:val="single" w:sz="8" w:space="0" w:color="auto"/>
              <w:right w:val="nil"/>
            </w:tcBorders>
            <w:shd w:val="clear" w:color="000000" w:fill="244062"/>
            <w:vAlign w:val="center"/>
            <w:hideMark/>
          </w:tcPr>
          <w:p w14:paraId="78F2C5A2"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1494C314"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CH</w:t>
            </w:r>
            <w:r w:rsidRPr="00A33AE8">
              <w:rPr>
                <w:rFonts w:asciiTheme="majorHAnsi" w:eastAsia="Times New Roman" w:hAnsiTheme="majorHAnsi" w:cstheme="majorHAnsi"/>
                <w:color w:val="000000"/>
                <w:sz w:val="20"/>
                <w:szCs w:val="20"/>
                <w:vertAlign w:val="subscript"/>
                <w:lang w:eastAsia="en-GB"/>
              </w:rPr>
              <w:t>4</w:t>
            </w:r>
            <w:r w:rsidRPr="00A33AE8">
              <w:rPr>
                <w:rFonts w:asciiTheme="majorHAnsi" w:eastAsia="Times New Roman" w:hAnsiTheme="majorHAnsi" w:cstheme="majorHAnsi"/>
                <w:color w:val="000000"/>
                <w:sz w:val="20"/>
                <w:szCs w:val="20"/>
                <w:lang w:eastAsia="en-GB"/>
              </w:rPr>
              <w:t xml:space="preserve"> emissions reduction</w:t>
            </w:r>
          </w:p>
        </w:tc>
      </w:tr>
      <w:tr w:rsidR="00DB2B79" w:rsidRPr="00A33AE8" w14:paraId="6CE71502" w14:textId="77777777" w:rsidTr="006769DA">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3DA5945A"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143914FE" w14:textId="77777777" w:rsidR="00DB2B79" w:rsidRPr="00A33AE8" w:rsidRDefault="00E16752" w:rsidP="002A0D90">
            <w:pPr>
              <w:spacing w:after="0" w:line="240" w:lineRule="auto"/>
              <w:jc w:val="both"/>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 xml:space="preserve"> Contribution to the objective of reduction of GHG emissions by 33.3% (without LULUCF) by 2030 compared to 1990 levels</w:t>
            </w:r>
          </w:p>
        </w:tc>
      </w:tr>
      <w:tr w:rsidR="00DB2B79" w:rsidRPr="00A33AE8" w14:paraId="1FC4B630" w14:textId="77777777" w:rsidTr="006769DA">
        <w:trPr>
          <w:gridAfter w:val="1"/>
          <w:wAfter w:w="222" w:type="dxa"/>
          <w:trHeight w:val="913"/>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781DEB87"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2EE19959" w14:textId="77777777" w:rsidR="00DB2B79" w:rsidRPr="00A33AE8" w:rsidRDefault="00DB2B79"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PM_D17 will facilitate the process in which the methane produced from the </w:t>
            </w:r>
            <w:r w:rsidR="000B25F8" w:rsidRPr="00A33AE8">
              <w:rPr>
                <w:rFonts w:asciiTheme="majorHAnsi" w:eastAsia="Times New Roman" w:hAnsiTheme="majorHAnsi" w:cstheme="majorHAnsi"/>
                <w:color w:val="000000"/>
                <w:sz w:val="20"/>
                <w:szCs w:val="20"/>
                <w:lang w:eastAsia="en-GB"/>
              </w:rPr>
              <w:t>landfills</w:t>
            </w:r>
            <w:r w:rsidRPr="00A33AE8">
              <w:rPr>
                <w:rFonts w:asciiTheme="majorHAnsi" w:eastAsia="Times New Roman" w:hAnsiTheme="majorHAnsi" w:cstheme="majorHAnsi"/>
                <w:color w:val="000000"/>
                <w:sz w:val="20"/>
                <w:szCs w:val="20"/>
                <w:lang w:eastAsia="en-GB"/>
              </w:rPr>
              <w:t xml:space="preserve"> can be sustainably utilized as a source of energy</w:t>
            </w:r>
            <w:r w:rsidR="000B25F8" w:rsidRPr="00A33AE8">
              <w:rPr>
                <w:rFonts w:asciiTheme="majorHAnsi" w:eastAsia="Times New Roman" w:hAnsiTheme="majorHAnsi" w:cstheme="majorHAnsi"/>
                <w:color w:val="000000"/>
                <w:sz w:val="20"/>
                <w:szCs w:val="20"/>
                <w:lang w:eastAsia="en-GB"/>
              </w:rPr>
              <w:t>.</w:t>
            </w:r>
          </w:p>
        </w:tc>
      </w:tr>
      <w:tr w:rsidR="00DB2B79" w:rsidRPr="00A33AE8" w14:paraId="2EB4CCE8" w14:textId="77777777" w:rsidTr="006769DA">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588E1485"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5DB61E49"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C21F1A"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DB2B79" w:rsidRPr="00A33AE8" w14:paraId="7DE3EAA6" w14:textId="77777777" w:rsidTr="006769DA">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6925B9D2"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67568973" w14:textId="77777777" w:rsidR="00DB2B79" w:rsidRPr="00A33AE8" w:rsidRDefault="00EC1D5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DB2B79" w:rsidRPr="00A33AE8" w14:paraId="2870FC14" w14:textId="77777777" w:rsidTr="006769DA">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2BADD565"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46E05D88"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w:t>
            </w:r>
          </w:p>
        </w:tc>
      </w:tr>
      <w:tr w:rsidR="00DB2B79" w:rsidRPr="00A33AE8" w14:paraId="782262BA" w14:textId="77777777" w:rsidTr="006769DA">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118364A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78B94F41" w14:textId="77777777" w:rsidR="00DB2B79" w:rsidRPr="00A33AE8" w:rsidRDefault="00DB2B79" w:rsidP="00884F3B">
            <w:pPr>
              <w:pStyle w:val="ListParagraph"/>
              <w:numPr>
                <w:ilvl w:val="0"/>
                <w:numId w:val="22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DB2B79" w:rsidRPr="00A33AE8" w14:paraId="617E1B52" w14:textId="77777777" w:rsidTr="006769DA">
        <w:trPr>
          <w:gridAfter w:val="1"/>
          <w:wAfter w:w="222" w:type="dxa"/>
          <w:trHeight w:val="315"/>
        </w:trPr>
        <w:tc>
          <w:tcPr>
            <w:tcW w:w="3276" w:type="dxa"/>
            <w:tcBorders>
              <w:top w:val="nil"/>
              <w:left w:val="single" w:sz="8" w:space="0" w:color="auto"/>
              <w:bottom w:val="single" w:sz="8" w:space="0" w:color="auto"/>
              <w:right w:val="nil"/>
            </w:tcBorders>
            <w:shd w:val="clear" w:color="000000" w:fill="244062"/>
            <w:vAlign w:val="center"/>
            <w:hideMark/>
          </w:tcPr>
          <w:p w14:paraId="5A326BFC"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2" w:type="dxa"/>
            <w:gridSpan w:val="3"/>
            <w:tcBorders>
              <w:top w:val="single" w:sz="8" w:space="0" w:color="auto"/>
              <w:left w:val="nil"/>
              <w:bottom w:val="single" w:sz="8" w:space="0" w:color="auto"/>
              <w:right w:val="single" w:sz="8" w:space="0" w:color="000000"/>
            </w:tcBorders>
            <w:shd w:val="clear" w:color="auto" w:fill="auto"/>
            <w:vAlign w:val="center"/>
          </w:tcPr>
          <w:p w14:paraId="5B658A79" w14:textId="77777777" w:rsidR="00DB2B79" w:rsidRPr="00A33AE8" w:rsidRDefault="00DB2B79" w:rsidP="00884F3B">
            <w:pPr>
              <w:pStyle w:val="ListParagraph"/>
              <w:numPr>
                <w:ilvl w:val="0"/>
                <w:numId w:val="225"/>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tc>
      </w:tr>
      <w:tr w:rsidR="00DB2B79" w:rsidRPr="00A33AE8" w14:paraId="7738D9E4" w14:textId="77777777" w:rsidTr="006769DA">
        <w:trPr>
          <w:gridAfter w:val="1"/>
          <w:wAfter w:w="222" w:type="dxa"/>
          <w:trHeight w:val="315"/>
        </w:trPr>
        <w:tc>
          <w:tcPr>
            <w:tcW w:w="3276" w:type="dxa"/>
            <w:tcBorders>
              <w:top w:val="nil"/>
              <w:left w:val="single" w:sz="8" w:space="0" w:color="auto"/>
              <w:bottom w:val="single" w:sz="8" w:space="0" w:color="auto"/>
              <w:right w:val="nil"/>
            </w:tcBorders>
            <w:shd w:val="clear" w:color="000000" w:fill="244062"/>
            <w:vAlign w:val="center"/>
            <w:hideMark/>
          </w:tcPr>
          <w:p w14:paraId="3DEB110D"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7DF9E7A6" w14:textId="77777777" w:rsidR="00DB2B79" w:rsidRPr="00A33AE8" w:rsidRDefault="00E16752" w:rsidP="006769DA">
            <w:pPr>
              <w:spacing w:after="0" w:line="240" w:lineRule="auto"/>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 xml:space="preserve">Reduction of emissions </w:t>
            </w:r>
            <w:r w:rsidRPr="00E16752">
              <w:rPr>
                <w:rFonts w:ascii="Calibri Light" w:eastAsia="Times New Roman" w:hAnsi="Calibri Light" w:cs="Calibri Light"/>
                <w:color w:val="000000"/>
                <w:sz w:val="20"/>
                <w:szCs w:val="20"/>
                <w:lang w:val="sr-Cyrl-RS" w:eastAsia="en-GB"/>
              </w:rPr>
              <w:t>(Gg CO</w:t>
            </w:r>
            <w:r w:rsidRPr="00E16752">
              <w:rPr>
                <w:rFonts w:ascii="Calibri Light" w:eastAsia="Times New Roman" w:hAnsi="Calibri Light" w:cs="Calibri Light"/>
                <w:color w:val="000000"/>
                <w:sz w:val="20"/>
                <w:szCs w:val="20"/>
                <w:vertAlign w:val="subscript"/>
                <w:lang w:val="sr-Cyrl-RS" w:eastAsia="en-GB"/>
              </w:rPr>
              <w:t>2</w:t>
            </w:r>
            <w:r w:rsidRPr="00E16752">
              <w:rPr>
                <w:rFonts w:ascii="Calibri Light" w:eastAsia="Times New Roman" w:hAnsi="Calibri Light" w:cs="Calibri Light"/>
                <w:color w:val="000000"/>
                <w:sz w:val="20"/>
                <w:szCs w:val="20"/>
                <w:lang w:val="sr-Cyrl-RS" w:eastAsia="en-GB"/>
              </w:rPr>
              <w:t>-eq)</w:t>
            </w:r>
          </w:p>
        </w:tc>
      </w:tr>
      <w:tr w:rsidR="006C6A30" w:rsidRPr="00A33AE8" w14:paraId="44F235D5" w14:textId="77777777" w:rsidTr="006769DA">
        <w:trPr>
          <w:gridAfter w:val="1"/>
          <w:wAfter w:w="222" w:type="dxa"/>
          <w:trHeight w:val="466"/>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5B0BF324"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2" w:type="dxa"/>
            <w:gridSpan w:val="3"/>
            <w:tcBorders>
              <w:top w:val="single" w:sz="8" w:space="0" w:color="auto"/>
              <w:left w:val="nil"/>
              <w:bottom w:val="single" w:sz="8" w:space="0" w:color="auto"/>
              <w:right w:val="single" w:sz="8" w:space="0" w:color="000000"/>
            </w:tcBorders>
            <w:shd w:val="clear" w:color="auto" w:fill="auto"/>
            <w:vAlign w:val="center"/>
          </w:tcPr>
          <w:p w14:paraId="747B9AE5"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DB2B79" w:rsidRPr="00A33AE8" w14:paraId="436693A7" w14:textId="77777777" w:rsidTr="006769DA">
        <w:trPr>
          <w:gridAfter w:val="1"/>
          <w:wAfter w:w="222" w:type="dxa"/>
          <w:trHeight w:val="450"/>
        </w:trPr>
        <w:tc>
          <w:tcPr>
            <w:tcW w:w="3276"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B0802EC"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64E9B5" w14:textId="77777777" w:rsidR="00DB2B79" w:rsidRPr="00A33AE8" w:rsidRDefault="00DB2B79"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0B25F8" w:rsidRPr="00A33AE8">
              <w:rPr>
                <w:rFonts w:asciiTheme="majorHAnsi" w:eastAsia="Times New Roman" w:hAnsiTheme="majorHAnsi" w:cstheme="majorHAnsi"/>
                <w:color w:val="000000"/>
                <w:sz w:val="20"/>
                <w:szCs w:val="20"/>
                <w:lang w:eastAsia="en-GB"/>
              </w:rPr>
              <w:t>2018/1999</w:t>
            </w:r>
          </w:p>
        </w:tc>
      </w:tr>
      <w:tr w:rsidR="00DB2B79" w:rsidRPr="00A33AE8" w14:paraId="08301D12" w14:textId="77777777" w:rsidTr="006769DA">
        <w:trPr>
          <w:trHeight w:val="300"/>
        </w:trPr>
        <w:tc>
          <w:tcPr>
            <w:tcW w:w="3276" w:type="dxa"/>
            <w:vMerge/>
            <w:tcBorders>
              <w:top w:val="nil"/>
              <w:left w:val="single" w:sz="8" w:space="0" w:color="auto"/>
              <w:bottom w:val="single" w:sz="8" w:space="0" w:color="000000"/>
              <w:right w:val="single" w:sz="8" w:space="0" w:color="auto"/>
            </w:tcBorders>
            <w:vAlign w:val="center"/>
            <w:hideMark/>
          </w:tcPr>
          <w:p w14:paraId="513B51C5"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2" w:type="dxa"/>
            <w:gridSpan w:val="3"/>
            <w:vMerge/>
            <w:tcBorders>
              <w:top w:val="single" w:sz="8" w:space="0" w:color="auto"/>
              <w:left w:val="single" w:sz="8" w:space="0" w:color="auto"/>
              <w:bottom w:val="single" w:sz="8" w:space="0" w:color="000000"/>
              <w:right w:val="single" w:sz="8" w:space="0" w:color="000000"/>
            </w:tcBorders>
            <w:vAlign w:val="center"/>
            <w:hideMark/>
          </w:tcPr>
          <w:p w14:paraId="6BBCE62E" w14:textId="77777777" w:rsidR="00DB2B79" w:rsidRPr="00A33AE8" w:rsidRDefault="00DB2B79"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8D756F7" w14:textId="77777777" w:rsidR="00DB2B79" w:rsidRPr="00A33AE8" w:rsidRDefault="00DB2B79" w:rsidP="006769DA">
            <w:pPr>
              <w:spacing w:after="0" w:line="240" w:lineRule="auto"/>
              <w:rPr>
                <w:rFonts w:ascii="Calibri Light" w:eastAsia="Times New Roman" w:hAnsi="Calibri Light" w:cs="Calibri Light"/>
                <w:color w:val="000000"/>
                <w:sz w:val="20"/>
                <w:szCs w:val="20"/>
                <w:lang w:eastAsia="en-GB"/>
              </w:rPr>
            </w:pPr>
          </w:p>
        </w:tc>
      </w:tr>
      <w:tr w:rsidR="00DB2B79" w:rsidRPr="00A33AE8" w14:paraId="1A836247" w14:textId="77777777" w:rsidTr="006769DA">
        <w:trPr>
          <w:trHeight w:val="315"/>
        </w:trPr>
        <w:tc>
          <w:tcPr>
            <w:tcW w:w="3276" w:type="dxa"/>
            <w:vMerge/>
            <w:tcBorders>
              <w:top w:val="nil"/>
              <w:left w:val="single" w:sz="8" w:space="0" w:color="auto"/>
              <w:bottom w:val="single" w:sz="8" w:space="0" w:color="000000"/>
              <w:right w:val="single" w:sz="8" w:space="0" w:color="auto"/>
            </w:tcBorders>
            <w:vAlign w:val="center"/>
            <w:hideMark/>
          </w:tcPr>
          <w:p w14:paraId="38D7FF2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2" w:type="dxa"/>
            <w:gridSpan w:val="3"/>
            <w:vMerge/>
            <w:tcBorders>
              <w:top w:val="single" w:sz="8" w:space="0" w:color="auto"/>
              <w:left w:val="single" w:sz="8" w:space="0" w:color="auto"/>
              <w:bottom w:val="single" w:sz="8" w:space="0" w:color="000000"/>
              <w:right w:val="single" w:sz="8" w:space="0" w:color="000000"/>
            </w:tcBorders>
            <w:vAlign w:val="center"/>
            <w:hideMark/>
          </w:tcPr>
          <w:p w14:paraId="51634252" w14:textId="77777777" w:rsidR="00DB2B79" w:rsidRPr="00A33AE8" w:rsidRDefault="00DB2B79"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7F41981"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56933F33" w14:textId="77777777" w:rsidTr="006769DA">
        <w:trPr>
          <w:trHeight w:val="301"/>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3D5DED4C"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57655C97" w14:textId="77777777" w:rsidR="00DB2B79" w:rsidRPr="00A33AE8" w:rsidRDefault="000B25F8" w:rsidP="00884F3B">
            <w:pPr>
              <w:pStyle w:val="ListParagraph"/>
              <w:numPr>
                <w:ilvl w:val="0"/>
                <w:numId w:val="12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 Management Programme of the Republic of Serbia for the period 2022-2031</w:t>
            </w:r>
          </w:p>
        </w:tc>
        <w:tc>
          <w:tcPr>
            <w:tcW w:w="222" w:type="dxa"/>
            <w:vAlign w:val="center"/>
            <w:hideMark/>
          </w:tcPr>
          <w:p w14:paraId="669E00D8"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055A7625" w14:textId="77777777" w:rsidTr="006769DA">
        <w:trPr>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69EC747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2F3D23D8"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48 M€</w:t>
            </w:r>
          </w:p>
        </w:tc>
        <w:tc>
          <w:tcPr>
            <w:tcW w:w="222" w:type="dxa"/>
            <w:vAlign w:val="center"/>
            <w:hideMark/>
          </w:tcPr>
          <w:p w14:paraId="5794DFCC"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7E004B60" w14:textId="77777777" w:rsidTr="006769DA">
        <w:trPr>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7A732588"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2E73C62C"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EC1D53"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2A8651E3"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bl>
    <w:p w14:paraId="6C58A0E0" w14:textId="77777777" w:rsidR="00DB2B79" w:rsidRPr="00A33AE8" w:rsidRDefault="00DB2B79" w:rsidP="00DB2B79">
      <w:pPr>
        <w:pStyle w:val="LDKbody"/>
        <w:rPr>
          <w:lang w:val="en-GB"/>
        </w:rPr>
      </w:pPr>
    </w:p>
    <w:tbl>
      <w:tblPr>
        <w:tblW w:w="9680" w:type="dxa"/>
        <w:tblLook w:val="04A0" w:firstRow="1" w:lastRow="0" w:firstColumn="1" w:lastColumn="0" w:noHBand="0" w:noVBand="1"/>
      </w:tblPr>
      <w:tblGrid>
        <w:gridCol w:w="3272"/>
        <w:gridCol w:w="1114"/>
        <w:gridCol w:w="935"/>
        <w:gridCol w:w="4137"/>
        <w:gridCol w:w="222"/>
      </w:tblGrid>
      <w:tr w:rsidR="00DB2B79" w:rsidRPr="00A33AE8" w14:paraId="0391AAAB" w14:textId="77777777" w:rsidTr="006769DA">
        <w:trPr>
          <w:gridAfter w:val="1"/>
          <w:wAfter w:w="222" w:type="dxa"/>
          <w:trHeight w:val="780"/>
        </w:trPr>
        <w:tc>
          <w:tcPr>
            <w:tcW w:w="3272"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F20AD15" w14:textId="77777777" w:rsidR="00DB2B79" w:rsidRPr="00A33AE8" w:rsidRDefault="00DB2B7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439CD446" w14:textId="77777777" w:rsidR="00DB2B79" w:rsidRPr="00A33AE8" w:rsidRDefault="00DB2B7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PM_D18</w:t>
            </w:r>
          </w:p>
        </w:tc>
        <w:tc>
          <w:tcPr>
            <w:tcW w:w="935" w:type="dxa"/>
            <w:tcBorders>
              <w:top w:val="single" w:sz="8" w:space="0" w:color="auto"/>
              <w:left w:val="nil"/>
              <w:bottom w:val="single" w:sz="8" w:space="0" w:color="auto"/>
              <w:right w:val="single" w:sz="8" w:space="0" w:color="auto"/>
            </w:tcBorders>
            <w:shd w:val="clear" w:color="000000" w:fill="244062"/>
            <w:vAlign w:val="center"/>
            <w:hideMark/>
          </w:tcPr>
          <w:p w14:paraId="72884C81"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7" w:type="dxa"/>
            <w:tcBorders>
              <w:top w:val="single" w:sz="8" w:space="0" w:color="auto"/>
              <w:left w:val="nil"/>
              <w:bottom w:val="single" w:sz="8" w:space="0" w:color="auto"/>
              <w:right w:val="single" w:sz="8" w:space="0" w:color="auto"/>
            </w:tcBorders>
            <w:shd w:val="clear" w:color="auto" w:fill="E7E6E6" w:themeFill="background2"/>
            <w:vAlign w:val="center"/>
            <w:hideMark/>
          </w:tcPr>
          <w:p w14:paraId="71EBF136" w14:textId="77777777" w:rsidR="00DB2B79" w:rsidRPr="00A33AE8" w:rsidRDefault="00DB2B79"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composting in both centralised and household perspectives</w:t>
            </w:r>
          </w:p>
        </w:tc>
      </w:tr>
      <w:tr w:rsidR="00DB2B79" w:rsidRPr="00A33AE8" w14:paraId="51665D68" w14:textId="77777777" w:rsidTr="006769DA">
        <w:trPr>
          <w:gridAfter w:val="1"/>
          <w:wAfter w:w="222" w:type="dxa"/>
          <w:trHeight w:val="351"/>
        </w:trPr>
        <w:tc>
          <w:tcPr>
            <w:tcW w:w="3272" w:type="dxa"/>
            <w:tcBorders>
              <w:top w:val="nil"/>
              <w:left w:val="single" w:sz="8" w:space="0" w:color="auto"/>
              <w:bottom w:val="single" w:sz="8" w:space="0" w:color="auto"/>
              <w:right w:val="nil"/>
            </w:tcBorders>
            <w:shd w:val="clear" w:color="000000" w:fill="244062"/>
            <w:vAlign w:val="center"/>
            <w:hideMark/>
          </w:tcPr>
          <w:p w14:paraId="064D13F4"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56032319"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GHG emissions reduction</w:t>
            </w:r>
          </w:p>
        </w:tc>
      </w:tr>
      <w:tr w:rsidR="00DB2B79" w:rsidRPr="00A33AE8" w14:paraId="1CC98FB6" w14:textId="77777777" w:rsidTr="006769DA">
        <w:trPr>
          <w:gridAfter w:val="1"/>
          <w:wAfter w:w="222" w:type="dxa"/>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5F1A4B2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0EC0FD7E" w14:textId="77777777" w:rsidR="00DB2B79" w:rsidRPr="00A33AE8" w:rsidRDefault="00DB2B79"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Reduce GHG emissions in the waste sector by 13% by 2030 compared to 2010</w:t>
            </w:r>
          </w:p>
        </w:tc>
      </w:tr>
      <w:tr w:rsidR="00DB2B79" w:rsidRPr="00A33AE8" w14:paraId="5FF3B23E" w14:textId="77777777" w:rsidTr="006769DA">
        <w:trPr>
          <w:gridAfter w:val="1"/>
          <w:wAfter w:w="222" w:type="dxa"/>
          <w:trHeight w:val="1907"/>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7B9AF0C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02144DA7" w14:textId="77777777" w:rsidR="00DB2B79" w:rsidRPr="00A33AE8" w:rsidRDefault="00DB2B79"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PM_D18 will promote the production of compost as a large part of waste is organic and suitable for conversion into compost. Good composting practices minimize greenhouse gas emissions. The use of compost provides numerous greenhouse gas benefits, both directly through carbon sequestration and indirectly through improved soil health, reduced soil loss, increased water infiltration and storage, and reduction in other inputs. Home composting can be assisted based on the number of compost bins distributed.</w:t>
            </w:r>
            <w:r w:rsidR="000B25F8" w:rsidRPr="00A33AE8">
              <w:rPr>
                <w:rFonts w:asciiTheme="majorHAnsi" w:eastAsia="Times New Roman" w:hAnsiTheme="majorHAnsi" w:cstheme="majorHAnsi"/>
                <w:color w:val="000000"/>
                <w:sz w:val="20"/>
                <w:szCs w:val="20"/>
                <w:lang w:eastAsia="en-GB"/>
              </w:rPr>
              <w:t xml:space="preserve"> Waste Management Programme of the Republic of Serbia for the period 2022-2031 envisages (a) at municipal level the construction of smaller compost bins and at household level the introduction of home composting in rural and semi-rural areas, (b) home composting will be established in suburban/rural households in all municipalities of the waste management regions by 2032.</w:t>
            </w:r>
          </w:p>
        </w:tc>
      </w:tr>
      <w:tr w:rsidR="00DB2B79" w:rsidRPr="00A33AE8" w14:paraId="5942592F" w14:textId="77777777" w:rsidTr="006769DA">
        <w:trPr>
          <w:gridAfter w:val="1"/>
          <w:wAfter w:w="222" w:type="dxa"/>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2309E5AB"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4DBCA63D" w14:textId="77777777" w:rsidR="00DB2B79" w:rsidRPr="00A33AE8" w:rsidRDefault="000B25F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DB2B79" w:rsidRPr="00A33AE8">
              <w:rPr>
                <w:rFonts w:asciiTheme="majorHAnsi" w:eastAsia="Times New Roman" w:hAnsiTheme="majorHAnsi" w:cstheme="majorHAnsi"/>
                <w:color w:val="000000"/>
                <w:sz w:val="20"/>
                <w:szCs w:val="20"/>
                <w:lang w:eastAsia="en-GB"/>
              </w:rPr>
              <w:t>-203</w:t>
            </w:r>
            <w:r w:rsidRPr="00A33AE8">
              <w:rPr>
                <w:rFonts w:asciiTheme="majorHAnsi" w:eastAsia="Times New Roman" w:hAnsiTheme="majorHAnsi" w:cstheme="majorHAnsi"/>
                <w:color w:val="000000"/>
                <w:sz w:val="20"/>
                <w:szCs w:val="20"/>
                <w:lang w:eastAsia="en-GB"/>
              </w:rPr>
              <w:t>1</w:t>
            </w:r>
          </w:p>
        </w:tc>
      </w:tr>
      <w:tr w:rsidR="00DB2B79" w:rsidRPr="00A33AE8" w14:paraId="484FDB49" w14:textId="77777777" w:rsidTr="006769DA">
        <w:trPr>
          <w:gridAfter w:val="1"/>
          <w:wAfter w:w="222" w:type="dxa"/>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616456E9"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616705A1" w14:textId="77777777" w:rsidR="00DB2B79" w:rsidRPr="00A33AE8" w:rsidRDefault="00EC1D5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DB2B79" w:rsidRPr="00A33AE8" w14:paraId="5B508F6E" w14:textId="77777777" w:rsidTr="006769DA">
        <w:trPr>
          <w:gridAfter w:val="1"/>
          <w:wAfter w:w="222" w:type="dxa"/>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3A9C6BA4"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1DDA508A"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w:t>
            </w:r>
          </w:p>
        </w:tc>
      </w:tr>
      <w:tr w:rsidR="00DB2B79" w:rsidRPr="00A33AE8" w14:paraId="0BBA045A" w14:textId="77777777" w:rsidTr="006769DA">
        <w:trPr>
          <w:gridAfter w:val="1"/>
          <w:wAfter w:w="222" w:type="dxa"/>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3C9B4BDF"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2CBA8CD8" w14:textId="77777777" w:rsidR="00DB2B79" w:rsidRPr="00A33AE8" w:rsidRDefault="00DB2B79"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Environmental Protection </w:t>
            </w:r>
          </w:p>
        </w:tc>
      </w:tr>
      <w:tr w:rsidR="00DB2B79" w:rsidRPr="00A33AE8" w14:paraId="234B9DF5" w14:textId="77777777" w:rsidTr="006769DA">
        <w:trPr>
          <w:gridAfter w:val="1"/>
          <w:wAfter w:w="222" w:type="dxa"/>
          <w:trHeight w:val="315"/>
        </w:trPr>
        <w:tc>
          <w:tcPr>
            <w:tcW w:w="3272" w:type="dxa"/>
            <w:tcBorders>
              <w:top w:val="nil"/>
              <w:left w:val="single" w:sz="8" w:space="0" w:color="auto"/>
              <w:bottom w:val="single" w:sz="8" w:space="0" w:color="auto"/>
              <w:right w:val="nil"/>
            </w:tcBorders>
            <w:shd w:val="clear" w:color="000000" w:fill="244062"/>
            <w:vAlign w:val="center"/>
            <w:hideMark/>
          </w:tcPr>
          <w:p w14:paraId="7A45A7EA"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5D47B730" w14:textId="77777777" w:rsidR="00DB2B79" w:rsidRPr="00A33AE8" w:rsidRDefault="00DB2B79"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tc>
      </w:tr>
      <w:tr w:rsidR="00DB2B79" w:rsidRPr="00A33AE8" w14:paraId="1A465310" w14:textId="77777777" w:rsidTr="006769DA">
        <w:trPr>
          <w:gridAfter w:val="1"/>
          <w:wAfter w:w="222" w:type="dxa"/>
          <w:trHeight w:val="315"/>
        </w:trPr>
        <w:tc>
          <w:tcPr>
            <w:tcW w:w="3272" w:type="dxa"/>
            <w:tcBorders>
              <w:top w:val="nil"/>
              <w:left w:val="single" w:sz="8" w:space="0" w:color="auto"/>
              <w:bottom w:val="single" w:sz="8" w:space="0" w:color="auto"/>
              <w:right w:val="nil"/>
            </w:tcBorders>
            <w:shd w:val="clear" w:color="000000" w:fill="244062"/>
            <w:vAlign w:val="center"/>
            <w:hideMark/>
          </w:tcPr>
          <w:p w14:paraId="26F77A9A"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7F271B11" w14:textId="77777777" w:rsidR="00DB2B79" w:rsidRPr="00A33AE8" w:rsidRDefault="00DB2B79"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amount of produced compost (kt) and 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r w:rsidR="00E16752">
              <w:rPr>
                <w:rFonts w:asciiTheme="majorHAnsi" w:eastAsia="Times New Roman" w:hAnsiTheme="majorHAnsi" w:cstheme="majorHAnsi"/>
                <w:color w:val="000000"/>
                <w:sz w:val="20"/>
                <w:szCs w:val="20"/>
                <w:lang w:eastAsia="en-GB"/>
              </w:rPr>
              <w:t xml:space="preserve"> Reduction of emissions </w:t>
            </w:r>
            <w:r w:rsidR="00E16752" w:rsidRPr="00E16752">
              <w:rPr>
                <w:rFonts w:asciiTheme="majorHAnsi" w:eastAsia="Times New Roman" w:hAnsiTheme="majorHAnsi" w:cstheme="majorHAnsi"/>
                <w:color w:val="000000"/>
                <w:sz w:val="20"/>
                <w:szCs w:val="20"/>
                <w:lang w:val="sr-Cyrl-RS" w:eastAsia="en-GB"/>
              </w:rPr>
              <w:t>(Gg CO</w:t>
            </w:r>
            <w:r w:rsidR="00E16752" w:rsidRPr="00E16752">
              <w:rPr>
                <w:rFonts w:asciiTheme="majorHAnsi" w:eastAsia="Times New Roman" w:hAnsiTheme="majorHAnsi" w:cstheme="majorHAnsi"/>
                <w:color w:val="000000"/>
                <w:sz w:val="20"/>
                <w:szCs w:val="20"/>
                <w:vertAlign w:val="subscript"/>
                <w:lang w:val="sr-Cyrl-RS" w:eastAsia="en-GB"/>
              </w:rPr>
              <w:t>2</w:t>
            </w:r>
            <w:r w:rsidR="00E16752" w:rsidRPr="00E16752">
              <w:rPr>
                <w:rFonts w:asciiTheme="majorHAnsi" w:eastAsia="Times New Roman" w:hAnsiTheme="majorHAnsi" w:cstheme="majorHAnsi"/>
                <w:color w:val="000000"/>
                <w:sz w:val="20"/>
                <w:szCs w:val="20"/>
                <w:lang w:val="sr-Cyrl-RS" w:eastAsia="en-GB"/>
              </w:rPr>
              <w:t>-eq)</w:t>
            </w:r>
          </w:p>
        </w:tc>
      </w:tr>
      <w:tr w:rsidR="006C6A30" w:rsidRPr="00A33AE8" w14:paraId="3FCD05FD" w14:textId="77777777" w:rsidTr="006769DA">
        <w:trPr>
          <w:gridAfter w:val="1"/>
          <w:wAfter w:w="222" w:type="dxa"/>
          <w:trHeight w:val="307"/>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16ED5845"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6" w:type="dxa"/>
            <w:gridSpan w:val="3"/>
            <w:tcBorders>
              <w:top w:val="single" w:sz="8" w:space="0" w:color="auto"/>
              <w:left w:val="nil"/>
              <w:bottom w:val="single" w:sz="8" w:space="0" w:color="auto"/>
              <w:right w:val="single" w:sz="8" w:space="0" w:color="000000"/>
            </w:tcBorders>
            <w:shd w:val="clear" w:color="auto" w:fill="auto"/>
            <w:vAlign w:val="center"/>
          </w:tcPr>
          <w:p w14:paraId="2A5FFF2C"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DB2B79" w:rsidRPr="00A33AE8" w14:paraId="4E567393" w14:textId="77777777" w:rsidTr="006769DA">
        <w:trPr>
          <w:gridAfter w:val="1"/>
          <w:wAfter w:w="222" w:type="dxa"/>
          <w:trHeight w:val="450"/>
        </w:trPr>
        <w:tc>
          <w:tcPr>
            <w:tcW w:w="3272"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76B8DEE"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8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430C731" w14:textId="77777777" w:rsidR="00DB2B79" w:rsidRPr="00A33AE8" w:rsidRDefault="00DB2B79"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0B25F8" w:rsidRPr="00A33AE8">
              <w:rPr>
                <w:rFonts w:asciiTheme="majorHAnsi" w:eastAsia="Times New Roman" w:hAnsiTheme="majorHAnsi" w:cstheme="majorHAnsi"/>
                <w:color w:val="000000"/>
                <w:sz w:val="20"/>
                <w:szCs w:val="20"/>
                <w:lang w:eastAsia="en-GB"/>
              </w:rPr>
              <w:t>2018/1999</w:t>
            </w:r>
          </w:p>
        </w:tc>
      </w:tr>
      <w:tr w:rsidR="00DB2B79" w:rsidRPr="00A33AE8" w14:paraId="059040F2" w14:textId="77777777" w:rsidTr="006769DA">
        <w:trPr>
          <w:trHeight w:val="300"/>
        </w:trPr>
        <w:tc>
          <w:tcPr>
            <w:tcW w:w="3272" w:type="dxa"/>
            <w:vMerge/>
            <w:tcBorders>
              <w:top w:val="nil"/>
              <w:left w:val="single" w:sz="8" w:space="0" w:color="auto"/>
              <w:bottom w:val="single" w:sz="8" w:space="0" w:color="000000"/>
              <w:right w:val="single" w:sz="8" w:space="0" w:color="auto"/>
            </w:tcBorders>
            <w:vAlign w:val="center"/>
            <w:hideMark/>
          </w:tcPr>
          <w:p w14:paraId="659CA0E5"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6" w:type="dxa"/>
            <w:gridSpan w:val="3"/>
            <w:vMerge/>
            <w:tcBorders>
              <w:top w:val="single" w:sz="8" w:space="0" w:color="auto"/>
              <w:left w:val="single" w:sz="8" w:space="0" w:color="auto"/>
              <w:bottom w:val="single" w:sz="8" w:space="0" w:color="000000"/>
              <w:right w:val="single" w:sz="8" w:space="0" w:color="000000"/>
            </w:tcBorders>
            <w:vAlign w:val="center"/>
            <w:hideMark/>
          </w:tcPr>
          <w:p w14:paraId="44D570DF" w14:textId="77777777" w:rsidR="00DB2B79" w:rsidRPr="00A33AE8" w:rsidRDefault="00DB2B79" w:rsidP="00884F3B">
            <w:pPr>
              <w:pStyle w:val="ListParagraph"/>
              <w:numPr>
                <w:ilvl w:val="0"/>
                <w:numId w:val="12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B57E245" w14:textId="77777777" w:rsidR="00DB2B79" w:rsidRPr="00A33AE8" w:rsidRDefault="00DB2B79" w:rsidP="006769DA">
            <w:pPr>
              <w:spacing w:after="0" w:line="240" w:lineRule="auto"/>
              <w:rPr>
                <w:rFonts w:ascii="Calibri Light" w:eastAsia="Times New Roman" w:hAnsi="Calibri Light" w:cs="Calibri Light"/>
                <w:color w:val="000000"/>
                <w:sz w:val="20"/>
                <w:szCs w:val="20"/>
                <w:lang w:eastAsia="en-GB"/>
              </w:rPr>
            </w:pPr>
          </w:p>
        </w:tc>
      </w:tr>
      <w:tr w:rsidR="00DB2B79" w:rsidRPr="00A33AE8" w14:paraId="58B4EA07" w14:textId="77777777" w:rsidTr="002A0D90">
        <w:trPr>
          <w:trHeight w:val="60"/>
        </w:trPr>
        <w:tc>
          <w:tcPr>
            <w:tcW w:w="3272" w:type="dxa"/>
            <w:vMerge/>
            <w:tcBorders>
              <w:top w:val="nil"/>
              <w:left w:val="single" w:sz="8" w:space="0" w:color="auto"/>
              <w:bottom w:val="single" w:sz="8" w:space="0" w:color="000000"/>
              <w:right w:val="single" w:sz="8" w:space="0" w:color="auto"/>
            </w:tcBorders>
            <w:vAlign w:val="center"/>
            <w:hideMark/>
          </w:tcPr>
          <w:p w14:paraId="0A182928"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p>
        </w:tc>
        <w:tc>
          <w:tcPr>
            <w:tcW w:w="6186" w:type="dxa"/>
            <w:gridSpan w:val="3"/>
            <w:vMerge/>
            <w:tcBorders>
              <w:top w:val="single" w:sz="8" w:space="0" w:color="auto"/>
              <w:left w:val="single" w:sz="8" w:space="0" w:color="auto"/>
              <w:bottom w:val="single" w:sz="8" w:space="0" w:color="000000"/>
              <w:right w:val="single" w:sz="8" w:space="0" w:color="000000"/>
            </w:tcBorders>
            <w:vAlign w:val="center"/>
            <w:hideMark/>
          </w:tcPr>
          <w:p w14:paraId="5BEFA192" w14:textId="77777777" w:rsidR="00DB2B79" w:rsidRPr="00A33AE8" w:rsidRDefault="00DB2B79" w:rsidP="00884F3B">
            <w:pPr>
              <w:pStyle w:val="ListParagraph"/>
              <w:numPr>
                <w:ilvl w:val="0"/>
                <w:numId w:val="12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316472B"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27623D39" w14:textId="77777777" w:rsidTr="006769DA">
        <w:trPr>
          <w:trHeight w:val="199"/>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2F82EB3B"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4C87045C" w14:textId="77777777" w:rsidR="00DB2B79" w:rsidRPr="00A33AE8" w:rsidRDefault="000B25F8" w:rsidP="00884F3B">
            <w:pPr>
              <w:pStyle w:val="ListParagraph"/>
              <w:numPr>
                <w:ilvl w:val="0"/>
                <w:numId w:val="12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Waste Management Programme of the Republic of Serbia for the period 2022-2031</w:t>
            </w:r>
          </w:p>
        </w:tc>
        <w:tc>
          <w:tcPr>
            <w:tcW w:w="222" w:type="dxa"/>
            <w:vAlign w:val="center"/>
            <w:hideMark/>
          </w:tcPr>
          <w:p w14:paraId="72BF13A9"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335586AC" w14:textId="77777777" w:rsidTr="006769DA">
        <w:trPr>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7ED36CE0"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6" w:type="dxa"/>
            <w:gridSpan w:val="3"/>
            <w:tcBorders>
              <w:top w:val="single" w:sz="8" w:space="0" w:color="auto"/>
              <w:left w:val="nil"/>
              <w:bottom w:val="single" w:sz="8" w:space="0" w:color="auto"/>
              <w:right w:val="single" w:sz="8" w:space="0" w:color="000000"/>
            </w:tcBorders>
            <w:shd w:val="clear" w:color="auto" w:fill="auto"/>
            <w:vAlign w:val="center"/>
            <w:hideMark/>
          </w:tcPr>
          <w:p w14:paraId="1004BDEC"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60 M€</w:t>
            </w:r>
          </w:p>
        </w:tc>
        <w:tc>
          <w:tcPr>
            <w:tcW w:w="222" w:type="dxa"/>
            <w:vAlign w:val="center"/>
            <w:hideMark/>
          </w:tcPr>
          <w:p w14:paraId="20F6B39E"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r w:rsidR="00DB2B79" w:rsidRPr="00A33AE8" w14:paraId="7613013A" w14:textId="77777777" w:rsidTr="006769DA">
        <w:trPr>
          <w:trHeight w:val="315"/>
        </w:trPr>
        <w:tc>
          <w:tcPr>
            <w:tcW w:w="3272" w:type="dxa"/>
            <w:tcBorders>
              <w:top w:val="nil"/>
              <w:left w:val="single" w:sz="8" w:space="0" w:color="auto"/>
              <w:bottom w:val="single" w:sz="8" w:space="0" w:color="auto"/>
              <w:right w:val="single" w:sz="8" w:space="0" w:color="auto"/>
            </w:tcBorders>
            <w:shd w:val="clear" w:color="000000" w:fill="244062"/>
            <w:vAlign w:val="center"/>
            <w:hideMark/>
          </w:tcPr>
          <w:p w14:paraId="731C38E4" w14:textId="77777777" w:rsidR="00DB2B79" w:rsidRPr="00A33AE8" w:rsidRDefault="00DB2B7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6" w:type="dxa"/>
            <w:gridSpan w:val="3"/>
            <w:tcBorders>
              <w:top w:val="single" w:sz="8" w:space="0" w:color="auto"/>
              <w:left w:val="nil"/>
              <w:bottom w:val="single" w:sz="8" w:space="0" w:color="auto"/>
              <w:right w:val="single" w:sz="8" w:space="0" w:color="000000"/>
            </w:tcBorders>
            <w:shd w:val="clear" w:color="auto" w:fill="auto"/>
            <w:vAlign w:val="center"/>
          </w:tcPr>
          <w:p w14:paraId="1CBF7CD0" w14:textId="77777777" w:rsidR="00DB2B79" w:rsidRPr="00A33AE8" w:rsidRDefault="00DB2B79"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EC1D53"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7924064F" w14:textId="77777777" w:rsidR="00DB2B79" w:rsidRPr="00A33AE8" w:rsidRDefault="00DB2B79" w:rsidP="006769DA">
            <w:pPr>
              <w:spacing w:after="0" w:line="240" w:lineRule="auto"/>
              <w:rPr>
                <w:rFonts w:ascii="Times New Roman" w:eastAsia="Times New Roman" w:hAnsi="Times New Roman" w:cs="Times New Roman"/>
                <w:sz w:val="20"/>
                <w:szCs w:val="20"/>
                <w:lang w:eastAsia="en-GB"/>
              </w:rPr>
            </w:pPr>
          </w:p>
        </w:tc>
      </w:tr>
    </w:tbl>
    <w:p w14:paraId="52230A13" w14:textId="77777777" w:rsidR="005D0066" w:rsidRPr="00A33AE8" w:rsidRDefault="005D0066" w:rsidP="005D0066">
      <w:pPr>
        <w:jc w:val="both"/>
        <w:rPr>
          <w:rFonts w:cstheme="minorHAnsi"/>
          <w:i/>
          <w:iCs/>
          <w:color w:val="000000"/>
          <w:u w:val="single"/>
        </w:rPr>
      </w:pPr>
    </w:p>
    <w:p w14:paraId="25466C6C" w14:textId="77777777" w:rsidR="005D0066" w:rsidRPr="00A33AE8" w:rsidRDefault="00CD32F0" w:rsidP="00EF77E4">
      <w:pPr>
        <w:spacing w:before="240"/>
        <w:jc w:val="both"/>
        <w:rPr>
          <w:rFonts w:asciiTheme="majorHAnsi" w:hAnsiTheme="majorHAnsi" w:cstheme="majorHAnsi"/>
          <w:b/>
          <w:bCs/>
          <w:color w:val="000000"/>
        </w:rPr>
      </w:pPr>
      <w:r w:rsidRPr="00A33AE8">
        <w:rPr>
          <w:rFonts w:asciiTheme="majorHAnsi" w:hAnsiTheme="majorHAnsi" w:cstheme="majorHAnsi"/>
          <w:b/>
          <w:bCs/>
          <w:color w:val="000000"/>
        </w:rPr>
        <w:t>Agriculture</w:t>
      </w:r>
      <w:r w:rsidR="0021741C" w:rsidRPr="00A33AE8">
        <w:rPr>
          <w:rFonts w:asciiTheme="majorHAnsi" w:hAnsiTheme="majorHAnsi" w:cstheme="majorHAnsi"/>
          <w:b/>
          <w:bCs/>
          <w:color w:val="000000"/>
        </w:rPr>
        <w:t xml:space="preserve"> and LULUCF</w:t>
      </w:r>
    </w:p>
    <w:p w14:paraId="19BA25D5" w14:textId="77777777" w:rsidR="005D0066" w:rsidRPr="00A33AE8" w:rsidRDefault="005D0066" w:rsidP="00884F3B">
      <w:pPr>
        <w:pStyle w:val="ListParagraph"/>
        <w:numPr>
          <w:ilvl w:val="0"/>
          <w:numId w:val="226"/>
        </w:numPr>
        <w:spacing w:before="240" w:line="240" w:lineRule="auto"/>
        <w:jc w:val="both"/>
        <w:rPr>
          <w:rFonts w:asciiTheme="majorHAnsi" w:hAnsiTheme="majorHAnsi" w:cstheme="majorHAnsi"/>
          <w:b/>
          <w:bCs/>
          <w:i/>
          <w:iCs/>
          <w:color w:val="000000"/>
        </w:rPr>
      </w:pPr>
      <w:r w:rsidRPr="00A33AE8">
        <w:rPr>
          <w:rFonts w:asciiTheme="majorHAnsi" w:hAnsiTheme="majorHAnsi" w:cstheme="majorHAnsi"/>
          <w:b/>
          <w:bCs/>
          <w:i/>
          <w:iCs/>
          <w:color w:val="000000"/>
        </w:rPr>
        <w:t>Agriculture</w:t>
      </w:r>
    </w:p>
    <w:p w14:paraId="154A1182" w14:textId="2C1DC3C7"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CH</w:t>
      </w:r>
      <w:r w:rsidRPr="00A33AE8">
        <w:rPr>
          <w:rFonts w:asciiTheme="majorHAnsi" w:hAnsiTheme="majorHAnsi" w:cstheme="majorHAnsi"/>
          <w:bCs/>
          <w:color w:val="000000"/>
          <w:vertAlign w:val="subscript"/>
        </w:rPr>
        <w:t>4</w:t>
      </w:r>
      <w:r w:rsidRPr="00A33AE8">
        <w:rPr>
          <w:rFonts w:asciiTheme="majorHAnsi" w:hAnsiTheme="majorHAnsi" w:cstheme="majorHAnsi"/>
          <w:bCs/>
          <w:color w:val="000000"/>
        </w:rPr>
        <w:t xml:space="preserve"> is the main GHG emitted by the agricultural sector from enteric fermentation and manure management. Very small amounts of N2O are also emitted from manure management and fertiliser use. Various policies and measures are being implemented as agricultural practices, which reduce the GHG emissions profile of the local agricultural sector. N</w:t>
      </w:r>
      <w:r w:rsidRPr="00A33AE8">
        <w:rPr>
          <w:rFonts w:asciiTheme="majorHAnsi" w:hAnsiTheme="majorHAnsi" w:cstheme="majorHAnsi"/>
          <w:bCs/>
          <w:color w:val="000000"/>
          <w:vertAlign w:val="subscript"/>
        </w:rPr>
        <w:t>2</w:t>
      </w:r>
      <w:r w:rsidRPr="00A33AE8">
        <w:rPr>
          <w:rFonts w:asciiTheme="majorHAnsi" w:hAnsiTheme="majorHAnsi" w:cstheme="majorHAnsi"/>
          <w:bCs/>
          <w:color w:val="000000"/>
        </w:rPr>
        <w:t>O emissions from the use of fertiliser are expected to decrease over time as improved cultivation practices are adopted.</w:t>
      </w:r>
    </w:p>
    <w:p w14:paraId="558E5362" w14:textId="77777777"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In the Republic of Serbia, agricultural policy is based on the Act on Agriculture and Rural Development</w:t>
      </w:r>
      <w:r w:rsidRPr="00A33AE8">
        <w:rPr>
          <w:rFonts w:asciiTheme="majorHAnsi" w:hAnsiTheme="majorHAnsi" w:cstheme="majorHAnsi"/>
          <w:bCs/>
          <w:color w:val="000000"/>
          <w:vertAlign w:val="superscript"/>
        </w:rPr>
        <w:footnoteReference w:id="106"/>
      </w:r>
      <w:r w:rsidRPr="00A33AE8">
        <w:rPr>
          <w:rFonts w:asciiTheme="majorHAnsi" w:hAnsiTheme="majorHAnsi" w:cstheme="majorHAnsi"/>
          <w:bCs/>
          <w:color w:val="000000"/>
        </w:rPr>
        <w:t xml:space="preserve"> and the Act on Incentives in Agriculture and Rural Development</w:t>
      </w:r>
      <w:r w:rsidRPr="00A33AE8">
        <w:rPr>
          <w:rFonts w:asciiTheme="majorHAnsi" w:hAnsiTheme="majorHAnsi" w:cstheme="majorHAnsi"/>
          <w:bCs/>
          <w:color w:val="000000"/>
          <w:vertAlign w:val="superscript"/>
        </w:rPr>
        <w:footnoteReference w:id="107"/>
      </w:r>
      <w:r w:rsidRPr="00A33AE8">
        <w:rPr>
          <w:rFonts w:asciiTheme="majorHAnsi" w:hAnsiTheme="majorHAnsi" w:cstheme="majorHAnsi"/>
          <w:bCs/>
          <w:color w:val="000000"/>
        </w:rPr>
        <w:t>. However, none of these two acts enable the regulation of the agricultural products market and the introduction of new market regulation mechanisms, which are necessary to help Serbian agriculture maintain steady development. Market mechanisms in the Republic of Serbia are not in accordance with the common EU market organization. Serbia lacks a similar unique legal framework to implement most measures of market regulation.</w:t>
      </w:r>
    </w:p>
    <w:p w14:paraId="5021C86B" w14:textId="77777777"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 xml:space="preserve">In order to harmonize further with mechanisms in the EU, the Serbian National Assembly </w:t>
      </w:r>
      <w:r w:rsidR="003F2130" w:rsidRPr="00A33AE8">
        <w:rPr>
          <w:rFonts w:asciiTheme="majorHAnsi" w:hAnsiTheme="majorHAnsi" w:cstheme="majorHAnsi"/>
          <w:bCs/>
          <w:color w:val="000000"/>
        </w:rPr>
        <w:t xml:space="preserve">adopted </w:t>
      </w:r>
      <w:r w:rsidRPr="00A33AE8">
        <w:rPr>
          <w:rFonts w:asciiTheme="majorHAnsi" w:hAnsiTheme="majorHAnsi" w:cstheme="majorHAnsi"/>
          <w:bCs/>
          <w:color w:val="000000"/>
        </w:rPr>
        <w:t>the Bill on the Regulation of the Agricultural Products Market</w:t>
      </w:r>
      <w:r w:rsidR="007633F4" w:rsidRPr="00A33AE8">
        <w:rPr>
          <w:rStyle w:val="FootnoteReference"/>
          <w:rFonts w:asciiTheme="majorHAnsi" w:hAnsiTheme="majorHAnsi" w:cstheme="majorHAnsi"/>
          <w:bCs/>
          <w:color w:val="000000"/>
        </w:rPr>
        <w:footnoteReference w:id="108"/>
      </w:r>
      <w:r w:rsidRPr="00A33AE8">
        <w:rPr>
          <w:rFonts w:asciiTheme="majorHAnsi" w:hAnsiTheme="majorHAnsi" w:cstheme="majorHAnsi"/>
          <w:bCs/>
          <w:color w:val="000000"/>
        </w:rPr>
        <w:t>. The Bill regulates the requirements and measures for the regulation of the agricultural products market.</w:t>
      </w:r>
    </w:p>
    <w:p w14:paraId="3B128757" w14:textId="0CEC6850" w:rsidR="005D0066" w:rsidRPr="00A33AE8" w:rsidRDefault="005D0066" w:rsidP="00EF77E4">
      <w:pPr>
        <w:spacing w:before="240"/>
        <w:jc w:val="both"/>
        <w:rPr>
          <w:rFonts w:asciiTheme="majorHAnsi" w:hAnsiTheme="majorHAnsi" w:cstheme="majorHAnsi"/>
          <w:bCs/>
        </w:rPr>
      </w:pPr>
      <w:r w:rsidRPr="00A33AE8">
        <w:rPr>
          <w:rFonts w:asciiTheme="majorHAnsi" w:hAnsiTheme="majorHAnsi" w:cstheme="majorHAnsi"/>
          <w:bCs/>
        </w:rPr>
        <w:t xml:space="preserve">Beyond this, and as regards specifically the GHG emissions, manure management is set to improve through the enactment of the proposed policy measure </w:t>
      </w:r>
      <w:r w:rsidRPr="00A33AE8">
        <w:rPr>
          <w:rFonts w:asciiTheme="majorHAnsi" w:hAnsiTheme="majorHAnsi" w:cstheme="majorHAnsi"/>
          <w:b/>
        </w:rPr>
        <w:t>PM_D11</w:t>
      </w:r>
      <w:r w:rsidRPr="00A33AE8">
        <w:rPr>
          <w:rFonts w:asciiTheme="majorHAnsi" w:hAnsiTheme="majorHAnsi" w:cstheme="majorHAnsi"/>
          <w:bCs/>
        </w:rPr>
        <w:t>, which requires both an investment in new infrastructure and a change in current operations.</w:t>
      </w:r>
    </w:p>
    <w:p w14:paraId="50DEDF9C" w14:textId="77777777" w:rsidR="005D0066" w:rsidRPr="00A33AE8" w:rsidRDefault="005D0066" w:rsidP="00884F3B">
      <w:pPr>
        <w:pStyle w:val="ListParagraph"/>
        <w:numPr>
          <w:ilvl w:val="0"/>
          <w:numId w:val="226"/>
        </w:numPr>
        <w:spacing w:before="240" w:line="240" w:lineRule="auto"/>
        <w:jc w:val="both"/>
        <w:rPr>
          <w:rFonts w:asciiTheme="majorHAnsi" w:hAnsiTheme="majorHAnsi" w:cstheme="majorHAnsi"/>
          <w:b/>
          <w:bCs/>
          <w:i/>
          <w:iCs/>
          <w:color w:val="000000"/>
        </w:rPr>
      </w:pPr>
      <w:r w:rsidRPr="00A33AE8">
        <w:rPr>
          <w:rFonts w:asciiTheme="majorHAnsi" w:hAnsiTheme="majorHAnsi" w:cstheme="majorHAnsi"/>
          <w:b/>
          <w:bCs/>
          <w:i/>
          <w:iCs/>
          <w:color w:val="000000"/>
        </w:rPr>
        <w:t>Land Use, Land Use Change and Forestry</w:t>
      </w:r>
    </w:p>
    <w:p w14:paraId="113536B2" w14:textId="77777777"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 xml:space="preserve">According to </w:t>
      </w:r>
      <w:r w:rsidR="00B7324D" w:rsidRPr="00B7324D">
        <w:rPr>
          <w:rFonts w:asciiTheme="majorHAnsi" w:hAnsiTheme="majorHAnsi" w:cstheme="majorHAnsi"/>
          <w:bCs/>
          <w:color w:val="000000"/>
        </w:rPr>
        <w:t>the Statistical Office</w:t>
      </w:r>
      <w:r w:rsidRPr="00A33AE8">
        <w:rPr>
          <w:rFonts w:asciiTheme="majorHAnsi" w:hAnsiTheme="majorHAnsi" w:cstheme="majorHAnsi"/>
          <w:bCs/>
          <w:color w:val="000000"/>
          <w:vertAlign w:val="superscript"/>
        </w:rPr>
        <w:footnoteReference w:id="109"/>
      </w:r>
      <w:r w:rsidRPr="00A33AE8">
        <w:rPr>
          <w:rFonts w:asciiTheme="majorHAnsi" w:hAnsiTheme="majorHAnsi" w:cstheme="majorHAnsi"/>
          <w:bCs/>
          <w:color w:val="000000"/>
        </w:rPr>
        <w:t xml:space="preserve">, Serbia has </w:t>
      </w:r>
      <w:r w:rsidR="00B7324D" w:rsidRPr="00B7324D">
        <w:rPr>
          <w:rFonts w:asciiTheme="majorHAnsi" w:hAnsiTheme="majorHAnsi" w:cstheme="majorHAnsi"/>
          <w:bCs/>
          <w:color w:val="000000"/>
        </w:rPr>
        <w:t>2,261,386</w:t>
      </w:r>
      <w:r w:rsidRPr="00A33AE8">
        <w:rPr>
          <w:rFonts w:asciiTheme="majorHAnsi" w:hAnsiTheme="majorHAnsi" w:cstheme="majorHAnsi"/>
          <w:bCs/>
          <w:color w:val="000000"/>
        </w:rPr>
        <w:t xml:space="preserve"> ha of forest</w:t>
      </w:r>
      <w:r w:rsidR="00B7324D" w:rsidRPr="00B7324D">
        <w:rPr>
          <w:rFonts w:asciiTheme="majorHAnsi" w:hAnsiTheme="majorHAnsi" w:cstheme="majorHAnsi"/>
          <w:bCs/>
          <w:color w:val="000000"/>
        </w:rPr>
        <w:t>, while the ownership share in 2020 was 43% (state ownership) and 57% (private ownership).</w:t>
      </w:r>
    </w:p>
    <w:p w14:paraId="41800808" w14:textId="646A6F52"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Article 3 of the Serbian Forest Law</w:t>
      </w:r>
      <w:r w:rsidRPr="00A33AE8">
        <w:rPr>
          <w:rFonts w:asciiTheme="majorHAnsi" w:hAnsiTheme="majorHAnsi" w:cstheme="majorHAnsi"/>
          <w:bCs/>
          <w:color w:val="000000"/>
          <w:vertAlign w:val="superscript"/>
        </w:rPr>
        <w:footnoteReference w:id="110"/>
      </w:r>
      <w:r w:rsidRPr="00A33AE8">
        <w:rPr>
          <w:rFonts w:asciiTheme="majorHAnsi" w:hAnsiTheme="majorHAnsi" w:cstheme="majorHAnsi"/>
          <w:bCs/>
          <w:color w:val="000000"/>
        </w:rPr>
        <w:t xml:space="preserve"> defines the objectives of Forest Landscape Restoration as follows: “This Law shall ensure the conditions for sustainable management of forests and forest lands as goods of public interest, in a manner and to an extent which conserves and enhances their productivity, biological diversity, </w:t>
      </w:r>
      <w:r w:rsidRPr="00A33AE8">
        <w:rPr>
          <w:rFonts w:asciiTheme="majorHAnsi" w:hAnsiTheme="majorHAnsi" w:cstheme="majorHAnsi"/>
          <w:bCs/>
          <w:color w:val="000000"/>
        </w:rPr>
        <w:lastRenderedPageBreak/>
        <w:t>ability to regenerate and vitality, and increases their potential for the mitigation of climate change and their economic, ecologic and social functions, without inflicting damage to the surrounding ecosystems”.</w:t>
      </w:r>
    </w:p>
    <w:p w14:paraId="67C0EBAD" w14:textId="623D87B6"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 xml:space="preserve">The general condition of state forests is considered unsatisfactory, reflecting low volume production, low forest cover, an unfavourable age-class structure and poor health. In the </w:t>
      </w:r>
      <w:r w:rsidR="00922B09" w:rsidRPr="00A33AE8">
        <w:rPr>
          <w:rStyle w:val="cf01"/>
        </w:rPr>
        <w:t>Forest Development Strategy of the Republic of Serbia</w:t>
      </w:r>
      <w:r w:rsidRPr="00A33AE8">
        <w:rPr>
          <w:rFonts w:asciiTheme="majorHAnsi" w:hAnsiTheme="majorHAnsi" w:cstheme="majorHAnsi"/>
          <w:bCs/>
          <w:color w:val="000000"/>
        </w:rPr>
        <w:t>, guiding principle 3.9 suggests preventing forest degradation primarily by applying the mechanism of environmental impact assessment and by fostering intersectoral cooperation in solving of such conflicts. The same document suggests efforts to maintain and increase the area covered by forests by reclamation, afforestation and forest cultivation on the abandoned, degraded and treeless land and advocates intersectoral cooperation to prevent further forest degradation</w:t>
      </w:r>
      <w:r w:rsidRPr="00A33AE8">
        <w:rPr>
          <w:rFonts w:asciiTheme="majorHAnsi" w:hAnsiTheme="majorHAnsi" w:cstheme="majorHAnsi"/>
          <w:bCs/>
          <w:color w:val="000000"/>
          <w:vertAlign w:val="superscript"/>
        </w:rPr>
        <w:footnoteReference w:id="111"/>
      </w:r>
      <w:r w:rsidRPr="00A33AE8">
        <w:rPr>
          <w:rFonts w:asciiTheme="majorHAnsi" w:hAnsiTheme="majorHAnsi" w:cstheme="majorHAnsi"/>
          <w:bCs/>
          <w:color w:val="000000"/>
        </w:rPr>
        <w:t>.</w:t>
      </w:r>
    </w:p>
    <w:p w14:paraId="6F1E44B4" w14:textId="6D8C32AC" w:rsidR="005D0066" w:rsidRPr="00A33AE8" w:rsidRDefault="005D0066" w:rsidP="00EF77E4">
      <w:pPr>
        <w:spacing w:before="240"/>
        <w:jc w:val="both"/>
        <w:rPr>
          <w:rFonts w:asciiTheme="majorHAnsi" w:hAnsiTheme="majorHAnsi" w:cstheme="majorHAnsi"/>
          <w:bCs/>
          <w:color w:val="000000"/>
        </w:rPr>
      </w:pPr>
      <w:r w:rsidRPr="00A33AE8">
        <w:rPr>
          <w:rFonts w:asciiTheme="majorHAnsi" w:hAnsiTheme="majorHAnsi" w:cstheme="majorHAnsi"/>
          <w:bCs/>
          <w:color w:val="000000"/>
        </w:rPr>
        <w:t>The Forest Law and all other planning documents focus on restoration at the level of forests and forest land. No planning documents operate at a landscape level, making it difficult to articulate and implement Forest Landscape Restoration on the ground. An objective exists to increase forest cover to 41.4% by 2050, primarily by establishing 1,000,000 ha of new plantations</w:t>
      </w:r>
      <w:r w:rsidRPr="00A33AE8">
        <w:rPr>
          <w:rFonts w:asciiTheme="majorHAnsi" w:hAnsiTheme="majorHAnsi" w:cstheme="majorHAnsi"/>
          <w:vertAlign w:val="superscript"/>
        </w:rPr>
        <w:footnoteReference w:id="112"/>
      </w:r>
      <w:r w:rsidRPr="00A33AE8">
        <w:rPr>
          <w:rFonts w:asciiTheme="majorHAnsi" w:hAnsiTheme="majorHAnsi" w:cstheme="majorHAnsi"/>
          <w:bCs/>
          <w:color w:val="000000"/>
        </w:rPr>
        <w:t>.</w:t>
      </w:r>
    </w:p>
    <w:p w14:paraId="773EAD11" w14:textId="3680DD5B" w:rsidR="005D0066" w:rsidRPr="00A33AE8" w:rsidRDefault="005D0066" w:rsidP="00EF77E4">
      <w:pPr>
        <w:spacing w:before="240"/>
        <w:jc w:val="both"/>
        <w:rPr>
          <w:rFonts w:cstheme="minorHAnsi"/>
          <w:bCs/>
          <w:color w:val="000000"/>
        </w:rPr>
      </w:pPr>
      <w:r w:rsidRPr="00A33AE8">
        <w:rPr>
          <w:rFonts w:asciiTheme="majorHAnsi" w:hAnsiTheme="majorHAnsi" w:cstheme="majorHAnsi"/>
          <w:bCs/>
          <w:color w:val="000000"/>
        </w:rPr>
        <w:t>The Republic of Serbia seeks to enhance removals or reduce emissions in the LULUCF sector. In view of this, afforestation projects have been undertaken in recent years, which had an effect on the area covered by permanent vegetation, particularly trees. However, the CO</w:t>
      </w:r>
      <w:r w:rsidRPr="00A33AE8">
        <w:rPr>
          <w:rFonts w:asciiTheme="majorHAnsi" w:hAnsiTheme="majorHAnsi" w:cstheme="majorHAnsi"/>
          <w:bCs/>
          <w:color w:val="000000"/>
          <w:vertAlign w:val="subscript"/>
        </w:rPr>
        <w:t>2</w:t>
      </w:r>
      <w:r w:rsidRPr="00A33AE8">
        <w:rPr>
          <w:rFonts w:asciiTheme="majorHAnsi" w:hAnsiTheme="majorHAnsi" w:cstheme="majorHAnsi"/>
          <w:bCs/>
          <w:color w:val="000000"/>
        </w:rPr>
        <w:t xml:space="preserve"> removals as a result of such policy actions, have not been estimated, given that the scale of projects and the scale of removals would be very limited.</w:t>
      </w:r>
    </w:p>
    <w:tbl>
      <w:tblPr>
        <w:tblW w:w="9680" w:type="dxa"/>
        <w:tblLook w:val="04A0" w:firstRow="1" w:lastRow="0" w:firstColumn="1" w:lastColumn="0" w:noHBand="0" w:noVBand="1"/>
      </w:tblPr>
      <w:tblGrid>
        <w:gridCol w:w="3326"/>
        <w:gridCol w:w="954"/>
        <w:gridCol w:w="945"/>
        <w:gridCol w:w="4233"/>
        <w:gridCol w:w="222"/>
      </w:tblGrid>
      <w:tr w:rsidR="00811E58" w:rsidRPr="00A33AE8" w14:paraId="67AEC694" w14:textId="77777777" w:rsidTr="006769DA">
        <w:trPr>
          <w:gridAfter w:val="1"/>
          <w:wAfter w:w="222" w:type="dxa"/>
          <w:trHeight w:val="780"/>
        </w:trPr>
        <w:tc>
          <w:tcPr>
            <w:tcW w:w="3326"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A8252CC"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4AF2C0F"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PM_D7</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3F3A0E0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3" w:type="dxa"/>
            <w:tcBorders>
              <w:top w:val="single" w:sz="8" w:space="0" w:color="auto"/>
              <w:left w:val="nil"/>
              <w:bottom w:val="single" w:sz="8" w:space="0" w:color="auto"/>
              <w:right w:val="single" w:sz="8" w:space="0" w:color="auto"/>
            </w:tcBorders>
            <w:shd w:val="clear" w:color="auto" w:fill="E7E6E6" w:themeFill="background2"/>
            <w:vAlign w:val="center"/>
            <w:hideMark/>
          </w:tcPr>
          <w:p w14:paraId="3138B61A"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Sustainable forest management (forest land remaining forest land)</w:t>
            </w:r>
          </w:p>
        </w:tc>
      </w:tr>
      <w:tr w:rsidR="00811E58" w:rsidRPr="00A33AE8" w14:paraId="6150A896" w14:textId="77777777" w:rsidTr="006769DA">
        <w:trPr>
          <w:gridAfter w:val="1"/>
          <w:wAfter w:w="222" w:type="dxa"/>
          <w:trHeight w:val="413"/>
        </w:trPr>
        <w:tc>
          <w:tcPr>
            <w:tcW w:w="3326" w:type="dxa"/>
            <w:tcBorders>
              <w:top w:val="nil"/>
              <w:left w:val="single" w:sz="8" w:space="0" w:color="auto"/>
              <w:bottom w:val="single" w:sz="8" w:space="0" w:color="auto"/>
              <w:right w:val="nil"/>
            </w:tcBorders>
            <w:shd w:val="clear" w:color="000000" w:fill="244062"/>
            <w:vAlign w:val="center"/>
            <w:hideMark/>
          </w:tcPr>
          <w:p w14:paraId="37051261"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89EDB51"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Carbon emissions reduction</w:t>
            </w:r>
          </w:p>
        </w:tc>
      </w:tr>
      <w:tr w:rsidR="00811E58" w:rsidRPr="00A33AE8" w14:paraId="550F85A6"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6E606D7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04553CF0" w14:textId="77777777" w:rsidR="00811E58" w:rsidRPr="00A33AE8" w:rsidRDefault="00E16752" w:rsidP="002A0D90">
            <w:pPr>
              <w:spacing w:after="0" w:line="240" w:lineRule="auto"/>
              <w:jc w:val="both"/>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 xml:space="preserve"> Contribution to the objective of reduction of GHG emissions by </w:t>
            </w:r>
            <w:r>
              <w:rPr>
                <w:rFonts w:asciiTheme="majorHAnsi" w:eastAsia="Times New Roman" w:hAnsiTheme="majorHAnsi" w:cstheme="majorHAnsi"/>
                <w:color w:val="000000"/>
                <w:sz w:val="20"/>
                <w:szCs w:val="20"/>
                <w:lang w:eastAsia="en-GB"/>
              </w:rPr>
              <w:t>40.3</w:t>
            </w:r>
            <w:r w:rsidRPr="00E16752">
              <w:rPr>
                <w:rFonts w:asciiTheme="majorHAnsi" w:eastAsia="Times New Roman" w:hAnsiTheme="majorHAnsi" w:cstheme="majorHAnsi"/>
                <w:color w:val="000000"/>
                <w:sz w:val="20"/>
                <w:szCs w:val="20"/>
                <w:lang w:eastAsia="en-GB"/>
              </w:rPr>
              <w:t>% (with LULUCF) by 2030 compared to 1990 levels</w:t>
            </w:r>
          </w:p>
        </w:tc>
      </w:tr>
      <w:tr w:rsidR="00811E58" w:rsidRPr="00A33AE8" w14:paraId="6DEC0579" w14:textId="77777777" w:rsidTr="006769DA">
        <w:trPr>
          <w:gridAfter w:val="1"/>
          <w:wAfter w:w="222" w:type="dxa"/>
          <w:trHeight w:val="764"/>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4F870F9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0B6CF47D" w14:textId="77777777"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PM_D7 aims to reverse the loss of forest cover through sustainable forest management, including </w:t>
            </w:r>
            <w:r w:rsidR="00D55C27" w:rsidRPr="00A33AE8">
              <w:rPr>
                <w:rFonts w:asciiTheme="majorHAnsi" w:eastAsia="Times New Roman" w:hAnsiTheme="majorHAnsi" w:cstheme="majorHAnsi"/>
                <w:color w:val="000000"/>
                <w:sz w:val="20"/>
                <w:szCs w:val="20"/>
                <w:lang w:eastAsia="en-GB"/>
              </w:rPr>
              <w:t>a ban on forest cut in all protected natural resources, protection, restoration, afforestation and reforestation and increase efforts to prevent forest degradation, convert coppice forests to tall forests, control invasive species and afforestation with autochthonous species, restoration of moist habitats of lowland forests and expansion of riparian zones along watercourses.</w:t>
            </w:r>
          </w:p>
        </w:tc>
      </w:tr>
      <w:tr w:rsidR="00811E58" w:rsidRPr="00A33AE8" w14:paraId="514ABD9C"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129AD74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941EDC0" w14:textId="77777777" w:rsidR="00811E58" w:rsidRPr="00A33AE8" w:rsidRDefault="00D55C27"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811E58" w:rsidRPr="00A33AE8">
              <w:rPr>
                <w:rFonts w:asciiTheme="majorHAnsi" w:eastAsia="Times New Roman" w:hAnsiTheme="majorHAnsi" w:cstheme="majorHAnsi"/>
                <w:color w:val="000000"/>
                <w:sz w:val="20"/>
                <w:szCs w:val="20"/>
                <w:lang w:eastAsia="en-GB"/>
              </w:rPr>
              <w:t>-2030</w:t>
            </w:r>
          </w:p>
        </w:tc>
      </w:tr>
      <w:tr w:rsidR="00811E58" w:rsidRPr="00A33AE8" w14:paraId="6246CC22"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3B58E1D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BDDAD1B" w14:textId="77777777" w:rsidR="00811E58" w:rsidRPr="00A33AE8" w:rsidRDefault="00D17B3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811E58" w:rsidRPr="00A33AE8" w14:paraId="42FB0957"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511220B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3F7D3F88"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Agriculture</w:t>
            </w:r>
            <w:r w:rsidR="00D55C27" w:rsidRPr="00A33AE8">
              <w:t xml:space="preserve"> </w:t>
            </w:r>
            <w:r w:rsidR="00D55C27" w:rsidRPr="00A33AE8">
              <w:rPr>
                <w:rFonts w:asciiTheme="majorHAnsi" w:eastAsia="Times New Roman" w:hAnsiTheme="majorHAnsi" w:cstheme="majorHAnsi"/>
                <w:color w:val="000000"/>
                <w:sz w:val="20"/>
                <w:szCs w:val="20"/>
                <w:lang w:eastAsia="en-GB"/>
              </w:rPr>
              <w:t>and LULUCF</w:t>
            </w:r>
          </w:p>
        </w:tc>
      </w:tr>
      <w:tr w:rsidR="00811E58" w:rsidRPr="00A33AE8" w14:paraId="6E98A141"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33A22CA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F9767D7" w14:textId="77777777" w:rsidR="00D55C27" w:rsidRPr="00A33AE8" w:rsidRDefault="00811E58" w:rsidP="00884F3B">
            <w:pPr>
              <w:pStyle w:val="ListParagraph"/>
              <w:numPr>
                <w:ilvl w:val="0"/>
                <w:numId w:val="21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p w14:paraId="1E77A243" w14:textId="77777777" w:rsidR="00D55C27" w:rsidRPr="000007D2" w:rsidRDefault="00D55C27" w:rsidP="00884F3B">
            <w:pPr>
              <w:pStyle w:val="ListParagraph"/>
              <w:numPr>
                <w:ilvl w:val="0"/>
                <w:numId w:val="21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institutions, Organisations responsible for the forest management, Private forest owners</w:t>
            </w:r>
          </w:p>
        </w:tc>
      </w:tr>
      <w:tr w:rsidR="00811E58" w:rsidRPr="00A33AE8" w14:paraId="0DCA37C5" w14:textId="77777777" w:rsidTr="006769DA">
        <w:trPr>
          <w:gridAfter w:val="1"/>
          <w:wAfter w:w="222" w:type="dxa"/>
          <w:trHeight w:val="315"/>
        </w:trPr>
        <w:tc>
          <w:tcPr>
            <w:tcW w:w="3326" w:type="dxa"/>
            <w:tcBorders>
              <w:top w:val="nil"/>
              <w:left w:val="single" w:sz="8" w:space="0" w:color="auto"/>
              <w:bottom w:val="single" w:sz="8" w:space="0" w:color="auto"/>
              <w:right w:val="nil"/>
            </w:tcBorders>
            <w:shd w:val="clear" w:color="000000" w:fill="244062"/>
            <w:vAlign w:val="center"/>
            <w:hideMark/>
          </w:tcPr>
          <w:p w14:paraId="706F2E4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74502B31" w14:textId="77777777" w:rsidR="00811E58" w:rsidRPr="00A33AE8" w:rsidRDefault="00811E58" w:rsidP="00884F3B">
            <w:pPr>
              <w:pStyle w:val="ListParagraph"/>
              <w:numPr>
                <w:ilvl w:val="0"/>
                <w:numId w:val="21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4295F44E" w14:textId="08B8C30E" w:rsidR="00811E58" w:rsidRPr="00A33AE8" w:rsidRDefault="00811E58" w:rsidP="00884F3B">
            <w:pPr>
              <w:pStyle w:val="ListParagraph"/>
              <w:numPr>
                <w:ilvl w:val="0"/>
                <w:numId w:val="21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tc>
      </w:tr>
      <w:tr w:rsidR="00811E58" w:rsidRPr="00A33AE8" w14:paraId="6072646E" w14:textId="77777777" w:rsidTr="006769DA">
        <w:trPr>
          <w:gridAfter w:val="1"/>
          <w:wAfter w:w="222" w:type="dxa"/>
          <w:trHeight w:val="315"/>
        </w:trPr>
        <w:tc>
          <w:tcPr>
            <w:tcW w:w="3326" w:type="dxa"/>
            <w:tcBorders>
              <w:top w:val="nil"/>
              <w:left w:val="single" w:sz="8" w:space="0" w:color="auto"/>
              <w:bottom w:val="single" w:sz="8" w:space="0" w:color="auto"/>
              <w:right w:val="nil"/>
            </w:tcBorders>
            <w:shd w:val="clear" w:color="000000" w:fill="244062"/>
            <w:vAlign w:val="center"/>
            <w:hideMark/>
          </w:tcPr>
          <w:p w14:paraId="21CA357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571F935" w14:textId="77777777" w:rsidR="00811E58" w:rsidRPr="00A33AE8" w:rsidRDefault="00811E58"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Forest area (ha), forest planted/covered with new seedlings (ha) and number of seedlings planted and alive</w:t>
            </w:r>
          </w:p>
        </w:tc>
      </w:tr>
      <w:tr w:rsidR="006C6A30" w:rsidRPr="00A33AE8" w14:paraId="2DD72E69" w14:textId="77777777" w:rsidTr="006769DA">
        <w:trPr>
          <w:gridAfter w:val="1"/>
          <w:wAfter w:w="222" w:type="dxa"/>
          <w:trHeight w:val="53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1F83CBA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2" w:type="dxa"/>
            <w:gridSpan w:val="3"/>
            <w:tcBorders>
              <w:top w:val="single" w:sz="8" w:space="0" w:color="auto"/>
              <w:left w:val="nil"/>
              <w:bottom w:val="single" w:sz="8" w:space="0" w:color="auto"/>
              <w:right w:val="single" w:sz="8" w:space="0" w:color="000000"/>
            </w:tcBorders>
            <w:shd w:val="clear" w:color="auto" w:fill="auto"/>
            <w:vAlign w:val="center"/>
          </w:tcPr>
          <w:p w14:paraId="1E2934B1"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05D6D581" w14:textId="77777777" w:rsidTr="006769DA">
        <w:trPr>
          <w:gridAfter w:val="1"/>
          <w:wAfter w:w="222" w:type="dxa"/>
          <w:trHeight w:val="450"/>
        </w:trPr>
        <w:tc>
          <w:tcPr>
            <w:tcW w:w="3326"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31C5041"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3FACD8" w14:textId="77777777" w:rsidR="00811E58" w:rsidRPr="00A33AE8" w:rsidRDefault="00811E58" w:rsidP="00884F3B">
            <w:pPr>
              <w:pStyle w:val="ListParagraph"/>
              <w:numPr>
                <w:ilvl w:val="0"/>
                <w:numId w:val="11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D55C27" w:rsidRPr="00A33AE8">
              <w:rPr>
                <w:rFonts w:asciiTheme="majorHAnsi" w:eastAsia="Times New Roman" w:hAnsiTheme="majorHAnsi" w:cstheme="majorHAnsi"/>
                <w:color w:val="000000"/>
                <w:sz w:val="20"/>
                <w:szCs w:val="20"/>
                <w:lang w:eastAsia="en-GB"/>
              </w:rPr>
              <w:t>2018/1999</w:t>
            </w:r>
          </w:p>
        </w:tc>
      </w:tr>
      <w:tr w:rsidR="00811E58" w:rsidRPr="00A33AE8" w14:paraId="58DDFCA8" w14:textId="77777777" w:rsidTr="006769DA">
        <w:trPr>
          <w:trHeight w:val="300"/>
        </w:trPr>
        <w:tc>
          <w:tcPr>
            <w:tcW w:w="3326" w:type="dxa"/>
            <w:vMerge/>
            <w:tcBorders>
              <w:top w:val="nil"/>
              <w:left w:val="single" w:sz="8" w:space="0" w:color="auto"/>
              <w:bottom w:val="single" w:sz="8" w:space="0" w:color="000000"/>
              <w:right w:val="single" w:sz="8" w:space="0" w:color="auto"/>
            </w:tcBorders>
            <w:vAlign w:val="center"/>
            <w:hideMark/>
          </w:tcPr>
          <w:p w14:paraId="1DC9731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32" w:type="dxa"/>
            <w:gridSpan w:val="3"/>
            <w:vMerge/>
            <w:tcBorders>
              <w:top w:val="single" w:sz="8" w:space="0" w:color="auto"/>
              <w:left w:val="single" w:sz="8" w:space="0" w:color="auto"/>
              <w:bottom w:val="single" w:sz="8" w:space="0" w:color="000000"/>
              <w:right w:val="single" w:sz="8" w:space="0" w:color="000000"/>
            </w:tcBorders>
            <w:vAlign w:val="center"/>
            <w:hideMark/>
          </w:tcPr>
          <w:p w14:paraId="5450AF77" w14:textId="77777777" w:rsidR="00811E58" w:rsidRPr="00A33AE8" w:rsidRDefault="00811E58" w:rsidP="00884F3B">
            <w:pPr>
              <w:pStyle w:val="ListParagraph"/>
              <w:numPr>
                <w:ilvl w:val="0"/>
                <w:numId w:val="112"/>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66842F8"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2B6D7A8C" w14:textId="77777777" w:rsidTr="006769DA">
        <w:trPr>
          <w:trHeight w:val="60"/>
        </w:trPr>
        <w:tc>
          <w:tcPr>
            <w:tcW w:w="3326" w:type="dxa"/>
            <w:vMerge/>
            <w:tcBorders>
              <w:top w:val="nil"/>
              <w:left w:val="single" w:sz="8" w:space="0" w:color="auto"/>
              <w:bottom w:val="single" w:sz="8" w:space="0" w:color="000000"/>
              <w:right w:val="single" w:sz="8" w:space="0" w:color="auto"/>
            </w:tcBorders>
            <w:vAlign w:val="center"/>
            <w:hideMark/>
          </w:tcPr>
          <w:p w14:paraId="5732ADB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32" w:type="dxa"/>
            <w:gridSpan w:val="3"/>
            <w:vMerge/>
            <w:tcBorders>
              <w:top w:val="single" w:sz="8" w:space="0" w:color="auto"/>
              <w:left w:val="single" w:sz="8" w:space="0" w:color="auto"/>
              <w:bottom w:val="single" w:sz="8" w:space="0" w:color="000000"/>
              <w:right w:val="single" w:sz="8" w:space="0" w:color="000000"/>
            </w:tcBorders>
            <w:vAlign w:val="center"/>
            <w:hideMark/>
          </w:tcPr>
          <w:p w14:paraId="4E3E5862" w14:textId="77777777" w:rsidR="00811E58" w:rsidRPr="00A33AE8" w:rsidRDefault="00811E58" w:rsidP="00884F3B">
            <w:pPr>
              <w:pStyle w:val="ListParagraph"/>
              <w:numPr>
                <w:ilvl w:val="0"/>
                <w:numId w:val="112"/>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8D195D2"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3AD4DD3F" w14:textId="77777777" w:rsidTr="006769DA">
        <w:trPr>
          <w:trHeight w:val="427"/>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22031DD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C9D41F5" w14:textId="77777777" w:rsidR="00811E58" w:rsidRPr="00A33AE8" w:rsidRDefault="00D55C27" w:rsidP="00884F3B">
            <w:pPr>
              <w:pStyle w:val="ListParagraph"/>
              <w:numPr>
                <w:ilvl w:val="0"/>
                <w:numId w:val="11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67F84751"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0F0AB989" w14:textId="77777777" w:rsidTr="006769DA">
        <w:trPr>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1338862B"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7A7FCFA6"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354 M€</w:t>
            </w:r>
          </w:p>
        </w:tc>
        <w:tc>
          <w:tcPr>
            <w:tcW w:w="222" w:type="dxa"/>
            <w:vAlign w:val="center"/>
            <w:hideMark/>
          </w:tcPr>
          <w:p w14:paraId="144DFDB5"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78156E94" w14:textId="77777777" w:rsidTr="006769DA">
        <w:trPr>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297C79C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27580223"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7656B973"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69402311" w14:textId="77777777" w:rsidR="00811E58" w:rsidRPr="00A33AE8" w:rsidRDefault="00811E58" w:rsidP="00811E58">
      <w:pPr>
        <w:pStyle w:val="LDKbody"/>
        <w:rPr>
          <w:lang w:val="en-GB"/>
        </w:rPr>
      </w:pPr>
    </w:p>
    <w:tbl>
      <w:tblPr>
        <w:tblW w:w="9680" w:type="dxa"/>
        <w:tblLook w:val="04A0" w:firstRow="1" w:lastRow="0" w:firstColumn="1" w:lastColumn="0" w:noHBand="0" w:noVBand="1"/>
      </w:tblPr>
      <w:tblGrid>
        <w:gridCol w:w="3308"/>
        <w:gridCol w:w="1013"/>
        <w:gridCol w:w="942"/>
        <w:gridCol w:w="4195"/>
        <w:gridCol w:w="222"/>
      </w:tblGrid>
      <w:tr w:rsidR="00811E58" w:rsidRPr="00A33AE8" w14:paraId="748D1616" w14:textId="77777777" w:rsidTr="006769DA">
        <w:trPr>
          <w:gridAfter w:val="1"/>
          <w:wAfter w:w="222" w:type="dxa"/>
          <w:trHeight w:val="608"/>
        </w:trPr>
        <w:tc>
          <w:tcPr>
            <w:tcW w:w="330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C8E3464"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13" w:type="dxa"/>
            <w:tcBorders>
              <w:top w:val="single" w:sz="8" w:space="0" w:color="auto"/>
              <w:left w:val="nil"/>
              <w:bottom w:val="single" w:sz="8" w:space="0" w:color="auto"/>
              <w:right w:val="single" w:sz="8" w:space="0" w:color="auto"/>
            </w:tcBorders>
            <w:shd w:val="clear" w:color="auto" w:fill="E7E6E6" w:themeFill="background2"/>
            <w:vAlign w:val="center"/>
            <w:hideMark/>
          </w:tcPr>
          <w:p w14:paraId="567CCBC6"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PM_D8</w:t>
            </w:r>
          </w:p>
        </w:tc>
        <w:tc>
          <w:tcPr>
            <w:tcW w:w="942" w:type="dxa"/>
            <w:tcBorders>
              <w:top w:val="single" w:sz="8" w:space="0" w:color="auto"/>
              <w:left w:val="nil"/>
              <w:bottom w:val="single" w:sz="8" w:space="0" w:color="auto"/>
              <w:right w:val="single" w:sz="8" w:space="0" w:color="auto"/>
            </w:tcBorders>
            <w:shd w:val="clear" w:color="000000" w:fill="244062"/>
            <w:vAlign w:val="center"/>
            <w:hideMark/>
          </w:tcPr>
          <w:p w14:paraId="0CA256E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95" w:type="dxa"/>
            <w:tcBorders>
              <w:top w:val="single" w:sz="8" w:space="0" w:color="auto"/>
              <w:left w:val="nil"/>
              <w:bottom w:val="single" w:sz="8" w:space="0" w:color="auto"/>
              <w:right w:val="single" w:sz="8" w:space="0" w:color="auto"/>
            </w:tcBorders>
            <w:shd w:val="clear" w:color="auto" w:fill="E7E6E6" w:themeFill="background2"/>
            <w:vAlign w:val="center"/>
            <w:hideMark/>
          </w:tcPr>
          <w:p w14:paraId="4AECABF1" w14:textId="77777777" w:rsidR="00811E58" w:rsidRPr="00A33AE8" w:rsidRDefault="00291299" w:rsidP="006769DA">
            <w:pPr>
              <w:spacing w:after="0" w:line="240" w:lineRule="auto"/>
              <w:jc w:val="both"/>
              <w:rPr>
                <w:rFonts w:ascii="Calibri Light" w:eastAsia="Times New Roman" w:hAnsi="Calibri Light" w:cs="Calibri Light"/>
                <w:b/>
                <w:bCs/>
                <w:color w:val="000000"/>
                <w:sz w:val="20"/>
                <w:szCs w:val="20"/>
                <w:lang w:eastAsia="en-GB"/>
              </w:rPr>
            </w:pPr>
            <w:r w:rsidRPr="00291299">
              <w:rPr>
                <w:rFonts w:ascii="Calibri Light" w:eastAsia="Times New Roman" w:hAnsi="Calibri Light" w:cs="Calibri Light"/>
                <w:b/>
                <w:bCs/>
                <w:color w:val="000000"/>
                <w:sz w:val="20"/>
                <w:szCs w:val="20"/>
                <w:lang w:eastAsia="en-GB"/>
              </w:rPr>
              <w:t>Waste</w:t>
            </w:r>
            <w:r w:rsidRPr="00291299" w:rsidDel="00291299">
              <w:rPr>
                <w:rFonts w:ascii="Calibri Light" w:eastAsia="Times New Roman" w:hAnsi="Calibri Light" w:cs="Calibri Light"/>
                <w:b/>
                <w:bCs/>
                <w:color w:val="000000"/>
                <w:sz w:val="20"/>
                <w:szCs w:val="20"/>
                <w:lang w:eastAsia="en-GB"/>
              </w:rPr>
              <w:t xml:space="preserve"> </w:t>
            </w:r>
            <w:r>
              <w:rPr>
                <w:rFonts w:ascii="Calibri Light" w:eastAsia="Times New Roman" w:hAnsi="Calibri Light" w:cs="Calibri Light"/>
                <w:b/>
                <w:bCs/>
                <w:color w:val="000000"/>
                <w:sz w:val="20"/>
                <w:szCs w:val="20"/>
                <w:lang w:eastAsia="en-GB"/>
              </w:rPr>
              <w:t>l</w:t>
            </w:r>
            <w:r w:rsidR="00811E58" w:rsidRPr="00A33AE8">
              <w:rPr>
                <w:rFonts w:ascii="Calibri Light" w:eastAsia="Times New Roman" w:hAnsi="Calibri Light" w:cs="Calibri Light"/>
                <w:b/>
                <w:bCs/>
                <w:color w:val="000000"/>
                <w:sz w:val="20"/>
                <w:szCs w:val="20"/>
                <w:lang w:eastAsia="en-GB"/>
              </w:rPr>
              <w:t>and</w:t>
            </w:r>
            <w:r>
              <w:rPr>
                <w:rFonts w:ascii="Calibri Light" w:eastAsia="Times New Roman" w:hAnsi="Calibri Light" w:cs="Calibri Light"/>
                <w:b/>
                <w:bCs/>
                <w:color w:val="000000"/>
                <w:sz w:val="20"/>
                <w:szCs w:val="20"/>
                <w:lang w:eastAsia="en-GB"/>
              </w:rPr>
              <w:t>s</w:t>
            </w:r>
            <w:r w:rsidR="00811E58" w:rsidRPr="00A33AE8">
              <w:rPr>
                <w:rFonts w:ascii="Calibri Light" w:eastAsia="Times New Roman" w:hAnsi="Calibri Light" w:cs="Calibri Light"/>
                <w:b/>
                <w:bCs/>
                <w:color w:val="000000"/>
                <w:sz w:val="20"/>
                <w:szCs w:val="20"/>
                <w:lang w:eastAsia="en-GB"/>
              </w:rPr>
              <w:t xml:space="preserve"> conversion to cropland</w:t>
            </w:r>
            <w:r>
              <w:rPr>
                <w:rFonts w:ascii="Calibri Light" w:eastAsia="Times New Roman" w:hAnsi="Calibri Light" w:cs="Calibri Light"/>
                <w:b/>
                <w:bCs/>
                <w:color w:val="000000"/>
                <w:sz w:val="20"/>
                <w:szCs w:val="20"/>
                <w:lang w:eastAsia="en-GB"/>
              </w:rPr>
              <w:t>s</w:t>
            </w:r>
          </w:p>
        </w:tc>
      </w:tr>
      <w:tr w:rsidR="00811E58" w:rsidRPr="00A33AE8" w14:paraId="6DAD4A7B" w14:textId="77777777" w:rsidTr="006769DA">
        <w:trPr>
          <w:gridAfter w:val="1"/>
          <w:wAfter w:w="222" w:type="dxa"/>
          <w:trHeight w:val="405"/>
        </w:trPr>
        <w:tc>
          <w:tcPr>
            <w:tcW w:w="3308" w:type="dxa"/>
            <w:tcBorders>
              <w:top w:val="nil"/>
              <w:left w:val="single" w:sz="8" w:space="0" w:color="auto"/>
              <w:bottom w:val="single" w:sz="8" w:space="0" w:color="auto"/>
              <w:right w:val="nil"/>
            </w:tcBorders>
            <w:shd w:val="clear" w:color="000000" w:fill="244062"/>
            <w:vAlign w:val="center"/>
            <w:hideMark/>
          </w:tcPr>
          <w:p w14:paraId="63954C8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71A54DF9"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Carbon emissions reduction</w:t>
            </w:r>
          </w:p>
        </w:tc>
      </w:tr>
      <w:tr w:rsidR="00811E58" w:rsidRPr="00A33AE8" w14:paraId="7F3DD9C8" w14:textId="77777777" w:rsidTr="006769DA">
        <w:trPr>
          <w:gridAfter w:val="1"/>
          <w:wAfter w:w="222" w:type="dxa"/>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2C0F48C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6168742D" w14:textId="77777777" w:rsidR="00811E58" w:rsidRPr="00A33AE8" w:rsidRDefault="00E16752" w:rsidP="002A0D90">
            <w:pPr>
              <w:spacing w:after="0" w:line="240" w:lineRule="auto"/>
              <w:jc w:val="both"/>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 xml:space="preserve"> Contribution to the objective of reduction of GHG emissions by 33.3% (without LULUCF) by 2030 compared to 1990 levels</w:t>
            </w:r>
          </w:p>
        </w:tc>
      </w:tr>
      <w:tr w:rsidR="00811E58" w:rsidRPr="00A33AE8" w14:paraId="7FBA0880" w14:textId="77777777" w:rsidTr="005B2C66">
        <w:trPr>
          <w:gridAfter w:val="1"/>
          <w:wAfter w:w="222" w:type="dxa"/>
          <w:trHeight w:val="689"/>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02D8BC0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4FB22173" w14:textId="43A2E163"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PM_D8 will facilitate conversion of</w:t>
            </w:r>
            <w:r w:rsidR="00291299">
              <w:rPr>
                <w:rFonts w:asciiTheme="majorHAnsi" w:eastAsia="Times New Roman" w:hAnsiTheme="majorHAnsi" w:cstheme="majorHAnsi"/>
                <w:color w:val="000000"/>
                <w:sz w:val="20"/>
                <w:szCs w:val="20"/>
                <w:lang w:eastAsia="en-GB"/>
              </w:rPr>
              <w:t xml:space="preserve"> </w:t>
            </w:r>
            <w:r w:rsidR="00291299" w:rsidRPr="00291299">
              <w:rPr>
                <w:rFonts w:asciiTheme="majorHAnsi" w:eastAsia="Times New Roman" w:hAnsiTheme="majorHAnsi" w:cstheme="majorHAnsi"/>
                <w:color w:val="000000"/>
                <w:sz w:val="20"/>
                <w:szCs w:val="20"/>
                <w:lang w:eastAsia="en-GB"/>
              </w:rPr>
              <w:t>non-irrigated</w:t>
            </w:r>
            <w:r w:rsidRPr="00A33AE8">
              <w:rPr>
                <w:rFonts w:asciiTheme="majorHAnsi" w:eastAsia="Times New Roman" w:hAnsiTheme="majorHAnsi" w:cstheme="majorHAnsi"/>
                <w:color w:val="000000"/>
                <w:sz w:val="20"/>
                <w:szCs w:val="20"/>
                <w:lang w:eastAsia="en-GB"/>
              </w:rPr>
              <w:t xml:space="preserve"> lands </w:t>
            </w:r>
            <w:r w:rsidR="00291299" w:rsidRPr="00291299">
              <w:rPr>
                <w:rFonts w:asciiTheme="majorHAnsi" w:eastAsia="Times New Roman" w:hAnsiTheme="majorHAnsi" w:cstheme="majorHAnsi"/>
                <w:color w:val="000000"/>
                <w:sz w:val="20"/>
                <w:szCs w:val="20"/>
                <w:lang w:eastAsia="en-GB"/>
              </w:rPr>
              <w:t>(heaths)</w:t>
            </w:r>
            <w:r w:rsidR="00291299">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 xml:space="preserve">on inclined terrains into perennial grassland (pastures, meadows), which will significantly decrease intensity of soil organic matter depletion and emission of soil </w:t>
            </w:r>
            <w:r w:rsidR="00CD0941" w:rsidRPr="00A33AE8">
              <w:rPr>
                <w:rFonts w:asciiTheme="majorHAnsi" w:eastAsia="Times New Roman" w:hAnsiTheme="majorHAnsi" w:cstheme="majorHAnsi"/>
                <w:color w:val="000000"/>
                <w:sz w:val="20"/>
                <w:szCs w:val="20"/>
                <w:lang w:eastAsia="en-GB"/>
              </w:rPr>
              <w:t>carbon and</w:t>
            </w:r>
            <w:r w:rsidRPr="00A33AE8">
              <w:rPr>
                <w:rFonts w:asciiTheme="majorHAnsi" w:eastAsia="Times New Roman" w:hAnsiTheme="majorHAnsi" w:cstheme="majorHAnsi"/>
                <w:color w:val="000000"/>
                <w:sz w:val="20"/>
                <w:szCs w:val="20"/>
                <w:lang w:eastAsia="en-GB"/>
              </w:rPr>
              <w:t xml:space="preserve"> will lead to carbon sink. </w:t>
            </w:r>
            <w:r w:rsidR="00291299" w:rsidRPr="00291299">
              <w:rPr>
                <w:rFonts w:asciiTheme="majorHAnsi" w:eastAsia="Times New Roman" w:hAnsiTheme="majorHAnsi" w:cstheme="majorHAnsi"/>
                <w:color w:val="000000"/>
                <w:sz w:val="20"/>
                <w:szCs w:val="20"/>
                <w:lang w:eastAsia="en-GB"/>
              </w:rPr>
              <w:t>This measure is easy to be implemented, since it does not require a special technical capacities and know-how. However, its implementation should be supported by incentives, especially in the first years of conversion, to enable farmers to convert these waste lands (heaths) into arable land.</w:t>
            </w:r>
          </w:p>
        </w:tc>
      </w:tr>
      <w:tr w:rsidR="00811E58" w:rsidRPr="00A33AE8" w14:paraId="74CD797C" w14:textId="77777777" w:rsidTr="006769DA">
        <w:trPr>
          <w:gridAfter w:val="1"/>
          <w:wAfter w:w="222" w:type="dxa"/>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1EE51189"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54DE7223" w14:textId="77777777" w:rsidR="00811E58" w:rsidRPr="00A33AE8" w:rsidRDefault="00D55C27"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811E58" w:rsidRPr="00A33AE8">
              <w:rPr>
                <w:rFonts w:asciiTheme="majorHAnsi" w:eastAsia="Times New Roman" w:hAnsiTheme="majorHAnsi" w:cstheme="majorHAnsi"/>
                <w:color w:val="000000"/>
                <w:sz w:val="20"/>
                <w:szCs w:val="20"/>
                <w:lang w:eastAsia="en-GB"/>
              </w:rPr>
              <w:t>-2030</w:t>
            </w:r>
          </w:p>
        </w:tc>
      </w:tr>
      <w:tr w:rsidR="00811E58" w:rsidRPr="00A33AE8" w14:paraId="602AAFB5" w14:textId="77777777" w:rsidTr="006769DA">
        <w:trPr>
          <w:gridAfter w:val="1"/>
          <w:wAfter w:w="222" w:type="dxa"/>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09BA82E9"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533CD7AB" w14:textId="77777777" w:rsidR="00811E58" w:rsidRPr="00A33AE8" w:rsidRDefault="00D17B3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811E58" w:rsidRPr="00A33AE8" w14:paraId="63902CCA" w14:textId="77777777" w:rsidTr="006769DA">
        <w:trPr>
          <w:gridAfter w:val="1"/>
          <w:wAfter w:w="222" w:type="dxa"/>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60A3A4D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00F8CAFE"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Agriculture</w:t>
            </w:r>
            <w:r w:rsidR="00D55C27" w:rsidRPr="00A33AE8">
              <w:t xml:space="preserve"> </w:t>
            </w:r>
            <w:r w:rsidR="00D55C27" w:rsidRPr="00A33AE8">
              <w:rPr>
                <w:rFonts w:asciiTheme="majorHAnsi" w:eastAsia="Times New Roman" w:hAnsiTheme="majorHAnsi" w:cstheme="majorHAnsi"/>
                <w:color w:val="000000"/>
                <w:sz w:val="20"/>
                <w:szCs w:val="20"/>
                <w:lang w:eastAsia="en-GB"/>
              </w:rPr>
              <w:t>and LULUCF</w:t>
            </w:r>
          </w:p>
        </w:tc>
      </w:tr>
      <w:tr w:rsidR="00811E58" w:rsidRPr="00A33AE8" w14:paraId="3A7937A0" w14:textId="77777777" w:rsidTr="006769DA">
        <w:trPr>
          <w:gridAfter w:val="1"/>
          <w:wAfter w:w="222" w:type="dxa"/>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2D133C4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55FBDDCF" w14:textId="5AAD7173" w:rsidR="00811E58" w:rsidRPr="00A33AE8" w:rsidRDefault="00811E58" w:rsidP="00884F3B">
            <w:pPr>
              <w:pStyle w:val="ListParagraph"/>
              <w:numPr>
                <w:ilvl w:val="0"/>
                <w:numId w:val="21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tc>
      </w:tr>
      <w:tr w:rsidR="00811E58" w:rsidRPr="00A33AE8" w14:paraId="7549019C" w14:textId="77777777" w:rsidTr="006769DA">
        <w:trPr>
          <w:gridAfter w:val="1"/>
          <w:wAfter w:w="222" w:type="dxa"/>
          <w:trHeight w:val="315"/>
        </w:trPr>
        <w:tc>
          <w:tcPr>
            <w:tcW w:w="3308" w:type="dxa"/>
            <w:tcBorders>
              <w:top w:val="nil"/>
              <w:left w:val="single" w:sz="8" w:space="0" w:color="auto"/>
              <w:bottom w:val="single" w:sz="8" w:space="0" w:color="auto"/>
              <w:right w:val="nil"/>
            </w:tcBorders>
            <w:shd w:val="clear" w:color="000000" w:fill="244062"/>
            <w:vAlign w:val="center"/>
            <w:hideMark/>
          </w:tcPr>
          <w:p w14:paraId="5757BE67"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5C3067FB" w14:textId="77777777" w:rsidR="00811E58" w:rsidRPr="00A33AE8" w:rsidRDefault="00811E58" w:rsidP="00884F3B">
            <w:pPr>
              <w:pStyle w:val="ListParagraph"/>
              <w:numPr>
                <w:ilvl w:val="0"/>
                <w:numId w:val="2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Environmental Protection</w:t>
            </w:r>
          </w:p>
          <w:p w14:paraId="4811FDF8" w14:textId="4AE6247D" w:rsidR="00811E58" w:rsidRPr="00A33AE8" w:rsidRDefault="00811E58" w:rsidP="00884F3B">
            <w:pPr>
              <w:pStyle w:val="ListParagraph"/>
              <w:numPr>
                <w:ilvl w:val="0"/>
                <w:numId w:val="21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tc>
      </w:tr>
      <w:tr w:rsidR="00811E58" w:rsidRPr="00A33AE8" w14:paraId="24FDCBFA" w14:textId="77777777" w:rsidTr="006769DA">
        <w:trPr>
          <w:gridAfter w:val="1"/>
          <w:wAfter w:w="222" w:type="dxa"/>
          <w:trHeight w:val="315"/>
        </w:trPr>
        <w:tc>
          <w:tcPr>
            <w:tcW w:w="3308" w:type="dxa"/>
            <w:tcBorders>
              <w:top w:val="nil"/>
              <w:left w:val="single" w:sz="8" w:space="0" w:color="auto"/>
              <w:bottom w:val="single" w:sz="8" w:space="0" w:color="auto"/>
              <w:right w:val="nil"/>
            </w:tcBorders>
            <w:shd w:val="clear" w:color="000000" w:fill="244062"/>
            <w:vAlign w:val="center"/>
            <w:hideMark/>
          </w:tcPr>
          <w:p w14:paraId="0CCFBAC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183E3180" w14:textId="77777777"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Area converted on yearly base (ha/year), percentage of soil organic matter increase and carbon sink per ha</w:t>
            </w:r>
          </w:p>
        </w:tc>
      </w:tr>
      <w:tr w:rsidR="006C6A30" w:rsidRPr="00A33AE8" w14:paraId="2C4034F5" w14:textId="77777777" w:rsidTr="006769DA">
        <w:trPr>
          <w:gridAfter w:val="1"/>
          <w:wAfter w:w="222" w:type="dxa"/>
          <w:trHeight w:val="556"/>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3786EC72"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0" w:type="dxa"/>
            <w:gridSpan w:val="3"/>
            <w:tcBorders>
              <w:top w:val="single" w:sz="8" w:space="0" w:color="auto"/>
              <w:left w:val="nil"/>
              <w:bottom w:val="single" w:sz="8" w:space="0" w:color="auto"/>
              <w:right w:val="single" w:sz="8" w:space="0" w:color="000000"/>
            </w:tcBorders>
            <w:shd w:val="clear" w:color="auto" w:fill="auto"/>
            <w:vAlign w:val="center"/>
          </w:tcPr>
          <w:p w14:paraId="4E2994D9"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1704BA70" w14:textId="77777777" w:rsidTr="006769DA">
        <w:trPr>
          <w:gridAfter w:val="1"/>
          <w:wAfter w:w="222" w:type="dxa"/>
          <w:trHeight w:val="450"/>
        </w:trPr>
        <w:tc>
          <w:tcPr>
            <w:tcW w:w="330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63C529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339AF3E" w14:textId="77777777" w:rsidR="00811E58" w:rsidRPr="00A33AE8" w:rsidRDefault="00811E58" w:rsidP="00884F3B">
            <w:pPr>
              <w:pStyle w:val="ListParagraph"/>
              <w:numPr>
                <w:ilvl w:val="0"/>
                <w:numId w:val="11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D55C27" w:rsidRPr="00A33AE8">
              <w:rPr>
                <w:rFonts w:asciiTheme="majorHAnsi" w:eastAsia="Times New Roman" w:hAnsiTheme="majorHAnsi" w:cstheme="majorHAnsi"/>
                <w:color w:val="000000"/>
                <w:sz w:val="20"/>
                <w:szCs w:val="20"/>
                <w:lang w:eastAsia="en-GB"/>
              </w:rPr>
              <w:t>2018/1999</w:t>
            </w:r>
          </w:p>
        </w:tc>
      </w:tr>
      <w:tr w:rsidR="00811E58" w:rsidRPr="00A33AE8" w14:paraId="32D6EAC1" w14:textId="77777777" w:rsidTr="006769DA">
        <w:trPr>
          <w:trHeight w:val="300"/>
        </w:trPr>
        <w:tc>
          <w:tcPr>
            <w:tcW w:w="3308" w:type="dxa"/>
            <w:vMerge/>
            <w:tcBorders>
              <w:top w:val="nil"/>
              <w:left w:val="single" w:sz="8" w:space="0" w:color="auto"/>
              <w:bottom w:val="single" w:sz="8" w:space="0" w:color="000000"/>
              <w:right w:val="single" w:sz="8" w:space="0" w:color="auto"/>
            </w:tcBorders>
            <w:vAlign w:val="center"/>
            <w:hideMark/>
          </w:tcPr>
          <w:p w14:paraId="2B71172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hideMark/>
          </w:tcPr>
          <w:p w14:paraId="2C922369" w14:textId="77777777" w:rsidR="00811E58" w:rsidRPr="00A33AE8" w:rsidRDefault="00811E58" w:rsidP="00884F3B">
            <w:pPr>
              <w:pStyle w:val="ListParagraph"/>
              <w:numPr>
                <w:ilvl w:val="0"/>
                <w:numId w:val="113"/>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D6550BA"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4BF41B5D" w14:textId="77777777" w:rsidTr="006769DA">
        <w:trPr>
          <w:trHeight w:val="60"/>
        </w:trPr>
        <w:tc>
          <w:tcPr>
            <w:tcW w:w="3308" w:type="dxa"/>
            <w:vMerge/>
            <w:tcBorders>
              <w:top w:val="nil"/>
              <w:left w:val="single" w:sz="8" w:space="0" w:color="auto"/>
              <w:bottom w:val="single" w:sz="8" w:space="0" w:color="000000"/>
              <w:right w:val="single" w:sz="8" w:space="0" w:color="auto"/>
            </w:tcBorders>
            <w:vAlign w:val="center"/>
            <w:hideMark/>
          </w:tcPr>
          <w:p w14:paraId="79F8B94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hideMark/>
          </w:tcPr>
          <w:p w14:paraId="55E846A9" w14:textId="77777777" w:rsidR="00811E58" w:rsidRPr="00A33AE8" w:rsidRDefault="00811E58" w:rsidP="00884F3B">
            <w:pPr>
              <w:pStyle w:val="ListParagraph"/>
              <w:numPr>
                <w:ilvl w:val="0"/>
                <w:numId w:val="113"/>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AEB9D08"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47D90162" w14:textId="77777777" w:rsidTr="006769DA">
        <w:trPr>
          <w:trHeight w:val="487"/>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6ECAA85B"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6FA9A8A3" w14:textId="77777777" w:rsidR="00811E58" w:rsidRPr="00A33AE8" w:rsidRDefault="00D55C27" w:rsidP="00884F3B">
            <w:pPr>
              <w:pStyle w:val="ListParagraph"/>
              <w:numPr>
                <w:ilvl w:val="0"/>
                <w:numId w:val="11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5AB75F89"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7F27A39E" w14:textId="77777777" w:rsidTr="006769DA">
        <w:trPr>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6B16D4A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65EA0D5F"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8.5 M€</w:t>
            </w:r>
          </w:p>
        </w:tc>
        <w:tc>
          <w:tcPr>
            <w:tcW w:w="222" w:type="dxa"/>
            <w:vAlign w:val="center"/>
            <w:hideMark/>
          </w:tcPr>
          <w:p w14:paraId="5F0FE095"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3E9789B3" w14:textId="77777777" w:rsidTr="006769DA">
        <w:trPr>
          <w:trHeight w:val="315"/>
        </w:trPr>
        <w:tc>
          <w:tcPr>
            <w:tcW w:w="3308" w:type="dxa"/>
            <w:tcBorders>
              <w:top w:val="nil"/>
              <w:left w:val="single" w:sz="8" w:space="0" w:color="auto"/>
              <w:bottom w:val="single" w:sz="8" w:space="0" w:color="auto"/>
              <w:right w:val="single" w:sz="8" w:space="0" w:color="auto"/>
            </w:tcBorders>
            <w:shd w:val="clear" w:color="000000" w:fill="244062"/>
            <w:vAlign w:val="center"/>
            <w:hideMark/>
          </w:tcPr>
          <w:p w14:paraId="2EBCEF6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0" w:type="dxa"/>
            <w:gridSpan w:val="3"/>
            <w:tcBorders>
              <w:top w:val="single" w:sz="8" w:space="0" w:color="auto"/>
              <w:left w:val="nil"/>
              <w:bottom w:val="single" w:sz="8" w:space="0" w:color="auto"/>
              <w:right w:val="single" w:sz="8" w:space="0" w:color="000000"/>
            </w:tcBorders>
            <w:shd w:val="clear" w:color="auto" w:fill="auto"/>
            <w:vAlign w:val="center"/>
          </w:tcPr>
          <w:p w14:paraId="2138A712"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156E2BEB"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568A5BC3" w14:textId="77777777" w:rsidR="00811E58" w:rsidRPr="00A33AE8" w:rsidRDefault="00811E58" w:rsidP="00811E58">
      <w:pPr>
        <w:pStyle w:val="LDKbody"/>
        <w:rPr>
          <w:lang w:val="en-GB"/>
        </w:rPr>
      </w:pPr>
    </w:p>
    <w:tbl>
      <w:tblPr>
        <w:tblW w:w="9680" w:type="dxa"/>
        <w:tblLook w:val="04A0" w:firstRow="1" w:lastRow="0" w:firstColumn="1" w:lastColumn="0" w:noHBand="0" w:noVBand="1"/>
      </w:tblPr>
      <w:tblGrid>
        <w:gridCol w:w="3280"/>
        <w:gridCol w:w="1114"/>
        <w:gridCol w:w="936"/>
        <w:gridCol w:w="4128"/>
        <w:gridCol w:w="222"/>
      </w:tblGrid>
      <w:tr w:rsidR="00811E58" w:rsidRPr="00A33AE8" w14:paraId="7C334E20" w14:textId="77777777" w:rsidTr="002A0D90">
        <w:trPr>
          <w:gridAfter w:val="1"/>
          <w:wAfter w:w="222" w:type="dxa"/>
          <w:trHeight w:val="780"/>
        </w:trPr>
        <w:tc>
          <w:tcPr>
            <w:tcW w:w="328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4EF2979"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616D46F"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PM_D9</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24E0791F"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28" w:type="dxa"/>
            <w:tcBorders>
              <w:top w:val="single" w:sz="8" w:space="0" w:color="auto"/>
              <w:left w:val="nil"/>
              <w:bottom w:val="single" w:sz="8" w:space="0" w:color="auto"/>
              <w:right w:val="single" w:sz="8" w:space="0" w:color="auto"/>
            </w:tcBorders>
            <w:shd w:val="clear" w:color="auto" w:fill="E7E6E6" w:themeFill="background2"/>
            <w:vAlign w:val="center"/>
            <w:hideMark/>
          </w:tcPr>
          <w:p w14:paraId="52936916"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Increase the tree-planted areas (</w:t>
            </w:r>
            <w:r w:rsidR="003C1300" w:rsidRPr="003C1300">
              <w:rPr>
                <w:rFonts w:ascii="Calibri Light" w:eastAsia="Times New Roman" w:hAnsi="Calibri Light" w:cs="Calibri Light"/>
                <w:b/>
                <w:bCs/>
                <w:color w:val="000000"/>
                <w:sz w:val="20"/>
                <w:szCs w:val="20"/>
                <w:lang w:eastAsia="en-GB"/>
              </w:rPr>
              <w:t>groves / parks / green roofs, sanitary protection zones around mines and industrial buildings, wind protection belts and green zones next to highways)</w:t>
            </w:r>
          </w:p>
        </w:tc>
      </w:tr>
      <w:tr w:rsidR="00811E58" w:rsidRPr="00A33AE8" w14:paraId="1056A26D" w14:textId="77777777" w:rsidTr="002A0D90">
        <w:trPr>
          <w:gridAfter w:val="1"/>
          <w:wAfter w:w="222" w:type="dxa"/>
          <w:trHeight w:val="395"/>
        </w:trPr>
        <w:tc>
          <w:tcPr>
            <w:tcW w:w="3280" w:type="dxa"/>
            <w:tcBorders>
              <w:top w:val="nil"/>
              <w:left w:val="single" w:sz="8" w:space="0" w:color="auto"/>
              <w:bottom w:val="single" w:sz="8" w:space="0" w:color="auto"/>
              <w:right w:val="nil"/>
            </w:tcBorders>
            <w:shd w:val="clear" w:color="000000" w:fill="244062"/>
            <w:vAlign w:val="center"/>
            <w:hideMark/>
          </w:tcPr>
          <w:p w14:paraId="5749195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2A5EC274"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Carbon emissions reduction</w:t>
            </w:r>
          </w:p>
        </w:tc>
      </w:tr>
      <w:tr w:rsidR="00811E58" w:rsidRPr="00A33AE8" w14:paraId="4B1E1C95" w14:textId="77777777" w:rsidTr="002A0D90">
        <w:trPr>
          <w:gridAfter w:val="1"/>
          <w:wAfter w:w="222" w:type="dxa"/>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66A1F19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6DBEC87C" w14:textId="77777777" w:rsidR="00811E58" w:rsidRPr="00A33AE8" w:rsidRDefault="00811E58" w:rsidP="002A0D90">
            <w:pPr>
              <w:spacing w:after="0" w:line="240" w:lineRule="auto"/>
              <w:jc w:val="both"/>
              <w:rPr>
                <w:rFonts w:asciiTheme="majorHAnsi" w:eastAsia="Times New Roman" w:hAnsiTheme="majorHAnsi" w:cstheme="majorHAnsi"/>
                <w:color w:val="000000"/>
                <w:sz w:val="20"/>
                <w:szCs w:val="20"/>
                <w:lang w:eastAsia="en-GB"/>
              </w:rPr>
            </w:pPr>
          </w:p>
        </w:tc>
      </w:tr>
      <w:tr w:rsidR="00811E58" w:rsidRPr="00A33AE8" w14:paraId="39AC3F56" w14:textId="77777777" w:rsidTr="002A0D90">
        <w:trPr>
          <w:gridAfter w:val="1"/>
          <w:wAfter w:w="222" w:type="dxa"/>
          <w:trHeight w:val="916"/>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5D3B4A6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46A16BAA" w14:textId="7A12B5D5"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PM_D9 will promote the increase of tree-planted areas in the country, including </w:t>
            </w:r>
            <w:r w:rsidR="003C1300" w:rsidRPr="003C1300">
              <w:rPr>
                <w:rFonts w:asciiTheme="majorHAnsi" w:eastAsia="Times New Roman" w:hAnsiTheme="majorHAnsi" w:cstheme="majorHAnsi"/>
                <w:color w:val="000000"/>
                <w:sz w:val="20"/>
                <w:szCs w:val="20"/>
                <w:lang w:eastAsia="en-GB"/>
              </w:rPr>
              <w:t>groves</w:t>
            </w:r>
            <w:r w:rsidRPr="00A33AE8">
              <w:rPr>
                <w:rFonts w:asciiTheme="majorHAnsi" w:eastAsia="Times New Roman" w:hAnsiTheme="majorHAnsi" w:cstheme="majorHAnsi"/>
                <w:color w:val="000000"/>
                <w:sz w:val="20"/>
                <w:szCs w:val="20"/>
                <w:lang w:eastAsia="en-GB"/>
              </w:rPr>
              <w:t>, parks</w:t>
            </w:r>
            <w:r w:rsidR="003C1300">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green roofs</w:t>
            </w:r>
            <w:r w:rsidR="003C1300" w:rsidRPr="003C1300">
              <w:rPr>
                <w:rFonts w:asciiTheme="majorHAnsi" w:eastAsia="Times New Roman" w:hAnsiTheme="majorHAnsi" w:cstheme="majorHAnsi"/>
                <w:color w:val="000000"/>
                <w:sz w:val="20"/>
                <w:szCs w:val="20"/>
                <w:lang w:eastAsia="en-GB"/>
              </w:rPr>
              <w:t>, sanitary protection zones around mines and industrial buildings, wind protection belts and green zones next to highways</w:t>
            </w:r>
            <w:r w:rsidRPr="00A33AE8">
              <w:rPr>
                <w:rFonts w:asciiTheme="majorHAnsi" w:eastAsia="Times New Roman" w:hAnsiTheme="majorHAnsi" w:cstheme="majorHAnsi"/>
                <w:color w:val="000000"/>
                <w:sz w:val="20"/>
                <w:szCs w:val="20"/>
                <w:lang w:eastAsia="en-GB"/>
              </w:rPr>
              <w:t xml:space="preserve">. This can be done through numerous related initiatives and information campaigns for citizens, explaining the environmental benefits </w:t>
            </w:r>
            <w:r w:rsidRPr="00A33AE8">
              <w:rPr>
                <w:rFonts w:asciiTheme="majorHAnsi" w:eastAsia="Times New Roman" w:hAnsiTheme="majorHAnsi" w:cstheme="majorHAnsi"/>
                <w:color w:val="000000"/>
                <w:sz w:val="20"/>
                <w:szCs w:val="20"/>
                <w:lang w:eastAsia="en-GB"/>
              </w:rPr>
              <w:lastRenderedPageBreak/>
              <w:t>in terms of the reduction of CO2 emissions, as well as through the provision of financial incentives.</w:t>
            </w:r>
            <w:r w:rsidR="00B7324D">
              <w:t xml:space="preserve"> </w:t>
            </w:r>
            <w:r w:rsidR="00B7324D" w:rsidRPr="00B7324D">
              <w:rPr>
                <w:rFonts w:asciiTheme="majorHAnsi" w:eastAsia="Times New Roman" w:hAnsiTheme="majorHAnsi" w:cstheme="majorHAnsi"/>
                <w:color w:val="000000"/>
                <w:sz w:val="20"/>
                <w:szCs w:val="20"/>
                <w:lang w:eastAsia="en-GB"/>
              </w:rPr>
              <w:t>A potential provision of legal obligations for investors will be explored in order to regenerate green areas.</w:t>
            </w:r>
            <w:r w:rsidR="003C1300">
              <w:rPr>
                <w:rFonts w:asciiTheme="majorHAnsi" w:eastAsia="Times New Roman" w:hAnsiTheme="majorHAnsi" w:cstheme="majorHAnsi"/>
                <w:color w:val="000000"/>
                <w:sz w:val="20"/>
                <w:szCs w:val="20"/>
                <w:lang w:eastAsia="en-GB"/>
              </w:rPr>
              <w:t xml:space="preserve"> </w:t>
            </w:r>
            <w:r w:rsidR="003C1300" w:rsidRPr="003C1300">
              <w:rPr>
                <w:rFonts w:asciiTheme="majorHAnsi" w:eastAsia="Times New Roman" w:hAnsiTheme="majorHAnsi" w:cstheme="majorHAnsi"/>
                <w:color w:val="000000"/>
                <w:sz w:val="20"/>
                <w:szCs w:val="20"/>
                <w:lang w:eastAsia="en-GB"/>
              </w:rPr>
              <w:t>The construction of sanitary and wind protection zones around mines, industrial facilities that are significant emitters of waste gases, along highways and traffic roads, are of high importance for adapting to climate change.</w:t>
            </w:r>
          </w:p>
        </w:tc>
      </w:tr>
      <w:tr w:rsidR="00811E58" w:rsidRPr="00A33AE8" w14:paraId="0EDA0310" w14:textId="77777777" w:rsidTr="002A0D90">
        <w:trPr>
          <w:gridAfter w:val="1"/>
          <w:wAfter w:w="222" w:type="dxa"/>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2006934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374C8D6B" w14:textId="77777777" w:rsidR="00811E58" w:rsidRPr="00A33AE8" w:rsidRDefault="000C4DD1"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w:t>
            </w:r>
            <w:r w:rsidR="00811E58" w:rsidRPr="00A33AE8">
              <w:rPr>
                <w:rFonts w:asciiTheme="majorHAnsi" w:eastAsia="Times New Roman" w:hAnsiTheme="majorHAnsi" w:cstheme="majorHAnsi"/>
                <w:color w:val="000000"/>
                <w:sz w:val="20"/>
                <w:szCs w:val="20"/>
                <w:lang w:eastAsia="en-GB"/>
              </w:rPr>
              <w:t>-2030</w:t>
            </w:r>
          </w:p>
        </w:tc>
      </w:tr>
      <w:tr w:rsidR="00811E58" w:rsidRPr="00A33AE8" w14:paraId="2804E372" w14:textId="77777777" w:rsidTr="002A0D90">
        <w:trPr>
          <w:gridAfter w:val="1"/>
          <w:wAfter w:w="222" w:type="dxa"/>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5CB43156"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07D596BF" w14:textId="77777777" w:rsidR="00811E58" w:rsidRPr="00A33AE8" w:rsidRDefault="00D17B3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r w:rsidR="00B7324D" w:rsidRPr="00B7324D">
              <w:rPr>
                <w:rFonts w:asciiTheme="majorHAnsi" w:eastAsia="Times New Roman" w:hAnsiTheme="majorHAnsi" w:cstheme="majorHAnsi"/>
                <w:color w:val="000000"/>
                <w:sz w:val="20"/>
                <w:szCs w:val="20"/>
                <w:lang w:eastAsia="en-GB"/>
              </w:rPr>
              <w:t xml:space="preserve"> and reform</w:t>
            </w:r>
          </w:p>
        </w:tc>
      </w:tr>
      <w:tr w:rsidR="00811E58" w:rsidRPr="00A33AE8" w14:paraId="1586AA35" w14:textId="77777777" w:rsidTr="002A0D90">
        <w:trPr>
          <w:gridAfter w:val="1"/>
          <w:wAfter w:w="222" w:type="dxa"/>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5E965FE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49E94847"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Agriculture</w:t>
            </w:r>
            <w:r w:rsidR="000C4DD1" w:rsidRPr="00A33AE8">
              <w:t xml:space="preserve"> </w:t>
            </w:r>
            <w:r w:rsidR="000C4DD1" w:rsidRPr="00A33AE8">
              <w:rPr>
                <w:rFonts w:asciiTheme="majorHAnsi" w:eastAsia="Times New Roman" w:hAnsiTheme="majorHAnsi" w:cstheme="majorHAnsi"/>
                <w:color w:val="000000"/>
                <w:sz w:val="20"/>
                <w:szCs w:val="20"/>
                <w:lang w:eastAsia="en-GB"/>
              </w:rPr>
              <w:t>and LULUCF</w:t>
            </w:r>
          </w:p>
        </w:tc>
      </w:tr>
      <w:tr w:rsidR="00811E58" w:rsidRPr="00A33AE8" w14:paraId="23203547" w14:textId="77777777" w:rsidTr="002A0D90">
        <w:trPr>
          <w:gridAfter w:val="1"/>
          <w:wAfter w:w="222" w:type="dxa"/>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6A3C61A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297A6E67" w14:textId="77777777" w:rsidR="00811E58" w:rsidRPr="001A3889" w:rsidRDefault="00811E58" w:rsidP="00884F3B">
            <w:pPr>
              <w:pStyle w:val="ListParagraph"/>
              <w:numPr>
                <w:ilvl w:val="0"/>
                <w:numId w:val="21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p w14:paraId="58EA2422" w14:textId="77777777" w:rsidR="00E16752" w:rsidRPr="00A33AE8" w:rsidRDefault="00E16752" w:rsidP="00884F3B">
            <w:pPr>
              <w:pStyle w:val="ListParagraph"/>
              <w:numPr>
                <w:ilvl w:val="0"/>
                <w:numId w:val="219"/>
              </w:numPr>
              <w:spacing w:after="0" w:line="240" w:lineRule="auto"/>
              <w:jc w:val="both"/>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Ministry of Agriculture, Forestry and Water Economy</w:t>
            </w:r>
          </w:p>
          <w:p w14:paraId="29790777" w14:textId="77777777" w:rsidR="00811E58" w:rsidRPr="00A33AE8" w:rsidRDefault="00811E58" w:rsidP="00884F3B">
            <w:pPr>
              <w:pStyle w:val="ListParagraph"/>
              <w:numPr>
                <w:ilvl w:val="0"/>
                <w:numId w:val="21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Construction, Transport and Infrastructure</w:t>
            </w:r>
          </w:p>
        </w:tc>
      </w:tr>
      <w:tr w:rsidR="00811E58" w:rsidRPr="00A33AE8" w14:paraId="14EE60FA" w14:textId="77777777" w:rsidTr="002A0D90">
        <w:trPr>
          <w:gridAfter w:val="1"/>
          <w:wAfter w:w="222" w:type="dxa"/>
          <w:trHeight w:val="315"/>
        </w:trPr>
        <w:tc>
          <w:tcPr>
            <w:tcW w:w="3280" w:type="dxa"/>
            <w:tcBorders>
              <w:top w:val="nil"/>
              <w:left w:val="single" w:sz="8" w:space="0" w:color="auto"/>
              <w:bottom w:val="single" w:sz="8" w:space="0" w:color="auto"/>
              <w:right w:val="nil"/>
            </w:tcBorders>
            <w:shd w:val="clear" w:color="000000" w:fill="244062"/>
            <w:vAlign w:val="center"/>
            <w:hideMark/>
          </w:tcPr>
          <w:p w14:paraId="25A89E7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50D4F601" w14:textId="77777777" w:rsidR="00811E58" w:rsidRPr="00A33AE8" w:rsidRDefault="00811E58" w:rsidP="00884F3B">
            <w:pPr>
              <w:pStyle w:val="ListParagraph"/>
              <w:numPr>
                <w:ilvl w:val="0"/>
                <w:numId w:val="219"/>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tc>
      </w:tr>
      <w:tr w:rsidR="00811E58" w:rsidRPr="00A33AE8" w14:paraId="07514A1F" w14:textId="77777777" w:rsidTr="002A0D90">
        <w:trPr>
          <w:gridAfter w:val="1"/>
          <w:wAfter w:w="222" w:type="dxa"/>
          <w:trHeight w:val="315"/>
        </w:trPr>
        <w:tc>
          <w:tcPr>
            <w:tcW w:w="3280" w:type="dxa"/>
            <w:tcBorders>
              <w:top w:val="nil"/>
              <w:left w:val="single" w:sz="8" w:space="0" w:color="auto"/>
              <w:bottom w:val="single" w:sz="8" w:space="0" w:color="auto"/>
              <w:right w:val="nil"/>
            </w:tcBorders>
            <w:shd w:val="clear" w:color="000000" w:fill="244062"/>
            <w:vAlign w:val="center"/>
            <w:hideMark/>
          </w:tcPr>
          <w:p w14:paraId="180B1DC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7D8235A7" w14:textId="77777777" w:rsidR="00811E58" w:rsidRPr="00A33AE8" w:rsidRDefault="00811E58"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hAnsiTheme="majorHAnsi" w:cstheme="majorHAnsi"/>
                <w:color w:val="000000"/>
                <w:sz w:val="20"/>
                <w:szCs w:val="20"/>
                <w:lang w:eastAsia="en-GB"/>
              </w:rPr>
              <w:t xml:space="preserve">Number of </w:t>
            </w:r>
            <w:r w:rsidR="00760854" w:rsidRPr="00760854">
              <w:rPr>
                <w:rFonts w:asciiTheme="majorHAnsi" w:hAnsiTheme="majorHAnsi" w:cstheme="majorHAnsi"/>
                <w:color w:val="000000"/>
                <w:sz w:val="20"/>
                <w:szCs w:val="20"/>
                <w:lang w:eastAsia="en-GB"/>
              </w:rPr>
              <w:t>groves</w:t>
            </w:r>
            <w:r w:rsidRPr="00A33AE8">
              <w:rPr>
                <w:rFonts w:asciiTheme="majorHAnsi" w:hAnsiTheme="majorHAnsi" w:cstheme="majorHAnsi"/>
                <w:color w:val="000000"/>
                <w:sz w:val="20"/>
                <w:szCs w:val="20"/>
                <w:lang w:eastAsia="en-GB"/>
              </w:rPr>
              <w:t xml:space="preserve"> / parks / green roofs that have been adde</w:t>
            </w:r>
            <w:r w:rsidRPr="00A33AE8">
              <w:rPr>
                <w:rFonts w:asciiTheme="majorHAnsi" w:eastAsia="Times New Roman" w:hAnsiTheme="majorHAnsi" w:cstheme="majorHAnsi"/>
                <w:color w:val="000000"/>
                <w:sz w:val="20"/>
                <w:szCs w:val="20"/>
                <w:lang w:eastAsia="en-GB"/>
              </w:rPr>
              <w:t>d on annual base, 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p>
        </w:tc>
      </w:tr>
      <w:tr w:rsidR="006C6A30" w:rsidRPr="00A33AE8" w14:paraId="7CEEAAED" w14:textId="77777777" w:rsidTr="002A0D90">
        <w:trPr>
          <w:gridAfter w:val="1"/>
          <w:wAfter w:w="222" w:type="dxa"/>
          <w:trHeight w:val="301"/>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549543E1"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8" w:type="dxa"/>
            <w:gridSpan w:val="3"/>
            <w:tcBorders>
              <w:top w:val="single" w:sz="8" w:space="0" w:color="auto"/>
              <w:left w:val="nil"/>
              <w:bottom w:val="single" w:sz="8" w:space="0" w:color="auto"/>
              <w:right w:val="single" w:sz="8" w:space="0" w:color="000000"/>
            </w:tcBorders>
            <w:shd w:val="clear" w:color="auto" w:fill="auto"/>
            <w:vAlign w:val="center"/>
          </w:tcPr>
          <w:p w14:paraId="7D59E68D"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1B214E67" w14:textId="77777777" w:rsidTr="002A0D90">
        <w:trPr>
          <w:gridAfter w:val="1"/>
          <w:wAfter w:w="222" w:type="dxa"/>
          <w:trHeight w:val="450"/>
        </w:trPr>
        <w:tc>
          <w:tcPr>
            <w:tcW w:w="328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B20421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7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94D0F6" w14:textId="77777777" w:rsidR="00811E58" w:rsidRPr="00A33AE8" w:rsidRDefault="00811E58"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0C4DD1" w:rsidRPr="00A33AE8">
              <w:rPr>
                <w:rFonts w:asciiTheme="majorHAnsi" w:eastAsia="Times New Roman" w:hAnsiTheme="majorHAnsi" w:cstheme="majorHAnsi"/>
                <w:color w:val="000000"/>
                <w:sz w:val="20"/>
                <w:szCs w:val="20"/>
                <w:lang w:eastAsia="en-GB"/>
              </w:rPr>
              <w:t>2018/1999</w:t>
            </w:r>
          </w:p>
        </w:tc>
      </w:tr>
      <w:tr w:rsidR="00811E58" w:rsidRPr="00A33AE8" w14:paraId="1F968765" w14:textId="77777777" w:rsidTr="002A0D90">
        <w:trPr>
          <w:trHeight w:val="300"/>
        </w:trPr>
        <w:tc>
          <w:tcPr>
            <w:tcW w:w="3280" w:type="dxa"/>
            <w:vMerge/>
            <w:tcBorders>
              <w:top w:val="nil"/>
              <w:left w:val="single" w:sz="8" w:space="0" w:color="auto"/>
              <w:bottom w:val="single" w:sz="8" w:space="0" w:color="000000"/>
              <w:right w:val="single" w:sz="8" w:space="0" w:color="auto"/>
            </w:tcBorders>
            <w:vAlign w:val="center"/>
            <w:hideMark/>
          </w:tcPr>
          <w:p w14:paraId="67C9818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78" w:type="dxa"/>
            <w:gridSpan w:val="3"/>
            <w:vMerge/>
            <w:tcBorders>
              <w:top w:val="single" w:sz="8" w:space="0" w:color="auto"/>
              <w:left w:val="single" w:sz="8" w:space="0" w:color="auto"/>
              <w:bottom w:val="single" w:sz="8" w:space="0" w:color="000000"/>
              <w:right w:val="single" w:sz="8" w:space="0" w:color="000000"/>
            </w:tcBorders>
            <w:vAlign w:val="center"/>
            <w:hideMark/>
          </w:tcPr>
          <w:p w14:paraId="387A4BFE" w14:textId="77777777" w:rsidR="00811E58" w:rsidRPr="00A33AE8" w:rsidRDefault="00811E58"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6C21B1A"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61535138" w14:textId="77777777" w:rsidTr="002A0D90">
        <w:trPr>
          <w:trHeight w:val="60"/>
        </w:trPr>
        <w:tc>
          <w:tcPr>
            <w:tcW w:w="3280" w:type="dxa"/>
            <w:vMerge/>
            <w:tcBorders>
              <w:top w:val="nil"/>
              <w:left w:val="single" w:sz="8" w:space="0" w:color="auto"/>
              <w:bottom w:val="single" w:sz="8" w:space="0" w:color="000000"/>
              <w:right w:val="single" w:sz="8" w:space="0" w:color="auto"/>
            </w:tcBorders>
            <w:vAlign w:val="center"/>
            <w:hideMark/>
          </w:tcPr>
          <w:p w14:paraId="6CD4E416"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78" w:type="dxa"/>
            <w:gridSpan w:val="3"/>
            <w:vMerge/>
            <w:tcBorders>
              <w:top w:val="single" w:sz="8" w:space="0" w:color="auto"/>
              <w:left w:val="single" w:sz="8" w:space="0" w:color="auto"/>
              <w:bottom w:val="single" w:sz="8" w:space="0" w:color="000000"/>
              <w:right w:val="single" w:sz="8" w:space="0" w:color="000000"/>
            </w:tcBorders>
            <w:vAlign w:val="center"/>
            <w:hideMark/>
          </w:tcPr>
          <w:p w14:paraId="3E3F1B40" w14:textId="77777777" w:rsidR="00811E58" w:rsidRPr="00A33AE8" w:rsidRDefault="00811E58"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6053873"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292C85EB" w14:textId="77777777" w:rsidTr="002A0D90">
        <w:trPr>
          <w:trHeight w:val="49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545FA91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74E67F5D" w14:textId="77777777" w:rsidR="00811E58" w:rsidRPr="00A33AE8" w:rsidRDefault="00CB3A26" w:rsidP="00884F3B">
            <w:pPr>
              <w:pStyle w:val="ListParagraph"/>
              <w:numPr>
                <w:ilvl w:val="0"/>
                <w:numId w:val="17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Sustainable Urban Development Strategy of the Republic of Serbia until 2030</w:t>
            </w:r>
          </w:p>
        </w:tc>
        <w:tc>
          <w:tcPr>
            <w:tcW w:w="222" w:type="dxa"/>
            <w:vAlign w:val="center"/>
            <w:hideMark/>
          </w:tcPr>
          <w:p w14:paraId="49B112D6"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3B06A6C9" w14:textId="77777777" w:rsidTr="002A0D90">
        <w:trPr>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2C1A4A9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8" w:type="dxa"/>
            <w:gridSpan w:val="3"/>
            <w:tcBorders>
              <w:top w:val="single" w:sz="8" w:space="0" w:color="auto"/>
              <w:left w:val="nil"/>
              <w:bottom w:val="single" w:sz="8" w:space="0" w:color="auto"/>
              <w:right w:val="single" w:sz="8" w:space="0" w:color="000000"/>
            </w:tcBorders>
            <w:shd w:val="clear" w:color="auto" w:fill="auto"/>
            <w:vAlign w:val="center"/>
          </w:tcPr>
          <w:p w14:paraId="07AD0C08"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6.5 M€</w:t>
            </w:r>
          </w:p>
        </w:tc>
        <w:tc>
          <w:tcPr>
            <w:tcW w:w="222" w:type="dxa"/>
            <w:vAlign w:val="center"/>
            <w:hideMark/>
          </w:tcPr>
          <w:p w14:paraId="14B33BB7"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011F1F36" w14:textId="77777777" w:rsidTr="002A0D90">
        <w:trPr>
          <w:trHeight w:val="315"/>
        </w:trPr>
        <w:tc>
          <w:tcPr>
            <w:tcW w:w="3280" w:type="dxa"/>
            <w:tcBorders>
              <w:top w:val="nil"/>
              <w:left w:val="single" w:sz="8" w:space="0" w:color="auto"/>
              <w:bottom w:val="single" w:sz="8" w:space="0" w:color="auto"/>
              <w:right w:val="single" w:sz="8" w:space="0" w:color="auto"/>
            </w:tcBorders>
            <w:shd w:val="clear" w:color="000000" w:fill="244062"/>
            <w:vAlign w:val="center"/>
            <w:hideMark/>
          </w:tcPr>
          <w:p w14:paraId="0939358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8" w:type="dxa"/>
            <w:gridSpan w:val="3"/>
            <w:tcBorders>
              <w:top w:val="single" w:sz="8" w:space="0" w:color="auto"/>
              <w:left w:val="nil"/>
              <w:bottom w:val="single" w:sz="8" w:space="0" w:color="auto"/>
              <w:right w:val="single" w:sz="8" w:space="0" w:color="000000"/>
            </w:tcBorders>
            <w:shd w:val="clear" w:color="auto" w:fill="auto"/>
            <w:vAlign w:val="center"/>
          </w:tcPr>
          <w:p w14:paraId="72C83577"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05B80EDE"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21FD15D0" w14:textId="77777777" w:rsidR="00811E58" w:rsidRPr="00A33AE8" w:rsidRDefault="00811E58" w:rsidP="00811E58">
      <w:pPr>
        <w:pStyle w:val="LDKbody"/>
        <w:rPr>
          <w:lang w:val="en-GB"/>
        </w:rPr>
      </w:pPr>
    </w:p>
    <w:tbl>
      <w:tblPr>
        <w:tblW w:w="9680" w:type="dxa"/>
        <w:tblLook w:val="04A0" w:firstRow="1" w:lastRow="0" w:firstColumn="1" w:lastColumn="0" w:noHBand="0" w:noVBand="1"/>
      </w:tblPr>
      <w:tblGrid>
        <w:gridCol w:w="3270"/>
        <w:gridCol w:w="1114"/>
        <w:gridCol w:w="935"/>
        <w:gridCol w:w="4139"/>
        <w:gridCol w:w="222"/>
      </w:tblGrid>
      <w:tr w:rsidR="00811E58" w:rsidRPr="00A33AE8" w14:paraId="32B2A3AD" w14:textId="77777777" w:rsidTr="002A0D90">
        <w:trPr>
          <w:gridAfter w:val="1"/>
          <w:wAfter w:w="222" w:type="dxa"/>
          <w:trHeight w:val="780"/>
        </w:trPr>
        <w:tc>
          <w:tcPr>
            <w:tcW w:w="327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53A9313"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328FBF5"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PM_D10</w:t>
            </w:r>
          </w:p>
        </w:tc>
        <w:tc>
          <w:tcPr>
            <w:tcW w:w="935" w:type="dxa"/>
            <w:tcBorders>
              <w:top w:val="single" w:sz="8" w:space="0" w:color="auto"/>
              <w:left w:val="nil"/>
              <w:bottom w:val="single" w:sz="8" w:space="0" w:color="auto"/>
              <w:right w:val="single" w:sz="8" w:space="0" w:color="auto"/>
            </w:tcBorders>
            <w:shd w:val="clear" w:color="000000" w:fill="244062"/>
            <w:vAlign w:val="center"/>
            <w:hideMark/>
          </w:tcPr>
          <w:p w14:paraId="4656C31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09879D85"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Measures for the reduction of CH</w:t>
            </w:r>
            <w:r w:rsidRPr="00A33AE8">
              <w:rPr>
                <w:rFonts w:ascii="Calibri Light" w:eastAsia="Times New Roman" w:hAnsi="Calibri Light" w:cs="Calibri Light"/>
                <w:b/>
                <w:bCs/>
                <w:color w:val="000000"/>
                <w:sz w:val="20"/>
                <w:szCs w:val="20"/>
                <w:vertAlign w:val="subscript"/>
                <w:lang w:eastAsia="en-GB"/>
              </w:rPr>
              <w:t>4</w:t>
            </w:r>
            <w:r w:rsidRPr="00A33AE8">
              <w:rPr>
                <w:rFonts w:ascii="Calibri Light" w:eastAsia="Times New Roman" w:hAnsi="Calibri Light" w:cs="Calibri Light"/>
                <w:b/>
                <w:bCs/>
                <w:color w:val="000000"/>
                <w:sz w:val="20"/>
                <w:szCs w:val="20"/>
                <w:lang w:eastAsia="en-GB"/>
              </w:rPr>
              <w:t xml:space="preserve"> emissions from the enteric fermentation of animals</w:t>
            </w:r>
          </w:p>
        </w:tc>
      </w:tr>
      <w:tr w:rsidR="00811E58" w:rsidRPr="00A33AE8" w14:paraId="7918664D" w14:textId="77777777" w:rsidTr="002A0D90">
        <w:trPr>
          <w:gridAfter w:val="1"/>
          <w:wAfter w:w="222" w:type="dxa"/>
          <w:trHeight w:val="389"/>
        </w:trPr>
        <w:tc>
          <w:tcPr>
            <w:tcW w:w="3270" w:type="dxa"/>
            <w:tcBorders>
              <w:top w:val="nil"/>
              <w:left w:val="single" w:sz="8" w:space="0" w:color="auto"/>
              <w:bottom w:val="single" w:sz="8" w:space="0" w:color="auto"/>
              <w:right w:val="nil"/>
            </w:tcBorders>
            <w:shd w:val="clear" w:color="000000" w:fill="244062"/>
            <w:vAlign w:val="center"/>
            <w:hideMark/>
          </w:tcPr>
          <w:p w14:paraId="0A3DEBB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48839A7"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CH</w:t>
            </w:r>
            <w:r w:rsidRPr="00A33AE8">
              <w:rPr>
                <w:rFonts w:asciiTheme="majorHAnsi" w:eastAsia="Times New Roman" w:hAnsiTheme="majorHAnsi" w:cstheme="majorHAnsi"/>
                <w:color w:val="000000"/>
                <w:sz w:val="20"/>
                <w:szCs w:val="20"/>
                <w:vertAlign w:val="subscript"/>
                <w:lang w:eastAsia="en-GB"/>
              </w:rPr>
              <w:t>4</w:t>
            </w:r>
            <w:r w:rsidRPr="00A33AE8">
              <w:rPr>
                <w:rFonts w:asciiTheme="majorHAnsi" w:eastAsia="Times New Roman" w:hAnsiTheme="majorHAnsi" w:cstheme="majorHAnsi"/>
                <w:color w:val="000000"/>
                <w:sz w:val="20"/>
                <w:szCs w:val="20"/>
                <w:lang w:eastAsia="en-GB"/>
              </w:rPr>
              <w:t xml:space="preserve"> emissions reduction</w:t>
            </w:r>
          </w:p>
        </w:tc>
      </w:tr>
      <w:tr w:rsidR="00811E58" w:rsidRPr="00A33AE8" w14:paraId="1CCE5766" w14:textId="77777777" w:rsidTr="002A0D90">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8197F6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453852D4" w14:textId="77777777" w:rsidR="00811E58" w:rsidRPr="00A33AE8" w:rsidRDefault="00E16752" w:rsidP="002A0D90">
            <w:pPr>
              <w:spacing w:after="0" w:line="240" w:lineRule="auto"/>
              <w:jc w:val="both"/>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 xml:space="preserve"> Contribution to the objective of reduction of GHG emissions by 40.3% (with LULUCF) by 2030 compared to 1990 levels</w:t>
            </w:r>
          </w:p>
        </w:tc>
      </w:tr>
      <w:tr w:rsidR="00811E58" w:rsidRPr="00A33AE8" w14:paraId="582C60A2" w14:textId="77777777" w:rsidTr="002A0D90">
        <w:trPr>
          <w:gridAfter w:val="1"/>
          <w:wAfter w:w="222" w:type="dxa"/>
          <w:trHeight w:val="924"/>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2FBA95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7B9D2F4C" w14:textId="77777777"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PM_D10 will facilitate the reduction of CH</w:t>
            </w:r>
            <w:r w:rsidRPr="00A33AE8">
              <w:rPr>
                <w:rFonts w:asciiTheme="majorHAnsi" w:eastAsia="Times New Roman" w:hAnsiTheme="majorHAnsi" w:cstheme="majorHAnsi"/>
                <w:color w:val="000000"/>
                <w:sz w:val="20"/>
                <w:szCs w:val="20"/>
                <w:vertAlign w:val="subscript"/>
                <w:lang w:eastAsia="en-GB"/>
              </w:rPr>
              <w:t>4</w:t>
            </w:r>
            <w:r w:rsidRPr="00A33AE8">
              <w:rPr>
                <w:rFonts w:asciiTheme="majorHAnsi" w:eastAsia="Times New Roman" w:hAnsiTheme="majorHAnsi" w:cstheme="majorHAnsi"/>
                <w:color w:val="000000"/>
                <w:sz w:val="20"/>
                <w:szCs w:val="20"/>
                <w:lang w:eastAsia="en-GB"/>
              </w:rPr>
              <w:t xml:space="preserve"> emissions through the modification of the feed composition and nutrition practice in livestock. It is a cost-effective measure, as it does not require subsidies or incentives. Practical training and demonstration for farmers will be sufficient.</w:t>
            </w:r>
          </w:p>
        </w:tc>
      </w:tr>
      <w:tr w:rsidR="00811E58" w:rsidRPr="00A33AE8" w14:paraId="1757BB8A" w14:textId="77777777" w:rsidTr="002A0D90">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9840197"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83DD66C" w14:textId="77777777" w:rsidR="00811E58" w:rsidRPr="00A33AE8" w:rsidRDefault="004C50F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Pr="000007D2">
              <w:rPr>
                <w:rFonts w:asciiTheme="majorHAnsi" w:eastAsia="Times New Roman" w:hAnsiTheme="majorHAnsi" w:cstheme="majorHAnsi"/>
                <w:color w:val="000000"/>
                <w:sz w:val="20"/>
                <w:szCs w:val="20"/>
                <w:lang w:eastAsia="en-GB"/>
              </w:rPr>
              <w:t>4</w:t>
            </w:r>
            <w:r w:rsidR="00811E58" w:rsidRPr="00A33AE8">
              <w:rPr>
                <w:rFonts w:asciiTheme="majorHAnsi" w:eastAsia="Times New Roman" w:hAnsiTheme="majorHAnsi" w:cstheme="majorHAnsi"/>
                <w:color w:val="000000"/>
                <w:sz w:val="20"/>
                <w:szCs w:val="20"/>
                <w:lang w:eastAsia="en-GB"/>
              </w:rPr>
              <w:t>-2030</w:t>
            </w:r>
          </w:p>
        </w:tc>
      </w:tr>
      <w:tr w:rsidR="00811E58" w:rsidRPr="00A33AE8" w14:paraId="5B2BB7BE" w14:textId="77777777" w:rsidTr="002A0D90">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1BC2497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78A2EA2" w14:textId="77777777" w:rsidR="00811E58" w:rsidRPr="00A33AE8" w:rsidRDefault="00D17B3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811E58" w:rsidRPr="00A33AE8" w14:paraId="4B885150" w14:textId="77777777" w:rsidTr="002A0D90">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734EB6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436F602"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Agriculture</w:t>
            </w:r>
            <w:r w:rsidR="004C50FC" w:rsidRPr="00A33AE8">
              <w:t xml:space="preserve"> </w:t>
            </w:r>
            <w:r w:rsidR="004C50FC" w:rsidRPr="00A33AE8">
              <w:rPr>
                <w:rFonts w:asciiTheme="majorHAnsi" w:eastAsia="Times New Roman" w:hAnsiTheme="majorHAnsi" w:cstheme="majorHAnsi"/>
                <w:color w:val="000000"/>
                <w:sz w:val="20"/>
                <w:szCs w:val="20"/>
                <w:lang w:eastAsia="en-GB"/>
              </w:rPr>
              <w:t>and LULUCF</w:t>
            </w:r>
          </w:p>
        </w:tc>
      </w:tr>
      <w:tr w:rsidR="00811E58" w:rsidRPr="00A33AE8" w14:paraId="20AF84A4" w14:textId="77777777" w:rsidTr="002A0D90">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47A458C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6EFC283" w14:textId="3AD6B832" w:rsidR="00811E58" w:rsidRPr="00A33AE8" w:rsidRDefault="00811E58" w:rsidP="00884F3B">
            <w:pPr>
              <w:pStyle w:val="ListParagraph"/>
              <w:numPr>
                <w:ilvl w:val="0"/>
                <w:numId w:val="17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p w14:paraId="3705CFBE" w14:textId="77777777" w:rsidR="004C50FC" w:rsidRPr="00A33AE8" w:rsidRDefault="004C50FC" w:rsidP="00884F3B">
            <w:pPr>
              <w:pStyle w:val="ListParagraph"/>
              <w:numPr>
                <w:ilvl w:val="0"/>
                <w:numId w:val="17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Directorate for Agrarian payments</w:t>
            </w:r>
          </w:p>
          <w:p w14:paraId="74FF6FAE" w14:textId="77777777" w:rsidR="004C50FC" w:rsidRPr="00A33AE8" w:rsidRDefault="004C50FC" w:rsidP="00884F3B">
            <w:pPr>
              <w:pStyle w:val="ListParagraph"/>
              <w:numPr>
                <w:ilvl w:val="0"/>
                <w:numId w:val="17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Veterinary Directorate</w:t>
            </w:r>
          </w:p>
          <w:p w14:paraId="066C673E" w14:textId="77777777" w:rsidR="004C50FC" w:rsidRPr="00A33AE8" w:rsidRDefault="004C50FC" w:rsidP="00884F3B">
            <w:pPr>
              <w:pStyle w:val="ListParagraph"/>
              <w:numPr>
                <w:ilvl w:val="0"/>
                <w:numId w:val="17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w:t>
            </w:r>
          </w:p>
          <w:p w14:paraId="07C160E9" w14:textId="77777777" w:rsidR="004C50FC" w:rsidRPr="00A33AE8" w:rsidRDefault="004C50FC" w:rsidP="00884F3B">
            <w:pPr>
              <w:pStyle w:val="ListParagraph"/>
              <w:numPr>
                <w:ilvl w:val="0"/>
                <w:numId w:val="17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institutions</w:t>
            </w:r>
          </w:p>
        </w:tc>
      </w:tr>
      <w:tr w:rsidR="00811E58" w:rsidRPr="00A33AE8" w14:paraId="6761F01B" w14:textId="77777777" w:rsidTr="002A0D90">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088051B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DCA72B4" w14:textId="77777777" w:rsidR="00811E58" w:rsidRPr="00A33AE8" w:rsidRDefault="00811E58" w:rsidP="00884F3B">
            <w:pPr>
              <w:pStyle w:val="ListParagraph"/>
              <w:numPr>
                <w:ilvl w:val="0"/>
                <w:numId w:val="175"/>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p w14:paraId="1A9F2BD9" w14:textId="77777777" w:rsidR="00811E58" w:rsidRPr="00A33AE8" w:rsidRDefault="00811E58" w:rsidP="00884F3B">
            <w:pPr>
              <w:pStyle w:val="ListParagraph"/>
              <w:numPr>
                <w:ilvl w:val="0"/>
                <w:numId w:val="17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tc>
      </w:tr>
      <w:tr w:rsidR="00811E58" w:rsidRPr="00A33AE8" w14:paraId="3914DB42" w14:textId="77777777" w:rsidTr="002A0D90">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33453891"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197D6B7" w14:textId="77777777" w:rsidR="00811E58" w:rsidRPr="00A33AE8" w:rsidRDefault="00811E58"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Number of farms (dairy cows and other animals as a percentage of the total population) used total mixed ration (TMR) modified feed and nutrition management on biannual base, </w:t>
            </w:r>
            <w:r w:rsidRPr="00A33AE8">
              <w:rPr>
                <w:rFonts w:asciiTheme="majorHAnsi" w:eastAsia="Times New Roman" w:hAnsiTheme="majorHAnsi" w:cstheme="majorHAnsi"/>
                <w:bCs/>
                <w:color w:val="000000"/>
                <w:sz w:val="20"/>
                <w:szCs w:val="20"/>
                <w:lang w:eastAsia="en-GB"/>
              </w:rPr>
              <w:t>CH</w:t>
            </w:r>
            <w:r w:rsidRPr="00A33AE8">
              <w:rPr>
                <w:rFonts w:asciiTheme="majorHAnsi" w:eastAsia="Times New Roman" w:hAnsiTheme="majorHAnsi" w:cstheme="majorHAnsi"/>
                <w:bCs/>
                <w:color w:val="000000"/>
                <w:sz w:val="20"/>
                <w:szCs w:val="20"/>
                <w:vertAlign w:val="subscript"/>
                <w:lang w:eastAsia="en-GB"/>
              </w:rPr>
              <w:t>4</w:t>
            </w:r>
            <w:r w:rsidRPr="00A33AE8">
              <w:rPr>
                <w:rFonts w:asciiTheme="majorHAnsi" w:eastAsia="Times New Roman" w:hAnsiTheme="majorHAnsi" w:cstheme="majorHAnsi"/>
                <w:color w:val="000000"/>
                <w:sz w:val="20"/>
                <w:szCs w:val="20"/>
                <w:lang w:eastAsia="en-GB"/>
              </w:rPr>
              <w:t xml:space="preserve"> 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p>
        </w:tc>
      </w:tr>
      <w:tr w:rsidR="006C6A30" w:rsidRPr="00A33AE8" w14:paraId="38E87E73" w14:textId="77777777" w:rsidTr="002A0D90">
        <w:trPr>
          <w:gridAfter w:val="1"/>
          <w:wAfter w:w="222" w:type="dxa"/>
          <w:trHeight w:val="470"/>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702C5654"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6FF8DAA2"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5B91815D" w14:textId="77777777" w:rsidTr="002A0D90">
        <w:trPr>
          <w:gridAfter w:val="1"/>
          <w:wAfter w:w="222" w:type="dxa"/>
          <w:trHeight w:val="450"/>
        </w:trPr>
        <w:tc>
          <w:tcPr>
            <w:tcW w:w="327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A47D68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8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0FD96DD" w14:textId="77777777" w:rsidR="00811E58" w:rsidRPr="00A33AE8" w:rsidRDefault="00811E58"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4C50FC" w:rsidRPr="00A33AE8">
              <w:rPr>
                <w:rFonts w:asciiTheme="majorHAnsi" w:eastAsia="Times New Roman" w:hAnsiTheme="majorHAnsi" w:cstheme="majorHAnsi"/>
                <w:color w:val="000000"/>
                <w:sz w:val="20"/>
                <w:szCs w:val="20"/>
                <w:lang w:eastAsia="en-GB"/>
              </w:rPr>
              <w:t>2018/1999</w:t>
            </w:r>
          </w:p>
        </w:tc>
      </w:tr>
      <w:tr w:rsidR="00811E58" w:rsidRPr="00A33AE8" w14:paraId="1EDDB01F" w14:textId="77777777" w:rsidTr="002A0D90">
        <w:trPr>
          <w:trHeight w:val="300"/>
        </w:trPr>
        <w:tc>
          <w:tcPr>
            <w:tcW w:w="3270" w:type="dxa"/>
            <w:vMerge/>
            <w:tcBorders>
              <w:top w:val="nil"/>
              <w:left w:val="single" w:sz="8" w:space="0" w:color="auto"/>
              <w:bottom w:val="single" w:sz="8" w:space="0" w:color="000000"/>
              <w:right w:val="single" w:sz="8" w:space="0" w:color="auto"/>
            </w:tcBorders>
            <w:vAlign w:val="center"/>
            <w:hideMark/>
          </w:tcPr>
          <w:p w14:paraId="781CA7E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7E61F798" w14:textId="77777777" w:rsidR="00811E58" w:rsidRPr="00A33AE8" w:rsidRDefault="00811E58"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F6488B8"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46C6CE80" w14:textId="77777777" w:rsidTr="002A0D90">
        <w:trPr>
          <w:trHeight w:val="60"/>
        </w:trPr>
        <w:tc>
          <w:tcPr>
            <w:tcW w:w="3270" w:type="dxa"/>
            <w:vMerge/>
            <w:tcBorders>
              <w:top w:val="nil"/>
              <w:left w:val="single" w:sz="8" w:space="0" w:color="auto"/>
              <w:bottom w:val="single" w:sz="8" w:space="0" w:color="000000"/>
              <w:right w:val="single" w:sz="8" w:space="0" w:color="auto"/>
            </w:tcBorders>
            <w:vAlign w:val="center"/>
            <w:hideMark/>
          </w:tcPr>
          <w:p w14:paraId="39BA4E5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3B5CE2A2" w14:textId="77777777" w:rsidR="00811E58" w:rsidRPr="00A33AE8" w:rsidRDefault="00811E58"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56F3811"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370E7159" w14:textId="77777777" w:rsidTr="002A0D90">
        <w:trPr>
          <w:trHeight w:val="253"/>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3ECD4BF"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FAA91D5" w14:textId="77777777" w:rsidR="00811E58" w:rsidRPr="00A33AE8" w:rsidRDefault="004C50FC" w:rsidP="00884F3B">
            <w:pPr>
              <w:pStyle w:val="ListParagraph"/>
              <w:numPr>
                <w:ilvl w:val="0"/>
                <w:numId w:val="11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0DA9682E"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67A4CD62" w14:textId="77777777" w:rsidTr="002A0D90">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401F257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5EE3B87"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0.5 M€</w:t>
            </w:r>
          </w:p>
        </w:tc>
        <w:tc>
          <w:tcPr>
            <w:tcW w:w="222" w:type="dxa"/>
            <w:vAlign w:val="center"/>
            <w:hideMark/>
          </w:tcPr>
          <w:p w14:paraId="1F6E5AF9"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3B075251" w14:textId="77777777" w:rsidTr="002A0D90">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8681B0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CE1504F"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3AD290BC"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22EDB4FC" w14:textId="77777777" w:rsidR="00811E58" w:rsidRPr="00A33AE8" w:rsidRDefault="00811E58" w:rsidP="00811E58">
      <w:pPr>
        <w:pStyle w:val="LDKbody"/>
        <w:rPr>
          <w:lang w:val="en-GB"/>
        </w:rPr>
      </w:pPr>
    </w:p>
    <w:tbl>
      <w:tblPr>
        <w:tblW w:w="9680" w:type="dxa"/>
        <w:tblLook w:val="04A0" w:firstRow="1" w:lastRow="0" w:firstColumn="1" w:lastColumn="0" w:noHBand="0" w:noVBand="1"/>
      </w:tblPr>
      <w:tblGrid>
        <w:gridCol w:w="3270"/>
        <w:gridCol w:w="1114"/>
        <w:gridCol w:w="934"/>
        <w:gridCol w:w="4140"/>
        <w:gridCol w:w="222"/>
      </w:tblGrid>
      <w:tr w:rsidR="00811E58" w:rsidRPr="00A33AE8" w14:paraId="049399CA" w14:textId="77777777" w:rsidTr="006769DA">
        <w:trPr>
          <w:gridAfter w:val="1"/>
          <w:wAfter w:w="222" w:type="dxa"/>
          <w:trHeight w:val="780"/>
        </w:trPr>
        <w:tc>
          <w:tcPr>
            <w:tcW w:w="327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444ECEF"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34247F2"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PM_D11</w:t>
            </w:r>
          </w:p>
        </w:tc>
        <w:tc>
          <w:tcPr>
            <w:tcW w:w="934" w:type="dxa"/>
            <w:tcBorders>
              <w:top w:val="single" w:sz="8" w:space="0" w:color="auto"/>
              <w:left w:val="nil"/>
              <w:bottom w:val="single" w:sz="8" w:space="0" w:color="auto"/>
              <w:right w:val="single" w:sz="8" w:space="0" w:color="auto"/>
            </w:tcBorders>
            <w:shd w:val="clear" w:color="000000" w:fill="244062"/>
            <w:vAlign w:val="center"/>
            <w:hideMark/>
          </w:tcPr>
          <w:p w14:paraId="10CECE7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8D3132D"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Improvement of manure management for the reduction of CH</w:t>
            </w:r>
            <w:r w:rsidRPr="00A33AE8">
              <w:rPr>
                <w:rFonts w:ascii="Calibri Light" w:eastAsia="Times New Roman" w:hAnsi="Calibri Light" w:cs="Calibri Light"/>
                <w:b/>
                <w:bCs/>
                <w:color w:val="000000"/>
                <w:sz w:val="20"/>
                <w:szCs w:val="20"/>
                <w:vertAlign w:val="subscript"/>
                <w:lang w:eastAsia="en-GB"/>
              </w:rPr>
              <w:t>4</w:t>
            </w:r>
            <w:r w:rsidRPr="00A33AE8">
              <w:rPr>
                <w:rFonts w:ascii="Calibri Light" w:eastAsia="Times New Roman" w:hAnsi="Calibri Light" w:cs="Calibri Light"/>
                <w:b/>
                <w:bCs/>
                <w:color w:val="000000"/>
                <w:sz w:val="20"/>
                <w:szCs w:val="20"/>
                <w:lang w:eastAsia="en-GB"/>
              </w:rPr>
              <w:t xml:space="preserve"> and N</w:t>
            </w:r>
            <w:r w:rsidRPr="00A33AE8">
              <w:rPr>
                <w:rFonts w:ascii="Calibri Light" w:eastAsia="Times New Roman" w:hAnsi="Calibri Light" w:cs="Calibri Light"/>
                <w:b/>
                <w:bCs/>
                <w:color w:val="000000"/>
                <w:sz w:val="20"/>
                <w:szCs w:val="20"/>
                <w:vertAlign w:val="subscript"/>
                <w:lang w:eastAsia="en-GB"/>
              </w:rPr>
              <w:t>2</w:t>
            </w:r>
            <w:r w:rsidRPr="00A33AE8">
              <w:rPr>
                <w:rFonts w:ascii="Calibri Light" w:eastAsia="Times New Roman" w:hAnsi="Calibri Light" w:cs="Calibri Light"/>
                <w:b/>
                <w:bCs/>
                <w:color w:val="000000"/>
                <w:sz w:val="20"/>
                <w:szCs w:val="20"/>
                <w:lang w:eastAsia="en-GB"/>
              </w:rPr>
              <w:t>O emissions</w:t>
            </w:r>
          </w:p>
        </w:tc>
      </w:tr>
      <w:tr w:rsidR="00811E58" w:rsidRPr="00A33AE8" w14:paraId="4FCF6F85" w14:textId="77777777" w:rsidTr="006769DA">
        <w:trPr>
          <w:gridAfter w:val="1"/>
          <w:wAfter w:w="222" w:type="dxa"/>
          <w:trHeight w:val="271"/>
        </w:trPr>
        <w:tc>
          <w:tcPr>
            <w:tcW w:w="3270" w:type="dxa"/>
            <w:tcBorders>
              <w:top w:val="nil"/>
              <w:left w:val="single" w:sz="8" w:space="0" w:color="auto"/>
              <w:bottom w:val="single" w:sz="8" w:space="0" w:color="auto"/>
              <w:right w:val="nil"/>
            </w:tcBorders>
            <w:shd w:val="clear" w:color="000000" w:fill="244062"/>
            <w:vAlign w:val="center"/>
            <w:hideMark/>
          </w:tcPr>
          <w:p w14:paraId="2D7F983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2FEB0C0"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CH</w:t>
            </w:r>
            <w:r w:rsidRPr="00A33AE8">
              <w:rPr>
                <w:rFonts w:asciiTheme="majorHAnsi" w:eastAsia="Times New Roman" w:hAnsiTheme="majorHAnsi" w:cstheme="majorHAnsi"/>
                <w:color w:val="000000"/>
                <w:sz w:val="20"/>
                <w:szCs w:val="20"/>
                <w:vertAlign w:val="subscript"/>
                <w:lang w:eastAsia="en-GB"/>
              </w:rPr>
              <w:t xml:space="preserve">4 </w:t>
            </w:r>
            <w:r w:rsidRPr="00A33AE8">
              <w:rPr>
                <w:rFonts w:asciiTheme="majorHAnsi" w:eastAsia="Times New Roman" w:hAnsiTheme="majorHAnsi" w:cstheme="majorHAnsi"/>
                <w:color w:val="000000"/>
                <w:sz w:val="20"/>
                <w:szCs w:val="20"/>
                <w:lang w:eastAsia="en-GB"/>
              </w:rPr>
              <w:t>and N</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O emissions reduction</w:t>
            </w:r>
          </w:p>
        </w:tc>
      </w:tr>
      <w:tr w:rsidR="00811E58" w:rsidRPr="00A33AE8" w14:paraId="7747EAC3"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63F61CE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73BEBC3A" w14:textId="77777777" w:rsidR="00811E58" w:rsidRPr="00A33AE8" w:rsidRDefault="00E16752" w:rsidP="006769DA">
            <w:pPr>
              <w:spacing w:after="0" w:line="240" w:lineRule="auto"/>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Contribution to the objective of reduction of GHG emissions by 40.3% (with LULUCF) by 2030 compared to 1990 levels</w:t>
            </w:r>
          </w:p>
        </w:tc>
      </w:tr>
      <w:tr w:rsidR="00811E58" w:rsidRPr="00A33AE8" w14:paraId="42875BC1" w14:textId="77777777" w:rsidTr="006769DA">
        <w:trPr>
          <w:gridAfter w:val="1"/>
          <w:wAfter w:w="222" w:type="dxa"/>
          <w:trHeight w:val="443"/>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1D06380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2A0EBEB" w14:textId="77777777"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PM_D11 will facilitate the reduction of both CH</w:t>
            </w:r>
            <w:r w:rsidRPr="00A33AE8">
              <w:rPr>
                <w:rFonts w:asciiTheme="majorHAnsi" w:eastAsia="Times New Roman" w:hAnsiTheme="majorHAnsi" w:cstheme="majorHAnsi"/>
                <w:color w:val="000000"/>
                <w:sz w:val="20"/>
                <w:szCs w:val="20"/>
                <w:vertAlign w:val="subscript"/>
                <w:lang w:eastAsia="en-GB"/>
              </w:rPr>
              <w:t>4</w:t>
            </w:r>
            <w:r w:rsidRPr="00A33AE8">
              <w:rPr>
                <w:rFonts w:asciiTheme="majorHAnsi" w:eastAsia="Times New Roman" w:hAnsiTheme="majorHAnsi" w:cstheme="majorHAnsi"/>
                <w:bCs/>
                <w:color w:val="000000"/>
                <w:sz w:val="20"/>
                <w:szCs w:val="20"/>
                <w:lang w:eastAsia="en-GB"/>
              </w:rPr>
              <w:t>and indirect nitrous oxide (N</w:t>
            </w:r>
            <w:r w:rsidRPr="00A33AE8">
              <w:rPr>
                <w:rFonts w:asciiTheme="majorHAnsi" w:eastAsia="Times New Roman" w:hAnsiTheme="majorHAnsi" w:cstheme="majorHAnsi"/>
                <w:bCs/>
                <w:color w:val="000000"/>
                <w:sz w:val="20"/>
                <w:szCs w:val="20"/>
                <w:vertAlign w:val="subscript"/>
                <w:lang w:eastAsia="en-GB"/>
              </w:rPr>
              <w:t>2</w:t>
            </w:r>
            <w:r w:rsidRPr="00A33AE8">
              <w:rPr>
                <w:rFonts w:asciiTheme="majorHAnsi" w:eastAsia="Times New Roman" w:hAnsiTheme="majorHAnsi" w:cstheme="majorHAnsi"/>
                <w:bCs/>
                <w:color w:val="000000"/>
                <w:sz w:val="20"/>
                <w:szCs w:val="20"/>
                <w:lang w:eastAsia="en-GB"/>
              </w:rPr>
              <w:t>O)</w:t>
            </w:r>
            <w:r w:rsidR="00801EF6" w:rsidRPr="00A33AE8">
              <w:rPr>
                <w:rFonts w:asciiTheme="majorHAnsi" w:eastAsia="Times New Roman" w:hAnsiTheme="majorHAnsi" w:cstheme="majorHAnsi"/>
                <w:bCs/>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emissions through the improvement of manure management by anaerobic digestion.</w:t>
            </w:r>
          </w:p>
        </w:tc>
      </w:tr>
      <w:tr w:rsidR="00811E58" w:rsidRPr="00A33AE8" w14:paraId="729D154C"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DD7DC9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D36991F" w14:textId="77777777" w:rsidR="00811E58" w:rsidRPr="00A33AE8" w:rsidRDefault="004C50F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Pr="000007D2">
              <w:rPr>
                <w:rFonts w:asciiTheme="majorHAnsi" w:eastAsia="Times New Roman" w:hAnsiTheme="majorHAnsi" w:cstheme="majorHAnsi"/>
                <w:color w:val="000000"/>
                <w:sz w:val="20"/>
                <w:szCs w:val="20"/>
                <w:lang w:eastAsia="en-GB"/>
              </w:rPr>
              <w:t>4</w:t>
            </w:r>
            <w:r w:rsidR="00811E58" w:rsidRPr="00A33AE8">
              <w:rPr>
                <w:rFonts w:asciiTheme="majorHAnsi" w:eastAsia="Times New Roman" w:hAnsiTheme="majorHAnsi" w:cstheme="majorHAnsi"/>
                <w:color w:val="000000"/>
                <w:sz w:val="20"/>
                <w:szCs w:val="20"/>
                <w:lang w:eastAsia="en-GB"/>
              </w:rPr>
              <w:t>-2030</w:t>
            </w:r>
          </w:p>
        </w:tc>
      </w:tr>
      <w:tr w:rsidR="00811E58" w:rsidRPr="00A33AE8" w14:paraId="492BB318"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0F46F90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0CD25B1" w14:textId="77777777" w:rsidR="00811E58" w:rsidRPr="00A33AE8" w:rsidRDefault="0094492F"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811E58" w:rsidRPr="00A33AE8" w14:paraId="658ECFFE"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2C82779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243377FC"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Agriculture</w:t>
            </w:r>
            <w:r w:rsidR="004C50FC" w:rsidRPr="00A33AE8">
              <w:t xml:space="preserve"> </w:t>
            </w:r>
            <w:r w:rsidR="004C50FC" w:rsidRPr="00A33AE8">
              <w:rPr>
                <w:rFonts w:asciiTheme="majorHAnsi" w:eastAsia="Times New Roman" w:hAnsiTheme="majorHAnsi" w:cstheme="majorHAnsi"/>
                <w:color w:val="000000"/>
                <w:sz w:val="20"/>
                <w:szCs w:val="20"/>
                <w:lang w:eastAsia="en-GB"/>
              </w:rPr>
              <w:t>and LULUCF</w:t>
            </w:r>
          </w:p>
        </w:tc>
      </w:tr>
      <w:tr w:rsidR="00811E58" w:rsidRPr="00A33AE8" w14:paraId="67593D07" w14:textId="77777777" w:rsidTr="006769DA">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32CE2E1F"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2ACC35DA" w14:textId="5A652DE7" w:rsidR="00811E58" w:rsidRPr="00A33AE8" w:rsidRDefault="00811E58" w:rsidP="00884F3B">
            <w:pPr>
              <w:pStyle w:val="ListParagraph"/>
              <w:numPr>
                <w:ilvl w:val="0"/>
                <w:numId w:val="22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p w14:paraId="773AB6D2" w14:textId="77777777" w:rsidR="004C50FC" w:rsidRPr="00A33AE8" w:rsidRDefault="004C50FC" w:rsidP="00884F3B">
            <w:pPr>
              <w:pStyle w:val="ListParagraph"/>
              <w:numPr>
                <w:ilvl w:val="0"/>
                <w:numId w:val="22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Directorate for Agrarian payments</w:t>
            </w:r>
          </w:p>
          <w:p w14:paraId="22849332" w14:textId="77777777" w:rsidR="004C50FC" w:rsidRPr="00A33AE8" w:rsidRDefault="004C50FC" w:rsidP="00884F3B">
            <w:pPr>
              <w:pStyle w:val="ListParagraph"/>
              <w:numPr>
                <w:ilvl w:val="0"/>
                <w:numId w:val="22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Veterinary Directorate</w:t>
            </w:r>
          </w:p>
          <w:p w14:paraId="530FB736" w14:textId="77777777" w:rsidR="004C50FC" w:rsidRPr="00A33AE8" w:rsidRDefault="004C50FC" w:rsidP="00884F3B">
            <w:pPr>
              <w:pStyle w:val="ListParagraph"/>
              <w:numPr>
                <w:ilvl w:val="0"/>
                <w:numId w:val="22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w:t>
            </w:r>
          </w:p>
          <w:p w14:paraId="1CF4687D" w14:textId="77777777" w:rsidR="004C50FC" w:rsidRPr="00A33AE8" w:rsidRDefault="004C50FC" w:rsidP="00884F3B">
            <w:pPr>
              <w:pStyle w:val="ListParagraph"/>
              <w:numPr>
                <w:ilvl w:val="0"/>
                <w:numId w:val="22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institutions</w:t>
            </w:r>
          </w:p>
        </w:tc>
      </w:tr>
      <w:tr w:rsidR="00811E58" w:rsidRPr="00A33AE8" w14:paraId="1AA46F48" w14:textId="77777777" w:rsidTr="006769DA">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6587298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0D512724" w14:textId="77777777" w:rsidR="00811E58" w:rsidRPr="00A33AE8" w:rsidRDefault="00811E58" w:rsidP="00884F3B">
            <w:pPr>
              <w:pStyle w:val="ListParagraph"/>
              <w:numPr>
                <w:ilvl w:val="0"/>
                <w:numId w:val="220"/>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p w14:paraId="7D5756A8" w14:textId="77777777" w:rsidR="00811E58" w:rsidRPr="00A33AE8" w:rsidRDefault="00811E58" w:rsidP="00884F3B">
            <w:pPr>
              <w:pStyle w:val="ListParagraph"/>
              <w:numPr>
                <w:ilvl w:val="0"/>
                <w:numId w:val="220"/>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for Agriculture, Forestry and Water Management</w:t>
            </w:r>
          </w:p>
        </w:tc>
      </w:tr>
      <w:tr w:rsidR="00811E58" w:rsidRPr="00A33AE8" w14:paraId="21FD889D" w14:textId="77777777" w:rsidTr="006769DA">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314DE79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4B940F4" w14:textId="77777777" w:rsidR="00811E58" w:rsidRPr="00A33AE8" w:rsidRDefault="00811E58" w:rsidP="002A0D9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Number of farms (dairy cows and other animals as a percentage of the total population) used modified manure management on 2-5 years base, </w:t>
            </w:r>
            <w:r w:rsidRPr="00A33AE8">
              <w:rPr>
                <w:rFonts w:asciiTheme="majorHAnsi" w:eastAsia="Times New Roman" w:hAnsiTheme="majorHAnsi" w:cstheme="majorHAnsi"/>
                <w:bCs/>
                <w:color w:val="000000"/>
                <w:sz w:val="20"/>
                <w:szCs w:val="20"/>
                <w:lang w:eastAsia="en-GB"/>
              </w:rPr>
              <w:t>CH</w:t>
            </w:r>
            <w:r w:rsidRPr="00A33AE8">
              <w:rPr>
                <w:rFonts w:asciiTheme="majorHAnsi" w:eastAsia="Times New Roman" w:hAnsiTheme="majorHAnsi" w:cstheme="majorHAnsi"/>
                <w:bCs/>
                <w:color w:val="000000"/>
                <w:sz w:val="20"/>
                <w:szCs w:val="20"/>
                <w:vertAlign w:val="subscript"/>
                <w:lang w:eastAsia="en-GB"/>
              </w:rPr>
              <w:t>4</w:t>
            </w:r>
            <w:r w:rsidRPr="00A33AE8">
              <w:rPr>
                <w:rFonts w:asciiTheme="majorHAnsi" w:eastAsia="Times New Roman" w:hAnsiTheme="majorHAnsi" w:cstheme="majorHAnsi"/>
                <w:bCs/>
                <w:color w:val="000000"/>
                <w:sz w:val="20"/>
                <w:szCs w:val="20"/>
                <w:lang w:eastAsia="en-GB"/>
              </w:rPr>
              <w:t xml:space="preserve"> and N</w:t>
            </w:r>
            <w:r w:rsidRPr="00A33AE8">
              <w:rPr>
                <w:rFonts w:asciiTheme="majorHAnsi" w:eastAsia="Times New Roman" w:hAnsiTheme="majorHAnsi" w:cstheme="majorHAnsi"/>
                <w:bCs/>
                <w:color w:val="000000"/>
                <w:sz w:val="20"/>
                <w:szCs w:val="20"/>
                <w:vertAlign w:val="subscript"/>
                <w:lang w:eastAsia="en-GB"/>
              </w:rPr>
              <w:t>2</w:t>
            </w:r>
            <w:r w:rsidRPr="00A33AE8">
              <w:rPr>
                <w:rFonts w:asciiTheme="majorHAnsi" w:eastAsia="Times New Roman" w:hAnsiTheme="majorHAnsi" w:cstheme="majorHAnsi"/>
                <w:bCs/>
                <w:color w:val="000000"/>
                <w:sz w:val="20"/>
                <w:szCs w:val="20"/>
                <w:lang w:eastAsia="en-GB"/>
              </w:rPr>
              <w:t>O</w:t>
            </w:r>
            <w:r w:rsidRPr="00A33AE8">
              <w:rPr>
                <w:rFonts w:asciiTheme="majorHAnsi" w:eastAsia="Times New Roman" w:hAnsiTheme="majorHAnsi" w:cstheme="majorHAnsi"/>
                <w:color w:val="000000"/>
                <w:sz w:val="20"/>
                <w:szCs w:val="20"/>
                <w:lang w:eastAsia="en-GB"/>
              </w:rPr>
              <w:t>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 </w:t>
            </w:r>
          </w:p>
        </w:tc>
      </w:tr>
      <w:tr w:rsidR="006C6A30" w:rsidRPr="00A33AE8" w14:paraId="21F50C5B" w14:textId="77777777" w:rsidTr="006769DA">
        <w:trPr>
          <w:gridAfter w:val="1"/>
          <w:wAfter w:w="222" w:type="dxa"/>
          <w:trHeight w:val="391"/>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166EBCD0"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314E3FDF"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5D605871" w14:textId="77777777" w:rsidTr="006769DA">
        <w:trPr>
          <w:gridAfter w:val="1"/>
          <w:wAfter w:w="222" w:type="dxa"/>
          <w:trHeight w:val="450"/>
        </w:trPr>
        <w:tc>
          <w:tcPr>
            <w:tcW w:w="327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0E7B75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70FB2A" w14:textId="77777777" w:rsidR="00811E58" w:rsidRPr="00A33AE8" w:rsidRDefault="00811E58" w:rsidP="00884F3B">
            <w:pPr>
              <w:pStyle w:val="ListParagraph"/>
              <w:numPr>
                <w:ilvl w:val="0"/>
                <w:numId w:val="11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4C50FC" w:rsidRPr="00A33AE8">
              <w:rPr>
                <w:rFonts w:asciiTheme="majorHAnsi" w:eastAsia="Times New Roman" w:hAnsiTheme="majorHAnsi" w:cstheme="majorHAnsi"/>
                <w:color w:val="000000"/>
                <w:sz w:val="20"/>
                <w:szCs w:val="20"/>
                <w:lang w:eastAsia="en-GB"/>
              </w:rPr>
              <w:t>2018/1999</w:t>
            </w:r>
          </w:p>
        </w:tc>
      </w:tr>
      <w:tr w:rsidR="00811E58" w:rsidRPr="00A33AE8" w14:paraId="05DFD1AA" w14:textId="77777777" w:rsidTr="006769DA">
        <w:trPr>
          <w:trHeight w:val="300"/>
        </w:trPr>
        <w:tc>
          <w:tcPr>
            <w:tcW w:w="3270" w:type="dxa"/>
            <w:vMerge/>
            <w:tcBorders>
              <w:top w:val="nil"/>
              <w:left w:val="single" w:sz="8" w:space="0" w:color="auto"/>
              <w:bottom w:val="single" w:sz="8" w:space="0" w:color="000000"/>
              <w:right w:val="single" w:sz="8" w:space="0" w:color="auto"/>
            </w:tcBorders>
            <w:vAlign w:val="center"/>
            <w:hideMark/>
          </w:tcPr>
          <w:p w14:paraId="542DCD41"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7C280728" w14:textId="77777777" w:rsidR="00811E58" w:rsidRPr="00A33AE8" w:rsidRDefault="00811E58" w:rsidP="00884F3B">
            <w:pPr>
              <w:pStyle w:val="ListParagraph"/>
              <w:numPr>
                <w:ilvl w:val="0"/>
                <w:numId w:val="115"/>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6A793DA"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44965F1B" w14:textId="77777777" w:rsidTr="006769DA">
        <w:trPr>
          <w:trHeight w:val="60"/>
        </w:trPr>
        <w:tc>
          <w:tcPr>
            <w:tcW w:w="3270" w:type="dxa"/>
            <w:vMerge/>
            <w:tcBorders>
              <w:top w:val="nil"/>
              <w:left w:val="single" w:sz="8" w:space="0" w:color="auto"/>
              <w:bottom w:val="single" w:sz="8" w:space="0" w:color="000000"/>
              <w:right w:val="single" w:sz="8" w:space="0" w:color="auto"/>
            </w:tcBorders>
            <w:vAlign w:val="center"/>
            <w:hideMark/>
          </w:tcPr>
          <w:p w14:paraId="767B1476"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6ACCEB6D" w14:textId="77777777" w:rsidR="00811E58" w:rsidRPr="00A33AE8" w:rsidRDefault="00811E58" w:rsidP="00884F3B">
            <w:pPr>
              <w:pStyle w:val="ListParagraph"/>
              <w:numPr>
                <w:ilvl w:val="0"/>
                <w:numId w:val="115"/>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270987A"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0471EF87" w14:textId="77777777" w:rsidTr="006769DA">
        <w:trPr>
          <w:trHeight w:val="283"/>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7CB600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02FE8DA" w14:textId="77777777" w:rsidR="00811E58" w:rsidRPr="00A33AE8" w:rsidRDefault="004C50FC" w:rsidP="00884F3B">
            <w:pPr>
              <w:pStyle w:val="ListParagraph"/>
              <w:numPr>
                <w:ilvl w:val="0"/>
                <w:numId w:val="11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3904B3C9"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03E04EDF" w14:textId="77777777" w:rsidTr="006769DA">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21FEC8C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4669B072"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9 M€</w:t>
            </w:r>
          </w:p>
        </w:tc>
        <w:tc>
          <w:tcPr>
            <w:tcW w:w="222" w:type="dxa"/>
            <w:vAlign w:val="center"/>
            <w:hideMark/>
          </w:tcPr>
          <w:p w14:paraId="5FA2CEB1"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41FE9DDB" w14:textId="77777777" w:rsidTr="006769DA">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4F3E6A1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2878230F"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23E5CD38"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5FFAC375" w14:textId="77777777" w:rsidR="00811E58" w:rsidRPr="00A33AE8" w:rsidRDefault="00811E58" w:rsidP="00811E58">
      <w:pPr>
        <w:pStyle w:val="LDKbody"/>
        <w:rPr>
          <w:lang w:val="en-GB"/>
        </w:rPr>
      </w:pPr>
    </w:p>
    <w:tbl>
      <w:tblPr>
        <w:tblW w:w="9680" w:type="dxa"/>
        <w:tblLook w:val="04A0" w:firstRow="1" w:lastRow="0" w:firstColumn="1" w:lastColumn="0" w:noHBand="0" w:noVBand="1"/>
      </w:tblPr>
      <w:tblGrid>
        <w:gridCol w:w="3277"/>
        <w:gridCol w:w="1114"/>
        <w:gridCol w:w="936"/>
        <w:gridCol w:w="4131"/>
        <w:gridCol w:w="222"/>
      </w:tblGrid>
      <w:tr w:rsidR="00811E58" w:rsidRPr="00A33AE8" w14:paraId="30914780" w14:textId="77777777" w:rsidTr="006769DA">
        <w:trPr>
          <w:gridAfter w:val="1"/>
          <w:wAfter w:w="222" w:type="dxa"/>
          <w:trHeight w:val="780"/>
        </w:trPr>
        <w:tc>
          <w:tcPr>
            <w:tcW w:w="327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22944BC"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743EA2FB"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PM_D12</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21FF6A5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E9FB936" w14:textId="77777777" w:rsidR="00811E58" w:rsidRPr="00A33AE8" w:rsidRDefault="00811E58"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Measures for the reduction of direct and indirect N</w:t>
            </w:r>
            <w:r w:rsidRPr="00A33AE8">
              <w:rPr>
                <w:rFonts w:ascii="Calibri Light" w:eastAsia="Times New Roman" w:hAnsi="Calibri Light" w:cs="Calibri Light"/>
                <w:b/>
                <w:bCs/>
                <w:color w:val="000000"/>
                <w:sz w:val="20"/>
                <w:szCs w:val="20"/>
                <w:vertAlign w:val="subscript"/>
                <w:lang w:eastAsia="en-GB"/>
              </w:rPr>
              <w:t>2</w:t>
            </w:r>
            <w:r w:rsidRPr="00A33AE8">
              <w:rPr>
                <w:rFonts w:ascii="Calibri Light" w:eastAsia="Times New Roman" w:hAnsi="Calibri Light" w:cs="Calibri Light"/>
                <w:b/>
                <w:bCs/>
                <w:color w:val="000000"/>
                <w:sz w:val="20"/>
                <w:szCs w:val="20"/>
                <w:lang w:eastAsia="en-GB"/>
              </w:rPr>
              <w:t>O emissions from managed soils</w:t>
            </w:r>
          </w:p>
        </w:tc>
      </w:tr>
      <w:tr w:rsidR="00811E58" w:rsidRPr="00A33AE8" w14:paraId="0BF38D4F" w14:textId="77777777" w:rsidTr="006769DA">
        <w:trPr>
          <w:gridAfter w:val="1"/>
          <w:wAfter w:w="222" w:type="dxa"/>
          <w:trHeight w:val="332"/>
        </w:trPr>
        <w:tc>
          <w:tcPr>
            <w:tcW w:w="3277" w:type="dxa"/>
            <w:tcBorders>
              <w:top w:val="nil"/>
              <w:left w:val="single" w:sz="8" w:space="0" w:color="auto"/>
              <w:bottom w:val="single" w:sz="8" w:space="0" w:color="auto"/>
              <w:right w:val="nil"/>
            </w:tcBorders>
            <w:shd w:val="clear" w:color="000000" w:fill="244062"/>
            <w:vAlign w:val="center"/>
            <w:hideMark/>
          </w:tcPr>
          <w:p w14:paraId="5070CF2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12C78986"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N</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O emissions reduction</w:t>
            </w:r>
          </w:p>
        </w:tc>
      </w:tr>
      <w:tr w:rsidR="00811E58" w:rsidRPr="00A33AE8" w14:paraId="16C6DDCA"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1980C8F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7CA9BD0F" w14:textId="77777777" w:rsidR="00811E58" w:rsidRPr="00A33AE8" w:rsidRDefault="00E16752" w:rsidP="006769DA">
            <w:pPr>
              <w:spacing w:after="0" w:line="240" w:lineRule="auto"/>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 xml:space="preserve"> Contribution to the objective of reduction of GHG emissions by 40.3% (with LULUCF) by 2030 compared to 1990 levels</w:t>
            </w:r>
          </w:p>
        </w:tc>
      </w:tr>
      <w:tr w:rsidR="00811E58" w:rsidRPr="00A33AE8" w14:paraId="3C6F53C9" w14:textId="77777777" w:rsidTr="006769DA">
        <w:trPr>
          <w:gridAfter w:val="1"/>
          <w:wAfter w:w="222" w:type="dxa"/>
          <w:trHeight w:val="229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6637533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73814896" w14:textId="769EEBA7"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PM_D12 will facilitate the N</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O emission reduction from managed soils through the following indicative ways:</w:t>
            </w:r>
          </w:p>
          <w:p w14:paraId="41CAA53E" w14:textId="49C365B8" w:rsidR="00811E58" w:rsidRPr="00A33AE8" w:rsidRDefault="00811E58" w:rsidP="00884F3B">
            <w:pPr>
              <w:pStyle w:val="ListParagraph"/>
              <w:numPr>
                <w:ilvl w:val="0"/>
                <w:numId w:val="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Use less nitrogen fertiliser.</w:t>
            </w:r>
          </w:p>
          <w:p w14:paraId="16321404" w14:textId="68222E04" w:rsidR="00811E58" w:rsidRPr="00A33AE8" w:rsidRDefault="00811E58" w:rsidP="00884F3B">
            <w:pPr>
              <w:pStyle w:val="ListParagraph"/>
              <w:numPr>
                <w:ilvl w:val="0"/>
                <w:numId w:val="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Use split applications of nitrogen fertilisers.</w:t>
            </w:r>
          </w:p>
          <w:p w14:paraId="1A36A4CA" w14:textId="024C380F" w:rsidR="00811E58" w:rsidRPr="00A33AE8" w:rsidRDefault="00811E58" w:rsidP="00884F3B">
            <w:pPr>
              <w:pStyle w:val="ListParagraph"/>
              <w:numPr>
                <w:ilvl w:val="0"/>
                <w:numId w:val="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Use legume crops or pastures in the rotation instead of nitrogen fertiliser.</w:t>
            </w:r>
          </w:p>
          <w:p w14:paraId="3D5C89DD" w14:textId="410F3A71" w:rsidR="00811E58" w:rsidRPr="00A33AE8" w:rsidRDefault="00811E58" w:rsidP="00884F3B">
            <w:pPr>
              <w:pStyle w:val="ListParagraph"/>
              <w:numPr>
                <w:ilvl w:val="0"/>
                <w:numId w:val="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Use minimum tillage for cropping.</w:t>
            </w:r>
          </w:p>
          <w:p w14:paraId="2221AAC5" w14:textId="0041D43A" w:rsidR="00811E58" w:rsidRPr="00A33AE8" w:rsidRDefault="00811E58" w:rsidP="00884F3B">
            <w:pPr>
              <w:pStyle w:val="ListParagraph"/>
              <w:numPr>
                <w:ilvl w:val="0"/>
                <w:numId w:val="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Prevent waterlogging.</w:t>
            </w:r>
          </w:p>
          <w:p w14:paraId="00A105FC" w14:textId="78777103" w:rsidR="00811E58" w:rsidRPr="00A33AE8" w:rsidRDefault="00811E58" w:rsidP="00884F3B">
            <w:pPr>
              <w:pStyle w:val="ListParagraph"/>
              <w:numPr>
                <w:ilvl w:val="0"/>
                <w:numId w:val="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Use nitrification inhibitors.</w:t>
            </w:r>
          </w:p>
        </w:tc>
      </w:tr>
      <w:tr w:rsidR="00811E58" w:rsidRPr="00A33AE8" w14:paraId="21154FC4"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15EE2B8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6D0983E1" w14:textId="77777777" w:rsidR="00811E58" w:rsidRPr="00A33AE8" w:rsidRDefault="004C50FC"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Pr="000007D2">
              <w:rPr>
                <w:rFonts w:asciiTheme="majorHAnsi" w:eastAsia="Times New Roman" w:hAnsiTheme="majorHAnsi" w:cstheme="majorHAnsi"/>
                <w:color w:val="000000"/>
                <w:sz w:val="20"/>
                <w:szCs w:val="20"/>
                <w:lang w:eastAsia="en-GB"/>
              </w:rPr>
              <w:t>4</w:t>
            </w:r>
            <w:r w:rsidR="00811E58" w:rsidRPr="00A33AE8">
              <w:rPr>
                <w:rFonts w:asciiTheme="majorHAnsi" w:eastAsia="Times New Roman" w:hAnsiTheme="majorHAnsi" w:cstheme="majorHAnsi"/>
                <w:color w:val="000000"/>
                <w:sz w:val="20"/>
                <w:szCs w:val="20"/>
                <w:lang w:eastAsia="en-GB"/>
              </w:rPr>
              <w:t>-2030</w:t>
            </w:r>
          </w:p>
        </w:tc>
      </w:tr>
      <w:tr w:rsidR="00811E58" w:rsidRPr="00A33AE8" w14:paraId="7EBB5451"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49A1E3F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62B2C1A2" w14:textId="77777777" w:rsidR="00811E58" w:rsidRPr="00A33AE8" w:rsidRDefault="0094492F"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811E58" w:rsidRPr="00A33AE8" w14:paraId="20F1555F"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739E99E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268394D4" w14:textId="77777777" w:rsidR="00811E58" w:rsidRPr="000007D2" w:rsidRDefault="00811E58" w:rsidP="006769DA">
            <w:pPr>
              <w:spacing w:after="0" w:line="240" w:lineRule="auto"/>
              <w:rPr>
                <w:rFonts w:asciiTheme="majorHAnsi" w:eastAsia="Times New Roman" w:hAnsiTheme="majorHAnsi" w:cstheme="majorHAnsi"/>
                <w:color w:val="000000"/>
                <w:sz w:val="20"/>
                <w:szCs w:val="20"/>
                <w:lang w:val="sr-Cyrl-RS" w:eastAsia="en-GB"/>
              </w:rPr>
            </w:pPr>
            <w:r w:rsidRPr="00A33AE8">
              <w:rPr>
                <w:rFonts w:asciiTheme="majorHAnsi" w:eastAsia="Times New Roman" w:hAnsiTheme="majorHAnsi" w:cstheme="majorHAnsi"/>
                <w:color w:val="000000"/>
                <w:sz w:val="20"/>
                <w:szCs w:val="20"/>
                <w:lang w:eastAsia="en-GB"/>
              </w:rPr>
              <w:t>Agriculture</w:t>
            </w:r>
            <w:r w:rsidR="00924253">
              <w:t xml:space="preserve"> </w:t>
            </w:r>
            <w:r w:rsidR="00924253" w:rsidRPr="00924253">
              <w:rPr>
                <w:rFonts w:asciiTheme="majorHAnsi" w:eastAsia="Times New Roman" w:hAnsiTheme="majorHAnsi" w:cstheme="majorHAnsi"/>
                <w:color w:val="000000"/>
                <w:sz w:val="20"/>
                <w:szCs w:val="20"/>
                <w:lang w:eastAsia="en-GB"/>
              </w:rPr>
              <w:t>and LULUCF</w:t>
            </w:r>
          </w:p>
        </w:tc>
      </w:tr>
      <w:tr w:rsidR="00811E58" w:rsidRPr="00A33AE8" w14:paraId="32FFB21B"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6564D48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68396580" w14:textId="193765EC" w:rsidR="00811E58" w:rsidRPr="00A33AE8" w:rsidRDefault="00811E58" w:rsidP="00884F3B">
            <w:pPr>
              <w:pStyle w:val="ListParagraph"/>
              <w:numPr>
                <w:ilvl w:val="0"/>
                <w:numId w:val="22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p w14:paraId="7CF7DD60" w14:textId="77777777" w:rsidR="004C50FC" w:rsidRPr="00A33AE8" w:rsidRDefault="004C50FC" w:rsidP="00884F3B">
            <w:pPr>
              <w:pStyle w:val="ListParagraph"/>
              <w:numPr>
                <w:ilvl w:val="0"/>
                <w:numId w:val="22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Directorate for Agrarian payments</w:t>
            </w:r>
          </w:p>
          <w:p w14:paraId="4BF4B212" w14:textId="7D4DCAE6" w:rsidR="004C50FC" w:rsidRPr="00A33AE8" w:rsidRDefault="004C50FC" w:rsidP="00884F3B">
            <w:pPr>
              <w:pStyle w:val="ListParagraph"/>
              <w:numPr>
                <w:ilvl w:val="0"/>
                <w:numId w:val="22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Administration for Agricultural land</w:t>
            </w:r>
          </w:p>
          <w:p w14:paraId="056042AC" w14:textId="77777777" w:rsidR="004C50FC" w:rsidRPr="00A33AE8" w:rsidRDefault="004C50FC" w:rsidP="00884F3B">
            <w:pPr>
              <w:pStyle w:val="ListParagraph"/>
              <w:numPr>
                <w:ilvl w:val="0"/>
                <w:numId w:val="22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Farmers</w:t>
            </w:r>
          </w:p>
          <w:p w14:paraId="58EA63B3" w14:textId="77777777" w:rsidR="004C50FC" w:rsidRPr="00A33AE8" w:rsidRDefault="004C50FC" w:rsidP="00884F3B">
            <w:pPr>
              <w:pStyle w:val="ListParagraph"/>
              <w:numPr>
                <w:ilvl w:val="0"/>
                <w:numId w:val="22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institutions</w:t>
            </w:r>
          </w:p>
        </w:tc>
      </w:tr>
      <w:tr w:rsidR="00811E58" w:rsidRPr="00A33AE8" w14:paraId="4417410D" w14:textId="77777777" w:rsidTr="006769DA">
        <w:trPr>
          <w:gridAfter w:val="1"/>
          <w:wAfter w:w="222" w:type="dxa"/>
          <w:trHeight w:val="315"/>
        </w:trPr>
        <w:tc>
          <w:tcPr>
            <w:tcW w:w="3277" w:type="dxa"/>
            <w:tcBorders>
              <w:top w:val="nil"/>
              <w:left w:val="single" w:sz="8" w:space="0" w:color="auto"/>
              <w:bottom w:val="single" w:sz="8" w:space="0" w:color="auto"/>
              <w:right w:val="nil"/>
            </w:tcBorders>
            <w:shd w:val="clear" w:color="000000" w:fill="244062"/>
            <w:vAlign w:val="center"/>
            <w:hideMark/>
          </w:tcPr>
          <w:p w14:paraId="166074C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0D6BB368" w14:textId="77777777" w:rsidR="00811E58" w:rsidRPr="00A33AE8" w:rsidRDefault="00811E58" w:rsidP="00884F3B">
            <w:pPr>
              <w:pStyle w:val="ListParagraph"/>
              <w:numPr>
                <w:ilvl w:val="0"/>
                <w:numId w:val="221"/>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p w14:paraId="77CE6575" w14:textId="77777777" w:rsidR="00811E58" w:rsidRPr="00A33AE8" w:rsidRDefault="00811E58" w:rsidP="00884F3B">
            <w:pPr>
              <w:pStyle w:val="ListParagraph"/>
              <w:numPr>
                <w:ilvl w:val="0"/>
                <w:numId w:val="221"/>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for Agriculture, Forestry and Water Management</w:t>
            </w:r>
          </w:p>
        </w:tc>
      </w:tr>
      <w:tr w:rsidR="00811E58" w:rsidRPr="00A33AE8" w14:paraId="0D62E1E7" w14:textId="77777777" w:rsidTr="006769DA">
        <w:trPr>
          <w:gridAfter w:val="1"/>
          <w:wAfter w:w="222" w:type="dxa"/>
          <w:trHeight w:val="315"/>
        </w:trPr>
        <w:tc>
          <w:tcPr>
            <w:tcW w:w="3277" w:type="dxa"/>
            <w:tcBorders>
              <w:top w:val="nil"/>
              <w:left w:val="single" w:sz="8" w:space="0" w:color="auto"/>
              <w:bottom w:val="single" w:sz="8" w:space="0" w:color="auto"/>
              <w:right w:val="nil"/>
            </w:tcBorders>
            <w:shd w:val="clear" w:color="000000" w:fill="244062"/>
            <w:vAlign w:val="center"/>
            <w:hideMark/>
          </w:tcPr>
          <w:p w14:paraId="4B2759D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3FADE625"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Annual </w:t>
            </w:r>
            <w:r w:rsidRPr="00A33AE8">
              <w:rPr>
                <w:rFonts w:asciiTheme="majorHAnsi" w:eastAsia="Times New Roman" w:hAnsiTheme="majorHAnsi" w:cstheme="majorHAnsi"/>
                <w:bCs/>
                <w:color w:val="000000"/>
                <w:sz w:val="20"/>
                <w:szCs w:val="20"/>
                <w:lang w:eastAsia="en-GB"/>
              </w:rPr>
              <w:t>N</w:t>
            </w:r>
            <w:r w:rsidRPr="00A33AE8">
              <w:rPr>
                <w:rFonts w:asciiTheme="majorHAnsi" w:eastAsia="Times New Roman" w:hAnsiTheme="majorHAnsi" w:cstheme="majorHAnsi"/>
                <w:bCs/>
                <w:color w:val="000000"/>
                <w:sz w:val="20"/>
                <w:szCs w:val="20"/>
                <w:vertAlign w:val="subscript"/>
                <w:lang w:eastAsia="en-GB"/>
              </w:rPr>
              <w:t>2</w:t>
            </w:r>
            <w:r w:rsidRPr="00A33AE8">
              <w:rPr>
                <w:rFonts w:asciiTheme="majorHAnsi" w:eastAsia="Times New Roman" w:hAnsiTheme="majorHAnsi" w:cstheme="majorHAnsi"/>
                <w:bCs/>
                <w:color w:val="000000"/>
                <w:sz w:val="20"/>
                <w:szCs w:val="20"/>
                <w:lang w:eastAsia="en-GB"/>
              </w:rPr>
              <w:t>O</w:t>
            </w:r>
            <w:r w:rsidRPr="00A33AE8">
              <w:rPr>
                <w:rFonts w:asciiTheme="majorHAnsi" w:eastAsia="Times New Roman" w:hAnsiTheme="majorHAnsi" w:cstheme="majorHAnsi"/>
                <w:color w:val="000000"/>
                <w:sz w:val="20"/>
                <w:szCs w:val="20"/>
                <w:lang w:eastAsia="en-GB"/>
              </w:rPr>
              <w:t>emissions reduction (Gg CO</w:t>
            </w:r>
            <w:r w:rsidRPr="00A33AE8">
              <w:rPr>
                <w:rFonts w:asciiTheme="majorHAnsi" w:eastAsia="Times New Roman" w:hAnsiTheme="majorHAnsi" w:cstheme="majorHAnsi"/>
                <w:color w:val="000000"/>
                <w:sz w:val="20"/>
                <w:szCs w:val="20"/>
                <w:vertAlign w:val="subscript"/>
                <w:lang w:eastAsia="en-GB"/>
              </w:rPr>
              <w:t>2</w:t>
            </w:r>
            <w:r w:rsidRPr="00A33AE8">
              <w:rPr>
                <w:rFonts w:asciiTheme="majorHAnsi" w:eastAsia="Times New Roman" w:hAnsiTheme="majorHAnsi" w:cstheme="majorHAnsi"/>
                <w:color w:val="000000"/>
                <w:sz w:val="20"/>
                <w:szCs w:val="20"/>
                <w:lang w:eastAsia="en-GB"/>
              </w:rPr>
              <w:t>-eq)</w:t>
            </w:r>
          </w:p>
        </w:tc>
      </w:tr>
      <w:tr w:rsidR="006C6A30" w:rsidRPr="00A33AE8" w14:paraId="4E5B8CF7" w14:textId="77777777" w:rsidTr="006769DA">
        <w:trPr>
          <w:gridAfter w:val="1"/>
          <w:wAfter w:w="222" w:type="dxa"/>
          <w:trHeight w:val="574"/>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258100D5"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6109C1C5"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19C12672" w14:textId="77777777" w:rsidTr="006769DA">
        <w:trPr>
          <w:gridAfter w:val="1"/>
          <w:wAfter w:w="222" w:type="dxa"/>
          <w:trHeight w:val="450"/>
        </w:trPr>
        <w:tc>
          <w:tcPr>
            <w:tcW w:w="327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93BB6E0"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72E36C5D" w14:textId="77777777" w:rsidR="00811E58" w:rsidRPr="00A33AE8" w:rsidRDefault="00811E58" w:rsidP="00884F3B">
            <w:pPr>
              <w:pStyle w:val="ListParagraph"/>
              <w:numPr>
                <w:ilvl w:val="0"/>
                <w:numId w:val="11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4C50FC" w:rsidRPr="00A33AE8">
              <w:rPr>
                <w:rFonts w:asciiTheme="majorHAnsi" w:eastAsia="Times New Roman" w:hAnsiTheme="majorHAnsi" w:cstheme="majorHAnsi"/>
                <w:color w:val="000000"/>
                <w:sz w:val="20"/>
                <w:szCs w:val="20"/>
                <w:lang w:eastAsia="en-GB"/>
              </w:rPr>
              <w:t>2018/1999</w:t>
            </w:r>
          </w:p>
        </w:tc>
      </w:tr>
      <w:tr w:rsidR="00811E58" w:rsidRPr="00A33AE8" w14:paraId="2EAA1226" w14:textId="77777777" w:rsidTr="006769DA">
        <w:trPr>
          <w:trHeight w:val="300"/>
        </w:trPr>
        <w:tc>
          <w:tcPr>
            <w:tcW w:w="3277" w:type="dxa"/>
            <w:vMerge/>
            <w:tcBorders>
              <w:top w:val="nil"/>
              <w:left w:val="single" w:sz="8" w:space="0" w:color="auto"/>
              <w:bottom w:val="single" w:sz="8" w:space="0" w:color="000000"/>
              <w:right w:val="single" w:sz="8" w:space="0" w:color="auto"/>
            </w:tcBorders>
            <w:vAlign w:val="center"/>
            <w:hideMark/>
          </w:tcPr>
          <w:p w14:paraId="21ECA43B"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1" w:type="dxa"/>
            <w:gridSpan w:val="3"/>
            <w:vMerge/>
            <w:tcBorders>
              <w:top w:val="single" w:sz="8" w:space="0" w:color="auto"/>
              <w:left w:val="single" w:sz="8" w:space="0" w:color="auto"/>
              <w:bottom w:val="single" w:sz="8" w:space="0" w:color="000000"/>
              <w:right w:val="single" w:sz="8" w:space="0" w:color="000000"/>
            </w:tcBorders>
            <w:vAlign w:val="center"/>
            <w:hideMark/>
          </w:tcPr>
          <w:p w14:paraId="0E65237C" w14:textId="77777777" w:rsidR="00811E58" w:rsidRPr="00A33AE8" w:rsidRDefault="00811E58" w:rsidP="00884F3B">
            <w:pPr>
              <w:pStyle w:val="ListParagraph"/>
              <w:numPr>
                <w:ilvl w:val="0"/>
                <w:numId w:val="116"/>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90EFA6D"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4BCF266C" w14:textId="77777777" w:rsidTr="006769DA">
        <w:trPr>
          <w:trHeight w:val="60"/>
        </w:trPr>
        <w:tc>
          <w:tcPr>
            <w:tcW w:w="3277" w:type="dxa"/>
            <w:vMerge/>
            <w:tcBorders>
              <w:top w:val="nil"/>
              <w:left w:val="single" w:sz="8" w:space="0" w:color="auto"/>
              <w:bottom w:val="single" w:sz="8" w:space="0" w:color="000000"/>
              <w:right w:val="single" w:sz="8" w:space="0" w:color="auto"/>
            </w:tcBorders>
            <w:vAlign w:val="center"/>
            <w:hideMark/>
          </w:tcPr>
          <w:p w14:paraId="4D86FA8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1" w:type="dxa"/>
            <w:gridSpan w:val="3"/>
            <w:vMerge/>
            <w:tcBorders>
              <w:top w:val="single" w:sz="8" w:space="0" w:color="auto"/>
              <w:left w:val="single" w:sz="8" w:space="0" w:color="auto"/>
              <w:bottom w:val="single" w:sz="8" w:space="0" w:color="000000"/>
              <w:right w:val="single" w:sz="8" w:space="0" w:color="000000"/>
            </w:tcBorders>
            <w:vAlign w:val="center"/>
            <w:hideMark/>
          </w:tcPr>
          <w:p w14:paraId="4E459B6E" w14:textId="77777777" w:rsidR="00811E58" w:rsidRPr="00A33AE8" w:rsidRDefault="00811E58" w:rsidP="00884F3B">
            <w:pPr>
              <w:pStyle w:val="ListParagraph"/>
              <w:numPr>
                <w:ilvl w:val="0"/>
                <w:numId w:val="116"/>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F68A001"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010858C8" w14:textId="77777777" w:rsidTr="006769DA">
        <w:trPr>
          <w:trHeight w:val="401"/>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6501D1D4"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11DB8EA1" w14:textId="77777777" w:rsidR="00811E58" w:rsidRPr="00A33AE8" w:rsidRDefault="004C50FC" w:rsidP="00884F3B">
            <w:pPr>
              <w:pStyle w:val="ListParagraph"/>
              <w:numPr>
                <w:ilvl w:val="0"/>
                <w:numId w:val="11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2EFB7D72"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4464328F" w14:textId="77777777" w:rsidTr="006769DA">
        <w:trPr>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3842A661"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6FF5BA24"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6 M€</w:t>
            </w:r>
          </w:p>
        </w:tc>
        <w:tc>
          <w:tcPr>
            <w:tcW w:w="222" w:type="dxa"/>
            <w:vAlign w:val="center"/>
            <w:hideMark/>
          </w:tcPr>
          <w:p w14:paraId="40F2F9C1"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1C026293" w14:textId="77777777" w:rsidTr="006769DA">
        <w:trPr>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52F482CC"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094AA6B4"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0FE9EBA9"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228C7360" w14:textId="77777777" w:rsidR="00811E58" w:rsidRPr="00A33AE8" w:rsidRDefault="00811E58" w:rsidP="00811E58">
      <w:pPr>
        <w:pStyle w:val="LDKbody"/>
        <w:rPr>
          <w:lang w:val="en-GB"/>
        </w:rPr>
      </w:pPr>
    </w:p>
    <w:tbl>
      <w:tblPr>
        <w:tblW w:w="9680" w:type="dxa"/>
        <w:tblLook w:val="04A0" w:firstRow="1" w:lastRow="0" w:firstColumn="1" w:lastColumn="0" w:noHBand="0" w:noVBand="1"/>
      </w:tblPr>
      <w:tblGrid>
        <w:gridCol w:w="3277"/>
        <w:gridCol w:w="1114"/>
        <w:gridCol w:w="936"/>
        <w:gridCol w:w="4131"/>
        <w:gridCol w:w="222"/>
      </w:tblGrid>
      <w:tr w:rsidR="00811E58" w:rsidRPr="00A33AE8" w14:paraId="55D76056" w14:textId="77777777" w:rsidTr="006769DA">
        <w:trPr>
          <w:gridAfter w:val="1"/>
          <w:wAfter w:w="222" w:type="dxa"/>
          <w:trHeight w:val="780"/>
        </w:trPr>
        <w:tc>
          <w:tcPr>
            <w:tcW w:w="327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132F8C7" w14:textId="77777777" w:rsidR="00811E58" w:rsidRPr="00A33AE8" w:rsidRDefault="00811E58"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1B7EA809"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PM_D13</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65012E85"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9629412" w14:textId="77777777" w:rsidR="00811E58" w:rsidRPr="00A33AE8" w:rsidRDefault="00811E58"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Measures for reducing emissions from fertilizers use</w:t>
            </w:r>
          </w:p>
        </w:tc>
      </w:tr>
      <w:tr w:rsidR="00811E58" w:rsidRPr="00A33AE8" w14:paraId="449F50AF" w14:textId="77777777" w:rsidTr="006769DA">
        <w:trPr>
          <w:gridAfter w:val="1"/>
          <w:wAfter w:w="222" w:type="dxa"/>
          <w:trHeight w:val="301"/>
        </w:trPr>
        <w:tc>
          <w:tcPr>
            <w:tcW w:w="3277" w:type="dxa"/>
            <w:tcBorders>
              <w:top w:val="nil"/>
              <w:left w:val="single" w:sz="8" w:space="0" w:color="auto"/>
              <w:bottom w:val="single" w:sz="8" w:space="0" w:color="auto"/>
              <w:right w:val="nil"/>
            </w:tcBorders>
            <w:shd w:val="clear" w:color="000000" w:fill="244062"/>
            <w:vAlign w:val="center"/>
            <w:hideMark/>
          </w:tcPr>
          <w:p w14:paraId="4297AF5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502F60BF"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 </w:t>
            </w:r>
            <w:r w:rsidR="00EE002E" w:rsidRPr="00A33AE8">
              <w:rPr>
                <w:rFonts w:asciiTheme="majorHAnsi" w:eastAsia="Times New Roman" w:hAnsiTheme="majorHAnsi" w:cstheme="majorHAnsi"/>
                <w:color w:val="000000"/>
                <w:sz w:val="20"/>
                <w:szCs w:val="20"/>
                <w:lang w:eastAsia="en-GB"/>
              </w:rPr>
              <w:t>NO2</w:t>
            </w:r>
            <w:r w:rsidRPr="00A33AE8">
              <w:rPr>
                <w:rFonts w:asciiTheme="majorHAnsi" w:eastAsia="Times New Roman" w:hAnsiTheme="majorHAnsi" w:cstheme="majorHAnsi"/>
                <w:color w:val="000000"/>
                <w:sz w:val="20"/>
                <w:szCs w:val="20"/>
                <w:lang w:eastAsia="en-GB"/>
              </w:rPr>
              <w:t xml:space="preserve"> emissions reduction</w:t>
            </w:r>
          </w:p>
        </w:tc>
      </w:tr>
      <w:tr w:rsidR="00811E58" w:rsidRPr="00A33AE8" w14:paraId="75D1929D"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2EE7267D"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74BC45E0" w14:textId="77777777" w:rsidR="00811E58" w:rsidRPr="00A33AE8" w:rsidRDefault="00E16752" w:rsidP="006769DA">
            <w:pPr>
              <w:spacing w:after="0" w:line="240" w:lineRule="auto"/>
              <w:rPr>
                <w:rFonts w:asciiTheme="majorHAnsi" w:eastAsia="Times New Roman" w:hAnsiTheme="majorHAnsi" w:cstheme="majorHAnsi"/>
                <w:color w:val="000000"/>
                <w:sz w:val="20"/>
                <w:szCs w:val="20"/>
                <w:lang w:eastAsia="en-GB"/>
              </w:rPr>
            </w:pPr>
            <w:r w:rsidRPr="00E16752">
              <w:rPr>
                <w:rFonts w:asciiTheme="majorHAnsi" w:eastAsia="Times New Roman" w:hAnsiTheme="majorHAnsi" w:cstheme="majorHAnsi"/>
                <w:color w:val="000000"/>
                <w:sz w:val="20"/>
                <w:szCs w:val="20"/>
                <w:lang w:eastAsia="en-GB"/>
              </w:rPr>
              <w:t>Contribution to the objective of reduction of GHG emissions by 40.3% (with LULUCF) by 2030 compared to 1990 levels</w:t>
            </w:r>
          </w:p>
        </w:tc>
      </w:tr>
      <w:tr w:rsidR="00811E58" w:rsidRPr="00A33AE8" w14:paraId="28B81AC5" w14:textId="77777777" w:rsidTr="0087794A">
        <w:trPr>
          <w:gridAfter w:val="1"/>
          <w:wAfter w:w="222" w:type="dxa"/>
          <w:trHeight w:val="546"/>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03F2952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0C501C2F" w14:textId="77777777" w:rsidR="00811E58" w:rsidRPr="00A33AE8" w:rsidRDefault="00811E58"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PM_D13 will facilitate the reduction of ammonia and nitrous oxide emissions resulting from the use of fertilizers through the application of new technologies such as:</w:t>
            </w:r>
          </w:p>
          <w:p w14:paraId="785600F3" w14:textId="77777777" w:rsidR="00811E58" w:rsidRPr="00A33AE8" w:rsidRDefault="00811E58" w:rsidP="00884F3B">
            <w:pPr>
              <w:pStyle w:val="ListParagraph"/>
              <w:numPr>
                <w:ilvl w:val="0"/>
                <w:numId w:val="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foliar application;</w:t>
            </w:r>
          </w:p>
          <w:p w14:paraId="166F6E3B" w14:textId="77777777" w:rsidR="00811E58" w:rsidRPr="00A33AE8" w:rsidRDefault="00811E58" w:rsidP="00884F3B">
            <w:pPr>
              <w:pStyle w:val="ListParagraph"/>
              <w:numPr>
                <w:ilvl w:val="0"/>
                <w:numId w:val="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coated soluble granules to allow controlled release of nutrients in the root zone;</w:t>
            </w:r>
          </w:p>
          <w:p w14:paraId="4BE47BF7" w14:textId="77777777" w:rsidR="00811E58" w:rsidRPr="00A33AE8" w:rsidRDefault="00811E58" w:rsidP="00884F3B">
            <w:pPr>
              <w:pStyle w:val="ListParagraph"/>
              <w:numPr>
                <w:ilvl w:val="0"/>
                <w:numId w:val="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urea deep placement;</w:t>
            </w:r>
          </w:p>
          <w:p w14:paraId="177484DB" w14:textId="77777777" w:rsidR="00811E58" w:rsidRPr="00A33AE8" w:rsidRDefault="00811E58" w:rsidP="00884F3B">
            <w:pPr>
              <w:pStyle w:val="ListParagraph"/>
              <w:numPr>
                <w:ilvl w:val="0"/>
                <w:numId w:val="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adding inhibitors to slow the conversion of urea fertilizer to ammonia;</w:t>
            </w:r>
          </w:p>
          <w:p w14:paraId="6C197C07" w14:textId="77777777" w:rsidR="00811E58" w:rsidRPr="00A33AE8" w:rsidRDefault="00811E58" w:rsidP="00884F3B">
            <w:pPr>
              <w:pStyle w:val="ListParagraph"/>
              <w:numPr>
                <w:ilvl w:val="0"/>
                <w:numId w:val="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adding soluble fertilizer to irrigation water to deliver nutrients to the root zone in a more precise and timely manner.</w:t>
            </w:r>
          </w:p>
        </w:tc>
      </w:tr>
      <w:tr w:rsidR="00811E58" w:rsidRPr="00A33AE8" w14:paraId="04213897"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39E7C5B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0B98E8A2" w14:textId="77777777" w:rsidR="00811E58" w:rsidRPr="00A33AE8" w:rsidRDefault="00EE002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Pr="000007D2">
              <w:rPr>
                <w:rFonts w:asciiTheme="majorHAnsi" w:eastAsia="Times New Roman" w:hAnsiTheme="majorHAnsi" w:cstheme="majorHAnsi"/>
                <w:color w:val="000000"/>
                <w:sz w:val="20"/>
                <w:szCs w:val="20"/>
                <w:lang w:eastAsia="en-GB"/>
              </w:rPr>
              <w:t>4</w:t>
            </w:r>
            <w:r w:rsidR="00811E58" w:rsidRPr="00A33AE8">
              <w:rPr>
                <w:rFonts w:asciiTheme="majorHAnsi" w:eastAsia="Times New Roman" w:hAnsiTheme="majorHAnsi" w:cstheme="majorHAnsi"/>
                <w:color w:val="000000"/>
                <w:sz w:val="20"/>
                <w:szCs w:val="20"/>
                <w:lang w:eastAsia="en-GB"/>
              </w:rPr>
              <w:t>-2030</w:t>
            </w:r>
          </w:p>
        </w:tc>
      </w:tr>
      <w:tr w:rsidR="00811E58" w:rsidRPr="00A33AE8" w14:paraId="55206CE1"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0984B301"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42D3DF0A" w14:textId="77777777" w:rsidR="00811E58" w:rsidRPr="00A33AE8" w:rsidRDefault="0094492F"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811E58" w:rsidRPr="00A33AE8" w14:paraId="7E112E5E"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57FDE34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420612EF"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Agriculture</w:t>
            </w:r>
            <w:r w:rsidR="00EE002E" w:rsidRPr="00A33AE8">
              <w:t xml:space="preserve"> </w:t>
            </w:r>
            <w:r w:rsidR="00EE002E" w:rsidRPr="00A33AE8">
              <w:rPr>
                <w:rFonts w:asciiTheme="majorHAnsi" w:eastAsia="Times New Roman" w:hAnsiTheme="majorHAnsi" w:cstheme="majorHAnsi"/>
                <w:color w:val="000000"/>
                <w:sz w:val="20"/>
                <w:szCs w:val="20"/>
                <w:lang w:eastAsia="en-GB"/>
              </w:rPr>
              <w:t>and LULUCF</w:t>
            </w:r>
          </w:p>
        </w:tc>
      </w:tr>
      <w:tr w:rsidR="00811E58" w:rsidRPr="00A33AE8" w14:paraId="6A8DFF33" w14:textId="77777777" w:rsidTr="006769DA">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742CBA4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72F3A9AF" w14:textId="77777777" w:rsidR="00EE002E" w:rsidRPr="00A33AE8" w:rsidRDefault="00811E58" w:rsidP="00884F3B">
            <w:pPr>
              <w:pStyle w:val="ListParagraph"/>
              <w:numPr>
                <w:ilvl w:val="0"/>
                <w:numId w:val="22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for Agriculture, Forestry and Water Management</w:t>
            </w:r>
          </w:p>
          <w:p w14:paraId="08C181B5" w14:textId="77777777" w:rsidR="00EE002E" w:rsidRPr="00A33AE8" w:rsidRDefault="00EE002E" w:rsidP="00884F3B">
            <w:pPr>
              <w:pStyle w:val="ListParagraph"/>
              <w:numPr>
                <w:ilvl w:val="0"/>
                <w:numId w:val="22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Agricultural Advisory Service</w:t>
            </w:r>
          </w:p>
          <w:p w14:paraId="0299BC39" w14:textId="77777777" w:rsidR="00EE002E" w:rsidRPr="00A33AE8" w:rsidRDefault="00EE002E" w:rsidP="00884F3B">
            <w:pPr>
              <w:pStyle w:val="ListParagraph"/>
              <w:numPr>
                <w:ilvl w:val="0"/>
                <w:numId w:val="22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lastRenderedPageBreak/>
              <w:t>Directorate for Agrarian Payments</w:t>
            </w:r>
          </w:p>
          <w:p w14:paraId="5ED68469" w14:textId="77777777" w:rsidR="00EE002E" w:rsidRPr="00A33AE8" w:rsidRDefault="00EE002E" w:rsidP="00884F3B">
            <w:pPr>
              <w:pStyle w:val="ListParagraph"/>
              <w:numPr>
                <w:ilvl w:val="0"/>
                <w:numId w:val="22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Administration for Agricultural land</w:t>
            </w:r>
          </w:p>
          <w:p w14:paraId="66A2A8B4" w14:textId="77777777" w:rsidR="00EE002E" w:rsidRPr="00A33AE8" w:rsidRDefault="00EE002E" w:rsidP="00884F3B">
            <w:pPr>
              <w:pStyle w:val="ListParagraph"/>
              <w:numPr>
                <w:ilvl w:val="0"/>
                <w:numId w:val="22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w:t>
            </w:r>
          </w:p>
          <w:p w14:paraId="092EFC34" w14:textId="77777777" w:rsidR="00EE002E" w:rsidRPr="000007D2" w:rsidRDefault="00EE002E" w:rsidP="00884F3B">
            <w:pPr>
              <w:pStyle w:val="ListParagraph"/>
              <w:numPr>
                <w:ilvl w:val="0"/>
                <w:numId w:val="22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Farmers</w:t>
            </w:r>
          </w:p>
        </w:tc>
      </w:tr>
      <w:tr w:rsidR="00811E58" w:rsidRPr="00A33AE8" w14:paraId="33993D76" w14:textId="77777777" w:rsidTr="006769DA">
        <w:trPr>
          <w:gridAfter w:val="1"/>
          <w:wAfter w:w="222" w:type="dxa"/>
          <w:trHeight w:val="315"/>
        </w:trPr>
        <w:tc>
          <w:tcPr>
            <w:tcW w:w="3277" w:type="dxa"/>
            <w:tcBorders>
              <w:top w:val="nil"/>
              <w:left w:val="single" w:sz="8" w:space="0" w:color="auto"/>
              <w:bottom w:val="single" w:sz="8" w:space="0" w:color="auto"/>
              <w:right w:val="nil"/>
            </w:tcBorders>
            <w:shd w:val="clear" w:color="000000" w:fill="244062"/>
            <w:vAlign w:val="center"/>
            <w:hideMark/>
          </w:tcPr>
          <w:p w14:paraId="64843D17"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Monitoring Entity</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402874F8" w14:textId="77777777" w:rsidR="00811E58" w:rsidRPr="00A33AE8" w:rsidRDefault="00811E58" w:rsidP="00884F3B">
            <w:pPr>
              <w:pStyle w:val="ListParagraph"/>
              <w:numPr>
                <w:ilvl w:val="0"/>
                <w:numId w:val="222"/>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of Environmental Protection</w:t>
            </w:r>
          </w:p>
          <w:p w14:paraId="6B1C3139" w14:textId="2C6DD44A" w:rsidR="00811E58" w:rsidRPr="00A33AE8" w:rsidRDefault="00811E58" w:rsidP="00884F3B">
            <w:pPr>
              <w:pStyle w:val="ListParagraph"/>
              <w:numPr>
                <w:ilvl w:val="0"/>
                <w:numId w:val="222"/>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sz w:val="20"/>
                <w:szCs w:val="20"/>
              </w:rPr>
              <w:t>Ministry for Agriculture, Forestry and Water Management</w:t>
            </w:r>
          </w:p>
        </w:tc>
      </w:tr>
      <w:tr w:rsidR="00811E58" w:rsidRPr="00A33AE8" w14:paraId="5637375B" w14:textId="77777777" w:rsidTr="006769DA">
        <w:trPr>
          <w:gridAfter w:val="1"/>
          <w:wAfter w:w="222" w:type="dxa"/>
          <w:trHeight w:val="315"/>
        </w:trPr>
        <w:tc>
          <w:tcPr>
            <w:tcW w:w="3277" w:type="dxa"/>
            <w:tcBorders>
              <w:top w:val="nil"/>
              <w:left w:val="single" w:sz="8" w:space="0" w:color="auto"/>
              <w:bottom w:val="single" w:sz="8" w:space="0" w:color="auto"/>
              <w:right w:val="nil"/>
            </w:tcBorders>
            <w:shd w:val="clear" w:color="000000" w:fill="244062"/>
            <w:vAlign w:val="center"/>
            <w:hideMark/>
          </w:tcPr>
          <w:p w14:paraId="18D7A51F"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23E65428"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Annual amount of emissions reduction from fertilizers use (Gg CO2-eq)</w:t>
            </w:r>
          </w:p>
        </w:tc>
      </w:tr>
      <w:tr w:rsidR="006C6A30" w:rsidRPr="00A33AE8" w14:paraId="7E767D49" w14:textId="77777777" w:rsidTr="006769DA">
        <w:trPr>
          <w:gridAfter w:val="1"/>
          <w:wAfter w:w="222" w:type="dxa"/>
          <w:trHeight w:val="34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1F537A13"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607EE079" w14:textId="77777777" w:rsidR="006C6A30" w:rsidRPr="00A33AE8" w:rsidRDefault="006C6A30" w:rsidP="006C6A30">
            <w:pPr>
              <w:spacing w:after="0" w:line="240" w:lineRule="auto"/>
              <w:rPr>
                <w:rFonts w:asciiTheme="majorHAnsi" w:eastAsia="Times New Roman" w:hAnsiTheme="majorHAnsi" w:cstheme="majorHAnsi"/>
                <w:color w:val="000000"/>
                <w:sz w:val="20"/>
                <w:szCs w:val="20"/>
                <w:lang w:eastAsia="en-GB"/>
              </w:rPr>
            </w:pPr>
          </w:p>
        </w:tc>
      </w:tr>
      <w:tr w:rsidR="00811E58" w:rsidRPr="00A33AE8" w14:paraId="419B5118" w14:textId="77777777" w:rsidTr="006769DA">
        <w:trPr>
          <w:gridAfter w:val="1"/>
          <w:wAfter w:w="222" w:type="dxa"/>
          <w:trHeight w:val="450"/>
        </w:trPr>
        <w:tc>
          <w:tcPr>
            <w:tcW w:w="327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2B158FA"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AF2140" w14:textId="77777777" w:rsidR="00811E58" w:rsidRPr="00A33AE8" w:rsidRDefault="00811E58" w:rsidP="00884F3B">
            <w:pPr>
              <w:pStyle w:val="ListParagraph"/>
              <w:numPr>
                <w:ilvl w:val="0"/>
                <w:numId w:val="11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EE002E" w:rsidRPr="00A33AE8">
              <w:rPr>
                <w:rFonts w:asciiTheme="majorHAnsi" w:eastAsia="Times New Roman" w:hAnsiTheme="majorHAnsi" w:cstheme="majorHAnsi"/>
                <w:color w:val="000000"/>
                <w:sz w:val="20"/>
                <w:szCs w:val="20"/>
                <w:lang w:eastAsia="en-GB"/>
              </w:rPr>
              <w:t>2018/1999</w:t>
            </w:r>
          </w:p>
        </w:tc>
      </w:tr>
      <w:tr w:rsidR="00811E58" w:rsidRPr="00A33AE8" w14:paraId="2AC49C7E" w14:textId="77777777" w:rsidTr="006769DA">
        <w:trPr>
          <w:trHeight w:val="300"/>
        </w:trPr>
        <w:tc>
          <w:tcPr>
            <w:tcW w:w="3277" w:type="dxa"/>
            <w:vMerge/>
            <w:tcBorders>
              <w:top w:val="nil"/>
              <w:left w:val="single" w:sz="8" w:space="0" w:color="auto"/>
              <w:bottom w:val="single" w:sz="8" w:space="0" w:color="000000"/>
              <w:right w:val="single" w:sz="8" w:space="0" w:color="auto"/>
            </w:tcBorders>
            <w:vAlign w:val="center"/>
            <w:hideMark/>
          </w:tcPr>
          <w:p w14:paraId="7E82CC1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1" w:type="dxa"/>
            <w:gridSpan w:val="3"/>
            <w:vMerge/>
            <w:tcBorders>
              <w:top w:val="single" w:sz="8" w:space="0" w:color="auto"/>
              <w:left w:val="single" w:sz="8" w:space="0" w:color="auto"/>
              <w:bottom w:val="single" w:sz="8" w:space="0" w:color="000000"/>
              <w:right w:val="single" w:sz="8" w:space="0" w:color="000000"/>
            </w:tcBorders>
            <w:vAlign w:val="center"/>
            <w:hideMark/>
          </w:tcPr>
          <w:p w14:paraId="7ADBE43E" w14:textId="77777777" w:rsidR="00811E58" w:rsidRPr="00A33AE8" w:rsidRDefault="00811E58" w:rsidP="00884F3B">
            <w:pPr>
              <w:pStyle w:val="ListParagraph"/>
              <w:numPr>
                <w:ilvl w:val="0"/>
                <w:numId w:val="117"/>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0D01BBA" w14:textId="77777777" w:rsidR="00811E58" w:rsidRPr="00A33AE8" w:rsidRDefault="00811E58" w:rsidP="006769DA">
            <w:pPr>
              <w:spacing w:after="0" w:line="240" w:lineRule="auto"/>
              <w:rPr>
                <w:rFonts w:ascii="Calibri Light" w:eastAsia="Times New Roman" w:hAnsi="Calibri Light" w:cs="Calibri Light"/>
                <w:color w:val="000000"/>
                <w:sz w:val="20"/>
                <w:szCs w:val="20"/>
                <w:lang w:eastAsia="en-GB"/>
              </w:rPr>
            </w:pPr>
          </w:p>
        </w:tc>
      </w:tr>
      <w:tr w:rsidR="00811E58" w:rsidRPr="00A33AE8" w14:paraId="27AB6250" w14:textId="77777777" w:rsidTr="006769DA">
        <w:trPr>
          <w:trHeight w:val="60"/>
        </w:trPr>
        <w:tc>
          <w:tcPr>
            <w:tcW w:w="3277" w:type="dxa"/>
            <w:vMerge/>
            <w:tcBorders>
              <w:top w:val="nil"/>
              <w:left w:val="single" w:sz="8" w:space="0" w:color="auto"/>
              <w:bottom w:val="single" w:sz="8" w:space="0" w:color="000000"/>
              <w:right w:val="single" w:sz="8" w:space="0" w:color="auto"/>
            </w:tcBorders>
            <w:vAlign w:val="center"/>
            <w:hideMark/>
          </w:tcPr>
          <w:p w14:paraId="53B45328"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p>
        </w:tc>
        <w:tc>
          <w:tcPr>
            <w:tcW w:w="6181" w:type="dxa"/>
            <w:gridSpan w:val="3"/>
            <w:vMerge/>
            <w:tcBorders>
              <w:top w:val="single" w:sz="8" w:space="0" w:color="auto"/>
              <w:left w:val="single" w:sz="8" w:space="0" w:color="auto"/>
              <w:bottom w:val="single" w:sz="8" w:space="0" w:color="000000"/>
              <w:right w:val="single" w:sz="8" w:space="0" w:color="000000"/>
            </w:tcBorders>
            <w:vAlign w:val="center"/>
            <w:hideMark/>
          </w:tcPr>
          <w:p w14:paraId="47E70703" w14:textId="77777777" w:rsidR="00811E58" w:rsidRPr="00A33AE8" w:rsidRDefault="00811E58" w:rsidP="00884F3B">
            <w:pPr>
              <w:pStyle w:val="ListParagraph"/>
              <w:numPr>
                <w:ilvl w:val="0"/>
                <w:numId w:val="117"/>
              </w:numPr>
              <w:spacing w:after="0" w:line="240" w:lineRule="auto"/>
              <w:rPr>
                <w:rFonts w:asciiTheme="majorHAnsi" w:eastAsia="Times New Roman" w:hAnsiTheme="majorHAnsi" w:cstheme="majorHAnsi"/>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504E3FF"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4B819839" w14:textId="77777777" w:rsidTr="006769DA">
        <w:trPr>
          <w:trHeight w:val="378"/>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74E76523"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6C1FD3E4" w14:textId="77777777" w:rsidR="00811E58" w:rsidRPr="00A33AE8" w:rsidRDefault="00EE002E" w:rsidP="00884F3B">
            <w:pPr>
              <w:pStyle w:val="ListParagraph"/>
              <w:numPr>
                <w:ilvl w:val="0"/>
                <w:numId w:val="11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Low-carbon Development Strategy for the period 2023-2030 with projections until 2050</w:t>
            </w:r>
          </w:p>
        </w:tc>
        <w:tc>
          <w:tcPr>
            <w:tcW w:w="222" w:type="dxa"/>
            <w:vAlign w:val="center"/>
            <w:hideMark/>
          </w:tcPr>
          <w:p w14:paraId="1C10CC7D"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15ADC6DB" w14:textId="77777777" w:rsidTr="006769DA">
        <w:trPr>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45B9A11E"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7D66D0A4"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28 M€</w:t>
            </w:r>
          </w:p>
        </w:tc>
        <w:tc>
          <w:tcPr>
            <w:tcW w:w="222" w:type="dxa"/>
            <w:vAlign w:val="center"/>
            <w:hideMark/>
          </w:tcPr>
          <w:p w14:paraId="6C5F0E20"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r w:rsidR="00811E58" w:rsidRPr="00A33AE8" w14:paraId="7EC36C23" w14:textId="77777777" w:rsidTr="006769DA">
        <w:trPr>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46B28252" w14:textId="77777777" w:rsidR="00811E58" w:rsidRPr="00A33AE8" w:rsidRDefault="00811E58"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1" w:type="dxa"/>
            <w:gridSpan w:val="3"/>
            <w:tcBorders>
              <w:top w:val="single" w:sz="8" w:space="0" w:color="auto"/>
              <w:left w:val="nil"/>
              <w:bottom w:val="single" w:sz="8" w:space="0" w:color="auto"/>
              <w:right w:val="single" w:sz="8" w:space="0" w:color="000000"/>
            </w:tcBorders>
            <w:shd w:val="clear" w:color="auto" w:fill="auto"/>
            <w:vAlign w:val="center"/>
          </w:tcPr>
          <w:p w14:paraId="493E578F" w14:textId="77777777" w:rsidR="00811E58" w:rsidRPr="00A33AE8" w:rsidRDefault="00811E58"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w:t>
            </w:r>
            <w:r w:rsidR="00D17B3C"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77B1E5A2" w14:textId="77777777" w:rsidR="00811E58" w:rsidRPr="00A33AE8" w:rsidRDefault="00811E58" w:rsidP="006769DA">
            <w:pPr>
              <w:spacing w:after="0" w:line="240" w:lineRule="auto"/>
              <w:rPr>
                <w:rFonts w:ascii="Times New Roman" w:eastAsia="Times New Roman" w:hAnsi="Times New Roman" w:cs="Times New Roman"/>
                <w:sz w:val="20"/>
                <w:szCs w:val="20"/>
                <w:lang w:eastAsia="en-GB"/>
              </w:rPr>
            </w:pPr>
          </w:p>
        </w:tc>
      </w:tr>
    </w:tbl>
    <w:p w14:paraId="2A187752" w14:textId="77777777" w:rsidR="002102A2" w:rsidRPr="00A33AE8" w:rsidRDefault="002102A2" w:rsidP="00650689">
      <w:pPr>
        <w:pStyle w:val="ListParagraph"/>
        <w:spacing w:before="240" w:after="240" w:line="240" w:lineRule="auto"/>
        <w:ind w:left="1080"/>
        <w:jc w:val="both"/>
        <w:rPr>
          <w:rFonts w:cstheme="minorHAnsi"/>
          <w:b/>
          <w:bCs/>
          <w:color w:val="000000"/>
        </w:rPr>
      </w:pPr>
    </w:p>
    <w:p w14:paraId="07A66154" w14:textId="77777777" w:rsidR="005D0066" w:rsidRPr="00A33AE8" w:rsidRDefault="005D0066" w:rsidP="00884F3B">
      <w:pPr>
        <w:pStyle w:val="Heading4"/>
        <w:numPr>
          <w:ilvl w:val="0"/>
          <w:numId w:val="6"/>
        </w:numPr>
      </w:pPr>
      <w:r w:rsidRPr="00A33AE8">
        <w:t>Regional cooperation in this area</w:t>
      </w:r>
    </w:p>
    <w:p w14:paraId="14F09382" w14:textId="77777777" w:rsidR="005D0066" w:rsidRPr="00A33AE8" w:rsidRDefault="005D0066" w:rsidP="005D0066">
      <w:pPr>
        <w:spacing w:before="240" w:after="240"/>
        <w:jc w:val="both"/>
        <w:rPr>
          <w:rFonts w:asciiTheme="majorHAnsi" w:hAnsiTheme="majorHAnsi" w:cstheme="majorHAnsi"/>
          <w:b/>
          <w:i/>
          <w:color w:val="000000"/>
        </w:rPr>
      </w:pPr>
      <w:r w:rsidRPr="00A33AE8">
        <w:rPr>
          <w:rFonts w:asciiTheme="majorHAnsi" w:hAnsiTheme="majorHAnsi" w:cstheme="majorHAnsi"/>
          <w:b/>
          <w:i/>
          <w:color w:val="000000"/>
        </w:rPr>
        <w:t>Western Balkans Green Fund Project</w:t>
      </w:r>
    </w:p>
    <w:p w14:paraId="6C579A58" w14:textId="0C75E2BE" w:rsidR="005D0066" w:rsidRPr="00A33AE8" w:rsidRDefault="005D0066" w:rsidP="005D0066">
      <w:pPr>
        <w:spacing w:before="240" w:after="240"/>
        <w:jc w:val="both"/>
        <w:rPr>
          <w:rFonts w:asciiTheme="majorHAnsi" w:hAnsiTheme="majorHAnsi" w:cstheme="majorHAnsi"/>
          <w:color w:val="000000"/>
        </w:rPr>
      </w:pPr>
      <w:r w:rsidRPr="00A33AE8">
        <w:rPr>
          <w:rFonts w:asciiTheme="majorHAnsi" w:hAnsiTheme="majorHAnsi" w:cstheme="majorHAnsi"/>
          <w:color w:val="000000"/>
        </w:rPr>
        <w:t xml:space="preserve">The “Western Balkans Green Fund” Project offers an opportunity for the Republic of Serbia to play a leading role in the development of projects of Western Balkan </w:t>
      </w:r>
      <w:r w:rsidR="00BE5DEF" w:rsidRPr="00A33AE8">
        <w:rPr>
          <w:rFonts w:asciiTheme="majorHAnsi" w:hAnsiTheme="majorHAnsi" w:cstheme="majorHAnsi"/>
          <w:color w:val="000000"/>
        </w:rPr>
        <w:t>region</w:t>
      </w:r>
      <w:r w:rsidRPr="00A33AE8">
        <w:rPr>
          <w:rFonts w:asciiTheme="majorHAnsi" w:hAnsiTheme="majorHAnsi" w:cstheme="majorHAnsi"/>
          <w:vertAlign w:val="superscript"/>
        </w:rPr>
        <w:footnoteReference w:id="113"/>
      </w:r>
      <w:r w:rsidRPr="00A33AE8">
        <w:rPr>
          <w:rFonts w:asciiTheme="majorHAnsi" w:hAnsiTheme="majorHAnsi" w:cstheme="majorHAnsi"/>
          <w:color w:val="000000"/>
        </w:rPr>
        <w:t xml:space="preserve"> related to their Nationally Determined Commitments and climate adaptation objectives, and allows Serbian undertakings to access more tender opportunities within the region.</w:t>
      </w:r>
    </w:p>
    <w:p w14:paraId="77C9240B" w14:textId="21884DEB" w:rsidR="005D0066" w:rsidRPr="00A33AE8" w:rsidRDefault="005D0066" w:rsidP="005D0066">
      <w:pPr>
        <w:spacing w:before="240" w:after="240"/>
        <w:jc w:val="both"/>
        <w:rPr>
          <w:rFonts w:asciiTheme="majorHAnsi" w:hAnsiTheme="majorHAnsi" w:cstheme="majorHAnsi"/>
          <w:color w:val="000000"/>
        </w:rPr>
      </w:pPr>
      <w:r w:rsidRPr="00A33AE8">
        <w:rPr>
          <w:rFonts w:asciiTheme="majorHAnsi" w:hAnsiTheme="majorHAnsi" w:cstheme="majorHAnsi"/>
          <w:color w:val="000000"/>
        </w:rPr>
        <w:t>The Western Balkans is an emerging region of SE Europe where some of the challenges and risks are still rooted in extreme climatic events and environmental pollution. Such risks, however, may also encourage the introduction of new, efficient technologies and methods to ensure a greener and more sustainable future in the Western Balkan region. The project supports the transformation process, aiming at the inclusion of Serbian companies, and may provide assistance in meeting the EU accession obligations of countries in the Western Balkan region, in addition to enhancing the provision of services with high added value and the trade in goods.</w:t>
      </w:r>
    </w:p>
    <w:p w14:paraId="7A78A06B" w14:textId="0522015F" w:rsidR="005D0066" w:rsidRPr="00A33AE8" w:rsidRDefault="005D0066" w:rsidP="00884F3B">
      <w:pPr>
        <w:pStyle w:val="Heading4"/>
        <w:numPr>
          <w:ilvl w:val="0"/>
          <w:numId w:val="6"/>
        </w:numPr>
        <w:spacing w:after="160"/>
        <w:ind w:left="714" w:hanging="357"/>
        <w:jc w:val="both"/>
      </w:pPr>
      <w:r w:rsidRPr="00A33AE8">
        <w:t>Without prejudice to the applicability of state aid rules, financing measures, including EU support and the use of EU funds, in this area at national level, if applicable</w:t>
      </w:r>
    </w:p>
    <w:p w14:paraId="00AF34C4" w14:textId="77777777" w:rsidR="005D0066" w:rsidRPr="00A33AE8" w:rsidRDefault="005D0066" w:rsidP="00507954">
      <w:pPr>
        <w:jc w:val="both"/>
        <w:rPr>
          <w:rFonts w:asciiTheme="majorHAnsi" w:hAnsiTheme="majorHAnsi" w:cstheme="majorHAnsi"/>
        </w:rPr>
      </w:pPr>
      <w:r w:rsidRPr="00A33AE8">
        <w:rPr>
          <w:rFonts w:asciiTheme="majorHAnsi" w:hAnsiTheme="majorHAnsi" w:cstheme="majorHAnsi"/>
          <w:color w:val="000000"/>
        </w:rPr>
        <w:t>A significant part of the funding for the implementation of the aforementioned proposed policy measures, especially in the areas of waste, rural development and forestry, is expected to come from EU funds.</w:t>
      </w:r>
    </w:p>
    <w:p w14:paraId="5C87FB79" w14:textId="77777777" w:rsidR="00351DC9" w:rsidRPr="00A33AE8" w:rsidRDefault="00351DC9" w:rsidP="007D341E">
      <w:pPr>
        <w:pStyle w:val="Heading3"/>
      </w:pPr>
      <w:r w:rsidRPr="00A33AE8">
        <w:lastRenderedPageBreak/>
        <w:t>Renewable energy</w:t>
      </w:r>
    </w:p>
    <w:p w14:paraId="67C73A9B" w14:textId="77777777" w:rsidR="0081343F" w:rsidRPr="00A33AE8" w:rsidRDefault="0081343F" w:rsidP="00884F3B">
      <w:pPr>
        <w:pStyle w:val="Heading4"/>
        <w:numPr>
          <w:ilvl w:val="0"/>
          <w:numId w:val="230"/>
        </w:numPr>
        <w:spacing w:after="160"/>
        <w:ind w:left="714" w:hanging="357"/>
        <w:jc w:val="both"/>
      </w:pPr>
      <w:r w:rsidRPr="00A33AE8">
        <w:t xml:space="preserve">Policies and measures to achieve the national contribution to the binding </w:t>
      </w:r>
      <w:r w:rsidR="009D1486" w:rsidRPr="00A33AE8">
        <w:t>EU level</w:t>
      </w:r>
      <w:r w:rsidRPr="00A33AE8">
        <w:t xml:space="preserve"> 2030 target for renewable energy and trajectories as presented in 2.2 including sector- and technology-specific measures</w:t>
      </w:r>
    </w:p>
    <w:p w14:paraId="612035F5" w14:textId="77777777" w:rsidR="0081343F" w:rsidRPr="00A33AE8" w:rsidRDefault="0081343F" w:rsidP="0081343F">
      <w:pPr>
        <w:spacing w:before="240" w:after="240"/>
        <w:jc w:val="both"/>
        <w:rPr>
          <w:rFonts w:asciiTheme="majorHAnsi" w:hAnsiTheme="majorHAnsi" w:cstheme="majorHAnsi"/>
          <w:b/>
          <w:bCs/>
          <w:color w:val="000000"/>
        </w:rPr>
      </w:pPr>
      <w:r w:rsidRPr="00A33AE8">
        <w:rPr>
          <w:rFonts w:asciiTheme="majorHAnsi" w:hAnsiTheme="majorHAnsi" w:cstheme="majorHAnsi"/>
          <w:b/>
          <w:bCs/>
          <w:color w:val="000000"/>
        </w:rPr>
        <w:t>Electricity</w:t>
      </w:r>
    </w:p>
    <w:p w14:paraId="2BC2D631" w14:textId="77777777" w:rsidR="0081343F" w:rsidRPr="00A33AE8" w:rsidRDefault="00997ED7" w:rsidP="0081343F">
      <w:pPr>
        <w:spacing w:before="240" w:after="240"/>
        <w:jc w:val="both"/>
        <w:rPr>
          <w:rFonts w:asciiTheme="majorHAnsi" w:hAnsiTheme="majorHAnsi" w:cstheme="majorHAnsi"/>
          <w:color w:val="000000"/>
        </w:rPr>
      </w:pPr>
      <w:r w:rsidRPr="00A33AE8">
        <w:rPr>
          <w:rFonts w:asciiTheme="majorHAnsi" w:hAnsiTheme="majorHAnsi" w:cstheme="majorHAnsi"/>
          <w:color w:val="000000"/>
        </w:rPr>
        <w:t>The</w:t>
      </w:r>
      <w:r w:rsidR="0081343F" w:rsidRPr="00A33AE8">
        <w:rPr>
          <w:rFonts w:asciiTheme="majorHAnsi" w:hAnsiTheme="majorHAnsi" w:cstheme="majorHAnsi"/>
          <w:color w:val="000000"/>
        </w:rPr>
        <w:t xml:space="preserve"> support scheme</w:t>
      </w:r>
      <w:r w:rsidRPr="00A33AE8">
        <w:rPr>
          <w:rFonts w:asciiTheme="majorHAnsi" w:hAnsiTheme="majorHAnsi" w:cstheme="majorHAnsi"/>
          <w:color w:val="000000"/>
        </w:rPr>
        <w:t>, which is foreseen within the Law on the Use of Renewable Energy Sources,</w:t>
      </w:r>
      <w:r w:rsidR="0081343F" w:rsidRPr="00A33AE8">
        <w:rPr>
          <w:rFonts w:asciiTheme="majorHAnsi" w:hAnsiTheme="majorHAnsi" w:cstheme="majorHAnsi"/>
          <w:color w:val="000000"/>
        </w:rPr>
        <w:t xml:space="preserve"> will be </w:t>
      </w:r>
      <w:r w:rsidRPr="00A33AE8">
        <w:rPr>
          <w:rFonts w:asciiTheme="majorHAnsi" w:hAnsiTheme="majorHAnsi" w:cstheme="majorHAnsi"/>
          <w:color w:val="000000"/>
        </w:rPr>
        <w:t xml:space="preserve">continued </w:t>
      </w:r>
      <w:r w:rsidR="0081343F" w:rsidRPr="00A33AE8">
        <w:rPr>
          <w:rFonts w:asciiTheme="majorHAnsi" w:hAnsiTheme="majorHAnsi" w:cstheme="majorHAnsi"/>
          <w:color w:val="000000"/>
        </w:rPr>
        <w:t xml:space="preserve">for renumerating the produced electricity from renewable energy technologies. Operational aid will be provided in the form of a market premium to renewable energy projects, while the conduction of auctions </w:t>
      </w:r>
      <w:r w:rsidR="00504AB8" w:rsidRPr="00504AB8">
        <w:rPr>
          <w:rFonts w:asciiTheme="majorHAnsi" w:hAnsiTheme="majorHAnsi" w:cstheme="majorHAnsi"/>
          <w:color w:val="000000"/>
        </w:rPr>
        <w:t xml:space="preserve">along with the strategic partnerships </w:t>
      </w:r>
      <w:r w:rsidR="0081343F" w:rsidRPr="00A33AE8">
        <w:rPr>
          <w:rFonts w:asciiTheme="majorHAnsi" w:hAnsiTheme="majorHAnsi" w:cstheme="majorHAnsi"/>
          <w:color w:val="000000"/>
        </w:rPr>
        <w:t xml:space="preserve">will ensure that the operational aid will be provided with an open, transparent, competitive, non-discriminatory and cost-effective manner avoiding unnecessary distortions of electricity markets as well as taking into account possible system integration costs and the required grid stability. Simultaneously, </w:t>
      </w:r>
      <w:r w:rsidR="00795BD2" w:rsidRPr="00A33AE8">
        <w:rPr>
          <w:rFonts w:asciiTheme="majorHAnsi" w:hAnsiTheme="majorHAnsi" w:cstheme="majorHAnsi"/>
          <w:color w:val="000000"/>
        </w:rPr>
        <w:t>the</w:t>
      </w:r>
      <w:r w:rsidR="0081343F" w:rsidRPr="00A33AE8">
        <w:rPr>
          <w:rFonts w:asciiTheme="majorHAnsi" w:hAnsiTheme="majorHAnsi" w:cstheme="majorHAnsi"/>
          <w:color w:val="000000"/>
        </w:rPr>
        <w:t xml:space="preserve"> renewable energy stations</w:t>
      </w:r>
      <w:r w:rsidR="00795BD2" w:rsidRPr="00A33AE8">
        <w:t xml:space="preserve"> </w:t>
      </w:r>
      <w:r w:rsidR="00795BD2" w:rsidRPr="00A33AE8">
        <w:rPr>
          <w:rFonts w:asciiTheme="majorHAnsi" w:hAnsiTheme="majorHAnsi" w:cstheme="majorHAnsi"/>
          <w:color w:val="000000"/>
        </w:rPr>
        <w:t>should have specific obligations in regards</w:t>
      </w:r>
      <w:r w:rsidR="0081343F" w:rsidRPr="00A33AE8">
        <w:rPr>
          <w:rFonts w:asciiTheme="majorHAnsi" w:hAnsiTheme="majorHAnsi" w:cstheme="majorHAnsi"/>
          <w:color w:val="000000"/>
        </w:rPr>
        <w:t xml:space="preserve"> their participation in the electricity </w:t>
      </w:r>
      <w:r w:rsidR="00795BD2" w:rsidRPr="00A33AE8">
        <w:rPr>
          <w:rFonts w:asciiTheme="majorHAnsi" w:hAnsiTheme="majorHAnsi" w:cstheme="majorHAnsi"/>
          <w:color w:val="000000"/>
        </w:rPr>
        <w:t xml:space="preserve">as will be depicted within the </w:t>
      </w:r>
      <w:r w:rsidR="0081343F" w:rsidRPr="00A33AE8">
        <w:rPr>
          <w:rFonts w:asciiTheme="majorHAnsi" w:hAnsiTheme="majorHAnsi" w:cstheme="majorHAnsi"/>
          <w:color w:val="000000"/>
        </w:rPr>
        <w:t xml:space="preserve">legislative framework, which </w:t>
      </w:r>
      <w:r w:rsidR="00795BD2" w:rsidRPr="00A33AE8">
        <w:rPr>
          <w:rFonts w:asciiTheme="majorHAnsi" w:hAnsiTheme="majorHAnsi" w:cstheme="majorHAnsi"/>
          <w:color w:val="000000"/>
        </w:rPr>
        <w:t xml:space="preserve">will be adapted in order to be fully aligned with </w:t>
      </w:r>
      <w:r w:rsidR="002F4712" w:rsidRPr="00A33AE8">
        <w:rPr>
          <w:rFonts w:asciiTheme="majorHAnsi" w:hAnsiTheme="majorHAnsi" w:cstheme="majorHAnsi"/>
          <w:color w:val="000000"/>
        </w:rPr>
        <w:t xml:space="preserve">the provisions of Directive </w:t>
      </w:r>
      <w:r w:rsidR="00643B97" w:rsidRPr="00A33AE8">
        <w:rPr>
          <w:rFonts w:asciiTheme="majorHAnsi" w:hAnsiTheme="majorHAnsi" w:cstheme="majorHAnsi"/>
          <w:color w:val="000000"/>
        </w:rPr>
        <w:t xml:space="preserve">(EU) </w:t>
      </w:r>
      <w:r w:rsidR="002F4712" w:rsidRPr="00A33AE8">
        <w:rPr>
          <w:rFonts w:asciiTheme="majorHAnsi" w:hAnsiTheme="majorHAnsi" w:cstheme="majorHAnsi"/>
          <w:color w:val="000000"/>
        </w:rPr>
        <w:t xml:space="preserve">2019/944 for the common rules in order to function the internal electricity market and the Regulation </w:t>
      </w:r>
      <w:r w:rsidR="00643B97" w:rsidRPr="00A33AE8">
        <w:rPr>
          <w:rFonts w:asciiTheme="majorHAnsi" w:hAnsiTheme="majorHAnsi" w:cstheme="majorHAnsi"/>
          <w:color w:val="000000"/>
        </w:rPr>
        <w:t xml:space="preserve">(EU) </w:t>
      </w:r>
      <w:r w:rsidR="002F4712" w:rsidRPr="00A33AE8">
        <w:rPr>
          <w:rFonts w:asciiTheme="majorHAnsi" w:hAnsiTheme="majorHAnsi" w:cstheme="majorHAnsi"/>
          <w:color w:val="000000"/>
        </w:rPr>
        <w:t>943/2019</w:t>
      </w:r>
      <w:r w:rsidR="009F04B8" w:rsidRPr="00A33AE8">
        <w:rPr>
          <w:rFonts w:asciiTheme="majorHAnsi" w:hAnsiTheme="majorHAnsi" w:cstheme="majorHAnsi"/>
          <w:color w:val="000000"/>
        </w:rPr>
        <w:t>/94</w:t>
      </w:r>
      <w:r w:rsidR="00643B97" w:rsidRPr="00A33AE8">
        <w:rPr>
          <w:rFonts w:asciiTheme="majorHAnsi" w:hAnsiTheme="majorHAnsi" w:cstheme="majorHAnsi"/>
          <w:color w:val="000000"/>
        </w:rPr>
        <w:t>3</w:t>
      </w:r>
      <w:r w:rsidR="002F4712" w:rsidRPr="00A33AE8">
        <w:rPr>
          <w:rFonts w:asciiTheme="majorHAnsi" w:hAnsiTheme="majorHAnsi" w:cstheme="majorHAnsi"/>
          <w:color w:val="000000"/>
        </w:rPr>
        <w:t xml:space="preserve"> for specifying balancing responsibilities of the participants</w:t>
      </w:r>
      <w:r w:rsidR="0081343F" w:rsidRPr="00A33AE8">
        <w:rPr>
          <w:rFonts w:asciiTheme="majorHAnsi" w:hAnsiTheme="majorHAnsi" w:cstheme="majorHAnsi"/>
          <w:color w:val="000000"/>
        </w:rPr>
        <w:t xml:space="preserve">. The gradual obligation </w:t>
      </w:r>
      <w:r w:rsidR="00795BD2" w:rsidRPr="00A33AE8">
        <w:rPr>
          <w:rFonts w:asciiTheme="majorHAnsi" w:hAnsiTheme="majorHAnsi" w:cstheme="majorHAnsi"/>
          <w:color w:val="000000"/>
        </w:rPr>
        <w:t xml:space="preserve">of the renewable energy stations </w:t>
      </w:r>
      <w:r w:rsidR="0081343F" w:rsidRPr="00A33AE8">
        <w:rPr>
          <w:rFonts w:asciiTheme="majorHAnsi" w:hAnsiTheme="majorHAnsi" w:cstheme="majorHAnsi"/>
          <w:color w:val="000000"/>
        </w:rPr>
        <w:t xml:space="preserve">will be foreseen in accordance to the installed capacity and technical maturity of the stations, while the operation of aggregators will be </w:t>
      </w:r>
      <w:r w:rsidR="00795BD2" w:rsidRPr="00A33AE8">
        <w:rPr>
          <w:rFonts w:asciiTheme="majorHAnsi" w:hAnsiTheme="majorHAnsi" w:cstheme="majorHAnsi"/>
          <w:color w:val="000000"/>
        </w:rPr>
        <w:t>examined</w:t>
      </w:r>
      <w:r w:rsidR="0081343F" w:rsidRPr="00A33AE8">
        <w:rPr>
          <w:rFonts w:asciiTheme="majorHAnsi" w:hAnsiTheme="majorHAnsi" w:cstheme="majorHAnsi"/>
          <w:color w:val="000000"/>
        </w:rPr>
        <w:t xml:space="preserve"> also as alternative option for fulfilling their </w:t>
      </w:r>
      <w:r w:rsidR="009F04B8" w:rsidRPr="00A33AE8">
        <w:rPr>
          <w:rFonts w:asciiTheme="majorHAnsi" w:hAnsiTheme="majorHAnsi" w:cstheme="majorHAnsi"/>
          <w:color w:val="000000"/>
        </w:rPr>
        <w:t>balancing responsibilities</w:t>
      </w:r>
      <w:r w:rsidR="0081343F" w:rsidRPr="00A33AE8">
        <w:rPr>
          <w:rFonts w:asciiTheme="majorHAnsi" w:hAnsiTheme="majorHAnsi" w:cstheme="majorHAnsi"/>
          <w:color w:val="000000"/>
        </w:rPr>
        <w:t>.</w:t>
      </w:r>
      <w:r w:rsidR="009F04B8" w:rsidRPr="00A33AE8">
        <w:rPr>
          <w:rFonts w:asciiTheme="majorHAnsi" w:hAnsiTheme="majorHAnsi" w:cstheme="majorHAnsi"/>
          <w:color w:val="000000"/>
        </w:rPr>
        <w:t xml:space="preserve"> Generally, the significant regulatory and implementation challenges in regards the compliance with the balancing responsibilities should be addressed </w:t>
      </w:r>
      <w:r w:rsidR="00081D7A" w:rsidRPr="00A33AE8">
        <w:rPr>
          <w:rFonts w:asciiTheme="majorHAnsi" w:hAnsiTheme="majorHAnsi" w:cstheme="majorHAnsi"/>
          <w:color w:val="000000"/>
        </w:rPr>
        <w:t>effectively</w:t>
      </w:r>
      <w:r w:rsidR="009F04B8" w:rsidRPr="00A33AE8">
        <w:rPr>
          <w:rFonts w:asciiTheme="majorHAnsi" w:hAnsiTheme="majorHAnsi" w:cstheme="majorHAnsi"/>
          <w:color w:val="000000"/>
        </w:rPr>
        <w:t xml:space="preserve"> in the coming period ensuring the smooth penetration of renewable technologies for electricity production</w:t>
      </w:r>
      <w:r w:rsidR="0081343F" w:rsidRPr="00A33AE8">
        <w:rPr>
          <w:rFonts w:asciiTheme="majorHAnsi" w:hAnsiTheme="majorHAnsi" w:cstheme="majorHAnsi"/>
          <w:color w:val="000000"/>
        </w:rPr>
        <w:t>.</w:t>
      </w:r>
    </w:p>
    <w:p w14:paraId="6C9FD5A3" w14:textId="77777777" w:rsidR="0081343F" w:rsidRPr="00A33AE8" w:rsidRDefault="0081343F" w:rsidP="0081343F">
      <w:pPr>
        <w:spacing w:before="240" w:after="240"/>
        <w:jc w:val="both"/>
        <w:rPr>
          <w:rFonts w:asciiTheme="majorHAnsi" w:hAnsiTheme="majorHAnsi" w:cstheme="majorHAnsi"/>
          <w:color w:val="000000"/>
        </w:rPr>
      </w:pPr>
      <w:r w:rsidRPr="00A33AE8">
        <w:rPr>
          <w:rFonts w:asciiTheme="majorHAnsi" w:hAnsiTheme="majorHAnsi" w:cstheme="majorHAnsi"/>
          <w:color w:val="000000"/>
        </w:rPr>
        <w:t xml:space="preserve">Additional financial and fiscal incentives will be provided to innovative and demonstration projects for electricity production under the precondition that they are capable of leading to a considerable increase of the national value added and addressing significant local energy needs. The support of small decentralized renewable energy systems will be also examined </w:t>
      </w:r>
      <w:r w:rsidR="005D2B0E" w:rsidRPr="00A33AE8">
        <w:rPr>
          <w:rFonts w:asciiTheme="majorHAnsi" w:hAnsiTheme="majorHAnsi" w:cstheme="majorHAnsi"/>
          <w:color w:val="000000"/>
        </w:rPr>
        <w:t xml:space="preserve">within the framework of the established monitoring mechanism at least on annual basis </w:t>
      </w:r>
      <w:r w:rsidRPr="00A33AE8">
        <w:rPr>
          <w:rFonts w:asciiTheme="majorHAnsi" w:hAnsiTheme="majorHAnsi" w:cstheme="majorHAnsi"/>
          <w:color w:val="000000"/>
        </w:rPr>
        <w:t>taking into consideration the potential benefits to the electricity grids</w:t>
      </w:r>
      <w:r w:rsidR="003B2580" w:rsidRPr="00A33AE8">
        <w:rPr>
          <w:rFonts w:asciiTheme="majorHAnsi" w:hAnsiTheme="majorHAnsi" w:cstheme="majorHAnsi"/>
          <w:color w:val="000000"/>
        </w:rPr>
        <w:t xml:space="preserve"> due to the avoided investments</w:t>
      </w:r>
      <w:r w:rsidR="003B2580" w:rsidRPr="00A33AE8">
        <w:t xml:space="preserve"> </w:t>
      </w:r>
      <w:r w:rsidR="003B2580" w:rsidRPr="00A33AE8">
        <w:rPr>
          <w:rFonts w:asciiTheme="majorHAnsi" w:hAnsiTheme="majorHAnsi" w:cstheme="majorHAnsi"/>
          <w:color w:val="000000"/>
        </w:rPr>
        <w:t>for the adaptation, enhancement and expansion of the grid networks</w:t>
      </w:r>
      <w:r w:rsidRPr="00A33AE8">
        <w:rPr>
          <w:rFonts w:asciiTheme="majorHAnsi" w:hAnsiTheme="majorHAnsi" w:cstheme="majorHAnsi"/>
          <w:color w:val="000000"/>
        </w:rPr>
        <w:t>.</w:t>
      </w:r>
    </w:p>
    <w:p w14:paraId="4AD3C520" w14:textId="77777777" w:rsidR="0081343F" w:rsidRPr="00A33AE8" w:rsidRDefault="0081343F" w:rsidP="0081343F">
      <w:pPr>
        <w:spacing w:before="240" w:after="240"/>
        <w:jc w:val="both"/>
        <w:rPr>
          <w:rFonts w:asciiTheme="majorHAnsi" w:hAnsiTheme="majorHAnsi" w:cstheme="majorHAnsi"/>
          <w:color w:val="000000"/>
        </w:rPr>
      </w:pPr>
      <w:r w:rsidRPr="00A33AE8">
        <w:rPr>
          <w:rFonts w:asciiTheme="majorHAnsi" w:hAnsiTheme="majorHAnsi" w:cstheme="majorHAnsi"/>
          <w:color w:val="000000"/>
        </w:rPr>
        <w:t>The guarantees of origin scheme will foster the further deployment of renewable energy technologies as a supplementary environmental mechanism informing the final customers about the share or quantity of the energy from renewable sources in an energy supplier's energy mix and in the energy supplied to consumers under contracts marketed with reference to the consumption of energy from renewable sources with objective, transparent and non-discriminatory criteria.</w:t>
      </w:r>
    </w:p>
    <w:p w14:paraId="393E40A8" w14:textId="77777777" w:rsidR="0057494D" w:rsidRPr="000007D2" w:rsidRDefault="0081343F" w:rsidP="0081343F">
      <w:pPr>
        <w:spacing w:before="240" w:after="240"/>
        <w:jc w:val="both"/>
        <w:rPr>
          <w:rFonts w:cstheme="minorHAnsi"/>
          <w:color w:val="000000"/>
        </w:rPr>
      </w:pPr>
      <w:r w:rsidRPr="00A33AE8">
        <w:rPr>
          <w:rFonts w:asciiTheme="majorHAnsi" w:hAnsiTheme="majorHAnsi" w:cstheme="majorHAnsi"/>
          <w:color w:val="000000"/>
        </w:rPr>
        <w:t xml:space="preserve">Finally, the adaptation, enhancement and expansion of the </w:t>
      </w:r>
      <w:r w:rsidR="005D2B0E" w:rsidRPr="00A33AE8">
        <w:rPr>
          <w:rFonts w:asciiTheme="majorHAnsi" w:hAnsiTheme="majorHAnsi" w:cstheme="majorHAnsi"/>
          <w:color w:val="000000"/>
        </w:rPr>
        <w:t xml:space="preserve">electricity </w:t>
      </w:r>
      <w:r w:rsidRPr="00A33AE8">
        <w:rPr>
          <w:rFonts w:asciiTheme="majorHAnsi" w:hAnsiTheme="majorHAnsi" w:cstheme="majorHAnsi"/>
          <w:color w:val="000000"/>
        </w:rPr>
        <w:t xml:space="preserve">grid networks will be facilitated in order to avoid congestions and to enable the optimal penetration of the planned renewable energy </w:t>
      </w:r>
      <w:r w:rsidR="00CA74AD" w:rsidRPr="00A33AE8">
        <w:rPr>
          <w:rFonts w:asciiTheme="majorHAnsi" w:hAnsiTheme="majorHAnsi" w:cstheme="majorHAnsi"/>
          <w:color w:val="000000"/>
        </w:rPr>
        <w:t>plants</w:t>
      </w:r>
      <w:r w:rsidRPr="00A33AE8">
        <w:rPr>
          <w:rFonts w:asciiTheme="majorHAnsi" w:hAnsiTheme="majorHAnsi" w:cstheme="majorHAnsi"/>
          <w:color w:val="000000"/>
        </w:rPr>
        <w:t xml:space="preserve">. The distribution and transmission codes will be revised accordingly, while the </w:t>
      </w:r>
      <w:r w:rsidR="003B2580" w:rsidRPr="00A33AE8">
        <w:rPr>
          <w:rFonts w:asciiTheme="majorHAnsi" w:hAnsiTheme="majorHAnsi" w:cstheme="majorHAnsi"/>
          <w:color w:val="000000"/>
        </w:rPr>
        <w:t>design of the required investments</w:t>
      </w:r>
      <w:r w:rsidR="005D2B0E" w:rsidRPr="00A33AE8">
        <w:rPr>
          <w:rFonts w:asciiTheme="majorHAnsi" w:hAnsiTheme="majorHAnsi" w:cstheme="majorHAnsi"/>
          <w:color w:val="000000"/>
        </w:rPr>
        <w:t xml:space="preserve"> </w:t>
      </w:r>
      <w:r w:rsidR="003B2580" w:rsidRPr="00A33AE8">
        <w:rPr>
          <w:rFonts w:asciiTheme="majorHAnsi" w:hAnsiTheme="majorHAnsi" w:cstheme="majorHAnsi"/>
          <w:color w:val="000000"/>
        </w:rPr>
        <w:t>in electricity grid networks</w:t>
      </w:r>
      <w:r w:rsidRPr="00A33AE8">
        <w:rPr>
          <w:rFonts w:asciiTheme="majorHAnsi" w:hAnsiTheme="majorHAnsi" w:cstheme="majorHAnsi"/>
          <w:color w:val="000000"/>
        </w:rPr>
        <w:t xml:space="preserve"> will </w:t>
      </w:r>
      <w:r w:rsidR="00C36EE9" w:rsidRPr="00A33AE8">
        <w:rPr>
          <w:rFonts w:asciiTheme="majorHAnsi" w:hAnsiTheme="majorHAnsi" w:cstheme="majorHAnsi"/>
          <w:color w:val="000000"/>
        </w:rPr>
        <w:t xml:space="preserve">continue to </w:t>
      </w:r>
      <w:r w:rsidRPr="00A33AE8">
        <w:rPr>
          <w:rFonts w:asciiTheme="majorHAnsi" w:hAnsiTheme="majorHAnsi" w:cstheme="majorHAnsi"/>
          <w:color w:val="000000"/>
        </w:rPr>
        <w:t xml:space="preserve">be </w:t>
      </w:r>
      <w:r w:rsidR="003B2580" w:rsidRPr="00A33AE8">
        <w:rPr>
          <w:rFonts w:asciiTheme="majorHAnsi" w:hAnsiTheme="majorHAnsi" w:cstheme="majorHAnsi"/>
          <w:color w:val="000000"/>
        </w:rPr>
        <w:t>carried out taking</w:t>
      </w:r>
      <w:r w:rsidR="005D2B0E" w:rsidRPr="00A33AE8">
        <w:rPr>
          <w:rFonts w:asciiTheme="majorHAnsi" w:hAnsiTheme="majorHAnsi" w:cstheme="majorHAnsi"/>
          <w:color w:val="000000"/>
        </w:rPr>
        <w:t xml:space="preserve"> into account the planned integration of new renewable energy </w:t>
      </w:r>
      <w:r w:rsidR="00CA74AD" w:rsidRPr="00A33AE8">
        <w:rPr>
          <w:rFonts w:asciiTheme="majorHAnsi" w:hAnsiTheme="majorHAnsi" w:cstheme="majorHAnsi"/>
          <w:color w:val="000000"/>
        </w:rPr>
        <w:t>plants</w:t>
      </w:r>
      <w:r w:rsidRPr="00A33AE8">
        <w:rPr>
          <w:rFonts w:asciiTheme="majorHAnsi" w:hAnsiTheme="majorHAnsi" w:cstheme="majorHAnsi"/>
          <w:color w:val="000000"/>
        </w:rPr>
        <w:t>.</w:t>
      </w:r>
    </w:p>
    <w:tbl>
      <w:tblPr>
        <w:tblW w:w="9680" w:type="dxa"/>
        <w:tblLook w:val="04A0" w:firstRow="1" w:lastRow="0" w:firstColumn="1" w:lastColumn="0" w:noHBand="0" w:noVBand="1"/>
      </w:tblPr>
      <w:tblGrid>
        <w:gridCol w:w="3330"/>
        <w:gridCol w:w="940"/>
        <w:gridCol w:w="946"/>
        <w:gridCol w:w="4242"/>
        <w:gridCol w:w="222"/>
      </w:tblGrid>
      <w:tr w:rsidR="005D2B0E" w:rsidRPr="00A33AE8" w14:paraId="3E295073" w14:textId="77777777" w:rsidTr="006769DA">
        <w:trPr>
          <w:gridAfter w:val="1"/>
          <w:wAfter w:w="222" w:type="dxa"/>
          <w:trHeight w:val="780"/>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4433351" w14:textId="77777777" w:rsidR="005D2B0E" w:rsidRPr="00A33AE8" w:rsidRDefault="005D2B0E" w:rsidP="005D2B0E">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41146C70" w14:textId="77777777" w:rsidR="005D2B0E" w:rsidRPr="00A33AE8" w:rsidRDefault="005D2B0E" w:rsidP="005D2B0E">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PM_D19</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4790DF80" w14:textId="77777777" w:rsidR="005D2B0E" w:rsidRPr="00A33AE8" w:rsidRDefault="005D2B0E" w:rsidP="005D2B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BDB1109" w14:textId="56EDA02C" w:rsidR="005D2B0E" w:rsidRPr="000007D2" w:rsidRDefault="00A24D77" w:rsidP="005D2B0E">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Provision of operation aid for electricity production from renewable stations </w:t>
            </w:r>
            <w:r w:rsidR="005D2B0E" w:rsidRPr="00A33AE8">
              <w:rPr>
                <w:rFonts w:ascii="Calibri Light" w:eastAsia="Times New Roman" w:hAnsi="Calibri Light" w:cs="Calibri Light"/>
                <w:b/>
                <w:bCs/>
                <w:color w:val="000000"/>
                <w:sz w:val="20"/>
                <w:szCs w:val="20"/>
                <w:lang w:eastAsia="en-GB"/>
              </w:rPr>
              <w:t>based on auction</w:t>
            </w:r>
            <w:r w:rsidR="003D0623">
              <w:rPr>
                <w:rFonts w:ascii="Calibri Light" w:eastAsia="Times New Roman" w:hAnsi="Calibri Light" w:cs="Calibri Light"/>
                <w:b/>
                <w:bCs/>
                <w:color w:val="000000"/>
                <w:sz w:val="20"/>
                <w:szCs w:val="20"/>
                <w:lang w:eastAsia="en-GB"/>
              </w:rPr>
              <w:t xml:space="preserve">s and strategic </w:t>
            </w:r>
            <w:r w:rsidR="003228E9">
              <w:rPr>
                <w:rFonts w:ascii="Calibri Light" w:eastAsia="Times New Roman" w:hAnsi="Calibri Light" w:cs="Calibri Light"/>
                <w:b/>
                <w:bCs/>
                <w:color w:val="000000"/>
                <w:sz w:val="20"/>
                <w:szCs w:val="20"/>
                <w:lang w:eastAsia="en-GB"/>
              </w:rPr>
              <w:t>partnerships</w:t>
            </w:r>
          </w:p>
        </w:tc>
      </w:tr>
      <w:tr w:rsidR="004A2019" w:rsidRPr="00A33AE8" w14:paraId="35D881C5" w14:textId="77777777" w:rsidTr="006769DA">
        <w:trPr>
          <w:gridAfter w:val="1"/>
          <w:wAfter w:w="222" w:type="dxa"/>
          <w:trHeight w:val="291"/>
        </w:trPr>
        <w:tc>
          <w:tcPr>
            <w:tcW w:w="3330" w:type="dxa"/>
            <w:tcBorders>
              <w:top w:val="nil"/>
              <w:left w:val="single" w:sz="8" w:space="0" w:color="auto"/>
              <w:bottom w:val="single" w:sz="8" w:space="0" w:color="auto"/>
              <w:right w:val="nil"/>
            </w:tcBorders>
            <w:shd w:val="clear" w:color="000000" w:fill="244062"/>
            <w:vAlign w:val="center"/>
            <w:hideMark/>
          </w:tcPr>
          <w:p w14:paraId="52001EDF"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9AD3BB5"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4A2019" w:rsidRPr="00A33AE8" w14:paraId="1E8F4AB3"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DF73570"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FC9DF7C" w14:textId="66D7193D" w:rsidR="004A2019" w:rsidRPr="000007D2" w:rsidRDefault="004619AC" w:rsidP="00004F46">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at least </w:t>
            </w:r>
            <w:r w:rsidR="003D0623">
              <w:rPr>
                <w:rFonts w:ascii="Calibri Light" w:eastAsia="Times New Roman" w:hAnsi="Calibri Light" w:cs="Calibri Light"/>
                <w:color w:val="000000"/>
                <w:sz w:val="20"/>
                <w:szCs w:val="20"/>
                <w:lang w:eastAsia="en-GB"/>
              </w:rPr>
              <w:t>3</w:t>
            </w:r>
            <w:r w:rsidR="00A53198" w:rsidRPr="00A33AE8">
              <w:rPr>
                <w:rFonts w:ascii="Calibri Light" w:eastAsia="Times New Roman" w:hAnsi="Calibri Light" w:cs="Calibri Light"/>
                <w:color w:val="000000"/>
                <w:sz w:val="20"/>
                <w:szCs w:val="20"/>
                <w:lang w:eastAsia="en-GB"/>
              </w:rPr>
              <w:t>.</w:t>
            </w:r>
            <w:r w:rsidR="003D0623">
              <w:rPr>
                <w:rFonts w:ascii="Calibri Light" w:eastAsia="Times New Roman" w:hAnsi="Calibri Light" w:cs="Calibri Light"/>
                <w:color w:val="000000"/>
                <w:sz w:val="20"/>
                <w:szCs w:val="20"/>
                <w:lang w:eastAsia="en-GB"/>
              </w:rPr>
              <w:t>1</w:t>
            </w:r>
            <w:r w:rsidR="00245839" w:rsidRPr="00A33AE8">
              <w:rPr>
                <w:rFonts w:ascii="Calibri Light" w:eastAsia="Times New Roman" w:hAnsi="Calibri Light" w:cs="Calibri Light"/>
                <w:color w:val="000000"/>
                <w:sz w:val="20"/>
                <w:szCs w:val="20"/>
                <w:lang w:eastAsia="en-GB"/>
              </w:rPr>
              <w:t xml:space="preserve"> </w:t>
            </w:r>
            <w:r w:rsidR="004A2019" w:rsidRPr="00A33AE8">
              <w:rPr>
                <w:rFonts w:ascii="Calibri Light" w:eastAsia="Times New Roman" w:hAnsi="Calibri Light" w:cs="Calibri Light"/>
                <w:color w:val="000000"/>
                <w:sz w:val="20"/>
                <w:szCs w:val="20"/>
                <w:lang w:eastAsia="en-GB"/>
              </w:rPr>
              <w:t>GW</w:t>
            </w:r>
            <w:r w:rsidR="005D2B0E" w:rsidRPr="00A33AE8">
              <w:rPr>
                <w:rFonts w:ascii="Calibri Light" w:eastAsia="Times New Roman" w:hAnsi="Calibri Light" w:cs="Calibri Light"/>
                <w:color w:val="000000"/>
                <w:sz w:val="20"/>
                <w:szCs w:val="20"/>
                <w:lang w:eastAsia="en-GB"/>
              </w:rPr>
              <w:t xml:space="preserve"> of wind parks</w:t>
            </w:r>
            <w:r w:rsidR="00245839" w:rsidRPr="00A33AE8">
              <w:rPr>
                <w:rFonts w:ascii="Calibri Light" w:eastAsia="Times New Roman" w:hAnsi="Calibri Light" w:cs="Calibri Light"/>
                <w:color w:val="000000"/>
                <w:sz w:val="20"/>
                <w:szCs w:val="20"/>
                <w:lang w:eastAsia="en-GB"/>
              </w:rPr>
              <w:t xml:space="preserve"> and photovoltaic </w:t>
            </w:r>
            <w:r w:rsidR="00A53198" w:rsidRPr="00A33AE8">
              <w:rPr>
                <w:rFonts w:ascii="Calibri Light" w:eastAsia="Times New Roman" w:hAnsi="Calibri Light" w:cs="Calibri Light"/>
                <w:color w:val="000000"/>
                <w:sz w:val="20"/>
                <w:szCs w:val="20"/>
                <w:lang w:eastAsia="en-GB"/>
              </w:rPr>
              <w:t xml:space="preserve">plants </w:t>
            </w:r>
          </w:p>
        </w:tc>
      </w:tr>
      <w:tr w:rsidR="004A2019" w:rsidRPr="00A33AE8" w14:paraId="4524F323" w14:textId="77777777" w:rsidTr="00507954">
        <w:trPr>
          <w:gridAfter w:val="1"/>
          <w:wAfter w:w="222" w:type="dxa"/>
          <w:trHeight w:val="58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A3186C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62F0126" w14:textId="64F03A1C" w:rsidR="00A21020" w:rsidRDefault="004A201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PM_D19 will </w:t>
            </w:r>
            <w:r w:rsidR="00A53198" w:rsidRPr="00A33AE8">
              <w:rPr>
                <w:rFonts w:ascii="Calibri Light" w:eastAsia="Times New Roman" w:hAnsi="Calibri Light" w:cs="Calibri Light"/>
                <w:color w:val="000000"/>
                <w:sz w:val="20"/>
                <w:szCs w:val="20"/>
                <w:lang w:eastAsia="en-GB"/>
              </w:rPr>
              <w:t>continue the implementation of</w:t>
            </w:r>
            <w:r w:rsidRPr="00A33AE8">
              <w:rPr>
                <w:rFonts w:ascii="Calibri Light" w:eastAsia="Times New Roman" w:hAnsi="Calibri Light" w:cs="Calibri Light"/>
                <w:color w:val="000000"/>
                <w:sz w:val="20"/>
                <w:szCs w:val="20"/>
                <w:lang w:eastAsia="en-GB"/>
              </w:rPr>
              <w:t xml:space="preserve"> a support scheme for the production of electricity from renewable energy sources</w:t>
            </w:r>
            <w:r w:rsidR="00A53198" w:rsidRPr="00A33AE8">
              <w:rPr>
                <w:rFonts w:ascii="Calibri Light" w:eastAsia="Times New Roman" w:hAnsi="Calibri Light" w:cs="Calibri Light"/>
                <w:color w:val="000000"/>
                <w:sz w:val="20"/>
                <w:szCs w:val="20"/>
                <w:lang w:eastAsia="en-GB"/>
              </w:rPr>
              <w:t xml:space="preserve"> according to the provisions of </w:t>
            </w:r>
            <w:r w:rsidR="00404089" w:rsidRPr="00A33AE8">
              <w:rPr>
                <w:rFonts w:ascii="Calibri Light" w:eastAsia="Times New Roman" w:hAnsi="Calibri Light" w:cs="Calibri Light"/>
                <w:color w:val="000000"/>
                <w:sz w:val="20"/>
                <w:szCs w:val="20"/>
                <w:lang w:eastAsia="en-GB"/>
              </w:rPr>
              <w:t xml:space="preserve">the </w:t>
            </w:r>
            <w:r w:rsidR="00A53198" w:rsidRPr="00A33AE8">
              <w:rPr>
                <w:rFonts w:ascii="Calibri Light" w:eastAsia="Times New Roman" w:hAnsi="Calibri Light" w:cs="Calibri Light"/>
                <w:color w:val="000000"/>
                <w:sz w:val="20"/>
                <w:szCs w:val="20"/>
                <w:lang w:eastAsia="en-GB"/>
              </w:rPr>
              <w:t>Law on the use of renewable energy sources</w:t>
            </w:r>
            <w:r w:rsidRPr="00A33AE8">
              <w:rPr>
                <w:rFonts w:ascii="Calibri Light" w:eastAsia="Times New Roman" w:hAnsi="Calibri Light" w:cs="Calibri Light"/>
                <w:color w:val="000000"/>
                <w:sz w:val="20"/>
                <w:szCs w:val="20"/>
                <w:lang w:eastAsia="en-GB"/>
              </w:rPr>
              <w:t>.</w:t>
            </w:r>
          </w:p>
          <w:p w14:paraId="74DFA917" w14:textId="03F2D830" w:rsidR="004A2019" w:rsidRDefault="004A201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Operational aid will be provided through the developed support scheme in the form of a market premium, so as to foster the electricity production from renewable technologies.</w:t>
            </w:r>
            <w:r w:rsidR="00504AB8" w:rsidRPr="00504AB8">
              <w:rPr>
                <w:rFonts w:ascii="Calibri Light" w:eastAsia="Times New Roman" w:hAnsi="Calibri Light" w:cs="Calibri Light"/>
                <w:color w:val="000000"/>
                <w:sz w:val="20"/>
                <w:szCs w:val="20"/>
                <w:lang w:eastAsia="en-GB"/>
              </w:rPr>
              <w:t xml:space="preserve"> </w:t>
            </w:r>
            <w:r w:rsidR="003D0623">
              <w:rPr>
                <w:rFonts w:ascii="Calibri Light" w:eastAsia="Times New Roman" w:hAnsi="Calibri Light" w:cs="Calibri Light"/>
                <w:color w:val="000000"/>
                <w:sz w:val="20"/>
                <w:szCs w:val="20"/>
                <w:lang w:eastAsia="en-GB"/>
              </w:rPr>
              <w:t>Up to</w:t>
            </w:r>
            <w:r w:rsidR="00504AB8" w:rsidRPr="00504AB8">
              <w:rPr>
                <w:rFonts w:ascii="Calibri Light" w:eastAsia="Times New Roman" w:hAnsi="Calibri Light" w:cs="Calibri Light"/>
                <w:color w:val="000000"/>
                <w:sz w:val="20"/>
                <w:szCs w:val="20"/>
                <w:lang w:eastAsia="en-GB"/>
              </w:rPr>
              <w:t xml:space="preserve"> 1.3 GW is envisaged in three</w:t>
            </w:r>
            <w:r w:rsidR="004C2656">
              <w:rPr>
                <w:rFonts w:ascii="Calibri Light" w:eastAsia="Times New Roman" w:hAnsi="Calibri Light" w:cs="Calibri Light"/>
                <w:color w:val="000000"/>
                <w:sz w:val="20"/>
                <w:szCs w:val="20"/>
                <w:lang w:eastAsia="en-GB"/>
              </w:rPr>
              <w:t>-</w:t>
            </w:r>
            <w:r w:rsidR="00504AB8" w:rsidRPr="00504AB8">
              <w:rPr>
                <w:rFonts w:ascii="Calibri Light" w:eastAsia="Times New Roman" w:hAnsi="Calibri Light" w:cs="Calibri Light"/>
                <w:color w:val="000000"/>
                <w:sz w:val="20"/>
                <w:szCs w:val="20"/>
                <w:lang w:eastAsia="en-GB"/>
              </w:rPr>
              <w:t>year auction plan by 2025</w:t>
            </w:r>
            <w:r w:rsidR="003D0623">
              <w:rPr>
                <w:rFonts w:ascii="Calibri Light" w:eastAsia="Times New Roman" w:hAnsi="Calibri Light" w:cs="Calibri Light"/>
                <w:color w:val="000000"/>
                <w:sz w:val="20"/>
                <w:szCs w:val="20"/>
                <w:lang w:eastAsia="en-GB"/>
              </w:rPr>
              <w:t xml:space="preserve"> and up to 2</w:t>
            </w:r>
            <w:r w:rsidR="0033064B">
              <w:rPr>
                <w:rFonts w:ascii="Calibri Light" w:eastAsia="Times New Roman" w:hAnsi="Calibri Light" w:cs="Calibri Light"/>
                <w:color w:val="000000"/>
                <w:sz w:val="20"/>
                <w:szCs w:val="20"/>
                <w:lang w:eastAsia="en-GB"/>
              </w:rPr>
              <w:t xml:space="preserve"> </w:t>
            </w:r>
            <w:r w:rsidR="003D0623">
              <w:rPr>
                <w:rFonts w:ascii="Calibri Light" w:eastAsia="Times New Roman" w:hAnsi="Calibri Light" w:cs="Calibri Light"/>
                <w:color w:val="000000"/>
                <w:sz w:val="20"/>
                <w:szCs w:val="20"/>
                <w:lang w:eastAsia="en-GB"/>
              </w:rPr>
              <w:t>GW from strategic partnerships</w:t>
            </w:r>
            <w:r w:rsidR="00504AB8" w:rsidRPr="00504AB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The conduction of auctions </w:t>
            </w:r>
            <w:r w:rsidR="00504AB8" w:rsidRPr="00504AB8">
              <w:rPr>
                <w:rFonts w:ascii="Calibri Light" w:eastAsia="Times New Roman" w:hAnsi="Calibri Light" w:cs="Calibri Light"/>
                <w:color w:val="000000"/>
                <w:sz w:val="20"/>
                <w:szCs w:val="20"/>
                <w:lang w:eastAsia="en-GB"/>
              </w:rPr>
              <w:t xml:space="preserve">along with the strategic partnerships </w:t>
            </w:r>
            <w:r w:rsidRPr="00A33AE8">
              <w:rPr>
                <w:rFonts w:ascii="Calibri Light" w:eastAsia="Times New Roman" w:hAnsi="Calibri Light" w:cs="Calibri Light"/>
                <w:color w:val="000000"/>
                <w:sz w:val="20"/>
                <w:szCs w:val="20"/>
                <w:lang w:eastAsia="en-GB"/>
              </w:rPr>
              <w:t>will ensure that the operational aid will be provided with an open, transparent, competitive, non-discriminatory and cost-effective manner avoiding unnecessary distortions of electricity markets as well as taking into account possible system integration costs and the required grid stability. Moreover, the sustainability of the financial support will be ensured, while the publication of a long-term schedule</w:t>
            </w:r>
            <w:r w:rsidR="00E04DFD" w:rsidRPr="00A33AE8">
              <w:rPr>
                <w:rFonts w:ascii="Calibri Light" w:eastAsia="Times New Roman" w:hAnsi="Calibri Light" w:cs="Calibri Light"/>
                <w:color w:val="000000"/>
                <w:sz w:val="20"/>
                <w:szCs w:val="20"/>
                <w:lang w:eastAsia="en-GB"/>
              </w:rPr>
              <w:t xml:space="preserve"> of auctions and quotas</w:t>
            </w:r>
            <w:r w:rsidRPr="00A33AE8">
              <w:rPr>
                <w:rFonts w:ascii="Calibri Light" w:eastAsia="Times New Roman" w:hAnsi="Calibri Light" w:cs="Calibri Light"/>
                <w:color w:val="000000"/>
                <w:sz w:val="20"/>
                <w:szCs w:val="20"/>
                <w:lang w:eastAsia="en-GB"/>
              </w:rPr>
              <w:t xml:space="preserve"> will provide the required stability for the investors, who are willing to participate into the planned auctions.</w:t>
            </w:r>
          </w:p>
          <w:p w14:paraId="590C3A49" w14:textId="165C630F" w:rsidR="00A21020" w:rsidRPr="00A33AE8" w:rsidRDefault="00A21020" w:rsidP="006769DA">
            <w:pPr>
              <w:spacing w:after="0" w:line="240" w:lineRule="auto"/>
              <w:jc w:val="both"/>
              <w:rPr>
                <w:rFonts w:ascii="Calibri Light" w:eastAsia="Times New Roman" w:hAnsi="Calibri Light" w:cs="Calibri Light"/>
                <w:color w:val="000000"/>
                <w:sz w:val="20"/>
                <w:szCs w:val="20"/>
                <w:lang w:eastAsia="en-GB"/>
              </w:rPr>
            </w:pPr>
            <w:r w:rsidRPr="0087794A">
              <w:rPr>
                <w:rFonts w:ascii="Calibri Light" w:eastAsia="Times New Roman" w:hAnsi="Calibri Light" w:cs="Calibri Light"/>
                <w:color w:val="000000"/>
                <w:sz w:val="20"/>
                <w:szCs w:val="20"/>
                <w:lang w:eastAsia="en-GB"/>
              </w:rPr>
              <w:t>It should be noted that the three-year incentive plan, which is foreseen in article 13 of the Law on Rational Use of Energy will be drafted taking into account the planned RES investments</w:t>
            </w:r>
            <w:r w:rsidR="00731E11" w:rsidRPr="0087794A">
              <w:rPr>
                <w:rFonts w:ascii="Calibri Light" w:eastAsia="Times New Roman" w:hAnsi="Calibri Light" w:cs="Calibri Light"/>
                <w:color w:val="000000"/>
                <w:sz w:val="20"/>
                <w:szCs w:val="20"/>
                <w:lang w:eastAsia="en-GB"/>
              </w:rPr>
              <w:t xml:space="preserve"> including detailed information about the estimated timing and </w:t>
            </w:r>
            <w:r w:rsidR="00EE51B9" w:rsidRPr="0087794A">
              <w:rPr>
                <w:rFonts w:ascii="Calibri Light" w:eastAsia="Times New Roman" w:hAnsi="Calibri Light" w:cs="Calibri Light"/>
                <w:color w:val="000000"/>
                <w:sz w:val="20"/>
                <w:szCs w:val="20"/>
                <w:lang w:eastAsia="en-GB"/>
              </w:rPr>
              <w:t xml:space="preserve">the </w:t>
            </w:r>
            <w:r w:rsidR="00731E11" w:rsidRPr="0087794A">
              <w:rPr>
                <w:rFonts w:ascii="Calibri Light" w:eastAsia="Times New Roman" w:hAnsi="Calibri Light" w:cs="Calibri Light"/>
                <w:color w:val="000000"/>
                <w:sz w:val="20"/>
                <w:szCs w:val="20"/>
                <w:lang w:eastAsia="en-GB"/>
              </w:rPr>
              <w:t>anticipated capacities.</w:t>
            </w:r>
          </w:p>
        </w:tc>
      </w:tr>
      <w:tr w:rsidR="004A2019" w:rsidRPr="00A33AE8" w14:paraId="5680A709"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5905FC8"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EB73BDE" w14:textId="77777777" w:rsidR="004A2019" w:rsidRPr="00A33AE8" w:rsidRDefault="00504AB8"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w:t>
            </w:r>
            <w:r>
              <w:rPr>
                <w:rFonts w:ascii="Calibri Light" w:eastAsia="Times New Roman" w:hAnsi="Calibri Light" w:cs="Calibri Light"/>
                <w:color w:val="000000"/>
                <w:sz w:val="20"/>
                <w:szCs w:val="20"/>
                <w:lang w:eastAsia="en-GB"/>
              </w:rPr>
              <w:t>3</w:t>
            </w:r>
            <w:r w:rsidR="004A2019" w:rsidRPr="00A33AE8">
              <w:rPr>
                <w:rFonts w:ascii="Calibri Light" w:eastAsia="Times New Roman" w:hAnsi="Calibri Light" w:cs="Calibri Light"/>
                <w:color w:val="000000"/>
                <w:sz w:val="20"/>
                <w:szCs w:val="20"/>
                <w:lang w:eastAsia="en-GB"/>
              </w:rPr>
              <w:t>-2030</w:t>
            </w:r>
          </w:p>
        </w:tc>
      </w:tr>
      <w:tr w:rsidR="004A2019" w:rsidRPr="00A33AE8" w14:paraId="53E77C2F"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094F9FC"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E46F9BD" w14:textId="77777777" w:rsidR="004A2019" w:rsidRPr="00A33AE8" w:rsidRDefault="009449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A2019" w:rsidRPr="00A33AE8" w14:paraId="21EB5E33"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293FD93"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273DCD3"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4A2019" w:rsidRPr="00A33AE8" w14:paraId="0D185108"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D89924F"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1BEBAFE" w14:textId="77777777" w:rsidR="004A2019"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4A2019" w:rsidRPr="00A33AE8" w14:paraId="7B8F47EF"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78E96092"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C2AA882" w14:textId="77777777" w:rsidR="00C85C56" w:rsidRPr="005B2C66" w:rsidRDefault="00C85C56"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Government of the Republic of Serbia</w:t>
            </w:r>
          </w:p>
        </w:tc>
      </w:tr>
      <w:tr w:rsidR="004A2019" w:rsidRPr="00A33AE8" w14:paraId="1FA1FBC1"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42C78B51"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C38870D" w14:textId="77777777" w:rsidR="004A2019"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and produced RES electricity</w:t>
            </w:r>
            <w:r w:rsidR="004A2019" w:rsidRPr="00A33AE8">
              <w:rPr>
                <w:rFonts w:ascii="Calibri Light" w:eastAsia="Times New Roman" w:hAnsi="Calibri Light" w:cs="Calibri Light"/>
                <w:color w:val="000000"/>
                <w:sz w:val="20"/>
                <w:szCs w:val="20"/>
                <w:lang w:eastAsia="en-GB"/>
              </w:rPr>
              <w:t> </w:t>
            </w:r>
          </w:p>
        </w:tc>
      </w:tr>
      <w:tr w:rsidR="006C6A30" w:rsidRPr="00A33AE8" w14:paraId="533F32E4" w14:textId="77777777" w:rsidTr="006769DA">
        <w:trPr>
          <w:gridAfter w:val="1"/>
          <w:wAfter w:w="222" w:type="dxa"/>
          <w:trHeight w:val="287"/>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443E2AC"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5B5BA5DE" w14:textId="77777777" w:rsidR="00C85C56" w:rsidRDefault="00C85C56"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65F71721" w14:textId="77777777" w:rsidR="006C6A30" w:rsidRPr="00C85C56" w:rsidRDefault="00C85C56"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4A2019" w:rsidRPr="00A33AE8" w14:paraId="50790E63"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A902FDE"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88925B9"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4A2019" w:rsidRPr="00A33AE8" w14:paraId="3DF5896B"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4F29C02F"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0FBEAB36"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0BAEBD2"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p>
        </w:tc>
      </w:tr>
      <w:tr w:rsidR="004A2019" w:rsidRPr="00A33AE8" w14:paraId="23D05013" w14:textId="77777777" w:rsidTr="006769DA">
        <w:trPr>
          <w:trHeight w:val="60"/>
        </w:trPr>
        <w:tc>
          <w:tcPr>
            <w:tcW w:w="3330" w:type="dxa"/>
            <w:vMerge/>
            <w:tcBorders>
              <w:top w:val="nil"/>
              <w:left w:val="single" w:sz="8" w:space="0" w:color="auto"/>
              <w:bottom w:val="single" w:sz="8" w:space="0" w:color="000000"/>
              <w:right w:val="single" w:sz="8" w:space="0" w:color="auto"/>
            </w:tcBorders>
            <w:vAlign w:val="center"/>
            <w:hideMark/>
          </w:tcPr>
          <w:p w14:paraId="0FA5953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5E59C2BB"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4906DC8"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56284154" w14:textId="77777777" w:rsidTr="006769DA">
        <w:trPr>
          <w:trHeight w:val="33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099CA82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9EB529B" w14:textId="77777777" w:rsidR="004A2019" w:rsidRPr="00A33AE8" w:rsidRDefault="004A2019" w:rsidP="00884F3B">
            <w:pPr>
              <w:pStyle w:val="ListParagraph"/>
              <w:numPr>
                <w:ilvl w:val="0"/>
                <w:numId w:val="17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33CCE2DF"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3A27FD4A"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15F15D2"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7D4FF1F" w14:textId="4C162DA2" w:rsidR="004A2019" w:rsidRPr="000007D2" w:rsidRDefault="0083312B" w:rsidP="006769DA">
            <w:pPr>
              <w:spacing w:after="0" w:line="240" w:lineRule="auto"/>
              <w:rPr>
                <w:rFonts w:ascii="Calibri" w:eastAsia="Times New Roman" w:hAnsi="Calibri" w:cs="Calibri"/>
                <w:color w:val="000000"/>
                <w:sz w:val="20"/>
                <w:szCs w:val="20"/>
                <w:lang w:eastAsia="en-GB"/>
              </w:rPr>
            </w:pPr>
            <w:r>
              <w:rPr>
                <w:rFonts w:ascii="Calibri Light" w:eastAsia="Times New Roman" w:hAnsi="Calibri Light" w:cs="Calibri Light"/>
                <w:color w:val="000000"/>
                <w:sz w:val="20"/>
                <w:szCs w:val="20"/>
                <w:lang w:eastAsia="en-GB"/>
              </w:rPr>
              <w:t>3</w:t>
            </w:r>
            <w:r w:rsidR="00485ADA" w:rsidRPr="00A33AE8">
              <w:rPr>
                <w:rFonts w:ascii="Calibri Light" w:eastAsia="Times New Roman" w:hAnsi="Calibri Light" w:cs="Calibri Light"/>
                <w:color w:val="000000"/>
                <w:sz w:val="20"/>
                <w:szCs w:val="20"/>
                <w:lang w:eastAsia="en-GB"/>
              </w:rPr>
              <w:t>.</w:t>
            </w:r>
            <w:r>
              <w:rPr>
                <w:rFonts w:ascii="Calibri Light" w:eastAsia="Times New Roman" w:hAnsi="Calibri Light" w:cs="Calibri Light"/>
                <w:color w:val="000000"/>
                <w:sz w:val="20"/>
                <w:szCs w:val="20"/>
                <w:lang w:eastAsia="en-GB"/>
              </w:rPr>
              <w:t>0</w:t>
            </w:r>
            <w:r w:rsidR="00245839" w:rsidRPr="00A33AE8">
              <w:rPr>
                <w:rFonts w:ascii="Calibri Light" w:eastAsia="Times New Roman" w:hAnsi="Calibri Light" w:cs="Calibri Light"/>
                <w:color w:val="000000"/>
                <w:sz w:val="20"/>
                <w:szCs w:val="20"/>
                <w:lang w:eastAsia="en-GB"/>
              </w:rPr>
              <w:t xml:space="preserve"> </w:t>
            </w:r>
            <w:r w:rsidR="004A2019" w:rsidRPr="00A33AE8">
              <w:rPr>
                <w:rFonts w:ascii="Calibri Light" w:eastAsia="Times New Roman" w:hAnsi="Calibri Light" w:cs="Calibri Light"/>
                <w:color w:val="000000"/>
                <w:sz w:val="20"/>
                <w:szCs w:val="20"/>
                <w:lang w:eastAsia="en-GB"/>
              </w:rPr>
              <w:t>B</w:t>
            </w:r>
            <w:r w:rsidR="004A2019" w:rsidRPr="00A33AE8">
              <w:rPr>
                <w:rFonts w:asciiTheme="majorHAnsi" w:eastAsia="Times New Roman" w:hAnsiTheme="majorHAnsi" w:cstheme="majorHAnsi"/>
                <w:color w:val="000000"/>
                <w:sz w:val="20"/>
                <w:szCs w:val="20"/>
                <w:lang w:eastAsia="en-GB"/>
              </w:rPr>
              <w:t>€</w:t>
            </w:r>
          </w:p>
        </w:tc>
        <w:tc>
          <w:tcPr>
            <w:tcW w:w="222" w:type="dxa"/>
            <w:vAlign w:val="center"/>
            <w:hideMark/>
          </w:tcPr>
          <w:p w14:paraId="614BF5F7"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0E46AF56"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B2CE3B0"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427AEAD" w14:textId="77777777" w:rsidR="004A2019" w:rsidRPr="00A33AE8" w:rsidRDefault="00DA202B" w:rsidP="006769DA">
            <w:pPr>
              <w:spacing w:after="0" w:line="240" w:lineRule="auto"/>
              <w:rPr>
                <w:rFonts w:ascii="Calibri" w:eastAsia="Times New Roman" w:hAnsi="Calibri" w:cs="Calibri"/>
                <w:color w:val="000000"/>
                <w:sz w:val="20"/>
                <w:szCs w:val="20"/>
                <w:lang w:eastAsia="en-GB"/>
              </w:rPr>
            </w:pPr>
            <w:r w:rsidRPr="00A33AE8">
              <w:rPr>
                <w:rFonts w:ascii="Calibri Light" w:eastAsia="Times New Roman" w:hAnsi="Calibri Light" w:cs="Calibri Light"/>
                <w:color w:val="000000"/>
                <w:sz w:val="20"/>
                <w:szCs w:val="20"/>
                <w:lang w:eastAsia="en-GB"/>
              </w:rPr>
              <w:t xml:space="preserve">Own </w:t>
            </w:r>
            <w:r w:rsidR="001E2118" w:rsidRPr="00A33AE8">
              <w:rPr>
                <w:rFonts w:ascii="Calibri Light" w:eastAsia="Times New Roman" w:hAnsi="Calibri Light" w:cs="Calibri Light"/>
                <w:color w:val="000000"/>
                <w:sz w:val="20"/>
                <w:szCs w:val="20"/>
                <w:lang w:eastAsia="en-GB"/>
              </w:rPr>
              <w:t>funds</w:t>
            </w:r>
            <w:r w:rsidR="00C36EE9" w:rsidRPr="00A33AE8">
              <w:rPr>
                <w:rFonts w:ascii="Calibri Light" w:eastAsia="Times New Roman" w:hAnsi="Calibri Light" w:cs="Calibri Light"/>
                <w:color w:val="000000"/>
                <w:sz w:val="20"/>
                <w:szCs w:val="20"/>
                <w:lang w:eastAsia="en-GB"/>
              </w:rPr>
              <w:t xml:space="preserve"> that will be compensated through the operational aid</w:t>
            </w:r>
          </w:p>
        </w:tc>
        <w:tc>
          <w:tcPr>
            <w:tcW w:w="222" w:type="dxa"/>
            <w:vAlign w:val="center"/>
            <w:hideMark/>
          </w:tcPr>
          <w:p w14:paraId="31651796"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bl>
    <w:p w14:paraId="48C1218D" w14:textId="77777777" w:rsidR="004A2019" w:rsidRPr="00A33AE8" w:rsidRDefault="004A2019" w:rsidP="004A2019">
      <w:pPr>
        <w:pStyle w:val="LDKbody"/>
        <w:rPr>
          <w:lang w:val="en-GB"/>
        </w:rPr>
      </w:pPr>
    </w:p>
    <w:tbl>
      <w:tblPr>
        <w:tblW w:w="9680" w:type="dxa"/>
        <w:tblLook w:val="04A0" w:firstRow="1" w:lastRow="0" w:firstColumn="1" w:lastColumn="0" w:noHBand="0" w:noVBand="1"/>
      </w:tblPr>
      <w:tblGrid>
        <w:gridCol w:w="3329"/>
        <w:gridCol w:w="941"/>
        <w:gridCol w:w="946"/>
        <w:gridCol w:w="4242"/>
        <w:gridCol w:w="222"/>
      </w:tblGrid>
      <w:tr w:rsidR="004A2019" w:rsidRPr="00A33AE8" w14:paraId="5258378C" w14:textId="77777777" w:rsidTr="006769DA">
        <w:trPr>
          <w:gridAfter w:val="1"/>
          <w:wAfter w:w="222" w:type="dxa"/>
          <w:trHeight w:val="780"/>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430F79D" w14:textId="77777777" w:rsidR="004A2019" w:rsidRPr="00A33AE8" w:rsidRDefault="004A201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5981042" w14:textId="77777777" w:rsidR="004A2019" w:rsidRPr="00A33AE8" w:rsidRDefault="004A201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PM_D20</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45B4A618"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3E54B2B2" w14:textId="77777777" w:rsidR="004A2019" w:rsidRPr="00A33AE8" w:rsidRDefault="00A24D77"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w:t>
            </w:r>
            <w:r w:rsidR="004A2019" w:rsidRPr="00A33AE8">
              <w:rPr>
                <w:rFonts w:ascii="Calibri Light" w:eastAsia="Times New Roman" w:hAnsi="Calibri Light" w:cs="Calibri Light"/>
                <w:b/>
                <w:bCs/>
                <w:color w:val="000000"/>
                <w:sz w:val="20"/>
                <w:szCs w:val="20"/>
                <w:lang w:eastAsia="en-GB"/>
              </w:rPr>
              <w:t xml:space="preserve"> of the legislative framework for the participation of the RES producers in electricity market</w:t>
            </w:r>
          </w:p>
        </w:tc>
      </w:tr>
      <w:tr w:rsidR="004A2019" w:rsidRPr="00A33AE8" w14:paraId="1423692F" w14:textId="77777777" w:rsidTr="006769DA">
        <w:trPr>
          <w:gridAfter w:val="1"/>
          <w:wAfter w:w="222" w:type="dxa"/>
          <w:trHeight w:val="371"/>
        </w:trPr>
        <w:tc>
          <w:tcPr>
            <w:tcW w:w="3329" w:type="dxa"/>
            <w:tcBorders>
              <w:top w:val="nil"/>
              <w:left w:val="single" w:sz="8" w:space="0" w:color="auto"/>
              <w:bottom w:val="single" w:sz="8" w:space="0" w:color="auto"/>
              <w:right w:val="nil"/>
            </w:tcBorders>
            <w:shd w:val="clear" w:color="000000" w:fill="244062"/>
            <w:vAlign w:val="center"/>
            <w:hideMark/>
          </w:tcPr>
          <w:p w14:paraId="1D57CA62"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BFBC0E2"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4A2019" w:rsidRPr="00A33AE8" w14:paraId="0E7C235E"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D86E3B4"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ADA29A3" w14:textId="77777777" w:rsidR="004A2019" w:rsidRPr="00A33AE8" w:rsidRDefault="00A24D77"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Harmonizing balancing capacity and demand and reduction of the respective costs</w:t>
            </w:r>
          </w:p>
        </w:tc>
      </w:tr>
      <w:tr w:rsidR="004A2019" w:rsidRPr="00A33AE8" w14:paraId="19FAB05B" w14:textId="77777777" w:rsidTr="006769DA">
        <w:trPr>
          <w:gridAfter w:val="1"/>
          <w:wAfter w:w="222" w:type="dxa"/>
          <w:trHeight w:val="1771"/>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B6575C2"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E637E8D" w14:textId="77777777" w:rsidR="004A2019" w:rsidRPr="00A33AE8" w:rsidRDefault="004A201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PM_D20 will </w:t>
            </w:r>
            <w:r w:rsidR="00A24D77" w:rsidRPr="00A33AE8">
              <w:rPr>
                <w:rFonts w:ascii="Calibri Light" w:eastAsia="Times New Roman" w:hAnsi="Calibri Light" w:cs="Calibri Light"/>
                <w:color w:val="000000"/>
                <w:sz w:val="20"/>
                <w:szCs w:val="20"/>
                <w:lang w:eastAsia="en-GB"/>
              </w:rPr>
              <w:t>foster</w:t>
            </w:r>
            <w:r w:rsidR="0008304F" w:rsidRPr="00A33AE8">
              <w:rPr>
                <w:rFonts w:ascii="Calibri Light" w:eastAsia="Times New Roman" w:hAnsi="Calibri Light" w:cs="Calibri Light"/>
                <w:color w:val="000000"/>
                <w:sz w:val="20"/>
                <w:szCs w:val="20"/>
                <w:lang w:eastAsia="en-GB"/>
              </w:rPr>
              <w:t xml:space="preserve"> the </w:t>
            </w:r>
            <w:r w:rsidR="00A24D77" w:rsidRPr="00A33AE8">
              <w:rPr>
                <w:rFonts w:ascii="Calibri Light" w:eastAsia="Times New Roman" w:hAnsi="Calibri Light" w:cs="Calibri Light"/>
                <w:color w:val="000000"/>
                <w:sz w:val="20"/>
                <w:szCs w:val="20"/>
                <w:lang w:eastAsia="en-GB"/>
              </w:rPr>
              <w:t>imposition of balancing</w:t>
            </w:r>
            <w:r w:rsidRPr="00A33AE8">
              <w:rPr>
                <w:rFonts w:ascii="Calibri Light" w:eastAsia="Times New Roman" w:hAnsi="Calibri Light" w:cs="Calibri Light"/>
                <w:color w:val="000000"/>
                <w:sz w:val="20"/>
                <w:szCs w:val="20"/>
                <w:lang w:eastAsia="en-GB"/>
              </w:rPr>
              <w:t xml:space="preserve"> obligation </w:t>
            </w:r>
            <w:r w:rsidR="00A24D77" w:rsidRPr="00A33AE8">
              <w:rPr>
                <w:rFonts w:ascii="Calibri Light" w:eastAsia="Times New Roman" w:hAnsi="Calibri Light" w:cs="Calibri Light"/>
                <w:color w:val="000000"/>
                <w:sz w:val="20"/>
                <w:szCs w:val="20"/>
                <w:lang w:eastAsia="en-GB"/>
              </w:rPr>
              <w:t>to</w:t>
            </w:r>
            <w:r w:rsidRPr="00A33AE8">
              <w:rPr>
                <w:rFonts w:ascii="Calibri Light" w:eastAsia="Times New Roman" w:hAnsi="Calibri Light" w:cs="Calibri Light"/>
                <w:color w:val="000000"/>
                <w:sz w:val="20"/>
                <w:szCs w:val="20"/>
                <w:lang w:eastAsia="en-GB"/>
              </w:rPr>
              <w:t xml:space="preserve"> renewable energy stations</w:t>
            </w:r>
            <w:r w:rsidR="00A24D77" w:rsidRPr="00A33AE8">
              <w:t xml:space="preserve"> </w:t>
            </w:r>
            <w:r w:rsidR="00A24D77" w:rsidRPr="00A33AE8">
              <w:rPr>
                <w:rFonts w:ascii="Calibri Light" w:eastAsia="Times New Roman" w:hAnsi="Calibri Light" w:cs="Calibri Light"/>
                <w:color w:val="000000"/>
                <w:sz w:val="20"/>
                <w:szCs w:val="20"/>
                <w:lang w:eastAsia="en-GB"/>
              </w:rPr>
              <w:t xml:space="preserve">so as </w:t>
            </w:r>
            <w:r w:rsidRPr="00A33AE8">
              <w:rPr>
                <w:rFonts w:ascii="Calibri Light" w:eastAsia="Times New Roman" w:hAnsi="Calibri Light" w:cs="Calibri Light"/>
                <w:color w:val="000000"/>
                <w:sz w:val="20"/>
                <w:szCs w:val="20"/>
                <w:lang w:eastAsia="en-GB"/>
              </w:rPr>
              <w:t xml:space="preserve">to participate in the electricity market. The legislative framework for the participation of the renewable energy producers in electricity market will </w:t>
            </w:r>
            <w:r w:rsidR="0008304F" w:rsidRPr="00A33AE8">
              <w:rPr>
                <w:rFonts w:ascii="Calibri Light" w:eastAsia="Times New Roman" w:hAnsi="Calibri Light" w:cs="Calibri Light"/>
                <w:color w:val="000000"/>
                <w:sz w:val="20"/>
                <w:szCs w:val="20"/>
                <w:lang w:eastAsia="en-GB"/>
              </w:rPr>
              <w:t>be</w:t>
            </w:r>
            <w:r w:rsidR="00504AB8">
              <w:rPr>
                <w:rFonts w:ascii="Calibri Light" w:eastAsia="Times New Roman" w:hAnsi="Calibri Light" w:cs="Calibri Light"/>
                <w:color w:val="000000"/>
                <w:sz w:val="20"/>
                <w:szCs w:val="20"/>
                <w:lang w:eastAsia="en-GB"/>
              </w:rPr>
              <w:t xml:space="preserve"> </w:t>
            </w:r>
            <w:r w:rsidR="00504AB8" w:rsidRPr="00504AB8">
              <w:rPr>
                <w:rFonts w:ascii="Calibri Light" w:eastAsia="Times New Roman" w:hAnsi="Calibri Light" w:cs="Calibri Light"/>
                <w:color w:val="000000"/>
                <w:sz w:val="20"/>
                <w:szCs w:val="20"/>
                <w:lang w:eastAsia="en-GB"/>
              </w:rPr>
              <w:t>effectively</w:t>
            </w:r>
            <w:r w:rsidR="0008304F" w:rsidRPr="00A33AE8">
              <w:rPr>
                <w:rFonts w:ascii="Calibri Light" w:eastAsia="Times New Roman" w:hAnsi="Calibri Light" w:cs="Calibri Light"/>
                <w:color w:val="000000"/>
                <w:sz w:val="20"/>
                <w:szCs w:val="20"/>
                <w:lang w:eastAsia="en-GB"/>
              </w:rPr>
              <w:t xml:space="preserve"> </w:t>
            </w:r>
            <w:r w:rsidR="00A24D77" w:rsidRPr="00A33AE8">
              <w:rPr>
                <w:rFonts w:ascii="Calibri Light" w:eastAsia="Times New Roman" w:hAnsi="Calibri Light" w:cs="Calibri Light"/>
                <w:color w:val="000000"/>
                <w:sz w:val="20"/>
                <w:szCs w:val="20"/>
                <w:lang w:eastAsia="en-GB"/>
              </w:rPr>
              <w:t>adapted</w:t>
            </w:r>
            <w:r w:rsidRPr="00A33AE8">
              <w:rPr>
                <w:rFonts w:ascii="Calibri Light" w:eastAsia="Times New Roman" w:hAnsi="Calibri Light" w:cs="Calibri Light"/>
                <w:color w:val="000000"/>
                <w:sz w:val="20"/>
                <w:szCs w:val="20"/>
                <w:lang w:eastAsia="en-GB"/>
              </w:rPr>
              <w:t xml:space="preserve">, while </w:t>
            </w:r>
            <w:r w:rsidR="0008304F" w:rsidRPr="00A33AE8">
              <w:rPr>
                <w:rFonts w:ascii="Calibri Light" w:eastAsia="Times New Roman" w:hAnsi="Calibri Light" w:cs="Calibri Light"/>
                <w:color w:val="000000"/>
                <w:sz w:val="20"/>
                <w:szCs w:val="20"/>
                <w:lang w:eastAsia="en-GB"/>
              </w:rPr>
              <w:t>the impact of the</w:t>
            </w:r>
            <w:r w:rsidRPr="00A33AE8">
              <w:rPr>
                <w:rFonts w:ascii="Calibri Light" w:eastAsia="Times New Roman" w:hAnsi="Calibri Light" w:cs="Calibri Light"/>
                <w:color w:val="000000"/>
                <w:sz w:val="20"/>
                <w:szCs w:val="20"/>
                <w:lang w:eastAsia="en-GB"/>
              </w:rPr>
              <w:t xml:space="preserve"> </w:t>
            </w:r>
            <w:r w:rsidR="00A24D77" w:rsidRPr="00A33AE8">
              <w:rPr>
                <w:rFonts w:ascii="Calibri Light" w:eastAsia="Times New Roman" w:hAnsi="Calibri Light" w:cs="Calibri Light"/>
                <w:color w:val="000000"/>
                <w:sz w:val="20"/>
                <w:szCs w:val="20"/>
                <w:lang w:eastAsia="en-GB"/>
              </w:rPr>
              <w:t>balancing responsibilities</w:t>
            </w:r>
            <w:r w:rsidRPr="00A33AE8">
              <w:rPr>
                <w:rFonts w:ascii="Calibri Light" w:eastAsia="Times New Roman" w:hAnsi="Calibri Light" w:cs="Calibri Light"/>
                <w:color w:val="000000"/>
                <w:sz w:val="20"/>
                <w:szCs w:val="20"/>
                <w:lang w:eastAsia="en-GB"/>
              </w:rPr>
              <w:t xml:space="preserve"> will be </w:t>
            </w:r>
            <w:r w:rsidR="0008304F" w:rsidRPr="00A33AE8">
              <w:rPr>
                <w:rFonts w:ascii="Calibri Light" w:eastAsia="Times New Roman" w:hAnsi="Calibri Light" w:cs="Calibri Light"/>
                <w:color w:val="000000"/>
                <w:sz w:val="20"/>
                <w:szCs w:val="20"/>
                <w:lang w:eastAsia="en-GB"/>
              </w:rPr>
              <w:t>examined</w:t>
            </w:r>
            <w:r w:rsidRPr="00A33AE8">
              <w:rPr>
                <w:rFonts w:ascii="Calibri Light" w:eastAsia="Times New Roman" w:hAnsi="Calibri Light" w:cs="Calibri Light"/>
                <w:color w:val="000000"/>
                <w:sz w:val="20"/>
                <w:szCs w:val="20"/>
                <w:lang w:eastAsia="en-GB"/>
              </w:rPr>
              <w:t xml:space="preserve"> </w:t>
            </w:r>
            <w:r w:rsidR="00A24D77" w:rsidRPr="00A33AE8">
              <w:rPr>
                <w:rFonts w:ascii="Calibri Light" w:eastAsia="Times New Roman" w:hAnsi="Calibri Light" w:cs="Calibri Light"/>
                <w:color w:val="000000"/>
                <w:sz w:val="20"/>
                <w:szCs w:val="20"/>
                <w:lang w:eastAsia="en-GB"/>
              </w:rPr>
              <w:t xml:space="preserve">for </w:t>
            </w:r>
            <w:r w:rsidR="0008304F" w:rsidRPr="00A33AE8">
              <w:rPr>
                <w:rFonts w:ascii="Calibri Light" w:eastAsia="Times New Roman" w:hAnsi="Calibri Light" w:cs="Calibri Light"/>
                <w:color w:val="000000"/>
                <w:sz w:val="20"/>
                <w:szCs w:val="20"/>
                <w:lang w:eastAsia="en-GB"/>
              </w:rPr>
              <w:t xml:space="preserve">the different types of renewable stations </w:t>
            </w:r>
            <w:r w:rsidR="00BF20FA" w:rsidRPr="00A33AE8">
              <w:rPr>
                <w:rFonts w:ascii="Calibri Light" w:eastAsia="Times New Roman" w:hAnsi="Calibri Light" w:cs="Calibri Light"/>
                <w:color w:val="000000"/>
                <w:sz w:val="20"/>
                <w:szCs w:val="20"/>
                <w:lang w:eastAsia="en-GB"/>
              </w:rPr>
              <w:t>taking into consideration</w:t>
            </w:r>
            <w:r w:rsidRPr="00A33AE8">
              <w:rPr>
                <w:rFonts w:ascii="Calibri Light" w:eastAsia="Times New Roman" w:hAnsi="Calibri Light" w:cs="Calibri Light"/>
                <w:color w:val="000000"/>
                <w:sz w:val="20"/>
                <w:szCs w:val="20"/>
                <w:lang w:eastAsia="en-GB"/>
              </w:rPr>
              <w:t xml:space="preserve"> their installed capacity and their technical maturity. Moreover, the </w:t>
            </w:r>
            <w:r w:rsidR="0008304F" w:rsidRPr="00A33AE8">
              <w:rPr>
                <w:rFonts w:ascii="Calibri Light" w:eastAsia="Times New Roman" w:hAnsi="Calibri Light" w:cs="Calibri Light"/>
                <w:color w:val="000000"/>
                <w:sz w:val="20"/>
                <w:szCs w:val="20"/>
                <w:lang w:eastAsia="en-GB"/>
              </w:rPr>
              <w:t>provided</w:t>
            </w:r>
            <w:r w:rsidRPr="00A33AE8">
              <w:rPr>
                <w:rFonts w:ascii="Calibri Light" w:eastAsia="Times New Roman" w:hAnsi="Calibri Light" w:cs="Calibri Light"/>
                <w:color w:val="000000"/>
                <w:sz w:val="20"/>
                <w:szCs w:val="20"/>
                <w:lang w:eastAsia="en-GB"/>
              </w:rPr>
              <w:t xml:space="preserve"> capability to fulfi</w:t>
            </w:r>
            <w:r w:rsidR="0008304F" w:rsidRPr="00A33AE8">
              <w:rPr>
                <w:rFonts w:ascii="Calibri Light" w:eastAsia="Times New Roman" w:hAnsi="Calibri Light" w:cs="Calibri Light"/>
                <w:color w:val="000000"/>
                <w:sz w:val="20"/>
                <w:szCs w:val="20"/>
                <w:lang w:eastAsia="en-GB"/>
              </w:rPr>
              <w:t xml:space="preserve">l </w:t>
            </w:r>
            <w:r w:rsidRPr="00A33AE8">
              <w:rPr>
                <w:rFonts w:ascii="Calibri Light" w:eastAsia="Times New Roman" w:hAnsi="Calibri Light" w:cs="Calibri Light"/>
                <w:color w:val="000000"/>
                <w:sz w:val="20"/>
                <w:szCs w:val="20"/>
                <w:lang w:eastAsia="en-GB"/>
              </w:rPr>
              <w:t xml:space="preserve">the obligation by aggregators </w:t>
            </w:r>
            <w:r w:rsidR="0008304F" w:rsidRPr="00A33AE8">
              <w:rPr>
                <w:rFonts w:ascii="Calibri Light" w:eastAsia="Times New Roman" w:hAnsi="Calibri Light" w:cs="Calibri Light"/>
                <w:color w:val="000000"/>
                <w:sz w:val="20"/>
                <w:szCs w:val="20"/>
                <w:lang w:eastAsia="en-GB"/>
              </w:rPr>
              <w:t xml:space="preserve">will be </w:t>
            </w:r>
            <w:r w:rsidR="00A24D77" w:rsidRPr="00A33AE8">
              <w:rPr>
                <w:rFonts w:ascii="Calibri Light" w:eastAsia="Times New Roman" w:hAnsi="Calibri Light" w:cs="Calibri Light"/>
                <w:color w:val="000000"/>
                <w:sz w:val="20"/>
                <w:szCs w:val="20"/>
                <w:lang w:eastAsia="en-GB"/>
              </w:rPr>
              <w:t>examined</w:t>
            </w:r>
            <w:r w:rsidR="0008304F" w:rsidRPr="00A33AE8">
              <w:rPr>
                <w:rFonts w:ascii="Calibri Light" w:eastAsia="Times New Roman" w:hAnsi="Calibri Light" w:cs="Calibri Light"/>
                <w:color w:val="000000"/>
                <w:sz w:val="20"/>
                <w:szCs w:val="20"/>
                <w:lang w:eastAsia="en-GB"/>
              </w:rPr>
              <w:t xml:space="preserve"> focusing on</w:t>
            </w:r>
            <w:r w:rsidRPr="00A33AE8">
              <w:rPr>
                <w:rFonts w:ascii="Calibri Light" w:eastAsia="Times New Roman" w:hAnsi="Calibri Light" w:cs="Calibri Light"/>
                <w:color w:val="000000"/>
                <w:sz w:val="20"/>
                <w:szCs w:val="20"/>
                <w:lang w:eastAsia="en-GB"/>
              </w:rPr>
              <w:t xml:space="preserve"> all the operational aspects </w:t>
            </w:r>
            <w:r w:rsidR="0008304F" w:rsidRPr="00A33AE8">
              <w:rPr>
                <w:rFonts w:ascii="Calibri Light" w:eastAsia="Times New Roman" w:hAnsi="Calibri Light" w:cs="Calibri Light"/>
                <w:color w:val="000000"/>
                <w:sz w:val="20"/>
                <w:szCs w:val="20"/>
                <w:lang w:eastAsia="en-GB"/>
              </w:rPr>
              <w:t xml:space="preserve">so as to be applied </w:t>
            </w:r>
            <w:r w:rsidRPr="00A33AE8">
              <w:rPr>
                <w:rFonts w:ascii="Calibri Light" w:eastAsia="Times New Roman" w:hAnsi="Calibri Light" w:cs="Calibri Light"/>
                <w:color w:val="000000"/>
                <w:sz w:val="20"/>
                <w:szCs w:val="20"/>
                <w:lang w:eastAsia="en-GB"/>
              </w:rPr>
              <w:t>with accuracy and transparency.</w:t>
            </w:r>
          </w:p>
        </w:tc>
      </w:tr>
      <w:tr w:rsidR="004A2019" w:rsidRPr="00A33AE8" w14:paraId="3F9DA3B2"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14C5153"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7D8B4D2" w14:textId="77777777" w:rsidR="004A2019" w:rsidRPr="005B2C66" w:rsidRDefault="00D64D69" w:rsidP="006769DA">
            <w:pPr>
              <w:spacing w:after="0" w:line="240" w:lineRule="auto"/>
              <w:rPr>
                <w:rFonts w:ascii="Calibri Light" w:eastAsia="Times New Roman" w:hAnsi="Calibri Light" w:cs="Calibri Light"/>
                <w:color w:val="000000"/>
                <w:sz w:val="20"/>
                <w:szCs w:val="20"/>
                <w:lang w:val="sr-Cyrl-RS" w:eastAsia="en-GB"/>
              </w:rPr>
            </w:pPr>
            <w:r w:rsidRPr="00A33AE8">
              <w:rPr>
                <w:rFonts w:ascii="Calibri Light" w:eastAsia="Times New Roman" w:hAnsi="Calibri Light" w:cs="Calibri Light"/>
                <w:color w:val="000000"/>
                <w:sz w:val="20"/>
                <w:szCs w:val="20"/>
                <w:lang w:eastAsia="en-GB"/>
              </w:rPr>
              <w:t>202</w:t>
            </w:r>
            <w:r>
              <w:rPr>
                <w:rFonts w:ascii="Calibri Light" w:eastAsia="Times New Roman" w:hAnsi="Calibri Light" w:cs="Calibri Light"/>
                <w:color w:val="000000"/>
                <w:sz w:val="20"/>
                <w:szCs w:val="20"/>
                <w:lang w:eastAsia="en-GB"/>
              </w:rPr>
              <w:t>3</w:t>
            </w:r>
            <w:r w:rsidR="004A2019" w:rsidRPr="00A33AE8">
              <w:rPr>
                <w:rFonts w:ascii="Calibri Light" w:eastAsia="Times New Roman" w:hAnsi="Calibri Light" w:cs="Calibri Light"/>
                <w:color w:val="000000"/>
                <w:sz w:val="20"/>
                <w:szCs w:val="20"/>
                <w:lang w:eastAsia="en-GB"/>
              </w:rPr>
              <w:t>-</w:t>
            </w:r>
            <w:r w:rsidR="00053965" w:rsidRPr="00A33AE8">
              <w:rPr>
                <w:rFonts w:ascii="Calibri Light" w:eastAsia="Times New Roman" w:hAnsi="Calibri Light" w:cs="Calibri Light"/>
                <w:color w:val="000000"/>
                <w:sz w:val="20"/>
                <w:szCs w:val="20"/>
                <w:lang w:eastAsia="en-GB"/>
              </w:rPr>
              <w:t>20</w:t>
            </w:r>
            <w:r w:rsidR="00053965">
              <w:rPr>
                <w:rFonts w:ascii="Calibri Light" w:eastAsia="Times New Roman" w:hAnsi="Calibri Light" w:cs="Calibri Light"/>
                <w:color w:val="000000"/>
                <w:sz w:val="20"/>
                <w:szCs w:val="20"/>
                <w:lang w:val="sr-Cyrl-RS" w:eastAsia="en-GB"/>
              </w:rPr>
              <w:t>26</w:t>
            </w:r>
          </w:p>
        </w:tc>
      </w:tr>
      <w:tr w:rsidR="004A2019" w:rsidRPr="00A33AE8" w14:paraId="4869805D"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D9DC17A"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81428AE"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Regulatory</w:t>
            </w:r>
          </w:p>
        </w:tc>
      </w:tr>
      <w:tr w:rsidR="004A2019" w:rsidRPr="00A33AE8" w14:paraId="2B68FB79"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26E51DF"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D478293"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4A2019" w:rsidRPr="00A33AE8" w14:paraId="32385DEA"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5842207"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91A54E9" w14:textId="77777777" w:rsidR="004A2019"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4A2019" w:rsidRPr="00A33AE8" w14:paraId="075D2004"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3777A9BB"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4B74EF8" w14:textId="77777777" w:rsidR="004A2019" w:rsidRPr="005B2C66" w:rsidRDefault="00C85C56"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Government of the Republic of Serbia</w:t>
            </w:r>
          </w:p>
        </w:tc>
      </w:tr>
      <w:tr w:rsidR="004A2019" w:rsidRPr="00A33AE8" w14:paraId="47D18888"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1AA1FB78"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338DF0B" w14:textId="77777777" w:rsidR="004A2019" w:rsidRPr="00A33AE8" w:rsidRDefault="00024FB3"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Development of legislative </w:t>
            </w:r>
            <w:r w:rsidR="001E2118" w:rsidRPr="00A33AE8">
              <w:rPr>
                <w:rFonts w:ascii="Calibri Light" w:eastAsia="Times New Roman" w:hAnsi="Calibri Light" w:cs="Calibri Light"/>
                <w:color w:val="000000"/>
                <w:sz w:val="20"/>
                <w:szCs w:val="20"/>
                <w:lang w:eastAsia="en-GB"/>
              </w:rPr>
              <w:t xml:space="preserve">and regulatory </w:t>
            </w:r>
            <w:r w:rsidRPr="00A33AE8">
              <w:rPr>
                <w:rFonts w:ascii="Calibri Light" w:eastAsia="Times New Roman" w:hAnsi="Calibri Light" w:cs="Calibri Light"/>
                <w:color w:val="000000"/>
                <w:sz w:val="20"/>
                <w:szCs w:val="20"/>
                <w:lang w:eastAsia="en-GB"/>
              </w:rPr>
              <w:t>framework</w:t>
            </w:r>
          </w:p>
        </w:tc>
      </w:tr>
      <w:tr w:rsidR="006C6A30" w:rsidRPr="00A33AE8" w14:paraId="78371A02" w14:textId="77777777" w:rsidTr="006769DA">
        <w:trPr>
          <w:gridAfter w:val="1"/>
          <w:wAfter w:w="222" w:type="dxa"/>
          <w:trHeight w:val="159"/>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C6F9396"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F7DB496" w14:textId="77777777" w:rsidR="00C85C56" w:rsidRPr="00C85C56" w:rsidRDefault="00C85C56" w:rsidP="00884F3B">
            <w:pPr>
              <w:pStyle w:val="ListParagraph"/>
              <w:numPr>
                <w:ilvl w:val="0"/>
                <w:numId w:val="121"/>
              </w:numPr>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4485C931" w14:textId="77777777" w:rsidR="00C85C56" w:rsidRPr="00C85C56" w:rsidRDefault="00C85C56" w:rsidP="00884F3B">
            <w:pPr>
              <w:pStyle w:val="ListParagraph"/>
              <w:numPr>
                <w:ilvl w:val="0"/>
                <w:numId w:val="121"/>
              </w:numPr>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p w14:paraId="5B842973" w14:textId="77777777" w:rsidR="006C6A30" w:rsidRPr="00A33AE8" w:rsidRDefault="00C85C56"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Internal energy market (the penetration of RES technologies will reinforce the market integration and coupling and ensure electricity system adequacy and flexibility)</w:t>
            </w:r>
          </w:p>
        </w:tc>
      </w:tr>
      <w:tr w:rsidR="004A2019" w:rsidRPr="00A33AE8" w14:paraId="012FB598" w14:textId="77777777" w:rsidTr="006769D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4EDBAE1"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F274931"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4A2019" w:rsidRPr="00A33AE8" w14:paraId="7631DB9B" w14:textId="77777777" w:rsidTr="006769D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1E564510"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6EA43D2B"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DCB9578"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p>
        </w:tc>
      </w:tr>
      <w:tr w:rsidR="004A2019" w:rsidRPr="00A33AE8" w14:paraId="61BADA16" w14:textId="77777777" w:rsidTr="006769DA">
        <w:trPr>
          <w:trHeight w:val="60"/>
        </w:trPr>
        <w:tc>
          <w:tcPr>
            <w:tcW w:w="3329" w:type="dxa"/>
            <w:vMerge/>
            <w:tcBorders>
              <w:top w:val="nil"/>
              <w:left w:val="single" w:sz="8" w:space="0" w:color="auto"/>
              <w:bottom w:val="single" w:sz="8" w:space="0" w:color="000000"/>
              <w:right w:val="single" w:sz="8" w:space="0" w:color="auto"/>
            </w:tcBorders>
            <w:vAlign w:val="center"/>
            <w:hideMark/>
          </w:tcPr>
          <w:p w14:paraId="71C2C04B"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5757E82B"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2729B40"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058F5ED6" w14:textId="77777777" w:rsidTr="006769DA">
        <w:trPr>
          <w:trHeight w:val="391"/>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84D7726"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EE0E1FE" w14:textId="77777777" w:rsidR="00404089" w:rsidRPr="00A33AE8" w:rsidRDefault="00404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p w14:paraId="044AAA6A"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3F784F84"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5486F106"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6835F016"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8486C9B" w14:textId="77777777" w:rsidR="004A2019" w:rsidRPr="00A33AE8" w:rsidRDefault="0094492F"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0.2 M€</w:t>
            </w:r>
          </w:p>
        </w:tc>
        <w:tc>
          <w:tcPr>
            <w:tcW w:w="222" w:type="dxa"/>
            <w:vAlign w:val="center"/>
            <w:hideMark/>
          </w:tcPr>
          <w:p w14:paraId="0D7B76BD"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3A2F57BD"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7D94E24"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697A88C" w14:textId="77777777" w:rsidR="004A2019" w:rsidRPr="00A33AE8" w:rsidRDefault="00F352C5" w:rsidP="006769DA">
            <w:pPr>
              <w:spacing w:after="0" w:line="240" w:lineRule="auto"/>
              <w:rPr>
                <w:rFonts w:ascii="Calibri" w:eastAsia="Times New Roman" w:hAnsi="Calibri" w:cs="Calibri"/>
                <w:color w:val="000000"/>
                <w:sz w:val="20"/>
                <w:szCs w:val="20"/>
                <w:highlight w:val="yellow"/>
                <w:lang w:eastAsia="en-GB"/>
              </w:rPr>
            </w:pPr>
            <w:r w:rsidRPr="00A33AE8">
              <w:rPr>
                <w:rFonts w:ascii="Calibri" w:eastAsia="Times New Roman" w:hAnsi="Calibri" w:cs="Calibri"/>
                <w:color w:val="000000"/>
                <w:sz w:val="20"/>
                <w:szCs w:val="20"/>
                <w:lang w:eastAsia="en-GB"/>
              </w:rPr>
              <w:t>EU and other funds, public funds</w:t>
            </w:r>
          </w:p>
        </w:tc>
        <w:tc>
          <w:tcPr>
            <w:tcW w:w="222" w:type="dxa"/>
            <w:vAlign w:val="center"/>
            <w:hideMark/>
          </w:tcPr>
          <w:p w14:paraId="4329EB29"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bl>
    <w:p w14:paraId="4545D151" w14:textId="77777777" w:rsidR="004A2019" w:rsidRPr="00A33AE8" w:rsidRDefault="004A2019" w:rsidP="004A2019">
      <w:pPr>
        <w:pStyle w:val="LDKbody"/>
        <w:rPr>
          <w:lang w:val="en-GB"/>
        </w:rPr>
      </w:pPr>
    </w:p>
    <w:tbl>
      <w:tblPr>
        <w:tblW w:w="9680" w:type="dxa"/>
        <w:tblLook w:val="04A0" w:firstRow="1" w:lastRow="0" w:firstColumn="1" w:lastColumn="0" w:noHBand="0" w:noVBand="1"/>
      </w:tblPr>
      <w:tblGrid>
        <w:gridCol w:w="3330"/>
        <w:gridCol w:w="940"/>
        <w:gridCol w:w="946"/>
        <w:gridCol w:w="4242"/>
        <w:gridCol w:w="222"/>
      </w:tblGrid>
      <w:tr w:rsidR="004A2019" w:rsidRPr="00A33AE8" w14:paraId="62CBE33F" w14:textId="77777777" w:rsidTr="006769DA">
        <w:trPr>
          <w:gridAfter w:val="1"/>
          <w:wAfter w:w="222" w:type="dxa"/>
          <w:trHeight w:val="780"/>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27BDA3B" w14:textId="77777777" w:rsidR="004A2019" w:rsidRPr="00A33AE8" w:rsidRDefault="004A201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046FE00E" w14:textId="77777777" w:rsidR="004A2019" w:rsidRPr="00A33AE8" w:rsidRDefault="004A201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PM_D21</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52F32BA9"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55DEE389" w14:textId="3A752FDA" w:rsidR="004A2019" w:rsidRPr="00A33AE8" w:rsidRDefault="00C365D8" w:rsidP="000007D2">
            <w:pPr>
              <w:spacing w:after="0"/>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Supporting electricity production from renewable stations that will not participate into the auctions</w:t>
            </w:r>
            <w:r w:rsidR="000C04F5">
              <w:rPr>
                <w:rFonts w:ascii="Calibri Light" w:eastAsia="Times New Roman" w:hAnsi="Calibri Light" w:cs="Calibri Light"/>
                <w:b/>
                <w:bCs/>
                <w:color w:val="000000"/>
                <w:sz w:val="20"/>
                <w:szCs w:val="20"/>
                <w:lang w:eastAsia="en-GB"/>
              </w:rPr>
              <w:t xml:space="preserve"> </w:t>
            </w:r>
            <w:r w:rsidR="000C04F5" w:rsidRPr="0087794A">
              <w:rPr>
                <w:rFonts w:ascii="Calibri Light" w:eastAsia="Times New Roman" w:hAnsi="Calibri Light" w:cs="Calibri Light"/>
                <w:b/>
                <w:bCs/>
                <w:color w:val="000000"/>
                <w:sz w:val="20"/>
                <w:szCs w:val="20"/>
                <w:lang w:eastAsia="en-GB"/>
              </w:rPr>
              <w:t>including the deployment of renewables power purchase agreements</w:t>
            </w:r>
          </w:p>
        </w:tc>
      </w:tr>
      <w:tr w:rsidR="004A2019" w:rsidRPr="00A33AE8" w14:paraId="324AD371" w14:textId="77777777" w:rsidTr="006769DA">
        <w:trPr>
          <w:gridAfter w:val="1"/>
          <w:wAfter w:w="222" w:type="dxa"/>
          <w:trHeight w:val="385"/>
        </w:trPr>
        <w:tc>
          <w:tcPr>
            <w:tcW w:w="3330" w:type="dxa"/>
            <w:tcBorders>
              <w:top w:val="nil"/>
              <w:left w:val="single" w:sz="8" w:space="0" w:color="auto"/>
              <w:bottom w:val="single" w:sz="8" w:space="0" w:color="auto"/>
              <w:right w:val="nil"/>
            </w:tcBorders>
            <w:shd w:val="clear" w:color="000000" w:fill="244062"/>
            <w:vAlign w:val="center"/>
            <w:hideMark/>
          </w:tcPr>
          <w:p w14:paraId="42D9D7FB"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A3F87D5"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4A2019" w:rsidRPr="00A33AE8" w14:paraId="1048856B"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B9E6074"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5E72A25" w14:textId="09E18CE0" w:rsidR="004A2019" w:rsidRPr="00A33AE8" w:rsidRDefault="0083312B" w:rsidP="006769DA">
            <w:pPr>
              <w:spacing w:after="0" w:line="240" w:lineRule="auto"/>
              <w:rPr>
                <w:rFonts w:ascii="Calibri" w:eastAsia="Times New Roman" w:hAnsi="Calibri" w:cs="Calibri"/>
                <w:color w:val="000000"/>
                <w:sz w:val="20"/>
                <w:szCs w:val="20"/>
                <w:lang w:eastAsia="en-GB"/>
              </w:rPr>
            </w:pPr>
            <w:r>
              <w:rPr>
                <w:rFonts w:ascii="Calibri Light" w:eastAsia="Times New Roman" w:hAnsi="Calibri Light" w:cs="Calibri Light"/>
                <w:color w:val="000000"/>
                <w:sz w:val="20"/>
                <w:szCs w:val="20"/>
                <w:lang w:eastAsia="en-GB"/>
              </w:rPr>
              <w:t xml:space="preserve">Up to </w:t>
            </w:r>
            <w:r w:rsidR="00245839" w:rsidRPr="00A33AE8">
              <w:rPr>
                <w:rFonts w:ascii="Calibri Light" w:eastAsia="Times New Roman" w:hAnsi="Calibri Light" w:cs="Calibri Light"/>
                <w:color w:val="000000"/>
                <w:sz w:val="20"/>
                <w:szCs w:val="20"/>
                <w:lang w:eastAsia="en-GB"/>
              </w:rPr>
              <w:t>0</w:t>
            </w:r>
            <w:r w:rsidR="004A2019" w:rsidRPr="00A33AE8">
              <w:rPr>
                <w:rFonts w:ascii="Calibri Light" w:eastAsia="Times New Roman" w:hAnsi="Calibri Light" w:cs="Calibri Light"/>
                <w:color w:val="000000"/>
                <w:sz w:val="20"/>
                <w:szCs w:val="20"/>
                <w:lang w:eastAsia="en-GB"/>
              </w:rPr>
              <w:t>.5 GW</w:t>
            </w:r>
            <w:r w:rsidR="005D2B0E" w:rsidRPr="00A33AE8">
              <w:rPr>
                <w:rFonts w:ascii="Calibri Light" w:eastAsia="Times New Roman" w:hAnsi="Calibri Light" w:cs="Calibri Light"/>
                <w:color w:val="000000"/>
                <w:sz w:val="20"/>
                <w:szCs w:val="20"/>
                <w:lang w:eastAsia="en-GB"/>
              </w:rPr>
              <w:t xml:space="preserve"> </w:t>
            </w:r>
            <w:r w:rsidR="00245839" w:rsidRPr="00A33AE8">
              <w:rPr>
                <w:rFonts w:ascii="Calibri Light" w:eastAsia="Times New Roman" w:hAnsi="Calibri Light" w:cs="Calibri Light"/>
                <w:color w:val="000000"/>
                <w:sz w:val="20"/>
                <w:szCs w:val="20"/>
                <w:lang w:eastAsia="en-GB"/>
              </w:rPr>
              <w:t xml:space="preserve">of photovoltaic </w:t>
            </w:r>
            <w:r w:rsidR="00590DC5" w:rsidRPr="00A33AE8">
              <w:rPr>
                <w:rFonts w:ascii="Calibri Light" w:eastAsia="Times New Roman" w:hAnsi="Calibri Light" w:cs="Calibri Light"/>
                <w:color w:val="000000"/>
                <w:sz w:val="20"/>
                <w:szCs w:val="20"/>
                <w:lang w:eastAsia="en-GB"/>
              </w:rPr>
              <w:t>systems</w:t>
            </w:r>
            <w:r w:rsidR="00245839" w:rsidRPr="00A33AE8">
              <w:rPr>
                <w:rFonts w:ascii="Calibri Light" w:eastAsia="Times New Roman" w:hAnsi="Calibri Light" w:cs="Calibri Light"/>
                <w:color w:val="000000"/>
                <w:sz w:val="20"/>
                <w:szCs w:val="20"/>
                <w:lang w:eastAsia="en-GB"/>
              </w:rPr>
              <w:t xml:space="preserve"> </w:t>
            </w:r>
            <w:r w:rsidR="005D2B0E" w:rsidRPr="00A33AE8">
              <w:rPr>
                <w:rFonts w:ascii="Calibri Light" w:eastAsia="Times New Roman" w:hAnsi="Calibri Light" w:cs="Calibri Light"/>
                <w:color w:val="000000"/>
                <w:sz w:val="20"/>
                <w:szCs w:val="20"/>
                <w:lang w:eastAsia="en-GB"/>
              </w:rPr>
              <w:t>will be supported by PM_D21 in combination with PM_</w:t>
            </w:r>
            <w:r w:rsidR="00C365D8" w:rsidRPr="00A33AE8">
              <w:rPr>
                <w:rFonts w:ascii="Calibri Light" w:eastAsia="Times New Roman" w:hAnsi="Calibri Light" w:cs="Calibri Light"/>
                <w:color w:val="000000"/>
                <w:sz w:val="20"/>
                <w:szCs w:val="20"/>
                <w:lang w:eastAsia="en-GB"/>
              </w:rPr>
              <w:t>D26</w:t>
            </w:r>
          </w:p>
        </w:tc>
      </w:tr>
      <w:tr w:rsidR="004A2019" w:rsidRPr="00A33AE8" w14:paraId="3FF695B1" w14:textId="77777777" w:rsidTr="006769DA">
        <w:trPr>
          <w:gridAfter w:val="1"/>
          <w:wAfter w:w="222" w:type="dxa"/>
          <w:trHeight w:val="712"/>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9330148"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4C515D3" w14:textId="77777777" w:rsidR="004A2019" w:rsidRPr="00A33AE8" w:rsidRDefault="004A201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PM_D21 will foresee</w:t>
            </w:r>
            <w:r w:rsidR="00656DD4" w:rsidRPr="00A33AE8">
              <w:rPr>
                <w:rFonts w:ascii="Calibri Light" w:eastAsia="Times New Roman" w:hAnsi="Calibri Light" w:cs="Calibri Light"/>
                <w:color w:val="000000"/>
                <w:sz w:val="20"/>
                <w:szCs w:val="20"/>
                <w:lang w:eastAsia="en-GB"/>
              </w:rPr>
              <w:t>s</w:t>
            </w:r>
            <w:r w:rsidRPr="00A33AE8">
              <w:rPr>
                <w:rFonts w:ascii="Calibri Light" w:eastAsia="Times New Roman" w:hAnsi="Calibri Light" w:cs="Calibri Light"/>
                <w:color w:val="000000"/>
                <w:sz w:val="20"/>
                <w:szCs w:val="20"/>
                <w:lang w:eastAsia="en-GB"/>
              </w:rPr>
              <w:t xml:space="preserve"> the </w:t>
            </w:r>
            <w:r w:rsidR="00D537B0" w:rsidRPr="00A33AE8">
              <w:rPr>
                <w:rFonts w:ascii="Calibri Light" w:eastAsia="Times New Roman" w:hAnsi="Calibri Light" w:cs="Calibri Light"/>
                <w:color w:val="000000"/>
                <w:sz w:val="20"/>
                <w:szCs w:val="20"/>
                <w:lang w:eastAsia="en-GB"/>
              </w:rPr>
              <w:t xml:space="preserve">potential </w:t>
            </w:r>
            <w:r w:rsidRPr="00A33AE8">
              <w:rPr>
                <w:rFonts w:ascii="Calibri Light" w:eastAsia="Times New Roman" w:hAnsi="Calibri Light" w:cs="Calibri Light"/>
                <w:color w:val="000000"/>
                <w:sz w:val="20"/>
                <w:szCs w:val="20"/>
                <w:lang w:eastAsia="en-GB"/>
              </w:rPr>
              <w:t xml:space="preserve">provision of </w:t>
            </w:r>
            <w:r w:rsidR="00C365D8" w:rsidRPr="00A33AE8">
              <w:rPr>
                <w:rFonts w:ascii="Calibri Light" w:eastAsia="Times New Roman" w:hAnsi="Calibri Light" w:cs="Calibri Light"/>
                <w:color w:val="000000"/>
                <w:sz w:val="20"/>
                <w:szCs w:val="20"/>
                <w:lang w:eastAsia="en-GB"/>
              </w:rPr>
              <w:t>operational aid</w:t>
            </w:r>
            <w:r w:rsidRPr="00A33AE8">
              <w:rPr>
                <w:rFonts w:ascii="Calibri Light" w:eastAsia="Times New Roman" w:hAnsi="Calibri Light" w:cs="Calibri Light"/>
                <w:color w:val="000000"/>
                <w:sz w:val="20"/>
                <w:szCs w:val="20"/>
                <w:lang w:eastAsia="en-GB"/>
              </w:rPr>
              <w:t xml:space="preserve"> to the renewable energy sources, which will not participate into the planned auctions within the framework of PM_</w:t>
            </w:r>
            <w:r w:rsidR="00656DD4" w:rsidRPr="00A33AE8">
              <w:rPr>
                <w:rFonts w:ascii="Calibri Light" w:eastAsia="Times New Roman" w:hAnsi="Calibri Light" w:cs="Calibri Light"/>
                <w:color w:val="000000"/>
                <w:sz w:val="20"/>
                <w:szCs w:val="20"/>
                <w:lang w:eastAsia="en-GB"/>
              </w:rPr>
              <w:t>D19</w:t>
            </w:r>
            <w:r w:rsidRPr="00A33AE8">
              <w:rPr>
                <w:rFonts w:ascii="Calibri Light" w:eastAsia="Times New Roman" w:hAnsi="Calibri Light" w:cs="Calibri Light"/>
                <w:color w:val="000000"/>
                <w:sz w:val="20"/>
                <w:szCs w:val="20"/>
                <w:lang w:eastAsia="en-GB"/>
              </w:rPr>
              <w:t>, primarily for small scale-decentralized RES systems</w:t>
            </w:r>
            <w:r w:rsidR="00C365D8" w:rsidRPr="00A33AE8">
              <w:rPr>
                <w:rFonts w:ascii="Calibri Light" w:eastAsia="Times New Roman" w:hAnsi="Calibri Light" w:cs="Calibri Light"/>
                <w:color w:val="000000"/>
                <w:sz w:val="20"/>
                <w:szCs w:val="20"/>
                <w:lang w:eastAsia="en-GB"/>
              </w:rPr>
              <w:t xml:space="preserve"> in full compliance with the public procurement procedures</w:t>
            </w:r>
            <w:r w:rsidRPr="00A33AE8">
              <w:rPr>
                <w:rFonts w:ascii="Calibri Light" w:eastAsia="Times New Roman" w:hAnsi="Calibri Light" w:cs="Calibri Light"/>
                <w:color w:val="000000"/>
                <w:sz w:val="20"/>
                <w:szCs w:val="20"/>
                <w:lang w:eastAsia="en-GB"/>
              </w:rPr>
              <w:t xml:space="preserve">. The </w:t>
            </w:r>
            <w:r w:rsidR="00D537B0" w:rsidRPr="00A33AE8">
              <w:rPr>
                <w:rFonts w:ascii="Calibri Light" w:eastAsia="Times New Roman" w:hAnsi="Calibri Light" w:cs="Calibri Light"/>
                <w:color w:val="000000"/>
                <w:sz w:val="20"/>
                <w:szCs w:val="20"/>
                <w:lang w:eastAsia="en-GB"/>
              </w:rPr>
              <w:t>economic support</w:t>
            </w:r>
            <w:r w:rsidRPr="00A33AE8">
              <w:rPr>
                <w:rFonts w:ascii="Calibri Light" w:eastAsia="Times New Roman" w:hAnsi="Calibri Light" w:cs="Calibri Light"/>
                <w:color w:val="000000"/>
                <w:sz w:val="20"/>
                <w:szCs w:val="20"/>
                <w:lang w:eastAsia="en-GB"/>
              </w:rPr>
              <w:t xml:space="preserve"> will be differentiated for each renewable energy source separately according to their operational characteristics in order to ensure that a fair and transparent profitability will be given to the investors. A monitoring mechanism will be </w:t>
            </w:r>
            <w:r w:rsidR="00656DD4" w:rsidRPr="00A33AE8">
              <w:rPr>
                <w:rFonts w:ascii="Calibri Light" w:eastAsia="Times New Roman" w:hAnsi="Calibri Light" w:cs="Calibri Light"/>
                <w:color w:val="000000"/>
                <w:sz w:val="20"/>
                <w:szCs w:val="20"/>
                <w:lang w:eastAsia="en-GB"/>
              </w:rPr>
              <w:t>applied</w:t>
            </w:r>
            <w:r w:rsidRPr="00A33AE8">
              <w:rPr>
                <w:rFonts w:ascii="Calibri Light" w:eastAsia="Times New Roman" w:hAnsi="Calibri Light" w:cs="Calibri Light"/>
                <w:color w:val="000000"/>
                <w:sz w:val="20"/>
                <w:szCs w:val="20"/>
                <w:lang w:eastAsia="en-GB"/>
              </w:rPr>
              <w:t xml:space="preserve"> for determining the </w:t>
            </w:r>
            <w:r w:rsidR="00D537B0" w:rsidRPr="00A33AE8">
              <w:rPr>
                <w:rFonts w:ascii="Calibri Light" w:eastAsia="Times New Roman" w:hAnsi="Calibri Light" w:cs="Calibri Light"/>
                <w:color w:val="000000"/>
                <w:sz w:val="20"/>
                <w:szCs w:val="20"/>
                <w:lang w:eastAsia="en-GB"/>
              </w:rPr>
              <w:t>provided support</w:t>
            </w:r>
            <w:r w:rsidRPr="00A33AE8">
              <w:rPr>
                <w:rFonts w:ascii="Calibri Light" w:eastAsia="Times New Roman" w:hAnsi="Calibri Light" w:cs="Calibri Light"/>
                <w:color w:val="000000"/>
                <w:sz w:val="20"/>
                <w:szCs w:val="20"/>
                <w:lang w:eastAsia="en-GB"/>
              </w:rPr>
              <w:t xml:space="preserve"> for each renewable energy technology separately according to the evolution of their cost and the technological improvements and for assessing the effectiveness of the provided incentives. The support to small decentralized renewable energy systems will be designed taking into consideration the potential benefits to the electricity grids</w:t>
            </w:r>
            <w:r w:rsidR="00D537B0" w:rsidRPr="00A33AE8">
              <w:rPr>
                <w:rFonts w:ascii="Calibri Light" w:eastAsia="Times New Roman" w:hAnsi="Calibri Light" w:cs="Calibri Light"/>
                <w:color w:val="000000"/>
                <w:sz w:val="20"/>
                <w:szCs w:val="20"/>
                <w:lang w:eastAsia="en-GB"/>
              </w:rPr>
              <w:t>, due to the avoided investments for the adaptation, enhancement and expansion of the grid networks,</w:t>
            </w:r>
            <w:r w:rsidRPr="00A33AE8">
              <w:rPr>
                <w:rFonts w:ascii="Calibri Light" w:eastAsia="Times New Roman" w:hAnsi="Calibri Light" w:cs="Calibri Light"/>
                <w:color w:val="000000"/>
                <w:sz w:val="20"/>
                <w:szCs w:val="20"/>
                <w:lang w:eastAsia="en-GB"/>
              </w:rPr>
              <w:t xml:space="preserve"> and supporting households as micro-investors.</w:t>
            </w:r>
          </w:p>
          <w:p w14:paraId="1C33DC53" w14:textId="7692D58D" w:rsidR="004A2019" w:rsidRPr="00CD0941" w:rsidRDefault="002B2C46"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Finally, the legislative framework for the conclusion of bilateral contracts</w:t>
            </w:r>
            <w:r w:rsidR="004E40A7" w:rsidRPr="00A33AE8">
              <w:rPr>
                <w:rFonts w:ascii="Calibri Light" w:eastAsia="Times New Roman" w:hAnsi="Calibri Light" w:cs="Calibri Light"/>
                <w:color w:val="000000"/>
                <w:sz w:val="20"/>
                <w:szCs w:val="20"/>
                <w:lang w:eastAsia="en-GB"/>
              </w:rPr>
              <w:t xml:space="preserve"> </w:t>
            </w:r>
            <w:r w:rsidR="008402CB" w:rsidRPr="00A33AE8">
              <w:rPr>
                <w:rFonts w:ascii="Calibri Light" w:eastAsia="Times New Roman" w:hAnsi="Calibri Light" w:cs="Calibri Light"/>
                <w:color w:val="000000"/>
                <w:sz w:val="20"/>
                <w:szCs w:val="20"/>
                <w:lang w:eastAsia="en-GB"/>
              </w:rPr>
              <w:t xml:space="preserve">for </w:t>
            </w:r>
            <w:r w:rsidR="00CA2527" w:rsidRPr="00A33AE8">
              <w:rPr>
                <w:rFonts w:ascii="Calibri Light" w:eastAsia="Times New Roman" w:hAnsi="Calibri Light" w:cs="Calibri Light"/>
                <w:color w:val="000000"/>
                <w:sz w:val="20"/>
                <w:szCs w:val="20"/>
                <w:lang w:eastAsia="en-GB"/>
              </w:rPr>
              <w:t xml:space="preserve">renewable power purchase agreements </w:t>
            </w:r>
            <w:r w:rsidR="00C73D4F" w:rsidRPr="00A33AE8">
              <w:rPr>
                <w:rFonts w:ascii="Calibri Light" w:eastAsia="Times New Roman" w:hAnsi="Calibri Light" w:cs="Calibri Light"/>
                <w:color w:val="000000"/>
                <w:sz w:val="20"/>
                <w:szCs w:val="20"/>
                <w:lang w:eastAsia="en-GB"/>
              </w:rPr>
              <w:t>among</w:t>
            </w:r>
            <w:r w:rsidRPr="00A33AE8">
              <w:rPr>
                <w:rFonts w:ascii="Calibri Light" w:eastAsia="Times New Roman" w:hAnsi="Calibri Light" w:cs="Calibri Light"/>
                <w:color w:val="000000"/>
                <w:sz w:val="20"/>
                <w:szCs w:val="20"/>
                <w:lang w:eastAsia="en-GB"/>
              </w:rPr>
              <w:t xml:space="preserve"> RES suppliers and final energy consumers </w:t>
            </w:r>
            <w:r w:rsidR="008239A8" w:rsidRPr="008239A8">
              <w:rPr>
                <w:rFonts w:ascii="Calibri Light" w:eastAsia="Times New Roman" w:hAnsi="Calibri Light" w:cs="Calibri Light"/>
                <w:color w:val="000000"/>
                <w:sz w:val="20"/>
                <w:szCs w:val="20"/>
                <w:lang w:eastAsia="en-GB"/>
              </w:rPr>
              <w:t xml:space="preserve">will be completed </w:t>
            </w:r>
            <w:r w:rsidR="00C73D4F" w:rsidRPr="00A33AE8">
              <w:rPr>
                <w:rFonts w:ascii="Calibri Light" w:eastAsia="Times New Roman" w:hAnsi="Calibri Light" w:cs="Calibri Light"/>
                <w:color w:val="000000"/>
                <w:sz w:val="20"/>
                <w:szCs w:val="20"/>
                <w:lang w:eastAsia="en-GB"/>
              </w:rPr>
              <w:t xml:space="preserve">in order to sell produced </w:t>
            </w:r>
            <w:r w:rsidR="00081D7A" w:rsidRPr="00A33AE8">
              <w:rPr>
                <w:rFonts w:ascii="Calibri Light" w:eastAsia="Times New Roman" w:hAnsi="Calibri Light" w:cs="Calibri Light"/>
                <w:color w:val="000000"/>
                <w:sz w:val="20"/>
                <w:szCs w:val="20"/>
                <w:lang w:eastAsia="en-GB"/>
              </w:rPr>
              <w:t>electricity</w:t>
            </w:r>
            <w:r w:rsidR="00C73D4F" w:rsidRPr="00A33AE8">
              <w:rPr>
                <w:rFonts w:ascii="Calibri Light" w:eastAsia="Times New Roman" w:hAnsi="Calibri Light" w:cs="Calibri Light"/>
                <w:color w:val="000000"/>
                <w:sz w:val="20"/>
                <w:szCs w:val="20"/>
                <w:lang w:eastAsia="en-GB"/>
              </w:rPr>
              <w:t xml:space="preserve"> for a predefined period </w:t>
            </w:r>
            <w:r w:rsidR="008239A8" w:rsidRPr="00A33AE8">
              <w:rPr>
                <w:rFonts w:ascii="Calibri Light" w:eastAsia="Times New Roman" w:hAnsi="Calibri Light" w:cs="Calibri Light"/>
                <w:color w:val="000000"/>
                <w:sz w:val="20"/>
                <w:szCs w:val="20"/>
                <w:lang w:eastAsia="en-GB"/>
              </w:rPr>
              <w:t>facilitat</w:t>
            </w:r>
            <w:r w:rsidR="008239A8">
              <w:rPr>
                <w:rFonts w:ascii="Calibri Light" w:eastAsia="Times New Roman" w:hAnsi="Calibri Light" w:cs="Calibri Light"/>
                <w:color w:val="000000"/>
                <w:sz w:val="20"/>
                <w:szCs w:val="20"/>
                <w:lang w:eastAsia="en-GB"/>
              </w:rPr>
              <w:t>ing</w:t>
            </w:r>
            <w:r w:rsidR="008239A8"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the further deployment of renewable </w:t>
            </w:r>
            <w:r w:rsidR="00C73D4F" w:rsidRPr="00A33AE8">
              <w:rPr>
                <w:rFonts w:ascii="Calibri Light" w:eastAsia="Times New Roman" w:hAnsi="Calibri Light" w:cs="Calibri Light"/>
                <w:color w:val="000000"/>
                <w:sz w:val="20"/>
                <w:szCs w:val="20"/>
                <w:lang w:eastAsia="en-GB"/>
              </w:rPr>
              <w:t>energy.</w:t>
            </w:r>
            <w:r w:rsidR="008239A8">
              <w:rPr>
                <w:rFonts w:ascii="Calibri Light" w:eastAsia="Times New Roman" w:hAnsi="Calibri Light" w:cs="Calibri Light"/>
                <w:color w:val="000000"/>
                <w:sz w:val="20"/>
                <w:szCs w:val="20"/>
                <w:lang w:eastAsia="en-GB"/>
              </w:rPr>
              <w:t xml:space="preserve"> </w:t>
            </w:r>
            <w:r w:rsidR="008239A8" w:rsidRPr="008239A8">
              <w:rPr>
                <w:rFonts w:ascii="Calibri Light" w:eastAsia="Times New Roman" w:hAnsi="Calibri Light" w:cs="Calibri Light"/>
                <w:color w:val="000000"/>
                <w:sz w:val="20"/>
                <w:szCs w:val="20"/>
                <w:lang w:eastAsia="en-GB"/>
              </w:rPr>
              <w:t>Towards this direction, targeted economic incentives will be explored also for the uptake of renewables power purchase agreements.</w:t>
            </w:r>
            <w:r w:rsidR="008B047C">
              <w:rPr>
                <w:rFonts w:ascii="Calibri Light" w:eastAsia="Times New Roman" w:hAnsi="Calibri Light" w:cs="Calibri Light"/>
                <w:color w:val="000000"/>
                <w:sz w:val="20"/>
                <w:szCs w:val="20"/>
                <w:lang w:eastAsia="en-GB"/>
              </w:rPr>
              <w:t xml:space="preserve"> </w:t>
            </w:r>
            <w:r w:rsidR="008B047C" w:rsidRPr="00CD0941">
              <w:rPr>
                <w:rFonts w:ascii="Calibri Light" w:eastAsia="Times New Roman" w:hAnsi="Calibri Light" w:cs="Calibri Light"/>
                <w:color w:val="000000"/>
                <w:sz w:val="20"/>
                <w:szCs w:val="20"/>
                <w:lang w:eastAsia="en-GB"/>
              </w:rPr>
              <w:lastRenderedPageBreak/>
              <w:t xml:space="preserve">Moreover, </w:t>
            </w:r>
            <w:r w:rsidR="008B047C" w:rsidRPr="0087794A">
              <w:rPr>
                <w:rFonts w:ascii="Calibri Light" w:eastAsia="Times New Roman" w:hAnsi="Calibri Light" w:cs="Calibri Light"/>
                <w:color w:val="000000"/>
                <w:sz w:val="20"/>
                <w:szCs w:val="20"/>
                <w:lang w:eastAsia="en-GB"/>
              </w:rPr>
              <w:t xml:space="preserve">additional tools will be developed in order to facilitate the conclusion of the </w:t>
            </w:r>
            <w:r w:rsidR="008B047C" w:rsidRPr="00CD0941">
              <w:rPr>
                <w:rFonts w:ascii="Calibri Light" w:eastAsia="Times New Roman" w:hAnsi="Calibri Light" w:cs="Calibri Light"/>
                <w:color w:val="000000"/>
                <w:sz w:val="20"/>
                <w:szCs w:val="20"/>
                <w:lang w:eastAsia="en-GB"/>
              </w:rPr>
              <w:t>power purchase agreements</w:t>
            </w:r>
            <w:r w:rsidR="008B047C" w:rsidRPr="0087794A">
              <w:rPr>
                <w:rFonts w:ascii="Calibri Light" w:eastAsia="Times New Roman" w:hAnsi="Calibri Light" w:cs="Calibri Light"/>
                <w:color w:val="000000"/>
                <w:sz w:val="20"/>
                <w:szCs w:val="20"/>
                <w:lang w:eastAsia="en-GB"/>
              </w:rPr>
              <w:t xml:space="preserve"> (e.g. platform for arranging and monitoring the contracts, template for the contract, guidelines etc.), while the scheme of the </w:t>
            </w:r>
            <w:r w:rsidR="008B047C" w:rsidRPr="00CD0941">
              <w:rPr>
                <w:rFonts w:ascii="Calibri Light" w:eastAsia="Times New Roman" w:hAnsi="Calibri Light" w:cs="Calibri Light"/>
                <w:color w:val="000000"/>
                <w:sz w:val="20"/>
                <w:szCs w:val="20"/>
                <w:lang w:eastAsia="en-GB"/>
              </w:rPr>
              <w:t>guarantees of origin</w:t>
            </w:r>
            <w:r w:rsidR="008B047C" w:rsidRPr="0087794A">
              <w:rPr>
                <w:rFonts w:ascii="Calibri Light" w:eastAsia="Times New Roman" w:hAnsi="Calibri Light" w:cs="Calibri Light"/>
                <w:color w:val="000000"/>
                <w:sz w:val="20"/>
                <w:szCs w:val="20"/>
                <w:lang w:eastAsia="en-GB"/>
              </w:rPr>
              <w:t xml:space="preserve"> will be expanded to cover them and to provide an additional profit.</w:t>
            </w:r>
          </w:p>
          <w:p w14:paraId="57E3245B" w14:textId="7F29B43C" w:rsidR="00091035" w:rsidRPr="00A33AE8" w:rsidRDefault="008B047C" w:rsidP="00E259EC">
            <w:pPr>
              <w:spacing w:after="0" w:line="240" w:lineRule="auto"/>
              <w:jc w:val="both"/>
              <w:rPr>
                <w:rFonts w:ascii="Calibri Light" w:eastAsia="Times New Roman" w:hAnsi="Calibri Light" w:cs="Calibri Light"/>
                <w:color w:val="000000"/>
                <w:sz w:val="20"/>
                <w:szCs w:val="20"/>
                <w:lang w:eastAsia="en-GB"/>
              </w:rPr>
            </w:pPr>
            <w:r w:rsidRPr="0087794A">
              <w:rPr>
                <w:rFonts w:ascii="Calibri Light" w:eastAsia="Times New Roman" w:hAnsi="Calibri Light" w:cs="Calibri Light"/>
                <w:color w:val="000000"/>
                <w:sz w:val="20"/>
                <w:szCs w:val="20"/>
                <w:lang w:eastAsia="en-GB"/>
              </w:rPr>
              <w:t>Finally</w:t>
            </w:r>
            <w:r w:rsidR="00091035" w:rsidRPr="0087794A">
              <w:rPr>
                <w:rFonts w:ascii="Calibri Light" w:eastAsia="Times New Roman" w:hAnsi="Calibri Light" w:cs="Calibri Light"/>
                <w:color w:val="000000"/>
                <w:sz w:val="20"/>
                <w:szCs w:val="20"/>
                <w:lang w:eastAsia="en-GB"/>
              </w:rPr>
              <w:t>,</w:t>
            </w:r>
            <w:r w:rsidR="00091035" w:rsidRPr="00CD0941">
              <w:rPr>
                <w:rFonts w:ascii="Calibri Light" w:eastAsia="Times New Roman" w:hAnsi="Calibri Light" w:cs="Calibri Light"/>
                <w:color w:val="000000"/>
                <w:sz w:val="20"/>
                <w:szCs w:val="20"/>
                <w:lang w:eastAsia="en-GB"/>
              </w:rPr>
              <w:t xml:space="preserve"> the </w:t>
            </w:r>
            <w:r w:rsidR="00E259EC" w:rsidRPr="0087794A">
              <w:rPr>
                <w:rFonts w:ascii="Calibri Light" w:eastAsia="Times New Roman" w:hAnsi="Calibri Light" w:cs="Calibri Light"/>
                <w:color w:val="000000"/>
                <w:sz w:val="20"/>
                <w:szCs w:val="20"/>
                <w:lang w:eastAsia="en-GB"/>
              </w:rPr>
              <w:t xml:space="preserve">potential </w:t>
            </w:r>
            <w:r w:rsidR="00091035" w:rsidRPr="00CD0941">
              <w:rPr>
                <w:rFonts w:ascii="Calibri Light" w:eastAsia="Times New Roman" w:hAnsi="Calibri Light" w:cs="Calibri Light"/>
                <w:color w:val="000000"/>
                <w:sz w:val="20"/>
                <w:szCs w:val="20"/>
                <w:lang w:eastAsia="en-GB"/>
              </w:rPr>
              <w:t xml:space="preserve">regulatory and administrative barriers </w:t>
            </w:r>
            <w:r w:rsidR="00E259EC" w:rsidRPr="0087794A">
              <w:rPr>
                <w:rFonts w:ascii="Calibri Light" w:eastAsia="Times New Roman" w:hAnsi="Calibri Light" w:cs="Calibri Light"/>
                <w:color w:val="000000"/>
                <w:sz w:val="20"/>
                <w:szCs w:val="20"/>
                <w:lang w:eastAsia="en-GB"/>
              </w:rPr>
              <w:t xml:space="preserve">will be assessed so as to </w:t>
            </w:r>
            <w:r w:rsidR="00091035" w:rsidRPr="00CD0941">
              <w:rPr>
                <w:rFonts w:ascii="Calibri Light" w:eastAsia="Times New Roman" w:hAnsi="Calibri Light" w:cs="Calibri Light"/>
                <w:color w:val="000000"/>
                <w:sz w:val="20"/>
                <w:szCs w:val="20"/>
                <w:lang w:eastAsia="en-GB"/>
              </w:rPr>
              <w:t xml:space="preserve">remove unjustified barriers to and </w:t>
            </w:r>
            <w:r w:rsidR="00E259EC" w:rsidRPr="0087794A">
              <w:rPr>
                <w:rFonts w:ascii="Calibri Light" w:eastAsia="Times New Roman" w:hAnsi="Calibri Light" w:cs="Calibri Light"/>
                <w:color w:val="000000"/>
                <w:sz w:val="20"/>
                <w:szCs w:val="20"/>
                <w:lang w:eastAsia="en-GB"/>
              </w:rPr>
              <w:t xml:space="preserve">foster their unhampered deployment. Last but not least, it will be ensured that the </w:t>
            </w:r>
            <w:r w:rsidR="00E259EC" w:rsidRPr="00CD0941">
              <w:rPr>
                <w:rFonts w:ascii="Calibri Light" w:eastAsia="Times New Roman" w:hAnsi="Calibri Light" w:cs="Calibri Light"/>
                <w:color w:val="000000"/>
                <w:sz w:val="20"/>
                <w:szCs w:val="20"/>
                <w:lang w:eastAsia="en-GB"/>
              </w:rPr>
              <w:t>renewables power purchase agreements</w:t>
            </w:r>
            <w:r w:rsidR="00E259EC" w:rsidRPr="0087794A">
              <w:rPr>
                <w:rFonts w:ascii="Calibri Light" w:eastAsia="Times New Roman" w:hAnsi="Calibri Light" w:cs="Calibri Light"/>
                <w:color w:val="000000"/>
                <w:sz w:val="20"/>
                <w:szCs w:val="20"/>
                <w:lang w:eastAsia="en-GB"/>
              </w:rPr>
              <w:t xml:space="preserve"> </w:t>
            </w:r>
            <w:r w:rsidR="00091035" w:rsidRPr="00CD0941">
              <w:rPr>
                <w:rFonts w:ascii="Calibri Light" w:eastAsia="Times New Roman" w:hAnsi="Calibri Light" w:cs="Calibri Light"/>
                <w:color w:val="000000"/>
                <w:sz w:val="20"/>
                <w:szCs w:val="20"/>
                <w:lang w:eastAsia="en-GB"/>
              </w:rPr>
              <w:t>are not subject to disproportionate or discriminatory procedures or charges.</w:t>
            </w:r>
          </w:p>
        </w:tc>
      </w:tr>
      <w:tr w:rsidR="004A2019" w:rsidRPr="00A33AE8" w14:paraId="3FD7CD2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1D990F2"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29A9876" w14:textId="77777777" w:rsidR="004A2019" w:rsidRPr="00A33AE8" w:rsidRDefault="00656DD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4A2019" w:rsidRPr="00A33AE8">
              <w:rPr>
                <w:rFonts w:ascii="Calibri Light" w:eastAsia="Times New Roman" w:hAnsi="Calibri Light" w:cs="Calibri Light"/>
                <w:color w:val="000000"/>
                <w:sz w:val="20"/>
                <w:szCs w:val="20"/>
                <w:lang w:eastAsia="en-GB"/>
              </w:rPr>
              <w:t>-2030</w:t>
            </w:r>
          </w:p>
        </w:tc>
      </w:tr>
      <w:tr w:rsidR="004A2019" w:rsidRPr="00A33AE8" w14:paraId="189C68CC"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4E5DBF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13425D7" w14:textId="77777777" w:rsidR="004A2019" w:rsidRPr="00A33AE8" w:rsidRDefault="009449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r w:rsidR="002B2C46" w:rsidRPr="00A33AE8">
              <w:rPr>
                <w:rFonts w:ascii="Calibri Light" w:eastAsia="Times New Roman" w:hAnsi="Calibri Light" w:cs="Calibri Light"/>
                <w:color w:val="000000"/>
                <w:sz w:val="20"/>
                <w:szCs w:val="20"/>
                <w:lang w:eastAsia="en-GB"/>
              </w:rPr>
              <w:t>, Regulatory</w:t>
            </w:r>
          </w:p>
        </w:tc>
      </w:tr>
      <w:tr w:rsidR="004A2019" w:rsidRPr="00A33AE8" w14:paraId="5DF5838F"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36D1CB9"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BF3AB0A"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4A2019" w:rsidRPr="00A33AE8" w14:paraId="51F07BF9"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EC4F87D"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57DB0B2" w14:textId="77777777" w:rsidR="004A2019"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4A2019" w:rsidRPr="00A33AE8" w14:paraId="758A32EB"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11D0DB19"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472072E" w14:textId="77777777" w:rsidR="004A2019" w:rsidRPr="00A33AE8" w:rsidRDefault="00C85C56"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Government of the Republic of Serbia</w:t>
            </w:r>
          </w:p>
        </w:tc>
      </w:tr>
      <w:tr w:rsidR="004A2019" w:rsidRPr="00A33AE8" w14:paraId="0287361F"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51D05EF3"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1D77A9A" w14:textId="77777777" w:rsidR="004A2019"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and produced RES electricity</w:t>
            </w:r>
          </w:p>
        </w:tc>
      </w:tr>
      <w:tr w:rsidR="006C6A30" w:rsidRPr="00A33AE8" w14:paraId="7D6F327D" w14:textId="77777777" w:rsidTr="006769DA">
        <w:trPr>
          <w:gridAfter w:val="1"/>
          <w:wAfter w:w="222" w:type="dxa"/>
          <w:trHeight w:val="417"/>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8340461"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1E98AACD" w14:textId="77777777" w:rsidR="00933508" w:rsidRDefault="00933508"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933508">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61DD2F5F" w14:textId="77777777" w:rsidR="006C6A30" w:rsidRPr="00933508" w:rsidRDefault="00933508"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933508">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4A2019" w:rsidRPr="00A33AE8" w14:paraId="0133931A"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DF0E397"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D57ED34"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4A2019" w:rsidRPr="00A33AE8" w14:paraId="5002FC8E"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329EEA31"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158B37EA"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8ECD062"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p>
        </w:tc>
      </w:tr>
      <w:tr w:rsidR="004A2019" w:rsidRPr="00A33AE8" w14:paraId="6CA76F26" w14:textId="77777777" w:rsidTr="008E270C">
        <w:trPr>
          <w:trHeight w:val="60"/>
        </w:trPr>
        <w:tc>
          <w:tcPr>
            <w:tcW w:w="3330" w:type="dxa"/>
            <w:vMerge/>
            <w:tcBorders>
              <w:top w:val="nil"/>
              <w:left w:val="single" w:sz="8" w:space="0" w:color="auto"/>
              <w:bottom w:val="single" w:sz="8" w:space="0" w:color="000000"/>
              <w:right w:val="single" w:sz="8" w:space="0" w:color="auto"/>
            </w:tcBorders>
            <w:vAlign w:val="center"/>
            <w:hideMark/>
          </w:tcPr>
          <w:p w14:paraId="1D9FB79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13527EC9"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ED6AC93"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03F8E003" w14:textId="77777777" w:rsidTr="006769DA">
        <w:trPr>
          <w:trHeight w:val="323"/>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E5FE649"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012647F" w14:textId="77777777" w:rsidR="00656DD4" w:rsidRPr="00A33AE8" w:rsidRDefault="00656DD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p w14:paraId="0CA63E39" w14:textId="77777777" w:rsidR="004A2019" w:rsidRPr="00A33AE8" w:rsidRDefault="004A20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60ADBB57"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4A2019" w:rsidRPr="00A33AE8" w14:paraId="6222014C"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DB679AD"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C66D097" w14:textId="77777777" w:rsidR="004A2019" w:rsidRPr="00A33AE8" w:rsidRDefault="00245839" w:rsidP="006769DA">
            <w:pPr>
              <w:spacing w:after="0" w:line="240" w:lineRule="auto"/>
              <w:rPr>
                <w:rFonts w:ascii="Calibri" w:eastAsia="Times New Roman" w:hAnsi="Calibri" w:cs="Calibri"/>
                <w:color w:val="000000"/>
                <w:sz w:val="20"/>
                <w:szCs w:val="20"/>
                <w:lang w:eastAsia="en-GB"/>
              </w:rPr>
            </w:pPr>
            <w:r w:rsidRPr="00A33AE8">
              <w:rPr>
                <w:rFonts w:ascii="Calibri Light" w:eastAsia="Times New Roman" w:hAnsi="Calibri Light" w:cs="Calibri Light"/>
                <w:color w:val="000000"/>
                <w:sz w:val="20"/>
                <w:szCs w:val="20"/>
                <w:lang w:eastAsia="en-GB"/>
              </w:rPr>
              <w:t>0.</w:t>
            </w:r>
            <w:r w:rsidR="00485ADA" w:rsidRPr="00A33AE8">
              <w:rPr>
                <w:rFonts w:ascii="Calibri Light" w:eastAsia="Times New Roman" w:hAnsi="Calibri Light" w:cs="Calibri Light"/>
                <w:color w:val="000000"/>
                <w:sz w:val="20"/>
                <w:szCs w:val="20"/>
                <w:lang w:eastAsia="en-GB"/>
              </w:rPr>
              <w:t>7</w:t>
            </w:r>
            <w:r w:rsidR="004A2019" w:rsidRPr="00A33AE8">
              <w:rPr>
                <w:rFonts w:ascii="Calibri Light" w:eastAsia="Times New Roman" w:hAnsi="Calibri Light" w:cs="Calibri Light"/>
                <w:color w:val="000000"/>
                <w:sz w:val="20"/>
                <w:szCs w:val="20"/>
                <w:lang w:eastAsia="en-GB"/>
              </w:rPr>
              <w:t xml:space="preserve"> B</w:t>
            </w:r>
            <w:r w:rsidR="004A2019" w:rsidRPr="00A33AE8">
              <w:rPr>
                <w:rFonts w:asciiTheme="majorHAnsi" w:eastAsia="Times New Roman" w:hAnsiTheme="majorHAnsi" w:cstheme="majorHAnsi"/>
                <w:color w:val="000000"/>
                <w:sz w:val="20"/>
                <w:szCs w:val="20"/>
                <w:lang w:eastAsia="en-GB"/>
              </w:rPr>
              <w:t>€</w:t>
            </w:r>
          </w:p>
        </w:tc>
        <w:tc>
          <w:tcPr>
            <w:tcW w:w="222" w:type="dxa"/>
            <w:vAlign w:val="center"/>
            <w:hideMark/>
          </w:tcPr>
          <w:p w14:paraId="6F5D1CAD" w14:textId="77777777" w:rsidR="004A2019" w:rsidRPr="00A33AE8" w:rsidRDefault="004A2019" w:rsidP="006769DA">
            <w:pPr>
              <w:spacing w:after="0" w:line="240" w:lineRule="auto"/>
              <w:rPr>
                <w:rFonts w:ascii="Times New Roman" w:eastAsia="Times New Roman" w:hAnsi="Times New Roman" w:cs="Times New Roman"/>
                <w:sz w:val="20"/>
                <w:szCs w:val="20"/>
                <w:lang w:eastAsia="en-GB"/>
              </w:rPr>
            </w:pPr>
          </w:p>
        </w:tc>
      </w:tr>
      <w:tr w:rsidR="005D2B0E" w:rsidRPr="00A33AE8" w14:paraId="27CCEDD2"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D98A28A" w14:textId="77777777" w:rsidR="005D2B0E" w:rsidRPr="00A33AE8" w:rsidRDefault="005D2B0E" w:rsidP="005D2B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3A0717B" w14:textId="77777777" w:rsidR="005D2B0E" w:rsidRPr="00A33AE8" w:rsidRDefault="005D2B0E" w:rsidP="005D2B0E">
            <w:pPr>
              <w:spacing w:after="0" w:line="240" w:lineRule="auto"/>
              <w:rPr>
                <w:rFonts w:ascii="Calibri" w:eastAsia="Times New Roman" w:hAnsi="Calibri" w:cs="Calibr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DA202B"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6D2E645B" w14:textId="77777777" w:rsidR="005D2B0E" w:rsidRPr="00A33AE8" w:rsidRDefault="005D2B0E" w:rsidP="005D2B0E">
            <w:pPr>
              <w:spacing w:after="0" w:line="240" w:lineRule="auto"/>
              <w:rPr>
                <w:rFonts w:ascii="Times New Roman" w:eastAsia="Times New Roman" w:hAnsi="Times New Roman" w:cs="Times New Roman"/>
                <w:sz w:val="20"/>
                <w:szCs w:val="20"/>
                <w:lang w:eastAsia="en-GB"/>
              </w:rPr>
            </w:pPr>
          </w:p>
        </w:tc>
      </w:tr>
    </w:tbl>
    <w:p w14:paraId="7BCC6761" w14:textId="77777777" w:rsidR="004A2019" w:rsidRPr="00A33AE8" w:rsidRDefault="004A2019" w:rsidP="004A2019">
      <w:pPr>
        <w:pStyle w:val="LDKbody"/>
        <w:rPr>
          <w:lang w:val="en-GB"/>
        </w:rPr>
      </w:pPr>
    </w:p>
    <w:tbl>
      <w:tblPr>
        <w:tblW w:w="9680" w:type="dxa"/>
        <w:tblLook w:val="04A0" w:firstRow="1" w:lastRow="0" w:firstColumn="1" w:lastColumn="0" w:noHBand="0" w:noVBand="1"/>
      </w:tblPr>
      <w:tblGrid>
        <w:gridCol w:w="3329"/>
        <w:gridCol w:w="940"/>
        <w:gridCol w:w="946"/>
        <w:gridCol w:w="4243"/>
        <w:gridCol w:w="222"/>
      </w:tblGrid>
      <w:tr w:rsidR="004A2019" w:rsidRPr="00A33AE8" w14:paraId="140596FF" w14:textId="77777777" w:rsidTr="006769DA">
        <w:trPr>
          <w:gridAfter w:val="1"/>
          <w:wAfter w:w="222" w:type="dxa"/>
          <w:trHeight w:val="780"/>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BA6E920" w14:textId="77777777" w:rsidR="004A2019" w:rsidRPr="00A33AE8" w:rsidRDefault="004A201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7D4A583F" w14:textId="77777777" w:rsidR="004A2019" w:rsidRPr="00A33AE8" w:rsidRDefault="004A201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PM_D22</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2828712F"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3" w:type="dxa"/>
            <w:tcBorders>
              <w:top w:val="single" w:sz="8" w:space="0" w:color="auto"/>
              <w:left w:val="nil"/>
              <w:bottom w:val="single" w:sz="8" w:space="0" w:color="auto"/>
              <w:right w:val="single" w:sz="8" w:space="0" w:color="auto"/>
            </w:tcBorders>
            <w:shd w:val="clear" w:color="auto" w:fill="E7E6E6" w:themeFill="background2"/>
            <w:vAlign w:val="center"/>
            <w:hideMark/>
          </w:tcPr>
          <w:p w14:paraId="328ADB23" w14:textId="77777777" w:rsidR="004A2019" w:rsidRPr="00A33AE8" w:rsidRDefault="004A201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Provision of economic support to innovative and demonstration pilot RES projects</w:t>
            </w:r>
          </w:p>
        </w:tc>
      </w:tr>
      <w:tr w:rsidR="004A2019" w:rsidRPr="00A33AE8" w14:paraId="0E593491" w14:textId="77777777" w:rsidTr="006769DA">
        <w:trPr>
          <w:gridAfter w:val="1"/>
          <w:wAfter w:w="222" w:type="dxa"/>
          <w:trHeight w:val="357"/>
        </w:trPr>
        <w:tc>
          <w:tcPr>
            <w:tcW w:w="3329" w:type="dxa"/>
            <w:tcBorders>
              <w:top w:val="nil"/>
              <w:left w:val="single" w:sz="8" w:space="0" w:color="auto"/>
              <w:bottom w:val="single" w:sz="8" w:space="0" w:color="auto"/>
              <w:right w:val="nil"/>
            </w:tcBorders>
            <w:shd w:val="clear" w:color="000000" w:fill="244062"/>
            <w:vAlign w:val="center"/>
            <w:hideMark/>
          </w:tcPr>
          <w:p w14:paraId="357E80D7"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1218787"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4A2019" w:rsidRPr="00A33AE8" w14:paraId="2C5FE2FB"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F424F1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DE09924" w14:textId="77777777" w:rsidR="004A2019" w:rsidRPr="00A33AE8" w:rsidRDefault="004A2019" w:rsidP="006769DA">
            <w:pPr>
              <w:spacing w:after="0" w:line="240" w:lineRule="auto"/>
              <w:rPr>
                <w:rFonts w:ascii="Calibri" w:eastAsia="Times New Roman" w:hAnsi="Calibri" w:cs="Calibri"/>
                <w:color w:val="000000"/>
                <w:sz w:val="20"/>
                <w:szCs w:val="20"/>
                <w:lang w:eastAsia="en-GB"/>
              </w:rPr>
            </w:pPr>
            <w:r w:rsidRPr="00A33AE8">
              <w:rPr>
                <w:rFonts w:ascii="Calibri Light" w:eastAsia="Times New Roman" w:hAnsi="Calibri Light" w:cs="Calibri Light"/>
                <w:color w:val="000000"/>
                <w:sz w:val="20"/>
                <w:szCs w:val="20"/>
                <w:lang w:eastAsia="en-GB"/>
              </w:rPr>
              <w:t>Contribution to measure PM_D2</w:t>
            </w:r>
            <w:r w:rsidR="008B7CD4" w:rsidRPr="00A33AE8">
              <w:rPr>
                <w:rFonts w:ascii="Calibri Light" w:eastAsia="Times New Roman" w:hAnsi="Calibri Light" w:cs="Calibri Light"/>
                <w:color w:val="000000"/>
                <w:sz w:val="20"/>
                <w:szCs w:val="20"/>
                <w:lang w:eastAsia="en-GB"/>
              </w:rPr>
              <w:t>1</w:t>
            </w:r>
          </w:p>
        </w:tc>
      </w:tr>
      <w:tr w:rsidR="004A2019" w:rsidRPr="00A33AE8" w14:paraId="5737F018" w14:textId="77777777" w:rsidTr="007A0028">
        <w:trPr>
          <w:gridAfter w:val="1"/>
          <w:wAfter w:w="222" w:type="dxa"/>
          <w:trHeight w:val="443"/>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593760C"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5249369" w14:textId="77777777" w:rsidR="004A2019" w:rsidRPr="00A33AE8" w:rsidRDefault="004A201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PM_D22 will provide financial and fiscal incentives, such as investment aid, tax exemptions or reductions, tax refunds, to innovative and demonstration projects under the precondition that they lead to a considerable increase of the national value added and address significant local energy needs. </w:t>
            </w:r>
            <w:r w:rsidR="001B693F" w:rsidRPr="00A33AE8">
              <w:rPr>
                <w:rFonts w:ascii="Calibri Light" w:eastAsia="Times New Roman" w:hAnsi="Calibri Light" w:cs="Calibri Light"/>
                <w:color w:val="000000"/>
                <w:sz w:val="20"/>
                <w:szCs w:val="20"/>
                <w:lang w:eastAsia="en-GB"/>
              </w:rPr>
              <w:t xml:space="preserve">The installation of </w:t>
            </w:r>
            <w:r w:rsidR="00CE6C11" w:rsidRPr="00A33AE8">
              <w:rPr>
                <w:rFonts w:ascii="Calibri Light" w:eastAsia="Times New Roman" w:hAnsi="Calibri Light" w:cs="Calibri Light"/>
                <w:color w:val="000000"/>
                <w:sz w:val="20"/>
                <w:szCs w:val="20"/>
                <w:lang w:eastAsia="en-GB"/>
              </w:rPr>
              <w:t>floating photovoltaics and vertical wind turbines</w:t>
            </w:r>
            <w:r w:rsidR="003437DE" w:rsidRPr="00A33AE8">
              <w:rPr>
                <w:rFonts w:ascii="Calibri Light" w:eastAsia="Times New Roman" w:hAnsi="Calibri Light" w:cs="Calibri Light"/>
                <w:color w:val="000000"/>
                <w:sz w:val="20"/>
                <w:szCs w:val="20"/>
                <w:lang w:eastAsia="en-GB"/>
              </w:rPr>
              <w:t xml:space="preserve">, </w:t>
            </w:r>
            <w:r w:rsidR="002D009D" w:rsidRPr="00A33AE8">
              <w:rPr>
                <w:rFonts w:ascii="Calibri Light" w:eastAsia="Times New Roman" w:hAnsi="Calibri Light" w:cs="Calibri Light"/>
                <w:color w:val="000000"/>
                <w:sz w:val="20"/>
                <w:szCs w:val="20"/>
                <w:lang w:eastAsia="en-GB"/>
              </w:rPr>
              <w:t xml:space="preserve">the promotion of small wind turbines, </w:t>
            </w:r>
            <w:r w:rsidR="00AA38AE" w:rsidRPr="00A33AE8">
              <w:rPr>
                <w:rFonts w:ascii="Calibri Light" w:eastAsia="Times New Roman" w:hAnsi="Calibri Light" w:cs="Calibri Light"/>
                <w:color w:val="000000"/>
                <w:sz w:val="20"/>
                <w:szCs w:val="20"/>
                <w:lang w:eastAsia="en-GB"/>
              </w:rPr>
              <w:t>the construction of concentrated solar power plants</w:t>
            </w:r>
            <w:r w:rsidR="003437DE" w:rsidRPr="00A33AE8">
              <w:rPr>
                <w:rFonts w:ascii="Calibri Light" w:eastAsia="Times New Roman" w:hAnsi="Calibri Light" w:cs="Calibri Light"/>
                <w:color w:val="000000"/>
                <w:sz w:val="20"/>
                <w:szCs w:val="20"/>
                <w:lang w:eastAsia="en-GB"/>
              </w:rPr>
              <w:t xml:space="preserve"> and the development enhanced geothermal systems </w:t>
            </w:r>
            <w:r w:rsidR="00CE6C11" w:rsidRPr="00A33AE8">
              <w:rPr>
                <w:rFonts w:ascii="Calibri Light" w:eastAsia="Times New Roman" w:hAnsi="Calibri Light" w:cs="Calibri Light"/>
                <w:color w:val="000000"/>
                <w:sz w:val="20"/>
                <w:szCs w:val="20"/>
                <w:lang w:eastAsia="en-GB"/>
              </w:rPr>
              <w:t>comprise i</w:t>
            </w:r>
            <w:r w:rsidR="001B693F" w:rsidRPr="00A33AE8">
              <w:rPr>
                <w:rFonts w:ascii="Calibri Light" w:eastAsia="Times New Roman" w:hAnsi="Calibri Light" w:cs="Calibri Light"/>
                <w:color w:val="000000"/>
                <w:sz w:val="20"/>
                <w:szCs w:val="20"/>
                <w:lang w:eastAsia="en-GB"/>
              </w:rPr>
              <w:t>ndicative innovative and demonstration pilot RES projects</w:t>
            </w:r>
            <w:r w:rsidR="003437DE" w:rsidRPr="00A33AE8">
              <w:rPr>
                <w:rFonts w:ascii="Calibri Light" w:eastAsia="Times New Roman" w:hAnsi="Calibri Light" w:cs="Calibri Light"/>
                <w:color w:val="000000"/>
                <w:sz w:val="20"/>
                <w:szCs w:val="20"/>
                <w:lang w:eastAsia="en-GB"/>
              </w:rPr>
              <w:t>, which should be examined</w:t>
            </w:r>
            <w:r w:rsidR="001B693F"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The support of small decentralized renewable energy systems will be also examined taking into consideration the potential benefits to the electricity grids.</w:t>
            </w:r>
          </w:p>
        </w:tc>
      </w:tr>
      <w:tr w:rsidR="004A2019" w:rsidRPr="00A33AE8" w14:paraId="645829A5"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802B777"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B45158A" w14:textId="77777777" w:rsidR="004A2019" w:rsidRPr="00A33AE8" w:rsidRDefault="00656DD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4A2019" w:rsidRPr="00A33AE8">
              <w:rPr>
                <w:rFonts w:ascii="Calibri Light" w:eastAsia="Times New Roman" w:hAnsi="Calibri Light" w:cs="Calibri Light"/>
                <w:color w:val="000000"/>
                <w:sz w:val="20"/>
                <w:szCs w:val="20"/>
                <w:lang w:eastAsia="en-GB"/>
              </w:rPr>
              <w:t>-2030</w:t>
            </w:r>
          </w:p>
        </w:tc>
      </w:tr>
      <w:tr w:rsidR="004A2019" w:rsidRPr="00A33AE8" w14:paraId="3AD2624A"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54288F8"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48D4666" w14:textId="77777777" w:rsidR="004A2019" w:rsidRPr="00A33AE8" w:rsidRDefault="009449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A2019" w:rsidRPr="00A33AE8" w14:paraId="22D119F4"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411834E"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EE719AF" w14:textId="77777777" w:rsidR="004A2019" w:rsidRPr="00A33AE8" w:rsidRDefault="004A201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4A2019" w:rsidRPr="00A33AE8" w14:paraId="7F9FC631"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ADD7524"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CE3B534" w14:textId="77777777" w:rsidR="004A2019"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6AB5E8A" w14:textId="77777777" w:rsidR="00E04DFD" w:rsidRPr="00A33AE8" w:rsidRDefault="00E04DF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Finance</w:t>
            </w:r>
          </w:p>
          <w:p w14:paraId="67569505" w14:textId="77777777" w:rsidR="00E04DFD" w:rsidRPr="00A33AE8" w:rsidRDefault="00EE65A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Ministry of Science, Technological Development and Innovation</w:t>
            </w:r>
          </w:p>
        </w:tc>
      </w:tr>
      <w:tr w:rsidR="00FD1422" w:rsidRPr="00A33AE8" w14:paraId="527F601B"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2F833CCA"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8BFD5F1"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85C56">
              <w:rPr>
                <w:rFonts w:ascii="Calibri Light" w:eastAsia="Times New Roman" w:hAnsi="Calibri Light" w:cs="Calibri Light"/>
                <w:color w:val="000000"/>
                <w:sz w:val="20"/>
                <w:szCs w:val="20"/>
                <w:lang w:eastAsia="en-GB"/>
              </w:rPr>
              <w:t>Government of the Republic of Serbia</w:t>
            </w:r>
          </w:p>
        </w:tc>
      </w:tr>
      <w:tr w:rsidR="00FD1422" w:rsidRPr="00A33AE8" w14:paraId="4DD85A70"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7B96D8AD"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5036220"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and produced RES electricity</w:t>
            </w:r>
          </w:p>
        </w:tc>
      </w:tr>
      <w:tr w:rsidR="00FD1422" w:rsidRPr="00A33AE8" w14:paraId="53F7EA53" w14:textId="77777777" w:rsidTr="006769DA">
        <w:trPr>
          <w:gridAfter w:val="1"/>
          <w:wAfter w:w="222" w:type="dxa"/>
          <w:trHeight w:val="291"/>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0125B59"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tcPr>
          <w:p w14:paraId="5B4724F2" w14:textId="77777777" w:rsidR="00FD1422" w:rsidRPr="00FD1422"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D1422">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536139EC"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D1422">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FD1422" w:rsidRPr="00A33AE8" w14:paraId="290F4C64" w14:textId="77777777" w:rsidTr="006769D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8E558F4"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926A92"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FD1422" w:rsidRPr="00A33AE8" w14:paraId="47F1AEC5" w14:textId="77777777" w:rsidTr="006769D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4AF25AA4"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4E8C15E7"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F310DF7" w14:textId="77777777" w:rsidR="00FD1422" w:rsidRPr="00A33AE8" w:rsidRDefault="00FD1422" w:rsidP="00FD1422">
            <w:pPr>
              <w:spacing w:after="0" w:line="240" w:lineRule="auto"/>
              <w:rPr>
                <w:rFonts w:ascii="Calibri Light" w:eastAsia="Times New Roman" w:hAnsi="Calibri Light" w:cs="Calibri Light"/>
                <w:color w:val="000000"/>
                <w:sz w:val="20"/>
                <w:szCs w:val="20"/>
                <w:lang w:eastAsia="en-GB"/>
              </w:rPr>
            </w:pPr>
          </w:p>
        </w:tc>
      </w:tr>
      <w:tr w:rsidR="00FD1422" w:rsidRPr="00A33AE8" w14:paraId="3EED567D" w14:textId="77777777" w:rsidTr="006769DA">
        <w:trPr>
          <w:trHeight w:val="60"/>
        </w:trPr>
        <w:tc>
          <w:tcPr>
            <w:tcW w:w="3329" w:type="dxa"/>
            <w:vMerge/>
            <w:tcBorders>
              <w:top w:val="nil"/>
              <w:left w:val="single" w:sz="8" w:space="0" w:color="auto"/>
              <w:bottom w:val="single" w:sz="8" w:space="0" w:color="000000"/>
              <w:right w:val="single" w:sz="8" w:space="0" w:color="auto"/>
            </w:tcBorders>
            <w:vAlign w:val="center"/>
            <w:hideMark/>
          </w:tcPr>
          <w:p w14:paraId="1DCAA717"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0278E9F0"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3B341B9" w14:textId="77777777" w:rsidR="00FD1422" w:rsidRPr="00A33AE8" w:rsidRDefault="00FD1422" w:rsidP="00FD1422">
            <w:pPr>
              <w:spacing w:after="0" w:line="240" w:lineRule="auto"/>
              <w:rPr>
                <w:rFonts w:ascii="Times New Roman" w:eastAsia="Times New Roman" w:hAnsi="Times New Roman" w:cs="Times New Roman"/>
                <w:sz w:val="20"/>
                <w:szCs w:val="20"/>
                <w:lang w:eastAsia="en-GB"/>
              </w:rPr>
            </w:pPr>
          </w:p>
        </w:tc>
      </w:tr>
      <w:tr w:rsidR="00FD1422" w:rsidRPr="00A33AE8" w14:paraId="55ED6F51" w14:textId="77777777" w:rsidTr="006769DA">
        <w:trPr>
          <w:trHeight w:val="271"/>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21BC2C4"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E0BAC5F" w14:textId="77777777" w:rsidR="00FD1422" w:rsidRPr="00A33AE8" w:rsidRDefault="00FD14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50E0AA2D" w14:textId="77777777" w:rsidR="00FD1422" w:rsidRPr="00A33AE8" w:rsidRDefault="00FD1422" w:rsidP="00FD1422">
            <w:pPr>
              <w:spacing w:after="0" w:line="240" w:lineRule="auto"/>
              <w:rPr>
                <w:rFonts w:ascii="Times New Roman" w:eastAsia="Times New Roman" w:hAnsi="Times New Roman" w:cs="Times New Roman"/>
                <w:sz w:val="20"/>
                <w:szCs w:val="20"/>
                <w:lang w:eastAsia="en-GB"/>
              </w:rPr>
            </w:pPr>
          </w:p>
        </w:tc>
      </w:tr>
      <w:tr w:rsidR="00FD1422" w:rsidRPr="00A33AE8" w14:paraId="71917DF0"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0D450A5"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C2671BB" w14:textId="77777777" w:rsidR="00FD1422" w:rsidRPr="00A33AE8" w:rsidRDefault="00FD1422" w:rsidP="00FD142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Be integrated into PM_D21</w:t>
            </w:r>
          </w:p>
        </w:tc>
        <w:tc>
          <w:tcPr>
            <w:tcW w:w="222" w:type="dxa"/>
            <w:vAlign w:val="center"/>
            <w:hideMark/>
          </w:tcPr>
          <w:p w14:paraId="29E5D7B8" w14:textId="77777777" w:rsidR="00FD1422" w:rsidRPr="00A33AE8" w:rsidRDefault="00FD1422" w:rsidP="00FD1422">
            <w:pPr>
              <w:spacing w:after="0" w:line="240" w:lineRule="auto"/>
              <w:rPr>
                <w:rFonts w:ascii="Times New Roman" w:eastAsia="Times New Roman" w:hAnsi="Times New Roman" w:cs="Times New Roman"/>
                <w:sz w:val="20"/>
                <w:szCs w:val="20"/>
                <w:lang w:eastAsia="en-GB"/>
              </w:rPr>
            </w:pPr>
          </w:p>
        </w:tc>
      </w:tr>
      <w:tr w:rsidR="00FD1422" w:rsidRPr="00A33AE8" w14:paraId="3D70FF78"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599670E" w14:textId="77777777" w:rsidR="00FD1422" w:rsidRPr="00A33AE8" w:rsidRDefault="00FD1422" w:rsidP="00FD142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913827E" w14:textId="77777777" w:rsidR="00FD1422" w:rsidRPr="00A33AE8" w:rsidRDefault="00FD1422" w:rsidP="00FD142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EU and other funds, public funds</w:t>
            </w:r>
          </w:p>
        </w:tc>
        <w:tc>
          <w:tcPr>
            <w:tcW w:w="222" w:type="dxa"/>
            <w:vAlign w:val="center"/>
            <w:hideMark/>
          </w:tcPr>
          <w:p w14:paraId="1C81DFBC" w14:textId="77777777" w:rsidR="00FD1422" w:rsidRPr="00A33AE8" w:rsidRDefault="00FD1422" w:rsidP="00FD1422">
            <w:pPr>
              <w:spacing w:after="0" w:line="240" w:lineRule="auto"/>
              <w:rPr>
                <w:rFonts w:ascii="Times New Roman" w:eastAsia="Times New Roman" w:hAnsi="Times New Roman" w:cs="Times New Roman"/>
                <w:sz w:val="20"/>
                <w:szCs w:val="20"/>
                <w:lang w:eastAsia="en-GB"/>
              </w:rPr>
            </w:pPr>
          </w:p>
        </w:tc>
      </w:tr>
    </w:tbl>
    <w:p w14:paraId="33058612" w14:textId="77777777" w:rsidR="004A2019" w:rsidRPr="00A33AE8" w:rsidRDefault="004A2019" w:rsidP="004A2019">
      <w:pPr>
        <w:pStyle w:val="LDKbody"/>
        <w:rPr>
          <w:lang w:val="en-GB"/>
        </w:rPr>
      </w:pPr>
    </w:p>
    <w:tbl>
      <w:tblPr>
        <w:tblW w:w="9680" w:type="dxa"/>
        <w:tblLook w:val="04A0" w:firstRow="1" w:lastRow="0" w:firstColumn="1" w:lastColumn="0" w:noHBand="0" w:noVBand="1"/>
      </w:tblPr>
      <w:tblGrid>
        <w:gridCol w:w="3333"/>
        <w:gridCol w:w="941"/>
        <w:gridCol w:w="946"/>
        <w:gridCol w:w="4238"/>
        <w:gridCol w:w="222"/>
      </w:tblGrid>
      <w:tr w:rsidR="004A2019" w:rsidRPr="00A33AE8" w14:paraId="0F49F2C8" w14:textId="77777777" w:rsidTr="006769DA">
        <w:trPr>
          <w:gridAfter w:val="1"/>
          <w:wAfter w:w="222" w:type="dxa"/>
          <w:trHeight w:val="780"/>
        </w:trPr>
        <w:tc>
          <w:tcPr>
            <w:tcW w:w="333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5F53475" w14:textId="77777777" w:rsidR="004A2019" w:rsidRPr="00A33AE8" w:rsidRDefault="004A201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AEA5720" w14:textId="77777777" w:rsidR="004A2019" w:rsidRPr="00A33AE8" w:rsidRDefault="004A201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PM_D23</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6B1D52BF"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8" w:type="dxa"/>
            <w:tcBorders>
              <w:top w:val="single" w:sz="8" w:space="0" w:color="auto"/>
              <w:left w:val="nil"/>
              <w:bottom w:val="single" w:sz="8" w:space="0" w:color="auto"/>
              <w:right w:val="single" w:sz="8" w:space="0" w:color="auto"/>
            </w:tcBorders>
            <w:shd w:val="clear" w:color="auto" w:fill="E7E6E6" w:themeFill="background2"/>
            <w:vAlign w:val="center"/>
            <w:hideMark/>
          </w:tcPr>
          <w:p w14:paraId="5EFC4758" w14:textId="77777777" w:rsidR="004A2019" w:rsidRPr="00A33AE8" w:rsidRDefault="004A201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Fostering the further utilization of guarantees of origin for energy from RES</w:t>
            </w:r>
            <w:r w:rsidR="00C365D8" w:rsidRPr="00A33AE8">
              <w:rPr>
                <w:rFonts w:ascii="Calibri Light" w:eastAsia="Times New Roman" w:hAnsi="Calibri Light" w:cs="Calibri Light"/>
                <w:b/>
                <w:bCs/>
                <w:color w:val="000000"/>
                <w:sz w:val="20"/>
                <w:szCs w:val="20"/>
                <w:lang w:eastAsia="en-GB"/>
              </w:rPr>
              <w:t xml:space="preserve"> in all end-uses</w:t>
            </w:r>
          </w:p>
        </w:tc>
      </w:tr>
      <w:tr w:rsidR="004A2019" w:rsidRPr="00A33AE8" w14:paraId="12BA6CC1" w14:textId="77777777" w:rsidTr="006769DA">
        <w:trPr>
          <w:gridAfter w:val="1"/>
          <w:wAfter w:w="222" w:type="dxa"/>
          <w:trHeight w:val="321"/>
        </w:trPr>
        <w:tc>
          <w:tcPr>
            <w:tcW w:w="3333" w:type="dxa"/>
            <w:tcBorders>
              <w:top w:val="nil"/>
              <w:left w:val="single" w:sz="8" w:space="0" w:color="auto"/>
              <w:bottom w:val="single" w:sz="8" w:space="0" w:color="auto"/>
              <w:right w:val="nil"/>
            </w:tcBorders>
            <w:shd w:val="clear" w:color="000000" w:fill="244062"/>
            <w:vAlign w:val="center"/>
            <w:hideMark/>
          </w:tcPr>
          <w:p w14:paraId="22F3A725"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785FEAAA" w14:textId="77777777" w:rsidR="004A2019" w:rsidRPr="00A33AE8" w:rsidRDefault="004A2019"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heating and cooling and transport</w:t>
            </w:r>
          </w:p>
        </w:tc>
      </w:tr>
      <w:tr w:rsidR="004A2019" w:rsidRPr="00A33AE8" w14:paraId="7AE83E3D" w14:textId="77777777" w:rsidTr="006769DA">
        <w:trPr>
          <w:gridAfter w:val="1"/>
          <w:wAfter w:w="222" w:type="dxa"/>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14EAD84C"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10788739" w14:textId="77777777" w:rsidR="004A2019" w:rsidRPr="00A33AE8" w:rsidRDefault="00C365D8" w:rsidP="006769DA">
            <w:pPr>
              <w:spacing w:after="0" w:line="240" w:lineRule="auto"/>
              <w:rPr>
                <w:rFonts w:ascii="Calibri" w:eastAsia="Times New Roman" w:hAnsi="Calibri" w:cs="Calibri"/>
                <w:color w:val="000000"/>
                <w:sz w:val="20"/>
                <w:szCs w:val="20"/>
                <w:lang w:eastAsia="en-GB"/>
              </w:rPr>
            </w:pPr>
            <w:r w:rsidRPr="00A33AE8">
              <w:rPr>
                <w:rFonts w:ascii="Calibri" w:eastAsia="Times New Roman" w:hAnsi="Calibri" w:cs="Calibri"/>
                <w:color w:val="000000"/>
                <w:sz w:val="20"/>
                <w:szCs w:val="20"/>
                <w:lang w:eastAsia="en-GB"/>
              </w:rPr>
              <w:t>Contribution to the expected RES penetration for electricity production, heating and cooling and transport</w:t>
            </w:r>
          </w:p>
        </w:tc>
      </w:tr>
      <w:tr w:rsidR="004A2019" w:rsidRPr="00A33AE8" w14:paraId="5A1AA3EA" w14:textId="77777777" w:rsidTr="006769DA">
        <w:trPr>
          <w:gridAfter w:val="1"/>
          <w:wAfter w:w="222" w:type="dxa"/>
          <w:trHeight w:val="1337"/>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3AA8B4A1"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752651BD" w14:textId="77777777" w:rsidR="004A2019" w:rsidRPr="00A33AE8" w:rsidRDefault="004A2019" w:rsidP="006769DA">
            <w:pPr>
              <w:spacing w:after="0" w:line="240" w:lineRule="auto"/>
              <w:jc w:val="both"/>
              <w:rPr>
                <w:rFonts w:ascii="Calibri Light" w:eastAsia="Times New Roman" w:hAnsi="Calibri Light" w:cs="Calibri Light"/>
                <w:color w:val="000000"/>
                <w:sz w:val="20"/>
                <w:szCs w:val="20"/>
                <w:lang w:eastAsia="en-GB"/>
              </w:rPr>
            </w:pPr>
            <w:bookmarkStart w:id="147" w:name="_Hlk135853240"/>
            <w:r w:rsidRPr="00A33AE8">
              <w:rPr>
                <w:rFonts w:ascii="Calibri Light" w:eastAsia="Times New Roman" w:hAnsi="Calibri Light" w:cs="Calibri Light"/>
                <w:color w:val="000000"/>
                <w:sz w:val="20"/>
                <w:szCs w:val="20"/>
                <w:lang w:eastAsia="en-GB"/>
              </w:rPr>
              <w:t xml:space="preserve">PM_D23 will </w:t>
            </w:r>
            <w:r w:rsidR="005D2B0E" w:rsidRPr="00A33AE8">
              <w:rPr>
                <w:rFonts w:ascii="Calibri Light" w:eastAsia="Times New Roman" w:hAnsi="Calibri Light" w:cs="Calibri Light"/>
                <w:color w:val="000000"/>
                <w:sz w:val="20"/>
                <w:szCs w:val="20"/>
                <w:lang w:eastAsia="en-GB"/>
              </w:rPr>
              <w:t>improve the</w:t>
            </w:r>
            <w:r w:rsidRPr="00A33AE8">
              <w:rPr>
                <w:rFonts w:ascii="Calibri Light" w:eastAsia="Times New Roman" w:hAnsi="Calibri Light" w:cs="Calibri Light"/>
                <w:color w:val="000000"/>
                <w:sz w:val="20"/>
                <w:szCs w:val="20"/>
                <w:lang w:eastAsia="en-GB"/>
              </w:rPr>
              <w:t xml:space="preserve"> guarantees of origin scheme</w:t>
            </w:r>
            <w:r w:rsidR="00656DD4" w:rsidRPr="00A33AE8">
              <w:rPr>
                <w:rFonts w:ascii="Calibri Light" w:eastAsia="Times New Roman" w:hAnsi="Calibri Light" w:cs="Calibri Light"/>
                <w:color w:val="000000"/>
                <w:sz w:val="20"/>
                <w:szCs w:val="20"/>
                <w:lang w:eastAsia="en-GB"/>
              </w:rPr>
              <w:t>, which is foreseen within the Law on the use of renewable energy sources,</w:t>
            </w:r>
            <w:r w:rsidRPr="00A33AE8">
              <w:rPr>
                <w:rFonts w:ascii="Calibri Light" w:eastAsia="Times New Roman" w:hAnsi="Calibri Light" w:cs="Calibri Light"/>
                <w:color w:val="000000"/>
                <w:sz w:val="20"/>
                <w:szCs w:val="20"/>
                <w:lang w:eastAsia="en-GB"/>
              </w:rPr>
              <w:t xml:space="preserve"> as a supplementary environmental mechanism informing the final customers about the share or quantity of the energy from renewable sources in an energy supplier's energy mix and in the energy supplied to consumers under contracts marketed with reference to the consumption of energy from renewable sources with objective, transparent and non-discriminatory criteria. </w:t>
            </w:r>
            <w:r w:rsidR="00817ED0" w:rsidRPr="00A33AE8">
              <w:rPr>
                <w:rFonts w:ascii="Calibri Light" w:eastAsia="Times New Roman" w:hAnsi="Calibri Light" w:cs="Calibri Light"/>
                <w:color w:val="000000"/>
                <w:sz w:val="20"/>
                <w:szCs w:val="20"/>
                <w:lang w:eastAsia="en-GB"/>
              </w:rPr>
              <w:t xml:space="preserve">The existing legislative framework will be expanded so as to cover not only the produced electricity from RES stations, but the </w:t>
            </w:r>
            <w:r w:rsidR="00C31854" w:rsidRPr="00A33AE8">
              <w:rPr>
                <w:rFonts w:ascii="Calibri Light" w:eastAsia="Times New Roman" w:hAnsi="Calibri Light" w:cs="Calibri Light"/>
                <w:color w:val="000000"/>
                <w:sz w:val="20"/>
                <w:szCs w:val="20"/>
                <w:lang w:eastAsia="en-GB"/>
              </w:rPr>
              <w:t xml:space="preserve">utilized </w:t>
            </w:r>
            <w:r w:rsidR="00817ED0" w:rsidRPr="00A33AE8">
              <w:rPr>
                <w:rFonts w:ascii="Calibri Light" w:eastAsia="Times New Roman" w:hAnsi="Calibri Light" w:cs="Calibri Light"/>
                <w:color w:val="000000"/>
                <w:sz w:val="20"/>
                <w:szCs w:val="20"/>
                <w:lang w:eastAsia="en-GB"/>
              </w:rPr>
              <w:t xml:space="preserve">RES in heating, cooling and transport. </w:t>
            </w:r>
            <w:r w:rsidRPr="00A33AE8">
              <w:rPr>
                <w:rFonts w:ascii="Calibri Light" w:eastAsia="Times New Roman" w:hAnsi="Calibri Light" w:cs="Calibri Light"/>
                <w:color w:val="000000"/>
                <w:sz w:val="20"/>
                <w:szCs w:val="20"/>
                <w:lang w:eastAsia="en-GB"/>
              </w:rPr>
              <w:t>The operation of the registry of guarantees of origin will be continued enhanced facilitating the provision of information to all citizens.</w:t>
            </w:r>
            <w:r w:rsidR="00817ED0" w:rsidRPr="00A33AE8">
              <w:rPr>
                <w:rFonts w:ascii="Calibri Light" w:eastAsia="Times New Roman" w:hAnsi="Calibri Light" w:cs="Calibri Light"/>
                <w:color w:val="000000"/>
                <w:sz w:val="20"/>
                <w:szCs w:val="20"/>
                <w:lang w:eastAsia="en-GB"/>
              </w:rPr>
              <w:t xml:space="preserve"> </w:t>
            </w:r>
            <w:bookmarkEnd w:id="147"/>
            <w:r w:rsidR="00C31854" w:rsidRPr="00A33AE8">
              <w:rPr>
                <w:rFonts w:ascii="Calibri Light" w:eastAsia="Times New Roman" w:hAnsi="Calibri Light" w:cs="Calibri Light"/>
                <w:color w:val="000000"/>
                <w:sz w:val="20"/>
                <w:szCs w:val="20"/>
                <w:lang w:eastAsia="en-GB"/>
              </w:rPr>
              <w:t>Moreover, an auction scheme will be launched giving the opportunity to the interested enterprises to purchase guarantees of origin.</w:t>
            </w:r>
          </w:p>
        </w:tc>
      </w:tr>
      <w:tr w:rsidR="004A2019" w:rsidRPr="00A33AE8" w14:paraId="0C1A9B12" w14:textId="77777777" w:rsidTr="006769DA">
        <w:trPr>
          <w:gridAfter w:val="1"/>
          <w:wAfter w:w="222" w:type="dxa"/>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4B0F2358"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1ECBD0EB" w14:textId="77777777" w:rsidR="004A2019" w:rsidRPr="00A33AE8" w:rsidRDefault="00656DD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4A2019" w:rsidRPr="00A33AE8">
              <w:rPr>
                <w:rFonts w:ascii="Calibri Light" w:eastAsia="Times New Roman" w:hAnsi="Calibri Light" w:cs="Calibri Light"/>
                <w:color w:val="000000"/>
                <w:sz w:val="20"/>
                <w:szCs w:val="20"/>
                <w:lang w:eastAsia="en-GB"/>
              </w:rPr>
              <w:t>-</w:t>
            </w:r>
            <w:r w:rsidR="00CF0F0D" w:rsidRPr="00A33AE8">
              <w:rPr>
                <w:rFonts w:ascii="Calibri Light" w:eastAsia="Times New Roman" w:hAnsi="Calibri Light" w:cs="Calibri Light"/>
                <w:color w:val="000000"/>
                <w:sz w:val="20"/>
                <w:szCs w:val="20"/>
                <w:lang w:eastAsia="en-GB"/>
              </w:rPr>
              <w:t>20</w:t>
            </w:r>
            <w:r w:rsidR="00CF0F0D">
              <w:rPr>
                <w:rFonts w:ascii="Calibri Light" w:eastAsia="Times New Roman" w:hAnsi="Calibri Light" w:cs="Calibri Light"/>
                <w:color w:val="000000"/>
                <w:sz w:val="20"/>
                <w:szCs w:val="20"/>
                <w:lang w:eastAsia="en-GB"/>
              </w:rPr>
              <w:t>28</w:t>
            </w:r>
          </w:p>
        </w:tc>
      </w:tr>
      <w:tr w:rsidR="004A2019" w:rsidRPr="00A33AE8" w14:paraId="39B4E11B" w14:textId="77777777" w:rsidTr="006769DA">
        <w:trPr>
          <w:gridAfter w:val="1"/>
          <w:wAfter w:w="222" w:type="dxa"/>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73BBB0E4"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027E133E" w14:textId="77777777" w:rsidR="004A2019" w:rsidRPr="00A33AE8" w:rsidRDefault="009449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4A2019" w:rsidRPr="00A33AE8" w14:paraId="608FE25A" w14:textId="77777777" w:rsidTr="006769DA">
        <w:trPr>
          <w:gridAfter w:val="1"/>
          <w:wAfter w:w="222" w:type="dxa"/>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6B2C8966"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269FEE90" w14:textId="77777777" w:rsidR="004A2019" w:rsidRPr="00A33AE8" w:rsidRDefault="00C365D8"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end-use sectors</w:t>
            </w:r>
          </w:p>
        </w:tc>
      </w:tr>
      <w:tr w:rsidR="004A2019" w:rsidRPr="00A33AE8" w14:paraId="3438A37F" w14:textId="77777777" w:rsidTr="006769DA">
        <w:trPr>
          <w:gridAfter w:val="1"/>
          <w:wAfter w:w="222" w:type="dxa"/>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0AEB80F2"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07BE8D1F" w14:textId="77777777" w:rsidR="004A2019"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4A2019" w:rsidRPr="00A33AE8" w14:paraId="1590FC80" w14:textId="77777777" w:rsidTr="006769DA">
        <w:trPr>
          <w:gridAfter w:val="1"/>
          <w:wAfter w:w="222" w:type="dxa"/>
          <w:trHeight w:val="315"/>
        </w:trPr>
        <w:tc>
          <w:tcPr>
            <w:tcW w:w="3333" w:type="dxa"/>
            <w:tcBorders>
              <w:top w:val="nil"/>
              <w:left w:val="single" w:sz="8" w:space="0" w:color="auto"/>
              <w:bottom w:val="single" w:sz="8" w:space="0" w:color="auto"/>
              <w:right w:val="nil"/>
            </w:tcBorders>
            <w:shd w:val="clear" w:color="000000" w:fill="244062"/>
            <w:vAlign w:val="center"/>
            <w:hideMark/>
          </w:tcPr>
          <w:p w14:paraId="7BE512AE"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1E0A8B5C" w14:textId="77777777" w:rsidR="004A2019" w:rsidRPr="00A33AE8" w:rsidRDefault="00CF0F0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F0F0D">
              <w:rPr>
                <w:rFonts w:ascii="Calibri Light" w:eastAsia="Times New Roman" w:hAnsi="Calibri Light" w:cs="Calibri Light"/>
                <w:color w:val="000000"/>
                <w:sz w:val="20"/>
                <w:szCs w:val="20"/>
                <w:lang w:eastAsia="en-GB"/>
              </w:rPr>
              <w:t>Government of the Republic of Serbia</w:t>
            </w:r>
          </w:p>
        </w:tc>
      </w:tr>
      <w:tr w:rsidR="004A2019" w:rsidRPr="00A33AE8" w14:paraId="07C258CB" w14:textId="77777777" w:rsidTr="006769DA">
        <w:trPr>
          <w:gridAfter w:val="1"/>
          <w:wAfter w:w="222" w:type="dxa"/>
          <w:trHeight w:val="315"/>
        </w:trPr>
        <w:tc>
          <w:tcPr>
            <w:tcW w:w="3333" w:type="dxa"/>
            <w:tcBorders>
              <w:top w:val="nil"/>
              <w:left w:val="single" w:sz="8" w:space="0" w:color="auto"/>
              <w:bottom w:val="single" w:sz="8" w:space="0" w:color="auto"/>
              <w:right w:val="nil"/>
            </w:tcBorders>
            <w:shd w:val="clear" w:color="000000" w:fill="244062"/>
            <w:vAlign w:val="center"/>
            <w:hideMark/>
          </w:tcPr>
          <w:p w14:paraId="76337730" w14:textId="77777777" w:rsidR="004A2019" w:rsidRPr="00A33AE8" w:rsidRDefault="004A201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2F707196" w14:textId="77777777" w:rsidR="004A2019" w:rsidRPr="00A33AE8" w:rsidRDefault="001E211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Issued guarantees of origin </w:t>
            </w:r>
          </w:p>
        </w:tc>
      </w:tr>
      <w:tr w:rsidR="00416B4C" w:rsidRPr="00A33AE8" w14:paraId="4B06B15D" w14:textId="77777777" w:rsidTr="006769DA">
        <w:trPr>
          <w:gridAfter w:val="1"/>
          <w:wAfter w:w="222" w:type="dxa"/>
          <w:trHeight w:val="487"/>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45D51A4B"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5" w:type="dxa"/>
            <w:gridSpan w:val="3"/>
            <w:tcBorders>
              <w:top w:val="single" w:sz="8" w:space="0" w:color="auto"/>
              <w:left w:val="nil"/>
              <w:bottom w:val="single" w:sz="8" w:space="0" w:color="auto"/>
              <w:right w:val="single" w:sz="8" w:space="0" w:color="000000"/>
            </w:tcBorders>
            <w:shd w:val="clear" w:color="auto" w:fill="auto"/>
            <w:vAlign w:val="center"/>
          </w:tcPr>
          <w:p w14:paraId="1B5E9214" w14:textId="77777777" w:rsidR="00CF0F0D" w:rsidRPr="00CF0F0D" w:rsidRDefault="00CF0F0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F0F0D">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1616D326" w14:textId="77777777" w:rsidR="00CF0F0D" w:rsidRPr="005B2C66" w:rsidRDefault="00CF0F0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F0F0D">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p w14:paraId="04AF1008" w14:textId="77777777" w:rsidR="00416B4C" w:rsidRPr="00A33AE8" w:rsidRDefault="00416B4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Internal energy market</w:t>
            </w:r>
            <w:r w:rsidR="00CF0F0D">
              <w:rPr>
                <w:rFonts w:ascii="Calibri Light" w:eastAsia="Times New Roman" w:hAnsi="Calibri Light" w:cs="Calibri Light"/>
                <w:color w:val="000000"/>
                <w:sz w:val="20"/>
                <w:szCs w:val="20"/>
                <w:lang w:eastAsia="en-GB"/>
              </w:rPr>
              <w:t xml:space="preserve"> </w:t>
            </w:r>
            <w:r w:rsidR="00CF0F0D" w:rsidRPr="00CF0F0D">
              <w:rPr>
                <w:rFonts w:ascii="Calibri Light" w:eastAsia="Times New Roman" w:hAnsi="Calibri Light" w:cs="Calibri Light"/>
                <w:color w:val="000000"/>
                <w:sz w:val="20"/>
                <w:szCs w:val="20"/>
                <w:lang w:eastAsia="en-GB"/>
              </w:rPr>
              <w:t>(the penetration of RES technologies will reinforce marker integration and coupling)</w:t>
            </w:r>
          </w:p>
        </w:tc>
      </w:tr>
      <w:tr w:rsidR="00416B4C" w:rsidRPr="00A33AE8" w14:paraId="19985DEE" w14:textId="77777777" w:rsidTr="006769DA">
        <w:trPr>
          <w:gridAfter w:val="1"/>
          <w:wAfter w:w="222" w:type="dxa"/>
          <w:trHeight w:val="450"/>
        </w:trPr>
        <w:tc>
          <w:tcPr>
            <w:tcW w:w="333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ACF07F0"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2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3706325" w14:textId="77777777" w:rsidR="00416B4C" w:rsidRPr="00A33AE8" w:rsidRDefault="00416B4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416B4C" w:rsidRPr="00A33AE8" w14:paraId="51AB1F99" w14:textId="77777777" w:rsidTr="006769DA">
        <w:trPr>
          <w:trHeight w:val="300"/>
        </w:trPr>
        <w:tc>
          <w:tcPr>
            <w:tcW w:w="3333" w:type="dxa"/>
            <w:vMerge/>
            <w:tcBorders>
              <w:top w:val="nil"/>
              <w:left w:val="single" w:sz="8" w:space="0" w:color="auto"/>
              <w:bottom w:val="single" w:sz="8" w:space="0" w:color="000000"/>
              <w:right w:val="single" w:sz="8" w:space="0" w:color="auto"/>
            </w:tcBorders>
            <w:vAlign w:val="center"/>
            <w:hideMark/>
          </w:tcPr>
          <w:p w14:paraId="055844FD"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p>
        </w:tc>
        <w:tc>
          <w:tcPr>
            <w:tcW w:w="6125" w:type="dxa"/>
            <w:gridSpan w:val="3"/>
            <w:vMerge/>
            <w:tcBorders>
              <w:top w:val="single" w:sz="8" w:space="0" w:color="auto"/>
              <w:left w:val="single" w:sz="8" w:space="0" w:color="auto"/>
              <w:bottom w:val="single" w:sz="8" w:space="0" w:color="000000"/>
              <w:right w:val="single" w:sz="8" w:space="0" w:color="000000"/>
            </w:tcBorders>
            <w:vAlign w:val="center"/>
            <w:hideMark/>
          </w:tcPr>
          <w:p w14:paraId="265B4300" w14:textId="77777777" w:rsidR="00416B4C" w:rsidRPr="00A33AE8" w:rsidRDefault="00416B4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6262D78" w14:textId="77777777" w:rsidR="00416B4C" w:rsidRPr="00A33AE8" w:rsidRDefault="00416B4C" w:rsidP="00416B4C">
            <w:pPr>
              <w:spacing w:after="0" w:line="240" w:lineRule="auto"/>
              <w:rPr>
                <w:rFonts w:ascii="Calibri Light" w:eastAsia="Times New Roman" w:hAnsi="Calibri Light" w:cs="Calibri Light"/>
                <w:color w:val="000000"/>
                <w:sz w:val="20"/>
                <w:szCs w:val="20"/>
                <w:lang w:eastAsia="en-GB"/>
              </w:rPr>
            </w:pPr>
          </w:p>
        </w:tc>
      </w:tr>
      <w:tr w:rsidR="00416B4C" w:rsidRPr="00A33AE8" w14:paraId="79BD4D41" w14:textId="77777777" w:rsidTr="006769DA">
        <w:trPr>
          <w:trHeight w:val="60"/>
        </w:trPr>
        <w:tc>
          <w:tcPr>
            <w:tcW w:w="3333" w:type="dxa"/>
            <w:vMerge/>
            <w:tcBorders>
              <w:top w:val="nil"/>
              <w:left w:val="single" w:sz="8" w:space="0" w:color="auto"/>
              <w:bottom w:val="single" w:sz="8" w:space="0" w:color="000000"/>
              <w:right w:val="single" w:sz="8" w:space="0" w:color="auto"/>
            </w:tcBorders>
            <w:vAlign w:val="center"/>
            <w:hideMark/>
          </w:tcPr>
          <w:p w14:paraId="2CE8039B"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p>
        </w:tc>
        <w:tc>
          <w:tcPr>
            <w:tcW w:w="6125" w:type="dxa"/>
            <w:gridSpan w:val="3"/>
            <w:vMerge/>
            <w:tcBorders>
              <w:top w:val="single" w:sz="8" w:space="0" w:color="auto"/>
              <w:left w:val="single" w:sz="8" w:space="0" w:color="auto"/>
              <w:bottom w:val="single" w:sz="8" w:space="0" w:color="000000"/>
              <w:right w:val="single" w:sz="8" w:space="0" w:color="000000"/>
            </w:tcBorders>
            <w:vAlign w:val="center"/>
            <w:hideMark/>
          </w:tcPr>
          <w:p w14:paraId="5BDF0EAC" w14:textId="77777777" w:rsidR="00416B4C" w:rsidRPr="00A33AE8" w:rsidRDefault="00416B4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742D3A0" w14:textId="77777777" w:rsidR="00416B4C" w:rsidRPr="00A33AE8" w:rsidRDefault="00416B4C" w:rsidP="00416B4C">
            <w:pPr>
              <w:spacing w:after="0" w:line="240" w:lineRule="auto"/>
              <w:rPr>
                <w:rFonts w:ascii="Times New Roman" w:eastAsia="Times New Roman" w:hAnsi="Times New Roman" w:cs="Times New Roman"/>
                <w:sz w:val="20"/>
                <w:szCs w:val="20"/>
                <w:lang w:eastAsia="en-GB"/>
              </w:rPr>
            </w:pPr>
          </w:p>
        </w:tc>
      </w:tr>
      <w:tr w:rsidR="00416B4C" w:rsidRPr="00A33AE8" w14:paraId="77A0C421" w14:textId="77777777" w:rsidTr="006769DA">
        <w:trPr>
          <w:trHeight w:val="434"/>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6E49B64A"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1CE32281" w14:textId="77777777" w:rsidR="00416B4C" w:rsidRPr="00A33AE8" w:rsidRDefault="00416B4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Law on the use of renewable energy sources </w:t>
            </w:r>
          </w:p>
        </w:tc>
        <w:tc>
          <w:tcPr>
            <w:tcW w:w="222" w:type="dxa"/>
            <w:vAlign w:val="center"/>
            <w:hideMark/>
          </w:tcPr>
          <w:p w14:paraId="50AF7ED0" w14:textId="77777777" w:rsidR="00416B4C" w:rsidRPr="00A33AE8" w:rsidRDefault="00416B4C" w:rsidP="00416B4C">
            <w:pPr>
              <w:spacing w:after="0" w:line="240" w:lineRule="auto"/>
              <w:rPr>
                <w:rFonts w:ascii="Times New Roman" w:eastAsia="Times New Roman" w:hAnsi="Times New Roman" w:cs="Times New Roman"/>
                <w:sz w:val="20"/>
                <w:szCs w:val="20"/>
                <w:lang w:eastAsia="en-GB"/>
              </w:rPr>
            </w:pPr>
          </w:p>
        </w:tc>
      </w:tr>
      <w:tr w:rsidR="00416B4C" w:rsidRPr="00A33AE8" w14:paraId="30287DD5" w14:textId="77777777" w:rsidTr="006769DA">
        <w:trPr>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6D912CA2"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756A2C6C" w14:textId="77777777" w:rsidR="00416B4C" w:rsidRPr="00A33AE8" w:rsidRDefault="00416B4C" w:rsidP="00416B4C">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p>
        </w:tc>
        <w:tc>
          <w:tcPr>
            <w:tcW w:w="222" w:type="dxa"/>
            <w:vAlign w:val="center"/>
            <w:hideMark/>
          </w:tcPr>
          <w:p w14:paraId="053728E5" w14:textId="77777777" w:rsidR="00416B4C" w:rsidRPr="00A33AE8" w:rsidRDefault="00416B4C" w:rsidP="00416B4C">
            <w:pPr>
              <w:spacing w:after="0" w:line="240" w:lineRule="auto"/>
              <w:rPr>
                <w:rFonts w:ascii="Times New Roman" w:eastAsia="Times New Roman" w:hAnsi="Times New Roman" w:cs="Times New Roman"/>
                <w:sz w:val="20"/>
                <w:szCs w:val="20"/>
                <w:lang w:eastAsia="en-GB"/>
              </w:rPr>
            </w:pPr>
          </w:p>
        </w:tc>
      </w:tr>
      <w:tr w:rsidR="00416B4C" w:rsidRPr="00A33AE8" w14:paraId="1481603F" w14:textId="77777777" w:rsidTr="006769DA">
        <w:trPr>
          <w:trHeight w:val="315"/>
        </w:trPr>
        <w:tc>
          <w:tcPr>
            <w:tcW w:w="3333" w:type="dxa"/>
            <w:tcBorders>
              <w:top w:val="nil"/>
              <w:left w:val="single" w:sz="8" w:space="0" w:color="auto"/>
              <w:bottom w:val="single" w:sz="8" w:space="0" w:color="auto"/>
              <w:right w:val="single" w:sz="8" w:space="0" w:color="auto"/>
            </w:tcBorders>
            <w:shd w:val="clear" w:color="000000" w:fill="244062"/>
            <w:vAlign w:val="center"/>
            <w:hideMark/>
          </w:tcPr>
          <w:p w14:paraId="1C702767" w14:textId="77777777" w:rsidR="00416B4C" w:rsidRPr="00A33AE8" w:rsidRDefault="00416B4C" w:rsidP="00416B4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5" w:type="dxa"/>
            <w:gridSpan w:val="3"/>
            <w:tcBorders>
              <w:top w:val="single" w:sz="8" w:space="0" w:color="auto"/>
              <w:left w:val="nil"/>
              <w:bottom w:val="single" w:sz="8" w:space="0" w:color="auto"/>
              <w:right w:val="single" w:sz="8" w:space="0" w:color="000000"/>
            </w:tcBorders>
            <w:shd w:val="clear" w:color="auto" w:fill="auto"/>
            <w:vAlign w:val="center"/>
            <w:hideMark/>
          </w:tcPr>
          <w:p w14:paraId="15A457CA" w14:textId="77777777" w:rsidR="00416B4C" w:rsidRPr="00A33AE8" w:rsidRDefault="00416B4C" w:rsidP="00416B4C">
            <w:pPr>
              <w:spacing w:after="0" w:line="240" w:lineRule="auto"/>
              <w:rPr>
                <w:rFonts w:ascii="Calibri" w:eastAsia="Times New Roman" w:hAnsi="Calibri" w:cs="Calibri"/>
                <w:color w:val="000000"/>
                <w:sz w:val="20"/>
                <w:szCs w:val="20"/>
                <w:highlight w:val="yellow"/>
                <w:lang w:eastAsia="en-GB"/>
              </w:rPr>
            </w:pPr>
            <w:r w:rsidRPr="00A33AE8">
              <w:rPr>
                <w:rFonts w:asciiTheme="majorHAnsi" w:eastAsia="Times New Roman" w:hAnsiTheme="majorHAnsi" w:cstheme="majorHAnsi"/>
                <w:color w:val="000000"/>
                <w:sz w:val="20"/>
                <w:szCs w:val="20"/>
                <w:lang w:eastAsia="en-GB"/>
              </w:rPr>
              <w:t>EU and other funds</w:t>
            </w:r>
            <w:r w:rsidR="005D2B0E" w:rsidRPr="00A33AE8">
              <w:rPr>
                <w:rFonts w:asciiTheme="majorHAnsi" w:eastAsia="Times New Roman" w:hAnsiTheme="majorHAnsi" w:cstheme="majorHAnsi"/>
                <w:color w:val="000000"/>
                <w:sz w:val="20"/>
                <w:szCs w:val="20"/>
                <w:lang w:eastAsia="en-GB"/>
              </w:rPr>
              <w:t xml:space="preserve"> and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5CC88ACA" w14:textId="77777777" w:rsidR="00416B4C" w:rsidRPr="00A33AE8" w:rsidRDefault="00416B4C" w:rsidP="00416B4C">
            <w:pPr>
              <w:spacing w:after="0" w:line="240" w:lineRule="auto"/>
              <w:rPr>
                <w:rFonts w:ascii="Times New Roman" w:eastAsia="Times New Roman" w:hAnsi="Times New Roman" w:cs="Times New Roman"/>
                <w:sz w:val="20"/>
                <w:szCs w:val="20"/>
                <w:lang w:eastAsia="en-GB"/>
              </w:rPr>
            </w:pPr>
          </w:p>
        </w:tc>
      </w:tr>
    </w:tbl>
    <w:p w14:paraId="425603D7" w14:textId="77777777" w:rsidR="0081343F" w:rsidRPr="00A33AE8" w:rsidRDefault="0081343F" w:rsidP="005B2C66">
      <w:pPr>
        <w:spacing w:before="120" w:after="120"/>
        <w:jc w:val="both"/>
        <w:rPr>
          <w:rFonts w:cstheme="minorHAnsi"/>
          <w:color w:val="000000"/>
        </w:rPr>
      </w:pPr>
    </w:p>
    <w:tbl>
      <w:tblPr>
        <w:tblW w:w="9680" w:type="dxa"/>
        <w:tblLook w:val="04A0" w:firstRow="1" w:lastRow="0" w:firstColumn="1" w:lastColumn="0" w:noHBand="0" w:noVBand="1"/>
      </w:tblPr>
      <w:tblGrid>
        <w:gridCol w:w="3274"/>
        <w:gridCol w:w="1097"/>
        <w:gridCol w:w="936"/>
        <w:gridCol w:w="4151"/>
        <w:gridCol w:w="222"/>
      </w:tblGrid>
      <w:tr w:rsidR="002672AA" w:rsidRPr="00A33AE8" w14:paraId="682C2A68" w14:textId="77777777" w:rsidTr="00F6479B">
        <w:trPr>
          <w:gridAfter w:val="1"/>
          <w:wAfter w:w="222" w:type="dxa"/>
          <w:trHeight w:val="780"/>
        </w:trPr>
        <w:tc>
          <w:tcPr>
            <w:tcW w:w="3274"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8DE165C" w14:textId="77777777" w:rsidR="002672AA" w:rsidRPr="00A33AE8" w:rsidRDefault="002672A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97" w:type="dxa"/>
            <w:tcBorders>
              <w:top w:val="single" w:sz="8" w:space="0" w:color="auto"/>
              <w:left w:val="nil"/>
              <w:bottom w:val="single" w:sz="8" w:space="0" w:color="auto"/>
              <w:right w:val="single" w:sz="8" w:space="0" w:color="auto"/>
            </w:tcBorders>
            <w:shd w:val="clear" w:color="auto" w:fill="E7E6E6" w:themeFill="background2"/>
            <w:vAlign w:val="center"/>
            <w:hideMark/>
          </w:tcPr>
          <w:p w14:paraId="7B0CBDA8" w14:textId="77777777" w:rsidR="002672AA" w:rsidRPr="00A33AE8" w:rsidRDefault="002672A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C365D8" w:rsidRPr="00A33AE8">
              <w:rPr>
                <w:rFonts w:ascii="Calibri Light" w:eastAsia="Times New Roman" w:hAnsi="Calibri Light" w:cs="Calibri Light"/>
                <w:b/>
                <w:bCs/>
                <w:color w:val="000000"/>
                <w:sz w:val="20"/>
                <w:szCs w:val="20"/>
                <w:lang w:eastAsia="en-GB"/>
              </w:rPr>
              <w:t>D28</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32D4C826"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280F25DC" w14:textId="77777777" w:rsidR="002672AA" w:rsidRPr="00A33AE8" w:rsidRDefault="002672A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Adaptation, enhancement and expansion of the grid networks for avoiding congestions and enabling the optimal penetration of RES</w:t>
            </w:r>
          </w:p>
        </w:tc>
      </w:tr>
      <w:tr w:rsidR="002672AA" w:rsidRPr="00A33AE8" w14:paraId="6E0A0F82" w14:textId="77777777" w:rsidTr="00F6479B">
        <w:trPr>
          <w:gridAfter w:val="1"/>
          <w:wAfter w:w="222" w:type="dxa"/>
          <w:trHeight w:val="393"/>
        </w:trPr>
        <w:tc>
          <w:tcPr>
            <w:tcW w:w="3274" w:type="dxa"/>
            <w:tcBorders>
              <w:top w:val="nil"/>
              <w:left w:val="single" w:sz="8" w:space="0" w:color="auto"/>
              <w:bottom w:val="single" w:sz="8" w:space="0" w:color="auto"/>
              <w:right w:val="nil"/>
            </w:tcBorders>
            <w:shd w:val="clear" w:color="000000" w:fill="244062"/>
            <w:vAlign w:val="center"/>
            <w:hideMark/>
          </w:tcPr>
          <w:p w14:paraId="0163CE8C"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6CF78083" w14:textId="77777777" w:rsidR="002672AA" w:rsidRPr="00A33AE8" w:rsidRDefault="002672A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2672AA" w:rsidRPr="00A33AE8" w14:paraId="65000803" w14:textId="77777777" w:rsidTr="00F6479B">
        <w:trPr>
          <w:gridAfter w:val="1"/>
          <w:wAfter w:w="222" w:type="dxa"/>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1301E597"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4AD192F8" w14:textId="77777777" w:rsidR="002672AA" w:rsidRPr="00A33AE8" w:rsidRDefault="002672AA"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the smooth and efficient operation</w:t>
            </w:r>
          </w:p>
        </w:tc>
      </w:tr>
      <w:tr w:rsidR="002672AA" w:rsidRPr="00A33AE8" w14:paraId="05807941" w14:textId="77777777" w:rsidTr="00F6479B">
        <w:trPr>
          <w:gridAfter w:val="1"/>
          <w:wAfter w:w="222" w:type="dxa"/>
          <w:trHeight w:val="229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4D4045B6"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35BF432A" w14:textId="77777777" w:rsidR="002672AA" w:rsidRPr="00A33AE8" w:rsidRDefault="002672AA"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7B2B9B" w:rsidRPr="00A33AE8">
              <w:rPr>
                <w:rFonts w:ascii="Calibri Light" w:eastAsia="Times New Roman" w:hAnsi="Calibri Light" w:cs="Calibri Light"/>
                <w:color w:val="000000"/>
                <w:sz w:val="20"/>
                <w:szCs w:val="20"/>
                <w:lang w:eastAsia="en-GB"/>
              </w:rPr>
              <w:t>D2</w:t>
            </w:r>
            <w:r w:rsidR="007B2B9B">
              <w:rPr>
                <w:rFonts w:ascii="Calibri Light" w:eastAsia="Times New Roman" w:hAnsi="Calibri Light" w:cs="Calibri Light"/>
                <w:color w:val="000000"/>
                <w:sz w:val="20"/>
                <w:szCs w:val="20"/>
                <w:lang w:eastAsia="en-GB"/>
              </w:rPr>
              <w:t>8</w:t>
            </w:r>
            <w:r w:rsidR="007B2B9B"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will facilitate the adaptation, enhancement and expansion of the grid networks in order to avoid congestions and to enable the optimal penetration of the planned renewable energy stations taking into consideration their variability according to the respective forecasts. Moreover, the operators </w:t>
            </w:r>
            <w:r w:rsidR="001A4FF5" w:rsidRPr="00A33AE8">
              <w:rPr>
                <w:rFonts w:ascii="Calibri Light" w:eastAsia="Times New Roman" w:hAnsi="Calibri Light" w:cs="Calibri Light"/>
                <w:color w:val="000000"/>
                <w:sz w:val="20"/>
                <w:szCs w:val="20"/>
                <w:lang w:eastAsia="en-GB"/>
              </w:rPr>
              <w:t xml:space="preserve">of the electricity grid </w:t>
            </w:r>
            <w:r w:rsidR="00A460B3" w:rsidRPr="00A33AE8">
              <w:rPr>
                <w:rFonts w:ascii="Calibri Light" w:eastAsia="Times New Roman" w:hAnsi="Calibri Light" w:cs="Calibri Light"/>
                <w:color w:val="000000"/>
                <w:sz w:val="20"/>
                <w:szCs w:val="20"/>
                <w:lang w:eastAsia="en-GB"/>
              </w:rPr>
              <w:t>will continue</w:t>
            </w:r>
            <w:r w:rsidR="001A4FF5"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to take into account the planned integration of new renewable energy stations </w:t>
            </w:r>
            <w:r w:rsidR="001A4FF5" w:rsidRPr="00A33AE8">
              <w:rPr>
                <w:rFonts w:ascii="Calibri Light" w:eastAsia="Times New Roman" w:hAnsi="Calibri Light" w:cs="Calibri Light"/>
                <w:color w:val="000000"/>
                <w:sz w:val="20"/>
                <w:szCs w:val="20"/>
                <w:lang w:eastAsia="en-GB"/>
              </w:rPr>
              <w:t>during their decisions</w:t>
            </w:r>
            <w:r w:rsidR="005D2B0E" w:rsidRPr="00A33AE8">
              <w:rPr>
                <w:rFonts w:ascii="Calibri Light" w:eastAsia="Times New Roman" w:hAnsi="Calibri Light" w:cs="Calibri Light"/>
                <w:color w:val="000000"/>
                <w:sz w:val="20"/>
                <w:szCs w:val="20"/>
                <w:lang w:eastAsia="en-GB"/>
              </w:rPr>
              <w:t xml:space="preserve"> for the adaptation, enhancement and expansion of the electricity grid networks</w:t>
            </w:r>
            <w:r w:rsidR="001A4FF5" w:rsidRPr="00A33AE8">
              <w:rPr>
                <w:rFonts w:ascii="Calibri Light" w:eastAsia="Times New Roman" w:hAnsi="Calibri Light" w:cs="Calibri Light"/>
                <w:color w:val="000000"/>
                <w:sz w:val="20"/>
                <w:szCs w:val="20"/>
                <w:lang w:eastAsia="en-GB"/>
              </w:rPr>
              <w:t xml:space="preserve">, while the </w:t>
            </w:r>
            <w:r w:rsidRPr="00A33AE8">
              <w:rPr>
                <w:rFonts w:ascii="Calibri Light" w:eastAsia="Times New Roman" w:hAnsi="Calibri Light" w:cs="Calibri Light"/>
                <w:color w:val="000000"/>
                <w:sz w:val="20"/>
                <w:szCs w:val="20"/>
                <w:lang w:eastAsia="en-GB"/>
              </w:rPr>
              <w:t xml:space="preserve">cost </w:t>
            </w:r>
            <w:r w:rsidR="001A4FF5" w:rsidRPr="00A33AE8">
              <w:rPr>
                <w:rFonts w:ascii="Calibri Light" w:eastAsia="Times New Roman" w:hAnsi="Calibri Light" w:cs="Calibri Light"/>
                <w:color w:val="000000"/>
                <w:sz w:val="20"/>
                <w:szCs w:val="20"/>
                <w:lang w:eastAsia="en-GB"/>
              </w:rPr>
              <w:t xml:space="preserve">of the required investments </w:t>
            </w:r>
            <w:r w:rsidR="00EC25FF" w:rsidRPr="00A33AE8">
              <w:rPr>
                <w:rFonts w:ascii="Calibri Light" w:eastAsia="Times New Roman" w:hAnsi="Calibri Light" w:cs="Calibri Light"/>
                <w:color w:val="000000"/>
                <w:sz w:val="20"/>
                <w:szCs w:val="20"/>
                <w:lang w:eastAsia="en-GB"/>
              </w:rPr>
              <w:t>will</w:t>
            </w:r>
            <w:r w:rsidR="001A4FF5" w:rsidRPr="00A33AE8">
              <w:rPr>
                <w:rFonts w:ascii="Calibri Light" w:eastAsia="Times New Roman" w:hAnsi="Calibri Light" w:cs="Calibri Light"/>
                <w:color w:val="000000"/>
                <w:sz w:val="20"/>
                <w:szCs w:val="20"/>
                <w:lang w:eastAsia="en-GB"/>
              </w:rPr>
              <w:t xml:space="preserve"> be recovered </w:t>
            </w:r>
            <w:r w:rsidR="005D2B0E" w:rsidRPr="00A33AE8">
              <w:rPr>
                <w:rFonts w:ascii="Calibri Light" w:eastAsia="Times New Roman" w:hAnsi="Calibri Light" w:cs="Calibri Light"/>
                <w:color w:val="000000"/>
                <w:sz w:val="20"/>
                <w:szCs w:val="20"/>
                <w:lang w:eastAsia="en-GB"/>
              </w:rPr>
              <w:t xml:space="preserve">through the electricity </w:t>
            </w:r>
            <w:r w:rsidR="001A4FF5" w:rsidRPr="00A33AE8">
              <w:rPr>
                <w:rFonts w:ascii="Calibri Light" w:eastAsia="Times New Roman" w:hAnsi="Calibri Light" w:cs="Calibri Light"/>
                <w:color w:val="000000"/>
                <w:sz w:val="20"/>
                <w:szCs w:val="20"/>
                <w:lang w:eastAsia="en-GB"/>
              </w:rPr>
              <w:t>tariffs</w:t>
            </w:r>
            <w:r w:rsidRPr="00A33AE8">
              <w:rPr>
                <w:rFonts w:ascii="Calibri Light" w:eastAsia="Times New Roman" w:hAnsi="Calibri Light" w:cs="Calibri Light"/>
                <w:color w:val="000000"/>
                <w:sz w:val="20"/>
                <w:szCs w:val="20"/>
                <w:lang w:eastAsia="en-GB"/>
              </w:rPr>
              <w:t>.</w:t>
            </w:r>
            <w:r w:rsidR="00C365D8" w:rsidRPr="00A33AE8">
              <w:t xml:space="preserve"> </w:t>
            </w:r>
            <w:r w:rsidR="00C365D8" w:rsidRPr="00A33AE8">
              <w:rPr>
                <w:rFonts w:ascii="Calibri Light" w:eastAsia="Times New Roman" w:hAnsi="Calibri Light" w:cs="Calibri Light"/>
                <w:color w:val="000000"/>
                <w:sz w:val="20"/>
                <w:szCs w:val="20"/>
                <w:lang w:eastAsia="en-GB"/>
              </w:rPr>
              <w:t>Finally, reactive power control and other services will be promoted also due to the fact that they have become increasingly important for ensuring system stability with fossil fuel phase out and renewable energy scale up.</w:t>
            </w:r>
          </w:p>
        </w:tc>
      </w:tr>
      <w:tr w:rsidR="002672AA" w:rsidRPr="00A33AE8" w14:paraId="49EA4862" w14:textId="77777777" w:rsidTr="00F6479B">
        <w:trPr>
          <w:gridAfter w:val="1"/>
          <w:wAfter w:w="222" w:type="dxa"/>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2CB861AB"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3887B9A9" w14:textId="77777777" w:rsidR="002672AA" w:rsidRPr="00A33AE8" w:rsidRDefault="00C20CC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hAnsi="Calibri Light"/>
                <w:color w:val="000000"/>
                <w:sz w:val="20"/>
              </w:rPr>
              <w:t>2025</w:t>
            </w:r>
            <w:r w:rsidR="002672AA" w:rsidRPr="00A33AE8">
              <w:rPr>
                <w:rFonts w:ascii="Calibri Light" w:eastAsia="Times New Roman" w:hAnsi="Calibri Light" w:cs="Calibri Light"/>
                <w:color w:val="000000"/>
                <w:sz w:val="20"/>
                <w:szCs w:val="20"/>
                <w:lang w:eastAsia="en-GB"/>
              </w:rPr>
              <w:t>-2030</w:t>
            </w:r>
          </w:p>
        </w:tc>
      </w:tr>
      <w:tr w:rsidR="002672AA" w:rsidRPr="00A33AE8" w14:paraId="3A1BF0D1" w14:textId="77777777" w:rsidTr="00F6479B">
        <w:trPr>
          <w:gridAfter w:val="1"/>
          <w:wAfter w:w="222" w:type="dxa"/>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3BE7B616"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434145B4" w14:textId="77777777" w:rsidR="002672AA" w:rsidRPr="00A33AE8" w:rsidRDefault="009449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672AA" w:rsidRPr="00A33AE8" w14:paraId="4DBC6AD1" w14:textId="77777777" w:rsidTr="00F6479B">
        <w:trPr>
          <w:gridAfter w:val="1"/>
          <w:wAfter w:w="222" w:type="dxa"/>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5CF26761"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5A74CBD4" w14:textId="77777777" w:rsidR="002672AA" w:rsidRPr="00A33AE8" w:rsidRDefault="002672A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2672AA" w:rsidRPr="00A33AE8" w14:paraId="0C719655" w14:textId="77777777" w:rsidTr="00F6479B">
        <w:trPr>
          <w:gridAfter w:val="1"/>
          <w:wAfter w:w="222" w:type="dxa"/>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505AB5DB"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42FF7BE8" w14:textId="77777777" w:rsidR="00547A88" w:rsidRPr="005B2C66" w:rsidRDefault="00500B07" w:rsidP="00884F3B">
            <w:pPr>
              <w:pStyle w:val="ListParagraph"/>
              <w:numPr>
                <w:ilvl w:val="0"/>
                <w:numId w:val="121"/>
              </w:numPr>
              <w:spacing w:after="0" w:line="240" w:lineRule="auto"/>
              <w:rPr>
                <w:rStyle w:val="cf01"/>
                <w:rFonts w:ascii="Calibri Light" w:eastAsia="Times New Roman" w:hAnsi="Calibri Light" w:cs="Calibri Light"/>
                <w:color w:val="000000"/>
                <w:sz w:val="20"/>
                <w:szCs w:val="20"/>
                <w:lang w:val="pt-PT" w:eastAsia="en-GB"/>
              </w:rPr>
            </w:pPr>
            <w:r w:rsidRPr="005B2C66">
              <w:rPr>
                <w:rStyle w:val="cf01"/>
                <w:lang w:val="pt-PT"/>
              </w:rPr>
              <w:t>Elektrodistribucija Srbije d.o.o. Beograd EPS</w:t>
            </w:r>
          </w:p>
          <w:p w14:paraId="5E415BF4" w14:textId="77777777" w:rsidR="002672AA" w:rsidRPr="00A33AE8" w:rsidRDefault="00500B0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Theme="majorHAnsi" w:hAnsiTheme="majorHAnsi" w:cstheme="majorHAnsi"/>
                <w:bCs/>
              </w:rPr>
              <w:t>“Elektromreža Srbije“ - EMS</w:t>
            </w:r>
          </w:p>
        </w:tc>
      </w:tr>
      <w:tr w:rsidR="002672AA" w:rsidRPr="00A33AE8" w14:paraId="15725138" w14:textId="77777777" w:rsidTr="00F6479B">
        <w:trPr>
          <w:gridAfter w:val="1"/>
          <w:wAfter w:w="222" w:type="dxa"/>
          <w:trHeight w:val="315"/>
        </w:trPr>
        <w:tc>
          <w:tcPr>
            <w:tcW w:w="3274" w:type="dxa"/>
            <w:tcBorders>
              <w:top w:val="nil"/>
              <w:left w:val="single" w:sz="8" w:space="0" w:color="auto"/>
              <w:bottom w:val="single" w:sz="8" w:space="0" w:color="auto"/>
              <w:right w:val="nil"/>
            </w:tcBorders>
            <w:shd w:val="clear" w:color="000000" w:fill="244062"/>
            <w:vAlign w:val="center"/>
            <w:hideMark/>
          </w:tcPr>
          <w:p w14:paraId="7CA0E390"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4346FD5A" w14:textId="77777777" w:rsidR="002672AA" w:rsidRPr="00A33AE8" w:rsidRDefault="002216C1"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Style w:val="cf01"/>
              </w:rPr>
              <w:t>Government of the Republic of Serbia</w:t>
            </w:r>
          </w:p>
        </w:tc>
      </w:tr>
      <w:tr w:rsidR="002672AA" w:rsidRPr="00A33AE8" w14:paraId="4410D7A1" w14:textId="77777777" w:rsidTr="00F6479B">
        <w:trPr>
          <w:gridAfter w:val="1"/>
          <w:wAfter w:w="222" w:type="dxa"/>
          <w:trHeight w:val="315"/>
        </w:trPr>
        <w:tc>
          <w:tcPr>
            <w:tcW w:w="3274" w:type="dxa"/>
            <w:tcBorders>
              <w:top w:val="nil"/>
              <w:left w:val="single" w:sz="8" w:space="0" w:color="auto"/>
              <w:bottom w:val="single" w:sz="8" w:space="0" w:color="auto"/>
              <w:right w:val="nil"/>
            </w:tcBorders>
            <w:shd w:val="clear" w:color="000000" w:fill="244062"/>
            <w:vAlign w:val="center"/>
            <w:hideMark/>
          </w:tcPr>
          <w:p w14:paraId="5DA29DEB"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429132A3" w14:textId="77777777" w:rsidR="003A2723" w:rsidRPr="005B2C66" w:rsidRDefault="003A2723" w:rsidP="00884F3B">
            <w:pPr>
              <w:pStyle w:val="ListParagraph"/>
              <w:numPr>
                <w:ilvl w:val="0"/>
                <w:numId w:val="121"/>
              </w:numPr>
              <w:spacing w:after="0" w:line="240" w:lineRule="auto"/>
              <w:rPr>
                <w:rStyle w:val="cf01"/>
              </w:rPr>
            </w:pPr>
            <w:r w:rsidRPr="005B2C66">
              <w:rPr>
                <w:rStyle w:val="cf01"/>
              </w:rPr>
              <w:t>Adapted, enhanced and expanded grid networks</w:t>
            </w:r>
          </w:p>
          <w:p w14:paraId="57507121" w14:textId="77777777" w:rsidR="002672AA" w:rsidRPr="00A33AE8" w:rsidRDefault="003A2723"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Style w:val="cf01"/>
              </w:rPr>
              <w:t>Develop</w:t>
            </w:r>
            <w:r w:rsidR="00F72DA9" w:rsidRPr="005B2C66">
              <w:rPr>
                <w:rStyle w:val="cf01"/>
              </w:rPr>
              <w:t xml:space="preserve">ed </w:t>
            </w:r>
            <w:r w:rsidRPr="005B2C66">
              <w:rPr>
                <w:rStyle w:val="cf01"/>
              </w:rPr>
              <w:t>legislative and regulatory framework</w:t>
            </w:r>
            <w:r w:rsidR="002672AA" w:rsidRPr="00A33AE8">
              <w:rPr>
                <w:rFonts w:ascii="Calibri Light" w:eastAsia="Times New Roman" w:hAnsi="Calibri Light" w:cs="Calibri Light"/>
                <w:color w:val="000000"/>
                <w:sz w:val="20"/>
                <w:szCs w:val="20"/>
                <w:lang w:eastAsia="en-GB"/>
              </w:rPr>
              <w:t> </w:t>
            </w:r>
          </w:p>
        </w:tc>
      </w:tr>
      <w:tr w:rsidR="006C6A30" w:rsidRPr="00A33AE8" w14:paraId="6DE432C4" w14:textId="77777777" w:rsidTr="00F6479B">
        <w:trPr>
          <w:gridAfter w:val="1"/>
          <w:wAfter w:w="222" w:type="dxa"/>
          <w:trHeight w:val="377"/>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552D10C1"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4" w:type="dxa"/>
            <w:gridSpan w:val="3"/>
            <w:tcBorders>
              <w:top w:val="single" w:sz="8" w:space="0" w:color="auto"/>
              <w:left w:val="nil"/>
              <w:bottom w:val="single" w:sz="8" w:space="0" w:color="auto"/>
              <w:right w:val="single" w:sz="8" w:space="0" w:color="000000"/>
            </w:tcBorders>
            <w:shd w:val="clear" w:color="auto" w:fill="auto"/>
            <w:vAlign w:val="center"/>
          </w:tcPr>
          <w:p w14:paraId="3CE8B114" w14:textId="77777777" w:rsidR="002216C1" w:rsidRPr="005B2C66" w:rsidRDefault="002216C1" w:rsidP="00884F3B">
            <w:pPr>
              <w:pStyle w:val="ListParagraph"/>
              <w:numPr>
                <w:ilvl w:val="0"/>
                <w:numId w:val="121"/>
              </w:numPr>
              <w:spacing w:after="0" w:line="240" w:lineRule="auto"/>
              <w:rPr>
                <w:rStyle w:val="cf01"/>
              </w:rPr>
            </w:pPr>
            <w:r w:rsidRPr="005B2C66">
              <w:rPr>
                <w:rStyle w:val="cf01"/>
              </w:rPr>
              <w:t>Energy efficiency (the promoted RES technologies will deliver also primary energy savings contributing to the achievement of the relevant targets)</w:t>
            </w:r>
          </w:p>
          <w:p w14:paraId="45DE147F" w14:textId="77777777" w:rsidR="002216C1" w:rsidRPr="005B2C66" w:rsidRDefault="002216C1" w:rsidP="00884F3B">
            <w:pPr>
              <w:pStyle w:val="ListParagraph"/>
              <w:numPr>
                <w:ilvl w:val="0"/>
                <w:numId w:val="121"/>
              </w:numPr>
              <w:spacing w:after="0" w:line="240" w:lineRule="auto"/>
              <w:rPr>
                <w:rStyle w:val="cf01"/>
              </w:rPr>
            </w:pPr>
            <w:r w:rsidRPr="005B2C66">
              <w:rPr>
                <w:rStyle w:val="cf01"/>
              </w:rPr>
              <w:t>Energy security (the penetration of RES technologies will reduce the energy import dependency from third countries and increase the deployment of domestic energy sources)</w:t>
            </w:r>
          </w:p>
          <w:p w14:paraId="73C529DF" w14:textId="77777777" w:rsidR="006C6A30" w:rsidRPr="00A33AE8" w:rsidRDefault="002216C1"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Style w:val="cf01"/>
              </w:rPr>
              <w:t>Internal energy market (the penetration of RES technologies will reinforce marker integration and coupling)</w:t>
            </w:r>
          </w:p>
        </w:tc>
      </w:tr>
      <w:tr w:rsidR="002672AA" w:rsidRPr="00A33AE8" w14:paraId="580B58A3" w14:textId="77777777" w:rsidTr="00F6479B">
        <w:trPr>
          <w:gridAfter w:val="1"/>
          <w:wAfter w:w="222" w:type="dxa"/>
          <w:trHeight w:val="450"/>
        </w:trPr>
        <w:tc>
          <w:tcPr>
            <w:tcW w:w="3274"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67C72A0"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4"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4653D8" w14:textId="77777777" w:rsidR="002672AA" w:rsidRPr="00A33AE8" w:rsidRDefault="002672A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2672AA" w:rsidRPr="00A33AE8" w14:paraId="406B075B" w14:textId="77777777" w:rsidTr="00F6479B">
        <w:trPr>
          <w:trHeight w:val="300"/>
        </w:trPr>
        <w:tc>
          <w:tcPr>
            <w:tcW w:w="3274" w:type="dxa"/>
            <w:vMerge/>
            <w:tcBorders>
              <w:top w:val="nil"/>
              <w:left w:val="single" w:sz="8" w:space="0" w:color="auto"/>
              <w:bottom w:val="single" w:sz="8" w:space="0" w:color="000000"/>
              <w:right w:val="single" w:sz="8" w:space="0" w:color="auto"/>
            </w:tcBorders>
            <w:vAlign w:val="center"/>
            <w:hideMark/>
          </w:tcPr>
          <w:p w14:paraId="465456E2"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p>
        </w:tc>
        <w:tc>
          <w:tcPr>
            <w:tcW w:w="6184" w:type="dxa"/>
            <w:gridSpan w:val="3"/>
            <w:vMerge/>
            <w:tcBorders>
              <w:top w:val="single" w:sz="8" w:space="0" w:color="auto"/>
              <w:left w:val="single" w:sz="8" w:space="0" w:color="auto"/>
              <w:bottom w:val="single" w:sz="8" w:space="0" w:color="000000"/>
              <w:right w:val="single" w:sz="8" w:space="0" w:color="000000"/>
            </w:tcBorders>
            <w:vAlign w:val="center"/>
            <w:hideMark/>
          </w:tcPr>
          <w:p w14:paraId="2C95E4A2" w14:textId="77777777" w:rsidR="002672AA" w:rsidRPr="00A33AE8" w:rsidRDefault="002672A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D70EE1A" w14:textId="77777777" w:rsidR="002672AA" w:rsidRPr="00A33AE8" w:rsidRDefault="002672AA" w:rsidP="006769DA">
            <w:pPr>
              <w:spacing w:after="0" w:line="240" w:lineRule="auto"/>
              <w:rPr>
                <w:rFonts w:ascii="Calibri Light" w:eastAsia="Times New Roman" w:hAnsi="Calibri Light" w:cs="Calibri Light"/>
                <w:color w:val="000000"/>
                <w:sz w:val="20"/>
                <w:szCs w:val="20"/>
                <w:lang w:eastAsia="en-GB"/>
              </w:rPr>
            </w:pPr>
          </w:p>
        </w:tc>
      </w:tr>
      <w:tr w:rsidR="002672AA" w:rsidRPr="00A33AE8" w14:paraId="20C7791A" w14:textId="77777777" w:rsidTr="00F6479B">
        <w:trPr>
          <w:trHeight w:val="54"/>
        </w:trPr>
        <w:tc>
          <w:tcPr>
            <w:tcW w:w="3274" w:type="dxa"/>
            <w:vMerge/>
            <w:tcBorders>
              <w:top w:val="nil"/>
              <w:left w:val="single" w:sz="8" w:space="0" w:color="auto"/>
              <w:bottom w:val="single" w:sz="8" w:space="0" w:color="000000"/>
              <w:right w:val="single" w:sz="8" w:space="0" w:color="auto"/>
            </w:tcBorders>
            <w:vAlign w:val="center"/>
            <w:hideMark/>
          </w:tcPr>
          <w:p w14:paraId="6505F277"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p>
        </w:tc>
        <w:tc>
          <w:tcPr>
            <w:tcW w:w="6184" w:type="dxa"/>
            <w:gridSpan w:val="3"/>
            <w:vMerge/>
            <w:tcBorders>
              <w:top w:val="single" w:sz="8" w:space="0" w:color="auto"/>
              <w:left w:val="single" w:sz="8" w:space="0" w:color="auto"/>
              <w:bottom w:val="single" w:sz="8" w:space="0" w:color="000000"/>
              <w:right w:val="single" w:sz="8" w:space="0" w:color="000000"/>
            </w:tcBorders>
            <w:vAlign w:val="center"/>
            <w:hideMark/>
          </w:tcPr>
          <w:p w14:paraId="3033B937" w14:textId="77777777" w:rsidR="002672AA" w:rsidRPr="00A33AE8" w:rsidRDefault="002672A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B5541BB" w14:textId="77777777" w:rsidR="002672AA" w:rsidRPr="00A33AE8" w:rsidRDefault="002672AA" w:rsidP="006769DA">
            <w:pPr>
              <w:spacing w:after="0" w:line="240" w:lineRule="auto"/>
              <w:rPr>
                <w:rFonts w:ascii="Times New Roman" w:eastAsia="Times New Roman" w:hAnsi="Times New Roman" w:cs="Times New Roman"/>
                <w:sz w:val="20"/>
                <w:szCs w:val="20"/>
                <w:lang w:eastAsia="en-GB"/>
              </w:rPr>
            </w:pPr>
          </w:p>
        </w:tc>
      </w:tr>
      <w:tr w:rsidR="002672AA" w:rsidRPr="00A33AE8" w14:paraId="6EAD11E4" w14:textId="77777777" w:rsidTr="00F6479B">
        <w:trPr>
          <w:trHeight w:val="283"/>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1F7DAFF1"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33D36DB1" w14:textId="77777777" w:rsidR="002672AA" w:rsidRPr="00A33AE8" w:rsidRDefault="00DC6FA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51240188" w14:textId="77777777" w:rsidR="00DC6FAD" w:rsidRPr="00A33AE8" w:rsidRDefault="00DC6FA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Planning and Construction</w:t>
            </w:r>
          </w:p>
        </w:tc>
        <w:tc>
          <w:tcPr>
            <w:tcW w:w="222" w:type="dxa"/>
            <w:vAlign w:val="center"/>
            <w:hideMark/>
          </w:tcPr>
          <w:p w14:paraId="6D5B9D43" w14:textId="77777777" w:rsidR="002672AA" w:rsidRPr="00A33AE8" w:rsidRDefault="002672AA" w:rsidP="006769DA">
            <w:pPr>
              <w:spacing w:after="0" w:line="240" w:lineRule="auto"/>
              <w:rPr>
                <w:rFonts w:ascii="Times New Roman" w:eastAsia="Times New Roman" w:hAnsi="Times New Roman" w:cs="Times New Roman"/>
                <w:sz w:val="20"/>
                <w:szCs w:val="20"/>
                <w:lang w:eastAsia="en-GB"/>
              </w:rPr>
            </w:pPr>
          </w:p>
        </w:tc>
      </w:tr>
      <w:tr w:rsidR="002672AA" w:rsidRPr="00A33AE8" w14:paraId="3D1E739E" w14:textId="77777777" w:rsidTr="00F6479B">
        <w:trPr>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00945018" w14:textId="77777777" w:rsidR="002672AA" w:rsidRPr="00A33AE8" w:rsidRDefault="002672A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54D14A5C" w14:textId="77777777" w:rsidR="002672AA" w:rsidRPr="00A33AE8" w:rsidRDefault="002672A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7C1E9A9D" w14:textId="77777777" w:rsidR="002672AA" w:rsidRPr="00A33AE8" w:rsidRDefault="002672AA" w:rsidP="006769DA">
            <w:pPr>
              <w:spacing w:after="0" w:line="240" w:lineRule="auto"/>
              <w:rPr>
                <w:rFonts w:ascii="Calibri Light" w:eastAsia="Times New Roman" w:hAnsi="Calibri Light" w:cs="Calibri Light"/>
                <w:color w:val="000000"/>
                <w:sz w:val="20"/>
                <w:szCs w:val="20"/>
                <w:lang w:eastAsia="en-GB"/>
              </w:rPr>
            </w:pPr>
          </w:p>
        </w:tc>
      </w:tr>
      <w:tr w:rsidR="005126F3" w:rsidRPr="00A33AE8" w14:paraId="55FDBBD3" w14:textId="77777777" w:rsidTr="00F6479B">
        <w:trPr>
          <w:trHeight w:val="315"/>
        </w:trPr>
        <w:tc>
          <w:tcPr>
            <w:tcW w:w="3274" w:type="dxa"/>
            <w:tcBorders>
              <w:top w:val="nil"/>
              <w:left w:val="single" w:sz="8" w:space="0" w:color="auto"/>
              <w:bottom w:val="single" w:sz="8" w:space="0" w:color="auto"/>
              <w:right w:val="single" w:sz="8" w:space="0" w:color="auto"/>
            </w:tcBorders>
            <w:shd w:val="clear" w:color="000000" w:fill="244062"/>
            <w:vAlign w:val="center"/>
            <w:hideMark/>
          </w:tcPr>
          <w:p w14:paraId="54465488" w14:textId="77777777" w:rsidR="005126F3" w:rsidRPr="00A33AE8" w:rsidRDefault="005126F3" w:rsidP="005126F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4" w:type="dxa"/>
            <w:gridSpan w:val="3"/>
            <w:tcBorders>
              <w:top w:val="single" w:sz="8" w:space="0" w:color="auto"/>
              <w:left w:val="nil"/>
              <w:bottom w:val="single" w:sz="8" w:space="0" w:color="auto"/>
              <w:right w:val="single" w:sz="8" w:space="0" w:color="000000"/>
            </w:tcBorders>
            <w:shd w:val="clear" w:color="auto" w:fill="auto"/>
            <w:vAlign w:val="center"/>
            <w:hideMark/>
          </w:tcPr>
          <w:p w14:paraId="2925C0F8" w14:textId="77777777" w:rsidR="005126F3" w:rsidRPr="00A33AE8" w:rsidRDefault="005126F3" w:rsidP="005126F3">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2868C296" w14:textId="77777777" w:rsidR="005126F3" w:rsidRPr="00A33AE8" w:rsidRDefault="005126F3" w:rsidP="005126F3">
            <w:pPr>
              <w:spacing w:after="0" w:line="240" w:lineRule="auto"/>
              <w:rPr>
                <w:rFonts w:ascii="Times New Roman" w:eastAsia="Times New Roman" w:hAnsi="Times New Roman" w:cs="Times New Roman"/>
                <w:sz w:val="20"/>
                <w:szCs w:val="20"/>
                <w:lang w:eastAsia="en-GB"/>
              </w:rPr>
            </w:pPr>
          </w:p>
        </w:tc>
      </w:tr>
    </w:tbl>
    <w:p w14:paraId="021B6480" w14:textId="77777777" w:rsidR="00151D89" w:rsidRDefault="00151D89" w:rsidP="005B2C66">
      <w:pPr>
        <w:spacing w:before="120" w:after="120"/>
        <w:jc w:val="both"/>
        <w:rPr>
          <w:rFonts w:asciiTheme="majorHAnsi" w:hAnsiTheme="majorHAnsi" w:cstheme="majorHAnsi"/>
          <w:b/>
          <w:bCs/>
          <w:color w:val="000000"/>
        </w:rPr>
      </w:pPr>
    </w:p>
    <w:tbl>
      <w:tblPr>
        <w:tblW w:w="9680" w:type="dxa"/>
        <w:tblLook w:val="04A0" w:firstRow="1" w:lastRow="0" w:firstColumn="1" w:lastColumn="0" w:noHBand="0" w:noVBand="1"/>
      </w:tblPr>
      <w:tblGrid>
        <w:gridCol w:w="3276"/>
        <w:gridCol w:w="1114"/>
        <w:gridCol w:w="935"/>
        <w:gridCol w:w="4133"/>
        <w:gridCol w:w="222"/>
      </w:tblGrid>
      <w:tr w:rsidR="00151D89" w:rsidRPr="007925BF" w14:paraId="34D5D4FB" w14:textId="77777777" w:rsidTr="001544A6">
        <w:trPr>
          <w:gridAfter w:val="1"/>
          <w:wAfter w:w="222" w:type="dxa"/>
          <w:trHeight w:val="780"/>
        </w:trPr>
        <w:tc>
          <w:tcPr>
            <w:tcW w:w="3276"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FEB239E" w14:textId="77777777" w:rsidR="00151D89" w:rsidRPr="005B2C66" w:rsidRDefault="00151D89" w:rsidP="001544A6">
            <w:pPr>
              <w:spacing w:after="0" w:line="240" w:lineRule="auto"/>
              <w:jc w:val="both"/>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lastRenderedPageBreak/>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2AC2492E" w14:textId="77777777" w:rsidR="00151D89" w:rsidRPr="005B2C66" w:rsidRDefault="00151D89" w:rsidP="001544A6">
            <w:pPr>
              <w:spacing w:after="0" w:line="240" w:lineRule="auto"/>
              <w:jc w:val="both"/>
              <w:rPr>
                <w:rFonts w:ascii="Calibri Light" w:eastAsia="Times New Roman" w:hAnsi="Calibri Light" w:cs="Calibri Light"/>
                <w:b/>
                <w:bCs/>
                <w:color w:val="000000" w:themeColor="text1"/>
                <w:sz w:val="20"/>
                <w:szCs w:val="20"/>
                <w:lang w:eastAsia="en-GB"/>
              </w:rPr>
            </w:pPr>
            <w:r w:rsidRPr="005B2C66">
              <w:rPr>
                <w:rFonts w:ascii="Calibri Light" w:eastAsia="Times New Roman" w:hAnsi="Calibri Light" w:cs="Calibri Light"/>
                <w:b/>
                <w:bCs/>
                <w:color w:val="000000" w:themeColor="text1"/>
                <w:sz w:val="20"/>
                <w:szCs w:val="20"/>
                <w:lang w:eastAsia="en-GB"/>
              </w:rPr>
              <w:t>PM_D45</w:t>
            </w:r>
          </w:p>
        </w:tc>
        <w:tc>
          <w:tcPr>
            <w:tcW w:w="935" w:type="dxa"/>
            <w:tcBorders>
              <w:top w:val="single" w:sz="8" w:space="0" w:color="auto"/>
              <w:left w:val="nil"/>
              <w:bottom w:val="single" w:sz="8" w:space="0" w:color="auto"/>
              <w:right w:val="single" w:sz="8" w:space="0" w:color="auto"/>
            </w:tcBorders>
            <w:shd w:val="clear" w:color="000000" w:fill="244062"/>
            <w:vAlign w:val="center"/>
            <w:hideMark/>
          </w:tcPr>
          <w:p w14:paraId="7A7E3FF3" w14:textId="77777777" w:rsidR="00151D89" w:rsidRPr="005B2C66" w:rsidRDefault="00151D89" w:rsidP="001544A6">
            <w:pPr>
              <w:spacing w:after="0" w:line="240" w:lineRule="auto"/>
              <w:rPr>
                <w:rFonts w:ascii="Calibri Light" w:eastAsia="Times New Roman" w:hAnsi="Calibri Light" w:cs="Calibri Light"/>
                <w:b/>
                <w:bCs/>
                <w:color w:val="000000" w:themeColor="text1"/>
                <w:sz w:val="20"/>
                <w:szCs w:val="20"/>
                <w:lang w:eastAsia="en-GB"/>
              </w:rPr>
            </w:pPr>
            <w:r w:rsidRPr="005B2C66">
              <w:rPr>
                <w:rFonts w:ascii="Calibri Light" w:eastAsia="Times New Roman" w:hAnsi="Calibri Light" w:cs="Calibri Light"/>
                <w:b/>
                <w:bCs/>
                <w:color w:val="FFFFFF" w:themeColor="background1"/>
                <w:sz w:val="20"/>
                <w:szCs w:val="20"/>
                <w:lang w:eastAsia="en-GB"/>
              </w:rPr>
              <w:t xml:space="preserve">Title: </w:t>
            </w:r>
          </w:p>
        </w:tc>
        <w:tc>
          <w:tcPr>
            <w:tcW w:w="4133" w:type="dxa"/>
            <w:tcBorders>
              <w:top w:val="single" w:sz="8" w:space="0" w:color="auto"/>
              <w:left w:val="nil"/>
              <w:bottom w:val="single" w:sz="8" w:space="0" w:color="auto"/>
              <w:right w:val="single" w:sz="8" w:space="0" w:color="auto"/>
            </w:tcBorders>
            <w:shd w:val="clear" w:color="auto" w:fill="E7E6E6" w:themeFill="background2"/>
            <w:vAlign w:val="center"/>
            <w:hideMark/>
          </w:tcPr>
          <w:p w14:paraId="5868501A" w14:textId="77777777" w:rsidR="00151D89" w:rsidRPr="005B2C66" w:rsidRDefault="00151D89" w:rsidP="001544A6">
            <w:pPr>
              <w:spacing w:after="0" w:line="240" w:lineRule="auto"/>
              <w:jc w:val="both"/>
              <w:rPr>
                <w:rFonts w:ascii="Calibri Light" w:eastAsia="Times New Roman" w:hAnsi="Calibri Light" w:cs="Calibri Light"/>
                <w:b/>
                <w:bCs/>
                <w:color w:val="000000" w:themeColor="text1"/>
                <w:sz w:val="20"/>
                <w:szCs w:val="20"/>
                <w:lang w:eastAsia="en-GB"/>
              </w:rPr>
            </w:pPr>
            <w:r w:rsidRPr="005B2C66">
              <w:rPr>
                <w:rFonts w:ascii="Calibri Light" w:eastAsia="Times New Roman" w:hAnsi="Calibri Light" w:cs="Calibri Light"/>
                <w:b/>
                <w:bCs/>
                <w:color w:val="000000" w:themeColor="text1"/>
                <w:sz w:val="20"/>
                <w:szCs w:val="20"/>
                <w:lang w:eastAsia="en-GB"/>
              </w:rPr>
              <w:t>Updating and optimizing the spatial planning framework</w:t>
            </w:r>
          </w:p>
        </w:tc>
      </w:tr>
      <w:tr w:rsidR="00151D89" w:rsidRPr="007925BF" w14:paraId="281E1F70" w14:textId="77777777" w:rsidTr="001544A6">
        <w:trPr>
          <w:gridAfter w:val="1"/>
          <w:wAfter w:w="222" w:type="dxa"/>
          <w:trHeight w:val="462"/>
        </w:trPr>
        <w:tc>
          <w:tcPr>
            <w:tcW w:w="3276" w:type="dxa"/>
            <w:tcBorders>
              <w:top w:val="nil"/>
              <w:left w:val="single" w:sz="8" w:space="0" w:color="auto"/>
              <w:bottom w:val="single" w:sz="8" w:space="0" w:color="auto"/>
              <w:right w:val="nil"/>
            </w:tcBorders>
            <w:shd w:val="clear" w:color="000000" w:fill="244062"/>
            <w:vAlign w:val="center"/>
            <w:hideMark/>
          </w:tcPr>
          <w:p w14:paraId="0A586B5E"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 xml:space="preserve">Main objective: </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7D1BA1E1" w14:textId="77777777" w:rsidR="00151D89" w:rsidRPr="005B2C66" w:rsidRDefault="00151D89" w:rsidP="001544A6">
            <w:p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 xml:space="preserve">Increase share of RES in electricity </w:t>
            </w:r>
          </w:p>
        </w:tc>
      </w:tr>
      <w:tr w:rsidR="00151D89" w:rsidRPr="007925BF" w14:paraId="7435A21C" w14:textId="77777777" w:rsidTr="001544A6">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26A8D857"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 xml:space="preserve">Quantified objective: </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3680547A" w14:textId="77777777" w:rsidR="00151D89" w:rsidRPr="005B2C66" w:rsidRDefault="00151D89" w:rsidP="001544A6">
            <w:p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Contribution to the smooth and efficient operation</w:t>
            </w:r>
          </w:p>
        </w:tc>
      </w:tr>
      <w:tr w:rsidR="00151D89" w:rsidRPr="007925BF" w14:paraId="32BB9774" w14:textId="77777777" w:rsidTr="001544A6">
        <w:trPr>
          <w:gridAfter w:val="1"/>
          <w:wAfter w:w="222" w:type="dxa"/>
          <w:trHeight w:val="429"/>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48990B8D"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Description:</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325CF1F8" w14:textId="77777777" w:rsidR="00151D89" w:rsidRPr="005B2C66" w:rsidRDefault="00151D89" w:rsidP="001544A6">
            <w:pPr>
              <w:spacing w:after="0" w:line="240" w:lineRule="auto"/>
              <w:jc w:val="both"/>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PM_D45</w:t>
            </w:r>
            <w:r w:rsidR="006A7092">
              <w:rPr>
                <w:rFonts w:ascii="Calibri Light" w:hAnsi="Calibri Light" w:cs="Calibri Light"/>
                <w:color w:val="000000"/>
                <w:sz w:val="20"/>
                <w:szCs w:val="20"/>
                <w:lang w:eastAsia="en-GB"/>
              </w:rPr>
              <w:t>, with reference to Article 15.3 of RED II, w</w:t>
            </w:r>
            <w:r w:rsidRPr="005B2C66">
              <w:rPr>
                <w:rFonts w:ascii="Calibri Light" w:eastAsia="Times New Roman" w:hAnsi="Calibri Light" w:cs="Calibri Light"/>
                <w:color w:val="000000"/>
                <w:sz w:val="20"/>
                <w:szCs w:val="20"/>
                <w:lang w:eastAsia="en-GB"/>
              </w:rPr>
              <w:t>ill examine the update, simplification and optimization of the existing spatial planning framework through the adoption of the respective law so as to become more transparent and effective avoiding subjectivity about the selected criteria during the conduction of the spatial planning. Specifically, the different categories of areas, in which the installation of renewable energy projects will be fully or partially excluded, have to be known in advance within a transparent framework. Moreover, the preconditions for the potential installation of renewable energy projects will be determined taking into account different criteria for the designation of the suitable areas, such as the physiognomy, the environmental protection, the actual technical and economic potential for the exploitation of renewable energy sources and the anthropogenic activities for each installation area separately. It should be noted that the adopted legislative framework will be in compliance with the “do not significant harm” principle, while a mechanism for examining and resolving potential disputes will be established.</w:t>
            </w:r>
          </w:p>
        </w:tc>
      </w:tr>
      <w:tr w:rsidR="00151D89" w:rsidRPr="007925BF" w14:paraId="24FE09E9" w14:textId="77777777" w:rsidTr="001544A6">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61AE073E"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Implementation Timeframe</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6C58C803" w14:textId="77777777" w:rsidR="00151D89" w:rsidRPr="005B2C66" w:rsidRDefault="00151D89"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2025</w:t>
            </w:r>
          </w:p>
        </w:tc>
      </w:tr>
      <w:tr w:rsidR="00151D89" w:rsidRPr="007925BF" w14:paraId="086516EB" w14:textId="77777777" w:rsidTr="001544A6">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40CEFBFF"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Type of measure</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5FA642FF" w14:textId="77777777" w:rsidR="00151D89" w:rsidRPr="005B2C66" w:rsidRDefault="00151D89"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Reform</w:t>
            </w:r>
          </w:p>
        </w:tc>
      </w:tr>
      <w:tr w:rsidR="00151D89" w:rsidRPr="007925BF" w14:paraId="6E5FC1A4" w14:textId="77777777" w:rsidTr="001544A6">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292CE687"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Sectors covered/affected</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3A948283" w14:textId="77777777" w:rsidR="00151D89" w:rsidRPr="005B2C66" w:rsidRDefault="00151D89"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 xml:space="preserve">Electricity </w:t>
            </w:r>
          </w:p>
        </w:tc>
      </w:tr>
      <w:tr w:rsidR="00151D89" w:rsidRPr="007925BF" w14:paraId="0F0DA7AC" w14:textId="77777777" w:rsidTr="001544A6">
        <w:trPr>
          <w:gridAfter w:val="1"/>
          <w:wAfter w:w="222" w:type="dxa"/>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6A94998D"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Implementing Entity</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61D3A27E" w14:textId="77777777" w:rsidR="00151D89" w:rsidRPr="005B2C66" w:rsidRDefault="00151D89" w:rsidP="00884F3B">
            <w:pPr>
              <w:pStyle w:val="ListParagraph"/>
              <w:numPr>
                <w:ilvl w:val="0"/>
                <w:numId w:val="124"/>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Ministry of Construction, Transport and Infrastructure</w:t>
            </w:r>
          </w:p>
        </w:tc>
      </w:tr>
      <w:tr w:rsidR="00151D89" w:rsidRPr="007925BF" w14:paraId="0592508A" w14:textId="77777777" w:rsidTr="001544A6">
        <w:trPr>
          <w:gridAfter w:val="1"/>
          <w:wAfter w:w="222" w:type="dxa"/>
          <w:trHeight w:val="315"/>
        </w:trPr>
        <w:tc>
          <w:tcPr>
            <w:tcW w:w="3276" w:type="dxa"/>
            <w:tcBorders>
              <w:top w:val="nil"/>
              <w:left w:val="single" w:sz="8" w:space="0" w:color="auto"/>
              <w:bottom w:val="single" w:sz="8" w:space="0" w:color="auto"/>
              <w:right w:val="nil"/>
            </w:tcBorders>
            <w:shd w:val="clear" w:color="000000" w:fill="244062"/>
            <w:vAlign w:val="center"/>
            <w:hideMark/>
          </w:tcPr>
          <w:p w14:paraId="19E63A8B"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Monitoring Entity</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30609DCB" w14:textId="77777777" w:rsidR="00151D89" w:rsidRPr="005B2C66" w:rsidRDefault="00151D89" w:rsidP="00884F3B">
            <w:pPr>
              <w:pStyle w:val="ListParagraph"/>
              <w:numPr>
                <w:ilvl w:val="0"/>
                <w:numId w:val="124"/>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Government of the Republic of Serbia</w:t>
            </w:r>
          </w:p>
        </w:tc>
      </w:tr>
      <w:tr w:rsidR="00151D89" w:rsidRPr="007925BF" w14:paraId="62D019CD" w14:textId="77777777" w:rsidTr="001544A6">
        <w:trPr>
          <w:gridAfter w:val="1"/>
          <w:wAfter w:w="222" w:type="dxa"/>
          <w:trHeight w:val="315"/>
        </w:trPr>
        <w:tc>
          <w:tcPr>
            <w:tcW w:w="3276" w:type="dxa"/>
            <w:tcBorders>
              <w:top w:val="nil"/>
              <w:left w:val="single" w:sz="8" w:space="0" w:color="auto"/>
              <w:bottom w:val="single" w:sz="8" w:space="0" w:color="auto"/>
              <w:right w:val="nil"/>
            </w:tcBorders>
            <w:shd w:val="clear" w:color="000000" w:fill="244062"/>
            <w:vAlign w:val="center"/>
            <w:hideMark/>
          </w:tcPr>
          <w:p w14:paraId="59285ECD"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Progress indicators</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7CC9BFCD" w14:textId="77777777" w:rsidR="00151D89" w:rsidRPr="005B2C66" w:rsidRDefault="00151D89" w:rsidP="00884F3B">
            <w:pPr>
              <w:pStyle w:val="ListParagraph"/>
              <w:numPr>
                <w:ilvl w:val="0"/>
                <w:numId w:val="124"/>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Developed legislative and regulatory framework</w:t>
            </w:r>
          </w:p>
        </w:tc>
      </w:tr>
      <w:tr w:rsidR="00151D89" w:rsidRPr="007925BF" w14:paraId="6C611A1D" w14:textId="77777777" w:rsidTr="001544A6">
        <w:trPr>
          <w:gridAfter w:val="1"/>
          <w:wAfter w:w="222" w:type="dxa"/>
          <w:trHeight w:val="464"/>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647AB0E7"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Other relevant Energy Union dimension(s) affected</w:t>
            </w:r>
          </w:p>
        </w:tc>
        <w:tc>
          <w:tcPr>
            <w:tcW w:w="6182" w:type="dxa"/>
            <w:gridSpan w:val="3"/>
            <w:tcBorders>
              <w:top w:val="single" w:sz="8" w:space="0" w:color="auto"/>
              <w:left w:val="nil"/>
              <w:bottom w:val="single" w:sz="8" w:space="0" w:color="auto"/>
              <w:right w:val="single" w:sz="8" w:space="0" w:color="000000"/>
            </w:tcBorders>
            <w:shd w:val="clear" w:color="auto" w:fill="auto"/>
            <w:vAlign w:val="center"/>
          </w:tcPr>
          <w:p w14:paraId="51E1692E" w14:textId="77777777" w:rsidR="00151D89" w:rsidRPr="005B2C66" w:rsidRDefault="00151D89" w:rsidP="00884F3B">
            <w:pPr>
              <w:pStyle w:val="ListParagraph"/>
              <w:numPr>
                <w:ilvl w:val="0"/>
                <w:numId w:val="124"/>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Energy efficiency (the promoted RES technologies will deliver also primary energy savings contributing to the achievement of the relevant targets)</w:t>
            </w:r>
          </w:p>
          <w:p w14:paraId="4F8CECB1" w14:textId="77777777" w:rsidR="00151D89" w:rsidRPr="005B2C66" w:rsidRDefault="00151D89" w:rsidP="00884F3B">
            <w:pPr>
              <w:pStyle w:val="ListParagraph"/>
              <w:numPr>
                <w:ilvl w:val="0"/>
                <w:numId w:val="124"/>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Energy security (the penetration of RES technologies will reduce the energy import dependency from third countries and increase the deployment of domestic energy sources)</w:t>
            </w:r>
          </w:p>
        </w:tc>
      </w:tr>
      <w:tr w:rsidR="00151D89" w:rsidRPr="007925BF" w14:paraId="5AB152B3" w14:textId="77777777" w:rsidTr="001544A6">
        <w:trPr>
          <w:gridAfter w:val="1"/>
          <w:wAfter w:w="222" w:type="dxa"/>
          <w:trHeight w:val="450"/>
        </w:trPr>
        <w:tc>
          <w:tcPr>
            <w:tcW w:w="3276"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433C63D"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Union policy which resulted in the implementation of the PaM</w:t>
            </w:r>
          </w:p>
        </w:tc>
        <w:tc>
          <w:tcPr>
            <w:tcW w:w="618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490E2B" w14:textId="77777777" w:rsidR="00151D89" w:rsidRPr="005B2C66" w:rsidRDefault="00151D89" w:rsidP="00884F3B">
            <w:pPr>
              <w:pStyle w:val="ListParagraph"/>
              <w:numPr>
                <w:ilvl w:val="0"/>
                <w:numId w:val="121"/>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Directive 2018/2001/ΕU</w:t>
            </w:r>
          </w:p>
        </w:tc>
      </w:tr>
      <w:tr w:rsidR="00151D89" w:rsidRPr="007925BF" w14:paraId="69559E57" w14:textId="77777777" w:rsidTr="001544A6">
        <w:trPr>
          <w:trHeight w:val="300"/>
        </w:trPr>
        <w:tc>
          <w:tcPr>
            <w:tcW w:w="3276" w:type="dxa"/>
            <w:vMerge/>
            <w:tcBorders>
              <w:top w:val="nil"/>
              <w:left w:val="single" w:sz="8" w:space="0" w:color="auto"/>
              <w:bottom w:val="single" w:sz="8" w:space="0" w:color="000000"/>
              <w:right w:val="single" w:sz="8" w:space="0" w:color="auto"/>
            </w:tcBorders>
            <w:vAlign w:val="center"/>
            <w:hideMark/>
          </w:tcPr>
          <w:p w14:paraId="5FBE7704"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p>
        </w:tc>
        <w:tc>
          <w:tcPr>
            <w:tcW w:w="6182" w:type="dxa"/>
            <w:gridSpan w:val="3"/>
            <w:vMerge/>
            <w:tcBorders>
              <w:top w:val="single" w:sz="8" w:space="0" w:color="auto"/>
              <w:left w:val="single" w:sz="8" w:space="0" w:color="auto"/>
              <w:bottom w:val="single" w:sz="8" w:space="0" w:color="000000"/>
              <w:right w:val="single" w:sz="8" w:space="0" w:color="000000"/>
            </w:tcBorders>
            <w:vAlign w:val="center"/>
            <w:hideMark/>
          </w:tcPr>
          <w:p w14:paraId="28E8B410" w14:textId="77777777" w:rsidR="00151D89" w:rsidRPr="005B2C66" w:rsidRDefault="00151D89" w:rsidP="00884F3B">
            <w:pPr>
              <w:pStyle w:val="ListParagraph"/>
              <w:numPr>
                <w:ilvl w:val="0"/>
                <w:numId w:val="121"/>
              </w:numPr>
              <w:spacing w:after="0" w:line="240" w:lineRule="auto"/>
              <w:rPr>
                <w:rFonts w:ascii="Calibri Light" w:eastAsia="Times New Roman" w:hAnsi="Calibri Light" w:cs="Calibri Light"/>
                <w:color w:val="000000" w:themeColor="text1"/>
                <w:sz w:val="20"/>
                <w:szCs w:val="20"/>
                <w:lang w:eastAsia="en-GB"/>
              </w:rPr>
            </w:pPr>
          </w:p>
        </w:tc>
        <w:tc>
          <w:tcPr>
            <w:tcW w:w="222" w:type="dxa"/>
            <w:tcBorders>
              <w:top w:val="nil"/>
              <w:left w:val="nil"/>
              <w:bottom w:val="nil"/>
              <w:right w:val="nil"/>
            </w:tcBorders>
            <w:shd w:val="clear" w:color="auto" w:fill="auto"/>
            <w:noWrap/>
            <w:vAlign w:val="bottom"/>
            <w:hideMark/>
          </w:tcPr>
          <w:p w14:paraId="02509AF7" w14:textId="77777777" w:rsidR="00151D89" w:rsidRPr="00407B38" w:rsidRDefault="00151D89" w:rsidP="001544A6">
            <w:pPr>
              <w:spacing w:after="0" w:line="240" w:lineRule="auto"/>
              <w:rPr>
                <w:rFonts w:ascii="Calibri Light" w:eastAsia="Times New Roman" w:hAnsi="Calibri Light" w:cs="Calibri Light"/>
                <w:color w:val="FF0000"/>
                <w:sz w:val="20"/>
                <w:szCs w:val="20"/>
                <w:lang w:eastAsia="en-GB"/>
              </w:rPr>
            </w:pPr>
          </w:p>
        </w:tc>
      </w:tr>
      <w:tr w:rsidR="00151D89" w:rsidRPr="007925BF" w14:paraId="4CCEC5E5" w14:textId="77777777" w:rsidTr="001544A6">
        <w:trPr>
          <w:trHeight w:val="60"/>
        </w:trPr>
        <w:tc>
          <w:tcPr>
            <w:tcW w:w="3276" w:type="dxa"/>
            <w:vMerge/>
            <w:tcBorders>
              <w:top w:val="nil"/>
              <w:left w:val="single" w:sz="8" w:space="0" w:color="auto"/>
              <w:bottom w:val="single" w:sz="8" w:space="0" w:color="000000"/>
              <w:right w:val="single" w:sz="8" w:space="0" w:color="auto"/>
            </w:tcBorders>
            <w:vAlign w:val="center"/>
            <w:hideMark/>
          </w:tcPr>
          <w:p w14:paraId="14A85AAF"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p>
        </w:tc>
        <w:tc>
          <w:tcPr>
            <w:tcW w:w="6182" w:type="dxa"/>
            <w:gridSpan w:val="3"/>
            <w:vMerge/>
            <w:tcBorders>
              <w:top w:val="single" w:sz="8" w:space="0" w:color="auto"/>
              <w:left w:val="single" w:sz="8" w:space="0" w:color="auto"/>
              <w:bottom w:val="single" w:sz="8" w:space="0" w:color="000000"/>
              <w:right w:val="single" w:sz="8" w:space="0" w:color="000000"/>
            </w:tcBorders>
            <w:vAlign w:val="center"/>
            <w:hideMark/>
          </w:tcPr>
          <w:p w14:paraId="19ABA559" w14:textId="77777777" w:rsidR="00151D89" w:rsidRPr="005B2C66" w:rsidRDefault="00151D89" w:rsidP="00884F3B">
            <w:pPr>
              <w:pStyle w:val="ListParagraph"/>
              <w:numPr>
                <w:ilvl w:val="0"/>
                <w:numId w:val="121"/>
              </w:numPr>
              <w:spacing w:after="0" w:line="240" w:lineRule="auto"/>
              <w:rPr>
                <w:rFonts w:ascii="Calibri Light" w:eastAsia="Times New Roman" w:hAnsi="Calibri Light" w:cs="Calibri Light"/>
                <w:color w:val="000000" w:themeColor="text1"/>
                <w:sz w:val="20"/>
                <w:szCs w:val="20"/>
                <w:lang w:eastAsia="en-GB"/>
              </w:rPr>
            </w:pPr>
          </w:p>
        </w:tc>
        <w:tc>
          <w:tcPr>
            <w:tcW w:w="222" w:type="dxa"/>
            <w:tcBorders>
              <w:top w:val="nil"/>
              <w:left w:val="nil"/>
              <w:bottom w:val="nil"/>
              <w:right w:val="nil"/>
            </w:tcBorders>
            <w:shd w:val="clear" w:color="auto" w:fill="auto"/>
            <w:noWrap/>
            <w:vAlign w:val="bottom"/>
            <w:hideMark/>
          </w:tcPr>
          <w:p w14:paraId="68F2FC87" w14:textId="77777777" w:rsidR="00151D89" w:rsidRPr="00407B38" w:rsidRDefault="00151D89" w:rsidP="001544A6">
            <w:pPr>
              <w:spacing w:after="0" w:line="240" w:lineRule="auto"/>
              <w:rPr>
                <w:rFonts w:ascii="Times New Roman" w:eastAsia="Times New Roman" w:hAnsi="Times New Roman" w:cs="Times New Roman"/>
                <w:color w:val="FF0000"/>
                <w:sz w:val="20"/>
                <w:szCs w:val="20"/>
                <w:lang w:eastAsia="en-GB"/>
              </w:rPr>
            </w:pPr>
          </w:p>
        </w:tc>
      </w:tr>
      <w:tr w:rsidR="00151D89" w:rsidRPr="007925BF" w14:paraId="7F602DA3" w14:textId="77777777" w:rsidTr="001544A6">
        <w:trPr>
          <w:trHeight w:val="371"/>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338ACFE3"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Relevant National Planning Document (Legal, Regulatory Acts etc)</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6F560E4E" w14:textId="77777777" w:rsidR="00151D89" w:rsidRPr="005B2C66" w:rsidRDefault="00151D89" w:rsidP="001544A6">
            <w:pPr>
              <w:spacing w:after="0" w:line="240" w:lineRule="auto"/>
              <w:rPr>
                <w:rFonts w:ascii="Calibri Light" w:eastAsia="Times New Roman" w:hAnsi="Calibri Light" w:cs="Calibri Light"/>
                <w:color w:val="000000" w:themeColor="text1"/>
                <w:sz w:val="20"/>
                <w:szCs w:val="20"/>
                <w:lang w:eastAsia="en-GB"/>
              </w:rPr>
            </w:pPr>
          </w:p>
        </w:tc>
        <w:tc>
          <w:tcPr>
            <w:tcW w:w="222" w:type="dxa"/>
            <w:vAlign w:val="center"/>
            <w:hideMark/>
          </w:tcPr>
          <w:p w14:paraId="536FB42E" w14:textId="77777777" w:rsidR="00151D89" w:rsidRPr="00407B38" w:rsidRDefault="00151D89" w:rsidP="001544A6">
            <w:pPr>
              <w:spacing w:after="0" w:line="240" w:lineRule="auto"/>
              <w:rPr>
                <w:rFonts w:ascii="Times New Roman" w:eastAsia="Times New Roman" w:hAnsi="Times New Roman" w:cs="Times New Roman"/>
                <w:color w:val="FF0000"/>
                <w:sz w:val="20"/>
                <w:szCs w:val="20"/>
                <w:lang w:eastAsia="en-GB"/>
              </w:rPr>
            </w:pPr>
          </w:p>
        </w:tc>
      </w:tr>
      <w:tr w:rsidR="00151D89" w:rsidRPr="007925BF" w14:paraId="4D609534" w14:textId="77777777" w:rsidTr="001544A6">
        <w:trPr>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27C3B9C2"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Implementation cost</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1AB9FE8D" w14:textId="77777777" w:rsidR="00151D89" w:rsidRPr="005B2C66" w:rsidRDefault="00151D89" w:rsidP="001544A6">
            <w:pPr>
              <w:spacing w:after="0" w:line="240" w:lineRule="auto"/>
              <w:rPr>
                <w:rFonts w:ascii="Calibri" w:eastAsia="Times New Roman" w:hAnsi="Calibri" w:cs="Calibri"/>
                <w:color w:val="000000" w:themeColor="text1"/>
                <w:sz w:val="20"/>
                <w:szCs w:val="20"/>
                <w:lang w:eastAsia="en-GB"/>
              </w:rPr>
            </w:pPr>
            <w:r w:rsidRPr="005B2C66">
              <w:rPr>
                <w:rFonts w:asciiTheme="majorHAnsi" w:eastAsia="Times New Roman" w:hAnsiTheme="majorHAnsi" w:cstheme="majorHAnsi"/>
                <w:color w:val="000000" w:themeColor="text1"/>
                <w:sz w:val="20"/>
                <w:szCs w:val="20"/>
                <w:lang w:eastAsia="en-GB"/>
              </w:rPr>
              <w:t>0.1 M€</w:t>
            </w:r>
          </w:p>
        </w:tc>
        <w:tc>
          <w:tcPr>
            <w:tcW w:w="222" w:type="dxa"/>
            <w:vAlign w:val="center"/>
            <w:hideMark/>
          </w:tcPr>
          <w:p w14:paraId="6C672E1A" w14:textId="77777777" w:rsidR="00151D89" w:rsidRPr="00407B38" w:rsidRDefault="00151D89" w:rsidP="001544A6">
            <w:pPr>
              <w:spacing w:after="0" w:line="240" w:lineRule="auto"/>
              <w:rPr>
                <w:rFonts w:ascii="Times New Roman" w:eastAsia="Times New Roman" w:hAnsi="Times New Roman" w:cs="Times New Roman"/>
                <w:color w:val="FF0000"/>
                <w:sz w:val="20"/>
                <w:szCs w:val="20"/>
                <w:lang w:eastAsia="en-GB"/>
              </w:rPr>
            </w:pPr>
          </w:p>
        </w:tc>
      </w:tr>
      <w:tr w:rsidR="00151D89" w:rsidRPr="007925BF" w14:paraId="4BD721B1" w14:textId="77777777" w:rsidTr="001544A6">
        <w:trPr>
          <w:trHeight w:val="315"/>
        </w:trPr>
        <w:tc>
          <w:tcPr>
            <w:tcW w:w="3276" w:type="dxa"/>
            <w:tcBorders>
              <w:top w:val="nil"/>
              <w:left w:val="single" w:sz="8" w:space="0" w:color="auto"/>
              <w:bottom w:val="single" w:sz="8" w:space="0" w:color="auto"/>
              <w:right w:val="single" w:sz="8" w:space="0" w:color="auto"/>
            </w:tcBorders>
            <w:shd w:val="clear" w:color="000000" w:fill="244062"/>
            <w:vAlign w:val="center"/>
            <w:hideMark/>
          </w:tcPr>
          <w:p w14:paraId="0D48CC2D" w14:textId="77777777" w:rsidR="00151D89" w:rsidRPr="005B2C66" w:rsidRDefault="00151D89"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Financing source(s)</w:t>
            </w:r>
          </w:p>
        </w:tc>
        <w:tc>
          <w:tcPr>
            <w:tcW w:w="6182" w:type="dxa"/>
            <w:gridSpan w:val="3"/>
            <w:tcBorders>
              <w:top w:val="single" w:sz="8" w:space="0" w:color="auto"/>
              <w:left w:val="nil"/>
              <w:bottom w:val="single" w:sz="8" w:space="0" w:color="auto"/>
              <w:right w:val="single" w:sz="8" w:space="0" w:color="000000"/>
            </w:tcBorders>
            <w:shd w:val="clear" w:color="auto" w:fill="auto"/>
            <w:vAlign w:val="center"/>
            <w:hideMark/>
          </w:tcPr>
          <w:p w14:paraId="3CCD9D7C" w14:textId="77777777" w:rsidR="00151D89" w:rsidRPr="005B2C66" w:rsidRDefault="00151D89" w:rsidP="001544A6">
            <w:pPr>
              <w:spacing w:after="0" w:line="240" w:lineRule="auto"/>
              <w:rPr>
                <w:rFonts w:ascii="Calibri" w:eastAsia="Times New Roman" w:hAnsi="Calibri" w:cs="Calibri"/>
                <w:color w:val="000000" w:themeColor="text1"/>
                <w:sz w:val="20"/>
                <w:szCs w:val="20"/>
                <w:lang w:eastAsia="en-GB"/>
              </w:rPr>
            </w:pPr>
            <w:r w:rsidRPr="005B2C66">
              <w:rPr>
                <w:rFonts w:asciiTheme="majorHAnsi" w:eastAsia="Times New Roman" w:hAnsiTheme="majorHAnsi" w:cstheme="majorHAnsi"/>
                <w:color w:val="000000" w:themeColor="text1"/>
                <w:sz w:val="20"/>
                <w:szCs w:val="20"/>
                <w:lang w:eastAsia="en-GB"/>
              </w:rPr>
              <w:t>EU and other funds, public funds</w:t>
            </w:r>
          </w:p>
        </w:tc>
        <w:tc>
          <w:tcPr>
            <w:tcW w:w="222" w:type="dxa"/>
            <w:vAlign w:val="center"/>
            <w:hideMark/>
          </w:tcPr>
          <w:p w14:paraId="371F6E4C" w14:textId="77777777" w:rsidR="00151D89" w:rsidRPr="00407B38" w:rsidRDefault="00151D89" w:rsidP="001544A6">
            <w:pPr>
              <w:spacing w:after="0" w:line="240" w:lineRule="auto"/>
              <w:rPr>
                <w:rFonts w:ascii="Times New Roman" w:eastAsia="Times New Roman" w:hAnsi="Times New Roman" w:cs="Times New Roman"/>
                <w:color w:val="FF0000"/>
                <w:sz w:val="20"/>
                <w:szCs w:val="20"/>
                <w:lang w:eastAsia="en-GB"/>
              </w:rPr>
            </w:pPr>
          </w:p>
        </w:tc>
      </w:tr>
    </w:tbl>
    <w:p w14:paraId="1734531A" w14:textId="77777777" w:rsidR="00151D89" w:rsidRDefault="00151D89" w:rsidP="000B69B5">
      <w:pPr>
        <w:spacing w:before="160"/>
        <w:jc w:val="both"/>
        <w:rPr>
          <w:rFonts w:asciiTheme="majorHAnsi" w:hAnsiTheme="majorHAnsi" w:cstheme="majorHAnsi"/>
          <w:b/>
          <w:bCs/>
          <w:color w:val="000000"/>
        </w:rPr>
      </w:pPr>
    </w:p>
    <w:p w14:paraId="4D64D114" w14:textId="77777777" w:rsidR="0081343F" w:rsidRPr="00A33AE8" w:rsidRDefault="0081343F" w:rsidP="000B69B5">
      <w:pPr>
        <w:spacing w:before="160"/>
        <w:jc w:val="both"/>
        <w:rPr>
          <w:rFonts w:asciiTheme="majorHAnsi" w:hAnsiTheme="majorHAnsi" w:cstheme="majorHAnsi"/>
          <w:b/>
          <w:bCs/>
          <w:color w:val="000000"/>
        </w:rPr>
      </w:pPr>
      <w:r w:rsidRPr="00A33AE8">
        <w:rPr>
          <w:rFonts w:asciiTheme="majorHAnsi" w:hAnsiTheme="majorHAnsi" w:cstheme="majorHAnsi"/>
          <w:b/>
          <w:bCs/>
          <w:color w:val="000000"/>
        </w:rPr>
        <w:t>Heating and Cooling</w:t>
      </w:r>
    </w:p>
    <w:p w14:paraId="2FB5D4CB"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renewable energy technologies for heating and cooling will be </w:t>
      </w:r>
      <w:r w:rsidR="00922B09" w:rsidRPr="00A33AE8">
        <w:rPr>
          <w:rFonts w:asciiTheme="majorHAnsi" w:hAnsiTheme="majorHAnsi" w:cstheme="majorHAnsi"/>
          <w:color w:val="000000"/>
        </w:rPr>
        <w:t xml:space="preserve">promoted </w:t>
      </w:r>
      <w:r w:rsidRPr="00A33AE8">
        <w:rPr>
          <w:rFonts w:asciiTheme="majorHAnsi" w:hAnsiTheme="majorHAnsi" w:cstheme="majorHAnsi"/>
          <w:color w:val="000000"/>
        </w:rPr>
        <w:t xml:space="preserve">through the integration of specific provisions and requirements into the </w:t>
      </w:r>
      <w:r w:rsidR="00151683" w:rsidRPr="000007D2">
        <w:rPr>
          <w:rFonts w:asciiTheme="majorHAnsi" w:hAnsiTheme="majorHAnsi" w:cstheme="majorHAnsi"/>
          <w:color w:val="000000"/>
        </w:rPr>
        <w:t xml:space="preserve">Rulebook </w:t>
      </w:r>
      <w:r w:rsidRPr="00A33AE8">
        <w:rPr>
          <w:rFonts w:asciiTheme="majorHAnsi" w:hAnsiTheme="majorHAnsi" w:cstheme="majorHAnsi"/>
          <w:color w:val="000000"/>
        </w:rPr>
        <w:t xml:space="preserve">on Energy Efficiency </w:t>
      </w:r>
      <w:r w:rsidR="00151683" w:rsidRPr="00A33AE8">
        <w:rPr>
          <w:rFonts w:asciiTheme="majorHAnsi" w:hAnsiTheme="majorHAnsi" w:cstheme="majorHAnsi"/>
          <w:color w:val="000000"/>
        </w:rPr>
        <w:t>in</w:t>
      </w:r>
      <w:r w:rsidRPr="00A33AE8">
        <w:rPr>
          <w:rFonts w:asciiTheme="majorHAnsi" w:hAnsiTheme="majorHAnsi" w:cstheme="majorHAnsi"/>
          <w:color w:val="000000"/>
        </w:rPr>
        <w:t xml:space="preserve"> Buildings</w:t>
      </w:r>
      <w:r w:rsidR="00017C59" w:rsidRPr="00A33AE8">
        <w:rPr>
          <w:rStyle w:val="FootnoteReference"/>
          <w:rFonts w:asciiTheme="majorHAnsi" w:hAnsiTheme="majorHAnsi" w:cstheme="majorHAnsi"/>
          <w:color w:val="000000"/>
        </w:rPr>
        <w:footnoteReference w:id="114"/>
      </w:r>
      <w:r w:rsidRPr="00A33AE8">
        <w:rPr>
          <w:rFonts w:asciiTheme="majorHAnsi" w:hAnsiTheme="majorHAnsi" w:cstheme="majorHAnsi"/>
          <w:color w:val="000000"/>
        </w:rPr>
        <w:t xml:space="preserve"> </w:t>
      </w:r>
      <w:r w:rsidR="003E401B" w:rsidRPr="00A33AE8">
        <w:rPr>
          <w:rFonts w:asciiTheme="majorHAnsi" w:hAnsiTheme="majorHAnsi" w:cstheme="majorHAnsi"/>
          <w:color w:val="000000"/>
        </w:rPr>
        <w:t>encouraging an increase in the number of nearly zero-energy buildings by applying</w:t>
      </w:r>
      <w:r w:rsidR="003E401B" w:rsidRPr="00A33AE8" w:rsidDel="003E401B">
        <w:rPr>
          <w:rFonts w:asciiTheme="majorHAnsi" w:hAnsiTheme="majorHAnsi" w:cstheme="majorHAnsi"/>
          <w:color w:val="000000"/>
        </w:rPr>
        <w:t xml:space="preserve"> </w:t>
      </w:r>
      <w:r w:rsidRPr="00A33AE8">
        <w:rPr>
          <w:rFonts w:asciiTheme="majorHAnsi" w:hAnsiTheme="majorHAnsi" w:cstheme="majorHAnsi"/>
          <w:color w:val="000000"/>
        </w:rPr>
        <w:t xml:space="preserve">cost-effective </w:t>
      </w:r>
      <w:r w:rsidR="003E401B" w:rsidRPr="00A33AE8">
        <w:rPr>
          <w:rFonts w:asciiTheme="majorHAnsi" w:hAnsiTheme="majorHAnsi" w:cstheme="majorHAnsi"/>
          <w:color w:val="000000"/>
        </w:rPr>
        <w:t>packages of measures</w:t>
      </w:r>
      <w:r w:rsidRPr="00A33AE8">
        <w:rPr>
          <w:rFonts w:asciiTheme="majorHAnsi" w:hAnsiTheme="majorHAnsi" w:cstheme="majorHAnsi"/>
          <w:color w:val="000000"/>
        </w:rPr>
        <w:t xml:space="preserve">. The mandatory installation of renewable energy technologies will be examined both for the case of new and </w:t>
      </w:r>
      <w:r w:rsidRPr="00A33AE8">
        <w:rPr>
          <w:rFonts w:asciiTheme="majorHAnsi" w:hAnsiTheme="majorHAnsi" w:cstheme="majorHAnsi"/>
          <w:color w:val="000000"/>
        </w:rPr>
        <w:lastRenderedPageBreak/>
        <w:t xml:space="preserve">renovated buildings, while the potential determination of minimum renewable energy participation in </w:t>
      </w:r>
      <w:r w:rsidR="003E401B" w:rsidRPr="00A33AE8">
        <w:rPr>
          <w:rFonts w:asciiTheme="majorHAnsi" w:hAnsiTheme="majorHAnsi" w:cstheme="majorHAnsi"/>
          <w:color w:val="000000"/>
        </w:rPr>
        <w:t xml:space="preserve">all </w:t>
      </w:r>
      <w:r w:rsidRPr="00A33AE8">
        <w:rPr>
          <w:rFonts w:asciiTheme="majorHAnsi" w:hAnsiTheme="majorHAnsi" w:cstheme="majorHAnsi"/>
          <w:color w:val="000000"/>
        </w:rPr>
        <w:t>buildings will be explored taking into consideration both the economic viability of the renewable energy technologies and the delivered energy savings. Moreover, targeted fiscal and economic incentives will be provided for the installation of the most cost-effective renewable energy technologies for heating and cooling.</w:t>
      </w:r>
    </w:p>
    <w:p w14:paraId="6DB13221"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These policy measures will be designed accordingly so as to maximize the synergies with the respective measures in the energy efficiency dimension.</w:t>
      </w:r>
    </w:p>
    <w:tbl>
      <w:tblPr>
        <w:tblW w:w="9680" w:type="dxa"/>
        <w:tblLook w:val="04A0" w:firstRow="1" w:lastRow="0" w:firstColumn="1" w:lastColumn="0" w:noHBand="0" w:noVBand="1"/>
      </w:tblPr>
      <w:tblGrid>
        <w:gridCol w:w="3332"/>
        <w:gridCol w:w="945"/>
        <w:gridCol w:w="946"/>
        <w:gridCol w:w="4235"/>
        <w:gridCol w:w="222"/>
      </w:tblGrid>
      <w:tr w:rsidR="00A0628D" w:rsidRPr="00A33AE8" w14:paraId="34BFBF5C" w14:textId="77777777" w:rsidTr="006769DA">
        <w:trPr>
          <w:gridAfter w:val="1"/>
          <w:wAfter w:w="222" w:type="dxa"/>
          <w:trHeight w:val="780"/>
        </w:trPr>
        <w:tc>
          <w:tcPr>
            <w:tcW w:w="3332"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1DD19A5" w14:textId="77777777" w:rsidR="00A0628D" w:rsidRPr="00A33AE8" w:rsidRDefault="00A0628D"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5A2D99F1" w14:textId="77777777" w:rsidR="00A0628D" w:rsidRPr="00A33AE8" w:rsidRDefault="00A0628D"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674B0" w:rsidRPr="00A33AE8">
              <w:rPr>
                <w:rFonts w:ascii="Calibri Light" w:eastAsia="Times New Roman" w:hAnsi="Calibri Light" w:cs="Calibri Light"/>
                <w:b/>
                <w:bCs/>
                <w:color w:val="000000"/>
                <w:sz w:val="20"/>
                <w:szCs w:val="20"/>
                <w:lang w:eastAsia="en-GB"/>
              </w:rPr>
              <w:t>D29</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2277ABF0"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5" w:type="dxa"/>
            <w:tcBorders>
              <w:top w:val="single" w:sz="8" w:space="0" w:color="auto"/>
              <w:left w:val="nil"/>
              <w:bottom w:val="single" w:sz="8" w:space="0" w:color="auto"/>
              <w:right w:val="single" w:sz="8" w:space="0" w:color="auto"/>
            </w:tcBorders>
            <w:shd w:val="clear" w:color="auto" w:fill="E7E6E6" w:themeFill="background2"/>
            <w:vAlign w:val="center"/>
            <w:hideMark/>
          </w:tcPr>
          <w:p w14:paraId="640BD38D" w14:textId="77777777" w:rsidR="00A0628D" w:rsidRPr="00A33AE8" w:rsidRDefault="00A0628D"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RES for heating and cooling in new and renovated buildings</w:t>
            </w:r>
          </w:p>
        </w:tc>
      </w:tr>
      <w:tr w:rsidR="00A0628D" w:rsidRPr="00A33AE8" w14:paraId="71466531" w14:textId="77777777" w:rsidTr="006769DA">
        <w:trPr>
          <w:gridAfter w:val="1"/>
          <w:wAfter w:w="222" w:type="dxa"/>
          <w:trHeight w:val="333"/>
        </w:trPr>
        <w:tc>
          <w:tcPr>
            <w:tcW w:w="3332" w:type="dxa"/>
            <w:tcBorders>
              <w:top w:val="nil"/>
              <w:left w:val="single" w:sz="8" w:space="0" w:color="auto"/>
              <w:bottom w:val="single" w:sz="8" w:space="0" w:color="auto"/>
              <w:right w:val="nil"/>
            </w:tcBorders>
            <w:shd w:val="clear" w:color="000000" w:fill="244062"/>
            <w:vAlign w:val="center"/>
            <w:hideMark/>
          </w:tcPr>
          <w:p w14:paraId="3B1CFEEB"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626C56AF"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heating and cooling</w:t>
            </w:r>
          </w:p>
        </w:tc>
      </w:tr>
      <w:tr w:rsidR="00A0628D" w:rsidRPr="00A33AE8" w14:paraId="753E17F0"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34A4FF0A"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38D8EE63" w14:textId="77777777" w:rsidR="00FC1D57" w:rsidRPr="00A33AE8" w:rsidRDefault="00FC1D5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the quantified objective of PM_D3</w:t>
            </w:r>
            <w:r w:rsidR="000674B0" w:rsidRPr="00A33AE8">
              <w:rPr>
                <w:rFonts w:ascii="Calibri Light" w:eastAsia="Times New Roman" w:hAnsi="Calibri Light" w:cs="Calibri Light"/>
                <w:color w:val="000000"/>
                <w:sz w:val="20"/>
                <w:szCs w:val="20"/>
                <w:lang w:eastAsia="en-GB"/>
              </w:rPr>
              <w:t>0</w:t>
            </w:r>
          </w:p>
        </w:tc>
      </w:tr>
      <w:tr w:rsidR="00A0628D" w:rsidRPr="00A33AE8" w14:paraId="1C93D2FC" w14:textId="77777777" w:rsidTr="006769DA">
        <w:trPr>
          <w:gridAfter w:val="1"/>
          <w:wAfter w:w="222" w:type="dxa"/>
          <w:trHeight w:val="229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6A29596E"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4F58CBEB" w14:textId="77777777" w:rsidR="00A0628D" w:rsidRPr="00A33AE8" w:rsidRDefault="00A0628D"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0674B0" w:rsidRPr="00A33AE8">
              <w:rPr>
                <w:rFonts w:ascii="Calibri Light" w:eastAsia="Times New Roman" w:hAnsi="Calibri Light" w:cs="Calibri Light"/>
                <w:color w:val="000000"/>
                <w:sz w:val="20"/>
                <w:szCs w:val="20"/>
                <w:lang w:eastAsia="en-GB"/>
              </w:rPr>
              <w:t xml:space="preserve">D29 </w:t>
            </w:r>
            <w:r w:rsidRPr="00A33AE8">
              <w:rPr>
                <w:rFonts w:ascii="Calibri Light" w:eastAsia="Times New Roman" w:hAnsi="Calibri Light" w:cs="Calibri Light"/>
                <w:color w:val="000000"/>
                <w:sz w:val="20"/>
                <w:szCs w:val="20"/>
                <w:lang w:eastAsia="en-GB"/>
              </w:rPr>
              <w:t xml:space="preserve">will </w:t>
            </w:r>
            <w:r w:rsidR="003E401B" w:rsidRPr="00A33AE8">
              <w:rPr>
                <w:rFonts w:ascii="Calibri Light" w:eastAsia="Times New Roman" w:hAnsi="Calibri Light" w:cs="Calibri Light"/>
                <w:color w:val="000000"/>
                <w:sz w:val="20"/>
                <w:szCs w:val="20"/>
                <w:lang w:eastAsia="en-GB"/>
              </w:rPr>
              <w:t xml:space="preserve">facilitate the penetration of </w:t>
            </w:r>
            <w:r w:rsidRPr="00A33AE8">
              <w:rPr>
                <w:rFonts w:ascii="Calibri Light" w:eastAsia="Times New Roman" w:hAnsi="Calibri Light" w:cs="Calibri Light"/>
                <w:color w:val="000000"/>
                <w:sz w:val="20"/>
                <w:szCs w:val="20"/>
                <w:lang w:eastAsia="en-GB"/>
              </w:rPr>
              <w:t xml:space="preserve">renewable energy technologies for heating and cooling through the integration of specific provisions and requirements into the </w:t>
            </w:r>
            <w:r w:rsidR="00A460B3" w:rsidRPr="00A33AE8">
              <w:rPr>
                <w:rFonts w:ascii="Calibri Light" w:eastAsia="Times New Roman" w:hAnsi="Calibri Light" w:cs="Calibri Light"/>
                <w:color w:val="000000"/>
                <w:sz w:val="20"/>
                <w:szCs w:val="20"/>
                <w:lang w:eastAsia="en-GB"/>
              </w:rPr>
              <w:t>Rulebook</w:t>
            </w:r>
            <w:r w:rsidRPr="00A33AE8">
              <w:rPr>
                <w:rFonts w:ascii="Calibri Light" w:eastAsia="Times New Roman" w:hAnsi="Calibri Light" w:cs="Calibri Light"/>
                <w:color w:val="000000"/>
                <w:sz w:val="20"/>
                <w:szCs w:val="20"/>
                <w:lang w:eastAsia="en-GB"/>
              </w:rPr>
              <w:t xml:space="preserve"> on </w:t>
            </w:r>
            <w:r w:rsidR="00A460B3" w:rsidRPr="00A33AE8">
              <w:rPr>
                <w:rFonts w:ascii="Calibri Light" w:eastAsia="Times New Roman" w:hAnsi="Calibri Light" w:cs="Calibri Light"/>
                <w:color w:val="000000"/>
                <w:sz w:val="20"/>
                <w:szCs w:val="20"/>
                <w:lang w:eastAsia="en-GB"/>
              </w:rPr>
              <w:t>energy efficiency</w:t>
            </w:r>
            <w:r w:rsidRPr="00A33AE8">
              <w:rPr>
                <w:rFonts w:ascii="Calibri Light" w:eastAsia="Times New Roman" w:hAnsi="Calibri Light" w:cs="Calibri Light"/>
                <w:color w:val="000000"/>
                <w:sz w:val="20"/>
                <w:szCs w:val="20"/>
                <w:lang w:eastAsia="en-GB"/>
              </w:rPr>
              <w:t xml:space="preserve"> of </w:t>
            </w:r>
            <w:r w:rsidR="00A460B3" w:rsidRPr="00A33AE8">
              <w:rPr>
                <w:rFonts w:ascii="Calibri Light" w:eastAsia="Times New Roman" w:hAnsi="Calibri Light" w:cs="Calibri Light"/>
                <w:color w:val="000000"/>
                <w:sz w:val="20"/>
                <w:szCs w:val="20"/>
                <w:lang w:eastAsia="en-GB"/>
              </w:rPr>
              <w:t>buildings</w:t>
            </w:r>
            <w:r w:rsidRPr="00A33AE8">
              <w:rPr>
                <w:rFonts w:ascii="Calibri Light" w:eastAsia="Times New Roman" w:hAnsi="Calibri Light" w:cs="Calibri Light"/>
                <w:color w:val="000000"/>
                <w:sz w:val="20"/>
                <w:szCs w:val="20"/>
                <w:lang w:eastAsia="en-GB"/>
              </w:rPr>
              <w:t xml:space="preserve"> so as to facilitate the most cost-effective increase of the zero energy buildings. The mandatory installation of renewable energy technologies will be examined both for the case of new and renovated buildings, while the potential determination of minimum renewable energy participation in public buildings will be explored taking into consideration both the economic viability of the renewable energy technologies and the delivered energy savings.</w:t>
            </w:r>
          </w:p>
        </w:tc>
      </w:tr>
      <w:tr w:rsidR="00A0628D" w:rsidRPr="00A33AE8" w14:paraId="7E44144E"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6E11D480"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3D12333A" w14:textId="77777777" w:rsidR="00A0628D" w:rsidRPr="00A33AE8" w:rsidRDefault="00894D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0628D" w:rsidRPr="00A33AE8">
              <w:rPr>
                <w:rFonts w:ascii="Calibri Light" w:eastAsia="Times New Roman" w:hAnsi="Calibri Light" w:cs="Calibri Light"/>
                <w:color w:val="000000"/>
                <w:sz w:val="20"/>
                <w:szCs w:val="20"/>
                <w:lang w:eastAsia="en-GB"/>
              </w:rPr>
              <w:t>-</w:t>
            </w:r>
            <w:r w:rsidR="00151D89" w:rsidRPr="00A33AE8">
              <w:rPr>
                <w:rFonts w:ascii="Calibri Light" w:eastAsia="Times New Roman" w:hAnsi="Calibri Light" w:cs="Calibri Light"/>
                <w:color w:val="000000"/>
                <w:sz w:val="20"/>
                <w:szCs w:val="20"/>
                <w:lang w:eastAsia="en-GB"/>
              </w:rPr>
              <w:t>20</w:t>
            </w:r>
            <w:r w:rsidR="00151D89">
              <w:rPr>
                <w:rFonts w:ascii="Calibri Light" w:eastAsia="Times New Roman" w:hAnsi="Calibri Light" w:cs="Calibri Light"/>
                <w:color w:val="000000"/>
                <w:sz w:val="20"/>
                <w:szCs w:val="20"/>
                <w:lang w:eastAsia="en-GB"/>
              </w:rPr>
              <w:t>27</w:t>
            </w:r>
          </w:p>
        </w:tc>
      </w:tr>
      <w:tr w:rsidR="00A0628D" w:rsidRPr="00A33AE8" w14:paraId="141A6362"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14CBE52E"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6D23DE77" w14:textId="77777777" w:rsidR="00A0628D" w:rsidRPr="00A33AE8" w:rsidRDefault="00A460B3"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Regulatory</w:t>
            </w:r>
          </w:p>
        </w:tc>
      </w:tr>
      <w:tr w:rsidR="00A0628D" w:rsidRPr="00A33AE8" w14:paraId="15799F77"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53636CA9"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284C62DE"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Heating and cooling</w:t>
            </w:r>
          </w:p>
        </w:tc>
      </w:tr>
      <w:tr w:rsidR="00A0628D" w:rsidRPr="00A33AE8" w14:paraId="7725DA64"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75E75046"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45FF8889" w14:textId="77777777" w:rsidR="00A0628D"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Ministry of </w:t>
            </w:r>
            <w:r w:rsidR="00A460B3" w:rsidRPr="00A33AE8">
              <w:rPr>
                <w:rFonts w:ascii="Calibri Light" w:eastAsia="Times New Roman" w:hAnsi="Calibri Light" w:cs="Calibri Light"/>
                <w:color w:val="000000"/>
                <w:sz w:val="20"/>
                <w:szCs w:val="20"/>
                <w:lang w:eastAsia="en-GB"/>
              </w:rPr>
              <w:t>Construction, Transport</w:t>
            </w:r>
            <w:r w:rsidRPr="00A33AE8">
              <w:rPr>
                <w:rFonts w:ascii="Calibri Light" w:eastAsia="Times New Roman" w:hAnsi="Calibri Light" w:cs="Calibri Light"/>
                <w:color w:val="000000"/>
                <w:sz w:val="20"/>
                <w:szCs w:val="20"/>
                <w:lang w:eastAsia="en-GB"/>
              </w:rPr>
              <w:t xml:space="preserve"> and </w:t>
            </w:r>
            <w:r w:rsidR="00A460B3" w:rsidRPr="00A33AE8">
              <w:rPr>
                <w:rFonts w:ascii="Calibri Light" w:eastAsia="Times New Roman" w:hAnsi="Calibri Light" w:cs="Calibri Light"/>
                <w:color w:val="000000"/>
                <w:sz w:val="20"/>
                <w:szCs w:val="20"/>
                <w:lang w:eastAsia="en-GB"/>
              </w:rPr>
              <w:t>Infrastructure</w:t>
            </w:r>
          </w:p>
        </w:tc>
      </w:tr>
      <w:tr w:rsidR="00A0628D" w:rsidRPr="00A33AE8" w14:paraId="0DCBF8D0" w14:textId="77777777" w:rsidTr="006769DA">
        <w:trPr>
          <w:gridAfter w:val="1"/>
          <w:wAfter w:w="222" w:type="dxa"/>
          <w:trHeight w:val="315"/>
        </w:trPr>
        <w:tc>
          <w:tcPr>
            <w:tcW w:w="3332" w:type="dxa"/>
            <w:tcBorders>
              <w:top w:val="nil"/>
              <w:left w:val="single" w:sz="8" w:space="0" w:color="auto"/>
              <w:bottom w:val="single" w:sz="8" w:space="0" w:color="auto"/>
              <w:right w:val="nil"/>
            </w:tcBorders>
            <w:shd w:val="clear" w:color="000000" w:fill="244062"/>
            <w:vAlign w:val="center"/>
            <w:hideMark/>
          </w:tcPr>
          <w:p w14:paraId="02381A61"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3D58AC04" w14:textId="77777777" w:rsidR="00A0628D" w:rsidRPr="00A33AE8" w:rsidRDefault="00151D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Government of the Republic of Serbia</w:t>
            </w:r>
          </w:p>
        </w:tc>
      </w:tr>
      <w:tr w:rsidR="00A0628D" w:rsidRPr="00A33AE8" w14:paraId="0E394641" w14:textId="77777777" w:rsidTr="006769DA">
        <w:trPr>
          <w:gridAfter w:val="1"/>
          <w:wAfter w:w="222" w:type="dxa"/>
          <w:trHeight w:val="315"/>
        </w:trPr>
        <w:tc>
          <w:tcPr>
            <w:tcW w:w="3332" w:type="dxa"/>
            <w:tcBorders>
              <w:top w:val="nil"/>
              <w:left w:val="single" w:sz="8" w:space="0" w:color="auto"/>
              <w:bottom w:val="single" w:sz="8" w:space="0" w:color="auto"/>
              <w:right w:val="nil"/>
            </w:tcBorders>
            <w:shd w:val="clear" w:color="000000" w:fill="244062"/>
            <w:vAlign w:val="center"/>
            <w:hideMark/>
          </w:tcPr>
          <w:p w14:paraId="6515087F"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72F3CE2B" w14:textId="77777777" w:rsidR="00A0628D"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Produced RES heating and cooling</w:t>
            </w:r>
          </w:p>
        </w:tc>
      </w:tr>
      <w:tr w:rsidR="006C6A30" w:rsidRPr="00A33AE8" w14:paraId="1A6D78EC" w14:textId="77777777" w:rsidTr="006769DA">
        <w:trPr>
          <w:gridAfter w:val="1"/>
          <w:wAfter w:w="222" w:type="dxa"/>
          <w:trHeight w:val="407"/>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4648DE31"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7480C894" w14:textId="77777777" w:rsidR="00151D89" w:rsidRPr="00151D89" w:rsidRDefault="006C6A3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r w:rsidR="00151D89">
              <w:rPr>
                <w:rFonts w:ascii="Calibri Light" w:eastAsia="Times New Roman" w:hAnsi="Calibri Light" w:cs="Calibri Light"/>
                <w:color w:val="000000"/>
                <w:sz w:val="20"/>
                <w:szCs w:val="20"/>
                <w:lang w:eastAsia="en-GB"/>
              </w:rPr>
              <w:t xml:space="preserve"> </w:t>
            </w:r>
            <w:r w:rsidR="00151D89" w:rsidRPr="00151D89">
              <w:rPr>
                <w:rFonts w:ascii="Calibri Light" w:eastAsia="Times New Roman" w:hAnsi="Calibri Light" w:cs="Calibri Light"/>
                <w:color w:val="000000"/>
                <w:sz w:val="20"/>
                <w:szCs w:val="20"/>
                <w:lang w:eastAsia="en-GB"/>
              </w:rPr>
              <w:t>(the promoted RES technologies will deliver also final and primary energy savings contributing to the achievement of the relevant targets)</w:t>
            </w:r>
          </w:p>
          <w:p w14:paraId="0B9BBA3F" w14:textId="77777777" w:rsidR="00151D89" w:rsidRPr="00151D89" w:rsidRDefault="00151D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151D89">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p w14:paraId="7044CCB0" w14:textId="77777777" w:rsidR="006C6A30" w:rsidRPr="00A33AE8" w:rsidRDefault="00151D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151D89">
              <w:rPr>
                <w:rFonts w:ascii="Calibri Light" w:eastAsia="Times New Roman" w:hAnsi="Calibri Light" w:cs="Calibri Light"/>
                <w:color w:val="000000"/>
                <w:sz w:val="20"/>
                <w:szCs w:val="20"/>
                <w:lang w:eastAsia="en-GB"/>
              </w:rPr>
              <w:t>Internal energy market (the promoted energy efficiency technologies will contribute to the alleviation of energy poverty)</w:t>
            </w:r>
          </w:p>
        </w:tc>
      </w:tr>
      <w:tr w:rsidR="00A0628D" w:rsidRPr="00A33AE8" w14:paraId="57274FBC" w14:textId="77777777" w:rsidTr="006769DA">
        <w:trPr>
          <w:gridAfter w:val="1"/>
          <w:wAfter w:w="222" w:type="dxa"/>
          <w:trHeight w:val="450"/>
        </w:trPr>
        <w:tc>
          <w:tcPr>
            <w:tcW w:w="3332"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4C4A84F"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79CFD8"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A0628D" w:rsidRPr="00A33AE8" w14:paraId="15DA1B68" w14:textId="77777777" w:rsidTr="006769DA">
        <w:trPr>
          <w:trHeight w:val="300"/>
        </w:trPr>
        <w:tc>
          <w:tcPr>
            <w:tcW w:w="3332" w:type="dxa"/>
            <w:vMerge/>
            <w:tcBorders>
              <w:top w:val="nil"/>
              <w:left w:val="single" w:sz="8" w:space="0" w:color="auto"/>
              <w:bottom w:val="single" w:sz="8" w:space="0" w:color="000000"/>
              <w:right w:val="single" w:sz="8" w:space="0" w:color="auto"/>
            </w:tcBorders>
            <w:vAlign w:val="center"/>
            <w:hideMark/>
          </w:tcPr>
          <w:p w14:paraId="1A2AB6F7"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p>
        </w:tc>
        <w:tc>
          <w:tcPr>
            <w:tcW w:w="6126" w:type="dxa"/>
            <w:gridSpan w:val="3"/>
            <w:vMerge/>
            <w:tcBorders>
              <w:top w:val="single" w:sz="8" w:space="0" w:color="auto"/>
              <w:left w:val="single" w:sz="8" w:space="0" w:color="auto"/>
              <w:bottom w:val="single" w:sz="8" w:space="0" w:color="000000"/>
              <w:right w:val="single" w:sz="8" w:space="0" w:color="000000"/>
            </w:tcBorders>
            <w:vAlign w:val="center"/>
            <w:hideMark/>
          </w:tcPr>
          <w:p w14:paraId="73B9E922"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E31C187"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p>
        </w:tc>
      </w:tr>
      <w:tr w:rsidR="00A0628D" w:rsidRPr="00A33AE8" w14:paraId="5A4F7374" w14:textId="77777777" w:rsidTr="006769DA">
        <w:trPr>
          <w:trHeight w:val="60"/>
        </w:trPr>
        <w:tc>
          <w:tcPr>
            <w:tcW w:w="3332" w:type="dxa"/>
            <w:vMerge/>
            <w:tcBorders>
              <w:top w:val="nil"/>
              <w:left w:val="single" w:sz="8" w:space="0" w:color="auto"/>
              <w:bottom w:val="single" w:sz="8" w:space="0" w:color="000000"/>
              <w:right w:val="single" w:sz="8" w:space="0" w:color="auto"/>
            </w:tcBorders>
            <w:vAlign w:val="center"/>
            <w:hideMark/>
          </w:tcPr>
          <w:p w14:paraId="6B5A2392"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p>
        </w:tc>
        <w:tc>
          <w:tcPr>
            <w:tcW w:w="6126" w:type="dxa"/>
            <w:gridSpan w:val="3"/>
            <w:vMerge/>
            <w:tcBorders>
              <w:top w:val="single" w:sz="8" w:space="0" w:color="auto"/>
              <w:left w:val="single" w:sz="8" w:space="0" w:color="auto"/>
              <w:bottom w:val="single" w:sz="8" w:space="0" w:color="000000"/>
              <w:right w:val="single" w:sz="8" w:space="0" w:color="000000"/>
            </w:tcBorders>
            <w:vAlign w:val="center"/>
            <w:hideMark/>
          </w:tcPr>
          <w:p w14:paraId="7C137A1E"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240C843" w14:textId="77777777" w:rsidR="00A0628D" w:rsidRPr="00A33AE8" w:rsidRDefault="00A0628D" w:rsidP="006769DA">
            <w:pPr>
              <w:spacing w:after="0" w:line="240" w:lineRule="auto"/>
              <w:rPr>
                <w:rFonts w:ascii="Times New Roman" w:eastAsia="Times New Roman" w:hAnsi="Times New Roman" w:cs="Times New Roman"/>
                <w:sz w:val="20"/>
                <w:szCs w:val="20"/>
                <w:lang w:eastAsia="en-GB"/>
              </w:rPr>
            </w:pPr>
          </w:p>
        </w:tc>
      </w:tr>
      <w:tr w:rsidR="00A0628D" w:rsidRPr="00A33AE8" w14:paraId="05644478" w14:textId="77777777" w:rsidTr="006769DA">
        <w:trPr>
          <w:trHeight w:val="441"/>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350CFD10"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4E551312"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30C98596" w14:textId="77777777" w:rsidR="000674B0" w:rsidRPr="00A33AE8" w:rsidRDefault="000674B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Energy Efficiency in Buildings</w:t>
            </w:r>
          </w:p>
        </w:tc>
        <w:tc>
          <w:tcPr>
            <w:tcW w:w="222" w:type="dxa"/>
            <w:vAlign w:val="center"/>
            <w:hideMark/>
          </w:tcPr>
          <w:p w14:paraId="3E16A27C" w14:textId="77777777" w:rsidR="00A0628D" w:rsidRPr="00A33AE8" w:rsidRDefault="00A0628D" w:rsidP="006769DA">
            <w:pPr>
              <w:spacing w:after="0" w:line="240" w:lineRule="auto"/>
              <w:rPr>
                <w:rFonts w:ascii="Times New Roman" w:eastAsia="Times New Roman" w:hAnsi="Times New Roman" w:cs="Times New Roman"/>
                <w:sz w:val="20"/>
                <w:szCs w:val="20"/>
                <w:lang w:eastAsia="en-GB"/>
              </w:rPr>
            </w:pPr>
          </w:p>
        </w:tc>
      </w:tr>
      <w:tr w:rsidR="00A0628D" w:rsidRPr="00A33AE8" w14:paraId="2F5B41FF" w14:textId="77777777" w:rsidTr="006769DA">
        <w:trPr>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72A365C4"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6"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0183F68F" w14:textId="7DF470FB" w:rsidR="00A0628D" w:rsidRPr="000007D2" w:rsidRDefault="00191C87" w:rsidP="006769DA">
            <w:pPr>
              <w:spacing w:after="0" w:line="240" w:lineRule="auto"/>
              <w:rPr>
                <w:rFonts w:ascii="Calibri Light" w:hAnsi="Calibri Light"/>
                <w:color w:val="000000"/>
                <w:sz w:val="20"/>
              </w:rPr>
            </w:pPr>
            <w:r w:rsidRPr="00A33AE8">
              <w:rPr>
                <w:rFonts w:ascii="Calibri Light" w:eastAsia="Times New Roman" w:hAnsi="Calibri Light" w:cs="Calibri Light"/>
                <w:color w:val="000000"/>
                <w:sz w:val="20"/>
                <w:szCs w:val="20"/>
                <w:lang w:eastAsia="en-GB"/>
              </w:rPr>
              <w:t>Budget incorporate</w:t>
            </w:r>
            <w:r w:rsidR="00A0628D" w:rsidRPr="00A33AE8">
              <w:rPr>
                <w:rFonts w:ascii="Calibri Light" w:eastAsia="Times New Roman" w:hAnsi="Calibri Light" w:cs="Calibri Light"/>
                <w:color w:val="000000"/>
                <w:sz w:val="20"/>
                <w:szCs w:val="20"/>
                <w:lang w:eastAsia="en-GB"/>
              </w:rPr>
              <w:t>d into energy efficiency dimension</w:t>
            </w:r>
            <w:r w:rsidRPr="00A33AE8">
              <w:rPr>
                <w:rFonts w:ascii="Calibri Light" w:eastAsia="Times New Roman" w:hAnsi="Calibri Light" w:cs="Calibri Light"/>
                <w:color w:val="000000"/>
                <w:sz w:val="20"/>
                <w:szCs w:val="20"/>
                <w:lang w:eastAsia="en-GB"/>
              </w:rPr>
              <w:t xml:space="preserve"> measures</w:t>
            </w:r>
            <w:r w:rsidR="00B11F1A" w:rsidRPr="00A33AE8">
              <w:rPr>
                <w:rFonts w:ascii="Calibri Light" w:eastAsia="Times New Roman" w:hAnsi="Calibri Light" w:cs="Calibri Light"/>
                <w:color w:val="000000"/>
                <w:sz w:val="20"/>
                <w:szCs w:val="20"/>
                <w:lang w:eastAsia="en-GB"/>
              </w:rPr>
              <w:t xml:space="preserve"> </w:t>
            </w:r>
            <w:r w:rsidR="00B11F1A" w:rsidRPr="00CD0941">
              <w:rPr>
                <w:rFonts w:ascii="Calibri Light" w:eastAsia="Times New Roman" w:hAnsi="Calibri Light" w:cs="Calibri Light"/>
                <w:color w:val="000000"/>
                <w:sz w:val="20"/>
                <w:szCs w:val="20"/>
                <w:lang w:eastAsia="en-GB"/>
              </w:rPr>
              <w:t>(PM_EE</w:t>
            </w:r>
            <w:r w:rsidR="00BD4EB8" w:rsidRPr="00CD0941">
              <w:rPr>
                <w:rFonts w:ascii="Calibri Light" w:eastAsia="Times New Roman" w:hAnsi="Calibri Light" w:cs="Calibri Light"/>
                <w:color w:val="000000"/>
                <w:sz w:val="20"/>
                <w:szCs w:val="20"/>
                <w:lang w:eastAsia="en-GB"/>
              </w:rPr>
              <w:t>1</w:t>
            </w:r>
            <w:r w:rsidR="00B11F1A" w:rsidRPr="00CD0941">
              <w:rPr>
                <w:rFonts w:ascii="Calibri Light" w:eastAsia="Times New Roman" w:hAnsi="Calibri Light" w:cs="Calibri Light"/>
                <w:color w:val="000000"/>
                <w:sz w:val="20"/>
                <w:szCs w:val="20"/>
                <w:lang w:eastAsia="en-GB"/>
              </w:rPr>
              <w:t>-PM_EE8)</w:t>
            </w:r>
          </w:p>
        </w:tc>
        <w:tc>
          <w:tcPr>
            <w:tcW w:w="222" w:type="dxa"/>
            <w:vAlign w:val="center"/>
            <w:hideMark/>
          </w:tcPr>
          <w:p w14:paraId="3E968439"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p>
        </w:tc>
      </w:tr>
      <w:tr w:rsidR="00A0628D" w:rsidRPr="00A33AE8" w14:paraId="2F86A1F4" w14:textId="77777777" w:rsidTr="006769DA">
        <w:trPr>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5AFF96EC"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6" w:type="dxa"/>
            <w:gridSpan w:val="3"/>
            <w:tcBorders>
              <w:top w:val="single" w:sz="4" w:space="0" w:color="auto"/>
              <w:left w:val="single" w:sz="4" w:space="0" w:color="auto"/>
              <w:bottom w:val="single" w:sz="4" w:space="0" w:color="000000"/>
              <w:right w:val="single" w:sz="4" w:space="0" w:color="auto"/>
            </w:tcBorders>
            <w:vAlign w:val="center"/>
            <w:hideMark/>
          </w:tcPr>
          <w:p w14:paraId="1A4DB9EC" w14:textId="77777777" w:rsidR="00A0628D" w:rsidRPr="00A33AE8" w:rsidRDefault="00087B6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105095" w:rsidRPr="00A33AE8">
              <w:rPr>
                <w:rFonts w:asciiTheme="majorHAnsi" w:eastAsia="Times New Roman" w:hAnsiTheme="majorHAnsi" w:cstheme="majorHAnsi"/>
                <w:color w:val="000000"/>
                <w:sz w:val="20"/>
                <w:szCs w:val="20"/>
                <w:lang w:eastAsia="en-GB"/>
              </w:rPr>
              <w:t>own</w:t>
            </w:r>
            <w:r w:rsidRPr="00A33AE8">
              <w:rPr>
                <w:rFonts w:asciiTheme="majorHAnsi" w:eastAsia="Times New Roman" w:hAnsiTheme="majorHAnsi" w:cstheme="majorHAnsi"/>
                <w:color w:val="000000"/>
                <w:sz w:val="20"/>
                <w:szCs w:val="20"/>
                <w:lang w:eastAsia="en-GB"/>
              </w:rPr>
              <w:t xml:space="preserve"> funds</w:t>
            </w:r>
          </w:p>
        </w:tc>
        <w:tc>
          <w:tcPr>
            <w:tcW w:w="222" w:type="dxa"/>
            <w:vAlign w:val="center"/>
            <w:hideMark/>
          </w:tcPr>
          <w:p w14:paraId="32E25293" w14:textId="77777777" w:rsidR="00A0628D" w:rsidRPr="00A33AE8" w:rsidRDefault="00A0628D" w:rsidP="006769DA">
            <w:pPr>
              <w:spacing w:after="0" w:line="240" w:lineRule="auto"/>
              <w:rPr>
                <w:rFonts w:ascii="Times New Roman" w:eastAsia="Times New Roman" w:hAnsi="Times New Roman" w:cs="Times New Roman"/>
                <w:sz w:val="20"/>
                <w:szCs w:val="20"/>
                <w:lang w:eastAsia="en-GB"/>
              </w:rPr>
            </w:pPr>
          </w:p>
        </w:tc>
      </w:tr>
    </w:tbl>
    <w:p w14:paraId="5AFFCB3B" w14:textId="77777777" w:rsidR="00A0628D" w:rsidRPr="00A33AE8" w:rsidRDefault="00A0628D" w:rsidP="00A0628D">
      <w:pPr>
        <w:pStyle w:val="LDKbody"/>
        <w:rPr>
          <w:lang w:val="en-GB"/>
        </w:rPr>
      </w:pPr>
    </w:p>
    <w:tbl>
      <w:tblPr>
        <w:tblW w:w="9680" w:type="dxa"/>
        <w:tblLook w:val="04A0" w:firstRow="1" w:lastRow="0" w:firstColumn="1" w:lastColumn="0" w:noHBand="0" w:noVBand="1"/>
      </w:tblPr>
      <w:tblGrid>
        <w:gridCol w:w="3332"/>
        <w:gridCol w:w="945"/>
        <w:gridCol w:w="946"/>
        <w:gridCol w:w="4235"/>
        <w:gridCol w:w="222"/>
      </w:tblGrid>
      <w:tr w:rsidR="00A0628D" w:rsidRPr="00A33AE8" w14:paraId="7C47EE04" w14:textId="77777777" w:rsidTr="006769DA">
        <w:trPr>
          <w:gridAfter w:val="1"/>
          <w:wAfter w:w="222" w:type="dxa"/>
          <w:trHeight w:val="780"/>
        </w:trPr>
        <w:tc>
          <w:tcPr>
            <w:tcW w:w="3332"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2247C1D" w14:textId="77777777" w:rsidR="00A0628D" w:rsidRPr="00A33AE8" w:rsidRDefault="00A0628D"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6CBA2AAA" w14:textId="77777777" w:rsidR="00A0628D" w:rsidRPr="00A33AE8" w:rsidRDefault="00A0628D"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674B0" w:rsidRPr="00A33AE8">
              <w:rPr>
                <w:rFonts w:ascii="Calibri Light" w:eastAsia="Times New Roman" w:hAnsi="Calibri Light" w:cs="Calibri Light"/>
                <w:b/>
                <w:bCs/>
                <w:color w:val="000000"/>
                <w:sz w:val="20"/>
                <w:szCs w:val="20"/>
                <w:shd w:val="clear" w:color="auto" w:fill="E7E6E6" w:themeFill="background2"/>
                <w:lang w:eastAsia="en-GB"/>
              </w:rPr>
              <w:t>D30</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3D03BC8F"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5" w:type="dxa"/>
            <w:tcBorders>
              <w:top w:val="single" w:sz="8" w:space="0" w:color="auto"/>
              <w:left w:val="nil"/>
              <w:bottom w:val="single" w:sz="8" w:space="0" w:color="auto"/>
              <w:right w:val="single" w:sz="8" w:space="0" w:color="auto"/>
            </w:tcBorders>
            <w:shd w:val="clear" w:color="auto" w:fill="E7E6E6" w:themeFill="background2"/>
            <w:vAlign w:val="center"/>
            <w:hideMark/>
          </w:tcPr>
          <w:p w14:paraId="53659D14" w14:textId="77777777" w:rsidR="00A0628D" w:rsidRPr="00A33AE8" w:rsidRDefault="00A0628D"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Provision of fiscal and economic incentives to foster RES in heating and cooling</w:t>
            </w:r>
          </w:p>
        </w:tc>
      </w:tr>
      <w:tr w:rsidR="00A0628D" w:rsidRPr="00A33AE8" w14:paraId="18E36E51" w14:textId="77777777" w:rsidTr="006769DA">
        <w:trPr>
          <w:gridAfter w:val="1"/>
          <w:wAfter w:w="222" w:type="dxa"/>
          <w:trHeight w:val="340"/>
        </w:trPr>
        <w:tc>
          <w:tcPr>
            <w:tcW w:w="3332" w:type="dxa"/>
            <w:tcBorders>
              <w:top w:val="nil"/>
              <w:left w:val="single" w:sz="8" w:space="0" w:color="auto"/>
              <w:bottom w:val="single" w:sz="8" w:space="0" w:color="auto"/>
              <w:right w:val="nil"/>
            </w:tcBorders>
            <w:shd w:val="clear" w:color="000000" w:fill="244062"/>
            <w:vAlign w:val="center"/>
            <w:hideMark/>
          </w:tcPr>
          <w:p w14:paraId="6E8302EA"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3313C7C4"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heating and cooling</w:t>
            </w:r>
          </w:p>
        </w:tc>
      </w:tr>
      <w:tr w:rsidR="00A0628D" w:rsidRPr="00A33AE8" w14:paraId="2E658D04"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680BD12C"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6"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28646438" w14:textId="259F51E2" w:rsidR="00A0628D" w:rsidRPr="00A33AE8" w:rsidRDefault="00B11F1A" w:rsidP="000674B0">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1476</w:t>
            </w:r>
            <w:r w:rsidR="00245839" w:rsidRPr="00A33AE8">
              <w:rPr>
                <w:rFonts w:ascii="Calibri Light" w:eastAsia="Times New Roman" w:hAnsi="Calibri Light" w:cs="Calibri Light"/>
                <w:color w:val="000000"/>
                <w:sz w:val="20"/>
                <w:szCs w:val="20"/>
                <w:lang w:eastAsia="en-GB"/>
              </w:rPr>
              <w:t xml:space="preserve"> </w:t>
            </w:r>
            <w:r w:rsidR="00FC1D57" w:rsidRPr="00A33AE8">
              <w:rPr>
                <w:rFonts w:ascii="Calibri Light" w:eastAsia="Times New Roman" w:hAnsi="Calibri Light" w:cs="Calibri Light"/>
                <w:color w:val="000000"/>
                <w:sz w:val="20"/>
                <w:szCs w:val="20"/>
                <w:lang w:eastAsia="en-GB"/>
              </w:rPr>
              <w:t xml:space="preserve">ktoe of biomass, </w:t>
            </w:r>
            <w:r w:rsidRPr="00A33AE8">
              <w:rPr>
                <w:rFonts w:ascii="Calibri Light" w:eastAsia="Times New Roman" w:hAnsi="Calibri Light" w:cs="Calibri Light"/>
                <w:color w:val="000000"/>
                <w:sz w:val="20"/>
                <w:szCs w:val="20"/>
                <w:lang w:eastAsia="en-GB"/>
              </w:rPr>
              <w:t>4</w:t>
            </w:r>
            <w:r w:rsidR="00FC1D57" w:rsidRPr="00A33AE8">
              <w:rPr>
                <w:rFonts w:ascii="Calibri Light" w:eastAsia="Times New Roman" w:hAnsi="Calibri Light" w:cs="Calibri Light"/>
                <w:color w:val="000000"/>
                <w:sz w:val="20"/>
                <w:szCs w:val="20"/>
                <w:lang w:eastAsia="en-GB"/>
              </w:rPr>
              <w:t xml:space="preserve"> ktoe of geothermal energy, 25 ktoe of solar thermal energy and</w:t>
            </w:r>
            <w:r w:rsidR="00245839"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145</w:t>
            </w:r>
            <w:r w:rsidR="00245839" w:rsidRPr="00A33AE8">
              <w:rPr>
                <w:rFonts w:ascii="Calibri Light" w:eastAsia="Times New Roman" w:hAnsi="Calibri Light" w:cs="Calibri Light"/>
                <w:color w:val="000000"/>
                <w:sz w:val="20"/>
                <w:szCs w:val="20"/>
                <w:lang w:eastAsia="en-GB"/>
              </w:rPr>
              <w:t xml:space="preserve"> </w:t>
            </w:r>
            <w:r w:rsidR="00FC1D57" w:rsidRPr="00A33AE8">
              <w:rPr>
                <w:rFonts w:ascii="Calibri Light" w:eastAsia="Times New Roman" w:hAnsi="Calibri Light" w:cs="Calibri Light"/>
                <w:color w:val="000000"/>
                <w:sz w:val="20"/>
                <w:szCs w:val="20"/>
                <w:lang w:eastAsia="en-GB"/>
              </w:rPr>
              <w:t>ktoe of ambient heat</w:t>
            </w:r>
          </w:p>
        </w:tc>
      </w:tr>
      <w:tr w:rsidR="00A0628D" w:rsidRPr="00A33AE8" w14:paraId="65893086" w14:textId="77777777" w:rsidTr="00507954">
        <w:trPr>
          <w:gridAfter w:val="1"/>
          <w:wAfter w:w="222" w:type="dxa"/>
          <w:trHeight w:val="301"/>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08DF8FAC"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26" w:type="dxa"/>
            <w:gridSpan w:val="3"/>
            <w:tcBorders>
              <w:top w:val="single" w:sz="4" w:space="0" w:color="auto"/>
              <w:left w:val="single" w:sz="4" w:space="0" w:color="auto"/>
              <w:bottom w:val="single" w:sz="4" w:space="0" w:color="000000"/>
              <w:right w:val="single" w:sz="4" w:space="0" w:color="auto"/>
            </w:tcBorders>
            <w:vAlign w:val="center"/>
            <w:hideMark/>
          </w:tcPr>
          <w:p w14:paraId="03977C53" w14:textId="77777777" w:rsidR="00A0628D" w:rsidRPr="00A33AE8" w:rsidRDefault="00A0628D"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0674B0" w:rsidRPr="00A33AE8">
              <w:rPr>
                <w:rFonts w:ascii="Calibri Light" w:eastAsia="Times New Roman" w:hAnsi="Calibri Light" w:cs="Calibri Light"/>
                <w:color w:val="000000"/>
                <w:sz w:val="20"/>
                <w:szCs w:val="20"/>
                <w:lang w:eastAsia="en-GB"/>
              </w:rPr>
              <w:t xml:space="preserve">D30 </w:t>
            </w:r>
            <w:r w:rsidRPr="00A33AE8">
              <w:rPr>
                <w:rFonts w:ascii="Calibri Light" w:eastAsia="Times New Roman" w:hAnsi="Calibri Light" w:cs="Calibri Light"/>
                <w:color w:val="000000"/>
                <w:sz w:val="20"/>
                <w:szCs w:val="20"/>
                <w:lang w:eastAsia="en-GB"/>
              </w:rPr>
              <w:t>will provide fiscal and economic incentives for the cost-effective support of renewable energy technologies for heating and cooling</w:t>
            </w:r>
            <w:r w:rsidR="00A460B3" w:rsidRPr="00A33AE8">
              <w:rPr>
                <w:rFonts w:ascii="Calibri Light" w:eastAsia="Times New Roman" w:hAnsi="Calibri Light" w:cs="Calibri Light"/>
                <w:color w:val="000000"/>
                <w:sz w:val="20"/>
                <w:szCs w:val="20"/>
                <w:lang w:eastAsia="en-GB"/>
              </w:rPr>
              <w:t xml:space="preserve"> according to the provisions of Articles 71 and 74 of the Law on the </w:t>
            </w:r>
            <w:r w:rsidR="005E0484" w:rsidRPr="00A33AE8">
              <w:rPr>
                <w:rFonts w:ascii="Calibri Light" w:eastAsia="Times New Roman" w:hAnsi="Calibri Light" w:cs="Calibri Light"/>
                <w:color w:val="000000"/>
                <w:sz w:val="20"/>
                <w:szCs w:val="20"/>
                <w:lang w:eastAsia="en-GB"/>
              </w:rPr>
              <w:t>use of renewable energy sources</w:t>
            </w:r>
            <w:r w:rsidRPr="00A33AE8">
              <w:rPr>
                <w:rFonts w:ascii="Calibri Light" w:eastAsia="Times New Roman" w:hAnsi="Calibri Light" w:cs="Calibri Light"/>
                <w:color w:val="000000"/>
                <w:sz w:val="20"/>
                <w:szCs w:val="20"/>
                <w:lang w:eastAsia="en-GB"/>
              </w:rPr>
              <w:t>. The selection of the most effective technologies will be performed taking into account the available technical and economic potential and the technical peculiarities of each end-use sector separately.</w:t>
            </w:r>
            <w:r w:rsidR="00A460B3" w:rsidRPr="00A33AE8">
              <w:rPr>
                <w:rFonts w:ascii="Calibri Light" w:eastAsia="Times New Roman" w:hAnsi="Calibri Light" w:cs="Calibri Light"/>
                <w:color w:val="000000"/>
                <w:sz w:val="20"/>
                <w:szCs w:val="20"/>
                <w:lang w:eastAsia="en-GB"/>
              </w:rPr>
              <w:t xml:space="preserve"> The role of the local self-governments, which are also responsible for the implementation of incentive measures, will be enabled.</w:t>
            </w:r>
          </w:p>
        </w:tc>
      </w:tr>
      <w:tr w:rsidR="00A0628D" w:rsidRPr="00A33AE8" w14:paraId="7457B42D"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5B17839B"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6" w:type="dxa"/>
            <w:gridSpan w:val="3"/>
            <w:tcBorders>
              <w:top w:val="single" w:sz="4" w:space="0" w:color="auto"/>
              <w:left w:val="single" w:sz="4" w:space="0" w:color="auto"/>
              <w:bottom w:val="single" w:sz="4" w:space="0" w:color="000000"/>
              <w:right w:val="single" w:sz="4" w:space="0" w:color="auto"/>
            </w:tcBorders>
            <w:vAlign w:val="center"/>
            <w:hideMark/>
          </w:tcPr>
          <w:p w14:paraId="3020C5F9" w14:textId="77777777" w:rsidR="00A0628D" w:rsidRPr="00A33AE8" w:rsidRDefault="00B11F1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0628D" w:rsidRPr="00A33AE8">
              <w:rPr>
                <w:rFonts w:ascii="Calibri Light" w:eastAsia="Times New Roman" w:hAnsi="Calibri Light" w:cs="Calibri Light"/>
                <w:color w:val="000000"/>
                <w:sz w:val="20"/>
                <w:szCs w:val="20"/>
                <w:lang w:eastAsia="en-GB"/>
              </w:rPr>
              <w:t>-2030</w:t>
            </w:r>
          </w:p>
        </w:tc>
      </w:tr>
      <w:tr w:rsidR="00A0628D" w:rsidRPr="00A33AE8" w14:paraId="5C8C60B1"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63A81091"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41906C02" w14:textId="77777777" w:rsidR="00A0628D" w:rsidRPr="00A33AE8" w:rsidRDefault="009449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A0628D" w:rsidRPr="00A33AE8" w14:paraId="08FB9B5E"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10664996"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3F21A675"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Heating and cooling</w:t>
            </w:r>
          </w:p>
        </w:tc>
      </w:tr>
      <w:tr w:rsidR="00A0628D" w:rsidRPr="00A33AE8" w14:paraId="01ECB48C" w14:textId="77777777" w:rsidTr="006769DA">
        <w:trPr>
          <w:gridAfter w:val="1"/>
          <w:wAfter w:w="222" w:type="dxa"/>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378415DA"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61472895" w14:textId="77777777" w:rsidR="00A0628D"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A0628D" w:rsidRPr="00A33AE8" w14:paraId="2AB4ACAC" w14:textId="77777777" w:rsidTr="006769DA">
        <w:trPr>
          <w:gridAfter w:val="1"/>
          <w:wAfter w:w="222" w:type="dxa"/>
          <w:trHeight w:val="315"/>
        </w:trPr>
        <w:tc>
          <w:tcPr>
            <w:tcW w:w="3332" w:type="dxa"/>
            <w:tcBorders>
              <w:top w:val="nil"/>
              <w:left w:val="single" w:sz="8" w:space="0" w:color="auto"/>
              <w:bottom w:val="single" w:sz="8" w:space="0" w:color="auto"/>
              <w:right w:val="nil"/>
            </w:tcBorders>
            <w:shd w:val="clear" w:color="000000" w:fill="244062"/>
            <w:vAlign w:val="center"/>
            <w:hideMark/>
          </w:tcPr>
          <w:p w14:paraId="70D71F38"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07D5A8AD" w14:textId="77777777" w:rsidR="00A0628D" w:rsidRPr="00A33AE8" w:rsidRDefault="00563EA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63EA8">
              <w:rPr>
                <w:rFonts w:ascii="Calibri Light" w:eastAsia="Times New Roman" w:hAnsi="Calibri Light" w:cs="Calibri Light"/>
                <w:color w:val="000000"/>
                <w:sz w:val="20"/>
                <w:szCs w:val="20"/>
                <w:lang w:eastAsia="en-GB"/>
              </w:rPr>
              <w:t>Government of the Republic of Serbia</w:t>
            </w:r>
            <w:r w:rsidR="00A0628D" w:rsidRPr="00A33AE8">
              <w:rPr>
                <w:rFonts w:ascii="Calibri Light" w:eastAsia="Times New Roman" w:hAnsi="Calibri Light" w:cs="Calibri Light"/>
                <w:color w:val="000000"/>
                <w:sz w:val="20"/>
                <w:szCs w:val="20"/>
                <w:lang w:eastAsia="en-GB"/>
              </w:rPr>
              <w:t> </w:t>
            </w:r>
          </w:p>
        </w:tc>
      </w:tr>
      <w:tr w:rsidR="00A0628D" w:rsidRPr="00A33AE8" w14:paraId="2EE8890F" w14:textId="77777777" w:rsidTr="006769DA">
        <w:trPr>
          <w:gridAfter w:val="1"/>
          <w:wAfter w:w="222" w:type="dxa"/>
          <w:trHeight w:val="315"/>
        </w:trPr>
        <w:tc>
          <w:tcPr>
            <w:tcW w:w="3332" w:type="dxa"/>
            <w:tcBorders>
              <w:top w:val="nil"/>
              <w:left w:val="single" w:sz="8" w:space="0" w:color="auto"/>
              <w:bottom w:val="single" w:sz="8" w:space="0" w:color="auto"/>
              <w:right w:val="nil"/>
            </w:tcBorders>
            <w:shd w:val="clear" w:color="000000" w:fill="244062"/>
            <w:vAlign w:val="center"/>
            <w:hideMark/>
          </w:tcPr>
          <w:p w14:paraId="70510252"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6ED2FAB3" w14:textId="77777777" w:rsidR="00A0628D"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Produced RES heating and cooling</w:t>
            </w:r>
            <w:r w:rsidR="00A0628D" w:rsidRPr="00A33AE8">
              <w:rPr>
                <w:rFonts w:ascii="Calibri Light" w:eastAsia="Times New Roman" w:hAnsi="Calibri Light" w:cs="Calibri Light"/>
                <w:color w:val="000000"/>
                <w:sz w:val="20"/>
                <w:szCs w:val="20"/>
                <w:lang w:eastAsia="en-GB"/>
              </w:rPr>
              <w:t> </w:t>
            </w:r>
          </w:p>
        </w:tc>
      </w:tr>
      <w:tr w:rsidR="006C6A30" w:rsidRPr="00A33AE8" w14:paraId="1AADEE54" w14:textId="77777777" w:rsidTr="006769DA">
        <w:trPr>
          <w:gridAfter w:val="1"/>
          <w:wAfter w:w="222" w:type="dxa"/>
          <w:trHeight w:val="369"/>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29DECACF"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6317302D" w14:textId="77777777" w:rsidR="00563EA8" w:rsidRPr="00563EA8" w:rsidRDefault="006C6A3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r w:rsidR="00563EA8">
              <w:rPr>
                <w:rFonts w:ascii="Calibri Light" w:eastAsia="Times New Roman" w:hAnsi="Calibri Light" w:cs="Calibri Light"/>
                <w:color w:val="000000"/>
                <w:sz w:val="20"/>
                <w:szCs w:val="20"/>
                <w:lang w:eastAsia="en-GB"/>
              </w:rPr>
              <w:t xml:space="preserve"> </w:t>
            </w:r>
            <w:r w:rsidR="00563EA8" w:rsidRPr="00563EA8">
              <w:rPr>
                <w:rFonts w:ascii="Calibri Light" w:eastAsia="Times New Roman" w:hAnsi="Calibri Light" w:cs="Calibri Light"/>
                <w:color w:val="000000"/>
                <w:sz w:val="20"/>
                <w:szCs w:val="20"/>
                <w:lang w:eastAsia="en-GB"/>
              </w:rPr>
              <w:t>(the promoted RES technologies will deliver also final and primary energy savings contributing to the achievement of the relevant targets)</w:t>
            </w:r>
          </w:p>
          <w:p w14:paraId="0BA02B68" w14:textId="77777777" w:rsidR="006C6A30" w:rsidRPr="00A33AE8" w:rsidRDefault="00563EA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63EA8">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A0628D" w:rsidRPr="00A33AE8" w14:paraId="4A91B550" w14:textId="77777777" w:rsidTr="006769DA">
        <w:trPr>
          <w:gridAfter w:val="1"/>
          <w:wAfter w:w="222" w:type="dxa"/>
          <w:trHeight w:val="450"/>
        </w:trPr>
        <w:tc>
          <w:tcPr>
            <w:tcW w:w="3332"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D9CD32D"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45E23D7"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A0628D" w:rsidRPr="00A33AE8" w14:paraId="27D64F98" w14:textId="77777777" w:rsidTr="006769DA">
        <w:trPr>
          <w:trHeight w:val="300"/>
        </w:trPr>
        <w:tc>
          <w:tcPr>
            <w:tcW w:w="3332" w:type="dxa"/>
            <w:vMerge/>
            <w:tcBorders>
              <w:top w:val="nil"/>
              <w:left w:val="single" w:sz="8" w:space="0" w:color="auto"/>
              <w:bottom w:val="single" w:sz="8" w:space="0" w:color="000000"/>
              <w:right w:val="single" w:sz="8" w:space="0" w:color="auto"/>
            </w:tcBorders>
            <w:vAlign w:val="center"/>
            <w:hideMark/>
          </w:tcPr>
          <w:p w14:paraId="52E59F78"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p>
        </w:tc>
        <w:tc>
          <w:tcPr>
            <w:tcW w:w="6126" w:type="dxa"/>
            <w:gridSpan w:val="3"/>
            <w:vMerge/>
            <w:tcBorders>
              <w:top w:val="single" w:sz="8" w:space="0" w:color="auto"/>
              <w:left w:val="single" w:sz="8" w:space="0" w:color="auto"/>
              <w:bottom w:val="single" w:sz="8" w:space="0" w:color="000000"/>
              <w:right w:val="single" w:sz="8" w:space="0" w:color="000000"/>
            </w:tcBorders>
            <w:vAlign w:val="center"/>
            <w:hideMark/>
          </w:tcPr>
          <w:p w14:paraId="4E239D87"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75F2334" w14:textId="77777777" w:rsidR="00A0628D" w:rsidRPr="00A33AE8" w:rsidRDefault="00A0628D" w:rsidP="006769DA">
            <w:pPr>
              <w:spacing w:after="0" w:line="240" w:lineRule="auto"/>
              <w:rPr>
                <w:rFonts w:ascii="Calibri Light" w:eastAsia="Times New Roman" w:hAnsi="Calibri Light" w:cs="Calibri Light"/>
                <w:color w:val="000000"/>
                <w:sz w:val="20"/>
                <w:szCs w:val="20"/>
                <w:lang w:eastAsia="en-GB"/>
              </w:rPr>
            </w:pPr>
          </w:p>
        </w:tc>
      </w:tr>
      <w:tr w:rsidR="00A0628D" w:rsidRPr="00A33AE8" w14:paraId="10552597" w14:textId="77777777" w:rsidTr="002A0D90">
        <w:trPr>
          <w:trHeight w:val="60"/>
        </w:trPr>
        <w:tc>
          <w:tcPr>
            <w:tcW w:w="3332" w:type="dxa"/>
            <w:vMerge/>
            <w:tcBorders>
              <w:top w:val="nil"/>
              <w:left w:val="single" w:sz="8" w:space="0" w:color="auto"/>
              <w:bottom w:val="single" w:sz="8" w:space="0" w:color="000000"/>
              <w:right w:val="single" w:sz="8" w:space="0" w:color="auto"/>
            </w:tcBorders>
            <w:vAlign w:val="center"/>
            <w:hideMark/>
          </w:tcPr>
          <w:p w14:paraId="63B83B8E"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p>
        </w:tc>
        <w:tc>
          <w:tcPr>
            <w:tcW w:w="6126" w:type="dxa"/>
            <w:gridSpan w:val="3"/>
            <w:vMerge/>
            <w:tcBorders>
              <w:top w:val="single" w:sz="8" w:space="0" w:color="auto"/>
              <w:left w:val="single" w:sz="8" w:space="0" w:color="auto"/>
              <w:bottom w:val="single" w:sz="8" w:space="0" w:color="000000"/>
              <w:right w:val="single" w:sz="8" w:space="0" w:color="000000"/>
            </w:tcBorders>
            <w:vAlign w:val="center"/>
            <w:hideMark/>
          </w:tcPr>
          <w:p w14:paraId="2DD19F69"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DDD5D67" w14:textId="77777777" w:rsidR="00A0628D" w:rsidRPr="00A33AE8" w:rsidRDefault="00A0628D" w:rsidP="006769DA">
            <w:pPr>
              <w:spacing w:after="0" w:line="240" w:lineRule="auto"/>
              <w:rPr>
                <w:rFonts w:ascii="Times New Roman" w:eastAsia="Times New Roman" w:hAnsi="Times New Roman" w:cs="Times New Roman"/>
                <w:sz w:val="20"/>
                <w:szCs w:val="20"/>
                <w:lang w:eastAsia="en-GB"/>
              </w:rPr>
            </w:pPr>
          </w:p>
        </w:tc>
      </w:tr>
      <w:tr w:rsidR="00A0628D" w:rsidRPr="00A33AE8" w14:paraId="059D90EB" w14:textId="77777777" w:rsidTr="006769DA">
        <w:trPr>
          <w:trHeight w:val="317"/>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2D8FDE49"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034F547D"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p w14:paraId="1568FB35" w14:textId="77777777" w:rsidR="00A0628D" w:rsidRPr="00A33AE8" w:rsidRDefault="00A0628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7779D1C8" w14:textId="77777777" w:rsidR="000674B0" w:rsidRPr="00A33AE8" w:rsidRDefault="000674B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Energy Efficiency in Buildings</w:t>
            </w:r>
          </w:p>
        </w:tc>
        <w:tc>
          <w:tcPr>
            <w:tcW w:w="222" w:type="dxa"/>
            <w:vAlign w:val="center"/>
            <w:hideMark/>
          </w:tcPr>
          <w:p w14:paraId="1771D8F9" w14:textId="77777777" w:rsidR="00A0628D" w:rsidRPr="00A33AE8" w:rsidRDefault="00A0628D" w:rsidP="006769DA">
            <w:pPr>
              <w:spacing w:after="0" w:line="240" w:lineRule="auto"/>
              <w:rPr>
                <w:rFonts w:ascii="Times New Roman" w:eastAsia="Times New Roman" w:hAnsi="Times New Roman" w:cs="Times New Roman"/>
                <w:sz w:val="20"/>
                <w:szCs w:val="20"/>
                <w:lang w:eastAsia="en-GB"/>
              </w:rPr>
            </w:pPr>
          </w:p>
        </w:tc>
      </w:tr>
      <w:tr w:rsidR="00D77F14" w:rsidRPr="00A33AE8" w14:paraId="300F3524" w14:textId="77777777" w:rsidTr="006769DA">
        <w:trPr>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08CD2D4A" w14:textId="77777777" w:rsidR="00D77F14" w:rsidRPr="00A33AE8" w:rsidRDefault="00D77F14" w:rsidP="00D77F1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6"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424F1FE9" w14:textId="6C1518F3" w:rsidR="00D77F14" w:rsidRPr="0087794A" w:rsidRDefault="00D77F14" w:rsidP="00D77F14">
            <w:pPr>
              <w:spacing w:after="0" w:line="240" w:lineRule="auto"/>
              <w:rPr>
                <w:rFonts w:ascii="Calibri Light" w:eastAsia="Times New Roman" w:hAnsi="Calibri Light" w:cs="Calibri Light"/>
                <w:b/>
                <w:color w:val="000000"/>
                <w:sz w:val="20"/>
                <w:szCs w:val="20"/>
                <w:lang w:eastAsia="en-GB"/>
              </w:rPr>
            </w:pPr>
            <w:r w:rsidRPr="00A33AE8">
              <w:rPr>
                <w:rFonts w:ascii="Calibri Light" w:eastAsia="Times New Roman" w:hAnsi="Calibri Light" w:cs="Calibri Light"/>
                <w:color w:val="000000"/>
                <w:sz w:val="20"/>
                <w:szCs w:val="20"/>
                <w:lang w:eastAsia="en-GB"/>
              </w:rPr>
              <w:t>Budget incorporated into energy efficiency dimension measures</w:t>
            </w:r>
            <w:r w:rsidR="00B11F1A" w:rsidRPr="00A33AE8">
              <w:rPr>
                <w:rFonts w:ascii="Calibri Light" w:eastAsia="Times New Roman" w:hAnsi="Calibri Light" w:cs="Calibri Light"/>
                <w:color w:val="000000"/>
                <w:sz w:val="20"/>
                <w:szCs w:val="20"/>
                <w:lang w:eastAsia="en-GB"/>
              </w:rPr>
              <w:t xml:space="preserve"> </w:t>
            </w:r>
            <w:r w:rsidR="00B11F1A" w:rsidRPr="00CD0941">
              <w:rPr>
                <w:rFonts w:ascii="Calibri Light" w:eastAsia="Times New Roman" w:hAnsi="Calibri Light" w:cs="Calibri Light"/>
                <w:color w:val="000000"/>
                <w:sz w:val="20"/>
                <w:szCs w:val="20"/>
                <w:lang w:eastAsia="en-GB"/>
              </w:rPr>
              <w:t>(PM_EE1-PM_EE8)</w:t>
            </w:r>
            <w:r w:rsidR="00750F3D" w:rsidRPr="00CD0941">
              <w:rPr>
                <w:rFonts w:ascii="Calibri Light" w:eastAsia="Times New Roman" w:hAnsi="Calibri Light" w:cs="Calibri Light"/>
                <w:color w:val="000000"/>
                <w:sz w:val="20"/>
                <w:szCs w:val="20"/>
                <w:lang w:eastAsia="en-GB"/>
              </w:rPr>
              <w:t xml:space="preserve"> - 2518 M€ for heat pumps</w:t>
            </w:r>
            <w:r w:rsidR="00415FB6" w:rsidRPr="00CD0941">
              <w:rPr>
                <w:rFonts w:ascii="Calibri Light" w:eastAsia="Times New Roman" w:hAnsi="Calibri Light" w:cs="Calibri Light"/>
                <w:color w:val="000000"/>
                <w:sz w:val="20"/>
                <w:szCs w:val="20"/>
                <w:lang w:eastAsia="en-GB"/>
              </w:rPr>
              <w:t xml:space="preserve"> and </w:t>
            </w:r>
            <w:r w:rsidR="00415FB6" w:rsidRPr="0087794A">
              <w:rPr>
                <w:rFonts w:ascii="Calibri Light" w:eastAsia="Times New Roman" w:hAnsi="Calibri Light" w:cs="Calibri Light"/>
                <w:color w:val="000000"/>
                <w:sz w:val="20"/>
                <w:szCs w:val="20"/>
                <w:lang w:eastAsia="en-GB"/>
              </w:rPr>
              <w:t>637 M€</w:t>
            </w:r>
            <w:r w:rsidR="00415FB6" w:rsidRPr="00CD0941">
              <w:rPr>
                <w:rFonts w:ascii="Calibri Light" w:eastAsia="Times New Roman" w:hAnsi="Calibri Light" w:cs="Calibri Light"/>
                <w:color w:val="000000"/>
                <w:sz w:val="20"/>
                <w:szCs w:val="20"/>
                <w:lang w:eastAsia="en-GB"/>
              </w:rPr>
              <w:t xml:space="preserve"> for solar thermal systems</w:t>
            </w:r>
          </w:p>
        </w:tc>
        <w:tc>
          <w:tcPr>
            <w:tcW w:w="222" w:type="dxa"/>
            <w:vAlign w:val="center"/>
            <w:hideMark/>
          </w:tcPr>
          <w:p w14:paraId="7088180A" w14:textId="77777777" w:rsidR="00D77F14" w:rsidRPr="00A33AE8" w:rsidRDefault="00D77F14" w:rsidP="00D77F14">
            <w:pPr>
              <w:spacing w:after="0" w:line="240" w:lineRule="auto"/>
              <w:rPr>
                <w:rFonts w:ascii="Times New Roman" w:eastAsia="Times New Roman" w:hAnsi="Times New Roman" w:cs="Times New Roman"/>
                <w:sz w:val="20"/>
                <w:szCs w:val="20"/>
                <w:lang w:eastAsia="en-GB"/>
              </w:rPr>
            </w:pPr>
          </w:p>
        </w:tc>
      </w:tr>
      <w:tr w:rsidR="00A0628D" w:rsidRPr="00A33AE8" w14:paraId="06A60555" w14:textId="77777777" w:rsidTr="006769DA">
        <w:trPr>
          <w:trHeight w:val="315"/>
        </w:trPr>
        <w:tc>
          <w:tcPr>
            <w:tcW w:w="3332" w:type="dxa"/>
            <w:tcBorders>
              <w:top w:val="nil"/>
              <w:left w:val="single" w:sz="8" w:space="0" w:color="auto"/>
              <w:bottom w:val="single" w:sz="8" w:space="0" w:color="auto"/>
              <w:right w:val="single" w:sz="8" w:space="0" w:color="auto"/>
            </w:tcBorders>
            <w:shd w:val="clear" w:color="000000" w:fill="244062"/>
            <w:vAlign w:val="center"/>
            <w:hideMark/>
          </w:tcPr>
          <w:p w14:paraId="52766325" w14:textId="77777777" w:rsidR="00A0628D" w:rsidRPr="00A33AE8" w:rsidRDefault="00A0628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6" w:type="dxa"/>
            <w:gridSpan w:val="3"/>
            <w:tcBorders>
              <w:top w:val="single" w:sz="8" w:space="0" w:color="auto"/>
              <w:left w:val="nil"/>
              <w:bottom w:val="single" w:sz="8" w:space="0" w:color="auto"/>
              <w:right w:val="single" w:sz="8" w:space="0" w:color="000000"/>
            </w:tcBorders>
            <w:shd w:val="clear" w:color="auto" w:fill="auto"/>
            <w:vAlign w:val="center"/>
            <w:hideMark/>
          </w:tcPr>
          <w:p w14:paraId="22C65DB5" w14:textId="77777777" w:rsidR="00A0628D" w:rsidRPr="00A33AE8" w:rsidRDefault="00087B6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922BD5"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222" w:type="dxa"/>
            <w:vAlign w:val="center"/>
            <w:hideMark/>
          </w:tcPr>
          <w:p w14:paraId="2F05A55F" w14:textId="77777777" w:rsidR="00A0628D" w:rsidRPr="00A33AE8" w:rsidRDefault="00A0628D" w:rsidP="006769DA">
            <w:pPr>
              <w:spacing w:after="0" w:line="240" w:lineRule="auto"/>
              <w:rPr>
                <w:rFonts w:ascii="Times New Roman" w:eastAsia="Times New Roman" w:hAnsi="Times New Roman" w:cs="Times New Roman"/>
                <w:sz w:val="20"/>
                <w:szCs w:val="20"/>
                <w:lang w:eastAsia="en-GB"/>
              </w:rPr>
            </w:pPr>
          </w:p>
        </w:tc>
      </w:tr>
    </w:tbl>
    <w:p w14:paraId="2A273CDC" w14:textId="77777777" w:rsidR="0081343F" w:rsidRPr="00A33AE8" w:rsidRDefault="0081343F" w:rsidP="000B69B5">
      <w:pPr>
        <w:spacing w:before="160"/>
        <w:jc w:val="both"/>
        <w:rPr>
          <w:rFonts w:asciiTheme="majorHAnsi" w:hAnsiTheme="majorHAnsi" w:cstheme="majorHAnsi"/>
          <w:b/>
          <w:bCs/>
          <w:color w:val="000000"/>
        </w:rPr>
      </w:pPr>
      <w:r w:rsidRPr="00A33AE8">
        <w:rPr>
          <w:rFonts w:asciiTheme="majorHAnsi" w:hAnsiTheme="majorHAnsi" w:cstheme="majorHAnsi"/>
          <w:b/>
          <w:bCs/>
          <w:color w:val="000000"/>
        </w:rPr>
        <w:t>Transport</w:t>
      </w:r>
    </w:p>
    <w:p w14:paraId="3E56997E"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The production of domestic biofuels (mainly advanced) will be promoted through the provision of subsidies and fiscal incentives. Mandatory quota for the suppliers and blending thresholds for the case of biodiesel and biogasoline will be imposed in order to foster the further consumption of biofuels.</w:t>
      </w:r>
    </w:p>
    <w:p w14:paraId="1B4B3AE3" w14:textId="77777777" w:rsidR="003E401B" w:rsidRPr="00A33AE8" w:rsidRDefault="0081343F" w:rsidP="003E401B">
      <w:pPr>
        <w:spacing w:before="160"/>
        <w:jc w:val="both"/>
        <w:rPr>
          <w:rFonts w:asciiTheme="majorHAnsi" w:hAnsiTheme="majorHAnsi" w:cstheme="majorHAnsi"/>
          <w:color w:val="000000"/>
        </w:rPr>
      </w:pPr>
      <w:r w:rsidRPr="00A33AE8">
        <w:rPr>
          <w:rFonts w:asciiTheme="majorHAnsi" w:hAnsiTheme="majorHAnsi" w:cstheme="majorHAnsi"/>
          <w:color w:val="000000"/>
        </w:rPr>
        <w:t>Furthermore, special emphasis will be given on the promotion of electromobility. Specifically, the required legislative framework will be adopted, while the design and deployment of the required infrastructure for charging the electric vehicles will be ensured. Finally, a combination of financial and fiscal incentives will be utilised for the further penetration of electric vehicles supplementary to the regulatory and infrastructural ones focusing on energy-intensive categories, such as taxes, light-heavy duty vehicles etc.</w:t>
      </w:r>
      <w:r w:rsidR="003E401B" w:rsidRPr="00A33AE8">
        <w:rPr>
          <w:rFonts w:asciiTheme="majorHAnsi" w:hAnsiTheme="majorHAnsi" w:cstheme="majorHAnsi"/>
          <w:color w:val="000000"/>
        </w:rPr>
        <w:t xml:space="preserve"> Last but not least, biomethane and green hydrogen constitute alternative options for the further deployment of RES in transport sectors mainly through the implementation of demonstration projects.</w:t>
      </w:r>
    </w:p>
    <w:p w14:paraId="301ECE36" w14:textId="77777777" w:rsidR="0081343F" w:rsidRPr="00A33AE8" w:rsidRDefault="0081343F" w:rsidP="000B69B5">
      <w:pPr>
        <w:spacing w:before="160"/>
        <w:jc w:val="both"/>
        <w:rPr>
          <w:rFonts w:asciiTheme="majorHAnsi" w:hAnsiTheme="majorHAnsi" w:cstheme="majorHAnsi"/>
          <w:color w:val="000000"/>
        </w:rPr>
      </w:pPr>
    </w:p>
    <w:tbl>
      <w:tblPr>
        <w:tblW w:w="9680" w:type="dxa"/>
        <w:tblLook w:val="04A0" w:firstRow="1" w:lastRow="0" w:firstColumn="1" w:lastColumn="0" w:noHBand="0" w:noVBand="1"/>
      </w:tblPr>
      <w:tblGrid>
        <w:gridCol w:w="3331"/>
        <w:gridCol w:w="945"/>
        <w:gridCol w:w="946"/>
        <w:gridCol w:w="4236"/>
        <w:gridCol w:w="222"/>
      </w:tblGrid>
      <w:tr w:rsidR="003720CC" w:rsidRPr="00A33AE8" w14:paraId="17BCCACA" w14:textId="77777777" w:rsidTr="006769DA">
        <w:trPr>
          <w:gridAfter w:val="1"/>
          <w:wAfter w:w="222" w:type="dxa"/>
          <w:trHeight w:val="780"/>
        </w:trPr>
        <w:tc>
          <w:tcPr>
            <w:tcW w:w="333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8D9CCDA" w14:textId="77777777" w:rsidR="003720CC" w:rsidRPr="00A33AE8" w:rsidRDefault="003720C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46949BDD"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674B0" w:rsidRPr="00A33AE8">
              <w:rPr>
                <w:rFonts w:ascii="Calibri Light" w:eastAsia="Times New Roman" w:hAnsi="Calibri Light" w:cs="Calibri Light"/>
                <w:b/>
                <w:bCs/>
                <w:color w:val="000000"/>
                <w:sz w:val="20"/>
                <w:szCs w:val="20"/>
                <w:lang w:eastAsia="en-GB"/>
              </w:rPr>
              <w:t>D32</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4E2C50DD"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527177D"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Fostering the production of </w:t>
            </w:r>
            <w:r w:rsidR="00DE1C88" w:rsidRPr="00DE1C88">
              <w:rPr>
                <w:rFonts w:ascii="Calibri Light" w:eastAsia="Times New Roman" w:hAnsi="Calibri Light" w:cs="Calibri Light"/>
                <w:b/>
                <w:bCs/>
                <w:color w:val="000000"/>
                <w:sz w:val="20"/>
                <w:szCs w:val="20"/>
                <w:lang w:eastAsia="en-GB"/>
              </w:rPr>
              <w:t xml:space="preserve">advanced </w:t>
            </w:r>
            <w:r w:rsidRPr="00A33AE8">
              <w:rPr>
                <w:rFonts w:ascii="Calibri Light" w:eastAsia="Times New Roman" w:hAnsi="Calibri Light" w:cs="Calibri Light"/>
                <w:b/>
                <w:bCs/>
                <w:color w:val="000000"/>
                <w:sz w:val="20"/>
                <w:szCs w:val="20"/>
                <w:lang w:eastAsia="en-GB"/>
              </w:rPr>
              <w:t xml:space="preserve">biofuels </w:t>
            </w:r>
            <w:r w:rsidR="003E401B" w:rsidRPr="00A33AE8">
              <w:rPr>
                <w:rFonts w:ascii="Calibri Light" w:eastAsia="Times New Roman" w:hAnsi="Calibri Light" w:cs="Calibri Light"/>
                <w:b/>
                <w:bCs/>
                <w:color w:val="000000"/>
                <w:sz w:val="20"/>
                <w:szCs w:val="20"/>
                <w:lang w:eastAsia="en-GB"/>
              </w:rPr>
              <w:t xml:space="preserve">for use </w:t>
            </w:r>
            <w:r w:rsidRPr="00A33AE8">
              <w:rPr>
                <w:rFonts w:ascii="Calibri Light" w:eastAsia="Times New Roman" w:hAnsi="Calibri Light" w:cs="Calibri Light"/>
                <w:b/>
                <w:bCs/>
                <w:color w:val="000000"/>
                <w:sz w:val="20"/>
                <w:szCs w:val="20"/>
                <w:lang w:eastAsia="en-GB"/>
              </w:rPr>
              <w:t>in transport sector</w:t>
            </w:r>
          </w:p>
        </w:tc>
      </w:tr>
      <w:tr w:rsidR="003720CC" w:rsidRPr="00A33AE8" w14:paraId="7C434777" w14:textId="77777777" w:rsidTr="006769DA">
        <w:trPr>
          <w:gridAfter w:val="1"/>
          <w:wAfter w:w="222" w:type="dxa"/>
          <w:trHeight w:val="179"/>
        </w:trPr>
        <w:tc>
          <w:tcPr>
            <w:tcW w:w="3331" w:type="dxa"/>
            <w:tcBorders>
              <w:top w:val="nil"/>
              <w:left w:val="single" w:sz="8" w:space="0" w:color="auto"/>
              <w:bottom w:val="single" w:sz="8" w:space="0" w:color="auto"/>
              <w:right w:val="nil"/>
            </w:tcBorders>
            <w:shd w:val="clear" w:color="000000" w:fill="244062"/>
            <w:vAlign w:val="center"/>
            <w:hideMark/>
          </w:tcPr>
          <w:p w14:paraId="40BC5996"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14C59DCC"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transport</w:t>
            </w:r>
          </w:p>
        </w:tc>
      </w:tr>
      <w:tr w:rsidR="003720CC" w:rsidRPr="00A33AE8" w14:paraId="6D361123" w14:textId="77777777" w:rsidTr="006769DA">
        <w:trPr>
          <w:gridAfter w:val="1"/>
          <w:wAfter w:w="222" w:type="dxa"/>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3C198E73"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3B7AB31C" w14:textId="006B17EB" w:rsidR="00FC1D57" w:rsidRPr="00CD0941" w:rsidRDefault="00FA263A" w:rsidP="00507954">
            <w:pPr>
              <w:spacing w:after="0"/>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49</w:t>
            </w:r>
            <w:r w:rsidR="00C72D08" w:rsidRPr="00CD0941">
              <w:rPr>
                <w:rFonts w:ascii="Calibri Light" w:eastAsia="Times New Roman" w:hAnsi="Calibri Light" w:cs="Calibri Light"/>
                <w:color w:val="000000"/>
                <w:sz w:val="20"/>
                <w:szCs w:val="20"/>
                <w:lang w:eastAsia="en-GB"/>
              </w:rPr>
              <w:t xml:space="preserve"> </w:t>
            </w:r>
            <w:r w:rsidR="00FC1D57" w:rsidRPr="00CD0941">
              <w:rPr>
                <w:rFonts w:ascii="Calibri Light" w:eastAsia="Times New Roman" w:hAnsi="Calibri Light" w:cs="Calibri Light"/>
                <w:color w:val="000000"/>
                <w:sz w:val="20"/>
                <w:szCs w:val="20"/>
                <w:lang w:eastAsia="en-GB"/>
              </w:rPr>
              <w:t>ktoe of biofuels</w:t>
            </w:r>
            <w:r w:rsidR="000674B0" w:rsidRPr="00CD0941">
              <w:rPr>
                <w:rFonts w:ascii="Calibri Light" w:eastAsia="Times New Roman" w:hAnsi="Calibri Light" w:cs="Calibri Light"/>
                <w:color w:val="000000"/>
                <w:sz w:val="20"/>
                <w:szCs w:val="20"/>
                <w:lang w:eastAsia="en-GB"/>
              </w:rPr>
              <w:t xml:space="preserve"> without the effect of multipliers (58 million lt of biofuels)</w:t>
            </w:r>
            <w:r w:rsidR="00145A21" w:rsidRPr="00CD0941">
              <w:rPr>
                <w:rFonts w:ascii="Calibri Light" w:eastAsia="Times New Roman" w:hAnsi="Calibri Light" w:cs="Calibri Light"/>
                <w:color w:val="000000"/>
                <w:sz w:val="20"/>
                <w:szCs w:val="20"/>
                <w:lang w:eastAsia="en-GB"/>
              </w:rPr>
              <w:t xml:space="preserve">. The </w:t>
            </w:r>
            <w:r w:rsidR="00F95D7A" w:rsidRPr="00CD0941">
              <w:rPr>
                <w:rFonts w:ascii="Calibri Light" w:eastAsia="Times New Roman" w:hAnsi="Calibri Light" w:cs="Calibri Light"/>
                <w:color w:val="000000"/>
                <w:sz w:val="20"/>
                <w:szCs w:val="20"/>
                <w:lang w:eastAsia="en-GB"/>
              </w:rPr>
              <w:t>foreseen</w:t>
            </w:r>
            <w:r w:rsidR="00145A21" w:rsidRPr="00CD0941">
              <w:rPr>
                <w:rFonts w:ascii="Calibri Light" w:eastAsia="Times New Roman" w:hAnsi="Calibri Light" w:cs="Calibri Light"/>
                <w:color w:val="000000"/>
                <w:sz w:val="20"/>
                <w:szCs w:val="20"/>
                <w:lang w:eastAsia="en-GB"/>
              </w:rPr>
              <w:t xml:space="preserve"> biofuels consist of </w:t>
            </w:r>
            <w:r w:rsidR="00F95D7A" w:rsidRPr="00CD0941">
              <w:rPr>
                <w:rFonts w:ascii="Calibri Light" w:eastAsia="Times New Roman" w:hAnsi="Calibri Light" w:cs="Calibri Light"/>
                <w:color w:val="000000"/>
                <w:sz w:val="20"/>
                <w:szCs w:val="20"/>
                <w:lang w:eastAsia="en-GB"/>
              </w:rPr>
              <w:t xml:space="preserve">both </w:t>
            </w:r>
            <w:r w:rsidR="00145A21" w:rsidRPr="00CD0941">
              <w:rPr>
                <w:rFonts w:ascii="Calibri Light" w:eastAsia="Times New Roman" w:hAnsi="Calibri Light" w:cs="Calibri Light"/>
                <w:color w:val="000000"/>
                <w:sz w:val="20"/>
                <w:szCs w:val="20"/>
                <w:lang w:eastAsia="en-GB"/>
              </w:rPr>
              <w:t>imported biodiesel and bioethanol and domestically produced biodiesel and bioethanol.</w:t>
            </w:r>
          </w:p>
        </w:tc>
      </w:tr>
      <w:tr w:rsidR="003720CC" w:rsidRPr="00A33AE8" w14:paraId="341DFD76" w14:textId="77777777" w:rsidTr="006769DA">
        <w:trPr>
          <w:gridAfter w:val="1"/>
          <w:wAfter w:w="222" w:type="dxa"/>
          <w:trHeight w:val="571"/>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4E3C4EFF"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7AAF5A09" w14:textId="77777777" w:rsidR="003720CC" w:rsidRPr="00CD0941" w:rsidRDefault="003720CC" w:rsidP="006769DA">
            <w:pPr>
              <w:spacing w:after="0" w:line="240" w:lineRule="auto"/>
              <w:jc w:val="both"/>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PM_</w:t>
            </w:r>
            <w:r w:rsidR="000674B0" w:rsidRPr="00CD0941">
              <w:rPr>
                <w:rFonts w:ascii="Calibri Light" w:eastAsia="Times New Roman" w:hAnsi="Calibri Light" w:cs="Calibri Light"/>
                <w:color w:val="000000"/>
                <w:sz w:val="20"/>
                <w:szCs w:val="20"/>
                <w:lang w:eastAsia="en-GB"/>
              </w:rPr>
              <w:t xml:space="preserve">D32 </w:t>
            </w:r>
            <w:r w:rsidRPr="00CD0941">
              <w:rPr>
                <w:rFonts w:ascii="Calibri Light" w:eastAsia="Times New Roman" w:hAnsi="Calibri Light" w:cs="Calibri Light"/>
                <w:color w:val="000000"/>
                <w:sz w:val="20"/>
                <w:szCs w:val="20"/>
                <w:lang w:eastAsia="en-GB"/>
              </w:rPr>
              <w:t xml:space="preserve">will foster the production of domestic biofuels </w:t>
            </w:r>
            <w:r w:rsidR="000674B0" w:rsidRPr="00CD0941">
              <w:rPr>
                <w:rFonts w:ascii="Calibri Light" w:eastAsia="Times New Roman" w:hAnsi="Calibri Light" w:cs="Calibri Light"/>
                <w:color w:val="000000"/>
                <w:sz w:val="20"/>
                <w:szCs w:val="20"/>
                <w:lang w:eastAsia="en-GB"/>
              </w:rPr>
              <w:t>according to the requirements of the Directive 2018/2001/ΕU</w:t>
            </w:r>
            <w:r w:rsidRPr="00CD0941">
              <w:rPr>
                <w:rFonts w:ascii="Calibri Light" w:eastAsia="Times New Roman" w:hAnsi="Calibri Light" w:cs="Calibri Light"/>
                <w:color w:val="000000"/>
                <w:sz w:val="20"/>
                <w:szCs w:val="20"/>
                <w:lang w:eastAsia="en-GB"/>
              </w:rPr>
              <w:t xml:space="preserve"> through the provision of subsidies and fiscal incentives.</w:t>
            </w:r>
          </w:p>
        </w:tc>
      </w:tr>
      <w:tr w:rsidR="003720CC" w:rsidRPr="00A33AE8" w14:paraId="0BB66733" w14:textId="77777777" w:rsidTr="006769DA">
        <w:trPr>
          <w:gridAfter w:val="1"/>
          <w:wAfter w:w="222" w:type="dxa"/>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7D916ACF"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4EBB8A53" w14:textId="77777777" w:rsidR="003720CC" w:rsidRPr="00CD0941" w:rsidRDefault="00FA263A" w:rsidP="006769DA">
            <w:p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2025</w:t>
            </w:r>
            <w:r w:rsidR="003720CC" w:rsidRPr="00CD0941">
              <w:rPr>
                <w:rFonts w:ascii="Calibri Light" w:eastAsia="Times New Roman" w:hAnsi="Calibri Light" w:cs="Calibri Light"/>
                <w:color w:val="000000"/>
                <w:sz w:val="20"/>
                <w:szCs w:val="20"/>
                <w:lang w:eastAsia="en-GB"/>
              </w:rPr>
              <w:t>-2030</w:t>
            </w:r>
          </w:p>
        </w:tc>
      </w:tr>
      <w:tr w:rsidR="003720CC" w:rsidRPr="00A33AE8" w14:paraId="2C61BAA9" w14:textId="77777777" w:rsidTr="006769DA">
        <w:trPr>
          <w:gridAfter w:val="1"/>
          <w:wAfter w:w="222" w:type="dxa"/>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6FA1C938"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2CB1644D" w14:textId="77777777" w:rsidR="003720CC" w:rsidRPr="00CD0941" w:rsidRDefault="00327F16" w:rsidP="006769DA">
            <w:p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Investment</w:t>
            </w:r>
          </w:p>
        </w:tc>
      </w:tr>
      <w:tr w:rsidR="003720CC" w:rsidRPr="00A33AE8" w14:paraId="49743A5E" w14:textId="77777777" w:rsidTr="006769DA">
        <w:trPr>
          <w:gridAfter w:val="1"/>
          <w:wAfter w:w="222" w:type="dxa"/>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3C42B352"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65E62708" w14:textId="77777777" w:rsidR="003720CC" w:rsidRPr="00CD0941" w:rsidRDefault="003720CC" w:rsidP="006769DA">
            <w:p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Transport</w:t>
            </w:r>
          </w:p>
        </w:tc>
      </w:tr>
      <w:tr w:rsidR="003720CC" w:rsidRPr="00A33AE8" w14:paraId="6ADB816D" w14:textId="77777777" w:rsidTr="006769DA">
        <w:trPr>
          <w:gridAfter w:val="1"/>
          <w:wAfter w:w="222" w:type="dxa"/>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0AF00789"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355DCF03" w14:textId="77777777" w:rsidR="003720CC" w:rsidRPr="00CD0941"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Ministry of Mining and Energy</w:t>
            </w:r>
          </w:p>
        </w:tc>
      </w:tr>
      <w:tr w:rsidR="003720CC" w:rsidRPr="00A33AE8" w14:paraId="438EAF0C" w14:textId="77777777" w:rsidTr="006769DA">
        <w:trPr>
          <w:gridAfter w:val="1"/>
          <w:wAfter w:w="222" w:type="dxa"/>
          <w:trHeight w:val="315"/>
        </w:trPr>
        <w:tc>
          <w:tcPr>
            <w:tcW w:w="3331" w:type="dxa"/>
            <w:tcBorders>
              <w:top w:val="nil"/>
              <w:left w:val="single" w:sz="8" w:space="0" w:color="auto"/>
              <w:bottom w:val="single" w:sz="8" w:space="0" w:color="auto"/>
              <w:right w:val="nil"/>
            </w:tcBorders>
            <w:shd w:val="clear" w:color="000000" w:fill="244062"/>
            <w:vAlign w:val="center"/>
            <w:hideMark/>
          </w:tcPr>
          <w:p w14:paraId="02011C8D"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7FB0FAB3" w14:textId="2669DB9C" w:rsidR="003720CC" w:rsidRPr="00CD0941" w:rsidRDefault="00563EA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Government of the Republic of Serbia</w:t>
            </w:r>
          </w:p>
        </w:tc>
      </w:tr>
      <w:tr w:rsidR="003720CC" w:rsidRPr="00A33AE8" w14:paraId="6971FEA3" w14:textId="77777777" w:rsidTr="006769DA">
        <w:trPr>
          <w:gridAfter w:val="1"/>
          <w:wAfter w:w="222" w:type="dxa"/>
          <w:trHeight w:val="315"/>
        </w:trPr>
        <w:tc>
          <w:tcPr>
            <w:tcW w:w="3331" w:type="dxa"/>
            <w:tcBorders>
              <w:top w:val="nil"/>
              <w:left w:val="single" w:sz="8" w:space="0" w:color="auto"/>
              <w:bottom w:val="single" w:sz="8" w:space="0" w:color="auto"/>
              <w:right w:val="nil"/>
            </w:tcBorders>
            <w:shd w:val="clear" w:color="000000" w:fill="244062"/>
            <w:vAlign w:val="center"/>
            <w:hideMark/>
          </w:tcPr>
          <w:p w14:paraId="53DE403E"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10535F0C" w14:textId="77777777" w:rsidR="003720CC" w:rsidRPr="00CD0941"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Produced biofuels</w:t>
            </w:r>
            <w:r w:rsidR="003720CC" w:rsidRPr="00CD0941">
              <w:rPr>
                <w:rFonts w:ascii="Calibri Light" w:eastAsia="Times New Roman" w:hAnsi="Calibri Light" w:cs="Calibri Light"/>
                <w:color w:val="000000"/>
                <w:sz w:val="20"/>
                <w:szCs w:val="20"/>
                <w:lang w:eastAsia="en-GB"/>
              </w:rPr>
              <w:t> </w:t>
            </w:r>
          </w:p>
        </w:tc>
      </w:tr>
      <w:tr w:rsidR="006C6A30" w:rsidRPr="00A33AE8" w14:paraId="1D4EEE6D" w14:textId="77777777" w:rsidTr="006769DA">
        <w:trPr>
          <w:gridAfter w:val="1"/>
          <w:wAfter w:w="222" w:type="dxa"/>
          <w:trHeight w:val="381"/>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5542A4A8"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7" w:type="dxa"/>
            <w:gridSpan w:val="3"/>
            <w:tcBorders>
              <w:top w:val="single" w:sz="8" w:space="0" w:color="auto"/>
              <w:left w:val="nil"/>
              <w:bottom w:val="single" w:sz="8" w:space="0" w:color="auto"/>
              <w:right w:val="single" w:sz="8" w:space="0" w:color="000000"/>
            </w:tcBorders>
            <w:shd w:val="clear" w:color="auto" w:fill="auto"/>
            <w:vAlign w:val="center"/>
          </w:tcPr>
          <w:p w14:paraId="78B39B04" w14:textId="77777777" w:rsidR="006C6A30" w:rsidRPr="00CD0941" w:rsidRDefault="00563EA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3720CC" w:rsidRPr="00A33AE8" w14:paraId="2EE726A5" w14:textId="77777777" w:rsidTr="006769DA">
        <w:trPr>
          <w:gridAfter w:val="1"/>
          <w:wAfter w:w="222" w:type="dxa"/>
          <w:trHeight w:val="450"/>
        </w:trPr>
        <w:tc>
          <w:tcPr>
            <w:tcW w:w="333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81D9CBE"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131A5D" w14:textId="77777777" w:rsidR="003720CC" w:rsidRPr="00CD0941"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Directive 2018/2001/ΕU</w:t>
            </w:r>
          </w:p>
        </w:tc>
      </w:tr>
      <w:tr w:rsidR="003720CC" w:rsidRPr="00A33AE8" w14:paraId="7830ACDF" w14:textId="77777777" w:rsidTr="006769DA">
        <w:trPr>
          <w:trHeight w:val="300"/>
        </w:trPr>
        <w:tc>
          <w:tcPr>
            <w:tcW w:w="3331" w:type="dxa"/>
            <w:vMerge/>
            <w:tcBorders>
              <w:top w:val="nil"/>
              <w:left w:val="single" w:sz="8" w:space="0" w:color="auto"/>
              <w:bottom w:val="single" w:sz="8" w:space="0" w:color="000000"/>
              <w:right w:val="single" w:sz="8" w:space="0" w:color="auto"/>
            </w:tcBorders>
            <w:vAlign w:val="center"/>
            <w:hideMark/>
          </w:tcPr>
          <w:p w14:paraId="74C25F0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p>
        </w:tc>
        <w:tc>
          <w:tcPr>
            <w:tcW w:w="6127" w:type="dxa"/>
            <w:gridSpan w:val="3"/>
            <w:vMerge/>
            <w:tcBorders>
              <w:top w:val="single" w:sz="8" w:space="0" w:color="auto"/>
              <w:left w:val="single" w:sz="8" w:space="0" w:color="auto"/>
              <w:bottom w:val="single" w:sz="8" w:space="0" w:color="000000"/>
              <w:right w:val="single" w:sz="8" w:space="0" w:color="000000"/>
            </w:tcBorders>
            <w:vAlign w:val="center"/>
            <w:hideMark/>
          </w:tcPr>
          <w:p w14:paraId="5FC3AC1D" w14:textId="77777777" w:rsidR="003720CC" w:rsidRPr="00CD0941"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0AEAD06"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p>
        </w:tc>
      </w:tr>
      <w:tr w:rsidR="003720CC" w:rsidRPr="00A33AE8" w14:paraId="337A7967" w14:textId="77777777" w:rsidTr="006769DA">
        <w:trPr>
          <w:trHeight w:val="54"/>
        </w:trPr>
        <w:tc>
          <w:tcPr>
            <w:tcW w:w="3331" w:type="dxa"/>
            <w:vMerge/>
            <w:tcBorders>
              <w:top w:val="nil"/>
              <w:left w:val="single" w:sz="8" w:space="0" w:color="auto"/>
              <w:bottom w:val="single" w:sz="8" w:space="0" w:color="000000"/>
              <w:right w:val="single" w:sz="8" w:space="0" w:color="auto"/>
            </w:tcBorders>
            <w:vAlign w:val="center"/>
            <w:hideMark/>
          </w:tcPr>
          <w:p w14:paraId="7E64E437"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p>
        </w:tc>
        <w:tc>
          <w:tcPr>
            <w:tcW w:w="6127" w:type="dxa"/>
            <w:gridSpan w:val="3"/>
            <w:vMerge/>
            <w:tcBorders>
              <w:top w:val="single" w:sz="8" w:space="0" w:color="auto"/>
              <w:left w:val="single" w:sz="8" w:space="0" w:color="auto"/>
              <w:bottom w:val="single" w:sz="8" w:space="0" w:color="000000"/>
              <w:right w:val="single" w:sz="8" w:space="0" w:color="000000"/>
            </w:tcBorders>
            <w:vAlign w:val="center"/>
            <w:hideMark/>
          </w:tcPr>
          <w:p w14:paraId="7F93FFE6" w14:textId="77777777" w:rsidR="003720CC" w:rsidRPr="00CD0941"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BCD0660"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3720CC" w:rsidRPr="00A33AE8" w14:paraId="590C035E" w14:textId="77777777" w:rsidTr="006769DA">
        <w:trPr>
          <w:trHeight w:val="287"/>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7C9026E0"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41306400" w14:textId="77777777" w:rsidR="003720CC" w:rsidRPr="00CD0941"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78791AF4"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3720CC" w:rsidRPr="00A33AE8" w14:paraId="64460D1A" w14:textId="77777777" w:rsidTr="006769DA">
        <w:trPr>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3CEA0963"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7976E571" w14:textId="09462FA5" w:rsidR="003720CC" w:rsidRPr="00CD0941" w:rsidRDefault="00935BE8" w:rsidP="006769DA">
            <w:pPr>
              <w:spacing w:after="0" w:line="240" w:lineRule="auto"/>
              <w:rPr>
                <w:rFonts w:ascii="Calibri" w:eastAsia="Times New Roman" w:hAnsi="Calibri" w:cs="Calibri"/>
                <w:color w:val="000000"/>
                <w:lang w:eastAsia="en-GB"/>
              </w:rPr>
            </w:pPr>
            <w:r w:rsidRPr="00CD0941">
              <w:rPr>
                <w:rFonts w:ascii="Calibri Light" w:eastAsia="Times New Roman" w:hAnsi="Calibri Light" w:cs="Calibri Light"/>
                <w:color w:val="000000"/>
                <w:sz w:val="20"/>
                <w:szCs w:val="20"/>
                <w:lang w:eastAsia="en-GB"/>
              </w:rPr>
              <w:t xml:space="preserve">100 </w:t>
            </w:r>
            <w:r w:rsidR="005126F3" w:rsidRPr="00CD0941">
              <w:rPr>
                <w:rFonts w:ascii="Calibri Light" w:eastAsia="Times New Roman" w:hAnsi="Calibri Light" w:cs="Calibri Light"/>
                <w:color w:val="000000"/>
                <w:sz w:val="20"/>
                <w:szCs w:val="20"/>
                <w:lang w:eastAsia="en-GB"/>
              </w:rPr>
              <w:t>M</w:t>
            </w:r>
            <w:r w:rsidR="005126F3" w:rsidRPr="00CD0941">
              <w:rPr>
                <w:rFonts w:ascii="Calibri" w:eastAsia="Times New Roman" w:hAnsi="Calibri" w:cs="Calibri"/>
                <w:color w:val="000000"/>
                <w:sz w:val="20"/>
                <w:szCs w:val="20"/>
                <w:lang w:eastAsia="en-GB"/>
              </w:rPr>
              <w:t>€</w:t>
            </w:r>
          </w:p>
        </w:tc>
        <w:tc>
          <w:tcPr>
            <w:tcW w:w="222" w:type="dxa"/>
            <w:vAlign w:val="center"/>
            <w:hideMark/>
          </w:tcPr>
          <w:p w14:paraId="614D0F05"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3720CC" w:rsidRPr="00A33AE8" w14:paraId="7D6427EF" w14:textId="77777777" w:rsidTr="006769DA">
        <w:trPr>
          <w:trHeight w:val="315"/>
        </w:trPr>
        <w:tc>
          <w:tcPr>
            <w:tcW w:w="3331" w:type="dxa"/>
            <w:tcBorders>
              <w:top w:val="nil"/>
              <w:left w:val="single" w:sz="8" w:space="0" w:color="auto"/>
              <w:bottom w:val="single" w:sz="8" w:space="0" w:color="auto"/>
              <w:right w:val="single" w:sz="8" w:space="0" w:color="auto"/>
            </w:tcBorders>
            <w:shd w:val="clear" w:color="000000" w:fill="244062"/>
            <w:vAlign w:val="center"/>
            <w:hideMark/>
          </w:tcPr>
          <w:p w14:paraId="6E7199ED"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7" w:type="dxa"/>
            <w:gridSpan w:val="3"/>
            <w:tcBorders>
              <w:top w:val="single" w:sz="8" w:space="0" w:color="auto"/>
              <w:left w:val="nil"/>
              <w:bottom w:val="single" w:sz="8" w:space="0" w:color="auto"/>
              <w:right w:val="single" w:sz="8" w:space="0" w:color="000000"/>
            </w:tcBorders>
            <w:shd w:val="clear" w:color="auto" w:fill="auto"/>
            <w:vAlign w:val="center"/>
            <w:hideMark/>
          </w:tcPr>
          <w:p w14:paraId="172B0020" w14:textId="77777777" w:rsidR="003720CC" w:rsidRPr="00A33AE8" w:rsidRDefault="00A315AB"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67B09C2C"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bl>
    <w:p w14:paraId="065D07DE" w14:textId="77777777" w:rsidR="003720CC" w:rsidRPr="00A33AE8" w:rsidRDefault="003720CC" w:rsidP="003720CC">
      <w:pPr>
        <w:pStyle w:val="LDKbody"/>
        <w:rPr>
          <w:lang w:val="en-GB"/>
        </w:rPr>
      </w:pPr>
    </w:p>
    <w:tbl>
      <w:tblPr>
        <w:tblW w:w="9680" w:type="dxa"/>
        <w:tblLook w:val="04A0" w:firstRow="1" w:lastRow="0" w:firstColumn="1" w:lastColumn="0" w:noHBand="0" w:noVBand="1"/>
      </w:tblPr>
      <w:tblGrid>
        <w:gridCol w:w="3329"/>
        <w:gridCol w:w="945"/>
        <w:gridCol w:w="946"/>
        <w:gridCol w:w="4238"/>
        <w:gridCol w:w="222"/>
      </w:tblGrid>
      <w:tr w:rsidR="003720CC" w:rsidRPr="00A33AE8" w14:paraId="54068E12" w14:textId="77777777" w:rsidTr="006769DA">
        <w:trPr>
          <w:gridAfter w:val="1"/>
          <w:wAfter w:w="222" w:type="dxa"/>
          <w:trHeight w:val="708"/>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A0395DB" w14:textId="77777777" w:rsidR="003720CC" w:rsidRPr="00A33AE8" w:rsidRDefault="003720C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3698D3F7"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674B0" w:rsidRPr="00A33AE8">
              <w:rPr>
                <w:rFonts w:ascii="Calibri Light" w:eastAsia="Times New Roman" w:hAnsi="Calibri Light" w:cs="Calibri Light"/>
                <w:b/>
                <w:bCs/>
                <w:color w:val="000000"/>
                <w:sz w:val="20"/>
                <w:szCs w:val="20"/>
                <w:lang w:eastAsia="en-GB"/>
              </w:rPr>
              <w:t>D33</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200889AB"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8" w:type="dxa"/>
            <w:tcBorders>
              <w:top w:val="single" w:sz="8" w:space="0" w:color="auto"/>
              <w:left w:val="nil"/>
              <w:bottom w:val="single" w:sz="8" w:space="0" w:color="auto"/>
              <w:right w:val="single" w:sz="8" w:space="0" w:color="auto"/>
            </w:tcBorders>
            <w:shd w:val="clear" w:color="auto" w:fill="E7E6E6" w:themeFill="background2"/>
            <w:vAlign w:val="center"/>
            <w:hideMark/>
          </w:tcPr>
          <w:p w14:paraId="02961DEC"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Fostering the consumption of biofuels in transport sector</w:t>
            </w:r>
          </w:p>
        </w:tc>
      </w:tr>
      <w:tr w:rsidR="003720CC" w:rsidRPr="00A33AE8" w14:paraId="3272261B" w14:textId="77777777" w:rsidTr="006769DA">
        <w:trPr>
          <w:gridAfter w:val="1"/>
          <w:wAfter w:w="222" w:type="dxa"/>
          <w:trHeight w:val="54"/>
        </w:trPr>
        <w:tc>
          <w:tcPr>
            <w:tcW w:w="3329" w:type="dxa"/>
            <w:tcBorders>
              <w:top w:val="nil"/>
              <w:left w:val="single" w:sz="8" w:space="0" w:color="auto"/>
              <w:bottom w:val="single" w:sz="8" w:space="0" w:color="auto"/>
              <w:right w:val="nil"/>
            </w:tcBorders>
            <w:shd w:val="clear" w:color="000000" w:fill="244062"/>
            <w:vAlign w:val="center"/>
            <w:hideMark/>
          </w:tcPr>
          <w:p w14:paraId="1A85303F"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29893FE"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transport</w:t>
            </w:r>
          </w:p>
        </w:tc>
      </w:tr>
      <w:tr w:rsidR="003720CC" w:rsidRPr="00A33AE8" w14:paraId="77051D13"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602CA17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2B3A4F68" w14:textId="77777777" w:rsidR="00FC1D57" w:rsidRPr="00A33AE8" w:rsidRDefault="00FC1D5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the quantified objective of PM_</w:t>
            </w:r>
            <w:r w:rsidR="000674B0" w:rsidRPr="00A33AE8">
              <w:rPr>
                <w:rFonts w:ascii="Calibri Light" w:eastAsia="Times New Roman" w:hAnsi="Calibri Light" w:cs="Calibri Light"/>
                <w:color w:val="000000"/>
                <w:sz w:val="20"/>
                <w:szCs w:val="20"/>
                <w:lang w:eastAsia="en-GB"/>
              </w:rPr>
              <w:t>D32</w:t>
            </w:r>
          </w:p>
        </w:tc>
      </w:tr>
      <w:tr w:rsidR="003720CC" w:rsidRPr="00A33AE8" w14:paraId="3550F1B4" w14:textId="77777777" w:rsidTr="006769DA">
        <w:trPr>
          <w:gridAfter w:val="1"/>
          <w:wAfter w:w="222" w:type="dxa"/>
          <w:trHeight w:val="1081"/>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A394902"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4" w:space="0" w:color="auto"/>
              <w:left w:val="single" w:sz="4" w:space="0" w:color="auto"/>
              <w:bottom w:val="single" w:sz="4" w:space="0" w:color="000000"/>
              <w:right w:val="single" w:sz="4" w:space="0" w:color="auto"/>
            </w:tcBorders>
            <w:vAlign w:val="center"/>
            <w:hideMark/>
          </w:tcPr>
          <w:p w14:paraId="22B282CF" w14:textId="77777777" w:rsidR="003720CC" w:rsidRPr="00A33AE8" w:rsidRDefault="003720CC"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0674B0" w:rsidRPr="00A33AE8">
              <w:rPr>
                <w:rFonts w:ascii="Calibri Light" w:eastAsia="Times New Roman" w:hAnsi="Calibri Light" w:cs="Calibri Light"/>
                <w:color w:val="000000"/>
                <w:sz w:val="20"/>
                <w:szCs w:val="20"/>
                <w:lang w:eastAsia="en-GB"/>
              </w:rPr>
              <w:t xml:space="preserve">D33 </w:t>
            </w:r>
            <w:r w:rsidRPr="00A33AE8">
              <w:rPr>
                <w:rFonts w:ascii="Calibri Light" w:eastAsia="Times New Roman" w:hAnsi="Calibri Light" w:cs="Calibri Light"/>
                <w:color w:val="000000"/>
                <w:sz w:val="20"/>
                <w:szCs w:val="20"/>
                <w:lang w:eastAsia="en-GB"/>
              </w:rPr>
              <w:t xml:space="preserve">will promote the further consumption of biofuels through the imposition of mandatory quota for the suppliers and blending thresholds for the case of biodiesel and </w:t>
            </w:r>
            <w:r w:rsidR="00F122B2" w:rsidRPr="00A33AE8">
              <w:rPr>
                <w:rFonts w:ascii="Calibri Light" w:eastAsia="Times New Roman" w:hAnsi="Calibri Light" w:cs="Calibri Light"/>
                <w:color w:val="000000"/>
                <w:sz w:val="20"/>
                <w:szCs w:val="20"/>
                <w:lang w:eastAsia="en-GB"/>
              </w:rPr>
              <w:t>bio gasoline</w:t>
            </w:r>
            <w:r w:rsidRPr="00A33AE8">
              <w:rPr>
                <w:rFonts w:ascii="Calibri Light" w:eastAsia="Times New Roman" w:hAnsi="Calibri Light" w:cs="Calibri Light"/>
                <w:color w:val="000000"/>
                <w:sz w:val="20"/>
                <w:szCs w:val="20"/>
                <w:lang w:eastAsia="en-GB"/>
              </w:rPr>
              <w:t xml:space="preserve"> taking into consideration the minimum technical limits, which can be considered as acceptable for the current vehicle stock.</w:t>
            </w:r>
            <w:r w:rsidR="00B7324D">
              <w:t xml:space="preserve"> </w:t>
            </w:r>
            <w:r w:rsidR="00B7324D" w:rsidRPr="00B7324D">
              <w:rPr>
                <w:rFonts w:ascii="Calibri Light" w:eastAsia="Times New Roman" w:hAnsi="Calibri Light" w:cs="Calibri Light"/>
                <w:color w:val="000000"/>
                <w:sz w:val="20"/>
                <w:szCs w:val="20"/>
                <w:lang w:eastAsia="en-GB"/>
              </w:rPr>
              <w:t>The cultivation of fast-growing energy plants for the production of biofuels, which can be used in transport sector, will be explored.</w:t>
            </w:r>
          </w:p>
        </w:tc>
      </w:tr>
      <w:tr w:rsidR="003720CC" w:rsidRPr="00A33AE8" w14:paraId="14100E59"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D554A33"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C0C6F20" w14:textId="77777777" w:rsidR="003720CC" w:rsidRPr="00A33AE8" w:rsidRDefault="00FA263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3720CC" w:rsidRPr="00A33AE8">
              <w:rPr>
                <w:rFonts w:ascii="Calibri Light" w:eastAsia="Times New Roman" w:hAnsi="Calibri Light" w:cs="Calibri Light"/>
                <w:color w:val="000000"/>
                <w:sz w:val="20"/>
                <w:szCs w:val="20"/>
                <w:lang w:eastAsia="en-GB"/>
              </w:rPr>
              <w:t>-2030</w:t>
            </w:r>
          </w:p>
        </w:tc>
      </w:tr>
      <w:tr w:rsidR="003720CC" w:rsidRPr="00A33AE8" w14:paraId="55BA8922"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7031924"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CE84561" w14:textId="77777777" w:rsidR="003720CC" w:rsidRPr="00A33AE8" w:rsidRDefault="00327F1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720CC" w:rsidRPr="00A33AE8" w14:paraId="68C1291E"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02BB098"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722AFDA"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3720CC" w:rsidRPr="00A33AE8" w14:paraId="681C2A01"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5534574"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69C6002" w14:textId="77777777" w:rsidR="003720CC"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3720CC" w:rsidRPr="00A33AE8" w14:paraId="115DD458"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1B845D2E"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FF76801" w14:textId="30D3AD7B" w:rsidR="003720CC" w:rsidRPr="00A33AE8" w:rsidRDefault="008414E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414E8">
              <w:rPr>
                <w:rFonts w:ascii="Calibri Light" w:eastAsia="Times New Roman" w:hAnsi="Calibri Light" w:cs="Calibri Light"/>
                <w:color w:val="000000"/>
                <w:sz w:val="20"/>
                <w:szCs w:val="20"/>
                <w:lang w:eastAsia="en-GB"/>
              </w:rPr>
              <w:t>Government of the Republic of Serbia</w:t>
            </w:r>
          </w:p>
        </w:tc>
      </w:tr>
      <w:tr w:rsidR="003720CC" w:rsidRPr="00A33AE8" w14:paraId="7A918576"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57A7EF9C"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0A023FD" w14:textId="77777777" w:rsidR="003720CC"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Consumed biofuels</w:t>
            </w:r>
            <w:r w:rsidR="003720CC" w:rsidRPr="00A33AE8">
              <w:rPr>
                <w:rFonts w:ascii="Calibri Light" w:eastAsia="Times New Roman" w:hAnsi="Calibri Light" w:cs="Calibri Light"/>
                <w:color w:val="000000"/>
                <w:sz w:val="20"/>
                <w:szCs w:val="20"/>
                <w:lang w:eastAsia="en-GB"/>
              </w:rPr>
              <w:t> </w:t>
            </w:r>
          </w:p>
        </w:tc>
      </w:tr>
      <w:tr w:rsidR="006C6A30" w:rsidRPr="00A33AE8" w14:paraId="66CE4E37" w14:textId="77777777" w:rsidTr="006769DA">
        <w:trPr>
          <w:gridAfter w:val="1"/>
          <w:wAfter w:w="222" w:type="dxa"/>
          <w:trHeight w:val="543"/>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BB9F6EE"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tcPr>
          <w:p w14:paraId="6842D410" w14:textId="77777777" w:rsidR="006C6A30" w:rsidRPr="00A33AE8" w:rsidRDefault="008414E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414E8">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3720CC" w:rsidRPr="00A33AE8" w14:paraId="64BC3273" w14:textId="77777777" w:rsidTr="006769D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39B7D1C"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1B4894"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3720CC" w:rsidRPr="00A33AE8" w14:paraId="59DE8143" w14:textId="77777777" w:rsidTr="006769D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22E85A1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46D4146B"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1202955"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p>
        </w:tc>
      </w:tr>
      <w:tr w:rsidR="003720CC" w:rsidRPr="00A33AE8" w14:paraId="003C9960" w14:textId="77777777" w:rsidTr="006769DA">
        <w:trPr>
          <w:trHeight w:val="54"/>
        </w:trPr>
        <w:tc>
          <w:tcPr>
            <w:tcW w:w="3329" w:type="dxa"/>
            <w:vMerge/>
            <w:tcBorders>
              <w:top w:val="nil"/>
              <w:left w:val="single" w:sz="8" w:space="0" w:color="auto"/>
              <w:bottom w:val="single" w:sz="8" w:space="0" w:color="000000"/>
              <w:right w:val="single" w:sz="8" w:space="0" w:color="auto"/>
            </w:tcBorders>
            <w:vAlign w:val="center"/>
            <w:hideMark/>
          </w:tcPr>
          <w:p w14:paraId="4811C9F2"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6D7D2440"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4E49532"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3720CC" w:rsidRPr="00A33AE8" w14:paraId="13E2264C" w14:textId="77777777" w:rsidTr="006769DA">
        <w:trPr>
          <w:trHeight w:val="393"/>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FD4B53E"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E39DC4D"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5CC5307D"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3720CC" w:rsidRPr="00A33AE8" w14:paraId="7F0A59BF"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65E3E0E3"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23755E7" w14:textId="5A43B92F" w:rsidR="003720CC" w:rsidRPr="00A33AE8" w:rsidRDefault="005126F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w:t>
            </w:r>
            <w:r w:rsidRPr="00CD0941">
              <w:rPr>
                <w:rFonts w:asciiTheme="majorHAnsi" w:eastAsia="Times New Roman" w:hAnsiTheme="majorHAnsi" w:cstheme="majorHAnsi"/>
                <w:color w:val="000000"/>
                <w:sz w:val="20"/>
                <w:szCs w:val="20"/>
                <w:lang w:eastAsia="en-GB"/>
              </w:rPr>
              <w:t>.5 M€</w:t>
            </w:r>
            <w:r w:rsidR="00983200" w:rsidRPr="00CD0941">
              <w:rPr>
                <w:rFonts w:asciiTheme="majorHAnsi" w:eastAsia="Times New Roman" w:hAnsiTheme="majorHAnsi" w:cstheme="majorHAnsi"/>
                <w:color w:val="000000"/>
                <w:sz w:val="20"/>
                <w:szCs w:val="20"/>
                <w:lang w:eastAsia="en-GB"/>
              </w:rPr>
              <w:t xml:space="preserve"> for preparing the required legislative framework</w:t>
            </w:r>
          </w:p>
        </w:tc>
        <w:tc>
          <w:tcPr>
            <w:tcW w:w="222" w:type="dxa"/>
            <w:vAlign w:val="center"/>
            <w:hideMark/>
          </w:tcPr>
          <w:p w14:paraId="4FE77F45"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5126F3" w:rsidRPr="00A33AE8" w14:paraId="3586C609"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B21F2DE" w14:textId="77777777" w:rsidR="005126F3" w:rsidRPr="00A33AE8" w:rsidRDefault="005126F3" w:rsidP="005126F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06EF980" w14:textId="77777777" w:rsidR="005126F3" w:rsidRPr="00A33AE8" w:rsidRDefault="005126F3" w:rsidP="005126F3">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6C668EF2" w14:textId="77777777" w:rsidR="005126F3" w:rsidRPr="00A33AE8" w:rsidRDefault="005126F3" w:rsidP="005126F3">
            <w:pPr>
              <w:spacing w:after="0" w:line="240" w:lineRule="auto"/>
              <w:rPr>
                <w:rFonts w:ascii="Times New Roman" w:eastAsia="Times New Roman" w:hAnsi="Times New Roman" w:cs="Times New Roman"/>
                <w:sz w:val="20"/>
                <w:szCs w:val="20"/>
                <w:lang w:eastAsia="en-GB"/>
              </w:rPr>
            </w:pPr>
          </w:p>
        </w:tc>
      </w:tr>
    </w:tbl>
    <w:p w14:paraId="0E68254F" w14:textId="77777777" w:rsidR="003720CC" w:rsidRPr="00A33AE8" w:rsidRDefault="003720CC" w:rsidP="003720CC">
      <w:pPr>
        <w:pStyle w:val="LDKbody"/>
        <w:rPr>
          <w:lang w:val="en-GB"/>
        </w:rPr>
      </w:pPr>
    </w:p>
    <w:tbl>
      <w:tblPr>
        <w:tblW w:w="9680" w:type="dxa"/>
        <w:tblLook w:val="04A0" w:firstRow="1" w:lastRow="0" w:firstColumn="1" w:lastColumn="0" w:noHBand="0" w:noVBand="1"/>
      </w:tblPr>
      <w:tblGrid>
        <w:gridCol w:w="3327"/>
        <w:gridCol w:w="945"/>
        <w:gridCol w:w="946"/>
        <w:gridCol w:w="4240"/>
        <w:gridCol w:w="222"/>
      </w:tblGrid>
      <w:tr w:rsidR="003720CC" w:rsidRPr="00A33AE8" w14:paraId="1F79CEB1" w14:textId="77777777" w:rsidTr="006769DA">
        <w:trPr>
          <w:gridAfter w:val="1"/>
          <w:wAfter w:w="222" w:type="dxa"/>
          <w:trHeight w:val="780"/>
        </w:trPr>
        <w:tc>
          <w:tcPr>
            <w:tcW w:w="332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C6BF99A" w14:textId="77777777" w:rsidR="003720CC" w:rsidRPr="00A33AE8" w:rsidRDefault="003720C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655361BC"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674B0" w:rsidRPr="00A33AE8">
              <w:rPr>
                <w:rFonts w:ascii="Calibri Light" w:eastAsia="Times New Roman" w:hAnsi="Calibri Light" w:cs="Calibri Light"/>
                <w:b/>
                <w:bCs/>
                <w:color w:val="000000"/>
                <w:sz w:val="20"/>
                <w:szCs w:val="20"/>
                <w:lang w:eastAsia="en-GB"/>
              </w:rPr>
              <w:t>D34</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4AD94C80"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0D58B739"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the required infrastructure for recharging electric vehicles</w:t>
            </w:r>
          </w:p>
        </w:tc>
      </w:tr>
      <w:tr w:rsidR="003720CC" w:rsidRPr="00A33AE8" w14:paraId="14857BB7" w14:textId="77777777" w:rsidTr="006769DA">
        <w:trPr>
          <w:gridAfter w:val="1"/>
          <w:wAfter w:w="222" w:type="dxa"/>
          <w:trHeight w:val="301"/>
        </w:trPr>
        <w:tc>
          <w:tcPr>
            <w:tcW w:w="3327" w:type="dxa"/>
            <w:tcBorders>
              <w:top w:val="nil"/>
              <w:left w:val="single" w:sz="8" w:space="0" w:color="auto"/>
              <w:bottom w:val="single" w:sz="8" w:space="0" w:color="auto"/>
              <w:right w:val="nil"/>
            </w:tcBorders>
            <w:shd w:val="clear" w:color="000000" w:fill="244062"/>
            <w:vAlign w:val="center"/>
            <w:hideMark/>
          </w:tcPr>
          <w:p w14:paraId="1EFB0CA2"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0205C66"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transport</w:t>
            </w:r>
          </w:p>
        </w:tc>
      </w:tr>
      <w:tr w:rsidR="003720CC" w:rsidRPr="00A33AE8" w14:paraId="4ADABA2A"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FE7D9F8"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1"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5CA1EBAA" w14:textId="77777777" w:rsidR="00FC1D57" w:rsidRPr="00A33AE8" w:rsidRDefault="005F5E71" w:rsidP="006769DA">
            <w:p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6.8 thousand installed public chargers</w:t>
            </w:r>
          </w:p>
        </w:tc>
      </w:tr>
      <w:tr w:rsidR="003720CC" w:rsidRPr="00A33AE8" w14:paraId="5530E511" w14:textId="77777777" w:rsidTr="006769DA">
        <w:trPr>
          <w:gridAfter w:val="1"/>
          <w:wAfter w:w="222" w:type="dxa"/>
          <w:trHeight w:val="792"/>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424BC3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1" w:type="dxa"/>
            <w:gridSpan w:val="3"/>
            <w:tcBorders>
              <w:top w:val="single" w:sz="4" w:space="0" w:color="auto"/>
              <w:left w:val="single" w:sz="4" w:space="0" w:color="auto"/>
              <w:bottom w:val="single" w:sz="4" w:space="0" w:color="000000"/>
              <w:right w:val="single" w:sz="4" w:space="0" w:color="auto"/>
            </w:tcBorders>
            <w:vAlign w:val="center"/>
            <w:hideMark/>
          </w:tcPr>
          <w:p w14:paraId="505482F6" w14:textId="3AC0DB81" w:rsidR="003720CC" w:rsidRPr="00A33AE8" w:rsidRDefault="003720CC"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0674B0" w:rsidRPr="00A33AE8">
              <w:rPr>
                <w:rFonts w:ascii="Calibri Light" w:eastAsia="Times New Roman" w:hAnsi="Calibri Light" w:cs="Calibri Light"/>
                <w:color w:val="000000"/>
                <w:sz w:val="20"/>
                <w:szCs w:val="20"/>
                <w:lang w:eastAsia="en-GB"/>
              </w:rPr>
              <w:t xml:space="preserve">D34 </w:t>
            </w:r>
            <w:r w:rsidRPr="00A33AE8">
              <w:rPr>
                <w:rFonts w:ascii="Calibri Light" w:eastAsia="Times New Roman" w:hAnsi="Calibri Light" w:cs="Calibri Light"/>
                <w:color w:val="000000"/>
                <w:sz w:val="20"/>
                <w:szCs w:val="20"/>
                <w:lang w:eastAsia="en-GB"/>
              </w:rPr>
              <w:t>will facilitate the adoption of the legislative framework for the promotion of electromobility</w:t>
            </w:r>
            <w:r w:rsidR="003E401B"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 xml:space="preserve"> </w:t>
            </w:r>
            <w:r w:rsidR="003E401B" w:rsidRPr="00A33AE8">
              <w:rPr>
                <w:rFonts w:ascii="Calibri Light" w:eastAsia="Times New Roman" w:hAnsi="Calibri Light" w:cs="Calibri Light"/>
                <w:color w:val="000000"/>
                <w:sz w:val="20"/>
                <w:szCs w:val="20"/>
                <w:lang w:eastAsia="en-GB"/>
              </w:rPr>
              <w:t>Moreover, the design and deployment of the required infrastructure for charging the electric vehicles will be carried out with the provision of economic support</w:t>
            </w:r>
            <w:r w:rsidR="005F5E71" w:rsidRPr="00A33AE8">
              <w:rPr>
                <w:rFonts w:ascii="Calibri Light" w:eastAsia="Times New Roman" w:hAnsi="Calibri Light" w:cs="Calibri Light"/>
                <w:color w:val="000000"/>
                <w:sz w:val="20"/>
                <w:szCs w:val="20"/>
                <w:lang w:eastAsia="en-GB"/>
              </w:rPr>
              <w:t xml:space="preserve"> for the installation of public chargers.</w:t>
            </w:r>
            <w:r w:rsidR="006765B2">
              <w:t xml:space="preserve"> </w:t>
            </w:r>
            <w:r w:rsidR="006765B2" w:rsidRPr="006765B2">
              <w:rPr>
                <w:rFonts w:ascii="Calibri Light" w:eastAsia="Times New Roman" w:hAnsi="Calibri Light" w:cs="Calibri Light"/>
                <w:color w:val="000000"/>
                <w:sz w:val="20"/>
                <w:szCs w:val="20"/>
                <w:lang w:eastAsia="en-GB"/>
              </w:rPr>
              <w:t>Potential incentives will be explored to boost the consumption of RES in electromobility during the deployment of the required recharging infrastructure.</w:t>
            </w:r>
            <w:r w:rsidR="0083312B">
              <w:rPr>
                <w:rFonts w:ascii="Calibri Light" w:eastAsia="Times New Roman" w:hAnsi="Calibri Light" w:cs="Calibri Light"/>
                <w:color w:val="000000"/>
                <w:sz w:val="20"/>
                <w:szCs w:val="20"/>
                <w:lang w:eastAsia="en-GB"/>
              </w:rPr>
              <w:t xml:space="preserve"> The cost of this measure refers only to the installation of chargers and not to the possible needs for strengthening the distribution network in order to accommodate these chargers. </w:t>
            </w:r>
            <w:r w:rsidR="006C5F46">
              <w:rPr>
                <w:rFonts w:ascii="Calibri Light" w:eastAsia="Times New Roman" w:hAnsi="Calibri Light" w:cs="Calibri Light"/>
                <w:color w:val="000000"/>
                <w:sz w:val="20"/>
                <w:szCs w:val="20"/>
                <w:lang w:eastAsia="en-GB"/>
              </w:rPr>
              <w:t>This requires detailed distribution network level studies in order to calculate the necessary upgrades, if any.</w:t>
            </w:r>
          </w:p>
        </w:tc>
      </w:tr>
      <w:tr w:rsidR="003720CC" w:rsidRPr="00A33AE8" w14:paraId="70F798C9"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FD0A4E0"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12520E34" w14:textId="77777777" w:rsidR="003720CC" w:rsidRPr="00A33AE8" w:rsidRDefault="00FA263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w:t>
            </w:r>
            <w:r w:rsidRPr="000007D2">
              <w:rPr>
                <w:rFonts w:ascii="Calibri Light" w:eastAsia="Times New Roman" w:hAnsi="Calibri Light" w:cs="Calibri Light"/>
                <w:color w:val="000000"/>
                <w:sz w:val="20"/>
                <w:szCs w:val="20"/>
                <w:lang w:eastAsia="en-GB"/>
              </w:rPr>
              <w:t>5</w:t>
            </w:r>
            <w:r w:rsidR="003720CC" w:rsidRPr="00A33AE8">
              <w:rPr>
                <w:rFonts w:ascii="Calibri Light" w:eastAsia="Times New Roman" w:hAnsi="Calibri Light" w:cs="Calibri Light"/>
                <w:color w:val="000000"/>
                <w:sz w:val="20"/>
                <w:szCs w:val="20"/>
                <w:lang w:eastAsia="en-GB"/>
              </w:rPr>
              <w:t>-2030</w:t>
            </w:r>
          </w:p>
        </w:tc>
      </w:tr>
      <w:tr w:rsidR="003E401B" w:rsidRPr="00A33AE8" w14:paraId="6AFFED45"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65AD4430"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31DD84D" w14:textId="77777777" w:rsidR="003E401B" w:rsidRPr="000007D2" w:rsidRDefault="003E401B" w:rsidP="003E401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Investment </w:t>
            </w:r>
            <w:r w:rsidR="005F5E71" w:rsidRPr="00A33AE8">
              <w:rPr>
                <w:rFonts w:ascii="Calibri Light" w:eastAsia="Times New Roman" w:hAnsi="Calibri Light" w:cs="Calibri Light"/>
                <w:color w:val="000000"/>
                <w:sz w:val="20"/>
                <w:szCs w:val="20"/>
                <w:lang w:eastAsia="en-GB"/>
              </w:rPr>
              <w:t>and</w:t>
            </w:r>
            <w:r w:rsidRPr="00A33AE8">
              <w:rPr>
                <w:rFonts w:ascii="Calibri Light" w:eastAsia="Times New Roman" w:hAnsi="Calibri Light" w:cs="Calibri Light"/>
                <w:color w:val="000000"/>
                <w:sz w:val="20"/>
                <w:szCs w:val="20"/>
                <w:lang w:eastAsia="en-GB"/>
              </w:rPr>
              <w:t xml:space="preserve"> Regulatory</w:t>
            </w:r>
          </w:p>
        </w:tc>
      </w:tr>
      <w:tr w:rsidR="003E401B" w:rsidRPr="00A33AE8" w14:paraId="3DCEE5DA"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73E4E19"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C4713CA" w14:textId="77777777" w:rsidR="003E401B" w:rsidRPr="00A33AE8" w:rsidRDefault="003E401B" w:rsidP="003E401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3E401B" w:rsidRPr="00567DAD" w14:paraId="6E0DE2D3"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554C23F"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FACD3DC" w14:textId="77777777" w:rsidR="003E401B" w:rsidRPr="00A33AE8" w:rsidRDefault="003E401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bookmarkStart w:id="148" w:name="_Hlk135856436"/>
            <w:r w:rsidRPr="00A33AE8">
              <w:rPr>
                <w:rFonts w:ascii="Calibri Light" w:eastAsia="Times New Roman" w:hAnsi="Calibri Light" w:cs="Calibri Light"/>
                <w:color w:val="000000"/>
                <w:sz w:val="20"/>
                <w:szCs w:val="20"/>
                <w:lang w:eastAsia="en-GB"/>
              </w:rPr>
              <w:t>Ministry of Construction, Transport and Infrastructure</w:t>
            </w:r>
          </w:p>
          <w:bookmarkEnd w:id="148"/>
          <w:p w14:paraId="04488B1F" w14:textId="77777777" w:rsidR="003E401B" w:rsidRPr="005B2C66" w:rsidRDefault="00500B07" w:rsidP="00884F3B">
            <w:pPr>
              <w:pStyle w:val="ListParagraph"/>
              <w:numPr>
                <w:ilvl w:val="0"/>
                <w:numId w:val="124"/>
              </w:numPr>
              <w:spacing w:after="0" w:line="240" w:lineRule="auto"/>
              <w:rPr>
                <w:rFonts w:ascii="Calibri Light" w:eastAsia="Times New Roman" w:hAnsi="Calibri Light" w:cs="Calibri Light"/>
                <w:color w:val="000000"/>
                <w:sz w:val="20"/>
                <w:szCs w:val="20"/>
                <w:lang w:val="pt-PT" w:eastAsia="en-GB"/>
              </w:rPr>
            </w:pPr>
            <w:r w:rsidRPr="005B2C66">
              <w:rPr>
                <w:rStyle w:val="cf01"/>
                <w:lang w:val="pt-PT"/>
              </w:rPr>
              <w:t>Elektrodistribucija Srbije d.o.o. Beograd EPS</w:t>
            </w:r>
          </w:p>
        </w:tc>
      </w:tr>
      <w:tr w:rsidR="003E401B" w:rsidRPr="00A33AE8" w14:paraId="61E9380A"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25C3AC32"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EB1B13C" w14:textId="4AE5FA2B" w:rsidR="003E401B" w:rsidRPr="00A33AE8" w:rsidRDefault="006765B2"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6765B2">
              <w:rPr>
                <w:rFonts w:ascii="Calibri Light" w:eastAsia="Times New Roman" w:hAnsi="Calibri Light" w:cs="Calibri Light"/>
                <w:color w:val="000000"/>
                <w:sz w:val="20"/>
                <w:szCs w:val="20"/>
                <w:lang w:eastAsia="en-GB"/>
              </w:rPr>
              <w:t>Government of the Republic of Serbia</w:t>
            </w:r>
          </w:p>
        </w:tc>
      </w:tr>
      <w:tr w:rsidR="003E401B" w:rsidRPr="00A33AE8" w14:paraId="4002B16B"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4B17D164"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BC8C989" w14:textId="77777777" w:rsidR="003E401B" w:rsidRPr="00A33AE8" w:rsidRDefault="003E401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Consumed electricity in transport sector</w:t>
            </w:r>
          </w:p>
          <w:p w14:paraId="10E86F4E" w14:textId="77777777" w:rsidR="003E401B" w:rsidRPr="00A33AE8" w:rsidRDefault="003E401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electric vehicles and electric LDV</w:t>
            </w:r>
          </w:p>
        </w:tc>
      </w:tr>
      <w:tr w:rsidR="003E401B" w:rsidRPr="00A33AE8" w14:paraId="5EDCABF1" w14:textId="77777777" w:rsidTr="006769DA">
        <w:trPr>
          <w:gridAfter w:val="1"/>
          <w:wAfter w:w="222" w:type="dxa"/>
          <w:trHeight w:val="36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25D248C"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A4FDE10" w14:textId="77777777" w:rsidR="006765B2" w:rsidRPr="006765B2" w:rsidRDefault="003E40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r w:rsidR="006765B2">
              <w:rPr>
                <w:rFonts w:ascii="Calibri Light" w:eastAsia="Times New Roman" w:hAnsi="Calibri Light" w:cs="Calibri Light"/>
                <w:color w:val="000000"/>
                <w:sz w:val="20"/>
                <w:szCs w:val="20"/>
                <w:lang w:eastAsia="en-GB"/>
              </w:rPr>
              <w:t xml:space="preserve"> </w:t>
            </w:r>
            <w:r w:rsidR="006765B2" w:rsidRPr="006765B2">
              <w:rPr>
                <w:rFonts w:ascii="Calibri Light" w:eastAsia="Times New Roman" w:hAnsi="Calibri Light" w:cs="Calibri Light"/>
                <w:color w:val="000000"/>
                <w:sz w:val="20"/>
                <w:szCs w:val="20"/>
                <w:lang w:eastAsia="en-GB"/>
              </w:rPr>
              <w:t>(the promoted electric vehicles will deliver also final and primary energy savings contributing to the achievement of the relevant targets)</w:t>
            </w:r>
          </w:p>
          <w:p w14:paraId="3506BF10" w14:textId="77777777" w:rsidR="003E401B" w:rsidRPr="00A33AE8" w:rsidRDefault="006765B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6765B2">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3E401B" w:rsidRPr="00A33AE8" w14:paraId="0C2ABA02" w14:textId="77777777" w:rsidTr="006769DA">
        <w:trPr>
          <w:gridAfter w:val="1"/>
          <w:wAfter w:w="222" w:type="dxa"/>
          <w:trHeight w:val="450"/>
        </w:trPr>
        <w:tc>
          <w:tcPr>
            <w:tcW w:w="332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2BD224D"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CD9D770" w14:textId="77777777" w:rsidR="003E401B" w:rsidRPr="00A33AE8" w:rsidRDefault="003E40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3E401B" w:rsidRPr="00A33AE8" w14:paraId="2652D092" w14:textId="77777777" w:rsidTr="006769DA">
        <w:trPr>
          <w:trHeight w:val="300"/>
        </w:trPr>
        <w:tc>
          <w:tcPr>
            <w:tcW w:w="3327" w:type="dxa"/>
            <w:vMerge/>
            <w:tcBorders>
              <w:top w:val="nil"/>
              <w:left w:val="single" w:sz="8" w:space="0" w:color="auto"/>
              <w:bottom w:val="single" w:sz="8" w:space="0" w:color="000000"/>
              <w:right w:val="single" w:sz="8" w:space="0" w:color="auto"/>
            </w:tcBorders>
            <w:vAlign w:val="center"/>
            <w:hideMark/>
          </w:tcPr>
          <w:p w14:paraId="5E2E9BCB"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3D1B9602" w14:textId="77777777" w:rsidR="003E401B" w:rsidRPr="00A33AE8" w:rsidRDefault="003E40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656ADB4" w14:textId="77777777" w:rsidR="003E401B" w:rsidRPr="00A33AE8" w:rsidRDefault="003E401B" w:rsidP="003E401B">
            <w:pPr>
              <w:spacing w:after="0" w:line="240" w:lineRule="auto"/>
              <w:rPr>
                <w:rFonts w:ascii="Calibri Light" w:eastAsia="Times New Roman" w:hAnsi="Calibri Light" w:cs="Calibri Light"/>
                <w:color w:val="000000"/>
                <w:sz w:val="20"/>
                <w:szCs w:val="20"/>
                <w:lang w:eastAsia="en-GB"/>
              </w:rPr>
            </w:pPr>
          </w:p>
        </w:tc>
      </w:tr>
      <w:tr w:rsidR="003E401B" w:rsidRPr="00A33AE8" w14:paraId="68B6ADD4" w14:textId="77777777" w:rsidTr="006769DA">
        <w:trPr>
          <w:trHeight w:val="54"/>
        </w:trPr>
        <w:tc>
          <w:tcPr>
            <w:tcW w:w="3327" w:type="dxa"/>
            <w:vMerge/>
            <w:tcBorders>
              <w:top w:val="nil"/>
              <w:left w:val="single" w:sz="8" w:space="0" w:color="auto"/>
              <w:bottom w:val="single" w:sz="8" w:space="0" w:color="000000"/>
              <w:right w:val="single" w:sz="8" w:space="0" w:color="auto"/>
            </w:tcBorders>
            <w:vAlign w:val="center"/>
            <w:hideMark/>
          </w:tcPr>
          <w:p w14:paraId="52184662"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0850F32C" w14:textId="77777777" w:rsidR="003E401B" w:rsidRPr="00A33AE8" w:rsidRDefault="003E40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48DA319" w14:textId="77777777" w:rsidR="003E401B" w:rsidRPr="00A33AE8" w:rsidRDefault="003E401B" w:rsidP="003E401B">
            <w:pPr>
              <w:spacing w:after="0" w:line="240" w:lineRule="auto"/>
              <w:rPr>
                <w:rFonts w:ascii="Times New Roman" w:eastAsia="Times New Roman" w:hAnsi="Times New Roman" w:cs="Times New Roman"/>
                <w:sz w:val="20"/>
                <w:szCs w:val="20"/>
                <w:lang w:eastAsia="en-GB"/>
              </w:rPr>
            </w:pPr>
          </w:p>
        </w:tc>
      </w:tr>
      <w:tr w:rsidR="003E401B" w:rsidRPr="00A33AE8" w14:paraId="76DD3979" w14:textId="77777777" w:rsidTr="006769DA">
        <w:trPr>
          <w:trHeight w:val="271"/>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3377D40"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2CCD4EB" w14:textId="77777777" w:rsidR="003E401B" w:rsidRPr="000007D2" w:rsidRDefault="005F5E71" w:rsidP="00884F3B">
            <w:pPr>
              <w:pStyle w:val="ListParagraph"/>
              <w:numPr>
                <w:ilvl w:val="0"/>
                <w:numId w:val="250"/>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47111EF3" w14:textId="77777777" w:rsidR="003E401B" w:rsidRPr="00A33AE8" w:rsidRDefault="003E401B" w:rsidP="003E401B">
            <w:pPr>
              <w:spacing w:after="0" w:line="240" w:lineRule="auto"/>
              <w:rPr>
                <w:rFonts w:ascii="Times New Roman" w:eastAsia="Times New Roman" w:hAnsi="Times New Roman" w:cs="Times New Roman"/>
                <w:sz w:val="20"/>
                <w:szCs w:val="20"/>
                <w:lang w:eastAsia="en-GB"/>
              </w:rPr>
            </w:pPr>
          </w:p>
        </w:tc>
      </w:tr>
      <w:tr w:rsidR="003E401B" w:rsidRPr="00A33AE8" w14:paraId="06A8A3BB"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FF2D810"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1"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42579017" w14:textId="77777777" w:rsidR="003E401B" w:rsidRPr="00A33AE8" w:rsidRDefault="00106C26" w:rsidP="003E401B">
            <w:pPr>
              <w:spacing w:after="0" w:line="240" w:lineRule="auto"/>
              <w:rPr>
                <w:rFonts w:ascii="Calibri" w:eastAsia="Times New Roman" w:hAnsi="Calibri" w:cs="Calibri"/>
                <w:color w:val="000000"/>
                <w:lang w:eastAsia="en-GB"/>
              </w:rPr>
            </w:pPr>
            <w:r w:rsidRPr="005B2C66">
              <w:rPr>
                <w:rFonts w:asciiTheme="majorHAnsi" w:eastAsia="Times New Roman" w:hAnsiTheme="majorHAnsi" w:cstheme="majorHAnsi"/>
                <w:color w:val="000000"/>
                <w:sz w:val="20"/>
                <w:szCs w:val="20"/>
                <w:lang w:eastAsia="en-GB"/>
              </w:rPr>
              <w:t>85 M€</w:t>
            </w:r>
          </w:p>
        </w:tc>
        <w:tc>
          <w:tcPr>
            <w:tcW w:w="222" w:type="dxa"/>
            <w:vAlign w:val="center"/>
            <w:hideMark/>
          </w:tcPr>
          <w:p w14:paraId="343F97A0" w14:textId="77777777" w:rsidR="003E401B" w:rsidRPr="00A33AE8" w:rsidRDefault="003E401B" w:rsidP="003E401B">
            <w:pPr>
              <w:spacing w:after="0" w:line="240" w:lineRule="auto"/>
              <w:rPr>
                <w:rFonts w:ascii="Times New Roman" w:eastAsia="Times New Roman" w:hAnsi="Times New Roman" w:cs="Times New Roman"/>
                <w:sz w:val="20"/>
                <w:szCs w:val="20"/>
                <w:lang w:eastAsia="en-GB"/>
              </w:rPr>
            </w:pPr>
          </w:p>
        </w:tc>
      </w:tr>
      <w:tr w:rsidR="003E401B" w:rsidRPr="00A33AE8" w14:paraId="0E925601"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0E9DDECE"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1" w:type="dxa"/>
            <w:gridSpan w:val="3"/>
            <w:tcBorders>
              <w:top w:val="single" w:sz="4" w:space="0" w:color="auto"/>
              <w:left w:val="single" w:sz="4" w:space="0" w:color="auto"/>
              <w:bottom w:val="single" w:sz="4" w:space="0" w:color="000000"/>
              <w:right w:val="single" w:sz="4" w:space="0" w:color="auto"/>
            </w:tcBorders>
            <w:vAlign w:val="center"/>
            <w:hideMark/>
          </w:tcPr>
          <w:p w14:paraId="59793C35" w14:textId="77777777" w:rsidR="003E401B" w:rsidRPr="00A33AE8" w:rsidRDefault="003E401B" w:rsidP="003E401B">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1B07A003" w14:textId="77777777" w:rsidR="003E401B" w:rsidRPr="00A33AE8" w:rsidRDefault="003E401B" w:rsidP="003E401B">
            <w:pPr>
              <w:spacing w:after="0" w:line="240" w:lineRule="auto"/>
              <w:rPr>
                <w:rFonts w:ascii="Times New Roman" w:eastAsia="Times New Roman" w:hAnsi="Times New Roman" w:cs="Times New Roman"/>
                <w:sz w:val="20"/>
                <w:szCs w:val="20"/>
                <w:lang w:eastAsia="en-GB"/>
              </w:rPr>
            </w:pPr>
          </w:p>
        </w:tc>
      </w:tr>
    </w:tbl>
    <w:p w14:paraId="1EFA1FB5" w14:textId="77777777" w:rsidR="003720CC" w:rsidRPr="00A33AE8" w:rsidRDefault="003720CC" w:rsidP="003720CC">
      <w:pPr>
        <w:pStyle w:val="LDKbody"/>
        <w:rPr>
          <w:lang w:val="en-GB"/>
        </w:rPr>
      </w:pPr>
    </w:p>
    <w:tbl>
      <w:tblPr>
        <w:tblW w:w="9680" w:type="dxa"/>
        <w:tblLook w:val="04A0" w:firstRow="1" w:lastRow="0" w:firstColumn="1" w:lastColumn="0" w:noHBand="0" w:noVBand="1"/>
      </w:tblPr>
      <w:tblGrid>
        <w:gridCol w:w="3330"/>
        <w:gridCol w:w="945"/>
        <w:gridCol w:w="946"/>
        <w:gridCol w:w="4237"/>
        <w:gridCol w:w="222"/>
      </w:tblGrid>
      <w:tr w:rsidR="003720CC" w:rsidRPr="00A33AE8" w14:paraId="0E064703" w14:textId="77777777" w:rsidTr="006769DA">
        <w:trPr>
          <w:gridAfter w:val="1"/>
          <w:wAfter w:w="222" w:type="dxa"/>
          <w:trHeight w:val="780"/>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C9F3732" w14:textId="77777777" w:rsidR="003720CC" w:rsidRPr="00A33AE8" w:rsidRDefault="003720C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03156E35"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06C26" w:rsidRPr="00A33AE8">
              <w:rPr>
                <w:rFonts w:ascii="Calibri Light" w:eastAsia="Times New Roman" w:hAnsi="Calibri Light" w:cs="Calibri Light"/>
                <w:b/>
                <w:bCs/>
                <w:color w:val="000000"/>
                <w:sz w:val="20"/>
                <w:szCs w:val="20"/>
                <w:lang w:eastAsia="en-GB"/>
              </w:rPr>
              <w:t>D35</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6831903D"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7" w:type="dxa"/>
            <w:tcBorders>
              <w:top w:val="single" w:sz="8" w:space="0" w:color="auto"/>
              <w:left w:val="nil"/>
              <w:bottom w:val="single" w:sz="8" w:space="0" w:color="auto"/>
              <w:right w:val="single" w:sz="8" w:space="0" w:color="auto"/>
            </w:tcBorders>
            <w:shd w:val="clear" w:color="auto" w:fill="E7E6E6" w:themeFill="background2"/>
            <w:vAlign w:val="center"/>
            <w:hideMark/>
          </w:tcPr>
          <w:p w14:paraId="50775BB6" w14:textId="77777777" w:rsidR="003720CC" w:rsidRPr="00A33AE8" w:rsidRDefault="003720C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Provision of fiscal and economic incentives to foster the further deployment of electric vehicles</w:t>
            </w:r>
          </w:p>
        </w:tc>
      </w:tr>
      <w:tr w:rsidR="003720CC" w:rsidRPr="00A33AE8" w14:paraId="439B1F79" w14:textId="77777777" w:rsidTr="006769DA">
        <w:trPr>
          <w:gridAfter w:val="1"/>
          <w:wAfter w:w="222" w:type="dxa"/>
          <w:trHeight w:val="287"/>
        </w:trPr>
        <w:tc>
          <w:tcPr>
            <w:tcW w:w="3330" w:type="dxa"/>
            <w:tcBorders>
              <w:top w:val="nil"/>
              <w:left w:val="single" w:sz="8" w:space="0" w:color="auto"/>
              <w:bottom w:val="single" w:sz="8" w:space="0" w:color="auto"/>
              <w:right w:val="nil"/>
            </w:tcBorders>
            <w:shd w:val="clear" w:color="000000" w:fill="244062"/>
            <w:vAlign w:val="center"/>
            <w:hideMark/>
          </w:tcPr>
          <w:p w14:paraId="21DEF52A"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1701325"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transport</w:t>
            </w:r>
          </w:p>
        </w:tc>
      </w:tr>
      <w:tr w:rsidR="003720CC" w:rsidRPr="00A33AE8" w14:paraId="272CC018"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113452B"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2CEB0A6" w14:textId="260A994D" w:rsidR="0033064B" w:rsidRPr="00A33AE8" w:rsidRDefault="00106C26" w:rsidP="00106C26">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20.5 thousand electric vehicles, 18.9 thousand electric LDV and 2.4 thousand electric buses</w:t>
            </w:r>
          </w:p>
          <w:p w14:paraId="089A6BF8" w14:textId="77777777" w:rsidR="00FC1D57" w:rsidRPr="00A33AE8" w:rsidRDefault="00106C26" w:rsidP="00106C26">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88 ktoe of electricity</w:t>
            </w:r>
          </w:p>
        </w:tc>
      </w:tr>
      <w:tr w:rsidR="003720CC" w:rsidRPr="00A33AE8" w14:paraId="6CB7B3FB" w14:textId="77777777" w:rsidTr="006769DA">
        <w:trPr>
          <w:gridAfter w:val="1"/>
          <w:wAfter w:w="222" w:type="dxa"/>
          <w:trHeight w:val="229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AD218A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907D65E" w14:textId="77777777" w:rsidR="003720CC" w:rsidRPr="00A33AE8" w:rsidRDefault="003720CC"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06C26" w:rsidRPr="00A33AE8">
              <w:rPr>
                <w:rFonts w:ascii="Calibri Light" w:eastAsia="Times New Roman" w:hAnsi="Calibri Light" w:cs="Calibri Light"/>
                <w:color w:val="000000"/>
                <w:sz w:val="20"/>
                <w:szCs w:val="20"/>
                <w:lang w:eastAsia="en-GB"/>
              </w:rPr>
              <w:t>D35 foresees the provision of</w:t>
            </w:r>
            <w:r w:rsidRPr="00A33AE8">
              <w:rPr>
                <w:rFonts w:ascii="Calibri Light" w:eastAsia="Times New Roman" w:hAnsi="Calibri Light" w:cs="Calibri Light"/>
                <w:color w:val="000000"/>
                <w:sz w:val="20"/>
                <w:szCs w:val="20"/>
                <w:lang w:eastAsia="en-GB"/>
              </w:rPr>
              <w:t xml:space="preserve"> subsidies and fiscal incentives for the further penetration of electric vehicles focusing on energy-intensive categories, such as taxes, light-heavy duty vehicles etc. </w:t>
            </w:r>
            <w:r w:rsidR="00106C26" w:rsidRPr="00A33AE8">
              <w:rPr>
                <w:rFonts w:ascii="Calibri Light" w:eastAsia="Times New Roman" w:hAnsi="Calibri Light" w:cs="Calibri Light"/>
                <w:color w:val="000000"/>
                <w:sz w:val="20"/>
                <w:szCs w:val="20"/>
                <w:lang w:eastAsia="en-GB"/>
              </w:rPr>
              <w:t xml:space="preserve">The existing subsidies will be improved to contribute effectively to the achievement of the target. </w:t>
            </w:r>
            <w:r w:rsidRPr="00A33AE8">
              <w:rPr>
                <w:rFonts w:ascii="Calibri Light" w:eastAsia="Times New Roman" w:hAnsi="Calibri Light" w:cs="Calibri Light"/>
                <w:color w:val="000000"/>
                <w:sz w:val="20"/>
                <w:szCs w:val="20"/>
                <w:lang w:eastAsia="en-GB"/>
              </w:rPr>
              <w:t xml:space="preserve">The planned incentives will be distinguished for the acquisition and the operation of electric vehicles. Indicative measures include the provision of purchase price grants, reduced registration and utilization costs through tax exemptions and reductions, the initiation of special pricing policy in insurance programs, reduced tolls, the free entrance and parking to the urban </w:t>
            </w:r>
            <w:r w:rsidR="00F122B2" w:rsidRPr="00A33AE8">
              <w:rPr>
                <w:rFonts w:ascii="Calibri Light" w:eastAsia="Times New Roman" w:hAnsi="Calibri Light" w:cs="Calibri Light"/>
                <w:color w:val="000000"/>
                <w:sz w:val="20"/>
                <w:szCs w:val="20"/>
                <w:lang w:eastAsia="en-GB"/>
              </w:rPr>
              <w:t>centres</w:t>
            </w:r>
            <w:r w:rsidRPr="00A33AE8">
              <w:rPr>
                <w:rFonts w:ascii="Calibri Light" w:eastAsia="Times New Roman" w:hAnsi="Calibri Light" w:cs="Calibri Light"/>
                <w:color w:val="000000"/>
                <w:sz w:val="20"/>
                <w:szCs w:val="20"/>
                <w:lang w:eastAsia="en-GB"/>
              </w:rPr>
              <w:t xml:space="preserve"> and the allowance to use specific parking areas.</w:t>
            </w:r>
          </w:p>
        </w:tc>
      </w:tr>
      <w:tr w:rsidR="003720CC" w:rsidRPr="00A33AE8" w14:paraId="41171981"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E808A3C"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44408ED" w14:textId="77777777" w:rsidR="003720CC" w:rsidRPr="00A33AE8" w:rsidRDefault="00FA263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3720CC" w:rsidRPr="00A33AE8">
              <w:rPr>
                <w:rFonts w:ascii="Calibri Light" w:eastAsia="Times New Roman" w:hAnsi="Calibri Light" w:cs="Calibri Light"/>
                <w:color w:val="000000"/>
                <w:sz w:val="20"/>
                <w:szCs w:val="20"/>
                <w:lang w:eastAsia="en-GB"/>
              </w:rPr>
              <w:t>-2030</w:t>
            </w:r>
          </w:p>
        </w:tc>
      </w:tr>
      <w:tr w:rsidR="003720CC" w:rsidRPr="00A33AE8" w14:paraId="0B4F510D"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E3A468D"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CB15D27" w14:textId="77777777" w:rsidR="003720CC" w:rsidRPr="00A33AE8" w:rsidRDefault="00F10DEE" w:rsidP="006769DA">
            <w:pPr>
              <w:spacing w:after="0" w:line="240" w:lineRule="auto"/>
              <w:rPr>
                <w:rFonts w:ascii="Calibri Light" w:eastAsia="Times New Roman" w:hAnsi="Calibri Light" w:cs="Calibri Light"/>
                <w:color w:val="000000"/>
                <w:sz w:val="20"/>
                <w:szCs w:val="20"/>
                <w:lang w:eastAsia="en-GB"/>
              </w:rPr>
            </w:pPr>
            <w:r w:rsidRPr="00CA142E">
              <w:rPr>
                <w:rFonts w:ascii="Calibri Light" w:eastAsia="Times New Roman" w:hAnsi="Calibri Light" w:cs="Calibri Light"/>
                <w:color w:val="000000"/>
                <w:sz w:val="20"/>
                <w:szCs w:val="20"/>
                <w:lang w:eastAsia="en-GB"/>
              </w:rPr>
              <w:t>Reform</w:t>
            </w:r>
          </w:p>
        </w:tc>
      </w:tr>
      <w:tr w:rsidR="003720CC" w:rsidRPr="00A33AE8" w14:paraId="6A8AC12A"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CE515D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B82F8AB"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3720CC" w:rsidRPr="00A33AE8" w14:paraId="790DC533"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8214AA3"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0393C02" w14:textId="77777777" w:rsidR="00FA263A" w:rsidRPr="00A33AE8" w:rsidRDefault="00FA263A"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EC00F0B" w14:textId="77777777" w:rsidR="003720CC" w:rsidRPr="00A33AE8" w:rsidRDefault="009A17AD"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3720CC" w:rsidRPr="00A33AE8" w14:paraId="6F043E2A"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20533C2D"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4384D8F" w14:textId="77777777" w:rsidR="003720CC" w:rsidRPr="00A33AE8" w:rsidRDefault="007465B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7465B4">
              <w:rPr>
                <w:rFonts w:ascii="Calibri Light" w:eastAsia="Times New Roman" w:hAnsi="Calibri Light" w:cs="Calibri Light"/>
                <w:color w:val="000000"/>
                <w:sz w:val="20"/>
                <w:szCs w:val="20"/>
                <w:lang w:eastAsia="en-GB"/>
              </w:rPr>
              <w:t>Government of the Republic of Serbia</w:t>
            </w:r>
          </w:p>
        </w:tc>
      </w:tr>
      <w:tr w:rsidR="003720CC" w:rsidRPr="00A33AE8" w14:paraId="6D677196"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10D1BB96"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9161360" w14:textId="77777777" w:rsidR="008B7CD4" w:rsidRPr="00A33AE8" w:rsidRDefault="008B7CD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Consumed electricity in transport sector</w:t>
            </w:r>
          </w:p>
          <w:p w14:paraId="3EF23852" w14:textId="77777777" w:rsidR="003720CC" w:rsidRPr="00A33AE8" w:rsidRDefault="006769DA"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Promoted electric vehicles</w:t>
            </w:r>
            <w:r w:rsidR="003720CC" w:rsidRPr="00A33AE8">
              <w:rPr>
                <w:rFonts w:ascii="Calibri Light" w:eastAsia="Times New Roman" w:hAnsi="Calibri Light" w:cs="Calibri Light"/>
                <w:color w:val="000000"/>
                <w:sz w:val="20"/>
                <w:szCs w:val="20"/>
                <w:lang w:eastAsia="en-GB"/>
              </w:rPr>
              <w:t> </w:t>
            </w:r>
          </w:p>
        </w:tc>
      </w:tr>
      <w:tr w:rsidR="006C6A30" w:rsidRPr="00A33AE8" w14:paraId="78FD48B1" w14:textId="77777777" w:rsidTr="006769DA">
        <w:trPr>
          <w:gridAfter w:val="1"/>
          <w:wAfter w:w="222" w:type="dxa"/>
          <w:trHeight w:val="311"/>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47D727E"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B9E0DEF" w14:textId="77777777" w:rsidR="007465B4" w:rsidRPr="007465B4" w:rsidRDefault="006C6A3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r w:rsidR="007465B4">
              <w:rPr>
                <w:rFonts w:ascii="Calibri Light" w:eastAsia="Times New Roman" w:hAnsi="Calibri Light" w:cs="Calibri Light"/>
                <w:color w:val="000000"/>
                <w:sz w:val="20"/>
                <w:szCs w:val="20"/>
                <w:lang w:eastAsia="en-GB"/>
              </w:rPr>
              <w:t xml:space="preserve"> </w:t>
            </w:r>
            <w:r w:rsidR="007465B4" w:rsidRPr="007465B4">
              <w:rPr>
                <w:rFonts w:ascii="Calibri Light" w:eastAsia="Times New Roman" w:hAnsi="Calibri Light" w:cs="Calibri Light"/>
                <w:color w:val="000000"/>
                <w:sz w:val="20"/>
                <w:szCs w:val="20"/>
                <w:lang w:eastAsia="en-GB"/>
              </w:rPr>
              <w:t>(the promoted electric vehicles will deliver also final and primary energy savings contributing to the achievement of the relevant targets)</w:t>
            </w:r>
          </w:p>
          <w:p w14:paraId="09897294" w14:textId="77777777" w:rsidR="006C6A30" w:rsidRPr="00A33AE8" w:rsidRDefault="007465B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7465B4">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3720CC" w:rsidRPr="00A33AE8" w14:paraId="11DF7CEC"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7DA9F98"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295646"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3720CC" w:rsidRPr="00A33AE8" w14:paraId="05DA841C"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45C813C5"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27AB4296"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0263C0C" w14:textId="77777777" w:rsidR="003720CC" w:rsidRPr="00A33AE8" w:rsidRDefault="003720CC" w:rsidP="006769DA">
            <w:pPr>
              <w:spacing w:after="0" w:line="240" w:lineRule="auto"/>
              <w:rPr>
                <w:rFonts w:ascii="Calibri Light" w:eastAsia="Times New Roman" w:hAnsi="Calibri Light" w:cs="Calibri Light"/>
                <w:color w:val="000000"/>
                <w:sz w:val="20"/>
                <w:szCs w:val="20"/>
                <w:lang w:eastAsia="en-GB"/>
              </w:rPr>
            </w:pPr>
          </w:p>
        </w:tc>
      </w:tr>
      <w:tr w:rsidR="003720CC" w:rsidRPr="00A33AE8" w14:paraId="2A3FC0EF" w14:textId="77777777" w:rsidTr="006769DA">
        <w:trPr>
          <w:trHeight w:val="54"/>
        </w:trPr>
        <w:tc>
          <w:tcPr>
            <w:tcW w:w="3330" w:type="dxa"/>
            <w:vMerge/>
            <w:tcBorders>
              <w:top w:val="nil"/>
              <w:left w:val="single" w:sz="8" w:space="0" w:color="auto"/>
              <w:bottom w:val="single" w:sz="8" w:space="0" w:color="000000"/>
              <w:right w:val="single" w:sz="8" w:space="0" w:color="auto"/>
            </w:tcBorders>
            <w:vAlign w:val="center"/>
            <w:hideMark/>
          </w:tcPr>
          <w:p w14:paraId="2B0AE171"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5B777986" w14:textId="77777777" w:rsidR="003720CC" w:rsidRPr="00A33AE8" w:rsidRDefault="003720CC"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17E02D8"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3720CC" w:rsidRPr="00A33AE8" w14:paraId="226241C5" w14:textId="77777777" w:rsidTr="006769DA">
        <w:trPr>
          <w:trHeight w:val="203"/>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AD94798"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C9C89F5" w14:textId="77777777" w:rsidR="003720CC" w:rsidRPr="00A33AE8" w:rsidRDefault="00106C26"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Tax on the Use, Possession and Carrying of Goods</w:t>
            </w:r>
            <w:r w:rsidRPr="00A33AE8">
              <w:rPr>
                <w:rStyle w:val="FootnoteReference"/>
                <w:rFonts w:ascii="Calibri Light" w:eastAsia="Times New Roman" w:hAnsi="Calibri Light" w:cs="Calibri Light"/>
                <w:color w:val="000000"/>
                <w:sz w:val="20"/>
                <w:szCs w:val="20"/>
                <w:lang w:eastAsia="en-GB"/>
              </w:rPr>
              <w:footnoteReference w:id="115"/>
            </w:r>
          </w:p>
        </w:tc>
        <w:tc>
          <w:tcPr>
            <w:tcW w:w="222" w:type="dxa"/>
            <w:vAlign w:val="center"/>
            <w:hideMark/>
          </w:tcPr>
          <w:p w14:paraId="0C6539AC"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r w:rsidR="00D77F14" w:rsidRPr="00A33AE8" w14:paraId="1CD4C927"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E81E494" w14:textId="77777777" w:rsidR="00D77F14" w:rsidRPr="00A33AE8" w:rsidRDefault="00D77F14" w:rsidP="00D77F1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82ADC94" w14:textId="73BB2B52" w:rsidR="00D77F14" w:rsidRPr="00A33AE8" w:rsidRDefault="00D77F14" w:rsidP="00B75D17">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energy efficiency dimension measures</w:t>
            </w:r>
            <w:r w:rsidR="006E1C14" w:rsidRPr="00A33AE8">
              <w:rPr>
                <w:rFonts w:ascii="Calibri Light" w:eastAsia="Times New Roman" w:hAnsi="Calibri Light" w:cs="Calibri Light"/>
                <w:color w:val="000000"/>
                <w:sz w:val="20"/>
                <w:szCs w:val="20"/>
                <w:lang w:eastAsia="en-GB"/>
              </w:rPr>
              <w:t xml:space="preserve"> (</w:t>
            </w:r>
            <w:bookmarkStart w:id="149" w:name="_Hlk135854044"/>
            <w:r w:rsidR="006E1C14" w:rsidRPr="00A33AE8">
              <w:rPr>
                <w:rFonts w:ascii="Calibri Light" w:eastAsia="Times New Roman" w:hAnsi="Calibri Light" w:cs="Calibri Light"/>
                <w:color w:val="000000"/>
                <w:sz w:val="20"/>
                <w:szCs w:val="20"/>
                <w:lang w:eastAsia="en-GB"/>
              </w:rPr>
              <w:t>PM</w:t>
            </w:r>
            <w:r w:rsidR="006E1C14" w:rsidRPr="00CD0941">
              <w:rPr>
                <w:rFonts w:ascii="Calibri Light" w:eastAsia="Times New Roman" w:hAnsi="Calibri Light" w:cs="Calibri Light"/>
                <w:color w:val="000000"/>
                <w:sz w:val="20"/>
                <w:szCs w:val="20"/>
                <w:lang w:eastAsia="en-GB"/>
              </w:rPr>
              <w:t>_EE12, PM_EE14, PM_EE18</w:t>
            </w:r>
            <w:bookmarkEnd w:id="149"/>
            <w:r w:rsidR="006E1C14" w:rsidRPr="00CD0941">
              <w:rPr>
                <w:rFonts w:ascii="Calibri Light" w:eastAsia="Times New Roman" w:hAnsi="Calibri Light" w:cs="Calibri Light"/>
                <w:color w:val="000000"/>
                <w:sz w:val="20"/>
                <w:szCs w:val="20"/>
                <w:lang w:eastAsia="en-GB"/>
              </w:rPr>
              <w:t>)</w:t>
            </w:r>
            <w:r w:rsidR="00B75D17" w:rsidRPr="00CD0941">
              <w:rPr>
                <w:rFonts w:ascii="Calibri Light" w:eastAsia="Times New Roman" w:hAnsi="Calibri Light" w:cs="Calibri Light"/>
                <w:color w:val="000000"/>
                <w:sz w:val="20"/>
                <w:szCs w:val="20"/>
                <w:lang w:eastAsia="en-GB"/>
              </w:rPr>
              <w:t xml:space="preserve"> - 570 M€ for electric vehicles, 1596 M€ for electric LDV and 505 M€ for electric buses</w:t>
            </w:r>
          </w:p>
        </w:tc>
        <w:tc>
          <w:tcPr>
            <w:tcW w:w="222" w:type="dxa"/>
            <w:vAlign w:val="center"/>
            <w:hideMark/>
          </w:tcPr>
          <w:p w14:paraId="2F5CF94D" w14:textId="77777777" w:rsidR="00D77F14" w:rsidRPr="00A33AE8" w:rsidRDefault="00D77F14" w:rsidP="00D77F14">
            <w:pPr>
              <w:spacing w:after="0" w:line="240" w:lineRule="auto"/>
              <w:rPr>
                <w:rFonts w:ascii="Times New Roman" w:eastAsia="Times New Roman" w:hAnsi="Times New Roman" w:cs="Times New Roman"/>
                <w:sz w:val="20"/>
                <w:szCs w:val="20"/>
                <w:lang w:eastAsia="en-GB"/>
              </w:rPr>
            </w:pPr>
          </w:p>
        </w:tc>
      </w:tr>
      <w:tr w:rsidR="003720CC" w:rsidRPr="00A33AE8" w14:paraId="66052C63"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A35B044" w14:textId="77777777" w:rsidR="003720CC" w:rsidRPr="00A33AE8" w:rsidRDefault="003720C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8B7E509" w14:textId="77777777" w:rsidR="003720CC" w:rsidRPr="00A33AE8" w:rsidRDefault="00A315AB"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71DA7D48" w14:textId="77777777" w:rsidR="003720CC" w:rsidRPr="00A33AE8" w:rsidRDefault="003720CC" w:rsidP="006769DA">
            <w:pPr>
              <w:spacing w:after="0" w:line="240" w:lineRule="auto"/>
              <w:rPr>
                <w:rFonts w:ascii="Times New Roman" w:eastAsia="Times New Roman" w:hAnsi="Times New Roman" w:cs="Times New Roman"/>
                <w:sz w:val="20"/>
                <w:szCs w:val="20"/>
                <w:lang w:eastAsia="en-GB"/>
              </w:rPr>
            </w:pPr>
          </w:p>
        </w:tc>
      </w:tr>
    </w:tbl>
    <w:p w14:paraId="6F84CE45" w14:textId="77777777" w:rsidR="0081343F" w:rsidRPr="00A33AE8" w:rsidRDefault="0081343F" w:rsidP="000B69B5">
      <w:pPr>
        <w:spacing w:before="160"/>
        <w:jc w:val="both"/>
        <w:rPr>
          <w:rFonts w:asciiTheme="majorHAnsi" w:hAnsiTheme="majorHAnsi" w:cstheme="majorHAnsi"/>
          <w:b/>
          <w:bCs/>
          <w:color w:val="000000"/>
        </w:rPr>
      </w:pPr>
      <w:r w:rsidRPr="00A33AE8">
        <w:rPr>
          <w:rFonts w:asciiTheme="majorHAnsi" w:hAnsiTheme="majorHAnsi" w:cstheme="majorHAnsi"/>
          <w:b/>
          <w:bCs/>
          <w:color w:val="000000"/>
        </w:rPr>
        <w:t>Cross-cutting</w:t>
      </w:r>
    </w:p>
    <w:p w14:paraId="54EA1404"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promotion of energy storage technologies will be fostered. Specifically, </w:t>
      </w:r>
      <w:r w:rsidR="00311FED" w:rsidRPr="00A33AE8">
        <w:rPr>
          <w:rFonts w:asciiTheme="majorHAnsi" w:hAnsiTheme="majorHAnsi" w:cstheme="majorHAnsi"/>
          <w:color w:val="000000"/>
        </w:rPr>
        <w:t>the legislative framework</w:t>
      </w:r>
      <w:r w:rsidRPr="00A33AE8">
        <w:rPr>
          <w:rFonts w:asciiTheme="majorHAnsi" w:hAnsiTheme="majorHAnsi" w:cstheme="majorHAnsi"/>
          <w:color w:val="000000"/>
        </w:rPr>
        <w:t xml:space="preserve"> will be </w:t>
      </w:r>
      <w:r w:rsidR="00311FED" w:rsidRPr="00A33AE8">
        <w:rPr>
          <w:rFonts w:asciiTheme="majorHAnsi" w:hAnsiTheme="majorHAnsi" w:cstheme="majorHAnsi"/>
          <w:color w:val="000000"/>
        </w:rPr>
        <w:t>adopted</w:t>
      </w:r>
      <w:r w:rsidRPr="00A33AE8">
        <w:rPr>
          <w:rFonts w:asciiTheme="majorHAnsi" w:hAnsiTheme="majorHAnsi" w:cstheme="majorHAnsi"/>
          <w:color w:val="000000"/>
        </w:rPr>
        <w:t xml:space="preserve"> for the </w:t>
      </w:r>
      <w:r w:rsidR="00311FED" w:rsidRPr="00A33AE8">
        <w:rPr>
          <w:rFonts w:asciiTheme="majorHAnsi" w:hAnsiTheme="majorHAnsi" w:cstheme="majorHAnsi"/>
          <w:color w:val="000000"/>
        </w:rPr>
        <w:t>installation of</w:t>
      </w:r>
      <w:r w:rsidRPr="00A33AE8">
        <w:rPr>
          <w:rFonts w:asciiTheme="majorHAnsi" w:hAnsiTheme="majorHAnsi" w:cstheme="majorHAnsi"/>
          <w:color w:val="000000"/>
        </w:rPr>
        <w:t xml:space="preserve"> energy storage stations, while different support instruments will be assessed for the case of the decentralised energy storage units under the prerequisite that the self-consumption of the produced energy from the renewable energy sources will be maximized and the energy efficiency will be promoted.</w:t>
      </w:r>
    </w:p>
    <w:p w14:paraId="330ECD79" w14:textId="77777777" w:rsidR="0081343F" w:rsidRPr="00A33AE8" w:rsidRDefault="0081343F" w:rsidP="000B69B5">
      <w:pPr>
        <w:spacing w:before="160"/>
        <w:jc w:val="both"/>
        <w:rPr>
          <w:rFonts w:asciiTheme="majorHAnsi" w:hAnsiTheme="majorHAnsi" w:cstheme="majorHAnsi"/>
          <w:b/>
          <w:bCs/>
          <w:color w:val="000000"/>
        </w:rPr>
      </w:pPr>
      <w:r w:rsidRPr="00A33AE8">
        <w:rPr>
          <w:rFonts w:asciiTheme="majorHAnsi" w:hAnsiTheme="majorHAnsi" w:cstheme="majorHAnsi"/>
          <w:color w:val="000000"/>
        </w:rPr>
        <w:t xml:space="preserve">Furthermore, the production and utilization of biomethane and renewable hydrogen will be boosted with the design and implementation of demonstration projects aiming at the meaningful reduction of their production cost and the improvement of their technical feasibility in regards to their transportation with the existing natural gas network. Simultaneously, the appropriate legislative framework will be adopted for the development of the required infrastructure increasing the further consumption of biomethane and renewable hydrogen in all end-use sectors. The construction of dedicated infrastructures for large-scale storage and </w:t>
      </w:r>
      <w:r w:rsidRPr="00A33AE8">
        <w:rPr>
          <w:rFonts w:asciiTheme="majorHAnsi" w:hAnsiTheme="majorHAnsi" w:cstheme="majorHAnsi"/>
          <w:color w:val="000000"/>
        </w:rPr>
        <w:lastRenderedPageBreak/>
        <w:t>transportation of pure hydrogen, going beyond point-to-point pipelines within industrial clusters, will be explored.</w:t>
      </w:r>
    </w:p>
    <w:p w14:paraId="59ED63A3"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Finally, the </w:t>
      </w:r>
      <w:r w:rsidR="00311FED" w:rsidRPr="00A33AE8">
        <w:rPr>
          <w:rFonts w:asciiTheme="majorHAnsi" w:hAnsiTheme="majorHAnsi" w:cstheme="majorHAnsi"/>
          <w:color w:val="000000"/>
        </w:rPr>
        <w:t>existing</w:t>
      </w:r>
      <w:r w:rsidRPr="00A33AE8">
        <w:rPr>
          <w:rFonts w:asciiTheme="majorHAnsi" w:hAnsiTheme="majorHAnsi" w:cstheme="majorHAnsi"/>
          <w:color w:val="000000"/>
        </w:rPr>
        <w:t xml:space="preserve"> public procurement procedures will </w:t>
      </w:r>
      <w:r w:rsidR="00311FED" w:rsidRPr="00A33AE8">
        <w:rPr>
          <w:rFonts w:asciiTheme="majorHAnsi" w:hAnsiTheme="majorHAnsi" w:cstheme="majorHAnsi"/>
          <w:color w:val="000000"/>
        </w:rPr>
        <w:t>be improved so as to</w:t>
      </w:r>
      <w:r w:rsidRPr="00A33AE8">
        <w:rPr>
          <w:rFonts w:asciiTheme="majorHAnsi" w:hAnsiTheme="majorHAnsi" w:cstheme="majorHAnsi"/>
          <w:color w:val="000000"/>
        </w:rPr>
        <w:t xml:space="preserve"> facilitate the further deployment of renewable energy sources </w:t>
      </w:r>
      <w:r w:rsidR="00311FED" w:rsidRPr="00A33AE8">
        <w:rPr>
          <w:rFonts w:asciiTheme="majorHAnsi" w:hAnsiTheme="majorHAnsi" w:cstheme="majorHAnsi"/>
          <w:color w:val="000000"/>
        </w:rPr>
        <w:t>through the specification of</w:t>
      </w:r>
      <w:r w:rsidRPr="00A33AE8">
        <w:rPr>
          <w:rFonts w:asciiTheme="majorHAnsi" w:hAnsiTheme="majorHAnsi" w:cstheme="majorHAnsi"/>
          <w:color w:val="000000"/>
        </w:rPr>
        <w:t xml:space="preserve"> mandatory quotas for specific renewable energy technologies </w:t>
      </w:r>
      <w:r w:rsidR="00311FED" w:rsidRPr="00A33AE8">
        <w:rPr>
          <w:rFonts w:asciiTheme="majorHAnsi" w:hAnsiTheme="majorHAnsi" w:cstheme="majorHAnsi"/>
          <w:color w:val="000000"/>
        </w:rPr>
        <w:t>ensuring that a specific number of renewable technologies will be utilised</w:t>
      </w:r>
      <w:r w:rsidRPr="00A33AE8">
        <w:rPr>
          <w:rFonts w:asciiTheme="majorHAnsi" w:hAnsiTheme="majorHAnsi" w:cstheme="majorHAnsi"/>
          <w:color w:val="000000"/>
        </w:rPr>
        <w:t>.</w:t>
      </w:r>
    </w:p>
    <w:p w14:paraId="03144567" w14:textId="77777777" w:rsidR="0081343F" w:rsidRPr="00A33AE8" w:rsidRDefault="0081343F" w:rsidP="000B69B5">
      <w:pPr>
        <w:spacing w:before="160"/>
        <w:jc w:val="both"/>
        <w:rPr>
          <w:rFonts w:asciiTheme="majorHAnsi" w:hAnsiTheme="majorHAnsi" w:cstheme="majorHAnsi"/>
          <w:b/>
          <w:bCs/>
          <w:color w:val="000000"/>
        </w:rPr>
      </w:pPr>
      <w:r w:rsidRPr="00A33AE8">
        <w:rPr>
          <w:rFonts w:asciiTheme="majorHAnsi" w:hAnsiTheme="majorHAnsi" w:cstheme="majorHAnsi"/>
          <w:color w:val="000000"/>
        </w:rPr>
        <w:t>Generally, the previously mentioned policy measures will accelerate the transition towards a more integrated energy system. The use of renewable and low-carbon fuels, including hydrogen, for end-use applications, is imperative in the case that the direct heating or electrification are not feasible.</w:t>
      </w:r>
    </w:p>
    <w:tbl>
      <w:tblPr>
        <w:tblW w:w="9680" w:type="dxa"/>
        <w:tblLook w:val="04A0" w:firstRow="1" w:lastRow="0" w:firstColumn="1" w:lastColumn="0" w:noHBand="0" w:noVBand="1"/>
      </w:tblPr>
      <w:tblGrid>
        <w:gridCol w:w="3328"/>
        <w:gridCol w:w="945"/>
        <w:gridCol w:w="946"/>
        <w:gridCol w:w="4239"/>
        <w:gridCol w:w="222"/>
      </w:tblGrid>
      <w:tr w:rsidR="008770DF" w:rsidRPr="00A33AE8" w14:paraId="45C9291A" w14:textId="77777777" w:rsidTr="006769DA">
        <w:trPr>
          <w:gridAfter w:val="1"/>
          <w:wAfter w:w="222" w:type="dxa"/>
          <w:trHeight w:val="780"/>
        </w:trPr>
        <w:tc>
          <w:tcPr>
            <w:tcW w:w="332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BB72416" w14:textId="77777777" w:rsidR="008770DF" w:rsidRPr="00A33AE8" w:rsidRDefault="008770D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7BF02526" w14:textId="77777777" w:rsidR="008770DF" w:rsidRPr="00A33AE8" w:rsidRDefault="008770D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D0804" w:rsidRPr="00A33AE8">
              <w:rPr>
                <w:rFonts w:ascii="Calibri Light" w:eastAsia="Times New Roman" w:hAnsi="Calibri Light" w:cs="Calibri Light"/>
                <w:b/>
                <w:bCs/>
                <w:color w:val="000000"/>
                <w:sz w:val="20"/>
                <w:szCs w:val="20"/>
                <w:lang w:eastAsia="en-GB"/>
              </w:rPr>
              <w:t>D37</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46CE2CBF"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6E9784A9" w14:textId="77777777" w:rsidR="008770DF" w:rsidRPr="00A33AE8" w:rsidRDefault="008770D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the legislative framework for the promotion of energy storage technologies</w:t>
            </w:r>
          </w:p>
        </w:tc>
      </w:tr>
      <w:tr w:rsidR="008770DF" w:rsidRPr="00A33AE8" w14:paraId="63D2A710" w14:textId="77777777" w:rsidTr="006769DA">
        <w:trPr>
          <w:gridAfter w:val="1"/>
          <w:wAfter w:w="222" w:type="dxa"/>
          <w:trHeight w:val="321"/>
        </w:trPr>
        <w:tc>
          <w:tcPr>
            <w:tcW w:w="3328" w:type="dxa"/>
            <w:tcBorders>
              <w:top w:val="nil"/>
              <w:left w:val="single" w:sz="8" w:space="0" w:color="auto"/>
              <w:bottom w:val="single" w:sz="8" w:space="0" w:color="auto"/>
              <w:right w:val="nil"/>
            </w:tcBorders>
            <w:shd w:val="clear" w:color="000000" w:fill="244062"/>
            <w:vAlign w:val="center"/>
            <w:hideMark/>
          </w:tcPr>
          <w:p w14:paraId="513A9EE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50EE5F81" w14:textId="77777777" w:rsidR="008770DF" w:rsidRPr="00A33AE8" w:rsidRDefault="008770DF"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and RES in heating and cooling</w:t>
            </w:r>
          </w:p>
        </w:tc>
      </w:tr>
      <w:tr w:rsidR="008770DF" w:rsidRPr="00A33AE8" w14:paraId="7726D752"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35FEA6E"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1B13ABB" w14:textId="77777777" w:rsidR="008770DF" w:rsidRPr="000007D2" w:rsidRDefault="000D080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the expected RES penetration for electricity production</w:t>
            </w:r>
          </w:p>
        </w:tc>
      </w:tr>
      <w:tr w:rsidR="008770DF" w:rsidRPr="00A33AE8" w14:paraId="18CCECC4" w14:textId="77777777" w:rsidTr="006769DA">
        <w:trPr>
          <w:gridAfter w:val="1"/>
          <w:wAfter w:w="222" w:type="dxa"/>
          <w:trHeight w:val="58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81F5841"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55898C01" w14:textId="77777777" w:rsidR="008770DF" w:rsidRPr="00A33AE8" w:rsidRDefault="008770D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0D0804" w:rsidRPr="00A33AE8">
              <w:rPr>
                <w:rFonts w:ascii="Calibri Light" w:eastAsia="Times New Roman" w:hAnsi="Calibri Light" w:cs="Calibri Light"/>
                <w:color w:val="000000"/>
                <w:sz w:val="20"/>
                <w:szCs w:val="20"/>
                <w:lang w:eastAsia="en-GB"/>
              </w:rPr>
              <w:t xml:space="preserve">D37 </w:t>
            </w:r>
            <w:r w:rsidRPr="00A33AE8">
              <w:rPr>
                <w:rFonts w:ascii="Calibri Light" w:eastAsia="Times New Roman" w:hAnsi="Calibri Light" w:cs="Calibri Light"/>
                <w:color w:val="000000"/>
                <w:sz w:val="20"/>
                <w:szCs w:val="20"/>
                <w:lang w:eastAsia="en-GB"/>
              </w:rPr>
              <w:t xml:space="preserve">will </w:t>
            </w:r>
            <w:r w:rsidR="00485ADA" w:rsidRPr="00A33AE8">
              <w:rPr>
                <w:rFonts w:ascii="Calibri Light" w:eastAsia="Times New Roman" w:hAnsi="Calibri Light" w:cs="Calibri Light"/>
                <w:color w:val="000000"/>
                <w:sz w:val="20"/>
                <w:szCs w:val="20"/>
                <w:lang w:eastAsia="en-GB"/>
              </w:rPr>
              <w:t xml:space="preserve">facilitate the development of the legislative framework </w:t>
            </w:r>
            <w:r w:rsidRPr="00A33AE8">
              <w:rPr>
                <w:rFonts w:ascii="Calibri Light" w:eastAsia="Times New Roman" w:hAnsi="Calibri Light" w:cs="Calibri Light"/>
                <w:color w:val="000000"/>
                <w:sz w:val="20"/>
                <w:szCs w:val="20"/>
                <w:lang w:eastAsia="en-GB"/>
              </w:rPr>
              <w:t>for the different types of energy storage technologies. Investment aid will be provided for the central energy storage stations</w:t>
            </w:r>
            <w:r w:rsidR="00485ADA" w:rsidRPr="00A33AE8">
              <w:rPr>
                <w:rFonts w:ascii="Calibri Light" w:eastAsia="Times New Roman" w:hAnsi="Calibri Light" w:cs="Calibri Light"/>
                <w:color w:val="000000"/>
                <w:sz w:val="20"/>
                <w:szCs w:val="20"/>
                <w:lang w:eastAsia="en-GB"/>
              </w:rPr>
              <w:t xml:space="preserve"> focusing not only to the adoption of the required licencing procedures, but to</w:t>
            </w:r>
            <w:r w:rsidRPr="00A33AE8">
              <w:rPr>
                <w:rFonts w:ascii="Calibri Light" w:eastAsia="Times New Roman" w:hAnsi="Calibri Light" w:cs="Calibri Light"/>
                <w:color w:val="000000"/>
                <w:sz w:val="20"/>
                <w:szCs w:val="20"/>
                <w:lang w:eastAsia="en-GB"/>
              </w:rPr>
              <w:t xml:space="preserve"> the potential provision of operating aid </w:t>
            </w:r>
            <w:r w:rsidR="003E401B" w:rsidRPr="00A33AE8">
              <w:rPr>
                <w:rFonts w:ascii="Calibri Light" w:eastAsia="Times New Roman" w:hAnsi="Calibri Light" w:cs="Calibri Light"/>
                <w:color w:val="000000"/>
                <w:sz w:val="20"/>
                <w:szCs w:val="20"/>
                <w:lang w:eastAsia="en-GB"/>
              </w:rPr>
              <w:t>as economic support</w:t>
            </w:r>
            <w:r w:rsidRPr="00A33AE8">
              <w:rPr>
                <w:rFonts w:ascii="Calibri Light" w:eastAsia="Times New Roman" w:hAnsi="Calibri Light" w:cs="Calibri Light"/>
                <w:color w:val="000000"/>
                <w:sz w:val="20"/>
                <w:szCs w:val="20"/>
                <w:lang w:eastAsia="en-GB"/>
              </w:rPr>
              <w:t>. For the case of decentralized energy storage plants specific subsidies and fiscal incentives will be assessed under the preconditions that the self-consumption of the produced energy from the renewable energy sources will be maximized and the energy efficiency will be promoted.</w:t>
            </w:r>
          </w:p>
        </w:tc>
      </w:tr>
      <w:tr w:rsidR="008770DF" w:rsidRPr="00A33AE8" w14:paraId="25F3656E"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8A3CBFC"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0ED53F8B" w14:textId="77777777" w:rsidR="008770DF" w:rsidRPr="00A33AE8" w:rsidRDefault="00485AD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8770DF" w:rsidRPr="00A33AE8">
              <w:rPr>
                <w:rFonts w:ascii="Calibri Light" w:eastAsia="Times New Roman" w:hAnsi="Calibri Light" w:cs="Calibri Light"/>
                <w:color w:val="000000"/>
                <w:sz w:val="20"/>
                <w:szCs w:val="20"/>
                <w:lang w:eastAsia="en-GB"/>
              </w:rPr>
              <w:t>-2030</w:t>
            </w:r>
          </w:p>
        </w:tc>
      </w:tr>
      <w:tr w:rsidR="008770DF" w:rsidRPr="00A33AE8" w14:paraId="22ACAB76"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586EDB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459C378" w14:textId="77777777" w:rsidR="008770DF" w:rsidRPr="00A33AE8" w:rsidRDefault="000D080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Reform </w:t>
            </w:r>
          </w:p>
        </w:tc>
      </w:tr>
      <w:tr w:rsidR="008770DF" w:rsidRPr="00A33AE8" w14:paraId="12E03F23"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53A91AD"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2F38273" w14:textId="77777777" w:rsidR="008770DF" w:rsidRPr="00A33AE8" w:rsidRDefault="008770D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w:t>
            </w:r>
          </w:p>
        </w:tc>
      </w:tr>
      <w:tr w:rsidR="008770DF" w:rsidRPr="00A33AE8" w14:paraId="24674D14"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FE2CE86"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B19B5FB" w14:textId="77777777" w:rsidR="008770DF"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770DF" w:rsidRPr="00A33AE8" w14:paraId="43AC0CB2"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2A04CB83"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50032DD" w14:textId="77777777" w:rsidR="008770DF" w:rsidRPr="00A33AE8" w:rsidRDefault="007D12A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7D12AB">
              <w:rPr>
                <w:rFonts w:ascii="Calibri Light" w:eastAsia="Times New Roman" w:hAnsi="Calibri Light" w:cs="Calibri Light"/>
                <w:color w:val="000000"/>
                <w:sz w:val="20"/>
                <w:szCs w:val="20"/>
                <w:lang w:eastAsia="en-GB"/>
              </w:rPr>
              <w:t>Government of the Republic of Serbia</w:t>
            </w:r>
          </w:p>
        </w:tc>
      </w:tr>
      <w:tr w:rsidR="008770DF" w:rsidRPr="00A33AE8" w14:paraId="0DE66F71"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3A6FDC49"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062AB44" w14:textId="77777777" w:rsidR="008770DF"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w:t>
            </w:r>
          </w:p>
          <w:p w14:paraId="14514C3D" w14:textId="77777777" w:rsidR="009C7118" w:rsidRPr="00A33AE8" w:rsidRDefault="00F72DA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Developed </w:t>
            </w:r>
            <w:r w:rsidR="009C7118" w:rsidRPr="00A33AE8">
              <w:rPr>
                <w:rFonts w:ascii="Calibri Light" w:eastAsia="Times New Roman" w:hAnsi="Calibri Light" w:cs="Calibri Light"/>
                <w:color w:val="000000"/>
                <w:sz w:val="20"/>
                <w:szCs w:val="20"/>
                <w:lang w:eastAsia="en-GB"/>
              </w:rPr>
              <w:t>legislative and regulatory framework</w:t>
            </w:r>
          </w:p>
        </w:tc>
      </w:tr>
      <w:tr w:rsidR="006C6A30" w:rsidRPr="00A33AE8" w14:paraId="1E0C1426" w14:textId="77777777" w:rsidTr="006769DA">
        <w:trPr>
          <w:gridAfter w:val="1"/>
          <w:wAfter w:w="222" w:type="dxa"/>
          <w:trHeight w:val="437"/>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C4E0D21"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95A84FA" w14:textId="77777777" w:rsidR="007D12AB" w:rsidRPr="007D12AB" w:rsidRDefault="007D12A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7D12AB">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60AC4A6D" w14:textId="77777777" w:rsidR="007D12AB" w:rsidRPr="005B2C66" w:rsidRDefault="007D12A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7D12AB">
              <w:rPr>
                <w:rFonts w:ascii="Calibri Light" w:eastAsia="Times New Roman" w:hAnsi="Calibri Light" w:cs="Calibri Light"/>
                <w:color w:val="000000"/>
                <w:sz w:val="20"/>
                <w:szCs w:val="20"/>
                <w:lang w:eastAsia="en-GB"/>
              </w:rPr>
              <w:t>Energy security (the installation of storage technologies will facilitate the further penetration of RES stations reducing the energy import dependency from third countries and increase the deployment of domestic energy sources)</w:t>
            </w:r>
          </w:p>
          <w:p w14:paraId="4CB02F1C" w14:textId="77777777" w:rsidR="006C6A30" w:rsidRPr="00A33AE8" w:rsidRDefault="006C6A3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Internal energy market</w:t>
            </w:r>
            <w:r w:rsidR="007D12AB">
              <w:rPr>
                <w:rFonts w:ascii="Calibri Light" w:eastAsia="Times New Roman" w:hAnsi="Calibri Light" w:cs="Calibri Light"/>
                <w:color w:val="000000"/>
                <w:sz w:val="20"/>
                <w:szCs w:val="20"/>
                <w:lang w:eastAsia="en-GB"/>
              </w:rPr>
              <w:t xml:space="preserve"> </w:t>
            </w:r>
            <w:r w:rsidR="007D12AB" w:rsidRPr="007D12AB">
              <w:rPr>
                <w:rFonts w:ascii="Calibri Light" w:eastAsia="Times New Roman" w:hAnsi="Calibri Light" w:cs="Calibri Light"/>
                <w:color w:val="000000"/>
                <w:sz w:val="20"/>
                <w:szCs w:val="20"/>
                <w:lang w:eastAsia="en-GB"/>
              </w:rPr>
              <w:t>(the penetration of storage technologies will ensure electricity system adequacy and flexibility)</w:t>
            </w:r>
          </w:p>
        </w:tc>
      </w:tr>
      <w:tr w:rsidR="008770DF" w:rsidRPr="00A33AE8" w14:paraId="39E3C142" w14:textId="77777777" w:rsidTr="006769DA">
        <w:trPr>
          <w:gridAfter w:val="1"/>
          <w:wAfter w:w="222" w:type="dxa"/>
          <w:trHeight w:val="450"/>
        </w:trPr>
        <w:tc>
          <w:tcPr>
            <w:tcW w:w="332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06DBA83"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C992316"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8770DF" w:rsidRPr="00A33AE8" w14:paraId="072293AD" w14:textId="77777777" w:rsidTr="006769DA">
        <w:trPr>
          <w:trHeight w:val="300"/>
        </w:trPr>
        <w:tc>
          <w:tcPr>
            <w:tcW w:w="3328" w:type="dxa"/>
            <w:vMerge/>
            <w:tcBorders>
              <w:top w:val="nil"/>
              <w:left w:val="single" w:sz="8" w:space="0" w:color="auto"/>
              <w:bottom w:val="single" w:sz="8" w:space="0" w:color="000000"/>
              <w:right w:val="single" w:sz="8" w:space="0" w:color="auto"/>
            </w:tcBorders>
            <w:vAlign w:val="center"/>
            <w:hideMark/>
          </w:tcPr>
          <w:p w14:paraId="7179D8A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6A78F959"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E02A938" w14:textId="77777777" w:rsidR="008770DF" w:rsidRPr="00A33AE8" w:rsidRDefault="008770DF" w:rsidP="006769DA">
            <w:pPr>
              <w:spacing w:after="0" w:line="240" w:lineRule="auto"/>
              <w:rPr>
                <w:rFonts w:ascii="Calibri Light" w:eastAsia="Times New Roman" w:hAnsi="Calibri Light" w:cs="Calibri Light"/>
                <w:color w:val="000000"/>
                <w:sz w:val="20"/>
                <w:szCs w:val="20"/>
                <w:lang w:eastAsia="en-GB"/>
              </w:rPr>
            </w:pPr>
          </w:p>
        </w:tc>
      </w:tr>
      <w:tr w:rsidR="008770DF" w:rsidRPr="00A33AE8" w14:paraId="6C954BB0" w14:textId="77777777" w:rsidTr="006769DA">
        <w:trPr>
          <w:trHeight w:val="54"/>
        </w:trPr>
        <w:tc>
          <w:tcPr>
            <w:tcW w:w="3328" w:type="dxa"/>
            <w:vMerge/>
            <w:tcBorders>
              <w:top w:val="nil"/>
              <w:left w:val="single" w:sz="8" w:space="0" w:color="auto"/>
              <w:bottom w:val="single" w:sz="8" w:space="0" w:color="000000"/>
              <w:right w:val="single" w:sz="8" w:space="0" w:color="auto"/>
            </w:tcBorders>
            <w:vAlign w:val="center"/>
            <w:hideMark/>
          </w:tcPr>
          <w:p w14:paraId="54880E8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02A1C06A"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25F498C"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12F17AE8" w14:textId="77777777" w:rsidTr="006769DA">
        <w:trPr>
          <w:trHeight w:val="187"/>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68588E3"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BE1404F" w14:textId="77777777" w:rsidR="00485ADA" w:rsidRPr="00A33AE8" w:rsidRDefault="00485A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p w14:paraId="4B6CFA5A" w14:textId="77777777" w:rsidR="008770DF" w:rsidRPr="00A33AE8" w:rsidRDefault="00485ADA" w:rsidP="008E270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2ECD3EDD"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7836F9F4"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504C8DB" w14:textId="77777777" w:rsidR="008770DF" w:rsidRPr="000007D2" w:rsidRDefault="008770DF" w:rsidP="006769DA">
            <w:pPr>
              <w:spacing w:after="0" w:line="240" w:lineRule="auto"/>
              <w:rPr>
                <w:rFonts w:ascii="Calibri Light" w:hAnsi="Calibri Light"/>
                <w:color w:val="000000"/>
                <w:sz w:val="20"/>
              </w:rPr>
            </w:pPr>
            <w:r w:rsidRPr="00A33AE8">
              <w:rPr>
                <w:rFonts w:ascii="Calibri Light" w:eastAsia="Times New Roman" w:hAnsi="Calibri Light" w:cs="Calibri Light"/>
                <w:b/>
                <w:bCs/>
                <w:color w:val="FFFFFF"/>
                <w:sz w:val="20"/>
                <w:szCs w:val="20"/>
                <w:lang w:eastAsia="en-GB"/>
              </w:rPr>
              <w:t>Implementation cost</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39A6AB4" w14:textId="77777777" w:rsidR="008770DF" w:rsidRPr="000007D2" w:rsidRDefault="008770D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485ADA" w:rsidRPr="005B2C66">
              <w:rPr>
                <w:rFonts w:ascii="Calibri Light" w:eastAsia="Times New Roman" w:hAnsi="Calibri Light" w:cs="Calibri Light"/>
                <w:color w:val="000000"/>
                <w:sz w:val="20"/>
                <w:szCs w:val="20"/>
                <w:lang w:eastAsia="en-GB"/>
              </w:rPr>
              <w:t>1</w:t>
            </w:r>
            <w:r w:rsidRPr="005B2C66">
              <w:rPr>
                <w:rFonts w:ascii="Calibri Light" w:hAnsi="Calibri Light"/>
                <w:color w:val="000000"/>
                <w:sz w:val="20"/>
              </w:rPr>
              <w:t xml:space="preserve"> </w:t>
            </w:r>
            <w:r w:rsidRPr="00CA142E">
              <w:rPr>
                <w:rFonts w:ascii="Calibri Light" w:eastAsia="Times New Roman" w:hAnsi="Calibri Light" w:cs="Calibri Light"/>
                <w:color w:val="000000"/>
                <w:sz w:val="20"/>
                <w:szCs w:val="20"/>
                <w:lang w:eastAsia="en-GB"/>
              </w:rPr>
              <w:t>M€</w:t>
            </w:r>
          </w:p>
        </w:tc>
        <w:tc>
          <w:tcPr>
            <w:tcW w:w="222" w:type="dxa"/>
            <w:vAlign w:val="center"/>
            <w:hideMark/>
          </w:tcPr>
          <w:p w14:paraId="45FC3982"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2A24C701"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01FFBA6"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60612CF" w14:textId="77777777" w:rsidR="008770DF" w:rsidRPr="000007D2" w:rsidRDefault="00922BD5"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own </w:t>
            </w:r>
            <w:r w:rsidR="009C7118"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020C3A49"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bl>
    <w:p w14:paraId="5FF34BF4" w14:textId="77777777" w:rsidR="008770DF" w:rsidRPr="00A33AE8" w:rsidRDefault="008770DF" w:rsidP="008770DF">
      <w:pPr>
        <w:pStyle w:val="LDKbody"/>
        <w:rPr>
          <w:lang w:val="en-GB"/>
        </w:rPr>
      </w:pPr>
    </w:p>
    <w:tbl>
      <w:tblPr>
        <w:tblW w:w="9680" w:type="dxa"/>
        <w:tblLook w:val="04A0" w:firstRow="1" w:lastRow="0" w:firstColumn="1" w:lastColumn="0" w:noHBand="0" w:noVBand="1"/>
      </w:tblPr>
      <w:tblGrid>
        <w:gridCol w:w="3328"/>
        <w:gridCol w:w="944"/>
        <w:gridCol w:w="945"/>
        <w:gridCol w:w="4241"/>
        <w:gridCol w:w="222"/>
      </w:tblGrid>
      <w:tr w:rsidR="008770DF" w:rsidRPr="00A33AE8" w14:paraId="750BA77D" w14:textId="77777777" w:rsidTr="006769DA">
        <w:trPr>
          <w:gridAfter w:val="1"/>
          <w:wAfter w:w="222" w:type="dxa"/>
          <w:trHeight w:val="780"/>
        </w:trPr>
        <w:tc>
          <w:tcPr>
            <w:tcW w:w="332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3B5B146" w14:textId="77777777" w:rsidR="008770DF" w:rsidRPr="00A33AE8" w:rsidRDefault="008770D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C5E97E8" w14:textId="77777777" w:rsidR="008770DF" w:rsidRPr="00A33AE8" w:rsidRDefault="008770D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D0804" w:rsidRPr="00A33AE8">
              <w:rPr>
                <w:rFonts w:ascii="Calibri Light" w:eastAsia="Times New Roman" w:hAnsi="Calibri Light" w:cs="Calibri Light"/>
                <w:b/>
                <w:bCs/>
                <w:color w:val="000000"/>
                <w:sz w:val="20"/>
                <w:szCs w:val="20"/>
                <w:lang w:eastAsia="en-GB"/>
              </w:rPr>
              <w:t>D38</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13F6721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0833816" w14:textId="77777777" w:rsidR="008770DF" w:rsidRPr="00A33AE8" w:rsidRDefault="008770D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Supporting demonstration projects for the promotion of biomethane and renewable hydrogen</w:t>
            </w:r>
          </w:p>
        </w:tc>
      </w:tr>
      <w:tr w:rsidR="008770DF" w:rsidRPr="00A33AE8" w14:paraId="644B9342" w14:textId="77777777" w:rsidTr="006769DA">
        <w:trPr>
          <w:gridAfter w:val="1"/>
          <w:wAfter w:w="222" w:type="dxa"/>
          <w:trHeight w:val="287"/>
        </w:trPr>
        <w:tc>
          <w:tcPr>
            <w:tcW w:w="3328" w:type="dxa"/>
            <w:tcBorders>
              <w:top w:val="nil"/>
              <w:left w:val="single" w:sz="8" w:space="0" w:color="auto"/>
              <w:bottom w:val="single" w:sz="8" w:space="0" w:color="auto"/>
              <w:right w:val="nil"/>
            </w:tcBorders>
            <w:shd w:val="clear" w:color="000000" w:fill="244062"/>
            <w:vAlign w:val="center"/>
            <w:hideMark/>
          </w:tcPr>
          <w:p w14:paraId="5B255E38"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39C7544" w14:textId="77777777" w:rsidR="008770DF" w:rsidRPr="00A33AE8" w:rsidRDefault="008770DF"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8770DF" w:rsidRPr="00A33AE8" w14:paraId="2BF0D234"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25D37D9"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0"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0D3456C1" w14:textId="77777777" w:rsidR="00FC1D57" w:rsidRPr="00A33AE8" w:rsidRDefault="00412C8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87</w:t>
            </w:r>
            <w:r w:rsidR="00C72D08" w:rsidRPr="00A33AE8">
              <w:rPr>
                <w:rFonts w:ascii="Calibri Light" w:eastAsia="Times New Roman" w:hAnsi="Calibri Light" w:cs="Calibri Light"/>
                <w:color w:val="000000"/>
                <w:sz w:val="20"/>
                <w:szCs w:val="20"/>
                <w:lang w:eastAsia="en-GB"/>
              </w:rPr>
              <w:t xml:space="preserve"> </w:t>
            </w:r>
            <w:r w:rsidR="00FC1D57" w:rsidRPr="00A33AE8">
              <w:rPr>
                <w:rFonts w:ascii="Calibri Light" w:eastAsia="Times New Roman" w:hAnsi="Calibri Light" w:cs="Calibri Light"/>
                <w:color w:val="000000"/>
                <w:sz w:val="20"/>
                <w:szCs w:val="20"/>
                <w:lang w:eastAsia="en-GB"/>
              </w:rPr>
              <w:t xml:space="preserve">ktoe of </w:t>
            </w:r>
            <w:r w:rsidRPr="00A33AE8">
              <w:rPr>
                <w:rFonts w:ascii="Calibri Light" w:eastAsia="Times New Roman" w:hAnsi="Calibri Light" w:cs="Calibri Light"/>
                <w:color w:val="000000"/>
                <w:sz w:val="20"/>
                <w:szCs w:val="20"/>
                <w:lang w:eastAsia="en-GB"/>
              </w:rPr>
              <w:t>biomethane</w:t>
            </w:r>
          </w:p>
        </w:tc>
      </w:tr>
      <w:tr w:rsidR="008770DF" w:rsidRPr="00A33AE8" w14:paraId="2124E8BB" w14:textId="77777777" w:rsidTr="006769DA">
        <w:trPr>
          <w:gridAfter w:val="1"/>
          <w:wAfter w:w="222" w:type="dxa"/>
          <w:trHeight w:val="1203"/>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0BCCF2F"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0" w:type="dxa"/>
            <w:gridSpan w:val="3"/>
            <w:tcBorders>
              <w:top w:val="single" w:sz="4" w:space="0" w:color="auto"/>
              <w:left w:val="single" w:sz="4" w:space="0" w:color="auto"/>
              <w:bottom w:val="single" w:sz="4" w:space="0" w:color="000000"/>
              <w:right w:val="single" w:sz="4" w:space="0" w:color="auto"/>
            </w:tcBorders>
            <w:vAlign w:val="center"/>
            <w:hideMark/>
          </w:tcPr>
          <w:p w14:paraId="7665240C" w14:textId="77777777" w:rsidR="008770DF" w:rsidRPr="000007D2" w:rsidRDefault="008770DF" w:rsidP="00EE18F2">
            <w:pPr>
              <w:pStyle w:val="NormalWeb"/>
              <w:rPr>
                <w:rFonts w:ascii="Arial" w:hAnsi="Arial" w:cs="Arial"/>
                <w:sz w:val="20"/>
                <w:szCs w:val="20"/>
                <w:lang w:val="en-GB"/>
              </w:rPr>
            </w:pPr>
            <w:r w:rsidRPr="000007D2">
              <w:rPr>
                <w:rFonts w:ascii="Calibri Light" w:hAnsi="Calibri Light" w:cs="Calibri Light"/>
                <w:color w:val="000000"/>
                <w:sz w:val="20"/>
                <w:szCs w:val="20"/>
                <w:lang w:val="en-GB" w:eastAsia="en-GB"/>
              </w:rPr>
              <w:t>PM_</w:t>
            </w:r>
            <w:r w:rsidR="000D0804" w:rsidRPr="000007D2">
              <w:rPr>
                <w:rFonts w:ascii="Calibri Light" w:hAnsi="Calibri Light" w:cs="Calibri Light"/>
                <w:color w:val="000000"/>
                <w:sz w:val="20"/>
                <w:szCs w:val="20"/>
                <w:lang w:val="en-GB" w:eastAsia="en-GB"/>
              </w:rPr>
              <w:t>D3</w:t>
            </w:r>
            <w:r w:rsidR="000D0804" w:rsidRPr="00A33AE8">
              <w:rPr>
                <w:rFonts w:ascii="Calibri Light" w:hAnsi="Calibri Light" w:cs="Calibri Light"/>
                <w:color w:val="000000"/>
                <w:sz w:val="20"/>
                <w:szCs w:val="20"/>
                <w:lang w:val="en-GB" w:eastAsia="en-GB"/>
              </w:rPr>
              <w:t>8</w:t>
            </w:r>
            <w:r w:rsidR="000D0804" w:rsidRPr="000007D2">
              <w:rPr>
                <w:rFonts w:ascii="Calibri Light" w:hAnsi="Calibri Light" w:cs="Calibri Light"/>
                <w:color w:val="000000"/>
                <w:sz w:val="20"/>
                <w:szCs w:val="20"/>
                <w:lang w:val="en-GB" w:eastAsia="en-GB"/>
              </w:rPr>
              <w:t xml:space="preserve"> </w:t>
            </w:r>
            <w:r w:rsidRPr="000007D2">
              <w:rPr>
                <w:rFonts w:ascii="Calibri Light" w:hAnsi="Calibri Light" w:cs="Calibri Light"/>
                <w:color w:val="000000"/>
                <w:sz w:val="20"/>
                <w:szCs w:val="20"/>
                <w:lang w:val="en-GB" w:eastAsia="en-GB"/>
              </w:rPr>
              <w:t xml:space="preserve">will finance the design and implementation of demonstration projects for the production and utilization of biomethane and renewable hydrogen so as to be consumed in all end-use sectors contributing to the meaningful reduction of their production cost and improving their technical feasibility </w:t>
            </w:r>
            <w:r w:rsidR="000D0804" w:rsidRPr="00A33AE8">
              <w:rPr>
                <w:rFonts w:ascii="Calibri Light" w:hAnsi="Calibri Light" w:cs="Calibri Light"/>
                <w:color w:val="000000"/>
                <w:sz w:val="20"/>
                <w:szCs w:val="20"/>
                <w:lang w:val="en-GB" w:eastAsia="en-GB"/>
              </w:rPr>
              <w:t>in regard to</w:t>
            </w:r>
            <w:r w:rsidRPr="000007D2">
              <w:rPr>
                <w:rFonts w:ascii="Calibri Light" w:hAnsi="Calibri Light" w:cs="Calibri Light"/>
                <w:color w:val="000000"/>
                <w:sz w:val="20"/>
                <w:szCs w:val="20"/>
                <w:lang w:val="en-GB" w:eastAsia="en-GB"/>
              </w:rPr>
              <w:t xml:space="preserve"> </w:t>
            </w:r>
            <w:r w:rsidR="005107F3" w:rsidRPr="000007D2">
              <w:rPr>
                <w:rFonts w:ascii="Calibri Light" w:hAnsi="Calibri Light" w:cs="Calibri Light"/>
                <w:color w:val="000000"/>
                <w:sz w:val="20"/>
                <w:szCs w:val="20"/>
                <w:lang w:val="en-GB" w:eastAsia="en-GB"/>
              </w:rPr>
              <w:t xml:space="preserve">Hydrogen </w:t>
            </w:r>
            <w:r w:rsidR="000D0804" w:rsidRPr="000007D2">
              <w:rPr>
                <w:rFonts w:ascii="Calibri Light" w:hAnsi="Calibri Light" w:cs="Calibri Light"/>
                <w:color w:val="000000"/>
                <w:sz w:val="20"/>
                <w:szCs w:val="20"/>
                <w:lang w:val="en-GB" w:eastAsia="en-GB"/>
              </w:rPr>
              <w:t xml:space="preserve">and </w:t>
            </w:r>
            <w:r w:rsidR="005107F3" w:rsidRPr="000007D2">
              <w:rPr>
                <w:rFonts w:ascii="Calibri Light" w:hAnsi="Calibri Light" w:cs="Calibri Light"/>
                <w:color w:val="000000"/>
                <w:sz w:val="20"/>
                <w:szCs w:val="20"/>
                <w:lang w:val="en-GB" w:eastAsia="en-GB"/>
              </w:rPr>
              <w:t>biomethane</w:t>
            </w:r>
            <w:r w:rsidR="00EC25FF" w:rsidRPr="000007D2">
              <w:rPr>
                <w:rFonts w:ascii="Calibri Light" w:hAnsi="Calibri Light" w:cs="Calibri Light"/>
                <w:color w:val="000000"/>
                <w:sz w:val="20"/>
                <w:szCs w:val="20"/>
                <w:lang w:val="en-GB" w:eastAsia="en-GB"/>
              </w:rPr>
              <w:t xml:space="preserve"> </w:t>
            </w:r>
            <w:r w:rsidRPr="000007D2">
              <w:rPr>
                <w:rFonts w:ascii="Calibri Light" w:hAnsi="Calibri Light" w:cs="Calibri Light"/>
                <w:color w:val="000000"/>
                <w:sz w:val="20"/>
                <w:szCs w:val="20"/>
                <w:lang w:val="en-GB" w:eastAsia="en-GB"/>
              </w:rPr>
              <w:t xml:space="preserve">transportation with the existing natural gas network. </w:t>
            </w:r>
          </w:p>
        </w:tc>
      </w:tr>
      <w:tr w:rsidR="008770DF" w:rsidRPr="00A33AE8" w14:paraId="09844485"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00117E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4FE4404" w14:textId="77777777" w:rsidR="008770DF" w:rsidRPr="00A33AE8" w:rsidRDefault="00412C8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8770DF" w:rsidRPr="00A33AE8">
              <w:rPr>
                <w:rFonts w:ascii="Calibri Light" w:eastAsia="Times New Roman" w:hAnsi="Calibri Light" w:cs="Calibri Light"/>
                <w:color w:val="000000"/>
                <w:sz w:val="20"/>
                <w:szCs w:val="20"/>
                <w:lang w:eastAsia="en-GB"/>
              </w:rPr>
              <w:t>-2030</w:t>
            </w:r>
          </w:p>
        </w:tc>
      </w:tr>
      <w:tr w:rsidR="008770DF" w:rsidRPr="00A33AE8" w14:paraId="3187C725"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245477B"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6D4171F" w14:textId="77777777" w:rsidR="008770DF" w:rsidRPr="00A33AE8" w:rsidRDefault="008C055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8770DF" w:rsidRPr="00A33AE8" w14:paraId="293B8ACF"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0EFA9D6"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55356F3" w14:textId="77777777" w:rsidR="008770DF" w:rsidRPr="00A33AE8" w:rsidRDefault="008770D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8770DF" w:rsidRPr="00A33AE8" w14:paraId="474C8DC8"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6C48FB91"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6E7D7BF" w14:textId="77777777" w:rsidR="008770DF"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770DF" w:rsidRPr="00A33AE8" w14:paraId="56A47F4B"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5EE811DD"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08022DD2" w14:textId="77777777" w:rsidR="008770DF" w:rsidRPr="00A33AE8" w:rsidRDefault="00F95CC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95CC0">
              <w:rPr>
                <w:rFonts w:ascii="Calibri Light" w:eastAsia="Times New Roman" w:hAnsi="Calibri Light" w:cs="Calibri Light"/>
                <w:color w:val="000000"/>
                <w:sz w:val="20"/>
                <w:szCs w:val="20"/>
                <w:lang w:eastAsia="en-GB"/>
              </w:rPr>
              <w:t>Government of the Republic of Serbia</w:t>
            </w:r>
            <w:r w:rsidR="008770DF" w:rsidRPr="00A33AE8">
              <w:rPr>
                <w:rFonts w:ascii="Calibri Light" w:eastAsia="Times New Roman" w:hAnsi="Calibri Light" w:cs="Calibri Light"/>
                <w:color w:val="000000"/>
                <w:sz w:val="20"/>
                <w:szCs w:val="20"/>
                <w:lang w:eastAsia="en-GB"/>
              </w:rPr>
              <w:t> </w:t>
            </w:r>
          </w:p>
        </w:tc>
      </w:tr>
      <w:tr w:rsidR="008770DF" w:rsidRPr="00A33AE8" w14:paraId="3BE614A0"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7FB44E50"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32D4CBF" w14:textId="77777777" w:rsidR="008770DF" w:rsidRPr="00A33AE8" w:rsidRDefault="006769DA"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Consumed biomethane and renewable hydrogen</w:t>
            </w:r>
            <w:r w:rsidR="008770DF" w:rsidRPr="00A33AE8">
              <w:rPr>
                <w:rFonts w:ascii="Calibri Light" w:eastAsia="Times New Roman" w:hAnsi="Calibri Light" w:cs="Calibri Light"/>
                <w:color w:val="000000"/>
                <w:sz w:val="20"/>
                <w:szCs w:val="20"/>
                <w:lang w:eastAsia="en-GB"/>
              </w:rPr>
              <w:t> </w:t>
            </w:r>
          </w:p>
        </w:tc>
      </w:tr>
      <w:tr w:rsidR="006C6A30" w:rsidRPr="00A33AE8" w14:paraId="5EAC741C" w14:textId="77777777" w:rsidTr="006769DA">
        <w:trPr>
          <w:gridAfter w:val="1"/>
          <w:wAfter w:w="222" w:type="dxa"/>
          <w:trHeight w:val="261"/>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4B224C8"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tcPr>
          <w:p w14:paraId="4139BA4A" w14:textId="77777777" w:rsidR="006C6A30" w:rsidRPr="00A33AE8" w:rsidRDefault="00F95CC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95CC0">
              <w:rPr>
                <w:rFonts w:ascii="Calibri Light" w:eastAsia="Times New Roman" w:hAnsi="Calibri Light" w:cs="Calibri Light"/>
                <w:color w:val="000000"/>
                <w:sz w:val="20"/>
                <w:szCs w:val="20"/>
                <w:lang w:eastAsia="en-GB"/>
              </w:rPr>
              <w:t>Energy security (the penetration of RES fuels will reduce the energy import dependency from third countries and increase the deployment of domestic energy sources)</w:t>
            </w:r>
          </w:p>
        </w:tc>
      </w:tr>
      <w:tr w:rsidR="008770DF" w:rsidRPr="00A33AE8" w14:paraId="5D0639AC" w14:textId="77777777" w:rsidTr="006769DA">
        <w:trPr>
          <w:gridAfter w:val="1"/>
          <w:wAfter w:w="222" w:type="dxa"/>
          <w:trHeight w:val="450"/>
        </w:trPr>
        <w:tc>
          <w:tcPr>
            <w:tcW w:w="332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8EF3E1A"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D2E1C73"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8770DF" w:rsidRPr="00A33AE8" w14:paraId="2AFD4594" w14:textId="77777777" w:rsidTr="006769DA">
        <w:trPr>
          <w:trHeight w:val="300"/>
        </w:trPr>
        <w:tc>
          <w:tcPr>
            <w:tcW w:w="3328" w:type="dxa"/>
            <w:vMerge/>
            <w:tcBorders>
              <w:top w:val="nil"/>
              <w:left w:val="single" w:sz="8" w:space="0" w:color="auto"/>
              <w:bottom w:val="single" w:sz="8" w:space="0" w:color="000000"/>
              <w:right w:val="single" w:sz="8" w:space="0" w:color="auto"/>
            </w:tcBorders>
            <w:vAlign w:val="center"/>
            <w:hideMark/>
          </w:tcPr>
          <w:p w14:paraId="52DF69C7"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5FE9DF84"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A30BE32" w14:textId="77777777" w:rsidR="008770DF" w:rsidRPr="00A33AE8" w:rsidRDefault="008770DF" w:rsidP="006769DA">
            <w:pPr>
              <w:spacing w:after="0" w:line="240" w:lineRule="auto"/>
              <w:rPr>
                <w:rFonts w:ascii="Calibri Light" w:eastAsia="Times New Roman" w:hAnsi="Calibri Light" w:cs="Calibri Light"/>
                <w:color w:val="000000"/>
                <w:sz w:val="20"/>
                <w:szCs w:val="20"/>
                <w:lang w:eastAsia="en-GB"/>
              </w:rPr>
            </w:pPr>
          </w:p>
        </w:tc>
      </w:tr>
      <w:tr w:rsidR="008770DF" w:rsidRPr="00A33AE8" w14:paraId="11CE323A" w14:textId="77777777" w:rsidTr="006769DA">
        <w:trPr>
          <w:trHeight w:val="54"/>
        </w:trPr>
        <w:tc>
          <w:tcPr>
            <w:tcW w:w="3328" w:type="dxa"/>
            <w:vMerge/>
            <w:tcBorders>
              <w:top w:val="nil"/>
              <w:left w:val="single" w:sz="8" w:space="0" w:color="auto"/>
              <w:bottom w:val="single" w:sz="8" w:space="0" w:color="000000"/>
              <w:right w:val="single" w:sz="8" w:space="0" w:color="auto"/>
            </w:tcBorders>
            <w:vAlign w:val="center"/>
            <w:hideMark/>
          </w:tcPr>
          <w:p w14:paraId="51630832"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5F3E404D"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235B784"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090C692B" w14:textId="77777777" w:rsidTr="006769DA">
        <w:trPr>
          <w:trHeight w:val="54"/>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E698482"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10D33DD" w14:textId="77777777" w:rsidR="008770DF" w:rsidRPr="00A33AE8" w:rsidRDefault="008770DF" w:rsidP="008E270C">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128B6773"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23618F32"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C2B478D"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364B726" w14:textId="77777777" w:rsidR="008770DF" w:rsidRPr="000007D2" w:rsidRDefault="00274FEC"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35</w:t>
            </w:r>
            <w:r w:rsidR="00C72D08" w:rsidRPr="00A33AE8">
              <w:rPr>
                <w:rFonts w:ascii="Calibri Light" w:eastAsia="Times New Roman" w:hAnsi="Calibri Light" w:cs="Calibri Light"/>
                <w:color w:val="000000"/>
                <w:sz w:val="20"/>
                <w:szCs w:val="20"/>
                <w:lang w:eastAsia="en-GB"/>
              </w:rPr>
              <w:t xml:space="preserve"> </w:t>
            </w:r>
            <w:r w:rsidR="0076265E" w:rsidRPr="00A33AE8">
              <w:rPr>
                <w:rFonts w:ascii="Calibri Light" w:eastAsia="Times New Roman" w:hAnsi="Calibri Light" w:cs="Calibri Light"/>
                <w:color w:val="000000"/>
                <w:sz w:val="20"/>
                <w:szCs w:val="20"/>
                <w:lang w:eastAsia="en-GB"/>
              </w:rPr>
              <w:t>M</w:t>
            </w:r>
            <w:r w:rsidR="0076265E" w:rsidRPr="00A33AE8">
              <w:rPr>
                <w:rFonts w:ascii="Calibri" w:eastAsia="Times New Roman" w:hAnsi="Calibri" w:cs="Calibri"/>
                <w:color w:val="000000"/>
                <w:sz w:val="20"/>
                <w:szCs w:val="20"/>
                <w:lang w:eastAsia="en-GB"/>
              </w:rPr>
              <w:t>€</w:t>
            </w:r>
          </w:p>
        </w:tc>
        <w:tc>
          <w:tcPr>
            <w:tcW w:w="222" w:type="dxa"/>
            <w:vAlign w:val="center"/>
            <w:hideMark/>
          </w:tcPr>
          <w:p w14:paraId="29D31F39"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3AC60126"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0BF418F"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4430754" w14:textId="77777777" w:rsidR="008770DF" w:rsidRPr="00A33AE8" w:rsidRDefault="009C7118"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4A7D0F6F"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bl>
    <w:p w14:paraId="5926D0E4" w14:textId="77777777" w:rsidR="008770DF" w:rsidRPr="00A33AE8" w:rsidRDefault="008770DF" w:rsidP="008770DF">
      <w:pPr>
        <w:pStyle w:val="LDKbody"/>
        <w:rPr>
          <w:lang w:val="en-GB"/>
        </w:rPr>
      </w:pPr>
    </w:p>
    <w:tbl>
      <w:tblPr>
        <w:tblW w:w="9680" w:type="dxa"/>
        <w:tblLook w:val="04A0" w:firstRow="1" w:lastRow="0" w:firstColumn="1" w:lastColumn="0" w:noHBand="0" w:noVBand="1"/>
      </w:tblPr>
      <w:tblGrid>
        <w:gridCol w:w="3327"/>
        <w:gridCol w:w="945"/>
        <w:gridCol w:w="946"/>
        <w:gridCol w:w="4240"/>
        <w:gridCol w:w="222"/>
      </w:tblGrid>
      <w:tr w:rsidR="008770DF" w:rsidRPr="00A33AE8" w14:paraId="57BFA86A" w14:textId="77777777" w:rsidTr="006769DA">
        <w:trPr>
          <w:gridAfter w:val="1"/>
          <w:wAfter w:w="222" w:type="dxa"/>
          <w:trHeight w:val="780"/>
        </w:trPr>
        <w:tc>
          <w:tcPr>
            <w:tcW w:w="332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1289C9C" w14:textId="77777777" w:rsidR="008770DF" w:rsidRPr="00A33AE8" w:rsidRDefault="008770D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4E0CE815" w14:textId="77777777" w:rsidR="008770DF" w:rsidRPr="00A33AE8" w:rsidRDefault="008770D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87B3F" w:rsidRPr="00A33AE8">
              <w:rPr>
                <w:rFonts w:ascii="Calibri Light" w:eastAsia="Times New Roman" w:hAnsi="Calibri Light" w:cs="Calibri Light"/>
                <w:b/>
                <w:bCs/>
                <w:color w:val="000000"/>
                <w:sz w:val="20"/>
                <w:szCs w:val="20"/>
                <w:lang w:eastAsia="en-GB"/>
              </w:rPr>
              <w:t>D39</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60305E8B"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3AA7F06F" w14:textId="77777777" w:rsidR="008770DF" w:rsidRPr="00A33AE8" w:rsidRDefault="008770D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the required legislative framework and the required infrastructure for the deployment of biomethane and renewable hydrogen</w:t>
            </w:r>
          </w:p>
        </w:tc>
      </w:tr>
      <w:tr w:rsidR="008770DF" w:rsidRPr="00A33AE8" w14:paraId="0522BE5C" w14:textId="77777777" w:rsidTr="006769DA">
        <w:trPr>
          <w:gridAfter w:val="1"/>
          <w:wAfter w:w="222" w:type="dxa"/>
          <w:trHeight w:val="305"/>
        </w:trPr>
        <w:tc>
          <w:tcPr>
            <w:tcW w:w="3327" w:type="dxa"/>
            <w:tcBorders>
              <w:top w:val="nil"/>
              <w:left w:val="single" w:sz="8" w:space="0" w:color="auto"/>
              <w:bottom w:val="single" w:sz="8" w:space="0" w:color="auto"/>
              <w:right w:val="nil"/>
            </w:tcBorders>
            <w:shd w:val="clear" w:color="000000" w:fill="244062"/>
            <w:vAlign w:val="center"/>
            <w:hideMark/>
          </w:tcPr>
          <w:p w14:paraId="6EACDF65"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79030D50" w14:textId="77777777" w:rsidR="008770DF" w:rsidRPr="00A33AE8" w:rsidRDefault="008770DF"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8770DF" w:rsidRPr="00A33AE8" w14:paraId="4AC42AB8"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20ED927C"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1"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55196853" w14:textId="77777777" w:rsidR="00FC1D57" w:rsidRPr="00A33AE8" w:rsidRDefault="00FC1D57"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the quantified objective of PM_D3</w:t>
            </w:r>
            <w:r w:rsidR="00187B3F" w:rsidRPr="00A33AE8">
              <w:rPr>
                <w:rFonts w:ascii="Calibri Light" w:eastAsia="Times New Roman" w:hAnsi="Calibri Light" w:cs="Calibri Light"/>
                <w:color w:val="000000"/>
                <w:sz w:val="20"/>
                <w:szCs w:val="20"/>
                <w:lang w:eastAsia="en-GB"/>
              </w:rPr>
              <w:t>8</w:t>
            </w:r>
          </w:p>
        </w:tc>
      </w:tr>
      <w:tr w:rsidR="008770DF" w:rsidRPr="00A33AE8" w14:paraId="015579EB" w14:textId="77777777" w:rsidTr="006769DA">
        <w:trPr>
          <w:gridAfter w:val="1"/>
          <w:wAfter w:w="222" w:type="dxa"/>
          <w:trHeight w:val="910"/>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62A7A444"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455B339" w14:textId="77777777" w:rsidR="0022676A" w:rsidRPr="00A33AE8" w:rsidRDefault="008770D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87B3F" w:rsidRPr="00A33AE8">
              <w:rPr>
                <w:rFonts w:ascii="Calibri Light" w:eastAsia="Times New Roman" w:hAnsi="Calibri Light" w:cs="Calibri Light"/>
                <w:color w:val="000000"/>
                <w:sz w:val="20"/>
                <w:szCs w:val="20"/>
                <w:lang w:eastAsia="en-GB"/>
              </w:rPr>
              <w:t xml:space="preserve">D39 </w:t>
            </w:r>
            <w:r w:rsidRPr="00A33AE8">
              <w:rPr>
                <w:rFonts w:ascii="Calibri Light" w:eastAsia="Times New Roman" w:hAnsi="Calibri Light" w:cs="Calibri Light"/>
                <w:color w:val="000000"/>
                <w:sz w:val="20"/>
                <w:szCs w:val="20"/>
                <w:lang w:eastAsia="en-GB"/>
              </w:rPr>
              <w:t>will adopt the legislative framework (e.g</w:t>
            </w:r>
            <w:r w:rsidR="0022676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 xml:space="preserve"> licensing, technical guidelines) and facilitate the deployment of the required infrastructure for allowing the use and consumption of biomethane and renewable hydrogen in the end-use </w:t>
            </w:r>
            <w:r w:rsidR="00801EF6" w:rsidRPr="00A33AE8">
              <w:rPr>
                <w:rFonts w:ascii="Calibri Light" w:eastAsia="Times New Roman" w:hAnsi="Calibri Light" w:cs="Calibri Light"/>
                <w:color w:val="000000"/>
                <w:sz w:val="20"/>
                <w:szCs w:val="20"/>
                <w:lang w:eastAsia="en-GB"/>
              </w:rPr>
              <w:t xml:space="preserve">sectors. </w:t>
            </w:r>
            <w:r w:rsidR="0022676A" w:rsidRPr="00A33AE8">
              <w:rPr>
                <w:rFonts w:ascii="Calibri Light" w:eastAsia="Times New Roman" w:hAnsi="Calibri Light" w:cs="Calibri Light"/>
                <w:color w:val="000000"/>
                <w:sz w:val="20"/>
                <w:szCs w:val="20"/>
                <w:lang w:eastAsia="en-GB"/>
              </w:rPr>
              <w:t>Indicatively, the following aspects will be examined:</w:t>
            </w:r>
          </w:p>
          <w:p w14:paraId="76C96879" w14:textId="77777777" w:rsidR="0022676A" w:rsidRPr="00A33AE8" w:rsidRDefault="0022676A"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Identification of the most suitable business model for the further exploitation of hydrogen and biomethane.</w:t>
            </w:r>
          </w:p>
          <w:p w14:paraId="27B9D0D6" w14:textId="77777777" w:rsidR="0022676A" w:rsidRPr="00A33AE8" w:rsidRDefault="0022676A"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Specification of the licencing and permitting procedures of the plants for the production of renewable hydrogen and biomethane including the provisions of </w:t>
            </w:r>
            <w:r w:rsidR="00775488" w:rsidRPr="00A33AE8">
              <w:rPr>
                <w:rFonts w:ascii="Calibri Light" w:eastAsia="Times New Roman" w:hAnsi="Calibri Light" w:cs="Calibri Light"/>
                <w:color w:val="000000"/>
                <w:sz w:val="20"/>
                <w:szCs w:val="20"/>
                <w:lang w:eastAsia="en-GB"/>
              </w:rPr>
              <w:t>the planning and construction legislative framework</w:t>
            </w:r>
            <w:r w:rsidRPr="00A33AE8">
              <w:rPr>
                <w:rFonts w:ascii="Calibri Light" w:eastAsia="Times New Roman" w:hAnsi="Calibri Light" w:cs="Calibri Light"/>
                <w:color w:val="000000"/>
                <w:sz w:val="20"/>
                <w:szCs w:val="20"/>
                <w:lang w:eastAsia="en-GB"/>
              </w:rPr>
              <w:t>.</w:t>
            </w:r>
          </w:p>
          <w:p w14:paraId="1E8D645B" w14:textId="77777777" w:rsidR="0022676A" w:rsidRPr="00A33AE8" w:rsidRDefault="003C1812"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Promotion of</w:t>
            </w:r>
            <w:r w:rsidR="0022676A" w:rsidRPr="00A33AE8">
              <w:rPr>
                <w:rFonts w:ascii="Calibri Light" w:eastAsia="Times New Roman" w:hAnsi="Calibri Light" w:cs="Calibri Light"/>
                <w:color w:val="000000"/>
                <w:sz w:val="20"/>
                <w:szCs w:val="20"/>
                <w:lang w:eastAsia="en-GB"/>
              </w:rPr>
              <w:t xml:space="preserve"> the sustainability and certification of the produced renewable hydrogen and biomethane.</w:t>
            </w:r>
          </w:p>
          <w:p w14:paraId="314FBCE5" w14:textId="77777777" w:rsidR="0022676A" w:rsidRPr="00A33AE8" w:rsidRDefault="0022676A"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Definition of the technical specifications for the transmission, storage and ejection of the produced renewable hydrogen and biomethane into the natural gas infrastructure.</w:t>
            </w:r>
          </w:p>
          <w:p w14:paraId="5B0E5BC1" w14:textId="77777777" w:rsidR="0022676A" w:rsidRPr="00A33AE8" w:rsidRDefault="0022676A"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Determination of the conditions for the third-party access to natural gas infrastructure.</w:t>
            </w:r>
          </w:p>
          <w:p w14:paraId="50E2EEA7" w14:textId="77777777" w:rsidR="0022676A" w:rsidRPr="00A33AE8" w:rsidRDefault="0022676A"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Adoption of the duties and responsibilities of the administrators of the natural gas distribution networks.</w:t>
            </w:r>
          </w:p>
          <w:p w14:paraId="2CEA59F5" w14:textId="77777777" w:rsidR="0022676A" w:rsidRPr="00A33AE8" w:rsidRDefault="0022676A" w:rsidP="00884F3B">
            <w:pPr>
              <w:pStyle w:val="ListParagraph"/>
              <w:numPr>
                <w:ilvl w:val="0"/>
                <w:numId w:val="246"/>
              </w:numPr>
              <w:tabs>
                <w:tab w:val="left" w:pos="247"/>
              </w:tabs>
              <w:spacing w:after="0" w:line="240" w:lineRule="auto"/>
              <w:ind w:left="0" w:firstLine="0"/>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Exploitation of the available potential in the biological treatment plants and the organic residue of municipal waste.</w:t>
            </w:r>
          </w:p>
          <w:p w14:paraId="3589C4F3" w14:textId="77777777" w:rsidR="008770DF" w:rsidRPr="00A33AE8" w:rsidRDefault="00801EF6"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The</w:t>
            </w:r>
            <w:r w:rsidR="008770DF" w:rsidRPr="00A33AE8">
              <w:rPr>
                <w:rFonts w:ascii="Calibri Light" w:eastAsia="Times New Roman" w:hAnsi="Calibri Light" w:cs="Calibri Light"/>
                <w:color w:val="000000"/>
                <w:sz w:val="20"/>
                <w:szCs w:val="20"/>
                <w:lang w:eastAsia="en-GB"/>
              </w:rPr>
              <w:t xml:space="preserve"> construction of dedicated infrastructures for large-scale storage and transportation of pure hydrogen, going beyond point-to-point pipelines within industrial clusters, will be explored.</w:t>
            </w:r>
          </w:p>
        </w:tc>
      </w:tr>
      <w:tr w:rsidR="008770DF" w:rsidRPr="00A33AE8" w14:paraId="5A919484"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732E577"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699EFCF" w14:textId="77777777" w:rsidR="008770DF" w:rsidRPr="00A33AE8" w:rsidRDefault="00412C8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8770DF" w:rsidRPr="00A33AE8">
              <w:rPr>
                <w:rFonts w:ascii="Calibri Light" w:eastAsia="Times New Roman" w:hAnsi="Calibri Light" w:cs="Calibri Light"/>
                <w:color w:val="000000"/>
                <w:sz w:val="20"/>
                <w:szCs w:val="20"/>
                <w:lang w:eastAsia="en-GB"/>
              </w:rPr>
              <w:t>-2030</w:t>
            </w:r>
          </w:p>
        </w:tc>
      </w:tr>
      <w:tr w:rsidR="008770DF" w:rsidRPr="00A33AE8" w14:paraId="10E815E9"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DFB6E43"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1C1BFCE" w14:textId="77777777" w:rsidR="008770DF" w:rsidRPr="00A33AE8" w:rsidRDefault="008C055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8770DF" w:rsidRPr="00A33AE8" w14:paraId="6DF7CE5D"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329D377B"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4662720" w14:textId="77777777" w:rsidR="008770DF" w:rsidRPr="00A33AE8" w:rsidRDefault="008770D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8770DF" w:rsidRPr="00A33AE8" w14:paraId="20A33FFE"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6B4BA86"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E648084" w14:textId="77777777" w:rsidR="008770DF"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770DF" w:rsidRPr="00A33AE8" w14:paraId="57C3920F"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31DAA673"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C3065F1" w14:textId="77777777" w:rsidR="008770DF" w:rsidRPr="00A33AE8" w:rsidRDefault="00F073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0731B">
              <w:rPr>
                <w:rFonts w:ascii="Calibri Light" w:eastAsia="Times New Roman" w:hAnsi="Calibri Light" w:cs="Calibri Light"/>
                <w:color w:val="000000"/>
                <w:sz w:val="20"/>
                <w:szCs w:val="20"/>
                <w:lang w:eastAsia="en-GB"/>
              </w:rPr>
              <w:t>Government of the Republic of Serbia</w:t>
            </w:r>
          </w:p>
        </w:tc>
      </w:tr>
      <w:tr w:rsidR="008770DF" w:rsidRPr="00A33AE8" w14:paraId="0C244922"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04C73C8B"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A6A53F8" w14:textId="77777777" w:rsidR="008770DF" w:rsidRPr="00A33AE8" w:rsidRDefault="00F72DA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Developed </w:t>
            </w:r>
            <w:r w:rsidR="009C7118" w:rsidRPr="00A33AE8">
              <w:rPr>
                <w:rFonts w:ascii="Calibri Light" w:eastAsia="Times New Roman" w:hAnsi="Calibri Light" w:cs="Calibri Light"/>
                <w:color w:val="000000"/>
                <w:sz w:val="20"/>
                <w:szCs w:val="20"/>
                <w:lang w:eastAsia="en-GB"/>
              </w:rPr>
              <w:t>legislative and regulatory framework</w:t>
            </w:r>
          </w:p>
        </w:tc>
      </w:tr>
      <w:tr w:rsidR="006C6A30" w:rsidRPr="00A33AE8" w14:paraId="1C8C0BFC" w14:textId="77777777" w:rsidTr="006769DA">
        <w:trPr>
          <w:gridAfter w:val="1"/>
          <w:wAfter w:w="222" w:type="dxa"/>
          <w:trHeight w:val="173"/>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67165060"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tcPr>
          <w:p w14:paraId="5E166776" w14:textId="77777777" w:rsidR="006C6A30" w:rsidRPr="00A33AE8" w:rsidRDefault="00F073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0731B">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8770DF" w:rsidRPr="00A33AE8" w14:paraId="4212E7D5" w14:textId="77777777" w:rsidTr="006769DA">
        <w:trPr>
          <w:gridAfter w:val="1"/>
          <w:wAfter w:w="222" w:type="dxa"/>
          <w:trHeight w:val="450"/>
        </w:trPr>
        <w:tc>
          <w:tcPr>
            <w:tcW w:w="332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3B48E86"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CC8B91"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8770DF" w:rsidRPr="00A33AE8" w14:paraId="210C2A9D" w14:textId="77777777" w:rsidTr="006769DA">
        <w:trPr>
          <w:trHeight w:val="300"/>
        </w:trPr>
        <w:tc>
          <w:tcPr>
            <w:tcW w:w="3327" w:type="dxa"/>
            <w:vMerge/>
            <w:tcBorders>
              <w:top w:val="nil"/>
              <w:left w:val="single" w:sz="8" w:space="0" w:color="auto"/>
              <w:bottom w:val="single" w:sz="8" w:space="0" w:color="000000"/>
              <w:right w:val="single" w:sz="8" w:space="0" w:color="auto"/>
            </w:tcBorders>
            <w:vAlign w:val="center"/>
            <w:hideMark/>
          </w:tcPr>
          <w:p w14:paraId="6A54AC05"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4D5838B9"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C84E32E" w14:textId="77777777" w:rsidR="008770DF" w:rsidRPr="00A33AE8" w:rsidRDefault="008770DF" w:rsidP="006769DA">
            <w:pPr>
              <w:spacing w:after="0" w:line="240" w:lineRule="auto"/>
              <w:rPr>
                <w:rFonts w:ascii="Calibri Light" w:eastAsia="Times New Roman" w:hAnsi="Calibri Light" w:cs="Calibri Light"/>
                <w:color w:val="000000"/>
                <w:sz w:val="20"/>
                <w:szCs w:val="20"/>
                <w:lang w:eastAsia="en-GB"/>
              </w:rPr>
            </w:pPr>
          </w:p>
        </w:tc>
      </w:tr>
      <w:tr w:rsidR="008770DF" w:rsidRPr="00A33AE8" w14:paraId="6D3FCDCE" w14:textId="77777777" w:rsidTr="006769DA">
        <w:trPr>
          <w:trHeight w:val="315"/>
        </w:trPr>
        <w:tc>
          <w:tcPr>
            <w:tcW w:w="3327" w:type="dxa"/>
            <w:vMerge/>
            <w:tcBorders>
              <w:top w:val="nil"/>
              <w:left w:val="single" w:sz="8" w:space="0" w:color="auto"/>
              <w:bottom w:val="single" w:sz="8" w:space="0" w:color="000000"/>
              <w:right w:val="single" w:sz="8" w:space="0" w:color="auto"/>
            </w:tcBorders>
            <w:vAlign w:val="center"/>
            <w:hideMark/>
          </w:tcPr>
          <w:p w14:paraId="6ACB86C6"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1CFE4D8C" w14:textId="77777777" w:rsidR="008770DF" w:rsidRPr="00A33AE8" w:rsidRDefault="008770D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2F1B1D3"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069E086B" w14:textId="77777777" w:rsidTr="006769DA">
        <w:trPr>
          <w:trHeight w:val="14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3C75617"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13E8CBE" w14:textId="77777777" w:rsidR="008770DF" w:rsidRPr="000007D2" w:rsidRDefault="00775488" w:rsidP="00884F3B">
            <w:pPr>
              <w:pStyle w:val="ListParagraph"/>
              <w:numPr>
                <w:ilvl w:val="0"/>
                <w:numId w:val="250"/>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Law on Planning and Construction</w:t>
            </w:r>
          </w:p>
        </w:tc>
        <w:tc>
          <w:tcPr>
            <w:tcW w:w="222" w:type="dxa"/>
            <w:vAlign w:val="center"/>
            <w:hideMark/>
          </w:tcPr>
          <w:p w14:paraId="67AA2D70"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67F58C40"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7B5A578"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E99DA11" w14:textId="77777777" w:rsidR="008770DF" w:rsidRPr="00A33AE8" w:rsidRDefault="0076265E"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0.8 M</w:t>
            </w:r>
            <w:r w:rsidRPr="00A33AE8">
              <w:rPr>
                <w:rFonts w:ascii="Calibri" w:eastAsia="Times New Roman" w:hAnsi="Calibri" w:cs="Calibri"/>
                <w:color w:val="000000"/>
                <w:sz w:val="20"/>
                <w:szCs w:val="20"/>
                <w:lang w:eastAsia="en-GB"/>
              </w:rPr>
              <w:t>€</w:t>
            </w:r>
          </w:p>
        </w:tc>
        <w:tc>
          <w:tcPr>
            <w:tcW w:w="222" w:type="dxa"/>
            <w:vAlign w:val="center"/>
            <w:hideMark/>
          </w:tcPr>
          <w:p w14:paraId="3F4F8030"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r w:rsidR="008770DF" w:rsidRPr="00A33AE8" w14:paraId="555F8475"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21252C8" w14:textId="77777777" w:rsidR="008770DF" w:rsidRPr="00A33AE8" w:rsidRDefault="008770D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3FEB333" w14:textId="77777777" w:rsidR="008770DF" w:rsidRPr="00A33AE8" w:rsidRDefault="009C7118"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7D2D7E9F" w14:textId="77777777" w:rsidR="008770DF" w:rsidRPr="00A33AE8" w:rsidRDefault="008770DF" w:rsidP="006769DA">
            <w:pPr>
              <w:spacing w:after="0" w:line="240" w:lineRule="auto"/>
              <w:rPr>
                <w:rFonts w:ascii="Times New Roman" w:eastAsia="Times New Roman" w:hAnsi="Times New Roman" w:cs="Times New Roman"/>
                <w:sz w:val="20"/>
                <w:szCs w:val="20"/>
                <w:lang w:eastAsia="en-GB"/>
              </w:rPr>
            </w:pPr>
          </w:p>
        </w:tc>
      </w:tr>
    </w:tbl>
    <w:p w14:paraId="4C696F85" w14:textId="77777777" w:rsidR="00580082" w:rsidRPr="00A33AE8" w:rsidRDefault="00580082" w:rsidP="00580082">
      <w:pPr>
        <w:pStyle w:val="LDKbody"/>
        <w:rPr>
          <w:lang w:val="en-GB"/>
        </w:rPr>
      </w:pPr>
    </w:p>
    <w:tbl>
      <w:tblPr>
        <w:tblW w:w="9680" w:type="dxa"/>
        <w:tblLook w:val="04A0" w:firstRow="1" w:lastRow="0" w:firstColumn="1" w:lastColumn="0" w:noHBand="0" w:noVBand="1"/>
      </w:tblPr>
      <w:tblGrid>
        <w:gridCol w:w="3327"/>
        <w:gridCol w:w="944"/>
        <w:gridCol w:w="946"/>
        <w:gridCol w:w="4241"/>
        <w:gridCol w:w="222"/>
      </w:tblGrid>
      <w:tr w:rsidR="00580082" w:rsidRPr="00A33AE8" w14:paraId="0451550B" w14:textId="77777777" w:rsidTr="006769DA">
        <w:trPr>
          <w:gridAfter w:val="1"/>
          <w:wAfter w:w="222" w:type="dxa"/>
          <w:trHeight w:val="780"/>
        </w:trPr>
        <w:tc>
          <w:tcPr>
            <w:tcW w:w="332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3E81431" w14:textId="77777777" w:rsidR="00580082" w:rsidRPr="00A33AE8" w:rsidRDefault="00580082"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4" w:type="dxa"/>
            <w:tcBorders>
              <w:top w:val="single" w:sz="8" w:space="0" w:color="auto"/>
              <w:left w:val="nil"/>
              <w:bottom w:val="single" w:sz="8" w:space="0" w:color="auto"/>
              <w:right w:val="single" w:sz="8" w:space="0" w:color="auto"/>
            </w:tcBorders>
            <w:shd w:val="clear" w:color="auto" w:fill="E7E6E6" w:themeFill="background2"/>
            <w:vAlign w:val="center"/>
            <w:hideMark/>
          </w:tcPr>
          <w:p w14:paraId="795B4B3A" w14:textId="77777777" w:rsidR="00580082" w:rsidRPr="00A33AE8" w:rsidRDefault="00580082"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5E1B6B" w:rsidRPr="00A33AE8">
              <w:rPr>
                <w:rFonts w:ascii="Calibri Light" w:eastAsia="Times New Roman" w:hAnsi="Calibri Light" w:cs="Calibri Light"/>
                <w:b/>
                <w:bCs/>
                <w:color w:val="000000"/>
                <w:sz w:val="20"/>
                <w:szCs w:val="20"/>
                <w:lang w:eastAsia="en-GB"/>
              </w:rPr>
              <w:t>D43</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3E61EF73"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E2BE086" w14:textId="77777777" w:rsidR="00580082" w:rsidRPr="00A33AE8" w:rsidRDefault="00580082"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RES through public procurement</w:t>
            </w:r>
            <w:r w:rsidR="00412C87" w:rsidRPr="00A33AE8">
              <w:rPr>
                <w:rFonts w:ascii="Calibri Light" w:eastAsia="Times New Roman" w:hAnsi="Calibri Light" w:cs="Calibri Light"/>
                <w:b/>
                <w:bCs/>
                <w:color w:val="000000"/>
                <w:sz w:val="20"/>
                <w:szCs w:val="20"/>
                <w:lang w:eastAsia="en-GB"/>
              </w:rPr>
              <w:t xml:space="preserve"> procedures</w:t>
            </w:r>
          </w:p>
        </w:tc>
      </w:tr>
      <w:tr w:rsidR="00580082" w:rsidRPr="00A33AE8" w14:paraId="03A9EDD8" w14:textId="77777777" w:rsidTr="006769DA">
        <w:trPr>
          <w:gridAfter w:val="1"/>
          <w:wAfter w:w="222" w:type="dxa"/>
          <w:trHeight w:val="327"/>
        </w:trPr>
        <w:tc>
          <w:tcPr>
            <w:tcW w:w="3327" w:type="dxa"/>
            <w:tcBorders>
              <w:top w:val="nil"/>
              <w:left w:val="single" w:sz="8" w:space="0" w:color="auto"/>
              <w:bottom w:val="single" w:sz="8" w:space="0" w:color="auto"/>
              <w:right w:val="nil"/>
            </w:tcBorders>
            <w:shd w:val="clear" w:color="000000" w:fill="244062"/>
            <w:vAlign w:val="center"/>
            <w:hideMark/>
          </w:tcPr>
          <w:p w14:paraId="3F382ABD"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8CC60C9" w14:textId="77777777" w:rsidR="00580082" w:rsidRPr="00A33AE8" w:rsidRDefault="00580082"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580082" w:rsidRPr="00A33AE8" w14:paraId="42B610AC"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29161D62"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0720EFE" w14:textId="77777777" w:rsidR="00580082" w:rsidRPr="00A33AE8" w:rsidRDefault="005E1B6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the expected RES penetration for electricity production, heating and cooling and transport</w:t>
            </w:r>
          </w:p>
        </w:tc>
      </w:tr>
      <w:tr w:rsidR="003E401B" w:rsidRPr="00A33AE8" w14:paraId="209A20FB" w14:textId="77777777" w:rsidTr="006769DA">
        <w:trPr>
          <w:gridAfter w:val="1"/>
          <w:wAfter w:w="222" w:type="dxa"/>
          <w:trHeight w:val="1267"/>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DAA6DA0"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E3C767A" w14:textId="6E79D19C" w:rsidR="003E401B" w:rsidRPr="00A33AE8" w:rsidRDefault="003E401B" w:rsidP="003E401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5E1B6B" w:rsidRPr="00A33AE8">
              <w:rPr>
                <w:rFonts w:ascii="Calibri Light" w:eastAsia="Times New Roman" w:hAnsi="Calibri Light" w:cs="Calibri Light"/>
                <w:color w:val="000000"/>
                <w:sz w:val="20"/>
                <w:szCs w:val="20"/>
                <w:lang w:eastAsia="en-GB"/>
              </w:rPr>
              <w:t xml:space="preserve">D43 </w:t>
            </w:r>
            <w:r w:rsidRPr="00A33AE8">
              <w:rPr>
                <w:rFonts w:ascii="Calibri Light" w:eastAsia="Times New Roman" w:hAnsi="Calibri Light" w:cs="Calibri Light"/>
                <w:color w:val="000000"/>
                <w:sz w:val="20"/>
                <w:szCs w:val="20"/>
                <w:lang w:eastAsia="en-GB"/>
              </w:rPr>
              <w:t xml:space="preserve">will facilitate the further deployment of renewable energy sources through the </w:t>
            </w:r>
            <w:r w:rsidR="00412C87" w:rsidRPr="00A33AE8">
              <w:rPr>
                <w:rFonts w:ascii="Calibri Light" w:eastAsia="Times New Roman" w:hAnsi="Calibri Light" w:cs="Calibri Light"/>
                <w:color w:val="000000"/>
                <w:sz w:val="20"/>
                <w:szCs w:val="20"/>
                <w:lang w:eastAsia="en-GB"/>
              </w:rPr>
              <w:t>existing</w:t>
            </w:r>
            <w:r w:rsidRPr="00A33AE8">
              <w:rPr>
                <w:rFonts w:ascii="Calibri Light" w:eastAsia="Times New Roman" w:hAnsi="Calibri Light" w:cs="Calibri Light"/>
                <w:color w:val="000000"/>
                <w:sz w:val="20"/>
                <w:szCs w:val="20"/>
                <w:lang w:eastAsia="en-GB"/>
              </w:rPr>
              <w:t xml:space="preserve"> public procurement procedures demonstrating simultaneously the exemplary role of the public sector. The appropriate legislative framework </w:t>
            </w:r>
            <w:r w:rsidR="00412C87" w:rsidRPr="00A33AE8">
              <w:rPr>
                <w:rFonts w:ascii="Calibri Light" w:eastAsia="Times New Roman" w:hAnsi="Calibri Light" w:cs="Calibri Light"/>
                <w:color w:val="000000"/>
                <w:sz w:val="20"/>
                <w:szCs w:val="20"/>
                <w:lang w:eastAsia="en-GB"/>
              </w:rPr>
              <w:t>will</w:t>
            </w:r>
            <w:r w:rsidRPr="00A33AE8">
              <w:rPr>
                <w:rFonts w:ascii="Calibri Light" w:eastAsia="Times New Roman" w:hAnsi="Calibri Light" w:cs="Calibri Light"/>
                <w:color w:val="000000"/>
                <w:sz w:val="20"/>
                <w:szCs w:val="20"/>
                <w:lang w:eastAsia="en-GB"/>
              </w:rPr>
              <w:t xml:space="preserve"> be </w:t>
            </w:r>
            <w:r w:rsidR="00412C87" w:rsidRPr="00A33AE8">
              <w:rPr>
                <w:rFonts w:ascii="Calibri Light" w:eastAsia="Times New Roman" w:hAnsi="Calibri Light" w:cs="Calibri Light"/>
                <w:color w:val="000000"/>
                <w:sz w:val="20"/>
                <w:szCs w:val="20"/>
                <w:lang w:eastAsia="en-GB"/>
              </w:rPr>
              <w:t>improved</w:t>
            </w:r>
            <w:r w:rsidRPr="00A33AE8">
              <w:rPr>
                <w:rFonts w:ascii="Calibri Light" w:eastAsia="Times New Roman" w:hAnsi="Calibri Light" w:cs="Calibri Light"/>
                <w:color w:val="000000"/>
                <w:sz w:val="20"/>
                <w:szCs w:val="20"/>
                <w:lang w:eastAsia="en-GB"/>
              </w:rPr>
              <w:t xml:space="preserve"> ensuring the </w:t>
            </w:r>
            <w:r w:rsidR="00412C87" w:rsidRPr="00A33AE8">
              <w:rPr>
                <w:rFonts w:ascii="Calibri Light" w:eastAsia="Times New Roman" w:hAnsi="Calibri Light" w:cs="Calibri Light"/>
                <w:color w:val="000000"/>
                <w:sz w:val="20"/>
                <w:szCs w:val="20"/>
                <w:lang w:eastAsia="en-GB"/>
              </w:rPr>
              <w:t>promotion of renewable technologies through</w:t>
            </w:r>
            <w:r w:rsidRPr="00A33AE8">
              <w:rPr>
                <w:rFonts w:ascii="Calibri Light" w:eastAsia="Times New Roman" w:hAnsi="Calibri Light" w:cs="Calibri Light"/>
                <w:color w:val="000000"/>
                <w:sz w:val="20"/>
                <w:szCs w:val="20"/>
                <w:lang w:eastAsia="en-GB"/>
              </w:rPr>
              <w:t xml:space="preserve"> public procurement procedures. Furthermore, specific obligations will be imposed to public authorities in the form of mandatory quotas for the promotion of specific renewable energy technologies for all sectors of the final energy consumption.</w:t>
            </w:r>
          </w:p>
        </w:tc>
      </w:tr>
      <w:tr w:rsidR="00580082" w:rsidRPr="00A33AE8" w14:paraId="69F1E71A"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3EFFDFF"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38EFFE0C" w14:textId="77777777" w:rsidR="00580082" w:rsidRPr="00A33AE8" w:rsidRDefault="00412C8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80082" w:rsidRPr="00A33AE8">
              <w:rPr>
                <w:rFonts w:ascii="Calibri Light" w:eastAsia="Times New Roman" w:hAnsi="Calibri Light" w:cs="Calibri Light"/>
                <w:color w:val="000000"/>
                <w:sz w:val="20"/>
                <w:szCs w:val="20"/>
                <w:lang w:eastAsia="en-GB"/>
              </w:rPr>
              <w:t>-2030</w:t>
            </w:r>
          </w:p>
        </w:tc>
      </w:tr>
      <w:tr w:rsidR="003E401B" w:rsidRPr="00A33AE8" w14:paraId="1A3262D0"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003BBAFF" w14:textId="77777777" w:rsidR="003E401B" w:rsidRPr="00A33AE8" w:rsidRDefault="003E401B" w:rsidP="003E401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E81875B" w14:textId="77777777" w:rsidR="003E401B" w:rsidRPr="00A33AE8" w:rsidRDefault="003E401B" w:rsidP="003E401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Investment </w:t>
            </w:r>
            <w:r w:rsidR="005E1B6B" w:rsidRPr="00A33AE8">
              <w:rPr>
                <w:rFonts w:ascii="Calibri Light" w:eastAsia="Times New Roman" w:hAnsi="Calibri Light" w:cs="Calibri Light"/>
                <w:color w:val="000000"/>
                <w:sz w:val="20"/>
                <w:szCs w:val="20"/>
                <w:lang w:eastAsia="en-GB"/>
              </w:rPr>
              <w:t>and Reform</w:t>
            </w:r>
          </w:p>
        </w:tc>
      </w:tr>
      <w:tr w:rsidR="00580082" w:rsidRPr="00A33AE8" w14:paraId="56964F42"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A05829D"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0707DC8" w14:textId="77777777" w:rsidR="00580082" w:rsidRPr="00A33AE8" w:rsidRDefault="0058008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580082" w:rsidRPr="00A33AE8" w14:paraId="0F53F202"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5F6B6EB7"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37835738" w14:textId="77777777" w:rsidR="00DA20BF" w:rsidRPr="00A33AE8" w:rsidRDefault="00DA20BF"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44B5D908" w14:textId="77777777" w:rsidR="00580082" w:rsidRPr="00A33AE8" w:rsidRDefault="00F75F35"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580082" w:rsidRPr="00A33AE8" w14:paraId="7B4AD854"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2277F1FF"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E8B911C" w14:textId="77777777" w:rsidR="00580082" w:rsidRPr="00A33AE8" w:rsidRDefault="00F073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0731B">
              <w:rPr>
                <w:rFonts w:ascii="Calibri Light" w:eastAsia="Times New Roman" w:hAnsi="Calibri Light" w:cs="Calibri Light"/>
                <w:color w:val="000000"/>
                <w:sz w:val="20"/>
                <w:szCs w:val="20"/>
                <w:lang w:eastAsia="en-GB"/>
              </w:rPr>
              <w:t>Government of the Republic of Serbia</w:t>
            </w:r>
          </w:p>
        </w:tc>
      </w:tr>
      <w:tr w:rsidR="00580082" w:rsidRPr="00A33AE8" w14:paraId="118A6F2E"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015A03C8"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754FCD78" w14:textId="77777777" w:rsidR="00580082" w:rsidRPr="00A33AE8" w:rsidRDefault="005E1B6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Share of RES energy in the total amount of energy procured through the public procurement procedure</w:t>
            </w:r>
          </w:p>
        </w:tc>
      </w:tr>
      <w:tr w:rsidR="006C6A30" w:rsidRPr="00A33AE8" w14:paraId="51A4E3CC" w14:textId="77777777" w:rsidTr="006769DA">
        <w:trPr>
          <w:gridAfter w:val="1"/>
          <w:wAfter w:w="222" w:type="dxa"/>
          <w:trHeight w:val="259"/>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06D7FD06"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7128355" w14:textId="77777777" w:rsidR="00F0731B" w:rsidRPr="00F0731B" w:rsidRDefault="006C6A3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r w:rsidR="00F0731B">
              <w:rPr>
                <w:rFonts w:ascii="Calibri Light" w:eastAsia="Times New Roman" w:hAnsi="Calibri Light" w:cs="Calibri Light"/>
                <w:color w:val="000000"/>
                <w:sz w:val="20"/>
                <w:szCs w:val="20"/>
                <w:lang w:eastAsia="en-GB"/>
              </w:rPr>
              <w:t xml:space="preserve"> </w:t>
            </w:r>
            <w:r w:rsidR="00F0731B" w:rsidRPr="00F0731B">
              <w:rPr>
                <w:rFonts w:ascii="Calibri Light" w:eastAsia="Times New Roman" w:hAnsi="Calibri Light" w:cs="Calibri Light"/>
                <w:color w:val="000000"/>
                <w:sz w:val="20"/>
                <w:szCs w:val="20"/>
                <w:lang w:eastAsia="en-GB"/>
              </w:rPr>
              <w:t>(the promoted RES technologies will deliver also final and primary energy savings contributing to the achievement of the relevant targets)</w:t>
            </w:r>
          </w:p>
          <w:p w14:paraId="0C45178B" w14:textId="77777777" w:rsidR="006C6A30" w:rsidRPr="00A33AE8" w:rsidRDefault="00F073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F0731B">
              <w:rPr>
                <w:rFonts w:ascii="Calibri Light" w:eastAsia="Times New Roman" w:hAnsi="Calibri Light" w:cs="Calibri Light"/>
                <w:color w:val="000000"/>
                <w:sz w:val="20"/>
                <w:szCs w:val="20"/>
                <w:lang w:eastAsia="en-GB"/>
              </w:rPr>
              <w:lastRenderedPageBreak/>
              <w:t>Energy security (the penetration of RES technologies will reduce the energy import dependency from third countries and increase the deployment of domestic energy sources)</w:t>
            </w:r>
          </w:p>
        </w:tc>
      </w:tr>
      <w:tr w:rsidR="00580082" w:rsidRPr="00A33AE8" w14:paraId="233AA4B2" w14:textId="77777777" w:rsidTr="006769DA">
        <w:trPr>
          <w:gridAfter w:val="1"/>
          <w:wAfter w:w="222" w:type="dxa"/>
          <w:trHeight w:val="450"/>
        </w:trPr>
        <w:tc>
          <w:tcPr>
            <w:tcW w:w="332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DC3DAB5"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3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AA242D" w14:textId="77777777" w:rsidR="00580082" w:rsidRPr="00A33AE8" w:rsidRDefault="0058008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580082" w:rsidRPr="00A33AE8" w14:paraId="05AE10FD" w14:textId="77777777" w:rsidTr="006769DA">
        <w:trPr>
          <w:trHeight w:val="300"/>
        </w:trPr>
        <w:tc>
          <w:tcPr>
            <w:tcW w:w="3327" w:type="dxa"/>
            <w:vMerge/>
            <w:tcBorders>
              <w:top w:val="nil"/>
              <w:left w:val="single" w:sz="8" w:space="0" w:color="auto"/>
              <w:bottom w:val="single" w:sz="8" w:space="0" w:color="000000"/>
              <w:right w:val="single" w:sz="8" w:space="0" w:color="auto"/>
            </w:tcBorders>
            <w:vAlign w:val="center"/>
            <w:hideMark/>
          </w:tcPr>
          <w:p w14:paraId="1BCD0C0B"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2453D17F" w14:textId="77777777" w:rsidR="00580082" w:rsidRPr="00A33AE8" w:rsidRDefault="0058008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E98C443" w14:textId="77777777" w:rsidR="00580082" w:rsidRPr="00A33AE8" w:rsidRDefault="00580082" w:rsidP="006769DA">
            <w:pPr>
              <w:spacing w:after="0" w:line="240" w:lineRule="auto"/>
              <w:rPr>
                <w:rFonts w:ascii="Calibri Light" w:eastAsia="Times New Roman" w:hAnsi="Calibri Light" w:cs="Calibri Light"/>
                <w:color w:val="000000"/>
                <w:sz w:val="20"/>
                <w:szCs w:val="20"/>
                <w:lang w:eastAsia="en-GB"/>
              </w:rPr>
            </w:pPr>
          </w:p>
        </w:tc>
      </w:tr>
      <w:tr w:rsidR="00580082" w:rsidRPr="00A33AE8" w14:paraId="3F9FE1D5" w14:textId="77777777" w:rsidTr="006769DA">
        <w:trPr>
          <w:trHeight w:val="54"/>
        </w:trPr>
        <w:tc>
          <w:tcPr>
            <w:tcW w:w="3327" w:type="dxa"/>
            <w:vMerge/>
            <w:tcBorders>
              <w:top w:val="nil"/>
              <w:left w:val="single" w:sz="8" w:space="0" w:color="auto"/>
              <w:bottom w:val="single" w:sz="8" w:space="0" w:color="000000"/>
              <w:right w:val="single" w:sz="8" w:space="0" w:color="auto"/>
            </w:tcBorders>
            <w:vAlign w:val="center"/>
            <w:hideMark/>
          </w:tcPr>
          <w:p w14:paraId="01CE7ACD"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6949C97C" w14:textId="77777777" w:rsidR="00580082" w:rsidRPr="00A33AE8" w:rsidRDefault="0058008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EC39109" w14:textId="77777777" w:rsidR="00580082" w:rsidRPr="00A33AE8" w:rsidRDefault="00580082" w:rsidP="006769DA">
            <w:pPr>
              <w:spacing w:after="0" w:line="240" w:lineRule="auto"/>
              <w:rPr>
                <w:rFonts w:ascii="Times New Roman" w:eastAsia="Times New Roman" w:hAnsi="Times New Roman" w:cs="Times New Roman"/>
                <w:sz w:val="20"/>
                <w:szCs w:val="20"/>
                <w:lang w:eastAsia="en-GB"/>
              </w:rPr>
            </w:pPr>
          </w:p>
        </w:tc>
      </w:tr>
      <w:tr w:rsidR="00580082" w:rsidRPr="00A33AE8" w14:paraId="2EF8E31F" w14:textId="77777777" w:rsidTr="006769DA">
        <w:trPr>
          <w:trHeight w:val="307"/>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3A780DE"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7C07B257" w14:textId="77777777" w:rsidR="00580082" w:rsidRPr="00A33AE8" w:rsidRDefault="00580082" w:rsidP="008E270C">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4E51B0CF" w14:textId="77777777" w:rsidR="00580082" w:rsidRPr="00A33AE8" w:rsidRDefault="00580082" w:rsidP="006769DA">
            <w:pPr>
              <w:spacing w:after="0" w:line="240" w:lineRule="auto"/>
              <w:rPr>
                <w:rFonts w:ascii="Times New Roman" w:eastAsia="Times New Roman" w:hAnsi="Times New Roman" w:cs="Times New Roman"/>
                <w:sz w:val="20"/>
                <w:szCs w:val="20"/>
                <w:lang w:eastAsia="en-GB"/>
              </w:rPr>
            </w:pPr>
          </w:p>
        </w:tc>
      </w:tr>
      <w:tr w:rsidR="00D77F14" w:rsidRPr="00A33AE8" w14:paraId="5B63D2C0"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D2DE1A6" w14:textId="77777777" w:rsidR="00D77F14" w:rsidRPr="00A33AE8" w:rsidRDefault="00D77F14" w:rsidP="00D77F1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436586D" w14:textId="77777777" w:rsidR="00D77F14" w:rsidRPr="00A33AE8" w:rsidRDefault="00D77F14" w:rsidP="00D77F1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energy efficiency dimension measures</w:t>
            </w:r>
            <w:r w:rsidR="00274FEC" w:rsidRPr="00A33AE8">
              <w:rPr>
                <w:rFonts w:ascii="Calibri Light" w:eastAsia="Times New Roman" w:hAnsi="Calibri Light" w:cs="Calibri Light"/>
                <w:color w:val="000000"/>
                <w:sz w:val="20"/>
                <w:szCs w:val="20"/>
                <w:lang w:eastAsia="en-GB"/>
              </w:rPr>
              <w:t xml:space="preserve"> (PM_EE33)</w:t>
            </w:r>
          </w:p>
        </w:tc>
        <w:tc>
          <w:tcPr>
            <w:tcW w:w="222" w:type="dxa"/>
            <w:vAlign w:val="center"/>
            <w:hideMark/>
          </w:tcPr>
          <w:p w14:paraId="33EB0D23" w14:textId="77777777" w:rsidR="00D77F14" w:rsidRPr="00A33AE8" w:rsidRDefault="00D77F14" w:rsidP="00D77F14">
            <w:pPr>
              <w:spacing w:after="0" w:line="240" w:lineRule="auto"/>
              <w:rPr>
                <w:rFonts w:ascii="Times New Roman" w:eastAsia="Times New Roman" w:hAnsi="Times New Roman" w:cs="Times New Roman"/>
                <w:sz w:val="20"/>
                <w:szCs w:val="20"/>
                <w:lang w:eastAsia="en-GB"/>
              </w:rPr>
            </w:pPr>
          </w:p>
        </w:tc>
      </w:tr>
      <w:tr w:rsidR="00580082" w:rsidRPr="00A33AE8" w14:paraId="18EFFB89"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F990431" w14:textId="77777777" w:rsidR="00580082" w:rsidRPr="00A33AE8" w:rsidRDefault="00580082"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C42899E" w14:textId="77777777" w:rsidR="00580082" w:rsidRPr="00A33AE8" w:rsidRDefault="009C7118"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BF66BF" w:rsidRPr="00A33AE8">
              <w:rPr>
                <w:rFonts w:asciiTheme="majorHAnsi" w:eastAsia="Times New Roman" w:hAnsiTheme="majorHAnsi" w:cstheme="majorHAnsi"/>
                <w:color w:val="000000"/>
                <w:sz w:val="20"/>
                <w:szCs w:val="20"/>
                <w:lang w:eastAsia="en-GB"/>
              </w:rPr>
              <w:t>, p</w:t>
            </w:r>
            <w:r w:rsidRPr="00A33AE8">
              <w:rPr>
                <w:rFonts w:asciiTheme="majorHAnsi" w:eastAsia="Times New Roman" w:hAnsiTheme="majorHAnsi" w:cstheme="majorHAnsi"/>
                <w:color w:val="000000"/>
                <w:sz w:val="20"/>
                <w:szCs w:val="20"/>
                <w:lang w:eastAsia="en-GB"/>
              </w:rPr>
              <w:t>ublic funds</w:t>
            </w:r>
            <w:r w:rsidR="00BF66BF" w:rsidRPr="00A33AE8">
              <w:rPr>
                <w:rFonts w:asciiTheme="majorHAnsi" w:eastAsia="Times New Roman" w:hAnsiTheme="majorHAnsi" w:cstheme="majorHAnsi"/>
                <w:color w:val="000000"/>
                <w:sz w:val="20"/>
                <w:szCs w:val="20"/>
                <w:lang w:eastAsia="en-GB"/>
              </w:rPr>
              <w:t xml:space="preserve"> and </w:t>
            </w:r>
            <w:r w:rsidR="00922BD5" w:rsidRPr="00A33AE8">
              <w:rPr>
                <w:rFonts w:asciiTheme="majorHAnsi" w:eastAsia="Times New Roman" w:hAnsiTheme="majorHAnsi" w:cstheme="majorHAnsi"/>
                <w:color w:val="000000"/>
                <w:sz w:val="20"/>
                <w:szCs w:val="20"/>
                <w:lang w:eastAsia="en-GB"/>
              </w:rPr>
              <w:t xml:space="preserve">own </w:t>
            </w:r>
            <w:r w:rsidR="00BF66BF"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2FA6469F" w14:textId="77777777" w:rsidR="00580082" w:rsidRPr="00A33AE8" w:rsidRDefault="00580082" w:rsidP="006769DA">
            <w:pPr>
              <w:spacing w:after="0" w:line="240" w:lineRule="auto"/>
              <w:rPr>
                <w:rFonts w:ascii="Times New Roman" w:eastAsia="Times New Roman" w:hAnsi="Times New Roman" w:cs="Times New Roman"/>
                <w:sz w:val="20"/>
                <w:szCs w:val="20"/>
                <w:lang w:eastAsia="en-GB"/>
              </w:rPr>
            </w:pPr>
          </w:p>
        </w:tc>
      </w:tr>
    </w:tbl>
    <w:p w14:paraId="49916BF8" w14:textId="77777777" w:rsidR="00F3103F" w:rsidRPr="00A33AE8" w:rsidRDefault="00F3103F" w:rsidP="00507954"/>
    <w:p w14:paraId="6AE7E195" w14:textId="526B525E" w:rsidR="0081343F" w:rsidRPr="00A33AE8" w:rsidRDefault="0081343F" w:rsidP="00884F3B">
      <w:pPr>
        <w:pStyle w:val="Heading4"/>
        <w:numPr>
          <w:ilvl w:val="0"/>
          <w:numId w:val="6"/>
        </w:numPr>
        <w:jc w:val="both"/>
      </w:pPr>
      <w:r w:rsidRPr="00A33AE8">
        <w:t>Specific measures on financial support, including EU support and the use of EU funds, for the promotion of the production and use of energy from renewable sources in electricity, heating and cooling, and transport</w:t>
      </w:r>
    </w:p>
    <w:p w14:paraId="5CC5FED3" w14:textId="77777777" w:rsidR="0081343F" w:rsidRPr="00A33AE8" w:rsidRDefault="0081343F" w:rsidP="0081343F">
      <w:pPr>
        <w:spacing w:before="240" w:after="240"/>
        <w:jc w:val="both"/>
        <w:rPr>
          <w:rFonts w:asciiTheme="majorHAnsi" w:hAnsiTheme="majorHAnsi" w:cstheme="majorHAnsi"/>
          <w:color w:val="000000"/>
        </w:rPr>
      </w:pPr>
      <w:r w:rsidRPr="00A33AE8">
        <w:rPr>
          <w:rFonts w:asciiTheme="majorHAnsi" w:hAnsiTheme="majorHAnsi" w:cstheme="majorHAnsi"/>
          <w:color w:val="000000"/>
        </w:rPr>
        <w:t>Targeted financial measures and support scheme will be launched for supporting the renewable energy for electricity, heating and cooling and transport. The key financial instruments, which will be utilised for financing the foreseen renewable energy investments, include:</w:t>
      </w:r>
    </w:p>
    <w:p w14:paraId="32CDBB7F" w14:textId="77777777" w:rsidR="0081343F" w:rsidRPr="00A33AE8" w:rsidRDefault="0081343F" w:rsidP="00884F3B">
      <w:pPr>
        <w:pStyle w:val="ListParagraph"/>
        <w:numPr>
          <w:ilvl w:val="0"/>
          <w:numId w:val="228"/>
        </w:numPr>
        <w:spacing w:before="160" w:line="260" w:lineRule="exact"/>
        <w:ind w:left="1077"/>
        <w:contextualSpacing w:val="0"/>
        <w:jc w:val="both"/>
        <w:rPr>
          <w:rFonts w:asciiTheme="majorHAnsi" w:hAnsiTheme="majorHAnsi" w:cstheme="majorHAnsi"/>
          <w:color w:val="000000"/>
        </w:rPr>
      </w:pPr>
      <w:r w:rsidRPr="00A33AE8">
        <w:rPr>
          <w:rFonts w:asciiTheme="majorHAnsi" w:hAnsiTheme="majorHAnsi" w:cstheme="majorHAnsi"/>
          <w:color w:val="000000"/>
        </w:rPr>
        <w:t>Domestic and international financial resources</w:t>
      </w:r>
      <w:r w:rsidR="00DE1C88">
        <w:rPr>
          <w:rFonts w:asciiTheme="majorHAnsi" w:hAnsiTheme="majorHAnsi" w:cstheme="majorHAnsi"/>
          <w:color w:val="000000"/>
        </w:rPr>
        <w:t xml:space="preserve"> </w:t>
      </w:r>
      <w:r w:rsidR="00DE1C88" w:rsidRPr="00DE1C88">
        <w:rPr>
          <w:rFonts w:asciiTheme="majorHAnsi" w:hAnsiTheme="majorHAnsi" w:cstheme="majorHAnsi"/>
          <w:color w:val="000000"/>
        </w:rPr>
        <w:t>(indicative list in Chapter 5.4).</w:t>
      </w:r>
    </w:p>
    <w:p w14:paraId="199EBE9F" w14:textId="77777777" w:rsidR="0081343F" w:rsidRPr="00A33AE8" w:rsidRDefault="0081343F" w:rsidP="00884F3B">
      <w:pPr>
        <w:pStyle w:val="ListParagraph"/>
        <w:numPr>
          <w:ilvl w:val="0"/>
          <w:numId w:val="228"/>
        </w:numPr>
        <w:spacing w:before="160" w:line="260" w:lineRule="exact"/>
        <w:ind w:left="1077"/>
        <w:contextualSpacing w:val="0"/>
        <w:jc w:val="both"/>
        <w:rPr>
          <w:rFonts w:asciiTheme="majorHAnsi" w:hAnsiTheme="majorHAnsi" w:cstheme="majorHAnsi"/>
          <w:color w:val="000000"/>
        </w:rPr>
      </w:pPr>
      <w:r w:rsidRPr="00A33AE8">
        <w:rPr>
          <w:rFonts w:asciiTheme="majorHAnsi" w:hAnsiTheme="majorHAnsi" w:cstheme="majorHAnsi"/>
          <w:color w:val="000000"/>
        </w:rPr>
        <w:t xml:space="preserve">The Special RES Account with specific sources of financial revenues for </w:t>
      </w:r>
      <w:r w:rsidR="00922F88" w:rsidRPr="00A33AE8">
        <w:rPr>
          <w:rFonts w:asciiTheme="majorHAnsi" w:hAnsiTheme="majorHAnsi" w:cstheme="majorHAnsi"/>
          <w:color w:val="000000"/>
        </w:rPr>
        <w:t xml:space="preserve">remunerating </w:t>
      </w:r>
      <w:r w:rsidRPr="00A33AE8">
        <w:rPr>
          <w:rFonts w:asciiTheme="majorHAnsi" w:hAnsiTheme="majorHAnsi" w:cstheme="majorHAnsi"/>
          <w:color w:val="000000"/>
        </w:rPr>
        <w:t>the produced renewable energy within the framework of the designed support schemes.</w:t>
      </w:r>
    </w:p>
    <w:p w14:paraId="7A03982C" w14:textId="77777777" w:rsidR="0081343F" w:rsidRPr="00A33AE8" w:rsidRDefault="0081343F" w:rsidP="00884F3B">
      <w:pPr>
        <w:pStyle w:val="ListParagraph"/>
        <w:numPr>
          <w:ilvl w:val="0"/>
          <w:numId w:val="228"/>
        </w:numPr>
        <w:spacing w:before="160" w:line="260" w:lineRule="exact"/>
        <w:ind w:left="1077"/>
        <w:contextualSpacing w:val="0"/>
        <w:jc w:val="both"/>
        <w:rPr>
          <w:rFonts w:asciiTheme="majorHAnsi" w:hAnsiTheme="majorHAnsi" w:cstheme="majorHAnsi"/>
          <w:color w:val="000000"/>
        </w:rPr>
      </w:pPr>
      <w:r w:rsidRPr="00A33AE8">
        <w:rPr>
          <w:rFonts w:asciiTheme="majorHAnsi" w:hAnsiTheme="majorHAnsi" w:cstheme="majorHAnsi"/>
          <w:color w:val="000000"/>
        </w:rPr>
        <w:t>National operational programmes in the period 2021-2027.</w:t>
      </w:r>
    </w:p>
    <w:p w14:paraId="76F1DBF3" w14:textId="77777777" w:rsidR="0081343F" w:rsidRPr="00A33AE8" w:rsidRDefault="0081343F" w:rsidP="00884F3B">
      <w:pPr>
        <w:pStyle w:val="ListParagraph"/>
        <w:numPr>
          <w:ilvl w:val="0"/>
          <w:numId w:val="228"/>
        </w:numPr>
        <w:spacing w:before="160" w:line="260" w:lineRule="exact"/>
        <w:ind w:left="1077"/>
        <w:contextualSpacing w:val="0"/>
        <w:jc w:val="both"/>
        <w:rPr>
          <w:rFonts w:asciiTheme="majorHAnsi" w:hAnsiTheme="majorHAnsi" w:cstheme="majorHAnsi"/>
          <w:color w:val="000000"/>
        </w:rPr>
      </w:pPr>
      <w:r w:rsidRPr="00A33AE8">
        <w:rPr>
          <w:rFonts w:asciiTheme="majorHAnsi" w:hAnsiTheme="majorHAnsi" w:cstheme="majorHAnsi"/>
          <w:color w:val="000000"/>
        </w:rPr>
        <w:t>Resources from national and EU research programmes, as well as resources for the implementation of innovative and pilot applications in the context of international collaborations.</w:t>
      </w:r>
    </w:p>
    <w:p w14:paraId="378FDECE" w14:textId="77777777" w:rsidR="0081343F" w:rsidRPr="00A33AE8" w:rsidRDefault="0081343F" w:rsidP="00884F3B">
      <w:pPr>
        <w:pStyle w:val="Heading4"/>
        <w:numPr>
          <w:ilvl w:val="0"/>
          <w:numId w:val="6"/>
        </w:numPr>
        <w:jc w:val="both"/>
      </w:pPr>
      <w:r w:rsidRPr="00A33AE8">
        <w:t xml:space="preserve">Specific measures to introduce a one-stop-shop, streamline administrative procedures, provide information and training, and empower renewable </w:t>
      </w:r>
      <w:r w:rsidR="00F122B2" w:rsidRPr="00A33AE8">
        <w:t>self-consumers</w:t>
      </w:r>
      <w:r w:rsidRPr="00A33AE8">
        <w:t xml:space="preserve"> and energy communities</w:t>
      </w:r>
    </w:p>
    <w:p w14:paraId="25636379"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existing authorization, certification, permit-granting and licensing procedures will be </w:t>
      </w:r>
      <w:r w:rsidR="001B3F70" w:rsidRPr="00A33AE8">
        <w:rPr>
          <w:rFonts w:asciiTheme="majorHAnsi" w:hAnsiTheme="majorHAnsi" w:cstheme="majorHAnsi"/>
          <w:color w:val="000000"/>
        </w:rPr>
        <w:t xml:space="preserve">examined in order to </w:t>
      </w:r>
      <w:r w:rsidRPr="00A33AE8">
        <w:rPr>
          <w:rFonts w:asciiTheme="majorHAnsi" w:hAnsiTheme="majorHAnsi" w:cstheme="majorHAnsi"/>
          <w:color w:val="000000"/>
        </w:rPr>
        <w:t>updat</w:t>
      </w:r>
      <w:r w:rsidR="001B3F70" w:rsidRPr="00A33AE8">
        <w:rPr>
          <w:rFonts w:asciiTheme="majorHAnsi" w:hAnsiTheme="majorHAnsi" w:cstheme="majorHAnsi"/>
          <w:color w:val="000000"/>
        </w:rPr>
        <w:t>e, simplify</w:t>
      </w:r>
      <w:r w:rsidRPr="00A33AE8">
        <w:rPr>
          <w:rFonts w:asciiTheme="majorHAnsi" w:hAnsiTheme="majorHAnsi" w:cstheme="majorHAnsi"/>
          <w:color w:val="000000"/>
        </w:rPr>
        <w:t xml:space="preserve"> and </w:t>
      </w:r>
      <w:r w:rsidR="001B3F70" w:rsidRPr="00A33AE8">
        <w:rPr>
          <w:rFonts w:asciiTheme="majorHAnsi" w:hAnsiTheme="majorHAnsi" w:cstheme="majorHAnsi"/>
          <w:color w:val="000000"/>
        </w:rPr>
        <w:t>optimize them</w:t>
      </w:r>
      <w:r w:rsidRPr="00A33AE8">
        <w:rPr>
          <w:rFonts w:asciiTheme="majorHAnsi" w:hAnsiTheme="majorHAnsi" w:cstheme="majorHAnsi"/>
          <w:color w:val="000000"/>
        </w:rPr>
        <w:t xml:space="preserve"> so as to become more operational and transparent facilitating the further deployment of renewable energy sources.</w:t>
      </w:r>
    </w:p>
    <w:p w14:paraId="70EBDC3D"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Moreover, the grid connection procedures will be improved and simplified for specific categories of renewable energy projects. </w:t>
      </w:r>
      <w:r w:rsidR="001B3F70" w:rsidRPr="00A33AE8">
        <w:rPr>
          <w:rFonts w:asciiTheme="majorHAnsi" w:hAnsiTheme="majorHAnsi" w:cstheme="majorHAnsi"/>
          <w:color w:val="000000"/>
        </w:rPr>
        <w:t>The existing</w:t>
      </w:r>
      <w:r w:rsidRPr="00A33AE8">
        <w:rPr>
          <w:rFonts w:asciiTheme="majorHAnsi" w:hAnsiTheme="majorHAnsi" w:cstheme="majorHAnsi"/>
          <w:color w:val="000000"/>
        </w:rPr>
        <w:t xml:space="preserve"> methodology and specific allocation rules for the foreseen grid connection costs will </w:t>
      </w:r>
      <w:r w:rsidR="001B3F70" w:rsidRPr="00A33AE8">
        <w:rPr>
          <w:rFonts w:asciiTheme="majorHAnsi" w:hAnsiTheme="majorHAnsi" w:cstheme="majorHAnsi"/>
          <w:color w:val="000000"/>
        </w:rPr>
        <w:t xml:space="preserve">continue to </w:t>
      </w:r>
      <w:r w:rsidRPr="00A33AE8">
        <w:rPr>
          <w:rFonts w:asciiTheme="majorHAnsi" w:hAnsiTheme="majorHAnsi" w:cstheme="majorHAnsi"/>
          <w:color w:val="000000"/>
        </w:rPr>
        <w:t xml:space="preserve">be </w:t>
      </w:r>
      <w:r w:rsidR="001B3F70" w:rsidRPr="00A33AE8">
        <w:rPr>
          <w:rFonts w:asciiTheme="majorHAnsi" w:hAnsiTheme="majorHAnsi" w:cstheme="majorHAnsi"/>
          <w:color w:val="000000"/>
        </w:rPr>
        <w:t>applied</w:t>
      </w:r>
      <w:r w:rsidRPr="00A33AE8">
        <w:rPr>
          <w:rFonts w:asciiTheme="majorHAnsi" w:hAnsiTheme="majorHAnsi" w:cstheme="majorHAnsi"/>
          <w:color w:val="000000"/>
        </w:rPr>
        <w:t xml:space="preserve"> providing transparency to the potential investors.</w:t>
      </w:r>
    </w:p>
    <w:p w14:paraId="236D14B6"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The establishment of a one-stop shop will be examined so as to provide the required information and technical guidance to the interested investors facilitating the realization of the planned investments.</w:t>
      </w:r>
    </w:p>
    <w:p w14:paraId="2AC04A08"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renewables self-consumers </w:t>
      </w:r>
      <w:r w:rsidR="00B22B04" w:rsidRPr="00A33AE8">
        <w:rPr>
          <w:rFonts w:asciiTheme="majorHAnsi" w:hAnsiTheme="majorHAnsi" w:cstheme="majorHAnsi"/>
          <w:color w:val="000000"/>
        </w:rPr>
        <w:t xml:space="preserve">(producer-customer) </w:t>
      </w:r>
      <w:r w:rsidRPr="00A33AE8">
        <w:rPr>
          <w:rFonts w:asciiTheme="majorHAnsi" w:hAnsiTheme="majorHAnsi" w:cstheme="majorHAnsi"/>
          <w:color w:val="000000"/>
        </w:rPr>
        <w:t>will be supported through a specialised support scheme with the inclusion of targeted financial and fiscal incentives. The foreseen charges and fees will become non-discriminatory and proportionate, while the potential other barriers will be addressed effectively. Furthermore, the role and operation of both the renewable energy communities and the citizen energy communities will be strengthened with the initiation of targeted fiscal and economic incentives</w:t>
      </w:r>
      <w:r w:rsidR="000142AD" w:rsidRPr="00A33AE8">
        <w:rPr>
          <w:rFonts w:asciiTheme="majorHAnsi" w:hAnsiTheme="majorHAnsi" w:cstheme="majorHAnsi"/>
          <w:color w:val="000000"/>
        </w:rPr>
        <w:t>.</w:t>
      </w:r>
    </w:p>
    <w:p w14:paraId="2DE4EC6D"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A registry will be developed in order to provide information to all citizens about the net benefits, cost and energy efficiency of the installed renewable energy stations for electricity production. Moreover, the registry of guarantees of origin will act as an additional information point for all citizens.</w:t>
      </w:r>
    </w:p>
    <w:p w14:paraId="424ECB11"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lastRenderedPageBreak/>
        <w:t>Finally, information, awareness-raising, guidance or training programmes will be carried out in order to inform citizens of how to exercise their rights as active customers, and of the benefits and practicalities, including technical and financial aspects. The provision of clear and easily accessible information is essential to enable citizens to change energy consumption patterns and switch to solutions that support an integrated energy system.</w:t>
      </w:r>
    </w:p>
    <w:tbl>
      <w:tblPr>
        <w:tblW w:w="9680" w:type="dxa"/>
        <w:tblLook w:val="04A0" w:firstRow="1" w:lastRow="0" w:firstColumn="1" w:lastColumn="0" w:noHBand="0" w:noVBand="1"/>
      </w:tblPr>
      <w:tblGrid>
        <w:gridCol w:w="3330"/>
        <w:gridCol w:w="940"/>
        <w:gridCol w:w="946"/>
        <w:gridCol w:w="4242"/>
        <w:gridCol w:w="222"/>
      </w:tblGrid>
      <w:tr w:rsidR="00A062A4" w:rsidRPr="00A33AE8" w14:paraId="7EE1441B" w14:textId="77777777" w:rsidTr="006769DA">
        <w:trPr>
          <w:gridAfter w:val="1"/>
          <w:wAfter w:w="222" w:type="dxa"/>
          <w:trHeight w:val="780"/>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3D1313A" w14:textId="77777777" w:rsidR="00A062A4" w:rsidRPr="00A33AE8" w:rsidRDefault="00A062A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B5A670B"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PM_D24</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062FFD32"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7A1125BA"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Updating, simplifying and optimizing the authorization, certification, permit-granting and licensing procedures - Establishment of One stop shop</w:t>
            </w:r>
          </w:p>
        </w:tc>
      </w:tr>
      <w:tr w:rsidR="00A062A4" w:rsidRPr="00A33AE8" w14:paraId="620F40DA" w14:textId="77777777" w:rsidTr="006769DA">
        <w:trPr>
          <w:gridAfter w:val="1"/>
          <w:wAfter w:w="222" w:type="dxa"/>
          <w:trHeight w:val="247"/>
        </w:trPr>
        <w:tc>
          <w:tcPr>
            <w:tcW w:w="3330" w:type="dxa"/>
            <w:tcBorders>
              <w:top w:val="nil"/>
              <w:left w:val="single" w:sz="8" w:space="0" w:color="auto"/>
              <w:bottom w:val="single" w:sz="8" w:space="0" w:color="auto"/>
              <w:right w:val="nil"/>
            </w:tcBorders>
            <w:shd w:val="clear" w:color="000000" w:fill="244062"/>
            <w:vAlign w:val="center"/>
            <w:hideMark/>
          </w:tcPr>
          <w:p w14:paraId="22FEC39C"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2A2FEA2"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A062A4" w:rsidRPr="00A33AE8" w14:paraId="370D4EA9"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E37C747"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CE4F810" w14:textId="77777777" w:rsidR="00A062A4" w:rsidRPr="00A33AE8" w:rsidRDefault="00A062A4" w:rsidP="006769DA">
            <w:pPr>
              <w:spacing w:after="0" w:line="240" w:lineRule="auto"/>
              <w:rPr>
                <w:rFonts w:ascii="Calibri" w:eastAsia="Times New Roman" w:hAnsi="Calibri" w:cs="Calibri"/>
                <w:color w:val="000000"/>
                <w:sz w:val="20"/>
                <w:szCs w:val="20"/>
                <w:lang w:eastAsia="en-GB"/>
              </w:rPr>
            </w:pPr>
            <w:r w:rsidRPr="00A33AE8">
              <w:rPr>
                <w:rFonts w:ascii="Calibri" w:eastAsia="Times New Roman" w:hAnsi="Calibri" w:cs="Calibri"/>
                <w:color w:val="000000"/>
                <w:sz w:val="20"/>
                <w:szCs w:val="20"/>
                <w:lang w:eastAsia="en-GB"/>
              </w:rPr>
              <w:t xml:space="preserve">Contribution to the </w:t>
            </w:r>
            <w:r w:rsidR="00B22B04" w:rsidRPr="00A33AE8">
              <w:rPr>
                <w:rFonts w:ascii="Calibri" w:eastAsia="Times New Roman" w:hAnsi="Calibri" w:cs="Calibri"/>
                <w:color w:val="000000"/>
                <w:sz w:val="20"/>
                <w:szCs w:val="20"/>
                <w:lang w:eastAsia="en-GB"/>
              </w:rPr>
              <w:t>expected RES penetration for electricity production</w:t>
            </w:r>
          </w:p>
        </w:tc>
      </w:tr>
      <w:tr w:rsidR="00A062A4" w:rsidRPr="00A33AE8" w14:paraId="45781AC2" w14:textId="77777777" w:rsidTr="000007D2">
        <w:trPr>
          <w:gridAfter w:val="1"/>
          <w:wAfter w:w="222" w:type="dxa"/>
          <w:trHeight w:val="846"/>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48F82DD"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CC9D187" w14:textId="7A43D45C" w:rsidR="00B22B04" w:rsidRPr="000007D2" w:rsidRDefault="00A062A4" w:rsidP="0087794A">
            <w:pPr>
              <w:spacing w:after="0" w:line="240" w:lineRule="auto"/>
              <w:jc w:val="both"/>
              <w:rPr>
                <w:rFonts w:ascii="Calibri Light" w:eastAsia="Times New Roman" w:hAnsi="Calibri Light" w:cs="Calibri Light"/>
                <w:sz w:val="20"/>
                <w:szCs w:val="20"/>
                <w:lang w:eastAsia="en-GB"/>
              </w:rPr>
            </w:pPr>
            <w:r w:rsidRPr="00A33AE8">
              <w:rPr>
                <w:rFonts w:ascii="Calibri Light" w:eastAsia="Times New Roman" w:hAnsi="Calibri Light" w:cs="Calibri Light"/>
                <w:color w:val="000000"/>
                <w:sz w:val="20"/>
                <w:szCs w:val="20"/>
                <w:lang w:eastAsia="en-GB"/>
              </w:rPr>
              <w:t xml:space="preserve">PM_D24 will </w:t>
            </w:r>
            <w:r w:rsidR="00131B13" w:rsidRPr="00A33AE8">
              <w:rPr>
                <w:rFonts w:ascii="Calibri Light" w:eastAsia="Times New Roman" w:hAnsi="Calibri Light" w:cs="Calibri Light"/>
                <w:color w:val="000000"/>
                <w:sz w:val="20"/>
                <w:szCs w:val="20"/>
                <w:lang w:eastAsia="en-GB"/>
              </w:rPr>
              <w:t xml:space="preserve">examine the </w:t>
            </w:r>
            <w:r w:rsidRPr="00A33AE8">
              <w:rPr>
                <w:rFonts w:ascii="Calibri Light" w:eastAsia="Times New Roman" w:hAnsi="Calibri Light" w:cs="Calibri Light"/>
                <w:color w:val="000000"/>
                <w:sz w:val="20"/>
                <w:szCs w:val="20"/>
                <w:lang w:eastAsia="en-GB"/>
              </w:rPr>
              <w:t xml:space="preserve">update, </w:t>
            </w:r>
            <w:r w:rsidR="00131B13" w:rsidRPr="00A33AE8">
              <w:rPr>
                <w:rFonts w:ascii="Calibri Light" w:eastAsia="Times New Roman" w:hAnsi="Calibri Light" w:cs="Calibri Light"/>
                <w:color w:val="000000"/>
                <w:sz w:val="20"/>
                <w:szCs w:val="20"/>
                <w:lang w:eastAsia="en-GB"/>
              </w:rPr>
              <w:t>simplification</w:t>
            </w:r>
            <w:r w:rsidRPr="00A33AE8">
              <w:rPr>
                <w:rFonts w:ascii="Calibri Light" w:eastAsia="Times New Roman" w:hAnsi="Calibri Light" w:cs="Calibri Light"/>
                <w:color w:val="000000"/>
                <w:sz w:val="20"/>
                <w:szCs w:val="20"/>
                <w:lang w:eastAsia="en-GB"/>
              </w:rPr>
              <w:t xml:space="preserve"> and </w:t>
            </w:r>
            <w:r w:rsidR="00131B13" w:rsidRPr="00A33AE8">
              <w:rPr>
                <w:rFonts w:ascii="Calibri Light" w:eastAsia="Times New Roman" w:hAnsi="Calibri Light" w:cs="Calibri Light"/>
                <w:color w:val="000000"/>
                <w:sz w:val="20"/>
                <w:szCs w:val="20"/>
                <w:lang w:eastAsia="en-GB"/>
              </w:rPr>
              <w:t>optimization of</w:t>
            </w:r>
            <w:r w:rsidRPr="00A33AE8">
              <w:rPr>
                <w:rFonts w:ascii="Calibri Light" w:eastAsia="Times New Roman" w:hAnsi="Calibri Light" w:cs="Calibri Light"/>
                <w:color w:val="000000"/>
                <w:sz w:val="20"/>
                <w:szCs w:val="20"/>
                <w:lang w:eastAsia="en-GB"/>
              </w:rPr>
              <w:t xml:space="preserve"> the existing authorization, certification, permit-granting and licensing procedures so as to become more operational and to lead to the implementation of the required renewable energy stations for achieving the national target</w:t>
            </w:r>
            <w:r w:rsidR="00B22B04" w:rsidRPr="00A33AE8">
              <w:rPr>
                <w:rFonts w:ascii="Calibri Light" w:eastAsia="Times New Roman" w:hAnsi="Calibri Light" w:cs="Calibri Light"/>
                <w:color w:val="000000"/>
                <w:sz w:val="20"/>
                <w:szCs w:val="20"/>
                <w:lang w:eastAsia="en-GB"/>
              </w:rPr>
              <w:t>s, the active public participation, the effective protection of public interest, the smooth integration into the networks and the increased social acceptability</w:t>
            </w:r>
            <w:r w:rsidRPr="00A33AE8">
              <w:rPr>
                <w:rFonts w:ascii="Calibri Light" w:eastAsia="Times New Roman" w:hAnsi="Calibri Light" w:cs="Calibri Light"/>
                <w:color w:val="000000"/>
                <w:sz w:val="20"/>
                <w:szCs w:val="20"/>
                <w:lang w:eastAsia="en-GB"/>
              </w:rPr>
              <w:t>. Moreover, the different entrepreneurial, environmental and social parameters will be combined and integrated in a fair and transparent framework. The main objective of the measure is to accelerate the completion and commercialization of the planned investments and to create reliable conditions for the potential investors in order to mobilize new investments. Finally, the potential establishment of a one-stop shop will be examined so as to provide the required information and technical guidance to the interested investors facilitating the realization of the planned investments</w:t>
            </w:r>
            <w:r w:rsidR="00DE1C88">
              <w:rPr>
                <w:rFonts w:ascii="Calibri Light" w:eastAsia="Times New Roman" w:hAnsi="Calibri Light" w:cs="Calibri Light"/>
                <w:color w:val="000000"/>
                <w:sz w:val="20"/>
                <w:szCs w:val="20"/>
                <w:lang w:eastAsia="en-GB"/>
              </w:rPr>
              <w:t xml:space="preserve"> </w:t>
            </w:r>
            <w:r w:rsidR="00DE1C88" w:rsidRPr="00DE1C88">
              <w:rPr>
                <w:rFonts w:ascii="Calibri Light" w:eastAsia="Times New Roman" w:hAnsi="Calibri Light" w:cs="Calibri Light"/>
                <w:color w:val="000000"/>
                <w:sz w:val="20"/>
                <w:szCs w:val="20"/>
                <w:lang w:eastAsia="en-GB"/>
              </w:rPr>
              <w:t>(following to Article 16 or RED II)</w:t>
            </w:r>
            <w:r w:rsidRPr="00A33AE8">
              <w:rPr>
                <w:rFonts w:ascii="Calibri Light" w:eastAsia="Times New Roman" w:hAnsi="Calibri Light" w:cs="Calibri Light"/>
                <w:color w:val="000000"/>
                <w:sz w:val="20"/>
                <w:szCs w:val="20"/>
                <w:lang w:eastAsia="en-GB"/>
              </w:rPr>
              <w:t>.</w:t>
            </w:r>
          </w:p>
        </w:tc>
      </w:tr>
      <w:tr w:rsidR="00A062A4" w:rsidRPr="00A33AE8" w14:paraId="5F3BD85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BA761D7"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F613505" w14:textId="77777777" w:rsidR="00A062A4" w:rsidRPr="00A33AE8" w:rsidRDefault="00D537B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062A4" w:rsidRPr="00A33AE8">
              <w:rPr>
                <w:rFonts w:ascii="Calibri Light" w:eastAsia="Times New Roman" w:hAnsi="Calibri Light" w:cs="Calibri Light"/>
                <w:color w:val="000000"/>
                <w:sz w:val="20"/>
                <w:szCs w:val="20"/>
                <w:lang w:eastAsia="en-GB"/>
              </w:rPr>
              <w:t>-</w:t>
            </w:r>
            <w:r w:rsidR="00E40F78" w:rsidRPr="00A33AE8">
              <w:rPr>
                <w:rFonts w:ascii="Calibri Light" w:eastAsia="Times New Roman" w:hAnsi="Calibri Light" w:cs="Calibri Light"/>
                <w:color w:val="000000"/>
                <w:sz w:val="20"/>
                <w:szCs w:val="20"/>
                <w:lang w:eastAsia="en-GB"/>
              </w:rPr>
              <w:t>20</w:t>
            </w:r>
            <w:r w:rsidR="00E40F78">
              <w:rPr>
                <w:rFonts w:ascii="Calibri Light" w:eastAsia="Times New Roman" w:hAnsi="Calibri Light" w:cs="Calibri Light"/>
                <w:color w:val="000000"/>
                <w:sz w:val="20"/>
                <w:szCs w:val="20"/>
                <w:lang w:eastAsia="en-GB"/>
              </w:rPr>
              <w:t>26</w:t>
            </w:r>
          </w:p>
        </w:tc>
      </w:tr>
      <w:tr w:rsidR="00A062A4" w:rsidRPr="00A33AE8" w14:paraId="27660A99"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5E714B7"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D12702B" w14:textId="77777777" w:rsidR="00A062A4" w:rsidRPr="00A33AE8" w:rsidRDefault="00C523B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A062A4" w:rsidRPr="00A33AE8" w14:paraId="2C189DDD"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0B1556B"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E26A86F"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C25B19" w:rsidRPr="00A33AE8" w14:paraId="6FDE4AF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76D04B8" w14:textId="77777777" w:rsidR="00C25B19" w:rsidRPr="00A33AE8" w:rsidRDefault="00C25B19" w:rsidP="00C25B1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C5AF417" w14:textId="77777777" w:rsidR="00C25B19" w:rsidRPr="00A33AE8" w:rsidRDefault="00C25B1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852E9C1" w14:textId="77777777" w:rsidR="00C25B19" w:rsidRPr="00A33AE8" w:rsidRDefault="00131B13"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A062A4" w:rsidRPr="00A33AE8" w14:paraId="5FE90BA7"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3DEE7B89"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1060B38" w14:textId="77777777" w:rsidR="00A062A4" w:rsidRPr="00A33AE8" w:rsidRDefault="00E40F7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E40F78">
              <w:rPr>
                <w:rFonts w:ascii="Calibri Light" w:eastAsia="Times New Roman" w:hAnsi="Calibri Light" w:cs="Calibri Light"/>
                <w:color w:val="000000"/>
                <w:sz w:val="20"/>
                <w:szCs w:val="20"/>
                <w:lang w:eastAsia="en-GB"/>
              </w:rPr>
              <w:t>Government of the Republic of Serbia</w:t>
            </w:r>
          </w:p>
        </w:tc>
      </w:tr>
      <w:tr w:rsidR="00A062A4" w:rsidRPr="00A33AE8" w14:paraId="0CF1DBB5"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0A70FB3C"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B62EB83" w14:textId="77777777" w:rsidR="00A062A4" w:rsidRPr="00A33AE8" w:rsidRDefault="00F72DA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Developed </w:t>
            </w:r>
            <w:r w:rsidR="009C7118" w:rsidRPr="00A33AE8">
              <w:rPr>
                <w:rFonts w:ascii="Calibri Light" w:eastAsia="Times New Roman" w:hAnsi="Calibri Light" w:cs="Calibri Light"/>
                <w:color w:val="000000"/>
                <w:sz w:val="20"/>
                <w:szCs w:val="20"/>
                <w:lang w:eastAsia="en-GB"/>
              </w:rPr>
              <w:t>legislative and regulatory framework</w:t>
            </w:r>
          </w:p>
        </w:tc>
      </w:tr>
      <w:tr w:rsidR="006C6A30" w:rsidRPr="00A33AE8" w14:paraId="461831DA" w14:textId="77777777" w:rsidTr="006769DA">
        <w:trPr>
          <w:gridAfter w:val="1"/>
          <w:wAfter w:w="222" w:type="dxa"/>
          <w:trHeight w:val="433"/>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5865D6F"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7EBB4B61" w14:textId="77777777" w:rsidR="00E40F78" w:rsidRPr="00E40F78" w:rsidRDefault="00E40F7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E40F78">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7247C331" w14:textId="77777777" w:rsidR="006C6A30" w:rsidRPr="00A33AE8" w:rsidRDefault="00E40F7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E40F78">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A062A4" w:rsidRPr="00A33AE8" w14:paraId="4ECC4037"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93D4633"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EBAC960" w14:textId="77777777" w:rsidR="00A062A4" w:rsidRPr="00A33AE8"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A062A4" w:rsidRPr="00A33AE8" w14:paraId="5955C2B8"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0CC85DBE"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7DC0FABE" w14:textId="77777777" w:rsidR="00A062A4" w:rsidRPr="00A33AE8"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F60381E"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p>
        </w:tc>
      </w:tr>
      <w:tr w:rsidR="00A062A4" w:rsidRPr="00A33AE8" w14:paraId="719BDCC2" w14:textId="77777777" w:rsidTr="006769DA">
        <w:trPr>
          <w:trHeight w:val="60"/>
        </w:trPr>
        <w:tc>
          <w:tcPr>
            <w:tcW w:w="3330" w:type="dxa"/>
            <w:vMerge/>
            <w:tcBorders>
              <w:top w:val="nil"/>
              <w:left w:val="single" w:sz="8" w:space="0" w:color="auto"/>
              <w:bottom w:val="single" w:sz="8" w:space="0" w:color="000000"/>
              <w:right w:val="single" w:sz="8" w:space="0" w:color="auto"/>
            </w:tcBorders>
            <w:vAlign w:val="center"/>
            <w:hideMark/>
          </w:tcPr>
          <w:p w14:paraId="4A1BF55E"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2DA0FFE6" w14:textId="77777777" w:rsidR="00A062A4" w:rsidRPr="00A33AE8"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485F1D9" w14:textId="77777777" w:rsidR="00A062A4" w:rsidRPr="00A33AE8" w:rsidRDefault="00A062A4" w:rsidP="006769DA">
            <w:pPr>
              <w:spacing w:after="0" w:line="240" w:lineRule="auto"/>
              <w:rPr>
                <w:rFonts w:ascii="Times New Roman" w:eastAsia="Times New Roman" w:hAnsi="Times New Roman" w:cs="Times New Roman"/>
                <w:sz w:val="20"/>
                <w:szCs w:val="20"/>
                <w:lang w:eastAsia="en-GB"/>
              </w:rPr>
            </w:pPr>
          </w:p>
        </w:tc>
      </w:tr>
      <w:tr w:rsidR="00A062A4" w:rsidRPr="00A33AE8" w14:paraId="227DC110" w14:textId="77777777" w:rsidTr="006769DA">
        <w:trPr>
          <w:trHeight w:val="32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0370F0E5" w14:textId="77777777" w:rsidR="00A062A4" w:rsidRPr="000007D2" w:rsidRDefault="00A062A4" w:rsidP="006769DA">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ED642C2" w14:textId="77777777" w:rsidR="00A062A4" w:rsidRPr="000007D2" w:rsidRDefault="006C2878" w:rsidP="00884F3B">
            <w:pPr>
              <w:pStyle w:val="ListParagraph"/>
              <w:numPr>
                <w:ilvl w:val="0"/>
                <w:numId w:val="250"/>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Law on Energy</w:t>
            </w:r>
          </w:p>
          <w:p w14:paraId="1CCBBD7B" w14:textId="77777777" w:rsidR="00B22B04" w:rsidRPr="000007D2" w:rsidRDefault="00B22B04" w:rsidP="00884F3B">
            <w:pPr>
              <w:pStyle w:val="ListParagraph"/>
              <w:numPr>
                <w:ilvl w:val="0"/>
                <w:numId w:val="250"/>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Law on Planning and Construction</w:t>
            </w:r>
          </w:p>
        </w:tc>
        <w:tc>
          <w:tcPr>
            <w:tcW w:w="222" w:type="dxa"/>
            <w:vAlign w:val="center"/>
            <w:hideMark/>
          </w:tcPr>
          <w:p w14:paraId="4F30E994" w14:textId="77777777" w:rsidR="00A062A4" w:rsidRPr="00A33AE8" w:rsidRDefault="00A062A4" w:rsidP="006769DA">
            <w:pPr>
              <w:spacing w:after="0" w:line="240" w:lineRule="auto"/>
              <w:rPr>
                <w:rFonts w:ascii="Times New Roman" w:eastAsia="Times New Roman" w:hAnsi="Times New Roman" w:cs="Times New Roman"/>
                <w:sz w:val="20"/>
                <w:szCs w:val="20"/>
                <w:lang w:eastAsia="en-GB"/>
              </w:rPr>
            </w:pPr>
          </w:p>
        </w:tc>
      </w:tr>
      <w:tr w:rsidR="00C523B2" w:rsidRPr="00A33AE8" w14:paraId="53C641FA"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4D6444AD" w14:textId="77777777" w:rsidR="00C523B2" w:rsidRPr="00A33AE8" w:rsidRDefault="00C523B2" w:rsidP="00C523B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AAB6DBA" w14:textId="77777777" w:rsidR="00C523B2" w:rsidRPr="00A33AE8" w:rsidRDefault="00C523B2" w:rsidP="00C523B2">
            <w:pPr>
              <w:spacing w:after="0" w:line="240" w:lineRule="auto"/>
              <w:rPr>
                <w:rFonts w:ascii="Calibri" w:eastAsia="Times New Roman" w:hAnsi="Calibri" w:cs="Calibri"/>
                <w:color w:val="000000"/>
                <w:sz w:val="20"/>
                <w:szCs w:val="20"/>
                <w:lang w:eastAsia="en-GB"/>
              </w:rPr>
            </w:pPr>
            <w:r w:rsidRPr="00A33AE8">
              <w:rPr>
                <w:rFonts w:asciiTheme="majorHAnsi" w:eastAsia="Times New Roman" w:hAnsiTheme="majorHAnsi" w:cstheme="majorHAnsi"/>
                <w:color w:val="000000"/>
                <w:sz w:val="20"/>
                <w:szCs w:val="20"/>
                <w:lang w:eastAsia="en-GB"/>
              </w:rPr>
              <w:t>0.2 M€</w:t>
            </w:r>
          </w:p>
        </w:tc>
        <w:tc>
          <w:tcPr>
            <w:tcW w:w="222" w:type="dxa"/>
            <w:vAlign w:val="center"/>
            <w:hideMark/>
          </w:tcPr>
          <w:p w14:paraId="3D9D39FC" w14:textId="77777777" w:rsidR="00C523B2" w:rsidRPr="00A33AE8" w:rsidRDefault="00C523B2" w:rsidP="00C523B2">
            <w:pPr>
              <w:spacing w:after="0" w:line="240" w:lineRule="auto"/>
              <w:rPr>
                <w:rFonts w:ascii="Times New Roman" w:eastAsia="Times New Roman" w:hAnsi="Times New Roman" w:cs="Times New Roman"/>
                <w:sz w:val="20"/>
                <w:szCs w:val="20"/>
                <w:lang w:eastAsia="en-GB"/>
              </w:rPr>
            </w:pPr>
          </w:p>
        </w:tc>
      </w:tr>
      <w:tr w:rsidR="009259D8" w:rsidRPr="00A33AE8" w14:paraId="6AB0E873"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7DDEDF5" w14:textId="77777777" w:rsidR="009259D8" w:rsidRPr="00A33AE8" w:rsidRDefault="009259D8" w:rsidP="009259D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7FEBD8D" w14:textId="77777777" w:rsidR="009259D8" w:rsidRPr="00A33AE8" w:rsidRDefault="009259D8" w:rsidP="009259D8">
            <w:pPr>
              <w:spacing w:after="0" w:line="240" w:lineRule="auto"/>
              <w:rPr>
                <w:rFonts w:ascii="Calibri" w:eastAsia="Times New Roman" w:hAnsi="Calibri" w:cs="Calibri"/>
                <w:color w:val="000000"/>
                <w:sz w:val="20"/>
                <w:szCs w:val="20"/>
                <w:highlight w:val="yellow"/>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22BA9348" w14:textId="77777777" w:rsidR="009259D8" w:rsidRPr="00A33AE8" w:rsidRDefault="009259D8" w:rsidP="009259D8">
            <w:pPr>
              <w:spacing w:after="0" w:line="240" w:lineRule="auto"/>
              <w:rPr>
                <w:rFonts w:ascii="Times New Roman" w:eastAsia="Times New Roman" w:hAnsi="Times New Roman" w:cs="Times New Roman"/>
                <w:sz w:val="20"/>
                <w:szCs w:val="20"/>
                <w:lang w:eastAsia="en-GB"/>
              </w:rPr>
            </w:pPr>
          </w:p>
        </w:tc>
      </w:tr>
    </w:tbl>
    <w:p w14:paraId="1FD285EE" w14:textId="77777777" w:rsidR="00A062A4" w:rsidRPr="00A33AE8" w:rsidRDefault="00A062A4" w:rsidP="00A062A4">
      <w:pPr>
        <w:pStyle w:val="LDKbody"/>
        <w:rPr>
          <w:lang w:val="en-GB"/>
        </w:rPr>
      </w:pPr>
    </w:p>
    <w:tbl>
      <w:tblPr>
        <w:tblW w:w="9680" w:type="dxa"/>
        <w:tblLook w:val="04A0" w:firstRow="1" w:lastRow="0" w:firstColumn="1" w:lastColumn="0" w:noHBand="0" w:noVBand="1"/>
      </w:tblPr>
      <w:tblGrid>
        <w:gridCol w:w="3270"/>
        <w:gridCol w:w="1114"/>
        <w:gridCol w:w="935"/>
        <w:gridCol w:w="4139"/>
        <w:gridCol w:w="222"/>
      </w:tblGrid>
      <w:tr w:rsidR="00A062A4" w:rsidRPr="00A33AE8" w14:paraId="362943F2" w14:textId="77777777" w:rsidTr="009C7118">
        <w:trPr>
          <w:gridAfter w:val="1"/>
          <w:wAfter w:w="222" w:type="dxa"/>
          <w:trHeight w:val="780"/>
        </w:trPr>
        <w:tc>
          <w:tcPr>
            <w:tcW w:w="327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A68C27E" w14:textId="77777777" w:rsidR="00A062A4" w:rsidRPr="00A33AE8" w:rsidRDefault="00A062A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4FFA3D1B"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w:t>
            </w:r>
            <w:r w:rsidR="006A608C" w:rsidRPr="00A33AE8">
              <w:rPr>
                <w:rFonts w:ascii="Calibri Light" w:eastAsia="Times New Roman" w:hAnsi="Calibri Light" w:cs="Calibri Light"/>
                <w:b/>
                <w:bCs/>
                <w:color w:val="000000"/>
                <w:sz w:val="20"/>
                <w:szCs w:val="20"/>
                <w:lang w:eastAsia="en-GB"/>
              </w:rPr>
              <w:t>5</w:t>
            </w:r>
          </w:p>
        </w:tc>
        <w:tc>
          <w:tcPr>
            <w:tcW w:w="935" w:type="dxa"/>
            <w:tcBorders>
              <w:top w:val="single" w:sz="8" w:space="0" w:color="auto"/>
              <w:left w:val="nil"/>
              <w:bottom w:val="single" w:sz="8" w:space="0" w:color="auto"/>
              <w:right w:val="single" w:sz="8" w:space="0" w:color="auto"/>
            </w:tcBorders>
            <w:shd w:val="clear" w:color="000000" w:fill="244062"/>
            <w:vAlign w:val="center"/>
            <w:hideMark/>
          </w:tcPr>
          <w:p w14:paraId="4E070CC6"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7F81EB35"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Updating, simplifying and optimizing the grid connection procedures and setting detailed methodology and allocation rules for RES grid connection costs</w:t>
            </w:r>
          </w:p>
        </w:tc>
      </w:tr>
      <w:tr w:rsidR="00A062A4" w:rsidRPr="00A33AE8" w14:paraId="517DE406" w14:textId="77777777" w:rsidTr="009C7118">
        <w:trPr>
          <w:gridAfter w:val="1"/>
          <w:wAfter w:w="222" w:type="dxa"/>
          <w:trHeight w:val="367"/>
        </w:trPr>
        <w:tc>
          <w:tcPr>
            <w:tcW w:w="3270" w:type="dxa"/>
            <w:tcBorders>
              <w:top w:val="nil"/>
              <w:left w:val="single" w:sz="8" w:space="0" w:color="auto"/>
              <w:bottom w:val="single" w:sz="8" w:space="0" w:color="auto"/>
              <w:right w:val="nil"/>
            </w:tcBorders>
            <w:shd w:val="clear" w:color="000000" w:fill="244062"/>
            <w:vAlign w:val="center"/>
            <w:hideMark/>
          </w:tcPr>
          <w:p w14:paraId="68205FC5"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D0705FF"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A062A4" w:rsidRPr="00A33AE8" w14:paraId="457A99E1" w14:textId="77777777" w:rsidTr="009C7118">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65A19298"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281B7F3" w14:textId="77777777" w:rsidR="00A062A4" w:rsidRPr="00A33AE8" w:rsidRDefault="00A062A4" w:rsidP="006769DA">
            <w:pPr>
              <w:spacing w:after="0" w:line="240" w:lineRule="auto"/>
              <w:rPr>
                <w:rFonts w:ascii="Calibri" w:eastAsia="Times New Roman" w:hAnsi="Calibri" w:cs="Calibri"/>
                <w:color w:val="000000"/>
                <w:lang w:eastAsia="en-GB"/>
              </w:rPr>
            </w:pPr>
            <w:r w:rsidRPr="005B2C66">
              <w:rPr>
                <w:rFonts w:ascii="Calibri Light" w:eastAsia="Times New Roman" w:hAnsi="Calibri Light" w:cs="Calibri Light"/>
                <w:color w:val="000000"/>
                <w:sz w:val="20"/>
                <w:szCs w:val="20"/>
                <w:lang w:eastAsia="en-GB"/>
              </w:rPr>
              <w:t xml:space="preserve">Contribution to the </w:t>
            </w:r>
            <w:r w:rsidR="006A608C" w:rsidRPr="005B2C66">
              <w:rPr>
                <w:rFonts w:ascii="Calibri Light" w:eastAsia="Times New Roman" w:hAnsi="Calibri Light" w:cs="Calibri Light"/>
                <w:color w:val="000000"/>
                <w:sz w:val="20"/>
                <w:szCs w:val="20"/>
                <w:lang w:eastAsia="en-GB"/>
              </w:rPr>
              <w:t>expected RES penetration for electricity production</w:t>
            </w:r>
          </w:p>
        </w:tc>
      </w:tr>
      <w:tr w:rsidR="00A062A4" w:rsidRPr="00A33AE8" w14:paraId="20E72AB6" w14:textId="77777777" w:rsidTr="009C7118">
        <w:trPr>
          <w:gridAfter w:val="1"/>
          <w:wAfter w:w="222" w:type="dxa"/>
          <w:trHeight w:val="443"/>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0B6E13DA"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8FC44C6" w14:textId="1736C310" w:rsidR="00A062A4" w:rsidRPr="00A33AE8" w:rsidRDefault="00A062A4"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6A608C" w:rsidRPr="00A33AE8">
              <w:rPr>
                <w:rFonts w:ascii="Calibri Light" w:eastAsia="Times New Roman" w:hAnsi="Calibri Light" w:cs="Calibri Light"/>
                <w:color w:val="000000"/>
                <w:sz w:val="20"/>
                <w:szCs w:val="20"/>
                <w:lang w:eastAsia="en-GB"/>
              </w:rPr>
              <w:t xml:space="preserve">D25 </w:t>
            </w:r>
            <w:r w:rsidRPr="00A33AE8">
              <w:rPr>
                <w:rFonts w:ascii="Calibri Light" w:eastAsia="Times New Roman" w:hAnsi="Calibri Light" w:cs="Calibri Light"/>
                <w:color w:val="000000"/>
                <w:sz w:val="20"/>
                <w:szCs w:val="20"/>
                <w:lang w:eastAsia="en-GB"/>
              </w:rPr>
              <w:t xml:space="preserve">will </w:t>
            </w:r>
            <w:r w:rsidR="00876823" w:rsidRPr="00A33AE8">
              <w:rPr>
                <w:rFonts w:ascii="Calibri Light" w:eastAsia="Times New Roman" w:hAnsi="Calibri Light" w:cs="Calibri Light"/>
                <w:color w:val="000000"/>
                <w:sz w:val="20"/>
                <w:szCs w:val="20"/>
                <w:lang w:eastAsia="en-GB"/>
              </w:rPr>
              <w:t>further</w:t>
            </w:r>
            <w:r w:rsidRPr="00A33AE8">
              <w:rPr>
                <w:rFonts w:ascii="Calibri Light" w:eastAsia="Times New Roman" w:hAnsi="Calibri Light" w:cs="Calibri Light"/>
                <w:color w:val="000000"/>
                <w:sz w:val="20"/>
                <w:szCs w:val="20"/>
                <w:lang w:eastAsia="en-GB"/>
              </w:rPr>
              <w:t xml:space="preserve"> update, simplify and optimize the grid connection procedures for the renewable energy stations. A simple-notification procedure will be examined for installations or aggregated production units provided that grid stability, grid reliability and grid safety are maintained. Finally, </w:t>
            </w:r>
            <w:r w:rsidR="00855E91" w:rsidRPr="00A33AE8">
              <w:rPr>
                <w:rFonts w:ascii="Calibri Light" w:eastAsia="Times New Roman" w:hAnsi="Calibri Light" w:cs="Calibri Light"/>
                <w:color w:val="000000"/>
                <w:sz w:val="20"/>
                <w:szCs w:val="20"/>
                <w:lang w:eastAsia="en-GB"/>
              </w:rPr>
              <w:t>the existing</w:t>
            </w:r>
            <w:r w:rsidRPr="00A33AE8">
              <w:rPr>
                <w:rFonts w:ascii="Calibri Light" w:eastAsia="Times New Roman" w:hAnsi="Calibri Light" w:cs="Calibri Light"/>
                <w:color w:val="000000"/>
                <w:sz w:val="20"/>
                <w:szCs w:val="20"/>
                <w:lang w:eastAsia="en-GB"/>
              </w:rPr>
              <w:t xml:space="preserve"> methodology and allocation rules for the foreseen grid connection costs will </w:t>
            </w:r>
            <w:r w:rsidR="00855E91" w:rsidRPr="00A33AE8">
              <w:rPr>
                <w:rFonts w:ascii="Calibri Light" w:eastAsia="Times New Roman" w:hAnsi="Calibri Light" w:cs="Calibri Light"/>
                <w:color w:val="000000"/>
                <w:sz w:val="20"/>
                <w:szCs w:val="20"/>
                <w:lang w:eastAsia="en-GB"/>
              </w:rPr>
              <w:t xml:space="preserve">continue to </w:t>
            </w:r>
            <w:r w:rsidRPr="00A33AE8">
              <w:rPr>
                <w:rFonts w:ascii="Calibri Light" w:eastAsia="Times New Roman" w:hAnsi="Calibri Light" w:cs="Calibri Light"/>
                <w:color w:val="000000"/>
                <w:sz w:val="20"/>
                <w:szCs w:val="20"/>
                <w:lang w:eastAsia="en-GB"/>
              </w:rPr>
              <w:t xml:space="preserve">be </w:t>
            </w:r>
            <w:r w:rsidR="00855E91" w:rsidRPr="00A33AE8">
              <w:rPr>
                <w:rFonts w:ascii="Calibri Light" w:eastAsia="Times New Roman" w:hAnsi="Calibri Light" w:cs="Calibri Light"/>
                <w:color w:val="000000"/>
                <w:sz w:val="20"/>
                <w:szCs w:val="20"/>
                <w:lang w:eastAsia="en-GB"/>
              </w:rPr>
              <w:t>utilised</w:t>
            </w:r>
            <w:r w:rsidRPr="00A33AE8">
              <w:rPr>
                <w:rFonts w:ascii="Calibri Light" w:eastAsia="Times New Roman" w:hAnsi="Calibri Light" w:cs="Calibri Light"/>
                <w:color w:val="000000"/>
                <w:sz w:val="20"/>
                <w:szCs w:val="20"/>
                <w:lang w:eastAsia="en-GB"/>
              </w:rPr>
              <w:t xml:space="preserve"> providing transparency to the potential investors</w:t>
            </w:r>
            <w:r w:rsidR="00DF6E91" w:rsidRPr="00A33AE8">
              <w:rPr>
                <w:rFonts w:ascii="Calibri Light" w:eastAsia="Times New Roman" w:hAnsi="Calibri Light" w:cs="Calibri Light"/>
                <w:color w:val="000000"/>
                <w:sz w:val="20"/>
                <w:szCs w:val="20"/>
                <w:lang w:eastAsia="en-GB"/>
              </w:rPr>
              <w:t xml:space="preserve"> taking into</w:t>
            </w:r>
            <w:r w:rsidR="00071BB8" w:rsidRPr="00A33AE8">
              <w:rPr>
                <w:rFonts w:ascii="Calibri Light" w:eastAsia="Times New Roman" w:hAnsi="Calibri Light" w:cs="Calibri Light"/>
                <w:color w:val="000000"/>
                <w:sz w:val="20"/>
                <w:szCs w:val="20"/>
                <w:lang w:eastAsia="en-GB"/>
              </w:rPr>
              <w:t xml:space="preserve"> </w:t>
            </w:r>
            <w:r w:rsidR="00DF6E91" w:rsidRPr="00A33AE8">
              <w:rPr>
                <w:rFonts w:ascii="Calibri Light" w:eastAsia="Times New Roman" w:hAnsi="Calibri Light" w:cs="Calibri Light"/>
                <w:color w:val="000000"/>
                <w:sz w:val="20"/>
                <w:szCs w:val="20"/>
                <w:lang w:eastAsia="en-GB"/>
              </w:rPr>
              <w:t>consideration</w:t>
            </w:r>
            <w:r w:rsidR="00B4342E" w:rsidRPr="00A33AE8">
              <w:rPr>
                <w:rFonts w:ascii="Calibri Light" w:eastAsia="Times New Roman" w:hAnsi="Calibri Light" w:cs="Calibri Light"/>
                <w:color w:val="000000"/>
                <w:sz w:val="20"/>
                <w:szCs w:val="20"/>
                <w:lang w:eastAsia="en-GB"/>
              </w:rPr>
              <w:t xml:space="preserve"> </w:t>
            </w:r>
            <w:r w:rsidR="00DF6E91" w:rsidRPr="00A33AE8">
              <w:rPr>
                <w:rFonts w:ascii="Calibri Light" w:eastAsia="Times New Roman" w:hAnsi="Calibri Light" w:cs="Calibri Light"/>
                <w:color w:val="000000"/>
                <w:sz w:val="20"/>
                <w:szCs w:val="20"/>
                <w:lang w:eastAsia="en-GB"/>
              </w:rPr>
              <w:t>the various characteristics during the connection of the renewable systems with the</w:t>
            </w:r>
            <w:r w:rsidR="00DF6E91" w:rsidRPr="00A33AE8">
              <w:t xml:space="preserve"> </w:t>
            </w:r>
            <w:r w:rsidR="00DF6E91" w:rsidRPr="00A33AE8">
              <w:rPr>
                <w:rFonts w:ascii="Calibri Light" w:eastAsia="Times New Roman" w:hAnsi="Calibri Light" w:cs="Calibri Light"/>
                <w:color w:val="000000"/>
                <w:sz w:val="20"/>
                <w:szCs w:val="20"/>
                <w:lang w:eastAsia="en-GB"/>
              </w:rPr>
              <w:t>transmission and distribution grids.</w:t>
            </w:r>
          </w:p>
        </w:tc>
      </w:tr>
      <w:tr w:rsidR="00A062A4" w:rsidRPr="00A33AE8" w14:paraId="62474BB1" w14:textId="77777777" w:rsidTr="009C7118">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F5E463B"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EB93587" w14:textId="77777777" w:rsidR="00A062A4"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062A4" w:rsidRPr="00A33AE8">
              <w:rPr>
                <w:rFonts w:ascii="Calibri Light" w:eastAsia="Times New Roman" w:hAnsi="Calibri Light" w:cs="Calibri Light"/>
                <w:color w:val="000000"/>
                <w:sz w:val="20"/>
                <w:szCs w:val="20"/>
                <w:lang w:eastAsia="en-GB"/>
              </w:rPr>
              <w:t>-</w:t>
            </w:r>
            <w:r w:rsidR="006C255D" w:rsidRPr="00A33AE8">
              <w:rPr>
                <w:rFonts w:ascii="Calibri Light" w:eastAsia="Times New Roman" w:hAnsi="Calibri Light" w:cs="Calibri Light"/>
                <w:color w:val="000000"/>
                <w:sz w:val="20"/>
                <w:szCs w:val="20"/>
                <w:lang w:eastAsia="en-GB"/>
              </w:rPr>
              <w:t>20</w:t>
            </w:r>
            <w:r w:rsidR="006C255D">
              <w:rPr>
                <w:rFonts w:ascii="Calibri Light" w:eastAsia="Times New Roman" w:hAnsi="Calibri Light" w:cs="Calibri Light"/>
                <w:color w:val="000000"/>
                <w:sz w:val="20"/>
                <w:szCs w:val="20"/>
                <w:lang w:eastAsia="en-GB"/>
              </w:rPr>
              <w:t>27</w:t>
            </w:r>
          </w:p>
        </w:tc>
      </w:tr>
      <w:tr w:rsidR="00A062A4" w:rsidRPr="00A33AE8" w14:paraId="1D65DD71" w14:textId="77777777" w:rsidTr="009C7118">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642FA25C"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2749431" w14:textId="77777777" w:rsidR="00A062A4" w:rsidRPr="00A33AE8" w:rsidRDefault="00C523B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A062A4" w:rsidRPr="00A33AE8" w14:paraId="0DF5F650" w14:textId="77777777" w:rsidTr="009C7118">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67ECF005"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7C0E3F6"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A062A4" w:rsidRPr="00567DAD" w14:paraId="1B53C1B3" w14:textId="77777777" w:rsidTr="009C7118">
        <w:trPr>
          <w:gridAfter w:val="1"/>
          <w:wAfter w:w="222" w:type="dxa"/>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2FF71967"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3596630E" w14:textId="77777777" w:rsidR="00A062A4" w:rsidRPr="00A33AE8" w:rsidRDefault="003E401B"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w:t>
            </w:r>
            <w:r w:rsidR="005F6955" w:rsidRPr="00A33AE8">
              <w:rPr>
                <w:rFonts w:ascii="Calibri Light" w:eastAsia="Times New Roman" w:hAnsi="Calibri Light" w:cs="Calibri Light"/>
                <w:color w:val="000000"/>
                <w:sz w:val="20"/>
                <w:szCs w:val="20"/>
                <w:lang w:eastAsia="en-GB"/>
              </w:rPr>
              <w:t xml:space="preserve"> Agency of the Republic of Serbia</w:t>
            </w:r>
          </w:p>
          <w:p w14:paraId="6562D35F" w14:textId="77777777" w:rsidR="00A062A4" w:rsidRPr="005B2C66" w:rsidRDefault="00922B09" w:rsidP="00884F3B">
            <w:pPr>
              <w:pStyle w:val="ListParagraph"/>
              <w:numPr>
                <w:ilvl w:val="0"/>
                <w:numId w:val="121"/>
              </w:numPr>
              <w:spacing w:after="0" w:line="240" w:lineRule="auto"/>
              <w:rPr>
                <w:rFonts w:ascii="Calibri Light" w:eastAsia="Times New Roman" w:hAnsi="Calibri Light" w:cs="Calibri Light"/>
                <w:color w:val="000000"/>
                <w:sz w:val="20"/>
                <w:szCs w:val="20"/>
                <w:lang w:val="pt-PT" w:eastAsia="en-GB"/>
              </w:rPr>
            </w:pPr>
            <w:r w:rsidRPr="0087794A">
              <w:rPr>
                <w:rFonts w:ascii="Calibri Light" w:eastAsia="Times New Roman" w:hAnsi="Calibri Light" w:cs="Calibri Light"/>
                <w:color w:val="000000"/>
                <w:sz w:val="20"/>
                <w:szCs w:val="20"/>
                <w:lang w:eastAsia="en-GB"/>
              </w:rPr>
              <w:t>Elektrodistribucija Srbije d.o.o. Beograd</w:t>
            </w:r>
          </w:p>
        </w:tc>
      </w:tr>
      <w:tr w:rsidR="00A062A4" w:rsidRPr="00A33AE8" w14:paraId="53366A31" w14:textId="77777777" w:rsidTr="009C7118">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773AAFDD"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2179A833" w14:textId="77777777" w:rsidR="00A062A4" w:rsidRPr="00A33AE8" w:rsidRDefault="006C255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6C255D">
              <w:rPr>
                <w:rFonts w:ascii="Calibri Light" w:eastAsia="Times New Roman" w:hAnsi="Calibri Light" w:cs="Calibri Light"/>
                <w:color w:val="000000"/>
                <w:sz w:val="20"/>
                <w:szCs w:val="20"/>
                <w:lang w:eastAsia="en-GB"/>
              </w:rPr>
              <w:t>Government of the Republic of Serbia</w:t>
            </w:r>
          </w:p>
        </w:tc>
      </w:tr>
      <w:tr w:rsidR="009C7118" w:rsidRPr="00A33AE8" w14:paraId="5E9B7F32" w14:textId="77777777" w:rsidTr="009C7118">
        <w:trPr>
          <w:gridAfter w:val="1"/>
          <w:wAfter w:w="222" w:type="dxa"/>
          <w:trHeight w:val="315"/>
        </w:trPr>
        <w:tc>
          <w:tcPr>
            <w:tcW w:w="3270" w:type="dxa"/>
            <w:tcBorders>
              <w:top w:val="nil"/>
              <w:left w:val="single" w:sz="8" w:space="0" w:color="auto"/>
              <w:bottom w:val="single" w:sz="8" w:space="0" w:color="auto"/>
              <w:right w:val="nil"/>
            </w:tcBorders>
            <w:shd w:val="clear" w:color="000000" w:fill="244062"/>
            <w:vAlign w:val="center"/>
            <w:hideMark/>
          </w:tcPr>
          <w:p w14:paraId="6994C672" w14:textId="77777777" w:rsidR="009C7118" w:rsidRPr="00A33AE8" w:rsidRDefault="009C7118" w:rsidP="009C711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0B8DEBCB" w14:textId="77777777" w:rsidR="009C7118" w:rsidRPr="00A33AE8" w:rsidRDefault="00F72DA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Developed </w:t>
            </w:r>
            <w:r w:rsidR="009C7118" w:rsidRPr="00A33AE8">
              <w:rPr>
                <w:rFonts w:ascii="Calibri Light" w:eastAsia="Times New Roman" w:hAnsi="Calibri Light" w:cs="Calibri Light"/>
                <w:color w:val="000000"/>
                <w:sz w:val="20"/>
                <w:szCs w:val="20"/>
                <w:lang w:eastAsia="en-GB"/>
              </w:rPr>
              <w:t>legislative and regulatory framework</w:t>
            </w:r>
          </w:p>
        </w:tc>
      </w:tr>
      <w:tr w:rsidR="006C6A30" w:rsidRPr="00A33AE8" w14:paraId="7EDA3A07" w14:textId="77777777" w:rsidTr="009C7118">
        <w:trPr>
          <w:gridAfter w:val="1"/>
          <w:wAfter w:w="222" w:type="dxa"/>
          <w:trHeight w:val="323"/>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0E6B80B3"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8" w:type="dxa"/>
            <w:gridSpan w:val="3"/>
            <w:tcBorders>
              <w:top w:val="single" w:sz="8" w:space="0" w:color="auto"/>
              <w:left w:val="nil"/>
              <w:bottom w:val="single" w:sz="8" w:space="0" w:color="auto"/>
              <w:right w:val="single" w:sz="8" w:space="0" w:color="000000"/>
            </w:tcBorders>
            <w:shd w:val="clear" w:color="auto" w:fill="auto"/>
            <w:vAlign w:val="center"/>
          </w:tcPr>
          <w:p w14:paraId="4D351D35" w14:textId="77777777" w:rsidR="006C255D" w:rsidRDefault="006C255D" w:rsidP="00884F3B">
            <w:pPr>
              <w:numPr>
                <w:ilvl w:val="0"/>
                <w:numId w:val="286"/>
              </w:numPr>
              <w:spacing w:after="0" w:line="240" w:lineRule="auto"/>
              <w:rPr>
                <w:rFonts w:ascii="Calibri Light" w:eastAsia="Times New Roman" w:hAnsi="Calibri Light" w:cs="Calibri Light"/>
                <w:color w:val="000000"/>
                <w:sz w:val="20"/>
                <w:szCs w:val="20"/>
                <w:lang w:eastAsia="en-GB"/>
              </w:rPr>
            </w:pPr>
            <w:r w:rsidRPr="006C255D">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09AE4D5A" w14:textId="77777777" w:rsidR="006C6A30" w:rsidRPr="006C255D" w:rsidRDefault="006C255D" w:rsidP="00884F3B">
            <w:pPr>
              <w:numPr>
                <w:ilvl w:val="0"/>
                <w:numId w:val="286"/>
              </w:numPr>
              <w:spacing w:after="0" w:line="240" w:lineRule="auto"/>
              <w:rPr>
                <w:rFonts w:ascii="Calibri Light" w:eastAsia="Times New Roman" w:hAnsi="Calibri Light" w:cs="Calibri Light"/>
                <w:color w:val="000000"/>
                <w:sz w:val="20"/>
                <w:szCs w:val="20"/>
                <w:lang w:eastAsia="en-GB"/>
              </w:rPr>
            </w:pPr>
            <w:r w:rsidRPr="006C255D">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9C7118" w:rsidRPr="00A33AE8" w14:paraId="25F3C6F4" w14:textId="77777777" w:rsidTr="009C7118">
        <w:trPr>
          <w:gridAfter w:val="1"/>
          <w:wAfter w:w="222" w:type="dxa"/>
          <w:trHeight w:val="450"/>
        </w:trPr>
        <w:tc>
          <w:tcPr>
            <w:tcW w:w="327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4F11190" w14:textId="77777777" w:rsidR="009C7118" w:rsidRPr="00A33AE8" w:rsidRDefault="009C7118" w:rsidP="009C711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3B6DE4" w14:textId="77777777" w:rsidR="009C7118" w:rsidRPr="00A33AE8" w:rsidRDefault="009C711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9C7118" w:rsidRPr="00A33AE8" w14:paraId="7E500106" w14:textId="77777777" w:rsidTr="009C7118">
        <w:trPr>
          <w:trHeight w:val="300"/>
        </w:trPr>
        <w:tc>
          <w:tcPr>
            <w:tcW w:w="3270" w:type="dxa"/>
            <w:vMerge/>
            <w:tcBorders>
              <w:top w:val="nil"/>
              <w:left w:val="single" w:sz="8" w:space="0" w:color="auto"/>
              <w:bottom w:val="single" w:sz="8" w:space="0" w:color="000000"/>
              <w:right w:val="single" w:sz="8" w:space="0" w:color="auto"/>
            </w:tcBorders>
            <w:vAlign w:val="center"/>
            <w:hideMark/>
          </w:tcPr>
          <w:p w14:paraId="142453B0" w14:textId="77777777" w:rsidR="009C7118" w:rsidRPr="00A33AE8" w:rsidRDefault="009C7118" w:rsidP="009C7118">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50AB40A2" w14:textId="77777777" w:rsidR="009C7118" w:rsidRPr="00A33AE8" w:rsidRDefault="009C711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4DB5B72" w14:textId="77777777" w:rsidR="009C7118" w:rsidRPr="00A33AE8" w:rsidRDefault="009C7118" w:rsidP="009C7118">
            <w:pPr>
              <w:spacing w:after="0" w:line="240" w:lineRule="auto"/>
              <w:rPr>
                <w:rFonts w:ascii="Calibri Light" w:eastAsia="Times New Roman" w:hAnsi="Calibri Light" w:cs="Calibri Light"/>
                <w:color w:val="000000"/>
                <w:sz w:val="20"/>
                <w:szCs w:val="20"/>
                <w:lang w:eastAsia="en-GB"/>
              </w:rPr>
            </w:pPr>
          </w:p>
        </w:tc>
      </w:tr>
      <w:tr w:rsidR="009C7118" w:rsidRPr="00A33AE8" w14:paraId="53149375" w14:textId="77777777" w:rsidTr="009C7118">
        <w:trPr>
          <w:trHeight w:val="60"/>
        </w:trPr>
        <w:tc>
          <w:tcPr>
            <w:tcW w:w="3270" w:type="dxa"/>
            <w:vMerge/>
            <w:tcBorders>
              <w:top w:val="nil"/>
              <w:left w:val="single" w:sz="8" w:space="0" w:color="auto"/>
              <w:bottom w:val="single" w:sz="8" w:space="0" w:color="000000"/>
              <w:right w:val="single" w:sz="8" w:space="0" w:color="auto"/>
            </w:tcBorders>
            <w:vAlign w:val="center"/>
            <w:hideMark/>
          </w:tcPr>
          <w:p w14:paraId="5E443080" w14:textId="77777777" w:rsidR="009C7118" w:rsidRPr="00A33AE8" w:rsidRDefault="009C7118" w:rsidP="009C7118">
            <w:pPr>
              <w:spacing w:after="0" w:line="240" w:lineRule="auto"/>
              <w:rPr>
                <w:rFonts w:ascii="Calibri Light" w:eastAsia="Times New Roman" w:hAnsi="Calibri Light" w:cs="Calibri Light"/>
                <w:b/>
                <w:bCs/>
                <w:color w:val="FFFFFF"/>
                <w:sz w:val="20"/>
                <w:szCs w:val="20"/>
                <w:lang w:eastAsia="en-GB"/>
              </w:rPr>
            </w:pPr>
          </w:p>
        </w:tc>
        <w:tc>
          <w:tcPr>
            <w:tcW w:w="6188" w:type="dxa"/>
            <w:gridSpan w:val="3"/>
            <w:vMerge/>
            <w:tcBorders>
              <w:top w:val="single" w:sz="8" w:space="0" w:color="auto"/>
              <w:left w:val="single" w:sz="8" w:space="0" w:color="auto"/>
              <w:bottom w:val="single" w:sz="8" w:space="0" w:color="000000"/>
              <w:right w:val="single" w:sz="8" w:space="0" w:color="000000"/>
            </w:tcBorders>
            <w:vAlign w:val="center"/>
            <w:hideMark/>
          </w:tcPr>
          <w:p w14:paraId="790578EF" w14:textId="77777777" w:rsidR="009C7118" w:rsidRPr="00A33AE8" w:rsidRDefault="009C711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1FD723E" w14:textId="77777777" w:rsidR="009C7118" w:rsidRPr="00A33AE8" w:rsidRDefault="009C7118" w:rsidP="009C7118">
            <w:pPr>
              <w:spacing w:after="0" w:line="240" w:lineRule="auto"/>
              <w:rPr>
                <w:rFonts w:ascii="Times New Roman" w:eastAsia="Times New Roman" w:hAnsi="Times New Roman" w:cs="Times New Roman"/>
                <w:sz w:val="20"/>
                <w:szCs w:val="20"/>
                <w:lang w:eastAsia="en-GB"/>
              </w:rPr>
            </w:pPr>
          </w:p>
        </w:tc>
      </w:tr>
      <w:tr w:rsidR="009C7118" w:rsidRPr="00A33AE8" w14:paraId="2E3D28B7" w14:textId="77777777" w:rsidTr="009C7118">
        <w:trPr>
          <w:trHeight w:val="229"/>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5769CEA9" w14:textId="77777777" w:rsidR="009C7118" w:rsidRPr="00A33AE8" w:rsidRDefault="009C7118" w:rsidP="009C711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112A1D76" w14:textId="77777777" w:rsidR="009C7118" w:rsidRPr="00A33AE8" w:rsidRDefault="009C711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17B8F935" w14:textId="77777777" w:rsidR="009C7118" w:rsidRPr="00A33AE8" w:rsidRDefault="009C7118" w:rsidP="009C7118">
            <w:pPr>
              <w:spacing w:after="0" w:line="240" w:lineRule="auto"/>
              <w:rPr>
                <w:rFonts w:ascii="Times New Roman" w:eastAsia="Times New Roman" w:hAnsi="Times New Roman" w:cs="Times New Roman"/>
                <w:sz w:val="20"/>
                <w:szCs w:val="20"/>
                <w:lang w:eastAsia="en-GB"/>
              </w:rPr>
            </w:pPr>
          </w:p>
        </w:tc>
      </w:tr>
      <w:tr w:rsidR="009C7118" w:rsidRPr="00A33AE8" w14:paraId="401BAF09" w14:textId="77777777" w:rsidTr="009C7118">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7B4FD2BD" w14:textId="77777777" w:rsidR="009C7118" w:rsidRPr="00A33AE8" w:rsidRDefault="009C7118" w:rsidP="009C711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405489D5" w14:textId="77777777" w:rsidR="009C7118" w:rsidRPr="00A33AE8" w:rsidRDefault="00C523B2" w:rsidP="009C7118">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p>
        </w:tc>
        <w:tc>
          <w:tcPr>
            <w:tcW w:w="222" w:type="dxa"/>
            <w:vAlign w:val="center"/>
            <w:hideMark/>
          </w:tcPr>
          <w:p w14:paraId="06387CE2" w14:textId="77777777" w:rsidR="009C7118" w:rsidRPr="00A33AE8" w:rsidRDefault="009C7118" w:rsidP="009C7118">
            <w:pPr>
              <w:spacing w:after="0" w:line="240" w:lineRule="auto"/>
              <w:rPr>
                <w:rFonts w:ascii="Times New Roman" w:eastAsia="Times New Roman" w:hAnsi="Times New Roman" w:cs="Times New Roman"/>
                <w:sz w:val="20"/>
                <w:szCs w:val="20"/>
                <w:lang w:eastAsia="en-GB"/>
              </w:rPr>
            </w:pPr>
          </w:p>
        </w:tc>
      </w:tr>
      <w:tr w:rsidR="009259D8" w:rsidRPr="00A33AE8" w14:paraId="782A90F6" w14:textId="77777777" w:rsidTr="009C7118">
        <w:trPr>
          <w:trHeight w:val="315"/>
        </w:trPr>
        <w:tc>
          <w:tcPr>
            <w:tcW w:w="3270" w:type="dxa"/>
            <w:tcBorders>
              <w:top w:val="nil"/>
              <w:left w:val="single" w:sz="8" w:space="0" w:color="auto"/>
              <w:bottom w:val="single" w:sz="8" w:space="0" w:color="auto"/>
              <w:right w:val="single" w:sz="8" w:space="0" w:color="auto"/>
            </w:tcBorders>
            <w:shd w:val="clear" w:color="000000" w:fill="244062"/>
            <w:vAlign w:val="center"/>
            <w:hideMark/>
          </w:tcPr>
          <w:p w14:paraId="0116CA4F" w14:textId="77777777" w:rsidR="009259D8" w:rsidRPr="00A33AE8" w:rsidRDefault="009259D8" w:rsidP="009259D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8" w:type="dxa"/>
            <w:gridSpan w:val="3"/>
            <w:tcBorders>
              <w:top w:val="single" w:sz="8" w:space="0" w:color="auto"/>
              <w:left w:val="nil"/>
              <w:bottom w:val="single" w:sz="8" w:space="0" w:color="auto"/>
              <w:right w:val="single" w:sz="8" w:space="0" w:color="000000"/>
            </w:tcBorders>
            <w:shd w:val="clear" w:color="auto" w:fill="auto"/>
            <w:vAlign w:val="center"/>
            <w:hideMark/>
          </w:tcPr>
          <w:p w14:paraId="625BEA9A" w14:textId="77777777" w:rsidR="009259D8" w:rsidRPr="00A33AE8" w:rsidRDefault="009259D8" w:rsidP="009259D8">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7B43EEBC" w14:textId="77777777" w:rsidR="009259D8" w:rsidRPr="00A33AE8" w:rsidRDefault="009259D8" w:rsidP="009259D8">
            <w:pPr>
              <w:spacing w:after="0" w:line="240" w:lineRule="auto"/>
              <w:rPr>
                <w:rFonts w:ascii="Times New Roman" w:eastAsia="Times New Roman" w:hAnsi="Times New Roman" w:cs="Times New Roman"/>
                <w:sz w:val="20"/>
                <w:szCs w:val="20"/>
                <w:lang w:eastAsia="en-GB"/>
              </w:rPr>
            </w:pPr>
          </w:p>
        </w:tc>
      </w:tr>
    </w:tbl>
    <w:p w14:paraId="14083883" w14:textId="77777777" w:rsidR="00A062A4" w:rsidRPr="00A33AE8" w:rsidRDefault="00A062A4" w:rsidP="00A062A4">
      <w:pPr>
        <w:pStyle w:val="LDKbody"/>
        <w:rPr>
          <w:lang w:val="en-GB"/>
        </w:rPr>
      </w:pPr>
    </w:p>
    <w:tbl>
      <w:tblPr>
        <w:tblW w:w="9680" w:type="dxa"/>
        <w:tblLook w:val="04A0" w:firstRow="1" w:lastRow="0" w:firstColumn="1" w:lastColumn="0" w:noHBand="0" w:noVBand="1"/>
      </w:tblPr>
      <w:tblGrid>
        <w:gridCol w:w="3330"/>
        <w:gridCol w:w="941"/>
        <w:gridCol w:w="946"/>
        <w:gridCol w:w="4241"/>
        <w:gridCol w:w="222"/>
      </w:tblGrid>
      <w:tr w:rsidR="00A062A4" w:rsidRPr="00A33AE8" w14:paraId="46945CE1" w14:textId="77777777" w:rsidTr="006769DA">
        <w:trPr>
          <w:gridAfter w:val="1"/>
          <w:wAfter w:w="222" w:type="dxa"/>
          <w:trHeight w:val="780"/>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A6CB8E8" w14:textId="77777777" w:rsidR="00A062A4" w:rsidRPr="00A33AE8" w:rsidRDefault="00A062A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7FE626A"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6A608C" w:rsidRPr="00A33AE8">
              <w:rPr>
                <w:rFonts w:ascii="Calibri Light" w:eastAsia="Times New Roman" w:hAnsi="Calibri Light" w:cs="Calibri Light"/>
                <w:b/>
                <w:bCs/>
                <w:color w:val="000000"/>
                <w:sz w:val="20"/>
                <w:szCs w:val="20"/>
                <w:lang w:eastAsia="en-GB"/>
              </w:rPr>
              <w:t>D26</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551256F2"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3B9E64F8"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Fostering the self-consumption of the produced electricity</w:t>
            </w:r>
          </w:p>
        </w:tc>
      </w:tr>
      <w:tr w:rsidR="00A062A4" w:rsidRPr="00A33AE8" w14:paraId="236F58A7" w14:textId="77777777" w:rsidTr="006769DA">
        <w:trPr>
          <w:gridAfter w:val="1"/>
          <w:wAfter w:w="222" w:type="dxa"/>
          <w:trHeight w:val="329"/>
        </w:trPr>
        <w:tc>
          <w:tcPr>
            <w:tcW w:w="3330" w:type="dxa"/>
            <w:tcBorders>
              <w:top w:val="nil"/>
              <w:left w:val="single" w:sz="8" w:space="0" w:color="auto"/>
              <w:bottom w:val="single" w:sz="8" w:space="0" w:color="auto"/>
              <w:right w:val="nil"/>
            </w:tcBorders>
            <w:shd w:val="clear" w:color="000000" w:fill="244062"/>
            <w:vAlign w:val="center"/>
            <w:hideMark/>
          </w:tcPr>
          <w:p w14:paraId="44BBF4F6"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9B1574F" w14:textId="2AE5F72F"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w:t>
            </w:r>
          </w:p>
        </w:tc>
      </w:tr>
      <w:tr w:rsidR="00A062A4" w:rsidRPr="00A33AE8" w14:paraId="52D32C90"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01A8C854"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319E0D5" w14:textId="77777777" w:rsidR="00A062A4" w:rsidRPr="00A33AE8" w:rsidRDefault="00A062A4"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measure PM_D2</w:t>
            </w:r>
            <w:r w:rsidR="008B7CD4" w:rsidRPr="00A33AE8">
              <w:rPr>
                <w:rFonts w:ascii="Calibri Light" w:eastAsia="Times New Roman" w:hAnsi="Calibri Light" w:cs="Calibri Light"/>
                <w:color w:val="000000"/>
                <w:sz w:val="20"/>
                <w:szCs w:val="20"/>
                <w:lang w:eastAsia="en-GB"/>
              </w:rPr>
              <w:t>1</w:t>
            </w:r>
          </w:p>
        </w:tc>
      </w:tr>
      <w:tr w:rsidR="00A062A4" w:rsidRPr="00A33AE8" w14:paraId="61D4B2D6" w14:textId="77777777" w:rsidTr="000007D2">
        <w:trPr>
          <w:gridAfter w:val="1"/>
          <w:wAfter w:w="222" w:type="dxa"/>
          <w:trHeight w:val="567"/>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0A6165CF"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58B7357" w14:textId="757C3AB3" w:rsidR="00A062A4" w:rsidRPr="00A33AE8" w:rsidRDefault="00A062A4"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PM_D2</w:t>
            </w:r>
            <w:r w:rsidR="006A608C" w:rsidRPr="00A33AE8">
              <w:rPr>
                <w:rFonts w:ascii="Calibri Light" w:eastAsia="Times New Roman" w:hAnsi="Calibri Light" w:cs="Calibri Light"/>
                <w:color w:val="000000"/>
                <w:sz w:val="20"/>
                <w:szCs w:val="20"/>
                <w:lang w:eastAsia="en-GB"/>
              </w:rPr>
              <w:t>6</w:t>
            </w:r>
            <w:r w:rsidRPr="00A33AE8">
              <w:rPr>
                <w:rFonts w:ascii="Calibri Light" w:eastAsia="Times New Roman" w:hAnsi="Calibri Light" w:cs="Calibri Light"/>
                <w:color w:val="000000"/>
                <w:sz w:val="20"/>
                <w:szCs w:val="20"/>
                <w:lang w:eastAsia="en-GB"/>
              </w:rPr>
              <w:t xml:space="preserve"> will support renewables self-consumers </w:t>
            </w:r>
            <w:r w:rsidR="006A608C" w:rsidRPr="00A33AE8">
              <w:rPr>
                <w:rFonts w:ascii="Calibri Light" w:eastAsia="Times New Roman" w:hAnsi="Calibri Light" w:cs="Calibri Light"/>
                <w:color w:val="000000"/>
                <w:sz w:val="20"/>
                <w:szCs w:val="20"/>
                <w:lang w:eastAsia="en-GB"/>
              </w:rPr>
              <w:t xml:space="preserve">(producer-customer) </w:t>
            </w:r>
            <w:r w:rsidR="00D83596" w:rsidRPr="00A33AE8">
              <w:rPr>
                <w:rFonts w:ascii="Calibri Light" w:eastAsia="Times New Roman" w:hAnsi="Calibri Light" w:cs="Calibri Light"/>
                <w:color w:val="000000"/>
                <w:sz w:val="20"/>
                <w:szCs w:val="20"/>
                <w:lang w:eastAsia="en-GB"/>
              </w:rPr>
              <w:t xml:space="preserve">for the installation of decentralized renewable energy systems </w:t>
            </w:r>
            <w:r w:rsidRPr="00A33AE8">
              <w:rPr>
                <w:rFonts w:ascii="Calibri Light" w:eastAsia="Times New Roman" w:hAnsi="Calibri Light" w:cs="Calibri Light"/>
                <w:color w:val="000000"/>
                <w:sz w:val="20"/>
                <w:szCs w:val="20"/>
                <w:lang w:eastAsia="en-GB"/>
              </w:rPr>
              <w:t xml:space="preserve">with the initiation of a dedicated support scheme including the provision of financial and fiscal incentives. </w:t>
            </w:r>
            <w:r w:rsidR="006D3BCC" w:rsidRPr="00CD0941">
              <w:rPr>
                <w:rFonts w:ascii="Calibri Light" w:eastAsia="Times New Roman" w:hAnsi="Calibri Light" w:cs="Calibri Light"/>
                <w:color w:val="000000"/>
                <w:sz w:val="20"/>
                <w:szCs w:val="20"/>
                <w:lang w:eastAsia="en-GB"/>
              </w:rPr>
              <w:t xml:space="preserve">The implementation of the measure will </w:t>
            </w:r>
            <w:r w:rsidR="006D3BCC" w:rsidRPr="0087794A">
              <w:rPr>
                <w:rFonts w:ascii="Calibri Light" w:eastAsia="Times New Roman" w:hAnsi="Calibri Light" w:cs="Calibri Light"/>
                <w:color w:val="000000"/>
                <w:sz w:val="20"/>
                <w:szCs w:val="20"/>
                <w:lang w:eastAsia="en-GB"/>
              </w:rPr>
              <w:t xml:space="preserve">take into considerations the </w:t>
            </w:r>
            <w:r w:rsidR="006D3BCC" w:rsidRPr="00CD0941">
              <w:rPr>
                <w:rFonts w:ascii="Calibri Light" w:eastAsia="Times New Roman" w:hAnsi="Calibri Light" w:cs="Calibri Light"/>
                <w:color w:val="000000"/>
                <w:sz w:val="20"/>
                <w:szCs w:val="20"/>
                <w:lang w:eastAsia="en-GB"/>
              </w:rPr>
              <w:t>provisions of the</w:t>
            </w:r>
            <w:r w:rsidR="006D3BCC" w:rsidRPr="0087794A">
              <w:rPr>
                <w:rFonts w:ascii="Calibri Light" w:eastAsia="Times New Roman" w:hAnsi="Calibri Light" w:cs="Calibri Light"/>
                <w:color w:val="000000"/>
                <w:sz w:val="20"/>
                <w:szCs w:val="20"/>
                <w:lang w:eastAsia="en-GB"/>
              </w:rPr>
              <w:t xml:space="preserve"> relevant legislation</w:t>
            </w:r>
            <w:r w:rsidR="006D3BCC" w:rsidRPr="00CD0941">
              <w:rPr>
                <w:rFonts w:ascii="Calibri Light" w:eastAsia="Times New Roman" w:hAnsi="Calibri Light" w:cs="Calibri Light"/>
                <w:color w:val="000000"/>
                <w:sz w:val="20"/>
                <w:szCs w:val="20"/>
                <w:lang w:eastAsia="en-GB"/>
              </w:rPr>
              <w:t>.</w:t>
            </w:r>
            <w:r w:rsidR="006D3BCC">
              <w:rPr>
                <w:rFonts w:ascii="Calibri Light" w:eastAsia="Times New Roman" w:hAnsi="Calibri Light" w:cs="Calibri Light"/>
                <w:color w:val="000000"/>
                <w:sz w:val="20"/>
                <w:szCs w:val="20"/>
                <w:lang w:eastAsia="en-GB"/>
              </w:rPr>
              <w:t xml:space="preserve"> </w:t>
            </w:r>
            <w:r w:rsidR="005722D5" w:rsidRPr="00A33AE8">
              <w:rPr>
                <w:rFonts w:ascii="Calibri Light" w:eastAsia="Times New Roman" w:hAnsi="Calibri Light" w:cs="Calibri Light"/>
                <w:color w:val="000000"/>
                <w:sz w:val="20"/>
                <w:szCs w:val="20"/>
                <w:lang w:eastAsia="en-GB"/>
              </w:rPr>
              <w:t xml:space="preserve">The design of the support scheme will be carried out taking into account the triggered benefits due to the deployment of decentralized renewable energy systems and the increase of prosumerism. </w:t>
            </w:r>
            <w:r w:rsidRPr="00A33AE8">
              <w:rPr>
                <w:rFonts w:ascii="Calibri Light" w:eastAsia="Times New Roman" w:hAnsi="Calibri Light" w:cs="Calibri Light"/>
                <w:color w:val="000000"/>
                <w:sz w:val="20"/>
                <w:szCs w:val="20"/>
                <w:lang w:eastAsia="en-GB"/>
              </w:rPr>
              <w:t>Moreover, non-discriminatory and proportionate charges and fees will be applied to renewables self-consumers, while transparent and fair allocation rules will be specified in the case that the renewables self-consumers are located in the same building. Finally, an analysis will be occurred in order to identify potential barriers, while specific policies and measures will be initiated for addressing them in the case that their existence will be justified</w:t>
            </w:r>
            <w:r w:rsidR="00DE1C88">
              <w:rPr>
                <w:rFonts w:ascii="Calibri Light" w:eastAsia="Times New Roman" w:hAnsi="Calibri Light" w:cs="Calibri Light"/>
                <w:color w:val="000000"/>
                <w:sz w:val="20"/>
                <w:szCs w:val="20"/>
                <w:lang w:eastAsia="en-GB"/>
              </w:rPr>
              <w:t xml:space="preserve"> </w:t>
            </w:r>
            <w:r w:rsidR="00DE1C88" w:rsidRPr="00DE1C88">
              <w:rPr>
                <w:rFonts w:ascii="Calibri Light" w:eastAsia="Times New Roman" w:hAnsi="Calibri Light" w:cs="Calibri Light"/>
                <w:color w:val="000000"/>
                <w:sz w:val="20"/>
                <w:szCs w:val="20"/>
                <w:lang w:eastAsia="en-GB"/>
              </w:rPr>
              <w:t xml:space="preserve">ensuring simultaneously that renewables self-consumers contribute in an adequate </w:t>
            </w:r>
            <w:r w:rsidR="00DE1C88" w:rsidRPr="00DE1C88">
              <w:rPr>
                <w:rFonts w:ascii="Calibri Light" w:eastAsia="Times New Roman" w:hAnsi="Calibri Light" w:cs="Calibri Light"/>
                <w:color w:val="000000"/>
                <w:sz w:val="20"/>
                <w:szCs w:val="20"/>
                <w:lang w:eastAsia="en-GB"/>
              </w:rPr>
              <w:lastRenderedPageBreak/>
              <w:t>and balanced way to the overall cost sharing of the system when electricity is fed into the grid.</w:t>
            </w:r>
          </w:p>
        </w:tc>
      </w:tr>
      <w:tr w:rsidR="00A062A4" w:rsidRPr="00A33AE8" w14:paraId="29D6B68A"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7DD9A9A"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B80DE23" w14:textId="77777777" w:rsidR="00A062A4"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062A4" w:rsidRPr="00A33AE8">
              <w:rPr>
                <w:rFonts w:ascii="Calibri Light" w:eastAsia="Times New Roman" w:hAnsi="Calibri Light" w:cs="Calibri Light"/>
                <w:color w:val="000000"/>
                <w:sz w:val="20"/>
                <w:szCs w:val="20"/>
                <w:lang w:eastAsia="en-GB"/>
              </w:rPr>
              <w:t>-2030</w:t>
            </w:r>
          </w:p>
        </w:tc>
      </w:tr>
      <w:tr w:rsidR="00A062A4" w:rsidRPr="00A33AE8" w14:paraId="42625EAE"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D258D19"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4A2BE11" w14:textId="77777777" w:rsidR="00A062A4" w:rsidRPr="00A33AE8" w:rsidRDefault="00C523B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A062A4" w:rsidRPr="00A33AE8" w14:paraId="72B8B39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2D6FE25"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CE0AF7B"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036A3D" w:rsidRPr="00A33AE8" w14:paraId="58DC1903"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2CE5A49" w14:textId="77777777" w:rsidR="00036A3D" w:rsidRPr="00A33AE8" w:rsidRDefault="00036A3D" w:rsidP="00036A3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16A5F70" w14:textId="77777777" w:rsidR="00036A3D" w:rsidRPr="00A33AE8" w:rsidRDefault="00036A3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A062A4" w:rsidRPr="00A33AE8" w14:paraId="2B481D60"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0EB87351"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52C9B21" w14:textId="77777777" w:rsidR="00A062A4" w:rsidRPr="00A33AE8" w:rsidRDefault="008E61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E6122">
              <w:rPr>
                <w:rFonts w:ascii="Calibri Light" w:eastAsia="Times New Roman" w:hAnsi="Calibri Light" w:cs="Calibri Light"/>
                <w:color w:val="000000"/>
                <w:sz w:val="20"/>
                <w:szCs w:val="20"/>
                <w:lang w:eastAsia="en-GB"/>
              </w:rPr>
              <w:t>Government of the Republic of Serbia</w:t>
            </w:r>
            <w:r w:rsidR="00A062A4" w:rsidRPr="00A33AE8">
              <w:rPr>
                <w:rFonts w:ascii="Calibri Light" w:eastAsia="Times New Roman" w:hAnsi="Calibri Light" w:cs="Calibri Light"/>
                <w:color w:val="000000"/>
                <w:sz w:val="20"/>
                <w:szCs w:val="20"/>
                <w:lang w:eastAsia="en-GB"/>
              </w:rPr>
              <w:t> </w:t>
            </w:r>
          </w:p>
        </w:tc>
      </w:tr>
      <w:tr w:rsidR="00A062A4" w:rsidRPr="00A33AE8" w14:paraId="006A08A4"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089BC44B"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AC6319C" w14:textId="77777777" w:rsidR="00A062A4" w:rsidRPr="00A33AE8" w:rsidRDefault="00DE05A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and produced RES electricity</w:t>
            </w:r>
            <w:r w:rsidR="00A062A4" w:rsidRPr="00A33AE8">
              <w:rPr>
                <w:rFonts w:ascii="Calibri Light" w:eastAsia="Times New Roman" w:hAnsi="Calibri Light" w:cs="Calibri Light"/>
                <w:color w:val="000000"/>
                <w:sz w:val="20"/>
                <w:szCs w:val="20"/>
                <w:lang w:eastAsia="en-GB"/>
              </w:rPr>
              <w:t> </w:t>
            </w:r>
          </w:p>
        </w:tc>
      </w:tr>
      <w:tr w:rsidR="006C6A30" w:rsidRPr="00A33AE8" w14:paraId="7F5EAB59" w14:textId="77777777" w:rsidTr="006769DA">
        <w:trPr>
          <w:gridAfter w:val="1"/>
          <w:wAfter w:w="222" w:type="dxa"/>
          <w:trHeight w:val="449"/>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EDA1C51"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107D5E18" w14:textId="77777777" w:rsidR="008E6122" w:rsidRPr="008E6122" w:rsidRDefault="008E61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E6122">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348F7A96" w14:textId="77777777" w:rsidR="006C6A30" w:rsidRPr="00A33AE8" w:rsidRDefault="008E61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E6122">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A062A4" w:rsidRPr="00A33AE8" w14:paraId="3603C0CB"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DE073E2"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6CA9D5C" w14:textId="77777777" w:rsidR="00A062A4" w:rsidRPr="00A33AE8"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A062A4" w:rsidRPr="00A33AE8" w14:paraId="3DA96981"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4907F493"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513E9A85" w14:textId="77777777" w:rsidR="00A062A4" w:rsidRPr="00A33AE8"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9BAC877"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p>
        </w:tc>
      </w:tr>
      <w:tr w:rsidR="00A062A4" w:rsidRPr="00A33AE8" w14:paraId="136B972B" w14:textId="77777777" w:rsidTr="006769DA">
        <w:trPr>
          <w:trHeight w:val="60"/>
        </w:trPr>
        <w:tc>
          <w:tcPr>
            <w:tcW w:w="3330" w:type="dxa"/>
            <w:vMerge/>
            <w:tcBorders>
              <w:top w:val="nil"/>
              <w:left w:val="single" w:sz="8" w:space="0" w:color="auto"/>
              <w:bottom w:val="single" w:sz="8" w:space="0" w:color="000000"/>
              <w:right w:val="single" w:sz="8" w:space="0" w:color="auto"/>
            </w:tcBorders>
            <w:vAlign w:val="center"/>
            <w:hideMark/>
          </w:tcPr>
          <w:p w14:paraId="27413F66"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0D29F51D" w14:textId="77777777" w:rsidR="00A062A4" w:rsidRPr="00A33AE8"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DAD10D6" w14:textId="77777777" w:rsidR="00A062A4" w:rsidRPr="00A33AE8" w:rsidRDefault="00A062A4" w:rsidP="006769DA">
            <w:pPr>
              <w:spacing w:after="0" w:line="240" w:lineRule="auto"/>
              <w:rPr>
                <w:rFonts w:ascii="Times New Roman" w:eastAsia="Times New Roman" w:hAnsi="Times New Roman" w:cs="Times New Roman"/>
                <w:sz w:val="20"/>
                <w:szCs w:val="20"/>
                <w:lang w:eastAsia="en-GB"/>
              </w:rPr>
            </w:pPr>
          </w:p>
        </w:tc>
      </w:tr>
      <w:tr w:rsidR="00A062A4" w:rsidRPr="00A33AE8" w14:paraId="73888902" w14:textId="77777777" w:rsidTr="006769DA">
        <w:trPr>
          <w:trHeight w:val="443"/>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219313A8"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0CB087A" w14:textId="77777777" w:rsidR="00A062A4" w:rsidRPr="00CD0941" w:rsidRDefault="00A062A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Law on the use of renewable energy sources</w:t>
            </w:r>
          </w:p>
          <w:p w14:paraId="2265CF00" w14:textId="6BD394DD" w:rsidR="001E0044" w:rsidRPr="00CD0941" w:rsidRDefault="001E004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Law on Energy Efficiency and Rational Use of Energy</w:t>
            </w:r>
          </w:p>
        </w:tc>
        <w:tc>
          <w:tcPr>
            <w:tcW w:w="222" w:type="dxa"/>
            <w:vAlign w:val="center"/>
            <w:hideMark/>
          </w:tcPr>
          <w:p w14:paraId="36C30AF7" w14:textId="77777777" w:rsidR="00A062A4" w:rsidRPr="00A33AE8" w:rsidRDefault="00A062A4" w:rsidP="006769DA">
            <w:pPr>
              <w:spacing w:after="0" w:line="240" w:lineRule="auto"/>
              <w:rPr>
                <w:rFonts w:ascii="Times New Roman" w:eastAsia="Times New Roman" w:hAnsi="Times New Roman" w:cs="Times New Roman"/>
                <w:sz w:val="20"/>
                <w:szCs w:val="20"/>
                <w:lang w:eastAsia="en-GB"/>
              </w:rPr>
            </w:pPr>
          </w:p>
        </w:tc>
      </w:tr>
      <w:tr w:rsidR="00A062A4" w:rsidRPr="00A33AE8" w14:paraId="0C823364"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7FD056A"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0C59EBC" w14:textId="77777777" w:rsidR="00A062A4" w:rsidRPr="00A33AE8" w:rsidRDefault="008B7CD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Be integrated into</w:t>
            </w:r>
            <w:r w:rsidR="00A062A4" w:rsidRPr="00A33AE8">
              <w:rPr>
                <w:rFonts w:ascii="Calibri Light" w:eastAsia="Times New Roman" w:hAnsi="Calibri Light" w:cs="Calibri Light"/>
                <w:color w:val="000000"/>
                <w:sz w:val="20"/>
                <w:szCs w:val="20"/>
                <w:lang w:eastAsia="en-GB"/>
              </w:rPr>
              <w:t xml:space="preserve"> PM_D2</w:t>
            </w:r>
            <w:r w:rsidRPr="00A33AE8">
              <w:rPr>
                <w:rFonts w:ascii="Calibri Light" w:eastAsia="Times New Roman" w:hAnsi="Calibri Light" w:cs="Calibri Light"/>
                <w:color w:val="000000"/>
                <w:sz w:val="20"/>
                <w:szCs w:val="20"/>
                <w:lang w:eastAsia="en-GB"/>
              </w:rPr>
              <w:t>1</w:t>
            </w:r>
          </w:p>
        </w:tc>
        <w:tc>
          <w:tcPr>
            <w:tcW w:w="222" w:type="dxa"/>
            <w:vAlign w:val="center"/>
            <w:hideMark/>
          </w:tcPr>
          <w:p w14:paraId="58674300" w14:textId="77777777" w:rsidR="00A062A4" w:rsidRPr="00A33AE8" w:rsidRDefault="00A062A4" w:rsidP="006769DA">
            <w:pPr>
              <w:spacing w:after="0" w:line="240" w:lineRule="auto"/>
              <w:rPr>
                <w:rFonts w:ascii="Times New Roman" w:eastAsia="Times New Roman" w:hAnsi="Times New Roman" w:cs="Times New Roman"/>
                <w:sz w:val="20"/>
                <w:szCs w:val="20"/>
                <w:lang w:eastAsia="en-GB"/>
              </w:rPr>
            </w:pPr>
          </w:p>
        </w:tc>
      </w:tr>
      <w:tr w:rsidR="00A062A4" w:rsidRPr="00A33AE8" w14:paraId="480429A4"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9FA3561"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EDEB0F8" w14:textId="77777777" w:rsidR="00A062A4" w:rsidRPr="00A33AE8" w:rsidRDefault="009C7118"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EU and other funds, public funds</w:t>
            </w:r>
          </w:p>
        </w:tc>
        <w:tc>
          <w:tcPr>
            <w:tcW w:w="222" w:type="dxa"/>
            <w:vAlign w:val="center"/>
            <w:hideMark/>
          </w:tcPr>
          <w:p w14:paraId="1037CEC6" w14:textId="77777777" w:rsidR="00A062A4" w:rsidRPr="00A33AE8" w:rsidRDefault="00A062A4" w:rsidP="006769DA">
            <w:pPr>
              <w:spacing w:after="0" w:line="240" w:lineRule="auto"/>
              <w:rPr>
                <w:rFonts w:ascii="Times New Roman" w:eastAsia="Times New Roman" w:hAnsi="Times New Roman" w:cs="Times New Roman"/>
                <w:sz w:val="20"/>
                <w:szCs w:val="20"/>
                <w:lang w:eastAsia="en-GB"/>
              </w:rPr>
            </w:pPr>
          </w:p>
        </w:tc>
      </w:tr>
    </w:tbl>
    <w:p w14:paraId="62BE5CC1" w14:textId="77777777" w:rsidR="00A062A4" w:rsidRPr="00A33AE8" w:rsidRDefault="00A062A4" w:rsidP="00A062A4">
      <w:pPr>
        <w:pStyle w:val="LDKbody"/>
        <w:rPr>
          <w:lang w:val="en-GB"/>
        </w:rPr>
      </w:pPr>
    </w:p>
    <w:tbl>
      <w:tblPr>
        <w:tblW w:w="9680" w:type="dxa"/>
        <w:tblLook w:val="04A0" w:firstRow="1" w:lastRow="0" w:firstColumn="1" w:lastColumn="0" w:noHBand="0" w:noVBand="1"/>
      </w:tblPr>
      <w:tblGrid>
        <w:gridCol w:w="3330"/>
        <w:gridCol w:w="945"/>
        <w:gridCol w:w="946"/>
        <w:gridCol w:w="4237"/>
        <w:gridCol w:w="222"/>
      </w:tblGrid>
      <w:tr w:rsidR="00A062A4" w:rsidRPr="00A33AE8" w14:paraId="42EEE727" w14:textId="77777777" w:rsidTr="006769DA">
        <w:trPr>
          <w:gridAfter w:val="1"/>
          <w:wAfter w:w="222" w:type="dxa"/>
          <w:trHeight w:val="780"/>
        </w:trPr>
        <w:tc>
          <w:tcPr>
            <w:tcW w:w="3330"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BF952B2" w14:textId="77777777" w:rsidR="00A062A4" w:rsidRPr="00A33AE8" w:rsidRDefault="00A062A4"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66E656CC" w14:textId="77777777" w:rsidR="00A062A4" w:rsidRPr="00A33AE8" w:rsidRDefault="00A062A4"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PM_D2</w:t>
            </w:r>
            <w:r w:rsidR="00B844E2" w:rsidRPr="00A33AE8">
              <w:rPr>
                <w:rFonts w:ascii="Calibri Light" w:eastAsia="Times New Roman" w:hAnsi="Calibri Light" w:cs="Calibri Light"/>
                <w:b/>
                <w:bCs/>
                <w:color w:val="000000"/>
                <w:sz w:val="20"/>
                <w:szCs w:val="20"/>
                <w:lang w:eastAsia="en-GB"/>
              </w:rPr>
              <w:t>7</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2D9CABAC"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7" w:type="dxa"/>
            <w:tcBorders>
              <w:top w:val="single" w:sz="8" w:space="0" w:color="auto"/>
              <w:left w:val="nil"/>
              <w:bottom w:val="single" w:sz="8" w:space="0" w:color="auto"/>
              <w:right w:val="single" w:sz="8" w:space="0" w:color="auto"/>
            </w:tcBorders>
            <w:shd w:val="clear" w:color="auto" w:fill="E7E6E6" w:themeFill="background2"/>
            <w:vAlign w:val="center"/>
            <w:hideMark/>
          </w:tcPr>
          <w:p w14:paraId="6E72BDF9" w14:textId="77777777" w:rsidR="00A062A4" w:rsidRPr="00A33AE8" w:rsidRDefault="00B844E2"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Operating</w:t>
            </w:r>
            <w:r w:rsidR="00A062A4" w:rsidRPr="00A33AE8">
              <w:rPr>
                <w:rFonts w:ascii="Calibri Light" w:eastAsia="Times New Roman" w:hAnsi="Calibri Light" w:cs="Calibri Light"/>
                <w:b/>
                <w:bCs/>
                <w:color w:val="000000"/>
                <w:sz w:val="20"/>
                <w:szCs w:val="20"/>
                <w:lang w:eastAsia="en-GB"/>
              </w:rPr>
              <w:t xml:space="preserve"> public</w:t>
            </w:r>
            <w:r w:rsidRPr="00A33AE8">
              <w:rPr>
                <w:rFonts w:ascii="Calibri Light" w:eastAsia="Times New Roman" w:hAnsi="Calibri Light" w:cs="Calibri Light"/>
                <w:b/>
                <w:bCs/>
                <w:color w:val="000000"/>
                <w:sz w:val="20"/>
                <w:szCs w:val="20"/>
                <w:lang w:eastAsia="en-GB"/>
              </w:rPr>
              <w:t>ly</w:t>
            </w:r>
            <w:r w:rsidR="00A062A4" w:rsidRPr="00A33AE8">
              <w:rPr>
                <w:rFonts w:ascii="Calibri Light" w:eastAsia="Times New Roman" w:hAnsi="Calibri Light" w:cs="Calibri Light"/>
                <w:b/>
                <w:bCs/>
                <w:color w:val="000000"/>
                <w:sz w:val="20"/>
                <w:szCs w:val="20"/>
                <w:lang w:eastAsia="en-GB"/>
              </w:rPr>
              <w:t xml:space="preserve"> accessible registr</w:t>
            </w:r>
            <w:r w:rsidRPr="00A33AE8">
              <w:rPr>
                <w:rFonts w:ascii="Calibri Light" w:eastAsia="Times New Roman" w:hAnsi="Calibri Light" w:cs="Calibri Light"/>
                <w:b/>
                <w:bCs/>
                <w:color w:val="000000"/>
                <w:sz w:val="20"/>
                <w:szCs w:val="20"/>
                <w:lang w:eastAsia="en-GB"/>
              </w:rPr>
              <w:t>ies</w:t>
            </w:r>
            <w:r w:rsidR="00A062A4" w:rsidRPr="00A33AE8">
              <w:rPr>
                <w:rFonts w:ascii="Calibri Light" w:eastAsia="Times New Roman" w:hAnsi="Calibri Light" w:cs="Calibri Light"/>
                <w:b/>
                <w:bCs/>
                <w:color w:val="000000"/>
                <w:sz w:val="20"/>
                <w:szCs w:val="20"/>
                <w:lang w:eastAsia="en-GB"/>
              </w:rPr>
              <w:t xml:space="preserve"> for RES electricity producers </w:t>
            </w:r>
          </w:p>
        </w:tc>
      </w:tr>
      <w:tr w:rsidR="00A062A4" w:rsidRPr="00A33AE8" w14:paraId="5B8DC1D1" w14:textId="77777777" w:rsidTr="006769DA">
        <w:trPr>
          <w:gridAfter w:val="1"/>
          <w:wAfter w:w="222" w:type="dxa"/>
          <w:trHeight w:val="341"/>
        </w:trPr>
        <w:tc>
          <w:tcPr>
            <w:tcW w:w="3330" w:type="dxa"/>
            <w:tcBorders>
              <w:top w:val="nil"/>
              <w:left w:val="single" w:sz="8" w:space="0" w:color="auto"/>
              <w:bottom w:val="single" w:sz="8" w:space="0" w:color="auto"/>
              <w:right w:val="nil"/>
            </w:tcBorders>
            <w:shd w:val="clear" w:color="000000" w:fill="244062"/>
            <w:vAlign w:val="center"/>
            <w:hideMark/>
          </w:tcPr>
          <w:p w14:paraId="62269A02"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DEF2C91"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 share of RES in electricity </w:t>
            </w:r>
          </w:p>
        </w:tc>
      </w:tr>
      <w:tr w:rsidR="00A062A4" w:rsidRPr="00A33AE8" w14:paraId="6E10BD7D"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851549A"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3278472"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Contribution to the </w:t>
            </w:r>
            <w:r w:rsidR="00B844E2" w:rsidRPr="00A33AE8">
              <w:rPr>
                <w:rFonts w:ascii="Calibri Light" w:eastAsia="Times New Roman" w:hAnsi="Calibri Light" w:cs="Calibri Light"/>
                <w:color w:val="000000"/>
                <w:sz w:val="20"/>
                <w:szCs w:val="20"/>
                <w:lang w:eastAsia="en-GB"/>
              </w:rPr>
              <w:t>expected RES penetration for electricity production</w:t>
            </w:r>
          </w:p>
        </w:tc>
      </w:tr>
      <w:tr w:rsidR="00A062A4" w:rsidRPr="00A33AE8" w14:paraId="0A674D6C" w14:textId="77777777" w:rsidTr="006769DA">
        <w:trPr>
          <w:gridAfter w:val="1"/>
          <w:wAfter w:w="222" w:type="dxa"/>
          <w:trHeight w:val="918"/>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3424778"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0BC7F29" w14:textId="77777777" w:rsidR="00A062A4" w:rsidRPr="00A33AE8" w:rsidRDefault="00A062A4"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B844E2" w:rsidRPr="00A33AE8">
              <w:rPr>
                <w:rFonts w:ascii="Calibri Light" w:eastAsia="Times New Roman" w:hAnsi="Calibri Light" w:cs="Calibri Light"/>
                <w:color w:val="000000"/>
                <w:sz w:val="20"/>
                <w:szCs w:val="20"/>
                <w:lang w:eastAsia="en-GB"/>
              </w:rPr>
              <w:t xml:space="preserve">D27 </w:t>
            </w:r>
            <w:r w:rsidRPr="00A33AE8">
              <w:rPr>
                <w:rFonts w:ascii="Calibri Light" w:eastAsia="Times New Roman" w:hAnsi="Calibri Light" w:cs="Calibri Light"/>
                <w:color w:val="000000"/>
                <w:sz w:val="20"/>
                <w:szCs w:val="20"/>
                <w:lang w:eastAsia="en-GB"/>
              </w:rPr>
              <w:t xml:space="preserve">foresee the </w:t>
            </w:r>
            <w:r w:rsidR="00B844E2" w:rsidRPr="00A33AE8">
              <w:rPr>
                <w:rFonts w:ascii="Calibri Light" w:eastAsia="Times New Roman" w:hAnsi="Calibri Light" w:cs="Calibri Light"/>
                <w:color w:val="000000"/>
                <w:sz w:val="20"/>
                <w:szCs w:val="20"/>
                <w:lang w:eastAsia="en-GB"/>
              </w:rPr>
              <w:t>improvement</w:t>
            </w:r>
            <w:r w:rsidRPr="00A33AE8">
              <w:rPr>
                <w:rFonts w:ascii="Calibri Light" w:eastAsia="Times New Roman" w:hAnsi="Calibri Light" w:cs="Calibri Light"/>
                <w:color w:val="000000"/>
                <w:sz w:val="20"/>
                <w:szCs w:val="20"/>
                <w:lang w:eastAsia="en-GB"/>
              </w:rPr>
              <w:t xml:space="preserve"> of </w:t>
            </w:r>
            <w:r w:rsidR="00B844E2" w:rsidRPr="00A33AE8">
              <w:rPr>
                <w:rFonts w:ascii="Calibri Light" w:eastAsia="Times New Roman" w:hAnsi="Calibri Light" w:cs="Calibri Light"/>
                <w:color w:val="000000"/>
                <w:sz w:val="20"/>
                <w:szCs w:val="20"/>
                <w:lang w:eastAsia="en-GB"/>
              </w:rPr>
              <w:t>the existing registries</w:t>
            </w:r>
            <w:r w:rsidRPr="00A33AE8">
              <w:rPr>
                <w:rFonts w:ascii="Calibri Light" w:eastAsia="Times New Roman" w:hAnsi="Calibri Light" w:cs="Calibri Light"/>
                <w:color w:val="000000"/>
                <w:sz w:val="20"/>
                <w:szCs w:val="20"/>
                <w:lang w:eastAsia="en-GB"/>
              </w:rPr>
              <w:t xml:space="preserve"> by the competent </w:t>
            </w:r>
            <w:r w:rsidR="00B844E2" w:rsidRPr="00A33AE8">
              <w:rPr>
                <w:rFonts w:ascii="Calibri Light" w:eastAsia="Times New Roman" w:hAnsi="Calibri Light" w:cs="Calibri Light"/>
                <w:color w:val="000000"/>
                <w:sz w:val="20"/>
                <w:szCs w:val="20"/>
                <w:lang w:eastAsia="en-GB"/>
              </w:rPr>
              <w:t>authorities as foreseen by the respective legislation</w:t>
            </w:r>
            <w:r w:rsidRPr="00A33AE8">
              <w:rPr>
                <w:rFonts w:ascii="Calibri Light" w:eastAsia="Times New Roman" w:hAnsi="Calibri Light" w:cs="Calibri Light"/>
                <w:color w:val="000000"/>
                <w:sz w:val="20"/>
                <w:szCs w:val="20"/>
                <w:lang w:eastAsia="en-GB"/>
              </w:rPr>
              <w:t xml:space="preserve"> for providing information to all citizens about the net benefits, cost and energy efficiency of the installed renewable energy stations for electricity production.</w:t>
            </w:r>
          </w:p>
        </w:tc>
      </w:tr>
      <w:tr w:rsidR="00A062A4" w:rsidRPr="00A33AE8" w14:paraId="19D73E45"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3811CFB9"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1E5ABB7C" w14:textId="77777777" w:rsidR="00A062A4"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062A4" w:rsidRPr="00A33AE8">
              <w:rPr>
                <w:rFonts w:ascii="Calibri Light" w:eastAsia="Times New Roman" w:hAnsi="Calibri Light" w:cs="Calibri Light"/>
                <w:color w:val="000000"/>
                <w:sz w:val="20"/>
                <w:szCs w:val="20"/>
                <w:lang w:eastAsia="en-GB"/>
              </w:rPr>
              <w:t>-</w:t>
            </w:r>
            <w:r w:rsidR="008E6122" w:rsidRPr="00A33AE8">
              <w:rPr>
                <w:rFonts w:ascii="Calibri Light" w:eastAsia="Times New Roman" w:hAnsi="Calibri Light" w:cs="Calibri Light"/>
                <w:color w:val="000000"/>
                <w:sz w:val="20"/>
                <w:szCs w:val="20"/>
                <w:lang w:eastAsia="en-GB"/>
              </w:rPr>
              <w:t>20</w:t>
            </w:r>
            <w:r w:rsidR="008E6122">
              <w:rPr>
                <w:rFonts w:ascii="Calibri Light" w:eastAsia="Times New Roman" w:hAnsi="Calibri Light" w:cs="Calibri Light"/>
                <w:color w:val="000000"/>
                <w:sz w:val="20"/>
                <w:szCs w:val="20"/>
                <w:lang w:eastAsia="en-GB"/>
              </w:rPr>
              <w:t>26</w:t>
            </w:r>
          </w:p>
        </w:tc>
      </w:tr>
      <w:tr w:rsidR="00A062A4" w:rsidRPr="00A33AE8" w14:paraId="2F08338B"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17C95B6"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53884D3E" w14:textId="77777777" w:rsidR="00A062A4" w:rsidRPr="00A33AE8" w:rsidRDefault="00C523B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A062A4" w:rsidRPr="00A33AE8" w14:paraId="782A326F"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68AE242D" w14:textId="77777777" w:rsidR="00A062A4" w:rsidRPr="00A33AE8" w:rsidRDefault="00A062A4"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7BAEB387" w14:textId="77777777" w:rsidR="00A062A4" w:rsidRPr="00A33AE8" w:rsidRDefault="00A062A4"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Electricity </w:t>
            </w:r>
          </w:p>
        </w:tc>
      </w:tr>
      <w:tr w:rsidR="00FB6A69" w:rsidRPr="00A33AE8" w14:paraId="08CB83EC" w14:textId="77777777" w:rsidTr="006769DA">
        <w:trPr>
          <w:gridAfter w:val="1"/>
          <w:wAfter w:w="222" w:type="dxa"/>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05DDB7DA"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5E2CC7C"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FB6A69" w:rsidRPr="00A33AE8" w14:paraId="7108272D"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0290A42B"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01F6B847" w14:textId="77777777" w:rsidR="00FB6A69" w:rsidRPr="00A33AE8" w:rsidRDefault="008E61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E6122">
              <w:rPr>
                <w:rFonts w:ascii="Calibri Light" w:eastAsia="Times New Roman" w:hAnsi="Calibri Light" w:cs="Calibri Light"/>
                <w:color w:val="000000"/>
                <w:sz w:val="20"/>
                <w:szCs w:val="20"/>
                <w:lang w:eastAsia="en-GB"/>
              </w:rPr>
              <w:t>Government of the Republic of Serbia</w:t>
            </w:r>
            <w:r w:rsidR="00FB6A69" w:rsidRPr="00A33AE8">
              <w:rPr>
                <w:rFonts w:ascii="Calibri Light" w:eastAsia="Times New Roman" w:hAnsi="Calibri Light" w:cs="Calibri Light"/>
                <w:color w:val="000000"/>
                <w:sz w:val="20"/>
                <w:szCs w:val="20"/>
                <w:lang w:eastAsia="en-GB"/>
              </w:rPr>
              <w:t> </w:t>
            </w:r>
          </w:p>
        </w:tc>
      </w:tr>
      <w:tr w:rsidR="00FB6A69" w:rsidRPr="00A33AE8" w14:paraId="758025C2" w14:textId="77777777" w:rsidTr="006769DA">
        <w:trPr>
          <w:gridAfter w:val="1"/>
          <w:wAfter w:w="222" w:type="dxa"/>
          <w:trHeight w:val="315"/>
        </w:trPr>
        <w:tc>
          <w:tcPr>
            <w:tcW w:w="3330" w:type="dxa"/>
            <w:tcBorders>
              <w:top w:val="nil"/>
              <w:left w:val="single" w:sz="8" w:space="0" w:color="auto"/>
              <w:bottom w:val="single" w:sz="8" w:space="0" w:color="auto"/>
              <w:right w:val="nil"/>
            </w:tcBorders>
            <w:shd w:val="clear" w:color="000000" w:fill="244062"/>
            <w:vAlign w:val="center"/>
            <w:hideMark/>
          </w:tcPr>
          <w:p w14:paraId="60D3E0B4"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3B603939"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registry</w:t>
            </w:r>
          </w:p>
        </w:tc>
      </w:tr>
      <w:tr w:rsidR="00FB6A69" w:rsidRPr="00A33AE8" w14:paraId="56600908" w14:textId="77777777" w:rsidTr="006769DA">
        <w:trPr>
          <w:gridAfter w:val="1"/>
          <w:wAfter w:w="222" w:type="dxa"/>
          <w:trHeight w:val="323"/>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50356C73"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8" w:type="dxa"/>
            <w:gridSpan w:val="3"/>
            <w:tcBorders>
              <w:top w:val="single" w:sz="8" w:space="0" w:color="auto"/>
              <w:left w:val="nil"/>
              <w:bottom w:val="single" w:sz="8" w:space="0" w:color="auto"/>
              <w:right w:val="single" w:sz="8" w:space="0" w:color="000000"/>
            </w:tcBorders>
            <w:shd w:val="clear" w:color="auto" w:fill="auto"/>
            <w:vAlign w:val="center"/>
          </w:tcPr>
          <w:p w14:paraId="2C8E640D" w14:textId="77777777" w:rsidR="008E6122" w:rsidRPr="008E6122" w:rsidRDefault="008E61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E6122">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6DA10C41" w14:textId="77777777" w:rsidR="00FB6A69" w:rsidRPr="00A33AE8" w:rsidRDefault="008E6122"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8E6122">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FB6A69" w:rsidRPr="00A33AE8" w14:paraId="38FC4127" w14:textId="77777777" w:rsidTr="006769DA">
        <w:trPr>
          <w:gridAfter w:val="1"/>
          <w:wAfter w:w="222" w:type="dxa"/>
          <w:trHeight w:val="450"/>
        </w:trPr>
        <w:tc>
          <w:tcPr>
            <w:tcW w:w="3330"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D4755A4"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4AD5755"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FB6A69" w:rsidRPr="00A33AE8" w14:paraId="49F38C22" w14:textId="77777777" w:rsidTr="006769DA">
        <w:trPr>
          <w:trHeight w:val="300"/>
        </w:trPr>
        <w:tc>
          <w:tcPr>
            <w:tcW w:w="3330" w:type="dxa"/>
            <w:vMerge/>
            <w:tcBorders>
              <w:top w:val="nil"/>
              <w:left w:val="single" w:sz="8" w:space="0" w:color="auto"/>
              <w:bottom w:val="single" w:sz="8" w:space="0" w:color="000000"/>
              <w:right w:val="single" w:sz="8" w:space="0" w:color="auto"/>
            </w:tcBorders>
            <w:vAlign w:val="center"/>
            <w:hideMark/>
          </w:tcPr>
          <w:p w14:paraId="405C56F3"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318083B1"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A48E7DB" w14:textId="77777777" w:rsidR="00FB6A69" w:rsidRPr="00A33AE8" w:rsidRDefault="00FB6A69" w:rsidP="00FB6A69">
            <w:pPr>
              <w:spacing w:after="0" w:line="240" w:lineRule="auto"/>
              <w:rPr>
                <w:rFonts w:ascii="Calibri Light" w:eastAsia="Times New Roman" w:hAnsi="Calibri Light" w:cs="Calibri Light"/>
                <w:color w:val="000000"/>
                <w:sz w:val="20"/>
                <w:szCs w:val="20"/>
                <w:lang w:eastAsia="en-GB"/>
              </w:rPr>
            </w:pPr>
          </w:p>
        </w:tc>
      </w:tr>
      <w:tr w:rsidR="00FB6A69" w:rsidRPr="00A33AE8" w14:paraId="0561E07F" w14:textId="77777777" w:rsidTr="006769DA">
        <w:trPr>
          <w:trHeight w:val="54"/>
        </w:trPr>
        <w:tc>
          <w:tcPr>
            <w:tcW w:w="3330" w:type="dxa"/>
            <w:vMerge/>
            <w:tcBorders>
              <w:top w:val="nil"/>
              <w:left w:val="single" w:sz="8" w:space="0" w:color="auto"/>
              <w:bottom w:val="single" w:sz="8" w:space="0" w:color="000000"/>
              <w:right w:val="single" w:sz="8" w:space="0" w:color="auto"/>
            </w:tcBorders>
            <w:vAlign w:val="center"/>
            <w:hideMark/>
          </w:tcPr>
          <w:p w14:paraId="1F53CA72"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p>
        </w:tc>
        <w:tc>
          <w:tcPr>
            <w:tcW w:w="6128" w:type="dxa"/>
            <w:gridSpan w:val="3"/>
            <w:vMerge/>
            <w:tcBorders>
              <w:top w:val="single" w:sz="8" w:space="0" w:color="auto"/>
              <w:left w:val="single" w:sz="8" w:space="0" w:color="auto"/>
              <w:bottom w:val="single" w:sz="8" w:space="0" w:color="000000"/>
              <w:right w:val="single" w:sz="8" w:space="0" w:color="000000"/>
            </w:tcBorders>
            <w:vAlign w:val="center"/>
            <w:hideMark/>
          </w:tcPr>
          <w:p w14:paraId="6C8A45F0"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FA9EFD1" w14:textId="77777777" w:rsidR="00FB6A69" w:rsidRPr="00A33AE8" w:rsidRDefault="00FB6A69" w:rsidP="00FB6A69">
            <w:pPr>
              <w:spacing w:after="0" w:line="240" w:lineRule="auto"/>
              <w:rPr>
                <w:rFonts w:ascii="Times New Roman" w:eastAsia="Times New Roman" w:hAnsi="Times New Roman" w:cs="Times New Roman"/>
                <w:sz w:val="20"/>
                <w:szCs w:val="20"/>
                <w:lang w:eastAsia="en-GB"/>
              </w:rPr>
            </w:pPr>
          </w:p>
        </w:tc>
      </w:tr>
      <w:tr w:rsidR="00FB6A69" w:rsidRPr="00A33AE8" w14:paraId="178247A4" w14:textId="77777777" w:rsidTr="006769DA">
        <w:trPr>
          <w:trHeight w:val="512"/>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16EE2B20"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49F92CF0"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773DC382" w14:textId="77777777" w:rsidR="00FB6A69" w:rsidRPr="00A33AE8" w:rsidRDefault="00FB6A69" w:rsidP="00FB6A69">
            <w:pPr>
              <w:spacing w:after="0" w:line="240" w:lineRule="auto"/>
              <w:rPr>
                <w:rFonts w:ascii="Times New Roman" w:eastAsia="Times New Roman" w:hAnsi="Times New Roman" w:cs="Times New Roman"/>
                <w:sz w:val="20"/>
                <w:szCs w:val="20"/>
                <w:lang w:eastAsia="en-GB"/>
              </w:rPr>
            </w:pPr>
          </w:p>
        </w:tc>
      </w:tr>
      <w:tr w:rsidR="00FB6A69" w:rsidRPr="00A33AE8" w14:paraId="5E7CC74F"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C032A54"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cost</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207BCADC" w14:textId="77777777" w:rsidR="00FB6A69" w:rsidRPr="00A33AE8" w:rsidRDefault="00FB6A69" w:rsidP="00FB6A69">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0.5 M€</w:t>
            </w:r>
          </w:p>
        </w:tc>
        <w:tc>
          <w:tcPr>
            <w:tcW w:w="222" w:type="dxa"/>
            <w:vAlign w:val="center"/>
            <w:hideMark/>
          </w:tcPr>
          <w:p w14:paraId="48221497" w14:textId="77777777" w:rsidR="00FB6A69" w:rsidRPr="00A33AE8" w:rsidRDefault="00FB6A69" w:rsidP="00FB6A69">
            <w:pPr>
              <w:spacing w:after="0" w:line="240" w:lineRule="auto"/>
              <w:rPr>
                <w:rFonts w:ascii="Calibri Light" w:eastAsia="Times New Roman" w:hAnsi="Calibri Light" w:cs="Calibri Light"/>
                <w:color w:val="000000"/>
                <w:sz w:val="20"/>
                <w:szCs w:val="20"/>
                <w:lang w:eastAsia="en-GB"/>
              </w:rPr>
            </w:pPr>
          </w:p>
        </w:tc>
      </w:tr>
      <w:tr w:rsidR="00FB6A69" w:rsidRPr="00A33AE8" w14:paraId="4E665B74" w14:textId="77777777" w:rsidTr="006769DA">
        <w:trPr>
          <w:trHeight w:val="315"/>
        </w:trPr>
        <w:tc>
          <w:tcPr>
            <w:tcW w:w="3330" w:type="dxa"/>
            <w:tcBorders>
              <w:top w:val="nil"/>
              <w:left w:val="single" w:sz="8" w:space="0" w:color="auto"/>
              <w:bottom w:val="single" w:sz="8" w:space="0" w:color="auto"/>
              <w:right w:val="single" w:sz="8" w:space="0" w:color="auto"/>
            </w:tcBorders>
            <w:shd w:val="clear" w:color="000000" w:fill="244062"/>
            <w:vAlign w:val="center"/>
            <w:hideMark/>
          </w:tcPr>
          <w:p w14:paraId="73F71576"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8" w:type="dxa"/>
            <w:gridSpan w:val="3"/>
            <w:tcBorders>
              <w:top w:val="single" w:sz="8" w:space="0" w:color="auto"/>
              <w:left w:val="nil"/>
              <w:bottom w:val="single" w:sz="8" w:space="0" w:color="auto"/>
              <w:right w:val="single" w:sz="8" w:space="0" w:color="000000"/>
            </w:tcBorders>
            <w:shd w:val="clear" w:color="auto" w:fill="auto"/>
            <w:vAlign w:val="center"/>
            <w:hideMark/>
          </w:tcPr>
          <w:p w14:paraId="68FF420E" w14:textId="77777777" w:rsidR="00FB6A69" w:rsidRPr="00A33AE8" w:rsidRDefault="00FB6A69" w:rsidP="00FB6A69">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23960C66" w14:textId="77777777" w:rsidR="00FB6A69" w:rsidRPr="00A33AE8" w:rsidRDefault="00FB6A69" w:rsidP="00FB6A69">
            <w:pPr>
              <w:spacing w:after="0" w:line="240" w:lineRule="auto"/>
              <w:rPr>
                <w:rFonts w:ascii="Times New Roman" w:eastAsia="Times New Roman" w:hAnsi="Times New Roman" w:cs="Times New Roman"/>
                <w:sz w:val="20"/>
                <w:szCs w:val="20"/>
                <w:lang w:eastAsia="en-GB"/>
              </w:rPr>
            </w:pPr>
          </w:p>
        </w:tc>
      </w:tr>
    </w:tbl>
    <w:p w14:paraId="47CF4609" w14:textId="77777777" w:rsidR="00A36B39" w:rsidRPr="00A33AE8" w:rsidRDefault="00A36B39" w:rsidP="005B2C66">
      <w:pPr>
        <w:spacing w:before="120" w:after="120" w:line="260" w:lineRule="exact"/>
        <w:jc w:val="both"/>
        <w:rPr>
          <w:rFonts w:cstheme="minorHAnsi"/>
          <w:b/>
          <w:bCs/>
          <w:color w:val="000000"/>
        </w:rPr>
      </w:pPr>
    </w:p>
    <w:tbl>
      <w:tblPr>
        <w:tblW w:w="9680" w:type="dxa"/>
        <w:tblLook w:val="04A0" w:firstRow="1" w:lastRow="0" w:firstColumn="1" w:lastColumn="0" w:noHBand="0" w:noVBand="1"/>
      </w:tblPr>
      <w:tblGrid>
        <w:gridCol w:w="3277"/>
        <w:gridCol w:w="1097"/>
        <w:gridCol w:w="936"/>
        <w:gridCol w:w="4148"/>
        <w:gridCol w:w="222"/>
      </w:tblGrid>
      <w:tr w:rsidR="00A36B39" w:rsidRPr="00A33AE8" w14:paraId="08D7DD72" w14:textId="77777777" w:rsidTr="00A36B39">
        <w:trPr>
          <w:gridAfter w:val="1"/>
          <w:wAfter w:w="222" w:type="dxa"/>
          <w:trHeight w:val="780"/>
        </w:trPr>
        <w:tc>
          <w:tcPr>
            <w:tcW w:w="327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5BE9963" w14:textId="77777777" w:rsidR="00A36B39" w:rsidRPr="00A33AE8" w:rsidRDefault="00A36B3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97" w:type="dxa"/>
            <w:tcBorders>
              <w:top w:val="single" w:sz="8" w:space="0" w:color="auto"/>
              <w:left w:val="nil"/>
              <w:bottom w:val="single" w:sz="8" w:space="0" w:color="auto"/>
              <w:right w:val="single" w:sz="8" w:space="0" w:color="auto"/>
            </w:tcBorders>
            <w:shd w:val="clear" w:color="auto" w:fill="E7E6E6" w:themeFill="background2"/>
            <w:vAlign w:val="center"/>
            <w:hideMark/>
          </w:tcPr>
          <w:p w14:paraId="2C0F6E2A" w14:textId="77777777" w:rsidR="00A36B39" w:rsidRPr="00A33AE8" w:rsidRDefault="00A36B3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B844E2" w:rsidRPr="00A33AE8">
              <w:rPr>
                <w:rFonts w:ascii="Calibri Light" w:eastAsia="Times New Roman" w:hAnsi="Calibri Light" w:cs="Calibri Light"/>
                <w:b/>
                <w:bCs/>
                <w:color w:val="000000"/>
                <w:sz w:val="20"/>
                <w:szCs w:val="20"/>
                <w:lang w:eastAsia="en-GB"/>
              </w:rPr>
              <w:t>D36</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67021D31"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48" w:type="dxa"/>
            <w:tcBorders>
              <w:top w:val="single" w:sz="8" w:space="0" w:color="auto"/>
              <w:left w:val="nil"/>
              <w:bottom w:val="single" w:sz="8" w:space="0" w:color="auto"/>
              <w:right w:val="single" w:sz="8" w:space="0" w:color="auto"/>
            </w:tcBorders>
            <w:shd w:val="clear" w:color="auto" w:fill="E7E6E6" w:themeFill="background2"/>
            <w:vAlign w:val="center"/>
            <w:hideMark/>
          </w:tcPr>
          <w:p w14:paraId="5726DC22" w14:textId="77777777" w:rsidR="00A36B39" w:rsidRPr="00A33AE8" w:rsidRDefault="00A36B3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renewable energy communities</w:t>
            </w:r>
          </w:p>
        </w:tc>
      </w:tr>
      <w:tr w:rsidR="00A36B39" w:rsidRPr="00A33AE8" w14:paraId="7562B887" w14:textId="77777777" w:rsidTr="00A36B39">
        <w:trPr>
          <w:gridAfter w:val="1"/>
          <w:wAfter w:w="222" w:type="dxa"/>
          <w:trHeight w:val="409"/>
        </w:trPr>
        <w:tc>
          <w:tcPr>
            <w:tcW w:w="3277" w:type="dxa"/>
            <w:tcBorders>
              <w:top w:val="nil"/>
              <w:left w:val="single" w:sz="8" w:space="0" w:color="auto"/>
              <w:bottom w:val="single" w:sz="8" w:space="0" w:color="auto"/>
              <w:right w:val="nil"/>
            </w:tcBorders>
            <w:shd w:val="clear" w:color="000000" w:fill="244062"/>
            <w:vAlign w:val="center"/>
            <w:hideMark/>
          </w:tcPr>
          <w:p w14:paraId="5C5710C4"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132B0B71" w14:textId="77777777" w:rsidR="00A36B39" w:rsidRPr="00A33AE8" w:rsidRDefault="00A36B39"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and increase share of RES in heating and cooling</w:t>
            </w:r>
          </w:p>
        </w:tc>
      </w:tr>
      <w:tr w:rsidR="00A36B39" w:rsidRPr="00A33AE8" w14:paraId="1A17E95C" w14:textId="77777777" w:rsidTr="00A36B39">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674E0202"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36B00761" w14:textId="77777777" w:rsidR="00A36B39" w:rsidRPr="00A33AE8" w:rsidRDefault="00A36B3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measure PM_D2</w:t>
            </w:r>
            <w:r w:rsidR="008B7CD4" w:rsidRPr="00A33AE8">
              <w:rPr>
                <w:rFonts w:ascii="Calibri Light" w:eastAsia="Times New Roman" w:hAnsi="Calibri Light" w:cs="Calibri Light"/>
                <w:color w:val="000000"/>
                <w:sz w:val="20"/>
                <w:szCs w:val="20"/>
                <w:lang w:eastAsia="en-GB"/>
              </w:rPr>
              <w:t>1</w:t>
            </w:r>
          </w:p>
        </w:tc>
      </w:tr>
      <w:tr w:rsidR="00A36B39" w:rsidRPr="00A33AE8" w14:paraId="6558C537" w14:textId="77777777" w:rsidTr="00A36B39">
        <w:trPr>
          <w:gridAfter w:val="1"/>
          <w:wAfter w:w="222" w:type="dxa"/>
          <w:trHeight w:val="1624"/>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22602F16"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5EFB2F77" w14:textId="77777777" w:rsidR="00A36B39" w:rsidRPr="00A33AE8" w:rsidRDefault="00A36B3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B844E2" w:rsidRPr="00A33AE8">
              <w:rPr>
                <w:rFonts w:ascii="Calibri Light" w:eastAsia="Times New Roman" w:hAnsi="Calibri Light" w:cs="Calibri Light"/>
                <w:color w:val="000000"/>
                <w:sz w:val="20"/>
                <w:szCs w:val="20"/>
                <w:lang w:eastAsia="en-GB"/>
              </w:rPr>
              <w:t xml:space="preserve">D36 </w:t>
            </w:r>
            <w:r w:rsidRPr="00A33AE8">
              <w:rPr>
                <w:rFonts w:ascii="Calibri Light" w:eastAsia="Times New Roman" w:hAnsi="Calibri Light" w:cs="Calibri Light"/>
                <w:color w:val="000000"/>
                <w:sz w:val="20"/>
                <w:szCs w:val="20"/>
                <w:lang w:eastAsia="en-GB"/>
              </w:rPr>
              <w:t>will strengthen the role and operation of both the renewable energy communities and the citizen energy communities through the design and implementation of specialized financial instruments. Specifically, dedicated fiscal and economic incentives will be provided so as to foster the further deployment of renewable energy sources</w:t>
            </w:r>
            <w:r w:rsidR="004908F7" w:rsidRPr="00A33AE8">
              <w:rPr>
                <w:rFonts w:ascii="Calibri Light" w:eastAsia="Times New Roman" w:hAnsi="Calibri Light" w:cs="Calibri Light"/>
                <w:color w:val="000000"/>
                <w:sz w:val="20"/>
                <w:szCs w:val="20"/>
                <w:lang w:eastAsia="en-GB"/>
              </w:rPr>
              <w:t xml:space="preserve">, such </w:t>
            </w:r>
            <w:r w:rsidR="00163CD8" w:rsidRPr="00A33AE8">
              <w:rPr>
                <w:rFonts w:ascii="Calibri Light" w:eastAsia="Times New Roman" w:hAnsi="Calibri Light" w:cs="Calibri Light"/>
                <w:color w:val="000000"/>
                <w:sz w:val="20"/>
                <w:szCs w:val="20"/>
                <w:lang w:eastAsia="en-GB"/>
              </w:rPr>
              <w:t xml:space="preserve">as </w:t>
            </w:r>
            <w:r w:rsidR="004908F7" w:rsidRPr="00A33AE8">
              <w:rPr>
                <w:rFonts w:ascii="Calibri Light" w:eastAsia="Times New Roman" w:hAnsi="Calibri Light" w:cs="Calibri Light"/>
                <w:color w:val="000000"/>
                <w:sz w:val="20"/>
                <w:szCs w:val="20"/>
                <w:lang w:eastAsia="en-GB"/>
              </w:rPr>
              <w:t>wind parks and photovoltaic stations</w:t>
            </w:r>
            <w:r w:rsidRPr="00A33AE8">
              <w:rPr>
                <w:rFonts w:ascii="Calibri Light" w:eastAsia="Times New Roman" w:hAnsi="Calibri Light" w:cs="Calibri Light"/>
                <w:color w:val="000000"/>
                <w:sz w:val="20"/>
                <w:szCs w:val="20"/>
                <w:lang w:eastAsia="en-GB"/>
              </w:rPr>
              <w:t>. Moreover, PM_</w:t>
            </w:r>
            <w:r w:rsidR="00B844E2" w:rsidRPr="00A33AE8">
              <w:rPr>
                <w:rFonts w:ascii="Calibri Light" w:eastAsia="Times New Roman" w:hAnsi="Calibri Light" w:cs="Calibri Light"/>
                <w:color w:val="000000"/>
                <w:sz w:val="20"/>
                <w:szCs w:val="20"/>
                <w:lang w:eastAsia="en-GB"/>
              </w:rPr>
              <w:t xml:space="preserve">D36 </w:t>
            </w:r>
            <w:r w:rsidRPr="00A33AE8">
              <w:rPr>
                <w:rFonts w:ascii="Calibri Light" w:eastAsia="Times New Roman" w:hAnsi="Calibri Light" w:cs="Calibri Light"/>
                <w:color w:val="000000"/>
                <w:sz w:val="20"/>
                <w:szCs w:val="20"/>
                <w:lang w:eastAsia="en-GB"/>
              </w:rPr>
              <w:t>can contribute also to the promotion of decentralized renewable energy systems additionally to PM_</w:t>
            </w:r>
            <w:r w:rsidR="004908F7" w:rsidRPr="00A33AE8">
              <w:rPr>
                <w:rFonts w:ascii="Calibri Light" w:eastAsia="Times New Roman" w:hAnsi="Calibri Light" w:cs="Calibri Light"/>
                <w:color w:val="000000"/>
                <w:sz w:val="20"/>
                <w:szCs w:val="20"/>
                <w:lang w:eastAsia="en-GB"/>
              </w:rPr>
              <w:t>D21</w:t>
            </w:r>
            <w:r w:rsidRPr="00A33AE8">
              <w:rPr>
                <w:rFonts w:ascii="Calibri Light" w:eastAsia="Times New Roman" w:hAnsi="Calibri Light" w:cs="Calibri Light"/>
                <w:color w:val="000000"/>
                <w:sz w:val="20"/>
                <w:szCs w:val="20"/>
                <w:lang w:eastAsia="en-GB"/>
              </w:rPr>
              <w:t>.</w:t>
            </w:r>
          </w:p>
        </w:tc>
      </w:tr>
      <w:tr w:rsidR="00A36B39" w:rsidRPr="00A33AE8" w14:paraId="7FE23E77" w14:textId="77777777" w:rsidTr="00A36B39">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1992B8C8"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2CC7966A" w14:textId="77777777" w:rsidR="00A36B39"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36B39" w:rsidRPr="00A33AE8">
              <w:rPr>
                <w:rFonts w:ascii="Calibri Light" w:eastAsia="Times New Roman" w:hAnsi="Calibri Light" w:cs="Calibri Light"/>
                <w:color w:val="000000"/>
                <w:sz w:val="20"/>
                <w:szCs w:val="20"/>
                <w:lang w:eastAsia="en-GB"/>
              </w:rPr>
              <w:t>-2030</w:t>
            </w:r>
          </w:p>
        </w:tc>
      </w:tr>
      <w:tr w:rsidR="00A36B39" w:rsidRPr="00A33AE8" w14:paraId="0BF1025D" w14:textId="77777777" w:rsidTr="00A36B39">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258352E5"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3A0FD1D1" w14:textId="77777777" w:rsidR="00A36B39" w:rsidRPr="00A33AE8" w:rsidRDefault="000D74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A36B39" w:rsidRPr="00A33AE8" w14:paraId="2CA62ACD" w14:textId="77777777" w:rsidTr="00A36B39">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37F46F8B"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37680575" w14:textId="77777777" w:rsidR="00A36B39" w:rsidRPr="00A33AE8" w:rsidRDefault="00A36B3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w:t>
            </w:r>
          </w:p>
        </w:tc>
      </w:tr>
      <w:tr w:rsidR="00A36B39" w:rsidRPr="00A33AE8" w14:paraId="07154548" w14:textId="77777777" w:rsidTr="00A36B39">
        <w:trPr>
          <w:gridAfter w:val="1"/>
          <w:wAfter w:w="222" w:type="dxa"/>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7DC4D761" w14:textId="77777777" w:rsidR="00A36B39" w:rsidRPr="000007D2" w:rsidRDefault="00A36B39" w:rsidP="006769DA">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Implementing Entity</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0387AD70" w14:textId="77777777" w:rsidR="00A36B39" w:rsidRPr="00A33AE8" w:rsidRDefault="00DF6E91"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A36B39" w:rsidRPr="00A33AE8" w14:paraId="128C4A70" w14:textId="77777777" w:rsidTr="00A36B39">
        <w:trPr>
          <w:gridAfter w:val="1"/>
          <w:wAfter w:w="222" w:type="dxa"/>
          <w:trHeight w:val="315"/>
        </w:trPr>
        <w:tc>
          <w:tcPr>
            <w:tcW w:w="3277" w:type="dxa"/>
            <w:tcBorders>
              <w:top w:val="nil"/>
              <w:left w:val="single" w:sz="8" w:space="0" w:color="auto"/>
              <w:bottom w:val="single" w:sz="8" w:space="0" w:color="auto"/>
              <w:right w:val="nil"/>
            </w:tcBorders>
            <w:shd w:val="clear" w:color="000000" w:fill="244062"/>
            <w:vAlign w:val="center"/>
            <w:hideMark/>
          </w:tcPr>
          <w:p w14:paraId="560F9959"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2F7ABC08" w14:textId="77777777" w:rsidR="00A36B39" w:rsidRPr="00A33AE8" w:rsidRDefault="00A9475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94758">
              <w:rPr>
                <w:rFonts w:ascii="Calibri Light" w:eastAsia="Times New Roman" w:hAnsi="Calibri Light" w:cs="Calibri Light"/>
                <w:color w:val="000000"/>
                <w:sz w:val="20"/>
                <w:szCs w:val="20"/>
                <w:lang w:eastAsia="en-GB"/>
              </w:rPr>
              <w:t>Government of the Republic of Serbia</w:t>
            </w:r>
            <w:r w:rsidR="00A36B39" w:rsidRPr="00A33AE8">
              <w:rPr>
                <w:rFonts w:ascii="Calibri Light" w:eastAsia="Times New Roman" w:hAnsi="Calibri Light" w:cs="Calibri Light"/>
                <w:color w:val="000000"/>
                <w:sz w:val="20"/>
                <w:szCs w:val="20"/>
                <w:lang w:eastAsia="en-GB"/>
              </w:rPr>
              <w:t> </w:t>
            </w:r>
          </w:p>
        </w:tc>
      </w:tr>
      <w:tr w:rsidR="00A36B39" w:rsidRPr="00A33AE8" w14:paraId="7BBD5899" w14:textId="77777777" w:rsidTr="00A36B39">
        <w:trPr>
          <w:gridAfter w:val="1"/>
          <w:wAfter w:w="222" w:type="dxa"/>
          <w:trHeight w:val="315"/>
        </w:trPr>
        <w:tc>
          <w:tcPr>
            <w:tcW w:w="3277" w:type="dxa"/>
            <w:tcBorders>
              <w:top w:val="nil"/>
              <w:left w:val="single" w:sz="8" w:space="0" w:color="auto"/>
              <w:bottom w:val="single" w:sz="8" w:space="0" w:color="auto"/>
              <w:right w:val="nil"/>
            </w:tcBorders>
            <w:shd w:val="clear" w:color="000000" w:fill="244062"/>
            <w:vAlign w:val="center"/>
            <w:hideMark/>
          </w:tcPr>
          <w:p w14:paraId="2B1061C3"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2E833CB9" w14:textId="77777777" w:rsidR="00A36B39" w:rsidRPr="00A33AE8" w:rsidRDefault="00DE05A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and produced RES electricity, heating and cooling</w:t>
            </w:r>
            <w:r w:rsidR="00A36B39" w:rsidRPr="00A33AE8">
              <w:rPr>
                <w:rFonts w:ascii="Calibri Light" w:eastAsia="Times New Roman" w:hAnsi="Calibri Light" w:cs="Calibri Light"/>
                <w:color w:val="000000"/>
                <w:sz w:val="20"/>
                <w:szCs w:val="20"/>
                <w:lang w:eastAsia="en-GB"/>
              </w:rPr>
              <w:t> </w:t>
            </w:r>
          </w:p>
        </w:tc>
      </w:tr>
      <w:tr w:rsidR="006C6A30" w:rsidRPr="00A33AE8" w14:paraId="5147493C" w14:textId="77777777" w:rsidTr="00A36B39">
        <w:trPr>
          <w:gridAfter w:val="1"/>
          <w:wAfter w:w="222" w:type="dxa"/>
          <w:trHeight w:val="571"/>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29FCEC28"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66FC76B2" w14:textId="77777777" w:rsidR="00A94758" w:rsidRPr="00A94758" w:rsidRDefault="00A9475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94758">
              <w:rPr>
                <w:rFonts w:ascii="Calibri Light" w:eastAsia="Times New Roman" w:hAnsi="Calibri Light" w:cs="Calibri Light"/>
                <w:color w:val="000000"/>
                <w:sz w:val="20"/>
                <w:szCs w:val="20"/>
                <w:lang w:eastAsia="en-GB"/>
              </w:rPr>
              <w:t>Energy efficiency (the promoted RES technologies will deliver also final and primary energy savings contributing to the achievement of the relevant targets)</w:t>
            </w:r>
          </w:p>
          <w:p w14:paraId="7E628565" w14:textId="77777777" w:rsidR="00A94758" w:rsidRPr="005B2C66" w:rsidRDefault="00A94758"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94758">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p w14:paraId="24A461C3" w14:textId="77777777" w:rsidR="006C6A30" w:rsidRPr="00A33AE8" w:rsidRDefault="006C6A3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Internal energy market</w:t>
            </w:r>
            <w:r w:rsidR="00A94758">
              <w:rPr>
                <w:rFonts w:ascii="Calibri Light" w:eastAsia="Times New Roman" w:hAnsi="Calibri Light" w:cs="Calibri Light"/>
                <w:color w:val="000000"/>
                <w:sz w:val="20"/>
                <w:szCs w:val="20"/>
                <w:lang w:eastAsia="en-GB"/>
              </w:rPr>
              <w:t xml:space="preserve"> </w:t>
            </w:r>
            <w:r w:rsidR="00A94758" w:rsidRPr="00A94758">
              <w:rPr>
                <w:rFonts w:ascii="Calibri Light" w:eastAsia="Times New Roman" w:hAnsi="Calibri Light" w:cs="Calibri Light"/>
                <w:color w:val="000000"/>
                <w:sz w:val="20"/>
                <w:szCs w:val="20"/>
                <w:lang w:eastAsia="en-GB"/>
              </w:rPr>
              <w:t>(the promoted RES technologies will contribute to the alleviation of energy poverty)</w:t>
            </w:r>
          </w:p>
        </w:tc>
      </w:tr>
      <w:tr w:rsidR="00A36B39" w:rsidRPr="00A33AE8" w14:paraId="5B98C88F" w14:textId="77777777" w:rsidTr="00A36B39">
        <w:trPr>
          <w:gridAfter w:val="1"/>
          <w:wAfter w:w="222" w:type="dxa"/>
          <w:trHeight w:val="450"/>
        </w:trPr>
        <w:tc>
          <w:tcPr>
            <w:tcW w:w="327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6D16301"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9CFFFE6" w14:textId="77777777" w:rsidR="00A36B39" w:rsidRPr="00A33AE8" w:rsidRDefault="00A36B3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A36B39" w:rsidRPr="00A33AE8" w14:paraId="041C515F" w14:textId="77777777" w:rsidTr="00A36B39">
        <w:trPr>
          <w:trHeight w:val="300"/>
        </w:trPr>
        <w:tc>
          <w:tcPr>
            <w:tcW w:w="3277" w:type="dxa"/>
            <w:vMerge/>
            <w:tcBorders>
              <w:top w:val="nil"/>
              <w:left w:val="single" w:sz="8" w:space="0" w:color="auto"/>
              <w:bottom w:val="single" w:sz="8" w:space="0" w:color="000000"/>
              <w:right w:val="single" w:sz="8" w:space="0" w:color="auto"/>
            </w:tcBorders>
            <w:vAlign w:val="center"/>
            <w:hideMark/>
          </w:tcPr>
          <w:p w14:paraId="0F530406"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p>
        </w:tc>
        <w:tc>
          <w:tcPr>
            <w:tcW w:w="6181" w:type="dxa"/>
            <w:gridSpan w:val="3"/>
            <w:vMerge/>
            <w:tcBorders>
              <w:top w:val="single" w:sz="8" w:space="0" w:color="auto"/>
              <w:left w:val="single" w:sz="8" w:space="0" w:color="auto"/>
              <w:bottom w:val="single" w:sz="8" w:space="0" w:color="000000"/>
              <w:right w:val="single" w:sz="8" w:space="0" w:color="000000"/>
            </w:tcBorders>
            <w:vAlign w:val="center"/>
            <w:hideMark/>
          </w:tcPr>
          <w:p w14:paraId="7ECE0722" w14:textId="77777777" w:rsidR="00A36B39" w:rsidRPr="00A33AE8" w:rsidRDefault="00A36B3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0F4A2F4" w14:textId="77777777" w:rsidR="00A36B39" w:rsidRPr="00A33AE8" w:rsidRDefault="00A36B39" w:rsidP="006769DA">
            <w:pPr>
              <w:spacing w:after="0" w:line="240" w:lineRule="auto"/>
              <w:rPr>
                <w:rFonts w:ascii="Calibri Light" w:eastAsia="Times New Roman" w:hAnsi="Calibri Light" w:cs="Calibri Light"/>
                <w:color w:val="000000"/>
                <w:sz w:val="20"/>
                <w:szCs w:val="20"/>
                <w:lang w:eastAsia="en-GB"/>
              </w:rPr>
            </w:pPr>
          </w:p>
        </w:tc>
      </w:tr>
      <w:tr w:rsidR="00A36B39" w:rsidRPr="00A33AE8" w14:paraId="23E66796" w14:textId="77777777" w:rsidTr="00A36B39">
        <w:trPr>
          <w:trHeight w:val="54"/>
        </w:trPr>
        <w:tc>
          <w:tcPr>
            <w:tcW w:w="3277" w:type="dxa"/>
            <w:vMerge/>
            <w:tcBorders>
              <w:top w:val="nil"/>
              <w:left w:val="single" w:sz="8" w:space="0" w:color="auto"/>
              <w:bottom w:val="single" w:sz="8" w:space="0" w:color="000000"/>
              <w:right w:val="single" w:sz="8" w:space="0" w:color="auto"/>
            </w:tcBorders>
            <w:vAlign w:val="center"/>
            <w:hideMark/>
          </w:tcPr>
          <w:p w14:paraId="4D6A5E1C"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p>
        </w:tc>
        <w:tc>
          <w:tcPr>
            <w:tcW w:w="6181" w:type="dxa"/>
            <w:gridSpan w:val="3"/>
            <w:vMerge/>
            <w:tcBorders>
              <w:top w:val="single" w:sz="8" w:space="0" w:color="auto"/>
              <w:left w:val="single" w:sz="8" w:space="0" w:color="auto"/>
              <w:bottom w:val="single" w:sz="8" w:space="0" w:color="000000"/>
              <w:right w:val="single" w:sz="8" w:space="0" w:color="000000"/>
            </w:tcBorders>
            <w:vAlign w:val="center"/>
            <w:hideMark/>
          </w:tcPr>
          <w:p w14:paraId="04A945A5" w14:textId="77777777" w:rsidR="00A36B39" w:rsidRPr="00A33AE8" w:rsidRDefault="00A36B3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CE18CE0" w14:textId="77777777" w:rsidR="00A36B39" w:rsidRPr="00A33AE8" w:rsidRDefault="00A36B39" w:rsidP="006769DA">
            <w:pPr>
              <w:spacing w:after="0" w:line="240" w:lineRule="auto"/>
              <w:rPr>
                <w:rFonts w:ascii="Times New Roman" w:eastAsia="Times New Roman" w:hAnsi="Times New Roman" w:cs="Times New Roman"/>
                <w:sz w:val="20"/>
                <w:szCs w:val="20"/>
                <w:lang w:eastAsia="en-GB"/>
              </w:rPr>
            </w:pPr>
          </w:p>
        </w:tc>
      </w:tr>
      <w:tr w:rsidR="00A36B39" w:rsidRPr="00A33AE8" w14:paraId="73135335" w14:textId="77777777" w:rsidTr="00A36B39">
        <w:trPr>
          <w:trHeight w:val="271"/>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5920A2DB"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5414A2B2" w14:textId="77777777" w:rsidR="00A36B39" w:rsidRPr="00A33AE8" w:rsidRDefault="00A36B3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36B25929" w14:textId="77777777" w:rsidR="00A36B39" w:rsidRPr="00A33AE8" w:rsidRDefault="00A36B39" w:rsidP="006769DA">
            <w:pPr>
              <w:spacing w:after="0" w:line="240" w:lineRule="auto"/>
              <w:rPr>
                <w:rFonts w:ascii="Times New Roman" w:eastAsia="Times New Roman" w:hAnsi="Times New Roman" w:cs="Times New Roman"/>
                <w:sz w:val="20"/>
                <w:szCs w:val="20"/>
                <w:lang w:eastAsia="en-GB"/>
              </w:rPr>
            </w:pPr>
          </w:p>
        </w:tc>
      </w:tr>
      <w:tr w:rsidR="00A36B39" w:rsidRPr="00A33AE8" w14:paraId="0F2CD57E" w14:textId="77777777" w:rsidTr="00A36B39">
        <w:trPr>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476C05E0"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162A3254" w14:textId="77777777" w:rsidR="00A36B39" w:rsidRPr="00A33AE8" w:rsidRDefault="00313E77"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Be integrated into </w:t>
            </w:r>
            <w:r w:rsidR="00A36B39" w:rsidRPr="00A33AE8">
              <w:rPr>
                <w:rFonts w:ascii="Calibri Light" w:eastAsia="Times New Roman" w:hAnsi="Calibri Light" w:cs="Calibri Light"/>
                <w:color w:val="000000"/>
                <w:sz w:val="20"/>
                <w:szCs w:val="20"/>
                <w:lang w:eastAsia="en-GB"/>
              </w:rPr>
              <w:t>PM_D2</w:t>
            </w:r>
            <w:r w:rsidR="008B7CD4" w:rsidRPr="00A33AE8">
              <w:rPr>
                <w:rFonts w:ascii="Calibri Light" w:eastAsia="Times New Roman" w:hAnsi="Calibri Light" w:cs="Calibri Light"/>
                <w:color w:val="000000"/>
                <w:sz w:val="20"/>
                <w:szCs w:val="20"/>
                <w:lang w:eastAsia="en-GB"/>
              </w:rPr>
              <w:t>1</w:t>
            </w:r>
          </w:p>
        </w:tc>
        <w:tc>
          <w:tcPr>
            <w:tcW w:w="222" w:type="dxa"/>
            <w:vAlign w:val="center"/>
            <w:hideMark/>
          </w:tcPr>
          <w:p w14:paraId="6BD96CB9" w14:textId="77777777" w:rsidR="00A36B39" w:rsidRPr="00A33AE8" w:rsidRDefault="00A36B39" w:rsidP="006769DA">
            <w:pPr>
              <w:spacing w:after="0" w:line="240" w:lineRule="auto"/>
              <w:rPr>
                <w:rFonts w:ascii="Times New Roman" w:eastAsia="Times New Roman" w:hAnsi="Times New Roman" w:cs="Times New Roman"/>
                <w:sz w:val="20"/>
                <w:szCs w:val="20"/>
                <w:lang w:eastAsia="en-GB"/>
              </w:rPr>
            </w:pPr>
          </w:p>
        </w:tc>
      </w:tr>
      <w:tr w:rsidR="00611A12" w:rsidRPr="00A33AE8" w14:paraId="500BD56E" w14:textId="77777777" w:rsidTr="00A36B39">
        <w:trPr>
          <w:trHeight w:val="315"/>
        </w:trPr>
        <w:tc>
          <w:tcPr>
            <w:tcW w:w="3277" w:type="dxa"/>
            <w:tcBorders>
              <w:top w:val="nil"/>
              <w:left w:val="single" w:sz="8" w:space="0" w:color="auto"/>
              <w:bottom w:val="single" w:sz="8" w:space="0" w:color="auto"/>
              <w:right w:val="single" w:sz="8" w:space="0" w:color="auto"/>
            </w:tcBorders>
            <w:shd w:val="clear" w:color="000000" w:fill="244062"/>
            <w:vAlign w:val="center"/>
            <w:hideMark/>
          </w:tcPr>
          <w:p w14:paraId="460705FC" w14:textId="77777777" w:rsidR="00611A12" w:rsidRPr="00A33AE8" w:rsidRDefault="00611A12" w:rsidP="00611A1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1" w:type="dxa"/>
            <w:gridSpan w:val="3"/>
            <w:tcBorders>
              <w:top w:val="single" w:sz="8" w:space="0" w:color="auto"/>
              <w:left w:val="nil"/>
              <w:bottom w:val="single" w:sz="8" w:space="0" w:color="auto"/>
              <w:right w:val="single" w:sz="8" w:space="0" w:color="000000"/>
            </w:tcBorders>
            <w:shd w:val="clear" w:color="auto" w:fill="auto"/>
            <w:vAlign w:val="center"/>
            <w:hideMark/>
          </w:tcPr>
          <w:p w14:paraId="167D6BC4" w14:textId="77777777" w:rsidR="00611A12" w:rsidRPr="00A33AE8" w:rsidRDefault="00611A12" w:rsidP="00611A1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649C0229" w14:textId="77777777" w:rsidR="00611A12" w:rsidRPr="00A33AE8" w:rsidRDefault="00611A12" w:rsidP="00611A12">
            <w:pPr>
              <w:spacing w:after="0" w:line="240" w:lineRule="auto"/>
              <w:rPr>
                <w:rFonts w:ascii="Times New Roman" w:eastAsia="Times New Roman" w:hAnsi="Times New Roman" w:cs="Times New Roman"/>
                <w:sz w:val="20"/>
                <w:szCs w:val="20"/>
                <w:lang w:eastAsia="en-GB"/>
              </w:rPr>
            </w:pPr>
          </w:p>
        </w:tc>
      </w:tr>
    </w:tbl>
    <w:p w14:paraId="7107C46F" w14:textId="77777777" w:rsidR="00A36B39" w:rsidRPr="00A33AE8" w:rsidRDefault="00A36B39" w:rsidP="00A36B39">
      <w:pPr>
        <w:pStyle w:val="LDKbody"/>
        <w:rPr>
          <w:lang w:val="en-GB"/>
        </w:rPr>
      </w:pPr>
    </w:p>
    <w:tbl>
      <w:tblPr>
        <w:tblW w:w="9680" w:type="dxa"/>
        <w:tblLook w:val="04A0" w:firstRow="1" w:lastRow="0" w:firstColumn="1" w:lastColumn="0" w:noHBand="0" w:noVBand="1"/>
      </w:tblPr>
      <w:tblGrid>
        <w:gridCol w:w="3328"/>
        <w:gridCol w:w="945"/>
        <w:gridCol w:w="946"/>
        <w:gridCol w:w="4239"/>
        <w:gridCol w:w="222"/>
      </w:tblGrid>
      <w:tr w:rsidR="00A36B39" w:rsidRPr="00A33AE8" w14:paraId="70C84DC2" w14:textId="77777777" w:rsidTr="006769DA">
        <w:trPr>
          <w:gridAfter w:val="1"/>
          <w:wAfter w:w="222" w:type="dxa"/>
          <w:trHeight w:val="780"/>
        </w:trPr>
        <w:tc>
          <w:tcPr>
            <w:tcW w:w="332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207D09B" w14:textId="77777777" w:rsidR="00A36B39" w:rsidRPr="00A33AE8" w:rsidRDefault="00A36B3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10DAB4EF" w14:textId="77777777" w:rsidR="00A36B39" w:rsidRPr="00A33AE8" w:rsidRDefault="00A36B3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B844E2" w:rsidRPr="00A33AE8">
              <w:rPr>
                <w:rFonts w:ascii="Calibri Light" w:eastAsia="Times New Roman" w:hAnsi="Calibri Light" w:cs="Calibri Light"/>
                <w:b/>
                <w:bCs/>
                <w:color w:val="000000"/>
                <w:sz w:val="20"/>
                <w:szCs w:val="20"/>
                <w:lang w:eastAsia="en-GB"/>
              </w:rPr>
              <w:t>D42</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315BFA82"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30A62438" w14:textId="77777777" w:rsidR="00A36B39" w:rsidRPr="00A33AE8" w:rsidRDefault="00A36B3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Conduction of information and training activities to all to all relevant actors for the use of RES</w:t>
            </w:r>
          </w:p>
        </w:tc>
      </w:tr>
      <w:tr w:rsidR="00A36B39" w:rsidRPr="00A33AE8" w14:paraId="3874F26D" w14:textId="77777777" w:rsidTr="006769DA">
        <w:trPr>
          <w:gridAfter w:val="1"/>
          <w:wAfter w:w="222" w:type="dxa"/>
          <w:trHeight w:val="265"/>
        </w:trPr>
        <w:tc>
          <w:tcPr>
            <w:tcW w:w="3328" w:type="dxa"/>
            <w:tcBorders>
              <w:top w:val="nil"/>
              <w:left w:val="single" w:sz="8" w:space="0" w:color="auto"/>
              <w:bottom w:val="single" w:sz="8" w:space="0" w:color="auto"/>
              <w:right w:val="nil"/>
            </w:tcBorders>
            <w:shd w:val="clear" w:color="000000" w:fill="244062"/>
            <w:vAlign w:val="center"/>
            <w:hideMark/>
          </w:tcPr>
          <w:p w14:paraId="4F5C0E60"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9A05F4E" w14:textId="77777777" w:rsidR="00A36B39" w:rsidRPr="00A33AE8" w:rsidRDefault="00A36B3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A36B39" w:rsidRPr="00A33AE8" w14:paraId="416CCD17"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9851730"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01D7733E" w14:textId="77777777" w:rsidR="00A36B39" w:rsidRPr="00A33AE8" w:rsidRDefault="00B844E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the expected RES penetration for electricity production, heating and cooling and transport</w:t>
            </w:r>
          </w:p>
        </w:tc>
      </w:tr>
      <w:tr w:rsidR="00A36B39" w:rsidRPr="00A33AE8" w14:paraId="5DD962CB" w14:textId="77777777" w:rsidTr="001F17CB">
        <w:trPr>
          <w:gridAfter w:val="1"/>
          <w:wAfter w:w="222" w:type="dxa"/>
          <w:trHeight w:val="996"/>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604D4B6"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0260FD13" w14:textId="77777777" w:rsidR="00A36B39" w:rsidRPr="00A33AE8" w:rsidRDefault="00A36B3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B844E2" w:rsidRPr="00A33AE8">
              <w:rPr>
                <w:rFonts w:ascii="Calibri Light" w:eastAsia="Times New Roman" w:hAnsi="Calibri Light" w:cs="Calibri Light"/>
                <w:color w:val="000000"/>
                <w:sz w:val="20"/>
                <w:szCs w:val="20"/>
                <w:lang w:eastAsia="en-GB"/>
              </w:rPr>
              <w:t xml:space="preserve">D42 </w:t>
            </w:r>
            <w:r w:rsidRPr="00A33AE8">
              <w:rPr>
                <w:rFonts w:ascii="Calibri Light" w:eastAsia="Times New Roman" w:hAnsi="Calibri Light" w:cs="Calibri Light"/>
                <w:color w:val="000000"/>
                <w:sz w:val="20"/>
                <w:szCs w:val="20"/>
                <w:lang w:eastAsia="en-GB"/>
              </w:rPr>
              <w:t xml:space="preserve">will promote the conduction of information, awareness-raising, guidance or training programmes in order to inform citizens of how to exercise their rights as active customers, and of the benefits and practicalities, including technical and financial aspects, of developing and </w:t>
            </w:r>
            <w:r w:rsidRPr="00A33AE8">
              <w:rPr>
                <w:rFonts w:ascii="Calibri Light" w:eastAsia="Times New Roman" w:hAnsi="Calibri Light" w:cs="Calibri Light"/>
                <w:color w:val="000000"/>
                <w:sz w:val="20"/>
                <w:szCs w:val="20"/>
                <w:lang w:eastAsia="en-GB"/>
              </w:rPr>
              <w:lastRenderedPageBreak/>
              <w:t xml:space="preserve">using energy from renewable sources, including by renewables self-consumption or in the framework of renewable energy communities. Guidance will be available to all relevant actors focusing explicitly on planners and architects so as to consider the optimal combination of energy from renewable sources when planning, designing, building and renovating industrial, commercial or residential areas. Emphasis will </w:t>
            </w:r>
            <w:r w:rsidR="00F122B2" w:rsidRPr="00A33AE8">
              <w:rPr>
                <w:rFonts w:ascii="Calibri Light" w:eastAsia="Times New Roman" w:hAnsi="Calibri Light" w:cs="Calibri Light"/>
                <w:color w:val="000000"/>
                <w:sz w:val="20"/>
                <w:szCs w:val="20"/>
                <w:lang w:eastAsia="en-GB"/>
              </w:rPr>
              <w:t>be given</w:t>
            </w:r>
            <w:r w:rsidRPr="00A33AE8">
              <w:rPr>
                <w:rFonts w:ascii="Calibri Light" w:eastAsia="Times New Roman" w:hAnsi="Calibri Light" w:cs="Calibri Light"/>
                <w:color w:val="000000"/>
                <w:sz w:val="20"/>
                <w:szCs w:val="20"/>
                <w:lang w:eastAsia="en-GB"/>
              </w:rPr>
              <w:t xml:space="preserve"> on improving the social acceptance of the renewable energy sources for electricity production.</w:t>
            </w:r>
          </w:p>
        </w:tc>
      </w:tr>
      <w:tr w:rsidR="00A36B39" w:rsidRPr="00A33AE8" w14:paraId="2B981482"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7AFFBFB"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562D527" w14:textId="77777777" w:rsidR="00A36B39"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36B39" w:rsidRPr="00A33AE8">
              <w:rPr>
                <w:rFonts w:ascii="Calibri Light" w:eastAsia="Times New Roman" w:hAnsi="Calibri Light" w:cs="Calibri Light"/>
                <w:color w:val="000000"/>
                <w:sz w:val="20"/>
                <w:szCs w:val="20"/>
                <w:lang w:eastAsia="en-GB"/>
              </w:rPr>
              <w:t>-2030</w:t>
            </w:r>
          </w:p>
        </w:tc>
      </w:tr>
      <w:tr w:rsidR="00A36B39" w:rsidRPr="00A33AE8" w14:paraId="039B6EB3"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45782D1"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C423942" w14:textId="77777777" w:rsidR="00A36B39" w:rsidRPr="00A33AE8" w:rsidRDefault="00ED5D92" w:rsidP="006769DA">
            <w:pPr>
              <w:spacing w:after="0" w:line="240" w:lineRule="auto"/>
              <w:rPr>
                <w:rFonts w:ascii="Calibri Light" w:eastAsia="Times New Roman" w:hAnsi="Calibri Light" w:cs="Calibri Light"/>
                <w:color w:val="000000"/>
                <w:sz w:val="20"/>
                <w:szCs w:val="20"/>
                <w:lang w:eastAsia="en-GB"/>
              </w:rPr>
            </w:pPr>
            <w:r>
              <w:rPr>
                <w:rFonts w:ascii="Calibri Light" w:eastAsia="Times New Roman" w:hAnsi="Calibri Light" w:cs="Calibri Light"/>
                <w:color w:val="000000"/>
                <w:sz w:val="20"/>
                <w:szCs w:val="20"/>
                <w:lang w:eastAsia="en-GB"/>
              </w:rPr>
              <w:t>Reform</w:t>
            </w:r>
          </w:p>
        </w:tc>
      </w:tr>
      <w:tr w:rsidR="00A36B39" w:rsidRPr="00A33AE8" w14:paraId="12C786AF"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CF274B5" w14:textId="77777777" w:rsidR="00A36B39" w:rsidRPr="00A33AE8" w:rsidRDefault="00A36B3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C743FFB" w14:textId="77777777" w:rsidR="00A36B39" w:rsidRPr="00A33AE8" w:rsidRDefault="00A36B3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FB6A69" w:rsidRPr="00A33AE8" w14:paraId="0949D076"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B869CDA"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63C104A"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FB6A69" w:rsidRPr="00A33AE8" w14:paraId="5C4351DE"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6FCEEFB8"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0CF502A" w14:textId="77777777" w:rsidR="00FB6A69"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465657">
              <w:rPr>
                <w:rFonts w:ascii="Calibri Light" w:eastAsia="Times New Roman" w:hAnsi="Calibri Light" w:cs="Calibri Light"/>
                <w:color w:val="000000"/>
                <w:sz w:val="20"/>
                <w:szCs w:val="20"/>
                <w:lang w:eastAsia="en-GB"/>
              </w:rPr>
              <w:t>Government of the Republic of Serbia</w:t>
            </w:r>
            <w:r w:rsidR="00FB6A69" w:rsidRPr="00A33AE8">
              <w:rPr>
                <w:rFonts w:ascii="Calibri Light" w:eastAsia="Times New Roman" w:hAnsi="Calibri Light" w:cs="Calibri Light"/>
                <w:color w:val="000000"/>
                <w:sz w:val="20"/>
                <w:szCs w:val="20"/>
                <w:lang w:eastAsia="en-GB"/>
              </w:rPr>
              <w:t> </w:t>
            </w:r>
          </w:p>
        </w:tc>
      </w:tr>
      <w:tr w:rsidR="00FB6A69" w:rsidRPr="00A33AE8" w14:paraId="755284D7"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1DA8A02C"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9156863"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stakeholders</w:t>
            </w:r>
          </w:p>
        </w:tc>
      </w:tr>
      <w:tr w:rsidR="00465657" w:rsidRPr="00A33AE8" w14:paraId="48F141F4" w14:textId="77777777" w:rsidTr="006769DA">
        <w:trPr>
          <w:gridAfter w:val="1"/>
          <w:wAfter w:w="222" w:type="dxa"/>
          <w:trHeight w:val="153"/>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9BF1500"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tcPr>
          <w:p w14:paraId="3295AC98" w14:textId="77777777" w:rsidR="00465657"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Energy efficiency (the promoted RES technologies will deliver also final and primary energy savings contributing to the achievement of the relevant targets)</w:t>
            </w:r>
          </w:p>
          <w:p w14:paraId="330B05FB" w14:textId="77777777" w:rsidR="00465657" w:rsidRPr="005B2C66"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465657" w:rsidRPr="00A33AE8" w14:paraId="5CF4F34B" w14:textId="77777777" w:rsidTr="006769DA">
        <w:trPr>
          <w:gridAfter w:val="1"/>
          <w:wAfter w:w="222" w:type="dxa"/>
          <w:trHeight w:val="450"/>
        </w:trPr>
        <w:tc>
          <w:tcPr>
            <w:tcW w:w="332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A7C0A53"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3A50671" w14:textId="77777777" w:rsidR="00465657"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465657" w:rsidRPr="00A33AE8" w14:paraId="03FF3921" w14:textId="77777777" w:rsidTr="006769DA">
        <w:trPr>
          <w:trHeight w:val="300"/>
        </w:trPr>
        <w:tc>
          <w:tcPr>
            <w:tcW w:w="3328" w:type="dxa"/>
            <w:vMerge/>
            <w:tcBorders>
              <w:top w:val="nil"/>
              <w:left w:val="single" w:sz="8" w:space="0" w:color="auto"/>
              <w:bottom w:val="single" w:sz="8" w:space="0" w:color="000000"/>
              <w:right w:val="single" w:sz="8" w:space="0" w:color="auto"/>
            </w:tcBorders>
            <w:vAlign w:val="center"/>
            <w:hideMark/>
          </w:tcPr>
          <w:p w14:paraId="3C2660B5"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2758DF24" w14:textId="77777777" w:rsidR="00465657"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7752453" w14:textId="77777777" w:rsidR="00465657" w:rsidRPr="00A33AE8" w:rsidRDefault="00465657" w:rsidP="00465657">
            <w:pPr>
              <w:spacing w:after="0" w:line="240" w:lineRule="auto"/>
              <w:rPr>
                <w:rFonts w:ascii="Calibri Light" w:eastAsia="Times New Roman" w:hAnsi="Calibri Light" w:cs="Calibri Light"/>
                <w:color w:val="000000"/>
                <w:sz w:val="20"/>
                <w:szCs w:val="20"/>
                <w:lang w:eastAsia="en-GB"/>
              </w:rPr>
            </w:pPr>
          </w:p>
        </w:tc>
      </w:tr>
      <w:tr w:rsidR="00465657" w:rsidRPr="00A33AE8" w14:paraId="74463363" w14:textId="77777777" w:rsidTr="008E270C">
        <w:trPr>
          <w:trHeight w:val="60"/>
        </w:trPr>
        <w:tc>
          <w:tcPr>
            <w:tcW w:w="3328" w:type="dxa"/>
            <w:vMerge/>
            <w:tcBorders>
              <w:top w:val="nil"/>
              <w:left w:val="single" w:sz="8" w:space="0" w:color="auto"/>
              <w:bottom w:val="single" w:sz="8" w:space="0" w:color="000000"/>
              <w:right w:val="single" w:sz="8" w:space="0" w:color="auto"/>
            </w:tcBorders>
            <w:vAlign w:val="center"/>
            <w:hideMark/>
          </w:tcPr>
          <w:p w14:paraId="713F6A92"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28E85D19" w14:textId="77777777" w:rsidR="00465657"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5485DDF" w14:textId="77777777" w:rsidR="00465657" w:rsidRPr="00A33AE8" w:rsidRDefault="00465657" w:rsidP="00465657">
            <w:pPr>
              <w:spacing w:after="0" w:line="240" w:lineRule="auto"/>
              <w:rPr>
                <w:rFonts w:ascii="Times New Roman" w:eastAsia="Times New Roman" w:hAnsi="Times New Roman" w:cs="Times New Roman"/>
                <w:sz w:val="20"/>
                <w:szCs w:val="20"/>
                <w:lang w:eastAsia="en-GB"/>
              </w:rPr>
            </w:pPr>
          </w:p>
        </w:tc>
      </w:tr>
      <w:tr w:rsidR="00465657" w:rsidRPr="00A33AE8" w14:paraId="3C64396F" w14:textId="77777777" w:rsidTr="008E270C">
        <w:trPr>
          <w:trHeight w:val="307"/>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42E5513"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0829A56" w14:textId="77777777" w:rsidR="00465657" w:rsidRPr="00A33AE8" w:rsidRDefault="00465657" w:rsidP="00465657">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6D67A650" w14:textId="77777777" w:rsidR="00465657" w:rsidRPr="00A33AE8" w:rsidRDefault="00465657" w:rsidP="00465657">
            <w:pPr>
              <w:spacing w:after="0" w:line="240" w:lineRule="auto"/>
              <w:rPr>
                <w:rFonts w:ascii="Times New Roman" w:eastAsia="Times New Roman" w:hAnsi="Times New Roman" w:cs="Times New Roman"/>
                <w:sz w:val="20"/>
                <w:szCs w:val="20"/>
                <w:lang w:eastAsia="en-GB"/>
              </w:rPr>
            </w:pPr>
          </w:p>
        </w:tc>
      </w:tr>
      <w:tr w:rsidR="00465657" w:rsidRPr="00A33AE8" w14:paraId="0CC23399"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6BFC203A"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26D4728" w14:textId="77777777" w:rsidR="00465657" w:rsidRPr="00A33AE8" w:rsidRDefault="00465657" w:rsidP="00465657">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0.2 M</w:t>
            </w:r>
            <w:r w:rsidRPr="00A33AE8">
              <w:rPr>
                <w:rFonts w:ascii="Calibri" w:eastAsia="Times New Roman" w:hAnsi="Calibri" w:cs="Calibri"/>
                <w:color w:val="000000"/>
                <w:sz w:val="20"/>
                <w:szCs w:val="20"/>
                <w:lang w:eastAsia="en-GB"/>
              </w:rPr>
              <w:t>€</w:t>
            </w:r>
          </w:p>
        </w:tc>
        <w:tc>
          <w:tcPr>
            <w:tcW w:w="222" w:type="dxa"/>
            <w:vAlign w:val="center"/>
            <w:hideMark/>
          </w:tcPr>
          <w:p w14:paraId="754FAD8F" w14:textId="77777777" w:rsidR="00465657" w:rsidRPr="00A33AE8" w:rsidRDefault="00465657" w:rsidP="00465657">
            <w:pPr>
              <w:spacing w:after="0" w:line="240" w:lineRule="auto"/>
              <w:rPr>
                <w:rFonts w:ascii="Times New Roman" w:eastAsia="Times New Roman" w:hAnsi="Times New Roman" w:cs="Times New Roman"/>
                <w:sz w:val="20"/>
                <w:szCs w:val="20"/>
                <w:lang w:eastAsia="en-GB"/>
              </w:rPr>
            </w:pPr>
          </w:p>
        </w:tc>
      </w:tr>
      <w:tr w:rsidR="00465657" w:rsidRPr="00A33AE8" w14:paraId="1A8E23A3"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114236BF" w14:textId="77777777" w:rsidR="00465657" w:rsidRPr="00A33AE8" w:rsidRDefault="00465657" w:rsidP="004656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43AFFC6" w14:textId="77777777" w:rsidR="00465657" w:rsidRPr="00A33AE8" w:rsidRDefault="00465657" w:rsidP="00465657">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56732638" w14:textId="77777777" w:rsidR="00465657" w:rsidRPr="00A33AE8" w:rsidRDefault="00465657" w:rsidP="00465657">
            <w:pPr>
              <w:spacing w:after="0" w:line="240" w:lineRule="auto"/>
              <w:rPr>
                <w:rFonts w:ascii="Times New Roman" w:eastAsia="Times New Roman" w:hAnsi="Times New Roman" w:cs="Times New Roman"/>
                <w:sz w:val="20"/>
                <w:szCs w:val="20"/>
                <w:lang w:eastAsia="en-GB"/>
              </w:rPr>
            </w:pPr>
          </w:p>
        </w:tc>
      </w:tr>
    </w:tbl>
    <w:p w14:paraId="59F9F044" w14:textId="77777777" w:rsidR="00F122B2" w:rsidRPr="00A33AE8" w:rsidRDefault="00F122B2" w:rsidP="00F122B2">
      <w:pPr>
        <w:pStyle w:val="LDKBody1"/>
      </w:pPr>
    </w:p>
    <w:tbl>
      <w:tblPr>
        <w:tblW w:w="9680" w:type="dxa"/>
        <w:tblLook w:val="04A0" w:firstRow="1" w:lastRow="0" w:firstColumn="1" w:lastColumn="0" w:noHBand="0" w:noVBand="1"/>
      </w:tblPr>
      <w:tblGrid>
        <w:gridCol w:w="3328"/>
        <w:gridCol w:w="945"/>
        <w:gridCol w:w="946"/>
        <w:gridCol w:w="4239"/>
        <w:gridCol w:w="222"/>
      </w:tblGrid>
      <w:tr w:rsidR="00DE2FB4" w:rsidRPr="00A33AE8" w14:paraId="7262592E" w14:textId="77777777" w:rsidTr="007F4A03">
        <w:trPr>
          <w:trHeight w:val="780"/>
        </w:trPr>
        <w:tc>
          <w:tcPr>
            <w:tcW w:w="332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483488D" w14:textId="77777777" w:rsidR="00DE2FB4" w:rsidRPr="00A33AE8" w:rsidRDefault="00DE2FB4" w:rsidP="007F4A03">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1B833FFD" w14:textId="77777777" w:rsidR="00DE2FB4" w:rsidRPr="00A33AE8" w:rsidRDefault="00DE2FB4" w:rsidP="007F4A03">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PM_D44</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153A7C91"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9" w:type="dxa"/>
            <w:gridSpan w:val="2"/>
            <w:tcBorders>
              <w:top w:val="single" w:sz="8" w:space="0" w:color="auto"/>
              <w:left w:val="nil"/>
              <w:bottom w:val="single" w:sz="8" w:space="0" w:color="auto"/>
              <w:right w:val="single" w:sz="8" w:space="0" w:color="auto"/>
            </w:tcBorders>
            <w:shd w:val="clear" w:color="auto" w:fill="E7E6E6" w:themeFill="background2"/>
            <w:vAlign w:val="center"/>
            <w:hideMark/>
          </w:tcPr>
          <w:p w14:paraId="7FC98E3B" w14:textId="77777777" w:rsidR="00DE2FB4" w:rsidRPr="00A33AE8" w:rsidRDefault="00DE2FB4" w:rsidP="007F4A03">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a scheme for the qualification, accreditation and certification of RES professionals</w:t>
            </w:r>
          </w:p>
        </w:tc>
      </w:tr>
      <w:tr w:rsidR="00DE2FB4" w:rsidRPr="00A33AE8" w14:paraId="5147E414" w14:textId="77777777" w:rsidTr="007F4A03">
        <w:trPr>
          <w:trHeight w:val="265"/>
        </w:trPr>
        <w:tc>
          <w:tcPr>
            <w:tcW w:w="3328" w:type="dxa"/>
            <w:tcBorders>
              <w:top w:val="nil"/>
              <w:left w:val="single" w:sz="8" w:space="0" w:color="auto"/>
              <w:bottom w:val="single" w:sz="8" w:space="0" w:color="auto"/>
              <w:right w:val="nil"/>
            </w:tcBorders>
            <w:shd w:val="clear" w:color="000000" w:fill="244062"/>
            <w:vAlign w:val="center"/>
            <w:hideMark/>
          </w:tcPr>
          <w:p w14:paraId="42041B58"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3299CC85" w14:textId="77777777" w:rsidR="00DE2FB4" w:rsidRPr="00A33AE8" w:rsidRDefault="00DE2FB4" w:rsidP="007F4A03">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DE2FB4" w:rsidRPr="00A33AE8" w14:paraId="007FA02F"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E05C455"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4E49CE64" w14:textId="77777777" w:rsidR="00DE2FB4" w:rsidRPr="00A33AE8" w:rsidRDefault="00DE2FB4" w:rsidP="007F4A03">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the expected RES penetration for electricity production, heating and cooling and transport</w:t>
            </w:r>
          </w:p>
        </w:tc>
      </w:tr>
      <w:tr w:rsidR="00DE2FB4" w:rsidRPr="00A33AE8" w14:paraId="66E65BFA" w14:textId="77777777" w:rsidTr="007F4A03">
        <w:trPr>
          <w:trHeight w:val="726"/>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B30D3FC"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5B414B21" w14:textId="77777777" w:rsidR="00DE2FB4" w:rsidRPr="00A33AE8" w:rsidRDefault="00DE2FB4" w:rsidP="007F4A03">
            <w:pPr>
              <w:spacing w:after="0" w:line="240" w:lineRule="auto"/>
              <w:jc w:val="both"/>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 xml:space="preserve">PM_D44 will facilitate the establishment of a new qualification, accreditation, or certification scheme for all RES professionals. </w:t>
            </w:r>
            <w:r w:rsidRPr="00A33AE8">
              <w:rPr>
                <w:rFonts w:ascii="Calibri Light" w:eastAsia="Times New Roman" w:hAnsi="Calibri Light" w:cs="Calibri Light"/>
                <w:color w:val="000000"/>
                <w:sz w:val="20"/>
                <w:szCs w:val="20"/>
                <w:lang w:eastAsia="en-GB"/>
              </w:rPr>
              <w:t>Specialized training programs will be organized, tools will be developed</w:t>
            </w:r>
            <w:r w:rsidR="003519B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 xml:space="preserve"> and technical support will be provided within the framework of the current measure.</w:t>
            </w:r>
          </w:p>
          <w:p w14:paraId="72EC1B75" w14:textId="77777777" w:rsidR="00DE2FB4" w:rsidRPr="00A33AE8" w:rsidRDefault="00DE2FB4" w:rsidP="007F4A03">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The provision of clear and easily accessible information about the certified RES installers is essential to enable citizens for the further penetration of RES systems and to improve social acceptance of RES technologies.</w:t>
            </w:r>
          </w:p>
        </w:tc>
      </w:tr>
      <w:tr w:rsidR="00DE2FB4" w:rsidRPr="00A33AE8" w14:paraId="4F5F35B1"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E63650E"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36289EC1" w14:textId="77777777" w:rsidR="00DE2FB4" w:rsidRPr="00A33AE8" w:rsidRDefault="00DE2FB4" w:rsidP="007F4A03">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465657" w:rsidRPr="00A33AE8">
              <w:rPr>
                <w:rFonts w:ascii="Calibri Light" w:eastAsia="Times New Roman" w:hAnsi="Calibri Light" w:cs="Calibri Light"/>
                <w:color w:val="000000"/>
                <w:sz w:val="20"/>
                <w:szCs w:val="20"/>
                <w:lang w:eastAsia="en-GB"/>
              </w:rPr>
              <w:t>20</w:t>
            </w:r>
            <w:r w:rsidR="00465657">
              <w:rPr>
                <w:rFonts w:ascii="Calibri Light" w:eastAsia="Times New Roman" w:hAnsi="Calibri Light" w:cs="Calibri Light"/>
                <w:color w:val="000000"/>
                <w:sz w:val="20"/>
                <w:szCs w:val="20"/>
                <w:lang w:eastAsia="en-GB"/>
              </w:rPr>
              <w:t>28</w:t>
            </w:r>
          </w:p>
        </w:tc>
      </w:tr>
      <w:tr w:rsidR="00DE2FB4" w:rsidRPr="00A33AE8" w14:paraId="143C71BA"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129BB081"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79CEF93C" w14:textId="77777777" w:rsidR="00DE2FB4" w:rsidRPr="00A33AE8" w:rsidRDefault="00ED5D92" w:rsidP="007F4A03">
            <w:pPr>
              <w:spacing w:after="0" w:line="240" w:lineRule="auto"/>
              <w:rPr>
                <w:rFonts w:ascii="Calibri Light" w:eastAsia="Times New Roman" w:hAnsi="Calibri Light" w:cs="Calibri Light"/>
                <w:color w:val="000000"/>
                <w:sz w:val="20"/>
                <w:szCs w:val="20"/>
                <w:lang w:eastAsia="en-GB"/>
              </w:rPr>
            </w:pPr>
            <w:r>
              <w:rPr>
                <w:rFonts w:ascii="Calibri Light" w:eastAsia="Times New Roman" w:hAnsi="Calibri Light" w:cs="Calibri Light"/>
                <w:color w:val="000000"/>
                <w:sz w:val="20"/>
                <w:szCs w:val="20"/>
                <w:lang w:eastAsia="en-GB"/>
              </w:rPr>
              <w:t>Reform</w:t>
            </w:r>
          </w:p>
        </w:tc>
      </w:tr>
      <w:tr w:rsidR="00DE2FB4" w:rsidRPr="00A33AE8" w14:paraId="62AEFB15"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6DE3BB05"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548A8F79" w14:textId="77777777" w:rsidR="00DE2FB4" w:rsidRPr="00A33AE8" w:rsidRDefault="00DE2FB4" w:rsidP="007F4A03">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DE2FB4" w:rsidRPr="00A33AE8" w14:paraId="6D2EA6E9"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6DE34492"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42CA7D1D" w14:textId="77777777" w:rsidR="00DE2FB4" w:rsidRPr="00A33AE8" w:rsidRDefault="00DE2FB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DE2FB4" w:rsidRPr="00A33AE8" w14:paraId="6D8183B3" w14:textId="77777777" w:rsidTr="007F4A03">
        <w:trPr>
          <w:trHeight w:val="315"/>
        </w:trPr>
        <w:tc>
          <w:tcPr>
            <w:tcW w:w="3328" w:type="dxa"/>
            <w:tcBorders>
              <w:top w:val="nil"/>
              <w:left w:val="single" w:sz="8" w:space="0" w:color="auto"/>
              <w:bottom w:val="single" w:sz="8" w:space="0" w:color="auto"/>
              <w:right w:val="nil"/>
            </w:tcBorders>
            <w:shd w:val="clear" w:color="000000" w:fill="244062"/>
            <w:vAlign w:val="center"/>
            <w:hideMark/>
          </w:tcPr>
          <w:p w14:paraId="31C62FA2"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1B1E1E6A" w14:textId="77777777" w:rsidR="00DE2FB4"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465657">
              <w:rPr>
                <w:rFonts w:ascii="Calibri Light" w:eastAsia="Times New Roman" w:hAnsi="Calibri Light" w:cs="Calibri Light"/>
                <w:color w:val="000000"/>
                <w:sz w:val="20"/>
                <w:szCs w:val="20"/>
                <w:lang w:eastAsia="en-GB"/>
              </w:rPr>
              <w:t>Government of the Republic of Serbia</w:t>
            </w:r>
            <w:r w:rsidR="00DE2FB4" w:rsidRPr="00A33AE8">
              <w:rPr>
                <w:rFonts w:ascii="Calibri Light" w:eastAsia="Times New Roman" w:hAnsi="Calibri Light" w:cs="Calibri Light"/>
                <w:color w:val="000000"/>
                <w:sz w:val="20"/>
                <w:szCs w:val="20"/>
                <w:lang w:eastAsia="en-GB"/>
              </w:rPr>
              <w:t> </w:t>
            </w:r>
          </w:p>
        </w:tc>
      </w:tr>
      <w:tr w:rsidR="00DE2FB4" w:rsidRPr="00A33AE8" w14:paraId="76FCAC46" w14:textId="77777777" w:rsidTr="007F4A03">
        <w:trPr>
          <w:trHeight w:val="315"/>
        </w:trPr>
        <w:tc>
          <w:tcPr>
            <w:tcW w:w="3328" w:type="dxa"/>
            <w:tcBorders>
              <w:top w:val="nil"/>
              <w:left w:val="single" w:sz="8" w:space="0" w:color="auto"/>
              <w:bottom w:val="single" w:sz="8" w:space="0" w:color="auto"/>
              <w:right w:val="nil"/>
            </w:tcBorders>
            <w:shd w:val="clear" w:color="000000" w:fill="244062"/>
            <w:vAlign w:val="center"/>
            <w:hideMark/>
          </w:tcPr>
          <w:p w14:paraId="1CA656E7"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0" w:type="dxa"/>
            <w:gridSpan w:val="4"/>
            <w:tcBorders>
              <w:top w:val="single" w:sz="8" w:space="0" w:color="auto"/>
              <w:left w:val="nil"/>
              <w:bottom w:val="single" w:sz="8" w:space="0" w:color="auto"/>
              <w:right w:val="single" w:sz="8" w:space="0" w:color="000000"/>
            </w:tcBorders>
            <w:shd w:val="clear" w:color="auto" w:fill="auto"/>
            <w:vAlign w:val="center"/>
            <w:hideMark/>
          </w:tcPr>
          <w:p w14:paraId="34608C8C" w14:textId="77777777" w:rsidR="00DE2FB4" w:rsidRPr="00A33AE8" w:rsidRDefault="00DE2FB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stakeholders</w:t>
            </w:r>
          </w:p>
        </w:tc>
      </w:tr>
      <w:tr w:rsidR="00DE2FB4" w:rsidRPr="00A33AE8" w14:paraId="0ECD5CF5" w14:textId="77777777" w:rsidTr="007F4A03">
        <w:trPr>
          <w:trHeight w:val="153"/>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669FC54"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0" w:type="dxa"/>
            <w:gridSpan w:val="4"/>
            <w:tcBorders>
              <w:top w:val="single" w:sz="8" w:space="0" w:color="auto"/>
              <w:left w:val="nil"/>
              <w:bottom w:val="single" w:sz="8" w:space="0" w:color="auto"/>
              <w:right w:val="single" w:sz="8" w:space="0" w:color="000000"/>
            </w:tcBorders>
            <w:shd w:val="clear" w:color="auto" w:fill="auto"/>
            <w:vAlign w:val="center"/>
          </w:tcPr>
          <w:p w14:paraId="3B0208F1" w14:textId="77777777" w:rsidR="00465657" w:rsidRPr="00465657"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465657">
              <w:rPr>
                <w:rFonts w:ascii="Calibri Light" w:eastAsia="Times New Roman" w:hAnsi="Calibri Light" w:cs="Calibri Light"/>
                <w:color w:val="000000"/>
                <w:sz w:val="20"/>
                <w:szCs w:val="20"/>
                <w:lang w:eastAsia="en-GB"/>
              </w:rPr>
              <w:t>Energy efficiency (the promoted RES technologies will deliver also final and primary energy savings contributing to the achievement of the relevant targets)</w:t>
            </w:r>
          </w:p>
          <w:p w14:paraId="581DEB01" w14:textId="77777777" w:rsidR="00DE2FB4"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465657">
              <w:rPr>
                <w:rFonts w:ascii="Calibri Light" w:eastAsia="Times New Roman" w:hAnsi="Calibri Light" w:cs="Calibri Light"/>
                <w:color w:val="000000"/>
                <w:sz w:val="20"/>
                <w:szCs w:val="20"/>
                <w:lang w:eastAsia="en-GB"/>
              </w:rPr>
              <w:lastRenderedPageBreak/>
              <w:t>Energy security (the penetration of RES technologies will reduce the energy import dependency from third countries and increase the deployment of domestic energy sources)</w:t>
            </w:r>
          </w:p>
        </w:tc>
      </w:tr>
      <w:tr w:rsidR="00DE2FB4" w:rsidRPr="00A33AE8" w14:paraId="177B519C" w14:textId="77777777" w:rsidTr="007F4A03">
        <w:trPr>
          <w:gridAfter w:val="1"/>
          <w:wAfter w:w="222" w:type="dxa"/>
          <w:trHeight w:val="450"/>
        </w:trPr>
        <w:tc>
          <w:tcPr>
            <w:tcW w:w="332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773E370"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3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3E947FC" w14:textId="77777777" w:rsidR="00DE2FB4" w:rsidRPr="00A33AE8" w:rsidRDefault="00DE2FB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DE2FB4" w:rsidRPr="00A33AE8" w14:paraId="19F77C38" w14:textId="77777777" w:rsidTr="007F4A03">
        <w:trPr>
          <w:trHeight w:val="300"/>
        </w:trPr>
        <w:tc>
          <w:tcPr>
            <w:tcW w:w="3328" w:type="dxa"/>
            <w:vMerge/>
            <w:tcBorders>
              <w:top w:val="nil"/>
              <w:left w:val="single" w:sz="8" w:space="0" w:color="auto"/>
              <w:bottom w:val="single" w:sz="8" w:space="0" w:color="000000"/>
              <w:right w:val="single" w:sz="8" w:space="0" w:color="auto"/>
            </w:tcBorders>
            <w:vAlign w:val="center"/>
            <w:hideMark/>
          </w:tcPr>
          <w:p w14:paraId="70F696F3"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3F09DAD8" w14:textId="77777777" w:rsidR="00DE2FB4" w:rsidRPr="00A33AE8" w:rsidRDefault="00DE2FB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81D5FF7" w14:textId="77777777" w:rsidR="00DE2FB4" w:rsidRPr="00A33AE8" w:rsidRDefault="00DE2FB4" w:rsidP="007F4A03">
            <w:pPr>
              <w:spacing w:after="0" w:line="240" w:lineRule="auto"/>
              <w:rPr>
                <w:rFonts w:ascii="Calibri Light" w:eastAsia="Times New Roman" w:hAnsi="Calibri Light" w:cs="Calibri Light"/>
                <w:color w:val="000000"/>
                <w:sz w:val="20"/>
                <w:szCs w:val="20"/>
                <w:lang w:eastAsia="en-GB"/>
              </w:rPr>
            </w:pPr>
          </w:p>
        </w:tc>
      </w:tr>
      <w:tr w:rsidR="00DE2FB4" w:rsidRPr="00A33AE8" w14:paraId="743B530D" w14:textId="77777777" w:rsidTr="007F4A03">
        <w:trPr>
          <w:trHeight w:val="60"/>
        </w:trPr>
        <w:tc>
          <w:tcPr>
            <w:tcW w:w="3328" w:type="dxa"/>
            <w:vMerge/>
            <w:tcBorders>
              <w:top w:val="nil"/>
              <w:left w:val="single" w:sz="8" w:space="0" w:color="auto"/>
              <w:bottom w:val="single" w:sz="8" w:space="0" w:color="000000"/>
              <w:right w:val="single" w:sz="8" w:space="0" w:color="auto"/>
            </w:tcBorders>
            <w:vAlign w:val="center"/>
            <w:hideMark/>
          </w:tcPr>
          <w:p w14:paraId="466542FD"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35C7CB2A" w14:textId="77777777" w:rsidR="00DE2FB4" w:rsidRPr="00A33AE8" w:rsidRDefault="00DE2FB4"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CC9C946" w14:textId="77777777" w:rsidR="00DE2FB4" w:rsidRPr="00A33AE8" w:rsidRDefault="00DE2FB4" w:rsidP="007F4A03">
            <w:pPr>
              <w:spacing w:after="0" w:line="240" w:lineRule="auto"/>
              <w:rPr>
                <w:rFonts w:ascii="Times New Roman" w:eastAsia="Times New Roman" w:hAnsi="Times New Roman" w:cs="Times New Roman"/>
                <w:sz w:val="20"/>
                <w:szCs w:val="20"/>
                <w:lang w:eastAsia="en-GB"/>
              </w:rPr>
            </w:pPr>
          </w:p>
        </w:tc>
      </w:tr>
      <w:tr w:rsidR="00DE2FB4" w:rsidRPr="00A33AE8" w14:paraId="49095589" w14:textId="77777777" w:rsidTr="007F4A03">
        <w:trPr>
          <w:trHeight w:val="307"/>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2EE04A6"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0350F93" w14:textId="77777777" w:rsidR="00DE2FB4" w:rsidRPr="00A33AE8" w:rsidRDefault="00DE2FB4" w:rsidP="007F4A03">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2EA347E1" w14:textId="77777777" w:rsidR="00DE2FB4" w:rsidRPr="00A33AE8" w:rsidRDefault="00DE2FB4" w:rsidP="007F4A03">
            <w:pPr>
              <w:spacing w:after="0" w:line="240" w:lineRule="auto"/>
              <w:rPr>
                <w:rFonts w:ascii="Times New Roman" w:eastAsia="Times New Roman" w:hAnsi="Times New Roman" w:cs="Times New Roman"/>
                <w:sz w:val="20"/>
                <w:szCs w:val="20"/>
                <w:lang w:eastAsia="en-GB"/>
              </w:rPr>
            </w:pPr>
          </w:p>
        </w:tc>
      </w:tr>
      <w:tr w:rsidR="00DE2FB4" w:rsidRPr="00A33AE8" w14:paraId="52A95AD7"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6233799"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0189F5C" w14:textId="77777777" w:rsidR="00DE2FB4" w:rsidRPr="00A33AE8" w:rsidRDefault="00DE2FB4" w:rsidP="007F4A03">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0.2 M</w:t>
            </w:r>
            <w:r w:rsidRPr="00A33AE8">
              <w:rPr>
                <w:rFonts w:ascii="Calibri" w:eastAsia="Times New Roman" w:hAnsi="Calibri" w:cs="Calibri"/>
                <w:color w:val="000000"/>
                <w:sz w:val="20"/>
                <w:szCs w:val="20"/>
                <w:lang w:eastAsia="en-GB"/>
              </w:rPr>
              <w:t>€</w:t>
            </w:r>
          </w:p>
        </w:tc>
        <w:tc>
          <w:tcPr>
            <w:tcW w:w="222" w:type="dxa"/>
            <w:vAlign w:val="center"/>
            <w:hideMark/>
          </w:tcPr>
          <w:p w14:paraId="1BA6376F" w14:textId="77777777" w:rsidR="00DE2FB4" w:rsidRPr="00A33AE8" w:rsidRDefault="00DE2FB4" w:rsidP="007F4A03">
            <w:pPr>
              <w:spacing w:after="0" w:line="240" w:lineRule="auto"/>
              <w:rPr>
                <w:rFonts w:ascii="Times New Roman" w:eastAsia="Times New Roman" w:hAnsi="Times New Roman" w:cs="Times New Roman"/>
                <w:sz w:val="20"/>
                <w:szCs w:val="20"/>
                <w:lang w:eastAsia="en-GB"/>
              </w:rPr>
            </w:pPr>
          </w:p>
        </w:tc>
      </w:tr>
      <w:tr w:rsidR="00DE2FB4" w:rsidRPr="00A33AE8" w14:paraId="6C627C81" w14:textId="77777777" w:rsidTr="007F4A03">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60EC8D1" w14:textId="77777777" w:rsidR="00DE2FB4" w:rsidRPr="00A33AE8" w:rsidRDefault="00DE2FB4" w:rsidP="007F4A0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03AC42E" w14:textId="77777777" w:rsidR="00DE2FB4" w:rsidRPr="00A33AE8" w:rsidRDefault="00DE2FB4" w:rsidP="007F4A03">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2984F2C7" w14:textId="77777777" w:rsidR="00DE2FB4" w:rsidRPr="00A33AE8" w:rsidRDefault="00DE2FB4" w:rsidP="007F4A03">
            <w:pPr>
              <w:spacing w:after="0" w:line="240" w:lineRule="auto"/>
              <w:rPr>
                <w:rFonts w:ascii="Times New Roman" w:eastAsia="Times New Roman" w:hAnsi="Times New Roman" w:cs="Times New Roman"/>
                <w:sz w:val="20"/>
                <w:szCs w:val="20"/>
                <w:lang w:eastAsia="en-GB"/>
              </w:rPr>
            </w:pPr>
          </w:p>
        </w:tc>
      </w:tr>
    </w:tbl>
    <w:p w14:paraId="194F5441" w14:textId="77777777" w:rsidR="00DE2FB4" w:rsidRPr="00A33AE8" w:rsidRDefault="00DE2FB4" w:rsidP="00F122B2">
      <w:pPr>
        <w:pStyle w:val="LDKBody1"/>
      </w:pPr>
    </w:p>
    <w:p w14:paraId="136010F7" w14:textId="77777777" w:rsidR="0081343F" w:rsidRPr="00A33AE8" w:rsidRDefault="0081343F" w:rsidP="00884F3B">
      <w:pPr>
        <w:pStyle w:val="Heading4"/>
        <w:numPr>
          <w:ilvl w:val="0"/>
          <w:numId w:val="6"/>
        </w:numPr>
        <w:jc w:val="both"/>
      </w:pPr>
      <w:r w:rsidRPr="00A33AE8">
        <w:t>Assessment of the necessity to build new infrastructure for district heating and cooling produced from renewable energy sources</w:t>
      </w:r>
    </w:p>
    <w:p w14:paraId="677794EA" w14:textId="77777777" w:rsidR="0081343F" w:rsidRPr="00A33AE8" w:rsidRDefault="0081343F" w:rsidP="0081343F">
      <w:pPr>
        <w:spacing w:before="240" w:after="240"/>
        <w:jc w:val="both"/>
        <w:rPr>
          <w:rFonts w:asciiTheme="majorHAnsi" w:hAnsiTheme="majorHAnsi" w:cstheme="majorHAnsi"/>
          <w:i/>
          <w:iCs/>
          <w:color w:val="000000"/>
          <w:u w:val="single"/>
        </w:rPr>
      </w:pPr>
      <w:r w:rsidRPr="00A33AE8">
        <w:rPr>
          <w:rFonts w:asciiTheme="majorHAnsi" w:hAnsiTheme="majorHAnsi" w:cstheme="majorHAnsi"/>
          <w:color w:val="000000"/>
        </w:rPr>
        <w:t>The further penetration of renewable energy technologies into the existing and planned district heating networks will be supported through the provision of specific financial aid for the required investment cost. Furthermore, the potential imposition of a mandatory quota in the utilization of renewable energy sources as fuel in the district heating networks will be scrutinized. Finally, the initiation of modern low-temperature district heating systems will be promoted connecting local demand with renewable and waste energy sources, as well as the wider electric and gas grid contributing to the optimisation of supply and demand across energy carriers.</w:t>
      </w:r>
    </w:p>
    <w:tbl>
      <w:tblPr>
        <w:tblW w:w="9680" w:type="dxa"/>
        <w:tblLook w:val="04A0" w:firstRow="1" w:lastRow="0" w:firstColumn="1" w:lastColumn="0" w:noHBand="0" w:noVBand="1"/>
      </w:tblPr>
      <w:tblGrid>
        <w:gridCol w:w="3279"/>
        <w:gridCol w:w="1097"/>
        <w:gridCol w:w="936"/>
        <w:gridCol w:w="4146"/>
        <w:gridCol w:w="222"/>
      </w:tblGrid>
      <w:tr w:rsidR="00AA1C55" w:rsidRPr="00A33AE8" w14:paraId="0A6EE0F4" w14:textId="77777777" w:rsidTr="00AA1C55">
        <w:trPr>
          <w:gridAfter w:val="1"/>
          <w:wAfter w:w="222" w:type="dxa"/>
          <w:trHeight w:val="780"/>
        </w:trPr>
        <w:tc>
          <w:tcPr>
            <w:tcW w:w="327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198D642" w14:textId="77777777" w:rsidR="00AA1C55" w:rsidRPr="00A33AE8" w:rsidRDefault="00AA1C55"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97" w:type="dxa"/>
            <w:tcBorders>
              <w:top w:val="single" w:sz="8" w:space="0" w:color="auto"/>
              <w:left w:val="nil"/>
              <w:bottom w:val="single" w:sz="8" w:space="0" w:color="auto"/>
              <w:right w:val="single" w:sz="8" w:space="0" w:color="auto"/>
            </w:tcBorders>
            <w:shd w:val="clear" w:color="auto" w:fill="E7E6E6" w:themeFill="background2"/>
            <w:vAlign w:val="center"/>
            <w:hideMark/>
          </w:tcPr>
          <w:p w14:paraId="0F60887B" w14:textId="77777777" w:rsidR="00AA1C55" w:rsidRPr="00A33AE8" w:rsidRDefault="00AA1C5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372823" w:rsidRPr="00A33AE8">
              <w:rPr>
                <w:rFonts w:ascii="Calibri Light" w:eastAsia="Times New Roman" w:hAnsi="Calibri Light" w:cs="Calibri Light"/>
                <w:b/>
                <w:bCs/>
                <w:color w:val="000000"/>
                <w:sz w:val="20"/>
                <w:szCs w:val="20"/>
                <w:lang w:eastAsia="en-GB"/>
              </w:rPr>
              <w:t>D31</w:t>
            </w:r>
          </w:p>
        </w:tc>
        <w:tc>
          <w:tcPr>
            <w:tcW w:w="936" w:type="dxa"/>
            <w:tcBorders>
              <w:top w:val="single" w:sz="8" w:space="0" w:color="auto"/>
              <w:left w:val="nil"/>
              <w:bottom w:val="single" w:sz="8" w:space="0" w:color="auto"/>
              <w:right w:val="single" w:sz="8" w:space="0" w:color="auto"/>
            </w:tcBorders>
            <w:shd w:val="clear" w:color="000000" w:fill="244062"/>
            <w:vAlign w:val="center"/>
            <w:hideMark/>
          </w:tcPr>
          <w:p w14:paraId="05609CBF"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4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669F87E" w14:textId="77777777" w:rsidR="00AA1C55" w:rsidRPr="00A33AE8" w:rsidRDefault="00AA1C5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Facilitating the penetration of RES into district heating networks</w:t>
            </w:r>
          </w:p>
        </w:tc>
      </w:tr>
      <w:tr w:rsidR="00AA1C55" w:rsidRPr="00A33AE8" w14:paraId="3120C9C3" w14:textId="77777777" w:rsidTr="00AA1C55">
        <w:trPr>
          <w:gridAfter w:val="1"/>
          <w:wAfter w:w="222" w:type="dxa"/>
          <w:trHeight w:val="311"/>
        </w:trPr>
        <w:tc>
          <w:tcPr>
            <w:tcW w:w="3279" w:type="dxa"/>
            <w:tcBorders>
              <w:top w:val="nil"/>
              <w:left w:val="single" w:sz="8" w:space="0" w:color="auto"/>
              <w:bottom w:val="single" w:sz="8" w:space="0" w:color="auto"/>
              <w:right w:val="nil"/>
            </w:tcBorders>
            <w:shd w:val="clear" w:color="000000" w:fill="244062"/>
            <w:vAlign w:val="center"/>
            <w:hideMark/>
          </w:tcPr>
          <w:p w14:paraId="5AB8A8B0"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792C3CAE" w14:textId="77777777" w:rsidR="00AA1C55" w:rsidRPr="00A33AE8" w:rsidRDefault="00AA1C5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heating and cooling</w:t>
            </w:r>
          </w:p>
        </w:tc>
      </w:tr>
      <w:tr w:rsidR="00AA1C55" w:rsidRPr="00A33AE8" w14:paraId="3A20B1DA" w14:textId="77777777" w:rsidTr="00AA1C55">
        <w:trPr>
          <w:gridAfter w:val="1"/>
          <w:wAfter w:w="222" w:type="dxa"/>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51E8FCB4"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9" w:type="dxa"/>
            <w:gridSpan w:val="3"/>
            <w:tcBorders>
              <w:top w:val="single" w:sz="4" w:space="0" w:color="auto"/>
              <w:left w:val="single" w:sz="4" w:space="0" w:color="auto"/>
              <w:bottom w:val="single" w:sz="4" w:space="0" w:color="000000"/>
              <w:right w:val="single" w:sz="4" w:space="0" w:color="auto"/>
            </w:tcBorders>
            <w:shd w:val="clear" w:color="auto" w:fill="auto"/>
            <w:vAlign w:val="center"/>
            <w:hideMark/>
          </w:tcPr>
          <w:p w14:paraId="3D1C8E30" w14:textId="77777777" w:rsidR="00AA1C55" w:rsidRDefault="00DF6E91" w:rsidP="00372823">
            <w:p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2.65</w:t>
            </w:r>
            <w:r w:rsidR="00ED6EA4" w:rsidRPr="005B2C66">
              <w:rPr>
                <w:rFonts w:ascii="Calibri Light" w:hAnsi="Calibri Light"/>
                <w:color w:val="000000"/>
                <w:sz w:val="20"/>
              </w:rPr>
              <w:t xml:space="preserve"> </w:t>
            </w:r>
            <w:r w:rsidR="00442653" w:rsidRPr="00CA142E">
              <w:rPr>
                <w:rFonts w:ascii="Calibri Light" w:eastAsia="Times New Roman" w:hAnsi="Calibri Light" w:cs="Calibri Light"/>
                <w:color w:val="000000"/>
                <w:sz w:val="20"/>
                <w:szCs w:val="20"/>
                <w:lang w:eastAsia="en-GB"/>
              </w:rPr>
              <w:t>ktoe</w:t>
            </w:r>
            <w:r w:rsidR="00442653" w:rsidRPr="00A33AE8">
              <w:rPr>
                <w:rFonts w:ascii="Calibri Light" w:eastAsia="Times New Roman" w:hAnsi="Calibri Light" w:cs="Calibri Light"/>
                <w:color w:val="000000"/>
                <w:sz w:val="20"/>
                <w:szCs w:val="20"/>
                <w:lang w:eastAsia="en-GB"/>
              </w:rPr>
              <w:t xml:space="preserve"> of biomass</w:t>
            </w:r>
          </w:p>
          <w:p w14:paraId="72336E70" w14:textId="2148E6EB" w:rsidR="009162B4" w:rsidRPr="00A33AE8" w:rsidRDefault="00CB1766">
            <w:pPr>
              <w:spacing w:after="0" w:line="240" w:lineRule="auto"/>
              <w:rPr>
                <w:rFonts w:ascii="Calibri" w:eastAsia="Times New Roman" w:hAnsi="Calibri" w:cs="Calibri"/>
                <w:color w:val="000000"/>
                <w:lang w:eastAsia="en-GB"/>
              </w:rPr>
            </w:pPr>
            <w:r w:rsidRPr="0087794A">
              <w:rPr>
                <w:rFonts w:ascii="Calibri Light" w:eastAsia="Times New Roman" w:hAnsi="Calibri Light" w:cs="Calibri Light"/>
                <w:color w:val="000000"/>
                <w:sz w:val="20"/>
                <w:szCs w:val="20"/>
                <w:lang w:eastAsia="en-GB"/>
              </w:rPr>
              <w:t>19.06</w:t>
            </w:r>
            <w:r w:rsidR="00B57C1C" w:rsidRPr="0087794A">
              <w:rPr>
                <w:rFonts w:ascii="Calibri Light" w:eastAsia="Times New Roman" w:hAnsi="Calibri Light" w:cs="Calibri Light"/>
                <w:color w:val="000000"/>
                <w:sz w:val="20"/>
                <w:szCs w:val="20"/>
                <w:lang w:eastAsia="en-GB"/>
              </w:rPr>
              <w:t xml:space="preserve"> ktoe of solar </w:t>
            </w:r>
            <w:r w:rsidRPr="0087794A">
              <w:rPr>
                <w:rFonts w:ascii="Calibri Light" w:eastAsia="Times New Roman" w:hAnsi="Calibri Light" w:cs="Calibri Light"/>
                <w:color w:val="000000"/>
                <w:sz w:val="20"/>
                <w:szCs w:val="20"/>
                <w:lang w:eastAsia="en-GB"/>
              </w:rPr>
              <w:t>energy</w:t>
            </w:r>
          </w:p>
        </w:tc>
      </w:tr>
      <w:tr w:rsidR="00AA1C55" w:rsidRPr="00A33AE8" w14:paraId="4446FCAA" w14:textId="77777777" w:rsidTr="0087794A">
        <w:trPr>
          <w:gridAfter w:val="1"/>
          <w:wAfter w:w="222" w:type="dxa"/>
          <w:trHeight w:val="689"/>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1353D915"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79" w:type="dxa"/>
            <w:gridSpan w:val="3"/>
            <w:tcBorders>
              <w:top w:val="single" w:sz="4" w:space="0" w:color="auto"/>
              <w:left w:val="single" w:sz="4" w:space="0" w:color="auto"/>
              <w:bottom w:val="single" w:sz="4" w:space="0" w:color="000000"/>
              <w:right w:val="single" w:sz="4" w:space="0" w:color="auto"/>
            </w:tcBorders>
            <w:vAlign w:val="center"/>
            <w:hideMark/>
          </w:tcPr>
          <w:p w14:paraId="12BBA8CA" w14:textId="77777777" w:rsidR="00AA1C55" w:rsidRPr="00A33AE8" w:rsidRDefault="00AA1C55"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372823" w:rsidRPr="00A33AE8">
              <w:rPr>
                <w:rFonts w:ascii="Calibri Light" w:eastAsia="Times New Roman" w:hAnsi="Calibri Light" w:cs="Calibri Light"/>
                <w:color w:val="000000"/>
                <w:sz w:val="20"/>
                <w:szCs w:val="20"/>
                <w:lang w:eastAsia="en-GB"/>
              </w:rPr>
              <w:t xml:space="preserve">D31 </w:t>
            </w:r>
            <w:r w:rsidRPr="00A33AE8">
              <w:rPr>
                <w:rFonts w:ascii="Calibri Light" w:eastAsia="Times New Roman" w:hAnsi="Calibri Light" w:cs="Calibri Light"/>
                <w:color w:val="000000"/>
                <w:sz w:val="20"/>
                <w:szCs w:val="20"/>
                <w:lang w:eastAsia="en-GB"/>
              </w:rPr>
              <w:t xml:space="preserve">will support the further penetration of renewable energy technologies into the existing and planned district heating networks through the provision of specific </w:t>
            </w:r>
            <w:r w:rsidR="00F23CB0" w:rsidRPr="00A33AE8">
              <w:rPr>
                <w:rFonts w:ascii="Calibri Light" w:eastAsia="Times New Roman" w:hAnsi="Calibri Light" w:cs="Calibri Light"/>
                <w:color w:val="000000"/>
                <w:sz w:val="20"/>
                <w:szCs w:val="20"/>
                <w:lang w:eastAsia="en-GB"/>
              </w:rPr>
              <w:t xml:space="preserve">economic </w:t>
            </w:r>
            <w:r w:rsidRPr="00A33AE8">
              <w:rPr>
                <w:rFonts w:ascii="Calibri Light" w:eastAsia="Times New Roman" w:hAnsi="Calibri Light" w:cs="Calibri Light"/>
                <w:color w:val="000000"/>
                <w:sz w:val="20"/>
                <w:szCs w:val="20"/>
                <w:lang w:eastAsia="en-GB"/>
              </w:rPr>
              <w:t>incentives</w:t>
            </w:r>
            <w:r w:rsidR="00FE6A59" w:rsidRPr="00A33AE8">
              <w:rPr>
                <w:rFonts w:ascii="Calibri Light" w:eastAsia="Times New Roman" w:hAnsi="Calibri Light" w:cs="Calibri Light"/>
                <w:color w:val="000000"/>
                <w:sz w:val="20"/>
                <w:szCs w:val="20"/>
                <w:lang w:eastAsia="en-GB"/>
              </w:rPr>
              <w:t>. Moreover</w:t>
            </w:r>
            <w:r w:rsidRPr="00A33AE8">
              <w:rPr>
                <w:rFonts w:ascii="Calibri Light" w:eastAsia="Times New Roman" w:hAnsi="Calibri Light" w:cs="Calibri Light"/>
                <w:color w:val="000000"/>
                <w:sz w:val="20"/>
                <w:szCs w:val="20"/>
                <w:lang w:eastAsia="en-GB"/>
              </w:rPr>
              <w:t>, the potential imposition of a mandatory quota in the utilization of renewable energy sources as fuel in the district heating networks will be scrutinized. Finally, the initiati</w:t>
            </w:r>
            <w:bookmarkStart w:id="150" w:name="_GoBack"/>
            <w:bookmarkEnd w:id="150"/>
            <w:r w:rsidRPr="00A33AE8">
              <w:rPr>
                <w:rFonts w:ascii="Calibri Light" w:eastAsia="Times New Roman" w:hAnsi="Calibri Light" w:cs="Calibri Light"/>
                <w:color w:val="000000"/>
                <w:sz w:val="20"/>
                <w:szCs w:val="20"/>
                <w:lang w:eastAsia="en-GB"/>
              </w:rPr>
              <w:t xml:space="preserve">on of modern low-temperature district heating systems will be </w:t>
            </w:r>
            <w:r w:rsidR="00372823" w:rsidRPr="00A33AE8">
              <w:rPr>
                <w:rFonts w:ascii="Calibri Light" w:eastAsia="Times New Roman" w:hAnsi="Calibri Light" w:cs="Calibri Light"/>
                <w:color w:val="000000"/>
                <w:sz w:val="20"/>
                <w:szCs w:val="20"/>
                <w:lang w:eastAsia="en-GB"/>
              </w:rPr>
              <w:t>examined</w:t>
            </w:r>
            <w:r w:rsidRPr="00A33AE8">
              <w:rPr>
                <w:rFonts w:ascii="Calibri Light" w:eastAsia="Times New Roman" w:hAnsi="Calibri Light" w:cs="Calibri Light"/>
                <w:color w:val="000000"/>
                <w:sz w:val="20"/>
                <w:szCs w:val="20"/>
                <w:lang w:eastAsia="en-GB"/>
              </w:rPr>
              <w:t xml:space="preserve"> connecting local demand with </w:t>
            </w:r>
            <w:r w:rsidR="00372823" w:rsidRPr="00A33AE8">
              <w:rPr>
                <w:rFonts w:ascii="Calibri Light" w:eastAsia="Times New Roman" w:hAnsi="Calibri Light" w:cs="Calibri Light"/>
                <w:color w:val="000000"/>
                <w:sz w:val="20"/>
                <w:szCs w:val="20"/>
                <w:lang w:eastAsia="en-GB"/>
              </w:rPr>
              <w:t xml:space="preserve">all </w:t>
            </w:r>
            <w:r w:rsidRPr="00A33AE8">
              <w:rPr>
                <w:rFonts w:ascii="Calibri Light" w:eastAsia="Times New Roman" w:hAnsi="Calibri Light" w:cs="Calibri Light"/>
                <w:color w:val="000000"/>
                <w:sz w:val="20"/>
                <w:szCs w:val="20"/>
                <w:lang w:eastAsia="en-GB"/>
              </w:rPr>
              <w:t>renewable and waste energy sources, as well as the wider electric and gas grid contributing to the optimisation of supply and demand across energy carriers.</w:t>
            </w:r>
            <w:r w:rsidR="00372823" w:rsidRPr="00A33AE8">
              <w:rPr>
                <w:rFonts w:ascii="Calibri Light" w:eastAsia="Times New Roman" w:hAnsi="Calibri Light" w:cs="Calibri Light"/>
                <w:color w:val="000000"/>
                <w:sz w:val="20"/>
                <w:szCs w:val="20"/>
                <w:lang w:eastAsia="en-GB"/>
              </w:rPr>
              <w:t xml:space="preserve"> The utilization of centralised heat pumps as pilot projects will be explored also under the prerequisite that their investment cost will be decreased.</w:t>
            </w:r>
          </w:p>
        </w:tc>
      </w:tr>
      <w:tr w:rsidR="00AA1C55" w:rsidRPr="00A33AE8" w14:paraId="70DE949D" w14:textId="77777777" w:rsidTr="00AA1C55">
        <w:trPr>
          <w:gridAfter w:val="1"/>
          <w:wAfter w:w="222" w:type="dxa"/>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7257D0D5"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79" w:type="dxa"/>
            <w:gridSpan w:val="3"/>
            <w:tcBorders>
              <w:top w:val="single" w:sz="4" w:space="0" w:color="auto"/>
              <w:left w:val="single" w:sz="4" w:space="0" w:color="auto"/>
              <w:bottom w:val="single" w:sz="4" w:space="0" w:color="000000"/>
              <w:right w:val="single" w:sz="4" w:space="0" w:color="auto"/>
            </w:tcBorders>
            <w:vAlign w:val="center"/>
            <w:hideMark/>
          </w:tcPr>
          <w:p w14:paraId="2DF37BBC" w14:textId="77777777" w:rsidR="00AA1C55"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AA1C55" w:rsidRPr="00A33AE8">
              <w:rPr>
                <w:rFonts w:ascii="Calibri Light" w:eastAsia="Times New Roman" w:hAnsi="Calibri Light" w:cs="Calibri Light"/>
                <w:color w:val="000000"/>
                <w:sz w:val="20"/>
                <w:szCs w:val="20"/>
                <w:lang w:eastAsia="en-GB"/>
              </w:rPr>
              <w:t>-2030</w:t>
            </w:r>
          </w:p>
        </w:tc>
      </w:tr>
      <w:tr w:rsidR="00AA1C55" w:rsidRPr="00A33AE8" w14:paraId="60832548" w14:textId="77777777" w:rsidTr="00AA1C55">
        <w:trPr>
          <w:gridAfter w:val="1"/>
          <w:wAfter w:w="222" w:type="dxa"/>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25F84984"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412917CF" w14:textId="77777777" w:rsidR="00AA1C55" w:rsidRPr="00A33AE8" w:rsidRDefault="000D74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AA1C55" w:rsidRPr="00A33AE8" w14:paraId="7AC065A0" w14:textId="77777777" w:rsidTr="00AA1C55">
        <w:trPr>
          <w:gridAfter w:val="1"/>
          <w:wAfter w:w="222" w:type="dxa"/>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223A2721" w14:textId="77777777" w:rsidR="00AA1C55" w:rsidRPr="00A33AE8" w:rsidRDefault="00AA1C5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2BFBED03" w14:textId="77777777" w:rsidR="00AA1C55" w:rsidRPr="00A33AE8" w:rsidRDefault="00AA1C5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Heating and cooling</w:t>
            </w:r>
          </w:p>
        </w:tc>
      </w:tr>
      <w:tr w:rsidR="00FB6A69" w:rsidRPr="00A33AE8" w14:paraId="0733BE50" w14:textId="77777777" w:rsidTr="00AA1C55">
        <w:trPr>
          <w:gridAfter w:val="1"/>
          <w:wAfter w:w="222" w:type="dxa"/>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4207ADA6"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3B9DA354"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298FA82E" w14:textId="77777777" w:rsidR="00FB6A69" w:rsidRPr="00A33AE8" w:rsidRDefault="00FE6A5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Local self-governments</w:t>
            </w:r>
          </w:p>
        </w:tc>
      </w:tr>
      <w:tr w:rsidR="00FB6A69" w:rsidRPr="00A33AE8" w14:paraId="44BACE0D" w14:textId="77777777" w:rsidTr="00AA1C55">
        <w:trPr>
          <w:gridAfter w:val="1"/>
          <w:wAfter w:w="222" w:type="dxa"/>
          <w:trHeight w:val="315"/>
        </w:trPr>
        <w:tc>
          <w:tcPr>
            <w:tcW w:w="3279" w:type="dxa"/>
            <w:tcBorders>
              <w:top w:val="nil"/>
              <w:left w:val="single" w:sz="8" w:space="0" w:color="auto"/>
              <w:bottom w:val="single" w:sz="8" w:space="0" w:color="auto"/>
              <w:right w:val="nil"/>
            </w:tcBorders>
            <w:shd w:val="clear" w:color="000000" w:fill="244062"/>
            <w:vAlign w:val="center"/>
            <w:hideMark/>
          </w:tcPr>
          <w:p w14:paraId="6718AF1E"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39030A9C" w14:textId="77777777" w:rsidR="00FB6A69"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465657">
              <w:rPr>
                <w:rFonts w:ascii="Calibri Light" w:eastAsia="Times New Roman" w:hAnsi="Calibri Light" w:cs="Calibri Light"/>
                <w:color w:val="000000"/>
                <w:sz w:val="20"/>
                <w:szCs w:val="20"/>
                <w:lang w:eastAsia="en-GB"/>
              </w:rPr>
              <w:t>Government of the Republic of Serbia</w:t>
            </w:r>
            <w:r w:rsidR="00FB6A69" w:rsidRPr="00A33AE8">
              <w:rPr>
                <w:rFonts w:ascii="Calibri Light" w:eastAsia="Times New Roman" w:hAnsi="Calibri Light" w:cs="Calibri Light"/>
                <w:color w:val="000000"/>
                <w:sz w:val="20"/>
                <w:szCs w:val="20"/>
                <w:lang w:eastAsia="en-GB"/>
              </w:rPr>
              <w:t> </w:t>
            </w:r>
          </w:p>
        </w:tc>
      </w:tr>
      <w:tr w:rsidR="00FB6A69" w:rsidRPr="00A33AE8" w14:paraId="118A6B07" w14:textId="77777777" w:rsidTr="00AA1C55">
        <w:trPr>
          <w:gridAfter w:val="1"/>
          <w:wAfter w:w="222" w:type="dxa"/>
          <w:trHeight w:val="315"/>
        </w:trPr>
        <w:tc>
          <w:tcPr>
            <w:tcW w:w="3279" w:type="dxa"/>
            <w:tcBorders>
              <w:top w:val="nil"/>
              <w:left w:val="single" w:sz="8" w:space="0" w:color="auto"/>
              <w:bottom w:val="single" w:sz="8" w:space="0" w:color="auto"/>
              <w:right w:val="nil"/>
            </w:tcBorders>
            <w:shd w:val="clear" w:color="000000" w:fill="244062"/>
            <w:vAlign w:val="center"/>
            <w:hideMark/>
          </w:tcPr>
          <w:p w14:paraId="4D7F9839"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32FF91D5"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Produced RES heating and cooling</w:t>
            </w:r>
          </w:p>
        </w:tc>
      </w:tr>
      <w:tr w:rsidR="00FB6A69" w:rsidRPr="00A33AE8" w14:paraId="4CFF52FE" w14:textId="77777777" w:rsidTr="00AA1C55">
        <w:trPr>
          <w:gridAfter w:val="1"/>
          <w:wAfter w:w="222" w:type="dxa"/>
          <w:trHeight w:val="287"/>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0638AC6F"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473BDD57" w14:textId="77777777" w:rsidR="00465657" w:rsidRPr="00465657"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r w:rsidR="00465657">
              <w:rPr>
                <w:rFonts w:ascii="Calibri Light" w:eastAsia="Times New Roman" w:hAnsi="Calibri Light" w:cs="Calibri Light"/>
                <w:color w:val="000000"/>
                <w:sz w:val="20"/>
                <w:szCs w:val="20"/>
                <w:lang w:eastAsia="en-GB"/>
              </w:rPr>
              <w:t xml:space="preserve"> </w:t>
            </w:r>
            <w:r w:rsidR="00465657" w:rsidRPr="00465657">
              <w:rPr>
                <w:rFonts w:ascii="Calibri Light" w:eastAsia="Times New Roman" w:hAnsi="Calibri Light" w:cs="Calibri Light"/>
                <w:color w:val="000000"/>
                <w:sz w:val="20"/>
                <w:szCs w:val="20"/>
                <w:lang w:eastAsia="en-GB"/>
              </w:rPr>
              <w:t>(the promoted RES technologies will deliver also primary energy savings contributing to the achievement of the relevant targets)</w:t>
            </w:r>
          </w:p>
          <w:p w14:paraId="5EA7233A" w14:textId="77777777" w:rsidR="00FB6A69" w:rsidRPr="00A33AE8" w:rsidRDefault="00465657"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465657">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FB6A69" w:rsidRPr="00A33AE8" w14:paraId="71A9FB74" w14:textId="77777777" w:rsidTr="00AA1C55">
        <w:trPr>
          <w:gridAfter w:val="1"/>
          <w:wAfter w:w="222" w:type="dxa"/>
          <w:trHeight w:val="450"/>
        </w:trPr>
        <w:tc>
          <w:tcPr>
            <w:tcW w:w="327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A1FBBD4"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7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E75A0E3"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FB6A69" w:rsidRPr="00A33AE8" w14:paraId="164E5682" w14:textId="77777777" w:rsidTr="00AA1C55">
        <w:trPr>
          <w:trHeight w:val="300"/>
        </w:trPr>
        <w:tc>
          <w:tcPr>
            <w:tcW w:w="3279" w:type="dxa"/>
            <w:vMerge/>
            <w:tcBorders>
              <w:top w:val="nil"/>
              <w:left w:val="single" w:sz="8" w:space="0" w:color="auto"/>
              <w:bottom w:val="single" w:sz="8" w:space="0" w:color="000000"/>
              <w:right w:val="single" w:sz="8" w:space="0" w:color="auto"/>
            </w:tcBorders>
            <w:vAlign w:val="center"/>
            <w:hideMark/>
          </w:tcPr>
          <w:p w14:paraId="21208CED"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hideMark/>
          </w:tcPr>
          <w:p w14:paraId="78CB1645"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2223B6C" w14:textId="77777777" w:rsidR="00FB6A69" w:rsidRPr="00A33AE8" w:rsidRDefault="00FB6A69" w:rsidP="00FB6A69">
            <w:pPr>
              <w:spacing w:after="0" w:line="240" w:lineRule="auto"/>
              <w:rPr>
                <w:rFonts w:ascii="Calibri Light" w:eastAsia="Times New Roman" w:hAnsi="Calibri Light" w:cs="Calibri Light"/>
                <w:color w:val="000000"/>
                <w:sz w:val="20"/>
                <w:szCs w:val="20"/>
                <w:lang w:eastAsia="en-GB"/>
              </w:rPr>
            </w:pPr>
          </w:p>
        </w:tc>
      </w:tr>
      <w:tr w:rsidR="00FB6A69" w:rsidRPr="00A33AE8" w14:paraId="231B15E7" w14:textId="77777777" w:rsidTr="00AA1C55">
        <w:trPr>
          <w:trHeight w:val="54"/>
        </w:trPr>
        <w:tc>
          <w:tcPr>
            <w:tcW w:w="3279" w:type="dxa"/>
            <w:vMerge/>
            <w:tcBorders>
              <w:top w:val="nil"/>
              <w:left w:val="single" w:sz="8" w:space="0" w:color="auto"/>
              <w:bottom w:val="single" w:sz="8" w:space="0" w:color="000000"/>
              <w:right w:val="single" w:sz="8" w:space="0" w:color="auto"/>
            </w:tcBorders>
            <w:vAlign w:val="center"/>
            <w:hideMark/>
          </w:tcPr>
          <w:p w14:paraId="56597C83"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hideMark/>
          </w:tcPr>
          <w:p w14:paraId="420A8BC6" w14:textId="77777777" w:rsidR="00FB6A69" w:rsidRPr="00A33AE8" w:rsidRDefault="00FB6A6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9A11122" w14:textId="77777777" w:rsidR="00FB6A69" w:rsidRPr="00A33AE8" w:rsidRDefault="00FB6A69" w:rsidP="00FB6A69">
            <w:pPr>
              <w:spacing w:after="0" w:line="240" w:lineRule="auto"/>
              <w:rPr>
                <w:rFonts w:ascii="Times New Roman" w:eastAsia="Times New Roman" w:hAnsi="Times New Roman" w:cs="Times New Roman"/>
                <w:sz w:val="20"/>
                <w:szCs w:val="20"/>
                <w:lang w:eastAsia="en-GB"/>
              </w:rPr>
            </w:pPr>
          </w:p>
        </w:tc>
      </w:tr>
      <w:tr w:rsidR="00FB6A69" w:rsidRPr="00A33AE8" w14:paraId="13BD2AF3" w14:textId="77777777" w:rsidTr="00AA1C55">
        <w:trPr>
          <w:trHeight w:val="271"/>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6123FC82"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3C9AECE8" w14:textId="77777777" w:rsidR="00FB6A69" w:rsidRPr="00A33AE8" w:rsidRDefault="00FB6A69" w:rsidP="00884F3B">
            <w:pPr>
              <w:pStyle w:val="ListParagraph"/>
              <w:numPr>
                <w:ilvl w:val="0"/>
                <w:numId w:val="121"/>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use of renewable energy sources</w:t>
            </w:r>
          </w:p>
        </w:tc>
        <w:tc>
          <w:tcPr>
            <w:tcW w:w="222" w:type="dxa"/>
            <w:vAlign w:val="center"/>
            <w:hideMark/>
          </w:tcPr>
          <w:p w14:paraId="1E7F466B" w14:textId="77777777" w:rsidR="00FB6A69" w:rsidRPr="00A33AE8" w:rsidRDefault="00FB6A69" w:rsidP="00FB6A69">
            <w:pPr>
              <w:spacing w:after="0" w:line="240" w:lineRule="auto"/>
              <w:rPr>
                <w:rFonts w:ascii="Times New Roman" w:eastAsia="Times New Roman" w:hAnsi="Times New Roman" w:cs="Times New Roman"/>
                <w:sz w:val="20"/>
                <w:szCs w:val="20"/>
                <w:lang w:eastAsia="en-GB"/>
              </w:rPr>
            </w:pPr>
          </w:p>
        </w:tc>
      </w:tr>
      <w:tr w:rsidR="00FB6A69" w:rsidRPr="00A33AE8" w14:paraId="5E746B4F" w14:textId="77777777" w:rsidTr="00AA1C55">
        <w:trPr>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5B2568F8"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2344B0D1" w14:textId="785D7FAA" w:rsidR="00FB6A69" w:rsidRPr="00CD0941" w:rsidRDefault="00DF6E91" w:rsidP="00FB6A69">
            <w:p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8</w:t>
            </w:r>
            <w:r w:rsidR="00C72D08" w:rsidRPr="005B2C66">
              <w:rPr>
                <w:rFonts w:ascii="Calibri Light" w:hAnsi="Calibri Light"/>
                <w:color w:val="000000"/>
                <w:sz w:val="20"/>
              </w:rPr>
              <w:t xml:space="preserve"> </w:t>
            </w:r>
            <w:r w:rsidR="00FB6A69" w:rsidRPr="00CA142E">
              <w:rPr>
                <w:rFonts w:ascii="Calibri Light" w:eastAsia="Times New Roman" w:hAnsi="Calibri Light" w:cs="Calibri Light"/>
                <w:color w:val="000000"/>
                <w:sz w:val="20"/>
                <w:szCs w:val="20"/>
                <w:lang w:eastAsia="en-GB"/>
              </w:rPr>
              <w:t>M</w:t>
            </w:r>
            <w:r w:rsidR="00FB6A69" w:rsidRPr="00CD0941">
              <w:rPr>
                <w:rFonts w:ascii="Calibri Light" w:eastAsia="Times New Roman" w:hAnsi="Calibri Light" w:cs="Calibri Light"/>
                <w:color w:val="000000"/>
                <w:sz w:val="20"/>
                <w:szCs w:val="20"/>
                <w:lang w:eastAsia="en-GB"/>
              </w:rPr>
              <w:t>€</w:t>
            </w:r>
            <w:r w:rsidR="00476F74" w:rsidRPr="00CD0941">
              <w:rPr>
                <w:rFonts w:ascii="Calibri Light" w:eastAsia="Times New Roman" w:hAnsi="Calibri Light" w:cs="Calibri Light"/>
                <w:color w:val="000000"/>
                <w:sz w:val="20"/>
                <w:szCs w:val="20"/>
                <w:lang w:eastAsia="en-GB"/>
              </w:rPr>
              <w:t xml:space="preserve"> for biomass</w:t>
            </w:r>
          </w:p>
          <w:p w14:paraId="4538D0E1" w14:textId="04CF8FB4" w:rsidR="00750F3D" w:rsidRPr="00A33AE8" w:rsidRDefault="00476F74">
            <w:pPr>
              <w:spacing w:after="0" w:line="240" w:lineRule="auto"/>
              <w:rPr>
                <w:rFonts w:ascii="Calibri Light" w:eastAsia="Times New Roman" w:hAnsi="Calibri Light" w:cs="Calibri Light"/>
                <w:color w:val="000000"/>
                <w:sz w:val="20"/>
                <w:szCs w:val="20"/>
                <w:lang w:eastAsia="en-GB"/>
              </w:rPr>
            </w:pPr>
            <w:r w:rsidRPr="00CD0941">
              <w:rPr>
                <w:rFonts w:ascii="Calibri Light" w:eastAsia="Times New Roman" w:hAnsi="Calibri Light" w:cs="Calibri Light"/>
                <w:color w:val="000000"/>
                <w:sz w:val="20"/>
                <w:szCs w:val="20"/>
                <w:lang w:eastAsia="en-GB"/>
              </w:rPr>
              <w:t>4</w:t>
            </w:r>
            <w:r w:rsidR="004373E9" w:rsidRPr="0087794A">
              <w:rPr>
                <w:rFonts w:ascii="Calibri Light" w:eastAsia="Times New Roman" w:hAnsi="Calibri Light" w:cs="Calibri Light"/>
                <w:color w:val="000000"/>
                <w:sz w:val="20"/>
                <w:szCs w:val="20"/>
                <w:lang w:eastAsia="en-GB"/>
              </w:rPr>
              <w:t>4</w:t>
            </w:r>
            <w:r w:rsidRPr="00CD0941">
              <w:rPr>
                <w:rFonts w:ascii="Calibri Light" w:eastAsia="Times New Roman" w:hAnsi="Calibri Light" w:cs="Calibri Light"/>
                <w:color w:val="000000"/>
                <w:sz w:val="20"/>
                <w:szCs w:val="20"/>
                <w:lang w:eastAsia="en-GB"/>
              </w:rPr>
              <w:t>3 M€ for solar energy</w:t>
            </w:r>
          </w:p>
        </w:tc>
        <w:tc>
          <w:tcPr>
            <w:tcW w:w="222" w:type="dxa"/>
            <w:vAlign w:val="center"/>
            <w:hideMark/>
          </w:tcPr>
          <w:p w14:paraId="2FB218F6" w14:textId="77777777" w:rsidR="00FB6A69" w:rsidRPr="00A33AE8" w:rsidRDefault="00FB6A69" w:rsidP="00FB6A69">
            <w:pPr>
              <w:spacing w:after="0" w:line="240" w:lineRule="auto"/>
              <w:rPr>
                <w:rFonts w:ascii="Calibri Light" w:eastAsia="Times New Roman" w:hAnsi="Calibri Light" w:cs="Calibri Light"/>
                <w:color w:val="000000"/>
                <w:sz w:val="20"/>
                <w:szCs w:val="20"/>
                <w:lang w:eastAsia="en-GB"/>
              </w:rPr>
            </w:pPr>
          </w:p>
        </w:tc>
      </w:tr>
      <w:tr w:rsidR="00FB6A69" w:rsidRPr="00A33AE8" w14:paraId="3695ACC8" w14:textId="77777777" w:rsidTr="00AA1C55">
        <w:trPr>
          <w:trHeight w:val="315"/>
        </w:trPr>
        <w:tc>
          <w:tcPr>
            <w:tcW w:w="3279" w:type="dxa"/>
            <w:tcBorders>
              <w:top w:val="nil"/>
              <w:left w:val="single" w:sz="8" w:space="0" w:color="auto"/>
              <w:bottom w:val="single" w:sz="8" w:space="0" w:color="auto"/>
              <w:right w:val="single" w:sz="8" w:space="0" w:color="auto"/>
            </w:tcBorders>
            <w:shd w:val="clear" w:color="000000" w:fill="244062"/>
            <w:vAlign w:val="center"/>
            <w:hideMark/>
          </w:tcPr>
          <w:p w14:paraId="33459CA7" w14:textId="77777777" w:rsidR="00FB6A69" w:rsidRPr="00A33AE8" w:rsidRDefault="00FB6A69" w:rsidP="00FB6A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10977C2D" w14:textId="77777777" w:rsidR="00FB6A69" w:rsidRPr="00A33AE8" w:rsidRDefault="00FB6A69" w:rsidP="00FB6A69">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1E838518" w14:textId="77777777" w:rsidR="00FB6A69" w:rsidRPr="00A33AE8" w:rsidRDefault="00FB6A69" w:rsidP="00FB6A69">
            <w:pPr>
              <w:spacing w:after="0" w:line="240" w:lineRule="auto"/>
              <w:rPr>
                <w:rFonts w:ascii="Times New Roman" w:eastAsia="Times New Roman" w:hAnsi="Times New Roman" w:cs="Times New Roman"/>
                <w:sz w:val="20"/>
                <w:szCs w:val="20"/>
                <w:lang w:eastAsia="en-GB"/>
              </w:rPr>
            </w:pPr>
          </w:p>
        </w:tc>
      </w:tr>
    </w:tbl>
    <w:p w14:paraId="27123DF0" w14:textId="77777777" w:rsidR="00363898" w:rsidRPr="00A33AE8" w:rsidRDefault="00363898" w:rsidP="00507954">
      <w:pPr>
        <w:spacing w:before="240" w:after="240" w:line="260" w:lineRule="exact"/>
        <w:jc w:val="both"/>
        <w:rPr>
          <w:rFonts w:cstheme="minorHAnsi"/>
          <w:b/>
          <w:bCs/>
          <w:color w:val="000000"/>
        </w:rPr>
      </w:pPr>
    </w:p>
    <w:p w14:paraId="01DEEC65" w14:textId="77777777" w:rsidR="0081343F" w:rsidRPr="00A33AE8" w:rsidRDefault="0081343F" w:rsidP="00884F3B">
      <w:pPr>
        <w:pStyle w:val="Heading4"/>
        <w:numPr>
          <w:ilvl w:val="0"/>
          <w:numId w:val="6"/>
        </w:numPr>
      </w:pPr>
      <w:r w:rsidRPr="00A33AE8">
        <w:t>Specific measures on the promotion of the use of energy from biomass, especially for new biomass mobilisation</w:t>
      </w:r>
    </w:p>
    <w:p w14:paraId="601F87C0" w14:textId="77777777" w:rsidR="0081343F" w:rsidRPr="00A33AE8" w:rsidRDefault="0081343F" w:rsidP="000B69B5">
      <w:pPr>
        <w:spacing w:before="160"/>
        <w:jc w:val="both"/>
        <w:rPr>
          <w:rFonts w:asciiTheme="majorHAnsi" w:hAnsiTheme="majorHAnsi" w:cstheme="majorHAnsi"/>
          <w:color w:val="000000"/>
        </w:rPr>
      </w:pPr>
      <w:r w:rsidRPr="00A33AE8">
        <w:rPr>
          <w:rFonts w:asciiTheme="majorHAnsi" w:hAnsiTheme="majorHAnsi" w:cstheme="majorHAnsi"/>
          <w:color w:val="000000"/>
        </w:rPr>
        <w:t>Specialized support programmes will be designed and implemented targeting to the development of efficient supply chains of residual biomass and biodegradable material, which is required for the achievement of the specified targets. Additional measures will be examined so as to increase the quantities of biomass, which will be utilized for energy production, such as the potential imposition of gate fee.</w:t>
      </w:r>
    </w:p>
    <w:p w14:paraId="34A7BF46" w14:textId="77777777" w:rsidR="00681089" w:rsidRPr="00A33AE8" w:rsidRDefault="0081343F" w:rsidP="000B69B5">
      <w:pPr>
        <w:spacing w:before="160"/>
        <w:jc w:val="both"/>
        <w:rPr>
          <w:rFonts w:asciiTheme="majorHAnsi" w:hAnsiTheme="majorHAnsi" w:cstheme="majorHAnsi"/>
        </w:rPr>
      </w:pPr>
      <w:r w:rsidRPr="00A33AE8">
        <w:rPr>
          <w:rFonts w:asciiTheme="majorHAnsi" w:hAnsiTheme="majorHAnsi" w:cstheme="majorHAnsi"/>
          <w:color w:val="000000"/>
        </w:rPr>
        <w:t>Finally, a holistic framework will be set-up for fulfilling the sustainability and greenhouse gas emissions saving criteria for the different types of biomass according to the provision of the Directive 2018/2001/EU including the establishment and operation of a monitoring, control and verification mechanism ensuring and justifying the fulfilment with the defined criteria.</w:t>
      </w:r>
    </w:p>
    <w:tbl>
      <w:tblPr>
        <w:tblW w:w="9680" w:type="dxa"/>
        <w:tblLook w:val="04A0" w:firstRow="1" w:lastRow="0" w:firstColumn="1" w:lastColumn="0" w:noHBand="0" w:noVBand="1"/>
      </w:tblPr>
      <w:tblGrid>
        <w:gridCol w:w="3328"/>
        <w:gridCol w:w="945"/>
        <w:gridCol w:w="946"/>
        <w:gridCol w:w="4239"/>
        <w:gridCol w:w="222"/>
      </w:tblGrid>
      <w:tr w:rsidR="00681089" w:rsidRPr="00A33AE8" w14:paraId="08A02F43" w14:textId="77777777" w:rsidTr="006769DA">
        <w:trPr>
          <w:gridAfter w:val="1"/>
          <w:wAfter w:w="222" w:type="dxa"/>
          <w:trHeight w:val="780"/>
        </w:trPr>
        <w:tc>
          <w:tcPr>
            <w:tcW w:w="332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261A7D7" w14:textId="77777777" w:rsidR="00681089" w:rsidRPr="00A33AE8" w:rsidRDefault="0068108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17709A8E" w14:textId="77777777" w:rsidR="00681089" w:rsidRPr="00A33AE8" w:rsidRDefault="0068108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372823" w:rsidRPr="00A33AE8">
              <w:rPr>
                <w:rFonts w:ascii="Calibri Light" w:eastAsia="Times New Roman" w:hAnsi="Calibri Light" w:cs="Calibri Light"/>
                <w:b/>
                <w:bCs/>
                <w:color w:val="000000"/>
                <w:sz w:val="20"/>
                <w:szCs w:val="20"/>
                <w:lang w:eastAsia="en-GB"/>
              </w:rPr>
              <w:t>D40</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55E5FCF2"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7325B511" w14:textId="77777777" w:rsidR="00681089" w:rsidRPr="00A33AE8" w:rsidRDefault="0068108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effective supply chains for the exploitation of the available potential of biofuels, bioliquids and biomass</w:t>
            </w:r>
          </w:p>
        </w:tc>
      </w:tr>
      <w:tr w:rsidR="00681089" w:rsidRPr="00A33AE8" w14:paraId="5125FEDF" w14:textId="77777777" w:rsidTr="006769DA">
        <w:trPr>
          <w:gridAfter w:val="1"/>
          <w:wAfter w:w="222" w:type="dxa"/>
          <w:trHeight w:val="337"/>
        </w:trPr>
        <w:tc>
          <w:tcPr>
            <w:tcW w:w="3328" w:type="dxa"/>
            <w:tcBorders>
              <w:top w:val="nil"/>
              <w:left w:val="single" w:sz="8" w:space="0" w:color="auto"/>
              <w:bottom w:val="single" w:sz="8" w:space="0" w:color="auto"/>
              <w:right w:val="nil"/>
            </w:tcBorders>
            <w:shd w:val="clear" w:color="000000" w:fill="244062"/>
            <w:vAlign w:val="center"/>
            <w:hideMark/>
          </w:tcPr>
          <w:p w14:paraId="0441C7FA"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AA182DB" w14:textId="77777777" w:rsidR="00681089" w:rsidRPr="00A33AE8" w:rsidRDefault="00681089"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681089" w:rsidRPr="00A33AE8" w14:paraId="438EEB88"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9AF9FC2"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1909ACA" w14:textId="77777777" w:rsidR="00681089" w:rsidRPr="00A33AE8" w:rsidRDefault="00372823"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the expected penetration of biofuels, bioliquids and biomass</w:t>
            </w:r>
          </w:p>
        </w:tc>
      </w:tr>
      <w:tr w:rsidR="00681089" w:rsidRPr="00A33AE8" w14:paraId="507683B9" w14:textId="77777777" w:rsidTr="006769DA">
        <w:trPr>
          <w:gridAfter w:val="1"/>
          <w:wAfter w:w="222" w:type="dxa"/>
          <w:trHeight w:val="1433"/>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CEEAA6E"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B0D18A0" w14:textId="77777777" w:rsidR="00681089" w:rsidRPr="00A33AE8" w:rsidRDefault="0068108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372823" w:rsidRPr="00A33AE8">
              <w:rPr>
                <w:rFonts w:ascii="Calibri Light" w:eastAsia="Times New Roman" w:hAnsi="Calibri Light" w:cs="Calibri Light"/>
                <w:color w:val="000000"/>
                <w:sz w:val="20"/>
                <w:szCs w:val="20"/>
                <w:lang w:eastAsia="en-GB"/>
              </w:rPr>
              <w:t xml:space="preserve">D40 </w:t>
            </w:r>
            <w:r w:rsidRPr="00A33AE8">
              <w:rPr>
                <w:rFonts w:ascii="Calibri Light" w:eastAsia="Times New Roman" w:hAnsi="Calibri Light" w:cs="Calibri Light"/>
                <w:color w:val="000000"/>
                <w:sz w:val="20"/>
                <w:szCs w:val="20"/>
                <w:lang w:eastAsia="en-GB"/>
              </w:rPr>
              <w:t xml:space="preserve">will apply specialized support programs both for the development of efficient supply chains of residual biomass and biodegradable material and the support of the most effective and environmental-friendly bioenergy applications. </w:t>
            </w:r>
            <w:bookmarkStart w:id="151" w:name="_Hlk135854685"/>
            <w:r w:rsidR="00FE6A59" w:rsidRPr="00A33AE8">
              <w:rPr>
                <w:rFonts w:ascii="Calibri Light" w:eastAsia="Times New Roman" w:hAnsi="Calibri Light" w:cs="Calibri Light"/>
                <w:color w:val="000000"/>
                <w:sz w:val="20"/>
                <w:szCs w:val="20"/>
                <w:lang w:eastAsia="en-GB"/>
              </w:rPr>
              <w:t xml:space="preserve">More specifically, the required equipment and infrastructure will be supported </w:t>
            </w:r>
            <w:r w:rsidR="00F23CB0" w:rsidRPr="00A33AE8">
              <w:rPr>
                <w:rFonts w:ascii="Calibri Light" w:eastAsia="Times New Roman" w:hAnsi="Calibri Light" w:cs="Calibri Light"/>
                <w:color w:val="000000"/>
                <w:sz w:val="20"/>
                <w:szCs w:val="20"/>
                <w:lang w:eastAsia="en-GB"/>
              </w:rPr>
              <w:t xml:space="preserve">economically </w:t>
            </w:r>
            <w:r w:rsidR="00FE6A59" w:rsidRPr="00A33AE8">
              <w:rPr>
                <w:rFonts w:ascii="Calibri Light" w:eastAsia="Times New Roman" w:hAnsi="Calibri Light" w:cs="Calibri Light"/>
                <w:color w:val="000000"/>
                <w:sz w:val="20"/>
                <w:szCs w:val="20"/>
                <w:lang w:eastAsia="en-GB"/>
              </w:rPr>
              <w:t xml:space="preserve">in different stages of the supply chain, such as indicatively the feedstock production and the felling/processing, transportation, collection and storage of the </w:t>
            </w:r>
            <w:r w:rsidR="00D64277" w:rsidRPr="00A33AE8">
              <w:rPr>
                <w:rFonts w:ascii="Calibri Light" w:eastAsia="Times New Roman" w:hAnsi="Calibri Light" w:cs="Calibri Light"/>
                <w:color w:val="000000"/>
                <w:sz w:val="20"/>
                <w:szCs w:val="20"/>
                <w:lang w:eastAsia="en-GB"/>
              </w:rPr>
              <w:t>collected</w:t>
            </w:r>
            <w:r w:rsidR="00FE6A59" w:rsidRPr="00A33AE8">
              <w:rPr>
                <w:rFonts w:ascii="Calibri Light" w:eastAsia="Times New Roman" w:hAnsi="Calibri Light" w:cs="Calibri Light"/>
                <w:color w:val="000000"/>
                <w:sz w:val="20"/>
                <w:szCs w:val="20"/>
                <w:lang w:eastAsia="en-GB"/>
              </w:rPr>
              <w:t xml:space="preserve"> residual biomass. </w:t>
            </w:r>
            <w:bookmarkEnd w:id="151"/>
            <w:r w:rsidRPr="00A33AE8">
              <w:rPr>
                <w:rFonts w:ascii="Calibri Light" w:eastAsia="Times New Roman" w:hAnsi="Calibri Light" w:cs="Calibri Light"/>
                <w:color w:val="000000"/>
                <w:sz w:val="20"/>
                <w:szCs w:val="20"/>
                <w:lang w:eastAsia="en-GB"/>
              </w:rPr>
              <w:t>Moreover, the potential imposition for collecting the biomass in the form of gate-fee levy will be examined in order to increase the quantities of biomass, which will be utilized for energy production.</w:t>
            </w:r>
            <w:r w:rsidR="00372823" w:rsidRPr="00A33AE8">
              <w:rPr>
                <w:rFonts w:ascii="Calibri Light" w:eastAsia="Times New Roman" w:hAnsi="Calibri Light" w:cs="Calibri Light"/>
                <w:color w:val="000000"/>
                <w:sz w:val="20"/>
                <w:szCs w:val="20"/>
                <w:lang w:eastAsia="en-GB"/>
              </w:rPr>
              <w:t xml:space="preserve"> In any case, the compliant biofuels, bioliquids and biomass fuels with the sustainability and greenhouse gas emissions saving criteria will be supported, as foreseen by the Directive 2018/2001/ΕU.</w:t>
            </w:r>
          </w:p>
        </w:tc>
      </w:tr>
      <w:tr w:rsidR="00681089" w:rsidRPr="00A33AE8" w14:paraId="0BA17933"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6DA822A0"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6454CD5" w14:textId="77777777" w:rsidR="00681089"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681089" w:rsidRPr="00A33AE8">
              <w:rPr>
                <w:rFonts w:ascii="Calibri Light" w:eastAsia="Times New Roman" w:hAnsi="Calibri Light" w:cs="Calibri Light"/>
                <w:color w:val="000000"/>
                <w:sz w:val="20"/>
                <w:szCs w:val="20"/>
                <w:lang w:eastAsia="en-GB"/>
              </w:rPr>
              <w:t>-2030</w:t>
            </w:r>
          </w:p>
        </w:tc>
      </w:tr>
      <w:tr w:rsidR="00681089" w:rsidRPr="00A33AE8" w14:paraId="04D42295"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CB349A2"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51C96DC" w14:textId="77777777" w:rsidR="00681089" w:rsidRPr="00A33AE8" w:rsidRDefault="000D74C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681089" w:rsidRPr="00A33AE8" w14:paraId="699B3823"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93F6B7E"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10BB7E8" w14:textId="77777777" w:rsidR="00681089" w:rsidRPr="00A33AE8" w:rsidRDefault="006810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681089" w:rsidRPr="00A33AE8" w14:paraId="15D7FBFB"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2C59679"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12A47D1" w14:textId="29C8A710" w:rsidR="00372823" w:rsidRPr="00A33AE8" w:rsidRDefault="00372823"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7E120F0A" w14:textId="77777777" w:rsidR="00681089" w:rsidRPr="000007D2" w:rsidRDefault="00372823"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Agriculture, Forestry and Water Economy</w:t>
            </w:r>
          </w:p>
        </w:tc>
      </w:tr>
      <w:tr w:rsidR="00681089" w:rsidRPr="00A33AE8" w14:paraId="2822CC69"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19EA7DB7"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53E58B6E" w14:textId="77777777" w:rsidR="00681089" w:rsidRPr="00A33AE8" w:rsidRDefault="00D35E20"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D35E20">
              <w:rPr>
                <w:rFonts w:ascii="Calibri Light" w:eastAsia="Times New Roman" w:hAnsi="Calibri Light" w:cs="Calibri Light"/>
                <w:color w:val="000000"/>
                <w:sz w:val="20"/>
                <w:szCs w:val="20"/>
                <w:lang w:eastAsia="en-GB"/>
              </w:rPr>
              <w:t>Government of the Republic of Serbia</w:t>
            </w:r>
            <w:r w:rsidR="00681089" w:rsidRPr="00A33AE8">
              <w:rPr>
                <w:rFonts w:ascii="Calibri Light" w:eastAsia="Times New Roman" w:hAnsi="Calibri Light" w:cs="Calibri Light"/>
                <w:color w:val="000000"/>
                <w:sz w:val="20"/>
                <w:szCs w:val="20"/>
                <w:lang w:eastAsia="en-GB"/>
              </w:rPr>
              <w:t> </w:t>
            </w:r>
          </w:p>
        </w:tc>
      </w:tr>
      <w:tr w:rsidR="00681089" w:rsidRPr="00A33AE8" w14:paraId="64AF74E4"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5A089CA1"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76DA714" w14:textId="77777777" w:rsidR="00681089" w:rsidRPr="00A33AE8" w:rsidRDefault="00DE05AD"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Promoted biofuels, bioliquids and biomass</w:t>
            </w:r>
            <w:r w:rsidR="00681089" w:rsidRPr="00A33AE8">
              <w:rPr>
                <w:rFonts w:ascii="Calibri Light" w:eastAsia="Times New Roman" w:hAnsi="Calibri Light" w:cs="Calibri Light"/>
                <w:color w:val="000000"/>
                <w:sz w:val="20"/>
                <w:szCs w:val="20"/>
                <w:lang w:eastAsia="en-GB"/>
              </w:rPr>
              <w:t> </w:t>
            </w:r>
          </w:p>
        </w:tc>
      </w:tr>
      <w:tr w:rsidR="006C6A30" w:rsidRPr="00A33AE8" w14:paraId="491B3DD6" w14:textId="77777777" w:rsidTr="006769DA">
        <w:trPr>
          <w:gridAfter w:val="1"/>
          <w:wAfter w:w="222" w:type="dxa"/>
          <w:trHeight w:val="411"/>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A244BBC"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tcPr>
          <w:p w14:paraId="1D7A3D45" w14:textId="77777777" w:rsidR="00D35E20" w:rsidRDefault="00D35E20"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D35E20">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758D4EF7" w14:textId="77777777" w:rsidR="006C6A30" w:rsidRPr="00D35E20" w:rsidRDefault="00D35E20"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D35E20">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681089" w:rsidRPr="00A33AE8" w14:paraId="212C393C" w14:textId="77777777" w:rsidTr="006769DA">
        <w:trPr>
          <w:gridAfter w:val="1"/>
          <w:wAfter w:w="222" w:type="dxa"/>
          <w:trHeight w:val="450"/>
        </w:trPr>
        <w:tc>
          <w:tcPr>
            <w:tcW w:w="332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52007FF"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DF7F87"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681089" w:rsidRPr="00A33AE8" w14:paraId="147900DA" w14:textId="77777777" w:rsidTr="006769DA">
        <w:trPr>
          <w:trHeight w:val="300"/>
        </w:trPr>
        <w:tc>
          <w:tcPr>
            <w:tcW w:w="3328" w:type="dxa"/>
            <w:vMerge/>
            <w:tcBorders>
              <w:top w:val="nil"/>
              <w:left w:val="single" w:sz="8" w:space="0" w:color="auto"/>
              <w:bottom w:val="single" w:sz="8" w:space="0" w:color="000000"/>
              <w:right w:val="single" w:sz="8" w:space="0" w:color="auto"/>
            </w:tcBorders>
            <w:vAlign w:val="center"/>
            <w:hideMark/>
          </w:tcPr>
          <w:p w14:paraId="389C6872"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635FB959"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A5686A9" w14:textId="77777777" w:rsidR="00681089" w:rsidRPr="00A33AE8" w:rsidRDefault="00681089" w:rsidP="006769DA">
            <w:pPr>
              <w:spacing w:after="0" w:line="240" w:lineRule="auto"/>
              <w:rPr>
                <w:rFonts w:ascii="Calibri Light" w:eastAsia="Times New Roman" w:hAnsi="Calibri Light" w:cs="Calibri Light"/>
                <w:color w:val="000000"/>
                <w:sz w:val="20"/>
                <w:szCs w:val="20"/>
                <w:lang w:eastAsia="en-GB"/>
              </w:rPr>
            </w:pPr>
          </w:p>
        </w:tc>
      </w:tr>
      <w:tr w:rsidR="00681089" w:rsidRPr="00A33AE8" w14:paraId="1C1ACD6C" w14:textId="77777777" w:rsidTr="006769DA">
        <w:trPr>
          <w:trHeight w:val="54"/>
        </w:trPr>
        <w:tc>
          <w:tcPr>
            <w:tcW w:w="3328" w:type="dxa"/>
            <w:vMerge/>
            <w:tcBorders>
              <w:top w:val="nil"/>
              <w:left w:val="single" w:sz="8" w:space="0" w:color="auto"/>
              <w:bottom w:val="single" w:sz="8" w:space="0" w:color="000000"/>
              <w:right w:val="single" w:sz="8" w:space="0" w:color="auto"/>
            </w:tcBorders>
            <w:vAlign w:val="center"/>
            <w:hideMark/>
          </w:tcPr>
          <w:p w14:paraId="01225D8D"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1E6BA019"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1E9A990" w14:textId="77777777" w:rsidR="00681089" w:rsidRPr="00A33AE8" w:rsidRDefault="00681089" w:rsidP="006769DA">
            <w:pPr>
              <w:spacing w:after="0" w:line="240" w:lineRule="auto"/>
              <w:rPr>
                <w:rFonts w:ascii="Times New Roman" w:eastAsia="Times New Roman" w:hAnsi="Times New Roman" w:cs="Times New Roman"/>
                <w:sz w:val="20"/>
                <w:szCs w:val="20"/>
                <w:lang w:eastAsia="en-GB"/>
              </w:rPr>
            </w:pPr>
          </w:p>
        </w:tc>
      </w:tr>
      <w:tr w:rsidR="00681089" w:rsidRPr="00A33AE8" w14:paraId="028076C0" w14:textId="77777777" w:rsidTr="006769DA">
        <w:trPr>
          <w:trHeight w:val="482"/>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B476ABC"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0DD67CDD" w14:textId="77777777" w:rsidR="00681089" w:rsidRPr="00A33AE8" w:rsidRDefault="00681089" w:rsidP="008E270C">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7880DBE2" w14:textId="77777777" w:rsidR="00681089" w:rsidRPr="00A33AE8" w:rsidRDefault="00681089" w:rsidP="006769DA">
            <w:pPr>
              <w:spacing w:after="0" w:line="240" w:lineRule="auto"/>
              <w:rPr>
                <w:rFonts w:ascii="Times New Roman" w:eastAsia="Times New Roman" w:hAnsi="Times New Roman" w:cs="Times New Roman"/>
                <w:sz w:val="20"/>
                <w:szCs w:val="20"/>
                <w:lang w:eastAsia="en-GB"/>
              </w:rPr>
            </w:pPr>
          </w:p>
        </w:tc>
      </w:tr>
      <w:tr w:rsidR="0077186F" w:rsidRPr="00A33AE8" w14:paraId="41D0B685"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15584ACA" w14:textId="77777777" w:rsidR="0077186F" w:rsidRPr="00A33AE8" w:rsidRDefault="0077186F" w:rsidP="0077186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0"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7739F336" w14:textId="77777777" w:rsidR="0077186F" w:rsidRPr="00A33AE8" w:rsidRDefault="0077186F" w:rsidP="0077186F">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w:t>
            </w:r>
            <w:r w:rsidR="00372823" w:rsidRPr="00A33AE8">
              <w:rPr>
                <w:rFonts w:ascii="Calibri Light" w:eastAsia="Times New Roman" w:hAnsi="Calibri Light" w:cs="Calibri Light"/>
                <w:color w:val="000000"/>
                <w:sz w:val="20"/>
                <w:szCs w:val="20"/>
                <w:lang w:eastAsia="en-GB"/>
              </w:rPr>
              <w:t xml:space="preserve">D29 </w:t>
            </w:r>
            <w:r w:rsidRPr="00A33AE8">
              <w:rPr>
                <w:rFonts w:ascii="Calibri Light" w:eastAsia="Times New Roman" w:hAnsi="Calibri Light" w:cs="Calibri Light"/>
                <w:color w:val="000000"/>
                <w:sz w:val="20"/>
                <w:szCs w:val="20"/>
                <w:lang w:eastAsia="en-GB"/>
              </w:rPr>
              <w:t>and PM_D3</w:t>
            </w:r>
            <w:r w:rsidR="00372823" w:rsidRPr="00A33AE8">
              <w:rPr>
                <w:rFonts w:ascii="Calibri Light" w:eastAsia="Times New Roman" w:hAnsi="Calibri Light" w:cs="Calibri Light"/>
                <w:color w:val="000000"/>
                <w:sz w:val="20"/>
                <w:szCs w:val="20"/>
                <w:lang w:eastAsia="en-GB"/>
              </w:rPr>
              <w:t>3</w:t>
            </w:r>
          </w:p>
        </w:tc>
        <w:tc>
          <w:tcPr>
            <w:tcW w:w="222" w:type="dxa"/>
            <w:vAlign w:val="center"/>
            <w:hideMark/>
          </w:tcPr>
          <w:p w14:paraId="05344892" w14:textId="77777777" w:rsidR="0077186F" w:rsidRPr="00A33AE8" w:rsidRDefault="0077186F" w:rsidP="0077186F">
            <w:pPr>
              <w:spacing w:after="0" w:line="240" w:lineRule="auto"/>
              <w:rPr>
                <w:rFonts w:ascii="Calibri Light" w:eastAsia="Times New Roman" w:hAnsi="Calibri Light" w:cs="Calibri Light"/>
                <w:color w:val="000000"/>
                <w:sz w:val="20"/>
                <w:szCs w:val="20"/>
                <w:lang w:eastAsia="en-GB"/>
              </w:rPr>
            </w:pPr>
          </w:p>
        </w:tc>
      </w:tr>
      <w:tr w:rsidR="0077186F" w:rsidRPr="00A33AE8" w14:paraId="77D6E4D0"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7EF6EFF8" w14:textId="77777777" w:rsidR="0077186F" w:rsidRPr="00A33AE8" w:rsidRDefault="0077186F" w:rsidP="0077186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0" w:type="dxa"/>
            <w:gridSpan w:val="3"/>
            <w:tcBorders>
              <w:top w:val="single" w:sz="4" w:space="0" w:color="auto"/>
              <w:left w:val="single" w:sz="4" w:space="0" w:color="auto"/>
              <w:bottom w:val="single" w:sz="4" w:space="0" w:color="000000"/>
              <w:right w:val="single" w:sz="4" w:space="0" w:color="000000"/>
            </w:tcBorders>
            <w:vAlign w:val="center"/>
            <w:hideMark/>
          </w:tcPr>
          <w:p w14:paraId="6260ED42" w14:textId="77777777" w:rsidR="0077186F" w:rsidRPr="00A33AE8" w:rsidRDefault="0077186F" w:rsidP="0077186F">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3B7AFA08" w14:textId="77777777" w:rsidR="0077186F" w:rsidRPr="00A33AE8" w:rsidRDefault="0077186F" w:rsidP="0077186F">
            <w:pPr>
              <w:spacing w:after="0" w:line="240" w:lineRule="auto"/>
              <w:rPr>
                <w:rFonts w:ascii="Times New Roman" w:eastAsia="Times New Roman" w:hAnsi="Times New Roman" w:cs="Times New Roman"/>
                <w:sz w:val="20"/>
                <w:szCs w:val="20"/>
                <w:lang w:eastAsia="en-GB"/>
              </w:rPr>
            </w:pPr>
          </w:p>
        </w:tc>
      </w:tr>
    </w:tbl>
    <w:p w14:paraId="0A14EC96" w14:textId="77777777" w:rsidR="00681089" w:rsidRPr="00A33AE8" w:rsidRDefault="00681089" w:rsidP="00681089">
      <w:pPr>
        <w:pStyle w:val="LDKbody"/>
        <w:rPr>
          <w:lang w:val="en-GB"/>
        </w:rPr>
      </w:pPr>
    </w:p>
    <w:tbl>
      <w:tblPr>
        <w:tblW w:w="9680" w:type="dxa"/>
        <w:tblLook w:val="04A0" w:firstRow="1" w:lastRow="0" w:firstColumn="1" w:lastColumn="0" w:noHBand="0" w:noVBand="1"/>
      </w:tblPr>
      <w:tblGrid>
        <w:gridCol w:w="3329"/>
        <w:gridCol w:w="945"/>
        <w:gridCol w:w="946"/>
        <w:gridCol w:w="4238"/>
        <w:gridCol w:w="222"/>
      </w:tblGrid>
      <w:tr w:rsidR="00681089" w:rsidRPr="00A33AE8" w14:paraId="5A369CC7" w14:textId="77777777" w:rsidTr="006769DA">
        <w:trPr>
          <w:gridAfter w:val="1"/>
          <w:wAfter w:w="222" w:type="dxa"/>
          <w:trHeight w:val="780"/>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FC4F50E" w14:textId="77777777" w:rsidR="00681089" w:rsidRPr="00A33AE8" w:rsidRDefault="00681089"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45" w:type="dxa"/>
            <w:tcBorders>
              <w:top w:val="single" w:sz="8" w:space="0" w:color="auto"/>
              <w:left w:val="nil"/>
              <w:bottom w:val="single" w:sz="8" w:space="0" w:color="auto"/>
              <w:right w:val="single" w:sz="8" w:space="0" w:color="auto"/>
            </w:tcBorders>
            <w:shd w:val="clear" w:color="auto" w:fill="E7E6E6" w:themeFill="background2"/>
            <w:vAlign w:val="center"/>
            <w:hideMark/>
          </w:tcPr>
          <w:p w14:paraId="21FA0DA1" w14:textId="77777777" w:rsidR="00681089" w:rsidRPr="00A33AE8" w:rsidRDefault="0068108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0E119D" w:rsidRPr="00A33AE8">
              <w:rPr>
                <w:rFonts w:ascii="Calibri Light" w:eastAsia="Times New Roman" w:hAnsi="Calibri Light" w:cs="Calibri Light"/>
                <w:b/>
                <w:bCs/>
                <w:color w:val="000000"/>
                <w:sz w:val="20"/>
                <w:szCs w:val="20"/>
                <w:lang w:eastAsia="en-GB"/>
              </w:rPr>
              <w:t>D41</w:t>
            </w:r>
          </w:p>
        </w:tc>
        <w:tc>
          <w:tcPr>
            <w:tcW w:w="946" w:type="dxa"/>
            <w:tcBorders>
              <w:top w:val="single" w:sz="8" w:space="0" w:color="auto"/>
              <w:left w:val="nil"/>
              <w:bottom w:val="single" w:sz="8" w:space="0" w:color="auto"/>
              <w:right w:val="single" w:sz="8" w:space="0" w:color="auto"/>
            </w:tcBorders>
            <w:shd w:val="clear" w:color="000000" w:fill="244062"/>
            <w:vAlign w:val="center"/>
            <w:hideMark/>
          </w:tcPr>
          <w:p w14:paraId="10E9906A"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8" w:type="dxa"/>
            <w:tcBorders>
              <w:top w:val="single" w:sz="8" w:space="0" w:color="auto"/>
              <w:left w:val="nil"/>
              <w:bottom w:val="single" w:sz="8" w:space="0" w:color="auto"/>
              <w:right w:val="single" w:sz="8" w:space="0" w:color="auto"/>
            </w:tcBorders>
            <w:shd w:val="clear" w:color="auto" w:fill="E7E6E6" w:themeFill="background2"/>
            <w:vAlign w:val="center"/>
            <w:hideMark/>
          </w:tcPr>
          <w:p w14:paraId="6B55EB73" w14:textId="77777777" w:rsidR="00681089" w:rsidRPr="00A33AE8" w:rsidRDefault="0068108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Specification of the sustainability and greenhouse gas emissions saving criteria for biofuels, bioliquids and biomass fuels including the required monitoring and verification activities</w:t>
            </w:r>
          </w:p>
        </w:tc>
      </w:tr>
      <w:tr w:rsidR="00681089" w:rsidRPr="00A33AE8" w14:paraId="00A1496A" w14:textId="77777777" w:rsidTr="006769DA">
        <w:trPr>
          <w:gridAfter w:val="1"/>
          <w:wAfter w:w="222" w:type="dxa"/>
          <w:trHeight w:val="441"/>
        </w:trPr>
        <w:tc>
          <w:tcPr>
            <w:tcW w:w="3329" w:type="dxa"/>
            <w:tcBorders>
              <w:top w:val="nil"/>
              <w:left w:val="single" w:sz="8" w:space="0" w:color="auto"/>
              <w:bottom w:val="single" w:sz="8" w:space="0" w:color="auto"/>
              <w:right w:val="nil"/>
            </w:tcBorders>
            <w:shd w:val="clear" w:color="000000" w:fill="244062"/>
            <w:vAlign w:val="center"/>
            <w:hideMark/>
          </w:tcPr>
          <w:p w14:paraId="7C295DD3"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A015832" w14:textId="77777777" w:rsidR="00681089" w:rsidRPr="00A33AE8" w:rsidRDefault="00681089" w:rsidP="002A0D9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Increase share of RES in electricity, increase share of RES in heating and cooling and increase share of RES in transport</w:t>
            </w:r>
          </w:p>
        </w:tc>
      </w:tr>
      <w:tr w:rsidR="00681089" w:rsidRPr="00A33AE8" w14:paraId="3A6C0D3E"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68A136A"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A17B448" w14:textId="77777777" w:rsidR="00681089" w:rsidRPr="00A33AE8" w:rsidRDefault="006810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Contribution to the </w:t>
            </w:r>
            <w:r w:rsidR="000E119D" w:rsidRPr="00A33AE8">
              <w:rPr>
                <w:rFonts w:ascii="Calibri Light" w:eastAsia="Times New Roman" w:hAnsi="Calibri Light" w:cs="Calibri Light"/>
                <w:color w:val="000000"/>
                <w:sz w:val="20"/>
                <w:szCs w:val="20"/>
                <w:lang w:eastAsia="en-GB"/>
              </w:rPr>
              <w:t>expected penetration of biofuels, bioliquids and biomass</w:t>
            </w:r>
          </w:p>
        </w:tc>
      </w:tr>
      <w:tr w:rsidR="00681089" w:rsidRPr="00A33AE8" w14:paraId="529389C6" w14:textId="77777777" w:rsidTr="006769DA">
        <w:trPr>
          <w:gridAfter w:val="1"/>
          <w:wAfter w:w="222" w:type="dxa"/>
          <w:trHeight w:val="1279"/>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E44CA41"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0100B70" w14:textId="77777777" w:rsidR="00681089" w:rsidRPr="00A33AE8" w:rsidRDefault="00681089"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0E119D" w:rsidRPr="00A33AE8">
              <w:rPr>
                <w:rFonts w:ascii="Calibri Light" w:eastAsia="Times New Roman" w:hAnsi="Calibri Light" w:cs="Calibri Light"/>
                <w:color w:val="000000"/>
                <w:sz w:val="20"/>
                <w:szCs w:val="20"/>
                <w:lang w:eastAsia="en-GB"/>
              </w:rPr>
              <w:t xml:space="preserve">D41 </w:t>
            </w:r>
            <w:r w:rsidRPr="00A33AE8">
              <w:rPr>
                <w:rFonts w:ascii="Calibri Light" w:eastAsia="Times New Roman" w:hAnsi="Calibri Light" w:cs="Calibri Light"/>
                <w:color w:val="000000"/>
                <w:sz w:val="20"/>
                <w:szCs w:val="20"/>
                <w:lang w:eastAsia="en-GB"/>
              </w:rPr>
              <w:t xml:space="preserve">will develop a holistic framework for fulfilling the sustainability and greenhouse gas emissions saving criteria for the different types of biomass according to the provision of the Directive 2018/2001/EU. Moreover, a monitoring, control and verification mechanism will be established ensuring and justifying the fulfilment with the defined criteria. </w:t>
            </w:r>
          </w:p>
        </w:tc>
      </w:tr>
      <w:tr w:rsidR="00681089" w:rsidRPr="00A33AE8" w14:paraId="2A068AF6"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11952B7"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386EB88" w14:textId="77777777" w:rsidR="00681089" w:rsidRPr="00A33AE8" w:rsidRDefault="00DF6E9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p>
        </w:tc>
      </w:tr>
      <w:tr w:rsidR="00681089" w:rsidRPr="00A33AE8" w14:paraId="2E01D6BD"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80DDA67"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68095DC" w14:textId="77777777" w:rsidR="00681089" w:rsidRPr="00A33AE8" w:rsidRDefault="00D17B3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681089" w:rsidRPr="00A33AE8" w14:paraId="2B1B2593"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797E4E2"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9346BDF" w14:textId="77777777" w:rsidR="00681089" w:rsidRPr="00A33AE8" w:rsidRDefault="006810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 Heating and cooling, Transport</w:t>
            </w:r>
          </w:p>
        </w:tc>
      </w:tr>
      <w:tr w:rsidR="00681089" w:rsidRPr="00A33AE8" w14:paraId="72407385"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B7D50E4"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1952886" w14:textId="77777777" w:rsidR="00681089" w:rsidRPr="00A33AE8" w:rsidRDefault="00473071"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681089" w:rsidRPr="00A33AE8" w14:paraId="55BFABD4"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2D9CA32A"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D2C40D2" w14:textId="77777777" w:rsidR="00681089" w:rsidRPr="00A33AE8" w:rsidRDefault="00334CD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334CD9">
              <w:rPr>
                <w:rFonts w:ascii="Calibri Light" w:eastAsia="Times New Roman" w:hAnsi="Calibri Light" w:cs="Calibri Light"/>
                <w:color w:val="000000"/>
                <w:sz w:val="20"/>
                <w:szCs w:val="20"/>
                <w:lang w:eastAsia="en-GB"/>
              </w:rPr>
              <w:t>Government of the Republic of Serbia </w:t>
            </w:r>
          </w:p>
        </w:tc>
      </w:tr>
      <w:tr w:rsidR="00681089" w:rsidRPr="00A33AE8" w14:paraId="72142792"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352FC174"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41D4607" w14:textId="77777777" w:rsidR="00681089" w:rsidRPr="00A33AE8" w:rsidRDefault="006F4556"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legislative and regulatory framework</w:t>
            </w:r>
          </w:p>
        </w:tc>
      </w:tr>
      <w:tr w:rsidR="006C6A30" w:rsidRPr="00A33AE8" w14:paraId="62698A0B" w14:textId="77777777" w:rsidTr="006769DA">
        <w:trPr>
          <w:gridAfter w:val="1"/>
          <w:wAfter w:w="222" w:type="dxa"/>
          <w:trHeight w:val="362"/>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A3F129D"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tcPr>
          <w:p w14:paraId="30B9CD34" w14:textId="77777777" w:rsidR="00334CD9" w:rsidRDefault="00334CD9"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334CD9">
              <w:rPr>
                <w:rFonts w:ascii="Calibri Light" w:eastAsia="Times New Roman" w:hAnsi="Calibri Light" w:cs="Calibri Light"/>
                <w:color w:val="000000"/>
                <w:sz w:val="20"/>
                <w:szCs w:val="20"/>
                <w:lang w:eastAsia="en-GB"/>
              </w:rPr>
              <w:t>Energy efficiency (the promoted RES technologies will deliver also primary energy savings contributing to the achievement of the relevant targets)</w:t>
            </w:r>
          </w:p>
          <w:p w14:paraId="63021842" w14:textId="77777777" w:rsidR="006C6A30" w:rsidRPr="00334CD9" w:rsidRDefault="00334CD9" w:rsidP="00884F3B">
            <w:pPr>
              <w:numPr>
                <w:ilvl w:val="0"/>
                <w:numId w:val="121"/>
              </w:numPr>
              <w:spacing w:after="0" w:line="240" w:lineRule="auto"/>
              <w:rPr>
                <w:rFonts w:ascii="Calibri Light" w:eastAsia="Times New Roman" w:hAnsi="Calibri Light" w:cs="Calibri Light"/>
                <w:color w:val="000000"/>
                <w:sz w:val="20"/>
                <w:szCs w:val="20"/>
                <w:lang w:eastAsia="en-GB"/>
              </w:rPr>
            </w:pPr>
            <w:r w:rsidRPr="00334CD9">
              <w:rPr>
                <w:rFonts w:ascii="Calibri Light" w:eastAsia="Times New Roman" w:hAnsi="Calibri Light" w:cs="Calibri Light"/>
                <w:color w:val="000000"/>
                <w:sz w:val="20"/>
                <w:szCs w:val="20"/>
                <w:lang w:eastAsia="en-GB"/>
              </w:rPr>
              <w:t>Energy security (the penetration of RES technologies will reduce the energy import dependency from third countries and increase the deployment of domestic energy sources)</w:t>
            </w:r>
          </w:p>
        </w:tc>
      </w:tr>
      <w:tr w:rsidR="00681089" w:rsidRPr="00A33AE8" w14:paraId="0807676F" w14:textId="77777777" w:rsidTr="006769D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5E1C1AF"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0D00973"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681089" w:rsidRPr="00A33AE8" w14:paraId="03FAB7DE" w14:textId="77777777" w:rsidTr="006769D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1F17BAF5"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6C6C143B"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951035D" w14:textId="77777777" w:rsidR="00681089" w:rsidRPr="00A33AE8" w:rsidRDefault="00681089" w:rsidP="006769DA">
            <w:pPr>
              <w:spacing w:after="0" w:line="240" w:lineRule="auto"/>
              <w:rPr>
                <w:rFonts w:ascii="Calibri Light" w:eastAsia="Times New Roman" w:hAnsi="Calibri Light" w:cs="Calibri Light"/>
                <w:color w:val="000000"/>
                <w:sz w:val="20"/>
                <w:szCs w:val="20"/>
                <w:lang w:eastAsia="en-GB"/>
              </w:rPr>
            </w:pPr>
          </w:p>
        </w:tc>
      </w:tr>
      <w:tr w:rsidR="00681089" w:rsidRPr="00A33AE8" w14:paraId="1EBC6897" w14:textId="77777777" w:rsidTr="006769DA">
        <w:trPr>
          <w:trHeight w:val="54"/>
        </w:trPr>
        <w:tc>
          <w:tcPr>
            <w:tcW w:w="3329" w:type="dxa"/>
            <w:vMerge/>
            <w:tcBorders>
              <w:top w:val="nil"/>
              <w:left w:val="single" w:sz="8" w:space="0" w:color="auto"/>
              <w:bottom w:val="single" w:sz="8" w:space="0" w:color="000000"/>
              <w:right w:val="single" w:sz="8" w:space="0" w:color="auto"/>
            </w:tcBorders>
            <w:vAlign w:val="center"/>
            <w:hideMark/>
          </w:tcPr>
          <w:p w14:paraId="446C7226"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0F6405FB"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B46306C" w14:textId="77777777" w:rsidR="00681089" w:rsidRPr="00A33AE8" w:rsidRDefault="00681089" w:rsidP="006769DA">
            <w:pPr>
              <w:spacing w:after="0" w:line="240" w:lineRule="auto"/>
              <w:rPr>
                <w:rFonts w:ascii="Times New Roman" w:eastAsia="Times New Roman" w:hAnsi="Times New Roman" w:cs="Times New Roman"/>
                <w:sz w:val="20"/>
                <w:szCs w:val="20"/>
                <w:lang w:eastAsia="en-GB"/>
              </w:rPr>
            </w:pPr>
          </w:p>
        </w:tc>
      </w:tr>
      <w:tr w:rsidR="00681089" w:rsidRPr="00A33AE8" w14:paraId="4E90B708" w14:textId="77777777" w:rsidTr="006769DA">
        <w:trPr>
          <w:trHeight w:val="269"/>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D053C07"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CDCA3D9" w14:textId="77777777" w:rsidR="00681089" w:rsidRPr="00A33AE8" w:rsidRDefault="00681089" w:rsidP="00884F3B">
            <w:pPr>
              <w:pStyle w:val="ListParagraph"/>
              <w:numPr>
                <w:ilvl w:val="0"/>
                <w:numId w:val="1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Law on the use of renewable energy sources </w:t>
            </w:r>
          </w:p>
        </w:tc>
        <w:tc>
          <w:tcPr>
            <w:tcW w:w="222" w:type="dxa"/>
            <w:vAlign w:val="center"/>
            <w:hideMark/>
          </w:tcPr>
          <w:p w14:paraId="0786845E" w14:textId="77777777" w:rsidR="00681089" w:rsidRPr="00A33AE8" w:rsidRDefault="00681089" w:rsidP="006769DA">
            <w:pPr>
              <w:spacing w:after="0" w:line="240" w:lineRule="auto"/>
              <w:rPr>
                <w:rFonts w:ascii="Times New Roman" w:eastAsia="Times New Roman" w:hAnsi="Times New Roman" w:cs="Times New Roman"/>
                <w:sz w:val="20"/>
                <w:szCs w:val="20"/>
                <w:lang w:eastAsia="en-GB"/>
              </w:rPr>
            </w:pPr>
          </w:p>
        </w:tc>
      </w:tr>
      <w:tr w:rsidR="00681089" w:rsidRPr="00A33AE8" w14:paraId="3D8075DA"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0CA802E" w14:textId="77777777" w:rsidR="00681089" w:rsidRPr="00A33AE8" w:rsidRDefault="00681089"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14:paraId="13A42920" w14:textId="77777777" w:rsidR="00681089" w:rsidRPr="00A33AE8" w:rsidRDefault="00D17B3C"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0.2 M€</w:t>
            </w:r>
          </w:p>
        </w:tc>
        <w:tc>
          <w:tcPr>
            <w:tcW w:w="222" w:type="dxa"/>
            <w:vAlign w:val="center"/>
            <w:hideMark/>
          </w:tcPr>
          <w:p w14:paraId="1BCA5DE2" w14:textId="77777777" w:rsidR="00681089" w:rsidRPr="00A33AE8" w:rsidRDefault="00681089" w:rsidP="006769DA">
            <w:pPr>
              <w:spacing w:after="0" w:line="240" w:lineRule="auto"/>
              <w:rPr>
                <w:rFonts w:ascii="Times New Roman" w:eastAsia="Times New Roman" w:hAnsi="Times New Roman" w:cs="Times New Roman"/>
                <w:sz w:val="20"/>
                <w:szCs w:val="20"/>
                <w:lang w:eastAsia="en-GB"/>
              </w:rPr>
            </w:pPr>
          </w:p>
        </w:tc>
      </w:tr>
      <w:tr w:rsidR="00611A12" w:rsidRPr="00A33AE8" w14:paraId="63C207D7"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436025E" w14:textId="77777777" w:rsidR="00611A12" w:rsidRPr="00A33AE8" w:rsidRDefault="00611A12" w:rsidP="00611A1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7057F48" w14:textId="77777777" w:rsidR="00611A12" w:rsidRPr="00A33AE8" w:rsidRDefault="00611A12" w:rsidP="00611A1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18F0AA4D" w14:textId="77777777" w:rsidR="00611A12" w:rsidRPr="00A33AE8" w:rsidRDefault="00611A12" w:rsidP="00611A12">
            <w:pPr>
              <w:spacing w:after="0" w:line="240" w:lineRule="auto"/>
              <w:rPr>
                <w:rFonts w:ascii="Times New Roman" w:eastAsia="Times New Roman" w:hAnsi="Times New Roman" w:cs="Times New Roman"/>
                <w:sz w:val="20"/>
                <w:szCs w:val="20"/>
                <w:lang w:eastAsia="en-GB"/>
              </w:rPr>
            </w:pPr>
          </w:p>
        </w:tc>
      </w:tr>
    </w:tbl>
    <w:p w14:paraId="25B3A1F7" w14:textId="77777777" w:rsidR="00681089" w:rsidRPr="00A33AE8" w:rsidRDefault="00681089" w:rsidP="0081343F">
      <w:pPr>
        <w:pStyle w:val="LDKbody"/>
        <w:rPr>
          <w:lang w:val="en-GB"/>
        </w:rPr>
      </w:pPr>
    </w:p>
    <w:p w14:paraId="775958EB" w14:textId="77777777" w:rsidR="009F0D37" w:rsidRPr="00A33AE8" w:rsidRDefault="009F0D37" w:rsidP="0081343F">
      <w:pPr>
        <w:pStyle w:val="LDKbody"/>
        <w:rPr>
          <w:lang w:val="en-GB"/>
        </w:rPr>
      </w:pPr>
    </w:p>
    <w:p w14:paraId="39B5278F" w14:textId="77777777" w:rsidR="0003208F" w:rsidRPr="00A33AE8" w:rsidRDefault="0003208F" w:rsidP="0003208F">
      <w:pPr>
        <w:pStyle w:val="LDKbody"/>
        <w:rPr>
          <w:rFonts w:asciiTheme="majorHAnsi" w:hAnsiTheme="majorHAnsi" w:cstheme="majorHAnsi"/>
          <w:lang w:val="en-GB"/>
        </w:rPr>
      </w:pPr>
      <w:r w:rsidRPr="00A33AE8">
        <w:rPr>
          <w:rFonts w:asciiTheme="majorHAnsi" w:hAnsiTheme="majorHAnsi" w:cstheme="majorHAnsi"/>
          <w:lang w:val="en-GB"/>
        </w:rPr>
        <w:t>Except the measures presented in the previous tables, the following measures related to the other dimensions also affect the decarbonisation dimension and contribute to the achievement of the decarbonisation targets:</w:t>
      </w:r>
    </w:p>
    <w:p w14:paraId="75BB59E9" w14:textId="77777777" w:rsidR="0003208F" w:rsidRPr="00A33AE8" w:rsidRDefault="0003208F" w:rsidP="0003208F">
      <w:pPr>
        <w:pStyle w:val="LDKBullets-main"/>
        <w:rPr>
          <w:rFonts w:asciiTheme="majorHAnsi" w:hAnsiTheme="majorHAnsi" w:cstheme="majorHAnsi"/>
        </w:rPr>
      </w:pPr>
      <w:r w:rsidRPr="00A33AE8">
        <w:rPr>
          <w:rFonts w:asciiTheme="majorHAnsi" w:hAnsiTheme="majorHAnsi" w:cstheme="majorHAnsi"/>
        </w:rPr>
        <w:lastRenderedPageBreak/>
        <w:t xml:space="preserve">Dimension energy efficiency: </w:t>
      </w:r>
      <w:r w:rsidRPr="00A33AE8">
        <w:rPr>
          <w:rFonts w:asciiTheme="majorHAnsi" w:hAnsiTheme="majorHAnsi" w:cstheme="majorHAnsi"/>
          <w:b/>
          <w:bCs/>
        </w:rPr>
        <w:t>PM_EE1– PM_</w:t>
      </w:r>
      <w:r w:rsidR="001E3899" w:rsidRPr="00A33AE8">
        <w:rPr>
          <w:rFonts w:asciiTheme="majorHAnsi" w:hAnsiTheme="majorHAnsi" w:cstheme="majorHAnsi"/>
          <w:b/>
          <w:bCs/>
        </w:rPr>
        <w:t>EE4</w:t>
      </w:r>
      <w:r w:rsidR="001E3899">
        <w:rPr>
          <w:rFonts w:asciiTheme="majorHAnsi" w:hAnsiTheme="majorHAnsi" w:cstheme="majorHAnsi"/>
          <w:b/>
          <w:bCs/>
        </w:rPr>
        <w:t>6</w:t>
      </w:r>
    </w:p>
    <w:p w14:paraId="2F752BFE" w14:textId="77777777" w:rsidR="0003208F" w:rsidRPr="00A33AE8" w:rsidRDefault="0003208F" w:rsidP="0003208F">
      <w:pPr>
        <w:pStyle w:val="LDKBullets-main"/>
        <w:rPr>
          <w:rFonts w:asciiTheme="majorHAnsi" w:hAnsiTheme="majorHAnsi" w:cstheme="majorHAnsi"/>
        </w:rPr>
      </w:pPr>
      <w:r w:rsidRPr="00A33AE8">
        <w:rPr>
          <w:rFonts w:asciiTheme="majorHAnsi" w:hAnsiTheme="majorHAnsi" w:cstheme="majorHAnsi"/>
        </w:rPr>
        <w:t xml:space="preserve">Dimension energy security: </w:t>
      </w:r>
      <w:r w:rsidRPr="00A33AE8">
        <w:rPr>
          <w:rFonts w:asciiTheme="majorHAnsi" w:hAnsiTheme="majorHAnsi" w:cstheme="majorHAnsi"/>
          <w:b/>
          <w:bCs/>
        </w:rPr>
        <w:t>PM_ES2</w:t>
      </w:r>
      <w:r w:rsidRPr="00A33AE8">
        <w:rPr>
          <w:rFonts w:asciiTheme="majorHAnsi" w:hAnsiTheme="majorHAnsi" w:cstheme="majorHAnsi"/>
        </w:rPr>
        <w:t xml:space="preserve">, </w:t>
      </w:r>
      <w:r w:rsidRPr="00A33AE8">
        <w:rPr>
          <w:rFonts w:asciiTheme="majorHAnsi" w:hAnsiTheme="majorHAnsi" w:cstheme="majorHAnsi"/>
          <w:b/>
          <w:bCs/>
        </w:rPr>
        <w:t>PM_ES3</w:t>
      </w:r>
      <w:r w:rsidRPr="00A33AE8">
        <w:rPr>
          <w:rFonts w:asciiTheme="majorHAnsi" w:hAnsiTheme="majorHAnsi" w:cstheme="majorHAnsi"/>
        </w:rPr>
        <w:t xml:space="preserve">, </w:t>
      </w:r>
      <w:r w:rsidRPr="00A33AE8">
        <w:rPr>
          <w:rFonts w:asciiTheme="majorHAnsi" w:hAnsiTheme="majorHAnsi" w:cstheme="majorHAnsi"/>
          <w:b/>
          <w:bCs/>
        </w:rPr>
        <w:t>PM_ES3.1</w:t>
      </w:r>
      <w:r w:rsidRPr="00A33AE8">
        <w:rPr>
          <w:rFonts w:asciiTheme="majorHAnsi" w:hAnsiTheme="majorHAnsi" w:cstheme="majorHAnsi"/>
        </w:rPr>
        <w:t xml:space="preserve"> and </w:t>
      </w:r>
      <w:r w:rsidRPr="00A33AE8">
        <w:rPr>
          <w:rFonts w:asciiTheme="majorHAnsi" w:hAnsiTheme="majorHAnsi" w:cstheme="majorHAnsi"/>
          <w:b/>
          <w:bCs/>
        </w:rPr>
        <w:t>PM_ES8</w:t>
      </w:r>
    </w:p>
    <w:p w14:paraId="3D257BED" w14:textId="77777777" w:rsidR="0003208F" w:rsidRPr="00A33AE8" w:rsidRDefault="0003208F" w:rsidP="0003208F">
      <w:pPr>
        <w:pStyle w:val="LDKBullets-main"/>
        <w:rPr>
          <w:rFonts w:asciiTheme="majorHAnsi" w:hAnsiTheme="majorHAnsi" w:cstheme="majorHAnsi"/>
        </w:rPr>
      </w:pPr>
      <w:r w:rsidRPr="00A33AE8">
        <w:rPr>
          <w:rFonts w:asciiTheme="majorHAnsi" w:hAnsiTheme="majorHAnsi" w:cstheme="majorHAnsi"/>
        </w:rPr>
        <w:t xml:space="preserve">Dimension internal energy market: </w:t>
      </w:r>
      <w:r w:rsidRPr="00A33AE8">
        <w:rPr>
          <w:rFonts w:asciiTheme="majorHAnsi" w:hAnsiTheme="majorHAnsi" w:cstheme="majorHAnsi"/>
          <w:b/>
          <w:bCs/>
        </w:rPr>
        <w:t>PM_IEM8 (PM_IEM8.1 – PM_IEM8.8)</w:t>
      </w:r>
      <w:r w:rsidRPr="00A33AE8">
        <w:rPr>
          <w:rFonts w:asciiTheme="majorHAnsi" w:hAnsiTheme="majorHAnsi" w:cstheme="majorHAnsi"/>
        </w:rPr>
        <w:t xml:space="preserve">, </w:t>
      </w:r>
      <w:r w:rsidRPr="00A33AE8">
        <w:rPr>
          <w:rFonts w:asciiTheme="majorHAnsi" w:hAnsiTheme="majorHAnsi" w:cstheme="majorHAnsi"/>
          <w:b/>
          <w:bCs/>
        </w:rPr>
        <w:t>PM_IEM17</w:t>
      </w:r>
      <w:r w:rsidRPr="00A33AE8">
        <w:rPr>
          <w:rFonts w:asciiTheme="majorHAnsi" w:hAnsiTheme="majorHAnsi" w:cstheme="majorHAnsi"/>
        </w:rPr>
        <w:t xml:space="preserve">, </w:t>
      </w:r>
      <w:r w:rsidRPr="00A33AE8">
        <w:rPr>
          <w:rFonts w:asciiTheme="majorHAnsi" w:hAnsiTheme="majorHAnsi" w:cstheme="majorHAnsi"/>
          <w:b/>
          <w:bCs/>
        </w:rPr>
        <w:t>PM_IEM</w:t>
      </w:r>
      <w:r w:rsidR="002E14B4" w:rsidRPr="00A33AE8">
        <w:rPr>
          <w:rFonts w:asciiTheme="majorHAnsi" w:hAnsiTheme="majorHAnsi" w:cstheme="majorHAnsi"/>
          <w:b/>
          <w:bCs/>
        </w:rPr>
        <w:t>2</w:t>
      </w:r>
      <w:r w:rsidRPr="00A33AE8">
        <w:rPr>
          <w:rFonts w:asciiTheme="majorHAnsi" w:hAnsiTheme="majorHAnsi" w:cstheme="majorHAnsi"/>
          <w:b/>
          <w:bCs/>
        </w:rPr>
        <w:t>0</w:t>
      </w:r>
      <w:r w:rsidRPr="00A33AE8">
        <w:rPr>
          <w:rFonts w:asciiTheme="majorHAnsi" w:hAnsiTheme="majorHAnsi" w:cstheme="majorHAnsi"/>
        </w:rPr>
        <w:t xml:space="preserve">, </w:t>
      </w:r>
      <w:r w:rsidR="002E14B4" w:rsidRPr="00A33AE8">
        <w:rPr>
          <w:rFonts w:asciiTheme="majorHAnsi" w:hAnsiTheme="majorHAnsi" w:cstheme="majorHAnsi"/>
          <w:b/>
          <w:bCs/>
        </w:rPr>
        <w:t>PM_</w:t>
      </w:r>
      <w:r w:rsidR="00A603F1" w:rsidRPr="00A33AE8">
        <w:rPr>
          <w:rFonts w:asciiTheme="majorHAnsi" w:hAnsiTheme="majorHAnsi" w:cstheme="majorHAnsi"/>
          <w:b/>
          <w:bCs/>
        </w:rPr>
        <w:t>IEM</w:t>
      </w:r>
      <w:r w:rsidR="00A603F1">
        <w:rPr>
          <w:rFonts w:asciiTheme="majorHAnsi" w:hAnsiTheme="majorHAnsi" w:cstheme="majorHAnsi"/>
          <w:b/>
          <w:bCs/>
        </w:rPr>
        <w:t>29</w:t>
      </w:r>
      <w:r w:rsidR="002E14B4" w:rsidRPr="00A33AE8">
        <w:rPr>
          <w:rFonts w:asciiTheme="majorHAnsi" w:hAnsiTheme="majorHAnsi" w:cstheme="majorHAnsi"/>
        </w:rPr>
        <w:t xml:space="preserve">, </w:t>
      </w:r>
      <w:r w:rsidRPr="00A33AE8">
        <w:rPr>
          <w:rFonts w:asciiTheme="majorHAnsi" w:hAnsiTheme="majorHAnsi" w:cstheme="majorHAnsi"/>
          <w:b/>
          <w:bCs/>
        </w:rPr>
        <w:t>PM_</w:t>
      </w:r>
      <w:r w:rsidR="00A603F1" w:rsidRPr="00A33AE8">
        <w:rPr>
          <w:rFonts w:asciiTheme="majorHAnsi" w:hAnsiTheme="majorHAnsi" w:cstheme="majorHAnsi"/>
          <w:b/>
          <w:bCs/>
        </w:rPr>
        <w:t>IEM3</w:t>
      </w:r>
      <w:r w:rsidR="00A603F1">
        <w:rPr>
          <w:rFonts w:asciiTheme="majorHAnsi" w:hAnsiTheme="majorHAnsi" w:cstheme="majorHAnsi"/>
          <w:b/>
          <w:bCs/>
        </w:rPr>
        <w:t>0</w:t>
      </w:r>
      <w:r w:rsidR="00A603F1" w:rsidRPr="00A33AE8">
        <w:rPr>
          <w:rFonts w:asciiTheme="majorHAnsi" w:hAnsiTheme="majorHAnsi" w:cstheme="majorHAnsi"/>
        </w:rPr>
        <w:t xml:space="preserve"> </w:t>
      </w:r>
      <w:r w:rsidRPr="00A33AE8">
        <w:rPr>
          <w:rFonts w:asciiTheme="majorHAnsi" w:hAnsiTheme="majorHAnsi" w:cstheme="majorHAnsi"/>
        </w:rPr>
        <w:t xml:space="preserve">and </w:t>
      </w:r>
      <w:r w:rsidRPr="00A33AE8">
        <w:rPr>
          <w:rFonts w:asciiTheme="majorHAnsi" w:hAnsiTheme="majorHAnsi" w:cstheme="majorHAnsi"/>
          <w:b/>
          <w:bCs/>
        </w:rPr>
        <w:t>PM_</w:t>
      </w:r>
      <w:r w:rsidR="00A603F1" w:rsidRPr="00A33AE8">
        <w:rPr>
          <w:rFonts w:asciiTheme="majorHAnsi" w:hAnsiTheme="majorHAnsi" w:cstheme="majorHAnsi"/>
          <w:b/>
          <w:bCs/>
        </w:rPr>
        <w:t>IEM3</w:t>
      </w:r>
      <w:r w:rsidR="00A603F1">
        <w:rPr>
          <w:rFonts w:asciiTheme="majorHAnsi" w:hAnsiTheme="majorHAnsi" w:cstheme="majorHAnsi"/>
          <w:b/>
          <w:bCs/>
        </w:rPr>
        <w:t>6</w:t>
      </w:r>
    </w:p>
    <w:p w14:paraId="621005F7" w14:textId="77777777" w:rsidR="007D341E" w:rsidRPr="00A33AE8" w:rsidRDefault="007D341E" w:rsidP="001D1BB0">
      <w:pPr>
        <w:pStyle w:val="LDKbody"/>
        <w:rPr>
          <w:lang w:val="en-GB"/>
        </w:rPr>
      </w:pPr>
    </w:p>
    <w:p w14:paraId="1BC1D0E4" w14:textId="77777777" w:rsidR="00716D48" w:rsidRPr="00A33AE8" w:rsidRDefault="00716D48" w:rsidP="00D27D92">
      <w:pPr>
        <w:pStyle w:val="Heading2"/>
      </w:pPr>
      <w:bookmarkStart w:id="152" w:name="_Toc79772554"/>
      <w:bookmarkStart w:id="153" w:name="_Toc118991774"/>
      <w:bookmarkStart w:id="154" w:name="_Toc153545046"/>
      <w:r w:rsidRPr="00A33AE8">
        <w:t>Dimension Energy Efficiency</w:t>
      </w:r>
      <w:bookmarkEnd w:id="152"/>
      <w:bookmarkEnd w:id="153"/>
      <w:bookmarkEnd w:id="154"/>
    </w:p>
    <w:p w14:paraId="75776D7A" w14:textId="77777777" w:rsidR="00D2554B" w:rsidRPr="00A33AE8" w:rsidRDefault="00D2554B" w:rsidP="00884F3B">
      <w:pPr>
        <w:pStyle w:val="Heading4"/>
        <w:numPr>
          <w:ilvl w:val="0"/>
          <w:numId w:val="231"/>
        </w:numPr>
      </w:pPr>
      <w:r w:rsidRPr="00A33AE8">
        <w:t>Energy efficiency obligation schemes and alternative measures under Article 7 of Directive 2012/27/EU</w:t>
      </w:r>
    </w:p>
    <w:p w14:paraId="01AFD96F" w14:textId="77777777" w:rsidR="00D2554B" w:rsidRPr="00A33AE8" w:rsidRDefault="00D2554B"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target under Article 7 of Directive </w:t>
      </w:r>
      <w:r w:rsidR="006F3CDA" w:rsidRPr="00A33AE8">
        <w:rPr>
          <w:rFonts w:asciiTheme="majorHAnsi" w:hAnsiTheme="majorHAnsi" w:cstheme="majorHAnsi"/>
          <w:color w:val="000000"/>
        </w:rPr>
        <w:t xml:space="preserve">(EU) </w:t>
      </w:r>
      <w:r w:rsidRPr="00A33AE8">
        <w:rPr>
          <w:rFonts w:asciiTheme="majorHAnsi" w:hAnsiTheme="majorHAnsi" w:cstheme="majorHAnsi"/>
          <w:color w:val="000000"/>
        </w:rPr>
        <w:t xml:space="preserve">2012/27, as amended by Directive </w:t>
      </w:r>
      <w:r w:rsidR="006F3CDA" w:rsidRPr="00A33AE8">
        <w:rPr>
          <w:rFonts w:asciiTheme="majorHAnsi" w:hAnsiTheme="majorHAnsi" w:cstheme="majorHAnsi"/>
          <w:color w:val="000000"/>
        </w:rPr>
        <w:t xml:space="preserve">(EU) </w:t>
      </w:r>
      <w:r w:rsidRPr="00A33AE8">
        <w:rPr>
          <w:rFonts w:asciiTheme="majorHAnsi" w:hAnsiTheme="majorHAnsi" w:cstheme="majorHAnsi"/>
          <w:color w:val="000000"/>
        </w:rPr>
        <w:t>2018/20</w:t>
      </w:r>
      <w:r w:rsidR="001C2B4D" w:rsidRPr="00A33AE8">
        <w:rPr>
          <w:rFonts w:asciiTheme="majorHAnsi" w:hAnsiTheme="majorHAnsi" w:cstheme="majorHAnsi"/>
          <w:color w:val="000000"/>
        </w:rPr>
        <w:t>0</w:t>
      </w:r>
      <w:r w:rsidRPr="00A33AE8">
        <w:rPr>
          <w:rFonts w:asciiTheme="majorHAnsi" w:hAnsiTheme="majorHAnsi" w:cstheme="majorHAnsi"/>
          <w:color w:val="000000"/>
        </w:rPr>
        <w:t xml:space="preserve">2, will be attained through the implementation of alternative policy measures. The planned alternative measures should deliver </w:t>
      </w:r>
      <w:r w:rsidR="003E401B" w:rsidRPr="00A33AE8">
        <w:rPr>
          <w:rFonts w:asciiTheme="majorHAnsi" w:hAnsiTheme="majorHAnsi" w:cstheme="majorHAnsi"/>
          <w:color w:val="000000"/>
        </w:rPr>
        <w:t xml:space="preserve">2023 </w:t>
      </w:r>
      <w:r w:rsidRPr="00A33AE8">
        <w:rPr>
          <w:rFonts w:asciiTheme="majorHAnsi" w:hAnsiTheme="majorHAnsi" w:cstheme="majorHAnsi"/>
          <w:color w:val="000000"/>
        </w:rPr>
        <w:t xml:space="preserve">ktoe of cumulative final energy savings in the period 2024-2030, which correspond to </w:t>
      </w:r>
      <w:r w:rsidR="003E401B" w:rsidRPr="00A33AE8">
        <w:rPr>
          <w:rFonts w:asciiTheme="majorHAnsi" w:hAnsiTheme="majorHAnsi" w:cstheme="majorHAnsi"/>
          <w:color w:val="000000"/>
        </w:rPr>
        <w:t xml:space="preserve">506 </w:t>
      </w:r>
      <w:r w:rsidRPr="00A33AE8">
        <w:rPr>
          <w:rFonts w:asciiTheme="majorHAnsi" w:hAnsiTheme="majorHAnsi" w:cstheme="majorHAnsi"/>
          <w:color w:val="000000"/>
        </w:rPr>
        <w:t>ktoe of new final energy savings in the examined period.</w:t>
      </w:r>
      <w:r w:rsidR="00C5051C" w:rsidRPr="00A33AE8">
        <w:rPr>
          <w:rFonts w:asciiTheme="majorHAnsi" w:hAnsiTheme="majorHAnsi" w:cstheme="majorHAnsi"/>
          <w:color w:val="000000"/>
        </w:rPr>
        <w:t xml:space="preserve"> </w:t>
      </w:r>
      <w:r w:rsidR="008F7109" w:rsidRPr="00A33AE8">
        <w:rPr>
          <w:rFonts w:asciiTheme="majorHAnsi" w:hAnsiTheme="majorHAnsi" w:cstheme="majorHAnsi"/>
          <w:color w:val="000000"/>
        </w:rPr>
        <w:t>The calculation of the energy saving target was estimated taking into account the average final energy consumption of the period 2018-2020 (9,031 ktoe based on EUROSTAT’s data) assuming energy saving factor equal to 0.8% in the period 2024-2030.</w:t>
      </w:r>
    </w:p>
    <w:p w14:paraId="52353165" w14:textId="77777777" w:rsidR="00D2554B" w:rsidRPr="00A33AE8" w:rsidRDefault="00D2554B" w:rsidP="000B69B5">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evolution of the required new and cumulative final energy savings is presented in </w:t>
      </w:r>
      <w:r w:rsidRPr="00A33AE8">
        <w:fldChar w:fldCharType="begin"/>
      </w:r>
      <w:r w:rsidRPr="00A33AE8">
        <w:instrText xml:space="preserve"> REF _Ref96502914 \h  \* MERGEFORMAT </w:instrText>
      </w:r>
      <w:r w:rsidRPr="00A33AE8">
        <w:fldChar w:fldCharType="separate"/>
      </w:r>
      <w:r w:rsidR="00D45204" w:rsidRPr="00A33AE8">
        <w:rPr>
          <w:rFonts w:asciiTheme="majorHAnsi" w:hAnsiTheme="majorHAnsi" w:cstheme="majorHAnsi"/>
        </w:rPr>
        <w:t>Table 3.1</w:t>
      </w:r>
      <w:r w:rsidRPr="00A33AE8">
        <w:fldChar w:fldCharType="end"/>
      </w:r>
      <w:r w:rsidR="003E401B" w:rsidRPr="00A33AE8">
        <w:t xml:space="preserve"> </w:t>
      </w:r>
      <w:r w:rsidRPr="00A33AE8">
        <w:rPr>
          <w:rFonts w:asciiTheme="majorHAnsi" w:hAnsiTheme="majorHAnsi" w:cstheme="majorHAnsi"/>
          <w:color w:val="000000"/>
        </w:rPr>
        <w:t>on annual basis.</w:t>
      </w:r>
    </w:p>
    <w:p w14:paraId="5DB4C0C4" w14:textId="4C95DE67" w:rsidR="00AD54B0" w:rsidRPr="00A33AE8" w:rsidRDefault="00AD54B0" w:rsidP="00507954">
      <w:pPr>
        <w:pStyle w:val="Caption"/>
        <w:keepNext/>
        <w:jc w:val="center"/>
      </w:pPr>
      <w:bookmarkStart w:id="155" w:name="_Ref96502914"/>
      <w:bookmarkStart w:id="156" w:name="_Toc118992364"/>
      <w:bookmarkStart w:id="157" w:name="_Toc153545070"/>
      <w:r w:rsidRPr="00A33AE8">
        <w:t xml:space="preserve">Table </w:t>
      </w:r>
      <w:r w:rsidR="006E0533">
        <w:fldChar w:fldCharType="begin"/>
      </w:r>
      <w:r w:rsidR="006E0533">
        <w:instrText xml:space="preserve"> STYLEREF 1 \s </w:instrText>
      </w:r>
      <w:r w:rsidR="006E0533">
        <w:fldChar w:fldCharType="separate"/>
      </w:r>
      <w:r w:rsidR="00A84B9C">
        <w:rPr>
          <w:noProof/>
        </w:rPr>
        <w:t>3</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bookmarkEnd w:id="155"/>
      <w:r w:rsidRPr="00A33AE8">
        <w:t xml:space="preserve">: </w:t>
      </w:r>
      <w:r w:rsidRPr="00A33AE8">
        <w:rPr>
          <w:rFonts w:asciiTheme="minorHAnsi" w:hAnsiTheme="minorHAnsi" w:cstheme="minorHAnsi"/>
        </w:rPr>
        <w:t>New and cumulative final energy savings in the period 2024-2030</w:t>
      </w:r>
      <w:bookmarkEnd w:id="156"/>
      <w:bookmarkEnd w:id="157"/>
    </w:p>
    <w:tbl>
      <w:tblPr>
        <w:tblW w:w="9628" w:type="dxa"/>
        <w:jc w:val="center"/>
        <w:tblLook w:val="04A0" w:firstRow="1" w:lastRow="0" w:firstColumn="1" w:lastColumn="0" w:noHBand="0" w:noVBand="1"/>
      </w:tblPr>
      <w:tblGrid>
        <w:gridCol w:w="901"/>
        <w:gridCol w:w="654"/>
        <w:gridCol w:w="687"/>
        <w:gridCol w:w="639"/>
        <w:gridCol w:w="800"/>
        <w:gridCol w:w="797"/>
        <w:gridCol w:w="805"/>
        <w:gridCol w:w="797"/>
        <w:gridCol w:w="797"/>
        <w:gridCol w:w="797"/>
        <w:gridCol w:w="797"/>
        <w:gridCol w:w="1157"/>
      </w:tblGrid>
      <w:tr w:rsidR="00AA300A" w:rsidRPr="00A33AE8" w14:paraId="6F6CAEB6" w14:textId="77777777" w:rsidTr="005522C1">
        <w:trPr>
          <w:trHeight w:val="254"/>
          <w:jc w:val="center"/>
        </w:trPr>
        <w:tc>
          <w:tcPr>
            <w:tcW w:w="90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7A53FE35"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Year</w:t>
            </w:r>
          </w:p>
        </w:tc>
        <w:tc>
          <w:tcPr>
            <w:tcW w:w="654" w:type="dxa"/>
            <w:tcBorders>
              <w:top w:val="single" w:sz="4" w:space="0" w:color="auto"/>
              <w:left w:val="nil"/>
              <w:bottom w:val="single" w:sz="4" w:space="0" w:color="auto"/>
              <w:right w:val="single" w:sz="4" w:space="0" w:color="auto"/>
            </w:tcBorders>
            <w:shd w:val="clear" w:color="auto" w:fill="002060"/>
            <w:noWrap/>
            <w:vAlign w:val="bottom"/>
            <w:hideMark/>
          </w:tcPr>
          <w:p w14:paraId="034C43C0"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2021</w:t>
            </w:r>
          </w:p>
        </w:tc>
        <w:tc>
          <w:tcPr>
            <w:tcW w:w="687" w:type="dxa"/>
            <w:tcBorders>
              <w:top w:val="single" w:sz="4" w:space="0" w:color="auto"/>
              <w:left w:val="nil"/>
              <w:bottom w:val="single" w:sz="4" w:space="0" w:color="auto"/>
              <w:right w:val="single" w:sz="4" w:space="0" w:color="auto"/>
            </w:tcBorders>
            <w:shd w:val="clear" w:color="auto" w:fill="002060"/>
            <w:noWrap/>
            <w:vAlign w:val="bottom"/>
            <w:hideMark/>
          </w:tcPr>
          <w:p w14:paraId="1FCFC00B"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2022</w:t>
            </w:r>
          </w:p>
        </w:tc>
        <w:tc>
          <w:tcPr>
            <w:tcW w:w="639" w:type="dxa"/>
            <w:tcBorders>
              <w:top w:val="single" w:sz="4" w:space="0" w:color="auto"/>
              <w:left w:val="nil"/>
              <w:bottom w:val="single" w:sz="4" w:space="0" w:color="auto"/>
              <w:right w:val="single" w:sz="4" w:space="0" w:color="auto"/>
            </w:tcBorders>
            <w:shd w:val="clear" w:color="auto" w:fill="002060"/>
            <w:noWrap/>
            <w:vAlign w:val="bottom"/>
            <w:hideMark/>
          </w:tcPr>
          <w:p w14:paraId="00072EAF"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2023</w:t>
            </w:r>
          </w:p>
        </w:tc>
        <w:tc>
          <w:tcPr>
            <w:tcW w:w="800" w:type="dxa"/>
            <w:tcBorders>
              <w:top w:val="single" w:sz="4" w:space="0" w:color="auto"/>
              <w:left w:val="nil"/>
              <w:bottom w:val="single" w:sz="4" w:space="0" w:color="auto"/>
              <w:right w:val="single" w:sz="4" w:space="0" w:color="auto"/>
            </w:tcBorders>
            <w:shd w:val="clear" w:color="auto" w:fill="002060"/>
            <w:noWrap/>
            <w:vAlign w:val="bottom"/>
            <w:hideMark/>
          </w:tcPr>
          <w:p w14:paraId="2E969B09"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2024</w:t>
            </w:r>
          </w:p>
        </w:tc>
        <w:tc>
          <w:tcPr>
            <w:tcW w:w="797" w:type="dxa"/>
            <w:tcBorders>
              <w:top w:val="single" w:sz="4" w:space="0" w:color="auto"/>
              <w:left w:val="nil"/>
              <w:bottom w:val="single" w:sz="4" w:space="0" w:color="auto"/>
              <w:right w:val="single" w:sz="4" w:space="0" w:color="auto"/>
            </w:tcBorders>
            <w:shd w:val="clear" w:color="auto" w:fill="002060"/>
            <w:noWrap/>
            <w:vAlign w:val="bottom"/>
            <w:hideMark/>
          </w:tcPr>
          <w:p w14:paraId="62C6693B"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2025</w:t>
            </w:r>
          </w:p>
        </w:tc>
        <w:tc>
          <w:tcPr>
            <w:tcW w:w="805" w:type="dxa"/>
            <w:tcBorders>
              <w:top w:val="single" w:sz="4" w:space="0" w:color="auto"/>
              <w:left w:val="nil"/>
              <w:bottom w:val="single" w:sz="4" w:space="0" w:color="auto"/>
              <w:right w:val="single" w:sz="4" w:space="0" w:color="auto"/>
            </w:tcBorders>
            <w:shd w:val="clear" w:color="auto" w:fill="002060"/>
            <w:noWrap/>
            <w:vAlign w:val="bottom"/>
            <w:hideMark/>
          </w:tcPr>
          <w:p w14:paraId="70BFF66A"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2026</w:t>
            </w:r>
          </w:p>
        </w:tc>
        <w:tc>
          <w:tcPr>
            <w:tcW w:w="797" w:type="dxa"/>
            <w:tcBorders>
              <w:top w:val="single" w:sz="4" w:space="0" w:color="auto"/>
              <w:left w:val="nil"/>
              <w:bottom w:val="single" w:sz="4" w:space="0" w:color="auto"/>
              <w:right w:val="single" w:sz="4" w:space="0" w:color="auto"/>
            </w:tcBorders>
            <w:shd w:val="clear" w:color="auto" w:fill="002060"/>
            <w:noWrap/>
            <w:vAlign w:val="bottom"/>
            <w:hideMark/>
          </w:tcPr>
          <w:p w14:paraId="0F5D35A0"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2027</w:t>
            </w:r>
          </w:p>
        </w:tc>
        <w:tc>
          <w:tcPr>
            <w:tcW w:w="797" w:type="dxa"/>
            <w:tcBorders>
              <w:top w:val="single" w:sz="4" w:space="0" w:color="auto"/>
              <w:left w:val="nil"/>
              <w:bottom w:val="single" w:sz="4" w:space="0" w:color="auto"/>
              <w:right w:val="single" w:sz="4" w:space="0" w:color="auto"/>
            </w:tcBorders>
            <w:shd w:val="clear" w:color="auto" w:fill="002060"/>
            <w:noWrap/>
            <w:vAlign w:val="bottom"/>
            <w:hideMark/>
          </w:tcPr>
          <w:p w14:paraId="05DEEB02"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2028</w:t>
            </w:r>
          </w:p>
        </w:tc>
        <w:tc>
          <w:tcPr>
            <w:tcW w:w="797" w:type="dxa"/>
            <w:tcBorders>
              <w:top w:val="single" w:sz="4" w:space="0" w:color="auto"/>
              <w:left w:val="nil"/>
              <w:bottom w:val="single" w:sz="4" w:space="0" w:color="auto"/>
              <w:right w:val="single" w:sz="4" w:space="0" w:color="auto"/>
            </w:tcBorders>
            <w:shd w:val="clear" w:color="auto" w:fill="002060"/>
            <w:noWrap/>
            <w:vAlign w:val="bottom"/>
            <w:hideMark/>
          </w:tcPr>
          <w:p w14:paraId="53EA61D3"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2029</w:t>
            </w:r>
          </w:p>
        </w:tc>
        <w:tc>
          <w:tcPr>
            <w:tcW w:w="797" w:type="dxa"/>
            <w:tcBorders>
              <w:top w:val="single" w:sz="4" w:space="0" w:color="auto"/>
              <w:left w:val="nil"/>
              <w:bottom w:val="single" w:sz="4" w:space="0" w:color="auto"/>
              <w:right w:val="single" w:sz="4" w:space="0" w:color="auto"/>
            </w:tcBorders>
            <w:shd w:val="clear" w:color="auto" w:fill="002060"/>
            <w:noWrap/>
            <w:vAlign w:val="bottom"/>
            <w:hideMark/>
          </w:tcPr>
          <w:p w14:paraId="61B7BB09" w14:textId="77777777" w:rsidR="00D2554B" w:rsidRPr="000007D2" w:rsidRDefault="00D2554B" w:rsidP="00507954">
            <w:pPr>
              <w:spacing w:after="0" w:line="240" w:lineRule="auto"/>
              <w:jc w:val="center"/>
              <w:rPr>
                <w:rFonts w:ascii="Calibri" w:hAnsi="Calibri" w:cs="Calibri"/>
                <w:b/>
                <w:bCs/>
                <w:sz w:val="18"/>
                <w:szCs w:val="18"/>
              </w:rPr>
            </w:pPr>
            <w:r w:rsidRPr="000007D2">
              <w:rPr>
                <w:rFonts w:ascii="Calibri" w:hAnsi="Calibri" w:cs="Calibri"/>
                <w:b/>
                <w:bCs/>
                <w:sz w:val="18"/>
                <w:szCs w:val="18"/>
              </w:rPr>
              <w:t>2030</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8F2AE0" w14:textId="77777777" w:rsidR="00D2554B" w:rsidRPr="000007D2" w:rsidRDefault="00D2554B" w:rsidP="00507954">
            <w:pPr>
              <w:spacing w:after="0" w:line="240" w:lineRule="auto"/>
              <w:jc w:val="center"/>
              <w:rPr>
                <w:rFonts w:ascii="Calibri" w:hAnsi="Calibri" w:cs="Calibri"/>
                <w:b/>
                <w:bCs/>
                <w:color w:val="000000"/>
                <w:sz w:val="18"/>
                <w:szCs w:val="18"/>
              </w:rPr>
            </w:pPr>
            <w:r w:rsidRPr="000007D2">
              <w:rPr>
                <w:rFonts w:ascii="Calibri" w:hAnsi="Calibri" w:cs="Calibri"/>
                <w:b/>
                <w:bCs/>
                <w:color w:val="000000"/>
                <w:sz w:val="18"/>
                <w:szCs w:val="18"/>
              </w:rPr>
              <w:t>End-use energy savings (ktoe)</w:t>
            </w:r>
          </w:p>
        </w:tc>
      </w:tr>
      <w:tr w:rsidR="005522C1" w:rsidRPr="00A33AE8" w14:paraId="7D0173E6" w14:textId="77777777" w:rsidTr="000007D2">
        <w:trPr>
          <w:trHeight w:val="58"/>
          <w:jc w:val="center"/>
        </w:trPr>
        <w:tc>
          <w:tcPr>
            <w:tcW w:w="901"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776611" w14:textId="77777777" w:rsidR="005522C1" w:rsidRPr="000007D2" w:rsidRDefault="005522C1" w:rsidP="005522C1">
            <w:pPr>
              <w:spacing w:after="0" w:line="240" w:lineRule="auto"/>
              <w:jc w:val="center"/>
              <w:rPr>
                <w:rFonts w:ascii="Calibri" w:hAnsi="Calibri" w:cs="Calibri"/>
                <w:b/>
                <w:bCs/>
                <w:color w:val="000000"/>
                <w:sz w:val="18"/>
                <w:szCs w:val="18"/>
              </w:rPr>
            </w:pPr>
            <w:r w:rsidRPr="000007D2">
              <w:rPr>
                <w:rFonts w:ascii="Calibri" w:hAnsi="Calibri" w:cs="Calibri"/>
                <w:b/>
                <w:bCs/>
                <w:color w:val="000000"/>
                <w:sz w:val="18"/>
                <w:szCs w:val="18"/>
              </w:rPr>
              <w:t>End-use energy savings (ktoe)</w:t>
            </w:r>
          </w:p>
        </w:tc>
        <w:tc>
          <w:tcPr>
            <w:tcW w:w="654" w:type="dxa"/>
            <w:tcBorders>
              <w:top w:val="nil"/>
              <w:left w:val="nil"/>
              <w:bottom w:val="single" w:sz="4" w:space="0" w:color="auto"/>
              <w:right w:val="single" w:sz="4" w:space="0" w:color="auto"/>
            </w:tcBorders>
            <w:shd w:val="clear" w:color="auto" w:fill="auto"/>
            <w:noWrap/>
            <w:vAlign w:val="bottom"/>
            <w:hideMark/>
          </w:tcPr>
          <w:p w14:paraId="7A936E04"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04F0997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1D3C80E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352A4F3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332D283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5" w:type="dxa"/>
            <w:tcBorders>
              <w:top w:val="nil"/>
              <w:left w:val="nil"/>
              <w:bottom w:val="single" w:sz="4" w:space="0" w:color="auto"/>
              <w:right w:val="single" w:sz="4" w:space="0" w:color="auto"/>
            </w:tcBorders>
            <w:shd w:val="clear" w:color="auto" w:fill="auto"/>
            <w:noWrap/>
            <w:vAlign w:val="bottom"/>
            <w:hideMark/>
          </w:tcPr>
          <w:p w14:paraId="666D0499"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7F563F04"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2ABC69B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92FCB9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000000" w:fill="538DD5"/>
            <w:noWrap/>
            <w:hideMark/>
          </w:tcPr>
          <w:p w14:paraId="59A18E2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D87B5D" w14:textId="77777777" w:rsidR="005522C1" w:rsidRPr="000007D2" w:rsidRDefault="005522C1" w:rsidP="005522C1">
            <w:pPr>
              <w:spacing w:after="0" w:line="240" w:lineRule="auto"/>
              <w:rPr>
                <w:rFonts w:ascii="Calibri" w:hAnsi="Calibri" w:cs="Calibri"/>
                <w:b/>
                <w:bCs/>
                <w:color w:val="000000"/>
                <w:sz w:val="18"/>
                <w:szCs w:val="18"/>
              </w:rPr>
            </w:pPr>
          </w:p>
        </w:tc>
      </w:tr>
      <w:tr w:rsidR="005522C1" w:rsidRPr="00A33AE8" w14:paraId="78271DF6" w14:textId="77777777" w:rsidTr="000007D2">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BC84BF2" w14:textId="77777777" w:rsidR="005522C1" w:rsidRPr="000007D2" w:rsidRDefault="005522C1" w:rsidP="005522C1">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0E16537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098CB9D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76C192F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7B2FFA39"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7A9F5D81"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5" w:type="dxa"/>
            <w:tcBorders>
              <w:top w:val="nil"/>
              <w:left w:val="nil"/>
              <w:bottom w:val="single" w:sz="4" w:space="0" w:color="auto"/>
              <w:right w:val="single" w:sz="4" w:space="0" w:color="auto"/>
            </w:tcBorders>
            <w:shd w:val="clear" w:color="auto" w:fill="auto"/>
            <w:noWrap/>
            <w:vAlign w:val="bottom"/>
            <w:hideMark/>
          </w:tcPr>
          <w:p w14:paraId="4ED3275B"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599B3E4"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4496DF89"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000000" w:fill="538DD5"/>
            <w:noWrap/>
            <w:hideMark/>
          </w:tcPr>
          <w:p w14:paraId="6B0A5CF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079D538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A8683" w14:textId="77777777" w:rsidR="005522C1" w:rsidRPr="000007D2" w:rsidRDefault="005522C1" w:rsidP="005522C1">
            <w:pPr>
              <w:spacing w:after="0" w:line="240" w:lineRule="auto"/>
              <w:rPr>
                <w:rFonts w:ascii="Calibri" w:hAnsi="Calibri" w:cs="Calibri"/>
                <w:b/>
                <w:bCs/>
                <w:color w:val="000000"/>
                <w:sz w:val="18"/>
                <w:szCs w:val="18"/>
              </w:rPr>
            </w:pPr>
          </w:p>
        </w:tc>
      </w:tr>
      <w:tr w:rsidR="005522C1" w:rsidRPr="00A33AE8" w14:paraId="42277ED2" w14:textId="77777777" w:rsidTr="000007D2">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FB5666C" w14:textId="77777777" w:rsidR="005522C1" w:rsidRPr="000007D2" w:rsidRDefault="005522C1" w:rsidP="005522C1">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3D27010C"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1C5FEB99"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26DE15F0"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30FC6B5C"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5EAF73B9"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5" w:type="dxa"/>
            <w:tcBorders>
              <w:top w:val="nil"/>
              <w:left w:val="nil"/>
              <w:bottom w:val="single" w:sz="4" w:space="0" w:color="auto"/>
              <w:right w:val="single" w:sz="4" w:space="0" w:color="auto"/>
            </w:tcBorders>
            <w:shd w:val="clear" w:color="auto" w:fill="auto"/>
            <w:noWrap/>
            <w:vAlign w:val="bottom"/>
            <w:hideMark/>
          </w:tcPr>
          <w:p w14:paraId="0BF76F1B"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2E6E0BB1"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000000" w:fill="538DD5"/>
            <w:noWrap/>
            <w:hideMark/>
          </w:tcPr>
          <w:p w14:paraId="4EC35792"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370366D0"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188C0D2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E292D3" w14:textId="77777777" w:rsidR="005522C1" w:rsidRPr="000007D2" w:rsidRDefault="005522C1" w:rsidP="005522C1">
            <w:pPr>
              <w:spacing w:after="0" w:line="240" w:lineRule="auto"/>
              <w:rPr>
                <w:rFonts w:ascii="Calibri" w:hAnsi="Calibri" w:cs="Calibri"/>
                <w:b/>
                <w:bCs/>
                <w:color w:val="000000"/>
                <w:sz w:val="18"/>
                <w:szCs w:val="18"/>
              </w:rPr>
            </w:pPr>
          </w:p>
        </w:tc>
      </w:tr>
      <w:tr w:rsidR="005522C1" w:rsidRPr="00A33AE8" w14:paraId="49C3A403" w14:textId="77777777" w:rsidTr="000007D2">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913C9" w14:textId="77777777" w:rsidR="005522C1" w:rsidRPr="000007D2" w:rsidRDefault="005522C1" w:rsidP="005522C1">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28B8C32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5323DE20"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220D5ED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75FD646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1501C9FE"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5" w:type="dxa"/>
            <w:tcBorders>
              <w:top w:val="nil"/>
              <w:left w:val="nil"/>
              <w:bottom w:val="single" w:sz="4" w:space="0" w:color="auto"/>
              <w:right w:val="single" w:sz="4" w:space="0" w:color="auto"/>
            </w:tcBorders>
            <w:shd w:val="clear" w:color="auto" w:fill="auto"/>
            <w:noWrap/>
            <w:vAlign w:val="bottom"/>
            <w:hideMark/>
          </w:tcPr>
          <w:p w14:paraId="00AED172"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000000" w:fill="538DD5"/>
            <w:noWrap/>
            <w:hideMark/>
          </w:tcPr>
          <w:p w14:paraId="4DA5B06B"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686DE6F1"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5B418A55"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7C64D676"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4692C" w14:textId="77777777" w:rsidR="005522C1" w:rsidRPr="000007D2" w:rsidRDefault="005522C1" w:rsidP="005522C1">
            <w:pPr>
              <w:spacing w:after="0" w:line="240" w:lineRule="auto"/>
              <w:rPr>
                <w:rFonts w:ascii="Calibri" w:hAnsi="Calibri" w:cs="Calibri"/>
                <w:b/>
                <w:bCs/>
                <w:color w:val="000000"/>
                <w:sz w:val="18"/>
                <w:szCs w:val="18"/>
              </w:rPr>
            </w:pPr>
          </w:p>
        </w:tc>
      </w:tr>
      <w:tr w:rsidR="005522C1" w:rsidRPr="00A33AE8" w14:paraId="19C48E3A" w14:textId="77777777" w:rsidTr="005522C1">
        <w:trPr>
          <w:trHeight w:val="133"/>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77D78F" w14:textId="77777777" w:rsidR="005522C1" w:rsidRPr="000007D2" w:rsidRDefault="005522C1" w:rsidP="005522C1">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1D958C4D"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0D34297D"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252846C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152FF3C6"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auto" w:fill="auto"/>
            <w:noWrap/>
            <w:vAlign w:val="bottom"/>
            <w:hideMark/>
          </w:tcPr>
          <w:p w14:paraId="6BA79E3C"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5" w:type="dxa"/>
            <w:tcBorders>
              <w:top w:val="nil"/>
              <w:left w:val="nil"/>
              <w:bottom w:val="single" w:sz="4" w:space="0" w:color="auto"/>
              <w:right w:val="single" w:sz="4" w:space="0" w:color="auto"/>
            </w:tcBorders>
            <w:shd w:val="clear" w:color="000000" w:fill="538DD5"/>
            <w:noWrap/>
            <w:hideMark/>
          </w:tcPr>
          <w:p w14:paraId="186E638D"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5DEDE685"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0AB1756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54F1B846"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583736A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9CEEF" w14:textId="77777777" w:rsidR="005522C1" w:rsidRPr="000007D2" w:rsidRDefault="005522C1" w:rsidP="005522C1">
            <w:pPr>
              <w:spacing w:after="0" w:line="240" w:lineRule="auto"/>
              <w:rPr>
                <w:rFonts w:ascii="Calibri" w:hAnsi="Calibri" w:cs="Calibri"/>
                <w:b/>
                <w:bCs/>
                <w:color w:val="000000"/>
                <w:sz w:val="18"/>
                <w:szCs w:val="18"/>
              </w:rPr>
            </w:pPr>
          </w:p>
        </w:tc>
      </w:tr>
      <w:tr w:rsidR="005522C1" w:rsidRPr="00A33AE8" w14:paraId="10B81DAE" w14:textId="77777777" w:rsidTr="005522C1">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911406" w14:textId="77777777" w:rsidR="005522C1" w:rsidRPr="000007D2" w:rsidRDefault="005522C1" w:rsidP="005522C1">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6CB9F28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349B439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437E055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auto" w:fill="auto"/>
            <w:noWrap/>
            <w:vAlign w:val="bottom"/>
            <w:hideMark/>
          </w:tcPr>
          <w:p w14:paraId="54A0185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797" w:type="dxa"/>
            <w:tcBorders>
              <w:top w:val="nil"/>
              <w:left w:val="nil"/>
              <w:bottom w:val="single" w:sz="4" w:space="0" w:color="auto"/>
              <w:right w:val="single" w:sz="4" w:space="0" w:color="auto"/>
            </w:tcBorders>
            <w:shd w:val="clear" w:color="000000" w:fill="538DD5"/>
            <w:noWrap/>
            <w:hideMark/>
          </w:tcPr>
          <w:p w14:paraId="1CD1FEB2"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805" w:type="dxa"/>
            <w:tcBorders>
              <w:top w:val="nil"/>
              <w:left w:val="nil"/>
              <w:bottom w:val="single" w:sz="4" w:space="0" w:color="auto"/>
              <w:right w:val="single" w:sz="4" w:space="0" w:color="auto"/>
            </w:tcBorders>
            <w:shd w:val="clear" w:color="000000" w:fill="C5D9F1"/>
            <w:noWrap/>
            <w:hideMark/>
          </w:tcPr>
          <w:p w14:paraId="3F24C4A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0098701E"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7311ECA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11B01CD5"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2C4EE0E3"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61F35" w14:textId="77777777" w:rsidR="005522C1" w:rsidRPr="000007D2" w:rsidRDefault="005522C1" w:rsidP="005522C1">
            <w:pPr>
              <w:spacing w:after="0" w:line="240" w:lineRule="auto"/>
              <w:rPr>
                <w:rFonts w:ascii="Calibri" w:hAnsi="Calibri" w:cs="Calibri"/>
                <w:b/>
                <w:bCs/>
                <w:color w:val="000000"/>
                <w:sz w:val="18"/>
                <w:szCs w:val="18"/>
              </w:rPr>
            </w:pPr>
          </w:p>
        </w:tc>
      </w:tr>
      <w:tr w:rsidR="005522C1" w:rsidRPr="00A33AE8" w14:paraId="2AD80FBA" w14:textId="77777777" w:rsidTr="005522C1">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57657F" w14:textId="77777777" w:rsidR="005522C1" w:rsidRPr="000007D2" w:rsidRDefault="005522C1" w:rsidP="005522C1">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6DDD5EF9"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60916C3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auto" w:fill="auto"/>
            <w:noWrap/>
            <w:vAlign w:val="bottom"/>
            <w:hideMark/>
          </w:tcPr>
          <w:p w14:paraId="45F28C1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 </w:t>
            </w:r>
          </w:p>
        </w:tc>
        <w:tc>
          <w:tcPr>
            <w:tcW w:w="800" w:type="dxa"/>
            <w:tcBorders>
              <w:top w:val="nil"/>
              <w:left w:val="nil"/>
              <w:bottom w:val="single" w:sz="4" w:space="0" w:color="auto"/>
              <w:right w:val="single" w:sz="4" w:space="0" w:color="auto"/>
            </w:tcBorders>
            <w:shd w:val="clear" w:color="000000" w:fill="538DD5"/>
            <w:noWrap/>
            <w:vAlign w:val="bottom"/>
            <w:hideMark/>
          </w:tcPr>
          <w:p w14:paraId="04F655EF"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794B6F0A"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805" w:type="dxa"/>
            <w:tcBorders>
              <w:top w:val="nil"/>
              <w:left w:val="nil"/>
              <w:bottom w:val="single" w:sz="4" w:space="0" w:color="auto"/>
              <w:right w:val="single" w:sz="4" w:space="0" w:color="auto"/>
            </w:tcBorders>
            <w:shd w:val="clear" w:color="000000" w:fill="C5D9F1"/>
            <w:noWrap/>
            <w:hideMark/>
          </w:tcPr>
          <w:p w14:paraId="5DEFBBD5"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5105B51E"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63021876"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62715B87"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797" w:type="dxa"/>
            <w:tcBorders>
              <w:top w:val="nil"/>
              <w:left w:val="nil"/>
              <w:bottom w:val="single" w:sz="4" w:space="0" w:color="auto"/>
              <w:right w:val="single" w:sz="4" w:space="0" w:color="auto"/>
            </w:tcBorders>
            <w:shd w:val="clear" w:color="000000" w:fill="C5D9F1"/>
            <w:noWrap/>
            <w:hideMark/>
          </w:tcPr>
          <w:p w14:paraId="31D14321" w14:textId="77777777" w:rsidR="005522C1" w:rsidRPr="000007D2" w:rsidRDefault="005522C1" w:rsidP="005522C1">
            <w:pPr>
              <w:spacing w:after="0" w:line="240" w:lineRule="auto"/>
              <w:jc w:val="center"/>
              <w:rPr>
                <w:rFonts w:cstheme="minorHAnsi"/>
                <w:color w:val="000000"/>
                <w:sz w:val="18"/>
                <w:szCs w:val="18"/>
              </w:rPr>
            </w:pPr>
            <w:r w:rsidRPr="000007D2">
              <w:rPr>
                <w:rFonts w:cstheme="minorHAnsi"/>
                <w:color w:val="000000"/>
                <w:sz w:val="18"/>
                <w:szCs w:val="18"/>
              </w:rPr>
              <w:t>72.25</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910D8" w14:textId="77777777" w:rsidR="005522C1" w:rsidRPr="000007D2" w:rsidRDefault="005522C1" w:rsidP="005522C1">
            <w:pPr>
              <w:spacing w:after="0" w:line="240" w:lineRule="auto"/>
              <w:rPr>
                <w:rFonts w:ascii="Calibri" w:hAnsi="Calibri" w:cs="Calibri"/>
                <w:b/>
                <w:bCs/>
                <w:color w:val="000000"/>
                <w:sz w:val="18"/>
                <w:szCs w:val="18"/>
              </w:rPr>
            </w:pPr>
          </w:p>
        </w:tc>
      </w:tr>
      <w:tr w:rsidR="00A33AE8" w:rsidRPr="00A33AE8" w14:paraId="23BD07DB" w14:textId="77777777" w:rsidTr="005522C1">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E02391" w14:textId="77777777" w:rsidR="0015690E" w:rsidRPr="000007D2" w:rsidRDefault="0015690E" w:rsidP="00507954">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5AC15913"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auto" w:fill="auto"/>
            <w:noWrap/>
            <w:vAlign w:val="bottom"/>
            <w:hideMark/>
          </w:tcPr>
          <w:p w14:paraId="46832138"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 </w:t>
            </w:r>
          </w:p>
        </w:tc>
        <w:tc>
          <w:tcPr>
            <w:tcW w:w="639" w:type="dxa"/>
            <w:tcBorders>
              <w:top w:val="nil"/>
              <w:left w:val="nil"/>
              <w:bottom w:val="single" w:sz="4" w:space="0" w:color="auto"/>
              <w:right w:val="single" w:sz="4" w:space="0" w:color="auto"/>
            </w:tcBorders>
            <w:shd w:val="clear" w:color="000000" w:fill="538DD5"/>
            <w:noWrap/>
            <w:vAlign w:val="bottom"/>
            <w:hideMark/>
          </w:tcPr>
          <w:p w14:paraId="2F9E29BA"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800" w:type="dxa"/>
            <w:tcBorders>
              <w:top w:val="nil"/>
              <w:left w:val="nil"/>
              <w:bottom w:val="single" w:sz="4" w:space="0" w:color="auto"/>
              <w:right w:val="single" w:sz="4" w:space="0" w:color="auto"/>
            </w:tcBorders>
            <w:shd w:val="clear" w:color="000000" w:fill="C5D9F1"/>
            <w:noWrap/>
            <w:vAlign w:val="bottom"/>
            <w:hideMark/>
          </w:tcPr>
          <w:p w14:paraId="61B389E1"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3FBD5741"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805" w:type="dxa"/>
            <w:tcBorders>
              <w:top w:val="nil"/>
              <w:left w:val="nil"/>
              <w:bottom w:val="single" w:sz="4" w:space="0" w:color="auto"/>
              <w:right w:val="single" w:sz="4" w:space="0" w:color="auto"/>
            </w:tcBorders>
            <w:shd w:val="clear" w:color="000000" w:fill="C5D9F1"/>
            <w:noWrap/>
            <w:vAlign w:val="bottom"/>
            <w:hideMark/>
          </w:tcPr>
          <w:p w14:paraId="5DC91C46"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074E8419"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6A2E5E50"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0FE51BDA"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636A262D"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477E16" w14:textId="77777777" w:rsidR="0015690E" w:rsidRPr="000007D2" w:rsidRDefault="0015690E" w:rsidP="00507954">
            <w:pPr>
              <w:spacing w:after="0" w:line="240" w:lineRule="auto"/>
              <w:rPr>
                <w:rFonts w:ascii="Calibri" w:hAnsi="Calibri" w:cs="Calibri"/>
                <w:b/>
                <w:bCs/>
                <w:color w:val="000000"/>
                <w:sz w:val="18"/>
                <w:szCs w:val="18"/>
              </w:rPr>
            </w:pPr>
          </w:p>
        </w:tc>
      </w:tr>
      <w:tr w:rsidR="00AA300A" w:rsidRPr="00A33AE8" w14:paraId="0D667B64" w14:textId="77777777" w:rsidTr="005522C1">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E32BC2" w14:textId="77777777" w:rsidR="0015690E" w:rsidRPr="000007D2" w:rsidRDefault="0015690E" w:rsidP="00507954">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auto" w:fill="auto"/>
            <w:noWrap/>
            <w:vAlign w:val="bottom"/>
            <w:hideMark/>
          </w:tcPr>
          <w:p w14:paraId="17128B18"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 </w:t>
            </w:r>
          </w:p>
        </w:tc>
        <w:tc>
          <w:tcPr>
            <w:tcW w:w="687" w:type="dxa"/>
            <w:tcBorders>
              <w:top w:val="nil"/>
              <w:left w:val="nil"/>
              <w:bottom w:val="single" w:sz="4" w:space="0" w:color="auto"/>
              <w:right w:val="single" w:sz="4" w:space="0" w:color="auto"/>
            </w:tcBorders>
            <w:shd w:val="clear" w:color="000000" w:fill="538DD5"/>
            <w:noWrap/>
            <w:vAlign w:val="bottom"/>
            <w:hideMark/>
          </w:tcPr>
          <w:p w14:paraId="3D6ED47C"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639" w:type="dxa"/>
            <w:tcBorders>
              <w:top w:val="nil"/>
              <w:left w:val="nil"/>
              <w:bottom w:val="single" w:sz="4" w:space="0" w:color="auto"/>
              <w:right w:val="single" w:sz="4" w:space="0" w:color="auto"/>
            </w:tcBorders>
            <w:shd w:val="clear" w:color="000000" w:fill="C5D9F1"/>
            <w:noWrap/>
            <w:vAlign w:val="bottom"/>
            <w:hideMark/>
          </w:tcPr>
          <w:p w14:paraId="5FDA7ECC"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800" w:type="dxa"/>
            <w:tcBorders>
              <w:top w:val="nil"/>
              <w:left w:val="nil"/>
              <w:bottom w:val="single" w:sz="4" w:space="0" w:color="auto"/>
              <w:right w:val="single" w:sz="4" w:space="0" w:color="auto"/>
            </w:tcBorders>
            <w:shd w:val="clear" w:color="000000" w:fill="C5D9F1"/>
            <w:noWrap/>
            <w:vAlign w:val="bottom"/>
            <w:hideMark/>
          </w:tcPr>
          <w:p w14:paraId="5C3F4B93"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03431CB9"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805" w:type="dxa"/>
            <w:tcBorders>
              <w:top w:val="nil"/>
              <w:left w:val="nil"/>
              <w:bottom w:val="single" w:sz="4" w:space="0" w:color="auto"/>
              <w:right w:val="single" w:sz="4" w:space="0" w:color="auto"/>
            </w:tcBorders>
            <w:shd w:val="clear" w:color="000000" w:fill="C5D9F1"/>
            <w:noWrap/>
            <w:vAlign w:val="bottom"/>
            <w:hideMark/>
          </w:tcPr>
          <w:p w14:paraId="40B1A246"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79AB32B1"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37C4AA49"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0EC58146"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49FD0A3C"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E754B" w14:textId="77777777" w:rsidR="0015690E" w:rsidRPr="000007D2" w:rsidRDefault="0015690E" w:rsidP="00507954">
            <w:pPr>
              <w:spacing w:after="0" w:line="240" w:lineRule="auto"/>
              <w:rPr>
                <w:rFonts w:ascii="Calibri" w:hAnsi="Calibri" w:cs="Calibri"/>
                <w:b/>
                <w:bCs/>
                <w:color w:val="000000"/>
                <w:sz w:val="18"/>
                <w:szCs w:val="18"/>
              </w:rPr>
            </w:pPr>
          </w:p>
        </w:tc>
      </w:tr>
      <w:tr w:rsidR="00AA300A" w:rsidRPr="00A33AE8" w14:paraId="594D7413" w14:textId="77777777" w:rsidTr="005522C1">
        <w:trPr>
          <w:trHeight w:val="58"/>
          <w:jc w:val="center"/>
        </w:trPr>
        <w:tc>
          <w:tcPr>
            <w:tcW w:w="901"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F986732" w14:textId="77777777" w:rsidR="0015690E" w:rsidRPr="000007D2" w:rsidRDefault="0015690E" w:rsidP="00507954">
            <w:pPr>
              <w:spacing w:after="0" w:line="240" w:lineRule="auto"/>
              <w:rPr>
                <w:rFonts w:ascii="Calibri" w:hAnsi="Calibri" w:cs="Calibri"/>
                <w:b/>
                <w:bCs/>
                <w:color w:val="000000"/>
                <w:sz w:val="18"/>
                <w:szCs w:val="18"/>
              </w:rPr>
            </w:pPr>
          </w:p>
        </w:tc>
        <w:tc>
          <w:tcPr>
            <w:tcW w:w="654" w:type="dxa"/>
            <w:tcBorders>
              <w:top w:val="nil"/>
              <w:left w:val="nil"/>
              <w:bottom w:val="single" w:sz="4" w:space="0" w:color="auto"/>
              <w:right w:val="single" w:sz="4" w:space="0" w:color="auto"/>
            </w:tcBorders>
            <w:shd w:val="clear" w:color="000000" w:fill="538DD5"/>
            <w:noWrap/>
            <w:vAlign w:val="bottom"/>
            <w:hideMark/>
          </w:tcPr>
          <w:p w14:paraId="04BBC807"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687" w:type="dxa"/>
            <w:tcBorders>
              <w:top w:val="nil"/>
              <w:left w:val="nil"/>
              <w:bottom w:val="single" w:sz="4" w:space="0" w:color="auto"/>
              <w:right w:val="single" w:sz="4" w:space="0" w:color="auto"/>
            </w:tcBorders>
            <w:shd w:val="clear" w:color="000000" w:fill="C5D9F1"/>
            <w:noWrap/>
            <w:vAlign w:val="bottom"/>
            <w:hideMark/>
          </w:tcPr>
          <w:p w14:paraId="32F5665F"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639" w:type="dxa"/>
            <w:tcBorders>
              <w:top w:val="nil"/>
              <w:left w:val="nil"/>
              <w:bottom w:val="single" w:sz="4" w:space="0" w:color="auto"/>
              <w:right w:val="single" w:sz="4" w:space="0" w:color="auto"/>
            </w:tcBorders>
            <w:shd w:val="clear" w:color="000000" w:fill="C5D9F1"/>
            <w:noWrap/>
            <w:vAlign w:val="bottom"/>
            <w:hideMark/>
          </w:tcPr>
          <w:p w14:paraId="0B651C56"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800" w:type="dxa"/>
            <w:tcBorders>
              <w:top w:val="nil"/>
              <w:left w:val="nil"/>
              <w:bottom w:val="single" w:sz="4" w:space="0" w:color="auto"/>
              <w:right w:val="single" w:sz="4" w:space="0" w:color="auto"/>
            </w:tcBorders>
            <w:shd w:val="clear" w:color="000000" w:fill="C5D9F1"/>
            <w:noWrap/>
            <w:vAlign w:val="bottom"/>
            <w:hideMark/>
          </w:tcPr>
          <w:p w14:paraId="40FCD035"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3DCC473D"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805" w:type="dxa"/>
            <w:tcBorders>
              <w:top w:val="nil"/>
              <w:left w:val="nil"/>
              <w:bottom w:val="single" w:sz="4" w:space="0" w:color="auto"/>
              <w:right w:val="single" w:sz="4" w:space="0" w:color="auto"/>
            </w:tcBorders>
            <w:shd w:val="clear" w:color="000000" w:fill="C5D9F1"/>
            <w:noWrap/>
            <w:vAlign w:val="bottom"/>
            <w:hideMark/>
          </w:tcPr>
          <w:p w14:paraId="60D5BBA9"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028D2DB2"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7D1EBD55"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1F526483"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797" w:type="dxa"/>
            <w:tcBorders>
              <w:top w:val="nil"/>
              <w:left w:val="nil"/>
              <w:bottom w:val="single" w:sz="4" w:space="0" w:color="auto"/>
              <w:right w:val="single" w:sz="4" w:space="0" w:color="auto"/>
            </w:tcBorders>
            <w:shd w:val="clear" w:color="000000" w:fill="C5D9F1"/>
            <w:noWrap/>
            <w:vAlign w:val="bottom"/>
            <w:hideMark/>
          </w:tcPr>
          <w:p w14:paraId="36E6BF18" w14:textId="77777777" w:rsidR="0015690E" w:rsidRPr="000007D2" w:rsidRDefault="0015690E" w:rsidP="00507954">
            <w:pPr>
              <w:spacing w:after="0" w:line="240" w:lineRule="auto"/>
              <w:jc w:val="center"/>
              <w:rPr>
                <w:rFonts w:cstheme="minorHAnsi"/>
                <w:color w:val="000000"/>
                <w:sz w:val="18"/>
                <w:szCs w:val="18"/>
              </w:rPr>
            </w:pPr>
            <w:r w:rsidRPr="000007D2">
              <w:rPr>
                <w:rFonts w:cstheme="minorHAnsi"/>
                <w:color w:val="000000"/>
                <w:sz w:val="18"/>
                <w:szCs w:val="18"/>
              </w:rPr>
              <w:t>0</w:t>
            </w:r>
          </w:p>
        </w:tc>
        <w:tc>
          <w:tcPr>
            <w:tcW w:w="115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3DDCD3" w14:textId="77777777" w:rsidR="0015690E" w:rsidRPr="000007D2" w:rsidRDefault="0015690E" w:rsidP="00507954">
            <w:pPr>
              <w:spacing w:after="0" w:line="240" w:lineRule="auto"/>
              <w:rPr>
                <w:rFonts w:ascii="Calibri" w:hAnsi="Calibri" w:cs="Calibri"/>
                <w:b/>
                <w:bCs/>
                <w:color w:val="000000"/>
                <w:sz w:val="18"/>
                <w:szCs w:val="18"/>
              </w:rPr>
            </w:pPr>
          </w:p>
        </w:tc>
      </w:tr>
      <w:tr w:rsidR="000007D2" w:rsidRPr="00A33AE8" w14:paraId="1E05D3C2" w14:textId="77777777" w:rsidTr="000007D2">
        <w:trPr>
          <w:trHeight w:val="58"/>
          <w:jc w:val="center"/>
        </w:trPr>
        <w:tc>
          <w:tcPr>
            <w:tcW w:w="90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B6AEC8D" w14:textId="77777777" w:rsidR="0015690E" w:rsidRPr="000007D2" w:rsidRDefault="0015690E" w:rsidP="00507954">
            <w:pPr>
              <w:spacing w:after="0" w:line="240" w:lineRule="auto"/>
              <w:jc w:val="center"/>
              <w:rPr>
                <w:rFonts w:ascii="Calibri" w:hAnsi="Calibri" w:cs="Calibri"/>
                <w:b/>
                <w:bCs/>
                <w:color w:val="000000"/>
                <w:sz w:val="18"/>
                <w:szCs w:val="18"/>
              </w:rPr>
            </w:pPr>
            <w:r w:rsidRPr="000007D2">
              <w:rPr>
                <w:rFonts w:ascii="Calibri" w:hAnsi="Calibri" w:cs="Calibri"/>
                <w:b/>
                <w:bCs/>
                <w:color w:val="000000"/>
                <w:sz w:val="18"/>
                <w:szCs w:val="18"/>
              </w:rPr>
              <w:t>Total</w:t>
            </w:r>
          </w:p>
        </w:tc>
        <w:tc>
          <w:tcPr>
            <w:tcW w:w="654" w:type="dxa"/>
            <w:tcBorders>
              <w:top w:val="nil"/>
              <w:left w:val="nil"/>
              <w:bottom w:val="single" w:sz="4" w:space="0" w:color="auto"/>
              <w:right w:val="single" w:sz="4" w:space="0" w:color="auto"/>
            </w:tcBorders>
            <w:shd w:val="clear" w:color="auto" w:fill="D9D9D9" w:themeFill="background1" w:themeFillShade="D9"/>
            <w:noWrap/>
            <w:vAlign w:val="bottom"/>
            <w:hideMark/>
          </w:tcPr>
          <w:p w14:paraId="20018310"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0</w:t>
            </w:r>
          </w:p>
        </w:tc>
        <w:tc>
          <w:tcPr>
            <w:tcW w:w="687" w:type="dxa"/>
            <w:tcBorders>
              <w:top w:val="nil"/>
              <w:left w:val="nil"/>
              <w:bottom w:val="single" w:sz="4" w:space="0" w:color="auto"/>
              <w:right w:val="single" w:sz="4" w:space="0" w:color="auto"/>
            </w:tcBorders>
            <w:shd w:val="clear" w:color="auto" w:fill="D9D9D9" w:themeFill="background1" w:themeFillShade="D9"/>
            <w:noWrap/>
            <w:vAlign w:val="bottom"/>
            <w:hideMark/>
          </w:tcPr>
          <w:p w14:paraId="750DCC3C"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0</w:t>
            </w:r>
          </w:p>
        </w:tc>
        <w:tc>
          <w:tcPr>
            <w:tcW w:w="639" w:type="dxa"/>
            <w:tcBorders>
              <w:top w:val="nil"/>
              <w:left w:val="nil"/>
              <w:bottom w:val="single" w:sz="4" w:space="0" w:color="auto"/>
              <w:right w:val="single" w:sz="4" w:space="0" w:color="auto"/>
            </w:tcBorders>
            <w:shd w:val="clear" w:color="auto" w:fill="D9D9D9" w:themeFill="background1" w:themeFillShade="D9"/>
            <w:noWrap/>
            <w:vAlign w:val="bottom"/>
            <w:hideMark/>
          </w:tcPr>
          <w:p w14:paraId="2D610851"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0</w:t>
            </w:r>
          </w:p>
        </w:tc>
        <w:tc>
          <w:tcPr>
            <w:tcW w:w="800" w:type="dxa"/>
            <w:tcBorders>
              <w:top w:val="nil"/>
              <w:left w:val="nil"/>
              <w:bottom w:val="single" w:sz="4" w:space="0" w:color="auto"/>
              <w:right w:val="single" w:sz="4" w:space="0" w:color="auto"/>
            </w:tcBorders>
            <w:shd w:val="clear" w:color="auto" w:fill="D9D9D9" w:themeFill="background1" w:themeFillShade="D9"/>
            <w:noWrap/>
            <w:vAlign w:val="bottom"/>
            <w:hideMark/>
          </w:tcPr>
          <w:p w14:paraId="7E88E244" w14:textId="77777777" w:rsidR="0015690E" w:rsidRPr="000007D2" w:rsidRDefault="005522C1" w:rsidP="00507954">
            <w:pPr>
              <w:spacing w:after="0" w:line="240" w:lineRule="auto"/>
              <w:jc w:val="center"/>
              <w:rPr>
                <w:rFonts w:cstheme="minorHAnsi"/>
                <w:b/>
                <w:bCs/>
                <w:color w:val="000000"/>
                <w:sz w:val="18"/>
                <w:szCs w:val="18"/>
              </w:rPr>
            </w:pPr>
            <w:r w:rsidRPr="000007D2">
              <w:rPr>
                <w:rFonts w:cstheme="minorHAnsi"/>
                <w:b/>
                <w:bCs/>
                <w:color w:val="000000"/>
                <w:sz w:val="18"/>
                <w:szCs w:val="18"/>
              </w:rPr>
              <w:t>72.25</w:t>
            </w:r>
          </w:p>
        </w:tc>
        <w:tc>
          <w:tcPr>
            <w:tcW w:w="797" w:type="dxa"/>
            <w:tcBorders>
              <w:top w:val="nil"/>
              <w:left w:val="nil"/>
              <w:bottom w:val="single" w:sz="4" w:space="0" w:color="auto"/>
              <w:right w:val="single" w:sz="4" w:space="0" w:color="auto"/>
            </w:tcBorders>
            <w:shd w:val="clear" w:color="auto" w:fill="D9D9D9" w:themeFill="background1" w:themeFillShade="D9"/>
            <w:noWrap/>
            <w:vAlign w:val="bottom"/>
            <w:hideMark/>
          </w:tcPr>
          <w:p w14:paraId="645D388C"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144</w:t>
            </w:r>
            <w:r w:rsidR="005522C1" w:rsidRPr="000007D2">
              <w:rPr>
                <w:rFonts w:cstheme="minorHAnsi"/>
                <w:b/>
                <w:bCs/>
                <w:color w:val="000000"/>
                <w:sz w:val="18"/>
                <w:szCs w:val="18"/>
              </w:rPr>
              <w:t>.50</w:t>
            </w:r>
          </w:p>
        </w:tc>
        <w:tc>
          <w:tcPr>
            <w:tcW w:w="805" w:type="dxa"/>
            <w:tcBorders>
              <w:top w:val="nil"/>
              <w:left w:val="nil"/>
              <w:bottom w:val="single" w:sz="4" w:space="0" w:color="auto"/>
              <w:right w:val="single" w:sz="4" w:space="0" w:color="auto"/>
            </w:tcBorders>
            <w:shd w:val="clear" w:color="auto" w:fill="D9D9D9" w:themeFill="background1" w:themeFillShade="D9"/>
            <w:noWrap/>
            <w:vAlign w:val="bottom"/>
            <w:hideMark/>
          </w:tcPr>
          <w:p w14:paraId="674F37C9"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217</w:t>
            </w:r>
            <w:r w:rsidR="005522C1" w:rsidRPr="000007D2">
              <w:rPr>
                <w:rFonts w:cstheme="minorHAnsi"/>
                <w:b/>
                <w:bCs/>
                <w:color w:val="000000"/>
                <w:sz w:val="18"/>
                <w:szCs w:val="18"/>
              </w:rPr>
              <w:t>.75</w:t>
            </w:r>
          </w:p>
        </w:tc>
        <w:tc>
          <w:tcPr>
            <w:tcW w:w="797" w:type="dxa"/>
            <w:tcBorders>
              <w:top w:val="nil"/>
              <w:left w:val="nil"/>
              <w:bottom w:val="single" w:sz="4" w:space="0" w:color="auto"/>
              <w:right w:val="single" w:sz="4" w:space="0" w:color="auto"/>
            </w:tcBorders>
            <w:shd w:val="clear" w:color="auto" w:fill="D9D9D9" w:themeFill="background1" w:themeFillShade="D9"/>
            <w:noWrap/>
            <w:vAlign w:val="bottom"/>
            <w:hideMark/>
          </w:tcPr>
          <w:p w14:paraId="651C0D8F"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289</w:t>
            </w:r>
            <w:r w:rsidR="005522C1" w:rsidRPr="000007D2">
              <w:rPr>
                <w:rFonts w:cstheme="minorHAnsi"/>
                <w:b/>
                <w:bCs/>
                <w:color w:val="000000"/>
                <w:sz w:val="18"/>
                <w:szCs w:val="18"/>
              </w:rPr>
              <w:t>.00</w:t>
            </w:r>
          </w:p>
        </w:tc>
        <w:tc>
          <w:tcPr>
            <w:tcW w:w="797" w:type="dxa"/>
            <w:tcBorders>
              <w:top w:val="nil"/>
              <w:left w:val="nil"/>
              <w:bottom w:val="single" w:sz="4" w:space="0" w:color="auto"/>
              <w:right w:val="single" w:sz="4" w:space="0" w:color="auto"/>
            </w:tcBorders>
            <w:shd w:val="clear" w:color="auto" w:fill="D9D9D9" w:themeFill="background1" w:themeFillShade="D9"/>
            <w:noWrap/>
            <w:vAlign w:val="bottom"/>
            <w:hideMark/>
          </w:tcPr>
          <w:p w14:paraId="0041043D"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361</w:t>
            </w:r>
            <w:r w:rsidR="005522C1" w:rsidRPr="000007D2">
              <w:rPr>
                <w:rFonts w:cstheme="minorHAnsi"/>
                <w:b/>
                <w:bCs/>
                <w:color w:val="000000"/>
                <w:sz w:val="18"/>
                <w:szCs w:val="18"/>
              </w:rPr>
              <w:t>.25</w:t>
            </w:r>
          </w:p>
        </w:tc>
        <w:tc>
          <w:tcPr>
            <w:tcW w:w="797" w:type="dxa"/>
            <w:tcBorders>
              <w:top w:val="nil"/>
              <w:left w:val="nil"/>
              <w:bottom w:val="single" w:sz="4" w:space="0" w:color="auto"/>
              <w:right w:val="single" w:sz="4" w:space="0" w:color="auto"/>
            </w:tcBorders>
            <w:shd w:val="clear" w:color="auto" w:fill="D9D9D9" w:themeFill="background1" w:themeFillShade="D9"/>
            <w:noWrap/>
            <w:vAlign w:val="bottom"/>
            <w:hideMark/>
          </w:tcPr>
          <w:p w14:paraId="594C511B"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433</w:t>
            </w:r>
            <w:r w:rsidR="005522C1" w:rsidRPr="000007D2">
              <w:rPr>
                <w:rFonts w:cstheme="minorHAnsi"/>
                <w:b/>
                <w:bCs/>
                <w:color w:val="000000"/>
                <w:sz w:val="18"/>
                <w:szCs w:val="18"/>
              </w:rPr>
              <w:t>.50</w:t>
            </w:r>
          </w:p>
        </w:tc>
        <w:tc>
          <w:tcPr>
            <w:tcW w:w="797" w:type="dxa"/>
            <w:tcBorders>
              <w:top w:val="nil"/>
              <w:left w:val="nil"/>
              <w:bottom w:val="single" w:sz="4" w:space="0" w:color="auto"/>
              <w:right w:val="single" w:sz="4" w:space="0" w:color="auto"/>
            </w:tcBorders>
            <w:shd w:val="clear" w:color="auto" w:fill="D9D9D9" w:themeFill="background1" w:themeFillShade="D9"/>
            <w:noWrap/>
            <w:vAlign w:val="bottom"/>
            <w:hideMark/>
          </w:tcPr>
          <w:p w14:paraId="5FD05472" w14:textId="77777777" w:rsidR="0015690E" w:rsidRPr="000007D2" w:rsidRDefault="0015690E" w:rsidP="00507954">
            <w:pPr>
              <w:spacing w:after="0" w:line="240" w:lineRule="auto"/>
              <w:jc w:val="center"/>
              <w:rPr>
                <w:rFonts w:cstheme="minorHAnsi"/>
                <w:b/>
                <w:bCs/>
                <w:color w:val="000000"/>
                <w:sz w:val="18"/>
                <w:szCs w:val="18"/>
              </w:rPr>
            </w:pPr>
            <w:r w:rsidRPr="000007D2">
              <w:rPr>
                <w:rFonts w:cstheme="minorHAnsi"/>
                <w:b/>
                <w:bCs/>
                <w:color w:val="000000"/>
                <w:sz w:val="18"/>
                <w:szCs w:val="18"/>
              </w:rPr>
              <w:t>506</w:t>
            </w:r>
            <w:r w:rsidR="005522C1" w:rsidRPr="000007D2">
              <w:rPr>
                <w:rFonts w:cstheme="minorHAnsi"/>
                <w:b/>
                <w:bCs/>
                <w:color w:val="000000"/>
                <w:sz w:val="18"/>
                <w:szCs w:val="18"/>
              </w:rPr>
              <w:t>.75</w:t>
            </w:r>
          </w:p>
        </w:tc>
        <w:tc>
          <w:tcPr>
            <w:tcW w:w="1157" w:type="dxa"/>
            <w:tcBorders>
              <w:top w:val="nil"/>
              <w:left w:val="nil"/>
              <w:bottom w:val="single" w:sz="4" w:space="0" w:color="auto"/>
              <w:right w:val="single" w:sz="4" w:space="0" w:color="auto"/>
            </w:tcBorders>
            <w:shd w:val="clear" w:color="auto" w:fill="D9D9D9" w:themeFill="background1" w:themeFillShade="D9"/>
            <w:noWrap/>
            <w:vAlign w:val="bottom"/>
            <w:hideMark/>
          </w:tcPr>
          <w:p w14:paraId="56448742" w14:textId="77777777" w:rsidR="0015690E" w:rsidRPr="000007D2" w:rsidRDefault="005522C1" w:rsidP="00507954">
            <w:pPr>
              <w:spacing w:after="0" w:line="240" w:lineRule="auto"/>
              <w:jc w:val="center"/>
              <w:rPr>
                <w:rFonts w:ascii="Calibri" w:hAnsi="Calibri" w:cs="Calibri"/>
                <w:b/>
                <w:bCs/>
                <w:color w:val="000000"/>
                <w:sz w:val="18"/>
                <w:szCs w:val="18"/>
              </w:rPr>
            </w:pPr>
            <w:r w:rsidRPr="000007D2">
              <w:rPr>
                <w:rFonts w:ascii="Calibri" w:hAnsi="Calibri" w:cs="Calibri"/>
                <w:b/>
                <w:bCs/>
                <w:color w:val="000000"/>
                <w:sz w:val="18"/>
                <w:szCs w:val="18"/>
              </w:rPr>
              <w:t>2022.99</w:t>
            </w:r>
          </w:p>
        </w:tc>
      </w:tr>
    </w:tbl>
    <w:p w14:paraId="609978B7" w14:textId="77777777" w:rsidR="00E452D8" w:rsidRPr="00A33AE8" w:rsidRDefault="00E452D8" w:rsidP="00E452D8">
      <w:pPr>
        <w:pStyle w:val="Caption"/>
        <w:keepNext/>
        <w:spacing w:after="120"/>
        <w:jc w:val="both"/>
        <w:rPr>
          <w:rFonts w:asciiTheme="minorHAnsi" w:hAnsiTheme="minorHAnsi" w:cstheme="minorHAnsi"/>
          <w:b w:val="0"/>
          <w:color w:val="000000"/>
        </w:rPr>
      </w:pPr>
    </w:p>
    <w:p w14:paraId="7AB8EA01" w14:textId="77777777" w:rsidR="00F32687" w:rsidRPr="000007D2" w:rsidRDefault="00D2554B" w:rsidP="00F32687">
      <w:pPr>
        <w:pStyle w:val="Caption"/>
        <w:keepNext/>
        <w:spacing w:after="240"/>
        <w:jc w:val="both"/>
        <w:rPr>
          <w:rFonts w:asciiTheme="majorHAnsi" w:hAnsiTheme="majorHAnsi" w:cstheme="majorHAnsi"/>
          <w:b w:val="0"/>
          <w:bCs w:val="0"/>
          <w:color w:val="000000"/>
        </w:rPr>
      </w:pPr>
      <w:r w:rsidRPr="00A33AE8">
        <w:rPr>
          <w:rFonts w:asciiTheme="majorHAnsi" w:hAnsiTheme="majorHAnsi" w:cstheme="majorHAnsi"/>
          <w:b w:val="0"/>
          <w:color w:val="000000"/>
        </w:rPr>
        <w:t xml:space="preserve">The alternative measures, which will contribute to the fulfilment of Article 7’s target in the period 2024-2030, are presented in </w:t>
      </w:r>
      <w:r w:rsidRPr="00A33AE8">
        <w:fldChar w:fldCharType="begin"/>
      </w:r>
      <w:r w:rsidRPr="00A33AE8">
        <w:instrText xml:space="preserve"> REF _Ref96502955 \h  \* MERGEFORMAT </w:instrText>
      </w:r>
      <w:r w:rsidRPr="00A33AE8">
        <w:fldChar w:fldCharType="separate"/>
      </w:r>
      <w:r w:rsidR="00D45204" w:rsidRPr="00A33AE8">
        <w:rPr>
          <w:rFonts w:asciiTheme="majorHAnsi" w:hAnsiTheme="majorHAnsi" w:cstheme="majorHAnsi"/>
          <w:b w:val="0"/>
          <w:color w:val="000000"/>
        </w:rPr>
        <w:t>Table 3.2</w:t>
      </w:r>
      <w:r w:rsidRPr="00A33AE8">
        <w:fldChar w:fldCharType="end"/>
      </w:r>
      <w:r w:rsidR="008F7109" w:rsidRPr="00A33AE8">
        <w:rPr>
          <w:rFonts w:asciiTheme="majorHAnsi" w:hAnsiTheme="majorHAnsi" w:cstheme="majorHAnsi"/>
          <w:b w:val="0"/>
          <w:color w:val="000000"/>
        </w:rPr>
        <w:t xml:space="preserve"> taking into consideration the </w:t>
      </w:r>
      <w:r w:rsidR="00081D7A" w:rsidRPr="00A33AE8">
        <w:rPr>
          <w:rFonts w:asciiTheme="majorHAnsi" w:hAnsiTheme="majorHAnsi" w:cstheme="majorHAnsi"/>
          <w:b w:val="0"/>
          <w:color w:val="000000"/>
        </w:rPr>
        <w:t>contribution</w:t>
      </w:r>
      <w:r w:rsidR="008F7109" w:rsidRPr="00A33AE8">
        <w:rPr>
          <w:rFonts w:asciiTheme="majorHAnsi" w:hAnsiTheme="majorHAnsi" w:cstheme="majorHAnsi"/>
          <w:b w:val="0"/>
          <w:color w:val="000000"/>
        </w:rPr>
        <w:t xml:space="preserve"> of each measure as presented in the following sections of the </w:t>
      </w:r>
      <w:r w:rsidR="00723D73">
        <w:rPr>
          <w:rFonts w:asciiTheme="majorHAnsi" w:hAnsiTheme="majorHAnsi" w:cstheme="majorHAnsi"/>
          <w:b w:val="0"/>
          <w:color w:val="000000"/>
        </w:rPr>
        <w:t>I</w:t>
      </w:r>
      <w:r w:rsidR="008F7109" w:rsidRPr="00A33AE8">
        <w:rPr>
          <w:rFonts w:asciiTheme="majorHAnsi" w:hAnsiTheme="majorHAnsi" w:cstheme="majorHAnsi"/>
          <w:b w:val="0"/>
          <w:color w:val="000000"/>
        </w:rPr>
        <w:t>NECP</w:t>
      </w:r>
      <w:r w:rsidRPr="00A33AE8">
        <w:rPr>
          <w:rFonts w:asciiTheme="majorHAnsi" w:hAnsiTheme="majorHAnsi" w:cstheme="majorHAnsi"/>
          <w:b w:val="0"/>
          <w:color w:val="000000"/>
        </w:rPr>
        <w:t>. It should be noted that only the energy efficiency interventions, which will be occurred after 2024, has been taking into consideration for calculating their contribution</w:t>
      </w:r>
      <w:r w:rsidR="00F32687" w:rsidRPr="000007D2">
        <w:rPr>
          <w:rFonts w:asciiTheme="majorHAnsi" w:hAnsiTheme="majorHAnsi" w:cstheme="majorHAnsi"/>
          <w:b w:val="0"/>
          <w:color w:val="000000"/>
        </w:rPr>
        <w:t xml:space="preserve">, </w:t>
      </w:r>
      <w:r w:rsidR="00F32687" w:rsidRPr="000007D2">
        <w:rPr>
          <w:rFonts w:asciiTheme="majorHAnsi" w:hAnsiTheme="majorHAnsi" w:cstheme="majorHAnsi"/>
          <w:b w:val="0"/>
          <w:bCs w:val="0"/>
          <w:color w:val="000000"/>
        </w:rPr>
        <w:t>where it should be borne in mind that in accordance with the Decision D/2021/14/MC-EnC of the Ministerial Council of the Energy Community in order to achieve the goals based on Article 7, the savings generated in the specified period as a result of the implemented measures can be taken into account in the period from 2021 to 2024.</w:t>
      </w:r>
    </w:p>
    <w:p w14:paraId="22F62D4A" w14:textId="3F229D75" w:rsidR="00466346" w:rsidRPr="00A33AE8" w:rsidRDefault="00466346" w:rsidP="00507954">
      <w:pPr>
        <w:pStyle w:val="Caption"/>
        <w:keepNext/>
      </w:pPr>
      <w:bookmarkStart w:id="158" w:name="_Ref96502955"/>
      <w:bookmarkStart w:id="159" w:name="_Toc118992365"/>
      <w:bookmarkStart w:id="160" w:name="_Toc153545071"/>
      <w:r w:rsidRPr="00A33AE8">
        <w:t xml:space="preserve">Table </w:t>
      </w:r>
      <w:r w:rsidR="006E0533">
        <w:fldChar w:fldCharType="begin"/>
      </w:r>
      <w:r w:rsidR="006E0533">
        <w:instrText xml:space="preserve"> STYLEREF 1 \s </w:instrText>
      </w:r>
      <w:r w:rsidR="006E0533">
        <w:fldChar w:fldCharType="separate"/>
      </w:r>
      <w:r w:rsidR="00A84B9C">
        <w:rPr>
          <w:noProof/>
        </w:rPr>
        <w:t>3</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w:t>
      </w:r>
      <w:r w:rsidR="006E0533">
        <w:rPr>
          <w:noProof/>
        </w:rPr>
        <w:fldChar w:fldCharType="end"/>
      </w:r>
      <w:bookmarkEnd w:id="158"/>
      <w:r w:rsidRPr="00A33AE8">
        <w:t xml:space="preserve">: </w:t>
      </w:r>
      <w:r w:rsidRPr="00A33AE8">
        <w:rPr>
          <w:rFonts w:asciiTheme="minorHAnsi" w:hAnsiTheme="minorHAnsi" w:cstheme="minorHAnsi"/>
        </w:rPr>
        <w:t>Selected alternative measures for the achievement of Article 7’s target in the period 2024-2030</w:t>
      </w:r>
      <w:bookmarkEnd w:id="159"/>
      <w:bookmarkEnd w:id="160"/>
    </w:p>
    <w:tbl>
      <w:tblPr>
        <w:tblW w:w="9299" w:type="dxa"/>
        <w:jc w:val="center"/>
        <w:tblLook w:val="04A0" w:firstRow="1" w:lastRow="0" w:firstColumn="1" w:lastColumn="0" w:noHBand="0" w:noVBand="1"/>
      </w:tblPr>
      <w:tblGrid>
        <w:gridCol w:w="7031"/>
        <w:gridCol w:w="2268"/>
      </w:tblGrid>
      <w:tr w:rsidR="003E401B" w:rsidRPr="00A33AE8" w14:paraId="3C84DEFD" w14:textId="77777777" w:rsidTr="00507954">
        <w:trPr>
          <w:trHeight w:val="288"/>
          <w:jc w:val="center"/>
        </w:trPr>
        <w:tc>
          <w:tcPr>
            <w:tcW w:w="7031"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9342C59" w14:textId="77777777" w:rsidR="003E401B" w:rsidRPr="00A33AE8" w:rsidRDefault="003E401B" w:rsidP="003E401B">
            <w:pPr>
              <w:spacing w:after="0"/>
              <w:jc w:val="center"/>
              <w:rPr>
                <w:rFonts w:ascii="Calibri" w:hAnsi="Calibri" w:cs="Calibri"/>
                <w:b/>
                <w:bCs/>
                <w:color w:val="FFFFFF" w:themeColor="background1"/>
                <w:sz w:val="20"/>
                <w:szCs w:val="20"/>
              </w:rPr>
            </w:pPr>
            <w:r w:rsidRPr="00A33AE8">
              <w:rPr>
                <w:rFonts w:ascii="Calibri" w:hAnsi="Calibri" w:cs="Calibri"/>
                <w:b/>
                <w:bCs/>
                <w:color w:val="FFFFFF" w:themeColor="background1"/>
                <w:sz w:val="20"/>
                <w:szCs w:val="20"/>
              </w:rPr>
              <w:t>Alternative measures</w:t>
            </w:r>
          </w:p>
        </w:tc>
        <w:tc>
          <w:tcPr>
            <w:tcW w:w="2268" w:type="dxa"/>
            <w:tcBorders>
              <w:top w:val="single" w:sz="4" w:space="0" w:color="auto"/>
              <w:left w:val="nil"/>
              <w:bottom w:val="single" w:sz="4" w:space="0" w:color="auto"/>
              <w:right w:val="single" w:sz="4" w:space="0" w:color="auto"/>
            </w:tcBorders>
            <w:shd w:val="clear" w:color="auto" w:fill="002060"/>
            <w:noWrap/>
            <w:vAlign w:val="bottom"/>
            <w:hideMark/>
          </w:tcPr>
          <w:p w14:paraId="41964293" w14:textId="77777777" w:rsidR="003E401B" w:rsidRPr="00A33AE8" w:rsidRDefault="003E401B" w:rsidP="003E401B">
            <w:pPr>
              <w:spacing w:after="0"/>
              <w:jc w:val="center"/>
              <w:rPr>
                <w:rFonts w:ascii="Calibri" w:hAnsi="Calibri" w:cs="Calibri"/>
                <w:b/>
                <w:bCs/>
                <w:color w:val="FFFFFF" w:themeColor="background1"/>
                <w:sz w:val="20"/>
                <w:szCs w:val="20"/>
              </w:rPr>
            </w:pPr>
            <w:r w:rsidRPr="00A33AE8">
              <w:rPr>
                <w:rFonts w:ascii="Calibri" w:hAnsi="Calibri" w:cs="Calibri"/>
                <w:b/>
                <w:bCs/>
                <w:color w:val="FFFFFF" w:themeColor="background1"/>
                <w:sz w:val="20"/>
                <w:szCs w:val="20"/>
              </w:rPr>
              <w:t>Annual savings (ktoe)</w:t>
            </w:r>
          </w:p>
        </w:tc>
      </w:tr>
      <w:tr w:rsidR="00484D72" w:rsidRPr="00A33AE8" w14:paraId="110F9DF4"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06B64BA"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Promotion of EE measures in industrial sector (PM_EE21, PM_EE22 and PM_EE23)</w:t>
            </w:r>
          </w:p>
        </w:tc>
        <w:tc>
          <w:tcPr>
            <w:tcW w:w="2268" w:type="dxa"/>
            <w:tcBorders>
              <w:top w:val="nil"/>
              <w:left w:val="nil"/>
              <w:bottom w:val="single" w:sz="4" w:space="0" w:color="auto"/>
              <w:right w:val="single" w:sz="4" w:space="0" w:color="auto"/>
            </w:tcBorders>
            <w:shd w:val="clear" w:color="000000" w:fill="FFFFFF"/>
            <w:noWrap/>
            <w:vAlign w:val="bottom"/>
            <w:hideMark/>
          </w:tcPr>
          <w:p w14:paraId="43042516"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273</w:t>
            </w:r>
          </w:p>
        </w:tc>
      </w:tr>
      <w:tr w:rsidR="00484D72" w:rsidRPr="00A33AE8" w14:paraId="60325905"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F2B4EC4"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Promotion of electric passenger vehicles (PM_EE13)</w:t>
            </w:r>
          </w:p>
        </w:tc>
        <w:tc>
          <w:tcPr>
            <w:tcW w:w="2268" w:type="dxa"/>
            <w:tcBorders>
              <w:top w:val="nil"/>
              <w:left w:val="nil"/>
              <w:bottom w:val="single" w:sz="4" w:space="0" w:color="auto"/>
              <w:right w:val="single" w:sz="4" w:space="0" w:color="auto"/>
            </w:tcBorders>
            <w:shd w:val="clear" w:color="000000" w:fill="FFFFFF"/>
            <w:noWrap/>
            <w:vAlign w:val="bottom"/>
            <w:hideMark/>
          </w:tcPr>
          <w:p w14:paraId="5B7986B9"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4</w:t>
            </w:r>
          </w:p>
        </w:tc>
      </w:tr>
      <w:tr w:rsidR="00484D72" w:rsidRPr="00A33AE8" w14:paraId="464221B8"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68E11A7"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Promotion of electric LDV (PM_EE14)</w:t>
            </w:r>
          </w:p>
        </w:tc>
        <w:tc>
          <w:tcPr>
            <w:tcW w:w="2268" w:type="dxa"/>
            <w:tcBorders>
              <w:top w:val="nil"/>
              <w:left w:val="nil"/>
              <w:bottom w:val="single" w:sz="4" w:space="0" w:color="auto"/>
              <w:right w:val="single" w:sz="4" w:space="0" w:color="auto"/>
            </w:tcBorders>
            <w:shd w:val="clear" w:color="000000" w:fill="FFFFFF"/>
            <w:noWrap/>
            <w:vAlign w:val="bottom"/>
            <w:hideMark/>
          </w:tcPr>
          <w:p w14:paraId="1347D850"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12</w:t>
            </w:r>
          </w:p>
        </w:tc>
      </w:tr>
      <w:tr w:rsidR="00484D72" w:rsidRPr="00A33AE8" w14:paraId="1AC153FF"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2147392"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Promotion of electric buses (PM_EE18)</w:t>
            </w:r>
          </w:p>
        </w:tc>
        <w:tc>
          <w:tcPr>
            <w:tcW w:w="2268" w:type="dxa"/>
            <w:tcBorders>
              <w:top w:val="nil"/>
              <w:left w:val="nil"/>
              <w:bottom w:val="single" w:sz="4" w:space="0" w:color="auto"/>
              <w:right w:val="single" w:sz="4" w:space="0" w:color="auto"/>
            </w:tcBorders>
            <w:shd w:val="clear" w:color="000000" w:fill="FFFFFF"/>
            <w:noWrap/>
            <w:vAlign w:val="bottom"/>
            <w:hideMark/>
          </w:tcPr>
          <w:p w14:paraId="15A29F2E"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17</w:t>
            </w:r>
          </w:p>
        </w:tc>
      </w:tr>
      <w:tr w:rsidR="00484D72" w:rsidRPr="00A33AE8" w14:paraId="17237013"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C01E87"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Upgrade of building envelope in residential sector (PM_EE1)</w:t>
            </w:r>
          </w:p>
        </w:tc>
        <w:tc>
          <w:tcPr>
            <w:tcW w:w="2268" w:type="dxa"/>
            <w:tcBorders>
              <w:top w:val="nil"/>
              <w:left w:val="nil"/>
              <w:bottom w:val="single" w:sz="4" w:space="0" w:color="auto"/>
              <w:right w:val="single" w:sz="4" w:space="0" w:color="auto"/>
            </w:tcBorders>
            <w:shd w:val="clear" w:color="000000" w:fill="FFFFFF"/>
            <w:noWrap/>
            <w:vAlign w:val="bottom"/>
            <w:hideMark/>
          </w:tcPr>
          <w:p w14:paraId="365FE00F"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35</w:t>
            </w:r>
          </w:p>
        </w:tc>
      </w:tr>
      <w:tr w:rsidR="00484D72" w:rsidRPr="00A33AE8" w14:paraId="5AF3E11B"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58F4D76"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Upgrade of building envelope in tertiary sector (PM_EE2 and PM_EE3)</w:t>
            </w:r>
          </w:p>
        </w:tc>
        <w:tc>
          <w:tcPr>
            <w:tcW w:w="2268" w:type="dxa"/>
            <w:tcBorders>
              <w:top w:val="nil"/>
              <w:left w:val="nil"/>
              <w:bottom w:val="single" w:sz="4" w:space="0" w:color="auto"/>
              <w:right w:val="single" w:sz="4" w:space="0" w:color="auto"/>
            </w:tcBorders>
            <w:shd w:val="clear" w:color="000000" w:fill="FFFFFF"/>
            <w:noWrap/>
            <w:vAlign w:val="bottom"/>
            <w:hideMark/>
          </w:tcPr>
          <w:p w14:paraId="259B896D"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37</w:t>
            </w:r>
          </w:p>
        </w:tc>
      </w:tr>
      <w:tr w:rsidR="00484D72" w:rsidRPr="00A33AE8" w14:paraId="194FAD7A"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90F9FB9"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lastRenderedPageBreak/>
              <w:t>Installation of heat pumps (PM_EE1, PM_EE2 and PM_EE3)</w:t>
            </w:r>
          </w:p>
        </w:tc>
        <w:tc>
          <w:tcPr>
            <w:tcW w:w="2268" w:type="dxa"/>
            <w:tcBorders>
              <w:top w:val="nil"/>
              <w:left w:val="nil"/>
              <w:bottom w:val="single" w:sz="4" w:space="0" w:color="auto"/>
              <w:right w:val="single" w:sz="4" w:space="0" w:color="auto"/>
            </w:tcBorders>
            <w:shd w:val="clear" w:color="000000" w:fill="FFFFFF"/>
            <w:noWrap/>
            <w:vAlign w:val="bottom"/>
            <w:hideMark/>
          </w:tcPr>
          <w:p w14:paraId="476F7105"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86</w:t>
            </w:r>
          </w:p>
        </w:tc>
      </w:tr>
      <w:tr w:rsidR="00484D72" w:rsidRPr="00A33AE8" w14:paraId="77873F54"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0BEE0F0" w14:textId="77777777" w:rsidR="00484D72" w:rsidRPr="00A33AE8" w:rsidRDefault="00484D72" w:rsidP="00507954">
            <w:pPr>
              <w:spacing w:after="0"/>
              <w:rPr>
                <w:rFonts w:ascii="Calibri" w:hAnsi="Calibri" w:cs="Calibri"/>
                <w:b/>
                <w:bCs/>
                <w:color w:val="000000"/>
                <w:sz w:val="20"/>
                <w:szCs w:val="20"/>
              </w:rPr>
            </w:pPr>
            <w:r w:rsidRPr="00A33AE8">
              <w:rPr>
                <w:rFonts w:ascii="Calibri" w:hAnsi="Calibri" w:cs="Calibri"/>
                <w:b/>
                <w:bCs/>
                <w:color w:val="000000"/>
                <w:sz w:val="20"/>
                <w:szCs w:val="20"/>
              </w:rPr>
              <w:t>Energy upgrading of street lighting (PM_EE30)</w:t>
            </w:r>
          </w:p>
        </w:tc>
        <w:tc>
          <w:tcPr>
            <w:tcW w:w="2268" w:type="dxa"/>
            <w:tcBorders>
              <w:top w:val="nil"/>
              <w:left w:val="nil"/>
              <w:bottom w:val="single" w:sz="4" w:space="0" w:color="auto"/>
              <w:right w:val="single" w:sz="4" w:space="0" w:color="auto"/>
            </w:tcBorders>
            <w:shd w:val="clear" w:color="000000" w:fill="FFFFFF"/>
            <w:noWrap/>
            <w:vAlign w:val="bottom"/>
            <w:hideMark/>
          </w:tcPr>
          <w:p w14:paraId="55C812D4" w14:textId="77777777" w:rsidR="00484D72"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17</w:t>
            </w:r>
          </w:p>
        </w:tc>
      </w:tr>
      <w:tr w:rsidR="00D2554B" w:rsidRPr="00A33AE8" w14:paraId="11B0DC74"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A95846F" w14:textId="77777777" w:rsidR="00D2554B" w:rsidRPr="00A33AE8" w:rsidRDefault="00D2554B" w:rsidP="00507954">
            <w:pPr>
              <w:spacing w:after="0"/>
              <w:rPr>
                <w:rFonts w:ascii="Calibri" w:hAnsi="Calibri" w:cs="Calibri"/>
                <w:b/>
                <w:bCs/>
                <w:color w:val="000000"/>
                <w:sz w:val="20"/>
                <w:szCs w:val="20"/>
              </w:rPr>
            </w:pPr>
            <w:r w:rsidRPr="00A33AE8">
              <w:rPr>
                <w:rFonts w:ascii="Calibri" w:hAnsi="Calibri" w:cs="Calibri"/>
                <w:b/>
                <w:bCs/>
                <w:color w:val="000000"/>
                <w:sz w:val="20"/>
                <w:szCs w:val="20"/>
              </w:rPr>
              <w:t xml:space="preserve">Promotion of energy efficiency lighting </w:t>
            </w:r>
            <w:r w:rsidR="005522C1" w:rsidRPr="00A33AE8">
              <w:rPr>
                <w:rFonts w:ascii="Calibri" w:hAnsi="Calibri" w:cs="Calibri"/>
                <w:b/>
                <w:bCs/>
                <w:color w:val="000000"/>
                <w:sz w:val="20"/>
                <w:szCs w:val="20"/>
              </w:rPr>
              <w:t>and</w:t>
            </w:r>
            <w:r w:rsidRPr="00A33AE8">
              <w:rPr>
                <w:rFonts w:ascii="Calibri" w:hAnsi="Calibri" w:cs="Calibri"/>
                <w:b/>
                <w:bCs/>
                <w:color w:val="000000"/>
                <w:sz w:val="20"/>
                <w:szCs w:val="20"/>
              </w:rPr>
              <w:t xml:space="preserve"> appliances (PM_</w:t>
            </w:r>
            <w:r w:rsidR="00484D72" w:rsidRPr="00A33AE8">
              <w:rPr>
                <w:rFonts w:ascii="Calibri" w:hAnsi="Calibri" w:cs="Calibri"/>
                <w:b/>
                <w:bCs/>
                <w:color w:val="000000"/>
                <w:sz w:val="20"/>
                <w:szCs w:val="20"/>
              </w:rPr>
              <w:t>EE</w:t>
            </w:r>
            <w:r w:rsidRPr="00A33AE8">
              <w:rPr>
                <w:rFonts w:ascii="Calibri" w:hAnsi="Calibri" w:cs="Calibri"/>
                <w:b/>
                <w:bCs/>
                <w:color w:val="000000"/>
                <w:sz w:val="20"/>
                <w:szCs w:val="20"/>
              </w:rPr>
              <w:t>9)</w:t>
            </w:r>
          </w:p>
        </w:tc>
        <w:tc>
          <w:tcPr>
            <w:tcW w:w="2268" w:type="dxa"/>
            <w:tcBorders>
              <w:top w:val="nil"/>
              <w:left w:val="nil"/>
              <w:bottom w:val="single" w:sz="4" w:space="0" w:color="auto"/>
              <w:right w:val="single" w:sz="4" w:space="0" w:color="auto"/>
            </w:tcBorders>
            <w:shd w:val="clear" w:color="000000" w:fill="FFFFFF"/>
            <w:noWrap/>
            <w:vAlign w:val="bottom"/>
            <w:hideMark/>
          </w:tcPr>
          <w:p w14:paraId="7506672B" w14:textId="77777777" w:rsidR="00D2554B"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18</w:t>
            </w:r>
          </w:p>
        </w:tc>
      </w:tr>
      <w:tr w:rsidR="00D21041" w:rsidRPr="00A33AE8" w14:paraId="0D1EA67E"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905FD1F" w14:textId="77777777" w:rsidR="00D21041" w:rsidRPr="00A33AE8" w:rsidRDefault="00D21041" w:rsidP="00507954">
            <w:pPr>
              <w:spacing w:after="0"/>
              <w:rPr>
                <w:rFonts w:ascii="Calibri" w:hAnsi="Calibri" w:cs="Calibri"/>
                <w:b/>
                <w:bCs/>
                <w:color w:val="000000"/>
                <w:sz w:val="20"/>
                <w:szCs w:val="20"/>
              </w:rPr>
            </w:pPr>
            <w:r w:rsidRPr="00A33AE8">
              <w:rPr>
                <w:rFonts w:ascii="Calibri" w:hAnsi="Calibri" w:cs="Calibri"/>
                <w:b/>
                <w:bCs/>
                <w:color w:val="000000"/>
                <w:sz w:val="20"/>
                <w:szCs w:val="20"/>
              </w:rPr>
              <w:t>Promotion of energy efficiency in agricultural sector (PM_EE24 and PM_EE25)</w:t>
            </w:r>
          </w:p>
        </w:tc>
        <w:tc>
          <w:tcPr>
            <w:tcW w:w="2268" w:type="dxa"/>
            <w:tcBorders>
              <w:top w:val="nil"/>
              <w:left w:val="nil"/>
              <w:bottom w:val="single" w:sz="4" w:space="0" w:color="auto"/>
              <w:right w:val="single" w:sz="4" w:space="0" w:color="auto"/>
            </w:tcBorders>
            <w:shd w:val="clear" w:color="000000" w:fill="FFFFFF"/>
            <w:noWrap/>
            <w:vAlign w:val="bottom"/>
          </w:tcPr>
          <w:p w14:paraId="05CC63D5" w14:textId="77777777" w:rsidR="00D21041" w:rsidRPr="00A33AE8" w:rsidRDefault="008F7109" w:rsidP="00507954">
            <w:pPr>
              <w:spacing w:after="0"/>
              <w:jc w:val="center"/>
              <w:rPr>
                <w:rFonts w:ascii="Calibri" w:hAnsi="Calibri" w:cs="Calibri"/>
                <w:color w:val="000000"/>
                <w:sz w:val="20"/>
                <w:szCs w:val="20"/>
              </w:rPr>
            </w:pPr>
            <w:r w:rsidRPr="00A33AE8">
              <w:rPr>
                <w:rFonts w:cstheme="minorHAnsi"/>
                <w:color w:val="000000"/>
                <w:sz w:val="20"/>
                <w:szCs w:val="20"/>
              </w:rPr>
              <w:t>8</w:t>
            </w:r>
          </w:p>
        </w:tc>
      </w:tr>
      <w:tr w:rsidR="00D2554B" w:rsidRPr="00A33AE8" w14:paraId="2087CDF8" w14:textId="77777777" w:rsidTr="00507954">
        <w:trPr>
          <w:trHeight w:val="288"/>
          <w:jc w:val="center"/>
        </w:trPr>
        <w:tc>
          <w:tcPr>
            <w:tcW w:w="703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BE5E785" w14:textId="77777777" w:rsidR="00D2554B" w:rsidRPr="00A33AE8" w:rsidRDefault="00D2554B" w:rsidP="00507954">
            <w:pPr>
              <w:spacing w:after="0"/>
              <w:jc w:val="center"/>
              <w:rPr>
                <w:rFonts w:ascii="Calibri" w:hAnsi="Calibri" w:cs="Calibri"/>
                <w:b/>
                <w:bCs/>
                <w:color w:val="000000"/>
                <w:sz w:val="20"/>
                <w:szCs w:val="20"/>
              </w:rPr>
            </w:pPr>
            <w:r w:rsidRPr="00A33AE8">
              <w:rPr>
                <w:rFonts w:ascii="Calibri" w:hAnsi="Calibri" w:cs="Calibri"/>
                <w:b/>
                <w:bCs/>
                <w:color w:val="000000"/>
                <w:sz w:val="20"/>
                <w:szCs w:val="20"/>
              </w:rPr>
              <w:t>Total</w:t>
            </w:r>
          </w:p>
        </w:tc>
        <w:tc>
          <w:tcPr>
            <w:tcW w:w="2268" w:type="dxa"/>
            <w:tcBorders>
              <w:top w:val="nil"/>
              <w:left w:val="nil"/>
              <w:bottom w:val="single" w:sz="4" w:space="0" w:color="auto"/>
              <w:right w:val="single" w:sz="4" w:space="0" w:color="auto"/>
            </w:tcBorders>
            <w:shd w:val="clear" w:color="auto" w:fill="D9D9D9" w:themeFill="background1" w:themeFillShade="D9"/>
            <w:noWrap/>
            <w:vAlign w:val="bottom"/>
            <w:hideMark/>
          </w:tcPr>
          <w:p w14:paraId="6DEFB88C" w14:textId="77777777" w:rsidR="00D2554B" w:rsidRPr="00A33AE8" w:rsidRDefault="0015690E" w:rsidP="00507954">
            <w:pPr>
              <w:spacing w:after="0"/>
              <w:jc w:val="center"/>
              <w:rPr>
                <w:rFonts w:ascii="Calibri" w:hAnsi="Calibri" w:cs="Calibri"/>
                <w:b/>
                <w:bCs/>
                <w:color w:val="000000"/>
                <w:sz w:val="20"/>
                <w:szCs w:val="20"/>
              </w:rPr>
            </w:pPr>
            <w:r w:rsidRPr="00A33AE8">
              <w:rPr>
                <w:rFonts w:ascii="Calibri" w:hAnsi="Calibri" w:cs="Calibri"/>
                <w:b/>
                <w:bCs/>
                <w:color w:val="000000"/>
                <w:sz w:val="20"/>
                <w:szCs w:val="20"/>
              </w:rPr>
              <w:t>506</w:t>
            </w:r>
          </w:p>
        </w:tc>
      </w:tr>
    </w:tbl>
    <w:p w14:paraId="14F5675B" w14:textId="77777777" w:rsidR="005522C1" w:rsidRPr="00A33AE8" w:rsidRDefault="005522C1" w:rsidP="005522C1">
      <w:pPr>
        <w:spacing w:before="240" w:after="240" w:line="260" w:lineRule="exact"/>
        <w:jc w:val="both"/>
        <w:rPr>
          <w:rFonts w:asciiTheme="majorHAnsi" w:hAnsiTheme="majorHAnsi" w:cstheme="majorHAnsi"/>
          <w:color w:val="000000"/>
        </w:rPr>
      </w:pPr>
      <w:r w:rsidRPr="00A33AE8">
        <w:rPr>
          <w:rFonts w:asciiTheme="majorHAnsi" w:hAnsiTheme="majorHAnsi" w:cstheme="majorHAnsi"/>
          <w:color w:val="000000"/>
        </w:rPr>
        <w:t>It should be noted that the delivered energy savings by energy efficiency measures in the period 2021-2024 are eligible and will be taken into account for the attainment of the specified target, as will be resulted by the implementation of the monitoring, control and verification activities during accomplishment of the reporting requirements.</w:t>
      </w:r>
    </w:p>
    <w:p w14:paraId="258AD3BE" w14:textId="77777777" w:rsidR="00D2554B" w:rsidRPr="00A33AE8" w:rsidRDefault="00D2554B" w:rsidP="00884F3B">
      <w:pPr>
        <w:pStyle w:val="Heading4"/>
        <w:numPr>
          <w:ilvl w:val="0"/>
          <w:numId w:val="6"/>
        </w:numPr>
        <w:jc w:val="both"/>
      </w:pPr>
      <w:r w:rsidRPr="00A33AE8">
        <w:t xml:space="preserve">Long-term strategy </w:t>
      </w:r>
      <w:r w:rsidR="003E401B" w:rsidRPr="00A33AE8">
        <w:t>for Encouraging Investment in the Renovation of the National Buildings Fund of the Republic of Serbia until 2050 including policies and measures to stimulate cost-effective deep and staged deep renovations</w:t>
      </w:r>
    </w:p>
    <w:p w14:paraId="59E9F704" w14:textId="77777777" w:rsidR="00D2554B" w:rsidRPr="00A33AE8" w:rsidRDefault="00D2554B" w:rsidP="00E452D8">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A well-balanced mixture of policy measures, financing, fiscal and regulatory, will be implemented in order to support the energy renovation of the building stock and to attain the specified renovation rate. All the planned measures will be </w:t>
      </w:r>
      <w:r w:rsidR="003E401B" w:rsidRPr="00A33AE8">
        <w:rPr>
          <w:rFonts w:asciiTheme="majorHAnsi" w:hAnsiTheme="majorHAnsi" w:cstheme="majorHAnsi"/>
          <w:color w:val="000000"/>
        </w:rPr>
        <w:t>systematised in the Long-Term Strategy for Encouraging Investment in the Renovation of the National Buildings Fund of the Republic of Serbia until 2050</w:t>
      </w:r>
      <w:r w:rsidR="008F7109" w:rsidRPr="00A33AE8">
        <w:rPr>
          <w:rStyle w:val="FootnoteReference"/>
          <w:rFonts w:asciiTheme="majorHAnsi" w:hAnsiTheme="majorHAnsi" w:cstheme="majorHAnsi"/>
          <w:color w:val="000000"/>
        </w:rPr>
        <w:footnoteReference w:id="116"/>
      </w:r>
      <w:r w:rsidR="003E401B" w:rsidRPr="00A33AE8">
        <w:rPr>
          <w:rFonts w:asciiTheme="majorHAnsi" w:hAnsiTheme="majorHAnsi" w:cstheme="majorHAnsi"/>
          <w:color w:val="000000"/>
        </w:rPr>
        <w:t>, and are intended for residential and non-residential buildings, both public and private</w:t>
      </w:r>
      <w:r w:rsidRPr="00A33AE8">
        <w:rPr>
          <w:rFonts w:asciiTheme="majorHAnsi" w:hAnsiTheme="majorHAnsi" w:cstheme="majorHAnsi"/>
          <w:color w:val="000000"/>
        </w:rPr>
        <w:t>.</w:t>
      </w:r>
    </w:p>
    <w:p w14:paraId="7FB629DE" w14:textId="77777777" w:rsidR="00D2554B" w:rsidRPr="00A33AE8" w:rsidRDefault="00D2554B" w:rsidP="00E452D8">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Financial support will be provided for fostering </w:t>
      </w:r>
      <w:r w:rsidR="003E401B" w:rsidRPr="00A33AE8">
        <w:rPr>
          <w:rFonts w:asciiTheme="majorHAnsi" w:hAnsiTheme="majorHAnsi" w:cstheme="majorHAnsi"/>
          <w:color w:val="000000"/>
        </w:rPr>
        <w:t>the improvement of energy performance and energy modernisation</w:t>
      </w:r>
      <w:r w:rsidR="003E401B" w:rsidRPr="00A33AE8" w:rsidDel="00A73414">
        <w:rPr>
          <w:rFonts w:asciiTheme="majorHAnsi" w:hAnsiTheme="majorHAnsi" w:cstheme="majorHAnsi"/>
          <w:color w:val="000000"/>
        </w:rPr>
        <w:t xml:space="preserve"> </w:t>
      </w:r>
      <w:r w:rsidR="003E401B" w:rsidRPr="00A33AE8">
        <w:rPr>
          <w:rFonts w:asciiTheme="majorHAnsi" w:hAnsiTheme="majorHAnsi" w:cstheme="majorHAnsi"/>
          <w:color w:val="000000"/>
        </w:rPr>
        <w:t>of the residential and non-residential buildings</w:t>
      </w:r>
      <w:r w:rsidR="003E401B" w:rsidRPr="00A33AE8" w:rsidDel="003E401B">
        <w:rPr>
          <w:rFonts w:asciiTheme="majorHAnsi" w:hAnsiTheme="majorHAnsi" w:cstheme="majorHAnsi"/>
          <w:color w:val="000000"/>
        </w:rPr>
        <w:t xml:space="preserve"> </w:t>
      </w:r>
      <w:r w:rsidRPr="00A33AE8">
        <w:rPr>
          <w:rFonts w:asciiTheme="majorHAnsi" w:hAnsiTheme="majorHAnsi" w:cstheme="majorHAnsi"/>
          <w:color w:val="000000"/>
        </w:rPr>
        <w:t xml:space="preserve">. The design and provision of the dedicated financial incentives will facilitate the deep energy upgrade of the residential buildings both attaining the optimum cost-effectiveness ratio and increasing the level of leverage. Furthermore, the most cost-effective individual heating and cooling technologies will be promoted through specialized instruments. Additional financial and fiscal measures will be initiated, such as the adoption of targeted tax deductions, credit lines and soft-interest loans in the case that the contribution of the planned subsidies is not sufficient. For the case of the non-residential buildings, the planned programs will focus on targeted </w:t>
      </w:r>
      <w:r w:rsidR="008017D6" w:rsidRPr="00A33AE8">
        <w:rPr>
          <w:rFonts w:asciiTheme="majorHAnsi" w:hAnsiTheme="majorHAnsi" w:cstheme="majorHAnsi"/>
          <w:color w:val="000000"/>
        </w:rPr>
        <w:t>final energy consumption sectors taking into consideration their energy saving potential</w:t>
      </w:r>
      <w:r w:rsidRPr="00A33AE8">
        <w:rPr>
          <w:rFonts w:asciiTheme="majorHAnsi" w:hAnsiTheme="majorHAnsi" w:cstheme="majorHAnsi"/>
          <w:color w:val="000000"/>
        </w:rPr>
        <w:t>. Emphasis will be given on measures for the further penetration of solar thermal systems such as the mandatory installation in new buildings and in buildings undergoing major renovation</w:t>
      </w:r>
      <w:r w:rsidR="005522C1" w:rsidRPr="00A33AE8">
        <w:rPr>
          <w:rFonts w:asciiTheme="majorHAnsi" w:hAnsiTheme="majorHAnsi" w:cstheme="majorHAnsi"/>
          <w:color w:val="000000"/>
        </w:rPr>
        <w:t xml:space="preserve"> as defined in Directive 2010/31/EU.</w:t>
      </w:r>
    </w:p>
    <w:p w14:paraId="0A712C8D" w14:textId="77777777" w:rsidR="00D2554B" w:rsidRPr="00A33AE8" w:rsidRDefault="00D2554B" w:rsidP="00E452D8">
      <w:pPr>
        <w:spacing w:before="160"/>
        <w:jc w:val="both"/>
        <w:rPr>
          <w:rFonts w:asciiTheme="majorHAnsi" w:hAnsiTheme="majorHAnsi" w:cstheme="majorHAnsi"/>
          <w:color w:val="000000"/>
        </w:rPr>
      </w:pPr>
      <w:r w:rsidRPr="00A33AE8">
        <w:rPr>
          <w:rFonts w:asciiTheme="majorHAnsi" w:hAnsiTheme="majorHAnsi" w:cstheme="majorHAnsi"/>
          <w:color w:val="000000"/>
        </w:rPr>
        <w:t>Moreover, the coherence and compliance of the legislative framework with the provisions of the Directive 2018/844/EU will be ensured</w:t>
      </w:r>
      <w:r w:rsidR="008017D6" w:rsidRPr="00A33AE8">
        <w:rPr>
          <w:rFonts w:asciiTheme="majorHAnsi" w:hAnsiTheme="majorHAnsi" w:cstheme="majorHAnsi"/>
          <w:color w:val="000000"/>
        </w:rPr>
        <w:t xml:space="preserve"> as will be amended by the Directive 2018/844/EU</w:t>
      </w:r>
      <w:r w:rsidRPr="00A33AE8">
        <w:rPr>
          <w:rFonts w:asciiTheme="majorHAnsi" w:hAnsiTheme="majorHAnsi" w:cstheme="majorHAnsi"/>
          <w:color w:val="000000"/>
        </w:rPr>
        <w:t>, while the foreseen minimum requirements will be incorporated in the Regulation on Energy Efficiency of Buildings so as to increase the number of near-zero energy buildings. The inspections of the heating and air-conditioning systems will be conducted according to the respective provisions. The adoption of specific regulatory measures will be examined through the examination of different alternatives. Specific programmes will be implemented for exceeding the energy requirements beyond the minimum ones through the initiation of regulatory measures and additional fiscal and financial measures.</w:t>
      </w:r>
    </w:p>
    <w:p w14:paraId="32C6DD4A" w14:textId="77777777" w:rsidR="007226EC" w:rsidRPr="00A33AE8" w:rsidRDefault="00AD5702" w:rsidP="008017D6">
      <w:pPr>
        <w:spacing w:before="160"/>
        <w:jc w:val="both"/>
        <w:rPr>
          <w:rFonts w:asciiTheme="majorHAnsi" w:hAnsiTheme="majorHAnsi" w:cstheme="majorHAnsi"/>
          <w:color w:val="000000"/>
        </w:rPr>
      </w:pPr>
      <w:r w:rsidRPr="00A33AE8">
        <w:rPr>
          <w:rFonts w:asciiTheme="majorHAnsi" w:hAnsiTheme="majorHAnsi" w:cstheme="majorHAnsi"/>
          <w:color w:val="000000"/>
        </w:rPr>
        <w:t>Finally, the</w:t>
      </w:r>
      <w:r w:rsidR="008017D6" w:rsidRPr="00A33AE8">
        <w:rPr>
          <w:rFonts w:asciiTheme="majorHAnsi" w:hAnsiTheme="majorHAnsi" w:cstheme="majorHAnsi"/>
          <w:color w:val="000000"/>
        </w:rPr>
        <w:t xml:space="preserve"> role of the Energy Performance Certificates will be enhanced aiming at their transformation into renovation passports so as to </w:t>
      </w:r>
      <w:r w:rsidR="005522C1" w:rsidRPr="00A33AE8">
        <w:rPr>
          <w:rFonts w:asciiTheme="majorHAnsi" w:hAnsiTheme="majorHAnsi" w:cstheme="majorHAnsi"/>
          <w:color w:val="000000"/>
        </w:rPr>
        <w:t xml:space="preserve">fully aligned with the provisions of the revised Directive 2018/844/EU and to </w:t>
      </w:r>
      <w:r w:rsidR="008017D6" w:rsidRPr="00A33AE8">
        <w:rPr>
          <w:rFonts w:asciiTheme="majorHAnsi" w:hAnsiTheme="majorHAnsi" w:cstheme="majorHAnsi"/>
          <w:color w:val="000000"/>
        </w:rPr>
        <w:t>facilitate the implementation of the most cost-effective interventions. Moreover, the role of the energy management systems can be also essential to the attainment of the energy efficiency targets.</w:t>
      </w:r>
      <w:r w:rsidR="005522C1" w:rsidRPr="00A33AE8">
        <w:rPr>
          <w:rFonts w:asciiTheme="majorHAnsi" w:hAnsiTheme="majorHAnsi" w:cstheme="majorHAnsi"/>
          <w:color w:val="000000"/>
        </w:rPr>
        <w:t xml:space="preserve"> Obviously, all the before-mentioned priorities will be taken into consideration during the update of the legislative framework </w:t>
      </w:r>
      <w:r w:rsidR="005522C1" w:rsidRPr="00A33AE8">
        <w:rPr>
          <w:rFonts w:asciiTheme="majorHAnsi" w:hAnsiTheme="majorHAnsi" w:cstheme="majorHAnsi"/>
          <w:color w:val="000000"/>
        </w:rPr>
        <w:lastRenderedPageBreak/>
        <w:t>at national level (e.g., Rulebook on Energy Efficiency in Buildings) in order to ensure the attainment of the specified targets.</w:t>
      </w:r>
    </w:p>
    <w:p w14:paraId="12241EFA" w14:textId="77777777" w:rsidR="0033265B" w:rsidRPr="00A33AE8" w:rsidRDefault="0033265B" w:rsidP="008017D6">
      <w:pPr>
        <w:spacing w:before="160"/>
        <w:jc w:val="both"/>
        <w:rPr>
          <w:rFonts w:asciiTheme="majorHAnsi" w:hAnsiTheme="majorHAnsi" w:cstheme="majorHAnsi"/>
          <w:color w:val="000000"/>
        </w:rPr>
      </w:pPr>
    </w:p>
    <w:tbl>
      <w:tblPr>
        <w:tblW w:w="9680" w:type="dxa"/>
        <w:tblLook w:val="04A0" w:firstRow="1" w:lastRow="0" w:firstColumn="1" w:lastColumn="0" w:noHBand="0" w:noVBand="1"/>
      </w:tblPr>
      <w:tblGrid>
        <w:gridCol w:w="3329"/>
        <w:gridCol w:w="954"/>
        <w:gridCol w:w="945"/>
        <w:gridCol w:w="4230"/>
        <w:gridCol w:w="222"/>
      </w:tblGrid>
      <w:tr w:rsidR="008017D6" w:rsidRPr="00A33AE8" w14:paraId="016BF3AE" w14:textId="77777777" w:rsidTr="006769DA">
        <w:trPr>
          <w:gridAfter w:val="1"/>
          <w:wAfter w:w="222" w:type="dxa"/>
          <w:trHeight w:val="780"/>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EC50E0D" w14:textId="77777777" w:rsidR="008017D6" w:rsidRPr="00A33AE8" w:rsidRDefault="008017D6" w:rsidP="008017D6">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8B8C929" w14:textId="77777777" w:rsidR="008017D6" w:rsidRPr="00A33AE8" w:rsidRDefault="008017D6" w:rsidP="008017D6">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240A0BD4" w14:textId="77777777" w:rsidR="008017D6" w:rsidRPr="00A33AE8" w:rsidRDefault="008017D6" w:rsidP="008017D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0" w:type="dxa"/>
            <w:tcBorders>
              <w:top w:val="single" w:sz="8" w:space="0" w:color="auto"/>
              <w:left w:val="nil"/>
              <w:bottom w:val="single" w:sz="8" w:space="0" w:color="auto"/>
              <w:right w:val="single" w:sz="8" w:space="0" w:color="auto"/>
            </w:tcBorders>
            <w:shd w:val="clear" w:color="auto" w:fill="E7E6E6" w:themeFill="background2"/>
            <w:vAlign w:val="center"/>
            <w:hideMark/>
          </w:tcPr>
          <w:p w14:paraId="30748701" w14:textId="77777777" w:rsidR="008017D6" w:rsidRPr="00A33AE8" w:rsidRDefault="008017D6" w:rsidP="008017D6">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Supporting </w:t>
            </w:r>
            <w:r w:rsidR="00AD5702" w:rsidRPr="00A33AE8">
              <w:rPr>
                <w:rFonts w:ascii="Calibri Light" w:eastAsia="Times New Roman" w:hAnsi="Calibri Light" w:cs="Calibri Light"/>
                <w:b/>
                <w:bCs/>
                <w:color w:val="000000"/>
                <w:sz w:val="20"/>
                <w:szCs w:val="20"/>
                <w:lang w:eastAsia="en-GB"/>
              </w:rPr>
              <w:t xml:space="preserve">financially </w:t>
            </w:r>
            <w:r w:rsidRPr="00A33AE8">
              <w:rPr>
                <w:rFonts w:ascii="Calibri Light" w:eastAsia="Times New Roman" w:hAnsi="Calibri Light" w:cs="Calibri Light"/>
                <w:b/>
                <w:bCs/>
                <w:color w:val="000000"/>
                <w:sz w:val="20"/>
                <w:szCs w:val="20"/>
                <w:lang w:eastAsia="en-GB"/>
              </w:rPr>
              <w:t>the energy renovation of residential buildings</w:t>
            </w:r>
          </w:p>
        </w:tc>
      </w:tr>
      <w:tr w:rsidR="0058467D" w:rsidRPr="00A33AE8" w14:paraId="66299201" w14:textId="77777777" w:rsidTr="006769DA">
        <w:trPr>
          <w:gridAfter w:val="1"/>
          <w:wAfter w:w="222" w:type="dxa"/>
          <w:trHeight w:val="960"/>
        </w:trPr>
        <w:tc>
          <w:tcPr>
            <w:tcW w:w="3329" w:type="dxa"/>
            <w:tcBorders>
              <w:top w:val="nil"/>
              <w:left w:val="single" w:sz="8" w:space="0" w:color="auto"/>
              <w:bottom w:val="single" w:sz="8" w:space="0" w:color="auto"/>
              <w:right w:val="nil"/>
            </w:tcBorders>
            <w:shd w:val="clear" w:color="000000" w:fill="244062"/>
            <w:vAlign w:val="center"/>
            <w:hideMark/>
          </w:tcPr>
          <w:p w14:paraId="2570042C"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55CDB09" w14:textId="77777777" w:rsidR="0058467D" w:rsidRPr="00A33AE8" w:rsidRDefault="00AD5702" w:rsidP="008017D6">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p>
          <w:p w14:paraId="664BBF72" w14:textId="77777777" w:rsidR="0058467D" w:rsidRPr="00A33AE8" w:rsidRDefault="0058467D" w:rsidP="00884F3B">
            <w:pPr>
              <w:pStyle w:val="ListParagraph"/>
              <w:numPr>
                <w:ilvl w:val="0"/>
                <w:numId w:val="1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02FC7267" w14:textId="77777777" w:rsidR="0058467D" w:rsidRPr="00A33AE8" w:rsidRDefault="0058467D" w:rsidP="00884F3B">
            <w:pPr>
              <w:pStyle w:val="ListParagraph"/>
              <w:numPr>
                <w:ilvl w:val="0"/>
                <w:numId w:val="1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p w14:paraId="29BD81CE" w14:textId="77777777" w:rsidR="0058467D" w:rsidRPr="00A33AE8" w:rsidRDefault="0058467D" w:rsidP="00884F3B">
            <w:pPr>
              <w:pStyle w:val="ListParagraph"/>
              <w:numPr>
                <w:ilvl w:val="0"/>
                <w:numId w:val="1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58467D" w:rsidRPr="00A33AE8" w14:paraId="3BAC0A08"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63D31CDC"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506FE5C" w14:textId="77777777" w:rsidR="0058467D" w:rsidRPr="00A33AE8" w:rsidRDefault="00AD5702" w:rsidP="00884F3B">
            <w:pPr>
              <w:pStyle w:val="ListParagraph"/>
              <w:numPr>
                <w:ilvl w:val="0"/>
                <w:numId w:val="1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131</w:t>
            </w:r>
            <w:r w:rsidR="00484D72" w:rsidRPr="00A33AE8">
              <w:rPr>
                <w:rFonts w:ascii="Calibri Light" w:eastAsia="Times New Roman" w:hAnsi="Calibri Light" w:cs="Calibri Light"/>
                <w:color w:val="000000"/>
                <w:sz w:val="20"/>
                <w:szCs w:val="20"/>
                <w:lang w:eastAsia="en-GB"/>
              </w:rPr>
              <w:t xml:space="preserve"> </w:t>
            </w:r>
            <w:r w:rsidR="0058467D" w:rsidRPr="00A33AE8">
              <w:rPr>
                <w:rFonts w:ascii="Calibri Light" w:eastAsia="Times New Roman" w:hAnsi="Calibri Light" w:cs="Calibri Light"/>
                <w:color w:val="000000"/>
                <w:sz w:val="20"/>
                <w:szCs w:val="20"/>
                <w:lang w:eastAsia="en-GB"/>
              </w:rPr>
              <w:t xml:space="preserve">thousand </w:t>
            </w:r>
            <w:r w:rsidR="006B7700" w:rsidRPr="00A33AE8">
              <w:rPr>
                <w:rFonts w:ascii="Calibri Light" w:eastAsia="Times New Roman" w:hAnsi="Calibri Light" w:cs="Calibri Light"/>
                <w:color w:val="000000"/>
                <w:sz w:val="20"/>
                <w:szCs w:val="20"/>
                <w:lang w:eastAsia="en-GB"/>
              </w:rPr>
              <w:t>energy-</w:t>
            </w:r>
            <w:r w:rsidRPr="00A33AE8">
              <w:rPr>
                <w:rFonts w:ascii="Calibri Light" w:eastAsia="Times New Roman" w:hAnsi="Calibri Light" w:cs="Calibri Light"/>
                <w:color w:val="000000"/>
                <w:sz w:val="20"/>
                <w:szCs w:val="20"/>
                <w:lang w:eastAsia="en-GB"/>
              </w:rPr>
              <w:t>renovated residential</w:t>
            </w:r>
            <w:r w:rsidR="0058467D" w:rsidRPr="00A33AE8">
              <w:rPr>
                <w:rFonts w:ascii="Calibri Light" w:eastAsia="Times New Roman" w:hAnsi="Calibri Light" w:cs="Calibri Light"/>
                <w:color w:val="000000"/>
                <w:sz w:val="20"/>
                <w:szCs w:val="20"/>
                <w:lang w:eastAsia="en-GB"/>
              </w:rPr>
              <w:t xml:space="preserve"> buildings</w:t>
            </w:r>
            <w:r w:rsidR="00532B7A" w:rsidRPr="00A33AE8">
              <w:rPr>
                <w:rFonts w:ascii="Calibri Light" w:eastAsia="Times New Roman" w:hAnsi="Calibri Light" w:cs="Calibri Light"/>
                <w:color w:val="000000"/>
                <w:sz w:val="20"/>
                <w:szCs w:val="20"/>
                <w:lang w:eastAsia="en-GB"/>
              </w:rPr>
              <w:t xml:space="preserve"> (final energy savings</w:t>
            </w:r>
            <w:r w:rsidR="00AD5465"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35</w:t>
            </w:r>
            <w:r w:rsidR="00AD5465" w:rsidRPr="00A33AE8">
              <w:rPr>
                <w:rFonts w:ascii="Calibri Light" w:eastAsia="Times New Roman" w:hAnsi="Calibri Light" w:cs="Calibri Light"/>
                <w:color w:val="000000"/>
                <w:sz w:val="20"/>
                <w:szCs w:val="20"/>
                <w:lang w:eastAsia="en-GB"/>
              </w:rPr>
              <w:t xml:space="preserve"> </w:t>
            </w:r>
            <w:r w:rsidR="00532B7A" w:rsidRPr="00A33AE8">
              <w:rPr>
                <w:rFonts w:ascii="Calibri Light" w:eastAsia="Times New Roman" w:hAnsi="Calibri Light" w:cs="Calibri Light"/>
                <w:color w:val="000000"/>
                <w:sz w:val="20"/>
                <w:szCs w:val="20"/>
                <w:lang w:eastAsia="en-GB"/>
              </w:rPr>
              <w:t>ktoe</w:t>
            </w:r>
            <w:r w:rsidR="006B7700" w:rsidRPr="00A33AE8">
              <w:t xml:space="preserve"> </w:t>
            </w:r>
            <w:r w:rsidR="006B7700" w:rsidRPr="00A33AE8">
              <w:rPr>
                <w:rFonts w:ascii="Calibri Light" w:eastAsia="Times New Roman" w:hAnsi="Calibri Light" w:cs="Calibri Light"/>
                <w:color w:val="000000"/>
                <w:sz w:val="20"/>
                <w:szCs w:val="20"/>
                <w:lang w:eastAsia="en-GB"/>
              </w:rPr>
              <w:t>delivered by interventions in the building envelope</w:t>
            </w:r>
            <w:r w:rsidR="00532B7A" w:rsidRPr="00A33AE8">
              <w:rPr>
                <w:rFonts w:ascii="Calibri Light" w:eastAsia="Times New Roman" w:hAnsi="Calibri Light" w:cs="Calibri Light"/>
                <w:color w:val="000000"/>
                <w:sz w:val="20"/>
                <w:szCs w:val="20"/>
                <w:lang w:eastAsia="en-GB"/>
              </w:rPr>
              <w:t>)</w:t>
            </w:r>
          </w:p>
          <w:p w14:paraId="6858F27A" w14:textId="77777777" w:rsidR="006B7700" w:rsidRPr="005B2C66" w:rsidRDefault="006B7700" w:rsidP="00884F3B">
            <w:pPr>
              <w:pStyle w:val="ListParagraph"/>
              <w:numPr>
                <w:ilvl w:val="0"/>
                <w:numId w:val="177"/>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14.3 million m</w:t>
            </w:r>
            <w:r w:rsidRPr="005B2C66">
              <w:rPr>
                <w:rFonts w:ascii="Calibri Light" w:eastAsia="Times New Roman" w:hAnsi="Calibri Light" w:cs="Calibri Light"/>
                <w:color w:val="000000"/>
                <w:sz w:val="20"/>
                <w:szCs w:val="20"/>
                <w:vertAlign w:val="superscript"/>
                <w:lang w:eastAsia="en-GB"/>
              </w:rPr>
              <w:t>2</w:t>
            </w:r>
            <w:r w:rsidRPr="005B2C66">
              <w:rPr>
                <w:rFonts w:ascii="Calibri Light" w:eastAsia="Times New Roman" w:hAnsi="Calibri Light" w:cs="Calibri Light"/>
                <w:color w:val="000000"/>
                <w:sz w:val="20"/>
                <w:szCs w:val="20"/>
                <w:lang w:eastAsia="en-GB"/>
              </w:rPr>
              <w:t xml:space="preserve"> of energy-renovated residential buildings</w:t>
            </w:r>
          </w:p>
          <w:p w14:paraId="375B111B" w14:textId="77777777" w:rsidR="0058467D" w:rsidRPr="00A33AE8" w:rsidRDefault="00AD5702" w:rsidP="00884F3B">
            <w:pPr>
              <w:pStyle w:val="ListParagraph"/>
              <w:numPr>
                <w:ilvl w:val="0"/>
                <w:numId w:val="1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w:t>
            </w:r>
            <w:r w:rsidR="00484D72" w:rsidRPr="00A33AE8">
              <w:rPr>
                <w:rFonts w:ascii="Calibri Light" w:eastAsia="Times New Roman" w:hAnsi="Calibri Light" w:cs="Calibri Light"/>
                <w:color w:val="000000"/>
                <w:sz w:val="20"/>
                <w:szCs w:val="20"/>
                <w:lang w:eastAsia="en-GB"/>
              </w:rPr>
              <w:t xml:space="preserve"> </w:t>
            </w:r>
            <w:r w:rsidR="0058467D" w:rsidRPr="00A33AE8">
              <w:rPr>
                <w:rFonts w:ascii="Calibri Light" w:eastAsia="Times New Roman" w:hAnsi="Calibri Light" w:cs="Calibri Light"/>
                <w:color w:val="000000"/>
                <w:sz w:val="20"/>
                <w:szCs w:val="20"/>
                <w:lang w:eastAsia="en-GB"/>
              </w:rPr>
              <w:t>GW</w:t>
            </w:r>
            <w:r w:rsidR="00086C2E">
              <w:rPr>
                <w:rFonts w:ascii="Calibri Light" w:eastAsia="Times New Roman" w:hAnsi="Calibri Light" w:cs="Calibri Light"/>
                <w:color w:val="000000"/>
                <w:sz w:val="20"/>
                <w:szCs w:val="20"/>
                <w:lang w:eastAsia="en-GB"/>
              </w:rPr>
              <w:t>th</w:t>
            </w:r>
            <w:r w:rsidR="0058467D"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new </w:t>
            </w:r>
            <w:r w:rsidR="0058467D" w:rsidRPr="00A33AE8">
              <w:rPr>
                <w:rFonts w:ascii="Calibri Light" w:eastAsia="Times New Roman" w:hAnsi="Calibri Light" w:cs="Calibri Light"/>
                <w:color w:val="000000"/>
                <w:sz w:val="20"/>
                <w:szCs w:val="20"/>
                <w:lang w:eastAsia="en-GB"/>
              </w:rPr>
              <w:t>capacity of heat pumps</w:t>
            </w:r>
            <w:r w:rsidR="00532B7A" w:rsidRPr="00A33AE8">
              <w:rPr>
                <w:rFonts w:ascii="Calibri Light" w:eastAsia="Times New Roman" w:hAnsi="Calibri Light" w:cs="Calibri Light"/>
                <w:color w:val="000000"/>
                <w:sz w:val="20"/>
                <w:szCs w:val="20"/>
                <w:lang w:eastAsia="en-GB"/>
              </w:rPr>
              <w:t xml:space="preserve"> (final energy savings </w:t>
            </w:r>
            <w:r w:rsidRPr="00A33AE8">
              <w:rPr>
                <w:rFonts w:ascii="Calibri Light" w:eastAsia="Times New Roman" w:hAnsi="Calibri Light" w:cs="Calibri Light"/>
                <w:color w:val="000000"/>
                <w:sz w:val="20"/>
                <w:szCs w:val="20"/>
                <w:lang w:eastAsia="en-GB"/>
              </w:rPr>
              <w:t>34</w:t>
            </w:r>
            <w:r w:rsidR="00AD5465" w:rsidRPr="00A33AE8">
              <w:rPr>
                <w:rFonts w:ascii="Calibri Light" w:eastAsia="Times New Roman" w:hAnsi="Calibri Light" w:cs="Calibri Light"/>
                <w:color w:val="000000"/>
                <w:sz w:val="20"/>
                <w:szCs w:val="20"/>
                <w:lang w:eastAsia="en-GB"/>
              </w:rPr>
              <w:t xml:space="preserve"> </w:t>
            </w:r>
            <w:r w:rsidR="00532B7A" w:rsidRPr="00A33AE8">
              <w:rPr>
                <w:rFonts w:ascii="Calibri Light" w:eastAsia="Times New Roman" w:hAnsi="Calibri Light" w:cs="Calibri Light"/>
                <w:color w:val="000000"/>
                <w:sz w:val="20"/>
                <w:szCs w:val="20"/>
                <w:lang w:eastAsia="en-GB"/>
              </w:rPr>
              <w:t>ktoe)</w:t>
            </w:r>
          </w:p>
        </w:tc>
      </w:tr>
      <w:tr w:rsidR="008017D6" w:rsidRPr="00A33AE8" w14:paraId="1AA54187" w14:textId="77777777" w:rsidTr="006769DA">
        <w:trPr>
          <w:gridAfter w:val="1"/>
          <w:wAfter w:w="222" w:type="dxa"/>
          <w:trHeight w:val="229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209AAD9" w14:textId="77777777" w:rsidR="008017D6" w:rsidRPr="00A33AE8" w:rsidRDefault="008017D6" w:rsidP="008017D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7EC2DC8" w14:textId="77777777" w:rsidR="008017D6" w:rsidRPr="00A33AE8" w:rsidRDefault="008017D6" w:rsidP="008017D6">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PM_EE1 will provide subsidies for the energy renovation of the </w:t>
            </w:r>
            <w:r w:rsidR="00AD5702" w:rsidRPr="00A33AE8">
              <w:rPr>
                <w:rFonts w:ascii="Calibri Light" w:eastAsia="Times New Roman" w:hAnsi="Calibri Light" w:cs="Calibri Light"/>
                <w:color w:val="000000"/>
                <w:sz w:val="20"/>
                <w:szCs w:val="20"/>
                <w:lang w:eastAsia="en-GB"/>
              </w:rPr>
              <w:t xml:space="preserve">existing </w:t>
            </w:r>
            <w:r w:rsidRPr="00A33AE8">
              <w:rPr>
                <w:rFonts w:ascii="Calibri Light" w:eastAsia="Times New Roman" w:hAnsi="Calibri Light" w:cs="Calibri Light"/>
                <w:color w:val="000000"/>
                <w:sz w:val="20"/>
                <w:szCs w:val="20"/>
                <w:lang w:eastAsia="en-GB"/>
              </w:rPr>
              <w:t>residential buildings. The design and provision of the dedicated financial incentives will facilitate the more extensive energy renovation of the residential buildings through the rehabilitation of the building envelope</w:t>
            </w:r>
            <w:r w:rsidR="006B7700" w:rsidRPr="00A33AE8">
              <w:rPr>
                <w:rFonts w:ascii="Calibri Light" w:eastAsia="Times New Roman" w:hAnsi="Calibri Light" w:cs="Calibri Light"/>
                <w:color w:val="000000"/>
                <w:sz w:val="20"/>
                <w:szCs w:val="20"/>
                <w:lang w:eastAsia="en-GB"/>
              </w:rPr>
              <w:t xml:space="preserve"> and technical systems attaining the optimum cost-effectiveness ratio and increasing the share of the own funds, which will be utilized</w:t>
            </w:r>
            <w:r w:rsidRPr="00A33AE8">
              <w:rPr>
                <w:rFonts w:ascii="Calibri Light" w:eastAsia="Times New Roman" w:hAnsi="Calibri Light" w:cs="Calibri Light"/>
                <w:color w:val="000000"/>
                <w:sz w:val="20"/>
                <w:szCs w:val="20"/>
                <w:lang w:eastAsia="en-GB"/>
              </w:rPr>
              <w:t xml:space="preserve">. </w:t>
            </w:r>
            <w:r w:rsidR="006B7700" w:rsidRPr="00A33AE8">
              <w:rPr>
                <w:rFonts w:ascii="Calibri Light" w:eastAsia="Times New Roman" w:hAnsi="Calibri Light" w:cs="Calibri Light"/>
                <w:color w:val="000000"/>
                <w:sz w:val="20"/>
                <w:szCs w:val="20"/>
                <w:lang w:eastAsia="en-GB"/>
              </w:rPr>
              <w:t>Emphasis will be given on the promotion of</w:t>
            </w:r>
            <w:r w:rsidRPr="00A33AE8">
              <w:rPr>
                <w:rFonts w:ascii="Calibri Light" w:eastAsia="Times New Roman" w:hAnsi="Calibri Light" w:cs="Calibri Light"/>
                <w:color w:val="000000"/>
                <w:sz w:val="20"/>
                <w:szCs w:val="20"/>
                <w:lang w:eastAsia="en-GB"/>
              </w:rPr>
              <w:t xml:space="preserve"> heat pumps through specialized actions. Additional financial and fiscal measures will be initiated, such as the adoption of targeted tax deductions, credit lines and soft-interest loans in the case that the contribution of the planned subsidies is not sufficient.</w:t>
            </w:r>
            <w:r w:rsidR="006B7700" w:rsidRPr="00A33AE8">
              <w:rPr>
                <w:rFonts w:ascii="Calibri Light" w:eastAsia="Times New Roman" w:hAnsi="Calibri Light" w:cs="Calibri Light"/>
                <w:color w:val="000000"/>
                <w:sz w:val="20"/>
                <w:szCs w:val="20"/>
                <w:lang w:eastAsia="en-GB"/>
              </w:rPr>
              <w:t xml:space="preserve"> Special focus will be given on the energy renovation of the buildings in the Just Transition areas. The planned measure will be utilised so as to combat energy poverty also.</w:t>
            </w:r>
          </w:p>
        </w:tc>
      </w:tr>
      <w:tr w:rsidR="0058467D" w:rsidRPr="00A33AE8" w14:paraId="7CB368B1"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0CF92C9"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63F1272" w14:textId="77777777" w:rsidR="0058467D" w:rsidRPr="00A33AE8" w:rsidRDefault="00AD5702"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8467D" w:rsidRPr="00A33AE8">
              <w:rPr>
                <w:rFonts w:ascii="Calibri Light" w:eastAsia="Times New Roman" w:hAnsi="Calibri Light" w:cs="Calibri Light"/>
                <w:color w:val="000000"/>
                <w:sz w:val="20"/>
                <w:szCs w:val="20"/>
                <w:lang w:eastAsia="en-GB"/>
              </w:rPr>
              <w:t>-2030</w:t>
            </w:r>
          </w:p>
        </w:tc>
      </w:tr>
      <w:tr w:rsidR="0058467D" w:rsidRPr="00A33AE8" w14:paraId="201E04EE"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9C440DF"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8F95426" w14:textId="77777777" w:rsidR="0058467D"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8467D" w:rsidRPr="00A33AE8" w14:paraId="3C5AA4D4"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AAFF11C"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AC18010" w14:textId="77777777" w:rsidR="0058467D" w:rsidRPr="00A33AE8" w:rsidRDefault="0058467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58467D" w:rsidRPr="00A33AE8" w14:paraId="56720876"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C7229A3"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2B43D23" w14:textId="77777777" w:rsidR="005E6B1A" w:rsidRPr="00A33AE8" w:rsidRDefault="0058467D" w:rsidP="00884F3B">
            <w:pPr>
              <w:pStyle w:val="ListParagraph"/>
              <w:numPr>
                <w:ilvl w:val="0"/>
                <w:numId w:val="122"/>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IFIs</w:t>
            </w:r>
          </w:p>
          <w:p w14:paraId="179A4959" w14:textId="77777777" w:rsidR="005E6B1A" w:rsidRDefault="005E6B1A" w:rsidP="00884F3B">
            <w:pPr>
              <w:pStyle w:val="ListParagraph"/>
              <w:numPr>
                <w:ilvl w:val="0"/>
                <w:numId w:val="122"/>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14FCA8D0" w14:textId="77777777" w:rsidR="00967721" w:rsidRPr="005B2C66" w:rsidRDefault="00967721" w:rsidP="00884F3B">
            <w:pPr>
              <w:pStyle w:val="ListParagraph"/>
              <w:numPr>
                <w:ilvl w:val="0"/>
                <w:numId w:val="122"/>
              </w:numPr>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Ministry of Construction, Transport and Infrastructure</w:t>
            </w:r>
          </w:p>
          <w:p w14:paraId="3BE4DFFF" w14:textId="77777777" w:rsidR="0058467D" w:rsidRPr="00A33AE8" w:rsidRDefault="0058467D" w:rsidP="00884F3B">
            <w:pPr>
              <w:pStyle w:val="ListParagraph"/>
              <w:numPr>
                <w:ilvl w:val="0"/>
                <w:numId w:val="122"/>
              </w:numPr>
              <w:spacing w:after="0"/>
              <w:ind w:left="714" w:hanging="357"/>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Donors</w:t>
            </w:r>
          </w:p>
        </w:tc>
      </w:tr>
      <w:tr w:rsidR="0058467D" w:rsidRPr="00A33AE8" w14:paraId="065ADF54"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6FBB7400"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55E1BBD" w14:textId="77777777" w:rsidR="0058467D" w:rsidRPr="00A33AE8" w:rsidRDefault="00967721" w:rsidP="00884F3B">
            <w:pPr>
              <w:pStyle w:val="ListParagraph"/>
              <w:numPr>
                <w:ilvl w:val="0"/>
                <w:numId w:val="122"/>
              </w:numPr>
              <w:spacing w:after="0"/>
              <w:ind w:left="714" w:hanging="357"/>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Government of the Republic of Serbia</w:t>
            </w:r>
          </w:p>
        </w:tc>
      </w:tr>
      <w:tr w:rsidR="0058467D" w:rsidRPr="00A33AE8" w14:paraId="2B1685C2"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67365FCC"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C05FD7C" w14:textId="77777777" w:rsidR="0058467D" w:rsidRPr="00A33AE8" w:rsidRDefault="008017D6" w:rsidP="00884F3B">
            <w:pPr>
              <w:pStyle w:val="ListParagraph"/>
              <w:numPr>
                <w:ilvl w:val="0"/>
                <w:numId w:val="122"/>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Energy </w:t>
            </w:r>
            <w:r w:rsidR="0033265B" w:rsidRPr="00A33AE8">
              <w:rPr>
                <w:rFonts w:ascii="Calibri Light" w:eastAsia="Times New Roman" w:hAnsi="Calibri Light" w:cs="Calibri Light"/>
                <w:color w:val="000000"/>
                <w:sz w:val="20"/>
                <w:szCs w:val="20"/>
                <w:lang w:eastAsia="en-GB"/>
              </w:rPr>
              <w:t xml:space="preserve">renovated </w:t>
            </w:r>
            <w:r w:rsidR="0058467D" w:rsidRPr="00A33AE8">
              <w:rPr>
                <w:rFonts w:ascii="Calibri Light" w:eastAsia="Times New Roman" w:hAnsi="Calibri Light" w:cs="Calibri Light"/>
                <w:color w:val="000000"/>
                <w:sz w:val="20"/>
                <w:szCs w:val="20"/>
                <w:lang w:eastAsia="en-GB"/>
              </w:rPr>
              <w:t>buildings</w:t>
            </w:r>
          </w:p>
          <w:p w14:paraId="7CDA58DB" w14:textId="77777777" w:rsidR="0033265B" w:rsidRPr="000007D2" w:rsidRDefault="0033265B" w:rsidP="00884F3B">
            <w:pPr>
              <w:pStyle w:val="ListParagraph"/>
              <w:numPr>
                <w:ilvl w:val="0"/>
                <w:numId w:val="122"/>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Total surface area of energy-renovated residential buildings</w:t>
            </w:r>
          </w:p>
          <w:p w14:paraId="5F8FCF74" w14:textId="77777777" w:rsidR="0058467D" w:rsidRPr="00A33AE8" w:rsidRDefault="0058467D" w:rsidP="00884F3B">
            <w:pPr>
              <w:pStyle w:val="ListParagraph"/>
              <w:numPr>
                <w:ilvl w:val="0"/>
                <w:numId w:val="122"/>
              </w:numPr>
              <w:spacing w:after="0"/>
              <w:ind w:left="714" w:hanging="357"/>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w:t>
            </w:r>
            <w:r w:rsidR="0081678F" w:rsidRPr="00A33AE8">
              <w:rPr>
                <w:rFonts w:ascii="Calibri Light" w:eastAsia="Times New Roman" w:hAnsi="Calibri Light" w:cs="Calibri Light"/>
                <w:color w:val="000000"/>
                <w:sz w:val="20"/>
                <w:szCs w:val="20"/>
                <w:lang w:eastAsia="en-GB"/>
              </w:rPr>
              <w:t xml:space="preserve"> of heat pumps</w:t>
            </w:r>
          </w:p>
        </w:tc>
      </w:tr>
      <w:tr w:rsidR="006C6A30" w:rsidRPr="00A33AE8" w14:paraId="5DAA7AEF" w14:textId="77777777" w:rsidTr="006769DA">
        <w:trPr>
          <w:gridAfter w:val="1"/>
          <w:wAfter w:w="222" w:type="dxa"/>
          <w:trHeight w:val="429"/>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A163D8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243BDB5" w14:textId="77777777" w:rsidR="00967721" w:rsidRPr="00967721" w:rsidRDefault="006C6A30"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967721">
              <w:rPr>
                <w:rFonts w:ascii="Calibri Light" w:eastAsia="Times New Roman" w:hAnsi="Calibri Light" w:cs="Calibri Light"/>
                <w:color w:val="000000"/>
                <w:sz w:val="20"/>
                <w:szCs w:val="20"/>
                <w:lang w:eastAsia="en-GB"/>
              </w:rPr>
              <w:t xml:space="preserve"> </w:t>
            </w:r>
            <w:r w:rsidR="00967721" w:rsidRPr="00967721">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utilised RES technologies will increase the RES share in heating and cooling)</w:t>
            </w:r>
          </w:p>
          <w:p w14:paraId="5BD1BC24" w14:textId="77777777" w:rsidR="00967721" w:rsidRPr="00967721" w:rsidRDefault="00967721"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p w14:paraId="182BA6CB" w14:textId="77777777" w:rsidR="006C6A30" w:rsidRPr="00A33AE8" w:rsidRDefault="00967721"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Internal energy market (the promoted energy efficiency technologies will contribute to the alleviation of energy poverty)</w:t>
            </w:r>
          </w:p>
        </w:tc>
      </w:tr>
      <w:tr w:rsidR="0058467D" w:rsidRPr="00A33AE8" w14:paraId="70A85F14" w14:textId="77777777" w:rsidTr="006769D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03AFDB6"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224159F" w14:textId="77777777" w:rsidR="008017D6" w:rsidRPr="00A33AE8" w:rsidRDefault="008017D6" w:rsidP="00884F3B">
            <w:pPr>
              <w:pStyle w:val="ListParagraph"/>
              <w:numPr>
                <w:ilvl w:val="0"/>
                <w:numId w:val="122"/>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D5702"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2010/31</w:t>
            </w:r>
          </w:p>
          <w:p w14:paraId="5D5E3AD1" w14:textId="77777777"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D5702"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03035DC3" w14:textId="77777777"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D5702"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3330C2A7" w14:textId="77777777" w:rsidR="0058467D" w:rsidRPr="00A33AE8" w:rsidRDefault="0058467D" w:rsidP="00884F3B">
            <w:pPr>
              <w:pStyle w:val="ListParagraph"/>
              <w:numPr>
                <w:ilvl w:val="0"/>
                <w:numId w:val="122"/>
              </w:numPr>
              <w:spacing w:after="0" w:line="240" w:lineRule="auto"/>
              <w:ind w:left="714" w:hanging="357"/>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D5702"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2018/844</w:t>
            </w:r>
          </w:p>
        </w:tc>
      </w:tr>
      <w:tr w:rsidR="0058467D" w:rsidRPr="00A33AE8" w14:paraId="7CD4D484" w14:textId="77777777" w:rsidTr="006769D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06546E04"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700D4AB8" w14:textId="77777777"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8F868AF" w14:textId="77777777" w:rsidR="0058467D" w:rsidRPr="00A33AE8" w:rsidRDefault="0058467D" w:rsidP="006769DA">
            <w:pPr>
              <w:spacing w:after="0" w:line="240" w:lineRule="auto"/>
              <w:rPr>
                <w:rFonts w:ascii="Calibri Light" w:eastAsia="Times New Roman" w:hAnsi="Calibri Light" w:cs="Calibri Light"/>
                <w:color w:val="000000"/>
                <w:sz w:val="20"/>
                <w:szCs w:val="20"/>
                <w:lang w:eastAsia="en-GB"/>
              </w:rPr>
            </w:pPr>
          </w:p>
        </w:tc>
      </w:tr>
      <w:tr w:rsidR="0058467D" w:rsidRPr="00A33AE8" w14:paraId="3B628412" w14:textId="77777777" w:rsidTr="006769DA">
        <w:trPr>
          <w:trHeight w:val="60"/>
        </w:trPr>
        <w:tc>
          <w:tcPr>
            <w:tcW w:w="3329" w:type="dxa"/>
            <w:vMerge/>
            <w:tcBorders>
              <w:top w:val="nil"/>
              <w:left w:val="single" w:sz="8" w:space="0" w:color="auto"/>
              <w:bottom w:val="single" w:sz="8" w:space="0" w:color="000000"/>
              <w:right w:val="single" w:sz="8" w:space="0" w:color="auto"/>
            </w:tcBorders>
            <w:vAlign w:val="center"/>
            <w:hideMark/>
          </w:tcPr>
          <w:p w14:paraId="0BE9CF15"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23BA0750" w14:textId="77777777"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2B741C2" w14:textId="77777777" w:rsidR="0058467D" w:rsidRPr="00A33AE8" w:rsidRDefault="0058467D" w:rsidP="006769DA">
            <w:pPr>
              <w:spacing w:after="0" w:line="240" w:lineRule="auto"/>
              <w:rPr>
                <w:rFonts w:ascii="Times New Roman" w:eastAsia="Times New Roman" w:hAnsi="Times New Roman" w:cs="Times New Roman"/>
                <w:sz w:val="20"/>
                <w:szCs w:val="20"/>
                <w:lang w:eastAsia="en-GB"/>
              </w:rPr>
            </w:pPr>
          </w:p>
        </w:tc>
      </w:tr>
      <w:tr w:rsidR="0058467D" w:rsidRPr="00A33AE8" w14:paraId="436CB658" w14:textId="77777777" w:rsidTr="006769DA">
        <w:trPr>
          <w:trHeight w:val="780"/>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D718326"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6C13621" w14:textId="77777777"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0D4643FE" w14:textId="040846C3"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5BAB1CFF" w14:textId="77777777" w:rsidR="0058467D" w:rsidRPr="00A33AE8" w:rsidRDefault="0058467D" w:rsidP="00884F3B">
            <w:pPr>
              <w:pStyle w:val="ListParagraph"/>
              <w:numPr>
                <w:ilvl w:val="0"/>
                <w:numId w:val="1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tc>
        <w:tc>
          <w:tcPr>
            <w:tcW w:w="222" w:type="dxa"/>
            <w:vAlign w:val="center"/>
            <w:hideMark/>
          </w:tcPr>
          <w:p w14:paraId="4E84458B" w14:textId="77777777" w:rsidR="0058467D" w:rsidRPr="00A33AE8" w:rsidRDefault="0058467D" w:rsidP="006769DA">
            <w:pPr>
              <w:spacing w:after="0" w:line="240" w:lineRule="auto"/>
              <w:rPr>
                <w:rFonts w:ascii="Times New Roman" w:eastAsia="Times New Roman" w:hAnsi="Times New Roman" w:cs="Times New Roman"/>
                <w:sz w:val="20"/>
                <w:szCs w:val="20"/>
                <w:lang w:eastAsia="en-GB"/>
              </w:rPr>
            </w:pPr>
          </w:p>
        </w:tc>
      </w:tr>
      <w:tr w:rsidR="0058467D" w:rsidRPr="00A33AE8" w14:paraId="777329A0"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C9C276F"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DA1A284" w14:textId="3F134701" w:rsidR="0058467D" w:rsidRPr="000007D2" w:rsidRDefault="00AD5702">
            <w:pPr>
              <w:spacing w:after="0"/>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1,</w:t>
            </w:r>
            <w:r w:rsidR="0033265B" w:rsidRPr="00A33AE8">
              <w:rPr>
                <w:rFonts w:ascii="Calibri Light" w:eastAsia="Times New Roman" w:hAnsi="Calibri Light" w:cs="Calibri Light"/>
                <w:color w:val="000000"/>
                <w:sz w:val="20"/>
                <w:szCs w:val="20"/>
                <w:lang w:eastAsia="en-GB"/>
              </w:rPr>
              <w:t xml:space="preserve">711 </w:t>
            </w:r>
            <w:r w:rsidR="00AD5465" w:rsidRPr="00A33AE8">
              <w:rPr>
                <w:rFonts w:ascii="Calibri Light" w:eastAsia="Times New Roman" w:hAnsi="Calibri Light" w:cs="Calibri Light"/>
                <w:color w:val="000000"/>
                <w:sz w:val="20"/>
                <w:szCs w:val="20"/>
                <w:lang w:eastAsia="en-GB"/>
              </w:rPr>
              <w:t>M</w:t>
            </w:r>
            <w:r w:rsidR="0058467D" w:rsidRPr="00A33AE8">
              <w:rPr>
                <w:rFonts w:ascii="Calibri Light" w:eastAsia="Times New Roman" w:hAnsi="Calibri Light" w:cs="Calibri Light"/>
                <w:color w:val="000000"/>
                <w:sz w:val="20"/>
                <w:szCs w:val="20"/>
                <w:lang w:eastAsia="en-GB"/>
              </w:rPr>
              <w:t>€</w:t>
            </w:r>
            <w:r w:rsidR="00B36B79">
              <w:rPr>
                <w:rFonts w:ascii="Calibri Light" w:eastAsia="Times New Roman" w:hAnsi="Calibri Light" w:cs="Calibri Light"/>
                <w:color w:val="000000"/>
                <w:sz w:val="20"/>
                <w:szCs w:val="20"/>
                <w:lang w:eastAsia="en-GB"/>
              </w:rPr>
              <w:t xml:space="preserve"> </w:t>
            </w:r>
            <w:r w:rsidR="00B36B79" w:rsidRPr="00CD0941">
              <w:rPr>
                <w:rFonts w:ascii="Calibri Light" w:eastAsia="Times New Roman" w:hAnsi="Calibri Light" w:cs="Calibri Light"/>
                <w:color w:val="000000"/>
                <w:sz w:val="20"/>
                <w:szCs w:val="20"/>
                <w:lang w:eastAsia="en-GB"/>
              </w:rPr>
              <w:t>(801 M€ for interventions in the building envelope and 910 M€ for heat pumps)</w:t>
            </w:r>
          </w:p>
        </w:tc>
        <w:tc>
          <w:tcPr>
            <w:tcW w:w="222" w:type="dxa"/>
            <w:vAlign w:val="center"/>
            <w:hideMark/>
          </w:tcPr>
          <w:p w14:paraId="4CE48FF3" w14:textId="77777777" w:rsidR="0058467D" w:rsidRPr="00A33AE8" w:rsidRDefault="0058467D" w:rsidP="00884F3B">
            <w:pPr>
              <w:pStyle w:val="ListParagraph"/>
              <w:numPr>
                <w:ilvl w:val="0"/>
                <w:numId w:val="122"/>
              </w:numPr>
              <w:rPr>
                <w:rFonts w:ascii="Calibri Light" w:eastAsia="Times New Roman" w:hAnsi="Calibri Light" w:cs="Calibri Light"/>
                <w:color w:val="000000"/>
                <w:sz w:val="20"/>
                <w:szCs w:val="20"/>
                <w:lang w:eastAsia="en-GB"/>
              </w:rPr>
            </w:pPr>
          </w:p>
        </w:tc>
      </w:tr>
      <w:tr w:rsidR="0058467D" w:rsidRPr="00A33AE8" w14:paraId="76C6C58D"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810E2DA" w14:textId="77777777" w:rsidR="0058467D" w:rsidRPr="00A33AE8" w:rsidRDefault="0058467D"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ADB8542" w14:textId="77777777" w:rsidR="0058467D" w:rsidRPr="00A33AE8" w:rsidRDefault="00BF07CC"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w:t>
            </w:r>
            <w:r w:rsidR="00C54364" w:rsidRPr="00A33AE8">
              <w:rPr>
                <w:rFonts w:asciiTheme="majorHAnsi" w:eastAsia="Times New Roman" w:hAnsiTheme="majorHAnsi" w:cstheme="majorHAnsi"/>
                <w:color w:val="000000"/>
                <w:sz w:val="20"/>
                <w:szCs w:val="20"/>
                <w:lang w:eastAsia="en-GB"/>
              </w:rPr>
              <w:t xml:space="preserve">grants, </w:t>
            </w:r>
            <w:r w:rsidRPr="00A33AE8">
              <w:rPr>
                <w:rFonts w:asciiTheme="majorHAnsi" w:eastAsia="Times New Roman" w:hAnsiTheme="majorHAnsi" w:cstheme="majorHAnsi"/>
                <w:color w:val="000000"/>
                <w:sz w:val="20"/>
                <w:szCs w:val="20"/>
                <w:lang w:eastAsia="en-GB"/>
              </w:rPr>
              <w:t xml:space="preserve">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r w:rsidR="00C54364" w:rsidRPr="00A33AE8">
              <w:rPr>
                <w:rFonts w:asciiTheme="majorHAnsi" w:eastAsia="Times New Roman" w:hAnsiTheme="majorHAnsi" w:cstheme="majorHAnsi"/>
                <w:color w:val="000000"/>
                <w:sz w:val="20"/>
                <w:szCs w:val="20"/>
                <w:lang w:eastAsia="en-GB"/>
              </w:rPr>
              <w:t>, funds of international financial institutions</w:t>
            </w:r>
          </w:p>
        </w:tc>
        <w:tc>
          <w:tcPr>
            <w:tcW w:w="222" w:type="dxa"/>
            <w:vAlign w:val="center"/>
            <w:hideMark/>
          </w:tcPr>
          <w:p w14:paraId="32941A6E" w14:textId="77777777" w:rsidR="0058467D" w:rsidRPr="00A33AE8" w:rsidRDefault="0058467D" w:rsidP="006769DA">
            <w:pPr>
              <w:spacing w:after="0" w:line="240" w:lineRule="auto"/>
              <w:rPr>
                <w:rFonts w:ascii="Times New Roman" w:eastAsia="Times New Roman" w:hAnsi="Times New Roman" w:cs="Times New Roman"/>
                <w:sz w:val="20"/>
                <w:szCs w:val="20"/>
                <w:lang w:eastAsia="en-GB"/>
              </w:rPr>
            </w:pPr>
          </w:p>
        </w:tc>
      </w:tr>
    </w:tbl>
    <w:p w14:paraId="42959906" w14:textId="77777777" w:rsidR="0056239B" w:rsidRPr="00A33AE8" w:rsidRDefault="0056239B" w:rsidP="0056239B">
      <w:pPr>
        <w:pStyle w:val="LDKbody"/>
        <w:rPr>
          <w:lang w:val="en-GB"/>
        </w:rPr>
      </w:pPr>
    </w:p>
    <w:tbl>
      <w:tblPr>
        <w:tblW w:w="9680" w:type="dxa"/>
        <w:tblLook w:val="04A0" w:firstRow="1" w:lastRow="0" w:firstColumn="1" w:lastColumn="0" w:noHBand="0" w:noVBand="1"/>
      </w:tblPr>
      <w:tblGrid>
        <w:gridCol w:w="3329"/>
        <w:gridCol w:w="954"/>
        <w:gridCol w:w="945"/>
        <w:gridCol w:w="4230"/>
        <w:gridCol w:w="222"/>
      </w:tblGrid>
      <w:tr w:rsidR="008017D6" w:rsidRPr="00A33AE8" w14:paraId="06CD7DCE" w14:textId="77777777" w:rsidTr="000B7C3A">
        <w:trPr>
          <w:gridAfter w:val="1"/>
          <w:wAfter w:w="222" w:type="dxa"/>
          <w:trHeight w:val="780"/>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01C5D1D" w14:textId="77777777" w:rsidR="008017D6" w:rsidRPr="00A33AE8" w:rsidRDefault="008017D6" w:rsidP="000B7C3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4" w:type="dxa"/>
            <w:tcBorders>
              <w:top w:val="single" w:sz="8" w:space="0" w:color="auto"/>
              <w:left w:val="nil"/>
              <w:bottom w:val="single" w:sz="8" w:space="0" w:color="auto"/>
              <w:right w:val="single" w:sz="8" w:space="0" w:color="auto"/>
            </w:tcBorders>
            <w:shd w:val="clear" w:color="auto" w:fill="E7E6E6" w:themeFill="background2"/>
            <w:vAlign w:val="center"/>
            <w:hideMark/>
          </w:tcPr>
          <w:p w14:paraId="5B2CE485" w14:textId="77777777" w:rsidR="008017D6" w:rsidRPr="00A33AE8" w:rsidRDefault="008017D6" w:rsidP="000B7C3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6447AAFE"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0" w:type="dxa"/>
            <w:tcBorders>
              <w:top w:val="single" w:sz="8" w:space="0" w:color="auto"/>
              <w:left w:val="nil"/>
              <w:bottom w:val="single" w:sz="8" w:space="0" w:color="auto"/>
              <w:right w:val="single" w:sz="8" w:space="0" w:color="auto"/>
            </w:tcBorders>
            <w:shd w:val="clear" w:color="auto" w:fill="E7E6E6" w:themeFill="background2"/>
            <w:vAlign w:val="center"/>
            <w:hideMark/>
          </w:tcPr>
          <w:p w14:paraId="2C77B0FC" w14:textId="77777777" w:rsidR="008017D6" w:rsidRPr="00A33AE8" w:rsidRDefault="008017D6" w:rsidP="000B7C3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Support </w:t>
            </w:r>
            <w:r w:rsidR="00AD5702" w:rsidRPr="00A33AE8">
              <w:rPr>
                <w:rFonts w:ascii="Calibri Light" w:eastAsia="Times New Roman" w:hAnsi="Calibri Light" w:cs="Calibri Light"/>
                <w:b/>
                <w:bCs/>
                <w:color w:val="000000"/>
                <w:sz w:val="20"/>
                <w:szCs w:val="20"/>
                <w:lang w:eastAsia="en-GB"/>
              </w:rPr>
              <w:t>financially</w:t>
            </w:r>
            <w:r w:rsidRPr="00A33AE8">
              <w:rPr>
                <w:rFonts w:ascii="Calibri Light" w:eastAsia="Times New Roman" w:hAnsi="Calibri Light" w:cs="Calibri Light"/>
                <w:b/>
                <w:bCs/>
                <w:color w:val="000000"/>
                <w:sz w:val="20"/>
                <w:szCs w:val="20"/>
                <w:lang w:eastAsia="en-GB"/>
              </w:rPr>
              <w:t xml:space="preserve"> the energy renovation of public buildings</w:t>
            </w:r>
          </w:p>
        </w:tc>
      </w:tr>
      <w:tr w:rsidR="008017D6" w:rsidRPr="00A33AE8" w14:paraId="6731D385" w14:textId="77777777" w:rsidTr="000B7C3A">
        <w:trPr>
          <w:gridAfter w:val="1"/>
          <w:wAfter w:w="222" w:type="dxa"/>
          <w:trHeight w:val="960"/>
        </w:trPr>
        <w:tc>
          <w:tcPr>
            <w:tcW w:w="3329" w:type="dxa"/>
            <w:tcBorders>
              <w:top w:val="nil"/>
              <w:left w:val="single" w:sz="8" w:space="0" w:color="auto"/>
              <w:bottom w:val="single" w:sz="8" w:space="0" w:color="auto"/>
              <w:right w:val="nil"/>
            </w:tcBorders>
            <w:shd w:val="clear" w:color="000000" w:fill="244062"/>
            <w:vAlign w:val="center"/>
            <w:hideMark/>
          </w:tcPr>
          <w:p w14:paraId="145FFB8A"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1419D59" w14:textId="4C8F67E1" w:rsidR="008017D6" w:rsidRPr="00A33AE8" w:rsidRDefault="008017D6" w:rsidP="000B7C3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Fulfilment </w:t>
            </w:r>
            <w:r w:rsidR="00AD5702" w:rsidRPr="00A33AE8">
              <w:rPr>
                <w:rFonts w:ascii="Calibri Light" w:eastAsia="Times New Roman" w:hAnsi="Calibri Light" w:cs="Calibri Light"/>
                <w:color w:val="000000"/>
                <w:sz w:val="20"/>
                <w:szCs w:val="20"/>
                <w:lang w:eastAsia="en-GB"/>
              </w:rPr>
              <w:t xml:space="preserve">Implementation </w:t>
            </w:r>
            <w:r w:rsidRPr="00A33AE8">
              <w:rPr>
                <w:rFonts w:ascii="Calibri Light" w:eastAsia="Times New Roman" w:hAnsi="Calibri Light" w:cs="Calibri Light"/>
                <w:color w:val="000000"/>
                <w:sz w:val="20"/>
                <w:szCs w:val="20"/>
                <w:lang w:eastAsia="en-GB"/>
              </w:rPr>
              <w:t xml:space="preserve">of the following articles of the Directive </w:t>
            </w:r>
            <w:r w:rsidR="00365FA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365FA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0D3E2C5D" w14:textId="77777777" w:rsidR="008017D6" w:rsidRPr="00A33AE8" w:rsidRDefault="008017D6" w:rsidP="00884F3B">
            <w:pPr>
              <w:pStyle w:val="ListParagraph"/>
              <w:numPr>
                <w:ilvl w:val="0"/>
                <w:numId w:val="1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253894C6" w14:textId="77777777" w:rsidR="008017D6" w:rsidRPr="00A33AE8" w:rsidRDefault="008017D6" w:rsidP="00884F3B">
            <w:pPr>
              <w:pStyle w:val="ListParagraph"/>
              <w:numPr>
                <w:ilvl w:val="0"/>
                <w:numId w:val="1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p w14:paraId="06B0311F" w14:textId="77777777" w:rsidR="008017D6" w:rsidRPr="00A33AE8" w:rsidRDefault="008017D6" w:rsidP="00884F3B">
            <w:pPr>
              <w:pStyle w:val="ListParagraph"/>
              <w:numPr>
                <w:ilvl w:val="0"/>
                <w:numId w:val="1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5</w:t>
            </w:r>
          </w:p>
          <w:p w14:paraId="305926CA" w14:textId="77777777" w:rsidR="008017D6" w:rsidRPr="00A33AE8" w:rsidRDefault="008017D6" w:rsidP="00884F3B">
            <w:pPr>
              <w:pStyle w:val="ListParagraph"/>
              <w:numPr>
                <w:ilvl w:val="0"/>
                <w:numId w:val="1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8017D6" w:rsidRPr="00A33AE8" w14:paraId="30AE1969" w14:textId="77777777" w:rsidTr="000B7C3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D8C81BC"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25A0322" w14:textId="77777777" w:rsidR="008017D6" w:rsidRPr="000007D2" w:rsidRDefault="008017D6" w:rsidP="00884F3B">
            <w:pPr>
              <w:pStyle w:val="ListParagraph"/>
              <w:numPr>
                <w:ilvl w:val="0"/>
                <w:numId w:val="251"/>
              </w:numPr>
              <w:spacing w:after="0"/>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1,</w:t>
            </w:r>
            <w:r w:rsidR="00331534" w:rsidRPr="000007D2">
              <w:rPr>
                <w:rFonts w:ascii="Calibri Light" w:eastAsia="Times New Roman" w:hAnsi="Calibri Light" w:cs="Calibri Light"/>
                <w:color w:val="000000"/>
                <w:sz w:val="20"/>
                <w:szCs w:val="20"/>
                <w:lang w:eastAsia="en-GB"/>
              </w:rPr>
              <w:t xml:space="preserve">206 </w:t>
            </w:r>
            <w:r w:rsidRPr="000007D2">
              <w:rPr>
                <w:rFonts w:ascii="Calibri Light" w:eastAsia="Times New Roman" w:hAnsi="Calibri Light" w:cs="Calibri Light"/>
                <w:color w:val="000000"/>
                <w:sz w:val="20"/>
                <w:szCs w:val="20"/>
                <w:lang w:eastAsia="en-GB"/>
              </w:rPr>
              <w:t>thousand m</w:t>
            </w:r>
            <w:r w:rsidRPr="000007D2">
              <w:rPr>
                <w:rFonts w:ascii="Calibri Light" w:eastAsia="Times New Roman" w:hAnsi="Calibri Light" w:cs="Calibri Light"/>
                <w:color w:val="000000"/>
                <w:sz w:val="20"/>
                <w:szCs w:val="20"/>
                <w:vertAlign w:val="superscript"/>
                <w:lang w:eastAsia="en-GB"/>
              </w:rPr>
              <w:t>2</w:t>
            </w:r>
            <w:r w:rsidRPr="000007D2">
              <w:rPr>
                <w:rFonts w:ascii="Calibri Light" w:eastAsia="Times New Roman" w:hAnsi="Calibri Light" w:cs="Calibri Light"/>
                <w:color w:val="000000"/>
                <w:sz w:val="20"/>
                <w:szCs w:val="20"/>
                <w:lang w:eastAsia="en-GB"/>
              </w:rPr>
              <w:t xml:space="preserve"> </w:t>
            </w:r>
            <w:r w:rsidR="00331534" w:rsidRPr="000007D2">
              <w:rPr>
                <w:rFonts w:ascii="Calibri Light" w:eastAsia="Times New Roman" w:hAnsi="Calibri Light" w:cs="Calibri Light"/>
                <w:color w:val="000000"/>
                <w:sz w:val="20"/>
                <w:szCs w:val="20"/>
                <w:lang w:eastAsia="en-GB"/>
              </w:rPr>
              <w:t>energy-</w:t>
            </w:r>
            <w:r w:rsidR="002C06EA" w:rsidRPr="000007D2">
              <w:rPr>
                <w:rFonts w:ascii="Calibri Light" w:eastAsia="Times New Roman" w:hAnsi="Calibri Light" w:cs="Calibri Light"/>
                <w:color w:val="000000"/>
                <w:sz w:val="20"/>
                <w:szCs w:val="20"/>
                <w:lang w:eastAsia="en-GB"/>
              </w:rPr>
              <w:t xml:space="preserve">renovated </w:t>
            </w:r>
            <w:r w:rsidR="00AD5702" w:rsidRPr="000007D2">
              <w:rPr>
                <w:rFonts w:ascii="Calibri Light" w:eastAsia="Times New Roman" w:hAnsi="Calibri Light" w:cs="Calibri Light"/>
                <w:color w:val="000000"/>
                <w:sz w:val="20"/>
                <w:szCs w:val="20"/>
                <w:lang w:eastAsia="en-GB"/>
              </w:rPr>
              <w:t xml:space="preserve">public </w:t>
            </w:r>
            <w:r w:rsidRPr="000007D2">
              <w:rPr>
                <w:rFonts w:ascii="Calibri Light" w:eastAsia="Times New Roman" w:hAnsi="Calibri Light" w:cs="Calibri Light"/>
                <w:color w:val="000000"/>
                <w:sz w:val="20"/>
                <w:szCs w:val="20"/>
                <w:lang w:eastAsia="en-GB"/>
              </w:rPr>
              <w:t>buildings (final energy savings 5 ktoe</w:t>
            </w:r>
            <w:r w:rsidR="00331534" w:rsidRPr="000007D2">
              <w:rPr>
                <w:rFonts w:ascii="Calibri Light" w:eastAsia="Times New Roman" w:hAnsi="Calibri Light" w:cs="Calibri Light"/>
                <w:color w:val="000000"/>
                <w:sz w:val="20"/>
                <w:szCs w:val="20"/>
                <w:lang w:eastAsia="en-GB"/>
              </w:rPr>
              <w:t xml:space="preserve"> delivered by interventions in the building envelope</w:t>
            </w:r>
            <w:r w:rsidRPr="000007D2">
              <w:rPr>
                <w:rFonts w:ascii="Calibri Light" w:eastAsia="Times New Roman" w:hAnsi="Calibri Light" w:cs="Calibri Light"/>
                <w:color w:val="000000"/>
                <w:sz w:val="20"/>
                <w:szCs w:val="20"/>
                <w:lang w:eastAsia="en-GB"/>
              </w:rPr>
              <w:t>)</w:t>
            </w:r>
          </w:p>
          <w:p w14:paraId="2236F051" w14:textId="77777777" w:rsidR="00331534" w:rsidRPr="000007D2" w:rsidRDefault="00331534" w:rsidP="00884F3B">
            <w:pPr>
              <w:pStyle w:val="ListParagraph"/>
              <w:numPr>
                <w:ilvl w:val="0"/>
                <w:numId w:val="251"/>
              </w:numPr>
              <w:spacing w:after="0"/>
              <w:rPr>
                <w:rFonts w:ascii="Calibri" w:eastAsia="Times New Roman" w:hAnsi="Calibri" w:cs="Calibri"/>
                <w:color w:val="000000"/>
                <w:lang w:eastAsia="en-GB"/>
              </w:rPr>
            </w:pPr>
            <w:r w:rsidRPr="000007D2">
              <w:rPr>
                <w:rFonts w:ascii="Calibri Light" w:eastAsia="Times New Roman" w:hAnsi="Calibri Light" w:cs="Calibri Light"/>
                <w:color w:val="000000"/>
                <w:sz w:val="20"/>
                <w:szCs w:val="20"/>
                <w:lang w:eastAsia="en-GB"/>
              </w:rPr>
              <w:t>1.3 GW</w:t>
            </w:r>
            <w:r w:rsidR="00D63FBF">
              <w:rPr>
                <w:rFonts w:ascii="Calibri Light" w:eastAsia="Times New Roman" w:hAnsi="Calibri Light" w:cs="Calibri Light"/>
                <w:color w:val="000000"/>
                <w:sz w:val="20"/>
                <w:szCs w:val="20"/>
                <w:lang w:eastAsia="en-GB"/>
              </w:rPr>
              <w:t>th</w:t>
            </w:r>
            <w:r w:rsidRPr="000007D2">
              <w:rPr>
                <w:rFonts w:ascii="Calibri Light" w:eastAsia="Times New Roman" w:hAnsi="Calibri Light" w:cs="Calibri Light"/>
                <w:color w:val="000000"/>
                <w:sz w:val="20"/>
                <w:szCs w:val="20"/>
                <w:lang w:eastAsia="en-GB"/>
              </w:rPr>
              <w:t xml:space="preserve"> new capacity of heat pumps (final energy savings 27 ktoe)</w:t>
            </w:r>
          </w:p>
        </w:tc>
      </w:tr>
      <w:tr w:rsidR="008017D6" w:rsidRPr="00A33AE8" w14:paraId="71FE3831" w14:textId="77777777" w:rsidTr="000B7C3A">
        <w:trPr>
          <w:gridAfter w:val="1"/>
          <w:wAfter w:w="222" w:type="dxa"/>
          <w:trHeight w:val="443"/>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2119DA6"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8D9AE3E" w14:textId="77777777" w:rsidR="008017D6" w:rsidRPr="00A33AE8" w:rsidRDefault="008017D6" w:rsidP="000B7C3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PM_EE2 will promote the energy renovation of the public buildings highlighting the exemplary role of the public sector. The most cost-effective interventions will be supported </w:t>
            </w:r>
            <w:r w:rsidR="00331534" w:rsidRPr="00A33AE8">
              <w:rPr>
                <w:rFonts w:ascii="Calibri Light" w:eastAsia="Times New Roman" w:hAnsi="Calibri Light" w:cs="Calibri Light"/>
                <w:color w:val="000000"/>
                <w:sz w:val="20"/>
                <w:szCs w:val="20"/>
                <w:lang w:eastAsia="en-GB"/>
              </w:rPr>
              <w:t xml:space="preserve">for the rehabilitation of the building envelope and technical systems attaining the optimum cost-effectiveness ratio </w:t>
            </w:r>
            <w:r w:rsidRPr="00A33AE8">
              <w:rPr>
                <w:rFonts w:ascii="Calibri Light" w:eastAsia="Times New Roman" w:hAnsi="Calibri Light" w:cs="Calibri Light"/>
                <w:color w:val="000000"/>
                <w:sz w:val="20"/>
                <w:szCs w:val="20"/>
                <w:lang w:eastAsia="en-GB"/>
              </w:rPr>
              <w:t>as prioritized within the framework of the energy management systems, which will be developed by the responsible authorities</w:t>
            </w:r>
            <w:r w:rsidR="00CC35FB" w:rsidRPr="000007D2">
              <w:rPr>
                <w:rFonts w:ascii="Calibri Light" w:eastAsia="Times New Roman" w:hAnsi="Calibri Light" w:cs="Calibri Light"/>
                <w:color w:val="000000"/>
                <w:sz w:val="20"/>
                <w:szCs w:val="20"/>
                <w:lang w:eastAsia="en-GB"/>
              </w:rPr>
              <w:t xml:space="preserve"> in accordance with the Law on Energy Efficiency and Rational Use</w:t>
            </w:r>
            <w:r w:rsidR="00331534" w:rsidRPr="000007D2">
              <w:rPr>
                <w:rFonts w:ascii="Calibri Light" w:eastAsia="Times New Roman" w:hAnsi="Calibri Light" w:cs="Calibri Light"/>
                <w:color w:val="000000"/>
                <w:sz w:val="20"/>
                <w:szCs w:val="20"/>
                <w:lang w:eastAsia="en-GB"/>
              </w:rPr>
              <w:t xml:space="preserve"> </w:t>
            </w:r>
            <w:r w:rsidR="00CC35FB" w:rsidRPr="000007D2">
              <w:rPr>
                <w:rFonts w:ascii="Calibri Light" w:eastAsia="Times New Roman" w:hAnsi="Calibri Light" w:cs="Calibri Light"/>
                <w:color w:val="000000"/>
                <w:sz w:val="20"/>
                <w:szCs w:val="20"/>
                <w:lang w:eastAsia="en-GB"/>
              </w:rPr>
              <w:t>of Energy</w:t>
            </w:r>
            <w:r w:rsidRPr="00A33AE8">
              <w:rPr>
                <w:rFonts w:ascii="Calibri Light" w:eastAsia="Times New Roman" w:hAnsi="Calibri Light" w:cs="Calibri Light"/>
                <w:color w:val="000000"/>
                <w:sz w:val="20"/>
                <w:szCs w:val="20"/>
                <w:lang w:eastAsia="en-GB"/>
              </w:rPr>
              <w:t>. The achievement of the target for the energy renovation of buildings owned and used by the central administration</w:t>
            </w:r>
            <w:r w:rsidRPr="000007D2">
              <w:rPr>
                <w:rFonts w:ascii="Calibri Light" w:hAnsi="Calibri Light"/>
                <w:color w:val="000000"/>
                <w:sz w:val="20"/>
              </w:rPr>
              <w:t xml:space="preserve"> </w:t>
            </w:r>
            <w:r w:rsidR="009D188E" w:rsidRPr="000007D2">
              <w:rPr>
                <w:rFonts w:ascii="Calibri Light" w:eastAsia="Times New Roman" w:hAnsi="Calibri Light" w:cs="Calibri Light"/>
                <w:color w:val="000000"/>
                <w:sz w:val="20"/>
                <w:szCs w:val="20"/>
                <w:lang w:eastAsia="en-GB"/>
              </w:rPr>
              <w:t>(central government buildings – CGB</w:t>
            </w:r>
            <w:r w:rsidR="00163CD8" w:rsidRPr="00A33AE8">
              <w:rPr>
                <w:rFonts w:ascii="Calibri Light" w:eastAsia="Times New Roman" w:hAnsi="Calibri Light" w:cs="Calibri Light"/>
                <w:color w:val="000000"/>
                <w:sz w:val="20"/>
                <w:szCs w:val="20"/>
                <w:lang w:eastAsia="en-GB"/>
              </w:rPr>
              <w:t>)</w:t>
            </w:r>
            <w:r w:rsidR="009D188E" w:rsidRPr="000007D2">
              <w:rPr>
                <w:rFonts w:ascii="Calibri Light" w:eastAsia="Times New Roman" w:hAnsi="Calibri Light" w:cs="Calibri Light"/>
                <w:color w:val="000000"/>
                <w:sz w:val="20"/>
                <w:szCs w:val="20"/>
                <w:lang w:eastAsia="en-GB"/>
              </w:rPr>
              <w:t xml:space="preserve"> in accordance with article 5 of Directive</w:t>
            </w:r>
            <w:r w:rsidR="009D188E" w:rsidRPr="00A33AE8">
              <w:rPr>
                <w:rFonts w:ascii="Calibri Light" w:eastAsia="Times New Roman" w:hAnsi="Calibri Light" w:cs="Calibri Light"/>
                <w:color w:val="000000"/>
                <w:sz w:val="20"/>
                <w:szCs w:val="20"/>
                <w:lang w:eastAsia="en-GB"/>
              </w:rPr>
              <w:t xml:space="preserve"> </w:t>
            </w:r>
            <w:r w:rsidR="00D44191" w:rsidRPr="00A33AE8">
              <w:rPr>
                <w:rFonts w:ascii="Calibri Light" w:eastAsia="Times New Roman" w:hAnsi="Calibri Light" w:cs="Calibri Light"/>
                <w:color w:val="000000"/>
                <w:sz w:val="20"/>
                <w:szCs w:val="20"/>
                <w:lang w:eastAsia="en-GB"/>
              </w:rPr>
              <w:t xml:space="preserve">(EU) </w:t>
            </w:r>
            <w:r w:rsidR="009D188E" w:rsidRPr="00A33AE8">
              <w:rPr>
                <w:rFonts w:ascii="Calibri Light" w:eastAsia="Times New Roman" w:hAnsi="Calibri Light" w:cs="Calibri Light"/>
                <w:color w:val="000000"/>
                <w:sz w:val="20"/>
                <w:szCs w:val="20"/>
                <w:lang w:eastAsia="en-GB"/>
              </w:rPr>
              <w:t>2012/27</w:t>
            </w:r>
            <w:r w:rsidR="009D188E" w:rsidRPr="000007D2">
              <w:rPr>
                <w:rFonts w:ascii="Calibri Light" w:eastAsia="Times New Roman" w:hAnsi="Calibri Light" w:cs="Calibri Light"/>
                <w:color w:val="000000"/>
                <w:sz w:val="20"/>
                <w:szCs w:val="20"/>
                <w:lang w:eastAsia="en-GB"/>
              </w:rPr>
              <w:t xml:space="preserve"> </w:t>
            </w:r>
            <w:r w:rsidR="002A41F5" w:rsidRPr="000007D2">
              <w:rPr>
                <w:rFonts w:ascii="Calibri Light" w:eastAsia="Times New Roman" w:hAnsi="Calibri Light" w:cs="Calibri Light"/>
                <w:color w:val="000000"/>
                <w:sz w:val="20"/>
                <w:szCs w:val="20"/>
                <w:lang w:eastAsia="en-GB"/>
              </w:rPr>
              <w:t>of</w:t>
            </w:r>
            <w:r w:rsidR="009D188E" w:rsidRPr="000007D2">
              <w:rPr>
                <w:rFonts w:ascii="Calibri Light" w:eastAsia="Times New Roman" w:hAnsi="Calibri Light" w:cs="Calibri Light"/>
                <w:color w:val="000000"/>
                <w:sz w:val="20"/>
                <w:szCs w:val="20"/>
                <w:lang w:eastAsia="en-GB"/>
              </w:rPr>
              <w:t xml:space="preserve"> 3%</w:t>
            </w:r>
            <w:r w:rsidR="002A41F5" w:rsidRPr="000007D2">
              <w:rPr>
                <w:rFonts w:ascii="Calibri Light" w:eastAsia="Times New Roman" w:hAnsi="Calibri Light" w:cs="Calibri Light"/>
                <w:color w:val="000000"/>
                <w:sz w:val="20"/>
                <w:szCs w:val="20"/>
                <w:lang w:eastAsia="en-GB"/>
              </w:rPr>
              <w:t xml:space="preserve"> annually</w:t>
            </w:r>
            <w:r w:rsidRPr="00A33AE8">
              <w:rPr>
                <w:rFonts w:ascii="Calibri Light" w:eastAsia="Times New Roman" w:hAnsi="Calibri Light" w:cs="Calibri Light"/>
                <w:color w:val="000000"/>
                <w:sz w:val="20"/>
                <w:szCs w:val="20"/>
                <w:lang w:eastAsia="en-GB"/>
              </w:rPr>
              <w:t xml:space="preserve"> will be achieved with the most cost-effective approach, while the potential more ambitio</w:t>
            </w:r>
            <w:r w:rsidR="002A41F5" w:rsidRPr="00A33AE8">
              <w:rPr>
                <w:rFonts w:ascii="Calibri Light" w:eastAsia="Times New Roman" w:hAnsi="Calibri Light" w:cs="Calibri Light"/>
                <w:color w:val="000000"/>
                <w:sz w:val="20"/>
                <w:szCs w:val="20"/>
                <w:lang w:eastAsia="en-GB"/>
              </w:rPr>
              <w:t>us targets, related to</w:t>
            </w:r>
            <w:r w:rsidRPr="00A33AE8">
              <w:rPr>
                <w:rFonts w:ascii="Calibri Light" w:eastAsia="Times New Roman" w:hAnsi="Calibri Light" w:cs="Calibri Light"/>
                <w:color w:val="000000"/>
                <w:sz w:val="20"/>
                <w:szCs w:val="20"/>
                <w:lang w:eastAsia="en-GB"/>
              </w:rPr>
              <w:t xml:space="preserve"> the renovation of the </w:t>
            </w:r>
            <w:r w:rsidR="002A41F5" w:rsidRPr="00A33AE8">
              <w:rPr>
                <w:rFonts w:ascii="Calibri Light" w:eastAsia="Times New Roman" w:hAnsi="Calibri Light" w:cs="Calibri Light"/>
                <w:color w:val="000000"/>
                <w:sz w:val="20"/>
                <w:szCs w:val="20"/>
                <w:lang w:eastAsia="en-GB"/>
              </w:rPr>
              <w:t>specific percentage of</w:t>
            </w:r>
            <w:r w:rsidRPr="00A33AE8">
              <w:rPr>
                <w:rFonts w:ascii="Calibri Light" w:eastAsia="Times New Roman" w:hAnsi="Calibri Light" w:cs="Calibri Light"/>
                <w:color w:val="000000"/>
                <w:sz w:val="20"/>
                <w:szCs w:val="20"/>
                <w:lang w:eastAsia="en-GB"/>
              </w:rPr>
              <w:t xml:space="preserve"> heated and cooled state-owned buildings used by the public administration will be examined.</w:t>
            </w:r>
            <w:r w:rsidR="00331534" w:rsidRPr="00A33AE8">
              <w:rPr>
                <w:rFonts w:ascii="Calibri Light" w:eastAsia="Times New Roman" w:hAnsi="Calibri Light" w:cs="Calibri Light"/>
                <w:color w:val="000000"/>
                <w:sz w:val="20"/>
                <w:szCs w:val="20"/>
                <w:lang w:eastAsia="en-GB"/>
              </w:rPr>
              <w:t xml:space="preserve"> Special focus will be given on the energy renovation of the buildings in the Just Transition areas.</w:t>
            </w:r>
          </w:p>
        </w:tc>
      </w:tr>
      <w:tr w:rsidR="008017D6" w:rsidRPr="00A33AE8" w14:paraId="3D7B8AB2" w14:textId="77777777" w:rsidTr="000B7C3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0BEAE6E"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E368AE6" w14:textId="77777777" w:rsidR="008017D6" w:rsidRPr="00A33AE8" w:rsidRDefault="00AD5702" w:rsidP="000B7C3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8017D6" w:rsidRPr="00A33AE8">
              <w:rPr>
                <w:rFonts w:ascii="Calibri Light" w:eastAsia="Times New Roman" w:hAnsi="Calibri Light" w:cs="Calibri Light"/>
                <w:color w:val="000000"/>
                <w:sz w:val="20"/>
                <w:szCs w:val="20"/>
                <w:lang w:eastAsia="en-GB"/>
              </w:rPr>
              <w:t>-2030</w:t>
            </w:r>
          </w:p>
        </w:tc>
      </w:tr>
      <w:tr w:rsidR="008017D6" w:rsidRPr="00A33AE8" w14:paraId="323EA76A" w14:textId="77777777" w:rsidTr="000B7C3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784B34B"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8DF1BE9" w14:textId="77777777" w:rsidR="008017D6" w:rsidRPr="00A33AE8" w:rsidRDefault="008017D6" w:rsidP="000B7C3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8017D6" w:rsidRPr="00A33AE8" w14:paraId="011E52F6" w14:textId="77777777" w:rsidTr="000B7C3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8A96B52"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686EC27" w14:textId="77777777" w:rsidR="008017D6" w:rsidRPr="00A33AE8" w:rsidRDefault="008017D6" w:rsidP="000B7C3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Public</w:t>
            </w:r>
          </w:p>
        </w:tc>
      </w:tr>
      <w:tr w:rsidR="008017D6" w:rsidRPr="00A33AE8" w14:paraId="2155E713" w14:textId="77777777" w:rsidTr="000B7C3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3616317"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A2313EA" w14:textId="77777777" w:rsidR="008017D6" w:rsidRPr="00A33AE8" w:rsidRDefault="008017D6" w:rsidP="00884F3B">
            <w:pPr>
              <w:numPr>
                <w:ilvl w:val="0"/>
                <w:numId w:val="122"/>
              </w:numPr>
              <w:spacing w:after="0"/>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EBFE3F0" w14:textId="77777777" w:rsidR="00331534" w:rsidRPr="000007D2" w:rsidRDefault="00331534" w:rsidP="00884F3B">
            <w:pPr>
              <w:pStyle w:val="ListParagraph"/>
              <w:numPr>
                <w:ilvl w:val="0"/>
                <w:numId w:val="122"/>
              </w:numPr>
              <w:spacing w:after="0"/>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6298464D" w14:textId="77777777" w:rsidR="00967721" w:rsidRDefault="008017D6"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Provincial Secretariat of Vojvodina</w:t>
            </w:r>
          </w:p>
          <w:p w14:paraId="06CDE931" w14:textId="77777777" w:rsidR="00967721" w:rsidRPr="005B2C66" w:rsidRDefault="00967721" w:rsidP="00884F3B">
            <w:pPr>
              <w:numPr>
                <w:ilvl w:val="0"/>
                <w:numId w:val="122"/>
              </w:numPr>
              <w:contextualSpacing/>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Ministry of Construction, Transport and Infrastructure</w:t>
            </w:r>
          </w:p>
          <w:p w14:paraId="2477C1E3" w14:textId="77777777" w:rsidR="00967721" w:rsidRPr="00A33AE8" w:rsidRDefault="00967721" w:rsidP="005B2C66">
            <w:pPr>
              <w:contextualSpacing/>
              <w:rPr>
                <w:rFonts w:ascii="Calibri Light" w:eastAsia="Times New Roman" w:hAnsi="Calibri Light" w:cs="Calibri Light"/>
                <w:color w:val="000000"/>
                <w:sz w:val="20"/>
                <w:szCs w:val="20"/>
                <w:lang w:eastAsia="en-GB"/>
              </w:rPr>
            </w:pPr>
          </w:p>
        </w:tc>
      </w:tr>
      <w:tr w:rsidR="008017D6" w:rsidRPr="00A33AE8" w14:paraId="77FD7D73" w14:textId="77777777" w:rsidTr="000B7C3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778E93EC"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3CDC4A3" w14:textId="77777777" w:rsidR="008017D6" w:rsidRPr="00A33AE8" w:rsidRDefault="00967721" w:rsidP="00884F3B">
            <w:pPr>
              <w:pStyle w:val="ListParagraph"/>
              <w:numPr>
                <w:ilvl w:val="0"/>
                <w:numId w:val="122"/>
              </w:numPr>
              <w:spacing w:after="0"/>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Government of the Republic of Serbia</w:t>
            </w:r>
          </w:p>
        </w:tc>
      </w:tr>
      <w:tr w:rsidR="008017D6" w:rsidRPr="00A33AE8" w14:paraId="7C3026B7" w14:textId="77777777" w:rsidTr="000B7C3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52C2959E"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DF2BD85" w14:textId="77777777" w:rsidR="008017D6" w:rsidRPr="00A33AE8" w:rsidRDefault="00331534"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Total surface area of energy-renovated public buildings</w:t>
            </w:r>
          </w:p>
          <w:p w14:paraId="345D591B" w14:textId="77777777" w:rsidR="00331534" w:rsidRPr="00A33AE8" w:rsidRDefault="00331534"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of heat pumps</w:t>
            </w:r>
          </w:p>
        </w:tc>
      </w:tr>
      <w:tr w:rsidR="008017D6" w:rsidRPr="00A33AE8" w14:paraId="3FED3212" w14:textId="77777777" w:rsidTr="000B7C3A">
        <w:trPr>
          <w:gridAfter w:val="1"/>
          <w:wAfter w:w="222" w:type="dxa"/>
          <w:trHeight w:val="379"/>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E4A2660"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DAF204B" w14:textId="77777777" w:rsidR="00967721" w:rsidRPr="00967721" w:rsidRDefault="008017D6" w:rsidP="00884F3B">
            <w:pPr>
              <w:pStyle w:val="ListParagraph"/>
              <w:numPr>
                <w:ilvl w:val="0"/>
                <w:numId w:val="12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967721">
              <w:rPr>
                <w:rFonts w:ascii="Calibri Light" w:eastAsia="Times New Roman" w:hAnsi="Calibri Light" w:cs="Calibri Light"/>
                <w:color w:val="000000"/>
                <w:sz w:val="20"/>
                <w:szCs w:val="20"/>
                <w:lang w:eastAsia="en-GB"/>
              </w:rPr>
              <w:t xml:space="preserve"> </w:t>
            </w:r>
            <w:r w:rsidR="00967721" w:rsidRPr="00967721">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utilised RES technologies will increase the RES share in heating and cooling)</w:t>
            </w:r>
          </w:p>
          <w:p w14:paraId="2276BAE9" w14:textId="77777777" w:rsidR="008017D6" w:rsidRPr="00A33AE8" w:rsidRDefault="00967721" w:rsidP="00884F3B">
            <w:pPr>
              <w:pStyle w:val="ListParagraph"/>
              <w:numPr>
                <w:ilvl w:val="0"/>
                <w:numId w:val="123"/>
              </w:numPr>
              <w:spacing w:after="0" w:line="240" w:lineRule="auto"/>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lastRenderedPageBreak/>
              <w:t>Energy Security (the delivered energy savings will decrease the consumed quantities of the imported fossil fuels reducing energy import dependency from third countries)</w:t>
            </w:r>
          </w:p>
        </w:tc>
      </w:tr>
      <w:tr w:rsidR="008017D6" w:rsidRPr="00A33AE8" w14:paraId="554C6F4A" w14:textId="77777777" w:rsidTr="000B7C3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9A6A393"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8DDF95F" w14:textId="77777777" w:rsidR="008017D6" w:rsidRPr="00A33AE8" w:rsidRDefault="008017D6" w:rsidP="00884F3B">
            <w:pPr>
              <w:pStyle w:val="ListParagraph"/>
              <w:numPr>
                <w:ilvl w:val="0"/>
                <w:numId w:val="1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65FA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2010/31</w:t>
            </w:r>
          </w:p>
          <w:p w14:paraId="56B4897A" w14:textId="77777777" w:rsidR="008017D6" w:rsidRPr="00A33AE8" w:rsidRDefault="008017D6" w:rsidP="00884F3B">
            <w:pPr>
              <w:pStyle w:val="ListParagraph"/>
              <w:numPr>
                <w:ilvl w:val="0"/>
                <w:numId w:val="1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65FA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670AF099" w14:textId="77777777" w:rsidR="008017D6" w:rsidRPr="00A33AE8" w:rsidRDefault="008017D6" w:rsidP="00884F3B">
            <w:pPr>
              <w:pStyle w:val="ListParagraph"/>
              <w:numPr>
                <w:ilvl w:val="0"/>
                <w:numId w:val="1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65FA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29BD1146" w14:textId="77777777" w:rsidR="008017D6" w:rsidRPr="00A33AE8" w:rsidRDefault="008017D6" w:rsidP="00884F3B">
            <w:pPr>
              <w:pStyle w:val="ListParagraph"/>
              <w:numPr>
                <w:ilvl w:val="0"/>
                <w:numId w:val="1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65FA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2018/844</w:t>
            </w:r>
          </w:p>
        </w:tc>
      </w:tr>
      <w:tr w:rsidR="008017D6" w:rsidRPr="00A33AE8" w14:paraId="703B5E94" w14:textId="77777777" w:rsidTr="000B7C3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705640F2"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380686AA" w14:textId="77777777" w:rsidR="008017D6" w:rsidRPr="00A33AE8" w:rsidRDefault="008017D6" w:rsidP="000B7C3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D69003F" w14:textId="77777777" w:rsidR="008017D6" w:rsidRPr="00A33AE8" w:rsidRDefault="008017D6" w:rsidP="000B7C3A">
            <w:pPr>
              <w:spacing w:after="0" w:line="240" w:lineRule="auto"/>
              <w:rPr>
                <w:rFonts w:ascii="Calibri Light" w:eastAsia="Times New Roman" w:hAnsi="Calibri Light" w:cs="Calibri Light"/>
                <w:color w:val="000000"/>
                <w:sz w:val="20"/>
                <w:szCs w:val="20"/>
                <w:lang w:eastAsia="en-GB"/>
              </w:rPr>
            </w:pPr>
          </w:p>
        </w:tc>
      </w:tr>
      <w:tr w:rsidR="008017D6" w:rsidRPr="00A33AE8" w14:paraId="0AD2813A" w14:textId="77777777" w:rsidTr="000B7C3A">
        <w:trPr>
          <w:trHeight w:val="315"/>
        </w:trPr>
        <w:tc>
          <w:tcPr>
            <w:tcW w:w="3329" w:type="dxa"/>
            <w:vMerge/>
            <w:tcBorders>
              <w:top w:val="nil"/>
              <w:left w:val="single" w:sz="8" w:space="0" w:color="auto"/>
              <w:bottom w:val="single" w:sz="8" w:space="0" w:color="000000"/>
              <w:right w:val="single" w:sz="8" w:space="0" w:color="auto"/>
            </w:tcBorders>
            <w:vAlign w:val="center"/>
            <w:hideMark/>
          </w:tcPr>
          <w:p w14:paraId="30A850F9"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44372803" w14:textId="77777777" w:rsidR="008017D6" w:rsidRPr="00A33AE8" w:rsidRDefault="008017D6" w:rsidP="000B7C3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306E6D7" w14:textId="77777777" w:rsidR="008017D6" w:rsidRPr="00A33AE8" w:rsidRDefault="008017D6" w:rsidP="000B7C3A">
            <w:pPr>
              <w:spacing w:after="0" w:line="240" w:lineRule="auto"/>
              <w:rPr>
                <w:rFonts w:ascii="Times New Roman" w:eastAsia="Times New Roman" w:hAnsi="Times New Roman" w:cs="Times New Roman"/>
                <w:sz w:val="20"/>
                <w:szCs w:val="20"/>
                <w:lang w:eastAsia="en-GB"/>
              </w:rPr>
            </w:pPr>
          </w:p>
        </w:tc>
      </w:tr>
      <w:tr w:rsidR="008017D6" w:rsidRPr="00A33AE8" w14:paraId="2DDA676C" w14:textId="77777777" w:rsidTr="000B7C3A">
        <w:trPr>
          <w:trHeight w:val="780"/>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8B44D9C"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81234B6" w14:textId="77777777" w:rsidR="008017D6" w:rsidRPr="00A33AE8" w:rsidRDefault="008017D6" w:rsidP="00884F3B">
            <w:pPr>
              <w:pStyle w:val="ListParagraph"/>
              <w:numPr>
                <w:ilvl w:val="0"/>
                <w:numId w:val="1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7D7CF830" w14:textId="3490EFB1" w:rsidR="008017D6" w:rsidRPr="00A33AE8" w:rsidRDefault="008017D6" w:rsidP="00884F3B">
            <w:pPr>
              <w:pStyle w:val="ListParagraph"/>
              <w:numPr>
                <w:ilvl w:val="0"/>
                <w:numId w:val="1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3E4A53FB" w14:textId="77777777" w:rsidR="008017D6" w:rsidRPr="00A33AE8" w:rsidRDefault="008017D6" w:rsidP="00884F3B">
            <w:pPr>
              <w:pStyle w:val="ListParagraph"/>
              <w:numPr>
                <w:ilvl w:val="0"/>
                <w:numId w:val="1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tc>
        <w:tc>
          <w:tcPr>
            <w:tcW w:w="222" w:type="dxa"/>
            <w:vAlign w:val="center"/>
            <w:hideMark/>
          </w:tcPr>
          <w:p w14:paraId="4484987A" w14:textId="77777777" w:rsidR="008017D6" w:rsidRPr="00A33AE8" w:rsidRDefault="008017D6" w:rsidP="000B7C3A">
            <w:pPr>
              <w:spacing w:after="0" w:line="240" w:lineRule="auto"/>
              <w:rPr>
                <w:rFonts w:ascii="Times New Roman" w:eastAsia="Times New Roman" w:hAnsi="Times New Roman" w:cs="Times New Roman"/>
                <w:sz w:val="20"/>
                <w:szCs w:val="20"/>
                <w:lang w:eastAsia="en-GB"/>
              </w:rPr>
            </w:pPr>
          </w:p>
        </w:tc>
      </w:tr>
      <w:tr w:rsidR="008017D6" w:rsidRPr="00A33AE8" w14:paraId="30B3517C" w14:textId="77777777" w:rsidTr="000B7C3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EBE71AD"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5B1BD2B6" w14:textId="3A36FCED" w:rsidR="008017D6" w:rsidRPr="000007D2" w:rsidRDefault="00BA3A75">
            <w:pPr>
              <w:spacing w:after="0" w:line="240" w:lineRule="auto"/>
              <w:rPr>
                <w:rFonts w:ascii="Calibri" w:hAnsi="Calibri"/>
                <w:color w:val="000000"/>
              </w:rPr>
            </w:pPr>
            <w:r>
              <w:rPr>
                <w:rFonts w:asciiTheme="majorHAnsi" w:eastAsia="Times New Roman" w:hAnsiTheme="majorHAnsi" w:cstheme="majorHAnsi"/>
                <w:color w:val="000000"/>
                <w:sz w:val="20"/>
                <w:szCs w:val="20"/>
                <w:lang w:eastAsia="en-GB"/>
              </w:rPr>
              <w:t>1,016</w:t>
            </w:r>
            <w:r w:rsidRPr="00A33AE8">
              <w:rPr>
                <w:rFonts w:asciiTheme="majorHAnsi" w:eastAsia="Times New Roman" w:hAnsiTheme="majorHAnsi" w:cstheme="majorHAnsi"/>
                <w:color w:val="000000"/>
                <w:sz w:val="20"/>
                <w:szCs w:val="20"/>
                <w:lang w:eastAsia="en-GB"/>
              </w:rPr>
              <w:t xml:space="preserve"> </w:t>
            </w:r>
            <w:r w:rsidR="008017D6" w:rsidRPr="00A33AE8">
              <w:rPr>
                <w:rFonts w:asciiTheme="majorHAnsi" w:eastAsia="Times New Roman" w:hAnsiTheme="majorHAnsi" w:cstheme="majorHAnsi"/>
                <w:color w:val="000000"/>
                <w:sz w:val="20"/>
                <w:szCs w:val="20"/>
                <w:lang w:eastAsia="en-GB"/>
              </w:rPr>
              <w:t>M€</w:t>
            </w:r>
            <w:r w:rsidR="00B36B79">
              <w:rPr>
                <w:rFonts w:asciiTheme="majorHAnsi" w:eastAsia="Times New Roman" w:hAnsiTheme="majorHAnsi" w:cstheme="majorHAnsi"/>
                <w:color w:val="000000"/>
                <w:sz w:val="20"/>
                <w:szCs w:val="20"/>
                <w:lang w:eastAsia="en-GB"/>
              </w:rPr>
              <w:t xml:space="preserve"> </w:t>
            </w:r>
            <w:r w:rsidR="00B36B79" w:rsidRPr="0087794A">
              <w:rPr>
                <w:rFonts w:ascii="Calibri Light" w:eastAsia="Times New Roman" w:hAnsi="Calibri Light" w:cs="Calibri Light"/>
                <w:color w:val="000000"/>
                <w:sz w:val="20"/>
                <w:szCs w:val="20"/>
                <w:lang w:eastAsia="en-GB"/>
              </w:rPr>
              <w:t>(</w:t>
            </w:r>
            <w:r w:rsidR="00B36B79" w:rsidRPr="00CD0941">
              <w:rPr>
                <w:rFonts w:ascii="Calibri Light" w:eastAsia="Times New Roman" w:hAnsi="Calibri Light" w:cs="Calibri Light"/>
                <w:color w:val="000000"/>
                <w:sz w:val="20"/>
                <w:szCs w:val="20"/>
                <w:lang w:eastAsia="en-GB"/>
              </w:rPr>
              <w:t xml:space="preserve">191 </w:t>
            </w:r>
            <w:r w:rsidR="00B36B79" w:rsidRPr="0087794A">
              <w:rPr>
                <w:rFonts w:ascii="Calibri Light" w:eastAsia="Times New Roman" w:hAnsi="Calibri Light" w:cs="Calibri Light"/>
                <w:color w:val="000000"/>
                <w:sz w:val="20"/>
                <w:szCs w:val="20"/>
                <w:lang w:eastAsia="en-GB"/>
              </w:rPr>
              <w:t xml:space="preserve">M€ for interventions in the building envelope and </w:t>
            </w:r>
            <w:r w:rsidR="00B36B79" w:rsidRPr="00CD0941">
              <w:rPr>
                <w:rFonts w:ascii="Calibri Light" w:eastAsia="Times New Roman" w:hAnsi="Calibri Light" w:cs="Calibri Light"/>
                <w:color w:val="000000"/>
                <w:sz w:val="20"/>
                <w:szCs w:val="20"/>
                <w:lang w:eastAsia="en-GB"/>
              </w:rPr>
              <w:t>825</w:t>
            </w:r>
            <w:r w:rsidR="00B36B79" w:rsidRPr="0087794A">
              <w:rPr>
                <w:rFonts w:ascii="Calibri Light" w:eastAsia="Times New Roman" w:hAnsi="Calibri Light" w:cs="Calibri Light"/>
                <w:color w:val="000000"/>
                <w:sz w:val="20"/>
                <w:szCs w:val="20"/>
                <w:lang w:eastAsia="en-GB"/>
              </w:rPr>
              <w:t xml:space="preserve"> M€ for heat pumps)</w:t>
            </w:r>
          </w:p>
        </w:tc>
        <w:tc>
          <w:tcPr>
            <w:tcW w:w="222" w:type="dxa"/>
            <w:vAlign w:val="center"/>
            <w:hideMark/>
          </w:tcPr>
          <w:p w14:paraId="556F7A4A" w14:textId="77777777" w:rsidR="008017D6" w:rsidRPr="00A33AE8" w:rsidRDefault="008017D6" w:rsidP="000B7C3A">
            <w:pPr>
              <w:spacing w:after="0" w:line="240" w:lineRule="auto"/>
              <w:rPr>
                <w:rFonts w:ascii="Times New Roman" w:eastAsia="Times New Roman" w:hAnsi="Times New Roman" w:cs="Times New Roman"/>
                <w:sz w:val="20"/>
                <w:szCs w:val="20"/>
                <w:lang w:eastAsia="en-GB"/>
              </w:rPr>
            </w:pPr>
          </w:p>
        </w:tc>
      </w:tr>
      <w:tr w:rsidR="008017D6" w:rsidRPr="00A33AE8" w14:paraId="27EBF26D" w14:textId="77777777" w:rsidTr="000B7C3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6A49CB66" w14:textId="77777777" w:rsidR="008017D6" w:rsidRPr="00A33AE8" w:rsidRDefault="008017D6" w:rsidP="000B7C3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C0D0197" w14:textId="77777777" w:rsidR="008017D6" w:rsidRPr="00A33AE8" w:rsidRDefault="008017D6" w:rsidP="000B7C3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r w:rsidR="002A41F5" w:rsidRPr="00A33AE8">
              <w:rPr>
                <w:rFonts w:asciiTheme="majorHAnsi" w:eastAsia="Times New Roman" w:hAnsiTheme="majorHAnsi" w:cstheme="majorHAnsi"/>
                <w:color w:val="000000"/>
                <w:sz w:val="20"/>
                <w:szCs w:val="20"/>
                <w:lang w:eastAsia="en-GB"/>
              </w:rPr>
              <w:t>. Possibility of application of ESCO model of financing.</w:t>
            </w:r>
          </w:p>
        </w:tc>
        <w:tc>
          <w:tcPr>
            <w:tcW w:w="222" w:type="dxa"/>
            <w:vAlign w:val="center"/>
            <w:hideMark/>
          </w:tcPr>
          <w:p w14:paraId="0A02C929" w14:textId="77777777" w:rsidR="008017D6" w:rsidRPr="00A33AE8" w:rsidRDefault="008017D6" w:rsidP="000B7C3A">
            <w:pPr>
              <w:spacing w:after="0" w:line="240" w:lineRule="auto"/>
              <w:rPr>
                <w:rFonts w:ascii="Times New Roman" w:eastAsia="Times New Roman" w:hAnsi="Times New Roman" w:cs="Times New Roman"/>
                <w:sz w:val="20"/>
                <w:szCs w:val="20"/>
                <w:lang w:eastAsia="en-GB"/>
              </w:rPr>
            </w:pPr>
          </w:p>
        </w:tc>
      </w:tr>
    </w:tbl>
    <w:p w14:paraId="21C012D8" w14:textId="77777777" w:rsidR="008017D6" w:rsidRPr="00A33AE8" w:rsidRDefault="008017D6" w:rsidP="0056239B">
      <w:pPr>
        <w:pStyle w:val="LDKbody"/>
        <w:rPr>
          <w:lang w:val="en-GB"/>
        </w:rPr>
      </w:pPr>
    </w:p>
    <w:tbl>
      <w:tblPr>
        <w:tblW w:w="9680" w:type="dxa"/>
        <w:tblLook w:val="04A0" w:firstRow="1" w:lastRow="0" w:firstColumn="1" w:lastColumn="0" w:noHBand="0" w:noVBand="1"/>
      </w:tblPr>
      <w:tblGrid>
        <w:gridCol w:w="3195"/>
        <w:gridCol w:w="1346"/>
        <w:gridCol w:w="920"/>
        <w:gridCol w:w="3997"/>
        <w:gridCol w:w="222"/>
      </w:tblGrid>
      <w:tr w:rsidR="0056239B" w:rsidRPr="00A33AE8" w14:paraId="05DAC1EE" w14:textId="77777777" w:rsidTr="008017D6">
        <w:trPr>
          <w:gridAfter w:val="1"/>
          <w:wAfter w:w="222" w:type="dxa"/>
          <w:trHeight w:val="780"/>
        </w:trPr>
        <w:tc>
          <w:tcPr>
            <w:tcW w:w="319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09FBABD" w14:textId="77777777" w:rsidR="0056239B" w:rsidRPr="00A33AE8" w:rsidRDefault="0056239B"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4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ACBCF6E"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w:t>
            </w:r>
          </w:p>
        </w:tc>
        <w:tc>
          <w:tcPr>
            <w:tcW w:w="920" w:type="dxa"/>
            <w:tcBorders>
              <w:top w:val="single" w:sz="8" w:space="0" w:color="auto"/>
              <w:left w:val="nil"/>
              <w:bottom w:val="single" w:sz="8" w:space="0" w:color="auto"/>
              <w:right w:val="single" w:sz="8" w:space="0" w:color="auto"/>
            </w:tcBorders>
            <w:shd w:val="clear" w:color="000000" w:fill="244062"/>
            <w:vAlign w:val="center"/>
            <w:hideMark/>
          </w:tcPr>
          <w:p w14:paraId="27E1A8F2"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3997" w:type="dxa"/>
            <w:tcBorders>
              <w:top w:val="single" w:sz="8" w:space="0" w:color="auto"/>
              <w:left w:val="nil"/>
              <w:bottom w:val="single" w:sz="8" w:space="0" w:color="auto"/>
              <w:right w:val="single" w:sz="8" w:space="0" w:color="auto"/>
            </w:tcBorders>
            <w:shd w:val="clear" w:color="auto" w:fill="E7E6E6" w:themeFill="background2"/>
            <w:vAlign w:val="center"/>
            <w:hideMark/>
          </w:tcPr>
          <w:p w14:paraId="171B1AAB" w14:textId="77777777" w:rsidR="0056239B" w:rsidRPr="00A33AE8" w:rsidRDefault="004D65F5"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Support financially the energy renovation of non-residential buildings (not public)</w:t>
            </w:r>
          </w:p>
        </w:tc>
      </w:tr>
      <w:tr w:rsidR="0056239B" w:rsidRPr="00A33AE8" w14:paraId="0440DCA0" w14:textId="77777777" w:rsidTr="008017D6">
        <w:trPr>
          <w:gridAfter w:val="1"/>
          <w:wAfter w:w="222" w:type="dxa"/>
          <w:trHeight w:val="960"/>
        </w:trPr>
        <w:tc>
          <w:tcPr>
            <w:tcW w:w="3195" w:type="dxa"/>
            <w:tcBorders>
              <w:top w:val="nil"/>
              <w:left w:val="single" w:sz="8" w:space="0" w:color="auto"/>
              <w:bottom w:val="single" w:sz="8" w:space="0" w:color="auto"/>
              <w:right w:val="nil"/>
            </w:tcBorders>
            <w:shd w:val="clear" w:color="000000" w:fill="244062"/>
            <w:vAlign w:val="center"/>
            <w:hideMark/>
          </w:tcPr>
          <w:p w14:paraId="344E7698"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4128625C" w14:textId="374821AF" w:rsidR="0056239B" w:rsidRPr="00A33AE8" w:rsidRDefault="002C06E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00D44191"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00D44191"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6239B" w:rsidRPr="00A33AE8">
              <w:rPr>
                <w:rFonts w:ascii="Calibri Light" w:eastAsia="Times New Roman" w:hAnsi="Calibri Light" w:cs="Calibri Light"/>
                <w:color w:val="000000"/>
                <w:sz w:val="20"/>
                <w:szCs w:val="20"/>
                <w:lang w:eastAsia="en-GB"/>
              </w:rPr>
              <w:t>:</w:t>
            </w:r>
          </w:p>
          <w:p w14:paraId="455245A7" w14:textId="77777777" w:rsidR="0056239B" w:rsidRPr="00A33AE8" w:rsidRDefault="0056239B" w:rsidP="00884F3B">
            <w:pPr>
              <w:pStyle w:val="ListParagraph"/>
              <w:numPr>
                <w:ilvl w:val="0"/>
                <w:numId w:val="1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0046F688" w14:textId="77777777" w:rsidR="0056239B" w:rsidRPr="00A33AE8" w:rsidRDefault="0056239B" w:rsidP="00884F3B">
            <w:pPr>
              <w:pStyle w:val="ListParagraph"/>
              <w:numPr>
                <w:ilvl w:val="0"/>
                <w:numId w:val="1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p w14:paraId="3D6C713C" w14:textId="77777777" w:rsidR="0056239B" w:rsidRPr="00A33AE8" w:rsidRDefault="0056239B" w:rsidP="00884F3B">
            <w:pPr>
              <w:pStyle w:val="ListParagraph"/>
              <w:numPr>
                <w:ilvl w:val="0"/>
                <w:numId w:val="1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56239B" w:rsidRPr="00A33AE8" w14:paraId="172EAF39" w14:textId="77777777" w:rsidTr="008017D6">
        <w:trPr>
          <w:gridAfter w:val="1"/>
          <w:wAfter w:w="222" w:type="dxa"/>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475C8F1C"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44EB0CB9" w14:textId="77777777" w:rsidR="0056239B" w:rsidRPr="00A33AE8" w:rsidRDefault="002E181F" w:rsidP="00884F3B">
            <w:pPr>
              <w:numPr>
                <w:ilvl w:val="0"/>
                <w:numId w:val="122"/>
              </w:numPr>
              <w:contextualSpacing/>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7</w:t>
            </w:r>
            <w:r w:rsidR="005B7FFC"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681</w:t>
            </w:r>
            <w:r w:rsidR="0056239B" w:rsidRPr="00A33AE8">
              <w:rPr>
                <w:rFonts w:ascii="Calibri Light" w:eastAsia="Times New Roman" w:hAnsi="Calibri Light" w:cs="Calibri Light"/>
                <w:color w:val="000000"/>
                <w:sz w:val="20"/>
                <w:szCs w:val="20"/>
                <w:lang w:eastAsia="en-GB"/>
              </w:rPr>
              <w:t xml:space="preserve"> thousand m</w:t>
            </w:r>
            <w:r w:rsidR="0056239B" w:rsidRPr="000007D2">
              <w:rPr>
                <w:rFonts w:ascii="Calibri Light" w:eastAsia="Times New Roman" w:hAnsi="Calibri Light" w:cs="Calibri Light"/>
                <w:color w:val="000000"/>
                <w:sz w:val="20"/>
                <w:szCs w:val="20"/>
                <w:vertAlign w:val="superscript"/>
                <w:lang w:eastAsia="en-GB"/>
              </w:rPr>
              <w:t>2</w:t>
            </w:r>
            <w:r w:rsidR="0056239B" w:rsidRPr="00A33AE8">
              <w:rPr>
                <w:rFonts w:ascii="Calibri Light" w:eastAsia="Times New Roman" w:hAnsi="Calibri Light" w:cs="Calibri Light"/>
                <w:color w:val="000000"/>
                <w:sz w:val="20"/>
                <w:szCs w:val="20"/>
                <w:lang w:eastAsia="en-GB"/>
              </w:rPr>
              <w:t xml:space="preserve"> </w:t>
            </w:r>
            <w:r w:rsidR="004D65F5" w:rsidRPr="00A33AE8">
              <w:rPr>
                <w:rFonts w:ascii="Calibri Light" w:eastAsia="Times New Roman" w:hAnsi="Calibri Light" w:cs="Calibri Light"/>
                <w:color w:val="000000"/>
                <w:sz w:val="20"/>
                <w:szCs w:val="20"/>
                <w:lang w:eastAsia="en-GB"/>
              </w:rPr>
              <w:t>energy-</w:t>
            </w:r>
            <w:r w:rsidR="00D44191" w:rsidRPr="00A33AE8">
              <w:rPr>
                <w:rFonts w:ascii="Calibri Light" w:eastAsia="Times New Roman" w:hAnsi="Calibri Light" w:cs="Calibri Light"/>
                <w:color w:val="000000"/>
                <w:sz w:val="20"/>
                <w:szCs w:val="20"/>
                <w:lang w:eastAsia="en-GB"/>
              </w:rPr>
              <w:t xml:space="preserve">renovated non-residential </w:t>
            </w:r>
            <w:r w:rsidR="0056239B" w:rsidRPr="00A33AE8">
              <w:rPr>
                <w:rFonts w:ascii="Calibri Light" w:eastAsia="Times New Roman" w:hAnsi="Calibri Light" w:cs="Calibri Light"/>
                <w:color w:val="000000"/>
                <w:sz w:val="20"/>
                <w:szCs w:val="20"/>
                <w:lang w:eastAsia="en-GB"/>
              </w:rPr>
              <w:t>buildings</w:t>
            </w:r>
            <w:r w:rsidR="00532B7A" w:rsidRPr="00A33AE8">
              <w:rPr>
                <w:rFonts w:ascii="Calibri Light" w:eastAsia="Times New Roman" w:hAnsi="Calibri Light" w:cs="Calibri Light"/>
                <w:color w:val="000000"/>
                <w:sz w:val="20"/>
                <w:szCs w:val="20"/>
                <w:lang w:eastAsia="en-GB"/>
              </w:rPr>
              <w:t xml:space="preserve"> (final energy savings </w:t>
            </w:r>
            <w:r w:rsidRPr="00A33AE8">
              <w:rPr>
                <w:rFonts w:ascii="Calibri Light" w:eastAsia="Times New Roman" w:hAnsi="Calibri Light" w:cs="Calibri Light"/>
                <w:color w:val="000000"/>
                <w:sz w:val="20"/>
                <w:szCs w:val="20"/>
                <w:lang w:eastAsia="en-GB"/>
              </w:rPr>
              <w:t>32</w:t>
            </w:r>
            <w:r w:rsidR="005B7FFC" w:rsidRPr="00A33AE8">
              <w:rPr>
                <w:rFonts w:ascii="Calibri Light" w:eastAsia="Times New Roman" w:hAnsi="Calibri Light" w:cs="Calibri Light"/>
                <w:color w:val="000000"/>
                <w:sz w:val="20"/>
                <w:szCs w:val="20"/>
                <w:lang w:eastAsia="en-GB"/>
              </w:rPr>
              <w:t xml:space="preserve"> </w:t>
            </w:r>
            <w:r w:rsidR="00532B7A" w:rsidRPr="00A33AE8">
              <w:rPr>
                <w:rFonts w:ascii="Calibri Light" w:eastAsia="Times New Roman" w:hAnsi="Calibri Light" w:cs="Calibri Light"/>
                <w:color w:val="000000"/>
                <w:sz w:val="20"/>
                <w:szCs w:val="20"/>
                <w:lang w:eastAsia="en-GB"/>
              </w:rPr>
              <w:t>ktoe</w:t>
            </w:r>
            <w:r w:rsidR="004D65F5" w:rsidRPr="00A33AE8">
              <w:rPr>
                <w:rFonts w:ascii="Calibri Light" w:eastAsia="Times New Roman" w:hAnsi="Calibri Light" w:cs="Calibri Light"/>
                <w:color w:val="000000"/>
                <w:sz w:val="20"/>
                <w:szCs w:val="20"/>
                <w:lang w:eastAsia="en-GB"/>
              </w:rPr>
              <w:t xml:space="preserve"> delivered by interventions in the building envelope</w:t>
            </w:r>
            <w:r w:rsidR="00532B7A" w:rsidRPr="00A33AE8">
              <w:rPr>
                <w:rFonts w:ascii="Calibri Light" w:eastAsia="Times New Roman" w:hAnsi="Calibri Light" w:cs="Calibri Light"/>
                <w:color w:val="000000"/>
                <w:sz w:val="20"/>
                <w:szCs w:val="20"/>
                <w:lang w:eastAsia="en-GB"/>
              </w:rPr>
              <w:t>)</w:t>
            </w:r>
          </w:p>
          <w:p w14:paraId="0853F019" w14:textId="77777777" w:rsidR="0056239B" w:rsidRPr="00A33AE8" w:rsidRDefault="008C0AE1" w:rsidP="00884F3B">
            <w:pPr>
              <w:numPr>
                <w:ilvl w:val="0"/>
                <w:numId w:val="122"/>
              </w:numPr>
              <w:contextualSpacing/>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3.8</w:t>
            </w:r>
            <w:r w:rsidR="0056239B" w:rsidRPr="00A33AE8">
              <w:rPr>
                <w:rFonts w:ascii="Calibri Light" w:eastAsia="Times New Roman" w:hAnsi="Calibri Light" w:cs="Calibri Light"/>
                <w:color w:val="000000"/>
                <w:sz w:val="20"/>
                <w:szCs w:val="20"/>
                <w:lang w:eastAsia="en-GB"/>
              </w:rPr>
              <w:t xml:space="preserve"> GW</w:t>
            </w:r>
            <w:r w:rsidR="00D63FBF">
              <w:rPr>
                <w:rFonts w:ascii="Calibri Light" w:eastAsia="Times New Roman" w:hAnsi="Calibri Light" w:cs="Calibri Light"/>
                <w:color w:val="000000"/>
                <w:sz w:val="20"/>
                <w:szCs w:val="20"/>
                <w:lang w:eastAsia="en-GB"/>
              </w:rPr>
              <w:t>th</w:t>
            </w:r>
            <w:r w:rsidR="0056239B" w:rsidRPr="00A33AE8">
              <w:rPr>
                <w:rFonts w:ascii="Calibri Light" w:eastAsia="Times New Roman" w:hAnsi="Calibri Light" w:cs="Calibri Light"/>
                <w:color w:val="000000"/>
                <w:sz w:val="20"/>
                <w:szCs w:val="20"/>
                <w:lang w:eastAsia="en-GB"/>
              </w:rPr>
              <w:t xml:space="preserve"> </w:t>
            </w:r>
            <w:r w:rsidR="002E181F" w:rsidRPr="00A33AE8">
              <w:rPr>
                <w:rFonts w:ascii="Calibri Light" w:eastAsia="Times New Roman" w:hAnsi="Calibri Light" w:cs="Calibri Light"/>
                <w:color w:val="000000"/>
                <w:sz w:val="20"/>
                <w:szCs w:val="20"/>
                <w:lang w:eastAsia="en-GB"/>
              </w:rPr>
              <w:t xml:space="preserve">new </w:t>
            </w:r>
            <w:r w:rsidR="0056239B" w:rsidRPr="00A33AE8">
              <w:rPr>
                <w:rFonts w:ascii="Calibri Light" w:eastAsia="Times New Roman" w:hAnsi="Calibri Light" w:cs="Calibri Light"/>
                <w:color w:val="000000"/>
                <w:sz w:val="20"/>
                <w:szCs w:val="20"/>
                <w:lang w:eastAsia="en-GB"/>
              </w:rPr>
              <w:t>capacity of heat pumps</w:t>
            </w:r>
            <w:r w:rsidR="00532B7A" w:rsidRPr="00A33AE8">
              <w:rPr>
                <w:rFonts w:ascii="Calibri Light" w:eastAsia="Times New Roman" w:hAnsi="Calibri Light" w:cs="Calibri Light"/>
                <w:color w:val="000000"/>
                <w:sz w:val="20"/>
                <w:szCs w:val="20"/>
                <w:lang w:eastAsia="en-GB"/>
              </w:rPr>
              <w:t xml:space="preserve"> (final energy savings </w:t>
            </w:r>
            <w:r w:rsidRPr="00A33AE8">
              <w:rPr>
                <w:rFonts w:ascii="Calibri Light" w:eastAsia="Times New Roman" w:hAnsi="Calibri Light" w:cs="Calibri Light"/>
                <w:color w:val="000000"/>
                <w:sz w:val="20"/>
                <w:szCs w:val="20"/>
                <w:lang w:eastAsia="en-GB"/>
              </w:rPr>
              <w:t>25</w:t>
            </w:r>
            <w:r w:rsidR="005B7FFC" w:rsidRPr="00A33AE8">
              <w:rPr>
                <w:rFonts w:ascii="Calibri Light" w:eastAsia="Times New Roman" w:hAnsi="Calibri Light" w:cs="Calibri Light"/>
                <w:color w:val="000000"/>
                <w:sz w:val="20"/>
                <w:szCs w:val="20"/>
                <w:lang w:eastAsia="en-GB"/>
              </w:rPr>
              <w:t xml:space="preserve"> </w:t>
            </w:r>
            <w:r w:rsidR="00532B7A" w:rsidRPr="00A33AE8">
              <w:rPr>
                <w:rFonts w:ascii="Calibri Light" w:eastAsia="Times New Roman" w:hAnsi="Calibri Light" w:cs="Calibri Light"/>
                <w:color w:val="000000"/>
                <w:sz w:val="20"/>
                <w:szCs w:val="20"/>
                <w:lang w:eastAsia="en-GB"/>
              </w:rPr>
              <w:t>ktoe)</w:t>
            </w:r>
          </w:p>
        </w:tc>
      </w:tr>
      <w:tr w:rsidR="008017D6" w:rsidRPr="00A33AE8" w14:paraId="165412D0" w14:textId="77777777" w:rsidTr="008017D6">
        <w:trPr>
          <w:gridAfter w:val="1"/>
          <w:wAfter w:w="222" w:type="dxa"/>
          <w:trHeight w:val="229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7504E3C3" w14:textId="77777777" w:rsidR="008017D6" w:rsidRPr="00A33AE8" w:rsidRDefault="008017D6" w:rsidP="008017D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57A2A9AC" w14:textId="77777777" w:rsidR="008017D6" w:rsidRPr="00A33AE8" w:rsidRDefault="008017D6" w:rsidP="008017D6">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PM_EE3 will foresee the provision of subsidies for the energy renovation of non-residential buildings</w:t>
            </w:r>
            <w:r w:rsidR="008C0AE1" w:rsidRPr="00A33AE8">
              <w:rPr>
                <w:rFonts w:ascii="Calibri Light" w:eastAsia="Times New Roman" w:hAnsi="Calibri Light" w:cs="Calibri Light"/>
                <w:color w:val="000000"/>
                <w:sz w:val="20"/>
                <w:szCs w:val="20"/>
                <w:lang w:eastAsia="en-GB"/>
              </w:rPr>
              <w:t>, with the exemption of public buildings, emphasising</w:t>
            </w:r>
            <w:r w:rsidRPr="00A33AE8">
              <w:rPr>
                <w:rFonts w:ascii="Calibri Light" w:eastAsia="Times New Roman" w:hAnsi="Calibri Light" w:cs="Calibri Light"/>
                <w:color w:val="000000"/>
                <w:sz w:val="20"/>
                <w:szCs w:val="20"/>
                <w:lang w:eastAsia="en-GB"/>
              </w:rPr>
              <w:t xml:space="preserve"> on </w:t>
            </w:r>
            <w:r w:rsidR="008C0AE1" w:rsidRPr="00A33AE8">
              <w:rPr>
                <w:rFonts w:ascii="Calibri Light" w:eastAsia="Times New Roman" w:hAnsi="Calibri Light" w:cs="Calibri Light"/>
                <w:color w:val="000000"/>
                <w:sz w:val="20"/>
                <w:szCs w:val="20"/>
                <w:lang w:eastAsia="en-GB"/>
              </w:rPr>
              <w:t>the reduction of the heating and cooling demand in</w:t>
            </w:r>
            <w:r w:rsidRPr="00A33AE8">
              <w:rPr>
                <w:rFonts w:ascii="Calibri Light" w:eastAsia="Times New Roman" w:hAnsi="Calibri Light" w:cs="Calibri Light"/>
                <w:color w:val="000000"/>
                <w:sz w:val="20"/>
                <w:szCs w:val="20"/>
                <w:lang w:eastAsia="en-GB"/>
              </w:rPr>
              <w:t xml:space="preserve"> the service sector. </w:t>
            </w:r>
            <w:r w:rsidR="008C0AE1" w:rsidRPr="00A33AE8">
              <w:rPr>
                <w:rFonts w:ascii="Calibri Light" w:eastAsia="Times New Roman" w:hAnsi="Calibri Light" w:cs="Calibri Light"/>
                <w:color w:val="000000"/>
                <w:sz w:val="20"/>
                <w:szCs w:val="20"/>
                <w:lang w:eastAsia="en-GB"/>
              </w:rPr>
              <w:t xml:space="preserve">The design and provision of dedicated financial incentives will enable more extensive energy rehabilitation of non-residential buildings through cost-optimal interventions to improve the energy efficiency of buildings and technical systems with the highest potential for energy savings. </w:t>
            </w:r>
            <w:r w:rsidRPr="00A33AE8">
              <w:rPr>
                <w:rFonts w:ascii="Calibri Light" w:eastAsia="Times New Roman" w:hAnsi="Calibri Light" w:cs="Calibri Light"/>
                <w:color w:val="000000"/>
                <w:sz w:val="20"/>
                <w:szCs w:val="20"/>
                <w:lang w:eastAsia="en-GB"/>
              </w:rPr>
              <w:t xml:space="preserve">Additional financial and fiscal measures will be initiated, such as the adoption of targeted tax deductions and the unhampered access to the required funds through credit lines, guarantees and soft-interest loans in the case that the contribution of the planned subsidies is not sufficient. </w:t>
            </w:r>
            <w:r w:rsidR="008C0AE1" w:rsidRPr="00A33AE8">
              <w:rPr>
                <w:rFonts w:ascii="Calibri Light" w:eastAsia="Times New Roman" w:hAnsi="Calibri Light" w:cs="Calibri Light"/>
                <w:color w:val="000000"/>
                <w:sz w:val="20"/>
                <w:szCs w:val="20"/>
                <w:lang w:eastAsia="en-GB"/>
              </w:rPr>
              <w:t>Special focus will be given on the energy renovation of the buildings in the Just Transition areas.</w:t>
            </w:r>
          </w:p>
        </w:tc>
      </w:tr>
      <w:tr w:rsidR="0056239B" w:rsidRPr="00A33AE8" w14:paraId="030B92B9" w14:textId="77777777" w:rsidTr="008017D6">
        <w:trPr>
          <w:gridAfter w:val="1"/>
          <w:wAfter w:w="222" w:type="dxa"/>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32627B8C"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072A765D" w14:textId="77777777" w:rsidR="0056239B" w:rsidRPr="00A33AE8" w:rsidRDefault="002E181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6239B" w:rsidRPr="00A33AE8">
              <w:rPr>
                <w:rFonts w:ascii="Calibri Light" w:eastAsia="Times New Roman" w:hAnsi="Calibri Light" w:cs="Calibri Light"/>
                <w:color w:val="000000"/>
                <w:sz w:val="20"/>
                <w:szCs w:val="20"/>
                <w:lang w:eastAsia="en-GB"/>
              </w:rPr>
              <w:t>-2030</w:t>
            </w:r>
          </w:p>
        </w:tc>
      </w:tr>
      <w:tr w:rsidR="0056239B" w:rsidRPr="00A33AE8" w14:paraId="1111303C" w14:textId="77777777" w:rsidTr="008017D6">
        <w:trPr>
          <w:gridAfter w:val="1"/>
          <w:wAfter w:w="222" w:type="dxa"/>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6E087AE0"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565EE201" w14:textId="77777777" w:rsidR="0056239B"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6239B" w:rsidRPr="00A33AE8" w14:paraId="5A7B7A3A" w14:textId="77777777" w:rsidTr="008017D6">
        <w:trPr>
          <w:gridAfter w:val="1"/>
          <w:wAfter w:w="222" w:type="dxa"/>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5B74288A"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12441F8F"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Commercial, industrial</w:t>
            </w:r>
          </w:p>
        </w:tc>
      </w:tr>
      <w:tr w:rsidR="0056239B" w:rsidRPr="00A33AE8" w14:paraId="7AAC07B0" w14:textId="77777777" w:rsidTr="008017D6">
        <w:trPr>
          <w:gridAfter w:val="1"/>
          <w:wAfter w:w="222" w:type="dxa"/>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4E0CF5A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3" w:type="dxa"/>
            <w:gridSpan w:val="3"/>
            <w:tcBorders>
              <w:top w:val="single" w:sz="4" w:space="0" w:color="auto"/>
              <w:left w:val="single" w:sz="4" w:space="0" w:color="auto"/>
              <w:bottom w:val="nil"/>
              <w:right w:val="single" w:sz="4" w:space="0" w:color="auto"/>
            </w:tcBorders>
            <w:shd w:val="clear" w:color="auto" w:fill="auto"/>
            <w:vAlign w:val="center"/>
            <w:hideMark/>
          </w:tcPr>
          <w:p w14:paraId="62383DA3" w14:textId="77777777" w:rsidR="00483964" w:rsidRPr="00A33AE8" w:rsidRDefault="0048396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p w14:paraId="22A184BC" w14:textId="77777777" w:rsidR="004644FF" w:rsidRPr="00A33AE8" w:rsidRDefault="004644FF"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296DF711"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IFIs </w:t>
            </w:r>
          </w:p>
        </w:tc>
      </w:tr>
      <w:tr w:rsidR="0056239B" w:rsidRPr="00A33AE8" w14:paraId="40DF1C25" w14:textId="77777777" w:rsidTr="005B2C66">
        <w:trPr>
          <w:gridAfter w:val="1"/>
          <w:wAfter w:w="222" w:type="dxa"/>
          <w:trHeight w:val="315"/>
        </w:trPr>
        <w:tc>
          <w:tcPr>
            <w:tcW w:w="3195" w:type="dxa"/>
            <w:tcBorders>
              <w:top w:val="nil"/>
              <w:left w:val="single" w:sz="8" w:space="0" w:color="auto"/>
              <w:bottom w:val="single" w:sz="8" w:space="0" w:color="auto"/>
              <w:right w:val="nil"/>
            </w:tcBorders>
            <w:shd w:val="clear" w:color="000000" w:fill="244062"/>
            <w:vAlign w:val="center"/>
            <w:hideMark/>
          </w:tcPr>
          <w:p w14:paraId="34AFD3D7"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3" w:type="dxa"/>
            <w:gridSpan w:val="3"/>
            <w:tcBorders>
              <w:top w:val="single" w:sz="4" w:space="0" w:color="auto"/>
              <w:left w:val="single" w:sz="4" w:space="0" w:color="auto"/>
              <w:bottom w:val="single" w:sz="4" w:space="0" w:color="auto"/>
              <w:right w:val="single" w:sz="4" w:space="0" w:color="auto"/>
            </w:tcBorders>
            <w:vAlign w:val="center"/>
            <w:hideMark/>
          </w:tcPr>
          <w:p w14:paraId="585E9DF8" w14:textId="77777777" w:rsidR="0056239B" w:rsidRPr="00A33AE8" w:rsidRDefault="00967721"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Government of the Republic of Serbia</w:t>
            </w:r>
          </w:p>
        </w:tc>
      </w:tr>
      <w:tr w:rsidR="0056239B" w:rsidRPr="00A33AE8" w14:paraId="138CCEBA" w14:textId="77777777" w:rsidTr="005B2C66">
        <w:trPr>
          <w:gridAfter w:val="1"/>
          <w:wAfter w:w="222" w:type="dxa"/>
          <w:trHeight w:val="315"/>
        </w:trPr>
        <w:tc>
          <w:tcPr>
            <w:tcW w:w="3195" w:type="dxa"/>
            <w:tcBorders>
              <w:top w:val="nil"/>
              <w:left w:val="single" w:sz="8" w:space="0" w:color="auto"/>
              <w:bottom w:val="single" w:sz="8" w:space="0" w:color="auto"/>
              <w:right w:val="nil"/>
            </w:tcBorders>
            <w:shd w:val="clear" w:color="000000" w:fill="244062"/>
            <w:vAlign w:val="center"/>
            <w:hideMark/>
          </w:tcPr>
          <w:p w14:paraId="4A47843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3" w:type="dxa"/>
            <w:gridSpan w:val="3"/>
            <w:tcBorders>
              <w:top w:val="single" w:sz="4" w:space="0" w:color="auto"/>
              <w:left w:val="single" w:sz="4" w:space="0" w:color="auto"/>
              <w:bottom w:val="single" w:sz="4" w:space="0" w:color="auto"/>
              <w:right w:val="single" w:sz="4" w:space="0" w:color="auto"/>
            </w:tcBorders>
            <w:vAlign w:val="center"/>
            <w:hideMark/>
          </w:tcPr>
          <w:p w14:paraId="34A91F55" w14:textId="77777777" w:rsidR="008C0AE1" w:rsidRPr="00A33AE8" w:rsidRDefault="008C0AE1"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Total surface area of energy renovated non-residential (non-public) buildings</w:t>
            </w:r>
          </w:p>
          <w:p w14:paraId="5723CD6E" w14:textId="77777777" w:rsidR="0056239B" w:rsidRPr="00A33AE8" w:rsidRDefault="0056239B"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w:t>
            </w:r>
            <w:r w:rsidR="0081678F" w:rsidRPr="00A33AE8">
              <w:rPr>
                <w:rFonts w:ascii="Calibri Light" w:eastAsia="Times New Roman" w:hAnsi="Calibri Light" w:cs="Calibri Light"/>
                <w:color w:val="000000"/>
                <w:sz w:val="20"/>
                <w:szCs w:val="20"/>
                <w:lang w:eastAsia="en-GB"/>
              </w:rPr>
              <w:t xml:space="preserve"> of heat pumps</w:t>
            </w:r>
          </w:p>
        </w:tc>
      </w:tr>
      <w:tr w:rsidR="006C6A30" w:rsidRPr="00A33AE8" w14:paraId="2EFCC7B2" w14:textId="77777777" w:rsidTr="005B2C66">
        <w:trPr>
          <w:gridAfter w:val="1"/>
          <w:wAfter w:w="222" w:type="dxa"/>
          <w:trHeight w:val="494"/>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1BE38047"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3" w:type="dxa"/>
            <w:gridSpan w:val="3"/>
            <w:tcBorders>
              <w:top w:val="single" w:sz="4" w:space="0" w:color="auto"/>
              <w:left w:val="nil"/>
              <w:bottom w:val="single" w:sz="8" w:space="0" w:color="auto"/>
              <w:right w:val="single" w:sz="8" w:space="0" w:color="000000"/>
            </w:tcBorders>
            <w:shd w:val="clear" w:color="auto" w:fill="auto"/>
            <w:vAlign w:val="center"/>
            <w:hideMark/>
          </w:tcPr>
          <w:p w14:paraId="01BCDAF2" w14:textId="77777777" w:rsidR="00967721" w:rsidRPr="00967721" w:rsidRDefault="006C6A30"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967721">
              <w:rPr>
                <w:rFonts w:ascii="Calibri Light" w:eastAsia="Times New Roman" w:hAnsi="Calibri Light" w:cs="Calibri Light"/>
                <w:color w:val="000000"/>
                <w:sz w:val="20"/>
                <w:szCs w:val="20"/>
                <w:lang w:eastAsia="en-GB"/>
              </w:rPr>
              <w:t xml:space="preserve"> </w:t>
            </w:r>
            <w:r w:rsidR="00967721" w:rsidRPr="00967721">
              <w:rPr>
                <w:rFonts w:ascii="Calibri Light" w:eastAsia="Times New Roman" w:hAnsi="Calibri Light" w:cs="Calibri Light"/>
                <w:color w:val="000000"/>
                <w:sz w:val="20"/>
                <w:szCs w:val="20"/>
                <w:lang w:eastAsia="en-GB"/>
              </w:rPr>
              <w:t xml:space="preserve">(the delivered energy savings will decrease the consumed quantities of fossil fuels leading to the respective GHG </w:t>
            </w:r>
            <w:r w:rsidR="00967721" w:rsidRPr="00967721">
              <w:rPr>
                <w:rFonts w:ascii="Calibri Light" w:eastAsia="Times New Roman" w:hAnsi="Calibri Light" w:cs="Calibri Light"/>
                <w:color w:val="000000"/>
                <w:sz w:val="20"/>
                <w:szCs w:val="20"/>
                <w:lang w:eastAsia="en-GB"/>
              </w:rPr>
              <w:lastRenderedPageBreak/>
              <w:t>emission reduction &amp; the utilised RES technologies will increase the RES share in heating and cooling)</w:t>
            </w:r>
          </w:p>
          <w:p w14:paraId="45281D67" w14:textId="77777777" w:rsidR="006C6A30" w:rsidRPr="00A33AE8" w:rsidRDefault="00967721"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967721">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6239B" w:rsidRPr="00A33AE8" w14:paraId="09D79732" w14:textId="77777777" w:rsidTr="008017D6">
        <w:trPr>
          <w:gridAfter w:val="1"/>
          <w:wAfter w:w="222" w:type="dxa"/>
          <w:trHeight w:val="450"/>
        </w:trPr>
        <w:tc>
          <w:tcPr>
            <w:tcW w:w="319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285C8E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26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1788268" w14:textId="77777777" w:rsidR="008B2A4B" w:rsidRPr="000007D2" w:rsidRDefault="008B2A4B" w:rsidP="00884F3B">
            <w:pPr>
              <w:pStyle w:val="ListParagraph"/>
              <w:numPr>
                <w:ilvl w:val="0"/>
                <w:numId w:val="24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 xml:space="preserve">Directive </w:t>
            </w:r>
            <w:r w:rsidR="002E181F" w:rsidRPr="00A33AE8">
              <w:rPr>
                <w:rFonts w:ascii="Calibri Light" w:eastAsia="Times New Roman" w:hAnsi="Calibri Light" w:cs="Calibri Light"/>
                <w:color w:val="000000"/>
                <w:sz w:val="20"/>
                <w:szCs w:val="20"/>
                <w:lang w:eastAsia="en-GB"/>
              </w:rPr>
              <w:t xml:space="preserve">(EU) </w:t>
            </w:r>
            <w:r w:rsidRPr="000007D2">
              <w:rPr>
                <w:rFonts w:ascii="Calibri Light" w:eastAsia="Times New Roman" w:hAnsi="Calibri Light" w:cs="Calibri Light"/>
                <w:color w:val="000000"/>
                <w:sz w:val="20"/>
                <w:szCs w:val="20"/>
                <w:lang w:eastAsia="en-GB"/>
              </w:rPr>
              <w:t>2010/31</w:t>
            </w:r>
          </w:p>
          <w:p w14:paraId="172FB6BC"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C8213CE"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453E8094"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w:t>
            </w:r>
            <w:r w:rsidR="008C0AE1" w:rsidRPr="00A33AE8">
              <w:rPr>
                <w:rFonts w:ascii="Calibri Light" w:eastAsia="Times New Roman" w:hAnsi="Calibri Light" w:cs="Calibri Light"/>
                <w:color w:val="000000"/>
                <w:sz w:val="20"/>
                <w:szCs w:val="20"/>
                <w:lang w:eastAsia="en-GB"/>
              </w:rPr>
              <w:t xml:space="preser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2018/844</w:t>
            </w:r>
          </w:p>
        </w:tc>
      </w:tr>
      <w:tr w:rsidR="0056239B" w:rsidRPr="00A33AE8" w14:paraId="0C685DFF" w14:textId="77777777" w:rsidTr="008017D6">
        <w:trPr>
          <w:trHeight w:val="300"/>
        </w:trPr>
        <w:tc>
          <w:tcPr>
            <w:tcW w:w="3195" w:type="dxa"/>
            <w:vMerge/>
            <w:tcBorders>
              <w:top w:val="nil"/>
              <w:left w:val="single" w:sz="8" w:space="0" w:color="auto"/>
              <w:bottom w:val="single" w:sz="8" w:space="0" w:color="000000"/>
              <w:right w:val="single" w:sz="8" w:space="0" w:color="auto"/>
            </w:tcBorders>
            <w:vAlign w:val="center"/>
            <w:hideMark/>
          </w:tcPr>
          <w:p w14:paraId="2ECFFC15"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263" w:type="dxa"/>
            <w:gridSpan w:val="3"/>
            <w:vMerge/>
            <w:tcBorders>
              <w:top w:val="single" w:sz="8" w:space="0" w:color="auto"/>
              <w:left w:val="single" w:sz="8" w:space="0" w:color="auto"/>
              <w:bottom w:val="single" w:sz="8" w:space="0" w:color="000000"/>
              <w:right w:val="single" w:sz="8" w:space="0" w:color="000000"/>
            </w:tcBorders>
            <w:vAlign w:val="center"/>
            <w:hideMark/>
          </w:tcPr>
          <w:p w14:paraId="7C067DD4"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01623CE"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r>
      <w:tr w:rsidR="0056239B" w:rsidRPr="00A33AE8" w14:paraId="2E5F8ADB" w14:textId="77777777" w:rsidTr="008017D6">
        <w:trPr>
          <w:trHeight w:val="315"/>
        </w:trPr>
        <w:tc>
          <w:tcPr>
            <w:tcW w:w="3195" w:type="dxa"/>
            <w:vMerge/>
            <w:tcBorders>
              <w:top w:val="nil"/>
              <w:left w:val="single" w:sz="8" w:space="0" w:color="auto"/>
              <w:bottom w:val="single" w:sz="8" w:space="0" w:color="000000"/>
              <w:right w:val="single" w:sz="8" w:space="0" w:color="auto"/>
            </w:tcBorders>
            <w:vAlign w:val="center"/>
            <w:hideMark/>
          </w:tcPr>
          <w:p w14:paraId="1AEAB00B"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263" w:type="dxa"/>
            <w:gridSpan w:val="3"/>
            <w:vMerge/>
            <w:tcBorders>
              <w:top w:val="single" w:sz="8" w:space="0" w:color="auto"/>
              <w:left w:val="single" w:sz="8" w:space="0" w:color="auto"/>
              <w:bottom w:val="single" w:sz="8" w:space="0" w:color="000000"/>
              <w:right w:val="single" w:sz="8" w:space="0" w:color="000000"/>
            </w:tcBorders>
            <w:vAlign w:val="center"/>
            <w:hideMark/>
          </w:tcPr>
          <w:p w14:paraId="38705683"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8B3A220"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5F7A17CF" w14:textId="77777777" w:rsidTr="000007D2">
        <w:trPr>
          <w:trHeight w:val="563"/>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225EB63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26825BB1"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72044FBE" w14:textId="6540FBE2"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2A741FF0"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p w14:paraId="43FA1407" w14:textId="77777777" w:rsidR="008B2A4B" w:rsidRPr="00A33AE8" w:rsidRDefault="008B2A4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Rulebook on Energy Efficiency in Buildings</w:t>
            </w:r>
          </w:p>
          <w:p w14:paraId="6BDF2236" w14:textId="77777777" w:rsidR="008B2A4B" w:rsidRPr="00A33AE8" w:rsidRDefault="008C0AE1"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conditions, content and method of issuing certificates on energy properties of buildings</w:t>
            </w:r>
          </w:p>
        </w:tc>
        <w:tc>
          <w:tcPr>
            <w:tcW w:w="222" w:type="dxa"/>
            <w:vAlign w:val="center"/>
            <w:hideMark/>
          </w:tcPr>
          <w:p w14:paraId="6A30715E"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470C87CF" w14:textId="77777777" w:rsidTr="008017D6">
        <w:trPr>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69F05948"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7E73FD21" w14:textId="090BE79E" w:rsidR="0056239B" w:rsidRPr="00A33AE8" w:rsidRDefault="00BA3A75">
            <w:pPr>
              <w:contextualSpacing/>
              <w:rPr>
                <w:rFonts w:ascii="Calibri Light" w:eastAsia="Times New Roman" w:hAnsi="Calibri Light" w:cs="Calibri Light"/>
                <w:color w:val="000000"/>
                <w:sz w:val="20"/>
                <w:szCs w:val="20"/>
                <w:lang w:eastAsia="en-GB"/>
              </w:rPr>
            </w:pPr>
            <w:r>
              <w:rPr>
                <w:rFonts w:ascii="Calibri Light" w:eastAsia="Times New Roman" w:hAnsi="Calibri Light" w:cs="Calibri Light"/>
                <w:color w:val="000000"/>
                <w:sz w:val="20"/>
                <w:szCs w:val="20"/>
                <w:lang w:eastAsia="en-GB"/>
              </w:rPr>
              <w:t>1,601</w:t>
            </w:r>
            <w:r w:rsidR="008C0AE1" w:rsidRPr="00A33AE8">
              <w:rPr>
                <w:rFonts w:ascii="Calibri Light" w:eastAsia="Times New Roman" w:hAnsi="Calibri Light" w:cs="Calibri Light"/>
                <w:color w:val="000000"/>
                <w:sz w:val="20"/>
                <w:szCs w:val="20"/>
                <w:lang w:eastAsia="en-GB"/>
              </w:rPr>
              <w:t xml:space="preserve"> </w:t>
            </w:r>
            <w:r w:rsidR="007B0A4B">
              <w:rPr>
                <w:rFonts w:ascii="Calibri Light" w:eastAsia="Times New Roman" w:hAnsi="Calibri Light" w:cs="Calibri Light"/>
                <w:color w:val="000000"/>
                <w:sz w:val="20"/>
                <w:szCs w:val="20"/>
                <w:lang w:eastAsia="en-GB"/>
              </w:rPr>
              <w:t>M</w:t>
            </w:r>
            <w:r w:rsidR="0056239B" w:rsidRPr="00CD0941">
              <w:rPr>
                <w:rFonts w:ascii="Calibri Light" w:eastAsia="Times New Roman" w:hAnsi="Calibri Light" w:cs="Calibri Light"/>
                <w:color w:val="000000"/>
                <w:sz w:val="20"/>
                <w:szCs w:val="20"/>
                <w:lang w:eastAsia="en-GB"/>
              </w:rPr>
              <w:t>€</w:t>
            </w:r>
            <w:r w:rsidR="00B36B79" w:rsidRPr="00CD0941">
              <w:rPr>
                <w:rFonts w:ascii="Calibri Light" w:eastAsia="Times New Roman" w:hAnsi="Calibri Light" w:cs="Calibri Light"/>
                <w:color w:val="000000"/>
                <w:sz w:val="20"/>
                <w:szCs w:val="20"/>
                <w:lang w:eastAsia="en-GB"/>
              </w:rPr>
              <w:t xml:space="preserve"> </w:t>
            </w:r>
            <w:r w:rsidR="00B36B79" w:rsidRPr="0087794A">
              <w:rPr>
                <w:rFonts w:ascii="Calibri Light" w:eastAsia="Times New Roman" w:hAnsi="Calibri Light" w:cs="Calibri Light"/>
                <w:color w:val="000000"/>
                <w:sz w:val="20"/>
                <w:szCs w:val="20"/>
                <w:lang w:eastAsia="en-GB"/>
              </w:rPr>
              <w:t>(</w:t>
            </w:r>
            <w:r w:rsidR="00B36B79" w:rsidRPr="00CD0941">
              <w:rPr>
                <w:rFonts w:ascii="Calibri Light" w:eastAsia="Times New Roman" w:hAnsi="Calibri Light" w:cs="Calibri Light"/>
                <w:color w:val="000000"/>
                <w:sz w:val="20"/>
                <w:szCs w:val="20"/>
                <w:lang w:eastAsia="en-GB"/>
              </w:rPr>
              <w:t xml:space="preserve">817 </w:t>
            </w:r>
            <w:r w:rsidR="00B36B79" w:rsidRPr="0087794A">
              <w:rPr>
                <w:rFonts w:ascii="Calibri Light" w:eastAsia="Times New Roman" w:hAnsi="Calibri Light" w:cs="Calibri Light"/>
                <w:color w:val="000000"/>
                <w:sz w:val="20"/>
                <w:szCs w:val="20"/>
                <w:lang w:eastAsia="en-GB"/>
              </w:rPr>
              <w:t xml:space="preserve">€ for interventions in the building envelope and </w:t>
            </w:r>
            <w:r w:rsidR="00B36B79" w:rsidRPr="00CD0941">
              <w:rPr>
                <w:rFonts w:ascii="Calibri Light" w:eastAsia="Times New Roman" w:hAnsi="Calibri Light" w:cs="Calibri Light"/>
                <w:color w:val="000000"/>
                <w:sz w:val="20"/>
                <w:szCs w:val="20"/>
                <w:lang w:eastAsia="en-GB"/>
              </w:rPr>
              <w:t>783</w:t>
            </w:r>
            <w:r w:rsidR="00B36B79" w:rsidRPr="0087794A">
              <w:rPr>
                <w:rFonts w:ascii="Calibri Light" w:eastAsia="Times New Roman" w:hAnsi="Calibri Light" w:cs="Calibri Light"/>
                <w:color w:val="000000"/>
                <w:sz w:val="20"/>
                <w:szCs w:val="20"/>
                <w:lang w:eastAsia="en-GB"/>
              </w:rPr>
              <w:t>M€ for heat pumps)</w:t>
            </w:r>
          </w:p>
        </w:tc>
        <w:tc>
          <w:tcPr>
            <w:tcW w:w="222" w:type="dxa"/>
            <w:vAlign w:val="center"/>
            <w:hideMark/>
          </w:tcPr>
          <w:p w14:paraId="42C2D259" w14:textId="77777777" w:rsidR="0056239B" w:rsidRPr="00A33AE8" w:rsidRDefault="0056239B" w:rsidP="00884F3B">
            <w:pPr>
              <w:numPr>
                <w:ilvl w:val="0"/>
                <w:numId w:val="122"/>
              </w:numPr>
              <w:contextualSpacing/>
              <w:rPr>
                <w:rFonts w:ascii="Calibri Light" w:eastAsia="Times New Roman" w:hAnsi="Calibri Light" w:cs="Calibri Light"/>
                <w:color w:val="000000"/>
                <w:sz w:val="20"/>
                <w:szCs w:val="20"/>
                <w:lang w:eastAsia="en-GB"/>
              </w:rPr>
            </w:pPr>
          </w:p>
        </w:tc>
      </w:tr>
      <w:tr w:rsidR="0056239B" w:rsidRPr="00A33AE8" w14:paraId="5884DDC7" w14:textId="77777777" w:rsidTr="008017D6">
        <w:trPr>
          <w:trHeight w:val="315"/>
        </w:trPr>
        <w:tc>
          <w:tcPr>
            <w:tcW w:w="3195" w:type="dxa"/>
            <w:tcBorders>
              <w:top w:val="nil"/>
              <w:left w:val="single" w:sz="8" w:space="0" w:color="auto"/>
              <w:bottom w:val="single" w:sz="8" w:space="0" w:color="auto"/>
              <w:right w:val="single" w:sz="8" w:space="0" w:color="auto"/>
            </w:tcBorders>
            <w:shd w:val="clear" w:color="000000" w:fill="244062"/>
            <w:vAlign w:val="center"/>
            <w:hideMark/>
          </w:tcPr>
          <w:p w14:paraId="46C2E41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3" w:type="dxa"/>
            <w:gridSpan w:val="3"/>
            <w:tcBorders>
              <w:top w:val="single" w:sz="8" w:space="0" w:color="auto"/>
              <w:left w:val="nil"/>
              <w:bottom w:val="single" w:sz="8" w:space="0" w:color="auto"/>
              <w:right w:val="single" w:sz="8" w:space="0" w:color="000000"/>
            </w:tcBorders>
            <w:shd w:val="clear" w:color="auto" w:fill="auto"/>
            <w:vAlign w:val="center"/>
            <w:hideMark/>
          </w:tcPr>
          <w:p w14:paraId="3DB63D86" w14:textId="77777777" w:rsidR="0056239B" w:rsidRPr="00A33AE8" w:rsidRDefault="00BF07CC"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r w:rsidR="008C0AE1" w:rsidRPr="00A33AE8">
              <w:rPr>
                <w:rFonts w:asciiTheme="majorHAnsi" w:eastAsia="Times New Roman" w:hAnsiTheme="majorHAnsi" w:cstheme="majorHAnsi"/>
                <w:color w:val="000000"/>
                <w:sz w:val="20"/>
                <w:szCs w:val="20"/>
                <w:lang w:eastAsia="en-GB"/>
              </w:rPr>
              <w:t>. Possibility of application of ESCO model of financing.</w:t>
            </w:r>
          </w:p>
        </w:tc>
        <w:tc>
          <w:tcPr>
            <w:tcW w:w="222" w:type="dxa"/>
            <w:vAlign w:val="center"/>
            <w:hideMark/>
          </w:tcPr>
          <w:p w14:paraId="1363035E"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bl>
    <w:p w14:paraId="7C3CF0B5" w14:textId="77777777" w:rsidR="0056239B" w:rsidRPr="00A33AE8" w:rsidRDefault="0056239B" w:rsidP="0056239B">
      <w:pPr>
        <w:pStyle w:val="LDKbody"/>
        <w:rPr>
          <w:lang w:val="en-GB"/>
        </w:rPr>
      </w:pPr>
    </w:p>
    <w:tbl>
      <w:tblPr>
        <w:tblW w:w="9680" w:type="dxa"/>
        <w:tblLook w:val="04A0" w:firstRow="1" w:lastRow="0" w:firstColumn="1" w:lastColumn="0" w:noHBand="0" w:noVBand="1"/>
      </w:tblPr>
      <w:tblGrid>
        <w:gridCol w:w="3326"/>
        <w:gridCol w:w="953"/>
        <w:gridCol w:w="945"/>
        <w:gridCol w:w="4234"/>
        <w:gridCol w:w="222"/>
      </w:tblGrid>
      <w:tr w:rsidR="0056239B" w:rsidRPr="00A33AE8" w14:paraId="38A6C234" w14:textId="77777777" w:rsidTr="006769DA">
        <w:trPr>
          <w:gridAfter w:val="1"/>
          <w:wAfter w:w="222" w:type="dxa"/>
          <w:trHeight w:val="780"/>
        </w:trPr>
        <w:tc>
          <w:tcPr>
            <w:tcW w:w="3326"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8EB52A7" w14:textId="77777777" w:rsidR="0056239B" w:rsidRPr="00A33AE8" w:rsidRDefault="0056239B"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3" w:type="dxa"/>
            <w:tcBorders>
              <w:top w:val="single" w:sz="8" w:space="0" w:color="auto"/>
              <w:left w:val="nil"/>
              <w:bottom w:val="single" w:sz="8" w:space="0" w:color="auto"/>
              <w:right w:val="single" w:sz="8" w:space="0" w:color="auto"/>
            </w:tcBorders>
            <w:shd w:val="clear" w:color="auto" w:fill="E7E6E6" w:themeFill="background2"/>
            <w:vAlign w:val="center"/>
            <w:hideMark/>
          </w:tcPr>
          <w:p w14:paraId="06CEB719"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PM_EE4</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4352F92C"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4" w:type="dxa"/>
            <w:tcBorders>
              <w:top w:val="single" w:sz="8" w:space="0" w:color="auto"/>
              <w:left w:val="nil"/>
              <w:bottom w:val="single" w:sz="8" w:space="0" w:color="auto"/>
              <w:right w:val="single" w:sz="8" w:space="0" w:color="auto"/>
            </w:tcBorders>
            <w:shd w:val="clear" w:color="auto" w:fill="E7E6E6" w:themeFill="background2"/>
            <w:vAlign w:val="center"/>
            <w:hideMark/>
          </w:tcPr>
          <w:p w14:paraId="612DE493"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Completion of legislative framework in alignment with Directive</w:t>
            </w:r>
            <w:r w:rsidR="008B2A4B" w:rsidRPr="000007D2">
              <w:rPr>
                <w:rFonts w:ascii="Calibri Light" w:eastAsia="Times New Roman" w:hAnsi="Calibri Light" w:cs="Calibri Light"/>
                <w:b/>
                <w:bCs/>
                <w:color w:val="000000"/>
                <w:sz w:val="20"/>
                <w:szCs w:val="20"/>
                <w:lang w:eastAsia="en-GB"/>
              </w:rPr>
              <w:t xml:space="preserve"> </w:t>
            </w:r>
            <w:r w:rsidRPr="00A33AE8">
              <w:rPr>
                <w:rFonts w:ascii="Calibri Light" w:eastAsia="Times New Roman" w:hAnsi="Calibri Light" w:cs="Calibri Light"/>
                <w:b/>
                <w:bCs/>
                <w:color w:val="000000"/>
                <w:sz w:val="20"/>
                <w:szCs w:val="20"/>
                <w:lang w:eastAsia="en-GB"/>
              </w:rPr>
              <w:t>2018/844/EU and regulatory measures to promote near</w:t>
            </w:r>
            <w:r w:rsidR="008B2A4B" w:rsidRPr="00A33AE8">
              <w:rPr>
                <w:rFonts w:ascii="Calibri Light" w:eastAsia="Times New Roman" w:hAnsi="Calibri Light" w:cs="Calibri Light"/>
                <w:b/>
                <w:bCs/>
                <w:color w:val="000000"/>
                <w:sz w:val="20"/>
                <w:szCs w:val="20"/>
                <w:lang w:eastAsia="en-GB"/>
              </w:rPr>
              <w:t>ly</w:t>
            </w:r>
            <w:r w:rsidRPr="00A33AE8">
              <w:rPr>
                <w:rFonts w:ascii="Calibri Light" w:eastAsia="Times New Roman" w:hAnsi="Calibri Light" w:cs="Calibri Light"/>
                <w:b/>
                <w:bCs/>
                <w:color w:val="000000"/>
                <w:sz w:val="20"/>
                <w:szCs w:val="20"/>
                <w:lang w:eastAsia="en-GB"/>
              </w:rPr>
              <w:t>-zero energy buildings (nZEBs)</w:t>
            </w:r>
          </w:p>
        </w:tc>
      </w:tr>
      <w:tr w:rsidR="0056239B" w:rsidRPr="00A33AE8" w14:paraId="749751FF" w14:textId="77777777" w:rsidTr="006769DA">
        <w:trPr>
          <w:gridAfter w:val="1"/>
          <w:wAfter w:w="222" w:type="dxa"/>
          <w:trHeight w:val="443"/>
        </w:trPr>
        <w:tc>
          <w:tcPr>
            <w:tcW w:w="3326" w:type="dxa"/>
            <w:tcBorders>
              <w:top w:val="nil"/>
              <w:left w:val="single" w:sz="8" w:space="0" w:color="auto"/>
              <w:bottom w:val="single" w:sz="8" w:space="0" w:color="auto"/>
              <w:right w:val="nil"/>
            </w:tcBorders>
            <w:shd w:val="clear" w:color="000000" w:fill="244062"/>
            <w:vAlign w:val="center"/>
            <w:hideMark/>
          </w:tcPr>
          <w:p w14:paraId="707526D2"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95F2FA3" w14:textId="28C15C0F" w:rsidR="0056239B" w:rsidRPr="00A33AE8" w:rsidRDefault="002E181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56239B" w:rsidRPr="00A33AE8">
              <w:rPr>
                <w:rFonts w:ascii="Calibri Light" w:eastAsia="Times New Roman" w:hAnsi="Calibri Light" w:cs="Calibri Light"/>
                <w:color w:val="000000"/>
                <w:sz w:val="20"/>
                <w:szCs w:val="20"/>
                <w:lang w:eastAsia="en-GB"/>
              </w:rPr>
              <w:t xml:space="preserve"> of the following articles of the </w:t>
            </w:r>
            <w:r w:rsidRPr="00A33AE8">
              <w:rPr>
                <w:rFonts w:ascii="Calibri Light" w:eastAsia="Times New Roman" w:hAnsi="Calibri Light" w:cs="Calibri Light"/>
                <w:color w:val="000000"/>
                <w:sz w:val="20"/>
                <w:szCs w:val="20"/>
                <w:lang w:eastAsia="en-GB"/>
              </w:rPr>
              <w:t>Directive (EU) 2012/27, as amended by Directive (EU) 2018/2002:</w:t>
            </w:r>
          </w:p>
          <w:p w14:paraId="33B3690A" w14:textId="77777777" w:rsidR="0056239B" w:rsidRPr="00A33AE8" w:rsidRDefault="0056239B" w:rsidP="00884F3B">
            <w:pPr>
              <w:pStyle w:val="ListParagraph"/>
              <w:numPr>
                <w:ilvl w:val="0"/>
                <w:numId w:val="1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04D182E6" w14:textId="77777777" w:rsidR="0056239B" w:rsidRPr="00A33AE8" w:rsidRDefault="0056239B" w:rsidP="00884F3B">
            <w:pPr>
              <w:pStyle w:val="ListParagraph"/>
              <w:numPr>
                <w:ilvl w:val="0"/>
                <w:numId w:val="1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tc>
      </w:tr>
      <w:tr w:rsidR="0056239B" w:rsidRPr="00A33AE8" w14:paraId="43F0E154"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6C31966D"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4564B7ED" w14:textId="77777777" w:rsidR="0056239B" w:rsidRPr="00A33AE8" w:rsidRDefault="0056239B"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w:t>
            </w:r>
            <w:r w:rsidR="00532B7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PM_EE3</w:t>
            </w:r>
          </w:p>
        </w:tc>
      </w:tr>
      <w:tr w:rsidR="0056239B" w:rsidRPr="00A33AE8" w14:paraId="52900EFF" w14:textId="77777777" w:rsidTr="006769DA">
        <w:trPr>
          <w:gridAfter w:val="1"/>
          <w:wAfter w:w="222" w:type="dxa"/>
          <w:trHeight w:val="229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0B013261"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47F66511" w14:textId="1CF5861D" w:rsidR="0056239B" w:rsidRPr="000007D2" w:rsidRDefault="0056239B"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PM_EE4 will ensure the coherence and compliance of the legislative framework with the provision of the Directive</w:t>
            </w:r>
            <w:r w:rsidR="008B2A4B" w:rsidRPr="00A33AE8">
              <w:rPr>
                <w:rFonts w:ascii="Calibri Light" w:eastAsia="Times New Roman" w:hAnsi="Calibri Light" w:cs="Calibri Light"/>
                <w:color w:val="000000"/>
                <w:sz w:val="20"/>
                <w:szCs w:val="20"/>
                <w:lang w:eastAsia="en-GB"/>
              </w:rPr>
              <w:t xml:space="preser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2018/844. The minimum requirements will be incorporated in the </w:t>
            </w:r>
            <w:r w:rsidR="008B2A4B" w:rsidRPr="00A33AE8">
              <w:rPr>
                <w:rFonts w:ascii="Calibri Light" w:eastAsia="Times New Roman" w:hAnsi="Calibri Light" w:cs="Calibri Light"/>
                <w:color w:val="000000"/>
                <w:sz w:val="20"/>
                <w:szCs w:val="20"/>
                <w:lang w:eastAsia="en-GB"/>
              </w:rPr>
              <w:t>Rulebook</w:t>
            </w:r>
            <w:r w:rsidRPr="00A33AE8">
              <w:rPr>
                <w:rFonts w:ascii="Calibri Light" w:eastAsia="Times New Roman" w:hAnsi="Calibri Light" w:cs="Calibri Light"/>
                <w:color w:val="000000"/>
                <w:sz w:val="20"/>
                <w:szCs w:val="20"/>
                <w:lang w:eastAsia="en-GB"/>
              </w:rPr>
              <w:t xml:space="preserve"> on Energy Efficiency of Buildings increasing the number of near</w:t>
            </w:r>
            <w:r w:rsidR="008B2A4B" w:rsidRPr="00A33AE8">
              <w:rPr>
                <w:rFonts w:ascii="Calibri Light" w:eastAsia="Times New Roman" w:hAnsi="Calibri Light" w:cs="Calibri Light"/>
                <w:color w:val="000000"/>
                <w:sz w:val="20"/>
                <w:szCs w:val="20"/>
                <w:lang w:eastAsia="en-GB"/>
              </w:rPr>
              <w:t>ly</w:t>
            </w:r>
            <w:r w:rsidRPr="00A33AE8">
              <w:rPr>
                <w:rFonts w:ascii="Calibri Light" w:eastAsia="Times New Roman" w:hAnsi="Calibri Light" w:cs="Calibri Light"/>
                <w:color w:val="000000"/>
                <w:sz w:val="20"/>
                <w:szCs w:val="20"/>
                <w:lang w:eastAsia="en-GB"/>
              </w:rPr>
              <w:t>-zero energy buildings. The inspections of the heating and air-conditioning systems will be conducted according to the respective provisions</w:t>
            </w:r>
            <w:r w:rsidR="00E570D7" w:rsidRPr="00A33AE8">
              <w:rPr>
                <w:rFonts w:ascii="Calibri Light" w:eastAsia="Times New Roman" w:hAnsi="Calibri Light" w:cs="Calibri Light"/>
                <w:color w:val="000000"/>
                <w:sz w:val="20"/>
                <w:szCs w:val="20"/>
                <w:lang w:eastAsia="en-GB"/>
              </w:rPr>
              <w:t xml:space="preserve"> adopted on the basis of the Law on Energy Efficiency and Rational Use of Energy</w:t>
            </w:r>
            <w:r w:rsidRPr="00A33AE8">
              <w:rPr>
                <w:rFonts w:ascii="Calibri Light" w:eastAsia="Times New Roman" w:hAnsi="Calibri Light" w:cs="Calibri Light"/>
                <w:color w:val="000000"/>
                <w:sz w:val="20"/>
                <w:szCs w:val="20"/>
                <w:lang w:eastAsia="en-GB"/>
              </w:rPr>
              <w:t>. Moreover, the adoption of specific regulatory measures will be scrutinized through the examination of different alternatives such as</w:t>
            </w:r>
            <w:r w:rsidR="00E570D7" w:rsidRPr="00A33AE8">
              <w:rPr>
                <w:rFonts w:ascii="Calibri Light" w:eastAsia="Times New Roman" w:hAnsi="Calibri Light" w:cs="Calibri Light"/>
                <w:color w:val="000000"/>
                <w:sz w:val="20"/>
                <w:szCs w:val="20"/>
                <w:lang w:eastAsia="en-GB"/>
              </w:rPr>
              <w:t>, for example</w:t>
            </w:r>
            <w:r w:rsidRPr="00A33AE8">
              <w:rPr>
                <w:rFonts w:ascii="Calibri Light" w:eastAsia="Times New Roman" w:hAnsi="Calibri Light" w:cs="Calibri Light"/>
                <w:color w:val="000000"/>
                <w:sz w:val="20"/>
                <w:szCs w:val="20"/>
                <w:lang w:eastAsia="en-GB"/>
              </w:rPr>
              <w:t xml:space="preserve">: i) </w:t>
            </w:r>
            <w:r w:rsidR="00E570D7" w:rsidRPr="00A33AE8">
              <w:rPr>
                <w:rFonts w:ascii="Calibri Light" w:eastAsia="Times New Roman" w:hAnsi="Calibri Light" w:cs="Calibri Light"/>
                <w:color w:val="000000"/>
                <w:sz w:val="20"/>
                <w:szCs w:val="20"/>
                <w:lang w:eastAsia="en-GB"/>
              </w:rPr>
              <w:t>where applicable,</w:t>
            </w:r>
            <w:r w:rsidRPr="00A33AE8">
              <w:rPr>
                <w:rFonts w:ascii="Calibri Light" w:eastAsia="Times New Roman" w:hAnsi="Calibri Light" w:cs="Calibri Light"/>
                <w:color w:val="000000"/>
                <w:sz w:val="20"/>
                <w:szCs w:val="20"/>
                <w:lang w:eastAsia="en-GB"/>
              </w:rPr>
              <w:t xml:space="preserve"> buildings housing public authorities to be </w:t>
            </w:r>
            <w:r w:rsidR="00E570D7" w:rsidRPr="00A33AE8">
              <w:rPr>
                <w:rFonts w:ascii="Calibri Light" w:eastAsia="Times New Roman" w:hAnsi="Calibri Light" w:cs="Calibri Light"/>
                <w:color w:val="000000"/>
                <w:sz w:val="20"/>
                <w:szCs w:val="20"/>
                <w:lang w:eastAsia="en-GB"/>
              </w:rPr>
              <w:t xml:space="preserve">renovated to </w:t>
            </w:r>
            <w:r w:rsidR="00081D7A" w:rsidRPr="00A33AE8">
              <w:rPr>
                <w:rFonts w:ascii="Calibri Light" w:eastAsia="Times New Roman" w:hAnsi="Calibri Light" w:cs="Calibri Light"/>
                <w:color w:val="000000"/>
                <w:sz w:val="20"/>
                <w:szCs w:val="20"/>
                <w:lang w:eastAsia="en-GB"/>
              </w:rPr>
              <w:t>achieve</w:t>
            </w:r>
            <w:r w:rsidRPr="00A33AE8">
              <w:rPr>
                <w:rFonts w:ascii="Calibri Light" w:eastAsia="Times New Roman" w:hAnsi="Calibri Light" w:cs="Calibri Light"/>
                <w:color w:val="000000"/>
                <w:sz w:val="20"/>
                <w:szCs w:val="20"/>
                <w:lang w:eastAsia="en-GB"/>
              </w:rPr>
              <w:t xml:space="preserve"> </w:t>
            </w:r>
            <w:r w:rsidR="00D36819" w:rsidRPr="00A33AE8">
              <w:rPr>
                <w:rFonts w:ascii="Calibri Light" w:eastAsia="Times New Roman" w:hAnsi="Calibri Light" w:cs="Calibri Light"/>
                <w:color w:val="000000"/>
                <w:sz w:val="20"/>
                <w:szCs w:val="20"/>
                <w:lang w:eastAsia="en-GB"/>
              </w:rPr>
              <w:t>the best possible</w:t>
            </w:r>
            <w:r w:rsidRPr="00A33AE8">
              <w:rPr>
                <w:rFonts w:ascii="Calibri Light" w:eastAsia="Times New Roman" w:hAnsi="Calibri Light" w:cs="Calibri Light"/>
                <w:color w:val="000000"/>
                <w:sz w:val="20"/>
                <w:szCs w:val="20"/>
                <w:lang w:eastAsia="en-GB"/>
              </w:rPr>
              <w:t xml:space="preserve"> energy class of the </w:t>
            </w:r>
            <w:r w:rsidR="00081D7A" w:rsidRPr="00A33AE8">
              <w:rPr>
                <w:rFonts w:ascii="Calibri Light" w:eastAsia="Times New Roman" w:hAnsi="Calibri Light" w:cs="Calibri Light"/>
                <w:color w:val="000000"/>
                <w:sz w:val="20"/>
                <w:szCs w:val="20"/>
                <w:lang w:eastAsia="en-GB"/>
              </w:rPr>
              <w:t>building</w:t>
            </w:r>
            <w:r w:rsidR="00E570D7"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energy performance certificate, ii) all new buildings or building units rented or purchased by central government bodies to be near</w:t>
            </w:r>
            <w:r w:rsidR="008B2A4B" w:rsidRPr="00A33AE8">
              <w:rPr>
                <w:rFonts w:ascii="Calibri Light" w:eastAsia="Times New Roman" w:hAnsi="Calibri Light" w:cs="Calibri Light"/>
                <w:color w:val="000000"/>
                <w:sz w:val="20"/>
                <w:szCs w:val="20"/>
                <w:lang w:eastAsia="en-GB"/>
              </w:rPr>
              <w:t>ly</w:t>
            </w:r>
            <w:r w:rsidRPr="00A33AE8">
              <w:rPr>
                <w:rFonts w:ascii="Calibri Light" w:eastAsia="Times New Roman" w:hAnsi="Calibri Light" w:cs="Calibri Light"/>
                <w:color w:val="000000"/>
                <w:sz w:val="20"/>
                <w:szCs w:val="20"/>
                <w:lang w:eastAsia="en-GB"/>
              </w:rPr>
              <w:t>-zero energy buildings</w:t>
            </w:r>
            <w:r w:rsidR="00D36819" w:rsidRPr="00A33AE8">
              <w:rPr>
                <w:rFonts w:ascii="Calibri Light" w:eastAsia="Times New Roman" w:hAnsi="Calibri Light" w:cs="Calibri Light"/>
                <w:color w:val="000000"/>
                <w:sz w:val="20"/>
                <w:szCs w:val="20"/>
                <w:lang w:eastAsia="en-GB"/>
              </w:rPr>
              <w:t>, taking into the account the availability and the rental price of such buildings at the market</w:t>
            </w:r>
            <w:r w:rsidR="00081D7A"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and iii) the mandatory installation of specific technologies in new buildings </w:t>
            </w:r>
            <w:r w:rsidR="002E181F" w:rsidRPr="00A33AE8">
              <w:rPr>
                <w:rFonts w:ascii="Calibri Light" w:eastAsia="Times New Roman" w:hAnsi="Calibri Light" w:cs="Calibri Light"/>
                <w:color w:val="000000"/>
                <w:sz w:val="20"/>
                <w:szCs w:val="20"/>
                <w:lang w:eastAsia="en-GB"/>
              </w:rPr>
              <w:t xml:space="preserve">(such as heat pumps, solar thermal system) </w:t>
            </w:r>
            <w:r w:rsidRPr="00A33AE8">
              <w:rPr>
                <w:rFonts w:ascii="Calibri Light" w:eastAsia="Times New Roman" w:hAnsi="Calibri Light" w:cs="Calibri Light"/>
                <w:color w:val="000000"/>
                <w:sz w:val="20"/>
                <w:szCs w:val="20"/>
                <w:lang w:eastAsia="en-GB"/>
              </w:rPr>
              <w:t>and those undergoing major renovation</w:t>
            </w:r>
            <w:r w:rsidR="00336DD6" w:rsidRPr="00A33AE8">
              <w:rPr>
                <w:rFonts w:ascii="Calibri Light" w:eastAsia="Times New Roman" w:hAnsi="Calibri Light" w:cs="Calibri Light"/>
                <w:color w:val="000000"/>
                <w:sz w:val="20"/>
                <w:szCs w:val="20"/>
                <w:lang w:eastAsia="en-GB"/>
              </w:rPr>
              <w:t xml:space="preserve"> as defined in Directive 2010/31/EU.</w:t>
            </w:r>
          </w:p>
        </w:tc>
      </w:tr>
      <w:tr w:rsidR="0056239B" w:rsidRPr="00A33AE8" w14:paraId="4C5F4922"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7B9C33F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328250B7" w14:textId="77777777" w:rsidR="0056239B" w:rsidRPr="00A33AE8" w:rsidRDefault="002E181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p>
        </w:tc>
      </w:tr>
      <w:tr w:rsidR="0056239B" w:rsidRPr="00A33AE8" w14:paraId="0898D798"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7E857038"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02F1080" w14:textId="77777777" w:rsidR="0056239B"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56239B" w:rsidRPr="00A33AE8" w14:paraId="2CE74B46"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6A939491"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3AB78147"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w:t>
            </w:r>
          </w:p>
        </w:tc>
      </w:tr>
      <w:tr w:rsidR="0056239B" w:rsidRPr="00A33AE8" w14:paraId="1CEA5733"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403F8509"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FDF847B" w14:textId="77777777" w:rsidR="0056239B" w:rsidRPr="00A33AE8" w:rsidRDefault="0048396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56239B" w:rsidRPr="00A33AE8" w14:paraId="269AA267" w14:textId="77777777" w:rsidTr="006769DA">
        <w:trPr>
          <w:gridAfter w:val="1"/>
          <w:wAfter w:w="222" w:type="dxa"/>
          <w:trHeight w:val="315"/>
        </w:trPr>
        <w:tc>
          <w:tcPr>
            <w:tcW w:w="3326" w:type="dxa"/>
            <w:tcBorders>
              <w:top w:val="nil"/>
              <w:left w:val="single" w:sz="8" w:space="0" w:color="auto"/>
              <w:bottom w:val="single" w:sz="8" w:space="0" w:color="auto"/>
              <w:right w:val="nil"/>
            </w:tcBorders>
            <w:shd w:val="clear" w:color="000000" w:fill="244062"/>
            <w:vAlign w:val="center"/>
            <w:hideMark/>
          </w:tcPr>
          <w:p w14:paraId="6520044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1852412A" w14:textId="77777777" w:rsidR="0056239B" w:rsidRPr="00A33AE8" w:rsidRDefault="00196D6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196D6B">
              <w:rPr>
                <w:rFonts w:ascii="Calibri Light" w:eastAsia="Times New Roman" w:hAnsi="Calibri Light" w:cs="Calibri Light"/>
                <w:color w:val="000000"/>
                <w:sz w:val="20"/>
                <w:szCs w:val="20"/>
                <w:lang w:eastAsia="en-GB"/>
              </w:rPr>
              <w:t>Government of the Republic of Serbia</w:t>
            </w:r>
          </w:p>
        </w:tc>
      </w:tr>
      <w:tr w:rsidR="0056239B" w:rsidRPr="00A33AE8" w14:paraId="32590852" w14:textId="77777777" w:rsidTr="006769DA">
        <w:trPr>
          <w:gridAfter w:val="1"/>
          <w:wAfter w:w="222" w:type="dxa"/>
          <w:trHeight w:val="315"/>
        </w:trPr>
        <w:tc>
          <w:tcPr>
            <w:tcW w:w="3326" w:type="dxa"/>
            <w:tcBorders>
              <w:top w:val="nil"/>
              <w:left w:val="single" w:sz="8" w:space="0" w:color="auto"/>
              <w:bottom w:val="single" w:sz="8" w:space="0" w:color="auto"/>
              <w:right w:val="nil"/>
            </w:tcBorders>
            <w:shd w:val="clear" w:color="000000" w:fill="244062"/>
            <w:vAlign w:val="center"/>
            <w:hideMark/>
          </w:tcPr>
          <w:p w14:paraId="1555217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7DF16FC0" w14:textId="77777777" w:rsidR="0056239B" w:rsidRPr="00A33AE8" w:rsidRDefault="00643C8A"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legislative and regulatory framework</w:t>
            </w:r>
          </w:p>
        </w:tc>
      </w:tr>
      <w:tr w:rsidR="006C6A30" w:rsidRPr="00A33AE8" w14:paraId="506D6630" w14:textId="77777777" w:rsidTr="006769DA">
        <w:trPr>
          <w:gridAfter w:val="1"/>
          <w:wAfter w:w="222" w:type="dxa"/>
          <w:trHeight w:val="34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1CA0F71A"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6345498" w14:textId="77777777" w:rsidR="00196D6B" w:rsidRPr="00196D6B" w:rsidRDefault="006C6A30"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196D6B">
              <w:rPr>
                <w:rFonts w:ascii="Calibri Light" w:eastAsia="Times New Roman" w:hAnsi="Calibri Light" w:cs="Calibri Light"/>
                <w:color w:val="000000"/>
                <w:sz w:val="20"/>
                <w:szCs w:val="20"/>
                <w:lang w:eastAsia="en-GB"/>
              </w:rPr>
              <w:t xml:space="preserve"> </w:t>
            </w:r>
            <w:r w:rsidR="00196D6B" w:rsidRPr="00196D6B">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utilised RES technologies will increase the RES share in heating and cooling)</w:t>
            </w:r>
          </w:p>
          <w:p w14:paraId="009E353F" w14:textId="77777777" w:rsidR="006C6A30" w:rsidRPr="00A33AE8" w:rsidRDefault="00196D6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196D6B">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6239B" w:rsidRPr="00A33AE8" w14:paraId="6E36575A" w14:textId="77777777" w:rsidTr="006769DA">
        <w:trPr>
          <w:gridAfter w:val="1"/>
          <w:wAfter w:w="222" w:type="dxa"/>
          <w:trHeight w:val="450"/>
        </w:trPr>
        <w:tc>
          <w:tcPr>
            <w:tcW w:w="3326"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FF6110A"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F86427" w14:textId="77777777" w:rsidR="003E2792" w:rsidRPr="000007D2" w:rsidRDefault="003E2792" w:rsidP="00884F3B">
            <w:pPr>
              <w:pStyle w:val="ListParagraph"/>
              <w:numPr>
                <w:ilvl w:val="0"/>
                <w:numId w:val="243"/>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Direct</w:t>
            </w:r>
            <w:r w:rsidR="00196D6B">
              <w:rPr>
                <w:rFonts w:ascii="Calibri Light" w:eastAsia="Times New Roman" w:hAnsi="Calibri Light" w:cs="Calibri Light"/>
                <w:color w:val="000000"/>
                <w:sz w:val="20"/>
                <w:szCs w:val="20"/>
                <w:lang w:eastAsia="en-GB"/>
              </w:rPr>
              <w:t>i</w:t>
            </w:r>
            <w:r w:rsidRPr="000007D2">
              <w:rPr>
                <w:rFonts w:ascii="Calibri Light" w:eastAsia="Times New Roman" w:hAnsi="Calibri Light" w:cs="Calibri Light"/>
                <w:color w:val="000000"/>
                <w:sz w:val="20"/>
                <w:szCs w:val="20"/>
                <w:lang w:eastAsia="en-GB"/>
              </w:rPr>
              <w:t xml:space="preserve">ve </w:t>
            </w:r>
            <w:r w:rsidR="002E181F" w:rsidRPr="00A33AE8">
              <w:rPr>
                <w:rFonts w:ascii="Calibri Light" w:eastAsia="Times New Roman" w:hAnsi="Calibri Light" w:cs="Calibri Light"/>
                <w:color w:val="000000"/>
                <w:sz w:val="20"/>
                <w:szCs w:val="20"/>
                <w:lang w:eastAsia="en-GB"/>
              </w:rPr>
              <w:t xml:space="preserve">(EU) </w:t>
            </w:r>
            <w:r w:rsidRPr="000007D2">
              <w:rPr>
                <w:rFonts w:ascii="Calibri Light" w:eastAsia="Times New Roman" w:hAnsi="Calibri Light" w:cs="Calibri Light"/>
                <w:color w:val="000000"/>
                <w:sz w:val="20"/>
                <w:szCs w:val="20"/>
                <w:lang w:eastAsia="en-GB"/>
              </w:rPr>
              <w:t>2010/31</w:t>
            </w:r>
          </w:p>
          <w:p w14:paraId="6D271CDC"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08B04F5"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4049E72C"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2E181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2018/844</w:t>
            </w:r>
          </w:p>
        </w:tc>
      </w:tr>
      <w:tr w:rsidR="0056239B" w:rsidRPr="00A33AE8" w14:paraId="5057FBEA" w14:textId="77777777" w:rsidTr="006769DA">
        <w:trPr>
          <w:trHeight w:val="300"/>
        </w:trPr>
        <w:tc>
          <w:tcPr>
            <w:tcW w:w="3326" w:type="dxa"/>
            <w:vMerge/>
            <w:tcBorders>
              <w:top w:val="nil"/>
              <w:left w:val="single" w:sz="8" w:space="0" w:color="auto"/>
              <w:bottom w:val="single" w:sz="8" w:space="0" w:color="000000"/>
              <w:right w:val="single" w:sz="8" w:space="0" w:color="auto"/>
            </w:tcBorders>
            <w:vAlign w:val="center"/>
            <w:hideMark/>
          </w:tcPr>
          <w:p w14:paraId="35C205C4"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2" w:type="dxa"/>
            <w:gridSpan w:val="3"/>
            <w:vMerge/>
            <w:tcBorders>
              <w:top w:val="single" w:sz="8" w:space="0" w:color="auto"/>
              <w:left w:val="single" w:sz="8" w:space="0" w:color="auto"/>
              <w:bottom w:val="single" w:sz="8" w:space="0" w:color="000000"/>
              <w:right w:val="single" w:sz="8" w:space="0" w:color="000000"/>
            </w:tcBorders>
            <w:vAlign w:val="center"/>
            <w:hideMark/>
          </w:tcPr>
          <w:p w14:paraId="6F640399"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AEAE4CA"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r>
      <w:tr w:rsidR="0056239B" w:rsidRPr="00A33AE8" w14:paraId="7ACBB63C" w14:textId="77777777" w:rsidTr="006769DA">
        <w:trPr>
          <w:trHeight w:val="60"/>
        </w:trPr>
        <w:tc>
          <w:tcPr>
            <w:tcW w:w="3326" w:type="dxa"/>
            <w:vMerge/>
            <w:tcBorders>
              <w:top w:val="nil"/>
              <w:left w:val="single" w:sz="8" w:space="0" w:color="auto"/>
              <w:bottom w:val="single" w:sz="8" w:space="0" w:color="000000"/>
              <w:right w:val="single" w:sz="8" w:space="0" w:color="auto"/>
            </w:tcBorders>
            <w:vAlign w:val="center"/>
            <w:hideMark/>
          </w:tcPr>
          <w:p w14:paraId="5A68147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2" w:type="dxa"/>
            <w:gridSpan w:val="3"/>
            <w:vMerge/>
            <w:tcBorders>
              <w:top w:val="single" w:sz="8" w:space="0" w:color="auto"/>
              <w:left w:val="single" w:sz="8" w:space="0" w:color="auto"/>
              <w:bottom w:val="single" w:sz="8" w:space="0" w:color="000000"/>
              <w:right w:val="single" w:sz="8" w:space="0" w:color="000000"/>
            </w:tcBorders>
            <w:vAlign w:val="center"/>
            <w:hideMark/>
          </w:tcPr>
          <w:p w14:paraId="65E574D0"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EBF4520"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21DB1C70" w14:textId="77777777" w:rsidTr="000007D2">
        <w:trPr>
          <w:trHeight w:val="563"/>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741B254A"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0726DB6"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Decree on energy efficiency of buildings</w:t>
            </w:r>
          </w:p>
          <w:p w14:paraId="50E7B343" w14:textId="1226D823"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 (Draft)</w:t>
            </w:r>
          </w:p>
          <w:p w14:paraId="63D4EA81" w14:textId="77777777" w:rsidR="0056239B" w:rsidRPr="00A33AE8" w:rsidRDefault="0056239B"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p w14:paraId="7A35368B" w14:textId="77777777" w:rsidR="003F1EB0" w:rsidRPr="00A33AE8" w:rsidRDefault="003F1EB0"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Planning and Construction</w:t>
            </w:r>
          </w:p>
          <w:p w14:paraId="667A70F9" w14:textId="77777777" w:rsidR="003F1EB0" w:rsidRPr="00A33AE8" w:rsidRDefault="003F1EB0"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Energy Efficiency in Buildings</w:t>
            </w:r>
          </w:p>
          <w:p w14:paraId="024CF1AE" w14:textId="77777777" w:rsidR="003F1EB0" w:rsidRPr="00A33AE8" w:rsidRDefault="003F1EB0" w:rsidP="00884F3B">
            <w:pPr>
              <w:pStyle w:val="ListParagraph"/>
              <w:numPr>
                <w:ilvl w:val="0"/>
                <w:numId w:val="1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conditions, content and method of issuing certificates on energy properties of buildings</w:t>
            </w:r>
          </w:p>
        </w:tc>
        <w:tc>
          <w:tcPr>
            <w:tcW w:w="222" w:type="dxa"/>
            <w:vAlign w:val="center"/>
            <w:hideMark/>
          </w:tcPr>
          <w:p w14:paraId="5CE03EEE"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7B2BAE" w:rsidRPr="00A33AE8" w14:paraId="460237D9" w14:textId="77777777" w:rsidTr="006769DA">
        <w:trPr>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6DDEB559" w14:textId="77777777" w:rsidR="007B2BAE" w:rsidRPr="00A33AE8" w:rsidRDefault="007B2BAE" w:rsidP="007B2BA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13E00E2C" w14:textId="77777777" w:rsidR="007B2BAE" w:rsidRPr="00A33AE8" w:rsidRDefault="007B2BAE" w:rsidP="007B2BAE">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w:t>
            </w:r>
            <w:r w:rsidR="0077186F" w:rsidRPr="00A33AE8">
              <w:rPr>
                <w:rFonts w:ascii="Calibri Light" w:eastAsia="Times New Roman" w:hAnsi="Calibri Light" w:cs="Calibri Light"/>
                <w:color w:val="000000"/>
                <w:sz w:val="20"/>
                <w:szCs w:val="20"/>
                <w:lang w:eastAsia="en-GB"/>
              </w:rPr>
              <w:t xml:space="preserve">, PM_EE2 and </w:t>
            </w:r>
            <w:r w:rsidRPr="00A33AE8">
              <w:rPr>
                <w:rFonts w:ascii="Calibri Light" w:eastAsia="Times New Roman" w:hAnsi="Calibri Light" w:cs="Calibri Light"/>
                <w:color w:val="000000"/>
                <w:sz w:val="20"/>
                <w:szCs w:val="20"/>
                <w:lang w:eastAsia="en-GB"/>
              </w:rPr>
              <w:t>PM_EE3</w:t>
            </w:r>
          </w:p>
        </w:tc>
        <w:tc>
          <w:tcPr>
            <w:tcW w:w="222" w:type="dxa"/>
            <w:vAlign w:val="center"/>
            <w:hideMark/>
          </w:tcPr>
          <w:p w14:paraId="158C64C3" w14:textId="77777777" w:rsidR="007B2BAE" w:rsidRPr="00A33AE8" w:rsidRDefault="007B2BAE" w:rsidP="007B2BAE">
            <w:pPr>
              <w:spacing w:after="0" w:line="240" w:lineRule="auto"/>
              <w:rPr>
                <w:rFonts w:ascii="Times New Roman" w:eastAsia="Times New Roman" w:hAnsi="Times New Roman" w:cs="Times New Roman"/>
                <w:sz w:val="20"/>
                <w:szCs w:val="20"/>
                <w:lang w:eastAsia="en-GB"/>
              </w:rPr>
            </w:pPr>
          </w:p>
        </w:tc>
      </w:tr>
      <w:tr w:rsidR="007B2BAE" w:rsidRPr="00A33AE8" w14:paraId="0DAC5722" w14:textId="77777777" w:rsidTr="006769DA">
        <w:trPr>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5E2563B6" w14:textId="77777777" w:rsidR="007B2BAE" w:rsidRPr="00A33AE8" w:rsidRDefault="007B2BAE" w:rsidP="007B2BA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5B6F1BD3" w14:textId="77777777" w:rsidR="007B2BAE" w:rsidRPr="00A33AE8" w:rsidRDefault="007B2BAE" w:rsidP="007B2BAE">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508B5E45" w14:textId="77777777" w:rsidR="007B2BAE" w:rsidRPr="00A33AE8" w:rsidRDefault="007B2BAE" w:rsidP="007B2BAE">
            <w:pPr>
              <w:spacing w:after="0" w:line="240" w:lineRule="auto"/>
              <w:rPr>
                <w:rFonts w:ascii="Times New Roman" w:eastAsia="Times New Roman" w:hAnsi="Times New Roman" w:cs="Times New Roman"/>
                <w:sz w:val="20"/>
                <w:szCs w:val="20"/>
                <w:lang w:eastAsia="en-GB"/>
              </w:rPr>
            </w:pPr>
          </w:p>
        </w:tc>
      </w:tr>
    </w:tbl>
    <w:p w14:paraId="27977391" w14:textId="77777777" w:rsidR="0056239B" w:rsidRPr="00A33AE8" w:rsidRDefault="0056239B" w:rsidP="0056239B">
      <w:pPr>
        <w:pStyle w:val="LDKbody"/>
        <w:rPr>
          <w:lang w:val="en-GB"/>
        </w:rPr>
      </w:pPr>
    </w:p>
    <w:tbl>
      <w:tblPr>
        <w:tblW w:w="9680" w:type="dxa"/>
        <w:tblLook w:val="04A0" w:firstRow="1" w:lastRow="0" w:firstColumn="1" w:lastColumn="0" w:noHBand="0" w:noVBand="1"/>
      </w:tblPr>
      <w:tblGrid>
        <w:gridCol w:w="3326"/>
        <w:gridCol w:w="953"/>
        <w:gridCol w:w="945"/>
        <w:gridCol w:w="4234"/>
        <w:gridCol w:w="222"/>
      </w:tblGrid>
      <w:tr w:rsidR="0056239B" w:rsidRPr="00A33AE8" w14:paraId="6E50AF41" w14:textId="77777777" w:rsidTr="006769DA">
        <w:trPr>
          <w:trHeight w:val="780"/>
        </w:trPr>
        <w:tc>
          <w:tcPr>
            <w:tcW w:w="3326"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8394EB3" w14:textId="77777777" w:rsidR="0056239B" w:rsidRPr="00A33AE8" w:rsidRDefault="0056239B"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3" w:type="dxa"/>
            <w:tcBorders>
              <w:top w:val="single" w:sz="8" w:space="0" w:color="auto"/>
              <w:left w:val="nil"/>
              <w:bottom w:val="single" w:sz="8" w:space="0" w:color="auto"/>
              <w:right w:val="single" w:sz="8" w:space="0" w:color="auto"/>
            </w:tcBorders>
            <w:shd w:val="clear" w:color="auto" w:fill="E7E6E6" w:themeFill="background2"/>
            <w:vAlign w:val="center"/>
            <w:hideMark/>
          </w:tcPr>
          <w:p w14:paraId="498D1EBD"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PM_EE5</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45E12049"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4" w:type="dxa"/>
            <w:gridSpan w:val="2"/>
            <w:tcBorders>
              <w:top w:val="single" w:sz="8" w:space="0" w:color="auto"/>
              <w:left w:val="nil"/>
              <w:bottom w:val="single" w:sz="8" w:space="0" w:color="auto"/>
              <w:right w:val="single" w:sz="8" w:space="0" w:color="auto"/>
            </w:tcBorders>
            <w:shd w:val="clear" w:color="auto" w:fill="E7E6E6" w:themeFill="background2"/>
            <w:vAlign w:val="center"/>
            <w:hideMark/>
          </w:tcPr>
          <w:p w14:paraId="68A07260" w14:textId="77777777" w:rsidR="0056239B" w:rsidRPr="000007D2" w:rsidRDefault="00981749"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Financial support for the construction and energy</w:t>
            </w:r>
            <w:r w:rsidR="0056239B" w:rsidRPr="00A33AE8">
              <w:rPr>
                <w:rFonts w:ascii="Calibri Light" w:eastAsia="Times New Roman" w:hAnsi="Calibri Light" w:cs="Calibri Light"/>
                <w:b/>
                <w:bCs/>
                <w:color w:val="000000"/>
                <w:sz w:val="20"/>
                <w:szCs w:val="20"/>
                <w:lang w:eastAsia="en-GB"/>
              </w:rPr>
              <w:t xml:space="preserve"> renovation of buildings exceeding minimum energy requirements</w:t>
            </w:r>
          </w:p>
        </w:tc>
      </w:tr>
      <w:tr w:rsidR="0056239B" w:rsidRPr="00A33AE8" w14:paraId="4FC49E69" w14:textId="77777777" w:rsidTr="006769DA">
        <w:trPr>
          <w:gridAfter w:val="1"/>
          <w:wAfter w:w="222" w:type="dxa"/>
          <w:trHeight w:val="960"/>
        </w:trPr>
        <w:tc>
          <w:tcPr>
            <w:tcW w:w="3326" w:type="dxa"/>
            <w:tcBorders>
              <w:top w:val="nil"/>
              <w:left w:val="single" w:sz="8" w:space="0" w:color="auto"/>
              <w:bottom w:val="single" w:sz="8" w:space="0" w:color="auto"/>
              <w:right w:val="nil"/>
            </w:tcBorders>
            <w:shd w:val="clear" w:color="000000" w:fill="244062"/>
            <w:vAlign w:val="center"/>
            <w:hideMark/>
          </w:tcPr>
          <w:p w14:paraId="28603D69"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0F20B519" w14:textId="773E62C5" w:rsidR="0056239B"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0070015B"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0070015B"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6239B" w:rsidRPr="00A33AE8">
              <w:rPr>
                <w:rFonts w:ascii="Calibri Light" w:eastAsia="Times New Roman" w:hAnsi="Calibri Light" w:cs="Calibri Light"/>
                <w:color w:val="000000"/>
                <w:sz w:val="20"/>
                <w:szCs w:val="20"/>
                <w:lang w:eastAsia="en-GB"/>
              </w:rPr>
              <w:t>:</w:t>
            </w:r>
          </w:p>
          <w:p w14:paraId="74D02C49" w14:textId="77777777" w:rsidR="0056239B" w:rsidRPr="00A33AE8" w:rsidRDefault="0056239B" w:rsidP="00884F3B">
            <w:pPr>
              <w:pStyle w:val="ListParagraph"/>
              <w:numPr>
                <w:ilvl w:val="0"/>
                <w:numId w:val="1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713FF32A" w14:textId="77777777" w:rsidR="0056239B" w:rsidRPr="00A33AE8" w:rsidRDefault="0056239B" w:rsidP="00884F3B">
            <w:pPr>
              <w:pStyle w:val="ListParagraph"/>
              <w:numPr>
                <w:ilvl w:val="0"/>
                <w:numId w:val="1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p w14:paraId="3D607BD5" w14:textId="77777777" w:rsidR="0056239B" w:rsidRPr="00A33AE8" w:rsidRDefault="0056239B" w:rsidP="00884F3B">
            <w:pPr>
              <w:pStyle w:val="ListParagraph"/>
              <w:numPr>
                <w:ilvl w:val="0"/>
                <w:numId w:val="1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5</w:t>
            </w:r>
          </w:p>
          <w:p w14:paraId="397B71AC" w14:textId="77777777" w:rsidR="0056239B" w:rsidRPr="00A33AE8" w:rsidRDefault="0056239B" w:rsidP="00884F3B">
            <w:pPr>
              <w:pStyle w:val="ListParagraph"/>
              <w:numPr>
                <w:ilvl w:val="0"/>
                <w:numId w:val="1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56239B" w:rsidRPr="00A33AE8" w14:paraId="3B841DDF"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44FE148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26799CC" w14:textId="77777777" w:rsidR="0056239B" w:rsidRPr="00A33AE8" w:rsidRDefault="0056239B"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w:t>
            </w:r>
            <w:r w:rsidR="00532B7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PM_EE3</w:t>
            </w:r>
          </w:p>
        </w:tc>
      </w:tr>
      <w:tr w:rsidR="008017D6" w:rsidRPr="00A33AE8" w14:paraId="45D9069D" w14:textId="77777777" w:rsidTr="006769DA">
        <w:trPr>
          <w:gridAfter w:val="1"/>
          <w:wAfter w:w="222" w:type="dxa"/>
          <w:trHeight w:val="1924"/>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567ACA07" w14:textId="77777777" w:rsidR="008017D6" w:rsidRPr="00A33AE8" w:rsidRDefault="008017D6" w:rsidP="008017D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3FA55C77" w14:textId="77777777" w:rsidR="008017D6" w:rsidRPr="00A33AE8" w:rsidRDefault="008017D6" w:rsidP="008017D6">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PM_EE5 will foster the conduction of energy efficiency interventions </w:t>
            </w:r>
            <w:r w:rsidR="003F3F2F" w:rsidRPr="00A33AE8">
              <w:rPr>
                <w:rFonts w:ascii="Calibri Light" w:eastAsia="Times New Roman" w:hAnsi="Calibri Light" w:cs="Calibri Light"/>
                <w:color w:val="000000"/>
                <w:sz w:val="20"/>
                <w:szCs w:val="20"/>
                <w:lang w:eastAsia="en-GB"/>
              </w:rPr>
              <w:t xml:space="preserve">providing </w:t>
            </w:r>
            <w:r w:rsidR="00081D7A" w:rsidRPr="00A33AE8">
              <w:rPr>
                <w:rFonts w:ascii="Calibri Light" w:eastAsia="Times New Roman" w:hAnsi="Calibri Light" w:cs="Calibri Light"/>
                <w:color w:val="000000"/>
                <w:sz w:val="20"/>
                <w:szCs w:val="20"/>
                <w:lang w:eastAsia="en-GB"/>
              </w:rPr>
              <w:t>incentives</w:t>
            </w:r>
            <w:r w:rsidR="003F3F2F"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so as to exceed energy requirements beyond the minimum ones both for new buildings and energy renovated </w:t>
            </w:r>
            <w:r w:rsidR="0070015B" w:rsidRPr="00A33AE8">
              <w:rPr>
                <w:rFonts w:ascii="Calibri Light" w:eastAsia="Times New Roman" w:hAnsi="Calibri Light" w:cs="Calibri Light"/>
                <w:color w:val="000000"/>
                <w:sz w:val="20"/>
                <w:szCs w:val="20"/>
                <w:lang w:eastAsia="en-GB"/>
              </w:rPr>
              <w:t>residential and non</w:t>
            </w:r>
            <w:r w:rsidR="00981749" w:rsidRPr="00A33AE8">
              <w:rPr>
                <w:rFonts w:ascii="Calibri Light" w:eastAsia="Times New Roman" w:hAnsi="Calibri Light" w:cs="Calibri Light"/>
                <w:color w:val="000000"/>
                <w:sz w:val="20"/>
                <w:szCs w:val="20"/>
                <w:lang w:eastAsia="en-GB"/>
              </w:rPr>
              <w:t xml:space="preserve"> </w:t>
            </w:r>
            <w:r w:rsidR="0070015B" w:rsidRPr="00A33AE8">
              <w:rPr>
                <w:rFonts w:ascii="Calibri Light" w:eastAsia="Times New Roman" w:hAnsi="Calibri Light" w:cs="Calibri Light"/>
                <w:color w:val="000000"/>
                <w:sz w:val="20"/>
                <w:szCs w:val="20"/>
                <w:lang w:eastAsia="en-GB"/>
              </w:rPr>
              <w:t xml:space="preserve">residential </w:t>
            </w:r>
            <w:r w:rsidRPr="00A33AE8">
              <w:rPr>
                <w:rFonts w:ascii="Calibri Light" w:eastAsia="Times New Roman" w:hAnsi="Calibri Light" w:cs="Calibri Light"/>
                <w:color w:val="000000"/>
                <w:sz w:val="20"/>
                <w:szCs w:val="20"/>
                <w:lang w:eastAsia="en-GB"/>
              </w:rPr>
              <w:t xml:space="preserve">buildings through the initiation of regulatory measures (such as the increase of the allowed building area with higher energy performance than the minimum ones and the obligation to examine at the stage of preparing a building permit design the use of high-efficiency alternative energy and heat supply systems) and additional fiscal and financial measures. It should be noted that the measure can target also to the </w:t>
            </w:r>
            <w:r w:rsidR="0070015B" w:rsidRPr="00A33AE8">
              <w:rPr>
                <w:rFonts w:ascii="Calibri Light" w:eastAsia="Times New Roman" w:hAnsi="Calibri Light" w:cs="Calibri Light"/>
                <w:color w:val="000000"/>
                <w:sz w:val="20"/>
                <w:szCs w:val="20"/>
                <w:lang w:eastAsia="en-GB"/>
              </w:rPr>
              <w:t>promotion</w:t>
            </w:r>
            <w:r w:rsidRPr="00A33AE8">
              <w:rPr>
                <w:rFonts w:ascii="Calibri Light" w:eastAsia="Times New Roman" w:hAnsi="Calibri Light" w:cs="Calibri Light"/>
                <w:color w:val="000000"/>
                <w:sz w:val="20"/>
                <w:szCs w:val="20"/>
                <w:lang w:eastAsia="en-GB"/>
              </w:rPr>
              <w:t xml:space="preserve"> of </w:t>
            </w:r>
            <w:r w:rsidR="0070015B" w:rsidRPr="00A33AE8">
              <w:rPr>
                <w:rFonts w:ascii="Calibri Light" w:eastAsia="Times New Roman" w:hAnsi="Calibri Light" w:cs="Calibri Light"/>
                <w:color w:val="000000"/>
                <w:sz w:val="20"/>
                <w:szCs w:val="20"/>
                <w:lang w:eastAsia="en-GB"/>
              </w:rPr>
              <w:t>passive buildings</w:t>
            </w:r>
            <w:r w:rsidR="00981749" w:rsidRPr="00A33AE8">
              <w:rPr>
                <w:rFonts w:ascii="Calibri Light" w:eastAsia="Times New Roman" w:hAnsi="Calibri Light" w:cs="Calibri Light"/>
                <w:color w:val="000000"/>
                <w:sz w:val="20"/>
                <w:szCs w:val="20"/>
                <w:lang w:eastAsia="en-GB"/>
              </w:rPr>
              <w:t>. Dedicated pilot projects will be designed in the beginning in order to ensure the readiness of the involved professionals.</w:t>
            </w:r>
            <w:r w:rsidR="00196D6B">
              <w:rPr>
                <w:rFonts w:ascii="Calibri Light" w:eastAsia="Times New Roman" w:hAnsi="Calibri Light" w:cs="Calibri Light"/>
                <w:color w:val="000000"/>
                <w:sz w:val="20"/>
                <w:szCs w:val="20"/>
                <w:lang w:eastAsia="en-GB"/>
              </w:rPr>
              <w:t xml:space="preserve"> </w:t>
            </w:r>
            <w:r w:rsidR="00196D6B" w:rsidRPr="00196D6B">
              <w:rPr>
                <w:rFonts w:ascii="Calibri Light" w:eastAsia="Times New Roman" w:hAnsi="Calibri Light" w:cs="Calibri Light"/>
                <w:color w:val="000000"/>
                <w:sz w:val="20"/>
                <w:szCs w:val="20"/>
                <w:lang w:eastAsia="en-GB"/>
              </w:rPr>
              <w:t>It should be noted that the potential use of low-carbon construction materials will be examined facilitating the transformation of the buildings into zero-emission buildings for their whole life-cycle.</w:t>
            </w:r>
          </w:p>
        </w:tc>
      </w:tr>
      <w:tr w:rsidR="0056239B" w:rsidRPr="00A33AE8" w14:paraId="74054B98"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31DF9685"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699E2BDA" w14:textId="77777777" w:rsidR="0056239B" w:rsidRPr="00A33AE8" w:rsidRDefault="003F3F2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6239B" w:rsidRPr="00A33AE8">
              <w:rPr>
                <w:rFonts w:ascii="Calibri Light" w:eastAsia="Times New Roman" w:hAnsi="Calibri Light" w:cs="Calibri Light"/>
                <w:color w:val="000000"/>
                <w:sz w:val="20"/>
                <w:szCs w:val="20"/>
                <w:lang w:eastAsia="en-GB"/>
              </w:rPr>
              <w:t>-2030</w:t>
            </w:r>
          </w:p>
        </w:tc>
      </w:tr>
      <w:tr w:rsidR="0056239B" w:rsidRPr="00A33AE8" w14:paraId="0B442295"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0A31FAA9"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3A69E35C" w14:textId="77777777" w:rsidR="0056239B"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6239B" w:rsidRPr="00A33AE8" w14:paraId="7A55DD6A"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4FEF5FA8"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2D358C58"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w:t>
            </w:r>
          </w:p>
        </w:tc>
      </w:tr>
      <w:tr w:rsidR="0056239B" w:rsidRPr="00A33AE8" w14:paraId="4F331487" w14:textId="77777777" w:rsidTr="006769DA">
        <w:trPr>
          <w:gridAfter w:val="1"/>
          <w:wAfter w:w="222" w:type="dxa"/>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4B1C165B"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0F927BCD" w14:textId="77777777" w:rsidR="00483964" w:rsidRPr="00A33AE8" w:rsidRDefault="0048396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p w14:paraId="01A419AE" w14:textId="77777777" w:rsidR="00483964" w:rsidRPr="00A33AE8" w:rsidRDefault="00FB6A69"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r w:rsidR="008017D6" w:rsidRPr="00A33AE8">
              <w:rPr>
                <w:rFonts w:ascii="Calibri Light" w:eastAsia="Times New Roman" w:hAnsi="Calibri Light" w:cs="Calibri Light"/>
                <w:color w:val="000000"/>
                <w:sz w:val="20"/>
                <w:szCs w:val="20"/>
                <w:lang w:eastAsia="en-GB"/>
              </w:rPr>
              <w:t xml:space="preserve"> – EE Directorate</w:t>
            </w:r>
          </w:p>
          <w:p w14:paraId="0F79D027" w14:textId="77777777" w:rsidR="0056239B" w:rsidRPr="00A33AE8" w:rsidRDefault="0056239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IFI</w:t>
            </w:r>
          </w:p>
        </w:tc>
      </w:tr>
      <w:tr w:rsidR="0056239B" w:rsidRPr="00A33AE8" w14:paraId="3AACD8DD" w14:textId="77777777" w:rsidTr="006769DA">
        <w:trPr>
          <w:gridAfter w:val="1"/>
          <w:wAfter w:w="222" w:type="dxa"/>
          <w:trHeight w:val="315"/>
        </w:trPr>
        <w:tc>
          <w:tcPr>
            <w:tcW w:w="3326" w:type="dxa"/>
            <w:tcBorders>
              <w:top w:val="nil"/>
              <w:left w:val="single" w:sz="8" w:space="0" w:color="auto"/>
              <w:bottom w:val="single" w:sz="8" w:space="0" w:color="auto"/>
              <w:right w:val="nil"/>
            </w:tcBorders>
            <w:shd w:val="clear" w:color="000000" w:fill="244062"/>
            <w:vAlign w:val="center"/>
            <w:hideMark/>
          </w:tcPr>
          <w:p w14:paraId="75A7526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2F110300" w14:textId="77777777" w:rsidR="0056239B" w:rsidRPr="00A33AE8" w:rsidRDefault="00A26683"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26683">
              <w:rPr>
                <w:rFonts w:ascii="Calibri Light" w:eastAsia="Times New Roman" w:hAnsi="Calibri Light" w:cs="Calibri Light"/>
                <w:color w:val="000000"/>
                <w:sz w:val="20"/>
                <w:szCs w:val="20"/>
                <w:lang w:eastAsia="en-GB"/>
              </w:rPr>
              <w:t>Government of the Republic of Serbia</w:t>
            </w:r>
          </w:p>
        </w:tc>
      </w:tr>
      <w:tr w:rsidR="0056239B" w:rsidRPr="00A33AE8" w14:paraId="79A32DFC" w14:textId="77777777" w:rsidTr="006769DA">
        <w:trPr>
          <w:gridAfter w:val="1"/>
          <w:wAfter w:w="222" w:type="dxa"/>
          <w:trHeight w:val="315"/>
        </w:trPr>
        <w:tc>
          <w:tcPr>
            <w:tcW w:w="3326" w:type="dxa"/>
            <w:tcBorders>
              <w:top w:val="nil"/>
              <w:left w:val="single" w:sz="8" w:space="0" w:color="auto"/>
              <w:bottom w:val="single" w:sz="8" w:space="0" w:color="auto"/>
              <w:right w:val="nil"/>
            </w:tcBorders>
            <w:shd w:val="clear" w:color="000000" w:fill="244062"/>
            <w:vAlign w:val="center"/>
            <w:hideMark/>
          </w:tcPr>
          <w:p w14:paraId="1408632A"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20D103AC" w14:textId="77777777" w:rsidR="008017D6" w:rsidRPr="00A33AE8" w:rsidRDefault="008017D6" w:rsidP="00884F3B">
            <w:pPr>
              <w:numPr>
                <w:ilvl w:val="0"/>
                <w:numId w:val="122"/>
              </w:numPr>
              <w:spacing w:after="0"/>
              <w:ind w:left="714" w:hanging="357"/>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Total </w:t>
            </w:r>
            <w:r w:rsidR="004B715D" w:rsidRPr="00A33AE8">
              <w:rPr>
                <w:rFonts w:ascii="Calibri Light" w:eastAsia="Times New Roman" w:hAnsi="Calibri Light" w:cs="Calibri Light"/>
                <w:color w:val="000000"/>
                <w:sz w:val="20"/>
                <w:szCs w:val="20"/>
                <w:lang w:eastAsia="en-GB"/>
              </w:rPr>
              <w:t>surface area of energy renovated buildings exceeding minimum energy requirements</w:t>
            </w:r>
          </w:p>
          <w:p w14:paraId="0D86A6EB" w14:textId="77777777" w:rsidR="004B715D" w:rsidRPr="000007D2" w:rsidRDefault="004B715D" w:rsidP="00884F3B">
            <w:pPr>
              <w:pStyle w:val="ListParagraph"/>
              <w:numPr>
                <w:ilvl w:val="0"/>
                <w:numId w:val="122"/>
              </w:numPr>
              <w:spacing w:after="0"/>
              <w:ind w:left="714" w:hanging="357"/>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Total surface area of new buildings exceeding minimum energy requirements</w:t>
            </w:r>
          </w:p>
          <w:p w14:paraId="01BE3927" w14:textId="77777777" w:rsidR="0056239B" w:rsidRPr="00A33AE8" w:rsidRDefault="0081678F"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of heat pumps</w:t>
            </w:r>
          </w:p>
        </w:tc>
      </w:tr>
      <w:tr w:rsidR="006C6A30" w:rsidRPr="00A33AE8" w14:paraId="48BDF9F5" w14:textId="77777777" w:rsidTr="006769DA">
        <w:trPr>
          <w:gridAfter w:val="1"/>
          <w:wAfter w:w="222" w:type="dxa"/>
          <w:trHeight w:val="4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04280BD2"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0F5A37A8" w14:textId="77777777" w:rsidR="00A26683" w:rsidRPr="00A26683" w:rsidRDefault="006C6A30"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A26683">
              <w:rPr>
                <w:rFonts w:ascii="Calibri Light" w:eastAsia="Times New Roman" w:hAnsi="Calibri Light" w:cs="Calibri Light"/>
                <w:color w:val="000000"/>
                <w:sz w:val="20"/>
                <w:szCs w:val="20"/>
                <w:lang w:eastAsia="en-GB"/>
              </w:rPr>
              <w:t xml:space="preserve"> </w:t>
            </w:r>
            <w:r w:rsidR="00A26683" w:rsidRPr="00A26683">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utilised RES technologies will increase the RES share in heating and cooling)</w:t>
            </w:r>
          </w:p>
          <w:p w14:paraId="1315DCA2" w14:textId="77777777" w:rsidR="006C6A30" w:rsidRPr="00A33AE8" w:rsidRDefault="00A26683"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r w:rsidRPr="00A26683">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6239B" w:rsidRPr="00A33AE8" w14:paraId="7EF042B2" w14:textId="77777777" w:rsidTr="006769DA">
        <w:trPr>
          <w:gridAfter w:val="1"/>
          <w:wAfter w:w="222" w:type="dxa"/>
          <w:trHeight w:val="450"/>
        </w:trPr>
        <w:tc>
          <w:tcPr>
            <w:tcW w:w="3326"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B2B144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EB6C82D" w14:textId="77777777" w:rsidR="008017D6" w:rsidRPr="000007D2" w:rsidRDefault="008017D6"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 xml:space="preserve">Directive </w:t>
            </w:r>
            <w:r w:rsidR="003F3F2F" w:rsidRPr="00A33AE8">
              <w:rPr>
                <w:rFonts w:ascii="Calibri Light" w:eastAsia="Times New Roman" w:hAnsi="Calibri Light" w:cs="Calibri Light"/>
                <w:color w:val="000000"/>
                <w:sz w:val="20"/>
                <w:szCs w:val="20"/>
                <w:lang w:eastAsia="en-GB"/>
              </w:rPr>
              <w:t xml:space="preserve">(EU) </w:t>
            </w:r>
            <w:r w:rsidRPr="000007D2">
              <w:rPr>
                <w:rFonts w:ascii="Calibri Light" w:eastAsia="Times New Roman" w:hAnsi="Calibri Light" w:cs="Calibri Light"/>
                <w:color w:val="000000"/>
                <w:sz w:val="20"/>
                <w:szCs w:val="20"/>
                <w:lang w:eastAsia="en-GB"/>
              </w:rPr>
              <w:t>2010/31</w:t>
            </w:r>
          </w:p>
          <w:p w14:paraId="452A705E" w14:textId="77777777" w:rsidR="0056239B" w:rsidRPr="00A33AE8" w:rsidRDefault="0056239B"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F3F2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0825901B" w14:textId="77777777" w:rsidR="0056239B" w:rsidRPr="00A33AE8" w:rsidRDefault="0056239B"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F3F2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24161A00" w14:textId="77777777" w:rsidR="0056239B" w:rsidRPr="00A33AE8" w:rsidRDefault="0056239B"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3F3F2F" w:rsidRPr="00A33AE8">
              <w:rPr>
                <w:rFonts w:ascii="Calibri Light" w:eastAsia="Times New Roman" w:hAnsi="Calibri Light" w:cs="Calibri Light"/>
                <w:color w:val="000000"/>
                <w:sz w:val="20"/>
                <w:szCs w:val="20"/>
                <w:lang w:eastAsia="en-GB"/>
              </w:rPr>
              <w:t>(EU)</w:t>
            </w:r>
            <w:r w:rsidRPr="00A33AE8">
              <w:rPr>
                <w:rFonts w:ascii="Calibri Light" w:eastAsia="Times New Roman" w:hAnsi="Calibri Light" w:cs="Calibri Light"/>
                <w:color w:val="000000"/>
                <w:sz w:val="20"/>
                <w:szCs w:val="20"/>
                <w:lang w:eastAsia="en-GB"/>
              </w:rPr>
              <w:t xml:space="preserve"> 2018/844</w:t>
            </w:r>
          </w:p>
        </w:tc>
      </w:tr>
      <w:tr w:rsidR="0056239B" w:rsidRPr="00A33AE8" w14:paraId="56BF1735" w14:textId="77777777" w:rsidTr="006769DA">
        <w:trPr>
          <w:trHeight w:val="300"/>
        </w:trPr>
        <w:tc>
          <w:tcPr>
            <w:tcW w:w="3326" w:type="dxa"/>
            <w:vMerge/>
            <w:tcBorders>
              <w:top w:val="nil"/>
              <w:left w:val="single" w:sz="8" w:space="0" w:color="auto"/>
              <w:bottom w:val="single" w:sz="8" w:space="0" w:color="000000"/>
              <w:right w:val="single" w:sz="8" w:space="0" w:color="auto"/>
            </w:tcBorders>
            <w:vAlign w:val="center"/>
            <w:hideMark/>
          </w:tcPr>
          <w:p w14:paraId="623B988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2" w:type="dxa"/>
            <w:gridSpan w:val="3"/>
            <w:vMerge/>
            <w:tcBorders>
              <w:top w:val="single" w:sz="8" w:space="0" w:color="auto"/>
              <w:left w:val="single" w:sz="8" w:space="0" w:color="auto"/>
              <w:bottom w:val="single" w:sz="8" w:space="0" w:color="000000"/>
              <w:right w:val="single" w:sz="8" w:space="0" w:color="000000"/>
            </w:tcBorders>
            <w:vAlign w:val="center"/>
            <w:hideMark/>
          </w:tcPr>
          <w:p w14:paraId="23585D06" w14:textId="77777777" w:rsidR="0056239B" w:rsidRPr="00A33AE8" w:rsidRDefault="0056239B"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FF57611"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r>
      <w:tr w:rsidR="0056239B" w:rsidRPr="00A33AE8" w14:paraId="4DA43B2D" w14:textId="77777777" w:rsidTr="006769DA">
        <w:trPr>
          <w:trHeight w:val="60"/>
        </w:trPr>
        <w:tc>
          <w:tcPr>
            <w:tcW w:w="3326" w:type="dxa"/>
            <w:vMerge/>
            <w:tcBorders>
              <w:top w:val="nil"/>
              <w:left w:val="single" w:sz="8" w:space="0" w:color="auto"/>
              <w:bottom w:val="single" w:sz="8" w:space="0" w:color="000000"/>
              <w:right w:val="single" w:sz="8" w:space="0" w:color="auto"/>
            </w:tcBorders>
            <w:vAlign w:val="center"/>
            <w:hideMark/>
          </w:tcPr>
          <w:p w14:paraId="7BEA2C75"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2" w:type="dxa"/>
            <w:gridSpan w:val="3"/>
            <w:vMerge/>
            <w:tcBorders>
              <w:top w:val="single" w:sz="8" w:space="0" w:color="auto"/>
              <w:left w:val="single" w:sz="8" w:space="0" w:color="auto"/>
              <w:bottom w:val="single" w:sz="8" w:space="0" w:color="000000"/>
              <w:right w:val="single" w:sz="8" w:space="0" w:color="000000"/>
            </w:tcBorders>
            <w:vAlign w:val="center"/>
            <w:hideMark/>
          </w:tcPr>
          <w:p w14:paraId="61B88D65" w14:textId="77777777" w:rsidR="0056239B" w:rsidRPr="00A33AE8" w:rsidRDefault="0056239B" w:rsidP="00884F3B">
            <w:pPr>
              <w:pStyle w:val="ListParagraph"/>
              <w:numPr>
                <w:ilvl w:val="0"/>
                <w:numId w:val="12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0155681"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2C7CDCE3" w14:textId="77777777" w:rsidTr="006769DA">
        <w:trPr>
          <w:trHeight w:val="780"/>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307EFC8D"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12AB6E1D" w14:textId="77777777" w:rsidR="0056239B" w:rsidRPr="00A33AE8" w:rsidRDefault="0056239B" w:rsidP="00884F3B">
            <w:pPr>
              <w:pStyle w:val="ListParagraph"/>
              <w:numPr>
                <w:ilvl w:val="0"/>
                <w:numId w:val="127"/>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Lack of national definition of nearly zero energy buildings (NZEBs)</w:t>
            </w:r>
          </w:p>
          <w:p w14:paraId="55AC0D8D" w14:textId="77777777" w:rsidR="0056239B" w:rsidRPr="00A33AE8" w:rsidRDefault="0056239B" w:rsidP="00884F3B">
            <w:pPr>
              <w:pStyle w:val="ListParagraph"/>
              <w:numPr>
                <w:ilvl w:val="0"/>
                <w:numId w:val="127"/>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Notification under the Article 5 of the Directive </w:t>
            </w:r>
            <w:r w:rsidR="003F3F2F"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 on Energy Efficiency</w:t>
            </w:r>
          </w:p>
          <w:p w14:paraId="4490AAD8" w14:textId="2F601847" w:rsidR="0056239B" w:rsidRPr="00A33AE8" w:rsidRDefault="0056239B" w:rsidP="00884F3B">
            <w:pPr>
              <w:pStyle w:val="ListParagraph"/>
              <w:numPr>
                <w:ilvl w:val="0"/>
                <w:numId w:val="127"/>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Exemplary role of public bodies’ buildings</w:t>
            </w:r>
          </w:p>
        </w:tc>
        <w:tc>
          <w:tcPr>
            <w:tcW w:w="222" w:type="dxa"/>
            <w:vAlign w:val="center"/>
            <w:hideMark/>
          </w:tcPr>
          <w:p w14:paraId="7CF70B63"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E65D30" w:rsidRPr="00A33AE8" w14:paraId="2031EB38" w14:textId="77777777" w:rsidTr="006769DA">
        <w:trPr>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4D32B71F" w14:textId="77777777" w:rsidR="00E65D30" w:rsidRPr="00A33AE8" w:rsidRDefault="00E65D30" w:rsidP="00E65D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2DA8051E" w14:textId="77777777" w:rsidR="00E65D30" w:rsidRPr="00A33AE8" w:rsidRDefault="00E65D30" w:rsidP="00E65D30">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 PM_EE2 and PM_EE3</w:t>
            </w:r>
          </w:p>
        </w:tc>
        <w:tc>
          <w:tcPr>
            <w:tcW w:w="222" w:type="dxa"/>
            <w:vAlign w:val="center"/>
            <w:hideMark/>
          </w:tcPr>
          <w:p w14:paraId="21D9161C" w14:textId="77777777" w:rsidR="00E65D30" w:rsidRPr="00A33AE8" w:rsidRDefault="00E65D30" w:rsidP="00E65D30">
            <w:pPr>
              <w:spacing w:after="0" w:line="240" w:lineRule="auto"/>
              <w:rPr>
                <w:rFonts w:ascii="Times New Roman" w:eastAsia="Times New Roman" w:hAnsi="Times New Roman" w:cs="Times New Roman"/>
                <w:sz w:val="20"/>
                <w:szCs w:val="20"/>
                <w:lang w:eastAsia="en-GB"/>
              </w:rPr>
            </w:pPr>
          </w:p>
        </w:tc>
      </w:tr>
      <w:tr w:rsidR="0056239B" w:rsidRPr="00A33AE8" w14:paraId="70DBEB7D" w14:textId="77777777" w:rsidTr="006769DA">
        <w:trPr>
          <w:trHeight w:val="315"/>
        </w:trPr>
        <w:tc>
          <w:tcPr>
            <w:tcW w:w="3326" w:type="dxa"/>
            <w:tcBorders>
              <w:top w:val="nil"/>
              <w:left w:val="single" w:sz="8" w:space="0" w:color="auto"/>
              <w:bottom w:val="single" w:sz="8" w:space="0" w:color="auto"/>
              <w:right w:val="single" w:sz="8" w:space="0" w:color="auto"/>
            </w:tcBorders>
            <w:shd w:val="clear" w:color="000000" w:fill="244062"/>
            <w:vAlign w:val="center"/>
            <w:hideMark/>
          </w:tcPr>
          <w:p w14:paraId="36197BEA"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2" w:type="dxa"/>
            <w:gridSpan w:val="3"/>
            <w:tcBorders>
              <w:top w:val="single" w:sz="8" w:space="0" w:color="auto"/>
              <w:left w:val="nil"/>
              <w:bottom w:val="single" w:sz="8" w:space="0" w:color="auto"/>
              <w:right w:val="single" w:sz="8" w:space="0" w:color="000000"/>
            </w:tcBorders>
            <w:shd w:val="clear" w:color="auto" w:fill="auto"/>
            <w:vAlign w:val="center"/>
            <w:hideMark/>
          </w:tcPr>
          <w:p w14:paraId="0AB39F2C" w14:textId="77777777" w:rsidR="0056239B" w:rsidRPr="00A33AE8" w:rsidRDefault="0081678F"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27EE0253"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bl>
    <w:p w14:paraId="3FE6033C" w14:textId="77777777" w:rsidR="0056239B" w:rsidRPr="00A33AE8" w:rsidRDefault="0056239B" w:rsidP="0056239B">
      <w:pPr>
        <w:pStyle w:val="LDKbody"/>
        <w:rPr>
          <w:lang w:val="en-GB"/>
        </w:rPr>
      </w:pPr>
    </w:p>
    <w:tbl>
      <w:tblPr>
        <w:tblW w:w="9680" w:type="dxa"/>
        <w:tblLook w:val="04A0" w:firstRow="1" w:lastRow="0" w:firstColumn="1" w:lastColumn="0" w:noHBand="0" w:noVBand="1"/>
      </w:tblPr>
      <w:tblGrid>
        <w:gridCol w:w="3328"/>
        <w:gridCol w:w="954"/>
        <w:gridCol w:w="945"/>
        <w:gridCol w:w="4231"/>
        <w:gridCol w:w="222"/>
      </w:tblGrid>
      <w:tr w:rsidR="0056239B" w:rsidRPr="00A33AE8" w14:paraId="1B3004B2" w14:textId="77777777" w:rsidTr="006769DA">
        <w:trPr>
          <w:gridAfter w:val="1"/>
          <w:wAfter w:w="222" w:type="dxa"/>
          <w:trHeight w:val="780"/>
        </w:trPr>
        <w:tc>
          <w:tcPr>
            <w:tcW w:w="332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616F321" w14:textId="77777777" w:rsidR="0056239B" w:rsidRPr="00A33AE8" w:rsidRDefault="0056239B"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4" w:type="dxa"/>
            <w:tcBorders>
              <w:top w:val="single" w:sz="8" w:space="0" w:color="auto"/>
              <w:left w:val="nil"/>
              <w:bottom w:val="single" w:sz="8" w:space="0" w:color="auto"/>
              <w:right w:val="single" w:sz="8" w:space="0" w:color="auto"/>
            </w:tcBorders>
            <w:shd w:val="clear" w:color="auto" w:fill="E7E6E6" w:themeFill="background2"/>
            <w:vAlign w:val="center"/>
            <w:hideMark/>
          </w:tcPr>
          <w:p w14:paraId="697A2D20"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PM_EE6</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0F221372"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1" w:type="dxa"/>
            <w:tcBorders>
              <w:top w:val="single" w:sz="8" w:space="0" w:color="auto"/>
              <w:left w:val="nil"/>
              <w:bottom w:val="single" w:sz="8" w:space="0" w:color="auto"/>
              <w:right w:val="single" w:sz="8" w:space="0" w:color="auto"/>
            </w:tcBorders>
            <w:shd w:val="clear" w:color="auto" w:fill="E7E6E6" w:themeFill="background2"/>
            <w:vAlign w:val="center"/>
            <w:hideMark/>
          </w:tcPr>
          <w:p w14:paraId="2950C8B1"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Mandatory installation of solar thermal systems in new buildings and in buildings undergoing major </w:t>
            </w:r>
            <w:r w:rsidR="004B715D" w:rsidRPr="00A33AE8">
              <w:rPr>
                <w:rFonts w:ascii="Calibri Light" w:eastAsia="Times New Roman" w:hAnsi="Calibri Light" w:cs="Calibri Light"/>
                <w:b/>
                <w:bCs/>
                <w:color w:val="000000"/>
                <w:sz w:val="20"/>
                <w:szCs w:val="20"/>
                <w:lang w:eastAsia="en-GB"/>
              </w:rPr>
              <w:t xml:space="preserve">energy </w:t>
            </w:r>
            <w:r w:rsidRPr="00A33AE8">
              <w:rPr>
                <w:rFonts w:ascii="Calibri Light" w:eastAsia="Times New Roman" w:hAnsi="Calibri Light" w:cs="Calibri Light"/>
                <w:b/>
                <w:bCs/>
                <w:color w:val="000000"/>
                <w:sz w:val="20"/>
                <w:szCs w:val="20"/>
                <w:lang w:eastAsia="en-GB"/>
              </w:rPr>
              <w:t>renovation</w:t>
            </w:r>
          </w:p>
        </w:tc>
      </w:tr>
      <w:tr w:rsidR="0056239B" w:rsidRPr="00A33AE8" w14:paraId="4092E1F9" w14:textId="77777777" w:rsidTr="006769DA">
        <w:trPr>
          <w:gridAfter w:val="1"/>
          <w:wAfter w:w="222" w:type="dxa"/>
          <w:trHeight w:val="960"/>
        </w:trPr>
        <w:tc>
          <w:tcPr>
            <w:tcW w:w="3328" w:type="dxa"/>
            <w:tcBorders>
              <w:top w:val="nil"/>
              <w:left w:val="single" w:sz="8" w:space="0" w:color="auto"/>
              <w:bottom w:val="single" w:sz="8" w:space="0" w:color="auto"/>
              <w:right w:val="nil"/>
            </w:tcBorders>
            <w:shd w:val="clear" w:color="000000" w:fill="244062"/>
            <w:vAlign w:val="center"/>
            <w:hideMark/>
          </w:tcPr>
          <w:p w14:paraId="1C30E4B4"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AC27E2C" w14:textId="793E725A" w:rsidR="0056239B"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007E7B7A"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007E7B7A"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6239B" w:rsidRPr="00A33AE8">
              <w:rPr>
                <w:rFonts w:ascii="Calibri Light" w:eastAsia="Times New Roman" w:hAnsi="Calibri Light" w:cs="Calibri Light"/>
                <w:color w:val="000000"/>
                <w:sz w:val="20"/>
                <w:szCs w:val="20"/>
                <w:lang w:eastAsia="en-GB"/>
              </w:rPr>
              <w:t>:</w:t>
            </w:r>
          </w:p>
          <w:p w14:paraId="326F1AFA" w14:textId="77777777" w:rsidR="0056239B" w:rsidRPr="00A33AE8" w:rsidRDefault="0056239B" w:rsidP="00884F3B">
            <w:pPr>
              <w:pStyle w:val="ListParagraph"/>
              <w:numPr>
                <w:ilvl w:val="0"/>
                <w:numId w:val="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6B6ABD1D" w14:textId="77777777" w:rsidR="0056239B" w:rsidRPr="00A33AE8" w:rsidRDefault="0056239B" w:rsidP="00884F3B">
            <w:pPr>
              <w:pStyle w:val="ListParagraph"/>
              <w:numPr>
                <w:ilvl w:val="0"/>
                <w:numId w:val="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p w14:paraId="78E5E8A2" w14:textId="77777777" w:rsidR="0056239B" w:rsidRPr="00A33AE8" w:rsidRDefault="0056239B" w:rsidP="00884F3B">
            <w:pPr>
              <w:pStyle w:val="ListParagraph"/>
              <w:numPr>
                <w:ilvl w:val="0"/>
                <w:numId w:val="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5</w:t>
            </w:r>
          </w:p>
          <w:p w14:paraId="271A8CA8" w14:textId="77777777" w:rsidR="0056239B" w:rsidRPr="00A33AE8" w:rsidRDefault="0056239B" w:rsidP="00884F3B">
            <w:pPr>
              <w:pStyle w:val="ListParagraph"/>
              <w:numPr>
                <w:ilvl w:val="0"/>
                <w:numId w:val="2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56239B" w:rsidRPr="00A33AE8" w14:paraId="24831F86"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DF3D83C"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EBB5A46" w14:textId="77777777" w:rsidR="0056239B" w:rsidRPr="00A33AE8" w:rsidRDefault="0056239B" w:rsidP="00CA75AC">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1.8 GW capacity of solar thermal systems</w:t>
            </w:r>
            <w:r w:rsidR="00532B7A" w:rsidRPr="00A33AE8">
              <w:rPr>
                <w:rFonts w:ascii="Calibri Light" w:eastAsia="Times New Roman" w:hAnsi="Calibri Light" w:cs="Calibri Light"/>
                <w:color w:val="000000"/>
                <w:sz w:val="20"/>
                <w:szCs w:val="20"/>
                <w:lang w:eastAsia="en-GB"/>
              </w:rPr>
              <w:t xml:space="preserve"> (primary energy savings 41 ktoe)</w:t>
            </w:r>
          </w:p>
        </w:tc>
      </w:tr>
      <w:tr w:rsidR="0056239B" w:rsidRPr="00A33AE8" w14:paraId="1F625E2C" w14:textId="77777777" w:rsidTr="006769DA">
        <w:trPr>
          <w:gridAfter w:val="1"/>
          <w:wAfter w:w="222" w:type="dxa"/>
          <w:trHeight w:val="712"/>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555D2754"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71BA9E93" w14:textId="77777777" w:rsidR="0056239B" w:rsidRPr="00A33AE8" w:rsidRDefault="0056239B"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PM_EE6 will facilitate the mandatory installation of solar thermal systems in new buildings and those undergoing major renovation</w:t>
            </w:r>
            <w:r w:rsidR="004B715D" w:rsidRPr="00A33AE8">
              <w:rPr>
                <w:rFonts w:ascii="Calibri Light" w:eastAsia="Times New Roman" w:hAnsi="Calibri Light" w:cs="Calibri Light"/>
                <w:color w:val="000000"/>
                <w:sz w:val="20"/>
                <w:szCs w:val="20"/>
                <w:lang w:eastAsia="en-GB"/>
              </w:rPr>
              <w:t xml:space="preserve">, as defined in Directive 2010/31/EU, </w:t>
            </w:r>
            <w:r w:rsidRPr="00A33AE8">
              <w:rPr>
                <w:rFonts w:ascii="Calibri Light" w:eastAsia="Times New Roman" w:hAnsi="Calibri Light" w:cs="Calibri Light"/>
                <w:color w:val="000000"/>
                <w:sz w:val="20"/>
                <w:szCs w:val="20"/>
                <w:lang w:eastAsia="en-GB"/>
              </w:rPr>
              <w:t>facilitating simultaneously the further deployment of renewable energy.</w:t>
            </w:r>
            <w:r w:rsidR="004B715D" w:rsidRPr="00A33AE8">
              <w:rPr>
                <w:rFonts w:ascii="Calibri Light" w:eastAsia="Times New Roman" w:hAnsi="Calibri Light" w:cs="Calibri Light"/>
                <w:color w:val="000000"/>
                <w:sz w:val="20"/>
                <w:szCs w:val="20"/>
                <w:lang w:eastAsia="en-GB"/>
              </w:rPr>
              <w:t xml:space="preserve"> The planned measure will be utilised so as to combat energy poverty also.</w:t>
            </w:r>
          </w:p>
        </w:tc>
      </w:tr>
      <w:tr w:rsidR="0056239B" w:rsidRPr="00A33AE8" w14:paraId="3A5957C0"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1BC37FB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3606B4F8" w14:textId="77777777" w:rsidR="0056239B" w:rsidRPr="00A33AE8" w:rsidRDefault="006059D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6239B" w:rsidRPr="00A33AE8">
              <w:rPr>
                <w:rFonts w:ascii="Calibri Light" w:eastAsia="Times New Roman" w:hAnsi="Calibri Light" w:cs="Calibri Light"/>
                <w:color w:val="000000"/>
                <w:sz w:val="20"/>
                <w:szCs w:val="20"/>
                <w:lang w:eastAsia="en-GB"/>
              </w:rPr>
              <w:t>-2030</w:t>
            </w:r>
          </w:p>
        </w:tc>
      </w:tr>
      <w:tr w:rsidR="0056239B" w:rsidRPr="00A33AE8" w14:paraId="68B84F78"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1088296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52AA4224" w14:textId="77777777" w:rsidR="0056239B" w:rsidRPr="00A33AE8" w:rsidRDefault="006059D1"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Regulatory</w:t>
            </w:r>
          </w:p>
        </w:tc>
      </w:tr>
      <w:tr w:rsidR="0056239B" w:rsidRPr="00A33AE8" w14:paraId="1CA93D3A"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01CD9A1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79E3D7A"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w:t>
            </w:r>
          </w:p>
        </w:tc>
      </w:tr>
      <w:tr w:rsidR="0056239B" w:rsidRPr="00A33AE8" w14:paraId="190FDDCA" w14:textId="77777777" w:rsidTr="006769DA">
        <w:trPr>
          <w:gridAfter w:val="1"/>
          <w:wAfter w:w="222" w:type="dxa"/>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239EA4A0"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81E5DB4" w14:textId="77777777" w:rsidR="00483964" w:rsidRPr="00A33AE8" w:rsidRDefault="0048396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p w14:paraId="5FFD721E" w14:textId="77777777" w:rsidR="0056239B" w:rsidRPr="00A33AE8" w:rsidRDefault="00D33A3A"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56239B" w:rsidRPr="00A33AE8" w14:paraId="2803CA7E"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10BC4FA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23484ECD" w14:textId="77777777" w:rsidR="0056239B" w:rsidRPr="00A33AE8" w:rsidRDefault="00A26683"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26683">
              <w:rPr>
                <w:rFonts w:ascii="Calibri Light" w:eastAsia="Times New Roman" w:hAnsi="Calibri Light" w:cs="Calibri Light"/>
                <w:color w:val="000000"/>
                <w:sz w:val="20"/>
                <w:szCs w:val="20"/>
                <w:lang w:eastAsia="en-GB"/>
              </w:rPr>
              <w:t>Government of the Republic of Serbia</w:t>
            </w:r>
          </w:p>
        </w:tc>
      </w:tr>
      <w:tr w:rsidR="0056239B" w:rsidRPr="00A33AE8" w14:paraId="450A9476" w14:textId="77777777" w:rsidTr="006769DA">
        <w:trPr>
          <w:gridAfter w:val="1"/>
          <w:wAfter w:w="222" w:type="dxa"/>
          <w:trHeight w:val="315"/>
        </w:trPr>
        <w:tc>
          <w:tcPr>
            <w:tcW w:w="3328" w:type="dxa"/>
            <w:tcBorders>
              <w:top w:val="nil"/>
              <w:left w:val="single" w:sz="8" w:space="0" w:color="auto"/>
              <w:bottom w:val="single" w:sz="8" w:space="0" w:color="auto"/>
              <w:right w:val="nil"/>
            </w:tcBorders>
            <w:shd w:val="clear" w:color="000000" w:fill="244062"/>
            <w:vAlign w:val="center"/>
            <w:hideMark/>
          </w:tcPr>
          <w:p w14:paraId="347C0A35"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15A06335" w14:textId="77777777" w:rsidR="0056239B" w:rsidRPr="000007D2" w:rsidRDefault="000F238F"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of solar thermal systems</w:t>
            </w:r>
          </w:p>
        </w:tc>
      </w:tr>
      <w:tr w:rsidR="006C6A30" w:rsidRPr="00A33AE8" w14:paraId="1C9414A7" w14:textId="77777777" w:rsidTr="006769DA">
        <w:trPr>
          <w:gridAfter w:val="1"/>
          <w:wAfter w:w="222" w:type="dxa"/>
          <w:trHeight w:val="35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1EE5326"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6EF8C24D" w14:textId="77777777" w:rsidR="00A26683" w:rsidRPr="00A26683" w:rsidRDefault="006C6A30" w:rsidP="00884F3B">
            <w:pPr>
              <w:pStyle w:val="ListParagraph"/>
              <w:numPr>
                <w:ilvl w:val="0"/>
                <w:numId w:val="1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A26683">
              <w:rPr>
                <w:rFonts w:ascii="Calibri Light" w:eastAsia="Times New Roman" w:hAnsi="Calibri Light" w:cs="Calibri Light"/>
                <w:color w:val="000000"/>
                <w:sz w:val="20"/>
                <w:szCs w:val="20"/>
                <w:lang w:eastAsia="en-GB"/>
              </w:rPr>
              <w:t xml:space="preserve"> </w:t>
            </w:r>
            <w:r w:rsidR="00A26683" w:rsidRPr="00A26683">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utilised RES technologies will increase the RES share in heating and cooling)</w:t>
            </w:r>
          </w:p>
          <w:p w14:paraId="5842FA95" w14:textId="77777777" w:rsidR="006C6A30" w:rsidRPr="00A33AE8" w:rsidRDefault="00A26683" w:rsidP="00884F3B">
            <w:pPr>
              <w:pStyle w:val="ListParagraph"/>
              <w:numPr>
                <w:ilvl w:val="0"/>
                <w:numId w:val="128"/>
              </w:numPr>
              <w:spacing w:after="0" w:line="240" w:lineRule="auto"/>
              <w:rPr>
                <w:rFonts w:ascii="Calibri Light" w:eastAsia="Times New Roman" w:hAnsi="Calibri Light" w:cs="Calibri Light"/>
                <w:color w:val="000000"/>
                <w:sz w:val="20"/>
                <w:szCs w:val="20"/>
                <w:lang w:eastAsia="en-GB"/>
              </w:rPr>
            </w:pPr>
            <w:r w:rsidRPr="00A26683">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6239B" w:rsidRPr="00A33AE8" w14:paraId="07C4024D" w14:textId="77777777" w:rsidTr="006769DA">
        <w:trPr>
          <w:gridAfter w:val="1"/>
          <w:wAfter w:w="222" w:type="dxa"/>
          <w:trHeight w:val="450"/>
        </w:trPr>
        <w:tc>
          <w:tcPr>
            <w:tcW w:w="332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7E8FB12"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F4C86A" w14:textId="77777777" w:rsidR="003E2792" w:rsidRPr="000007D2" w:rsidRDefault="003E2792" w:rsidP="00884F3B">
            <w:pPr>
              <w:pStyle w:val="ListParagraph"/>
              <w:numPr>
                <w:ilvl w:val="0"/>
                <w:numId w:val="244"/>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0007D2">
              <w:rPr>
                <w:rFonts w:ascii="Calibri Light" w:eastAsia="Times New Roman" w:hAnsi="Calibri Light" w:cs="Calibri Light"/>
                <w:color w:val="000000"/>
                <w:sz w:val="20"/>
                <w:szCs w:val="20"/>
                <w:lang w:eastAsia="en-GB"/>
              </w:rPr>
              <w:t>2010/31</w:t>
            </w:r>
          </w:p>
          <w:p w14:paraId="2CB9737C" w14:textId="77777777" w:rsidR="0056239B" w:rsidRPr="00A33AE8" w:rsidRDefault="0056239B" w:rsidP="00884F3B">
            <w:pPr>
              <w:pStyle w:val="ListParagraph"/>
              <w:numPr>
                <w:ilvl w:val="0"/>
                <w:numId w:val="1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619021E1" w14:textId="77777777" w:rsidR="0056239B" w:rsidRPr="00A33AE8" w:rsidRDefault="0056239B" w:rsidP="00884F3B">
            <w:pPr>
              <w:pStyle w:val="ListParagraph"/>
              <w:numPr>
                <w:ilvl w:val="0"/>
                <w:numId w:val="1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717099AA" w14:textId="77777777" w:rsidR="0056239B" w:rsidRPr="00A33AE8" w:rsidRDefault="0056239B" w:rsidP="00884F3B">
            <w:pPr>
              <w:pStyle w:val="ListParagraph"/>
              <w:numPr>
                <w:ilvl w:val="0"/>
                <w:numId w:val="1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2018/844</w:t>
            </w:r>
          </w:p>
        </w:tc>
      </w:tr>
      <w:tr w:rsidR="0056239B" w:rsidRPr="00A33AE8" w14:paraId="6993F294" w14:textId="77777777" w:rsidTr="006769DA">
        <w:trPr>
          <w:trHeight w:val="300"/>
        </w:trPr>
        <w:tc>
          <w:tcPr>
            <w:tcW w:w="3328" w:type="dxa"/>
            <w:vMerge/>
            <w:tcBorders>
              <w:top w:val="nil"/>
              <w:left w:val="single" w:sz="8" w:space="0" w:color="auto"/>
              <w:bottom w:val="single" w:sz="8" w:space="0" w:color="000000"/>
              <w:right w:val="single" w:sz="8" w:space="0" w:color="auto"/>
            </w:tcBorders>
            <w:vAlign w:val="center"/>
            <w:hideMark/>
          </w:tcPr>
          <w:p w14:paraId="0598FB0D"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58E3C23E"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49F97EB"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r>
      <w:tr w:rsidR="0056239B" w:rsidRPr="00A33AE8" w14:paraId="3B4F22E4" w14:textId="77777777" w:rsidTr="006769DA">
        <w:trPr>
          <w:trHeight w:val="60"/>
        </w:trPr>
        <w:tc>
          <w:tcPr>
            <w:tcW w:w="3328" w:type="dxa"/>
            <w:vMerge/>
            <w:tcBorders>
              <w:top w:val="nil"/>
              <w:left w:val="single" w:sz="8" w:space="0" w:color="auto"/>
              <w:bottom w:val="single" w:sz="8" w:space="0" w:color="000000"/>
              <w:right w:val="single" w:sz="8" w:space="0" w:color="auto"/>
            </w:tcBorders>
            <w:vAlign w:val="center"/>
            <w:hideMark/>
          </w:tcPr>
          <w:p w14:paraId="6BCDFA4B"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0" w:type="dxa"/>
            <w:gridSpan w:val="3"/>
            <w:vMerge/>
            <w:tcBorders>
              <w:top w:val="single" w:sz="8" w:space="0" w:color="auto"/>
              <w:left w:val="single" w:sz="8" w:space="0" w:color="auto"/>
              <w:bottom w:val="single" w:sz="8" w:space="0" w:color="000000"/>
              <w:right w:val="single" w:sz="8" w:space="0" w:color="000000"/>
            </w:tcBorders>
            <w:vAlign w:val="center"/>
            <w:hideMark/>
          </w:tcPr>
          <w:p w14:paraId="580809FA"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773AA0A"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73CAB503" w14:textId="77777777" w:rsidTr="006769DA">
        <w:trPr>
          <w:trHeight w:val="421"/>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65FA55D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FBB670E"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636D5109"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083D6B67"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428F1FC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07C2566F" w14:textId="77777777" w:rsidR="0056239B" w:rsidRPr="00A33AE8" w:rsidRDefault="007E7B7A" w:rsidP="006769DA">
            <w:pPr>
              <w:spacing w:after="0" w:line="240" w:lineRule="auto"/>
              <w:rPr>
                <w:rFonts w:ascii="Calibri" w:eastAsia="Times New Roman" w:hAnsi="Calibri" w:cs="Calibri"/>
                <w:color w:val="000000"/>
                <w:lang w:eastAsia="en-GB"/>
              </w:rPr>
            </w:pPr>
            <w:r w:rsidRPr="00B907C8">
              <w:rPr>
                <w:rFonts w:ascii="Calibri Light" w:eastAsia="Times New Roman" w:hAnsi="Calibri Light" w:cs="Calibri Light"/>
                <w:color w:val="000000"/>
                <w:sz w:val="20"/>
                <w:szCs w:val="20"/>
                <w:lang w:eastAsia="en-GB"/>
              </w:rPr>
              <w:t>637</w:t>
            </w:r>
            <w:r w:rsidR="005B7FFC" w:rsidRPr="00B907C8">
              <w:rPr>
                <w:rFonts w:ascii="Calibri Light" w:eastAsia="Times New Roman" w:hAnsi="Calibri Light" w:cs="Calibri Light"/>
                <w:color w:val="000000"/>
                <w:sz w:val="20"/>
                <w:szCs w:val="20"/>
                <w:lang w:eastAsia="en-GB"/>
              </w:rPr>
              <w:t xml:space="preserve"> </w:t>
            </w:r>
            <w:r w:rsidR="0056239B" w:rsidRPr="00B907C8">
              <w:rPr>
                <w:rFonts w:ascii="Calibri Light" w:eastAsia="Times New Roman" w:hAnsi="Calibri Light" w:cs="Calibri Light"/>
                <w:color w:val="000000"/>
                <w:sz w:val="20"/>
                <w:szCs w:val="20"/>
                <w:lang w:eastAsia="en-GB"/>
              </w:rPr>
              <w:t>M€</w:t>
            </w:r>
          </w:p>
        </w:tc>
        <w:tc>
          <w:tcPr>
            <w:tcW w:w="222" w:type="dxa"/>
            <w:vAlign w:val="center"/>
            <w:hideMark/>
          </w:tcPr>
          <w:p w14:paraId="457A8497"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4DA047C8" w14:textId="77777777" w:rsidTr="006769DA">
        <w:trPr>
          <w:trHeight w:val="315"/>
        </w:trPr>
        <w:tc>
          <w:tcPr>
            <w:tcW w:w="3328" w:type="dxa"/>
            <w:tcBorders>
              <w:top w:val="nil"/>
              <w:left w:val="single" w:sz="8" w:space="0" w:color="auto"/>
              <w:bottom w:val="single" w:sz="8" w:space="0" w:color="auto"/>
              <w:right w:val="single" w:sz="8" w:space="0" w:color="auto"/>
            </w:tcBorders>
            <w:shd w:val="clear" w:color="000000" w:fill="244062"/>
            <w:vAlign w:val="center"/>
            <w:hideMark/>
          </w:tcPr>
          <w:p w14:paraId="374DFA07"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0" w:type="dxa"/>
            <w:gridSpan w:val="3"/>
            <w:tcBorders>
              <w:top w:val="single" w:sz="8" w:space="0" w:color="auto"/>
              <w:left w:val="nil"/>
              <w:bottom w:val="single" w:sz="8" w:space="0" w:color="auto"/>
              <w:right w:val="single" w:sz="8" w:space="0" w:color="000000"/>
            </w:tcBorders>
            <w:shd w:val="clear" w:color="auto" w:fill="auto"/>
            <w:vAlign w:val="center"/>
            <w:hideMark/>
          </w:tcPr>
          <w:p w14:paraId="457DAD71" w14:textId="77777777" w:rsidR="0056239B" w:rsidRPr="00A33AE8" w:rsidRDefault="000F238F"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0173AC29"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bl>
    <w:p w14:paraId="18EEA7EA" w14:textId="77777777" w:rsidR="0056239B" w:rsidRPr="00A33AE8" w:rsidRDefault="0056239B" w:rsidP="0056239B">
      <w:pPr>
        <w:pStyle w:val="LDKbody"/>
        <w:rPr>
          <w:lang w:val="en-GB"/>
        </w:rPr>
      </w:pPr>
    </w:p>
    <w:tbl>
      <w:tblPr>
        <w:tblW w:w="9680" w:type="dxa"/>
        <w:tblLook w:val="04A0" w:firstRow="1" w:lastRow="0" w:firstColumn="1" w:lastColumn="0" w:noHBand="0" w:noVBand="1"/>
      </w:tblPr>
      <w:tblGrid>
        <w:gridCol w:w="3327"/>
        <w:gridCol w:w="953"/>
        <w:gridCol w:w="945"/>
        <w:gridCol w:w="4233"/>
        <w:gridCol w:w="222"/>
      </w:tblGrid>
      <w:tr w:rsidR="0056239B" w:rsidRPr="00A33AE8" w14:paraId="3EE61308" w14:textId="77777777" w:rsidTr="006769DA">
        <w:trPr>
          <w:gridAfter w:val="1"/>
          <w:wAfter w:w="222" w:type="dxa"/>
          <w:trHeight w:val="780"/>
        </w:trPr>
        <w:tc>
          <w:tcPr>
            <w:tcW w:w="332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6AC7C4D" w14:textId="77777777" w:rsidR="0056239B" w:rsidRPr="00A33AE8" w:rsidRDefault="0056239B"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3" w:type="dxa"/>
            <w:tcBorders>
              <w:top w:val="single" w:sz="8" w:space="0" w:color="auto"/>
              <w:left w:val="nil"/>
              <w:bottom w:val="single" w:sz="8" w:space="0" w:color="auto"/>
              <w:right w:val="single" w:sz="8" w:space="0" w:color="auto"/>
            </w:tcBorders>
            <w:shd w:val="clear" w:color="auto" w:fill="E7E6E6" w:themeFill="background2"/>
            <w:vAlign w:val="center"/>
            <w:hideMark/>
          </w:tcPr>
          <w:p w14:paraId="7229439A"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PM_EE7</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34135C8A"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3" w:type="dxa"/>
            <w:tcBorders>
              <w:top w:val="single" w:sz="8" w:space="0" w:color="auto"/>
              <w:left w:val="nil"/>
              <w:bottom w:val="single" w:sz="8" w:space="0" w:color="auto"/>
              <w:right w:val="single" w:sz="8" w:space="0" w:color="auto"/>
            </w:tcBorders>
            <w:shd w:val="clear" w:color="auto" w:fill="E7E6E6" w:themeFill="background2"/>
            <w:vAlign w:val="center"/>
            <w:hideMark/>
          </w:tcPr>
          <w:p w14:paraId="65D1DBB1" w14:textId="77777777" w:rsidR="0056239B" w:rsidRPr="00A33AE8" w:rsidRDefault="0056239B"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Enhancing the role of the energy performance certificates</w:t>
            </w:r>
          </w:p>
        </w:tc>
      </w:tr>
      <w:tr w:rsidR="0056239B" w:rsidRPr="00A33AE8" w14:paraId="19AAD964" w14:textId="77777777" w:rsidTr="006769DA">
        <w:trPr>
          <w:gridAfter w:val="1"/>
          <w:wAfter w:w="222" w:type="dxa"/>
          <w:trHeight w:val="960"/>
        </w:trPr>
        <w:tc>
          <w:tcPr>
            <w:tcW w:w="3327" w:type="dxa"/>
            <w:tcBorders>
              <w:top w:val="nil"/>
              <w:left w:val="single" w:sz="8" w:space="0" w:color="auto"/>
              <w:bottom w:val="single" w:sz="8" w:space="0" w:color="auto"/>
              <w:right w:val="nil"/>
            </w:tcBorders>
            <w:shd w:val="clear" w:color="000000" w:fill="244062"/>
            <w:vAlign w:val="center"/>
            <w:hideMark/>
          </w:tcPr>
          <w:p w14:paraId="1B74EBC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6F8705C4" w14:textId="3A2EB0E9" w:rsidR="0056239B"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Implementation </w:t>
            </w:r>
            <w:r w:rsidR="008017D6" w:rsidRPr="00A33AE8">
              <w:rPr>
                <w:rFonts w:ascii="Calibri Light" w:eastAsia="Times New Roman" w:hAnsi="Calibri Light" w:cs="Calibri Light"/>
                <w:color w:val="000000"/>
                <w:sz w:val="20"/>
                <w:szCs w:val="20"/>
                <w:lang w:eastAsia="en-GB"/>
              </w:rPr>
              <w:t xml:space="preserve">of the following articles of the Directive </w:t>
            </w:r>
            <w:r w:rsidR="007E7B7A"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007E7B7A"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6239B" w:rsidRPr="00A33AE8">
              <w:rPr>
                <w:rFonts w:ascii="Calibri Light" w:eastAsia="Times New Roman" w:hAnsi="Calibri Light" w:cs="Calibri Light"/>
                <w:color w:val="000000"/>
                <w:sz w:val="20"/>
                <w:szCs w:val="20"/>
                <w:lang w:eastAsia="en-GB"/>
              </w:rPr>
              <w:t>:</w:t>
            </w:r>
          </w:p>
          <w:p w14:paraId="29F5186E" w14:textId="77777777" w:rsidR="0056239B" w:rsidRPr="00A33AE8" w:rsidRDefault="0056239B" w:rsidP="00884F3B">
            <w:pPr>
              <w:pStyle w:val="ListParagraph"/>
              <w:numPr>
                <w:ilvl w:val="0"/>
                <w:numId w:val="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3AB700EA" w14:textId="77777777" w:rsidR="0056239B" w:rsidRPr="00A33AE8" w:rsidRDefault="0056239B" w:rsidP="00884F3B">
            <w:pPr>
              <w:pStyle w:val="ListParagraph"/>
              <w:numPr>
                <w:ilvl w:val="0"/>
                <w:numId w:val="2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4</w:t>
            </w:r>
          </w:p>
        </w:tc>
      </w:tr>
      <w:tr w:rsidR="0056239B" w:rsidRPr="00A33AE8" w14:paraId="1A635A99"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A6296A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339C5BA" w14:textId="77777777" w:rsidR="0056239B" w:rsidRPr="00A33AE8" w:rsidRDefault="0056239B"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w:t>
            </w:r>
            <w:r w:rsidR="00532B7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PM_EE3</w:t>
            </w:r>
          </w:p>
        </w:tc>
      </w:tr>
      <w:tr w:rsidR="009327BF" w:rsidRPr="00A33AE8" w14:paraId="752E6385" w14:textId="77777777" w:rsidTr="006769DA">
        <w:trPr>
          <w:gridAfter w:val="1"/>
          <w:wAfter w:w="222" w:type="dxa"/>
          <w:trHeight w:val="1311"/>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09753E1" w14:textId="77777777" w:rsidR="009327BF" w:rsidRPr="00A33AE8" w:rsidRDefault="009327BF" w:rsidP="009327B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7879D6B2" w14:textId="77777777" w:rsidR="009327BF" w:rsidRPr="00A33AE8" w:rsidRDefault="009327BF" w:rsidP="009327B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The role of energy performance certificates of buildings will be improved, </w:t>
            </w:r>
            <w:r w:rsidR="004B715D" w:rsidRPr="00A33AE8">
              <w:rPr>
                <w:rFonts w:ascii="Calibri Light" w:eastAsia="Times New Roman" w:hAnsi="Calibri Light" w:cs="Calibri Light"/>
                <w:color w:val="000000"/>
                <w:sz w:val="20"/>
                <w:szCs w:val="20"/>
                <w:lang w:eastAsia="en-GB"/>
              </w:rPr>
              <w:t>while they will be accompanied by the</w:t>
            </w:r>
            <w:r w:rsidRPr="00A33AE8">
              <w:rPr>
                <w:rFonts w:ascii="Calibri Light" w:eastAsia="Times New Roman" w:hAnsi="Calibri Light" w:cs="Calibri Light"/>
                <w:color w:val="000000"/>
                <w:sz w:val="20"/>
                <w:szCs w:val="20"/>
                <w:lang w:eastAsia="en-GB"/>
              </w:rPr>
              <w:t xml:space="preserve"> renovation passports</w:t>
            </w:r>
            <w:r w:rsidR="004B715D" w:rsidRPr="00A33AE8">
              <w:rPr>
                <w:rFonts w:ascii="Calibri Light" w:eastAsia="Times New Roman" w:hAnsi="Calibri Light" w:cs="Calibri Light"/>
                <w:color w:val="000000"/>
                <w:sz w:val="20"/>
                <w:szCs w:val="20"/>
                <w:lang w:eastAsia="en-GB"/>
              </w:rPr>
              <w:t xml:space="preserve"> providing</w:t>
            </w:r>
            <w:r w:rsidRPr="00A33AE8">
              <w:rPr>
                <w:rFonts w:ascii="Calibri Light" w:eastAsia="Times New Roman" w:hAnsi="Calibri Light" w:cs="Calibri Light"/>
                <w:color w:val="000000"/>
                <w:sz w:val="20"/>
                <w:szCs w:val="20"/>
                <w:lang w:eastAsia="en-GB"/>
              </w:rPr>
              <w:t xml:space="preserve"> recommendation for the most cost-effective energy rehabilitation measures. </w:t>
            </w:r>
            <w:r w:rsidR="004B715D" w:rsidRPr="00A33AE8">
              <w:rPr>
                <w:rFonts w:ascii="Calibri Light" w:eastAsia="Times New Roman" w:hAnsi="Calibri Light" w:cs="Calibri Light"/>
                <w:color w:val="000000"/>
                <w:sz w:val="20"/>
                <w:szCs w:val="20"/>
                <w:lang w:eastAsia="en-GB"/>
              </w:rPr>
              <w:t xml:space="preserve">The main objective of the measure is both to ensure the full compliance with the provisions of the revised Directive 2018/844/EU and to facilitate the identification and implementation of the most cost-effective interventions. The renovation passports will describe a sequence of renovation steps so as to transform the building into a zero-emission building, estimate the expected benefits in terms of energy savings, savings on energy bills and operational greenhouse emission reductions as well as wider benefits related to health and comfort and the improved adaptive capacity of the building to climate change and contain information about potential financial and technical support. </w:t>
            </w:r>
            <w:r w:rsidRPr="00A33AE8">
              <w:rPr>
                <w:rFonts w:ascii="Calibri Light" w:eastAsia="Times New Roman" w:hAnsi="Calibri Light" w:cs="Calibri Light"/>
                <w:color w:val="000000"/>
                <w:sz w:val="20"/>
                <w:szCs w:val="20"/>
                <w:lang w:eastAsia="en-GB"/>
              </w:rPr>
              <w:t xml:space="preserve">Moreover, </w:t>
            </w:r>
            <w:r w:rsidR="004B715D" w:rsidRPr="00A33AE8">
              <w:rPr>
                <w:rFonts w:ascii="Calibri Light" w:eastAsia="Times New Roman" w:hAnsi="Calibri Light" w:cs="Calibri Light"/>
                <w:color w:val="000000"/>
                <w:sz w:val="20"/>
                <w:szCs w:val="20"/>
                <w:lang w:eastAsia="en-GB"/>
              </w:rPr>
              <w:t>the existing</w:t>
            </w:r>
            <w:r w:rsidRPr="00A33AE8">
              <w:rPr>
                <w:rFonts w:ascii="Calibri Light" w:eastAsia="Times New Roman" w:hAnsi="Calibri Light" w:cs="Calibri Light"/>
                <w:color w:val="000000"/>
                <w:sz w:val="20"/>
                <w:szCs w:val="20"/>
                <w:lang w:eastAsia="en-GB"/>
              </w:rPr>
              <w:t xml:space="preserve"> system for the permanent monitoring and control of the energy performance of buildings certificates will be </w:t>
            </w:r>
            <w:r w:rsidR="004B715D" w:rsidRPr="00A33AE8">
              <w:rPr>
                <w:rFonts w:ascii="Calibri Light" w:eastAsia="Times New Roman" w:hAnsi="Calibri Light" w:cs="Calibri Light"/>
                <w:color w:val="000000"/>
                <w:sz w:val="20"/>
                <w:szCs w:val="20"/>
                <w:lang w:eastAsia="en-GB"/>
              </w:rPr>
              <w:t>improved covering also the issued renovation passports.</w:t>
            </w:r>
          </w:p>
        </w:tc>
      </w:tr>
      <w:tr w:rsidR="0056239B" w:rsidRPr="00A33AE8" w14:paraId="0B9F57D4"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0FACE51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76DCB1D6" w14:textId="77777777" w:rsidR="0056239B" w:rsidRPr="00A33AE8" w:rsidRDefault="007E7B7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w:t>
            </w:r>
            <w:r w:rsidR="005C1F41">
              <w:rPr>
                <w:rFonts w:ascii="Calibri Light" w:eastAsia="Times New Roman" w:hAnsi="Calibri Light" w:cs="Calibri Light"/>
                <w:color w:val="000000"/>
                <w:sz w:val="20"/>
                <w:szCs w:val="20"/>
                <w:lang w:eastAsia="en-GB"/>
              </w:rPr>
              <w:t>6</w:t>
            </w:r>
          </w:p>
        </w:tc>
      </w:tr>
      <w:tr w:rsidR="0056239B" w:rsidRPr="00A33AE8" w14:paraId="729B6336"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7AF927D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37B7745" w14:textId="77777777" w:rsidR="0056239B"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56239B" w:rsidRPr="00A33AE8" w14:paraId="512CFF5A"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E3A03F4"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2B692DD"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w:t>
            </w:r>
          </w:p>
        </w:tc>
      </w:tr>
      <w:tr w:rsidR="0056239B" w:rsidRPr="00A33AE8" w14:paraId="5C0FAEB9" w14:textId="77777777" w:rsidTr="006769DA">
        <w:trPr>
          <w:gridAfter w:val="1"/>
          <w:wAfter w:w="222" w:type="dxa"/>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64CFC15"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126F8A0C" w14:textId="77777777" w:rsidR="0056239B" w:rsidRPr="00A33AE8" w:rsidRDefault="0048396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56239B" w:rsidRPr="00A33AE8" w14:paraId="7B9277A7"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60AECA2B"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2C8EC118" w14:textId="77777777" w:rsidR="0056239B" w:rsidRPr="00A33AE8" w:rsidRDefault="005C1F41"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5C1F41">
              <w:rPr>
                <w:rFonts w:ascii="Calibri Light" w:eastAsia="Times New Roman" w:hAnsi="Calibri Light" w:cs="Calibri Light"/>
                <w:color w:val="000000"/>
                <w:sz w:val="20"/>
                <w:szCs w:val="20"/>
                <w:lang w:eastAsia="en-GB"/>
              </w:rPr>
              <w:t>Government of the Republic of Serbia</w:t>
            </w:r>
          </w:p>
        </w:tc>
      </w:tr>
      <w:tr w:rsidR="0056239B" w:rsidRPr="00A33AE8" w14:paraId="2AF9B095" w14:textId="77777777" w:rsidTr="006769DA">
        <w:trPr>
          <w:gridAfter w:val="1"/>
          <w:wAfter w:w="222" w:type="dxa"/>
          <w:trHeight w:val="315"/>
        </w:trPr>
        <w:tc>
          <w:tcPr>
            <w:tcW w:w="3327" w:type="dxa"/>
            <w:tcBorders>
              <w:top w:val="nil"/>
              <w:left w:val="single" w:sz="8" w:space="0" w:color="auto"/>
              <w:bottom w:val="single" w:sz="8" w:space="0" w:color="auto"/>
              <w:right w:val="nil"/>
            </w:tcBorders>
            <w:shd w:val="clear" w:color="000000" w:fill="244062"/>
            <w:vAlign w:val="center"/>
            <w:hideMark/>
          </w:tcPr>
          <w:p w14:paraId="3D053BE0"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0CD6E41C" w14:textId="77777777" w:rsidR="0056239B" w:rsidRPr="00A33AE8" w:rsidRDefault="000F238F"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legislative and regulatory framework</w:t>
            </w:r>
          </w:p>
        </w:tc>
      </w:tr>
      <w:tr w:rsidR="006C6A30" w:rsidRPr="00A33AE8" w14:paraId="25A0DD93" w14:textId="77777777" w:rsidTr="006769DA">
        <w:trPr>
          <w:gridAfter w:val="1"/>
          <w:wAfter w:w="222" w:type="dxa"/>
          <w:trHeight w:val="429"/>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47F816A0"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1388D171" w14:textId="77777777" w:rsidR="005C1F41" w:rsidRPr="005C1F41" w:rsidRDefault="006C6A30" w:rsidP="00884F3B">
            <w:pPr>
              <w:pStyle w:val="ListParagraph"/>
              <w:numPr>
                <w:ilvl w:val="0"/>
                <w:numId w:val="12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5C1F41">
              <w:rPr>
                <w:rFonts w:ascii="Calibri Light" w:eastAsia="Times New Roman" w:hAnsi="Calibri Light" w:cs="Calibri Light"/>
                <w:color w:val="000000"/>
                <w:sz w:val="20"/>
                <w:szCs w:val="20"/>
                <w:lang w:eastAsia="en-GB"/>
              </w:rPr>
              <w:t xml:space="preserve"> </w:t>
            </w:r>
            <w:r w:rsidR="005C1F41" w:rsidRPr="005C1F41">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utilised RES technologies will increase the RES share in heating and cooling)</w:t>
            </w:r>
          </w:p>
          <w:p w14:paraId="02D7A350" w14:textId="77777777" w:rsidR="006C6A30" w:rsidRPr="00A33AE8" w:rsidRDefault="005C1F41" w:rsidP="00884F3B">
            <w:pPr>
              <w:pStyle w:val="ListParagraph"/>
              <w:numPr>
                <w:ilvl w:val="0"/>
                <w:numId w:val="129"/>
              </w:numPr>
              <w:spacing w:after="0" w:line="240" w:lineRule="auto"/>
              <w:rPr>
                <w:rFonts w:ascii="Calibri Light" w:eastAsia="Times New Roman" w:hAnsi="Calibri Light" w:cs="Calibri Light"/>
                <w:color w:val="000000"/>
                <w:sz w:val="20"/>
                <w:szCs w:val="20"/>
                <w:lang w:eastAsia="en-GB"/>
              </w:rPr>
            </w:pPr>
            <w:r w:rsidRPr="005C1F41">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6239B" w:rsidRPr="00A33AE8" w14:paraId="58763676" w14:textId="77777777" w:rsidTr="006769DA">
        <w:trPr>
          <w:gridAfter w:val="1"/>
          <w:wAfter w:w="222" w:type="dxa"/>
          <w:trHeight w:val="450"/>
        </w:trPr>
        <w:tc>
          <w:tcPr>
            <w:tcW w:w="332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7611C02"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37C4DC5" w14:textId="77777777" w:rsidR="000E6028" w:rsidRPr="000007D2" w:rsidRDefault="000E6028" w:rsidP="00884F3B">
            <w:pPr>
              <w:pStyle w:val="ListParagraph"/>
              <w:numPr>
                <w:ilvl w:val="0"/>
                <w:numId w:val="244"/>
              </w:numPr>
              <w:spacing w:after="0" w:line="240" w:lineRule="auto"/>
              <w:rPr>
                <w:rFonts w:ascii="Calibri Light" w:eastAsia="Times New Roman" w:hAnsi="Calibri Light" w:cs="Calibri Light"/>
                <w:color w:val="000000"/>
                <w:sz w:val="20"/>
                <w:szCs w:val="20"/>
                <w:lang w:eastAsia="en-GB"/>
              </w:rPr>
            </w:pPr>
            <w:r w:rsidRPr="000007D2">
              <w:rPr>
                <w:rFonts w:ascii="Calibri Light" w:hAnsi="Calibri Light"/>
                <w:color w:val="000000"/>
                <w:sz w:val="20"/>
              </w:rPr>
              <w:t xml:space="preserve">Directive </w:t>
            </w:r>
            <w:r w:rsidR="007E7B7A" w:rsidRPr="00A33AE8">
              <w:rPr>
                <w:rFonts w:ascii="Calibri Light" w:eastAsia="Times New Roman" w:hAnsi="Calibri Light" w:cs="Calibri Light"/>
                <w:color w:val="000000"/>
                <w:sz w:val="20"/>
                <w:szCs w:val="20"/>
                <w:lang w:eastAsia="en-GB"/>
              </w:rPr>
              <w:t xml:space="preserve">(EU) </w:t>
            </w:r>
            <w:r w:rsidRPr="000007D2">
              <w:rPr>
                <w:rFonts w:ascii="Calibri Light" w:hAnsi="Calibri Light"/>
                <w:color w:val="000000"/>
                <w:sz w:val="20"/>
              </w:rPr>
              <w:t>2010/31</w:t>
            </w:r>
          </w:p>
          <w:p w14:paraId="62C05E9F" w14:textId="77777777" w:rsidR="0056239B" w:rsidRPr="00A33AE8" w:rsidRDefault="0056239B" w:rsidP="00884F3B">
            <w:pPr>
              <w:pStyle w:val="ListParagraph"/>
              <w:numPr>
                <w:ilvl w:val="0"/>
                <w:numId w:val="2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08FAF4B9" w14:textId="77777777" w:rsidR="0056239B" w:rsidRPr="00A33AE8" w:rsidRDefault="0056239B" w:rsidP="00884F3B">
            <w:pPr>
              <w:pStyle w:val="ListParagraph"/>
              <w:numPr>
                <w:ilvl w:val="0"/>
                <w:numId w:val="2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1E8B1375" w14:textId="77777777" w:rsidR="0056239B" w:rsidRPr="00A33AE8" w:rsidRDefault="0056239B" w:rsidP="00884F3B">
            <w:pPr>
              <w:pStyle w:val="ListParagraph"/>
              <w:numPr>
                <w:ilvl w:val="0"/>
                <w:numId w:val="2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2018/844</w:t>
            </w:r>
          </w:p>
        </w:tc>
      </w:tr>
      <w:tr w:rsidR="0056239B" w:rsidRPr="00A33AE8" w14:paraId="01149690" w14:textId="77777777" w:rsidTr="006769DA">
        <w:trPr>
          <w:trHeight w:val="300"/>
        </w:trPr>
        <w:tc>
          <w:tcPr>
            <w:tcW w:w="3327" w:type="dxa"/>
            <w:vMerge/>
            <w:tcBorders>
              <w:top w:val="nil"/>
              <w:left w:val="single" w:sz="8" w:space="0" w:color="auto"/>
              <w:bottom w:val="single" w:sz="8" w:space="0" w:color="000000"/>
              <w:right w:val="single" w:sz="8" w:space="0" w:color="auto"/>
            </w:tcBorders>
            <w:vAlign w:val="center"/>
            <w:hideMark/>
          </w:tcPr>
          <w:p w14:paraId="4A14273B"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0231DE86"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E327739"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r>
      <w:tr w:rsidR="0056239B" w:rsidRPr="00A33AE8" w14:paraId="00B45A1E" w14:textId="77777777" w:rsidTr="006769DA">
        <w:trPr>
          <w:trHeight w:val="60"/>
        </w:trPr>
        <w:tc>
          <w:tcPr>
            <w:tcW w:w="3327" w:type="dxa"/>
            <w:vMerge/>
            <w:tcBorders>
              <w:top w:val="nil"/>
              <w:left w:val="single" w:sz="8" w:space="0" w:color="auto"/>
              <w:bottom w:val="single" w:sz="8" w:space="0" w:color="000000"/>
              <w:right w:val="single" w:sz="8" w:space="0" w:color="auto"/>
            </w:tcBorders>
            <w:vAlign w:val="center"/>
            <w:hideMark/>
          </w:tcPr>
          <w:p w14:paraId="0DE0B60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31" w:type="dxa"/>
            <w:gridSpan w:val="3"/>
            <w:vMerge/>
            <w:tcBorders>
              <w:top w:val="single" w:sz="8" w:space="0" w:color="auto"/>
              <w:left w:val="single" w:sz="8" w:space="0" w:color="auto"/>
              <w:bottom w:val="single" w:sz="8" w:space="0" w:color="000000"/>
              <w:right w:val="single" w:sz="8" w:space="0" w:color="000000"/>
            </w:tcBorders>
            <w:vAlign w:val="center"/>
            <w:hideMark/>
          </w:tcPr>
          <w:p w14:paraId="00B50338"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B4928F0"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3B469A7C" w14:textId="77777777" w:rsidTr="006769DA">
        <w:trPr>
          <w:trHeight w:val="463"/>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21F1ECD8"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5917D9EF" w14:textId="77777777" w:rsidR="0056239B" w:rsidRPr="00A33AE8" w:rsidRDefault="0056239B" w:rsidP="00884F3B">
            <w:pPr>
              <w:pStyle w:val="ListParagraph"/>
              <w:numPr>
                <w:ilvl w:val="0"/>
                <w:numId w:val="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p w14:paraId="03108566" w14:textId="77777777" w:rsidR="000E6028" w:rsidRPr="00A33AE8" w:rsidRDefault="000E6028"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Law on Planning and Construction</w:t>
            </w:r>
          </w:p>
          <w:p w14:paraId="2BDA5480" w14:textId="77777777" w:rsidR="000E6028" w:rsidRPr="00A33AE8" w:rsidRDefault="000E6028"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Rulebook on Energy Efficiency in Buildings</w:t>
            </w:r>
          </w:p>
          <w:p w14:paraId="71E8800D" w14:textId="77777777" w:rsidR="000E6028" w:rsidRPr="00A33AE8" w:rsidRDefault="000E6028" w:rsidP="00884F3B">
            <w:pPr>
              <w:pStyle w:val="ListParagraph"/>
              <w:numPr>
                <w:ilvl w:val="0"/>
                <w:numId w:val="24"/>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 xml:space="preserve">Rulebook on </w:t>
            </w:r>
            <w:r w:rsidR="00C33655" w:rsidRPr="00A33AE8">
              <w:rPr>
                <w:rFonts w:ascii="Calibri Light" w:eastAsia="Times New Roman" w:hAnsi="Calibri Light" w:cs="Calibri Light"/>
                <w:color w:val="000000"/>
                <w:sz w:val="20"/>
                <w:szCs w:val="20"/>
                <w:lang w:eastAsia="en-GB"/>
              </w:rPr>
              <w:t>conditions, content and method of issuing certificates on energy properties of buildings</w:t>
            </w:r>
          </w:p>
        </w:tc>
        <w:tc>
          <w:tcPr>
            <w:tcW w:w="222" w:type="dxa"/>
            <w:vAlign w:val="center"/>
            <w:hideMark/>
          </w:tcPr>
          <w:p w14:paraId="7F85637C"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E65D30" w:rsidRPr="00A33AE8" w14:paraId="7E06B742"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1EA16C6D" w14:textId="77777777" w:rsidR="00E65D30" w:rsidRPr="00A33AE8" w:rsidRDefault="00E65D30" w:rsidP="00E65D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31C96239" w14:textId="77777777" w:rsidR="00E65D30" w:rsidRPr="00A33AE8" w:rsidRDefault="00E65D30" w:rsidP="00E65D30">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 PM_EE2 and PM_EE3</w:t>
            </w:r>
          </w:p>
        </w:tc>
        <w:tc>
          <w:tcPr>
            <w:tcW w:w="222" w:type="dxa"/>
            <w:vAlign w:val="center"/>
            <w:hideMark/>
          </w:tcPr>
          <w:p w14:paraId="15C9E945" w14:textId="77777777" w:rsidR="00E65D30" w:rsidRPr="00A33AE8" w:rsidRDefault="00E65D30" w:rsidP="00E65D30">
            <w:pPr>
              <w:spacing w:after="0" w:line="240" w:lineRule="auto"/>
              <w:rPr>
                <w:rFonts w:ascii="Times New Roman" w:eastAsia="Times New Roman" w:hAnsi="Times New Roman" w:cs="Times New Roman"/>
                <w:sz w:val="20"/>
                <w:szCs w:val="20"/>
                <w:lang w:eastAsia="en-GB"/>
              </w:rPr>
            </w:pPr>
          </w:p>
        </w:tc>
      </w:tr>
      <w:tr w:rsidR="007B2BAE" w:rsidRPr="00A33AE8" w14:paraId="0C479D14" w14:textId="77777777" w:rsidTr="006769DA">
        <w:trPr>
          <w:trHeight w:val="315"/>
        </w:trPr>
        <w:tc>
          <w:tcPr>
            <w:tcW w:w="3327" w:type="dxa"/>
            <w:tcBorders>
              <w:top w:val="nil"/>
              <w:left w:val="single" w:sz="8" w:space="0" w:color="auto"/>
              <w:bottom w:val="single" w:sz="8" w:space="0" w:color="auto"/>
              <w:right w:val="single" w:sz="8" w:space="0" w:color="auto"/>
            </w:tcBorders>
            <w:shd w:val="clear" w:color="000000" w:fill="244062"/>
            <w:vAlign w:val="center"/>
            <w:hideMark/>
          </w:tcPr>
          <w:p w14:paraId="62B14BD8" w14:textId="77777777" w:rsidR="007B2BAE" w:rsidRPr="00A33AE8" w:rsidRDefault="007B2BAE" w:rsidP="007B2BA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Financing source(s)</w:t>
            </w:r>
          </w:p>
        </w:tc>
        <w:tc>
          <w:tcPr>
            <w:tcW w:w="6131" w:type="dxa"/>
            <w:gridSpan w:val="3"/>
            <w:tcBorders>
              <w:top w:val="single" w:sz="8" w:space="0" w:color="auto"/>
              <w:left w:val="nil"/>
              <w:bottom w:val="single" w:sz="8" w:space="0" w:color="auto"/>
              <w:right w:val="single" w:sz="8" w:space="0" w:color="000000"/>
            </w:tcBorders>
            <w:shd w:val="clear" w:color="auto" w:fill="auto"/>
            <w:vAlign w:val="center"/>
            <w:hideMark/>
          </w:tcPr>
          <w:p w14:paraId="46B79AD3" w14:textId="2C459F0E" w:rsidR="007B2BAE" w:rsidRPr="00A33AE8" w:rsidRDefault="007B2BAE" w:rsidP="007B2BAE">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0CBB6613" w14:textId="77777777" w:rsidR="007B2BAE" w:rsidRPr="00A33AE8" w:rsidRDefault="007B2BAE" w:rsidP="007B2BAE">
            <w:pPr>
              <w:spacing w:after="0" w:line="240" w:lineRule="auto"/>
              <w:rPr>
                <w:rFonts w:ascii="Times New Roman" w:eastAsia="Times New Roman" w:hAnsi="Times New Roman" w:cs="Times New Roman"/>
                <w:sz w:val="20"/>
                <w:szCs w:val="20"/>
                <w:lang w:eastAsia="en-GB"/>
              </w:rPr>
            </w:pPr>
          </w:p>
        </w:tc>
      </w:tr>
    </w:tbl>
    <w:p w14:paraId="3261C841" w14:textId="77777777" w:rsidR="0056239B" w:rsidRPr="00A33AE8" w:rsidRDefault="0056239B" w:rsidP="0056239B">
      <w:pPr>
        <w:pStyle w:val="LDKbody"/>
        <w:rPr>
          <w:lang w:val="en-GB"/>
        </w:rPr>
      </w:pPr>
    </w:p>
    <w:tbl>
      <w:tblPr>
        <w:tblW w:w="9680" w:type="dxa"/>
        <w:tblLook w:val="04A0" w:firstRow="1" w:lastRow="0" w:firstColumn="1" w:lastColumn="0" w:noHBand="0" w:noVBand="1"/>
      </w:tblPr>
      <w:tblGrid>
        <w:gridCol w:w="3329"/>
        <w:gridCol w:w="953"/>
        <w:gridCol w:w="945"/>
        <w:gridCol w:w="4231"/>
        <w:gridCol w:w="222"/>
      </w:tblGrid>
      <w:tr w:rsidR="0056239B" w:rsidRPr="00A33AE8" w14:paraId="5B8FF16D" w14:textId="77777777" w:rsidTr="006769DA">
        <w:trPr>
          <w:gridAfter w:val="1"/>
          <w:wAfter w:w="222" w:type="dxa"/>
          <w:trHeight w:val="780"/>
        </w:trPr>
        <w:tc>
          <w:tcPr>
            <w:tcW w:w="3329"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C4C4418" w14:textId="77777777" w:rsidR="0056239B" w:rsidRPr="00A33AE8" w:rsidRDefault="0056239B"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3" w:type="dxa"/>
            <w:tcBorders>
              <w:top w:val="single" w:sz="8" w:space="0" w:color="auto"/>
              <w:left w:val="nil"/>
              <w:bottom w:val="single" w:sz="8" w:space="0" w:color="auto"/>
              <w:right w:val="single" w:sz="8" w:space="0" w:color="auto"/>
            </w:tcBorders>
            <w:shd w:val="clear" w:color="auto" w:fill="E7E6E6" w:themeFill="background2"/>
            <w:vAlign w:val="center"/>
            <w:hideMark/>
          </w:tcPr>
          <w:p w14:paraId="44DD4ECB" w14:textId="77777777" w:rsidR="0056239B" w:rsidRPr="00A33AE8" w:rsidRDefault="0056239B"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PM_EE8</w:t>
            </w:r>
          </w:p>
        </w:tc>
        <w:tc>
          <w:tcPr>
            <w:tcW w:w="945" w:type="dxa"/>
            <w:tcBorders>
              <w:top w:val="single" w:sz="8" w:space="0" w:color="auto"/>
              <w:left w:val="nil"/>
              <w:bottom w:val="single" w:sz="8" w:space="0" w:color="auto"/>
              <w:right w:val="single" w:sz="8" w:space="0" w:color="auto"/>
            </w:tcBorders>
            <w:shd w:val="clear" w:color="000000" w:fill="244062"/>
            <w:vAlign w:val="center"/>
            <w:hideMark/>
          </w:tcPr>
          <w:p w14:paraId="7924A82B"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1" w:type="dxa"/>
            <w:tcBorders>
              <w:top w:val="single" w:sz="8" w:space="0" w:color="auto"/>
              <w:left w:val="nil"/>
              <w:bottom w:val="single" w:sz="8" w:space="0" w:color="auto"/>
              <w:right w:val="single" w:sz="8" w:space="0" w:color="auto"/>
            </w:tcBorders>
            <w:shd w:val="clear" w:color="auto" w:fill="E7E6E6" w:themeFill="background2"/>
            <w:vAlign w:val="center"/>
            <w:hideMark/>
          </w:tcPr>
          <w:p w14:paraId="0E548571" w14:textId="77777777" w:rsidR="0056239B" w:rsidRPr="00A33AE8" w:rsidRDefault="0056239B"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Overcoming split incentive barrier</w:t>
            </w:r>
          </w:p>
        </w:tc>
      </w:tr>
      <w:tr w:rsidR="0056239B" w:rsidRPr="00A33AE8" w14:paraId="3A0A3B9B" w14:textId="77777777" w:rsidTr="006769DA">
        <w:trPr>
          <w:gridAfter w:val="1"/>
          <w:wAfter w:w="222" w:type="dxa"/>
          <w:trHeight w:val="513"/>
        </w:trPr>
        <w:tc>
          <w:tcPr>
            <w:tcW w:w="3329" w:type="dxa"/>
            <w:tcBorders>
              <w:top w:val="nil"/>
              <w:left w:val="single" w:sz="8" w:space="0" w:color="auto"/>
              <w:bottom w:val="single" w:sz="8" w:space="0" w:color="auto"/>
              <w:right w:val="nil"/>
            </w:tcBorders>
            <w:shd w:val="clear" w:color="000000" w:fill="244062"/>
            <w:vAlign w:val="center"/>
            <w:hideMark/>
          </w:tcPr>
          <w:p w14:paraId="3C2DD75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45AAD7EE" w14:textId="05F3AFB6" w:rsidR="0056239B"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007E7B7A"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007E7B7A"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6239B" w:rsidRPr="00A33AE8">
              <w:rPr>
                <w:rFonts w:ascii="Calibri Light" w:eastAsia="Times New Roman" w:hAnsi="Calibri Light" w:cs="Calibri Light"/>
                <w:color w:val="000000"/>
                <w:sz w:val="20"/>
                <w:szCs w:val="20"/>
                <w:lang w:eastAsia="en-GB"/>
              </w:rPr>
              <w:t>:</w:t>
            </w:r>
          </w:p>
          <w:p w14:paraId="462AAF8F" w14:textId="77777777" w:rsidR="0056239B" w:rsidRPr="00A33AE8" w:rsidRDefault="0056239B" w:rsidP="00884F3B">
            <w:pPr>
              <w:pStyle w:val="ListParagraph"/>
              <w:numPr>
                <w:ilvl w:val="0"/>
                <w:numId w:val="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6E9DE294" w14:textId="77777777" w:rsidR="0056239B" w:rsidRPr="00A33AE8" w:rsidRDefault="0056239B" w:rsidP="00884F3B">
            <w:pPr>
              <w:pStyle w:val="ListParagraph"/>
              <w:numPr>
                <w:ilvl w:val="0"/>
                <w:numId w:val="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56239B" w:rsidRPr="00A33AE8" w14:paraId="2E5F85C5"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59D7C41"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5B4A65F" w14:textId="77777777" w:rsidR="0056239B" w:rsidRPr="00A33AE8" w:rsidRDefault="0056239B"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w:t>
            </w:r>
            <w:r w:rsidR="00532B7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PM_EE3</w:t>
            </w:r>
          </w:p>
        </w:tc>
      </w:tr>
      <w:tr w:rsidR="0056239B" w:rsidRPr="00A33AE8" w14:paraId="5FD8A5AE" w14:textId="77777777" w:rsidTr="006769DA">
        <w:trPr>
          <w:gridAfter w:val="1"/>
          <w:wAfter w:w="222" w:type="dxa"/>
          <w:trHeight w:val="429"/>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19BA8C4"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BA624A4" w14:textId="77777777" w:rsidR="0056239B" w:rsidRPr="00A33AE8" w:rsidRDefault="0056239B"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PM_EE8 will remove the potential regulatory and non-regulatory barriers to energy efficiency, without prejudice to the basic principles of the property and tenancy law regarding the split of incentives between the owner and the tenant of a building or among owners. It will be ensured that the involved parties will not be deterred from making efficiency-improving investments that they would otherwise have made due to the fact that they will not individually obtain the full benefits or by the absence of rules for dividing the costs and benefits between them. </w:t>
            </w:r>
            <w:bookmarkStart w:id="161" w:name="_Hlk135396602"/>
            <w:r w:rsidR="007E7B7A" w:rsidRPr="00A33AE8">
              <w:rPr>
                <w:rFonts w:ascii="Calibri Light" w:eastAsia="Times New Roman" w:hAnsi="Calibri Light" w:cs="Calibri Light"/>
                <w:color w:val="000000"/>
                <w:sz w:val="20"/>
                <w:szCs w:val="20"/>
                <w:lang w:eastAsia="en-GB"/>
              </w:rPr>
              <w:t>A targeted study will be commissioned in order to identify and assess the potential barriers proposing policy recommendations.</w:t>
            </w:r>
            <w:bookmarkEnd w:id="161"/>
            <w:r w:rsidR="007E7B7A"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Moreover, the decision- making processes in multi-owner properties will be simplified. Such measures to remove barriers may include providing incentives, repealing or amending legal or regulatory provisions, or adopting guidelines and interpretative communications, or simplifying administrative procedures.</w:t>
            </w:r>
          </w:p>
        </w:tc>
      </w:tr>
      <w:tr w:rsidR="0056239B" w:rsidRPr="00A33AE8" w14:paraId="344266B8"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1558F907"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1563BD7" w14:textId="77777777" w:rsidR="0056239B" w:rsidRPr="00A33AE8" w:rsidRDefault="007E7B7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6239B" w:rsidRPr="00A33AE8">
              <w:rPr>
                <w:rFonts w:ascii="Calibri Light" w:eastAsia="Times New Roman" w:hAnsi="Calibri Light" w:cs="Calibri Light"/>
                <w:color w:val="000000"/>
                <w:sz w:val="20"/>
                <w:szCs w:val="20"/>
                <w:lang w:eastAsia="en-GB"/>
              </w:rPr>
              <w:t>-</w:t>
            </w:r>
            <w:r w:rsidR="0039753F" w:rsidRPr="00A33AE8">
              <w:rPr>
                <w:rFonts w:ascii="Calibri Light" w:eastAsia="Times New Roman" w:hAnsi="Calibri Light" w:cs="Calibri Light"/>
                <w:color w:val="000000"/>
                <w:sz w:val="20"/>
                <w:szCs w:val="20"/>
                <w:lang w:eastAsia="en-GB"/>
              </w:rPr>
              <w:t>20</w:t>
            </w:r>
            <w:r w:rsidR="0039753F">
              <w:rPr>
                <w:rFonts w:ascii="Calibri Light" w:eastAsia="Times New Roman" w:hAnsi="Calibri Light" w:cs="Calibri Light"/>
                <w:color w:val="000000"/>
                <w:sz w:val="20"/>
                <w:szCs w:val="20"/>
                <w:lang w:eastAsia="en-GB"/>
              </w:rPr>
              <w:t>26</w:t>
            </w:r>
          </w:p>
        </w:tc>
      </w:tr>
      <w:tr w:rsidR="0056239B" w:rsidRPr="00A33AE8" w14:paraId="6D57296E"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726B82D9"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2187AF27" w14:textId="77777777" w:rsidR="0056239B"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56239B" w:rsidRPr="00A33AE8" w14:paraId="61C399C3"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43DD5EFE"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E91FDD5"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commercial</w:t>
            </w:r>
          </w:p>
        </w:tc>
      </w:tr>
      <w:tr w:rsidR="0056239B" w:rsidRPr="00A33AE8" w14:paraId="3DA866AE" w14:textId="77777777" w:rsidTr="006769DA">
        <w:trPr>
          <w:gridAfter w:val="1"/>
          <w:wAfter w:w="222" w:type="dxa"/>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7EEAF53"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AC8C2B2" w14:textId="77777777" w:rsidR="00483964" w:rsidRPr="00A33AE8" w:rsidRDefault="0048396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p w14:paraId="52E1DB56" w14:textId="77777777" w:rsidR="0056239B" w:rsidRPr="00A33AE8" w:rsidRDefault="00D33A3A"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56239B" w:rsidRPr="00A33AE8" w14:paraId="4A0957FE"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00780565"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773A18D" w14:textId="77777777" w:rsidR="0056239B" w:rsidRPr="00A33AE8" w:rsidRDefault="0039753F"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39753F">
              <w:rPr>
                <w:rFonts w:ascii="Calibri Light" w:eastAsia="Times New Roman" w:hAnsi="Calibri Light" w:cs="Calibri Light"/>
                <w:color w:val="000000"/>
                <w:sz w:val="20"/>
                <w:szCs w:val="20"/>
                <w:lang w:eastAsia="en-GB"/>
              </w:rPr>
              <w:t>Government of the Republic of Serbia</w:t>
            </w:r>
          </w:p>
        </w:tc>
      </w:tr>
      <w:tr w:rsidR="0056239B" w:rsidRPr="00A33AE8" w14:paraId="7EFA0B68" w14:textId="77777777" w:rsidTr="006769DA">
        <w:trPr>
          <w:gridAfter w:val="1"/>
          <w:wAfter w:w="222" w:type="dxa"/>
          <w:trHeight w:val="315"/>
        </w:trPr>
        <w:tc>
          <w:tcPr>
            <w:tcW w:w="3329" w:type="dxa"/>
            <w:tcBorders>
              <w:top w:val="nil"/>
              <w:left w:val="single" w:sz="8" w:space="0" w:color="auto"/>
              <w:bottom w:val="single" w:sz="8" w:space="0" w:color="auto"/>
              <w:right w:val="nil"/>
            </w:tcBorders>
            <w:shd w:val="clear" w:color="000000" w:fill="244062"/>
            <w:vAlign w:val="center"/>
            <w:hideMark/>
          </w:tcPr>
          <w:p w14:paraId="6381925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7CD7D457" w14:textId="77777777" w:rsidR="0056239B" w:rsidRPr="00A33AE8" w:rsidRDefault="00502398" w:rsidP="00884F3B">
            <w:pPr>
              <w:numPr>
                <w:ilvl w:val="0"/>
                <w:numId w:val="122"/>
              </w:numPr>
              <w:contextualSpacing/>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legislative and regulatory framework</w:t>
            </w:r>
          </w:p>
        </w:tc>
      </w:tr>
      <w:tr w:rsidR="006C6A30" w:rsidRPr="00A33AE8" w14:paraId="0CDFABFC" w14:textId="77777777" w:rsidTr="006769DA">
        <w:trPr>
          <w:gridAfter w:val="1"/>
          <w:wAfter w:w="222" w:type="dxa"/>
          <w:trHeight w:val="433"/>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59949415"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3401DAD9" w14:textId="77777777" w:rsidR="0039753F" w:rsidRPr="0039753F" w:rsidRDefault="006C6A30" w:rsidP="00884F3B">
            <w:pPr>
              <w:pStyle w:val="ListParagraph"/>
              <w:numPr>
                <w:ilvl w:val="0"/>
                <w:numId w:val="13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39753F" w:rsidRPr="0039753F">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46357BEA" w14:textId="77777777" w:rsidR="006C6A30" w:rsidRPr="00A33AE8" w:rsidRDefault="0039753F" w:rsidP="00884F3B">
            <w:pPr>
              <w:pStyle w:val="ListParagraph"/>
              <w:numPr>
                <w:ilvl w:val="0"/>
                <w:numId w:val="130"/>
              </w:numPr>
              <w:spacing w:after="0" w:line="240" w:lineRule="auto"/>
              <w:rPr>
                <w:rFonts w:ascii="Calibri Light" w:eastAsia="Times New Roman" w:hAnsi="Calibri Light" w:cs="Calibri Light"/>
                <w:color w:val="000000"/>
                <w:sz w:val="20"/>
                <w:szCs w:val="20"/>
                <w:lang w:eastAsia="en-GB"/>
              </w:rPr>
            </w:pPr>
            <w:r w:rsidRPr="0039753F">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6239B" w:rsidRPr="00A33AE8" w14:paraId="5D75AF06" w14:textId="77777777" w:rsidTr="006769DA">
        <w:trPr>
          <w:gridAfter w:val="1"/>
          <w:wAfter w:w="222" w:type="dxa"/>
          <w:trHeight w:val="450"/>
        </w:trPr>
        <w:tc>
          <w:tcPr>
            <w:tcW w:w="3329"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BD58C34"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2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70A6CB" w14:textId="77777777" w:rsidR="0056239B" w:rsidRPr="00A33AE8" w:rsidRDefault="0056239B" w:rsidP="00884F3B">
            <w:pPr>
              <w:pStyle w:val="ListParagraph"/>
              <w:numPr>
                <w:ilvl w:val="0"/>
                <w:numId w:val="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5EBB95FB" w14:textId="77777777" w:rsidR="0056239B" w:rsidRPr="00A33AE8" w:rsidRDefault="0056239B" w:rsidP="00884F3B">
            <w:pPr>
              <w:pStyle w:val="ListParagraph"/>
              <w:numPr>
                <w:ilvl w:val="0"/>
                <w:numId w:val="2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E7B7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56239B" w:rsidRPr="00A33AE8" w14:paraId="44221BE1" w14:textId="77777777" w:rsidTr="006769DA">
        <w:trPr>
          <w:trHeight w:val="300"/>
        </w:trPr>
        <w:tc>
          <w:tcPr>
            <w:tcW w:w="3329" w:type="dxa"/>
            <w:vMerge/>
            <w:tcBorders>
              <w:top w:val="nil"/>
              <w:left w:val="single" w:sz="8" w:space="0" w:color="auto"/>
              <w:bottom w:val="single" w:sz="8" w:space="0" w:color="000000"/>
              <w:right w:val="single" w:sz="8" w:space="0" w:color="auto"/>
            </w:tcBorders>
            <w:vAlign w:val="center"/>
            <w:hideMark/>
          </w:tcPr>
          <w:p w14:paraId="06C86827"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51505405"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1B411F8"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r>
      <w:tr w:rsidR="0056239B" w:rsidRPr="00A33AE8" w14:paraId="38C20422" w14:textId="77777777" w:rsidTr="006769DA">
        <w:trPr>
          <w:trHeight w:val="60"/>
        </w:trPr>
        <w:tc>
          <w:tcPr>
            <w:tcW w:w="3329" w:type="dxa"/>
            <w:vMerge/>
            <w:tcBorders>
              <w:top w:val="nil"/>
              <w:left w:val="single" w:sz="8" w:space="0" w:color="auto"/>
              <w:bottom w:val="single" w:sz="8" w:space="0" w:color="000000"/>
              <w:right w:val="single" w:sz="8" w:space="0" w:color="auto"/>
            </w:tcBorders>
            <w:vAlign w:val="center"/>
            <w:hideMark/>
          </w:tcPr>
          <w:p w14:paraId="6B9456D6"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p>
        </w:tc>
        <w:tc>
          <w:tcPr>
            <w:tcW w:w="6129" w:type="dxa"/>
            <w:gridSpan w:val="3"/>
            <w:vMerge/>
            <w:tcBorders>
              <w:top w:val="single" w:sz="8" w:space="0" w:color="auto"/>
              <w:left w:val="single" w:sz="8" w:space="0" w:color="auto"/>
              <w:bottom w:val="single" w:sz="8" w:space="0" w:color="000000"/>
              <w:right w:val="single" w:sz="8" w:space="0" w:color="000000"/>
            </w:tcBorders>
            <w:vAlign w:val="center"/>
            <w:hideMark/>
          </w:tcPr>
          <w:p w14:paraId="34D43040" w14:textId="77777777" w:rsidR="0056239B" w:rsidRPr="00A33AE8" w:rsidRDefault="0056239B"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B4BDF4A"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56239B" w:rsidRPr="00A33AE8" w14:paraId="681FAFC8" w14:textId="77777777" w:rsidTr="006769DA">
        <w:trPr>
          <w:trHeight w:val="421"/>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0625558F"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6150142E" w14:textId="70A88180" w:rsidR="0056239B" w:rsidRPr="00A33AE8" w:rsidRDefault="0056239B" w:rsidP="00884F3B">
            <w:pPr>
              <w:pStyle w:val="ListParagraph"/>
              <w:numPr>
                <w:ilvl w:val="0"/>
                <w:numId w:val="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Housing</w:t>
            </w:r>
            <w:r w:rsidR="000E6028" w:rsidRPr="00A33AE8">
              <w:rPr>
                <w:rFonts w:ascii="Calibri Light" w:eastAsia="Times New Roman" w:hAnsi="Calibri Light" w:cs="Calibri Light"/>
                <w:color w:val="000000"/>
                <w:sz w:val="20"/>
                <w:szCs w:val="20"/>
                <w:lang w:eastAsia="en-GB"/>
              </w:rPr>
              <w:t xml:space="preserve"> and Building Maintenance</w:t>
            </w:r>
          </w:p>
          <w:p w14:paraId="5823229E" w14:textId="77777777" w:rsidR="0056239B" w:rsidRPr="000007D2" w:rsidRDefault="0056239B" w:rsidP="00884F3B">
            <w:pPr>
              <w:pStyle w:val="ListParagraph"/>
              <w:numPr>
                <w:ilvl w:val="0"/>
                <w:numId w:val="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tc>
        <w:tc>
          <w:tcPr>
            <w:tcW w:w="222" w:type="dxa"/>
            <w:vAlign w:val="center"/>
            <w:hideMark/>
          </w:tcPr>
          <w:p w14:paraId="56F3F58B"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r w:rsidR="00E65D30" w:rsidRPr="00A33AE8" w14:paraId="2F431A20"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22A78724" w14:textId="77777777" w:rsidR="00E65D30" w:rsidRPr="00A33AE8" w:rsidRDefault="00E65D30" w:rsidP="00E65D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0FF830BF" w14:textId="77777777" w:rsidR="00E65D30" w:rsidRPr="00A33AE8" w:rsidRDefault="00E65D30" w:rsidP="00E65D30">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 PM_EE2 and PM_EE3</w:t>
            </w:r>
          </w:p>
        </w:tc>
        <w:tc>
          <w:tcPr>
            <w:tcW w:w="222" w:type="dxa"/>
            <w:vAlign w:val="center"/>
            <w:hideMark/>
          </w:tcPr>
          <w:p w14:paraId="3F72B97F" w14:textId="77777777" w:rsidR="00E65D30" w:rsidRPr="00A33AE8" w:rsidRDefault="00E65D30" w:rsidP="00E65D30">
            <w:pPr>
              <w:spacing w:after="0" w:line="240" w:lineRule="auto"/>
              <w:rPr>
                <w:rFonts w:ascii="Times New Roman" w:eastAsia="Times New Roman" w:hAnsi="Times New Roman" w:cs="Times New Roman"/>
                <w:sz w:val="20"/>
                <w:szCs w:val="20"/>
                <w:lang w:eastAsia="en-GB"/>
              </w:rPr>
            </w:pPr>
          </w:p>
        </w:tc>
      </w:tr>
      <w:tr w:rsidR="0056239B" w:rsidRPr="00A33AE8" w14:paraId="16FBFC4D" w14:textId="77777777" w:rsidTr="006769DA">
        <w:trPr>
          <w:trHeight w:val="315"/>
        </w:trPr>
        <w:tc>
          <w:tcPr>
            <w:tcW w:w="3329" w:type="dxa"/>
            <w:tcBorders>
              <w:top w:val="nil"/>
              <w:left w:val="single" w:sz="8" w:space="0" w:color="auto"/>
              <w:bottom w:val="single" w:sz="8" w:space="0" w:color="auto"/>
              <w:right w:val="single" w:sz="8" w:space="0" w:color="auto"/>
            </w:tcBorders>
            <w:shd w:val="clear" w:color="000000" w:fill="244062"/>
            <w:vAlign w:val="center"/>
            <w:hideMark/>
          </w:tcPr>
          <w:p w14:paraId="3C4E0110" w14:textId="77777777" w:rsidR="0056239B" w:rsidRPr="00A33AE8" w:rsidRDefault="0056239B"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29" w:type="dxa"/>
            <w:gridSpan w:val="3"/>
            <w:tcBorders>
              <w:top w:val="single" w:sz="8" w:space="0" w:color="auto"/>
              <w:left w:val="nil"/>
              <w:bottom w:val="single" w:sz="8" w:space="0" w:color="auto"/>
              <w:right w:val="single" w:sz="8" w:space="0" w:color="000000"/>
            </w:tcBorders>
            <w:shd w:val="clear" w:color="auto" w:fill="auto"/>
            <w:vAlign w:val="center"/>
            <w:hideMark/>
          </w:tcPr>
          <w:p w14:paraId="178B8893" w14:textId="77777777" w:rsidR="0056239B" w:rsidRPr="00A33AE8" w:rsidRDefault="000F238F"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5F0326FF" w14:textId="77777777" w:rsidR="0056239B" w:rsidRPr="00A33AE8" w:rsidRDefault="0056239B" w:rsidP="006769DA">
            <w:pPr>
              <w:spacing w:after="0" w:line="240" w:lineRule="auto"/>
              <w:rPr>
                <w:rFonts w:ascii="Times New Roman" w:eastAsia="Times New Roman" w:hAnsi="Times New Roman" w:cs="Times New Roman"/>
                <w:sz w:val="20"/>
                <w:szCs w:val="20"/>
                <w:lang w:eastAsia="en-GB"/>
              </w:rPr>
            </w:pPr>
          </w:p>
        </w:tc>
      </w:tr>
    </w:tbl>
    <w:p w14:paraId="5C0ACC85" w14:textId="77777777" w:rsidR="00D2554B" w:rsidRPr="00A33AE8" w:rsidRDefault="00D2554B" w:rsidP="00884F3B">
      <w:pPr>
        <w:pStyle w:val="Heading4"/>
        <w:numPr>
          <w:ilvl w:val="0"/>
          <w:numId w:val="6"/>
        </w:numPr>
        <w:jc w:val="both"/>
      </w:pPr>
      <w:r w:rsidRPr="00A33AE8">
        <w:t>Description of policy and measures to promote energy services in the public sector and measures to remove regulatory and non-regulatory barriers that impede the uptake of energy performance contracting and other energy efficiency service models</w:t>
      </w:r>
    </w:p>
    <w:p w14:paraId="2554ED26"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A holistic framework will be established for the promotion of energy services emphasizing on the removal of the potential barriers. </w:t>
      </w:r>
      <w:r w:rsidR="009327BF" w:rsidRPr="00A33AE8">
        <w:rPr>
          <w:rFonts w:asciiTheme="majorHAnsi" w:hAnsiTheme="majorHAnsi" w:cstheme="majorHAnsi"/>
          <w:color w:val="000000"/>
        </w:rPr>
        <w:t xml:space="preserve">The existing standard contracts will be promoted along with guidelines, which will be </w:t>
      </w:r>
      <w:r w:rsidR="009327BF" w:rsidRPr="00A33AE8">
        <w:rPr>
          <w:rFonts w:asciiTheme="majorHAnsi" w:hAnsiTheme="majorHAnsi" w:cstheme="majorHAnsi"/>
          <w:color w:val="000000"/>
        </w:rPr>
        <w:lastRenderedPageBreak/>
        <w:t>developed, facilitating the design and implementation of energy efficiency projects through Energy Performance Contracts.</w:t>
      </w:r>
    </w:p>
    <w:p w14:paraId="461A94AF" w14:textId="56A9F08C" w:rsidR="009327BF" w:rsidRPr="00A33AE8" w:rsidRDefault="00D2554B" w:rsidP="009327BF">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Targeted pilot projects will be designed for the renovation of the public buildings and the </w:t>
      </w:r>
      <w:r w:rsidR="00081D7A" w:rsidRPr="00A33AE8">
        <w:rPr>
          <w:rFonts w:asciiTheme="majorHAnsi" w:hAnsiTheme="majorHAnsi" w:cstheme="majorHAnsi"/>
          <w:color w:val="000000"/>
        </w:rPr>
        <w:t>upgrade</w:t>
      </w:r>
      <w:r w:rsidRPr="00A33AE8">
        <w:rPr>
          <w:rFonts w:asciiTheme="majorHAnsi" w:hAnsiTheme="majorHAnsi" w:cstheme="majorHAnsi"/>
          <w:color w:val="000000"/>
        </w:rPr>
        <w:t xml:space="preserve"> of the </w:t>
      </w:r>
      <w:r w:rsidR="00A51389" w:rsidRPr="00A33AE8">
        <w:rPr>
          <w:rFonts w:asciiTheme="majorHAnsi" w:hAnsiTheme="majorHAnsi" w:cstheme="majorHAnsi"/>
          <w:color w:val="000000"/>
        </w:rPr>
        <w:t>street-</w:t>
      </w:r>
      <w:r w:rsidRPr="00A33AE8">
        <w:rPr>
          <w:rFonts w:asciiTheme="majorHAnsi" w:hAnsiTheme="majorHAnsi" w:cstheme="majorHAnsi"/>
          <w:color w:val="000000"/>
        </w:rPr>
        <w:t xml:space="preserve">lighting </w:t>
      </w:r>
      <w:r w:rsidR="009327BF" w:rsidRPr="00A33AE8">
        <w:rPr>
          <w:rFonts w:asciiTheme="majorHAnsi" w:hAnsiTheme="majorHAnsi" w:cstheme="majorHAnsi"/>
          <w:color w:val="000000"/>
        </w:rPr>
        <w:t>through energy performance contracts also in order to create the</w:t>
      </w:r>
      <w:r w:rsidRPr="00A33AE8">
        <w:rPr>
          <w:rFonts w:asciiTheme="majorHAnsi" w:hAnsiTheme="majorHAnsi" w:cstheme="majorHAnsi"/>
          <w:color w:val="000000"/>
        </w:rPr>
        <w:t xml:space="preserve"> required conditions for the promotion of energy services in public sector. </w:t>
      </w:r>
      <w:r w:rsidR="009327BF" w:rsidRPr="00A33AE8">
        <w:rPr>
          <w:rFonts w:asciiTheme="majorHAnsi" w:hAnsiTheme="majorHAnsi" w:cstheme="majorHAnsi"/>
          <w:color w:val="000000"/>
        </w:rPr>
        <w:t xml:space="preserve">The compliance with the public procurement procedures will </w:t>
      </w:r>
      <w:r w:rsidR="00A51389" w:rsidRPr="00A33AE8">
        <w:rPr>
          <w:rFonts w:asciiTheme="majorHAnsi" w:hAnsiTheme="majorHAnsi" w:cstheme="majorHAnsi"/>
          <w:color w:val="000000"/>
        </w:rPr>
        <w:t xml:space="preserve">has </w:t>
      </w:r>
      <w:r w:rsidR="009327BF" w:rsidRPr="00A33AE8">
        <w:rPr>
          <w:rFonts w:asciiTheme="majorHAnsi" w:hAnsiTheme="majorHAnsi" w:cstheme="majorHAnsi"/>
          <w:color w:val="000000"/>
        </w:rPr>
        <w:t xml:space="preserve">be ensured </w:t>
      </w:r>
      <w:r w:rsidR="00A51389" w:rsidRPr="00A33AE8">
        <w:rPr>
          <w:rFonts w:asciiTheme="majorHAnsi" w:hAnsiTheme="majorHAnsi" w:cstheme="majorHAnsi"/>
          <w:color w:val="000000"/>
        </w:rPr>
        <w:t>according to the provisions of the Law on EE and Rational Use of Energy</w:t>
      </w:r>
      <w:r w:rsidR="009327BF" w:rsidRPr="00A33AE8">
        <w:rPr>
          <w:rFonts w:asciiTheme="majorHAnsi" w:hAnsiTheme="majorHAnsi" w:cstheme="majorHAnsi"/>
          <w:color w:val="000000"/>
        </w:rPr>
        <w:t xml:space="preserve"> incorporating the developed contracts and the formulated guidelines in order to facilitate the implementation of the planned programs.</w:t>
      </w:r>
    </w:p>
    <w:p w14:paraId="04C6DB2A"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Moreover, targeted financing programs will be initiated in specific </w:t>
      </w:r>
      <w:r w:rsidR="00CC132B" w:rsidRPr="00A33AE8">
        <w:rPr>
          <w:rFonts w:asciiTheme="majorHAnsi" w:hAnsiTheme="majorHAnsi" w:cstheme="majorHAnsi"/>
          <w:color w:val="000000"/>
        </w:rPr>
        <w:t xml:space="preserve">final energy consumption </w:t>
      </w:r>
      <w:r w:rsidRPr="00A33AE8">
        <w:rPr>
          <w:rFonts w:asciiTheme="majorHAnsi" w:hAnsiTheme="majorHAnsi" w:cstheme="majorHAnsi"/>
          <w:color w:val="000000"/>
        </w:rPr>
        <w:t>sectors, such as industrial and commercial sectors taking into consideration the results of the pilot projects. Additional financing instruments will be applied, such as the provision of low-interest loans or guarantees to energy saving service providers in order to facilitate the smooth access to financing</w:t>
      </w:r>
      <w:r w:rsidR="009327BF" w:rsidRPr="00A33AE8">
        <w:rPr>
          <w:rFonts w:asciiTheme="majorHAnsi" w:hAnsiTheme="majorHAnsi" w:cstheme="majorHAnsi"/>
          <w:color w:val="000000"/>
        </w:rPr>
        <w:t xml:space="preserve"> and the implementation of energy efficiency projects in the tertiary and industrial sectors.</w:t>
      </w:r>
    </w:p>
    <w:p w14:paraId="5BD288B6" w14:textId="77777777" w:rsidR="00D2554B" w:rsidRPr="00A33AE8" w:rsidRDefault="00D2554B" w:rsidP="004C6CE1">
      <w:pPr>
        <w:spacing w:before="160"/>
        <w:jc w:val="both"/>
        <w:rPr>
          <w:rFonts w:cstheme="minorHAnsi"/>
          <w:i/>
          <w:iCs/>
          <w:color w:val="000000"/>
          <w:u w:val="single"/>
        </w:rPr>
      </w:pPr>
      <w:r w:rsidRPr="00A33AE8">
        <w:rPr>
          <w:rFonts w:asciiTheme="majorHAnsi" w:hAnsiTheme="majorHAnsi" w:cstheme="majorHAnsi"/>
          <w:color w:val="000000"/>
        </w:rPr>
        <w:t>Finally, different authorities will be appointed for monitoring the legislation on energy performance contracts ensuring the eradication of potential market barriers, undertaking the role of an independent mechanism, such as an ombudsman for the efficient handling of complaints and out-of-court settlement of disputes arising from energy service contracts and undertaking the role of an independent market intermediary in order to stimulate the market development on the demand and supply sides according to the provisions of the EED.</w:t>
      </w:r>
    </w:p>
    <w:tbl>
      <w:tblPr>
        <w:tblW w:w="9680" w:type="dxa"/>
        <w:tblLook w:val="04A0" w:firstRow="1" w:lastRow="0" w:firstColumn="1" w:lastColumn="0" w:noHBand="0" w:noVBand="1"/>
      </w:tblPr>
      <w:tblGrid>
        <w:gridCol w:w="3315"/>
        <w:gridCol w:w="986"/>
        <w:gridCol w:w="943"/>
        <w:gridCol w:w="4214"/>
        <w:gridCol w:w="222"/>
      </w:tblGrid>
      <w:tr w:rsidR="00357F2A" w:rsidRPr="00A33AE8" w14:paraId="1E669931" w14:textId="77777777" w:rsidTr="006769DA">
        <w:trPr>
          <w:gridAfter w:val="1"/>
          <w:wAfter w:w="222" w:type="dxa"/>
          <w:trHeight w:val="780"/>
        </w:trPr>
        <w:tc>
          <w:tcPr>
            <w:tcW w:w="331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6D39FA2" w14:textId="77777777" w:rsidR="00357F2A" w:rsidRPr="00A33AE8" w:rsidRDefault="00357F2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F9FEACE" w14:textId="77777777" w:rsidR="00357F2A" w:rsidRPr="00A33AE8" w:rsidRDefault="00357F2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PM_EE26</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64FFE2AF"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47A84B89" w14:textId="77777777" w:rsidR="00357F2A" w:rsidRPr="00A33AE8" w:rsidRDefault="00357F2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services and energy performance contracts through targeted financing programs</w:t>
            </w:r>
          </w:p>
        </w:tc>
      </w:tr>
      <w:tr w:rsidR="00357F2A" w:rsidRPr="00A33AE8" w14:paraId="26CD55B1" w14:textId="77777777" w:rsidTr="006769DA">
        <w:trPr>
          <w:gridAfter w:val="1"/>
          <w:wAfter w:w="222" w:type="dxa"/>
          <w:trHeight w:val="550"/>
        </w:trPr>
        <w:tc>
          <w:tcPr>
            <w:tcW w:w="3315" w:type="dxa"/>
            <w:tcBorders>
              <w:top w:val="nil"/>
              <w:left w:val="single" w:sz="8" w:space="0" w:color="auto"/>
              <w:bottom w:val="single" w:sz="8" w:space="0" w:color="auto"/>
              <w:right w:val="nil"/>
            </w:tcBorders>
            <w:shd w:val="clear" w:color="000000" w:fill="244062"/>
            <w:vAlign w:val="center"/>
            <w:hideMark/>
          </w:tcPr>
          <w:p w14:paraId="610FBF25"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424E02F" w14:textId="507E1C4D" w:rsidR="00357F2A"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357F2A" w:rsidRPr="00A33AE8">
              <w:rPr>
                <w:rFonts w:ascii="Calibri Light" w:eastAsia="Times New Roman" w:hAnsi="Calibri Light" w:cs="Calibri Light"/>
                <w:color w:val="000000"/>
                <w:sz w:val="20"/>
                <w:szCs w:val="20"/>
                <w:lang w:eastAsia="en-GB"/>
              </w:rPr>
              <w:t>:</w:t>
            </w:r>
          </w:p>
          <w:p w14:paraId="05B93A94" w14:textId="77777777" w:rsidR="00357F2A" w:rsidRPr="00A33AE8" w:rsidRDefault="00357F2A" w:rsidP="00884F3B">
            <w:pPr>
              <w:pStyle w:val="ListParagraph"/>
              <w:numPr>
                <w:ilvl w:val="0"/>
                <w:numId w:val="15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2E08E887" w14:textId="77777777" w:rsidR="00357F2A" w:rsidRPr="00A33AE8" w:rsidRDefault="00357F2A" w:rsidP="00884F3B">
            <w:pPr>
              <w:pStyle w:val="ListParagraph"/>
              <w:numPr>
                <w:ilvl w:val="0"/>
                <w:numId w:val="15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357F2A" w:rsidRPr="00A33AE8" w14:paraId="7268888C"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2E5D2831"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6DB9ED1" w14:textId="77777777" w:rsidR="00357F2A" w:rsidRPr="00A33AE8" w:rsidRDefault="00357F2A"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all </w:t>
            </w:r>
            <w:r w:rsidR="0068204C" w:rsidRPr="00A33AE8">
              <w:rPr>
                <w:rFonts w:ascii="Calibri Light" w:eastAsia="Times New Roman" w:hAnsi="Calibri Light" w:cs="Calibri Light"/>
                <w:color w:val="000000"/>
                <w:sz w:val="20"/>
                <w:szCs w:val="20"/>
                <w:lang w:eastAsia="en-GB"/>
              </w:rPr>
              <w:t xml:space="preserve">final energy consumption </w:t>
            </w:r>
            <w:r w:rsidRPr="00A33AE8">
              <w:rPr>
                <w:rFonts w:ascii="Calibri Light" w:eastAsia="Times New Roman" w:hAnsi="Calibri Light" w:cs="Calibri Light"/>
                <w:color w:val="000000"/>
                <w:sz w:val="20"/>
                <w:szCs w:val="20"/>
                <w:lang w:eastAsia="en-GB"/>
              </w:rPr>
              <w:t>measures</w:t>
            </w:r>
          </w:p>
        </w:tc>
      </w:tr>
      <w:tr w:rsidR="009327BF" w:rsidRPr="00A33AE8" w14:paraId="02FD8B5D" w14:textId="77777777" w:rsidTr="006769DA">
        <w:trPr>
          <w:gridAfter w:val="1"/>
          <w:wAfter w:w="222" w:type="dxa"/>
          <w:trHeight w:val="229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2F4B4DC9" w14:textId="77777777" w:rsidR="009327BF" w:rsidRPr="00A33AE8" w:rsidRDefault="009327BF" w:rsidP="009327B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6F3D349" w14:textId="77777777" w:rsidR="009327BF" w:rsidRPr="00A33AE8" w:rsidRDefault="009327BF" w:rsidP="009327B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PM_EE26 will promote energy services through targeted financing programs in specific final energy consumption sectors. Specifically, energy efficiency projects will be implemented through energy performance contracts in industrial and commercial. Consequently, specialized financing mechanisms will be applied, such as the provision of low-interest loans or guarantees to energy service providers in order to facilitate the smooth access to financing. Moreover, targeted pilot projects will be designed for the renovation of the public buildings </w:t>
            </w:r>
            <w:r w:rsidR="00191CAD" w:rsidRPr="00A33AE8">
              <w:rPr>
                <w:rFonts w:ascii="Calibri Light" w:eastAsia="Times New Roman" w:hAnsi="Calibri Light" w:cs="Calibri Light"/>
                <w:color w:val="000000"/>
                <w:sz w:val="20"/>
                <w:szCs w:val="20"/>
                <w:lang w:eastAsia="en-GB"/>
              </w:rPr>
              <w:t xml:space="preserve">for which the application of agreement models prescribed by the Law on Energy Efficiency and Rational Use of Energy </w:t>
            </w:r>
            <w:r w:rsidR="00191CAD" w:rsidRPr="000007D2">
              <w:rPr>
                <w:rFonts w:ascii="Calibri Light" w:eastAsia="Times New Roman" w:hAnsi="Calibri Light" w:cs="Calibri Light"/>
                <w:color w:val="000000"/>
                <w:sz w:val="20"/>
                <w:szCs w:val="20"/>
                <w:lang w:eastAsia="en-GB"/>
              </w:rPr>
              <w:t>is mandatory</w:t>
            </w:r>
            <w:r w:rsidRPr="000007D2">
              <w:rPr>
                <w:rFonts w:ascii="Calibri Light" w:hAnsi="Calibri Light"/>
                <w:color w:val="000000"/>
                <w:sz w:val="20"/>
              </w:rPr>
              <w:t xml:space="preserve"> </w:t>
            </w:r>
            <w:r w:rsidRPr="00A33AE8">
              <w:rPr>
                <w:rFonts w:ascii="Calibri Light" w:eastAsia="Times New Roman" w:hAnsi="Calibri Light" w:cs="Calibri Light"/>
                <w:color w:val="000000"/>
                <w:sz w:val="20"/>
                <w:szCs w:val="20"/>
                <w:lang w:eastAsia="en-GB"/>
              </w:rPr>
              <w:t>in order to create the required conditions for the promotion of energy services in public sector.</w:t>
            </w:r>
            <w:r w:rsidR="00A51389" w:rsidRPr="00A33AE8">
              <w:rPr>
                <w:rFonts w:ascii="Calibri Light" w:eastAsia="Times New Roman" w:hAnsi="Calibri Light" w:cs="Calibri Light"/>
                <w:color w:val="000000"/>
                <w:sz w:val="20"/>
                <w:szCs w:val="20"/>
                <w:lang w:eastAsia="en-GB"/>
              </w:rPr>
              <w:t xml:space="preserve"> Finally, the energy upgrade of the stree</w:t>
            </w:r>
            <w:r w:rsidR="00790720" w:rsidRPr="00A33AE8">
              <w:rPr>
                <w:rFonts w:ascii="Calibri Light" w:eastAsia="Times New Roman" w:hAnsi="Calibri Light" w:cs="Calibri Light"/>
                <w:color w:val="000000"/>
                <w:sz w:val="20"/>
                <w:szCs w:val="20"/>
                <w:lang w:eastAsia="en-GB"/>
              </w:rPr>
              <w:t>t</w:t>
            </w:r>
            <w:r w:rsidR="00A51389" w:rsidRPr="00A33AE8">
              <w:rPr>
                <w:rFonts w:ascii="Calibri Light" w:eastAsia="Times New Roman" w:hAnsi="Calibri Light" w:cs="Calibri Light"/>
                <w:color w:val="000000"/>
                <w:sz w:val="20"/>
                <w:szCs w:val="20"/>
                <w:lang w:eastAsia="en-GB"/>
              </w:rPr>
              <w:t xml:space="preserve"> lighting can be achieved also through the provision of energy services.</w:t>
            </w:r>
          </w:p>
        </w:tc>
      </w:tr>
      <w:tr w:rsidR="00357F2A" w:rsidRPr="00A33AE8" w14:paraId="7981F38A"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53D81B5E"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49EC1EA" w14:textId="77777777" w:rsidR="00357F2A"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357F2A" w:rsidRPr="00A33AE8">
              <w:rPr>
                <w:rFonts w:ascii="Calibri Light" w:eastAsia="Times New Roman" w:hAnsi="Calibri Light" w:cs="Calibri Light"/>
                <w:color w:val="000000"/>
                <w:sz w:val="20"/>
                <w:szCs w:val="20"/>
                <w:lang w:eastAsia="en-GB"/>
              </w:rPr>
              <w:t>-2030</w:t>
            </w:r>
          </w:p>
        </w:tc>
      </w:tr>
      <w:tr w:rsidR="00357F2A" w:rsidRPr="00A33AE8" w14:paraId="71EDE3C2"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968E48E"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814D2F6" w14:textId="77777777" w:rsidR="00357F2A"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57F2A" w:rsidRPr="00A33AE8" w14:paraId="6B4F69D1"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E4772C0"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60A1189" w14:textId="77777777" w:rsidR="00357F2A" w:rsidRPr="00A33AE8" w:rsidRDefault="00357F2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Public, commercial, industrial</w:t>
            </w:r>
          </w:p>
        </w:tc>
      </w:tr>
      <w:tr w:rsidR="00357F2A" w:rsidRPr="00A33AE8" w14:paraId="1D5DF0F6"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09B67D7"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4EB991E" w14:textId="77777777" w:rsidR="00357F2A" w:rsidRPr="00A33AE8" w:rsidRDefault="00D33A3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357F2A" w:rsidRPr="00A33AE8" w14:paraId="27570103"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37F1D7C6"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3EF8891" w14:textId="77777777" w:rsidR="00357F2A" w:rsidRPr="00A33AE8" w:rsidRDefault="008C3EE4"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8C3EE4">
              <w:rPr>
                <w:rFonts w:ascii="Calibri Light" w:eastAsia="Times New Roman" w:hAnsi="Calibri Light" w:cs="Calibri Light"/>
                <w:color w:val="000000"/>
                <w:sz w:val="20"/>
                <w:szCs w:val="20"/>
                <w:lang w:eastAsia="en-GB"/>
              </w:rPr>
              <w:t>Government of the Republic of Serbia</w:t>
            </w:r>
          </w:p>
        </w:tc>
      </w:tr>
      <w:tr w:rsidR="00357F2A" w:rsidRPr="00A33AE8" w14:paraId="26D61659"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4FCE9DDD"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48B15F4" w14:textId="77777777" w:rsidR="00357F2A" w:rsidRPr="00A33AE8" w:rsidRDefault="000F238F"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Number of energy </w:t>
            </w:r>
            <w:r w:rsidR="00282113" w:rsidRPr="00A33AE8">
              <w:rPr>
                <w:rFonts w:ascii="Calibri Light" w:eastAsia="Times New Roman" w:hAnsi="Calibri Light" w:cs="Calibri Light"/>
                <w:color w:val="000000"/>
                <w:sz w:val="20"/>
                <w:szCs w:val="20"/>
                <w:lang w:eastAsia="en-GB"/>
              </w:rPr>
              <w:t>service</w:t>
            </w:r>
            <w:r w:rsidRPr="00A33AE8">
              <w:rPr>
                <w:rFonts w:ascii="Calibri Light" w:eastAsia="Times New Roman" w:hAnsi="Calibri Light" w:cs="Calibri Light"/>
                <w:color w:val="000000"/>
                <w:sz w:val="20"/>
                <w:szCs w:val="20"/>
                <w:lang w:eastAsia="en-GB"/>
              </w:rPr>
              <w:t xml:space="preserve"> contracts</w:t>
            </w:r>
          </w:p>
        </w:tc>
      </w:tr>
      <w:tr w:rsidR="006C6A30" w:rsidRPr="00A33AE8" w14:paraId="69B1E75C" w14:textId="77777777" w:rsidTr="006769DA">
        <w:trPr>
          <w:gridAfter w:val="1"/>
          <w:wAfter w:w="222" w:type="dxa"/>
          <w:trHeight w:val="273"/>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E240C9A"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8045998" w14:textId="77777777" w:rsidR="008C3EE4" w:rsidRPr="008C3EE4" w:rsidRDefault="006C6A30"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8C3EE4" w:rsidRPr="008C3EE4">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69EDFA8D" w14:textId="77777777" w:rsidR="006C6A30" w:rsidRPr="00A33AE8" w:rsidRDefault="008C3EE4"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8C3EE4">
              <w:rPr>
                <w:rFonts w:ascii="Calibri Light" w:eastAsia="Times New Roman" w:hAnsi="Calibri Light" w:cs="Calibri Light"/>
                <w:color w:val="000000"/>
                <w:sz w:val="20"/>
                <w:szCs w:val="20"/>
                <w:lang w:eastAsia="en-GB"/>
              </w:rPr>
              <w:lastRenderedPageBreak/>
              <w:t>Energy Security (the delivered energy savings will decrease the consumed quantities of the imported fossil fuels reducing energy import dependency from third countries)</w:t>
            </w:r>
          </w:p>
        </w:tc>
      </w:tr>
      <w:tr w:rsidR="00357F2A" w:rsidRPr="00A33AE8" w14:paraId="34857347" w14:textId="77777777" w:rsidTr="006769DA">
        <w:trPr>
          <w:gridAfter w:val="1"/>
          <w:wAfter w:w="222" w:type="dxa"/>
          <w:trHeight w:val="450"/>
        </w:trPr>
        <w:tc>
          <w:tcPr>
            <w:tcW w:w="331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905A317"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84E8E10"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5138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8ACB416"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5138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357F2A" w:rsidRPr="00A33AE8" w14:paraId="0DD14E9A" w14:textId="77777777" w:rsidTr="006769DA">
        <w:trPr>
          <w:trHeight w:val="300"/>
        </w:trPr>
        <w:tc>
          <w:tcPr>
            <w:tcW w:w="3315" w:type="dxa"/>
            <w:vMerge/>
            <w:tcBorders>
              <w:top w:val="nil"/>
              <w:left w:val="single" w:sz="8" w:space="0" w:color="auto"/>
              <w:bottom w:val="single" w:sz="8" w:space="0" w:color="000000"/>
              <w:right w:val="single" w:sz="8" w:space="0" w:color="auto"/>
            </w:tcBorders>
            <w:vAlign w:val="center"/>
            <w:hideMark/>
          </w:tcPr>
          <w:p w14:paraId="7EA448F9"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7F908505"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64C07BA" w14:textId="77777777" w:rsidR="00357F2A" w:rsidRPr="00A33AE8" w:rsidRDefault="00357F2A" w:rsidP="006769DA">
            <w:pPr>
              <w:spacing w:after="0" w:line="240" w:lineRule="auto"/>
              <w:rPr>
                <w:rFonts w:ascii="Calibri Light" w:eastAsia="Times New Roman" w:hAnsi="Calibri Light" w:cs="Calibri Light"/>
                <w:color w:val="000000"/>
                <w:sz w:val="20"/>
                <w:szCs w:val="20"/>
                <w:lang w:eastAsia="en-GB"/>
              </w:rPr>
            </w:pPr>
          </w:p>
        </w:tc>
      </w:tr>
      <w:tr w:rsidR="00357F2A" w:rsidRPr="00A33AE8" w14:paraId="39C5D19B" w14:textId="77777777" w:rsidTr="006769DA">
        <w:trPr>
          <w:trHeight w:val="60"/>
        </w:trPr>
        <w:tc>
          <w:tcPr>
            <w:tcW w:w="3315" w:type="dxa"/>
            <w:vMerge/>
            <w:tcBorders>
              <w:top w:val="nil"/>
              <w:left w:val="single" w:sz="8" w:space="0" w:color="auto"/>
              <w:bottom w:val="single" w:sz="8" w:space="0" w:color="000000"/>
              <w:right w:val="single" w:sz="8" w:space="0" w:color="auto"/>
            </w:tcBorders>
            <w:vAlign w:val="center"/>
            <w:hideMark/>
          </w:tcPr>
          <w:p w14:paraId="31C1303B"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5B640972"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7CB353B" w14:textId="77777777" w:rsidR="00357F2A" w:rsidRPr="00A33AE8" w:rsidRDefault="00357F2A" w:rsidP="006769DA">
            <w:pPr>
              <w:spacing w:after="0" w:line="240" w:lineRule="auto"/>
              <w:rPr>
                <w:rFonts w:ascii="Times New Roman" w:eastAsia="Times New Roman" w:hAnsi="Times New Roman" w:cs="Times New Roman"/>
                <w:sz w:val="20"/>
                <w:szCs w:val="20"/>
                <w:lang w:eastAsia="en-GB"/>
              </w:rPr>
            </w:pPr>
          </w:p>
        </w:tc>
      </w:tr>
      <w:tr w:rsidR="00357F2A" w:rsidRPr="00A33AE8" w14:paraId="213D56D6" w14:textId="77777777" w:rsidTr="006769DA">
        <w:trPr>
          <w:trHeight w:val="307"/>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506F17C"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66B1B82"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tc>
        <w:tc>
          <w:tcPr>
            <w:tcW w:w="222" w:type="dxa"/>
            <w:vAlign w:val="center"/>
            <w:hideMark/>
          </w:tcPr>
          <w:p w14:paraId="760B0EA2" w14:textId="77777777" w:rsidR="00357F2A" w:rsidRPr="00A33AE8" w:rsidRDefault="00357F2A" w:rsidP="006769DA">
            <w:pPr>
              <w:spacing w:after="0" w:line="240" w:lineRule="auto"/>
              <w:rPr>
                <w:rFonts w:ascii="Times New Roman" w:eastAsia="Times New Roman" w:hAnsi="Times New Roman" w:cs="Times New Roman"/>
                <w:sz w:val="20"/>
                <w:szCs w:val="20"/>
                <w:lang w:eastAsia="en-GB"/>
              </w:rPr>
            </w:pPr>
          </w:p>
        </w:tc>
      </w:tr>
      <w:tr w:rsidR="00D77F14" w:rsidRPr="00A33AE8" w14:paraId="46781580"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9391E7E" w14:textId="77777777" w:rsidR="00D77F14" w:rsidRPr="00A33AE8" w:rsidRDefault="00D77F14" w:rsidP="00D77F1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F539DF1" w14:textId="77777777" w:rsidR="00D77F14" w:rsidRPr="00A33AE8" w:rsidRDefault="00D77F14" w:rsidP="00D77F14">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 xml:space="preserve">Budget incorporated into all </w:t>
            </w:r>
            <w:r w:rsidR="00282113" w:rsidRPr="00A33AE8">
              <w:rPr>
                <w:rFonts w:ascii="Calibri Light" w:eastAsia="Times New Roman" w:hAnsi="Calibri Light" w:cs="Calibri Light"/>
                <w:color w:val="000000"/>
                <w:sz w:val="20"/>
                <w:szCs w:val="20"/>
                <w:lang w:eastAsia="en-GB"/>
              </w:rPr>
              <w:t>final energy consumption</w:t>
            </w:r>
            <w:r w:rsidRPr="00A33AE8">
              <w:rPr>
                <w:rFonts w:ascii="Calibri Light" w:eastAsia="Times New Roman" w:hAnsi="Calibri Light" w:cs="Calibri Light"/>
                <w:color w:val="000000"/>
                <w:sz w:val="20"/>
                <w:szCs w:val="20"/>
                <w:lang w:eastAsia="en-GB"/>
              </w:rPr>
              <w:t xml:space="preserve"> measures</w:t>
            </w:r>
          </w:p>
        </w:tc>
        <w:tc>
          <w:tcPr>
            <w:tcW w:w="222" w:type="dxa"/>
            <w:vAlign w:val="center"/>
            <w:hideMark/>
          </w:tcPr>
          <w:p w14:paraId="35DEFC0B" w14:textId="77777777" w:rsidR="00D77F14" w:rsidRPr="00A33AE8" w:rsidRDefault="00D77F14" w:rsidP="00D77F14">
            <w:pPr>
              <w:spacing w:after="0" w:line="240" w:lineRule="auto"/>
              <w:rPr>
                <w:rFonts w:ascii="Times New Roman" w:eastAsia="Times New Roman" w:hAnsi="Times New Roman" w:cs="Times New Roman"/>
                <w:sz w:val="20"/>
                <w:szCs w:val="20"/>
                <w:lang w:eastAsia="en-GB"/>
              </w:rPr>
            </w:pPr>
          </w:p>
        </w:tc>
      </w:tr>
      <w:tr w:rsidR="00357F2A" w:rsidRPr="00A33AE8" w14:paraId="41E59902"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7DDB1BC"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EF831CB" w14:textId="77777777" w:rsidR="00357F2A" w:rsidRPr="00A33AE8" w:rsidRDefault="000F238F"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729B10EF" w14:textId="77777777" w:rsidR="00357F2A" w:rsidRPr="00A33AE8" w:rsidRDefault="00357F2A" w:rsidP="006769DA">
            <w:pPr>
              <w:spacing w:after="0" w:line="240" w:lineRule="auto"/>
              <w:rPr>
                <w:rFonts w:ascii="Times New Roman" w:eastAsia="Times New Roman" w:hAnsi="Times New Roman" w:cs="Times New Roman"/>
                <w:sz w:val="20"/>
                <w:szCs w:val="20"/>
                <w:lang w:eastAsia="en-GB"/>
              </w:rPr>
            </w:pPr>
          </w:p>
        </w:tc>
      </w:tr>
    </w:tbl>
    <w:p w14:paraId="202BC90E" w14:textId="77777777" w:rsidR="00357F2A" w:rsidRPr="00A33AE8" w:rsidRDefault="00357F2A" w:rsidP="00357F2A">
      <w:pPr>
        <w:pStyle w:val="LDKbody"/>
        <w:rPr>
          <w:lang w:val="en-GB"/>
        </w:rPr>
      </w:pPr>
    </w:p>
    <w:tbl>
      <w:tblPr>
        <w:tblW w:w="9680" w:type="dxa"/>
        <w:tblLook w:val="04A0" w:firstRow="1" w:lastRow="0" w:firstColumn="1" w:lastColumn="0" w:noHBand="0" w:noVBand="1"/>
      </w:tblPr>
      <w:tblGrid>
        <w:gridCol w:w="3311"/>
        <w:gridCol w:w="986"/>
        <w:gridCol w:w="943"/>
        <w:gridCol w:w="4218"/>
        <w:gridCol w:w="222"/>
      </w:tblGrid>
      <w:tr w:rsidR="00357F2A" w:rsidRPr="00A33AE8" w14:paraId="790C2166" w14:textId="77777777" w:rsidTr="006769DA">
        <w:trPr>
          <w:gridAfter w:val="1"/>
          <w:wAfter w:w="222" w:type="dxa"/>
          <w:trHeight w:val="780"/>
        </w:trPr>
        <w:tc>
          <w:tcPr>
            <w:tcW w:w="331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ACCE412" w14:textId="77777777" w:rsidR="00357F2A" w:rsidRPr="00A33AE8" w:rsidRDefault="00357F2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156530B" w14:textId="77777777" w:rsidR="00357F2A" w:rsidRPr="00A33AE8" w:rsidRDefault="00357F2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PM_EE27</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57BC91EE" w14:textId="77777777" w:rsidR="00357F2A" w:rsidRPr="00A33AE8" w:rsidRDefault="00357F2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8" w:type="dxa"/>
            <w:tcBorders>
              <w:top w:val="single" w:sz="8" w:space="0" w:color="auto"/>
              <w:left w:val="nil"/>
              <w:bottom w:val="single" w:sz="8" w:space="0" w:color="auto"/>
              <w:right w:val="single" w:sz="8" w:space="0" w:color="auto"/>
            </w:tcBorders>
            <w:shd w:val="clear" w:color="auto" w:fill="E7E6E6" w:themeFill="background2"/>
            <w:vAlign w:val="center"/>
            <w:hideMark/>
          </w:tcPr>
          <w:p w14:paraId="7837357E" w14:textId="77777777" w:rsidR="00357F2A" w:rsidRPr="00A33AE8" w:rsidRDefault="00357F2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Promotion of energy services and energy </w:t>
            </w:r>
            <w:r w:rsidR="0068204C" w:rsidRPr="000007D2">
              <w:rPr>
                <w:rFonts w:ascii="Calibri Light" w:eastAsia="Times New Roman" w:hAnsi="Calibri Light" w:cs="Calibri Light"/>
                <w:b/>
                <w:bCs/>
                <w:color w:val="000000"/>
                <w:sz w:val="20"/>
                <w:szCs w:val="20"/>
                <w:lang w:eastAsia="en-GB"/>
              </w:rPr>
              <w:t xml:space="preserve">services </w:t>
            </w:r>
            <w:r w:rsidRPr="00A33AE8">
              <w:rPr>
                <w:rFonts w:ascii="Calibri Light" w:eastAsia="Times New Roman" w:hAnsi="Calibri Light" w:cs="Calibri Light"/>
                <w:b/>
                <w:bCs/>
                <w:color w:val="000000"/>
                <w:sz w:val="20"/>
                <w:szCs w:val="20"/>
                <w:lang w:eastAsia="en-GB"/>
              </w:rPr>
              <w:t>contracts through supplementary activities</w:t>
            </w:r>
          </w:p>
        </w:tc>
      </w:tr>
      <w:tr w:rsidR="00357F2A" w:rsidRPr="00A33AE8" w14:paraId="0B3CD25A" w14:textId="77777777" w:rsidTr="006769DA">
        <w:trPr>
          <w:gridAfter w:val="1"/>
          <w:wAfter w:w="222" w:type="dxa"/>
          <w:trHeight w:val="496"/>
        </w:trPr>
        <w:tc>
          <w:tcPr>
            <w:tcW w:w="3311" w:type="dxa"/>
            <w:tcBorders>
              <w:top w:val="nil"/>
              <w:left w:val="single" w:sz="8" w:space="0" w:color="auto"/>
              <w:bottom w:val="single" w:sz="8" w:space="0" w:color="auto"/>
              <w:right w:val="nil"/>
            </w:tcBorders>
            <w:shd w:val="clear" w:color="000000" w:fill="244062"/>
            <w:vAlign w:val="center"/>
            <w:hideMark/>
          </w:tcPr>
          <w:p w14:paraId="616A455B"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44F3A546" w14:textId="11108FF7" w:rsidR="00357F2A"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357F2A" w:rsidRPr="00A33AE8">
              <w:rPr>
                <w:rFonts w:ascii="Calibri Light" w:eastAsia="Times New Roman" w:hAnsi="Calibri Light" w:cs="Calibri Light"/>
                <w:color w:val="000000"/>
                <w:sz w:val="20"/>
                <w:szCs w:val="20"/>
                <w:lang w:eastAsia="en-GB"/>
              </w:rPr>
              <w:t xml:space="preserve"> of the following articles of the </w:t>
            </w:r>
            <w:r w:rsidRPr="00A33AE8">
              <w:rPr>
                <w:rFonts w:ascii="Calibri Light" w:eastAsia="Times New Roman" w:hAnsi="Calibri Light" w:cs="Calibri Light"/>
                <w:color w:val="000000"/>
                <w:sz w:val="20"/>
                <w:szCs w:val="20"/>
                <w:lang w:eastAsia="en-GB"/>
              </w:rPr>
              <w:t>Directive (EU) 2012/27, as amended by Directive (EU) 2018/2002:</w:t>
            </w:r>
          </w:p>
          <w:p w14:paraId="521859E0"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357F2A" w:rsidRPr="00A33AE8" w14:paraId="2400C5BF"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75E705B"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D092C99" w14:textId="77777777" w:rsidR="00357F2A" w:rsidRPr="00A33AE8" w:rsidRDefault="00357F2A"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w:t>
            </w:r>
            <w:r w:rsidR="00532B7A"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PM_EE3</w:t>
            </w:r>
          </w:p>
        </w:tc>
      </w:tr>
      <w:tr w:rsidR="009327BF" w:rsidRPr="00A33AE8" w14:paraId="456129F6" w14:textId="77777777" w:rsidTr="00507954">
        <w:trPr>
          <w:gridAfter w:val="1"/>
          <w:wAfter w:w="222" w:type="dxa"/>
          <w:trHeight w:val="287"/>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CAEF3E6" w14:textId="77777777" w:rsidR="009327BF" w:rsidRPr="00A33AE8" w:rsidRDefault="009327BF" w:rsidP="009327B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ECF8B47" w14:textId="77777777" w:rsidR="009327BF" w:rsidRPr="00A33AE8" w:rsidRDefault="009327BF" w:rsidP="009327B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PM_EE27 will create a holistic framework for the promotion of energy services removing the potential barriers. Firstly, the existing standard contracts will be promoted, while targeted guidelines will be developed in order to facilitate the design and implementation of energy efficiency projects through Energy Performance Contracts.</w:t>
            </w:r>
          </w:p>
          <w:p w14:paraId="2B1F22FF" w14:textId="77777777" w:rsidR="009327BF" w:rsidRPr="00A33AE8" w:rsidRDefault="009327BF" w:rsidP="009327B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The implementation of the new rulebook on contract models and the rulebook on minimum requirements for buildings applying the contract on efficient energy supply will be fostered according to the provisions of Articles 43-47 of the Law on Energy Efficiency and Rational Use of Energy.</w:t>
            </w:r>
          </w:p>
          <w:p w14:paraId="648E6262" w14:textId="77777777" w:rsidR="009327BF" w:rsidRPr="000007D2" w:rsidRDefault="009327BF" w:rsidP="009327B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The conduction of technical training programmes and the provision of technical assistance will familiarize the involved parties leading to successful case studies. The existing public procurement procedures will be applied, while the existing legislative framework will be improved so as to become more effective. Finally, different authorities will be appointed for i) monitoring the legislation on energy performance contracts ensuring the eradication of potential market barriers, ii) undertaking the role of an independent mechanism, such as an ombudsman for the efficient handling of complaints and out-of-court settlement of disputes arising from energy service contracts and iii) undertaking the role of an independent market intermediary in order to stimulate the market development on the demand and supply sides.</w:t>
            </w:r>
          </w:p>
        </w:tc>
      </w:tr>
      <w:tr w:rsidR="00357F2A" w:rsidRPr="00A33AE8" w14:paraId="35D57673"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B938C79"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2680CA16" w14:textId="77777777" w:rsidR="00357F2A" w:rsidRPr="00A33AE8" w:rsidRDefault="00A5138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357F2A" w:rsidRPr="00A33AE8">
              <w:rPr>
                <w:rFonts w:ascii="Calibri Light" w:eastAsia="Times New Roman" w:hAnsi="Calibri Light" w:cs="Calibri Light"/>
                <w:color w:val="000000"/>
                <w:sz w:val="20"/>
                <w:szCs w:val="20"/>
                <w:lang w:eastAsia="en-GB"/>
              </w:rPr>
              <w:t>-</w:t>
            </w:r>
            <w:r w:rsidR="008C3EE4" w:rsidRPr="00A33AE8">
              <w:rPr>
                <w:rFonts w:ascii="Calibri Light" w:eastAsia="Times New Roman" w:hAnsi="Calibri Light" w:cs="Calibri Light"/>
                <w:color w:val="000000"/>
                <w:sz w:val="20"/>
                <w:szCs w:val="20"/>
                <w:lang w:eastAsia="en-GB"/>
              </w:rPr>
              <w:t>20</w:t>
            </w:r>
            <w:r w:rsidR="008C3EE4">
              <w:rPr>
                <w:rFonts w:ascii="Calibri Light" w:eastAsia="Times New Roman" w:hAnsi="Calibri Light" w:cs="Calibri Light"/>
                <w:color w:val="000000"/>
                <w:sz w:val="20"/>
                <w:szCs w:val="20"/>
                <w:lang w:eastAsia="en-GB"/>
              </w:rPr>
              <w:t>26</w:t>
            </w:r>
          </w:p>
        </w:tc>
      </w:tr>
      <w:tr w:rsidR="00357F2A" w:rsidRPr="00A33AE8" w14:paraId="28DD9BB8"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92DE60E"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50DF7D7A" w14:textId="77777777" w:rsidR="00357F2A"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57F2A" w:rsidRPr="00A33AE8" w14:paraId="2EE53837"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8ABB8FC"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4EE47EE7" w14:textId="77777777" w:rsidR="00357F2A" w:rsidRPr="00A33AE8" w:rsidRDefault="00357F2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Public, commercial, industrial</w:t>
            </w:r>
          </w:p>
        </w:tc>
      </w:tr>
      <w:tr w:rsidR="00357F2A" w:rsidRPr="00A33AE8" w14:paraId="041686C7"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2AAA56B8"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3CDA849" w14:textId="77777777" w:rsidR="00357F2A" w:rsidRPr="00A33AE8" w:rsidRDefault="0068204C" w:rsidP="00884F3B">
            <w:pPr>
              <w:pStyle w:val="ListParagraph"/>
              <w:numPr>
                <w:ilvl w:val="0"/>
                <w:numId w:val="241"/>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 – EE Directorate</w:t>
            </w:r>
          </w:p>
          <w:p w14:paraId="63BDD162" w14:textId="77777777" w:rsidR="0068204C" w:rsidRPr="00A33AE8" w:rsidRDefault="00CE2B72" w:rsidP="00884F3B">
            <w:pPr>
              <w:pStyle w:val="ListParagraph"/>
              <w:numPr>
                <w:ilvl w:val="0"/>
                <w:numId w:val="2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Public private partnership commission </w:t>
            </w:r>
          </w:p>
        </w:tc>
      </w:tr>
      <w:tr w:rsidR="00357F2A" w:rsidRPr="00A33AE8" w14:paraId="31452016"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6F3D4287"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1C2E24C3" w14:textId="77777777" w:rsidR="00357F2A" w:rsidRPr="00A33AE8" w:rsidRDefault="008C3EE4" w:rsidP="00884F3B">
            <w:pPr>
              <w:pStyle w:val="ListParagraph"/>
              <w:numPr>
                <w:ilvl w:val="0"/>
                <w:numId w:val="241"/>
              </w:numPr>
              <w:spacing w:after="0" w:line="240" w:lineRule="auto"/>
              <w:rPr>
                <w:rFonts w:ascii="Calibri Light" w:eastAsia="Times New Roman" w:hAnsi="Calibri Light" w:cs="Calibri Light"/>
                <w:color w:val="000000"/>
                <w:sz w:val="20"/>
                <w:szCs w:val="20"/>
                <w:lang w:eastAsia="en-GB"/>
              </w:rPr>
            </w:pPr>
            <w:r w:rsidRPr="008C3EE4">
              <w:rPr>
                <w:rFonts w:ascii="Calibri Light" w:eastAsia="Times New Roman" w:hAnsi="Calibri Light" w:cs="Calibri Light"/>
                <w:color w:val="000000"/>
                <w:sz w:val="20"/>
                <w:szCs w:val="20"/>
                <w:lang w:eastAsia="en-GB"/>
              </w:rPr>
              <w:t>Government of the Republic of Serbia</w:t>
            </w:r>
          </w:p>
        </w:tc>
      </w:tr>
      <w:tr w:rsidR="00357F2A" w:rsidRPr="00A33AE8" w14:paraId="39ED5B28"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43ECBE43"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C4BFB1C" w14:textId="77777777" w:rsidR="00357F2A" w:rsidRPr="00A33AE8" w:rsidRDefault="000F238F" w:rsidP="00884F3B">
            <w:pPr>
              <w:pStyle w:val="ListParagraph"/>
              <w:numPr>
                <w:ilvl w:val="0"/>
                <w:numId w:val="2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w:t>
            </w:r>
            <w:r w:rsidR="00CE2B72" w:rsidRPr="00A33AE8">
              <w:rPr>
                <w:rFonts w:ascii="Calibri Light" w:eastAsia="Times New Roman" w:hAnsi="Calibri Light" w:cs="Calibri Light"/>
                <w:color w:val="000000"/>
                <w:sz w:val="20"/>
                <w:szCs w:val="20"/>
                <w:lang w:eastAsia="en-GB"/>
              </w:rPr>
              <w:t xml:space="preserve"> services</w:t>
            </w:r>
            <w:r w:rsidR="009327BF"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contracts</w:t>
            </w:r>
          </w:p>
        </w:tc>
      </w:tr>
      <w:tr w:rsidR="006C6A30" w:rsidRPr="00A33AE8" w14:paraId="23289A73" w14:textId="77777777" w:rsidTr="006769DA">
        <w:trPr>
          <w:gridAfter w:val="1"/>
          <w:wAfter w:w="222" w:type="dxa"/>
          <w:trHeight w:val="257"/>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61CEDC47"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57E58C53" w14:textId="77777777" w:rsidR="008C3EE4" w:rsidRPr="008C3EE4" w:rsidRDefault="006C6A30"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8C3EE4" w:rsidRPr="008C3EE4">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1C4521A6" w14:textId="77777777" w:rsidR="006C6A30" w:rsidRPr="00A33AE8" w:rsidRDefault="008C3EE4"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8C3EE4">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357F2A" w:rsidRPr="00A33AE8" w14:paraId="3ABF8095" w14:textId="77777777" w:rsidTr="006769DA">
        <w:trPr>
          <w:gridAfter w:val="1"/>
          <w:wAfter w:w="222" w:type="dxa"/>
          <w:trHeight w:val="450"/>
        </w:trPr>
        <w:tc>
          <w:tcPr>
            <w:tcW w:w="331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7B9E9A5"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453DCD"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631EE"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560B9AB"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631EE"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357F2A" w:rsidRPr="00A33AE8" w14:paraId="190E5E21" w14:textId="77777777" w:rsidTr="006769DA">
        <w:trPr>
          <w:trHeight w:val="300"/>
        </w:trPr>
        <w:tc>
          <w:tcPr>
            <w:tcW w:w="3311" w:type="dxa"/>
            <w:vMerge/>
            <w:tcBorders>
              <w:top w:val="nil"/>
              <w:left w:val="single" w:sz="8" w:space="0" w:color="auto"/>
              <w:bottom w:val="single" w:sz="8" w:space="0" w:color="000000"/>
              <w:right w:val="single" w:sz="8" w:space="0" w:color="auto"/>
            </w:tcBorders>
            <w:vAlign w:val="center"/>
            <w:hideMark/>
          </w:tcPr>
          <w:p w14:paraId="5FB49517"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2DC87FB4"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FD7E8E4" w14:textId="77777777" w:rsidR="00357F2A" w:rsidRPr="00A33AE8" w:rsidRDefault="00357F2A" w:rsidP="006769DA">
            <w:pPr>
              <w:spacing w:after="0" w:line="240" w:lineRule="auto"/>
              <w:rPr>
                <w:rFonts w:ascii="Calibri Light" w:eastAsia="Times New Roman" w:hAnsi="Calibri Light" w:cs="Calibri Light"/>
                <w:color w:val="000000"/>
                <w:sz w:val="20"/>
                <w:szCs w:val="20"/>
                <w:lang w:eastAsia="en-GB"/>
              </w:rPr>
            </w:pPr>
          </w:p>
        </w:tc>
      </w:tr>
      <w:tr w:rsidR="00357F2A" w:rsidRPr="00A33AE8" w14:paraId="511DB85A" w14:textId="77777777" w:rsidTr="006769DA">
        <w:trPr>
          <w:trHeight w:val="60"/>
        </w:trPr>
        <w:tc>
          <w:tcPr>
            <w:tcW w:w="3311" w:type="dxa"/>
            <w:vMerge/>
            <w:tcBorders>
              <w:top w:val="nil"/>
              <w:left w:val="single" w:sz="8" w:space="0" w:color="auto"/>
              <w:bottom w:val="single" w:sz="8" w:space="0" w:color="000000"/>
              <w:right w:val="single" w:sz="8" w:space="0" w:color="auto"/>
            </w:tcBorders>
            <w:vAlign w:val="center"/>
            <w:hideMark/>
          </w:tcPr>
          <w:p w14:paraId="573DCFA9"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79545EA8"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4C05230" w14:textId="77777777" w:rsidR="00357F2A" w:rsidRPr="00A33AE8" w:rsidRDefault="00357F2A" w:rsidP="006769DA">
            <w:pPr>
              <w:spacing w:after="0" w:line="240" w:lineRule="auto"/>
              <w:rPr>
                <w:rFonts w:ascii="Times New Roman" w:eastAsia="Times New Roman" w:hAnsi="Times New Roman" w:cs="Times New Roman"/>
                <w:sz w:val="20"/>
                <w:szCs w:val="20"/>
                <w:lang w:eastAsia="en-GB"/>
              </w:rPr>
            </w:pPr>
          </w:p>
        </w:tc>
      </w:tr>
      <w:tr w:rsidR="00357F2A" w:rsidRPr="00A33AE8" w14:paraId="505D221A" w14:textId="77777777" w:rsidTr="006769DA">
        <w:trPr>
          <w:trHeight w:val="30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7C364862"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4983C2D3" w14:textId="77777777" w:rsidR="00357F2A" w:rsidRPr="00A33AE8" w:rsidRDefault="00357F2A" w:rsidP="00884F3B">
            <w:pPr>
              <w:pStyle w:val="ListParagraph"/>
              <w:numPr>
                <w:ilvl w:val="0"/>
                <w:numId w:val="15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tc>
        <w:tc>
          <w:tcPr>
            <w:tcW w:w="222" w:type="dxa"/>
            <w:vAlign w:val="center"/>
            <w:hideMark/>
          </w:tcPr>
          <w:p w14:paraId="5ED5EFCB" w14:textId="77777777" w:rsidR="00357F2A" w:rsidRPr="00A33AE8" w:rsidRDefault="00357F2A" w:rsidP="006769DA">
            <w:pPr>
              <w:spacing w:after="0" w:line="240" w:lineRule="auto"/>
              <w:rPr>
                <w:rFonts w:ascii="Times New Roman" w:eastAsia="Times New Roman" w:hAnsi="Times New Roman" w:cs="Times New Roman"/>
                <w:sz w:val="20"/>
                <w:szCs w:val="20"/>
                <w:lang w:eastAsia="en-GB"/>
              </w:rPr>
            </w:pPr>
          </w:p>
        </w:tc>
      </w:tr>
      <w:tr w:rsidR="00E65D30" w:rsidRPr="00A33AE8" w14:paraId="68C49305"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FF213BE" w14:textId="77777777" w:rsidR="00E65D30" w:rsidRPr="00A33AE8" w:rsidRDefault="00E65D30" w:rsidP="00E65D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24EC20C3" w14:textId="77777777" w:rsidR="00E65D30" w:rsidRPr="00A33AE8" w:rsidRDefault="00E65D30" w:rsidP="00E65D30">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Be integrated into PM_EE1, PM_EE2 and PM_EE3</w:t>
            </w:r>
          </w:p>
        </w:tc>
        <w:tc>
          <w:tcPr>
            <w:tcW w:w="222" w:type="dxa"/>
            <w:vAlign w:val="center"/>
            <w:hideMark/>
          </w:tcPr>
          <w:p w14:paraId="11B1B049" w14:textId="77777777" w:rsidR="00E65D30" w:rsidRPr="00A33AE8" w:rsidRDefault="00E65D30" w:rsidP="00E65D30">
            <w:pPr>
              <w:spacing w:after="0" w:line="240" w:lineRule="auto"/>
              <w:rPr>
                <w:rFonts w:ascii="Times New Roman" w:eastAsia="Times New Roman" w:hAnsi="Times New Roman" w:cs="Times New Roman"/>
                <w:sz w:val="20"/>
                <w:szCs w:val="20"/>
                <w:lang w:eastAsia="en-GB"/>
              </w:rPr>
            </w:pPr>
          </w:p>
        </w:tc>
      </w:tr>
      <w:tr w:rsidR="00357F2A" w:rsidRPr="00A33AE8" w14:paraId="5191CB15"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84910FD" w14:textId="77777777" w:rsidR="00357F2A" w:rsidRPr="00A33AE8" w:rsidRDefault="00357F2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61DA284" w14:textId="77777777" w:rsidR="00357F2A" w:rsidRPr="00A33AE8" w:rsidRDefault="000F238F"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39F044F2" w14:textId="77777777" w:rsidR="00357F2A" w:rsidRPr="00A33AE8" w:rsidRDefault="00357F2A" w:rsidP="006769DA">
            <w:pPr>
              <w:spacing w:after="0" w:line="240" w:lineRule="auto"/>
              <w:rPr>
                <w:rFonts w:ascii="Times New Roman" w:eastAsia="Times New Roman" w:hAnsi="Times New Roman" w:cs="Times New Roman"/>
                <w:sz w:val="20"/>
                <w:szCs w:val="20"/>
                <w:lang w:eastAsia="en-GB"/>
              </w:rPr>
            </w:pPr>
          </w:p>
        </w:tc>
      </w:tr>
    </w:tbl>
    <w:p w14:paraId="6128D64B" w14:textId="77777777" w:rsidR="00E44595" w:rsidRPr="00A33AE8" w:rsidRDefault="00E44595" w:rsidP="00E44595">
      <w:pPr>
        <w:pStyle w:val="LDKBody1"/>
      </w:pPr>
    </w:p>
    <w:p w14:paraId="76B1EA23" w14:textId="77777777" w:rsidR="00D2554B" w:rsidRPr="00A33AE8" w:rsidRDefault="00D2554B" w:rsidP="00884F3B">
      <w:pPr>
        <w:pStyle w:val="Heading4"/>
        <w:numPr>
          <w:ilvl w:val="0"/>
          <w:numId w:val="6"/>
        </w:numPr>
      </w:pPr>
      <w:r w:rsidRPr="00A33AE8">
        <w:t>Other planned policies, measures and programmes to achieve the indicative national energy efficiency target for 2030 as well as other objectives presented in 2.2</w:t>
      </w:r>
    </w:p>
    <w:p w14:paraId="22703A53" w14:textId="77777777" w:rsidR="00D2554B" w:rsidRPr="00A33AE8" w:rsidRDefault="00D2554B" w:rsidP="004C6CE1">
      <w:pPr>
        <w:spacing w:before="160"/>
        <w:jc w:val="both"/>
        <w:rPr>
          <w:rFonts w:asciiTheme="majorHAnsi" w:hAnsiTheme="majorHAnsi" w:cstheme="majorHAnsi"/>
          <w:b/>
          <w:bCs/>
          <w:color w:val="000000"/>
          <w:u w:val="single"/>
        </w:rPr>
      </w:pPr>
      <w:r w:rsidRPr="00A33AE8">
        <w:rPr>
          <w:rFonts w:asciiTheme="majorHAnsi" w:hAnsiTheme="majorHAnsi" w:cstheme="majorHAnsi"/>
          <w:b/>
          <w:bCs/>
          <w:color w:val="000000"/>
          <w:u w:val="single"/>
        </w:rPr>
        <w:t>Transport sector</w:t>
      </w:r>
    </w:p>
    <w:p w14:paraId="467A5480"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The promotion of energy efficient vehicles through the provision of specific tax advantages will be the main instrument</w:t>
      </w:r>
      <w:r w:rsidR="00502398" w:rsidRPr="00A33AE8">
        <w:t xml:space="preserve"> </w:t>
      </w:r>
      <w:r w:rsidR="00502398" w:rsidRPr="00A33AE8">
        <w:rPr>
          <w:rFonts w:asciiTheme="majorHAnsi" w:hAnsiTheme="majorHAnsi" w:cstheme="majorHAnsi"/>
          <w:color w:val="000000"/>
        </w:rPr>
        <w:t>for increasing the energy efficiency in transport sector</w:t>
      </w:r>
      <w:r w:rsidRPr="00A33AE8">
        <w:rPr>
          <w:rFonts w:asciiTheme="majorHAnsi" w:hAnsiTheme="majorHAnsi" w:cstheme="majorHAnsi"/>
          <w:color w:val="000000"/>
        </w:rPr>
        <w:t>. In the case that the fiscal measures are not sufficient to the fulfilment of the established targets, financial incentives will be provided to end-users so as to foster considerably the replacement of the conventional vehicles with new energy efficient ones. Furthermore, stricter minimum requirements will be imposed regarding the applied emission standards in imported used passenger cars ensuring the achievement of acceptable energy efficiency levels compared to the new energy efficient one.</w:t>
      </w:r>
    </w:p>
    <w:p w14:paraId="5E087DE0"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Priority will be given on the promotion of energy efficiency of the freight transport with initiatives, such as the replacement of the vehicle fleets and the facilitation of the modal shift to other means of transport. To this direction, a holistic framework will be developed for the promotion of modal shift both for passenger and freight transport enabling ‘Mobility as a Service’ (MaaS) with the exploitation of the available data, the information and communication technologies and artificial intelligence for smarter mobility.</w:t>
      </w:r>
    </w:p>
    <w:p w14:paraId="06D1F03E"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Furthermore, the promotion of alternative fuels will be supported with the development of the required infrastructure for all the promoted types of alternative fuels maximizing the synergies with the policy measures, which have been integrated into the RES dimension. It should be noted that emphasis will be given on the targeted deployment of electromobility so as to attain the target in regards the penetration of electric vehicles.</w:t>
      </w:r>
    </w:p>
    <w:p w14:paraId="3EFA2349"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The continuous enhancement and extension of the relative infrastructure for public transport will be ensured, while the exemplary role of the public sector will be reinforced with dedicated measures, such as indicatively the determination of a compulsory quota of vehicles with higher energy efficiency in public agencies and organisations by setting higher energy efficiency limits.</w:t>
      </w:r>
    </w:p>
    <w:p w14:paraId="1D287A2B"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The development of sustainable regional or municipal mobility plans will facilitate the implementation of the above-mentioned measures at local and regional level, while existing various measures for the promotion of energy efficient tyres for all types of vehicles will be continued, such as the promotion of energy efficient tyres and lubricants, the regular technical inspections of vehicles in compliance with specific quality requirements, the promotion of fuel additives, the establishment of a framework for fuel labelling and fuel quality monitoring.</w:t>
      </w:r>
    </w:p>
    <w:p w14:paraId="34E38483" w14:textId="77777777" w:rsidR="00D2554B" w:rsidRPr="00A33AE8" w:rsidRDefault="00D2554B" w:rsidP="004C6CE1">
      <w:pPr>
        <w:spacing w:before="160"/>
        <w:jc w:val="both"/>
        <w:rPr>
          <w:rFonts w:cstheme="minorHAnsi"/>
          <w:color w:val="000000"/>
        </w:rPr>
      </w:pPr>
      <w:r w:rsidRPr="00A33AE8">
        <w:rPr>
          <w:rFonts w:asciiTheme="majorHAnsi" w:hAnsiTheme="majorHAnsi" w:cstheme="majorHAnsi"/>
          <w:color w:val="000000"/>
        </w:rPr>
        <w:t>Finally, targeted measures will be implemented aiming at the promotion of energy efficiency in inland waterways and rail transport both for the freight and passenger transport through the provision of either financial, fiscal or regulatory measures</w:t>
      </w:r>
      <w:r w:rsidR="00CA0A1B" w:rsidRPr="00A33AE8">
        <w:rPr>
          <w:rFonts w:asciiTheme="majorHAnsi" w:hAnsiTheme="majorHAnsi" w:cstheme="majorHAnsi"/>
          <w:color w:val="000000"/>
        </w:rPr>
        <w:t>.</w:t>
      </w:r>
    </w:p>
    <w:tbl>
      <w:tblPr>
        <w:tblW w:w="9680" w:type="dxa"/>
        <w:tblLook w:val="04A0" w:firstRow="1" w:lastRow="0" w:firstColumn="1" w:lastColumn="0" w:noHBand="0" w:noVBand="1"/>
      </w:tblPr>
      <w:tblGrid>
        <w:gridCol w:w="3317"/>
        <w:gridCol w:w="986"/>
        <w:gridCol w:w="944"/>
        <w:gridCol w:w="4211"/>
        <w:gridCol w:w="222"/>
      </w:tblGrid>
      <w:tr w:rsidR="00EF065F" w:rsidRPr="00A33AE8" w14:paraId="4AE65B67"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75F549B" w14:textId="77777777"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F3D8EEF"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PM_EE10</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37A12B6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3D0A3029" w14:textId="77777777" w:rsidR="00EF065F" w:rsidRPr="00A33AE8" w:rsidRDefault="00EF065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efficient passenger and light-heavy duty vehicles</w:t>
            </w:r>
          </w:p>
        </w:tc>
      </w:tr>
      <w:tr w:rsidR="00EF065F" w:rsidRPr="00A33AE8" w14:paraId="7A30735B" w14:textId="77777777" w:rsidTr="006769DA">
        <w:trPr>
          <w:gridAfter w:val="1"/>
          <w:wAfter w:w="222" w:type="dxa"/>
          <w:trHeight w:val="658"/>
        </w:trPr>
        <w:tc>
          <w:tcPr>
            <w:tcW w:w="3317" w:type="dxa"/>
            <w:tcBorders>
              <w:top w:val="nil"/>
              <w:left w:val="single" w:sz="8" w:space="0" w:color="auto"/>
              <w:bottom w:val="single" w:sz="8" w:space="0" w:color="auto"/>
              <w:right w:val="nil"/>
            </w:tcBorders>
            <w:shd w:val="clear" w:color="000000" w:fill="244062"/>
            <w:vAlign w:val="center"/>
            <w:hideMark/>
          </w:tcPr>
          <w:p w14:paraId="024D555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BCF92B1" w14:textId="436FAFFA" w:rsidR="00EF065F" w:rsidRPr="00A33AE8" w:rsidRDefault="00E631E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153B70F7" w14:textId="77777777" w:rsidR="00EF065F" w:rsidRPr="00A33AE8" w:rsidRDefault="00EF065F" w:rsidP="00884F3B">
            <w:pPr>
              <w:pStyle w:val="ListParagraph"/>
              <w:numPr>
                <w:ilvl w:val="0"/>
                <w:numId w:val="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Article 3</w:t>
            </w:r>
          </w:p>
          <w:p w14:paraId="24696410" w14:textId="77777777" w:rsidR="00EF065F" w:rsidRPr="00A33AE8" w:rsidRDefault="00EF065F" w:rsidP="00884F3B">
            <w:pPr>
              <w:pStyle w:val="ListParagraph"/>
              <w:numPr>
                <w:ilvl w:val="0"/>
                <w:numId w:val="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25A76E58"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FC6571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7077F31" w14:textId="77777777" w:rsidR="00EF065F" w:rsidRPr="00A33AE8" w:rsidRDefault="00502398"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102.1 thousand gasoline and hybrid passenger vehicles (f</w:t>
            </w:r>
            <w:r w:rsidR="00532B7A" w:rsidRPr="00A33AE8">
              <w:rPr>
                <w:rFonts w:ascii="Calibri Light" w:eastAsia="Times New Roman" w:hAnsi="Calibri Light" w:cs="Calibri Light"/>
                <w:color w:val="000000"/>
                <w:sz w:val="20"/>
                <w:szCs w:val="20"/>
                <w:lang w:eastAsia="en-GB"/>
              </w:rPr>
              <w:t xml:space="preserve">inal energy savings </w:t>
            </w:r>
            <w:r w:rsidR="00E631EE" w:rsidRPr="00A33AE8">
              <w:rPr>
                <w:rFonts w:ascii="Calibri Light" w:eastAsia="Times New Roman" w:hAnsi="Calibri Light" w:cs="Calibri Light"/>
                <w:color w:val="000000"/>
                <w:sz w:val="20"/>
                <w:szCs w:val="20"/>
                <w:lang w:eastAsia="en-GB"/>
              </w:rPr>
              <w:t>5</w:t>
            </w:r>
            <w:r w:rsidR="005B7FFC" w:rsidRPr="00A33AE8">
              <w:rPr>
                <w:rFonts w:ascii="Calibri Light" w:eastAsia="Times New Roman" w:hAnsi="Calibri Light" w:cs="Calibri Light"/>
                <w:color w:val="000000"/>
                <w:sz w:val="20"/>
                <w:szCs w:val="20"/>
                <w:lang w:eastAsia="en-GB"/>
              </w:rPr>
              <w:t xml:space="preserve"> </w:t>
            </w:r>
            <w:r w:rsidR="00532B7A" w:rsidRPr="00A33AE8">
              <w:rPr>
                <w:rFonts w:ascii="Calibri Light" w:eastAsia="Times New Roman" w:hAnsi="Calibri Light" w:cs="Calibri Light"/>
                <w:color w:val="000000"/>
                <w:sz w:val="20"/>
                <w:szCs w:val="20"/>
                <w:lang w:eastAsia="en-GB"/>
              </w:rPr>
              <w:t>ktoe)</w:t>
            </w:r>
          </w:p>
        </w:tc>
      </w:tr>
      <w:tr w:rsidR="00EF065F" w:rsidRPr="00A33AE8" w14:paraId="2AFD785B" w14:textId="77777777" w:rsidTr="00507954">
        <w:trPr>
          <w:gridAfter w:val="1"/>
          <w:wAfter w:w="222" w:type="dxa"/>
          <w:trHeight w:val="868"/>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340DCE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A66F624"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PM_EE10 will target to the promotion of energy efficiency in transport sector through the compliance with the </w:t>
            </w:r>
            <w:r w:rsidR="00E1538D" w:rsidRPr="00A33AE8">
              <w:rPr>
                <w:rFonts w:ascii="Calibri Light" w:eastAsia="Times New Roman" w:hAnsi="Calibri Light" w:cs="Calibri Light"/>
                <w:color w:val="000000"/>
                <w:sz w:val="20"/>
                <w:szCs w:val="20"/>
                <w:lang w:eastAsia="en-GB"/>
              </w:rPr>
              <w:t>Regulation (EU) 2019/631</w:t>
            </w:r>
            <w:r w:rsidRPr="00A33AE8">
              <w:rPr>
                <w:rFonts w:ascii="Calibri Light" w:eastAsia="Times New Roman" w:hAnsi="Calibri Light" w:cs="Calibri Light"/>
                <w:color w:val="000000"/>
                <w:sz w:val="20"/>
                <w:szCs w:val="20"/>
                <w:lang w:eastAsia="en-GB"/>
              </w:rPr>
              <w:t xml:space="preserve"> setting emission performance standards for new passenger cars and new light commercial vehicles respectively. Moreover, the promotion of energy efficient vehicles will be achieved also through the provision of specific tax advantages for mobilizing the purchase of energy efficient vehicles including the vehicles that consume alternative fuels. The taxation framework of the transport sector will be streamlined selecting the most effective forms of tax in order to balance the total cost of ownership and promoting the energy efficiency of vehicles and the use of low-emission fuels. The selection of the most effective form of taxation will be resulted by the assessment of various types, such as indicatively the introduction of vehicle excise duty based on CO2 emissions, the vehicle circulation tax, the excise tax on road transport fuels exceeding the minimum levels as required in Directive 2003/96/EC, the establishment of road charges for heavy-duty vehicles etc.</w:t>
            </w:r>
          </w:p>
        </w:tc>
      </w:tr>
      <w:tr w:rsidR="00EF065F" w:rsidRPr="00A33AE8" w14:paraId="5FF1013D"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8FEF42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7E965BE" w14:textId="77777777" w:rsidR="00EF065F" w:rsidRPr="00A33AE8" w:rsidRDefault="000E406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189EFFD3"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BC96B7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92D4439" w14:textId="77777777" w:rsidR="00EF065F"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277AB36C"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6C8EF3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58DAEE1"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EF065F" w:rsidRPr="00A33AE8" w14:paraId="7F4A7AF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9420D3A" w14:textId="77777777" w:rsidR="00EF065F" w:rsidRPr="000007D2" w:rsidRDefault="00EF065F" w:rsidP="006769DA">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6023F7D" w14:textId="77777777" w:rsidR="00EF065F" w:rsidRPr="000007D2" w:rsidRDefault="00B2397B"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EF065F" w:rsidRPr="00A33AE8" w14:paraId="14149BE5"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675B7C4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BBB1B57" w14:textId="77777777" w:rsidR="00EF065F" w:rsidRPr="00A33AE8" w:rsidRDefault="003D3EC5"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3D3EC5">
              <w:rPr>
                <w:rFonts w:ascii="Calibri Light" w:eastAsia="Times New Roman" w:hAnsi="Calibri Light" w:cs="Calibri Light"/>
                <w:color w:val="000000"/>
                <w:sz w:val="20"/>
                <w:szCs w:val="20"/>
                <w:lang w:eastAsia="en-GB"/>
              </w:rPr>
              <w:t>Government of the Republic of Serbia</w:t>
            </w:r>
            <w:r w:rsidR="00EF065F" w:rsidRPr="00A33AE8">
              <w:rPr>
                <w:rFonts w:ascii="Calibri Light" w:eastAsia="Times New Roman" w:hAnsi="Calibri Light" w:cs="Calibri Light"/>
                <w:color w:val="000000"/>
                <w:sz w:val="20"/>
                <w:szCs w:val="20"/>
                <w:lang w:eastAsia="en-GB"/>
              </w:rPr>
              <w:t> </w:t>
            </w:r>
          </w:p>
        </w:tc>
      </w:tr>
      <w:tr w:rsidR="00EF065F" w:rsidRPr="00A33AE8" w14:paraId="71397ACB"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75AD580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616514B" w14:textId="77777777" w:rsidR="00EF065F" w:rsidRPr="00A33AE8" w:rsidRDefault="000F238F"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 efficient vehicles</w:t>
            </w:r>
          </w:p>
        </w:tc>
      </w:tr>
      <w:tr w:rsidR="006C6A30" w:rsidRPr="00A33AE8" w14:paraId="78D280AE" w14:textId="77777777" w:rsidTr="006769DA">
        <w:trPr>
          <w:gridAfter w:val="1"/>
          <w:wAfter w:w="222" w:type="dxa"/>
          <w:trHeight w:val="492"/>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528A1B3"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2D035DB" w14:textId="77777777" w:rsidR="003D3EC5" w:rsidRPr="003D3EC5" w:rsidRDefault="006C6A30"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3D3EC5" w:rsidRPr="003D3EC5">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48AEE6A1" w14:textId="77777777" w:rsidR="006C6A30" w:rsidRPr="00A33AE8" w:rsidRDefault="003D3EC5"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r w:rsidRPr="003D3EC5">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EF065F" w:rsidRPr="00A33AE8" w14:paraId="78BB324F"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E9F9D6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6569FC" w14:textId="77777777" w:rsidR="00EF065F" w:rsidRPr="00A33AE8" w:rsidRDefault="00EF065F"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631EE"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299F908F" w14:textId="77777777" w:rsidR="00EF065F" w:rsidRPr="00A33AE8" w:rsidRDefault="00EF065F"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631EE"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697997A3" w14:textId="77777777" w:rsidR="00E1538D" w:rsidRPr="00A33AE8" w:rsidRDefault="00E1538D"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2019/631</w:t>
            </w:r>
          </w:p>
        </w:tc>
      </w:tr>
      <w:tr w:rsidR="00EF065F" w:rsidRPr="00A33AE8" w14:paraId="212BB73E"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408608B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71086236" w14:textId="77777777" w:rsidR="00EF065F" w:rsidRPr="00A33AE8" w:rsidRDefault="00EF065F"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9ACB1BE"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p>
        </w:tc>
      </w:tr>
      <w:tr w:rsidR="00EF065F" w:rsidRPr="00A33AE8" w14:paraId="786A383F"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25218A9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2CF4849" w14:textId="77777777" w:rsidR="00EF065F" w:rsidRPr="00A33AE8" w:rsidRDefault="00EF065F"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514C22E"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7DF6AB1D" w14:textId="77777777" w:rsidTr="006769DA">
        <w:trPr>
          <w:trHeight w:val="244"/>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DFCCB6A"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614652C" w14:textId="77777777" w:rsidR="00EF065F" w:rsidRPr="00A33AE8" w:rsidRDefault="00EF065F" w:rsidP="00884F3B">
            <w:pPr>
              <w:pStyle w:val="ListParagraph"/>
              <w:numPr>
                <w:ilvl w:val="0"/>
                <w:numId w:val="13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4th NEEAP </w:t>
            </w:r>
          </w:p>
        </w:tc>
        <w:tc>
          <w:tcPr>
            <w:tcW w:w="222" w:type="dxa"/>
            <w:vAlign w:val="center"/>
            <w:hideMark/>
          </w:tcPr>
          <w:p w14:paraId="5779FD49"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194D1617"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B0F705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A54CC23" w14:textId="77777777" w:rsidR="00EF065F" w:rsidRPr="000007D2" w:rsidRDefault="00E1538D" w:rsidP="00037A9E">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3.803</w:t>
            </w:r>
            <w:r w:rsidR="00532B7A" w:rsidRPr="00A33AE8">
              <w:rPr>
                <w:rFonts w:ascii="Calibri Light" w:eastAsia="Times New Roman" w:hAnsi="Calibri Light" w:cs="Calibri Light"/>
                <w:color w:val="000000"/>
                <w:sz w:val="20"/>
                <w:szCs w:val="20"/>
                <w:lang w:eastAsia="en-GB"/>
              </w:rPr>
              <w:t xml:space="preserve"> B</w:t>
            </w:r>
            <w:r w:rsidR="00A26048" w:rsidRPr="00A33AE8">
              <w:rPr>
                <w:rFonts w:ascii="Calibri Light" w:eastAsia="Times New Roman" w:hAnsi="Calibri Light" w:cs="Calibri Light"/>
                <w:color w:val="000000"/>
                <w:sz w:val="20"/>
                <w:szCs w:val="20"/>
                <w:lang w:eastAsia="en-GB"/>
              </w:rPr>
              <w:t>€</w:t>
            </w:r>
          </w:p>
        </w:tc>
        <w:tc>
          <w:tcPr>
            <w:tcW w:w="222" w:type="dxa"/>
            <w:vAlign w:val="center"/>
            <w:hideMark/>
          </w:tcPr>
          <w:p w14:paraId="4228262B"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1CFEB66E"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D553B5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9D30B72" w14:textId="77777777" w:rsidR="00EF065F" w:rsidRPr="00A33AE8" w:rsidRDefault="00922BD5"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own </w:t>
            </w:r>
            <w:r w:rsidR="000F238F"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006AD1C9"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bl>
    <w:p w14:paraId="72A96C75"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8"/>
        <w:gridCol w:w="986"/>
        <w:gridCol w:w="944"/>
        <w:gridCol w:w="4210"/>
        <w:gridCol w:w="222"/>
      </w:tblGrid>
      <w:tr w:rsidR="00EF065F" w:rsidRPr="00A33AE8" w14:paraId="3B8E6434" w14:textId="77777777" w:rsidTr="006769DA">
        <w:trPr>
          <w:gridAfter w:val="1"/>
          <w:wAfter w:w="222" w:type="dxa"/>
          <w:trHeight w:val="780"/>
        </w:trPr>
        <w:tc>
          <w:tcPr>
            <w:tcW w:w="331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68B2A951" w14:textId="2EBEDAF8"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91684BC"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PM_EE11</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5FEEE0E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A362DF8" w14:textId="77777777" w:rsidR="00EF065F" w:rsidRPr="00A33AE8" w:rsidRDefault="00EF065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Ensuring the energy efficiency in imported used passenger cars</w:t>
            </w:r>
          </w:p>
        </w:tc>
      </w:tr>
      <w:tr w:rsidR="00EF065F" w:rsidRPr="00A33AE8" w14:paraId="549BBC10" w14:textId="77777777" w:rsidTr="006769DA">
        <w:trPr>
          <w:gridAfter w:val="1"/>
          <w:wAfter w:w="222" w:type="dxa"/>
          <w:trHeight w:val="435"/>
        </w:trPr>
        <w:tc>
          <w:tcPr>
            <w:tcW w:w="3318" w:type="dxa"/>
            <w:tcBorders>
              <w:top w:val="nil"/>
              <w:left w:val="single" w:sz="8" w:space="0" w:color="auto"/>
              <w:bottom w:val="single" w:sz="8" w:space="0" w:color="auto"/>
              <w:right w:val="nil"/>
            </w:tcBorders>
            <w:shd w:val="clear" w:color="000000" w:fill="244062"/>
            <w:vAlign w:val="center"/>
            <w:hideMark/>
          </w:tcPr>
          <w:p w14:paraId="60A6E1F3" w14:textId="6AE32B11"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D3716EB" w14:textId="27F81640" w:rsidR="00EF065F" w:rsidRPr="000007D2" w:rsidRDefault="00E631E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457727F0" w14:textId="77777777" w:rsidR="00EF065F" w:rsidRPr="00A33AE8" w:rsidRDefault="00EF065F" w:rsidP="00884F3B">
            <w:pPr>
              <w:pStyle w:val="ListParagraph"/>
              <w:numPr>
                <w:ilvl w:val="0"/>
                <w:numId w:val="13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0743F1B1" w14:textId="77777777" w:rsidR="00EF065F" w:rsidRPr="00A33AE8" w:rsidRDefault="00EF065F" w:rsidP="00884F3B">
            <w:pPr>
              <w:pStyle w:val="ListParagraph"/>
              <w:numPr>
                <w:ilvl w:val="0"/>
                <w:numId w:val="13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02E7C8A5"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58A8475" w14:textId="737A5E74"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5E0863C1" w14:textId="77777777" w:rsidR="00EF065F" w:rsidRPr="00A33AE8" w:rsidRDefault="00EF065F"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A26048" w:rsidRPr="00A33AE8">
              <w:rPr>
                <w:rFonts w:ascii="Calibri Light" w:eastAsia="Times New Roman" w:hAnsi="Calibri Light" w:cs="Calibri Light"/>
                <w:color w:val="000000"/>
                <w:sz w:val="20"/>
                <w:szCs w:val="20"/>
                <w:lang w:eastAsia="en-GB"/>
              </w:rPr>
              <w:t xml:space="preserve">PM_EE10, </w:t>
            </w:r>
            <w:r w:rsidR="00CA0A1B" w:rsidRPr="00A33AE8">
              <w:rPr>
                <w:rFonts w:ascii="Calibri Light" w:eastAsia="Times New Roman" w:hAnsi="Calibri Light" w:cs="Calibri Light"/>
                <w:color w:val="000000"/>
                <w:sz w:val="20"/>
                <w:szCs w:val="20"/>
                <w:lang w:eastAsia="en-GB"/>
              </w:rPr>
              <w:t xml:space="preserve">PM_EE12 and </w:t>
            </w:r>
            <w:r w:rsidRPr="00A33AE8">
              <w:rPr>
                <w:rFonts w:ascii="Calibri Light" w:eastAsia="Times New Roman" w:hAnsi="Calibri Light" w:cs="Calibri Light"/>
                <w:color w:val="000000"/>
                <w:sz w:val="20"/>
                <w:szCs w:val="20"/>
                <w:lang w:eastAsia="en-GB"/>
              </w:rPr>
              <w:t>PM_EE14</w:t>
            </w:r>
          </w:p>
        </w:tc>
      </w:tr>
      <w:tr w:rsidR="00EF065F" w:rsidRPr="00A33AE8" w14:paraId="1FEF8301" w14:textId="77777777" w:rsidTr="006769DA">
        <w:trPr>
          <w:gridAfter w:val="1"/>
          <w:wAfter w:w="222" w:type="dxa"/>
          <w:trHeight w:val="712"/>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11091A2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53C9366"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PM_EE11 will impose stricter minimum requirements regarding the applied emission standards in imported passenger cars, which are used, ensuring the achievement of acceptable energy efficiency levels compared to the new energy efficient one.</w:t>
            </w:r>
          </w:p>
        </w:tc>
      </w:tr>
      <w:tr w:rsidR="00EF065F" w:rsidRPr="00A33AE8" w14:paraId="4DE8026B"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428173C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B42D4BB" w14:textId="77777777" w:rsidR="00EF065F" w:rsidRPr="00A33AE8" w:rsidRDefault="000E406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4EC58166"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58B19FB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3148BE9E" w14:textId="77777777" w:rsidR="00EF065F"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EF065F" w:rsidRPr="00A33AE8" w14:paraId="728E25C0"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0A02034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A44200C"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A7141" w:rsidRPr="00A33AE8" w14:paraId="65C4AAAB"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524B3C32"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B513756" w14:textId="77777777" w:rsidR="00DA7141" w:rsidRPr="000007D2"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DA7141" w:rsidRPr="00A33AE8" w14:paraId="69C827B6"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44D44673"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1E9F8BF0" w14:textId="77777777" w:rsidR="00DA7141" w:rsidRPr="00A33AE8" w:rsidRDefault="000E437E"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E437E">
              <w:rPr>
                <w:rFonts w:ascii="Calibri Light" w:eastAsia="Times New Roman" w:hAnsi="Calibri Light" w:cs="Calibri Light"/>
                <w:color w:val="000000"/>
                <w:sz w:val="20"/>
                <w:szCs w:val="20"/>
                <w:lang w:eastAsia="en-GB"/>
              </w:rPr>
              <w:t>Government of the Republic of Serbia</w:t>
            </w:r>
          </w:p>
        </w:tc>
      </w:tr>
      <w:tr w:rsidR="00DA7141" w:rsidRPr="00A33AE8" w14:paraId="4100B6A6"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3EA873CB"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5F6F0431" w14:textId="77777777" w:rsidR="00DA7141" w:rsidRPr="00A33AE8"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 efficient vehicles</w:t>
            </w:r>
          </w:p>
        </w:tc>
      </w:tr>
      <w:tr w:rsidR="00DA7141" w:rsidRPr="00A33AE8" w14:paraId="3B9F7E6D" w14:textId="77777777" w:rsidTr="006769DA">
        <w:trPr>
          <w:gridAfter w:val="1"/>
          <w:wAfter w:w="222" w:type="dxa"/>
          <w:trHeight w:val="547"/>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536BD8E4"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6B6C93D1" w14:textId="77777777" w:rsidR="000E437E" w:rsidRPr="000E437E" w:rsidRDefault="00DA7141"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0E437E" w:rsidRPr="000E437E">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3F6FB5D5" w14:textId="77777777" w:rsidR="00DA7141" w:rsidRPr="00A33AE8" w:rsidRDefault="000E437E"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r w:rsidRPr="000E437E">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DA7141" w:rsidRPr="00A33AE8" w14:paraId="6E3CCBE9" w14:textId="77777777" w:rsidTr="006769DA">
        <w:trPr>
          <w:gridAfter w:val="1"/>
          <w:wAfter w:w="222" w:type="dxa"/>
          <w:trHeight w:val="450"/>
        </w:trPr>
        <w:tc>
          <w:tcPr>
            <w:tcW w:w="331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0C1F176"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594236" w14:textId="77777777" w:rsidR="00DA7141" w:rsidRPr="00A33AE8" w:rsidRDefault="00DA7141"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0A4E05AF" w14:textId="77777777" w:rsidR="00DA7141" w:rsidRPr="00A33AE8" w:rsidRDefault="00DA7141"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DA7141" w:rsidRPr="00A33AE8" w14:paraId="4904BF9E" w14:textId="77777777" w:rsidTr="006769DA">
        <w:trPr>
          <w:trHeight w:val="300"/>
        </w:trPr>
        <w:tc>
          <w:tcPr>
            <w:tcW w:w="3318" w:type="dxa"/>
            <w:vMerge/>
            <w:tcBorders>
              <w:top w:val="nil"/>
              <w:left w:val="single" w:sz="8" w:space="0" w:color="auto"/>
              <w:bottom w:val="single" w:sz="8" w:space="0" w:color="000000"/>
              <w:right w:val="single" w:sz="8" w:space="0" w:color="auto"/>
            </w:tcBorders>
            <w:vAlign w:val="center"/>
            <w:hideMark/>
          </w:tcPr>
          <w:p w14:paraId="2D679278"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796AE3ED" w14:textId="77777777" w:rsidR="00DA7141" w:rsidRPr="00A33AE8" w:rsidRDefault="00DA7141"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4B6EF3D" w14:textId="77777777" w:rsidR="00DA7141" w:rsidRPr="00A33AE8" w:rsidRDefault="00DA7141" w:rsidP="00DA7141">
            <w:pPr>
              <w:spacing w:after="0" w:line="240" w:lineRule="auto"/>
              <w:rPr>
                <w:rFonts w:ascii="Calibri Light" w:eastAsia="Times New Roman" w:hAnsi="Calibri Light" w:cs="Calibri Light"/>
                <w:color w:val="000000"/>
                <w:sz w:val="20"/>
                <w:szCs w:val="20"/>
                <w:lang w:eastAsia="en-GB"/>
              </w:rPr>
            </w:pPr>
          </w:p>
        </w:tc>
      </w:tr>
      <w:tr w:rsidR="00DA7141" w:rsidRPr="00A33AE8" w14:paraId="4B96C217" w14:textId="77777777" w:rsidTr="006769DA">
        <w:trPr>
          <w:trHeight w:val="60"/>
        </w:trPr>
        <w:tc>
          <w:tcPr>
            <w:tcW w:w="3318" w:type="dxa"/>
            <w:vMerge/>
            <w:tcBorders>
              <w:top w:val="nil"/>
              <w:left w:val="single" w:sz="8" w:space="0" w:color="auto"/>
              <w:bottom w:val="single" w:sz="8" w:space="0" w:color="000000"/>
              <w:right w:val="single" w:sz="8" w:space="0" w:color="auto"/>
            </w:tcBorders>
            <w:vAlign w:val="center"/>
            <w:hideMark/>
          </w:tcPr>
          <w:p w14:paraId="5637DCAD"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3819AF3E" w14:textId="77777777" w:rsidR="00DA7141" w:rsidRPr="00A33AE8" w:rsidRDefault="00DA7141"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C64A18F"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7F3CD432" w14:textId="77777777" w:rsidTr="006769DA">
        <w:trPr>
          <w:trHeight w:val="443"/>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1A0CFB5"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414D4D69" w14:textId="77777777" w:rsidR="00DA7141" w:rsidRPr="00A33AE8" w:rsidRDefault="00DA7141" w:rsidP="00884F3B">
            <w:pPr>
              <w:pStyle w:val="ListParagraph"/>
              <w:numPr>
                <w:ilvl w:val="0"/>
                <w:numId w:val="13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4th NEEAP </w:t>
            </w:r>
          </w:p>
        </w:tc>
        <w:tc>
          <w:tcPr>
            <w:tcW w:w="222" w:type="dxa"/>
            <w:vAlign w:val="center"/>
            <w:hideMark/>
          </w:tcPr>
          <w:p w14:paraId="4D9F9C52"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57BD53B0"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5BA57D45"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6C3AAB0" w14:textId="77777777" w:rsidR="00DA7141" w:rsidRPr="00A33AE8" w:rsidRDefault="00DA7141" w:rsidP="00DA7141">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PM_EE10, PM_EE12 and PM_EE14</w:t>
            </w:r>
          </w:p>
        </w:tc>
        <w:tc>
          <w:tcPr>
            <w:tcW w:w="222" w:type="dxa"/>
            <w:vAlign w:val="center"/>
            <w:hideMark/>
          </w:tcPr>
          <w:p w14:paraId="4B780DFC"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46EB613D"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15406A4C"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633A938A" w14:textId="77777777" w:rsidR="00DA7141" w:rsidRPr="00A33AE8" w:rsidRDefault="00DA7141" w:rsidP="00DA7141">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own funds</w:t>
            </w:r>
          </w:p>
        </w:tc>
        <w:tc>
          <w:tcPr>
            <w:tcW w:w="222" w:type="dxa"/>
            <w:vAlign w:val="center"/>
            <w:hideMark/>
          </w:tcPr>
          <w:p w14:paraId="593AFC3C"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bl>
    <w:p w14:paraId="4EFE3A06"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7"/>
        <w:gridCol w:w="986"/>
        <w:gridCol w:w="944"/>
        <w:gridCol w:w="4211"/>
        <w:gridCol w:w="222"/>
      </w:tblGrid>
      <w:tr w:rsidR="00EF065F" w:rsidRPr="00A33AE8" w14:paraId="1EDE0E2B"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A04E25B" w14:textId="388673BD"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86C7F4B"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PM_EE12</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755C4FF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17489F9"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Financing programs for the promotion of energy efficiency passenger vehicles</w:t>
            </w:r>
          </w:p>
        </w:tc>
      </w:tr>
      <w:tr w:rsidR="00EF065F" w:rsidRPr="00A33AE8" w14:paraId="696DB30E" w14:textId="77777777" w:rsidTr="006769DA">
        <w:trPr>
          <w:gridAfter w:val="1"/>
          <w:wAfter w:w="222" w:type="dxa"/>
          <w:trHeight w:val="960"/>
        </w:trPr>
        <w:tc>
          <w:tcPr>
            <w:tcW w:w="3317" w:type="dxa"/>
            <w:tcBorders>
              <w:top w:val="nil"/>
              <w:left w:val="single" w:sz="8" w:space="0" w:color="auto"/>
              <w:bottom w:val="single" w:sz="8" w:space="0" w:color="auto"/>
              <w:right w:val="nil"/>
            </w:tcBorders>
            <w:shd w:val="clear" w:color="000000" w:fill="244062"/>
            <w:vAlign w:val="center"/>
            <w:hideMark/>
          </w:tcPr>
          <w:p w14:paraId="47D25313" w14:textId="1912ED35"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AC9D65E" w14:textId="0622D20A" w:rsidR="00EF065F" w:rsidRPr="00A33AE8" w:rsidRDefault="00E631E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5C31C583" w14:textId="77777777" w:rsidR="00EF065F" w:rsidRPr="00A33AE8" w:rsidRDefault="00EF065F" w:rsidP="00884F3B">
            <w:pPr>
              <w:pStyle w:val="ListParagraph"/>
              <w:numPr>
                <w:ilvl w:val="0"/>
                <w:numId w:val="13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7C732C0C" w14:textId="77777777" w:rsidR="00EF065F" w:rsidRPr="00A33AE8" w:rsidRDefault="00EF065F" w:rsidP="00884F3B">
            <w:pPr>
              <w:pStyle w:val="ListParagraph"/>
              <w:numPr>
                <w:ilvl w:val="0"/>
                <w:numId w:val="13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0624BC39"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07B131A" w14:textId="00E07D90"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C989F50" w14:textId="77777777" w:rsidR="00EF065F" w:rsidRPr="00A33AE8" w:rsidRDefault="000E4065"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20</w:t>
            </w:r>
            <w:r w:rsidR="00EF065F"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5</w:t>
            </w:r>
            <w:r w:rsidR="005B7FFC" w:rsidRPr="00A33AE8">
              <w:rPr>
                <w:rFonts w:ascii="Calibri Light" w:eastAsia="Times New Roman" w:hAnsi="Calibri Light" w:cs="Calibri Light"/>
                <w:color w:val="000000"/>
                <w:sz w:val="20"/>
                <w:szCs w:val="20"/>
                <w:lang w:eastAsia="en-GB"/>
              </w:rPr>
              <w:t xml:space="preserve"> </w:t>
            </w:r>
            <w:r w:rsidR="00EF065F" w:rsidRPr="00A33AE8">
              <w:rPr>
                <w:rFonts w:ascii="Calibri Light" w:eastAsia="Times New Roman" w:hAnsi="Calibri Light" w:cs="Calibri Light"/>
                <w:color w:val="000000"/>
                <w:sz w:val="20"/>
                <w:szCs w:val="20"/>
                <w:lang w:eastAsia="en-GB"/>
              </w:rPr>
              <w:t>thousand electric vehicles</w:t>
            </w:r>
            <w:r w:rsidR="00A26048" w:rsidRPr="00A33AE8">
              <w:rPr>
                <w:rFonts w:ascii="Calibri Light" w:eastAsia="Times New Roman" w:hAnsi="Calibri Light" w:cs="Calibri Light"/>
                <w:color w:val="000000"/>
                <w:sz w:val="20"/>
                <w:szCs w:val="20"/>
                <w:lang w:eastAsia="en-GB"/>
              </w:rPr>
              <w:t xml:space="preserve"> (final energy savings </w:t>
            </w:r>
            <w:r w:rsidR="00E911E9" w:rsidRPr="00A33AE8">
              <w:rPr>
                <w:rFonts w:ascii="Calibri Light" w:eastAsia="Times New Roman" w:hAnsi="Calibri Light" w:cs="Calibri Light"/>
                <w:color w:val="000000"/>
                <w:sz w:val="20"/>
                <w:szCs w:val="20"/>
                <w:lang w:eastAsia="en-GB"/>
              </w:rPr>
              <w:t>9</w:t>
            </w:r>
            <w:r w:rsidR="005B7FFC" w:rsidRPr="00A33AE8">
              <w:rPr>
                <w:rFonts w:ascii="Calibri Light" w:eastAsia="Times New Roman" w:hAnsi="Calibri Light" w:cs="Calibri Light"/>
                <w:color w:val="000000"/>
                <w:sz w:val="20"/>
                <w:szCs w:val="20"/>
                <w:lang w:eastAsia="en-GB"/>
              </w:rPr>
              <w:t xml:space="preserve"> </w:t>
            </w:r>
            <w:r w:rsidR="00A26048" w:rsidRPr="00A33AE8">
              <w:rPr>
                <w:rFonts w:ascii="Calibri Light" w:eastAsia="Times New Roman" w:hAnsi="Calibri Light" w:cs="Calibri Light"/>
                <w:color w:val="000000"/>
                <w:sz w:val="20"/>
                <w:szCs w:val="20"/>
                <w:lang w:eastAsia="en-GB"/>
              </w:rPr>
              <w:t>ktoe)</w:t>
            </w:r>
          </w:p>
        </w:tc>
      </w:tr>
      <w:tr w:rsidR="00EF065F" w:rsidRPr="00A33AE8" w14:paraId="0F539BDF" w14:textId="77777777" w:rsidTr="006769DA">
        <w:trPr>
          <w:gridAfter w:val="1"/>
          <w:wAfter w:w="222" w:type="dxa"/>
          <w:trHeight w:val="1201"/>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A55896F"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E86400A"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PM_EE12 will provide subsidies for the purchase of energy efficient passenger vehicles so as to replace conventional ones in the case that the fiscal measures are not sufficient to the fulfilment of the established targets. The provided subsidies will consider as eligible the vehicles that consume alternative fuels.</w:t>
            </w:r>
          </w:p>
        </w:tc>
      </w:tr>
      <w:tr w:rsidR="00EF065F" w:rsidRPr="00A33AE8" w14:paraId="06FAC975"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58F847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DDA9E61" w14:textId="77777777" w:rsidR="00EF065F" w:rsidRPr="00A33AE8" w:rsidRDefault="000E406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22245A02"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E0F354A"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87C4309" w14:textId="77777777" w:rsidR="00EF065F" w:rsidRPr="00A33AE8" w:rsidRDefault="00D35D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6C7CABF8"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79DB8D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8CA1B0E"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A7141" w:rsidRPr="00A33AE8" w14:paraId="182041B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5DE38AA" w14:textId="77777777" w:rsidR="00DA7141" w:rsidRPr="000007D2"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9309711" w14:textId="77777777" w:rsidR="00DA7141" w:rsidRPr="000007D2"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DA7141" w:rsidRPr="00A33AE8" w14:paraId="65947280"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2884E6F6"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D9D4609" w14:textId="77777777" w:rsidR="00DA7141" w:rsidRPr="00A33AE8" w:rsidRDefault="00741814"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741814">
              <w:rPr>
                <w:rFonts w:ascii="Calibri Light" w:eastAsia="Times New Roman" w:hAnsi="Calibri Light" w:cs="Calibri Light"/>
                <w:color w:val="000000"/>
                <w:sz w:val="20"/>
                <w:szCs w:val="20"/>
                <w:lang w:eastAsia="en-GB"/>
              </w:rPr>
              <w:t>Government of the Republic of Serbia</w:t>
            </w:r>
          </w:p>
        </w:tc>
      </w:tr>
      <w:tr w:rsidR="00DA7141" w:rsidRPr="00A33AE8" w14:paraId="069B6308"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0AF9914A"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3476FDE" w14:textId="77777777" w:rsidR="00DA7141" w:rsidRPr="00A33AE8"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passenger vehicles </w:t>
            </w:r>
          </w:p>
        </w:tc>
      </w:tr>
      <w:tr w:rsidR="00DA7141" w:rsidRPr="00A33AE8" w14:paraId="36C2E289" w14:textId="77777777" w:rsidTr="006769DA">
        <w:trPr>
          <w:gridAfter w:val="1"/>
          <w:wAfter w:w="222" w:type="dxa"/>
          <w:trHeight w:val="291"/>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232D30C"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2D71C1F" w14:textId="77777777" w:rsidR="00741814" w:rsidRPr="00741814" w:rsidRDefault="00DA7141"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41814" w:rsidRPr="00741814">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promoted electric vehicles will increase the RES share in transport)</w:t>
            </w:r>
          </w:p>
          <w:p w14:paraId="515EA3E8" w14:textId="77777777" w:rsidR="00DA7141" w:rsidRPr="00A33AE8" w:rsidRDefault="00741814"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r w:rsidRPr="00741814">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DA7141" w:rsidRPr="00A33AE8" w14:paraId="76FA5D0E"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D7960C8"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82CFA4" w14:textId="77777777" w:rsidR="00DA7141" w:rsidRPr="00A33AE8" w:rsidRDefault="00DA7141"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0964B181" w14:textId="77777777" w:rsidR="00DA7141" w:rsidRPr="00A33AE8" w:rsidRDefault="00DA7141"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DA7141" w:rsidRPr="00A33AE8" w14:paraId="1269EC7F"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7DD0CEF4"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4EA063FF" w14:textId="77777777" w:rsidR="00DA7141" w:rsidRPr="00A33AE8" w:rsidRDefault="00DA7141"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A290320" w14:textId="77777777" w:rsidR="00DA7141" w:rsidRPr="00A33AE8" w:rsidRDefault="00DA7141" w:rsidP="00DA7141">
            <w:pPr>
              <w:spacing w:after="0" w:line="240" w:lineRule="auto"/>
              <w:rPr>
                <w:rFonts w:ascii="Calibri Light" w:eastAsia="Times New Roman" w:hAnsi="Calibri Light" w:cs="Calibri Light"/>
                <w:color w:val="000000"/>
                <w:sz w:val="20"/>
                <w:szCs w:val="20"/>
                <w:lang w:eastAsia="en-GB"/>
              </w:rPr>
            </w:pPr>
          </w:p>
        </w:tc>
      </w:tr>
      <w:tr w:rsidR="00DA7141" w:rsidRPr="00A33AE8" w14:paraId="3E965060"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04A28002"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69158538" w14:textId="77777777" w:rsidR="00DA7141" w:rsidRPr="00A33AE8" w:rsidRDefault="00DA7141"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9A4B3E5"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288917AD" w14:textId="77777777" w:rsidTr="006769DA">
        <w:trPr>
          <w:trHeight w:val="48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7965A34"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E0F42E0" w14:textId="77777777" w:rsidR="00DA7141" w:rsidRPr="00A33AE8" w:rsidRDefault="00DA7141" w:rsidP="00884F3B">
            <w:pPr>
              <w:pStyle w:val="ListParagraph"/>
              <w:numPr>
                <w:ilvl w:val="0"/>
                <w:numId w:val="13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Strategy Implementation Programme (2017)</w:t>
            </w:r>
          </w:p>
        </w:tc>
        <w:tc>
          <w:tcPr>
            <w:tcW w:w="222" w:type="dxa"/>
            <w:vAlign w:val="center"/>
            <w:hideMark/>
          </w:tcPr>
          <w:p w14:paraId="3A8557E1"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6C768793"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E5DFF85"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7206994" w14:textId="77777777" w:rsidR="00DA7141" w:rsidRPr="000007D2" w:rsidRDefault="00DA7141" w:rsidP="00DA7141">
            <w:pPr>
              <w:spacing w:after="0" w:line="240" w:lineRule="auto"/>
              <w:rPr>
                <w:rFonts w:ascii="Calibri" w:eastAsia="Times New Roman" w:hAnsi="Calibri" w:cs="Calibri"/>
                <w:color w:val="000000"/>
                <w:lang w:eastAsia="en-GB"/>
              </w:rPr>
            </w:pPr>
            <w:bookmarkStart w:id="162" w:name="_Hlk152489897"/>
            <w:r w:rsidRPr="00B907C8">
              <w:rPr>
                <w:rFonts w:ascii="Calibri Light" w:eastAsia="Times New Roman" w:hAnsi="Calibri Light" w:cs="Calibri Light"/>
                <w:color w:val="000000"/>
                <w:sz w:val="20"/>
                <w:szCs w:val="20"/>
                <w:lang w:eastAsia="en-GB"/>
              </w:rPr>
              <w:t>570 M€</w:t>
            </w:r>
            <w:bookmarkEnd w:id="162"/>
          </w:p>
        </w:tc>
        <w:tc>
          <w:tcPr>
            <w:tcW w:w="222" w:type="dxa"/>
            <w:vAlign w:val="center"/>
            <w:hideMark/>
          </w:tcPr>
          <w:p w14:paraId="617F51EB"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7668A5CC"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A3BFF20"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AB737AF" w14:textId="77777777" w:rsidR="00DA7141" w:rsidRPr="00A33AE8" w:rsidRDefault="00DA7141" w:rsidP="00DA7141">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31DFEBDF"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bl>
    <w:p w14:paraId="27AD7082"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3"/>
        <w:gridCol w:w="986"/>
        <w:gridCol w:w="943"/>
        <w:gridCol w:w="4216"/>
        <w:gridCol w:w="222"/>
      </w:tblGrid>
      <w:tr w:rsidR="00EF065F" w:rsidRPr="00A33AE8" w14:paraId="1989B804" w14:textId="77777777" w:rsidTr="006769DA">
        <w:trPr>
          <w:gridAfter w:val="1"/>
          <w:wAfter w:w="222" w:type="dxa"/>
          <w:trHeight w:val="780"/>
        </w:trPr>
        <w:tc>
          <w:tcPr>
            <w:tcW w:w="331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3C1E632" w14:textId="3F3DAC11"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0A8E422"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PM_EE13</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6A44A94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71E8964" w14:textId="77777777" w:rsidR="00EF065F" w:rsidRPr="00A33AE8" w:rsidRDefault="00EF065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the required infrastructure for the promotion of alternative fuels</w:t>
            </w:r>
          </w:p>
        </w:tc>
      </w:tr>
      <w:tr w:rsidR="00EF065F" w:rsidRPr="00A33AE8" w14:paraId="53BBAEAA" w14:textId="77777777" w:rsidTr="006769DA">
        <w:trPr>
          <w:gridAfter w:val="1"/>
          <w:wAfter w:w="222" w:type="dxa"/>
          <w:trHeight w:val="531"/>
        </w:trPr>
        <w:tc>
          <w:tcPr>
            <w:tcW w:w="3313" w:type="dxa"/>
            <w:tcBorders>
              <w:top w:val="nil"/>
              <w:left w:val="single" w:sz="8" w:space="0" w:color="auto"/>
              <w:bottom w:val="single" w:sz="8" w:space="0" w:color="auto"/>
              <w:right w:val="nil"/>
            </w:tcBorders>
            <w:shd w:val="clear" w:color="000000" w:fill="244062"/>
            <w:vAlign w:val="center"/>
            <w:hideMark/>
          </w:tcPr>
          <w:p w14:paraId="53654080" w14:textId="3BFEEF34"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6E68608A" w14:textId="3E2B79D4" w:rsidR="00EF065F" w:rsidRPr="00A33AE8" w:rsidRDefault="000E406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354C7982" w14:textId="77777777" w:rsidR="00EF065F" w:rsidRPr="00A33AE8" w:rsidRDefault="00EF065F" w:rsidP="00884F3B">
            <w:pPr>
              <w:pStyle w:val="ListParagraph"/>
              <w:numPr>
                <w:ilvl w:val="0"/>
                <w:numId w:val="13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51DE2EF1" w14:textId="77777777" w:rsidR="00EF065F" w:rsidRPr="00A33AE8" w:rsidRDefault="00EF065F" w:rsidP="00884F3B">
            <w:pPr>
              <w:pStyle w:val="ListParagraph"/>
              <w:numPr>
                <w:ilvl w:val="0"/>
                <w:numId w:val="13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69CB1200"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622884CD" w14:textId="24ED8EFC"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77B8C88" w14:textId="77777777" w:rsidR="00EF065F" w:rsidRPr="00A33AE8" w:rsidRDefault="00A26048"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PM_EE10, PM_EE12 and PM_EE14</w:t>
            </w:r>
          </w:p>
        </w:tc>
      </w:tr>
      <w:tr w:rsidR="00EF065F" w:rsidRPr="00A33AE8" w14:paraId="475CF9A3" w14:textId="77777777" w:rsidTr="006769DA">
        <w:trPr>
          <w:gridAfter w:val="1"/>
          <w:wAfter w:w="222" w:type="dxa"/>
          <w:trHeight w:val="147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2E7E669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2335BFE"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PM_EE13 will promote the further penetration of alternative fuels with the development of the required infrastructure</w:t>
            </w:r>
            <w:r w:rsidR="00691B87" w:rsidRPr="00A33AE8">
              <w:rPr>
                <w:rFonts w:ascii="Calibri Light" w:eastAsia="Times New Roman" w:hAnsi="Calibri Light" w:cs="Calibri Light"/>
                <w:color w:val="000000"/>
                <w:sz w:val="20"/>
                <w:szCs w:val="20"/>
                <w:lang w:eastAsia="en-GB"/>
              </w:rPr>
              <w:t xml:space="preserve"> according to the provisions of Directive 2014/94/EU</w:t>
            </w:r>
            <w:r w:rsidRPr="00A33AE8">
              <w:rPr>
                <w:rFonts w:ascii="Calibri Light" w:eastAsia="Times New Roman" w:hAnsi="Calibri Light" w:cs="Calibri Light"/>
                <w:color w:val="000000"/>
                <w:sz w:val="20"/>
                <w:szCs w:val="20"/>
                <w:lang w:eastAsia="en-GB"/>
              </w:rPr>
              <w:t>. Especially for the case of electromobility, an electrification action plan for passenger and freight transport, roads and infrastructure will be compiled emphasizing also on the development of the legal framework and the exploitation of various financial instruments.</w:t>
            </w:r>
          </w:p>
        </w:tc>
      </w:tr>
      <w:tr w:rsidR="00EF065F" w:rsidRPr="00A33AE8" w14:paraId="2399F297"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54E1BE4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734E72E0" w14:textId="77777777" w:rsidR="00EF065F" w:rsidRPr="00A33AE8" w:rsidRDefault="000E406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0237970E"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63FC3E08"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5EE49511"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7CD52112"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29AA9A7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0F4079F"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A7141" w:rsidRPr="00A33AE8" w14:paraId="2DE346F1"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1762A63A" w14:textId="77777777" w:rsidR="00DA7141" w:rsidRPr="000007D2"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3E8FCE1F" w14:textId="77777777" w:rsidR="00DA7141" w:rsidRPr="000007D2"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DA7141" w:rsidRPr="00A33AE8" w14:paraId="4330FECA" w14:textId="77777777" w:rsidTr="006769DA">
        <w:trPr>
          <w:gridAfter w:val="1"/>
          <w:wAfter w:w="222" w:type="dxa"/>
          <w:trHeight w:val="315"/>
        </w:trPr>
        <w:tc>
          <w:tcPr>
            <w:tcW w:w="3313" w:type="dxa"/>
            <w:tcBorders>
              <w:top w:val="nil"/>
              <w:left w:val="single" w:sz="8" w:space="0" w:color="auto"/>
              <w:bottom w:val="single" w:sz="8" w:space="0" w:color="auto"/>
              <w:right w:val="nil"/>
            </w:tcBorders>
            <w:shd w:val="clear" w:color="000000" w:fill="244062"/>
            <w:vAlign w:val="center"/>
            <w:hideMark/>
          </w:tcPr>
          <w:p w14:paraId="03255090"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99062F4" w14:textId="77777777" w:rsidR="00DA7141" w:rsidRPr="00A33AE8" w:rsidRDefault="00DB41F9"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DB41F9">
              <w:rPr>
                <w:rFonts w:ascii="Calibri Light" w:eastAsia="Times New Roman" w:hAnsi="Calibri Light" w:cs="Calibri Light"/>
                <w:color w:val="000000"/>
                <w:sz w:val="20"/>
                <w:szCs w:val="20"/>
                <w:lang w:eastAsia="en-GB"/>
              </w:rPr>
              <w:t>Government of the Republic of Serbia</w:t>
            </w:r>
          </w:p>
        </w:tc>
      </w:tr>
      <w:tr w:rsidR="00DA7141" w:rsidRPr="00A33AE8" w14:paraId="2ACC9707" w14:textId="77777777" w:rsidTr="006769DA">
        <w:trPr>
          <w:gridAfter w:val="1"/>
          <w:wAfter w:w="222" w:type="dxa"/>
          <w:trHeight w:val="315"/>
        </w:trPr>
        <w:tc>
          <w:tcPr>
            <w:tcW w:w="3313" w:type="dxa"/>
            <w:tcBorders>
              <w:top w:val="nil"/>
              <w:left w:val="single" w:sz="8" w:space="0" w:color="auto"/>
              <w:bottom w:val="single" w:sz="8" w:space="0" w:color="auto"/>
              <w:right w:val="nil"/>
            </w:tcBorders>
            <w:shd w:val="clear" w:color="000000" w:fill="244062"/>
            <w:vAlign w:val="center"/>
            <w:hideMark/>
          </w:tcPr>
          <w:p w14:paraId="49AB5530"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CEFE90E" w14:textId="77777777" w:rsidR="00DA7141" w:rsidRPr="00A33AE8"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infrastructures</w:t>
            </w:r>
          </w:p>
        </w:tc>
      </w:tr>
      <w:tr w:rsidR="00DA7141" w:rsidRPr="00A33AE8" w14:paraId="3F1299C2" w14:textId="77777777" w:rsidTr="006769DA">
        <w:trPr>
          <w:gridAfter w:val="1"/>
          <w:wAfter w:w="222" w:type="dxa"/>
          <w:trHeight w:val="287"/>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05CAB253"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C27D844" w14:textId="77777777" w:rsidR="00DB41F9" w:rsidRPr="00DB41F9" w:rsidRDefault="00DA7141"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DB41F9" w:rsidRPr="00DB41F9">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promoted electric vehicles will increase the RES share in transport)</w:t>
            </w:r>
          </w:p>
          <w:p w14:paraId="2FA098CC" w14:textId="77777777" w:rsidR="00DA7141" w:rsidRPr="00A33AE8" w:rsidRDefault="00DB41F9"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r w:rsidRPr="00DB41F9">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DA7141" w:rsidRPr="00A33AE8" w14:paraId="1DDAA5B2" w14:textId="77777777" w:rsidTr="006769DA">
        <w:trPr>
          <w:gridAfter w:val="1"/>
          <w:wAfter w:w="222" w:type="dxa"/>
          <w:trHeight w:val="450"/>
        </w:trPr>
        <w:tc>
          <w:tcPr>
            <w:tcW w:w="331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7A1848A"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A666C8A" w14:textId="77777777" w:rsidR="00DA7141" w:rsidRPr="00A33AE8" w:rsidRDefault="00DA7141"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665EABC5" w14:textId="77777777" w:rsidR="00DA7141" w:rsidRPr="00A33AE8" w:rsidRDefault="00DA7141"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p w14:paraId="58F082E6" w14:textId="77777777" w:rsidR="00691B87" w:rsidRPr="00A33AE8" w:rsidRDefault="00691B87"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2014/94/EU</w:t>
            </w:r>
          </w:p>
        </w:tc>
      </w:tr>
      <w:tr w:rsidR="00DA7141" w:rsidRPr="00A33AE8" w14:paraId="1B7D09AD" w14:textId="77777777" w:rsidTr="006769DA">
        <w:trPr>
          <w:trHeight w:val="300"/>
        </w:trPr>
        <w:tc>
          <w:tcPr>
            <w:tcW w:w="3313" w:type="dxa"/>
            <w:vMerge/>
            <w:tcBorders>
              <w:top w:val="nil"/>
              <w:left w:val="single" w:sz="8" w:space="0" w:color="auto"/>
              <w:bottom w:val="single" w:sz="8" w:space="0" w:color="000000"/>
              <w:right w:val="single" w:sz="8" w:space="0" w:color="auto"/>
            </w:tcBorders>
            <w:vAlign w:val="center"/>
            <w:hideMark/>
          </w:tcPr>
          <w:p w14:paraId="681365F8"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4B3BBFCC" w14:textId="77777777" w:rsidR="00DA7141" w:rsidRPr="00A33AE8" w:rsidRDefault="00DA7141"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E39D3BE" w14:textId="77777777" w:rsidR="00DA7141" w:rsidRPr="00A33AE8" w:rsidRDefault="00DA7141" w:rsidP="00DA7141">
            <w:pPr>
              <w:spacing w:after="0" w:line="240" w:lineRule="auto"/>
              <w:rPr>
                <w:rFonts w:ascii="Calibri Light" w:eastAsia="Times New Roman" w:hAnsi="Calibri Light" w:cs="Calibri Light"/>
                <w:color w:val="000000"/>
                <w:sz w:val="20"/>
                <w:szCs w:val="20"/>
                <w:lang w:eastAsia="en-GB"/>
              </w:rPr>
            </w:pPr>
          </w:p>
        </w:tc>
      </w:tr>
      <w:tr w:rsidR="00DA7141" w:rsidRPr="00A33AE8" w14:paraId="3295B9FC" w14:textId="77777777" w:rsidTr="006769DA">
        <w:trPr>
          <w:trHeight w:val="60"/>
        </w:trPr>
        <w:tc>
          <w:tcPr>
            <w:tcW w:w="3313" w:type="dxa"/>
            <w:vMerge/>
            <w:tcBorders>
              <w:top w:val="nil"/>
              <w:left w:val="single" w:sz="8" w:space="0" w:color="auto"/>
              <w:bottom w:val="single" w:sz="8" w:space="0" w:color="000000"/>
              <w:right w:val="single" w:sz="8" w:space="0" w:color="auto"/>
            </w:tcBorders>
            <w:vAlign w:val="center"/>
            <w:hideMark/>
          </w:tcPr>
          <w:p w14:paraId="26E8E9AC"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50592B53" w14:textId="77777777" w:rsidR="00DA7141" w:rsidRPr="00A33AE8" w:rsidRDefault="00DA7141"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7DFDFB4"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5FDCC7C1" w14:textId="77777777" w:rsidTr="006769DA">
        <w:trPr>
          <w:trHeight w:val="321"/>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50CB7DD"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3F65F6B" w14:textId="77777777" w:rsidR="00DA7141" w:rsidRPr="00A33AE8" w:rsidRDefault="00DA7141" w:rsidP="00884F3B">
            <w:pPr>
              <w:pStyle w:val="ListParagraph"/>
              <w:numPr>
                <w:ilvl w:val="0"/>
                <w:numId w:val="13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Strategy Implementation Programme (2017)</w:t>
            </w:r>
          </w:p>
        </w:tc>
        <w:tc>
          <w:tcPr>
            <w:tcW w:w="222" w:type="dxa"/>
            <w:vAlign w:val="center"/>
            <w:hideMark/>
          </w:tcPr>
          <w:p w14:paraId="5DB7664F"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69BCDDBF" w14:textId="77777777" w:rsidTr="006769DA">
        <w:trPr>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3E815E6"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699CE9C6" w14:textId="77777777" w:rsidR="00DA7141" w:rsidRPr="00A33AE8" w:rsidRDefault="00DA7141" w:rsidP="00DA7141">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PM_EE10, PM_EE12 and PM_EE14</w:t>
            </w:r>
          </w:p>
        </w:tc>
        <w:tc>
          <w:tcPr>
            <w:tcW w:w="222" w:type="dxa"/>
            <w:vAlign w:val="center"/>
            <w:hideMark/>
          </w:tcPr>
          <w:p w14:paraId="43C14D3C"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213F726C" w14:textId="77777777" w:rsidTr="006769DA">
        <w:trPr>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0D93D842"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7BDC16B8" w14:textId="77777777" w:rsidR="00DA7141" w:rsidRPr="00A33AE8" w:rsidRDefault="00DA7141" w:rsidP="00DA7141">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w:t>
            </w:r>
          </w:p>
        </w:tc>
        <w:tc>
          <w:tcPr>
            <w:tcW w:w="222" w:type="dxa"/>
            <w:vAlign w:val="center"/>
            <w:hideMark/>
          </w:tcPr>
          <w:p w14:paraId="45607A45"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bl>
    <w:p w14:paraId="1A156C68"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7"/>
        <w:gridCol w:w="986"/>
        <w:gridCol w:w="944"/>
        <w:gridCol w:w="4211"/>
        <w:gridCol w:w="222"/>
      </w:tblGrid>
      <w:tr w:rsidR="00EF065F" w:rsidRPr="00A33AE8" w14:paraId="22162EEC"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2EC9D16" w14:textId="489332A3"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A531D87"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PM_EE14</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31A070E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319065E" w14:textId="77777777" w:rsidR="00EF065F" w:rsidRPr="00A33AE8" w:rsidRDefault="00EF065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Promotion of energy efficiency of the freight transport </w:t>
            </w:r>
          </w:p>
        </w:tc>
      </w:tr>
      <w:tr w:rsidR="00EF065F" w:rsidRPr="00A33AE8" w14:paraId="39B96C74" w14:textId="77777777" w:rsidTr="006769DA">
        <w:trPr>
          <w:gridAfter w:val="1"/>
          <w:wAfter w:w="222" w:type="dxa"/>
          <w:trHeight w:val="655"/>
        </w:trPr>
        <w:tc>
          <w:tcPr>
            <w:tcW w:w="3317" w:type="dxa"/>
            <w:tcBorders>
              <w:top w:val="nil"/>
              <w:left w:val="single" w:sz="8" w:space="0" w:color="auto"/>
              <w:bottom w:val="single" w:sz="8" w:space="0" w:color="auto"/>
              <w:right w:val="nil"/>
            </w:tcBorders>
            <w:shd w:val="clear" w:color="000000" w:fill="244062"/>
            <w:vAlign w:val="center"/>
            <w:hideMark/>
          </w:tcPr>
          <w:p w14:paraId="4812E76E" w14:textId="520A6FEE"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8453CAF" w14:textId="7574D9B2"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3335B142" w14:textId="77777777" w:rsidR="00EF065F" w:rsidRPr="00A33AE8" w:rsidRDefault="00EF065F" w:rsidP="00884F3B">
            <w:pPr>
              <w:pStyle w:val="ListParagraph"/>
              <w:numPr>
                <w:ilvl w:val="0"/>
                <w:numId w:val="13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2DDE06D9" w14:textId="77777777" w:rsidR="00EF065F" w:rsidRPr="00A33AE8" w:rsidRDefault="00EF065F" w:rsidP="00884F3B">
            <w:pPr>
              <w:pStyle w:val="ListParagraph"/>
              <w:numPr>
                <w:ilvl w:val="0"/>
                <w:numId w:val="13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r w:rsidR="00E911E9" w:rsidRPr="00A33AE8">
              <w:rPr>
                <w:rFonts w:ascii="Calibri Light" w:eastAsia="Times New Roman" w:hAnsi="Calibri Light" w:cs="Calibri Light"/>
                <w:color w:val="000000"/>
                <w:sz w:val="20"/>
                <w:szCs w:val="20"/>
                <w:lang w:eastAsia="en-GB"/>
              </w:rPr>
              <w:t>.</w:t>
            </w:r>
          </w:p>
        </w:tc>
      </w:tr>
      <w:tr w:rsidR="00EF065F" w:rsidRPr="00A33AE8" w14:paraId="6448A3C5"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9826BC5" w14:textId="1ED07282"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B6D1EF0" w14:textId="77777777" w:rsidR="00EF065F" w:rsidRPr="00A33AE8" w:rsidRDefault="00E911E9"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18.9</w:t>
            </w:r>
            <w:r w:rsidR="005B7FFC" w:rsidRPr="00A33AE8">
              <w:rPr>
                <w:rFonts w:ascii="Calibri Light" w:eastAsia="Times New Roman" w:hAnsi="Calibri Light" w:cs="Calibri Light"/>
                <w:color w:val="000000"/>
                <w:sz w:val="20"/>
                <w:szCs w:val="20"/>
                <w:lang w:eastAsia="en-GB"/>
              </w:rPr>
              <w:t xml:space="preserve"> </w:t>
            </w:r>
            <w:r w:rsidR="00163CD8" w:rsidRPr="00A33AE8">
              <w:rPr>
                <w:rFonts w:ascii="Calibri Light" w:eastAsia="Times New Roman" w:hAnsi="Calibri Light" w:cs="Calibri Light"/>
                <w:color w:val="000000"/>
                <w:sz w:val="20"/>
                <w:szCs w:val="20"/>
                <w:lang w:eastAsia="en-GB"/>
              </w:rPr>
              <w:t xml:space="preserve">thousand </w:t>
            </w:r>
            <w:r w:rsidR="00EF065F" w:rsidRPr="00A33AE8">
              <w:rPr>
                <w:rFonts w:ascii="Calibri Light" w:eastAsia="Times New Roman" w:hAnsi="Calibri Light" w:cs="Calibri Light"/>
                <w:color w:val="000000"/>
                <w:sz w:val="20"/>
                <w:szCs w:val="20"/>
                <w:lang w:eastAsia="en-GB"/>
              </w:rPr>
              <w:t>electric LD vehicles</w:t>
            </w:r>
            <w:r w:rsidR="00A26048" w:rsidRPr="00A33AE8">
              <w:rPr>
                <w:rFonts w:ascii="Calibri Light" w:eastAsia="Times New Roman" w:hAnsi="Calibri Light" w:cs="Calibri Light"/>
                <w:color w:val="000000"/>
                <w:sz w:val="20"/>
                <w:szCs w:val="20"/>
                <w:lang w:eastAsia="en-GB"/>
              </w:rPr>
              <w:t xml:space="preserve"> (final energy savings </w:t>
            </w:r>
            <w:r w:rsidRPr="00A33AE8">
              <w:rPr>
                <w:rFonts w:ascii="Calibri Light" w:eastAsia="Times New Roman" w:hAnsi="Calibri Light" w:cs="Calibri Light"/>
                <w:color w:val="000000"/>
                <w:sz w:val="20"/>
                <w:szCs w:val="20"/>
                <w:lang w:eastAsia="en-GB"/>
              </w:rPr>
              <w:t>23</w:t>
            </w:r>
            <w:r w:rsidR="005B7FFC" w:rsidRPr="00A33AE8">
              <w:rPr>
                <w:rFonts w:ascii="Calibri Light" w:eastAsia="Times New Roman" w:hAnsi="Calibri Light" w:cs="Calibri Light"/>
                <w:color w:val="000000"/>
                <w:sz w:val="20"/>
                <w:szCs w:val="20"/>
                <w:lang w:eastAsia="en-GB"/>
              </w:rPr>
              <w:t xml:space="preserve"> </w:t>
            </w:r>
            <w:r w:rsidR="00A26048" w:rsidRPr="00A33AE8">
              <w:rPr>
                <w:rFonts w:ascii="Calibri Light" w:eastAsia="Times New Roman" w:hAnsi="Calibri Light" w:cs="Calibri Light"/>
                <w:color w:val="000000"/>
                <w:sz w:val="20"/>
                <w:szCs w:val="20"/>
                <w:lang w:eastAsia="en-GB"/>
              </w:rPr>
              <w:t>ktoe)</w:t>
            </w:r>
          </w:p>
        </w:tc>
      </w:tr>
      <w:tr w:rsidR="00EF065F" w:rsidRPr="00A33AE8" w14:paraId="79BEC29F" w14:textId="77777777" w:rsidTr="006769DA">
        <w:trPr>
          <w:gridAfter w:val="1"/>
          <w:wAfter w:w="222" w:type="dxa"/>
          <w:trHeight w:val="152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1BF9A7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E951E78"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PM_EE14 will foster the promotion of energy efficiency of the freight transport with various initiatives such as the replacement of the conventional light-duty and heavy-duty vehicles with new more energy efficient and the facilitation of the freight transport through specialized taxation measures. A specialized action plan will be prepared identifying the most effective activities, while special focus will be given on how the logistics sector will become more sustainable. </w:t>
            </w:r>
          </w:p>
        </w:tc>
      </w:tr>
      <w:tr w:rsidR="00EF065F" w:rsidRPr="00A33AE8" w14:paraId="26766FFA"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63D569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A2F5FAF"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117243A8"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8B2948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5F8B630"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401AC95C"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79A2CF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0BAFA23"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A7141" w:rsidRPr="00A33AE8" w14:paraId="63EDF68C"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EABB48C" w14:textId="77777777" w:rsidR="00DA7141" w:rsidRPr="000007D2"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C3A4ECD" w14:textId="77777777" w:rsidR="00DA7141" w:rsidRPr="000007D2" w:rsidRDefault="00DA714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DA7141" w:rsidRPr="00A33AE8" w14:paraId="422B3594"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3B183E3D"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C187AC9" w14:textId="77777777" w:rsidR="00DA7141" w:rsidRPr="00A33AE8" w:rsidRDefault="00DA501B"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DA501B">
              <w:rPr>
                <w:rFonts w:ascii="Calibri Light" w:eastAsia="Times New Roman" w:hAnsi="Calibri Light" w:cs="Calibri Light"/>
                <w:color w:val="000000"/>
                <w:sz w:val="20"/>
                <w:szCs w:val="20"/>
                <w:lang w:eastAsia="en-GB"/>
              </w:rPr>
              <w:t>Government of the Republic of Serbia</w:t>
            </w:r>
          </w:p>
        </w:tc>
      </w:tr>
      <w:tr w:rsidR="00DA7141" w:rsidRPr="00A33AE8" w14:paraId="4E2C9850"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0EB35053"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01D46AA" w14:textId="77777777" w:rsidR="00DA7141" w:rsidRPr="00A33AE8"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Light Duty and Heavy-Duty vehicles </w:t>
            </w:r>
          </w:p>
        </w:tc>
      </w:tr>
      <w:tr w:rsidR="00DA7141" w:rsidRPr="00A33AE8" w14:paraId="08335F4C" w14:textId="77777777" w:rsidTr="006769DA">
        <w:trPr>
          <w:gridAfter w:val="1"/>
          <w:wAfter w:w="222" w:type="dxa"/>
          <w:trHeight w:val="439"/>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FDC0384"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67F993F" w14:textId="77777777" w:rsidR="00DA501B" w:rsidRPr="00DA501B"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DA501B">
              <w:rPr>
                <w:rFonts w:ascii="Calibri Light" w:eastAsia="Times New Roman" w:hAnsi="Calibri Light" w:cs="Calibri Light"/>
                <w:color w:val="000000"/>
                <w:sz w:val="20"/>
                <w:szCs w:val="20"/>
                <w:lang w:eastAsia="en-GB"/>
              </w:rPr>
              <w:t xml:space="preserve"> </w:t>
            </w:r>
            <w:r w:rsidR="00DA501B" w:rsidRPr="00DA501B">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 &amp; the promoted electric vehicles will increase the RES share in transport)</w:t>
            </w:r>
          </w:p>
          <w:p w14:paraId="7826EBDC" w14:textId="77777777" w:rsidR="00DA7141" w:rsidRPr="00A33AE8" w:rsidRDefault="00DA501B"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DA501B">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DA7141" w:rsidRPr="00A33AE8" w14:paraId="40C8030B"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5DB8A34"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51AB15" w14:textId="77777777" w:rsidR="00DA7141" w:rsidRPr="00A33AE8"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521D1553" w14:textId="77777777" w:rsidR="00DA7141" w:rsidRPr="00A33AE8"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DA7141" w:rsidRPr="00A33AE8" w14:paraId="71856783"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54299A6E"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5B165B34" w14:textId="77777777" w:rsidR="00DA7141" w:rsidRPr="00A33AE8"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3B5D3A7" w14:textId="77777777" w:rsidR="00DA7141" w:rsidRPr="00A33AE8" w:rsidRDefault="00DA7141" w:rsidP="00DA7141">
            <w:pPr>
              <w:spacing w:after="0" w:line="240" w:lineRule="auto"/>
              <w:rPr>
                <w:rFonts w:ascii="Calibri Light" w:eastAsia="Times New Roman" w:hAnsi="Calibri Light" w:cs="Calibri Light"/>
                <w:color w:val="000000"/>
                <w:sz w:val="20"/>
                <w:szCs w:val="20"/>
                <w:lang w:eastAsia="en-GB"/>
              </w:rPr>
            </w:pPr>
          </w:p>
        </w:tc>
      </w:tr>
      <w:tr w:rsidR="00DA7141" w:rsidRPr="00A33AE8" w14:paraId="491C6D29"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25E0EF1F"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41424CB5" w14:textId="77777777" w:rsidR="00DA7141" w:rsidRPr="00A33AE8"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7858A6E"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2FAE21D1" w14:textId="77777777" w:rsidTr="006769DA">
        <w:trPr>
          <w:trHeight w:val="331"/>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2949782"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985395A" w14:textId="77777777" w:rsidR="00DA7141" w:rsidRPr="00A33AE8" w:rsidRDefault="00DA7141"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4th NEEAP </w:t>
            </w:r>
          </w:p>
        </w:tc>
        <w:tc>
          <w:tcPr>
            <w:tcW w:w="222" w:type="dxa"/>
            <w:vAlign w:val="center"/>
            <w:hideMark/>
          </w:tcPr>
          <w:p w14:paraId="06F63DD1"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71064BCB"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6540CD1"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17C891E" w14:textId="77777777" w:rsidR="00DA7141" w:rsidRPr="0087794A" w:rsidRDefault="00DA7141" w:rsidP="00DA7141">
            <w:pPr>
              <w:spacing w:after="0" w:line="240" w:lineRule="auto"/>
              <w:rPr>
                <w:rFonts w:ascii="Calibri" w:eastAsia="Times New Roman" w:hAnsi="Calibri" w:cs="Calibri"/>
                <w:color w:val="000000"/>
                <w:highlight w:val="magenta"/>
                <w:lang w:eastAsia="en-GB"/>
              </w:rPr>
            </w:pPr>
            <w:bookmarkStart w:id="163" w:name="_Hlk152489958"/>
            <w:r w:rsidRPr="00B907C8">
              <w:rPr>
                <w:rFonts w:ascii="Calibri Light" w:eastAsia="Times New Roman" w:hAnsi="Calibri Light" w:cs="Calibri Light"/>
                <w:color w:val="000000"/>
                <w:sz w:val="20"/>
                <w:szCs w:val="20"/>
                <w:lang w:eastAsia="en-GB"/>
              </w:rPr>
              <w:t>1.596 B€</w:t>
            </w:r>
            <w:bookmarkEnd w:id="163"/>
          </w:p>
        </w:tc>
        <w:tc>
          <w:tcPr>
            <w:tcW w:w="222" w:type="dxa"/>
            <w:vAlign w:val="center"/>
            <w:hideMark/>
          </w:tcPr>
          <w:p w14:paraId="41A4F98C"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r w:rsidR="00DA7141" w:rsidRPr="00A33AE8" w14:paraId="5C21E0F2"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996A615" w14:textId="77777777" w:rsidR="00DA7141" w:rsidRPr="00A33AE8" w:rsidRDefault="00DA7141" w:rsidP="00DA714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36E2681" w14:textId="77777777" w:rsidR="00DA7141" w:rsidRPr="00A33AE8" w:rsidRDefault="00DA7141" w:rsidP="00DA7141">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73C80983" w14:textId="77777777" w:rsidR="00DA7141" w:rsidRPr="00A33AE8" w:rsidRDefault="00DA7141" w:rsidP="00DA7141">
            <w:pPr>
              <w:spacing w:after="0" w:line="240" w:lineRule="auto"/>
              <w:rPr>
                <w:rFonts w:ascii="Times New Roman" w:eastAsia="Times New Roman" w:hAnsi="Times New Roman" w:cs="Times New Roman"/>
                <w:sz w:val="20"/>
                <w:szCs w:val="20"/>
                <w:lang w:eastAsia="en-GB"/>
              </w:rPr>
            </w:pPr>
          </w:p>
        </w:tc>
      </w:tr>
    </w:tbl>
    <w:p w14:paraId="1ABF9595"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7"/>
        <w:gridCol w:w="986"/>
        <w:gridCol w:w="944"/>
        <w:gridCol w:w="4211"/>
        <w:gridCol w:w="222"/>
      </w:tblGrid>
      <w:tr w:rsidR="00EF065F" w:rsidRPr="00A33AE8" w14:paraId="2A3238EE"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2DA3DA9" w14:textId="3DC5ADFB"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97C4FA4"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PM_EE15</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410818DA"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6EAE279A" w14:textId="77777777" w:rsidR="00EF065F" w:rsidRPr="00A33AE8" w:rsidRDefault="00EF065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Promotion of modal shift both for passenger and freight transport - Enabling ‘Mobility as a Service’ (MaaS) </w:t>
            </w:r>
          </w:p>
        </w:tc>
      </w:tr>
      <w:tr w:rsidR="00EF065F" w:rsidRPr="00A33AE8" w14:paraId="6CECA1F3" w14:textId="77777777" w:rsidTr="006769DA">
        <w:trPr>
          <w:gridAfter w:val="1"/>
          <w:wAfter w:w="222" w:type="dxa"/>
          <w:trHeight w:val="585"/>
        </w:trPr>
        <w:tc>
          <w:tcPr>
            <w:tcW w:w="3317" w:type="dxa"/>
            <w:tcBorders>
              <w:top w:val="nil"/>
              <w:left w:val="single" w:sz="8" w:space="0" w:color="auto"/>
              <w:bottom w:val="single" w:sz="8" w:space="0" w:color="auto"/>
              <w:right w:val="nil"/>
            </w:tcBorders>
            <w:shd w:val="clear" w:color="000000" w:fill="244062"/>
            <w:vAlign w:val="center"/>
            <w:hideMark/>
          </w:tcPr>
          <w:p w14:paraId="63BED135" w14:textId="63B05E55"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A6CDAC9" w14:textId="001FCF28"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2D122684" w14:textId="77777777" w:rsidR="00EF065F" w:rsidRPr="00A33AE8" w:rsidRDefault="00EF065F" w:rsidP="00884F3B">
            <w:pPr>
              <w:pStyle w:val="ListParagraph"/>
              <w:numPr>
                <w:ilvl w:val="0"/>
                <w:numId w:val="14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2C5C5319" w14:textId="77777777" w:rsidR="00EF065F" w:rsidRPr="00A33AE8" w:rsidRDefault="00EF065F" w:rsidP="00884F3B">
            <w:pPr>
              <w:pStyle w:val="ListParagraph"/>
              <w:numPr>
                <w:ilvl w:val="0"/>
                <w:numId w:val="14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0509C9D9"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D0DC623" w14:textId="5F5AD0B3"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477050F" w14:textId="77777777" w:rsidR="00EF065F" w:rsidRPr="00A33AE8" w:rsidRDefault="00A26048"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PM_EE10, PM_EE12 and PM_EE14</w:t>
            </w:r>
          </w:p>
        </w:tc>
      </w:tr>
      <w:tr w:rsidR="00EF065F" w:rsidRPr="00A33AE8" w14:paraId="2D52F740" w14:textId="77777777" w:rsidTr="006769DA">
        <w:trPr>
          <w:gridAfter w:val="1"/>
          <w:wAfter w:w="222" w:type="dxa"/>
          <w:trHeight w:val="229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391428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6B30851"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PM_EE15 will foresee the development of a holistic framework for the promotion of modal shift both for passenger and freight transport. A dedicated action plan will be compiled facilitating the implementation of integrated modal shift measures and enabling ‘Mobility as a Service’ (MaaS) with the exploitation of the available data, the information and communication technologies and artificial intelligence for smarter mobility. Moreover, measures will be implemented for increasing significantly the proportion of cyclists and improving the conditions for walking including the development of the required infrastructure. Finally, the provision of carpooling and car sharing services will be also promoted.</w:t>
            </w:r>
          </w:p>
        </w:tc>
      </w:tr>
      <w:tr w:rsidR="00EF065F" w:rsidRPr="00A33AE8" w14:paraId="3A800698"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2E4145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2ED0906"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22FAD0F5"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C89BFC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B8EDE81"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EF065F" w:rsidRPr="00A33AE8" w14:paraId="16B458FB"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B2F1588"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859C3AC"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C230E" w:rsidRPr="00A33AE8" w14:paraId="4A9A861A"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FC65134" w14:textId="77777777" w:rsidR="00DC230E" w:rsidRPr="000007D2"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625FE53" w14:textId="77777777" w:rsidR="00DC230E" w:rsidRPr="000007D2" w:rsidRDefault="00DC230E"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DC230E" w:rsidRPr="00A33AE8" w14:paraId="6EB120CB"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25176605"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DB187BD" w14:textId="77777777" w:rsidR="00DC230E" w:rsidRPr="00A33AE8" w:rsidRDefault="00621C23"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621C23">
              <w:rPr>
                <w:rFonts w:ascii="Calibri Light" w:eastAsia="Times New Roman" w:hAnsi="Calibri Light" w:cs="Calibri Light"/>
                <w:color w:val="000000"/>
                <w:sz w:val="20"/>
                <w:szCs w:val="20"/>
                <w:lang w:eastAsia="en-GB"/>
              </w:rPr>
              <w:t>Government of the Republic of Serbia</w:t>
            </w:r>
          </w:p>
        </w:tc>
      </w:tr>
      <w:tr w:rsidR="00DC230E" w:rsidRPr="00A33AE8" w14:paraId="4A2F4388"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1C44025C"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81B4B93" w14:textId="77777777" w:rsidR="00DC230E" w:rsidRPr="00A33AE8" w:rsidRDefault="00DC230E"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passenger and freight transport (passenger-km and tonne-km)</w:t>
            </w:r>
          </w:p>
        </w:tc>
      </w:tr>
      <w:tr w:rsidR="00DC230E" w:rsidRPr="00A33AE8" w14:paraId="560B7284" w14:textId="77777777" w:rsidTr="006769DA">
        <w:trPr>
          <w:gridAfter w:val="1"/>
          <w:wAfter w:w="222" w:type="dxa"/>
          <w:trHeight w:val="351"/>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23E9F70"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77735CD" w14:textId="77777777" w:rsidR="00621C23" w:rsidRPr="00621C23" w:rsidRDefault="00DC230E"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621C23">
              <w:rPr>
                <w:rFonts w:ascii="Calibri Light" w:eastAsia="Times New Roman" w:hAnsi="Calibri Light" w:cs="Calibri Light"/>
                <w:color w:val="000000"/>
                <w:sz w:val="20"/>
                <w:szCs w:val="20"/>
                <w:lang w:eastAsia="en-GB"/>
              </w:rPr>
              <w:t xml:space="preserve"> </w:t>
            </w:r>
            <w:r w:rsidR="00621C23" w:rsidRPr="00621C23">
              <w:rPr>
                <w:rFonts w:ascii="Calibri Light" w:eastAsia="Times New Roman" w:hAnsi="Calibri Light" w:cs="Calibri Light"/>
                <w:color w:val="000000"/>
                <w:sz w:val="20"/>
                <w:szCs w:val="20"/>
                <w:lang w:eastAsia="en-GB"/>
              </w:rPr>
              <w:t>(the delivered energy savings will decrease the consumed quantities of fossil fuels leading to the respective GHG emission reduction)</w:t>
            </w:r>
          </w:p>
          <w:p w14:paraId="0357B019" w14:textId="77777777" w:rsidR="00DC230E" w:rsidRPr="00A33AE8" w:rsidRDefault="00621C23"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r w:rsidRPr="00621C23">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DC230E" w:rsidRPr="00A33AE8" w14:paraId="797A8009"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0351E14"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CF9CDC" w14:textId="77777777" w:rsidR="00DC230E" w:rsidRPr="00A33AE8" w:rsidRDefault="00DC230E"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17C19B96" w14:textId="77777777" w:rsidR="00DC230E" w:rsidRPr="00A33AE8" w:rsidRDefault="00DC230E"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DC230E" w:rsidRPr="00A33AE8" w14:paraId="6EA7E50E"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6B8EE276"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6392B92F" w14:textId="77777777" w:rsidR="00DC230E" w:rsidRPr="00A33AE8" w:rsidRDefault="00DC230E"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ED724B5" w14:textId="77777777" w:rsidR="00DC230E" w:rsidRPr="00A33AE8" w:rsidRDefault="00DC230E" w:rsidP="00DC230E">
            <w:pPr>
              <w:spacing w:after="0" w:line="240" w:lineRule="auto"/>
              <w:rPr>
                <w:rFonts w:ascii="Calibri Light" w:eastAsia="Times New Roman" w:hAnsi="Calibri Light" w:cs="Calibri Light"/>
                <w:color w:val="000000"/>
                <w:sz w:val="20"/>
                <w:szCs w:val="20"/>
                <w:lang w:eastAsia="en-GB"/>
              </w:rPr>
            </w:pPr>
          </w:p>
        </w:tc>
      </w:tr>
      <w:tr w:rsidR="00DC230E" w:rsidRPr="00A33AE8" w14:paraId="405ED70E" w14:textId="77777777" w:rsidTr="006769DA">
        <w:trPr>
          <w:trHeight w:val="54"/>
        </w:trPr>
        <w:tc>
          <w:tcPr>
            <w:tcW w:w="3317" w:type="dxa"/>
            <w:vMerge/>
            <w:tcBorders>
              <w:top w:val="nil"/>
              <w:left w:val="single" w:sz="8" w:space="0" w:color="auto"/>
              <w:bottom w:val="single" w:sz="8" w:space="0" w:color="000000"/>
              <w:right w:val="single" w:sz="8" w:space="0" w:color="auto"/>
            </w:tcBorders>
            <w:vAlign w:val="center"/>
            <w:hideMark/>
          </w:tcPr>
          <w:p w14:paraId="3A0B37DB"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5B6AAA71" w14:textId="77777777" w:rsidR="00DC230E" w:rsidRPr="00A33AE8" w:rsidRDefault="00DC230E"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619A1BF"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r w:rsidR="00DC230E" w:rsidRPr="00A33AE8" w14:paraId="2157C79F" w14:textId="77777777" w:rsidTr="006769DA">
        <w:trPr>
          <w:trHeight w:val="78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16D168B"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1069FE6" w14:textId="3A055273" w:rsidR="00DC230E" w:rsidRPr="00A33AE8" w:rsidRDefault="00DC230E"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16310663" w14:textId="77777777" w:rsidR="00DC230E" w:rsidRPr="00A33AE8" w:rsidRDefault="00CB3A26" w:rsidP="00884F3B">
            <w:pPr>
              <w:pStyle w:val="ListParagraph"/>
              <w:numPr>
                <w:ilvl w:val="0"/>
                <w:numId w:val="14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71CEB08B"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r w:rsidR="00DC230E" w:rsidRPr="00A33AE8" w14:paraId="6A1959A1"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F91F3CE"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D4305E4" w14:textId="77777777" w:rsidR="00DC230E" w:rsidRPr="00A33AE8" w:rsidRDefault="00DC230E" w:rsidP="00DC230E">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PM_EE10, PM_EE12 and PM_EE14</w:t>
            </w:r>
          </w:p>
        </w:tc>
        <w:tc>
          <w:tcPr>
            <w:tcW w:w="222" w:type="dxa"/>
            <w:vAlign w:val="center"/>
            <w:hideMark/>
          </w:tcPr>
          <w:p w14:paraId="6F45F6C8"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r w:rsidR="00DC230E" w:rsidRPr="00A33AE8" w14:paraId="4FB5DCF6"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99062CE"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32B7990" w14:textId="77777777" w:rsidR="00DC230E" w:rsidRPr="00A33AE8" w:rsidRDefault="00DC230E" w:rsidP="00DC230E">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15E36567"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bl>
    <w:p w14:paraId="0EEA9A38"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8"/>
        <w:gridCol w:w="986"/>
        <w:gridCol w:w="943"/>
        <w:gridCol w:w="4211"/>
        <w:gridCol w:w="222"/>
      </w:tblGrid>
      <w:tr w:rsidR="00EF065F" w:rsidRPr="00A33AE8" w14:paraId="6F869C4C" w14:textId="77777777" w:rsidTr="006769DA">
        <w:trPr>
          <w:gridAfter w:val="1"/>
          <w:wAfter w:w="222" w:type="dxa"/>
          <w:trHeight w:val="780"/>
        </w:trPr>
        <w:tc>
          <w:tcPr>
            <w:tcW w:w="331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92B0972" w14:textId="77777777"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3162F9B"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PM_EE16</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652D3B4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1348EBB1"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efficiency in inland waterways transport</w:t>
            </w:r>
          </w:p>
        </w:tc>
      </w:tr>
      <w:tr w:rsidR="00EF065F" w:rsidRPr="00A33AE8" w14:paraId="217E220B" w14:textId="77777777" w:rsidTr="006769DA">
        <w:trPr>
          <w:gridAfter w:val="1"/>
          <w:wAfter w:w="222" w:type="dxa"/>
          <w:trHeight w:val="495"/>
        </w:trPr>
        <w:tc>
          <w:tcPr>
            <w:tcW w:w="3318" w:type="dxa"/>
            <w:tcBorders>
              <w:top w:val="nil"/>
              <w:left w:val="single" w:sz="8" w:space="0" w:color="auto"/>
              <w:bottom w:val="single" w:sz="8" w:space="0" w:color="auto"/>
              <w:right w:val="nil"/>
            </w:tcBorders>
            <w:shd w:val="clear" w:color="000000" w:fill="244062"/>
            <w:vAlign w:val="center"/>
            <w:hideMark/>
          </w:tcPr>
          <w:p w14:paraId="1A26F5E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63B3DD0E" w14:textId="7938CB75"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063448E4" w14:textId="77777777" w:rsidR="00EF065F" w:rsidRPr="00A33AE8" w:rsidRDefault="00EF065F" w:rsidP="00884F3B">
            <w:pPr>
              <w:pStyle w:val="ListParagraph"/>
              <w:numPr>
                <w:ilvl w:val="0"/>
                <w:numId w:val="14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1EDD0E66" w14:textId="77777777" w:rsidR="00EF065F" w:rsidRPr="00A33AE8" w:rsidRDefault="00EF065F" w:rsidP="00884F3B">
            <w:pPr>
              <w:pStyle w:val="ListParagraph"/>
              <w:numPr>
                <w:ilvl w:val="0"/>
                <w:numId w:val="14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4CEAB23B"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EECC24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5BE72105" w14:textId="77777777" w:rsidR="00A26048" w:rsidRPr="00A33AE8" w:rsidRDefault="0023135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fulfilling the expected final energy consumption levels in transport sector</w:t>
            </w:r>
          </w:p>
        </w:tc>
      </w:tr>
      <w:tr w:rsidR="00EF065F" w:rsidRPr="00A33AE8" w14:paraId="66A0B77F" w14:textId="77777777" w:rsidTr="006769DA">
        <w:trPr>
          <w:gridAfter w:val="1"/>
          <w:wAfter w:w="222" w:type="dxa"/>
          <w:trHeight w:val="1379"/>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2C44D1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1FCF168C"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PM_EE16 will aim at the promotion of energy efficiency in inland waterways transport both for the freight and passenger transport through the provision of either financial, fiscal or regulatory measures. The existing fleet and port infrastructure will be modernized, while emphasis will be given on the development of energy management systems and the promotion of renewable energy sources in ports. </w:t>
            </w:r>
            <w:r w:rsidR="0023135E" w:rsidRPr="00A33AE8">
              <w:rPr>
                <w:rFonts w:ascii="Calibri Light" w:eastAsia="Times New Roman" w:hAnsi="Calibri Light" w:cs="Calibri Light"/>
                <w:color w:val="000000"/>
                <w:sz w:val="20"/>
                <w:szCs w:val="20"/>
                <w:lang w:eastAsia="en-GB"/>
              </w:rPr>
              <w:t>Finally, the further penetration of alternative fuels and renewable gases will be explored both in fleets and ports including also the development of the respective infrastructure for their distribution and consumption.</w:t>
            </w:r>
          </w:p>
        </w:tc>
      </w:tr>
      <w:tr w:rsidR="00EF065F" w:rsidRPr="00A33AE8" w14:paraId="5C40777E"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3EAC7DA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A5CFC1A"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5F91FD8C"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3034F4F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AA6798D"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14B23A74"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EB8D04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131B2DA1"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C230E" w:rsidRPr="00A33AE8" w14:paraId="660678EC"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14793A20" w14:textId="77777777" w:rsidR="00DC230E" w:rsidRPr="000007D2"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9B7AA21" w14:textId="77777777" w:rsidR="00DC230E" w:rsidRPr="000007D2" w:rsidRDefault="00DC230E"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DC230E" w:rsidRPr="00A33AE8" w14:paraId="30AC382C"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2159D3C6"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E1E04D6" w14:textId="77777777" w:rsidR="00DC230E" w:rsidRPr="00A33AE8" w:rsidRDefault="008D77D6"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8D77D6">
              <w:rPr>
                <w:rFonts w:ascii="Calibri Light" w:eastAsia="Times New Roman" w:hAnsi="Calibri Light" w:cs="Calibri Light"/>
                <w:color w:val="000000"/>
                <w:sz w:val="20"/>
                <w:szCs w:val="20"/>
                <w:lang w:eastAsia="en-GB"/>
              </w:rPr>
              <w:t>Government of the Republic of Serbia</w:t>
            </w:r>
          </w:p>
        </w:tc>
      </w:tr>
      <w:tr w:rsidR="00DC230E" w:rsidRPr="00A33AE8" w14:paraId="7139B6DA"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59F3ACD3"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43A075F" w14:textId="77777777" w:rsidR="00DC230E" w:rsidRPr="00A33AE8" w:rsidRDefault="00DC230E" w:rsidP="00884F3B">
            <w:pPr>
              <w:pStyle w:val="ListParagraph"/>
              <w:numPr>
                <w:ilvl w:val="0"/>
                <w:numId w:val="14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passenger and freight transport</w:t>
            </w:r>
          </w:p>
        </w:tc>
      </w:tr>
      <w:tr w:rsidR="00DC230E" w:rsidRPr="00A33AE8" w14:paraId="6BBCBC5F" w14:textId="77777777" w:rsidTr="006769DA">
        <w:trPr>
          <w:gridAfter w:val="1"/>
          <w:wAfter w:w="222" w:type="dxa"/>
          <w:trHeight w:val="391"/>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4E28C666"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D5024FA" w14:textId="77777777" w:rsidR="008D77D6" w:rsidRPr="008D77D6" w:rsidRDefault="00DC230E"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8D77D6" w:rsidRPr="008D77D6">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promoted RES will increase the RES share in transport)</w:t>
            </w:r>
          </w:p>
          <w:p w14:paraId="56A75034" w14:textId="77777777" w:rsidR="00DC230E" w:rsidRPr="00A33AE8" w:rsidRDefault="008D77D6"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8D77D6">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DC230E" w:rsidRPr="00A33AE8" w14:paraId="5AA14295" w14:textId="77777777" w:rsidTr="006769DA">
        <w:trPr>
          <w:gridAfter w:val="1"/>
          <w:wAfter w:w="222" w:type="dxa"/>
          <w:trHeight w:val="450"/>
        </w:trPr>
        <w:tc>
          <w:tcPr>
            <w:tcW w:w="331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2936E6A"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CFFB38C" w14:textId="77777777" w:rsidR="00DC230E" w:rsidRPr="00A33AE8" w:rsidRDefault="00DC230E"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6897CFEF" w14:textId="77777777" w:rsidR="00DC230E" w:rsidRPr="00A33AE8" w:rsidRDefault="00DC230E"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p w14:paraId="2310E801" w14:textId="77777777" w:rsidR="0023135E" w:rsidRPr="00A33AE8" w:rsidRDefault="0023135E"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2014/94</w:t>
            </w:r>
          </w:p>
        </w:tc>
      </w:tr>
      <w:tr w:rsidR="00DC230E" w:rsidRPr="00A33AE8" w14:paraId="1173D439" w14:textId="77777777" w:rsidTr="006769DA">
        <w:trPr>
          <w:trHeight w:val="300"/>
        </w:trPr>
        <w:tc>
          <w:tcPr>
            <w:tcW w:w="3318" w:type="dxa"/>
            <w:vMerge/>
            <w:tcBorders>
              <w:top w:val="nil"/>
              <w:left w:val="single" w:sz="8" w:space="0" w:color="auto"/>
              <w:bottom w:val="single" w:sz="8" w:space="0" w:color="000000"/>
              <w:right w:val="single" w:sz="8" w:space="0" w:color="auto"/>
            </w:tcBorders>
            <w:vAlign w:val="center"/>
            <w:hideMark/>
          </w:tcPr>
          <w:p w14:paraId="77842E42"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24EF9BE7" w14:textId="77777777" w:rsidR="00DC230E" w:rsidRPr="00A33AE8" w:rsidRDefault="00DC230E"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73CC590" w14:textId="77777777" w:rsidR="00DC230E" w:rsidRPr="00A33AE8" w:rsidRDefault="00DC230E" w:rsidP="00DC230E">
            <w:pPr>
              <w:spacing w:after="0" w:line="240" w:lineRule="auto"/>
              <w:rPr>
                <w:rFonts w:ascii="Calibri Light" w:eastAsia="Times New Roman" w:hAnsi="Calibri Light" w:cs="Calibri Light"/>
                <w:color w:val="000000"/>
                <w:sz w:val="20"/>
                <w:szCs w:val="20"/>
                <w:lang w:eastAsia="en-GB"/>
              </w:rPr>
            </w:pPr>
          </w:p>
        </w:tc>
      </w:tr>
      <w:tr w:rsidR="00DC230E" w:rsidRPr="00A33AE8" w14:paraId="560E402D" w14:textId="77777777" w:rsidTr="006769DA">
        <w:trPr>
          <w:trHeight w:val="60"/>
        </w:trPr>
        <w:tc>
          <w:tcPr>
            <w:tcW w:w="3318" w:type="dxa"/>
            <w:vMerge/>
            <w:tcBorders>
              <w:top w:val="nil"/>
              <w:left w:val="single" w:sz="8" w:space="0" w:color="auto"/>
              <w:bottom w:val="single" w:sz="8" w:space="0" w:color="000000"/>
              <w:right w:val="single" w:sz="8" w:space="0" w:color="auto"/>
            </w:tcBorders>
            <w:vAlign w:val="center"/>
            <w:hideMark/>
          </w:tcPr>
          <w:p w14:paraId="23A136F2"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7AC5AA24" w14:textId="77777777" w:rsidR="00DC230E" w:rsidRPr="00A33AE8" w:rsidRDefault="00DC230E"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C1D2B2E"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r w:rsidR="00DC230E" w:rsidRPr="00A33AE8" w14:paraId="09E2131C" w14:textId="77777777" w:rsidTr="006769DA">
        <w:trPr>
          <w:trHeight w:val="566"/>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BC0EE96"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338DF471" w14:textId="77777777" w:rsidR="00767478" w:rsidRPr="00A33AE8" w:rsidRDefault="00767478"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Strategy on waterborne transport development of The Republic of Serbia, 2015 - 2025</w:t>
            </w:r>
            <w:r w:rsidR="00C80E07" w:rsidRPr="00A33AE8">
              <w:rPr>
                <w:rStyle w:val="FootnoteReference"/>
                <w:rFonts w:ascii="Calibri Light" w:eastAsia="Times New Roman" w:hAnsi="Calibri Light" w:cs="Calibri Light"/>
                <w:color w:val="000000"/>
                <w:sz w:val="20"/>
                <w:szCs w:val="20"/>
                <w:lang w:eastAsia="en-GB"/>
              </w:rPr>
              <w:footnoteReference w:id="117"/>
            </w:r>
          </w:p>
          <w:p w14:paraId="67E767F1" w14:textId="77777777" w:rsidR="00DC230E" w:rsidRPr="00A33AE8" w:rsidRDefault="00CB3A26" w:rsidP="00884F3B">
            <w:pPr>
              <w:pStyle w:val="ListParagraph"/>
              <w:numPr>
                <w:ilvl w:val="0"/>
                <w:numId w:val="14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338B8109"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r w:rsidR="00DC230E" w:rsidRPr="00A33AE8" w14:paraId="61006051"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4103CEAC"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4A1C6A7C" w14:textId="77777777" w:rsidR="00DC230E" w:rsidRPr="00A33AE8" w:rsidRDefault="00DC230E" w:rsidP="00DC230E">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3F2DF442"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r w:rsidR="00DC230E" w:rsidRPr="00A33AE8" w14:paraId="2F0E6DF3"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67BE32F" w14:textId="77777777" w:rsidR="00DC230E" w:rsidRPr="00A33AE8"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39C76129" w14:textId="77777777" w:rsidR="00DC230E" w:rsidRPr="00A33AE8" w:rsidRDefault="00DC230E" w:rsidP="00DC230E">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30E728A1" w14:textId="77777777" w:rsidR="00DC230E" w:rsidRPr="00A33AE8" w:rsidRDefault="00DC230E" w:rsidP="00DC230E">
            <w:pPr>
              <w:spacing w:after="0" w:line="240" w:lineRule="auto"/>
              <w:rPr>
                <w:rFonts w:ascii="Times New Roman" w:eastAsia="Times New Roman" w:hAnsi="Times New Roman" w:cs="Times New Roman"/>
                <w:sz w:val="20"/>
                <w:szCs w:val="20"/>
                <w:lang w:eastAsia="en-GB"/>
              </w:rPr>
            </w:pPr>
          </w:p>
        </w:tc>
      </w:tr>
    </w:tbl>
    <w:p w14:paraId="579CC55D"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7"/>
        <w:gridCol w:w="986"/>
        <w:gridCol w:w="944"/>
        <w:gridCol w:w="4211"/>
        <w:gridCol w:w="222"/>
      </w:tblGrid>
      <w:tr w:rsidR="00EF065F" w:rsidRPr="00A33AE8" w14:paraId="6DBCB84E"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44C6291" w14:textId="12E244DD"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16E3016"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PM_EE17</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2B37ACE9"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11F1364C" w14:textId="77777777" w:rsidR="00EF065F" w:rsidRPr="00A33AE8" w:rsidRDefault="00EF065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efficiency in rail transport</w:t>
            </w:r>
          </w:p>
        </w:tc>
      </w:tr>
      <w:tr w:rsidR="00EF065F" w:rsidRPr="00A33AE8" w14:paraId="4FBFB971" w14:textId="77777777" w:rsidTr="006769DA">
        <w:trPr>
          <w:gridAfter w:val="1"/>
          <w:wAfter w:w="222" w:type="dxa"/>
          <w:trHeight w:val="533"/>
        </w:trPr>
        <w:tc>
          <w:tcPr>
            <w:tcW w:w="3317" w:type="dxa"/>
            <w:tcBorders>
              <w:top w:val="nil"/>
              <w:left w:val="single" w:sz="8" w:space="0" w:color="auto"/>
              <w:bottom w:val="single" w:sz="8" w:space="0" w:color="auto"/>
              <w:right w:val="nil"/>
            </w:tcBorders>
            <w:shd w:val="clear" w:color="000000" w:fill="244062"/>
            <w:vAlign w:val="center"/>
            <w:hideMark/>
          </w:tcPr>
          <w:p w14:paraId="7BF7791A" w14:textId="0D78816B"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FEDC285" w14:textId="6309A303"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3F4C4DB2" w14:textId="77777777" w:rsidR="00EF065F" w:rsidRPr="00A33AE8" w:rsidRDefault="00EF065F" w:rsidP="00884F3B">
            <w:pPr>
              <w:pStyle w:val="ListParagraph"/>
              <w:numPr>
                <w:ilvl w:val="0"/>
                <w:numId w:val="14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6D4D7649" w14:textId="77777777" w:rsidR="00EF065F" w:rsidRPr="00A33AE8" w:rsidRDefault="00EF065F" w:rsidP="00884F3B">
            <w:pPr>
              <w:pStyle w:val="ListParagraph"/>
              <w:numPr>
                <w:ilvl w:val="0"/>
                <w:numId w:val="14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12853D86"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93A05B0" w14:textId="03BF8C53"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1F8D80E" w14:textId="77777777" w:rsidR="00EF065F" w:rsidRPr="00A33AE8" w:rsidRDefault="00E94947"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fulfilling the expected final energy consumption levels in transport sector</w:t>
            </w:r>
          </w:p>
        </w:tc>
      </w:tr>
      <w:tr w:rsidR="00EF065F" w:rsidRPr="00A33AE8" w14:paraId="5D029F5A" w14:textId="77777777" w:rsidTr="006769DA">
        <w:trPr>
          <w:gridAfter w:val="1"/>
          <w:wAfter w:w="222" w:type="dxa"/>
          <w:trHeight w:val="132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C95E62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DAAD037" w14:textId="667704A5"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PM_EE17 will target to the modernization and extension of the existing railway infrastructure through the provision of either financial, fiscal or regulatory measures. </w:t>
            </w:r>
            <w:r w:rsidR="00E94947" w:rsidRPr="00A33AE8">
              <w:rPr>
                <w:rFonts w:ascii="Calibri Light" w:eastAsia="Times New Roman" w:hAnsi="Calibri Light" w:cs="Calibri Light"/>
                <w:color w:val="000000"/>
                <w:sz w:val="20"/>
                <w:szCs w:val="20"/>
                <w:lang w:eastAsia="en-GB"/>
              </w:rPr>
              <w:t xml:space="preserve">The improvement of the existing railway network and the construction of new railways will be carried out, along with the electrification railway network in parts that it is feasible to be accomplished. </w:t>
            </w:r>
            <w:r w:rsidRPr="00A33AE8">
              <w:rPr>
                <w:rFonts w:ascii="Calibri Light" w:eastAsia="Times New Roman" w:hAnsi="Calibri Light" w:cs="Calibri Light"/>
                <w:color w:val="000000"/>
                <w:sz w:val="20"/>
                <w:szCs w:val="20"/>
                <w:lang w:eastAsia="en-GB"/>
              </w:rPr>
              <w:t xml:space="preserve">New energy efficient trains will be purchased substituting the conventional ones. Moreover, the rail network will be connected to production </w:t>
            </w:r>
            <w:r w:rsidR="000A360E" w:rsidRPr="00A33AE8">
              <w:rPr>
                <w:rFonts w:ascii="Calibri Light" w:eastAsia="Times New Roman" w:hAnsi="Calibri Light" w:cs="Calibri Light"/>
                <w:color w:val="000000"/>
                <w:sz w:val="20"/>
                <w:szCs w:val="20"/>
                <w:lang w:eastAsia="en-GB"/>
              </w:rPr>
              <w:t>centres</w:t>
            </w:r>
            <w:r w:rsidRPr="00A33AE8">
              <w:rPr>
                <w:rFonts w:ascii="Calibri Light" w:eastAsia="Times New Roman" w:hAnsi="Calibri Light" w:cs="Calibri Light"/>
                <w:color w:val="000000"/>
                <w:sz w:val="20"/>
                <w:szCs w:val="20"/>
                <w:lang w:eastAsia="en-GB"/>
              </w:rPr>
              <w:t xml:space="preserve"> and ports, while smart digital systems for rail traffic management will be installed. </w:t>
            </w:r>
            <w:r w:rsidR="00E94947" w:rsidRPr="00A33AE8">
              <w:rPr>
                <w:rFonts w:ascii="Calibri Light" w:eastAsia="Times New Roman" w:hAnsi="Calibri Light" w:cs="Calibri Light"/>
                <w:color w:val="000000"/>
                <w:sz w:val="20"/>
                <w:szCs w:val="20"/>
                <w:lang w:eastAsia="en-GB"/>
              </w:rPr>
              <w:t>In regards the promotion of modal shift, the use of forms of mass transport by railway will be developed and encouraged, both in intercity and in the area of centres and their metropolitan areas, by developing the city-suburban railway system, in such a way that work, business and mixed zones are accommodated in the planning documents near the railway, and that the railway traffic synchronizes and integrates with other types of traffic into the public transport system.</w:t>
            </w:r>
          </w:p>
        </w:tc>
      </w:tr>
      <w:tr w:rsidR="00EF065F" w:rsidRPr="00A33AE8" w14:paraId="6FBD2BC9"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8A8239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5699D1C"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0BAA841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745BE8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9AAE1EF"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7C96CEC4"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799256B"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93D37EA"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DC230E" w:rsidRPr="00A33AE8" w14:paraId="4EC1822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0872F56" w14:textId="77777777" w:rsidR="00DC230E" w:rsidRPr="000007D2" w:rsidRDefault="00DC230E" w:rsidP="00DC230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D2FD315" w14:textId="77777777" w:rsidR="00DC230E" w:rsidRPr="000007D2" w:rsidRDefault="00DC230E"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EF065F" w:rsidRPr="00A33AE8" w14:paraId="3F57499A"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70A9F9F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3E83C1F" w14:textId="77777777" w:rsidR="00EF065F" w:rsidRPr="00A33AE8" w:rsidRDefault="00B2628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B26281">
              <w:rPr>
                <w:rFonts w:ascii="Calibri Light" w:eastAsia="Times New Roman" w:hAnsi="Calibri Light" w:cs="Calibri Light"/>
                <w:color w:val="000000"/>
                <w:sz w:val="20"/>
                <w:szCs w:val="20"/>
                <w:lang w:eastAsia="en-GB"/>
              </w:rPr>
              <w:t>Government of the Republic of Serbia</w:t>
            </w:r>
          </w:p>
        </w:tc>
      </w:tr>
      <w:tr w:rsidR="00EF065F" w:rsidRPr="00A33AE8" w14:paraId="2205BF0E"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12AF78B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0B67079" w14:textId="77777777" w:rsidR="00EF065F" w:rsidRPr="00A33AE8" w:rsidRDefault="00D3611E"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passenger and freight transport</w:t>
            </w:r>
          </w:p>
        </w:tc>
      </w:tr>
      <w:tr w:rsidR="006C6A30" w:rsidRPr="00A33AE8" w14:paraId="560CDA13" w14:textId="77777777" w:rsidTr="006769DA">
        <w:trPr>
          <w:gridAfter w:val="1"/>
          <w:wAfter w:w="222" w:type="dxa"/>
          <w:trHeight w:val="382"/>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17F418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A0259F3" w14:textId="77777777" w:rsidR="00B26281" w:rsidRPr="00B26281" w:rsidRDefault="006C6A30"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B26281" w:rsidRPr="00B26281">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promoted electric trains will increase the RES share in transport)</w:t>
            </w:r>
          </w:p>
          <w:p w14:paraId="67417AB2" w14:textId="77777777" w:rsidR="006C6A30" w:rsidRPr="00A33AE8" w:rsidRDefault="00B26281"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r w:rsidRPr="00B26281">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EF065F" w:rsidRPr="00A33AE8" w14:paraId="7FBEA1D6"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616FBD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AC776DC" w14:textId="77777777" w:rsidR="00EF065F" w:rsidRPr="00A33AE8" w:rsidRDefault="00EF065F"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5127D261" w14:textId="77777777" w:rsidR="00EF065F" w:rsidRPr="00A33AE8" w:rsidRDefault="00EF065F"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EF065F" w:rsidRPr="00A33AE8" w14:paraId="4CE476AD"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4F537D5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50FC29FA" w14:textId="77777777" w:rsidR="00EF065F" w:rsidRPr="00A33AE8" w:rsidRDefault="00EF065F"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4E33E93"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p>
        </w:tc>
      </w:tr>
      <w:tr w:rsidR="00EF065F" w:rsidRPr="00A33AE8" w14:paraId="7BD02887"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73A9ACA0"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4F5077E6" w14:textId="77777777" w:rsidR="00EF065F" w:rsidRPr="00A33AE8" w:rsidRDefault="00EF065F"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D14A378"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3B73E374" w14:textId="77777777" w:rsidTr="006769DA">
        <w:trPr>
          <w:trHeight w:val="44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BAFBF7F"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052601A" w14:textId="77777777" w:rsidR="00EF065F" w:rsidRPr="00A33AE8" w:rsidRDefault="00CB3A26" w:rsidP="00884F3B">
            <w:pPr>
              <w:pStyle w:val="ListParagraph"/>
              <w:numPr>
                <w:ilvl w:val="0"/>
                <w:numId w:val="14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133D8DC1"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0D86DF7C"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7E9B7C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C3C1095" w14:textId="77777777" w:rsidR="00EF065F" w:rsidRPr="00A33AE8" w:rsidRDefault="00E911E9" w:rsidP="00790BB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256</w:t>
            </w:r>
            <w:r w:rsidR="005B7FFC" w:rsidRPr="00A33AE8">
              <w:rPr>
                <w:rFonts w:ascii="Calibri Light" w:eastAsia="Times New Roman" w:hAnsi="Calibri Light" w:cs="Calibri Light"/>
                <w:color w:val="000000"/>
                <w:sz w:val="20"/>
                <w:szCs w:val="20"/>
                <w:lang w:eastAsia="en-GB"/>
              </w:rPr>
              <w:t xml:space="preserve"> </w:t>
            </w:r>
            <w:r w:rsidR="00EF065F" w:rsidRPr="00A33AE8">
              <w:rPr>
                <w:rFonts w:ascii="Calibri Light" w:eastAsia="Times New Roman" w:hAnsi="Calibri Light" w:cs="Calibri Light"/>
                <w:color w:val="000000"/>
                <w:sz w:val="20"/>
                <w:szCs w:val="20"/>
                <w:lang w:eastAsia="en-GB"/>
              </w:rPr>
              <w:t>M€</w:t>
            </w:r>
          </w:p>
        </w:tc>
        <w:tc>
          <w:tcPr>
            <w:tcW w:w="222" w:type="dxa"/>
            <w:vAlign w:val="center"/>
            <w:hideMark/>
          </w:tcPr>
          <w:p w14:paraId="7754DBF3"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p>
        </w:tc>
      </w:tr>
      <w:tr w:rsidR="00EF065F" w:rsidRPr="00A33AE8" w14:paraId="72C28C12"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A38423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B51B564" w14:textId="77777777" w:rsidR="00EF065F" w:rsidRPr="00A33AE8" w:rsidRDefault="00D3611E"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78A87CA4"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bl>
    <w:p w14:paraId="2C848F58"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3"/>
        <w:gridCol w:w="986"/>
        <w:gridCol w:w="943"/>
        <w:gridCol w:w="4216"/>
        <w:gridCol w:w="222"/>
      </w:tblGrid>
      <w:tr w:rsidR="00EF065F" w:rsidRPr="00A33AE8" w14:paraId="566B654E" w14:textId="77777777" w:rsidTr="006769DA">
        <w:trPr>
          <w:gridAfter w:val="1"/>
          <w:wAfter w:w="222" w:type="dxa"/>
          <w:trHeight w:val="780"/>
        </w:trPr>
        <w:tc>
          <w:tcPr>
            <w:tcW w:w="331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47BDFBC" w14:textId="77777777"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F43150D"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PM_EE18</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5B8B60F9"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D1414B7"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Continuous enhancement and extension of the relative infrastructure for public transport </w:t>
            </w:r>
          </w:p>
        </w:tc>
      </w:tr>
      <w:tr w:rsidR="00EF065F" w:rsidRPr="00A33AE8" w14:paraId="672C8907" w14:textId="77777777" w:rsidTr="006769DA">
        <w:trPr>
          <w:gridAfter w:val="1"/>
          <w:wAfter w:w="222" w:type="dxa"/>
          <w:trHeight w:val="960"/>
        </w:trPr>
        <w:tc>
          <w:tcPr>
            <w:tcW w:w="3313" w:type="dxa"/>
            <w:tcBorders>
              <w:top w:val="nil"/>
              <w:left w:val="single" w:sz="8" w:space="0" w:color="auto"/>
              <w:bottom w:val="single" w:sz="8" w:space="0" w:color="auto"/>
              <w:right w:val="nil"/>
            </w:tcBorders>
            <w:shd w:val="clear" w:color="000000" w:fill="244062"/>
            <w:vAlign w:val="center"/>
            <w:hideMark/>
          </w:tcPr>
          <w:p w14:paraId="711A3D58"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6B05B46" w14:textId="7EFA2C7E"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06AA3B1D" w14:textId="77777777" w:rsidR="00EF065F" w:rsidRPr="00A33AE8" w:rsidRDefault="00EF065F" w:rsidP="00884F3B">
            <w:pPr>
              <w:pStyle w:val="ListParagraph"/>
              <w:numPr>
                <w:ilvl w:val="0"/>
                <w:numId w:val="14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4BAA813B" w14:textId="77777777" w:rsidR="00EF065F" w:rsidRPr="00A33AE8" w:rsidRDefault="00EF065F" w:rsidP="00884F3B">
            <w:pPr>
              <w:pStyle w:val="ListParagraph"/>
              <w:numPr>
                <w:ilvl w:val="0"/>
                <w:numId w:val="14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EF065F" w:rsidRPr="00A33AE8" w14:paraId="4E06C4C6"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291AE28"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9D2FB7E" w14:textId="77777777" w:rsidR="00EF065F" w:rsidRPr="00A33AE8" w:rsidRDefault="00EF065F"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2.</w:t>
            </w:r>
            <w:r w:rsidR="00E911E9" w:rsidRPr="00A33AE8">
              <w:rPr>
                <w:rFonts w:ascii="Calibri Light" w:eastAsia="Times New Roman" w:hAnsi="Calibri Light" w:cs="Calibri Light"/>
                <w:color w:val="000000"/>
                <w:sz w:val="20"/>
                <w:szCs w:val="20"/>
                <w:lang w:eastAsia="en-GB"/>
              </w:rPr>
              <w:t>4</w:t>
            </w:r>
            <w:r w:rsidR="005B7FFC"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thousand electric buses</w:t>
            </w:r>
            <w:r w:rsidR="00A26048" w:rsidRPr="00A33AE8">
              <w:rPr>
                <w:rFonts w:ascii="Calibri Light" w:eastAsia="Times New Roman" w:hAnsi="Calibri Light" w:cs="Calibri Light"/>
                <w:color w:val="000000"/>
                <w:sz w:val="20"/>
                <w:szCs w:val="20"/>
                <w:lang w:eastAsia="en-GB"/>
              </w:rPr>
              <w:t xml:space="preserve"> (final energy savings </w:t>
            </w:r>
            <w:r w:rsidR="00E911E9" w:rsidRPr="00A33AE8">
              <w:rPr>
                <w:rFonts w:ascii="Calibri Light" w:eastAsia="Times New Roman" w:hAnsi="Calibri Light" w:cs="Calibri Light"/>
                <w:color w:val="000000"/>
                <w:sz w:val="20"/>
                <w:szCs w:val="20"/>
                <w:lang w:eastAsia="en-GB"/>
              </w:rPr>
              <w:t>17</w:t>
            </w:r>
            <w:r w:rsidR="00A26048" w:rsidRPr="00A33AE8">
              <w:rPr>
                <w:rFonts w:ascii="Calibri Light" w:eastAsia="Times New Roman" w:hAnsi="Calibri Light" w:cs="Calibri Light"/>
                <w:color w:val="000000"/>
                <w:sz w:val="20"/>
                <w:szCs w:val="20"/>
                <w:lang w:eastAsia="en-GB"/>
              </w:rPr>
              <w:t xml:space="preserve"> ktoe)</w:t>
            </w:r>
          </w:p>
        </w:tc>
      </w:tr>
      <w:tr w:rsidR="00EF065F" w:rsidRPr="00A33AE8" w14:paraId="7D774244" w14:textId="77777777" w:rsidTr="006769DA">
        <w:trPr>
          <w:gridAfter w:val="1"/>
          <w:wAfter w:w="222" w:type="dxa"/>
          <w:trHeight w:val="229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74B7BC0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7B4C85C"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PM_EE18 will support the enhancement and extension of the relative infrastructure for public transport contributing to the target for cleaner mobility. New energy efficient vehicles will be purchased substituting the conventional ones, while energy recovery systems will be installed. Moreover, the exemplary role of the public sector will be reinforced with measures, such as indicatively the determination of a compulsory quota of vehicles with higher energy efficiency in public agencies and organizations by setting higher energy efficiency limits. Finally, smart digital systems for road traffic management will be installed.</w:t>
            </w:r>
          </w:p>
        </w:tc>
      </w:tr>
      <w:tr w:rsidR="00EF065F" w:rsidRPr="00A33AE8" w14:paraId="1CC73352"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63362A8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300A78C0"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32F66DFE"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210894E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614519AA"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EF065F" w:rsidRPr="00A33AE8" w14:paraId="26465D31"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2E67DF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F7A6A21"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EF065F" w:rsidRPr="00A33AE8" w14:paraId="7C5C5B28"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7471D52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E0BF7EA" w14:textId="77777777" w:rsidR="00E94947" w:rsidRPr="00A33AE8" w:rsidRDefault="00E94947"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C329A75" w14:textId="77777777" w:rsidR="00EF065F" w:rsidRPr="000007D2" w:rsidRDefault="00E94947"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Local self-governments</w:t>
            </w:r>
          </w:p>
        </w:tc>
      </w:tr>
      <w:tr w:rsidR="00EF065F" w:rsidRPr="00A33AE8" w14:paraId="368B03B8" w14:textId="77777777" w:rsidTr="006769DA">
        <w:trPr>
          <w:gridAfter w:val="1"/>
          <w:wAfter w:w="222" w:type="dxa"/>
          <w:trHeight w:val="315"/>
        </w:trPr>
        <w:tc>
          <w:tcPr>
            <w:tcW w:w="3313" w:type="dxa"/>
            <w:tcBorders>
              <w:top w:val="nil"/>
              <w:left w:val="single" w:sz="8" w:space="0" w:color="auto"/>
              <w:bottom w:val="single" w:sz="8" w:space="0" w:color="auto"/>
              <w:right w:val="nil"/>
            </w:tcBorders>
            <w:shd w:val="clear" w:color="000000" w:fill="244062"/>
            <w:vAlign w:val="center"/>
            <w:hideMark/>
          </w:tcPr>
          <w:p w14:paraId="7E2219D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7D476217" w14:textId="77777777" w:rsidR="00EF065F" w:rsidRPr="00A33AE8" w:rsidRDefault="00EE7D01"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EE7D01">
              <w:rPr>
                <w:rFonts w:ascii="Calibri Light" w:eastAsia="Times New Roman" w:hAnsi="Calibri Light" w:cs="Calibri Light"/>
                <w:color w:val="000000"/>
                <w:sz w:val="20"/>
                <w:szCs w:val="20"/>
                <w:lang w:eastAsia="en-GB"/>
              </w:rPr>
              <w:t>Government of the Republic of Serbia</w:t>
            </w:r>
            <w:r w:rsidR="00EF065F" w:rsidRPr="00A33AE8">
              <w:rPr>
                <w:rFonts w:ascii="Calibri Light" w:eastAsia="Times New Roman" w:hAnsi="Calibri Light" w:cs="Calibri Light"/>
                <w:color w:val="000000"/>
                <w:sz w:val="20"/>
                <w:szCs w:val="20"/>
                <w:lang w:eastAsia="en-GB"/>
              </w:rPr>
              <w:t> </w:t>
            </w:r>
          </w:p>
        </w:tc>
      </w:tr>
      <w:tr w:rsidR="00EF065F" w:rsidRPr="00A33AE8" w14:paraId="7FAAA45B" w14:textId="77777777" w:rsidTr="006769DA">
        <w:trPr>
          <w:gridAfter w:val="1"/>
          <w:wAfter w:w="222" w:type="dxa"/>
          <w:trHeight w:val="315"/>
        </w:trPr>
        <w:tc>
          <w:tcPr>
            <w:tcW w:w="3313" w:type="dxa"/>
            <w:tcBorders>
              <w:top w:val="nil"/>
              <w:left w:val="single" w:sz="8" w:space="0" w:color="auto"/>
              <w:bottom w:val="single" w:sz="8" w:space="0" w:color="auto"/>
              <w:right w:val="nil"/>
            </w:tcBorders>
            <w:shd w:val="clear" w:color="000000" w:fill="244062"/>
            <w:vAlign w:val="center"/>
            <w:hideMark/>
          </w:tcPr>
          <w:p w14:paraId="0E1A6AF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26860CED" w14:textId="77777777" w:rsidR="00EF065F" w:rsidRPr="00A33AE8" w:rsidRDefault="00D3611E"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 efficient b</w:t>
            </w:r>
            <w:r w:rsidR="00EF065F" w:rsidRPr="00A33AE8">
              <w:rPr>
                <w:rFonts w:ascii="Calibri Light" w:eastAsia="Times New Roman" w:hAnsi="Calibri Light" w:cs="Calibri Light"/>
                <w:color w:val="000000"/>
                <w:sz w:val="20"/>
                <w:szCs w:val="20"/>
                <w:lang w:eastAsia="en-GB"/>
              </w:rPr>
              <w:t>uses </w:t>
            </w:r>
          </w:p>
        </w:tc>
      </w:tr>
      <w:tr w:rsidR="006C6A30" w:rsidRPr="00A33AE8" w14:paraId="2920354C" w14:textId="77777777" w:rsidTr="006769DA">
        <w:trPr>
          <w:gridAfter w:val="1"/>
          <w:wAfter w:w="222" w:type="dxa"/>
          <w:trHeight w:val="452"/>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5070231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78FF99F2" w14:textId="77777777" w:rsidR="00EE7D01" w:rsidRPr="00EE7D01" w:rsidRDefault="006C6A30"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EE7D01" w:rsidRPr="00EE7D01">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promoted electric vehicles will increase the RES share in transport)</w:t>
            </w:r>
          </w:p>
          <w:p w14:paraId="00C1E2A3" w14:textId="77777777" w:rsidR="006C6A30" w:rsidRPr="00A33AE8" w:rsidRDefault="00EE7D01"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r w:rsidRPr="00EE7D01">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EF065F" w:rsidRPr="00A33AE8" w14:paraId="33DECBCA" w14:textId="77777777" w:rsidTr="006769DA">
        <w:trPr>
          <w:gridAfter w:val="1"/>
          <w:wAfter w:w="222" w:type="dxa"/>
          <w:trHeight w:val="450"/>
        </w:trPr>
        <w:tc>
          <w:tcPr>
            <w:tcW w:w="331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3A97349"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B89239" w14:textId="77777777" w:rsidR="00EF065F" w:rsidRPr="00A33AE8" w:rsidRDefault="00EF065F"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1CE56A6" w14:textId="77777777" w:rsidR="00EF065F" w:rsidRPr="00A33AE8" w:rsidRDefault="00EF065F"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EF065F" w:rsidRPr="00A33AE8" w14:paraId="6A61BD75" w14:textId="77777777" w:rsidTr="006769DA">
        <w:trPr>
          <w:trHeight w:val="300"/>
        </w:trPr>
        <w:tc>
          <w:tcPr>
            <w:tcW w:w="3313" w:type="dxa"/>
            <w:vMerge/>
            <w:tcBorders>
              <w:top w:val="nil"/>
              <w:left w:val="single" w:sz="8" w:space="0" w:color="auto"/>
              <w:bottom w:val="single" w:sz="8" w:space="0" w:color="000000"/>
              <w:right w:val="single" w:sz="8" w:space="0" w:color="auto"/>
            </w:tcBorders>
            <w:vAlign w:val="center"/>
            <w:hideMark/>
          </w:tcPr>
          <w:p w14:paraId="053CC1A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06DED3A8" w14:textId="77777777" w:rsidR="00EF065F" w:rsidRPr="00A33AE8" w:rsidRDefault="00EF065F"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D6A8449"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p>
        </w:tc>
      </w:tr>
      <w:tr w:rsidR="00EF065F" w:rsidRPr="00A33AE8" w14:paraId="17ADA362" w14:textId="77777777" w:rsidTr="006769DA">
        <w:trPr>
          <w:trHeight w:val="60"/>
        </w:trPr>
        <w:tc>
          <w:tcPr>
            <w:tcW w:w="3313" w:type="dxa"/>
            <w:vMerge/>
            <w:tcBorders>
              <w:top w:val="nil"/>
              <w:left w:val="single" w:sz="8" w:space="0" w:color="auto"/>
              <w:bottom w:val="single" w:sz="8" w:space="0" w:color="000000"/>
              <w:right w:val="single" w:sz="8" w:space="0" w:color="auto"/>
            </w:tcBorders>
            <w:vAlign w:val="center"/>
            <w:hideMark/>
          </w:tcPr>
          <w:p w14:paraId="42AE22A5"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2D73F86C" w14:textId="77777777" w:rsidR="00EF065F" w:rsidRPr="00A33AE8" w:rsidRDefault="00EF065F"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50E10F6"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57CE9BA7" w14:textId="77777777" w:rsidTr="006769DA">
        <w:trPr>
          <w:trHeight w:val="780"/>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7B619D4C"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6ADC5D60" w14:textId="5E89D5F5" w:rsidR="00EF065F" w:rsidRPr="00A33AE8" w:rsidRDefault="00EF065F"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22F713F4" w14:textId="77777777" w:rsidR="00EF065F" w:rsidRPr="00A33AE8" w:rsidRDefault="00CB3A26" w:rsidP="00884F3B">
            <w:pPr>
              <w:pStyle w:val="ListParagraph"/>
              <w:numPr>
                <w:ilvl w:val="0"/>
                <w:numId w:val="14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7BC536A7"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3877275F" w14:textId="77777777" w:rsidTr="006769DA">
        <w:trPr>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2C364098"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3858C26A" w14:textId="77777777" w:rsidR="00EF065F" w:rsidRPr="00A33AE8" w:rsidRDefault="00E911E9" w:rsidP="00790BBC">
            <w:pPr>
              <w:spacing w:after="0" w:line="240" w:lineRule="auto"/>
              <w:rPr>
                <w:rFonts w:ascii="Calibri" w:eastAsia="Times New Roman" w:hAnsi="Calibri" w:cs="Calibri"/>
                <w:color w:val="000000"/>
                <w:lang w:eastAsia="en-GB"/>
              </w:rPr>
            </w:pPr>
            <w:bookmarkStart w:id="164" w:name="_Hlk152490021"/>
            <w:r w:rsidRPr="00B907C8">
              <w:rPr>
                <w:rFonts w:ascii="Calibri Light" w:eastAsia="Times New Roman" w:hAnsi="Calibri Light" w:cs="Calibri Light"/>
                <w:color w:val="000000"/>
                <w:sz w:val="20"/>
                <w:szCs w:val="20"/>
                <w:lang w:eastAsia="en-GB"/>
              </w:rPr>
              <w:t>505</w:t>
            </w:r>
            <w:r w:rsidR="005B7FFC" w:rsidRPr="00B907C8">
              <w:rPr>
                <w:rFonts w:ascii="Calibri Light" w:eastAsia="Times New Roman" w:hAnsi="Calibri Light" w:cs="Calibri Light"/>
                <w:color w:val="000000"/>
                <w:sz w:val="20"/>
                <w:szCs w:val="20"/>
                <w:lang w:eastAsia="en-GB"/>
              </w:rPr>
              <w:t xml:space="preserve"> </w:t>
            </w:r>
            <w:r w:rsidR="00EF065F" w:rsidRPr="00B907C8">
              <w:rPr>
                <w:rFonts w:ascii="Calibri Light" w:eastAsia="Times New Roman" w:hAnsi="Calibri Light" w:cs="Calibri Light"/>
                <w:color w:val="000000"/>
                <w:sz w:val="20"/>
                <w:szCs w:val="20"/>
                <w:lang w:eastAsia="en-GB"/>
              </w:rPr>
              <w:t>M€</w:t>
            </w:r>
            <w:bookmarkEnd w:id="164"/>
          </w:p>
        </w:tc>
        <w:tc>
          <w:tcPr>
            <w:tcW w:w="222" w:type="dxa"/>
            <w:vAlign w:val="center"/>
            <w:hideMark/>
          </w:tcPr>
          <w:p w14:paraId="40272304"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2001338A" w14:textId="77777777" w:rsidTr="006769DA">
        <w:trPr>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4E2E35F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5DD8FF06" w14:textId="77777777" w:rsidR="00EF065F" w:rsidRPr="00A33AE8" w:rsidRDefault="00D3611E"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68BC6F28"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bl>
    <w:p w14:paraId="6922FF16"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5"/>
        <w:gridCol w:w="986"/>
        <w:gridCol w:w="943"/>
        <w:gridCol w:w="4214"/>
        <w:gridCol w:w="222"/>
      </w:tblGrid>
      <w:tr w:rsidR="00EF065F" w:rsidRPr="00A33AE8" w14:paraId="51A78F1F" w14:textId="77777777" w:rsidTr="006769DA">
        <w:trPr>
          <w:gridAfter w:val="1"/>
          <w:wAfter w:w="222" w:type="dxa"/>
          <w:trHeight w:val="780"/>
        </w:trPr>
        <w:tc>
          <w:tcPr>
            <w:tcW w:w="331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EA0D38B" w14:textId="68E1FF54"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AE0728E"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PM_EE19</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0F97A38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476A3CB4"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sustainable regional or municipal mobility plans</w:t>
            </w:r>
          </w:p>
        </w:tc>
      </w:tr>
      <w:tr w:rsidR="00EF065F" w:rsidRPr="00A33AE8" w14:paraId="37092A88" w14:textId="77777777" w:rsidTr="006769DA">
        <w:trPr>
          <w:gridAfter w:val="1"/>
          <w:wAfter w:w="222" w:type="dxa"/>
          <w:trHeight w:val="541"/>
        </w:trPr>
        <w:tc>
          <w:tcPr>
            <w:tcW w:w="3315" w:type="dxa"/>
            <w:tcBorders>
              <w:top w:val="nil"/>
              <w:left w:val="single" w:sz="8" w:space="0" w:color="auto"/>
              <w:bottom w:val="single" w:sz="8" w:space="0" w:color="auto"/>
              <w:right w:val="nil"/>
            </w:tcBorders>
            <w:shd w:val="clear" w:color="000000" w:fill="244062"/>
            <w:vAlign w:val="center"/>
            <w:hideMark/>
          </w:tcPr>
          <w:p w14:paraId="242A67EA" w14:textId="410D25DD"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09E132B6" w14:textId="30725BCA"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1F631429"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Article 3</w:t>
            </w:r>
          </w:p>
        </w:tc>
      </w:tr>
      <w:tr w:rsidR="00EF065F" w:rsidRPr="00A33AE8" w14:paraId="4D2937EE"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5B181BD" w14:textId="2E381951"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Quantified objective: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5CB23CD" w14:textId="77777777" w:rsidR="00EF065F" w:rsidRPr="00A33AE8" w:rsidRDefault="00EF065F"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w:t>
            </w:r>
            <w:r w:rsidR="00CA0A1B" w:rsidRPr="00A33AE8">
              <w:rPr>
                <w:rFonts w:ascii="Calibri Light" w:eastAsia="Times New Roman" w:hAnsi="Calibri Light" w:cs="Calibri Light"/>
                <w:color w:val="000000"/>
                <w:sz w:val="20"/>
                <w:szCs w:val="20"/>
                <w:lang w:eastAsia="en-GB"/>
              </w:rPr>
              <w:t xml:space="preserve">to </w:t>
            </w:r>
            <w:r w:rsidR="00A26048" w:rsidRPr="00A33AE8">
              <w:rPr>
                <w:rFonts w:ascii="Calibri Light" w:eastAsia="Times New Roman" w:hAnsi="Calibri Light" w:cs="Calibri Light"/>
                <w:color w:val="000000"/>
                <w:sz w:val="20"/>
                <w:szCs w:val="20"/>
                <w:lang w:eastAsia="en-GB"/>
              </w:rPr>
              <w:t xml:space="preserve">PM_EE10, </w:t>
            </w:r>
            <w:r w:rsidR="00CA0A1B" w:rsidRPr="00A33AE8">
              <w:rPr>
                <w:rFonts w:ascii="Calibri Light" w:eastAsia="Times New Roman" w:hAnsi="Calibri Light" w:cs="Calibri Light"/>
                <w:color w:val="000000"/>
                <w:sz w:val="20"/>
                <w:szCs w:val="20"/>
                <w:lang w:eastAsia="en-GB"/>
              </w:rPr>
              <w:t xml:space="preserve">PM_EE12 and </w:t>
            </w:r>
            <w:r w:rsidRPr="00A33AE8">
              <w:rPr>
                <w:rFonts w:ascii="Calibri Light" w:eastAsia="Times New Roman" w:hAnsi="Calibri Light" w:cs="Calibri Light"/>
                <w:color w:val="000000"/>
                <w:sz w:val="20"/>
                <w:szCs w:val="20"/>
                <w:lang w:eastAsia="en-GB"/>
              </w:rPr>
              <w:t>PM_EE14</w:t>
            </w:r>
          </w:p>
        </w:tc>
      </w:tr>
      <w:tr w:rsidR="00EF065F" w:rsidRPr="00A33AE8" w14:paraId="49097B1F" w14:textId="77777777" w:rsidTr="006769DA">
        <w:trPr>
          <w:gridAfter w:val="1"/>
          <w:wAfter w:w="222" w:type="dxa"/>
          <w:trHeight w:val="1383"/>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15371B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93F360E"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PM_EE19 will facilitate the development of sustainable regional or municipal mobility plans leading to the completion of the holistic framework for the implementation of the above-mentioned measures at local and regional level taking into consideration the local peculiarities</w:t>
            </w:r>
            <w:r w:rsidR="00500143" w:rsidRPr="00A33AE8">
              <w:rPr>
                <w:rFonts w:ascii="Calibri Light" w:eastAsia="Times New Roman" w:hAnsi="Calibri Light" w:cs="Calibri Light"/>
                <w:color w:val="000000"/>
                <w:sz w:val="20"/>
                <w:szCs w:val="20"/>
                <w:lang w:eastAsia="en-GB"/>
              </w:rPr>
              <w:t>, the</w:t>
            </w:r>
            <w:r w:rsidRPr="00A33AE8">
              <w:rPr>
                <w:rFonts w:ascii="Calibri Light" w:eastAsia="Times New Roman" w:hAnsi="Calibri Light" w:cs="Calibri Light"/>
                <w:color w:val="000000"/>
                <w:sz w:val="20"/>
                <w:szCs w:val="20"/>
                <w:lang w:eastAsia="en-GB"/>
              </w:rPr>
              <w:t xml:space="preserve"> design elements from all the above-mentioned measures</w:t>
            </w:r>
            <w:r w:rsidR="00500143" w:rsidRPr="00A33AE8">
              <w:rPr>
                <w:rFonts w:ascii="Calibri Light" w:eastAsia="Times New Roman" w:hAnsi="Calibri Light" w:cs="Calibri Light"/>
                <w:color w:val="000000"/>
                <w:sz w:val="20"/>
                <w:szCs w:val="20"/>
                <w:lang w:eastAsia="en-GB"/>
              </w:rPr>
              <w:t xml:space="preserve"> and the existing spatial planning requirements according to the legislative framework.</w:t>
            </w:r>
          </w:p>
        </w:tc>
      </w:tr>
      <w:tr w:rsidR="00EF065F" w:rsidRPr="00A33AE8" w14:paraId="0C2E0D3A"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BC52B68"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61EF1C6"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w:t>
            </w:r>
            <w:r w:rsidR="00D740EA">
              <w:rPr>
                <w:rFonts w:ascii="Calibri Light" w:eastAsia="Times New Roman" w:hAnsi="Calibri Light" w:cs="Calibri Light"/>
                <w:color w:val="000000"/>
                <w:sz w:val="20"/>
                <w:szCs w:val="20"/>
                <w:lang w:eastAsia="en-GB"/>
              </w:rPr>
              <w:t>27</w:t>
            </w:r>
          </w:p>
        </w:tc>
      </w:tr>
      <w:tr w:rsidR="00EF065F" w:rsidRPr="00A33AE8" w14:paraId="520D5271"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5DBE2ACF"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637D1EA4"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EF065F" w:rsidRPr="00A33AE8" w14:paraId="73EC620D"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420A339"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322AA4E"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EF065F" w:rsidRPr="00A33AE8" w14:paraId="170715F8"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E7A864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D7D5D6E" w14:textId="77777777" w:rsidR="00500143" w:rsidRPr="00A33AE8" w:rsidRDefault="00500143"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5D761B6D" w14:textId="77777777" w:rsidR="00EF065F" w:rsidRPr="000007D2" w:rsidRDefault="00500143"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Local self-governments</w:t>
            </w:r>
          </w:p>
        </w:tc>
      </w:tr>
      <w:tr w:rsidR="00EF065F" w:rsidRPr="00A33AE8" w14:paraId="42021375"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05E277C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C18E47A" w14:textId="77777777" w:rsidR="00EF065F" w:rsidRPr="00A33AE8" w:rsidRDefault="00D740EA"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D740EA">
              <w:rPr>
                <w:rFonts w:ascii="Calibri Light" w:eastAsia="Times New Roman" w:hAnsi="Calibri Light" w:cs="Calibri Light"/>
                <w:color w:val="000000"/>
                <w:sz w:val="20"/>
                <w:szCs w:val="20"/>
                <w:lang w:eastAsia="en-GB"/>
              </w:rPr>
              <w:t>Government of the Republic of Serbia</w:t>
            </w:r>
          </w:p>
        </w:tc>
      </w:tr>
      <w:tr w:rsidR="00EF065F" w:rsidRPr="00A33AE8" w14:paraId="01E091B0"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64B141FF"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F3DD350" w14:textId="77777777" w:rsidR="00EF065F" w:rsidRPr="00A33AE8" w:rsidRDefault="00D3611E"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passenger and freight transport</w:t>
            </w:r>
          </w:p>
        </w:tc>
      </w:tr>
      <w:tr w:rsidR="006C6A30" w:rsidRPr="00A33AE8" w14:paraId="303FEB34" w14:textId="77777777" w:rsidTr="006769DA">
        <w:trPr>
          <w:gridAfter w:val="1"/>
          <w:wAfter w:w="222" w:type="dxa"/>
          <w:trHeight w:val="533"/>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1F41B686"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7040541" w14:textId="77777777" w:rsidR="00D740EA" w:rsidRPr="00D740EA" w:rsidRDefault="006C6A30"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D740EA" w:rsidRPr="00D740EA">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304A5F8A" w14:textId="77777777" w:rsidR="006C6A30" w:rsidRPr="00A33AE8" w:rsidRDefault="00D740EA"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D740EA">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EF065F" w:rsidRPr="00A33AE8" w14:paraId="0242BE88" w14:textId="77777777" w:rsidTr="006769DA">
        <w:trPr>
          <w:gridAfter w:val="1"/>
          <w:wAfter w:w="222" w:type="dxa"/>
          <w:trHeight w:val="450"/>
        </w:trPr>
        <w:tc>
          <w:tcPr>
            <w:tcW w:w="331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F2EFAF7"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5E9DBC"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0D6247E"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EF065F" w:rsidRPr="00A33AE8" w14:paraId="70BAA109" w14:textId="77777777" w:rsidTr="006769DA">
        <w:trPr>
          <w:trHeight w:val="300"/>
        </w:trPr>
        <w:tc>
          <w:tcPr>
            <w:tcW w:w="3315" w:type="dxa"/>
            <w:vMerge/>
            <w:tcBorders>
              <w:top w:val="nil"/>
              <w:left w:val="single" w:sz="8" w:space="0" w:color="auto"/>
              <w:bottom w:val="single" w:sz="8" w:space="0" w:color="000000"/>
              <w:right w:val="single" w:sz="8" w:space="0" w:color="auto"/>
            </w:tcBorders>
            <w:vAlign w:val="center"/>
            <w:hideMark/>
          </w:tcPr>
          <w:p w14:paraId="5594293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2FFD2913"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E1D9A71"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p>
        </w:tc>
      </w:tr>
      <w:tr w:rsidR="00EF065F" w:rsidRPr="00A33AE8" w14:paraId="77FCCA6C" w14:textId="77777777" w:rsidTr="006769DA">
        <w:trPr>
          <w:trHeight w:val="60"/>
        </w:trPr>
        <w:tc>
          <w:tcPr>
            <w:tcW w:w="3315" w:type="dxa"/>
            <w:vMerge/>
            <w:tcBorders>
              <w:top w:val="nil"/>
              <w:left w:val="single" w:sz="8" w:space="0" w:color="auto"/>
              <w:bottom w:val="single" w:sz="8" w:space="0" w:color="000000"/>
              <w:right w:val="single" w:sz="8" w:space="0" w:color="auto"/>
            </w:tcBorders>
            <w:vAlign w:val="center"/>
            <w:hideMark/>
          </w:tcPr>
          <w:p w14:paraId="42C0DB1E"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7BA2E9AF"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3EBCBF8"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0D80B352" w14:textId="77777777" w:rsidTr="006769DA">
        <w:trPr>
          <w:trHeight w:val="383"/>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37EE8F90"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6066ABE" w14:textId="77777777" w:rsidR="00EF065F" w:rsidRPr="00A33AE8" w:rsidRDefault="00CB3A26"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p w14:paraId="4F39D649" w14:textId="77777777" w:rsidR="00500143" w:rsidRPr="00A33AE8" w:rsidRDefault="00500143"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Planning and Construction</w:t>
            </w:r>
          </w:p>
        </w:tc>
        <w:tc>
          <w:tcPr>
            <w:tcW w:w="222" w:type="dxa"/>
            <w:vAlign w:val="center"/>
            <w:hideMark/>
          </w:tcPr>
          <w:p w14:paraId="78DE917F"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65D30" w:rsidRPr="00A33AE8" w14:paraId="3AC7A4C3"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1D6BFFC6" w14:textId="77777777" w:rsidR="00E65D30" w:rsidRPr="00A33AE8" w:rsidRDefault="00E65D30" w:rsidP="00E65D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33FFE22" w14:textId="77777777" w:rsidR="00E65D30" w:rsidRPr="00A33AE8" w:rsidRDefault="00E65D30" w:rsidP="00E65D30">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PM_EE10, PM_EE12 and PM_EE14</w:t>
            </w:r>
          </w:p>
        </w:tc>
        <w:tc>
          <w:tcPr>
            <w:tcW w:w="222" w:type="dxa"/>
            <w:vAlign w:val="center"/>
            <w:hideMark/>
          </w:tcPr>
          <w:p w14:paraId="590548D3" w14:textId="77777777" w:rsidR="00E65D30" w:rsidRPr="00A33AE8" w:rsidRDefault="00E65D30" w:rsidP="00E65D30">
            <w:pPr>
              <w:spacing w:after="0" w:line="240" w:lineRule="auto"/>
              <w:rPr>
                <w:rFonts w:ascii="Times New Roman" w:eastAsia="Times New Roman" w:hAnsi="Times New Roman" w:cs="Times New Roman"/>
                <w:sz w:val="20"/>
                <w:szCs w:val="20"/>
                <w:lang w:eastAsia="en-GB"/>
              </w:rPr>
            </w:pPr>
          </w:p>
        </w:tc>
      </w:tr>
      <w:tr w:rsidR="00EF065F" w:rsidRPr="00A33AE8" w14:paraId="0770FB9A"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1808AC1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FBE2993" w14:textId="77777777" w:rsidR="00EF065F" w:rsidRPr="00A33AE8" w:rsidRDefault="00D3611E"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5D4DA99E"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bl>
    <w:p w14:paraId="1470F753" w14:textId="77777777" w:rsidR="00EF065F" w:rsidRPr="00A33AE8" w:rsidRDefault="00EF065F" w:rsidP="00EF065F">
      <w:pPr>
        <w:pStyle w:val="LDKbody"/>
        <w:rPr>
          <w:lang w:val="en-GB"/>
        </w:rPr>
      </w:pPr>
    </w:p>
    <w:tbl>
      <w:tblPr>
        <w:tblW w:w="9680" w:type="dxa"/>
        <w:tblLook w:val="04A0" w:firstRow="1" w:lastRow="0" w:firstColumn="1" w:lastColumn="0" w:noHBand="0" w:noVBand="1"/>
      </w:tblPr>
      <w:tblGrid>
        <w:gridCol w:w="3311"/>
        <w:gridCol w:w="986"/>
        <w:gridCol w:w="943"/>
        <w:gridCol w:w="4218"/>
        <w:gridCol w:w="222"/>
      </w:tblGrid>
      <w:tr w:rsidR="00EF065F" w:rsidRPr="00A33AE8" w14:paraId="0D1A89DF" w14:textId="77777777" w:rsidTr="006769DA">
        <w:trPr>
          <w:gridAfter w:val="1"/>
          <w:wAfter w:w="222" w:type="dxa"/>
          <w:trHeight w:val="780"/>
        </w:trPr>
        <w:tc>
          <w:tcPr>
            <w:tcW w:w="331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CCCDD5B" w14:textId="39301676" w:rsidR="00EF065F" w:rsidRPr="00A33AE8" w:rsidRDefault="00EF065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A54BA5B"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PM_EE20</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4F7E2E2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8" w:type="dxa"/>
            <w:tcBorders>
              <w:top w:val="single" w:sz="8" w:space="0" w:color="auto"/>
              <w:left w:val="nil"/>
              <w:bottom w:val="single" w:sz="8" w:space="0" w:color="auto"/>
              <w:right w:val="single" w:sz="8" w:space="0" w:color="auto"/>
            </w:tcBorders>
            <w:shd w:val="clear" w:color="auto" w:fill="E7E6E6" w:themeFill="background2"/>
            <w:vAlign w:val="center"/>
            <w:hideMark/>
          </w:tcPr>
          <w:p w14:paraId="36BD094C" w14:textId="77777777" w:rsidR="00EF065F" w:rsidRPr="00A33AE8" w:rsidRDefault="00EF065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Supplementary actions for the promotion of energy efficiency in transport sector </w:t>
            </w:r>
          </w:p>
        </w:tc>
      </w:tr>
      <w:tr w:rsidR="00EF065F" w:rsidRPr="00A33AE8" w14:paraId="5D885D1D" w14:textId="77777777" w:rsidTr="006769DA">
        <w:trPr>
          <w:gridAfter w:val="1"/>
          <w:wAfter w:w="222" w:type="dxa"/>
          <w:trHeight w:val="433"/>
        </w:trPr>
        <w:tc>
          <w:tcPr>
            <w:tcW w:w="3311" w:type="dxa"/>
            <w:tcBorders>
              <w:top w:val="nil"/>
              <w:left w:val="single" w:sz="8" w:space="0" w:color="auto"/>
              <w:bottom w:val="single" w:sz="8" w:space="0" w:color="auto"/>
              <w:right w:val="nil"/>
            </w:tcBorders>
            <w:shd w:val="clear" w:color="000000" w:fill="244062"/>
            <w:vAlign w:val="center"/>
            <w:hideMark/>
          </w:tcPr>
          <w:p w14:paraId="4E27DAA5" w14:textId="04DA8523"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9FBD357" w14:textId="4E324224" w:rsidR="00EF065F"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E911E9"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EF065F" w:rsidRPr="00A33AE8">
              <w:rPr>
                <w:rFonts w:ascii="Calibri Light" w:eastAsia="Times New Roman" w:hAnsi="Calibri Light" w:cs="Calibri Light"/>
                <w:color w:val="000000"/>
                <w:sz w:val="20"/>
                <w:szCs w:val="20"/>
                <w:lang w:eastAsia="en-GB"/>
              </w:rPr>
              <w:t>:</w:t>
            </w:r>
          </w:p>
          <w:p w14:paraId="7CE7A3EB"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EF065F" w:rsidRPr="00A33AE8" w14:paraId="237B1103"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3690D5B" w14:textId="79204248"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0324483" w14:textId="77777777" w:rsidR="00EF065F" w:rsidRPr="00A33AE8" w:rsidRDefault="00A26048"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PM_EE10, PM_EE12 and PM_EE14</w:t>
            </w:r>
          </w:p>
        </w:tc>
      </w:tr>
      <w:tr w:rsidR="00EF065F" w:rsidRPr="00A33AE8" w14:paraId="4B6DCD98" w14:textId="77777777" w:rsidTr="006769DA">
        <w:trPr>
          <w:gridAfter w:val="1"/>
          <w:wAfter w:w="222" w:type="dxa"/>
          <w:trHeight w:val="1138"/>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3485524"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48F71F05" w14:textId="77777777" w:rsidR="00EF065F" w:rsidRPr="00A33AE8" w:rsidRDefault="00EF065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PM_EE20 will foresee existing various measures for the promotion of energy efficient tyres for all types of vehicles such as the promotion of energy efficient tyres and lubricants, the regular technical inspections of vehicles in compliance with specific quality requirements, the promotion of fuel additives, the establishment of a framework for fuel labelling and fuel quality monitoring.</w:t>
            </w:r>
          </w:p>
        </w:tc>
      </w:tr>
      <w:tr w:rsidR="00EF065F" w:rsidRPr="00A33AE8" w14:paraId="4B42D220"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E7524B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7F0DB0C1" w14:textId="77777777" w:rsidR="00EF065F" w:rsidRPr="00A33AE8" w:rsidRDefault="00E911E9"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EF065F" w:rsidRPr="00A33AE8">
              <w:rPr>
                <w:rFonts w:ascii="Calibri Light" w:eastAsia="Times New Roman" w:hAnsi="Calibri Light" w:cs="Calibri Light"/>
                <w:color w:val="000000"/>
                <w:sz w:val="20"/>
                <w:szCs w:val="20"/>
                <w:lang w:eastAsia="en-GB"/>
              </w:rPr>
              <w:t>-2030</w:t>
            </w:r>
          </w:p>
        </w:tc>
      </w:tr>
      <w:tr w:rsidR="00EF065F" w:rsidRPr="00A33AE8" w14:paraId="1B199F80"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D83F2C2"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2A04F437" w14:textId="77777777" w:rsidR="00EF065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EF065F" w:rsidRPr="00A33AE8" w14:paraId="3FD18A0E"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108A9D9"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468B417"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w:t>
            </w:r>
          </w:p>
        </w:tc>
      </w:tr>
      <w:tr w:rsidR="00EF065F" w:rsidRPr="00A33AE8" w14:paraId="6967455E"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64AA21A9"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DDA43C8" w14:textId="77777777" w:rsidR="00EF065F" w:rsidRPr="00A33AE8" w:rsidRDefault="00DA7692"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EF065F" w:rsidRPr="00A33AE8" w14:paraId="5E743866"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39DD0EC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708CA3C9" w14:textId="77777777" w:rsidR="00EF065F" w:rsidRPr="00A33AE8" w:rsidRDefault="00EE4D02"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EE4D02">
              <w:rPr>
                <w:rFonts w:ascii="Calibri Light" w:eastAsia="Times New Roman" w:hAnsi="Calibri Light" w:cs="Calibri Light"/>
                <w:color w:val="000000"/>
                <w:sz w:val="20"/>
                <w:szCs w:val="20"/>
                <w:lang w:eastAsia="en-GB"/>
              </w:rPr>
              <w:t>Government of the Republic of Serbia</w:t>
            </w:r>
            <w:r w:rsidR="00EF065F" w:rsidRPr="00A33AE8">
              <w:rPr>
                <w:rFonts w:ascii="Calibri Light" w:eastAsia="Times New Roman" w:hAnsi="Calibri Light" w:cs="Calibri Light"/>
                <w:color w:val="000000"/>
                <w:sz w:val="20"/>
                <w:szCs w:val="20"/>
                <w:lang w:eastAsia="en-GB"/>
              </w:rPr>
              <w:t> </w:t>
            </w:r>
          </w:p>
        </w:tc>
      </w:tr>
      <w:tr w:rsidR="00EF065F" w:rsidRPr="00A33AE8" w14:paraId="1C6C2BE8"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2BA48DE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2E59403" w14:textId="77777777" w:rsidR="00EF065F" w:rsidRPr="00A33AE8" w:rsidRDefault="00D3611E"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passenger and freight transport</w:t>
            </w:r>
          </w:p>
        </w:tc>
      </w:tr>
      <w:tr w:rsidR="006C6A30" w:rsidRPr="00A33AE8" w14:paraId="064F9FB7" w14:textId="77777777" w:rsidTr="006769DA">
        <w:trPr>
          <w:gridAfter w:val="1"/>
          <w:wAfter w:w="222" w:type="dxa"/>
          <w:trHeight w:val="39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7CDD1D92"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49C47661" w14:textId="77777777" w:rsidR="00EE4D02" w:rsidRPr="00EE4D02" w:rsidRDefault="006C6A30"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EE4D02" w:rsidRPr="00EE4D02">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10FE4953" w14:textId="77777777" w:rsidR="006C6A30" w:rsidRPr="00A33AE8" w:rsidRDefault="00EE4D02"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EE4D02">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EF065F" w:rsidRPr="00A33AE8" w14:paraId="3C11A43B" w14:textId="77777777" w:rsidTr="006769DA">
        <w:trPr>
          <w:gridAfter w:val="1"/>
          <w:wAfter w:w="222" w:type="dxa"/>
          <w:trHeight w:val="450"/>
        </w:trPr>
        <w:tc>
          <w:tcPr>
            <w:tcW w:w="331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7AEE98D"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C42974B"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31B3069E"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E911E9"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EF065F" w:rsidRPr="00A33AE8" w14:paraId="6835D7BC" w14:textId="77777777" w:rsidTr="006769DA">
        <w:trPr>
          <w:trHeight w:val="300"/>
        </w:trPr>
        <w:tc>
          <w:tcPr>
            <w:tcW w:w="3311" w:type="dxa"/>
            <w:vMerge/>
            <w:tcBorders>
              <w:top w:val="nil"/>
              <w:left w:val="single" w:sz="8" w:space="0" w:color="auto"/>
              <w:bottom w:val="single" w:sz="8" w:space="0" w:color="000000"/>
              <w:right w:val="single" w:sz="8" w:space="0" w:color="auto"/>
            </w:tcBorders>
            <w:vAlign w:val="center"/>
            <w:hideMark/>
          </w:tcPr>
          <w:p w14:paraId="0BD6343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339CFD97"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8B94FC4" w14:textId="77777777" w:rsidR="00EF065F" w:rsidRPr="00A33AE8" w:rsidRDefault="00EF065F" w:rsidP="006769DA">
            <w:pPr>
              <w:spacing w:after="0" w:line="240" w:lineRule="auto"/>
              <w:rPr>
                <w:rFonts w:ascii="Calibri Light" w:eastAsia="Times New Roman" w:hAnsi="Calibri Light" w:cs="Calibri Light"/>
                <w:color w:val="000000"/>
                <w:sz w:val="20"/>
                <w:szCs w:val="20"/>
                <w:lang w:eastAsia="en-GB"/>
              </w:rPr>
            </w:pPr>
          </w:p>
        </w:tc>
      </w:tr>
      <w:tr w:rsidR="00EF065F" w:rsidRPr="00A33AE8" w14:paraId="70F4336B" w14:textId="77777777" w:rsidTr="006769DA">
        <w:trPr>
          <w:trHeight w:val="60"/>
        </w:trPr>
        <w:tc>
          <w:tcPr>
            <w:tcW w:w="3311" w:type="dxa"/>
            <w:vMerge/>
            <w:tcBorders>
              <w:top w:val="nil"/>
              <w:left w:val="single" w:sz="8" w:space="0" w:color="auto"/>
              <w:bottom w:val="single" w:sz="8" w:space="0" w:color="000000"/>
              <w:right w:val="single" w:sz="8" w:space="0" w:color="auto"/>
            </w:tcBorders>
            <w:vAlign w:val="center"/>
            <w:hideMark/>
          </w:tcPr>
          <w:p w14:paraId="74A236B6"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0E19E825" w14:textId="77777777"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2EB8905"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F065F" w:rsidRPr="00A33AE8" w14:paraId="10AC2BD6" w14:textId="77777777" w:rsidTr="006769DA">
        <w:trPr>
          <w:trHeight w:val="429"/>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63658F53"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4A383BF1" w14:textId="659BB0E0" w:rsidR="00EF065F" w:rsidRPr="00A33AE8" w:rsidRDefault="00EF065F" w:rsidP="00884F3B">
            <w:pPr>
              <w:pStyle w:val="ListParagraph"/>
              <w:numPr>
                <w:ilvl w:val="0"/>
                <w:numId w:val="1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tc>
        <w:tc>
          <w:tcPr>
            <w:tcW w:w="222" w:type="dxa"/>
            <w:vAlign w:val="center"/>
            <w:hideMark/>
          </w:tcPr>
          <w:p w14:paraId="6A606FC1"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r w:rsidR="00E65D30" w:rsidRPr="00A33AE8" w14:paraId="79B2DAE2"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81A79B9" w14:textId="77777777" w:rsidR="00E65D30" w:rsidRPr="00A33AE8" w:rsidRDefault="00E65D30" w:rsidP="00E65D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ABC84E6" w14:textId="77777777" w:rsidR="00E65D30" w:rsidRPr="00A33AE8" w:rsidRDefault="00E65D30" w:rsidP="00E65D30">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 PM_EE10, PM_EE12 and PM_EE14</w:t>
            </w:r>
          </w:p>
        </w:tc>
        <w:tc>
          <w:tcPr>
            <w:tcW w:w="222" w:type="dxa"/>
            <w:vAlign w:val="center"/>
            <w:hideMark/>
          </w:tcPr>
          <w:p w14:paraId="5D434B76" w14:textId="77777777" w:rsidR="00E65D30" w:rsidRPr="00A33AE8" w:rsidRDefault="00E65D30" w:rsidP="00E65D30">
            <w:pPr>
              <w:spacing w:after="0" w:line="240" w:lineRule="auto"/>
              <w:rPr>
                <w:rFonts w:ascii="Times New Roman" w:eastAsia="Times New Roman" w:hAnsi="Times New Roman" w:cs="Times New Roman"/>
                <w:sz w:val="20"/>
                <w:szCs w:val="20"/>
                <w:lang w:eastAsia="en-GB"/>
              </w:rPr>
            </w:pPr>
          </w:p>
        </w:tc>
      </w:tr>
      <w:tr w:rsidR="00EF065F" w:rsidRPr="00A33AE8" w14:paraId="30275EB6"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D841B51" w14:textId="77777777" w:rsidR="00EF065F" w:rsidRPr="00A33AE8" w:rsidRDefault="00EF065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018DF26" w14:textId="77777777" w:rsidR="00EF065F" w:rsidRPr="00A33AE8" w:rsidRDefault="00D3611E"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45357DC9" w14:textId="77777777" w:rsidR="00EF065F" w:rsidRPr="00A33AE8" w:rsidRDefault="00EF065F" w:rsidP="006769DA">
            <w:pPr>
              <w:spacing w:after="0" w:line="240" w:lineRule="auto"/>
              <w:rPr>
                <w:rFonts w:ascii="Times New Roman" w:eastAsia="Times New Roman" w:hAnsi="Times New Roman" w:cs="Times New Roman"/>
                <w:sz w:val="20"/>
                <w:szCs w:val="20"/>
                <w:lang w:eastAsia="en-GB"/>
              </w:rPr>
            </w:pPr>
          </w:p>
        </w:tc>
      </w:tr>
    </w:tbl>
    <w:p w14:paraId="71694C06" w14:textId="77777777" w:rsidR="00A65B17" w:rsidRPr="00A33AE8" w:rsidRDefault="00A65B17" w:rsidP="00D2554B">
      <w:pPr>
        <w:spacing w:before="240" w:after="240"/>
        <w:jc w:val="both"/>
        <w:rPr>
          <w:rFonts w:cstheme="minorHAnsi"/>
          <w:b/>
          <w:bCs/>
          <w:color w:val="000000"/>
          <w:u w:val="single"/>
        </w:rPr>
      </w:pPr>
    </w:p>
    <w:p w14:paraId="6F966F33" w14:textId="77777777" w:rsidR="00D2554B" w:rsidRPr="00A33AE8" w:rsidRDefault="00D2554B" w:rsidP="004C6CE1">
      <w:pPr>
        <w:spacing w:before="160"/>
        <w:jc w:val="both"/>
        <w:rPr>
          <w:rFonts w:asciiTheme="majorHAnsi" w:hAnsiTheme="majorHAnsi" w:cstheme="majorHAnsi"/>
          <w:b/>
          <w:bCs/>
          <w:color w:val="000000"/>
          <w:u w:val="single"/>
        </w:rPr>
      </w:pPr>
      <w:r w:rsidRPr="00A33AE8">
        <w:rPr>
          <w:rFonts w:asciiTheme="majorHAnsi" w:hAnsiTheme="majorHAnsi" w:cstheme="majorHAnsi"/>
          <w:b/>
          <w:bCs/>
          <w:color w:val="000000"/>
          <w:u w:val="single"/>
        </w:rPr>
        <w:t>Industrial sector</w:t>
      </w:r>
    </w:p>
    <w:p w14:paraId="7934DC74"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Support schemes will be designed for the implementation of energy efficiency projects in the industrial sector combining various financial instruments, such as direct financial support, low-interest loans, tax deductions, credit lines and guarantees.</w:t>
      </w:r>
    </w:p>
    <w:p w14:paraId="7BFA41C0"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The further deployment of the best available technologies will be supported in compliance with the respective legislation, while the development of the appropriate monitoring and surveillance mechanism will contribute to the fulfilment of this target. Moreover, the application of the eco-design requirements will ensure the penetration of energy efficient technologies and equipment.</w:t>
      </w:r>
    </w:p>
    <w:p w14:paraId="4AB96D71"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Furthermore, various supplementary actions will be implemented through the provision of financial and fiscal incentives in order to promote the energy efficiency in industrial sector, such as the establishment of industrial-business zones served by centralized CHP and central heat generation and distribution systems, the deployment of cogeneration systems, the promotion of circular economy including the exploitation of waste heat and the extended digitalization of the industrial processes.</w:t>
      </w:r>
    </w:p>
    <w:p w14:paraId="46A86A48" w14:textId="77777777" w:rsidR="00CA0A1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Finally, the further exploitation of renewables for electricity, heating and cooling production and the promotion of other alternative fuels will contribute to the improvement of energy efficiency maximizing the synergies with the policy measures, which have been integrated into the RES dimension.</w:t>
      </w:r>
    </w:p>
    <w:tbl>
      <w:tblPr>
        <w:tblW w:w="9680" w:type="dxa"/>
        <w:tblLook w:val="04A0" w:firstRow="1" w:lastRow="0" w:firstColumn="1" w:lastColumn="0" w:noHBand="0" w:noVBand="1"/>
      </w:tblPr>
      <w:tblGrid>
        <w:gridCol w:w="3317"/>
        <w:gridCol w:w="986"/>
        <w:gridCol w:w="944"/>
        <w:gridCol w:w="4211"/>
        <w:gridCol w:w="222"/>
      </w:tblGrid>
      <w:tr w:rsidR="005D756A" w:rsidRPr="00A33AE8" w14:paraId="08D74A9C"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6022B04" w14:textId="20DD70CC" w:rsidR="005D756A" w:rsidRPr="00A33AE8" w:rsidRDefault="005D756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5C3910A4" w14:textId="77777777" w:rsidR="005D756A" w:rsidRPr="00A33AE8" w:rsidRDefault="005D756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PM_EE21</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14405BC4"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040D2F2C" w14:textId="77777777" w:rsidR="005D756A" w:rsidRPr="00A33AE8" w:rsidRDefault="005D756A"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Support schemes for the promotion of energy efficiency in industrial sector</w:t>
            </w:r>
          </w:p>
        </w:tc>
      </w:tr>
      <w:tr w:rsidR="005D756A" w:rsidRPr="00A33AE8" w14:paraId="6E75CE0A" w14:textId="77777777" w:rsidTr="006769DA">
        <w:trPr>
          <w:gridAfter w:val="1"/>
          <w:wAfter w:w="222" w:type="dxa"/>
          <w:trHeight w:val="960"/>
        </w:trPr>
        <w:tc>
          <w:tcPr>
            <w:tcW w:w="3317" w:type="dxa"/>
            <w:tcBorders>
              <w:top w:val="nil"/>
              <w:left w:val="single" w:sz="8" w:space="0" w:color="auto"/>
              <w:bottom w:val="single" w:sz="8" w:space="0" w:color="auto"/>
              <w:right w:val="nil"/>
            </w:tcBorders>
            <w:shd w:val="clear" w:color="000000" w:fill="244062"/>
            <w:vAlign w:val="center"/>
            <w:hideMark/>
          </w:tcPr>
          <w:p w14:paraId="4655E8CF" w14:textId="6A3CF96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8D1387F" w14:textId="4038E692" w:rsidR="005D756A" w:rsidRPr="00A33AE8" w:rsidRDefault="0093381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D756A" w:rsidRPr="00A33AE8">
              <w:rPr>
                <w:rFonts w:ascii="Calibri Light" w:eastAsia="Times New Roman" w:hAnsi="Calibri Light" w:cs="Calibri Light"/>
                <w:color w:val="000000"/>
                <w:sz w:val="20"/>
                <w:szCs w:val="20"/>
                <w:lang w:eastAsia="en-GB"/>
              </w:rPr>
              <w:t>:</w:t>
            </w:r>
          </w:p>
          <w:p w14:paraId="3D713E2C" w14:textId="77777777" w:rsidR="005D756A" w:rsidRPr="00A33AE8" w:rsidRDefault="005D756A" w:rsidP="00884F3B">
            <w:pPr>
              <w:pStyle w:val="ListParagraph"/>
              <w:numPr>
                <w:ilvl w:val="0"/>
                <w:numId w:val="15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3C6AF640" w14:textId="77777777" w:rsidR="005D756A" w:rsidRPr="00A33AE8" w:rsidRDefault="005D756A" w:rsidP="00884F3B">
            <w:pPr>
              <w:pStyle w:val="ListParagraph"/>
              <w:numPr>
                <w:ilvl w:val="0"/>
                <w:numId w:val="15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5D756A" w:rsidRPr="00A33AE8" w14:paraId="1E0CDC37"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86E38D7" w14:textId="61F23612"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7875676" w14:textId="77777777" w:rsidR="005D756A" w:rsidRPr="00A33AE8" w:rsidRDefault="0099287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fulfilling the expected final energy consumption levels in industrial sector</w:t>
            </w:r>
          </w:p>
        </w:tc>
      </w:tr>
      <w:tr w:rsidR="005D756A" w:rsidRPr="00A33AE8" w14:paraId="6AC52E84" w14:textId="77777777" w:rsidTr="006769DA">
        <w:trPr>
          <w:gridAfter w:val="1"/>
          <w:wAfter w:w="222" w:type="dxa"/>
          <w:trHeight w:val="88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E68DA75"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791A859" w14:textId="241131DF" w:rsidR="005D756A" w:rsidRPr="00A33AE8" w:rsidRDefault="005D756A"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PM_EE21 will initiate a targeted support scheme for the implementation of energy efficiency projects in industrial sector combining various financial and fiscal instruments, such as direct financial support, low-interest loans, tax deductions, credit lines and guarantees.</w:t>
            </w:r>
          </w:p>
          <w:p w14:paraId="39F44343" w14:textId="77777777" w:rsidR="009327BF" w:rsidRPr="00A33AE8" w:rsidRDefault="009327B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The implementation of PM_EE21 is linked also with PM_EE28, which foresees the mandatory conduction of energy audits and development of energy management systems in order to identify the most cost-effective energy efficiency interventions for being supported economically.</w:t>
            </w:r>
          </w:p>
        </w:tc>
      </w:tr>
      <w:tr w:rsidR="005D756A" w:rsidRPr="00A33AE8" w14:paraId="43CF411A"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9965B3E"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837128C" w14:textId="77777777" w:rsidR="005D756A" w:rsidRPr="00A33AE8" w:rsidRDefault="0093381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D756A" w:rsidRPr="00A33AE8">
              <w:rPr>
                <w:rFonts w:ascii="Calibri Light" w:eastAsia="Times New Roman" w:hAnsi="Calibri Light" w:cs="Calibri Light"/>
                <w:color w:val="000000"/>
                <w:sz w:val="20"/>
                <w:szCs w:val="20"/>
                <w:lang w:eastAsia="en-GB"/>
              </w:rPr>
              <w:t>-2030</w:t>
            </w:r>
          </w:p>
        </w:tc>
      </w:tr>
      <w:tr w:rsidR="005D756A" w:rsidRPr="00A33AE8" w14:paraId="05FF2D02"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1015DC9"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C77AB9B" w14:textId="77777777" w:rsidR="005D756A"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D756A" w:rsidRPr="00A33AE8" w14:paraId="5537B8EE"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96E6096"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A7C14D4" w14:textId="77777777" w:rsidR="005D756A" w:rsidRPr="00A33AE8" w:rsidRDefault="005D756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Industrial</w:t>
            </w:r>
          </w:p>
        </w:tc>
      </w:tr>
      <w:tr w:rsidR="00443824" w:rsidRPr="00A33AE8" w14:paraId="72B8E85D"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5BE7596"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6B1EC0A" w14:textId="77777777" w:rsidR="00443824" w:rsidRPr="000007D2" w:rsidRDefault="00443824"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443824" w:rsidRPr="00A33AE8" w14:paraId="49D794E6"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3AB7227C"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EB2BBB3" w14:textId="77777777" w:rsidR="00443824" w:rsidRPr="00A33AE8" w:rsidRDefault="004D7551"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4D7551">
              <w:rPr>
                <w:rFonts w:ascii="Calibri Light" w:eastAsia="Times New Roman" w:hAnsi="Calibri Light" w:cs="Calibri Light"/>
                <w:color w:val="000000"/>
                <w:sz w:val="20"/>
                <w:szCs w:val="20"/>
                <w:lang w:eastAsia="en-GB"/>
              </w:rPr>
              <w:t>Government of the Republic of Serbia</w:t>
            </w:r>
          </w:p>
        </w:tc>
      </w:tr>
      <w:tr w:rsidR="00443824" w:rsidRPr="00A33AE8" w14:paraId="66699414"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6E781158"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F3E5C5A" w14:textId="77777777" w:rsidR="00443824" w:rsidRPr="00A33AE8"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w:t>
            </w:r>
            <w:r w:rsidRPr="000007D2">
              <w:rPr>
                <w:rFonts w:ascii="Calibri Light" w:eastAsia="Times New Roman" w:hAnsi="Calibri Light" w:cs="Calibri Light"/>
                <w:color w:val="000000"/>
                <w:sz w:val="20"/>
                <w:szCs w:val="20"/>
                <w:lang w:eastAsia="en-GB"/>
              </w:rPr>
              <w:t xml:space="preserve"> industrial </w:t>
            </w:r>
            <w:r w:rsidRPr="00A33AE8">
              <w:rPr>
                <w:rFonts w:ascii="Calibri Light" w:eastAsia="Times New Roman" w:hAnsi="Calibri Light" w:cs="Calibri Light"/>
                <w:color w:val="000000"/>
                <w:sz w:val="20"/>
                <w:szCs w:val="20"/>
                <w:lang w:eastAsia="en-GB"/>
              </w:rPr>
              <w:t xml:space="preserve">plants that underwent improvement of energy efficiency </w:t>
            </w:r>
          </w:p>
        </w:tc>
      </w:tr>
      <w:tr w:rsidR="00443824" w:rsidRPr="00A33AE8" w14:paraId="2A0A86A4" w14:textId="77777777" w:rsidTr="006769DA">
        <w:trPr>
          <w:gridAfter w:val="1"/>
          <w:wAfter w:w="222" w:type="dxa"/>
          <w:trHeight w:val="491"/>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B62A39F"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22BFB3B" w14:textId="77777777" w:rsidR="004D7551" w:rsidRPr="004D7551"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4D7551" w:rsidRPr="004D7551">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3C51D2A3" w14:textId="77777777" w:rsidR="00443824" w:rsidRPr="00A33AE8" w:rsidRDefault="004D7551"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4D7551">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443824" w:rsidRPr="00A33AE8" w14:paraId="12C22C95"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0DC09BB"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6E4810" w14:textId="77777777" w:rsidR="00443824" w:rsidRPr="00A33AE8"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55CF74D7" w14:textId="77777777" w:rsidR="00443824" w:rsidRPr="00A33AE8"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443824" w:rsidRPr="00A33AE8" w14:paraId="3F4D8E25"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3E3506C1"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350DD8D" w14:textId="77777777" w:rsidR="00443824" w:rsidRPr="00A33AE8"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0502FFC" w14:textId="77777777" w:rsidR="00443824" w:rsidRPr="00A33AE8" w:rsidRDefault="00443824" w:rsidP="00443824">
            <w:pPr>
              <w:spacing w:after="0" w:line="240" w:lineRule="auto"/>
              <w:rPr>
                <w:rFonts w:ascii="Calibri Light" w:eastAsia="Times New Roman" w:hAnsi="Calibri Light" w:cs="Calibri Light"/>
                <w:color w:val="000000"/>
                <w:sz w:val="20"/>
                <w:szCs w:val="20"/>
                <w:lang w:eastAsia="en-GB"/>
              </w:rPr>
            </w:pPr>
          </w:p>
        </w:tc>
      </w:tr>
      <w:tr w:rsidR="00443824" w:rsidRPr="00A33AE8" w14:paraId="4178ACE4"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1D52F2BE"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2371993" w14:textId="77777777" w:rsidR="00443824" w:rsidRPr="00A33AE8"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6DCD8DE" w14:textId="77777777" w:rsidR="00443824" w:rsidRPr="00A33AE8" w:rsidRDefault="00443824" w:rsidP="00443824">
            <w:pPr>
              <w:spacing w:after="0" w:line="240" w:lineRule="auto"/>
              <w:rPr>
                <w:rFonts w:ascii="Times New Roman" w:eastAsia="Times New Roman" w:hAnsi="Times New Roman" w:cs="Times New Roman"/>
                <w:sz w:val="20"/>
                <w:szCs w:val="20"/>
                <w:lang w:eastAsia="en-GB"/>
              </w:rPr>
            </w:pPr>
          </w:p>
        </w:tc>
      </w:tr>
      <w:tr w:rsidR="00443824" w:rsidRPr="00A33AE8" w14:paraId="1C4F0115" w14:textId="77777777" w:rsidTr="006769DA">
        <w:trPr>
          <w:trHeight w:val="25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D8D846A"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91DAB54" w14:textId="77777777" w:rsidR="00443824" w:rsidRPr="00A33AE8" w:rsidRDefault="0044382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4th NEEAP </w:t>
            </w:r>
          </w:p>
        </w:tc>
        <w:tc>
          <w:tcPr>
            <w:tcW w:w="222" w:type="dxa"/>
            <w:vAlign w:val="center"/>
            <w:hideMark/>
          </w:tcPr>
          <w:p w14:paraId="124280AC" w14:textId="77777777" w:rsidR="00443824" w:rsidRPr="00A33AE8" w:rsidRDefault="00443824" w:rsidP="00443824">
            <w:pPr>
              <w:spacing w:after="0" w:line="240" w:lineRule="auto"/>
              <w:rPr>
                <w:rFonts w:ascii="Times New Roman" w:eastAsia="Times New Roman" w:hAnsi="Times New Roman" w:cs="Times New Roman"/>
                <w:sz w:val="20"/>
                <w:szCs w:val="20"/>
                <w:lang w:eastAsia="en-GB"/>
              </w:rPr>
            </w:pPr>
          </w:p>
        </w:tc>
      </w:tr>
      <w:tr w:rsidR="00443824" w:rsidRPr="00A33AE8" w14:paraId="42D04697"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DE937C1"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70CB8A3" w14:textId="77777777" w:rsidR="00443824" w:rsidRPr="00A33AE8" w:rsidRDefault="00443824" w:rsidP="0044382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3.366 B€</w:t>
            </w:r>
          </w:p>
        </w:tc>
        <w:tc>
          <w:tcPr>
            <w:tcW w:w="222" w:type="dxa"/>
            <w:vAlign w:val="center"/>
            <w:hideMark/>
          </w:tcPr>
          <w:p w14:paraId="5E1410AB" w14:textId="77777777" w:rsidR="00443824" w:rsidRPr="00A33AE8" w:rsidRDefault="00443824" w:rsidP="00443824">
            <w:pPr>
              <w:spacing w:after="0" w:line="240" w:lineRule="auto"/>
              <w:rPr>
                <w:rFonts w:ascii="Times New Roman" w:eastAsia="Times New Roman" w:hAnsi="Times New Roman" w:cs="Times New Roman"/>
                <w:sz w:val="20"/>
                <w:szCs w:val="20"/>
                <w:lang w:eastAsia="en-GB"/>
              </w:rPr>
            </w:pPr>
          </w:p>
        </w:tc>
      </w:tr>
      <w:tr w:rsidR="00443824" w:rsidRPr="00A33AE8" w14:paraId="199CCEEE" w14:textId="77777777" w:rsidTr="007A0028">
        <w:trPr>
          <w:trHeight w:val="158"/>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B30D9DC" w14:textId="77777777" w:rsidR="00443824" w:rsidRPr="00A33AE8" w:rsidRDefault="00443824" w:rsidP="0044382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C229FF2" w14:textId="77777777" w:rsidR="00443824" w:rsidRPr="00A33AE8" w:rsidRDefault="00443824" w:rsidP="00443824">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475EC448" w14:textId="77777777" w:rsidR="00443824" w:rsidRPr="00A33AE8" w:rsidRDefault="00443824" w:rsidP="00443824">
            <w:pPr>
              <w:spacing w:after="0" w:line="240" w:lineRule="auto"/>
              <w:rPr>
                <w:rFonts w:ascii="Times New Roman" w:eastAsia="Times New Roman" w:hAnsi="Times New Roman" w:cs="Times New Roman"/>
                <w:sz w:val="20"/>
                <w:szCs w:val="20"/>
                <w:lang w:eastAsia="en-GB"/>
              </w:rPr>
            </w:pPr>
          </w:p>
        </w:tc>
      </w:tr>
    </w:tbl>
    <w:p w14:paraId="2FBB52F5" w14:textId="77777777" w:rsidR="005D756A" w:rsidRPr="00A33AE8" w:rsidRDefault="005D756A" w:rsidP="005D756A">
      <w:pPr>
        <w:pStyle w:val="LDKbody"/>
        <w:rPr>
          <w:lang w:val="en-GB"/>
        </w:rPr>
      </w:pPr>
    </w:p>
    <w:tbl>
      <w:tblPr>
        <w:tblW w:w="9680" w:type="dxa"/>
        <w:tblLook w:val="04A0" w:firstRow="1" w:lastRow="0" w:firstColumn="1" w:lastColumn="0" w:noHBand="0" w:noVBand="1"/>
      </w:tblPr>
      <w:tblGrid>
        <w:gridCol w:w="3318"/>
        <w:gridCol w:w="986"/>
        <w:gridCol w:w="943"/>
        <w:gridCol w:w="4211"/>
        <w:gridCol w:w="222"/>
      </w:tblGrid>
      <w:tr w:rsidR="005D756A" w:rsidRPr="00A33AE8" w14:paraId="5A4F7D75" w14:textId="77777777" w:rsidTr="006769DA">
        <w:trPr>
          <w:gridAfter w:val="1"/>
          <w:wAfter w:w="222" w:type="dxa"/>
          <w:trHeight w:val="780"/>
        </w:trPr>
        <w:tc>
          <w:tcPr>
            <w:tcW w:w="331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406A5A52" w14:textId="77777777" w:rsidR="005D756A" w:rsidRPr="00A33AE8" w:rsidRDefault="005D756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B17C30C" w14:textId="77777777" w:rsidR="005D756A" w:rsidRPr="00A33AE8" w:rsidRDefault="005D756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PM_EE22</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69A2733B"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182B9067" w14:textId="77777777" w:rsidR="005D756A" w:rsidRPr="00A33AE8" w:rsidRDefault="005D756A"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Regulatory measures for the promotion of energy efficiency in industrial sector</w:t>
            </w:r>
          </w:p>
        </w:tc>
      </w:tr>
      <w:tr w:rsidR="005D756A" w:rsidRPr="00A33AE8" w14:paraId="4021DDAF" w14:textId="77777777" w:rsidTr="006769DA">
        <w:trPr>
          <w:gridAfter w:val="1"/>
          <w:wAfter w:w="222" w:type="dxa"/>
          <w:trHeight w:val="960"/>
        </w:trPr>
        <w:tc>
          <w:tcPr>
            <w:tcW w:w="3318" w:type="dxa"/>
            <w:tcBorders>
              <w:top w:val="nil"/>
              <w:left w:val="single" w:sz="8" w:space="0" w:color="auto"/>
              <w:bottom w:val="single" w:sz="8" w:space="0" w:color="auto"/>
              <w:right w:val="nil"/>
            </w:tcBorders>
            <w:shd w:val="clear" w:color="000000" w:fill="244062"/>
            <w:vAlign w:val="center"/>
            <w:hideMark/>
          </w:tcPr>
          <w:p w14:paraId="368CDAA1" w14:textId="42B30FFA"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54AC2642" w14:textId="6A78CD19" w:rsidR="005D756A"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93381D"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93381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93381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5D756A" w:rsidRPr="00A33AE8">
              <w:rPr>
                <w:rFonts w:ascii="Calibri Light" w:eastAsia="Times New Roman" w:hAnsi="Calibri Light" w:cs="Calibri Light"/>
                <w:color w:val="000000"/>
                <w:sz w:val="20"/>
                <w:szCs w:val="20"/>
                <w:lang w:eastAsia="en-GB"/>
              </w:rPr>
              <w:t>:</w:t>
            </w:r>
          </w:p>
          <w:p w14:paraId="6B448EA9" w14:textId="77777777"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5D756A" w:rsidRPr="00A33AE8" w14:paraId="3E0B8380"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E4258D0" w14:textId="37612BC6"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2562664" w14:textId="77777777" w:rsidR="005D756A" w:rsidRPr="00A33AE8" w:rsidRDefault="00992877" w:rsidP="000B4FA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the quantified objective of PM_EE21</w:t>
            </w:r>
          </w:p>
        </w:tc>
      </w:tr>
      <w:tr w:rsidR="009327BF" w:rsidRPr="00A33AE8" w14:paraId="5D93E854" w14:textId="77777777" w:rsidTr="006769DA">
        <w:trPr>
          <w:gridAfter w:val="1"/>
          <w:wAfter w:w="222" w:type="dxa"/>
          <w:trHeight w:val="112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5AC08FAE" w14:textId="77777777" w:rsidR="009327BF" w:rsidRPr="00A33AE8" w:rsidRDefault="009327BF" w:rsidP="009327B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854F050" w14:textId="77777777" w:rsidR="009327BF" w:rsidRPr="000007D2" w:rsidRDefault="009327BF" w:rsidP="009327BF">
            <w:pPr>
              <w:spacing w:after="0" w:line="240" w:lineRule="auto"/>
              <w:jc w:val="both"/>
              <w:rPr>
                <w:rFonts w:ascii="Calibri Light" w:hAnsi="Calibri Light"/>
                <w:color w:val="000000"/>
                <w:sz w:val="20"/>
              </w:rPr>
            </w:pPr>
            <w:r w:rsidRPr="00A33AE8">
              <w:rPr>
                <w:rFonts w:ascii="Calibri Light" w:eastAsia="Times New Roman" w:hAnsi="Calibri Light" w:cs="Calibri Light"/>
                <w:color w:val="000000"/>
                <w:sz w:val="20"/>
                <w:szCs w:val="20"/>
                <w:lang w:eastAsia="en-GB"/>
              </w:rPr>
              <w:t>PM_EE22 will facilitate the further deployment of the best available technologies in compliance with the respective legislation (Industrial Emission Directive), while the development of the appropriate monitoring and surveillance mechanism will be considered as a vital prerequisite for the implementation of the measure. Moreover, the application of the eco-design requirements will ensure the penetration of energy efficient technologies and equipment.</w:t>
            </w:r>
            <w:r w:rsidR="00C01ED3" w:rsidRPr="00A33AE8">
              <w:rPr>
                <w:rFonts w:ascii="Calibri Light" w:eastAsia="Times New Roman" w:hAnsi="Calibri Light" w:cs="Calibri Light"/>
                <w:color w:val="000000"/>
                <w:sz w:val="20"/>
                <w:szCs w:val="20"/>
                <w:lang w:eastAsia="en-GB"/>
              </w:rPr>
              <w:t xml:space="preserve"> The measure must be in corelation with PM EE 28.</w:t>
            </w:r>
          </w:p>
        </w:tc>
      </w:tr>
      <w:tr w:rsidR="005D756A" w:rsidRPr="00A33AE8" w14:paraId="123B0363"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0E44D25C"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146BFDC" w14:textId="77777777" w:rsidR="005D756A" w:rsidRPr="00A33AE8" w:rsidRDefault="0093381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D756A" w:rsidRPr="00A33AE8">
              <w:rPr>
                <w:rFonts w:ascii="Calibri Light" w:eastAsia="Times New Roman" w:hAnsi="Calibri Light" w:cs="Calibri Light"/>
                <w:color w:val="000000"/>
                <w:sz w:val="20"/>
                <w:szCs w:val="20"/>
                <w:lang w:eastAsia="en-GB"/>
              </w:rPr>
              <w:t>-</w:t>
            </w:r>
            <w:r w:rsidR="00CC3874" w:rsidRPr="00A33AE8">
              <w:rPr>
                <w:rFonts w:ascii="Calibri Light" w:eastAsia="Times New Roman" w:hAnsi="Calibri Light" w:cs="Calibri Light"/>
                <w:color w:val="000000"/>
                <w:sz w:val="20"/>
                <w:szCs w:val="20"/>
                <w:lang w:eastAsia="en-GB"/>
              </w:rPr>
              <w:t>20</w:t>
            </w:r>
            <w:r w:rsidR="00CC3874">
              <w:rPr>
                <w:rFonts w:ascii="Calibri Light" w:eastAsia="Times New Roman" w:hAnsi="Calibri Light" w:cs="Calibri Light"/>
                <w:color w:val="000000"/>
                <w:sz w:val="20"/>
                <w:szCs w:val="20"/>
                <w:lang w:eastAsia="en-GB"/>
              </w:rPr>
              <w:t>27</w:t>
            </w:r>
          </w:p>
        </w:tc>
      </w:tr>
      <w:tr w:rsidR="005D756A" w:rsidRPr="00A33AE8" w14:paraId="178D61F9"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CFDA3BC"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97F6689" w14:textId="77777777" w:rsidR="005D756A" w:rsidRPr="00A33AE8" w:rsidRDefault="0093381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Regulatory</w:t>
            </w:r>
          </w:p>
        </w:tc>
      </w:tr>
      <w:tr w:rsidR="005D756A" w:rsidRPr="00A33AE8" w14:paraId="407544BE"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25F45CE2"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A9C1242" w14:textId="77777777" w:rsidR="005D756A" w:rsidRPr="00A33AE8" w:rsidRDefault="005D756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Industrial</w:t>
            </w:r>
          </w:p>
        </w:tc>
      </w:tr>
      <w:tr w:rsidR="005D756A" w:rsidRPr="00A33AE8" w14:paraId="2E9D125F"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DDB13E6"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8974775" w14:textId="77777777" w:rsidR="005D756A" w:rsidRPr="00A33AE8" w:rsidRDefault="00DA7692"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5D756A" w:rsidRPr="00A33AE8" w14:paraId="66E31552"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5AD68932"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735A3653" w14:textId="77777777" w:rsidR="005D756A" w:rsidRPr="00A33AE8" w:rsidRDefault="00CC387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CC3874">
              <w:rPr>
                <w:rFonts w:ascii="Calibri Light" w:eastAsia="Times New Roman" w:hAnsi="Calibri Light" w:cs="Calibri Light"/>
                <w:color w:val="000000"/>
                <w:sz w:val="20"/>
                <w:szCs w:val="20"/>
                <w:lang w:eastAsia="en-GB"/>
              </w:rPr>
              <w:t>Government of the Republic of Serbia</w:t>
            </w:r>
          </w:p>
        </w:tc>
      </w:tr>
      <w:tr w:rsidR="005D756A" w:rsidRPr="00A33AE8" w14:paraId="078DBE3D"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30B5DEB4"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4C2D7928" w14:textId="77777777" w:rsidR="005D756A" w:rsidRPr="00A33AE8" w:rsidRDefault="005A512F"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legislative and regulatory framework</w:t>
            </w:r>
          </w:p>
        </w:tc>
      </w:tr>
      <w:tr w:rsidR="006C6A30" w:rsidRPr="00A33AE8" w14:paraId="613041B8" w14:textId="77777777" w:rsidTr="006C6A30">
        <w:trPr>
          <w:gridAfter w:val="1"/>
          <w:wAfter w:w="222" w:type="dxa"/>
          <w:trHeight w:val="454"/>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3C7E14E"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61B618E" w14:textId="77777777" w:rsidR="00CC3874" w:rsidRPr="00CC3874" w:rsidRDefault="006C6A30"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CC3874" w:rsidRPr="00CC3874">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637A2D7F" w14:textId="77777777" w:rsidR="006C6A30" w:rsidRPr="00A33AE8" w:rsidRDefault="00CC3874"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CC3874">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5D756A" w:rsidRPr="00A33AE8" w14:paraId="013AC203" w14:textId="77777777" w:rsidTr="006769DA">
        <w:trPr>
          <w:gridAfter w:val="1"/>
          <w:wAfter w:w="222" w:type="dxa"/>
          <w:trHeight w:val="450"/>
        </w:trPr>
        <w:tc>
          <w:tcPr>
            <w:tcW w:w="331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3560EDB"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784A752" w14:textId="77777777"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93381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6713E4BB" w14:textId="77777777"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 xml:space="preserve">Directive </w:t>
            </w:r>
            <w:r w:rsidR="0093381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5D756A" w:rsidRPr="00A33AE8" w14:paraId="186D61BF" w14:textId="77777777" w:rsidTr="006769DA">
        <w:trPr>
          <w:trHeight w:val="300"/>
        </w:trPr>
        <w:tc>
          <w:tcPr>
            <w:tcW w:w="3318" w:type="dxa"/>
            <w:vMerge/>
            <w:tcBorders>
              <w:top w:val="nil"/>
              <w:left w:val="single" w:sz="8" w:space="0" w:color="auto"/>
              <w:bottom w:val="single" w:sz="8" w:space="0" w:color="000000"/>
              <w:right w:val="single" w:sz="8" w:space="0" w:color="auto"/>
            </w:tcBorders>
            <w:vAlign w:val="center"/>
            <w:hideMark/>
          </w:tcPr>
          <w:p w14:paraId="4631AC08"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7AA1788F" w14:textId="77777777"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F9B0076" w14:textId="77777777" w:rsidR="005D756A" w:rsidRPr="00A33AE8" w:rsidRDefault="005D756A" w:rsidP="006769DA">
            <w:pPr>
              <w:spacing w:after="0" w:line="240" w:lineRule="auto"/>
              <w:rPr>
                <w:rFonts w:ascii="Calibri Light" w:eastAsia="Times New Roman" w:hAnsi="Calibri Light" w:cs="Calibri Light"/>
                <w:color w:val="000000"/>
                <w:sz w:val="20"/>
                <w:szCs w:val="20"/>
                <w:lang w:eastAsia="en-GB"/>
              </w:rPr>
            </w:pPr>
          </w:p>
        </w:tc>
      </w:tr>
      <w:tr w:rsidR="005D756A" w:rsidRPr="00A33AE8" w14:paraId="162C4598" w14:textId="77777777" w:rsidTr="006C6A30">
        <w:trPr>
          <w:trHeight w:val="60"/>
        </w:trPr>
        <w:tc>
          <w:tcPr>
            <w:tcW w:w="3318" w:type="dxa"/>
            <w:vMerge/>
            <w:tcBorders>
              <w:top w:val="nil"/>
              <w:left w:val="single" w:sz="8" w:space="0" w:color="auto"/>
              <w:bottom w:val="single" w:sz="8" w:space="0" w:color="000000"/>
              <w:right w:val="single" w:sz="8" w:space="0" w:color="auto"/>
            </w:tcBorders>
            <w:vAlign w:val="center"/>
            <w:hideMark/>
          </w:tcPr>
          <w:p w14:paraId="374B9CAD"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6AC66CD7" w14:textId="77777777"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94A65B2" w14:textId="77777777" w:rsidR="005D756A" w:rsidRPr="00A33AE8" w:rsidRDefault="005D756A" w:rsidP="006769DA">
            <w:pPr>
              <w:spacing w:after="0" w:line="240" w:lineRule="auto"/>
              <w:rPr>
                <w:rFonts w:ascii="Times New Roman" w:eastAsia="Times New Roman" w:hAnsi="Times New Roman" w:cs="Times New Roman"/>
                <w:sz w:val="20"/>
                <w:szCs w:val="20"/>
                <w:lang w:eastAsia="en-GB"/>
              </w:rPr>
            </w:pPr>
          </w:p>
        </w:tc>
      </w:tr>
      <w:tr w:rsidR="005D756A" w:rsidRPr="00A33AE8" w14:paraId="59B48788" w14:textId="77777777" w:rsidTr="006769DA">
        <w:trPr>
          <w:trHeight w:val="780"/>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3B768939"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4D7B219A" w14:textId="25D90FCA"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07C4FF3E" w14:textId="77777777" w:rsidR="005D756A" w:rsidRPr="00A33AE8" w:rsidRDefault="005D756A"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Industrial Policy Strategy of the Republic of Serbia from 2021 to 2030</w:t>
            </w:r>
          </w:p>
          <w:p w14:paraId="2B80AF63" w14:textId="77777777" w:rsidR="005D756A" w:rsidRPr="00A33AE8" w:rsidRDefault="00CB3A26"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p w14:paraId="02D535D8" w14:textId="77777777" w:rsidR="009327BF" w:rsidRPr="00A33AE8" w:rsidRDefault="009327BF" w:rsidP="00884F3B">
            <w:pPr>
              <w:pStyle w:val="ListParagraph"/>
              <w:numPr>
                <w:ilvl w:val="0"/>
                <w:numId w:val="15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tc>
        <w:tc>
          <w:tcPr>
            <w:tcW w:w="222" w:type="dxa"/>
            <w:vAlign w:val="center"/>
            <w:hideMark/>
          </w:tcPr>
          <w:p w14:paraId="487F60E2" w14:textId="77777777" w:rsidR="005D756A" w:rsidRPr="00A33AE8" w:rsidRDefault="005D756A" w:rsidP="006769DA">
            <w:pPr>
              <w:spacing w:after="0" w:line="240" w:lineRule="auto"/>
              <w:rPr>
                <w:rFonts w:ascii="Times New Roman" w:eastAsia="Times New Roman" w:hAnsi="Times New Roman" w:cs="Times New Roman"/>
                <w:sz w:val="20"/>
                <w:szCs w:val="20"/>
                <w:lang w:eastAsia="en-GB"/>
              </w:rPr>
            </w:pPr>
          </w:p>
        </w:tc>
      </w:tr>
      <w:tr w:rsidR="00BC7F18" w:rsidRPr="00A33AE8" w14:paraId="5D7521C3"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DC05D8B" w14:textId="77777777" w:rsidR="00BC7F18" w:rsidRPr="00A33AE8" w:rsidRDefault="00BC7F18" w:rsidP="00BC7F1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57D1A856" w14:textId="77777777" w:rsidR="00BC7F18" w:rsidRPr="00A33AE8" w:rsidRDefault="00BC7F18" w:rsidP="00BC7F18">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PM_EE21</w:t>
            </w:r>
          </w:p>
        </w:tc>
        <w:tc>
          <w:tcPr>
            <w:tcW w:w="222" w:type="dxa"/>
            <w:vAlign w:val="center"/>
            <w:hideMark/>
          </w:tcPr>
          <w:p w14:paraId="2133DB69" w14:textId="77777777" w:rsidR="00BC7F18" w:rsidRPr="00A33AE8" w:rsidRDefault="00BC7F18" w:rsidP="00BC7F18">
            <w:pPr>
              <w:spacing w:after="0" w:line="240" w:lineRule="auto"/>
              <w:rPr>
                <w:rFonts w:ascii="Times New Roman" w:eastAsia="Times New Roman" w:hAnsi="Times New Roman" w:cs="Times New Roman"/>
                <w:sz w:val="20"/>
                <w:szCs w:val="20"/>
                <w:lang w:eastAsia="en-GB"/>
              </w:rPr>
            </w:pPr>
          </w:p>
        </w:tc>
      </w:tr>
      <w:tr w:rsidR="00EF1A6D" w:rsidRPr="00A33AE8" w14:paraId="2F5A774F"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19D0EC7" w14:textId="77777777" w:rsidR="00EF1A6D" w:rsidRPr="00A33AE8" w:rsidRDefault="00EF1A6D" w:rsidP="00EF1A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314CD970" w14:textId="77777777" w:rsidR="00EF1A6D" w:rsidRPr="00A33AE8" w:rsidRDefault="00EF1A6D" w:rsidP="00EF1A6D">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6C3E5BF3" w14:textId="77777777" w:rsidR="00EF1A6D" w:rsidRPr="00A33AE8" w:rsidRDefault="00EF1A6D" w:rsidP="00EF1A6D">
            <w:pPr>
              <w:spacing w:after="0" w:line="240" w:lineRule="auto"/>
              <w:rPr>
                <w:rFonts w:ascii="Times New Roman" w:eastAsia="Times New Roman" w:hAnsi="Times New Roman" w:cs="Times New Roman"/>
                <w:sz w:val="20"/>
                <w:szCs w:val="20"/>
                <w:lang w:eastAsia="en-GB"/>
              </w:rPr>
            </w:pPr>
          </w:p>
        </w:tc>
      </w:tr>
    </w:tbl>
    <w:p w14:paraId="3C9FD942" w14:textId="77777777" w:rsidR="005D756A" w:rsidRPr="00A33AE8" w:rsidRDefault="005D756A" w:rsidP="005D756A">
      <w:pPr>
        <w:pStyle w:val="LDKbody"/>
        <w:rPr>
          <w:lang w:val="en-GB"/>
        </w:rPr>
      </w:pPr>
    </w:p>
    <w:tbl>
      <w:tblPr>
        <w:tblW w:w="9680" w:type="dxa"/>
        <w:tblLook w:val="04A0" w:firstRow="1" w:lastRow="0" w:firstColumn="1" w:lastColumn="0" w:noHBand="0" w:noVBand="1"/>
      </w:tblPr>
      <w:tblGrid>
        <w:gridCol w:w="3311"/>
        <w:gridCol w:w="986"/>
        <w:gridCol w:w="943"/>
        <w:gridCol w:w="4218"/>
        <w:gridCol w:w="222"/>
      </w:tblGrid>
      <w:tr w:rsidR="005D756A" w:rsidRPr="00A33AE8" w14:paraId="0EB696AB" w14:textId="77777777" w:rsidTr="006769DA">
        <w:trPr>
          <w:gridAfter w:val="1"/>
          <w:wAfter w:w="222" w:type="dxa"/>
          <w:trHeight w:val="780"/>
        </w:trPr>
        <w:tc>
          <w:tcPr>
            <w:tcW w:w="331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B5E7E5C" w14:textId="133F8F74" w:rsidR="005D756A" w:rsidRPr="00A33AE8" w:rsidRDefault="005D756A"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532270E7" w14:textId="77777777" w:rsidR="005D756A" w:rsidRPr="00A33AE8" w:rsidRDefault="005D756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PM_EE23</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6B5233D1"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8" w:type="dxa"/>
            <w:tcBorders>
              <w:top w:val="single" w:sz="8" w:space="0" w:color="auto"/>
              <w:left w:val="nil"/>
              <w:bottom w:val="single" w:sz="8" w:space="0" w:color="auto"/>
              <w:right w:val="single" w:sz="8" w:space="0" w:color="auto"/>
            </w:tcBorders>
            <w:shd w:val="clear" w:color="auto" w:fill="E7E6E6" w:themeFill="background2"/>
            <w:vAlign w:val="center"/>
            <w:hideMark/>
          </w:tcPr>
          <w:p w14:paraId="4B9ADA54" w14:textId="77777777" w:rsidR="005D756A" w:rsidRPr="00A33AE8" w:rsidRDefault="005D756A"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Supplementary actions for the promotion of energy efficiency in industrial sector </w:t>
            </w:r>
          </w:p>
        </w:tc>
      </w:tr>
      <w:tr w:rsidR="005D756A" w:rsidRPr="00A33AE8" w14:paraId="159E3A6E" w14:textId="77777777" w:rsidTr="006769DA">
        <w:trPr>
          <w:gridAfter w:val="1"/>
          <w:wAfter w:w="222" w:type="dxa"/>
          <w:trHeight w:val="453"/>
        </w:trPr>
        <w:tc>
          <w:tcPr>
            <w:tcW w:w="3311" w:type="dxa"/>
            <w:tcBorders>
              <w:top w:val="nil"/>
              <w:left w:val="single" w:sz="8" w:space="0" w:color="auto"/>
              <w:bottom w:val="single" w:sz="8" w:space="0" w:color="auto"/>
              <w:right w:val="nil"/>
            </w:tcBorders>
            <w:shd w:val="clear" w:color="000000" w:fill="244062"/>
            <w:vAlign w:val="center"/>
            <w:hideMark/>
          </w:tcPr>
          <w:p w14:paraId="0DBEE2E9" w14:textId="086F0B2B"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F13AE61" w14:textId="270C22AD" w:rsidR="005D756A" w:rsidRPr="00A33AE8" w:rsidRDefault="00E65CE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5D756A" w:rsidRPr="00A33AE8">
              <w:rPr>
                <w:rFonts w:ascii="Calibri Light" w:eastAsia="Times New Roman" w:hAnsi="Calibri Light" w:cs="Calibri Light"/>
                <w:color w:val="000000"/>
                <w:sz w:val="20"/>
                <w:szCs w:val="20"/>
                <w:lang w:eastAsia="en-GB"/>
              </w:rPr>
              <w:t>:</w:t>
            </w:r>
          </w:p>
          <w:p w14:paraId="61159FBF" w14:textId="77777777" w:rsidR="005D756A" w:rsidRPr="00A33AE8" w:rsidRDefault="005D756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5D756A" w:rsidRPr="00A33AE8" w14:paraId="6DF833F0"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723451D8" w14:textId="179B073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5C34BB09" w14:textId="77777777" w:rsidR="005D756A" w:rsidRPr="00A33AE8" w:rsidRDefault="00241115" w:rsidP="009A2F90">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the quantified objective of PM_EE21</w:t>
            </w:r>
          </w:p>
        </w:tc>
      </w:tr>
      <w:tr w:rsidR="005D756A" w:rsidRPr="00A33AE8" w14:paraId="54B25668" w14:textId="77777777" w:rsidTr="000B4FA4">
        <w:trPr>
          <w:gridAfter w:val="1"/>
          <w:wAfter w:w="222" w:type="dxa"/>
          <w:trHeight w:val="429"/>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65ED7F10"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33072D6" w14:textId="77777777" w:rsidR="005D756A" w:rsidRPr="00A33AE8" w:rsidRDefault="005D756A"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PM_EE23 will boost the implementation of various measures for the promotion of energy efficiency in industrial sector such as the establishment of industrial-business zones served by centralized CHP and central heat generation and distribution systems, the deployment of cogeneration systems, the promotion of circular economy including the exploitation of waste heat and the extended digitalization of the industrial processes. The further exploitation of renewables for electricity, heating and cooling production and the promotion of other alternative fuels will contribute to the improvement of energy efficiency maximizing the synergies with the RES dimension. The promotion of the planned interventions will be achieved either through the development of the appropriate infrastructure or the provision of financial and fiscal incentives.</w:t>
            </w:r>
          </w:p>
        </w:tc>
      </w:tr>
      <w:tr w:rsidR="005D756A" w:rsidRPr="00A33AE8" w14:paraId="7A9BC1BD"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58A9A561"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7F3A4CA8" w14:textId="77777777" w:rsidR="005D756A" w:rsidRPr="00A33AE8" w:rsidRDefault="00E65CE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5D756A" w:rsidRPr="00A33AE8">
              <w:rPr>
                <w:rFonts w:ascii="Calibri Light" w:eastAsia="Times New Roman" w:hAnsi="Calibri Light" w:cs="Calibri Light"/>
                <w:color w:val="000000"/>
                <w:sz w:val="20"/>
                <w:szCs w:val="20"/>
                <w:lang w:eastAsia="en-GB"/>
              </w:rPr>
              <w:t>-2030</w:t>
            </w:r>
          </w:p>
        </w:tc>
      </w:tr>
      <w:tr w:rsidR="005D756A" w:rsidRPr="00A33AE8" w14:paraId="415CFF42"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464617A"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59FC5BDC" w14:textId="77777777" w:rsidR="005D756A"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D756A" w:rsidRPr="00A33AE8" w14:paraId="4FA279EF"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27B955E1" w14:textId="77777777" w:rsidR="005D756A" w:rsidRPr="00A33AE8" w:rsidRDefault="005D756A"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C20567C" w14:textId="77777777" w:rsidR="005D756A" w:rsidRPr="00A33AE8" w:rsidRDefault="005D756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Industrial</w:t>
            </w:r>
          </w:p>
        </w:tc>
      </w:tr>
      <w:tr w:rsidR="00A16BDA" w:rsidRPr="00A33AE8" w14:paraId="5BCFEA27"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272CAA15" w14:textId="77777777" w:rsidR="00A16BDA" w:rsidRPr="000007D2"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77859C73" w14:textId="77777777" w:rsidR="00A16BDA" w:rsidRPr="000007D2" w:rsidRDefault="00A16BDA"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A16BDA" w:rsidRPr="00A33AE8" w14:paraId="65FEF161"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5256B61B"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394FEC7" w14:textId="77777777" w:rsidR="00A16BDA" w:rsidRPr="00A33AE8" w:rsidRDefault="007663B9"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7663B9">
              <w:rPr>
                <w:rFonts w:ascii="Calibri Light" w:eastAsia="Times New Roman" w:hAnsi="Calibri Light" w:cs="Calibri Light"/>
                <w:color w:val="000000"/>
                <w:sz w:val="20"/>
                <w:szCs w:val="20"/>
                <w:lang w:eastAsia="en-GB"/>
              </w:rPr>
              <w:t>Government of the Republic of Serbia</w:t>
            </w:r>
          </w:p>
        </w:tc>
      </w:tr>
      <w:tr w:rsidR="00A16BDA" w:rsidRPr="00A33AE8" w14:paraId="0A5D643E"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007F1552"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2661A0AA" w14:textId="77777777" w:rsidR="00A16BDA" w:rsidRPr="00A33AE8" w:rsidRDefault="00A16BDA"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industrial units</w:t>
            </w:r>
          </w:p>
        </w:tc>
      </w:tr>
      <w:tr w:rsidR="00A16BDA" w:rsidRPr="00A33AE8" w14:paraId="33366E27" w14:textId="77777777" w:rsidTr="006769DA">
        <w:trPr>
          <w:gridAfter w:val="1"/>
          <w:wAfter w:w="222" w:type="dxa"/>
          <w:trHeight w:val="52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BDB4C45"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709B590" w14:textId="77777777" w:rsidR="007663B9" w:rsidRPr="007663B9"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663B9" w:rsidRPr="007663B9">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7A874A33" w14:textId="77777777" w:rsidR="00A16BDA" w:rsidRPr="00A33AE8" w:rsidRDefault="007663B9"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7663B9">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A16BDA" w:rsidRPr="00A33AE8" w14:paraId="2225E98A" w14:textId="77777777" w:rsidTr="006769DA">
        <w:trPr>
          <w:gridAfter w:val="1"/>
          <w:wAfter w:w="222" w:type="dxa"/>
          <w:trHeight w:val="450"/>
        </w:trPr>
        <w:tc>
          <w:tcPr>
            <w:tcW w:w="331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A2CB019"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F6C986F" w14:textId="77777777" w:rsidR="00A16BDA" w:rsidRPr="00A33AE8"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74209CA2" w14:textId="77777777" w:rsidR="00A16BDA" w:rsidRPr="00A33AE8"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A16BDA" w:rsidRPr="00A33AE8" w14:paraId="350F8744" w14:textId="77777777" w:rsidTr="006769DA">
        <w:trPr>
          <w:trHeight w:val="300"/>
        </w:trPr>
        <w:tc>
          <w:tcPr>
            <w:tcW w:w="3311" w:type="dxa"/>
            <w:vMerge/>
            <w:tcBorders>
              <w:top w:val="nil"/>
              <w:left w:val="single" w:sz="8" w:space="0" w:color="auto"/>
              <w:bottom w:val="single" w:sz="8" w:space="0" w:color="000000"/>
              <w:right w:val="single" w:sz="8" w:space="0" w:color="auto"/>
            </w:tcBorders>
            <w:vAlign w:val="center"/>
            <w:hideMark/>
          </w:tcPr>
          <w:p w14:paraId="237D222F"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129530C1" w14:textId="77777777" w:rsidR="00A16BDA" w:rsidRPr="00A33AE8"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07C2120" w14:textId="77777777" w:rsidR="00A16BDA" w:rsidRPr="00A33AE8" w:rsidRDefault="00A16BDA" w:rsidP="00A16BDA">
            <w:pPr>
              <w:spacing w:after="0" w:line="240" w:lineRule="auto"/>
              <w:rPr>
                <w:rFonts w:ascii="Calibri Light" w:eastAsia="Times New Roman" w:hAnsi="Calibri Light" w:cs="Calibri Light"/>
                <w:color w:val="000000"/>
                <w:sz w:val="20"/>
                <w:szCs w:val="20"/>
                <w:lang w:eastAsia="en-GB"/>
              </w:rPr>
            </w:pPr>
          </w:p>
        </w:tc>
      </w:tr>
      <w:tr w:rsidR="00A16BDA" w:rsidRPr="00A33AE8" w14:paraId="27FCEE29" w14:textId="77777777" w:rsidTr="006769DA">
        <w:trPr>
          <w:trHeight w:val="60"/>
        </w:trPr>
        <w:tc>
          <w:tcPr>
            <w:tcW w:w="3311" w:type="dxa"/>
            <w:vMerge/>
            <w:tcBorders>
              <w:top w:val="nil"/>
              <w:left w:val="single" w:sz="8" w:space="0" w:color="auto"/>
              <w:bottom w:val="single" w:sz="8" w:space="0" w:color="000000"/>
              <w:right w:val="single" w:sz="8" w:space="0" w:color="auto"/>
            </w:tcBorders>
            <w:vAlign w:val="center"/>
            <w:hideMark/>
          </w:tcPr>
          <w:p w14:paraId="2FC50FDA"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35FDDC80" w14:textId="77777777" w:rsidR="00A16BDA" w:rsidRPr="00A33AE8"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700E277"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r w:rsidR="00A16BDA" w:rsidRPr="00A33AE8" w14:paraId="30A1415A" w14:textId="77777777" w:rsidTr="006769DA">
        <w:trPr>
          <w:trHeight w:val="780"/>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2D496932"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745575E2" w14:textId="31707D95" w:rsidR="00A16BDA" w:rsidRPr="00A33AE8"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0D984D53" w14:textId="77777777" w:rsidR="00A16BDA" w:rsidRPr="00A33AE8" w:rsidRDefault="00A16BDA"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Industrial Policy Strategy of the Republic of Serbia from 2021 to 2030</w:t>
            </w:r>
          </w:p>
          <w:p w14:paraId="26DB241F" w14:textId="77777777" w:rsidR="00A16BDA" w:rsidRPr="00A33AE8" w:rsidRDefault="00CB3A26" w:rsidP="00884F3B">
            <w:pPr>
              <w:pStyle w:val="ListParagraph"/>
              <w:numPr>
                <w:ilvl w:val="0"/>
                <w:numId w:val="1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4005913A"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r w:rsidR="00A16BDA" w:rsidRPr="00A33AE8" w14:paraId="3E3BB36A"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554E706"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cost</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152F960B" w14:textId="77777777" w:rsidR="00A16BDA" w:rsidRPr="00A33AE8" w:rsidRDefault="00A16BDA" w:rsidP="00A16B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PM_EE21</w:t>
            </w:r>
          </w:p>
        </w:tc>
        <w:tc>
          <w:tcPr>
            <w:tcW w:w="222" w:type="dxa"/>
            <w:vAlign w:val="center"/>
            <w:hideMark/>
          </w:tcPr>
          <w:p w14:paraId="5D9BD4B3"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r w:rsidR="00A16BDA" w:rsidRPr="00A33AE8" w14:paraId="2F55A07D"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35EC1ED"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5426176" w14:textId="77777777" w:rsidR="00A16BDA" w:rsidRPr="00A33AE8" w:rsidRDefault="00A16BDA" w:rsidP="00A16B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4EA1C6D4"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bl>
    <w:p w14:paraId="02FA9D5A" w14:textId="77777777" w:rsidR="004C6CE1" w:rsidRPr="00A33AE8" w:rsidRDefault="004C6CE1" w:rsidP="004C6CE1">
      <w:pPr>
        <w:spacing w:before="160"/>
        <w:jc w:val="both"/>
        <w:rPr>
          <w:rFonts w:asciiTheme="majorHAnsi" w:hAnsiTheme="majorHAnsi" w:cstheme="majorHAnsi"/>
          <w:b/>
          <w:bCs/>
          <w:color w:val="000000"/>
          <w:u w:val="single"/>
        </w:rPr>
      </w:pPr>
    </w:p>
    <w:p w14:paraId="6373332D" w14:textId="77777777" w:rsidR="00D2554B" w:rsidRPr="00A33AE8" w:rsidRDefault="00D2554B" w:rsidP="004C6CE1">
      <w:pPr>
        <w:spacing w:before="160"/>
        <w:jc w:val="both"/>
        <w:rPr>
          <w:rFonts w:asciiTheme="majorHAnsi" w:hAnsiTheme="majorHAnsi" w:cstheme="majorHAnsi"/>
          <w:b/>
          <w:bCs/>
          <w:color w:val="000000"/>
          <w:u w:val="single"/>
        </w:rPr>
      </w:pPr>
      <w:r w:rsidRPr="00A33AE8">
        <w:rPr>
          <w:rFonts w:asciiTheme="majorHAnsi" w:hAnsiTheme="majorHAnsi" w:cstheme="majorHAnsi"/>
          <w:b/>
          <w:bCs/>
          <w:color w:val="000000"/>
          <w:u w:val="single"/>
        </w:rPr>
        <w:t>Agricultural sector</w:t>
      </w:r>
    </w:p>
    <w:p w14:paraId="557F2901"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Specialised financial incentives will be designed for increasing the energy efficiency in agricultural machineries, irrigation systems, livestock farming and greenhouses, and fisheries. Moreover, the further penetration of RES and the production and exploitation of biomass respectively will be encouraged, while the provision of advisory services and the conduction of energy audits to farmers will be foreseen in order to improve the existing level of knowledge in the agricultural sector.</w:t>
      </w:r>
    </w:p>
    <w:tbl>
      <w:tblPr>
        <w:tblW w:w="9680" w:type="dxa"/>
        <w:tblLook w:val="04A0" w:firstRow="1" w:lastRow="0" w:firstColumn="1" w:lastColumn="0" w:noHBand="0" w:noVBand="1"/>
      </w:tblPr>
      <w:tblGrid>
        <w:gridCol w:w="3317"/>
        <w:gridCol w:w="986"/>
        <w:gridCol w:w="943"/>
        <w:gridCol w:w="4212"/>
        <w:gridCol w:w="222"/>
      </w:tblGrid>
      <w:tr w:rsidR="007529BF" w:rsidRPr="00A33AE8" w14:paraId="40CF5736"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A54EC2D" w14:textId="77777777" w:rsidR="007529BF" w:rsidRPr="00A33AE8" w:rsidRDefault="007529B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6F52188" w14:textId="77777777" w:rsidR="007529BF" w:rsidRPr="00A33AE8" w:rsidRDefault="007529B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PM_EE24</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35145E89"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2" w:type="dxa"/>
            <w:tcBorders>
              <w:top w:val="single" w:sz="8" w:space="0" w:color="auto"/>
              <w:left w:val="nil"/>
              <w:bottom w:val="single" w:sz="8" w:space="0" w:color="auto"/>
              <w:right w:val="single" w:sz="8" w:space="0" w:color="auto"/>
            </w:tcBorders>
            <w:shd w:val="clear" w:color="auto" w:fill="E7E6E6" w:themeFill="background2"/>
            <w:vAlign w:val="center"/>
            <w:hideMark/>
          </w:tcPr>
          <w:p w14:paraId="697B789F" w14:textId="77777777" w:rsidR="007529BF" w:rsidRPr="00A33AE8" w:rsidRDefault="007529B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Support schemes for the promotion of energy efficiency in agricultural sector</w:t>
            </w:r>
          </w:p>
        </w:tc>
      </w:tr>
      <w:tr w:rsidR="007529BF" w:rsidRPr="00A33AE8" w14:paraId="72E7E796" w14:textId="77777777" w:rsidTr="006769DA">
        <w:trPr>
          <w:gridAfter w:val="1"/>
          <w:wAfter w:w="222" w:type="dxa"/>
          <w:trHeight w:val="496"/>
        </w:trPr>
        <w:tc>
          <w:tcPr>
            <w:tcW w:w="3317" w:type="dxa"/>
            <w:tcBorders>
              <w:top w:val="nil"/>
              <w:left w:val="single" w:sz="8" w:space="0" w:color="auto"/>
              <w:bottom w:val="single" w:sz="8" w:space="0" w:color="auto"/>
              <w:right w:val="nil"/>
            </w:tcBorders>
            <w:shd w:val="clear" w:color="000000" w:fill="244062"/>
            <w:vAlign w:val="center"/>
            <w:hideMark/>
          </w:tcPr>
          <w:p w14:paraId="6D517839"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97E1917" w14:textId="438E843C" w:rsidR="007529BF" w:rsidRPr="00A33AE8" w:rsidRDefault="00D2681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7529BF" w:rsidRPr="00A33AE8">
              <w:rPr>
                <w:rFonts w:ascii="Calibri Light" w:eastAsia="Times New Roman" w:hAnsi="Calibri Light" w:cs="Calibri Light"/>
                <w:color w:val="000000"/>
                <w:sz w:val="20"/>
                <w:szCs w:val="20"/>
                <w:lang w:eastAsia="en-GB"/>
              </w:rPr>
              <w:t>:</w:t>
            </w:r>
          </w:p>
          <w:p w14:paraId="25958743" w14:textId="77777777" w:rsidR="007529BF" w:rsidRPr="00A33AE8" w:rsidRDefault="007529BF" w:rsidP="00884F3B">
            <w:pPr>
              <w:pStyle w:val="ListParagraph"/>
              <w:numPr>
                <w:ilvl w:val="0"/>
                <w:numId w:val="15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7472CB23" w14:textId="77777777" w:rsidR="007529BF" w:rsidRPr="00A33AE8" w:rsidRDefault="007529BF" w:rsidP="00884F3B">
            <w:pPr>
              <w:pStyle w:val="ListParagraph"/>
              <w:numPr>
                <w:ilvl w:val="0"/>
                <w:numId w:val="15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7529BF" w:rsidRPr="00A33AE8" w14:paraId="3739B687"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5AC58A8"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FD205E9" w14:textId="77777777" w:rsidR="007529BF" w:rsidRPr="00A33AE8" w:rsidRDefault="002B5340"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fulfilling the expected final energy consumption levels in agricultural sector</w:t>
            </w:r>
          </w:p>
        </w:tc>
      </w:tr>
      <w:tr w:rsidR="007529BF" w:rsidRPr="00A33AE8" w14:paraId="1AC03072" w14:textId="77777777" w:rsidTr="000B4FA4">
        <w:trPr>
          <w:gridAfter w:val="1"/>
          <w:wAfter w:w="222" w:type="dxa"/>
          <w:trHeight w:val="996"/>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C1C2EB0"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037E105" w14:textId="4D73DA19" w:rsidR="007529BF" w:rsidRPr="00A33AE8" w:rsidRDefault="007529BF"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PM_EE24 will provide financial incentives for increasing energy efficiency in agricultural machineries, irrigation systems, livestock farming and greenhouses, and fisheries. Moreover, the further penetration of renewables for the generation of electricity and thermal energy and the production and exploitation of biomass respectively will be encouraged. The existing measures regarding the lending of the abandoned agricultural land for the further deployment of renewables, the financial support for the on-site consumption of the produced electricity and thermal energy by renewables and the provision of incentives for the connection of the agricultural farms and businesses with the district heating systems will be continued</w:t>
            </w:r>
            <w:r w:rsidR="00C9581A" w:rsidRPr="00A33AE8">
              <w:rPr>
                <w:rFonts w:ascii="Calibri Light" w:eastAsia="Times New Roman" w:hAnsi="Calibri Light" w:cs="Calibri Light"/>
                <w:color w:val="000000"/>
                <w:sz w:val="20"/>
                <w:szCs w:val="20"/>
                <w:lang w:eastAsia="en-GB"/>
              </w:rPr>
              <w:t>, where feasible,</w:t>
            </w:r>
            <w:r w:rsidR="009327BF"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ensuring the improved cost-effectiveness. In the case that the contribution of the financial aid is not sufficient for fulfilling the established targets, additional financial, regulatory and fiscal measures must be planned. The most cost-effective measures must be initiated setting as priority the adoption of targeted tax deductions, the mandatory replacement of certain technologies and the provision of tools facilitating the access to the required funds such as credit lines, guarantees and soft loans.</w:t>
            </w:r>
          </w:p>
        </w:tc>
      </w:tr>
      <w:tr w:rsidR="007529BF" w:rsidRPr="00A33AE8" w14:paraId="5A126578"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A0F3EA8"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5E3AA8B" w14:textId="77777777" w:rsidR="007529BF" w:rsidRPr="00A33AE8" w:rsidRDefault="00D2681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7529BF" w:rsidRPr="00A33AE8">
              <w:rPr>
                <w:rFonts w:ascii="Calibri Light" w:eastAsia="Times New Roman" w:hAnsi="Calibri Light" w:cs="Calibri Light"/>
                <w:color w:val="000000"/>
                <w:sz w:val="20"/>
                <w:szCs w:val="20"/>
                <w:lang w:eastAsia="en-GB"/>
              </w:rPr>
              <w:t>-2030</w:t>
            </w:r>
          </w:p>
        </w:tc>
      </w:tr>
      <w:tr w:rsidR="007529BF" w:rsidRPr="00A33AE8" w14:paraId="40F52FE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ECB97AB"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3864441" w14:textId="77777777" w:rsidR="007529B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7529BF" w:rsidRPr="00A33AE8" w14:paraId="20D30A40"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93AA268"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975372F" w14:textId="77777777" w:rsidR="007529BF" w:rsidRPr="00A33AE8" w:rsidRDefault="007529B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Agriculture</w:t>
            </w:r>
          </w:p>
        </w:tc>
      </w:tr>
      <w:tr w:rsidR="007529BF" w:rsidRPr="00A33AE8" w14:paraId="47CF9638"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B3CFC9C"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DB3D1D3" w14:textId="77777777" w:rsidR="002B5340" w:rsidRPr="00A33AE8" w:rsidRDefault="002B5340"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Agriculture, Forestry and Water Economy</w:t>
            </w:r>
          </w:p>
          <w:p w14:paraId="06856DBD" w14:textId="77777777" w:rsidR="007529BF" w:rsidRPr="00A33AE8" w:rsidRDefault="007529BF"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IPARD program</w:t>
            </w:r>
          </w:p>
        </w:tc>
      </w:tr>
      <w:tr w:rsidR="007529BF" w:rsidRPr="00A33AE8" w14:paraId="36EE6728"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01C2C2C8"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7B71D5E" w14:textId="77777777" w:rsidR="007529BF" w:rsidRPr="00A33AE8" w:rsidRDefault="00E6468D"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E6468D">
              <w:rPr>
                <w:rFonts w:ascii="Calibri Light" w:eastAsia="Times New Roman" w:hAnsi="Calibri Light" w:cs="Calibri Light"/>
                <w:color w:val="000000"/>
                <w:sz w:val="20"/>
                <w:szCs w:val="20"/>
                <w:lang w:eastAsia="en-GB"/>
              </w:rPr>
              <w:t>Government of the Republic of Serbia</w:t>
            </w:r>
            <w:r w:rsidR="007529BF" w:rsidRPr="00A33AE8">
              <w:rPr>
                <w:rFonts w:ascii="Calibri Light" w:eastAsia="Times New Roman" w:hAnsi="Calibri Light" w:cs="Calibri Light"/>
                <w:color w:val="000000"/>
                <w:sz w:val="20"/>
                <w:szCs w:val="20"/>
                <w:lang w:eastAsia="en-GB"/>
              </w:rPr>
              <w:t> </w:t>
            </w:r>
          </w:p>
        </w:tc>
      </w:tr>
      <w:tr w:rsidR="007529BF" w:rsidRPr="00A33AE8" w14:paraId="7960ACDD"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72F8495D"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A235AD7" w14:textId="77777777" w:rsidR="007529BF" w:rsidRPr="00A33AE8" w:rsidRDefault="00253B22"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agricultural units</w:t>
            </w:r>
          </w:p>
        </w:tc>
      </w:tr>
      <w:tr w:rsidR="006C6A30" w:rsidRPr="00A33AE8" w14:paraId="31745B66" w14:textId="77777777" w:rsidTr="006769DA">
        <w:trPr>
          <w:gridAfter w:val="1"/>
          <w:wAfter w:w="222" w:type="dxa"/>
          <w:trHeight w:val="56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CD4946C"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24EA9B5" w14:textId="77777777" w:rsidR="00E6468D" w:rsidRPr="00E6468D" w:rsidRDefault="006C6A30"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E6468D" w:rsidRPr="00E6468D">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2ED1609E" w14:textId="77777777" w:rsidR="006C6A30" w:rsidRPr="00A33AE8" w:rsidRDefault="00E6468D"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E6468D">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7529BF" w:rsidRPr="00A33AE8" w14:paraId="7CC13632"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7E33544"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27F4A0B" w14:textId="77777777" w:rsidR="007529BF" w:rsidRPr="00A33AE8" w:rsidRDefault="007529BF"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D2681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284867C2" w14:textId="77777777" w:rsidR="007529BF" w:rsidRPr="00A33AE8" w:rsidRDefault="007529BF"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lastRenderedPageBreak/>
              <w:t xml:space="preserve">Directive </w:t>
            </w:r>
            <w:r w:rsidR="00D2681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7529BF" w:rsidRPr="00A33AE8" w14:paraId="7D3A55BA"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1B490943"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5BF514CC" w14:textId="77777777" w:rsidR="007529BF" w:rsidRPr="00A33AE8" w:rsidRDefault="007529BF"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42BBE8F" w14:textId="77777777" w:rsidR="007529BF" w:rsidRPr="00A33AE8" w:rsidRDefault="007529BF" w:rsidP="006769DA">
            <w:pPr>
              <w:spacing w:after="0" w:line="240" w:lineRule="auto"/>
              <w:rPr>
                <w:rFonts w:ascii="Calibri Light" w:eastAsia="Times New Roman" w:hAnsi="Calibri Light" w:cs="Calibri Light"/>
                <w:color w:val="000000"/>
                <w:sz w:val="20"/>
                <w:szCs w:val="20"/>
                <w:lang w:eastAsia="en-GB"/>
              </w:rPr>
            </w:pPr>
          </w:p>
        </w:tc>
      </w:tr>
      <w:tr w:rsidR="007529BF" w:rsidRPr="00A33AE8" w14:paraId="1F1343BA"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41F7C259"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58E79AE2" w14:textId="77777777" w:rsidR="007529BF" w:rsidRPr="00A33AE8" w:rsidRDefault="007529BF" w:rsidP="00884F3B">
            <w:pPr>
              <w:pStyle w:val="ListParagraph"/>
              <w:numPr>
                <w:ilvl w:val="0"/>
                <w:numId w:val="15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82DC60A" w14:textId="77777777" w:rsidR="007529BF" w:rsidRPr="00A33AE8" w:rsidRDefault="007529BF" w:rsidP="006769DA">
            <w:pPr>
              <w:spacing w:after="0" w:line="240" w:lineRule="auto"/>
              <w:rPr>
                <w:rFonts w:ascii="Times New Roman" w:eastAsia="Times New Roman" w:hAnsi="Times New Roman" w:cs="Times New Roman"/>
                <w:sz w:val="20"/>
                <w:szCs w:val="20"/>
                <w:lang w:eastAsia="en-GB"/>
              </w:rPr>
            </w:pPr>
          </w:p>
        </w:tc>
      </w:tr>
      <w:tr w:rsidR="007529BF" w:rsidRPr="00A33AE8" w14:paraId="01877EB7" w14:textId="77777777" w:rsidTr="006769DA">
        <w:trPr>
          <w:trHeight w:val="387"/>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11A0518"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E425159" w14:textId="7082C4ED"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71377ED3" w14:textId="77777777"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Agricultural Land</w:t>
            </w:r>
          </w:p>
          <w:p w14:paraId="79094708" w14:textId="77777777"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the Conditions and Procedure for Leasing and Lending State-Owned Agricultural Land</w:t>
            </w:r>
          </w:p>
          <w:p w14:paraId="73F6EAC6" w14:textId="77777777"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on the Incentives for Investment in the Processing and Marketing of Agricultural and Food Products in the Sector of Production of Strong Alcoholic Beverages</w:t>
            </w:r>
          </w:p>
          <w:p w14:paraId="6299AB48" w14:textId="77777777"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on the Incentives for Investment in Processing and Marketing of Agricultural and Food Products in the Sector of Wine Production</w:t>
            </w:r>
          </w:p>
          <w:p w14:paraId="3C4CE503" w14:textId="77777777"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on the Incentives for Investment in Tangible Property of Agricultural Farms for the Procurement of New Machines and Equipment for Improving Primary Production of Plants</w:t>
            </w:r>
          </w:p>
          <w:p w14:paraId="6CFA8798" w14:textId="77777777" w:rsidR="007529BF" w:rsidRPr="00A33AE8" w:rsidRDefault="007529BF" w:rsidP="00884F3B">
            <w:pPr>
              <w:pStyle w:val="ListParagraph"/>
              <w:numPr>
                <w:ilvl w:val="0"/>
                <w:numId w:val="1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the Incentives for Investment in Tangible Property of Agricultural Farms for the Procurement of New Machines and Equipment for Improvement of Primary Agricultural Production in Livestock Farming Rulebook on the Incentives for Programmes for Income Diversification and Improving the Quality of Life in Rural Areas Through Support to Young Farmers</w:t>
            </w:r>
          </w:p>
        </w:tc>
        <w:tc>
          <w:tcPr>
            <w:tcW w:w="222" w:type="dxa"/>
            <w:vAlign w:val="center"/>
            <w:hideMark/>
          </w:tcPr>
          <w:p w14:paraId="6230B473" w14:textId="77777777" w:rsidR="007529BF" w:rsidRPr="00A33AE8" w:rsidRDefault="007529BF" w:rsidP="006769DA">
            <w:pPr>
              <w:spacing w:after="0" w:line="240" w:lineRule="auto"/>
              <w:rPr>
                <w:rFonts w:ascii="Times New Roman" w:eastAsia="Times New Roman" w:hAnsi="Times New Roman" w:cs="Times New Roman"/>
                <w:sz w:val="20"/>
                <w:szCs w:val="20"/>
                <w:lang w:eastAsia="en-GB"/>
              </w:rPr>
            </w:pPr>
          </w:p>
        </w:tc>
      </w:tr>
      <w:tr w:rsidR="007529BF" w:rsidRPr="00A33AE8" w14:paraId="790E2BFE"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614EB47"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B92D07F" w14:textId="77777777" w:rsidR="007529BF" w:rsidRPr="00A33AE8" w:rsidRDefault="00724E68" w:rsidP="008475B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w:t>
            </w:r>
            <w:r w:rsidR="008475BF" w:rsidRPr="00A33AE8">
              <w:rPr>
                <w:rFonts w:ascii="Calibri Light" w:eastAsia="Times New Roman" w:hAnsi="Calibri Light" w:cs="Calibri Light"/>
                <w:color w:val="000000"/>
                <w:sz w:val="20"/>
                <w:szCs w:val="20"/>
                <w:lang w:eastAsia="en-GB"/>
              </w:rPr>
              <w:t>.</w:t>
            </w:r>
            <w:r w:rsidR="007529BF" w:rsidRPr="00A33AE8">
              <w:rPr>
                <w:rFonts w:ascii="Calibri Light" w:eastAsia="Times New Roman" w:hAnsi="Calibri Light" w:cs="Calibri Light"/>
                <w:color w:val="000000"/>
                <w:sz w:val="20"/>
                <w:szCs w:val="20"/>
                <w:lang w:eastAsia="en-GB"/>
              </w:rPr>
              <w:t>6</w:t>
            </w:r>
            <w:r w:rsidRPr="00A33AE8">
              <w:rPr>
                <w:rFonts w:ascii="Calibri Light" w:eastAsia="Times New Roman" w:hAnsi="Calibri Light" w:cs="Calibri Light"/>
                <w:color w:val="000000"/>
                <w:sz w:val="20"/>
                <w:szCs w:val="20"/>
                <w:lang w:eastAsia="en-GB"/>
              </w:rPr>
              <w:t xml:space="preserve">78 </w:t>
            </w:r>
            <w:r w:rsidR="008475BF" w:rsidRPr="00A33AE8">
              <w:rPr>
                <w:rFonts w:ascii="Calibri Light" w:eastAsia="Times New Roman" w:hAnsi="Calibri Light" w:cs="Calibri Light"/>
                <w:color w:val="000000"/>
                <w:sz w:val="20"/>
                <w:szCs w:val="20"/>
                <w:lang w:eastAsia="en-GB"/>
              </w:rPr>
              <w:t>B</w:t>
            </w:r>
            <w:r w:rsidR="007529BF" w:rsidRPr="00A33AE8">
              <w:rPr>
                <w:rFonts w:ascii="Calibri Light" w:eastAsia="Times New Roman" w:hAnsi="Calibri Light" w:cs="Calibri Light"/>
                <w:color w:val="000000"/>
                <w:sz w:val="20"/>
                <w:szCs w:val="20"/>
                <w:lang w:eastAsia="en-GB"/>
              </w:rPr>
              <w:t>€</w:t>
            </w:r>
          </w:p>
        </w:tc>
        <w:tc>
          <w:tcPr>
            <w:tcW w:w="222" w:type="dxa"/>
            <w:vAlign w:val="center"/>
            <w:hideMark/>
          </w:tcPr>
          <w:p w14:paraId="3A5564F0" w14:textId="77777777" w:rsidR="007529BF" w:rsidRPr="00A33AE8" w:rsidRDefault="007529BF" w:rsidP="006769DA">
            <w:pPr>
              <w:spacing w:after="0" w:line="240" w:lineRule="auto"/>
              <w:rPr>
                <w:rFonts w:ascii="Times New Roman" w:eastAsia="Times New Roman" w:hAnsi="Times New Roman" w:cs="Times New Roman"/>
                <w:sz w:val="20"/>
                <w:szCs w:val="20"/>
                <w:lang w:eastAsia="en-GB"/>
              </w:rPr>
            </w:pPr>
          </w:p>
        </w:tc>
      </w:tr>
      <w:tr w:rsidR="007529BF" w:rsidRPr="00A33AE8" w14:paraId="48DB019F"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FBAA330"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6134247" w14:textId="77777777" w:rsidR="007529BF"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4BE26F77" w14:textId="77777777" w:rsidR="007529BF" w:rsidRPr="00A33AE8" w:rsidRDefault="007529BF" w:rsidP="006769DA">
            <w:pPr>
              <w:spacing w:after="0" w:line="240" w:lineRule="auto"/>
              <w:rPr>
                <w:rFonts w:ascii="Times New Roman" w:eastAsia="Times New Roman" w:hAnsi="Times New Roman" w:cs="Times New Roman"/>
                <w:sz w:val="20"/>
                <w:szCs w:val="20"/>
                <w:lang w:eastAsia="en-GB"/>
              </w:rPr>
            </w:pPr>
          </w:p>
        </w:tc>
      </w:tr>
    </w:tbl>
    <w:p w14:paraId="14D9FEFD" w14:textId="77777777" w:rsidR="007529BF" w:rsidRPr="00A33AE8" w:rsidRDefault="007529BF" w:rsidP="007529BF">
      <w:pPr>
        <w:pStyle w:val="LDKbody"/>
        <w:rPr>
          <w:lang w:val="en-GB"/>
        </w:rPr>
      </w:pPr>
    </w:p>
    <w:tbl>
      <w:tblPr>
        <w:tblW w:w="9680" w:type="dxa"/>
        <w:tblLook w:val="04A0" w:firstRow="1" w:lastRow="0" w:firstColumn="1" w:lastColumn="0" w:noHBand="0" w:noVBand="1"/>
      </w:tblPr>
      <w:tblGrid>
        <w:gridCol w:w="3321"/>
        <w:gridCol w:w="986"/>
        <w:gridCol w:w="944"/>
        <w:gridCol w:w="4207"/>
        <w:gridCol w:w="222"/>
      </w:tblGrid>
      <w:tr w:rsidR="007529BF" w:rsidRPr="00A33AE8" w14:paraId="43C25B14" w14:textId="77777777" w:rsidTr="006769DA">
        <w:trPr>
          <w:gridAfter w:val="1"/>
          <w:wAfter w:w="222" w:type="dxa"/>
          <w:trHeight w:val="780"/>
        </w:trPr>
        <w:tc>
          <w:tcPr>
            <w:tcW w:w="332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A17FBAB" w14:textId="77777777" w:rsidR="007529BF" w:rsidRPr="00A33AE8" w:rsidRDefault="007529BF"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551E74BC" w14:textId="77777777" w:rsidR="007529BF" w:rsidRPr="00A33AE8" w:rsidRDefault="007529BF"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PM_EE25</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0C71312F"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6D78863A" w14:textId="77777777" w:rsidR="007529BF" w:rsidRPr="00A33AE8" w:rsidRDefault="007529BF"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Advisory services and energy audits for farmers</w:t>
            </w:r>
          </w:p>
        </w:tc>
      </w:tr>
      <w:tr w:rsidR="007529BF" w:rsidRPr="00A33AE8" w14:paraId="0E1BC56C" w14:textId="77777777" w:rsidTr="006769DA">
        <w:trPr>
          <w:gridAfter w:val="1"/>
          <w:wAfter w:w="222" w:type="dxa"/>
          <w:trHeight w:val="565"/>
        </w:trPr>
        <w:tc>
          <w:tcPr>
            <w:tcW w:w="3321" w:type="dxa"/>
            <w:tcBorders>
              <w:top w:val="nil"/>
              <w:left w:val="single" w:sz="8" w:space="0" w:color="auto"/>
              <w:bottom w:val="single" w:sz="8" w:space="0" w:color="auto"/>
              <w:right w:val="nil"/>
            </w:tcBorders>
            <w:shd w:val="clear" w:color="000000" w:fill="244062"/>
            <w:vAlign w:val="center"/>
            <w:hideMark/>
          </w:tcPr>
          <w:p w14:paraId="122CD96C"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5D9DBED4" w14:textId="63C99BC0" w:rsidR="007529BF" w:rsidRPr="00A33AE8" w:rsidRDefault="00D2681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7529BF" w:rsidRPr="00A33AE8">
              <w:rPr>
                <w:rFonts w:ascii="Calibri Light" w:eastAsia="Times New Roman" w:hAnsi="Calibri Light" w:cs="Calibri Light"/>
                <w:color w:val="000000"/>
                <w:sz w:val="20"/>
                <w:szCs w:val="20"/>
                <w:lang w:eastAsia="en-GB"/>
              </w:rPr>
              <w:t>:</w:t>
            </w:r>
          </w:p>
          <w:p w14:paraId="07AEA682" w14:textId="77777777" w:rsidR="007529BF" w:rsidRPr="00A33AE8" w:rsidRDefault="007529BF" w:rsidP="00884F3B">
            <w:pPr>
              <w:pStyle w:val="ListParagraph"/>
              <w:numPr>
                <w:ilvl w:val="0"/>
                <w:numId w:val="15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52367462" w14:textId="77777777" w:rsidR="007529BF" w:rsidRPr="00A33AE8" w:rsidRDefault="007529BF" w:rsidP="00884F3B">
            <w:pPr>
              <w:pStyle w:val="ListParagraph"/>
              <w:numPr>
                <w:ilvl w:val="0"/>
                <w:numId w:val="15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7529BF" w:rsidRPr="00A33AE8" w14:paraId="1BBF27B2" w14:textId="77777777" w:rsidTr="006769DA">
        <w:trPr>
          <w:gridAfter w:val="1"/>
          <w:wAfter w:w="222" w:type="dxa"/>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5A717056"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4CEF849C" w14:textId="77777777" w:rsidR="007529BF" w:rsidRPr="00A33AE8" w:rsidRDefault="00724E68"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the quantified objective of PM_EE24</w:t>
            </w:r>
          </w:p>
        </w:tc>
      </w:tr>
      <w:tr w:rsidR="009327BF" w:rsidRPr="00A33AE8" w14:paraId="0B17F9B6" w14:textId="77777777" w:rsidTr="006769DA">
        <w:trPr>
          <w:gridAfter w:val="1"/>
          <w:wAfter w:w="222" w:type="dxa"/>
          <w:trHeight w:val="868"/>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0F629509" w14:textId="77777777" w:rsidR="009327BF" w:rsidRPr="00A33AE8" w:rsidRDefault="009327BF" w:rsidP="009327B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53FC24AE" w14:textId="77777777" w:rsidR="009327BF" w:rsidRPr="00A33AE8" w:rsidRDefault="009327BF" w:rsidP="009327B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PM_EE25 will encourage the provision of advisory services and the conduction of energy audits to the performed agricultural activities in order to improve the existing level of knowledge in the agricultural sector.</w:t>
            </w:r>
          </w:p>
        </w:tc>
      </w:tr>
      <w:tr w:rsidR="007529BF" w:rsidRPr="00A33AE8" w14:paraId="04F7B4FD" w14:textId="77777777" w:rsidTr="006769DA">
        <w:trPr>
          <w:gridAfter w:val="1"/>
          <w:wAfter w:w="222" w:type="dxa"/>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31D36E12"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17326FCC" w14:textId="77777777" w:rsidR="007529BF" w:rsidRPr="00A33AE8" w:rsidRDefault="00D2681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7529BF" w:rsidRPr="00A33AE8">
              <w:rPr>
                <w:rFonts w:ascii="Calibri Light" w:eastAsia="Times New Roman" w:hAnsi="Calibri Light" w:cs="Calibri Light"/>
                <w:color w:val="000000"/>
                <w:sz w:val="20"/>
                <w:szCs w:val="20"/>
                <w:lang w:eastAsia="en-GB"/>
              </w:rPr>
              <w:t>-2030</w:t>
            </w:r>
          </w:p>
        </w:tc>
      </w:tr>
      <w:tr w:rsidR="007529BF" w:rsidRPr="00A33AE8" w14:paraId="0BD52362" w14:textId="77777777" w:rsidTr="006769DA">
        <w:trPr>
          <w:gridAfter w:val="1"/>
          <w:wAfter w:w="222" w:type="dxa"/>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2DE6F327"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100ADD36" w14:textId="77777777" w:rsidR="007529BF"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7529BF" w:rsidRPr="00A33AE8" w14:paraId="59A1496F" w14:textId="77777777" w:rsidTr="006769DA">
        <w:trPr>
          <w:gridAfter w:val="1"/>
          <w:wAfter w:w="222" w:type="dxa"/>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0ABB1403" w14:textId="77777777" w:rsidR="007529BF" w:rsidRPr="00A33AE8" w:rsidRDefault="007529BF"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45FB6D6A" w14:textId="77777777" w:rsidR="007529BF" w:rsidRPr="00A33AE8" w:rsidRDefault="007529BF"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Agriculture</w:t>
            </w:r>
          </w:p>
        </w:tc>
      </w:tr>
      <w:tr w:rsidR="00A16BDA" w:rsidRPr="00A33AE8" w14:paraId="18F69E1A" w14:textId="77777777" w:rsidTr="006769DA">
        <w:trPr>
          <w:gridAfter w:val="1"/>
          <w:wAfter w:w="222" w:type="dxa"/>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1B8AFD92"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3E2E8023" w14:textId="77777777" w:rsidR="00A16BDA" w:rsidRPr="000007D2" w:rsidRDefault="00DD5A5C"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Agriculture, Forestry and Water Economy</w:t>
            </w:r>
          </w:p>
        </w:tc>
      </w:tr>
      <w:tr w:rsidR="00A16BDA" w:rsidRPr="00A33AE8" w14:paraId="53465561" w14:textId="77777777" w:rsidTr="006769DA">
        <w:trPr>
          <w:gridAfter w:val="1"/>
          <w:wAfter w:w="222" w:type="dxa"/>
          <w:trHeight w:val="315"/>
        </w:trPr>
        <w:tc>
          <w:tcPr>
            <w:tcW w:w="3321" w:type="dxa"/>
            <w:tcBorders>
              <w:top w:val="nil"/>
              <w:left w:val="single" w:sz="8" w:space="0" w:color="auto"/>
              <w:bottom w:val="single" w:sz="8" w:space="0" w:color="auto"/>
              <w:right w:val="nil"/>
            </w:tcBorders>
            <w:shd w:val="clear" w:color="000000" w:fill="244062"/>
            <w:vAlign w:val="center"/>
            <w:hideMark/>
          </w:tcPr>
          <w:p w14:paraId="481C07B0"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765FC646" w14:textId="77777777" w:rsidR="00A16BDA" w:rsidRPr="00A33AE8" w:rsidRDefault="007516BE"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7516BE">
              <w:rPr>
                <w:rFonts w:ascii="Calibri Light" w:eastAsia="Times New Roman" w:hAnsi="Calibri Light" w:cs="Calibri Light"/>
                <w:color w:val="000000"/>
                <w:sz w:val="20"/>
                <w:szCs w:val="20"/>
                <w:lang w:eastAsia="en-GB"/>
              </w:rPr>
              <w:t>Government of the Republic of Serbia</w:t>
            </w:r>
            <w:r w:rsidR="00A16BDA" w:rsidRPr="00A33AE8">
              <w:rPr>
                <w:rFonts w:ascii="Calibri Light" w:eastAsia="Times New Roman" w:hAnsi="Calibri Light" w:cs="Calibri Light"/>
                <w:color w:val="000000"/>
                <w:sz w:val="20"/>
                <w:szCs w:val="20"/>
                <w:lang w:eastAsia="en-GB"/>
              </w:rPr>
              <w:t> </w:t>
            </w:r>
          </w:p>
        </w:tc>
      </w:tr>
      <w:tr w:rsidR="00A16BDA" w:rsidRPr="00A33AE8" w14:paraId="522DAD53" w14:textId="77777777" w:rsidTr="006769DA">
        <w:trPr>
          <w:gridAfter w:val="1"/>
          <w:wAfter w:w="222" w:type="dxa"/>
          <w:trHeight w:val="315"/>
        </w:trPr>
        <w:tc>
          <w:tcPr>
            <w:tcW w:w="3321" w:type="dxa"/>
            <w:tcBorders>
              <w:top w:val="nil"/>
              <w:left w:val="single" w:sz="8" w:space="0" w:color="auto"/>
              <w:bottom w:val="single" w:sz="8" w:space="0" w:color="auto"/>
              <w:right w:val="nil"/>
            </w:tcBorders>
            <w:shd w:val="clear" w:color="000000" w:fill="244062"/>
            <w:vAlign w:val="center"/>
            <w:hideMark/>
          </w:tcPr>
          <w:p w14:paraId="4C463E15"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3DC88F49" w14:textId="77777777" w:rsidR="00A16BDA" w:rsidRPr="00A33AE8" w:rsidRDefault="00A16BDA"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agricultural units</w:t>
            </w:r>
          </w:p>
        </w:tc>
      </w:tr>
      <w:tr w:rsidR="00A16BDA" w:rsidRPr="00A33AE8" w14:paraId="0DE7E1D8" w14:textId="77777777" w:rsidTr="006769DA">
        <w:trPr>
          <w:gridAfter w:val="1"/>
          <w:wAfter w:w="222" w:type="dxa"/>
          <w:trHeight w:val="32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3D5F1FC5"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0552A183" w14:textId="77777777" w:rsidR="007516BE" w:rsidRPr="007516BE" w:rsidRDefault="00A16BDA"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516BE" w:rsidRPr="007516BE">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4E0AC301" w14:textId="77777777" w:rsidR="00A16BDA" w:rsidRPr="00A33AE8" w:rsidRDefault="007516BE"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r w:rsidRPr="007516BE">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A16BDA" w:rsidRPr="00A33AE8" w14:paraId="4FE8628C" w14:textId="77777777" w:rsidTr="006769DA">
        <w:trPr>
          <w:gridAfter w:val="1"/>
          <w:wAfter w:w="222" w:type="dxa"/>
          <w:trHeight w:val="450"/>
        </w:trPr>
        <w:tc>
          <w:tcPr>
            <w:tcW w:w="332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3CFE534"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3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998A52E" w14:textId="77777777" w:rsidR="00A16BDA" w:rsidRPr="00A33AE8" w:rsidRDefault="00A16BDA"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60058C68" w14:textId="77777777" w:rsidR="00A16BDA" w:rsidRPr="00A33AE8" w:rsidRDefault="00A16BDA"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A16BDA" w:rsidRPr="00A33AE8" w14:paraId="6B08736B" w14:textId="77777777" w:rsidTr="006769DA">
        <w:trPr>
          <w:trHeight w:val="300"/>
        </w:trPr>
        <w:tc>
          <w:tcPr>
            <w:tcW w:w="3321" w:type="dxa"/>
            <w:vMerge/>
            <w:tcBorders>
              <w:top w:val="nil"/>
              <w:left w:val="single" w:sz="8" w:space="0" w:color="auto"/>
              <w:bottom w:val="single" w:sz="8" w:space="0" w:color="000000"/>
              <w:right w:val="single" w:sz="8" w:space="0" w:color="auto"/>
            </w:tcBorders>
            <w:vAlign w:val="center"/>
            <w:hideMark/>
          </w:tcPr>
          <w:p w14:paraId="21197CDD"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p>
        </w:tc>
        <w:tc>
          <w:tcPr>
            <w:tcW w:w="6137" w:type="dxa"/>
            <w:gridSpan w:val="3"/>
            <w:vMerge/>
            <w:tcBorders>
              <w:top w:val="single" w:sz="8" w:space="0" w:color="auto"/>
              <w:left w:val="single" w:sz="8" w:space="0" w:color="auto"/>
              <w:bottom w:val="single" w:sz="8" w:space="0" w:color="000000"/>
              <w:right w:val="single" w:sz="8" w:space="0" w:color="000000"/>
            </w:tcBorders>
            <w:vAlign w:val="center"/>
            <w:hideMark/>
          </w:tcPr>
          <w:p w14:paraId="69D7E241" w14:textId="77777777" w:rsidR="00A16BDA" w:rsidRPr="00A33AE8" w:rsidRDefault="00A16BDA"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A0FCBC1" w14:textId="77777777" w:rsidR="00A16BDA" w:rsidRPr="00A33AE8" w:rsidRDefault="00A16BDA" w:rsidP="00A16BDA">
            <w:pPr>
              <w:spacing w:after="0" w:line="240" w:lineRule="auto"/>
              <w:rPr>
                <w:rFonts w:ascii="Calibri Light" w:eastAsia="Times New Roman" w:hAnsi="Calibri Light" w:cs="Calibri Light"/>
                <w:color w:val="000000"/>
                <w:sz w:val="20"/>
                <w:szCs w:val="20"/>
                <w:lang w:eastAsia="en-GB"/>
              </w:rPr>
            </w:pPr>
          </w:p>
        </w:tc>
      </w:tr>
      <w:tr w:rsidR="00A16BDA" w:rsidRPr="00A33AE8" w14:paraId="5942298E" w14:textId="77777777" w:rsidTr="006769DA">
        <w:trPr>
          <w:trHeight w:val="60"/>
        </w:trPr>
        <w:tc>
          <w:tcPr>
            <w:tcW w:w="3321" w:type="dxa"/>
            <w:vMerge/>
            <w:tcBorders>
              <w:top w:val="nil"/>
              <w:left w:val="single" w:sz="8" w:space="0" w:color="auto"/>
              <w:bottom w:val="single" w:sz="8" w:space="0" w:color="000000"/>
              <w:right w:val="single" w:sz="8" w:space="0" w:color="auto"/>
            </w:tcBorders>
            <w:vAlign w:val="center"/>
            <w:hideMark/>
          </w:tcPr>
          <w:p w14:paraId="3E40B493"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p>
        </w:tc>
        <w:tc>
          <w:tcPr>
            <w:tcW w:w="6137" w:type="dxa"/>
            <w:gridSpan w:val="3"/>
            <w:vMerge/>
            <w:tcBorders>
              <w:top w:val="single" w:sz="8" w:space="0" w:color="auto"/>
              <w:left w:val="single" w:sz="8" w:space="0" w:color="auto"/>
              <w:bottom w:val="single" w:sz="8" w:space="0" w:color="000000"/>
              <w:right w:val="single" w:sz="8" w:space="0" w:color="000000"/>
            </w:tcBorders>
            <w:vAlign w:val="center"/>
            <w:hideMark/>
          </w:tcPr>
          <w:p w14:paraId="535C4A09" w14:textId="77777777" w:rsidR="00A16BDA" w:rsidRPr="00A33AE8" w:rsidRDefault="00A16BDA"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69124EC"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r w:rsidR="00A16BDA" w:rsidRPr="00A33AE8" w14:paraId="6E7E352F" w14:textId="77777777" w:rsidTr="006769DA">
        <w:trPr>
          <w:trHeight w:val="373"/>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5A4112C9"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0D7A9FEF" w14:textId="48690511" w:rsidR="00A16BDA" w:rsidRPr="00A33AE8" w:rsidRDefault="00A16BDA" w:rsidP="00884F3B">
            <w:pPr>
              <w:pStyle w:val="ListParagraph"/>
              <w:numPr>
                <w:ilvl w:val="0"/>
                <w:numId w:val="15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tc>
        <w:tc>
          <w:tcPr>
            <w:tcW w:w="222" w:type="dxa"/>
            <w:vAlign w:val="center"/>
            <w:hideMark/>
          </w:tcPr>
          <w:p w14:paraId="3456516B"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r w:rsidR="00A16BDA" w:rsidRPr="00A33AE8" w14:paraId="5EDEAB87" w14:textId="77777777" w:rsidTr="006769DA">
        <w:trPr>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7ACB3891"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6146137A" w14:textId="77777777" w:rsidR="00A16BDA" w:rsidRPr="00A33AE8" w:rsidRDefault="00A16BDA" w:rsidP="00A16B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PM_EE24</w:t>
            </w:r>
          </w:p>
        </w:tc>
        <w:tc>
          <w:tcPr>
            <w:tcW w:w="222" w:type="dxa"/>
            <w:vAlign w:val="center"/>
            <w:hideMark/>
          </w:tcPr>
          <w:p w14:paraId="58661273"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r w:rsidR="00A16BDA" w:rsidRPr="00A33AE8" w14:paraId="56F2F45C" w14:textId="77777777" w:rsidTr="006769DA">
        <w:trPr>
          <w:trHeight w:val="315"/>
        </w:trPr>
        <w:tc>
          <w:tcPr>
            <w:tcW w:w="3321" w:type="dxa"/>
            <w:tcBorders>
              <w:top w:val="nil"/>
              <w:left w:val="single" w:sz="8" w:space="0" w:color="auto"/>
              <w:bottom w:val="single" w:sz="8" w:space="0" w:color="auto"/>
              <w:right w:val="single" w:sz="8" w:space="0" w:color="auto"/>
            </w:tcBorders>
            <w:shd w:val="clear" w:color="000000" w:fill="244062"/>
            <w:vAlign w:val="center"/>
            <w:hideMark/>
          </w:tcPr>
          <w:p w14:paraId="1F674D83" w14:textId="77777777" w:rsidR="00A16BDA" w:rsidRPr="00A33AE8" w:rsidRDefault="00A16BDA" w:rsidP="00A16B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37" w:type="dxa"/>
            <w:gridSpan w:val="3"/>
            <w:tcBorders>
              <w:top w:val="single" w:sz="8" w:space="0" w:color="auto"/>
              <w:left w:val="nil"/>
              <w:bottom w:val="single" w:sz="8" w:space="0" w:color="auto"/>
              <w:right w:val="single" w:sz="8" w:space="0" w:color="000000"/>
            </w:tcBorders>
            <w:shd w:val="clear" w:color="auto" w:fill="auto"/>
            <w:vAlign w:val="center"/>
            <w:hideMark/>
          </w:tcPr>
          <w:p w14:paraId="59154A8B" w14:textId="77777777" w:rsidR="00A16BDA" w:rsidRPr="00A33AE8" w:rsidRDefault="00A16BDA" w:rsidP="00A16B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20D999EE" w14:textId="77777777" w:rsidR="00A16BDA" w:rsidRPr="00A33AE8" w:rsidRDefault="00A16BDA" w:rsidP="00A16BDA">
            <w:pPr>
              <w:spacing w:after="0" w:line="240" w:lineRule="auto"/>
              <w:rPr>
                <w:rFonts w:ascii="Times New Roman" w:eastAsia="Times New Roman" w:hAnsi="Times New Roman" w:cs="Times New Roman"/>
                <w:sz w:val="20"/>
                <w:szCs w:val="20"/>
                <w:lang w:eastAsia="en-GB"/>
              </w:rPr>
            </w:pPr>
          </w:p>
        </w:tc>
      </w:tr>
    </w:tbl>
    <w:p w14:paraId="41955067" w14:textId="77777777" w:rsidR="004C6CE1" w:rsidRPr="00A33AE8" w:rsidRDefault="004C6CE1" w:rsidP="004C6CE1">
      <w:pPr>
        <w:spacing w:before="160"/>
        <w:jc w:val="both"/>
        <w:rPr>
          <w:rFonts w:asciiTheme="majorHAnsi" w:hAnsiTheme="majorHAnsi" w:cstheme="majorHAnsi"/>
          <w:b/>
          <w:bCs/>
          <w:color w:val="000000"/>
          <w:u w:val="single"/>
        </w:rPr>
      </w:pPr>
    </w:p>
    <w:p w14:paraId="183A573D" w14:textId="77777777" w:rsidR="00D2554B" w:rsidRPr="00A33AE8" w:rsidRDefault="00D2554B" w:rsidP="004C6CE1">
      <w:pPr>
        <w:spacing w:before="160"/>
        <w:jc w:val="both"/>
        <w:rPr>
          <w:rFonts w:asciiTheme="majorHAnsi" w:hAnsiTheme="majorHAnsi" w:cstheme="majorHAnsi"/>
          <w:b/>
          <w:bCs/>
          <w:color w:val="000000"/>
          <w:u w:val="single"/>
        </w:rPr>
      </w:pPr>
      <w:r w:rsidRPr="00A33AE8">
        <w:rPr>
          <w:rFonts w:asciiTheme="majorHAnsi" w:hAnsiTheme="majorHAnsi" w:cstheme="majorHAnsi"/>
          <w:b/>
          <w:bCs/>
          <w:color w:val="000000"/>
          <w:u w:val="single"/>
        </w:rPr>
        <w:t>Cross-cutting</w:t>
      </w:r>
    </w:p>
    <w:p w14:paraId="11316E25"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Various awareness-raising activities will be organised for enhancing the existing level of knowledge of all end-users. Priority should be given also on the substitution of inefficient appliances and technologies with new energy efficient ones along with the effective application of energy labelling and eco-design Directives.</w:t>
      </w:r>
    </w:p>
    <w:p w14:paraId="305B30A6" w14:textId="7FF441BA"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conduction of energy audits and the development of energy management systems in all end-use sectors including non-SMEs and households will be fostered. Moreover, the implementation of the derived recommendations </w:t>
      </w:r>
      <w:r w:rsidR="006C6E02" w:rsidRPr="00A33AE8">
        <w:rPr>
          <w:rFonts w:asciiTheme="majorHAnsi" w:hAnsiTheme="majorHAnsi" w:cstheme="majorHAnsi"/>
          <w:color w:val="000000"/>
        </w:rPr>
        <w:t xml:space="preserve">both by the energy audits and the energy management systems </w:t>
      </w:r>
      <w:r w:rsidRPr="00A33AE8">
        <w:rPr>
          <w:rFonts w:asciiTheme="majorHAnsi" w:hAnsiTheme="majorHAnsi" w:cstheme="majorHAnsi"/>
          <w:color w:val="000000"/>
        </w:rPr>
        <w:t>will be supported either through the provision of financial aid or through the mandatory implementation under the prerequisite that specific preconditions are fulfilled.</w:t>
      </w:r>
    </w:p>
    <w:p w14:paraId="3566146A"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smooth and efficient application of green public procurement procedures will be ensured, while the energy efficiency in street lighting </w:t>
      </w:r>
      <w:r w:rsidR="008E28CD" w:rsidRPr="00A33AE8">
        <w:rPr>
          <w:rFonts w:asciiTheme="majorHAnsi" w:hAnsiTheme="majorHAnsi" w:cstheme="majorHAnsi"/>
          <w:color w:val="000000"/>
        </w:rPr>
        <w:t xml:space="preserve">through the installation of energy efficient luminaries </w:t>
      </w:r>
      <w:r w:rsidRPr="00A33AE8">
        <w:rPr>
          <w:rFonts w:asciiTheme="majorHAnsi" w:hAnsiTheme="majorHAnsi" w:cstheme="majorHAnsi"/>
          <w:color w:val="000000"/>
        </w:rPr>
        <w:t xml:space="preserve">will </w:t>
      </w:r>
      <w:r w:rsidR="009327BF" w:rsidRPr="00A33AE8">
        <w:rPr>
          <w:rFonts w:asciiTheme="majorHAnsi" w:hAnsiTheme="majorHAnsi" w:cstheme="majorHAnsi"/>
          <w:color w:val="000000"/>
        </w:rPr>
        <w:t xml:space="preserve">continue to </w:t>
      </w:r>
      <w:r w:rsidRPr="00A33AE8">
        <w:rPr>
          <w:rFonts w:asciiTheme="majorHAnsi" w:hAnsiTheme="majorHAnsi" w:cstheme="majorHAnsi"/>
          <w:color w:val="000000"/>
        </w:rPr>
        <w:t xml:space="preserve">be improved through specialised financial support schemes </w:t>
      </w:r>
      <w:r w:rsidR="008E28CD" w:rsidRPr="00A33AE8">
        <w:rPr>
          <w:rFonts w:asciiTheme="majorHAnsi" w:hAnsiTheme="majorHAnsi" w:cstheme="majorHAnsi"/>
          <w:color w:val="000000"/>
        </w:rPr>
        <w:t xml:space="preserve">through public funds </w:t>
      </w:r>
      <w:r w:rsidRPr="00A33AE8">
        <w:rPr>
          <w:rFonts w:asciiTheme="majorHAnsi" w:hAnsiTheme="majorHAnsi" w:cstheme="majorHAnsi"/>
          <w:color w:val="000000"/>
        </w:rPr>
        <w:t>additionally to the energy performance contracts.</w:t>
      </w:r>
    </w:p>
    <w:p w14:paraId="282A049F" w14:textId="77777777" w:rsidR="008B48AC" w:rsidRPr="000007D2"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promotion of energy efficiency in water sector will be assisted focusing on the </w:t>
      </w:r>
      <w:r w:rsidR="008E28CD" w:rsidRPr="00A33AE8">
        <w:rPr>
          <w:rFonts w:asciiTheme="majorHAnsi" w:hAnsiTheme="majorHAnsi" w:cstheme="majorHAnsi"/>
          <w:color w:val="000000"/>
        </w:rPr>
        <w:t>examination</w:t>
      </w:r>
      <w:r w:rsidRPr="00A33AE8">
        <w:rPr>
          <w:rFonts w:asciiTheme="majorHAnsi" w:hAnsiTheme="majorHAnsi" w:cstheme="majorHAnsi"/>
          <w:color w:val="000000"/>
        </w:rPr>
        <w:t xml:space="preserve"> of the energy-water nexus, the implementation of water management techniques, the installation of water-efficient end-use equipment and the conduction of other energy conservation measures in compliance with the </w:t>
      </w:r>
      <w:r w:rsidR="008B48AC" w:rsidRPr="00A33AE8">
        <w:rPr>
          <w:rFonts w:asciiTheme="majorHAnsi" w:hAnsiTheme="majorHAnsi" w:cstheme="majorHAnsi"/>
          <w:color w:val="000000"/>
        </w:rPr>
        <w:t>Principle "Energy efficiency first".</w:t>
      </w:r>
    </w:p>
    <w:p w14:paraId="6F0000A1" w14:textId="588A73A1" w:rsidR="00D2554B" w:rsidRPr="00A33AE8" w:rsidRDefault="009800BC" w:rsidP="004C6CE1">
      <w:pPr>
        <w:spacing w:before="160"/>
        <w:jc w:val="both"/>
        <w:rPr>
          <w:rFonts w:asciiTheme="majorHAnsi" w:hAnsiTheme="majorHAnsi" w:cstheme="majorHAnsi"/>
          <w:color w:val="000000"/>
        </w:rPr>
      </w:pPr>
      <w:r w:rsidRPr="000007D2">
        <w:rPr>
          <w:rFonts w:asciiTheme="majorHAnsi" w:hAnsiTheme="majorHAnsi" w:cstheme="majorHAnsi"/>
          <w:color w:val="000000"/>
        </w:rPr>
        <w:t xml:space="preserve">Improvement of the existing and, when needed, establishment of new </w:t>
      </w:r>
      <w:r w:rsidR="00D2554B" w:rsidRPr="00A33AE8">
        <w:rPr>
          <w:rFonts w:asciiTheme="majorHAnsi" w:hAnsiTheme="majorHAnsi" w:cstheme="majorHAnsi"/>
          <w:color w:val="000000"/>
        </w:rPr>
        <w:t>qualification, accreditation and certification schemes for all the energy efficiency professionals (providers of energy services, energy,</w:t>
      </w:r>
      <w:r w:rsidR="00DD5A5C" w:rsidRPr="00A33AE8">
        <w:rPr>
          <w:rFonts w:asciiTheme="majorHAnsi" w:hAnsiTheme="majorHAnsi" w:cstheme="majorHAnsi"/>
          <w:color w:val="000000"/>
        </w:rPr>
        <w:t xml:space="preserve"> </w:t>
      </w:r>
      <w:r w:rsidR="00EF40E1" w:rsidRPr="00A33AE8">
        <w:rPr>
          <w:rFonts w:asciiTheme="majorHAnsi" w:hAnsiTheme="majorHAnsi" w:cstheme="majorHAnsi"/>
          <w:color w:val="000000"/>
        </w:rPr>
        <w:t xml:space="preserve">advisors </w:t>
      </w:r>
      <w:r w:rsidR="00D2554B" w:rsidRPr="00A33AE8">
        <w:rPr>
          <w:rFonts w:asciiTheme="majorHAnsi" w:hAnsiTheme="majorHAnsi" w:cstheme="majorHAnsi"/>
          <w:color w:val="000000"/>
        </w:rPr>
        <w:t>energy managers and installers of energy-related building elements) will be carried out accompanied by specialised training programs, the development of tools and the provision of technical support.</w:t>
      </w:r>
    </w:p>
    <w:p w14:paraId="6E251B85"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Moreover, regulatory measures and financing programs </w:t>
      </w:r>
      <w:r w:rsidR="008B48AC" w:rsidRPr="00A33AE8">
        <w:rPr>
          <w:rFonts w:asciiTheme="majorHAnsi" w:hAnsiTheme="majorHAnsi" w:cstheme="majorHAnsi"/>
          <w:color w:val="000000"/>
        </w:rPr>
        <w:t xml:space="preserve">will be initiated </w:t>
      </w:r>
      <w:r w:rsidRPr="00A33AE8">
        <w:rPr>
          <w:rFonts w:asciiTheme="majorHAnsi" w:hAnsiTheme="majorHAnsi" w:cstheme="majorHAnsi"/>
          <w:color w:val="000000"/>
        </w:rPr>
        <w:t>for promoting/modernizing high efficient CHP units and district heating/cooling networks. Finally, the technical and administrative capacity of the involved policy makers will be reinforced in order to facilitate the effective design, implementation, monitoring and evaluation of the energy efficiency measures through specialized trainings, sophisticated tools and materials.</w:t>
      </w:r>
    </w:p>
    <w:p w14:paraId="209DA10C" w14:textId="77777777" w:rsidR="00D2554B" w:rsidRPr="00A33AE8" w:rsidRDefault="00D2554B" w:rsidP="004C6CE1">
      <w:pPr>
        <w:spacing w:before="160"/>
        <w:jc w:val="both"/>
        <w:rPr>
          <w:rFonts w:cstheme="minorHAnsi"/>
          <w:i/>
          <w:iCs/>
          <w:color w:val="000000"/>
          <w:u w:val="single"/>
        </w:rPr>
      </w:pPr>
      <w:r w:rsidRPr="00A33AE8">
        <w:rPr>
          <w:rFonts w:asciiTheme="majorHAnsi" w:hAnsiTheme="majorHAnsi" w:cstheme="majorHAnsi"/>
          <w:color w:val="000000"/>
        </w:rPr>
        <w:t>Last but not least, the model of smart and carbon neutral cities until 2030 will be promoted through the establishment of a holistic approach considering the planning and implementation of policy measures in the building, transport and network sectors.</w:t>
      </w:r>
    </w:p>
    <w:tbl>
      <w:tblPr>
        <w:tblW w:w="9680" w:type="dxa"/>
        <w:tblLook w:val="04A0" w:firstRow="1" w:lastRow="0" w:firstColumn="1" w:lastColumn="0" w:noHBand="0" w:noVBand="1"/>
      </w:tblPr>
      <w:tblGrid>
        <w:gridCol w:w="3317"/>
        <w:gridCol w:w="986"/>
        <w:gridCol w:w="943"/>
        <w:gridCol w:w="4212"/>
        <w:gridCol w:w="222"/>
      </w:tblGrid>
      <w:tr w:rsidR="00142406" w:rsidRPr="00A33AE8" w14:paraId="0ACD9C0F"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A381A35" w14:textId="77777777" w:rsidR="00142406" w:rsidRPr="00A33AE8" w:rsidRDefault="0014240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5523CB8" w14:textId="77777777" w:rsidR="00142406" w:rsidRPr="00A33AE8" w:rsidRDefault="0014240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PM_EE9</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2EF0340A"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2" w:type="dxa"/>
            <w:tcBorders>
              <w:top w:val="single" w:sz="8" w:space="0" w:color="auto"/>
              <w:left w:val="nil"/>
              <w:bottom w:val="single" w:sz="8" w:space="0" w:color="auto"/>
              <w:right w:val="single" w:sz="8" w:space="0" w:color="auto"/>
            </w:tcBorders>
            <w:shd w:val="clear" w:color="auto" w:fill="E7E6E6" w:themeFill="background2"/>
            <w:vAlign w:val="center"/>
            <w:hideMark/>
          </w:tcPr>
          <w:p w14:paraId="50092B43" w14:textId="77777777" w:rsidR="00142406" w:rsidRPr="00A33AE8" w:rsidRDefault="0014240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efficient appliances in households</w:t>
            </w:r>
          </w:p>
        </w:tc>
      </w:tr>
      <w:tr w:rsidR="00142406" w:rsidRPr="00A33AE8" w14:paraId="05D6F388" w14:textId="77777777" w:rsidTr="006769DA">
        <w:trPr>
          <w:gridAfter w:val="1"/>
          <w:wAfter w:w="222" w:type="dxa"/>
          <w:trHeight w:val="690"/>
        </w:trPr>
        <w:tc>
          <w:tcPr>
            <w:tcW w:w="3317" w:type="dxa"/>
            <w:tcBorders>
              <w:top w:val="nil"/>
              <w:left w:val="single" w:sz="8" w:space="0" w:color="auto"/>
              <w:bottom w:val="single" w:sz="8" w:space="0" w:color="auto"/>
              <w:right w:val="nil"/>
            </w:tcBorders>
            <w:shd w:val="clear" w:color="000000" w:fill="244062"/>
            <w:vAlign w:val="center"/>
            <w:hideMark/>
          </w:tcPr>
          <w:p w14:paraId="0CE8A273"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3ACD5B1" w14:textId="5282D974" w:rsidR="00142406" w:rsidRPr="00A33AE8" w:rsidRDefault="008E28C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142406" w:rsidRPr="00A33AE8">
              <w:rPr>
                <w:rFonts w:ascii="Calibri Light" w:eastAsia="Times New Roman" w:hAnsi="Calibri Light" w:cs="Calibri Light"/>
                <w:color w:val="000000"/>
                <w:sz w:val="20"/>
                <w:szCs w:val="20"/>
                <w:lang w:eastAsia="en-GB"/>
              </w:rPr>
              <w:t>:</w:t>
            </w:r>
          </w:p>
          <w:p w14:paraId="288EBED2" w14:textId="77777777" w:rsidR="00142406" w:rsidRPr="00A33AE8" w:rsidRDefault="00142406" w:rsidP="00884F3B">
            <w:pPr>
              <w:pStyle w:val="ListParagraph"/>
              <w:numPr>
                <w:ilvl w:val="0"/>
                <w:numId w:val="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073B37C3" w14:textId="77777777" w:rsidR="00142406" w:rsidRPr="00A33AE8" w:rsidRDefault="00142406" w:rsidP="00884F3B">
            <w:pPr>
              <w:pStyle w:val="ListParagraph"/>
              <w:numPr>
                <w:ilvl w:val="0"/>
                <w:numId w:val="2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142406" w:rsidRPr="00A33AE8" w14:paraId="6571193B"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2496B05"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59B64A6" w14:textId="77777777" w:rsidR="00142406" w:rsidRPr="00A33AE8" w:rsidRDefault="002345D3"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fulfilling the expected final energy consumption levels in residential sector</w:t>
            </w:r>
          </w:p>
        </w:tc>
      </w:tr>
      <w:tr w:rsidR="00142406" w:rsidRPr="00A33AE8" w14:paraId="5F533239" w14:textId="77777777" w:rsidTr="006769DA">
        <w:trPr>
          <w:gridAfter w:val="1"/>
          <w:wAfter w:w="222" w:type="dxa"/>
          <w:trHeight w:val="1282"/>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EE1E00C"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A5D109C" w14:textId="77777777" w:rsidR="00142406" w:rsidRPr="00A33AE8" w:rsidRDefault="00142406"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PM_EE9 will promote the substitution of inefficient appliances and technologies with new energy efficient ones in the case that the application of the Energy Labelling and Eco-Design Directives is not adequate through measures, such as the provision of subsidies of the existing inefficient electric appliances with new more efficient</w:t>
            </w:r>
            <w:r w:rsidR="002345D3" w:rsidRPr="00A33AE8">
              <w:rPr>
                <w:rFonts w:ascii="Calibri Light" w:eastAsia="Times New Roman" w:hAnsi="Calibri Light" w:cs="Calibri Light"/>
                <w:color w:val="000000"/>
                <w:sz w:val="20"/>
                <w:szCs w:val="20"/>
                <w:lang w:eastAsia="en-GB"/>
              </w:rPr>
              <w:t>. The planned measure will be utilised so as to combat energy poverty also.</w:t>
            </w:r>
          </w:p>
        </w:tc>
      </w:tr>
      <w:tr w:rsidR="00142406" w:rsidRPr="00A33AE8" w14:paraId="23403D85"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5BA90CC"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1519EA7" w14:textId="77777777" w:rsidR="00142406" w:rsidRPr="00A33AE8" w:rsidRDefault="008E28C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142406" w:rsidRPr="00A33AE8">
              <w:rPr>
                <w:rFonts w:ascii="Calibri Light" w:eastAsia="Times New Roman" w:hAnsi="Calibri Light" w:cs="Calibri Light"/>
                <w:color w:val="000000"/>
                <w:sz w:val="20"/>
                <w:szCs w:val="20"/>
                <w:lang w:eastAsia="en-GB"/>
              </w:rPr>
              <w:t>-2030</w:t>
            </w:r>
          </w:p>
        </w:tc>
      </w:tr>
      <w:tr w:rsidR="00142406" w:rsidRPr="00A33AE8" w14:paraId="66E493E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284CA6A"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B564010" w14:textId="77777777" w:rsidR="0014240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142406" w:rsidRPr="00A33AE8" w14:paraId="4FC63280"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A0A187F"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05AA059" w14:textId="77777777" w:rsidR="00142406" w:rsidRPr="00A33AE8" w:rsidRDefault="0014240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commercial</w:t>
            </w:r>
          </w:p>
        </w:tc>
      </w:tr>
      <w:tr w:rsidR="00142406" w:rsidRPr="00A33AE8" w14:paraId="5DE71C2A"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18C2CE0"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9A22EB7" w14:textId="77777777" w:rsidR="00142406" w:rsidRPr="00A33AE8" w:rsidRDefault="00C100B8" w:rsidP="00884F3B">
            <w:pPr>
              <w:pStyle w:val="ListParagraph"/>
              <w:numPr>
                <w:ilvl w:val="0"/>
                <w:numId w:val="13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142406" w:rsidRPr="00A33AE8" w14:paraId="4073128A"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06305C0A"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847AAE0" w14:textId="77777777" w:rsidR="00142406" w:rsidRPr="00A33AE8" w:rsidRDefault="006B21A7" w:rsidP="00884F3B">
            <w:pPr>
              <w:pStyle w:val="ListParagraph"/>
              <w:numPr>
                <w:ilvl w:val="0"/>
                <w:numId w:val="131"/>
              </w:numPr>
              <w:spacing w:after="0" w:line="240" w:lineRule="auto"/>
              <w:rPr>
                <w:rFonts w:ascii="Calibri Light" w:eastAsia="Times New Roman" w:hAnsi="Calibri Light" w:cs="Calibri Light"/>
                <w:color w:val="000000"/>
                <w:sz w:val="20"/>
                <w:szCs w:val="20"/>
                <w:lang w:eastAsia="en-GB"/>
              </w:rPr>
            </w:pPr>
            <w:r w:rsidRPr="006B21A7">
              <w:rPr>
                <w:rFonts w:ascii="Calibri Light" w:eastAsia="Times New Roman" w:hAnsi="Calibri Light" w:cs="Calibri Light"/>
                <w:color w:val="000000"/>
                <w:sz w:val="20"/>
                <w:szCs w:val="20"/>
                <w:lang w:eastAsia="en-GB"/>
              </w:rPr>
              <w:t>Government of the Republic of Serbia</w:t>
            </w:r>
          </w:p>
        </w:tc>
      </w:tr>
      <w:tr w:rsidR="008B48AC" w:rsidRPr="00A33AE8" w14:paraId="55F58D7D"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199B16B2"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DC266FB" w14:textId="77777777" w:rsidR="008B48AC" w:rsidRPr="00A33AE8" w:rsidRDefault="008B48AC" w:rsidP="00884F3B">
            <w:pPr>
              <w:pStyle w:val="ListParagraph"/>
              <w:numPr>
                <w:ilvl w:val="0"/>
                <w:numId w:val="13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substituted energy efficiency appliances</w:t>
            </w:r>
          </w:p>
        </w:tc>
      </w:tr>
      <w:tr w:rsidR="006C6A30" w:rsidRPr="00A33AE8" w14:paraId="370A634B" w14:textId="77777777" w:rsidTr="006769DA">
        <w:trPr>
          <w:gridAfter w:val="1"/>
          <w:wAfter w:w="222" w:type="dxa"/>
          <w:trHeight w:val="387"/>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841DA3D"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15E2A3B" w14:textId="77777777" w:rsidR="006B21A7" w:rsidRPr="006B21A7" w:rsidRDefault="006C6A30" w:rsidP="00884F3B">
            <w:pPr>
              <w:pStyle w:val="ListParagraph"/>
              <w:numPr>
                <w:ilvl w:val="0"/>
                <w:numId w:val="13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6B21A7" w:rsidRPr="006B21A7">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3486EBA2" w14:textId="77777777" w:rsidR="006C6A30" w:rsidRPr="00A33AE8" w:rsidRDefault="006B21A7" w:rsidP="00884F3B">
            <w:pPr>
              <w:pStyle w:val="ListParagraph"/>
              <w:numPr>
                <w:ilvl w:val="0"/>
                <w:numId w:val="131"/>
              </w:numPr>
              <w:spacing w:after="0" w:line="240" w:lineRule="auto"/>
              <w:rPr>
                <w:rFonts w:ascii="Calibri Light" w:eastAsia="Times New Roman" w:hAnsi="Calibri Light" w:cs="Calibri Light"/>
                <w:color w:val="000000"/>
                <w:sz w:val="20"/>
                <w:szCs w:val="20"/>
                <w:lang w:eastAsia="en-GB"/>
              </w:rPr>
            </w:pPr>
            <w:r w:rsidRPr="006B21A7">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142406" w:rsidRPr="00A33AE8" w14:paraId="5FC7EC5A"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4900BFD"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528B749" w14:textId="77777777" w:rsidR="00142406" w:rsidRPr="00A33AE8" w:rsidRDefault="00142406" w:rsidP="00884F3B">
            <w:pPr>
              <w:pStyle w:val="ListParagraph"/>
              <w:numPr>
                <w:ilvl w:val="0"/>
                <w:numId w:val="2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460C4535" w14:textId="77777777" w:rsidR="00142406" w:rsidRPr="00A33AE8" w:rsidRDefault="00142406" w:rsidP="00884F3B">
            <w:pPr>
              <w:pStyle w:val="ListParagraph"/>
              <w:numPr>
                <w:ilvl w:val="0"/>
                <w:numId w:val="2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142406" w:rsidRPr="00A33AE8" w14:paraId="2963355E"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13C31A54"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3ED5D5FE" w14:textId="77777777" w:rsidR="00142406" w:rsidRPr="00A33AE8" w:rsidRDefault="00142406"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C7F4412" w14:textId="77777777" w:rsidR="00142406" w:rsidRPr="00A33AE8" w:rsidRDefault="00142406" w:rsidP="006769DA">
            <w:pPr>
              <w:spacing w:after="0" w:line="240" w:lineRule="auto"/>
              <w:rPr>
                <w:rFonts w:ascii="Calibri Light" w:eastAsia="Times New Roman" w:hAnsi="Calibri Light" w:cs="Calibri Light"/>
                <w:color w:val="000000"/>
                <w:sz w:val="20"/>
                <w:szCs w:val="20"/>
                <w:lang w:eastAsia="en-GB"/>
              </w:rPr>
            </w:pPr>
          </w:p>
        </w:tc>
      </w:tr>
      <w:tr w:rsidR="00142406" w:rsidRPr="00A33AE8" w14:paraId="5F8739A5"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5E030DEB"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3639E81C" w14:textId="77777777" w:rsidR="00142406" w:rsidRPr="00A33AE8" w:rsidRDefault="00142406"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68A37B0" w14:textId="77777777" w:rsidR="00142406" w:rsidRPr="00A33AE8" w:rsidRDefault="00142406" w:rsidP="006769DA">
            <w:pPr>
              <w:spacing w:after="0" w:line="240" w:lineRule="auto"/>
              <w:rPr>
                <w:rFonts w:ascii="Times New Roman" w:eastAsia="Times New Roman" w:hAnsi="Times New Roman" w:cs="Times New Roman"/>
                <w:sz w:val="20"/>
                <w:szCs w:val="20"/>
                <w:lang w:eastAsia="en-GB"/>
              </w:rPr>
            </w:pPr>
          </w:p>
        </w:tc>
      </w:tr>
      <w:tr w:rsidR="00142406" w:rsidRPr="00A33AE8" w14:paraId="57292539" w14:textId="77777777" w:rsidTr="006769DA">
        <w:trPr>
          <w:trHeight w:val="151"/>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1BB5F8F"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C4DCB03" w14:textId="00DD1B8C" w:rsidR="00142406" w:rsidRPr="00A33AE8" w:rsidRDefault="00142406" w:rsidP="00884F3B">
            <w:pPr>
              <w:pStyle w:val="ListParagraph"/>
              <w:numPr>
                <w:ilvl w:val="0"/>
                <w:numId w:val="2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 (Draft)</w:t>
            </w:r>
          </w:p>
        </w:tc>
        <w:tc>
          <w:tcPr>
            <w:tcW w:w="222" w:type="dxa"/>
            <w:vAlign w:val="center"/>
            <w:hideMark/>
          </w:tcPr>
          <w:p w14:paraId="7F7218AA" w14:textId="77777777" w:rsidR="00142406" w:rsidRPr="00A33AE8" w:rsidRDefault="00142406" w:rsidP="006769DA">
            <w:pPr>
              <w:spacing w:after="0" w:line="240" w:lineRule="auto"/>
              <w:rPr>
                <w:rFonts w:ascii="Times New Roman" w:eastAsia="Times New Roman" w:hAnsi="Times New Roman" w:cs="Times New Roman"/>
                <w:sz w:val="20"/>
                <w:szCs w:val="20"/>
                <w:lang w:eastAsia="en-GB"/>
              </w:rPr>
            </w:pPr>
          </w:p>
        </w:tc>
      </w:tr>
      <w:tr w:rsidR="00142406" w:rsidRPr="00A33AE8" w14:paraId="424D5E02"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085D219"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8D9F37C" w14:textId="77777777" w:rsidR="00142406" w:rsidRPr="00A33AE8" w:rsidRDefault="008E28CD"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1,494</w:t>
            </w:r>
            <w:r w:rsidR="005B7FFC" w:rsidRPr="00A33AE8">
              <w:rPr>
                <w:rFonts w:ascii="Calibri Light" w:eastAsia="Times New Roman" w:hAnsi="Calibri Light" w:cs="Calibri Light"/>
                <w:color w:val="000000"/>
                <w:sz w:val="20"/>
                <w:szCs w:val="20"/>
                <w:lang w:eastAsia="en-GB"/>
              </w:rPr>
              <w:t xml:space="preserve"> </w:t>
            </w:r>
            <w:r w:rsidR="00142406" w:rsidRPr="00A33AE8">
              <w:rPr>
                <w:rFonts w:ascii="Calibri Light" w:eastAsia="Times New Roman" w:hAnsi="Calibri Light" w:cs="Calibri Light"/>
                <w:color w:val="000000"/>
                <w:sz w:val="20"/>
                <w:szCs w:val="20"/>
                <w:lang w:eastAsia="en-GB"/>
              </w:rPr>
              <w:t>M€</w:t>
            </w:r>
          </w:p>
        </w:tc>
        <w:tc>
          <w:tcPr>
            <w:tcW w:w="222" w:type="dxa"/>
            <w:vAlign w:val="center"/>
            <w:hideMark/>
          </w:tcPr>
          <w:p w14:paraId="2C5E8CD4" w14:textId="77777777" w:rsidR="00142406" w:rsidRPr="00A33AE8" w:rsidRDefault="00142406" w:rsidP="006769DA">
            <w:pPr>
              <w:spacing w:after="0" w:line="240" w:lineRule="auto"/>
              <w:rPr>
                <w:rFonts w:ascii="Times New Roman" w:eastAsia="Times New Roman" w:hAnsi="Times New Roman" w:cs="Times New Roman"/>
                <w:sz w:val="20"/>
                <w:szCs w:val="20"/>
                <w:lang w:eastAsia="en-GB"/>
              </w:rPr>
            </w:pPr>
          </w:p>
        </w:tc>
      </w:tr>
      <w:tr w:rsidR="00142406" w:rsidRPr="00A33AE8" w14:paraId="46FFD36D"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D1C4706" w14:textId="77777777" w:rsidR="00142406" w:rsidRPr="00A33AE8" w:rsidRDefault="0014240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0DD71EB" w14:textId="77777777" w:rsidR="00142406"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3A681BD0" w14:textId="77777777" w:rsidR="00142406" w:rsidRPr="00A33AE8" w:rsidRDefault="00142406" w:rsidP="006769DA">
            <w:pPr>
              <w:spacing w:after="0" w:line="240" w:lineRule="auto"/>
              <w:rPr>
                <w:rFonts w:ascii="Times New Roman" w:eastAsia="Times New Roman" w:hAnsi="Times New Roman" w:cs="Times New Roman"/>
                <w:sz w:val="20"/>
                <w:szCs w:val="20"/>
                <w:lang w:eastAsia="en-GB"/>
              </w:rPr>
            </w:pPr>
          </w:p>
        </w:tc>
      </w:tr>
    </w:tbl>
    <w:p w14:paraId="5F5EE6C5"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251"/>
        <w:gridCol w:w="1170"/>
        <w:gridCol w:w="931"/>
        <w:gridCol w:w="4106"/>
        <w:gridCol w:w="222"/>
      </w:tblGrid>
      <w:tr w:rsidR="00B63E46" w:rsidRPr="00A33AE8" w14:paraId="24D7B44C" w14:textId="77777777" w:rsidTr="00F350BD">
        <w:trPr>
          <w:gridAfter w:val="1"/>
          <w:wAfter w:w="222" w:type="dxa"/>
          <w:trHeight w:val="780"/>
        </w:trPr>
        <w:tc>
          <w:tcPr>
            <w:tcW w:w="325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6C7FC2A"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70" w:type="dxa"/>
            <w:tcBorders>
              <w:top w:val="single" w:sz="8" w:space="0" w:color="auto"/>
              <w:left w:val="nil"/>
              <w:bottom w:val="single" w:sz="8" w:space="0" w:color="auto"/>
              <w:right w:val="single" w:sz="8" w:space="0" w:color="auto"/>
            </w:tcBorders>
            <w:shd w:val="clear" w:color="auto" w:fill="E7E6E6" w:themeFill="background2"/>
            <w:vAlign w:val="center"/>
            <w:hideMark/>
          </w:tcPr>
          <w:p w14:paraId="5121C6FA"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PM_EE28</w:t>
            </w:r>
          </w:p>
        </w:tc>
        <w:tc>
          <w:tcPr>
            <w:tcW w:w="931" w:type="dxa"/>
            <w:tcBorders>
              <w:top w:val="single" w:sz="8" w:space="0" w:color="auto"/>
              <w:left w:val="nil"/>
              <w:bottom w:val="single" w:sz="8" w:space="0" w:color="auto"/>
              <w:right w:val="single" w:sz="8" w:space="0" w:color="auto"/>
            </w:tcBorders>
            <w:shd w:val="clear" w:color="000000" w:fill="244062"/>
            <w:vAlign w:val="center"/>
            <w:hideMark/>
          </w:tcPr>
          <w:p w14:paraId="17DB37FE"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FFFD693" w14:textId="77777777" w:rsidR="00B63E46" w:rsidRPr="00A33AE8" w:rsidRDefault="00B63E46"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Mandatory conduction of energy audits and development of energy management systems</w:t>
            </w:r>
          </w:p>
        </w:tc>
      </w:tr>
      <w:tr w:rsidR="00B63E46" w:rsidRPr="00A33AE8" w14:paraId="63E7FBF2" w14:textId="77777777" w:rsidTr="00F350BD">
        <w:trPr>
          <w:gridAfter w:val="1"/>
          <w:wAfter w:w="222" w:type="dxa"/>
          <w:trHeight w:val="625"/>
        </w:trPr>
        <w:tc>
          <w:tcPr>
            <w:tcW w:w="3251" w:type="dxa"/>
            <w:tcBorders>
              <w:top w:val="nil"/>
              <w:left w:val="single" w:sz="8" w:space="0" w:color="auto"/>
              <w:bottom w:val="single" w:sz="8" w:space="0" w:color="auto"/>
              <w:right w:val="nil"/>
            </w:tcBorders>
            <w:shd w:val="clear" w:color="000000" w:fill="244062"/>
            <w:vAlign w:val="center"/>
            <w:hideMark/>
          </w:tcPr>
          <w:p w14:paraId="022C9ADC"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043D95D5" w14:textId="3D768C9F" w:rsidR="00B63E46"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8E28CD"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49A9D0CA" w14:textId="77777777" w:rsidR="00B63E46" w:rsidRPr="00A33AE8" w:rsidRDefault="00B63E46" w:rsidP="00884F3B">
            <w:pPr>
              <w:pStyle w:val="ListParagraph"/>
              <w:numPr>
                <w:ilvl w:val="0"/>
                <w:numId w:val="15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12BBC000" w14:textId="77777777" w:rsidR="00B63E46" w:rsidRPr="00A33AE8" w:rsidRDefault="00B63E46" w:rsidP="00884F3B">
            <w:pPr>
              <w:pStyle w:val="ListParagraph"/>
              <w:numPr>
                <w:ilvl w:val="0"/>
                <w:numId w:val="15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p w14:paraId="47C17666" w14:textId="77777777" w:rsidR="002345D3" w:rsidRPr="00A33AE8" w:rsidRDefault="002345D3" w:rsidP="00884F3B">
            <w:pPr>
              <w:pStyle w:val="ListParagraph"/>
              <w:numPr>
                <w:ilvl w:val="0"/>
                <w:numId w:val="15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8</w:t>
            </w:r>
          </w:p>
        </w:tc>
      </w:tr>
      <w:tr w:rsidR="00B63E46" w:rsidRPr="00A33AE8" w14:paraId="297A7AB1" w14:textId="77777777" w:rsidTr="00F350BD">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55B96B6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455A04E4"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2345D3" w:rsidRPr="00A33AE8">
              <w:rPr>
                <w:rFonts w:ascii="Calibri Light" w:eastAsia="Times New Roman" w:hAnsi="Calibri Light" w:cs="Calibri Light"/>
                <w:color w:val="000000"/>
                <w:sz w:val="20"/>
                <w:szCs w:val="20"/>
                <w:lang w:eastAsia="en-GB"/>
              </w:rPr>
              <w:t>fulfilling the expected final energy consumption levels</w:t>
            </w:r>
          </w:p>
        </w:tc>
      </w:tr>
      <w:tr w:rsidR="008B48AC" w:rsidRPr="00A33AE8" w14:paraId="25D4A46B" w14:textId="77777777" w:rsidTr="005B2C66">
        <w:trPr>
          <w:gridAfter w:val="1"/>
          <w:wAfter w:w="222" w:type="dxa"/>
          <w:trHeight w:val="559"/>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5AC1A64D"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5215B52F" w14:textId="77777777" w:rsidR="008B48AC" w:rsidRPr="00A33AE8" w:rsidRDefault="008B48AC" w:rsidP="008B48AC">
            <w:pPr>
              <w:spacing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PM_EE28 will foresee the continuation of the mandatory development of energy management systems and the conduction of energy audits to the </w:t>
            </w:r>
            <w:r w:rsidRPr="000007D2">
              <w:rPr>
                <w:rFonts w:ascii="Calibri Light" w:eastAsia="Times New Roman" w:hAnsi="Calibri Light" w:cs="Calibri Light"/>
                <w:color w:val="000000"/>
                <w:sz w:val="20"/>
                <w:szCs w:val="20"/>
                <w:lang w:eastAsia="en-GB"/>
              </w:rPr>
              <w:t>obligated parties for Energy Management System (</w:t>
            </w:r>
            <w:r w:rsidRPr="00A33AE8">
              <w:rPr>
                <w:rFonts w:ascii="Calibri Light" w:eastAsia="Times New Roman" w:hAnsi="Calibri Light" w:cs="Calibri Light"/>
                <w:color w:val="000000"/>
                <w:sz w:val="20"/>
                <w:szCs w:val="20"/>
                <w:lang w:eastAsia="en-GB"/>
              </w:rPr>
              <w:t xml:space="preserve">e.g. </w:t>
            </w:r>
            <w:r w:rsidRPr="000007D2">
              <w:rPr>
                <w:rFonts w:ascii="Calibri Light" w:eastAsia="Times New Roman" w:hAnsi="Calibri Light" w:cs="Calibri Light"/>
                <w:color w:val="000000"/>
                <w:sz w:val="20"/>
                <w:szCs w:val="20"/>
                <w:lang w:eastAsia="en-GB"/>
              </w:rPr>
              <w:t>big energy consumers from industrial and commercial sector, as well as public sector)</w:t>
            </w:r>
            <w:r w:rsidRPr="00A33AE8">
              <w:rPr>
                <w:rFonts w:ascii="Calibri Light" w:eastAsia="Times New Roman" w:hAnsi="Calibri Light" w:cs="Calibri Light"/>
                <w:color w:val="000000"/>
                <w:sz w:val="20"/>
                <w:szCs w:val="20"/>
                <w:lang w:eastAsia="en-GB"/>
              </w:rPr>
              <w:t xml:space="preserve">. The potential expansion of the measure to additional designated parties will be scrutinized </w:t>
            </w:r>
            <w:r w:rsidR="00790720" w:rsidRPr="00A33AE8">
              <w:rPr>
                <w:rFonts w:ascii="Calibri Light" w:eastAsia="Times New Roman" w:hAnsi="Calibri Light" w:cs="Calibri Light"/>
                <w:color w:val="000000"/>
                <w:sz w:val="20"/>
                <w:szCs w:val="20"/>
                <w:lang w:eastAsia="en-GB"/>
              </w:rPr>
              <w:t>including</w:t>
            </w:r>
            <w:r w:rsidRPr="00A33AE8">
              <w:rPr>
                <w:rFonts w:ascii="Calibri Light" w:eastAsia="Times New Roman" w:hAnsi="Calibri Light" w:cs="Calibri Light"/>
                <w:color w:val="000000"/>
                <w:sz w:val="20"/>
                <w:szCs w:val="20"/>
                <w:lang w:eastAsia="en-GB"/>
              </w:rPr>
              <w:t xml:space="preserve"> the application of Directive </w:t>
            </w:r>
            <w:r w:rsidR="008E28CD" w:rsidRPr="00A33AE8">
              <w:rPr>
                <w:rFonts w:ascii="Calibri Light" w:eastAsia="Times New Roman" w:hAnsi="Calibri Light" w:cs="Calibri Light"/>
                <w:color w:val="000000"/>
                <w:sz w:val="20"/>
                <w:szCs w:val="20"/>
                <w:lang w:eastAsia="en-GB"/>
              </w:rPr>
              <w:t>(</w:t>
            </w:r>
            <w:r w:rsidRPr="00A33AE8">
              <w:rPr>
                <w:rFonts w:ascii="Calibri Light" w:eastAsia="Times New Roman" w:hAnsi="Calibri Light" w:cs="Calibri Light"/>
                <w:color w:val="000000"/>
                <w:sz w:val="20"/>
                <w:szCs w:val="20"/>
                <w:lang w:eastAsia="en-GB"/>
              </w:rPr>
              <w:t>EU</w:t>
            </w:r>
            <w:r w:rsidR="008E28CD"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2012/27 requirements in regards to the energy audits implementation. The aim of the measure is the identification of the most cost-effective energy efficiency interventions, while their financing will be aligned with the planned support scheme. In the following period, </w:t>
            </w:r>
            <w:r w:rsidRPr="000007D2">
              <w:rPr>
                <w:rFonts w:ascii="Calibri Light" w:eastAsia="Times New Roman" w:hAnsi="Calibri Light" w:cs="Calibri Light"/>
                <w:color w:val="000000"/>
                <w:sz w:val="20"/>
                <w:szCs w:val="20"/>
                <w:lang w:eastAsia="en-GB"/>
              </w:rPr>
              <w:t xml:space="preserve">obligated parties for developing Energy Management System will have to appoint the required number of energy managers and plan/implement measures to reduce energy consumption in accordance with the requirements set by the Government, as well as to report to the Ministry on the implemented measures. If necessary, in the coming period the regulatory framework for the implementation of the Energy Management System will be improved. In order to monitor the implementation of the implemented measures, the Ministry of Mining and Energy will ensure the operation of the necessary </w:t>
            </w:r>
            <w:r w:rsidRPr="000007D2">
              <w:rPr>
                <w:rFonts w:ascii="Calibri Light" w:eastAsia="Times New Roman" w:hAnsi="Calibri Light" w:cs="Calibri Light"/>
                <w:color w:val="000000"/>
                <w:sz w:val="20"/>
                <w:szCs w:val="20"/>
                <w:lang w:eastAsia="en-GB"/>
              </w:rPr>
              <w:lastRenderedPageBreak/>
              <w:t>information systems.</w:t>
            </w:r>
            <w:r w:rsidR="002345D3" w:rsidRPr="00A33AE8">
              <w:rPr>
                <w:rFonts w:ascii="Calibri Light" w:eastAsia="Times New Roman" w:hAnsi="Calibri Light" w:cs="Calibri Light"/>
                <w:color w:val="000000"/>
                <w:sz w:val="20"/>
                <w:szCs w:val="20"/>
                <w:lang w:eastAsia="en-GB"/>
              </w:rPr>
              <w:t xml:space="preserve"> Finally, the appointment of energy managers will be mandatory for the public and municipal buildings facilitating among other duties the monitoring of the final energy consumption, the identification of the most-cost effective energy efficiency interventions, the surveillance of the implemented works for the energy renovation of the buildings and the development of energy management systems.</w:t>
            </w:r>
          </w:p>
        </w:tc>
      </w:tr>
      <w:tr w:rsidR="00B63E46" w:rsidRPr="00A33AE8" w14:paraId="2ADB051E" w14:textId="77777777" w:rsidTr="00F350BD">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69B45644"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465E4DC9" w14:textId="77777777" w:rsidR="00B63E46" w:rsidRPr="00A33AE8" w:rsidRDefault="008E28C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8B48AC" w:rsidRPr="00A33AE8" w14:paraId="31585902" w14:textId="77777777" w:rsidTr="00F350BD">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2F60155C"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14202C83"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Reform </w:t>
            </w:r>
            <w:r w:rsidR="002345D3" w:rsidRPr="00A33AE8">
              <w:rPr>
                <w:rFonts w:ascii="Calibri Light" w:eastAsia="Times New Roman" w:hAnsi="Calibri Light" w:cs="Calibri Light"/>
                <w:color w:val="000000"/>
                <w:sz w:val="20"/>
                <w:szCs w:val="20"/>
                <w:lang w:eastAsia="en-GB"/>
              </w:rPr>
              <w:t>and</w:t>
            </w:r>
            <w:r w:rsidRPr="00A33AE8">
              <w:rPr>
                <w:rFonts w:ascii="Calibri Light" w:eastAsia="Times New Roman" w:hAnsi="Calibri Light" w:cs="Calibri Light"/>
                <w:color w:val="000000"/>
                <w:sz w:val="20"/>
                <w:szCs w:val="20"/>
                <w:lang w:eastAsia="en-GB"/>
              </w:rPr>
              <w:t xml:space="preserve"> Investment</w:t>
            </w:r>
          </w:p>
        </w:tc>
      </w:tr>
      <w:tr w:rsidR="008B48AC" w:rsidRPr="00A33AE8" w14:paraId="46D84E6D" w14:textId="77777777" w:rsidTr="00F350BD">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255B7D24"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41DC98A2"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Public, commercial, industrial</w:t>
            </w:r>
          </w:p>
        </w:tc>
      </w:tr>
      <w:tr w:rsidR="008B48AC" w:rsidRPr="00A33AE8" w14:paraId="5FBD5347" w14:textId="77777777" w:rsidTr="00F350BD">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734581B0"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4C8D31D3"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B48AC" w:rsidRPr="00A33AE8" w14:paraId="20DDAC72" w14:textId="77777777" w:rsidTr="00F350BD">
        <w:trPr>
          <w:gridAfter w:val="1"/>
          <w:wAfter w:w="222" w:type="dxa"/>
          <w:trHeight w:val="315"/>
        </w:trPr>
        <w:tc>
          <w:tcPr>
            <w:tcW w:w="3251" w:type="dxa"/>
            <w:tcBorders>
              <w:top w:val="nil"/>
              <w:left w:val="single" w:sz="8" w:space="0" w:color="auto"/>
              <w:bottom w:val="single" w:sz="8" w:space="0" w:color="auto"/>
              <w:right w:val="nil"/>
            </w:tcBorders>
            <w:shd w:val="clear" w:color="000000" w:fill="244062"/>
            <w:vAlign w:val="center"/>
            <w:hideMark/>
          </w:tcPr>
          <w:p w14:paraId="7D30ACA5"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4F5C3EAF" w14:textId="77777777" w:rsidR="008B48AC" w:rsidRPr="00A33AE8" w:rsidRDefault="007F6DDA"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7F6DDA">
              <w:rPr>
                <w:rFonts w:ascii="Calibri Light" w:eastAsia="Times New Roman" w:hAnsi="Calibri Light" w:cs="Calibri Light"/>
                <w:color w:val="000000"/>
                <w:sz w:val="20"/>
                <w:szCs w:val="20"/>
                <w:lang w:eastAsia="en-GB"/>
              </w:rPr>
              <w:t>Government of the Republic of Serbia</w:t>
            </w:r>
          </w:p>
        </w:tc>
      </w:tr>
      <w:tr w:rsidR="008B48AC" w:rsidRPr="00A33AE8" w14:paraId="4A719E3F" w14:textId="77777777" w:rsidTr="00F350BD">
        <w:trPr>
          <w:gridAfter w:val="1"/>
          <w:wAfter w:w="222" w:type="dxa"/>
          <w:trHeight w:val="315"/>
        </w:trPr>
        <w:tc>
          <w:tcPr>
            <w:tcW w:w="3251" w:type="dxa"/>
            <w:tcBorders>
              <w:top w:val="nil"/>
              <w:left w:val="single" w:sz="8" w:space="0" w:color="auto"/>
              <w:bottom w:val="single" w:sz="8" w:space="0" w:color="auto"/>
              <w:right w:val="nil"/>
            </w:tcBorders>
            <w:shd w:val="clear" w:color="000000" w:fill="244062"/>
            <w:vAlign w:val="center"/>
            <w:hideMark/>
          </w:tcPr>
          <w:p w14:paraId="732D6854"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30085355"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conducted energy audits</w:t>
            </w:r>
          </w:p>
        </w:tc>
      </w:tr>
      <w:tr w:rsidR="008B48AC" w:rsidRPr="00A33AE8" w14:paraId="1DA3E2F1" w14:textId="77777777" w:rsidTr="00F350BD">
        <w:trPr>
          <w:gridAfter w:val="1"/>
          <w:wAfter w:w="222" w:type="dxa"/>
          <w:trHeight w:val="42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03D0C3D6"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7AF5A043" w14:textId="77777777" w:rsidR="007F6DDA" w:rsidRPr="007F6DDA"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F6DDA" w:rsidRPr="007F6DDA">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3C121B08" w14:textId="77777777" w:rsidR="008B48AC" w:rsidRPr="00A33AE8" w:rsidRDefault="007F6DDA"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7F6DDA">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8B48AC" w:rsidRPr="00A33AE8" w14:paraId="7C35520D" w14:textId="77777777" w:rsidTr="00F350BD">
        <w:trPr>
          <w:gridAfter w:val="1"/>
          <w:wAfter w:w="222" w:type="dxa"/>
          <w:trHeight w:val="450"/>
        </w:trPr>
        <w:tc>
          <w:tcPr>
            <w:tcW w:w="325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345F3A5"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A0CE58"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3D18D1CC"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8B48AC" w:rsidRPr="00A33AE8" w14:paraId="594B1FEB" w14:textId="77777777" w:rsidTr="00F350BD">
        <w:trPr>
          <w:trHeight w:val="300"/>
        </w:trPr>
        <w:tc>
          <w:tcPr>
            <w:tcW w:w="3251" w:type="dxa"/>
            <w:vMerge/>
            <w:tcBorders>
              <w:top w:val="nil"/>
              <w:left w:val="single" w:sz="8" w:space="0" w:color="auto"/>
              <w:bottom w:val="single" w:sz="8" w:space="0" w:color="000000"/>
              <w:right w:val="single" w:sz="8" w:space="0" w:color="auto"/>
            </w:tcBorders>
            <w:vAlign w:val="center"/>
            <w:hideMark/>
          </w:tcPr>
          <w:p w14:paraId="2499BFD9"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p>
        </w:tc>
        <w:tc>
          <w:tcPr>
            <w:tcW w:w="6207" w:type="dxa"/>
            <w:gridSpan w:val="3"/>
            <w:vMerge/>
            <w:tcBorders>
              <w:top w:val="single" w:sz="8" w:space="0" w:color="auto"/>
              <w:left w:val="single" w:sz="8" w:space="0" w:color="auto"/>
              <w:bottom w:val="single" w:sz="8" w:space="0" w:color="000000"/>
              <w:right w:val="single" w:sz="8" w:space="0" w:color="000000"/>
            </w:tcBorders>
            <w:vAlign w:val="center"/>
            <w:hideMark/>
          </w:tcPr>
          <w:p w14:paraId="3961BCE0"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597BD6E"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p>
        </w:tc>
      </w:tr>
      <w:tr w:rsidR="008B48AC" w:rsidRPr="00A33AE8" w14:paraId="2032F85D" w14:textId="77777777" w:rsidTr="00F350BD">
        <w:trPr>
          <w:trHeight w:val="60"/>
        </w:trPr>
        <w:tc>
          <w:tcPr>
            <w:tcW w:w="3251" w:type="dxa"/>
            <w:vMerge/>
            <w:tcBorders>
              <w:top w:val="nil"/>
              <w:left w:val="single" w:sz="8" w:space="0" w:color="auto"/>
              <w:bottom w:val="single" w:sz="8" w:space="0" w:color="000000"/>
              <w:right w:val="single" w:sz="8" w:space="0" w:color="auto"/>
            </w:tcBorders>
            <w:vAlign w:val="center"/>
            <w:hideMark/>
          </w:tcPr>
          <w:p w14:paraId="3214570F"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p>
        </w:tc>
        <w:tc>
          <w:tcPr>
            <w:tcW w:w="6207" w:type="dxa"/>
            <w:gridSpan w:val="3"/>
            <w:vMerge/>
            <w:tcBorders>
              <w:top w:val="single" w:sz="8" w:space="0" w:color="auto"/>
              <w:left w:val="single" w:sz="8" w:space="0" w:color="auto"/>
              <w:bottom w:val="single" w:sz="8" w:space="0" w:color="000000"/>
              <w:right w:val="single" w:sz="8" w:space="0" w:color="000000"/>
            </w:tcBorders>
            <w:vAlign w:val="center"/>
            <w:hideMark/>
          </w:tcPr>
          <w:p w14:paraId="515CA860"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AB4411D"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r w:rsidR="008B48AC" w:rsidRPr="00A33AE8" w14:paraId="027166B5" w14:textId="77777777" w:rsidTr="00F350BD">
        <w:trPr>
          <w:trHeight w:val="600"/>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5E6EC0CE"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59E78171"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215DA764" w14:textId="77777777" w:rsidR="008B48AC" w:rsidRPr="00A33AE8" w:rsidRDefault="008B48AC" w:rsidP="00884F3B">
            <w:pPr>
              <w:pStyle w:val="ListParagraph"/>
              <w:numPr>
                <w:ilvl w:val="0"/>
                <w:numId w:val="16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tc>
        <w:tc>
          <w:tcPr>
            <w:tcW w:w="222" w:type="dxa"/>
            <w:vAlign w:val="center"/>
            <w:hideMark/>
          </w:tcPr>
          <w:p w14:paraId="20EB6AEA"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r w:rsidR="008B48AC" w:rsidRPr="00A33AE8" w14:paraId="0546F6E7" w14:textId="77777777" w:rsidTr="00F350BD">
        <w:trPr>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537DDD1C"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1E984D39" w14:textId="77777777" w:rsidR="008B48AC" w:rsidRPr="00A33AE8" w:rsidRDefault="008B48AC" w:rsidP="008B48AC">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all end-use measures</w:t>
            </w:r>
            <w:r w:rsidR="00C8110B" w:rsidRPr="00A33AE8">
              <w:rPr>
                <w:rFonts w:ascii="Calibri Light" w:eastAsia="Times New Roman" w:hAnsi="Calibri Light" w:cs="Calibri Light"/>
                <w:color w:val="000000"/>
                <w:sz w:val="20"/>
                <w:szCs w:val="20"/>
                <w:lang w:eastAsia="en-GB"/>
              </w:rPr>
              <w:t xml:space="preserve"> – savings under consideration</w:t>
            </w:r>
          </w:p>
        </w:tc>
        <w:tc>
          <w:tcPr>
            <w:tcW w:w="222" w:type="dxa"/>
            <w:vAlign w:val="center"/>
            <w:hideMark/>
          </w:tcPr>
          <w:p w14:paraId="53D74A37"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r w:rsidR="008B48AC" w:rsidRPr="00A33AE8" w14:paraId="4E88F1C0" w14:textId="77777777" w:rsidTr="00F350BD">
        <w:trPr>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0E7AA402"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11F29B06" w14:textId="77777777" w:rsidR="008B48AC" w:rsidRPr="00A33AE8" w:rsidRDefault="008B48AC" w:rsidP="008B48AC">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2331F4CC"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bl>
    <w:p w14:paraId="76AF4311"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7"/>
        <w:gridCol w:w="986"/>
        <w:gridCol w:w="943"/>
        <w:gridCol w:w="4212"/>
        <w:gridCol w:w="222"/>
      </w:tblGrid>
      <w:tr w:rsidR="00B63E46" w:rsidRPr="00A33AE8" w14:paraId="66582922"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CACC7BB"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B7721C8"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PM_EE29</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3457CF1F"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2" w:type="dxa"/>
            <w:tcBorders>
              <w:top w:val="single" w:sz="8" w:space="0" w:color="auto"/>
              <w:left w:val="nil"/>
              <w:bottom w:val="single" w:sz="8" w:space="0" w:color="auto"/>
              <w:right w:val="single" w:sz="8" w:space="0" w:color="auto"/>
            </w:tcBorders>
            <w:shd w:val="clear" w:color="auto" w:fill="E7E6E6" w:themeFill="background2"/>
            <w:vAlign w:val="center"/>
            <w:hideMark/>
          </w:tcPr>
          <w:p w14:paraId="27B1AD75"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audits in SMEs and in households</w:t>
            </w:r>
          </w:p>
        </w:tc>
      </w:tr>
      <w:tr w:rsidR="00B63E46" w:rsidRPr="00A33AE8" w14:paraId="7AADEE4E" w14:textId="77777777" w:rsidTr="006769DA">
        <w:trPr>
          <w:gridAfter w:val="1"/>
          <w:wAfter w:w="222" w:type="dxa"/>
          <w:trHeight w:val="525"/>
        </w:trPr>
        <w:tc>
          <w:tcPr>
            <w:tcW w:w="3317" w:type="dxa"/>
            <w:tcBorders>
              <w:top w:val="nil"/>
              <w:left w:val="single" w:sz="8" w:space="0" w:color="auto"/>
              <w:bottom w:val="single" w:sz="8" w:space="0" w:color="auto"/>
              <w:right w:val="nil"/>
            </w:tcBorders>
            <w:shd w:val="clear" w:color="000000" w:fill="244062"/>
            <w:vAlign w:val="center"/>
            <w:hideMark/>
          </w:tcPr>
          <w:p w14:paraId="5F2EF01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6BC998A" w14:textId="07FD8389" w:rsidR="00B63E46" w:rsidRPr="00A33AE8" w:rsidRDefault="008E28C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2C5B030C" w14:textId="77777777" w:rsidR="00B63E46" w:rsidRPr="00A33AE8" w:rsidRDefault="00B63E46" w:rsidP="00884F3B">
            <w:pPr>
              <w:pStyle w:val="ListParagraph"/>
              <w:numPr>
                <w:ilvl w:val="0"/>
                <w:numId w:val="16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3A90BAE0" w14:textId="77777777" w:rsidR="00B63E46" w:rsidRPr="00A33AE8" w:rsidRDefault="00B63E46" w:rsidP="00884F3B">
            <w:pPr>
              <w:pStyle w:val="ListParagraph"/>
              <w:numPr>
                <w:ilvl w:val="0"/>
                <w:numId w:val="16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p w14:paraId="5D5E0335" w14:textId="77777777" w:rsidR="00462B1A" w:rsidRPr="00A33AE8" w:rsidRDefault="00462B1A" w:rsidP="00884F3B">
            <w:pPr>
              <w:pStyle w:val="ListParagraph"/>
              <w:numPr>
                <w:ilvl w:val="0"/>
                <w:numId w:val="16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8</w:t>
            </w:r>
          </w:p>
        </w:tc>
      </w:tr>
      <w:tr w:rsidR="00B63E46" w:rsidRPr="00A33AE8" w14:paraId="27975711"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D9C0F4F"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70435F8"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Contribution to PM_EE1 – PM_EE3</w:t>
            </w:r>
          </w:p>
        </w:tc>
      </w:tr>
      <w:tr w:rsidR="008B48AC" w:rsidRPr="00A33AE8" w14:paraId="6D1D1D69" w14:textId="77777777" w:rsidTr="006769DA">
        <w:trPr>
          <w:gridAfter w:val="1"/>
          <w:wAfter w:w="222" w:type="dxa"/>
          <w:trHeight w:val="1992"/>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3F3F732"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15F3910" w14:textId="77777777" w:rsidR="008B48AC" w:rsidRPr="00A33AE8" w:rsidRDefault="008B48AC" w:rsidP="008B48A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PM_EE29 will </w:t>
            </w:r>
            <w:r w:rsidR="00462B1A" w:rsidRPr="00A33AE8">
              <w:rPr>
                <w:rFonts w:ascii="Calibri Light" w:eastAsia="Times New Roman" w:hAnsi="Calibri Light" w:cs="Calibri Light"/>
                <w:color w:val="000000"/>
                <w:sz w:val="20"/>
                <w:szCs w:val="20"/>
                <w:lang w:eastAsia="en-GB"/>
              </w:rPr>
              <w:t>support financially</w:t>
            </w:r>
            <w:r w:rsidRPr="00A33AE8">
              <w:rPr>
                <w:rFonts w:ascii="Calibri Light" w:eastAsia="Times New Roman" w:hAnsi="Calibri Light" w:cs="Calibri Light"/>
                <w:color w:val="000000"/>
                <w:sz w:val="20"/>
                <w:szCs w:val="20"/>
                <w:lang w:eastAsia="en-GB"/>
              </w:rPr>
              <w:t xml:space="preserve"> the conduction of energy audits in all final energy consumption sectors including SMEs and households will be fostered. Especially for the case of households, a pilot program will be launched covering the implementation cost in order to increase their awareness and to promote their further conduction according to the provisions of the EED. A similar program can be initiated also for the case of SMEs covering partly the implementation cost. Furthermore, the derived recommendations can be supported either through the provision of financial aid.</w:t>
            </w:r>
          </w:p>
        </w:tc>
      </w:tr>
      <w:tr w:rsidR="00B63E46" w:rsidRPr="00A33AE8" w14:paraId="00F932EF"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0FE361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36CD377" w14:textId="77777777" w:rsidR="00B63E46" w:rsidRPr="00A33AE8" w:rsidRDefault="008E28C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64511664"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3239EDD"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8926C4A" w14:textId="77777777" w:rsidR="00B63E46" w:rsidRPr="00A33AE8" w:rsidRDefault="00462B1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B63E46" w:rsidRPr="00A33AE8" w14:paraId="685946C9"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5D4ED6C"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4A4FBB6"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Commercial, residential</w:t>
            </w:r>
          </w:p>
        </w:tc>
      </w:tr>
      <w:tr w:rsidR="00B63E46" w:rsidRPr="00A33AE8" w14:paraId="3EA6A492"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3FD8CC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10E5627" w14:textId="77777777" w:rsidR="00B63E46" w:rsidRPr="00A33AE8" w:rsidRDefault="00C100B8"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4E0C0849" w14:textId="77777777" w:rsidR="00B25A56" w:rsidRPr="00A33AE8" w:rsidRDefault="008E28CD"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lastRenderedPageBreak/>
              <w:t>Ministry of Construction, Transport and Infrastructure</w:t>
            </w:r>
          </w:p>
        </w:tc>
      </w:tr>
      <w:tr w:rsidR="00B63E46" w:rsidRPr="00A33AE8" w14:paraId="3DC0F217"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1A045CE4"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46C673A" w14:textId="77777777" w:rsidR="00B63E46" w:rsidRPr="00A33AE8" w:rsidRDefault="0046245E"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46245E">
              <w:rPr>
                <w:rFonts w:ascii="Calibri Light" w:eastAsia="Times New Roman" w:hAnsi="Calibri Light" w:cs="Calibri Light"/>
                <w:color w:val="000000"/>
                <w:sz w:val="20"/>
                <w:szCs w:val="20"/>
                <w:lang w:eastAsia="en-GB"/>
              </w:rPr>
              <w:t>Government of the Republic of Serbia</w:t>
            </w:r>
          </w:p>
        </w:tc>
      </w:tr>
      <w:tr w:rsidR="00B63E46" w:rsidRPr="00A33AE8" w14:paraId="3DE716CF"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2E1423E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5B28D64" w14:textId="77777777" w:rsidR="00B63E46" w:rsidRPr="000007D2" w:rsidRDefault="00253B22"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conducted energy audits</w:t>
            </w:r>
          </w:p>
        </w:tc>
      </w:tr>
      <w:tr w:rsidR="006C6A30" w:rsidRPr="00A33AE8" w14:paraId="4807CD71" w14:textId="77777777" w:rsidTr="006769DA">
        <w:trPr>
          <w:gridAfter w:val="1"/>
          <w:wAfter w:w="222" w:type="dxa"/>
          <w:trHeight w:val="429"/>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562E91A"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E95657C" w14:textId="77777777" w:rsidR="0046245E" w:rsidRPr="0046245E" w:rsidRDefault="006C6A30"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46245E" w:rsidRPr="0046245E">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6463141F" w14:textId="77777777" w:rsidR="006C6A30" w:rsidRPr="00A33AE8" w:rsidRDefault="0046245E"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46245E">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63E46" w:rsidRPr="00A33AE8" w14:paraId="012105B8"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E613C4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3520334" w14:textId="77777777" w:rsidR="00B63E46" w:rsidRPr="00A33AE8" w:rsidRDefault="00B63E46"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C51972B" w14:textId="77777777" w:rsidR="00B63E46" w:rsidRPr="00A33AE8" w:rsidRDefault="00B63E46"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8E28CD"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B63E46" w:rsidRPr="00A33AE8" w14:paraId="2DC936F1"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6AE5270D"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74181B4D" w14:textId="77777777" w:rsidR="00B63E46" w:rsidRPr="00A33AE8" w:rsidRDefault="00B63E46"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BDC4ED5"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42EE55F2"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1B4D952B"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0A604F64" w14:textId="77777777" w:rsidR="00B63E46" w:rsidRPr="00A33AE8" w:rsidRDefault="00B63E46"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BD26EB8"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626C4113" w14:textId="77777777" w:rsidTr="006769DA">
        <w:trPr>
          <w:trHeight w:val="462"/>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C63FB3B"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2A9E9DD" w14:textId="77777777" w:rsidR="00047A39" w:rsidRPr="00A33AE8" w:rsidRDefault="00047A39"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Law on Energy </w:t>
            </w:r>
            <w:r w:rsidR="00081D7A" w:rsidRPr="00A33AE8">
              <w:rPr>
                <w:rFonts w:ascii="Calibri Light" w:eastAsia="Times New Roman" w:hAnsi="Calibri Light" w:cs="Calibri Light"/>
                <w:color w:val="000000"/>
                <w:sz w:val="20"/>
                <w:szCs w:val="20"/>
                <w:lang w:eastAsia="en-GB"/>
              </w:rPr>
              <w:t>Efficiency</w:t>
            </w:r>
            <w:r w:rsidRPr="00A33AE8">
              <w:rPr>
                <w:rFonts w:ascii="Calibri Light" w:eastAsia="Times New Roman" w:hAnsi="Calibri Light" w:cs="Calibri Light"/>
                <w:color w:val="000000"/>
                <w:sz w:val="20"/>
                <w:szCs w:val="20"/>
                <w:lang w:eastAsia="en-GB"/>
              </w:rPr>
              <w:t xml:space="preserve"> and Rational Use of Energy</w:t>
            </w:r>
          </w:p>
          <w:p w14:paraId="3B7D9E8C" w14:textId="23ABE08F" w:rsidR="00B63E46" w:rsidRPr="00A33AE8" w:rsidRDefault="00B63E46"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5D3843D7" w14:textId="77777777" w:rsidR="00B63E46" w:rsidRPr="00A33AE8" w:rsidRDefault="00B63E46" w:rsidP="00884F3B">
            <w:pPr>
              <w:pStyle w:val="ListParagraph"/>
              <w:numPr>
                <w:ilvl w:val="0"/>
                <w:numId w:val="16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tc>
        <w:tc>
          <w:tcPr>
            <w:tcW w:w="222" w:type="dxa"/>
            <w:vAlign w:val="center"/>
            <w:hideMark/>
          </w:tcPr>
          <w:p w14:paraId="528F66EC"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352169" w:rsidRPr="00A33AE8" w14:paraId="40E7A684"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E0971D5" w14:textId="77777777" w:rsidR="00352169" w:rsidRPr="00A33AE8" w:rsidRDefault="00352169" w:rsidP="003521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B60E2D9" w14:textId="77777777" w:rsidR="00352169" w:rsidRPr="00A33AE8" w:rsidRDefault="00352169" w:rsidP="00352169">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Be integrated into PM_EE1 and PM_EE3</w:t>
            </w:r>
          </w:p>
        </w:tc>
        <w:tc>
          <w:tcPr>
            <w:tcW w:w="222" w:type="dxa"/>
            <w:vAlign w:val="center"/>
            <w:hideMark/>
          </w:tcPr>
          <w:p w14:paraId="4EEBA361" w14:textId="77777777" w:rsidR="00352169" w:rsidRPr="00A33AE8" w:rsidRDefault="00352169" w:rsidP="00352169">
            <w:pPr>
              <w:spacing w:after="0" w:line="240" w:lineRule="auto"/>
              <w:rPr>
                <w:rFonts w:ascii="Times New Roman" w:eastAsia="Times New Roman" w:hAnsi="Times New Roman" w:cs="Times New Roman"/>
                <w:sz w:val="20"/>
                <w:szCs w:val="20"/>
                <w:lang w:eastAsia="en-GB"/>
              </w:rPr>
            </w:pPr>
          </w:p>
        </w:tc>
      </w:tr>
      <w:tr w:rsidR="00B63E46" w:rsidRPr="00A33AE8" w14:paraId="4532CC47"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1EBED7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301F46E" w14:textId="77777777" w:rsidR="00B63E46"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1D0ADFA7"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bl>
    <w:p w14:paraId="48D3ABFD"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8"/>
        <w:gridCol w:w="986"/>
        <w:gridCol w:w="944"/>
        <w:gridCol w:w="4210"/>
        <w:gridCol w:w="222"/>
      </w:tblGrid>
      <w:tr w:rsidR="00B63E46" w:rsidRPr="00A33AE8" w14:paraId="629B03FD" w14:textId="77777777" w:rsidTr="006769DA">
        <w:trPr>
          <w:gridAfter w:val="1"/>
          <w:wAfter w:w="222" w:type="dxa"/>
          <w:trHeight w:val="780"/>
        </w:trPr>
        <w:tc>
          <w:tcPr>
            <w:tcW w:w="331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B79EDD6" w14:textId="13D293DC"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FA61E49"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PM_EE30</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72E48D9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0" w:type="dxa"/>
            <w:tcBorders>
              <w:top w:val="single" w:sz="8" w:space="0" w:color="auto"/>
              <w:left w:val="nil"/>
              <w:bottom w:val="single" w:sz="8" w:space="0" w:color="auto"/>
              <w:right w:val="single" w:sz="8" w:space="0" w:color="auto"/>
            </w:tcBorders>
            <w:shd w:val="clear" w:color="auto" w:fill="E7E6E6" w:themeFill="background2"/>
            <w:vAlign w:val="center"/>
            <w:hideMark/>
          </w:tcPr>
          <w:p w14:paraId="4518C71A"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Financing programs for the energy upgrading of street lighting </w:t>
            </w:r>
          </w:p>
        </w:tc>
      </w:tr>
      <w:tr w:rsidR="00B63E46" w:rsidRPr="00A33AE8" w14:paraId="35C88C56" w14:textId="77777777" w:rsidTr="006769DA">
        <w:trPr>
          <w:gridAfter w:val="1"/>
          <w:wAfter w:w="222" w:type="dxa"/>
          <w:trHeight w:val="496"/>
        </w:trPr>
        <w:tc>
          <w:tcPr>
            <w:tcW w:w="3318" w:type="dxa"/>
            <w:tcBorders>
              <w:top w:val="nil"/>
              <w:left w:val="single" w:sz="8" w:space="0" w:color="auto"/>
              <w:bottom w:val="single" w:sz="8" w:space="0" w:color="auto"/>
              <w:right w:val="nil"/>
            </w:tcBorders>
            <w:shd w:val="clear" w:color="000000" w:fill="244062"/>
            <w:vAlign w:val="center"/>
            <w:hideMark/>
          </w:tcPr>
          <w:p w14:paraId="6FF4EF0D" w14:textId="107F2475"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283C660" w14:textId="78A6658E" w:rsidR="00B63E46" w:rsidRPr="00A33AE8" w:rsidRDefault="008E28CD"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345E2612" w14:textId="77777777" w:rsidR="00B63E46" w:rsidRPr="00A33AE8" w:rsidRDefault="00B63E46" w:rsidP="00884F3B">
            <w:pPr>
              <w:pStyle w:val="ListParagraph"/>
              <w:numPr>
                <w:ilvl w:val="0"/>
                <w:numId w:val="1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1AE7482C" w14:textId="77777777" w:rsidR="00B63E46" w:rsidRPr="00A33AE8" w:rsidRDefault="00B63E46" w:rsidP="00884F3B">
            <w:pPr>
              <w:pStyle w:val="ListParagraph"/>
              <w:numPr>
                <w:ilvl w:val="0"/>
                <w:numId w:val="1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B63E46" w:rsidRPr="00A33AE8" w14:paraId="7685B038"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9BC9C9A" w14:textId="2292FC9D"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3D0A63A"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Final energy savings</w:t>
            </w:r>
            <w:r w:rsidR="00724E68" w:rsidRPr="00A33AE8">
              <w:rPr>
                <w:rFonts w:ascii="Calibri Light" w:eastAsia="Times New Roman" w:hAnsi="Calibri Light" w:cs="Calibri Light"/>
                <w:color w:val="000000"/>
                <w:sz w:val="20"/>
                <w:szCs w:val="20"/>
                <w:lang w:eastAsia="en-GB"/>
              </w:rPr>
              <w:t xml:space="preserve"> (</w:t>
            </w:r>
            <w:r w:rsidR="00C71C70" w:rsidRPr="00A33AE8">
              <w:rPr>
                <w:rFonts w:ascii="Calibri Light" w:eastAsia="Times New Roman" w:hAnsi="Calibri Light" w:cs="Calibri Light"/>
                <w:color w:val="000000"/>
                <w:sz w:val="20"/>
                <w:szCs w:val="20"/>
                <w:lang w:eastAsia="en-GB"/>
              </w:rPr>
              <w:t>17</w:t>
            </w:r>
            <w:r w:rsidR="00AF2909" w:rsidRPr="00A33AE8">
              <w:rPr>
                <w:rFonts w:ascii="Calibri Light" w:eastAsia="Times New Roman" w:hAnsi="Calibri Light" w:cs="Calibri Light"/>
                <w:color w:val="000000"/>
                <w:sz w:val="20"/>
                <w:szCs w:val="20"/>
                <w:lang w:eastAsia="en-GB"/>
              </w:rPr>
              <w:t xml:space="preserve"> ktoe</w:t>
            </w:r>
            <w:r w:rsidR="00724E68" w:rsidRPr="00A33AE8">
              <w:rPr>
                <w:rFonts w:ascii="Calibri Light" w:eastAsia="Times New Roman" w:hAnsi="Calibri Light" w:cs="Calibri Light"/>
                <w:color w:val="000000"/>
                <w:sz w:val="20"/>
                <w:szCs w:val="20"/>
                <w:lang w:eastAsia="en-GB"/>
              </w:rPr>
              <w:t>)</w:t>
            </w:r>
          </w:p>
        </w:tc>
      </w:tr>
      <w:tr w:rsidR="008B48AC" w:rsidRPr="00A33AE8" w14:paraId="6D7041EB" w14:textId="77777777" w:rsidTr="006769DA">
        <w:trPr>
          <w:gridAfter w:val="1"/>
          <w:wAfter w:w="222" w:type="dxa"/>
          <w:trHeight w:val="1012"/>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01C65A8B"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318C4643" w14:textId="77777777" w:rsidR="008B48AC" w:rsidRPr="00A33AE8" w:rsidRDefault="008B48AC" w:rsidP="008B48A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PM_EE30 will facilitate the energy efficiency improvement of the street lighting through </w:t>
            </w:r>
            <w:r w:rsidR="008E28CD" w:rsidRPr="00A33AE8">
              <w:rPr>
                <w:rFonts w:ascii="Calibri Light" w:eastAsia="Times New Roman" w:hAnsi="Calibri Light" w:cs="Calibri Light"/>
                <w:color w:val="000000"/>
                <w:sz w:val="20"/>
                <w:szCs w:val="20"/>
                <w:lang w:eastAsia="en-GB"/>
              </w:rPr>
              <w:t xml:space="preserve">public funds and </w:t>
            </w:r>
            <w:r w:rsidRPr="00A33AE8">
              <w:rPr>
                <w:rFonts w:ascii="Calibri Light" w:eastAsia="Times New Roman" w:hAnsi="Calibri Light" w:cs="Calibri Light"/>
                <w:color w:val="000000"/>
                <w:sz w:val="20"/>
                <w:szCs w:val="20"/>
                <w:lang w:eastAsia="en-GB"/>
              </w:rPr>
              <w:t>specialized financial support schemes, such as low-interest loans and guarantees in conjunction with the activities for the promotion of energy performance contracts within the context of PM_EE26 and when needed through provision of subsidies according to the existing scheme.</w:t>
            </w:r>
          </w:p>
        </w:tc>
      </w:tr>
      <w:tr w:rsidR="00B63E46" w:rsidRPr="00A33AE8" w14:paraId="103DC6EF"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069DD374"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6FC5BF03"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530E9D47"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2D05879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482F20EA"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B63E46" w:rsidRPr="00A33AE8" w14:paraId="1A1F8BCC"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2B498B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1552875C"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Public</w:t>
            </w:r>
          </w:p>
        </w:tc>
      </w:tr>
      <w:tr w:rsidR="00B63E46" w:rsidRPr="00A33AE8" w14:paraId="2D734425" w14:textId="77777777" w:rsidTr="006769DA">
        <w:trPr>
          <w:gridAfter w:val="1"/>
          <w:wAfter w:w="222" w:type="dxa"/>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4742CD8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68D290C6" w14:textId="7BF1C89B" w:rsidR="00C100B8" w:rsidRPr="00A33AE8" w:rsidRDefault="00C100B8"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7108DDA2" w14:textId="77777777" w:rsidR="00C100B8"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ESCO</w:t>
            </w:r>
            <w:r w:rsidR="00C100B8" w:rsidRPr="00A33AE8">
              <w:rPr>
                <w:rFonts w:ascii="Calibri Light" w:eastAsia="Times New Roman" w:hAnsi="Calibri Light" w:cs="Calibri Light"/>
                <w:color w:val="000000"/>
                <w:sz w:val="20"/>
                <w:szCs w:val="20"/>
                <w:lang w:eastAsia="en-GB"/>
              </w:rPr>
              <w:t>s</w:t>
            </w:r>
          </w:p>
          <w:p w14:paraId="7C2B8AA8" w14:textId="77777777" w:rsidR="00B63E46"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Local self-governments</w:t>
            </w:r>
          </w:p>
        </w:tc>
      </w:tr>
      <w:tr w:rsidR="00B63E46" w:rsidRPr="00A33AE8" w14:paraId="73F0B3A7"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3A0A15AF"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FEEB709" w14:textId="77777777" w:rsidR="00B63E46" w:rsidRPr="00A33AE8" w:rsidRDefault="00843F1B"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843F1B">
              <w:rPr>
                <w:rFonts w:ascii="Calibri Light" w:eastAsia="Times New Roman" w:hAnsi="Calibri Light" w:cs="Calibri Light"/>
                <w:color w:val="000000"/>
                <w:sz w:val="20"/>
                <w:szCs w:val="20"/>
                <w:lang w:eastAsia="en-GB"/>
              </w:rPr>
              <w:t>Government of the Republic of Serbia</w:t>
            </w:r>
          </w:p>
        </w:tc>
      </w:tr>
      <w:tr w:rsidR="00B63E46" w:rsidRPr="00A33AE8" w14:paraId="6709B139" w14:textId="77777777" w:rsidTr="006769DA">
        <w:trPr>
          <w:gridAfter w:val="1"/>
          <w:wAfter w:w="222" w:type="dxa"/>
          <w:trHeight w:val="315"/>
        </w:trPr>
        <w:tc>
          <w:tcPr>
            <w:tcW w:w="3318" w:type="dxa"/>
            <w:tcBorders>
              <w:top w:val="nil"/>
              <w:left w:val="single" w:sz="8" w:space="0" w:color="auto"/>
              <w:bottom w:val="single" w:sz="8" w:space="0" w:color="auto"/>
              <w:right w:val="nil"/>
            </w:tcBorders>
            <w:shd w:val="clear" w:color="000000" w:fill="244062"/>
            <w:vAlign w:val="center"/>
            <w:hideMark/>
          </w:tcPr>
          <w:p w14:paraId="7428F04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619688C4" w14:textId="77777777" w:rsidR="00B63E46" w:rsidRPr="00A33AE8" w:rsidRDefault="00253B22"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renovated street lighting systems</w:t>
            </w:r>
          </w:p>
        </w:tc>
      </w:tr>
      <w:tr w:rsidR="006C6A30" w:rsidRPr="00A33AE8" w14:paraId="6594CD40" w14:textId="77777777" w:rsidTr="006769DA">
        <w:trPr>
          <w:gridAfter w:val="1"/>
          <w:wAfter w:w="222" w:type="dxa"/>
          <w:trHeight w:val="520"/>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79E0D8B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41E775E5" w14:textId="77777777" w:rsidR="00843F1B" w:rsidRPr="00843F1B" w:rsidRDefault="006C6A30"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843F1B" w:rsidRPr="00843F1B">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67A2A4AF" w14:textId="77777777" w:rsidR="006C6A30" w:rsidRPr="00A33AE8" w:rsidRDefault="00843F1B"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843F1B">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63E46" w:rsidRPr="00A33AE8" w14:paraId="03957B95" w14:textId="77777777" w:rsidTr="006769DA">
        <w:trPr>
          <w:gridAfter w:val="1"/>
          <w:wAfter w:w="222" w:type="dxa"/>
          <w:trHeight w:val="450"/>
        </w:trPr>
        <w:tc>
          <w:tcPr>
            <w:tcW w:w="331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1892FDDF"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A2223E2" w14:textId="77777777" w:rsidR="00B63E46"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6AC78711" w14:textId="77777777" w:rsidR="00B63E46"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B63E46" w:rsidRPr="00A33AE8" w14:paraId="56E4CDFE" w14:textId="77777777" w:rsidTr="006769DA">
        <w:trPr>
          <w:trHeight w:val="300"/>
        </w:trPr>
        <w:tc>
          <w:tcPr>
            <w:tcW w:w="3318" w:type="dxa"/>
            <w:vMerge/>
            <w:tcBorders>
              <w:top w:val="nil"/>
              <w:left w:val="single" w:sz="8" w:space="0" w:color="auto"/>
              <w:bottom w:val="single" w:sz="8" w:space="0" w:color="000000"/>
              <w:right w:val="single" w:sz="8" w:space="0" w:color="auto"/>
            </w:tcBorders>
            <w:vAlign w:val="center"/>
            <w:hideMark/>
          </w:tcPr>
          <w:p w14:paraId="18B2C5E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1D5E8F9A" w14:textId="77777777" w:rsidR="00B63E46"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FB7BD45"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77F0C96E" w14:textId="77777777" w:rsidTr="006769DA">
        <w:trPr>
          <w:trHeight w:val="60"/>
        </w:trPr>
        <w:tc>
          <w:tcPr>
            <w:tcW w:w="3318" w:type="dxa"/>
            <w:vMerge/>
            <w:tcBorders>
              <w:top w:val="nil"/>
              <w:left w:val="single" w:sz="8" w:space="0" w:color="auto"/>
              <w:bottom w:val="single" w:sz="8" w:space="0" w:color="000000"/>
              <w:right w:val="single" w:sz="8" w:space="0" w:color="auto"/>
            </w:tcBorders>
            <w:vAlign w:val="center"/>
            <w:hideMark/>
          </w:tcPr>
          <w:p w14:paraId="22BF5F8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0" w:type="dxa"/>
            <w:gridSpan w:val="3"/>
            <w:vMerge/>
            <w:tcBorders>
              <w:top w:val="single" w:sz="8" w:space="0" w:color="auto"/>
              <w:left w:val="single" w:sz="8" w:space="0" w:color="auto"/>
              <w:bottom w:val="single" w:sz="8" w:space="0" w:color="000000"/>
              <w:right w:val="single" w:sz="8" w:space="0" w:color="000000"/>
            </w:tcBorders>
            <w:vAlign w:val="center"/>
            <w:hideMark/>
          </w:tcPr>
          <w:p w14:paraId="22C0276B" w14:textId="77777777" w:rsidR="00B63E46"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0B4ECE4"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52121F3D" w14:textId="77777777" w:rsidTr="006769DA">
        <w:trPr>
          <w:trHeight w:val="569"/>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6B6C82A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3CDD776B" w14:textId="05A9DDA5" w:rsidR="00B63E46" w:rsidRPr="00A33AE8" w:rsidRDefault="00B63E46" w:rsidP="00884F3B">
            <w:pPr>
              <w:pStyle w:val="ListParagraph"/>
              <w:numPr>
                <w:ilvl w:val="0"/>
                <w:numId w:val="1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tc>
        <w:tc>
          <w:tcPr>
            <w:tcW w:w="222" w:type="dxa"/>
            <w:vAlign w:val="center"/>
            <w:hideMark/>
          </w:tcPr>
          <w:p w14:paraId="173B1E9D"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15674161"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1C45357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2620C297" w14:textId="77777777" w:rsidR="00B63E46" w:rsidRPr="00A33AE8" w:rsidRDefault="00AF2909"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w:t>
            </w:r>
            <w:r w:rsidR="008475BF" w:rsidRPr="00A33AE8">
              <w:rPr>
                <w:rFonts w:ascii="Calibri Light" w:eastAsia="Times New Roman" w:hAnsi="Calibri Light" w:cs="Calibri Light"/>
                <w:color w:val="000000"/>
                <w:sz w:val="20"/>
                <w:szCs w:val="20"/>
                <w:lang w:eastAsia="en-GB"/>
              </w:rPr>
              <w:t>.</w:t>
            </w:r>
            <w:r w:rsidR="00C71C70" w:rsidRPr="00A33AE8">
              <w:rPr>
                <w:rFonts w:ascii="Calibri Light" w:eastAsia="Times New Roman" w:hAnsi="Calibri Light" w:cs="Calibri Light"/>
                <w:color w:val="000000"/>
                <w:sz w:val="20"/>
                <w:szCs w:val="20"/>
                <w:lang w:eastAsia="en-GB"/>
              </w:rPr>
              <w:t>669 B</w:t>
            </w:r>
            <w:r w:rsidR="00B63E46" w:rsidRPr="00A33AE8">
              <w:rPr>
                <w:rFonts w:ascii="Calibri Light" w:eastAsia="Times New Roman" w:hAnsi="Calibri Light" w:cs="Calibri Light"/>
                <w:color w:val="000000"/>
                <w:sz w:val="20"/>
                <w:szCs w:val="20"/>
                <w:lang w:eastAsia="en-GB"/>
              </w:rPr>
              <w:t>€</w:t>
            </w:r>
          </w:p>
        </w:tc>
        <w:tc>
          <w:tcPr>
            <w:tcW w:w="222" w:type="dxa"/>
            <w:vAlign w:val="center"/>
            <w:hideMark/>
          </w:tcPr>
          <w:p w14:paraId="51D5E2B6"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633F7C3F" w14:textId="77777777" w:rsidTr="006769DA">
        <w:trPr>
          <w:trHeight w:val="315"/>
        </w:trPr>
        <w:tc>
          <w:tcPr>
            <w:tcW w:w="3318" w:type="dxa"/>
            <w:tcBorders>
              <w:top w:val="nil"/>
              <w:left w:val="single" w:sz="8" w:space="0" w:color="auto"/>
              <w:bottom w:val="single" w:sz="8" w:space="0" w:color="auto"/>
              <w:right w:val="single" w:sz="8" w:space="0" w:color="auto"/>
            </w:tcBorders>
            <w:shd w:val="clear" w:color="000000" w:fill="244062"/>
            <w:vAlign w:val="center"/>
            <w:hideMark/>
          </w:tcPr>
          <w:p w14:paraId="3543D0E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0" w:type="dxa"/>
            <w:gridSpan w:val="3"/>
            <w:tcBorders>
              <w:top w:val="single" w:sz="8" w:space="0" w:color="auto"/>
              <w:left w:val="nil"/>
              <w:bottom w:val="single" w:sz="8" w:space="0" w:color="auto"/>
              <w:right w:val="single" w:sz="8" w:space="0" w:color="000000"/>
            </w:tcBorders>
            <w:shd w:val="clear" w:color="auto" w:fill="auto"/>
            <w:vAlign w:val="center"/>
            <w:hideMark/>
          </w:tcPr>
          <w:p w14:paraId="05B0E26B" w14:textId="77777777" w:rsidR="00B63E46"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r w:rsidR="00CF4447" w:rsidRPr="00A33AE8">
              <w:rPr>
                <w:rFonts w:asciiTheme="majorHAnsi" w:eastAsia="Times New Roman" w:hAnsiTheme="majorHAnsi" w:cstheme="majorHAnsi"/>
                <w:color w:val="000000"/>
                <w:sz w:val="20"/>
                <w:szCs w:val="20"/>
                <w:lang w:eastAsia="en-GB"/>
              </w:rPr>
              <w:t>, providers of energy services</w:t>
            </w:r>
          </w:p>
        </w:tc>
        <w:tc>
          <w:tcPr>
            <w:tcW w:w="222" w:type="dxa"/>
            <w:vAlign w:val="center"/>
            <w:hideMark/>
          </w:tcPr>
          <w:p w14:paraId="6DEAC975"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bl>
    <w:p w14:paraId="158E68B6"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7"/>
        <w:gridCol w:w="986"/>
        <w:gridCol w:w="943"/>
        <w:gridCol w:w="4212"/>
        <w:gridCol w:w="222"/>
      </w:tblGrid>
      <w:tr w:rsidR="00B63E46" w:rsidRPr="00A33AE8" w14:paraId="661D90BE"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353D035" w14:textId="60A8B5D1"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1673CAD"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PM_EE31</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408F6DE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2" w:type="dxa"/>
            <w:tcBorders>
              <w:top w:val="single" w:sz="8" w:space="0" w:color="auto"/>
              <w:left w:val="nil"/>
              <w:bottom w:val="single" w:sz="8" w:space="0" w:color="auto"/>
              <w:right w:val="single" w:sz="8" w:space="0" w:color="auto"/>
            </w:tcBorders>
            <w:shd w:val="clear" w:color="auto" w:fill="E7E6E6" w:themeFill="background2"/>
            <w:vAlign w:val="center"/>
            <w:hideMark/>
          </w:tcPr>
          <w:p w14:paraId="5977DB1B" w14:textId="77777777" w:rsidR="00B63E46" w:rsidRPr="00A33AE8" w:rsidRDefault="00B63E46"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Conduction of awareness raising activities</w:t>
            </w:r>
          </w:p>
        </w:tc>
      </w:tr>
      <w:tr w:rsidR="00B63E46" w:rsidRPr="00A33AE8" w14:paraId="411DC661" w14:textId="77777777" w:rsidTr="006769DA">
        <w:trPr>
          <w:gridAfter w:val="1"/>
          <w:wAfter w:w="222" w:type="dxa"/>
          <w:trHeight w:val="564"/>
        </w:trPr>
        <w:tc>
          <w:tcPr>
            <w:tcW w:w="3317" w:type="dxa"/>
            <w:tcBorders>
              <w:top w:val="nil"/>
              <w:left w:val="single" w:sz="8" w:space="0" w:color="auto"/>
              <w:bottom w:val="single" w:sz="8" w:space="0" w:color="auto"/>
              <w:right w:val="nil"/>
            </w:tcBorders>
            <w:shd w:val="clear" w:color="000000" w:fill="244062"/>
            <w:vAlign w:val="center"/>
            <w:hideMark/>
          </w:tcPr>
          <w:p w14:paraId="1746C57B" w14:textId="4353F994"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112CE36" w14:textId="079A76C4"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197DAEE2" w14:textId="77777777" w:rsidR="00B63E46" w:rsidRPr="00A33AE8" w:rsidRDefault="00B63E46" w:rsidP="00884F3B">
            <w:pPr>
              <w:pStyle w:val="ListParagraph"/>
              <w:numPr>
                <w:ilvl w:val="0"/>
                <w:numId w:val="1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05AACF99" w14:textId="77777777" w:rsidR="00B63E46" w:rsidRPr="00A33AE8" w:rsidRDefault="00B63E46" w:rsidP="00884F3B">
            <w:pPr>
              <w:pStyle w:val="ListParagraph"/>
              <w:numPr>
                <w:ilvl w:val="0"/>
                <w:numId w:val="1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p w14:paraId="04EADC9B" w14:textId="77777777" w:rsidR="00462B1A" w:rsidRPr="00A33AE8" w:rsidRDefault="00462B1A" w:rsidP="00884F3B">
            <w:pPr>
              <w:pStyle w:val="ListParagraph"/>
              <w:numPr>
                <w:ilvl w:val="0"/>
                <w:numId w:val="1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17</w:t>
            </w:r>
          </w:p>
        </w:tc>
      </w:tr>
      <w:tr w:rsidR="00B63E46" w:rsidRPr="00A33AE8" w14:paraId="045D6003"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E504730" w14:textId="4BCAE211"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8C7CF02"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462B1A" w:rsidRPr="00A33AE8">
              <w:rPr>
                <w:rFonts w:ascii="Calibri Light" w:eastAsia="Times New Roman" w:hAnsi="Calibri Light" w:cs="Calibri Light"/>
                <w:color w:val="000000"/>
                <w:sz w:val="20"/>
                <w:szCs w:val="20"/>
                <w:lang w:eastAsia="en-GB"/>
              </w:rPr>
              <w:t>fulfilling the expected final energy consumption levels</w:t>
            </w:r>
          </w:p>
        </w:tc>
      </w:tr>
      <w:tr w:rsidR="008B48AC" w:rsidRPr="00A33AE8" w14:paraId="141F34E0" w14:textId="77777777" w:rsidTr="006769DA">
        <w:trPr>
          <w:gridAfter w:val="1"/>
          <w:wAfter w:w="222" w:type="dxa"/>
          <w:trHeight w:val="996"/>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D39163B"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2167F51" w14:textId="77777777" w:rsidR="008B48AC" w:rsidRPr="00A33AE8" w:rsidRDefault="008B48AC" w:rsidP="008B48A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PM_EE31 will promote the conduction of awareness raising and dissemination activities in all final energy consumption sectors with focus on households. In building sector specialized awareness-raising and dissemination activities will be organized both for the consumers and the involved engineers, while the establishment of one-stop shop will be assessed including the option also to provide financial support and undertake the implementation of the energy efficiency interventions on behalf of the interested end-users. Moreover, the development of databases with information about the building stock and the implemented energy efficiency interventions and voluntary certification schemes of ecological, green and sustainable buildings can improve the current level of knowledge and awareness. In transport sector, thematic campaigns should be conducted, while the eco-driving will be also promoted. In agricultural sector, the farmers will be educated for all the agricultural technologies within the whole chain of the agricultural products, while special emphasis must be given on the operation of irrigation pumping stations. In commercial and industrial sectors, the conduction of energy audits will increase the current level of knowledge. </w:t>
            </w:r>
            <w:r w:rsidR="00462B1A" w:rsidRPr="00A33AE8">
              <w:rPr>
                <w:rFonts w:ascii="Calibri Light" w:eastAsia="Times New Roman" w:hAnsi="Calibri Light" w:cs="Calibri Light"/>
                <w:color w:val="000000"/>
                <w:sz w:val="20"/>
                <w:szCs w:val="20"/>
                <w:lang w:eastAsia="en-GB"/>
              </w:rPr>
              <w:t xml:space="preserve">Targeted awareness raising and educational activities will be organised also for the employees in the public buildings. </w:t>
            </w:r>
            <w:r w:rsidRPr="00A33AE8">
              <w:rPr>
                <w:rFonts w:ascii="Calibri Light" w:eastAsia="Times New Roman" w:hAnsi="Calibri Light" w:cs="Calibri Light"/>
                <w:color w:val="000000"/>
                <w:sz w:val="20"/>
                <w:szCs w:val="20"/>
                <w:lang w:eastAsia="en-GB"/>
              </w:rPr>
              <w:t>Furthermore, the concept of carbon footprint and impact of energy efficiency measures throughout the entire life cycle of the promoted technologies and equipment should be promoted for familiarizing the involved stakeholders with the full impact of energy efficiency.</w:t>
            </w:r>
            <w:r w:rsidR="00462B1A" w:rsidRPr="00A33AE8">
              <w:rPr>
                <w:rFonts w:ascii="Calibri Light" w:eastAsia="Times New Roman" w:hAnsi="Calibri Light" w:cs="Calibri Light"/>
                <w:color w:val="000000"/>
                <w:sz w:val="20"/>
                <w:szCs w:val="20"/>
                <w:lang w:eastAsia="en-GB"/>
              </w:rPr>
              <w:t xml:space="preserve"> Finally, targeted studies will be carried out so as to assess the energy saving potential in various economic activities in the service sector and to disseminate the obtained results aiming at the mobilization of additional investments.</w:t>
            </w:r>
          </w:p>
        </w:tc>
      </w:tr>
      <w:tr w:rsidR="00B63E46" w:rsidRPr="00A33AE8" w14:paraId="5F0424B0"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C3C1ED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976D632"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05F94342"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D005CC3"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1F38319"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8B48AC" w:rsidRPr="00A33AE8" w14:paraId="03E85F87"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695E10A"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EE720F5"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B63E46" w:rsidRPr="00A33AE8" w14:paraId="152AF1ED"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4A56FB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9BBD017" w14:textId="77777777" w:rsidR="00B63E46" w:rsidRPr="00A33AE8" w:rsidRDefault="00C100B8"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B63E46" w:rsidRPr="00A33AE8" w14:paraId="4DB37361"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2B8FD65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81E4E6C" w14:textId="77777777" w:rsidR="00B63E46" w:rsidRPr="00A33AE8" w:rsidRDefault="00826D02"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826D02">
              <w:rPr>
                <w:rFonts w:ascii="Calibri Light" w:eastAsia="Times New Roman" w:hAnsi="Calibri Light" w:cs="Calibri Light"/>
                <w:color w:val="000000"/>
                <w:sz w:val="20"/>
                <w:szCs w:val="20"/>
                <w:lang w:eastAsia="en-GB"/>
              </w:rPr>
              <w:t>Government of the Republic of Serbia</w:t>
            </w:r>
          </w:p>
        </w:tc>
      </w:tr>
      <w:tr w:rsidR="00B63E46" w:rsidRPr="00A33AE8" w14:paraId="3B66D5EC"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785E2A8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F925229" w14:textId="77777777" w:rsidR="00B63E46" w:rsidRPr="00A33AE8" w:rsidRDefault="00253B22"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end-users</w:t>
            </w:r>
          </w:p>
        </w:tc>
      </w:tr>
      <w:tr w:rsidR="006C6A30" w:rsidRPr="00A33AE8" w14:paraId="1E18C500" w14:textId="77777777" w:rsidTr="006769DA">
        <w:trPr>
          <w:gridAfter w:val="1"/>
          <w:wAfter w:w="222" w:type="dxa"/>
          <w:trHeight w:val="47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3298F34"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C67C13E" w14:textId="77777777" w:rsidR="00826D02" w:rsidRPr="00826D02" w:rsidRDefault="006C6A30"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826D02" w:rsidRPr="00826D02">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totally)</w:t>
            </w:r>
          </w:p>
          <w:p w14:paraId="536D2B08" w14:textId="77777777" w:rsidR="006C6A30" w:rsidRPr="00A33AE8" w:rsidRDefault="00826D02"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826D02">
              <w:rPr>
                <w:rFonts w:ascii="Calibri Light" w:eastAsia="Times New Roman" w:hAnsi="Calibri Light" w:cs="Calibri Light"/>
                <w:color w:val="000000"/>
                <w:sz w:val="20"/>
                <w:szCs w:val="20"/>
                <w:lang w:eastAsia="en-GB"/>
              </w:rPr>
              <w:lastRenderedPageBreak/>
              <w:t>Energy Security (the delivered energy savings will decrease the consumed quantities of the imported fossil fuels reducing energy import dependency from third countries)</w:t>
            </w:r>
          </w:p>
        </w:tc>
      </w:tr>
      <w:tr w:rsidR="00B63E46" w:rsidRPr="00A33AE8" w14:paraId="18ADE1FC"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74A447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731CDFE" w14:textId="77777777" w:rsidR="00B63E46" w:rsidRPr="00A33AE8" w:rsidRDefault="00B63E46"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0CB862AB" w14:textId="77777777" w:rsidR="00B63E46" w:rsidRPr="00A33AE8" w:rsidRDefault="00B63E46"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B63E46" w:rsidRPr="00A33AE8" w14:paraId="1529716B"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61C34C4C"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C52F1F4" w14:textId="77777777" w:rsidR="00B63E46" w:rsidRPr="00A33AE8" w:rsidRDefault="00B63E46"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3518D829"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14DDE6BA"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71F0C52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3CC8343F" w14:textId="77777777" w:rsidR="00B63E46" w:rsidRPr="00A33AE8" w:rsidRDefault="00B63E46"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7892F06"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2924B907" w14:textId="77777777" w:rsidTr="006769DA">
        <w:trPr>
          <w:trHeight w:val="578"/>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FE9367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0DBB60B" w14:textId="414F8E1A" w:rsidR="00B63E46" w:rsidRPr="00A33AE8" w:rsidRDefault="00B63E46"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 (Draft)</w:t>
            </w:r>
          </w:p>
          <w:p w14:paraId="17E3A807" w14:textId="77777777" w:rsidR="00B63E46" w:rsidRPr="00A33AE8" w:rsidRDefault="00B63E46" w:rsidP="00884F3B">
            <w:pPr>
              <w:pStyle w:val="ListParagraph"/>
              <w:numPr>
                <w:ilvl w:val="0"/>
                <w:numId w:val="16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tc>
        <w:tc>
          <w:tcPr>
            <w:tcW w:w="222" w:type="dxa"/>
            <w:vAlign w:val="center"/>
            <w:hideMark/>
          </w:tcPr>
          <w:p w14:paraId="13B1DAD4"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867645" w:rsidRPr="00A33AE8" w14:paraId="5C7F72B0"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0DB1C5C"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0DBAE97"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36C5C766"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B63E46" w:rsidRPr="00A33AE8" w14:paraId="38EA0145"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05FB39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2795FAE" w14:textId="77777777" w:rsidR="00B63E46"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r w:rsidR="00867645" w:rsidRPr="00A33AE8">
              <w:rPr>
                <w:rFonts w:asciiTheme="majorHAnsi" w:eastAsia="Times New Roman" w:hAnsiTheme="majorHAnsi" w:cstheme="majorHAnsi"/>
                <w:color w:val="000000"/>
                <w:sz w:val="20"/>
                <w:szCs w:val="20"/>
                <w:lang w:eastAsia="en-GB"/>
              </w:rPr>
              <w:t xml:space="preserve"> and </w:t>
            </w:r>
            <w:r w:rsidR="00922BD5" w:rsidRPr="00A33AE8">
              <w:rPr>
                <w:rFonts w:asciiTheme="majorHAnsi" w:eastAsia="Times New Roman" w:hAnsiTheme="majorHAnsi" w:cstheme="majorHAnsi"/>
                <w:color w:val="000000"/>
                <w:sz w:val="20"/>
                <w:szCs w:val="20"/>
                <w:lang w:eastAsia="en-GB"/>
              </w:rPr>
              <w:t xml:space="preserve">own </w:t>
            </w:r>
            <w:r w:rsidR="00867645"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5558560D"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bl>
    <w:p w14:paraId="043F9806"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1"/>
        <w:gridCol w:w="986"/>
        <w:gridCol w:w="942"/>
        <w:gridCol w:w="4219"/>
        <w:gridCol w:w="222"/>
      </w:tblGrid>
      <w:tr w:rsidR="00B63E46" w:rsidRPr="00A33AE8" w14:paraId="0205FD29" w14:textId="77777777" w:rsidTr="006769DA">
        <w:trPr>
          <w:gridAfter w:val="1"/>
          <w:wAfter w:w="222" w:type="dxa"/>
          <w:trHeight w:val="780"/>
        </w:trPr>
        <w:tc>
          <w:tcPr>
            <w:tcW w:w="331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6B7DD7F"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6B91745"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PM_EE32</w:t>
            </w:r>
          </w:p>
        </w:tc>
        <w:tc>
          <w:tcPr>
            <w:tcW w:w="942" w:type="dxa"/>
            <w:tcBorders>
              <w:top w:val="single" w:sz="8" w:space="0" w:color="auto"/>
              <w:left w:val="nil"/>
              <w:bottom w:val="single" w:sz="8" w:space="0" w:color="auto"/>
              <w:right w:val="single" w:sz="8" w:space="0" w:color="auto"/>
            </w:tcBorders>
            <w:shd w:val="clear" w:color="000000" w:fill="244062"/>
            <w:vAlign w:val="center"/>
            <w:hideMark/>
          </w:tcPr>
          <w:p w14:paraId="25BE8C82"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9" w:type="dxa"/>
            <w:tcBorders>
              <w:top w:val="single" w:sz="8" w:space="0" w:color="auto"/>
              <w:left w:val="nil"/>
              <w:bottom w:val="single" w:sz="8" w:space="0" w:color="auto"/>
              <w:right w:val="single" w:sz="8" w:space="0" w:color="auto"/>
            </w:tcBorders>
            <w:shd w:val="clear" w:color="auto" w:fill="E7E6E6" w:themeFill="background2"/>
            <w:vAlign w:val="center"/>
            <w:hideMark/>
          </w:tcPr>
          <w:p w14:paraId="1A2113EC"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energy-efficient products through the implementation of energy labelling and eco-design Directives</w:t>
            </w:r>
          </w:p>
        </w:tc>
      </w:tr>
      <w:tr w:rsidR="00B63E46" w:rsidRPr="00A33AE8" w14:paraId="18BBAB70" w14:textId="77777777" w:rsidTr="006769DA">
        <w:trPr>
          <w:gridAfter w:val="1"/>
          <w:wAfter w:w="222" w:type="dxa"/>
          <w:trHeight w:val="359"/>
        </w:trPr>
        <w:tc>
          <w:tcPr>
            <w:tcW w:w="3311" w:type="dxa"/>
            <w:tcBorders>
              <w:top w:val="nil"/>
              <w:left w:val="single" w:sz="8" w:space="0" w:color="auto"/>
              <w:bottom w:val="single" w:sz="8" w:space="0" w:color="auto"/>
              <w:right w:val="nil"/>
            </w:tcBorders>
            <w:shd w:val="clear" w:color="000000" w:fill="244062"/>
            <w:vAlign w:val="center"/>
            <w:hideMark/>
          </w:tcPr>
          <w:p w14:paraId="3ACDB8C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1359A10" w14:textId="240B52D0"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0064090B" w14:textId="77777777"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B63E46" w:rsidRPr="00A33AE8" w14:paraId="0627C010"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72ACAEC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5B905FE"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PM_EE1 – PM_EE3 and PM_EE10</w:t>
            </w:r>
          </w:p>
        </w:tc>
      </w:tr>
      <w:tr w:rsidR="008B48AC" w:rsidRPr="00A33AE8" w14:paraId="6DB6388C" w14:textId="77777777" w:rsidTr="0087794A">
        <w:trPr>
          <w:gridAfter w:val="1"/>
          <w:wAfter w:w="222" w:type="dxa"/>
          <w:trHeight w:val="547"/>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DFFD0AC"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19F52C6E" w14:textId="77777777" w:rsidR="008B48AC" w:rsidRPr="00A33AE8" w:rsidRDefault="008B48AC" w:rsidP="00823286">
            <w:pPr>
              <w:spacing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PM_EE32 will ensure the effective implementation of energy labelling and eco-design Directives. </w:t>
            </w:r>
            <w:r w:rsidRPr="000007D2">
              <w:rPr>
                <w:rFonts w:ascii="Calibri Light" w:eastAsia="Times New Roman" w:hAnsi="Calibri Light" w:cs="Calibri Light"/>
                <w:color w:val="000000"/>
                <w:sz w:val="20"/>
                <w:szCs w:val="20"/>
                <w:lang w:eastAsia="en-GB"/>
              </w:rPr>
              <w:t>It is necessary to strengthen the capacity of the institutions responsible for market monitoring, which are the implementing entities for the current measure. It is also necessary to strengthen the capacity of conformity assessment bodies and conduct promotional and educational campaigns for all interested parties, including general public.</w:t>
            </w:r>
          </w:p>
        </w:tc>
      </w:tr>
      <w:tr w:rsidR="00B63E46" w:rsidRPr="00A33AE8" w14:paraId="1B294826"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02A442BB"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72A0BAC0"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0D9FDEE9"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9C18FAE"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1B1D0B1"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8B48AC" w:rsidRPr="00A33AE8" w14:paraId="3504FDAB"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937447F"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84B8A49"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B63E46" w:rsidRPr="00A33AE8" w14:paraId="519E183C" w14:textId="77777777" w:rsidTr="006769DA">
        <w:trPr>
          <w:gridAfter w:val="1"/>
          <w:wAfter w:w="222" w:type="dxa"/>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B84593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F5F99DA" w14:textId="77777777" w:rsidR="00B63E46" w:rsidRPr="00A33AE8" w:rsidRDefault="00C100B8"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B63E46" w:rsidRPr="00A33AE8" w14:paraId="04DE40EA"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3914A00C"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674CB590" w14:textId="77777777" w:rsidR="00B63E46" w:rsidRPr="00A33AE8" w:rsidRDefault="00DF451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DF4516">
              <w:rPr>
                <w:rFonts w:ascii="Calibri Light" w:eastAsia="Times New Roman" w:hAnsi="Calibri Light" w:cs="Calibri Light"/>
                <w:color w:val="000000"/>
                <w:sz w:val="20"/>
                <w:szCs w:val="20"/>
                <w:lang w:eastAsia="en-GB"/>
              </w:rPr>
              <w:t>Government of the Republic of Serbia</w:t>
            </w:r>
          </w:p>
        </w:tc>
      </w:tr>
      <w:tr w:rsidR="00B63E46" w:rsidRPr="00A33AE8" w14:paraId="4225DF6B" w14:textId="77777777" w:rsidTr="006769DA">
        <w:trPr>
          <w:gridAfter w:val="1"/>
          <w:wAfter w:w="222" w:type="dxa"/>
          <w:trHeight w:val="315"/>
        </w:trPr>
        <w:tc>
          <w:tcPr>
            <w:tcW w:w="3311" w:type="dxa"/>
            <w:tcBorders>
              <w:top w:val="nil"/>
              <w:left w:val="single" w:sz="8" w:space="0" w:color="auto"/>
              <w:bottom w:val="single" w:sz="8" w:space="0" w:color="auto"/>
              <w:right w:val="nil"/>
            </w:tcBorders>
            <w:shd w:val="clear" w:color="000000" w:fill="244062"/>
            <w:vAlign w:val="center"/>
            <w:hideMark/>
          </w:tcPr>
          <w:p w14:paraId="5D6CFE3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9606595" w14:textId="77777777" w:rsidR="00B63E46" w:rsidRPr="00A33AE8" w:rsidRDefault="00253B22"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 efficiency appliances and equipment</w:t>
            </w:r>
          </w:p>
        </w:tc>
      </w:tr>
      <w:tr w:rsidR="006C6A30" w:rsidRPr="00A33AE8" w14:paraId="20BA2B62" w14:textId="77777777" w:rsidTr="006769DA">
        <w:trPr>
          <w:gridAfter w:val="1"/>
          <w:wAfter w:w="222" w:type="dxa"/>
          <w:trHeight w:val="50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1F8E0FD"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3DC30F1" w14:textId="77777777" w:rsidR="00DF4516" w:rsidRPr="00DF4516" w:rsidRDefault="006C6A30"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DF4516" w:rsidRPr="00DF4516">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314E37A9" w14:textId="77777777" w:rsidR="006C6A30" w:rsidRPr="00A33AE8" w:rsidRDefault="00DF451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DF4516">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63E46" w:rsidRPr="00A33AE8" w14:paraId="1A62A12F" w14:textId="77777777" w:rsidTr="006769DA">
        <w:trPr>
          <w:gridAfter w:val="1"/>
          <w:wAfter w:w="222" w:type="dxa"/>
          <w:trHeight w:val="450"/>
        </w:trPr>
        <w:tc>
          <w:tcPr>
            <w:tcW w:w="331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11F120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003CF64" w14:textId="77777777"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6D380D49" w14:textId="77777777"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B63E46" w:rsidRPr="00A33AE8" w14:paraId="5876B5DE" w14:textId="77777777" w:rsidTr="006769DA">
        <w:trPr>
          <w:trHeight w:val="300"/>
        </w:trPr>
        <w:tc>
          <w:tcPr>
            <w:tcW w:w="3311" w:type="dxa"/>
            <w:vMerge/>
            <w:tcBorders>
              <w:top w:val="nil"/>
              <w:left w:val="single" w:sz="8" w:space="0" w:color="auto"/>
              <w:bottom w:val="single" w:sz="8" w:space="0" w:color="000000"/>
              <w:right w:val="single" w:sz="8" w:space="0" w:color="auto"/>
            </w:tcBorders>
            <w:vAlign w:val="center"/>
            <w:hideMark/>
          </w:tcPr>
          <w:p w14:paraId="54CE3EB2"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07481C77" w14:textId="77777777"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478C6FC"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25E6923A" w14:textId="77777777" w:rsidTr="006769DA">
        <w:trPr>
          <w:trHeight w:val="60"/>
        </w:trPr>
        <w:tc>
          <w:tcPr>
            <w:tcW w:w="3311" w:type="dxa"/>
            <w:vMerge/>
            <w:tcBorders>
              <w:top w:val="nil"/>
              <w:left w:val="single" w:sz="8" w:space="0" w:color="auto"/>
              <w:bottom w:val="single" w:sz="8" w:space="0" w:color="000000"/>
              <w:right w:val="single" w:sz="8" w:space="0" w:color="auto"/>
            </w:tcBorders>
            <w:vAlign w:val="center"/>
            <w:hideMark/>
          </w:tcPr>
          <w:p w14:paraId="5D2BFD7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7BA75C59" w14:textId="77777777"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E8EC348"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3A361C27" w14:textId="77777777" w:rsidTr="006769DA">
        <w:trPr>
          <w:trHeight w:val="580"/>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19847238"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091E9C33" w14:textId="77777777"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765AF96F" w14:textId="6174C775" w:rsidR="00B63E46" w:rsidRPr="00A33AE8" w:rsidRDefault="00B63E46" w:rsidP="00884F3B">
            <w:pPr>
              <w:pStyle w:val="ListParagraph"/>
              <w:numPr>
                <w:ilvl w:val="0"/>
                <w:numId w:val="1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 (Draft)</w:t>
            </w:r>
          </w:p>
        </w:tc>
        <w:tc>
          <w:tcPr>
            <w:tcW w:w="222" w:type="dxa"/>
            <w:vAlign w:val="center"/>
            <w:hideMark/>
          </w:tcPr>
          <w:p w14:paraId="1B201E46"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352169" w:rsidRPr="00A33AE8" w14:paraId="4AAF3DEF"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48E2CAE6" w14:textId="77777777" w:rsidR="00352169" w:rsidRPr="00A33AE8" w:rsidRDefault="00352169" w:rsidP="003521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F8EC560" w14:textId="77777777" w:rsidR="00352169" w:rsidRPr="00A33AE8" w:rsidRDefault="00352169" w:rsidP="000C0536">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Be integrated into PM_EE1, PM_EE2, PM_EE3, PM_EE10 and measures for industrial sector</w:t>
            </w:r>
          </w:p>
        </w:tc>
        <w:tc>
          <w:tcPr>
            <w:tcW w:w="222" w:type="dxa"/>
            <w:vAlign w:val="center"/>
            <w:hideMark/>
          </w:tcPr>
          <w:p w14:paraId="6336DC53" w14:textId="77777777" w:rsidR="00352169" w:rsidRPr="00A33AE8" w:rsidRDefault="00352169" w:rsidP="00352169">
            <w:pPr>
              <w:spacing w:after="0" w:line="240" w:lineRule="auto"/>
              <w:rPr>
                <w:rFonts w:ascii="Times New Roman" w:eastAsia="Times New Roman" w:hAnsi="Times New Roman" w:cs="Times New Roman"/>
                <w:sz w:val="20"/>
                <w:szCs w:val="20"/>
                <w:lang w:eastAsia="en-GB"/>
              </w:rPr>
            </w:pPr>
          </w:p>
        </w:tc>
      </w:tr>
      <w:tr w:rsidR="00352169" w:rsidRPr="00A33AE8" w14:paraId="6571C22D" w14:textId="77777777" w:rsidTr="006769DA">
        <w:trPr>
          <w:trHeight w:val="315"/>
        </w:trPr>
        <w:tc>
          <w:tcPr>
            <w:tcW w:w="3311" w:type="dxa"/>
            <w:tcBorders>
              <w:top w:val="nil"/>
              <w:left w:val="single" w:sz="8" w:space="0" w:color="auto"/>
              <w:bottom w:val="single" w:sz="8" w:space="0" w:color="auto"/>
              <w:right w:val="single" w:sz="8" w:space="0" w:color="auto"/>
            </w:tcBorders>
            <w:shd w:val="clear" w:color="000000" w:fill="244062"/>
            <w:vAlign w:val="center"/>
            <w:hideMark/>
          </w:tcPr>
          <w:p w14:paraId="3FE7D53D" w14:textId="77777777" w:rsidR="00352169" w:rsidRPr="00A33AE8" w:rsidRDefault="00352169" w:rsidP="003521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7" w:type="dxa"/>
            <w:gridSpan w:val="3"/>
            <w:tcBorders>
              <w:top w:val="single" w:sz="8" w:space="0" w:color="auto"/>
              <w:left w:val="nil"/>
              <w:bottom w:val="single" w:sz="8" w:space="0" w:color="auto"/>
              <w:right w:val="single" w:sz="8" w:space="0" w:color="000000"/>
            </w:tcBorders>
            <w:shd w:val="clear" w:color="auto" w:fill="auto"/>
            <w:vAlign w:val="center"/>
            <w:hideMark/>
          </w:tcPr>
          <w:p w14:paraId="3BEC4FB7" w14:textId="77777777" w:rsidR="00352169" w:rsidRPr="00A33AE8" w:rsidRDefault="00352169" w:rsidP="00352169">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73BAEF0D" w14:textId="77777777" w:rsidR="00352169" w:rsidRPr="00A33AE8" w:rsidRDefault="00352169" w:rsidP="00352169">
            <w:pPr>
              <w:spacing w:after="0" w:line="240" w:lineRule="auto"/>
              <w:rPr>
                <w:rFonts w:ascii="Times New Roman" w:eastAsia="Times New Roman" w:hAnsi="Times New Roman" w:cs="Times New Roman"/>
                <w:sz w:val="20"/>
                <w:szCs w:val="20"/>
                <w:lang w:eastAsia="en-GB"/>
              </w:rPr>
            </w:pPr>
          </w:p>
        </w:tc>
      </w:tr>
    </w:tbl>
    <w:p w14:paraId="58332D4F"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3"/>
        <w:gridCol w:w="986"/>
        <w:gridCol w:w="943"/>
        <w:gridCol w:w="4216"/>
        <w:gridCol w:w="222"/>
      </w:tblGrid>
      <w:tr w:rsidR="00B63E46" w:rsidRPr="00A33AE8" w14:paraId="7339A792" w14:textId="77777777" w:rsidTr="006769DA">
        <w:trPr>
          <w:gridAfter w:val="1"/>
          <w:wAfter w:w="222" w:type="dxa"/>
          <w:trHeight w:val="780"/>
        </w:trPr>
        <w:tc>
          <w:tcPr>
            <w:tcW w:w="331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E5E1E4B"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BBD00FB"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PM_EE33</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5CDB7FF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BC80376"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green public procurements</w:t>
            </w:r>
          </w:p>
        </w:tc>
      </w:tr>
      <w:tr w:rsidR="00B63E46" w:rsidRPr="00A33AE8" w14:paraId="12417CF4" w14:textId="77777777" w:rsidTr="006769DA">
        <w:trPr>
          <w:gridAfter w:val="1"/>
          <w:wAfter w:w="222" w:type="dxa"/>
          <w:trHeight w:val="407"/>
        </w:trPr>
        <w:tc>
          <w:tcPr>
            <w:tcW w:w="3313" w:type="dxa"/>
            <w:tcBorders>
              <w:top w:val="nil"/>
              <w:left w:val="single" w:sz="8" w:space="0" w:color="auto"/>
              <w:bottom w:val="single" w:sz="8" w:space="0" w:color="auto"/>
              <w:right w:val="nil"/>
            </w:tcBorders>
            <w:shd w:val="clear" w:color="000000" w:fill="244062"/>
            <w:vAlign w:val="center"/>
            <w:hideMark/>
          </w:tcPr>
          <w:p w14:paraId="05DE86D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4E80195" w14:textId="5814C1CC" w:rsidR="00B63E46"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C71C70"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2012/27/EU, as amended by Directive 2018/2002</w:t>
            </w:r>
            <w:r w:rsidR="00B63E46" w:rsidRPr="00A33AE8">
              <w:rPr>
                <w:rFonts w:ascii="Calibri Light" w:eastAsia="Times New Roman" w:hAnsi="Calibri Light" w:cs="Calibri Light"/>
                <w:color w:val="000000"/>
                <w:sz w:val="20"/>
                <w:szCs w:val="20"/>
                <w:lang w:eastAsia="en-GB"/>
              </w:rPr>
              <w:t>:</w:t>
            </w:r>
          </w:p>
          <w:p w14:paraId="1391874D" w14:textId="77777777"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5100441A" w14:textId="77777777" w:rsidR="00654AC6" w:rsidRPr="00A33AE8" w:rsidRDefault="00654AC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6</w:t>
            </w:r>
          </w:p>
        </w:tc>
      </w:tr>
      <w:tr w:rsidR="00B63E46" w:rsidRPr="00A33AE8" w14:paraId="6E24EE55"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7563588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7F475215" w14:textId="1423155F" w:rsidR="00B63E46" w:rsidRPr="00A33AE8" w:rsidRDefault="00B63E46">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Pr="00070895">
              <w:rPr>
                <w:rFonts w:ascii="Calibri Light" w:eastAsia="Times New Roman" w:hAnsi="Calibri Light" w:cs="Calibri Light"/>
                <w:color w:val="000000"/>
                <w:sz w:val="20"/>
                <w:szCs w:val="20"/>
                <w:lang w:eastAsia="en-GB"/>
              </w:rPr>
              <w:t>PM_EE2</w:t>
            </w:r>
            <w:r w:rsidR="00CA3381" w:rsidRPr="00070895">
              <w:rPr>
                <w:rFonts w:ascii="Calibri Light" w:eastAsia="Times New Roman" w:hAnsi="Calibri Light" w:cs="Calibri Light"/>
                <w:color w:val="000000"/>
                <w:sz w:val="20"/>
                <w:szCs w:val="20"/>
                <w:lang w:eastAsia="en-GB"/>
              </w:rPr>
              <w:t>, PM_EE4, PM_EE5, PM_EE6, PM_EE7, PM_EE12, PM_EE14 and PM_EE18</w:t>
            </w:r>
          </w:p>
        </w:tc>
      </w:tr>
      <w:tr w:rsidR="00B63E46" w:rsidRPr="00A33AE8" w14:paraId="2D265878" w14:textId="77777777" w:rsidTr="006769DA">
        <w:trPr>
          <w:gridAfter w:val="1"/>
          <w:wAfter w:w="222" w:type="dxa"/>
          <w:trHeight w:val="1064"/>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19D812B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152B63F" w14:textId="77777777" w:rsidR="00B63E46" w:rsidRPr="00A33AE8" w:rsidRDefault="00B63E46"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PM_EE33 will facilitate the smooth and efficient application of green public procurement procedures. The life cycle energy consumption will be utilized as the basic criterion for the promotion of highly energy-efficient technologies and services demonstrating simultaneously the exemplary role of the public sector. </w:t>
            </w:r>
          </w:p>
        </w:tc>
      </w:tr>
      <w:tr w:rsidR="00B63E46" w:rsidRPr="00A33AE8" w14:paraId="775C9B3B"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31CB54F"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6F6456A3"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03FECAA8"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6BC158E"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6893AA72"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B63E46" w:rsidRPr="00A33AE8" w14:paraId="6742AE9B"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60B1507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0D67EED9"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Public</w:t>
            </w:r>
          </w:p>
        </w:tc>
      </w:tr>
      <w:tr w:rsidR="00B63E46" w:rsidRPr="00A33AE8" w14:paraId="35C9C3AC" w14:textId="77777777" w:rsidTr="006769DA">
        <w:trPr>
          <w:gridAfter w:val="1"/>
          <w:wAfter w:w="222" w:type="dxa"/>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04315DDC"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74EA6376" w14:textId="77777777" w:rsidR="00B63E46" w:rsidRPr="00A33AE8" w:rsidRDefault="00C100B8"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5EF69BF4" w14:textId="77777777" w:rsidR="00654AC6" w:rsidRPr="00A33AE8" w:rsidRDefault="00654AC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tc>
      </w:tr>
      <w:tr w:rsidR="00B63E46" w:rsidRPr="00A33AE8" w14:paraId="60F18E94" w14:textId="77777777" w:rsidTr="006769DA">
        <w:trPr>
          <w:gridAfter w:val="1"/>
          <w:wAfter w:w="222" w:type="dxa"/>
          <w:trHeight w:val="315"/>
        </w:trPr>
        <w:tc>
          <w:tcPr>
            <w:tcW w:w="3313" w:type="dxa"/>
            <w:tcBorders>
              <w:top w:val="nil"/>
              <w:left w:val="single" w:sz="8" w:space="0" w:color="auto"/>
              <w:bottom w:val="single" w:sz="8" w:space="0" w:color="auto"/>
              <w:right w:val="nil"/>
            </w:tcBorders>
            <w:shd w:val="clear" w:color="000000" w:fill="244062"/>
            <w:vAlign w:val="center"/>
            <w:hideMark/>
          </w:tcPr>
          <w:p w14:paraId="186463C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5E543E94" w14:textId="77777777" w:rsidR="00B63E46" w:rsidRPr="00A33AE8" w:rsidRDefault="009421D9"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9421D9">
              <w:rPr>
                <w:rFonts w:ascii="Calibri Light" w:eastAsia="Times New Roman" w:hAnsi="Calibri Light" w:cs="Calibri Light"/>
                <w:color w:val="000000"/>
                <w:sz w:val="20"/>
                <w:szCs w:val="20"/>
                <w:lang w:eastAsia="en-GB"/>
              </w:rPr>
              <w:t>Government of the Republic of Serbia</w:t>
            </w:r>
            <w:r w:rsidR="00B63E46" w:rsidRPr="00A33AE8">
              <w:rPr>
                <w:rFonts w:ascii="Calibri Light" w:eastAsia="Times New Roman" w:hAnsi="Calibri Light" w:cs="Calibri Light"/>
                <w:color w:val="000000"/>
                <w:sz w:val="20"/>
                <w:szCs w:val="20"/>
                <w:lang w:eastAsia="en-GB"/>
              </w:rPr>
              <w:t> </w:t>
            </w:r>
          </w:p>
        </w:tc>
      </w:tr>
      <w:tr w:rsidR="008B48AC" w:rsidRPr="00A33AE8" w14:paraId="17272A44" w14:textId="77777777" w:rsidTr="006769DA">
        <w:trPr>
          <w:gridAfter w:val="1"/>
          <w:wAfter w:w="222" w:type="dxa"/>
          <w:trHeight w:val="315"/>
        </w:trPr>
        <w:tc>
          <w:tcPr>
            <w:tcW w:w="3313" w:type="dxa"/>
            <w:tcBorders>
              <w:top w:val="nil"/>
              <w:left w:val="single" w:sz="8" w:space="0" w:color="auto"/>
              <w:bottom w:val="single" w:sz="8" w:space="0" w:color="auto"/>
              <w:right w:val="nil"/>
            </w:tcBorders>
            <w:shd w:val="clear" w:color="000000" w:fill="244062"/>
            <w:vAlign w:val="center"/>
            <w:hideMark/>
          </w:tcPr>
          <w:p w14:paraId="2DF7A34D"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0408B28" w14:textId="77777777" w:rsidR="008B48AC" w:rsidRPr="00A33AE8" w:rsidRDefault="008B48AC"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 efficiency appliances, equipment and devices being financed within the framework of the green public procurements</w:t>
            </w:r>
          </w:p>
        </w:tc>
      </w:tr>
      <w:tr w:rsidR="006C6A30" w:rsidRPr="00A33AE8" w14:paraId="48BF681F" w14:textId="77777777" w:rsidTr="006769DA">
        <w:trPr>
          <w:gridAfter w:val="1"/>
          <w:wAfter w:w="222" w:type="dxa"/>
          <w:trHeight w:val="467"/>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548D3709"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48854749" w14:textId="77777777" w:rsidR="009421D9" w:rsidRPr="009421D9" w:rsidRDefault="006C6A30"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9421D9" w:rsidRPr="009421D9">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totally)</w:t>
            </w:r>
          </w:p>
          <w:p w14:paraId="3C0C8E64" w14:textId="77777777" w:rsidR="006C6A30" w:rsidRPr="00A33AE8" w:rsidRDefault="009421D9"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9421D9">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63E46" w:rsidRPr="00A33AE8" w14:paraId="46165CC0" w14:textId="77777777" w:rsidTr="006769DA">
        <w:trPr>
          <w:gridAfter w:val="1"/>
          <w:wAfter w:w="222" w:type="dxa"/>
          <w:trHeight w:val="450"/>
        </w:trPr>
        <w:tc>
          <w:tcPr>
            <w:tcW w:w="331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20A464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F36E38B" w14:textId="77777777"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47C40591" w14:textId="77777777"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B63E46" w:rsidRPr="00A33AE8" w14:paraId="2672DD4B" w14:textId="77777777" w:rsidTr="006769DA">
        <w:trPr>
          <w:trHeight w:val="300"/>
        </w:trPr>
        <w:tc>
          <w:tcPr>
            <w:tcW w:w="3313" w:type="dxa"/>
            <w:vMerge/>
            <w:tcBorders>
              <w:top w:val="nil"/>
              <w:left w:val="single" w:sz="8" w:space="0" w:color="auto"/>
              <w:bottom w:val="single" w:sz="8" w:space="0" w:color="000000"/>
              <w:right w:val="single" w:sz="8" w:space="0" w:color="auto"/>
            </w:tcBorders>
            <w:vAlign w:val="center"/>
            <w:hideMark/>
          </w:tcPr>
          <w:p w14:paraId="62F0F9C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51AA504E" w14:textId="77777777"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DD7AF75"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0C36F619" w14:textId="77777777" w:rsidTr="006769DA">
        <w:trPr>
          <w:trHeight w:val="60"/>
        </w:trPr>
        <w:tc>
          <w:tcPr>
            <w:tcW w:w="3313" w:type="dxa"/>
            <w:vMerge/>
            <w:tcBorders>
              <w:top w:val="nil"/>
              <w:left w:val="single" w:sz="8" w:space="0" w:color="auto"/>
              <w:bottom w:val="single" w:sz="8" w:space="0" w:color="000000"/>
              <w:right w:val="single" w:sz="8" w:space="0" w:color="auto"/>
            </w:tcBorders>
            <w:vAlign w:val="center"/>
            <w:hideMark/>
          </w:tcPr>
          <w:p w14:paraId="1FA04C28"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63966010" w14:textId="77777777"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1AF0353C"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6418FC09" w14:textId="77777777" w:rsidTr="006769DA">
        <w:trPr>
          <w:trHeight w:val="581"/>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338BD282"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6178C43" w14:textId="77777777"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r w:rsidR="00E31761" w:rsidRPr="00A33AE8">
              <w:rPr>
                <w:rFonts w:ascii="Calibri Light" w:eastAsia="Times New Roman" w:hAnsi="Calibri Light" w:cs="Calibri Light"/>
                <w:color w:val="000000"/>
                <w:sz w:val="20"/>
                <w:szCs w:val="20"/>
                <w:lang w:eastAsia="en-GB"/>
              </w:rPr>
              <w:t xml:space="preserve"> and relevant by-law</w:t>
            </w:r>
          </w:p>
          <w:p w14:paraId="206CA150" w14:textId="2F5B9756" w:rsidR="00B63E46" w:rsidRPr="00A33AE8" w:rsidRDefault="00B63E46" w:rsidP="00884F3B">
            <w:pPr>
              <w:pStyle w:val="ListParagraph"/>
              <w:numPr>
                <w:ilvl w:val="0"/>
                <w:numId w:val="16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tc>
        <w:tc>
          <w:tcPr>
            <w:tcW w:w="222" w:type="dxa"/>
            <w:vAlign w:val="center"/>
            <w:hideMark/>
          </w:tcPr>
          <w:p w14:paraId="02752BAB"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5B88E989" w14:textId="77777777" w:rsidTr="006769DA">
        <w:trPr>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2D89D8F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1C55313B" w14:textId="76C2C38E" w:rsidR="00B63E46" w:rsidRPr="00A33AE8" w:rsidRDefault="002F471C"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Be integrated into</w:t>
            </w:r>
            <w:r w:rsidR="00B63E46" w:rsidRPr="00A33AE8">
              <w:rPr>
                <w:rFonts w:ascii="Calibri Light" w:eastAsia="Times New Roman" w:hAnsi="Calibri Light" w:cs="Calibri Light"/>
                <w:color w:val="000000"/>
                <w:sz w:val="20"/>
                <w:szCs w:val="20"/>
                <w:lang w:eastAsia="en-GB"/>
              </w:rPr>
              <w:t xml:space="preserve"> </w:t>
            </w:r>
            <w:r w:rsidR="00B63E46" w:rsidRPr="00070895">
              <w:rPr>
                <w:rFonts w:ascii="Calibri Light" w:eastAsia="Times New Roman" w:hAnsi="Calibri Light" w:cs="Calibri Light"/>
                <w:color w:val="000000"/>
                <w:sz w:val="20"/>
                <w:szCs w:val="20"/>
                <w:lang w:eastAsia="en-GB"/>
              </w:rPr>
              <w:t>PM_EE2</w:t>
            </w:r>
            <w:r w:rsidR="00CA3381" w:rsidRPr="0087794A">
              <w:rPr>
                <w:rFonts w:ascii="Calibri Light" w:eastAsia="Times New Roman" w:hAnsi="Calibri Light" w:cs="Calibri Light"/>
                <w:color w:val="000000"/>
                <w:sz w:val="20"/>
                <w:szCs w:val="20"/>
                <w:lang w:eastAsia="en-GB"/>
              </w:rPr>
              <w:t>, PM_EE4, PM_EE5, PM_EE6, PM_EE7, PM_EE12, PM_EE14 and PM_EE18</w:t>
            </w:r>
          </w:p>
        </w:tc>
        <w:tc>
          <w:tcPr>
            <w:tcW w:w="222" w:type="dxa"/>
            <w:vAlign w:val="center"/>
            <w:hideMark/>
          </w:tcPr>
          <w:p w14:paraId="0B4E7270"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6438F897" w14:textId="77777777" w:rsidTr="006769DA">
        <w:trPr>
          <w:trHeight w:val="315"/>
        </w:trPr>
        <w:tc>
          <w:tcPr>
            <w:tcW w:w="3313" w:type="dxa"/>
            <w:tcBorders>
              <w:top w:val="nil"/>
              <w:left w:val="single" w:sz="8" w:space="0" w:color="auto"/>
              <w:bottom w:val="single" w:sz="8" w:space="0" w:color="auto"/>
              <w:right w:val="single" w:sz="8" w:space="0" w:color="auto"/>
            </w:tcBorders>
            <w:shd w:val="clear" w:color="000000" w:fill="244062"/>
            <w:vAlign w:val="center"/>
            <w:hideMark/>
          </w:tcPr>
          <w:p w14:paraId="2E74051D"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5" w:type="dxa"/>
            <w:gridSpan w:val="3"/>
            <w:tcBorders>
              <w:top w:val="single" w:sz="8" w:space="0" w:color="auto"/>
              <w:left w:val="nil"/>
              <w:bottom w:val="single" w:sz="8" w:space="0" w:color="auto"/>
              <w:right w:val="single" w:sz="8" w:space="0" w:color="000000"/>
            </w:tcBorders>
            <w:shd w:val="clear" w:color="auto" w:fill="auto"/>
            <w:vAlign w:val="center"/>
            <w:hideMark/>
          </w:tcPr>
          <w:p w14:paraId="33F4E2EE" w14:textId="77777777" w:rsidR="00B63E46"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p>
        </w:tc>
        <w:tc>
          <w:tcPr>
            <w:tcW w:w="222" w:type="dxa"/>
            <w:vAlign w:val="center"/>
            <w:hideMark/>
          </w:tcPr>
          <w:p w14:paraId="54B2A38B"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bl>
    <w:p w14:paraId="78A5A4AD"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298"/>
        <w:gridCol w:w="986"/>
        <w:gridCol w:w="940"/>
        <w:gridCol w:w="4234"/>
        <w:gridCol w:w="222"/>
      </w:tblGrid>
      <w:tr w:rsidR="00B63E46" w:rsidRPr="00A33AE8" w14:paraId="73D2D5BE" w14:textId="77777777" w:rsidTr="006769DA">
        <w:trPr>
          <w:gridAfter w:val="1"/>
          <w:wAfter w:w="222" w:type="dxa"/>
          <w:trHeight w:val="780"/>
        </w:trPr>
        <w:tc>
          <w:tcPr>
            <w:tcW w:w="3298"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5AB694D"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BF36A8B"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PM_EE34</w:t>
            </w:r>
          </w:p>
        </w:tc>
        <w:tc>
          <w:tcPr>
            <w:tcW w:w="940" w:type="dxa"/>
            <w:tcBorders>
              <w:top w:val="single" w:sz="8" w:space="0" w:color="auto"/>
              <w:left w:val="nil"/>
              <w:bottom w:val="single" w:sz="8" w:space="0" w:color="auto"/>
              <w:right w:val="single" w:sz="8" w:space="0" w:color="auto"/>
            </w:tcBorders>
            <w:shd w:val="clear" w:color="000000" w:fill="244062"/>
            <w:vAlign w:val="center"/>
            <w:hideMark/>
          </w:tcPr>
          <w:p w14:paraId="644B197B"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3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01D6C5C"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Regulatory measures and financing programs for promoting/modernizing high efficient CHP units and district heating/cooling networks</w:t>
            </w:r>
          </w:p>
        </w:tc>
      </w:tr>
      <w:tr w:rsidR="00B63E46" w:rsidRPr="00A33AE8" w14:paraId="3CEB6302" w14:textId="77777777" w:rsidTr="006769DA">
        <w:trPr>
          <w:gridAfter w:val="1"/>
          <w:wAfter w:w="222" w:type="dxa"/>
          <w:trHeight w:val="355"/>
        </w:trPr>
        <w:tc>
          <w:tcPr>
            <w:tcW w:w="3298" w:type="dxa"/>
            <w:tcBorders>
              <w:top w:val="nil"/>
              <w:left w:val="single" w:sz="8" w:space="0" w:color="auto"/>
              <w:bottom w:val="single" w:sz="8" w:space="0" w:color="auto"/>
              <w:right w:val="nil"/>
            </w:tcBorders>
            <w:shd w:val="clear" w:color="000000" w:fill="244062"/>
            <w:vAlign w:val="center"/>
            <w:hideMark/>
          </w:tcPr>
          <w:p w14:paraId="7A5ECF6F"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2248C771" w14:textId="67C98B1E" w:rsidR="00B63E46"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C71C70"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5D18061A" w14:textId="77777777" w:rsidR="00B63E46" w:rsidRPr="00A33AE8" w:rsidRDefault="00B63E46"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7DAEFB4B" w14:textId="77777777" w:rsidR="00E31761" w:rsidRPr="00A33AE8" w:rsidRDefault="00E31761"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14</w:t>
            </w:r>
          </w:p>
        </w:tc>
      </w:tr>
      <w:tr w:rsidR="00B63E46" w:rsidRPr="00A33AE8" w14:paraId="09002231" w14:textId="77777777" w:rsidTr="006769DA">
        <w:trPr>
          <w:gridAfter w:val="1"/>
          <w:wAfter w:w="222" w:type="dxa"/>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2D4219D2"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5BE55BD0" w14:textId="77777777" w:rsidR="00B63E46" w:rsidRPr="00A33AE8" w:rsidRDefault="00F97505"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23 MW (Electricity output: 31 ktoe, Heat output for district heating: 6 ktoe, Industrial heat output: 13 ktoe)</w:t>
            </w:r>
          </w:p>
        </w:tc>
      </w:tr>
      <w:tr w:rsidR="008B48AC" w:rsidRPr="00A33AE8" w14:paraId="41D5D2B9" w14:textId="77777777" w:rsidTr="006769DA">
        <w:trPr>
          <w:gridAfter w:val="1"/>
          <w:wAfter w:w="222" w:type="dxa"/>
          <w:trHeight w:val="1437"/>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652C6D4B"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7469B8A0" w14:textId="77777777" w:rsidR="008B48AC" w:rsidRPr="00A33AE8" w:rsidRDefault="008B48AC" w:rsidP="008B48A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PM_EE34 will launch financial programs for the installation of new and the modernization of existing</w:t>
            </w:r>
            <w:r w:rsidR="00736A07" w:rsidRPr="000007D2">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high efficient CHP units and district heating/cooling networks.</w:t>
            </w:r>
          </w:p>
          <w:p w14:paraId="16DCBEEC" w14:textId="77777777" w:rsidR="008B48AC" w:rsidRPr="00A33AE8" w:rsidRDefault="008B48AC" w:rsidP="008B48A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For the case of the new high efficient CHP units, planned incentives will be carried out in alignment with the Law on Energy Efficiency and Rational Use of Energy.</w:t>
            </w:r>
          </w:p>
          <w:p w14:paraId="2D9533AF" w14:textId="77777777" w:rsidR="00C441D3" w:rsidRPr="00C441D3" w:rsidRDefault="008B48AC" w:rsidP="00C441D3">
            <w:pPr>
              <w:spacing w:after="0" w:line="240" w:lineRule="auto"/>
              <w:jc w:val="both"/>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lastRenderedPageBreak/>
              <w:t xml:space="preserve">Furthermore, energy plants, which are being </w:t>
            </w:r>
            <w:r w:rsidR="00736A07" w:rsidRPr="00A33AE8">
              <w:rPr>
                <w:rFonts w:ascii="Calibri Light" w:eastAsia="Times New Roman" w:hAnsi="Calibri Light" w:cs="Calibri Light"/>
                <w:color w:val="000000"/>
                <w:sz w:val="20"/>
                <w:szCs w:val="20"/>
                <w:lang w:eastAsia="en-GB"/>
              </w:rPr>
              <w:t>built</w:t>
            </w:r>
            <w:r w:rsidRPr="000007D2">
              <w:rPr>
                <w:rFonts w:ascii="Calibri Light" w:eastAsia="Times New Roman" w:hAnsi="Calibri Light" w:cs="Calibri Light"/>
                <w:color w:val="000000"/>
                <w:sz w:val="20"/>
                <w:szCs w:val="20"/>
                <w:lang w:eastAsia="en-GB"/>
              </w:rPr>
              <w:t xml:space="preserve"> of refurbished, must fulfil prescribed minimal energy efficiency requirements according of the </w:t>
            </w:r>
            <w:r w:rsidRPr="00A33AE8">
              <w:rPr>
                <w:rFonts w:ascii="Calibri Light" w:eastAsia="Times New Roman" w:hAnsi="Calibri Light" w:cs="Calibri Light"/>
                <w:color w:val="000000"/>
                <w:sz w:val="20"/>
                <w:szCs w:val="20"/>
                <w:lang w:eastAsia="en-GB"/>
              </w:rPr>
              <w:t>Law on Energy Efficiency and Rational Use of Energy.</w:t>
            </w:r>
          </w:p>
          <w:p w14:paraId="4FEC9325" w14:textId="77777777" w:rsidR="008B48AC" w:rsidRPr="00A33AE8" w:rsidRDefault="00C441D3" w:rsidP="00C441D3">
            <w:pPr>
              <w:spacing w:after="0" w:line="240" w:lineRule="auto"/>
              <w:jc w:val="both"/>
              <w:rPr>
                <w:rFonts w:ascii="Calibri Light" w:eastAsia="Times New Roman" w:hAnsi="Calibri Light" w:cs="Calibri Light"/>
                <w:color w:val="000000"/>
                <w:sz w:val="20"/>
                <w:szCs w:val="20"/>
                <w:lang w:eastAsia="en-GB"/>
              </w:rPr>
            </w:pPr>
            <w:r w:rsidRPr="00C441D3">
              <w:rPr>
                <w:rFonts w:ascii="Calibri Light" w:eastAsia="Times New Roman" w:hAnsi="Calibri Light" w:cs="Calibri Light"/>
                <w:color w:val="000000"/>
                <w:sz w:val="20"/>
                <w:szCs w:val="20"/>
                <w:lang w:eastAsia="en-GB"/>
              </w:rPr>
              <w:t>Emphasis will be given on exploiting waste heat mainly by the industrial activities in the materialised high efficient CHP units and district heating/cooling networks. The foreseen investments will be designed in conjunction with the respective one within the framework of PM_EE23.</w:t>
            </w:r>
          </w:p>
        </w:tc>
      </w:tr>
      <w:tr w:rsidR="00B63E46" w:rsidRPr="00A33AE8" w14:paraId="01ED6A73" w14:textId="77777777" w:rsidTr="006769DA">
        <w:trPr>
          <w:gridAfter w:val="1"/>
          <w:wAfter w:w="222" w:type="dxa"/>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4301ECB5"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3BE2AC01"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2A0F1F8E" w14:textId="77777777" w:rsidTr="006769DA">
        <w:trPr>
          <w:gridAfter w:val="1"/>
          <w:wAfter w:w="222" w:type="dxa"/>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0C19673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45996D9E"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r w:rsidR="00F44DB0" w:rsidRPr="00A33AE8">
              <w:rPr>
                <w:rFonts w:ascii="Calibri Light" w:eastAsia="Times New Roman" w:hAnsi="Calibri Light" w:cs="Calibri Light"/>
                <w:color w:val="000000"/>
                <w:sz w:val="20"/>
                <w:szCs w:val="20"/>
                <w:lang w:eastAsia="en-GB"/>
              </w:rPr>
              <w:t xml:space="preserve"> and Investment Implementation</w:t>
            </w:r>
          </w:p>
        </w:tc>
      </w:tr>
      <w:tr w:rsidR="008B48AC" w:rsidRPr="00A33AE8" w14:paraId="507CC13B" w14:textId="77777777" w:rsidTr="006769DA">
        <w:trPr>
          <w:gridAfter w:val="1"/>
          <w:wAfter w:w="222" w:type="dxa"/>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213A5AFC"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56C14B90"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8B48AC" w:rsidRPr="00A33AE8" w14:paraId="5280F109" w14:textId="77777777" w:rsidTr="006769DA">
        <w:trPr>
          <w:gridAfter w:val="1"/>
          <w:wAfter w:w="222" w:type="dxa"/>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5D0DE02E"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785E2631" w14:textId="39EAE5AD"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4EEC0BB4"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Local self-governments</w:t>
            </w:r>
          </w:p>
          <w:p w14:paraId="5089D36E"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Heating plants</w:t>
            </w:r>
          </w:p>
        </w:tc>
      </w:tr>
      <w:tr w:rsidR="008B48AC" w:rsidRPr="00A33AE8" w14:paraId="2B5C23C5" w14:textId="77777777" w:rsidTr="006769DA">
        <w:trPr>
          <w:gridAfter w:val="1"/>
          <w:wAfter w:w="222" w:type="dxa"/>
          <w:trHeight w:val="315"/>
        </w:trPr>
        <w:tc>
          <w:tcPr>
            <w:tcW w:w="3298" w:type="dxa"/>
            <w:tcBorders>
              <w:top w:val="nil"/>
              <w:left w:val="single" w:sz="8" w:space="0" w:color="auto"/>
              <w:bottom w:val="single" w:sz="8" w:space="0" w:color="auto"/>
              <w:right w:val="nil"/>
            </w:tcBorders>
            <w:shd w:val="clear" w:color="000000" w:fill="244062"/>
            <w:vAlign w:val="center"/>
            <w:hideMark/>
          </w:tcPr>
          <w:p w14:paraId="37ABCA73"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548271FF" w14:textId="77777777" w:rsidR="008B48AC" w:rsidRPr="00A33AE8" w:rsidRDefault="00C441D3"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C441D3">
              <w:rPr>
                <w:rFonts w:ascii="Calibri Light" w:eastAsia="Times New Roman" w:hAnsi="Calibri Light" w:cs="Calibri Light"/>
                <w:color w:val="000000"/>
                <w:sz w:val="20"/>
                <w:szCs w:val="20"/>
                <w:lang w:eastAsia="en-GB"/>
              </w:rPr>
              <w:t>Government of the Republic of Serbia</w:t>
            </w:r>
            <w:r w:rsidR="008B48AC" w:rsidRPr="00A33AE8">
              <w:rPr>
                <w:rFonts w:ascii="Calibri Light" w:eastAsia="Times New Roman" w:hAnsi="Calibri Light" w:cs="Calibri Light"/>
                <w:color w:val="000000"/>
                <w:sz w:val="20"/>
                <w:szCs w:val="20"/>
                <w:lang w:eastAsia="en-GB"/>
              </w:rPr>
              <w:t> </w:t>
            </w:r>
          </w:p>
        </w:tc>
      </w:tr>
      <w:tr w:rsidR="008B48AC" w:rsidRPr="00A33AE8" w14:paraId="1F6B204C" w14:textId="77777777" w:rsidTr="006769DA">
        <w:trPr>
          <w:gridAfter w:val="1"/>
          <w:wAfter w:w="222" w:type="dxa"/>
          <w:trHeight w:val="315"/>
        </w:trPr>
        <w:tc>
          <w:tcPr>
            <w:tcW w:w="3298" w:type="dxa"/>
            <w:tcBorders>
              <w:top w:val="nil"/>
              <w:left w:val="single" w:sz="8" w:space="0" w:color="auto"/>
              <w:bottom w:val="single" w:sz="8" w:space="0" w:color="auto"/>
              <w:right w:val="nil"/>
            </w:tcBorders>
            <w:shd w:val="clear" w:color="000000" w:fill="244062"/>
            <w:vAlign w:val="center"/>
            <w:hideMark/>
          </w:tcPr>
          <w:p w14:paraId="08D51822"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720B827A"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Installed capacity of new high efficient CHP units in accordance with </w:t>
            </w:r>
            <w:r w:rsidRPr="000007D2">
              <w:rPr>
                <w:rFonts w:ascii="Calibri Light" w:eastAsia="Times New Roman" w:hAnsi="Calibri Light" w:cs="Calibri Light"/>
                <w:color w:val="000000"/>
                <w:sz w:val="20"/>
                <w:szCs w:val="20"/>
                <w:lang w:eastAsia="en-GB"/>
              </w:rPr>
              <w:t xml:space="preserve">the </w:t>
            </w:r>
            <w:r w:rsidRPr="00A33AE8">
              <w:rPr>
                <w:rFonts w:ascii="Calibri Light" w:eastAsia="Times New Roman" w:hAnsi="Calibri Light" w:cs="Calibri Light"/>
                <w:color w:val="000000"/>
                <w:sz w:val="20"/>
                <w:szCs w:val="20"/>
                <w:lang w:eastAsia="en-GB"/>
              </w:rPr>
              <w:t>Law on Energy Efficiency and Rational Use of Energy</w:t>
            </w:r>
          </w:p>
          <w:p w14:paraId="3E997004"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Installed capacity of modernized CHP units and district heating/cooling networks</w:t>
            </w:r>
          </w:p>
        </w:tc>
      </w:tr>
      <w:tr w:rsidR="008B48AC" w:rsidRPr="00A33AE8" w14:paraId="6FC08509" w14:textId="77777777" w:rsidTr="006769DA">
        <w:trPr>
          <w:gridAfter w:val="1"/>
          <w:wAfter w:w="222" w:type="dxa"/>
          <w:trHeight w:val="494"/>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6BC2CB17"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2AF61623" w14:textId="77777777" w:rsidR="00C441D3" w:rsidRPr="00C441D3"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C441D3" w:rsidRPr="00C441D3">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3DBBFC08" w14:textId="77777777" w:rsidR="008B48AC" w:rsidRPr="00A33AE8" w:rsidRDefault="00C441D3"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C441D3">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8B48AC" w:rsidRPr="00A33AE8" w14:paraId="586F037A" w14:textId="77777777" w:rsidTr="006769DA">
        <w:trPr>
          <w:gridAfter w:val="1"/>
          <w:wAfter w:w="222" w:type="dxa"/>
          <w:trHeight w:val="450"/>
        </w:trPr>
        <w:tc>
          <w:tcPr>
            <w:tcW w:w="3298"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7BCAB12"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6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BFBB4AC"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724EE9DF"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8B48AC" w:rsidRPr="00A33AE8" w14:paraId="6963F812" w14:textId="77777777" w:rsidTr="006769DA">
        <w:trPr>
          <w:trHeight w:val="300"/>
        </w:trPr>
        <w:tc>
          <w:tcPr>
            <w:tcW w:w="3298" w:type="dxa"/>
            <w:vMerge/>
            <w:tcBorders>
              <w:top w:val="nil"/>
              <w:left w:val="single" w:sz="8" w:space="0" w:color="auto"/>
              <w:bottom w:val="single" w:sz="8" w:space="0" w:color="000000"/>
              <w:right w:val="single" w:sz="8" w:space="0" w:color="auto"/>
            </w:tcBorders>
            <w:vAlign w:val="center"/>
            <w:hideMark/>
          </w:tcPr>
          <w:p w14:paraId="35E535B7"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p>
        </w:tc>
        <w:tc>
          <w:tcPr>
            <w:tcW w:w="6160" w:type="dxa"/>
            <w:gridSpan w:val="3"/>
            <w:vMerge/>
            <w:tcBorders>
              <w:top w:val="single" w:sz="8" w:space="0" w:color="auto"/>
              <w:left w:val="single" w:sz="8" w:space="0" w:color="auto"/>
              <w:bottom w:val="single" w:sz="8" w:space="0" w:color="000000"/>
              <w:right w:val="single" w:sz="8" w:space="0" w:color="000000"/>
            </w:tcBorders>
            <w:vAlign w:val="center"/>
            <w:hideMark/>
          </w:tcPr>
          <w:p w14:paraId="354A7184"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3F1AC19" w14:textId="77777777" w:rsidR="008B48AC" w:rsidRPr="00A33AE8" w:rsidRDefault="008B48AC" w:rsidP="008B48AC">
            <w:pPr>
              <w:spacing w:after="0" w:line="240" w:lineRule="auto"/>
              <w:rPr>
                <w:rFonts w:ascii="Calibri Light" w:eastAsia="Times New Roman" w:hAnsi="Calibri Light" w:cs="Calibri Light"/>
                <w:color w:val="000000"/>
                <w:sz w:val="20"/>
                <w:szCs w:val="20"/>
                <w:lang w:eastAsia="en-GB"/>
              </w:rPr>
            </w:pPr>
          </w:p>
        </w:tc>
      </w:tr>
      <w:tr w:rsidR="008B48AC" w:rsidRPr="00A33AE8" w14:paraId="2B10724F" w14:textId="77777777" w:rsidTr="006769DA">
        <w:trPr>
          <w:trHeight w:val="60"/>
        </w:trPr>
        <w:tc>
          <w:tcPr>
            <w:tcW w:w="3298" w:type="dxa"/>
            <w:vMerge/>
            <w:tcBorders>
              <w:top w:val="nil"/>
              <w:left w:val="single" w:sz="8" w:space="0" w:color="auto"/>
              <w:bottom w:val="single" w:sz="8" w:space="0" w:color="000000"/>
              <w:right w:val="single" w:sz="8" w:space="0" w:color="auto"/>
            </w:tcBorders>
            <w:vAlign w:val="center"/>
            <w:hideMark/>
          </w:tcPr>
          <w:p w14:paraId="3B30C533"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p>
        </w:tc>
        <w:tc>
          <w:tcPr>
            <w:tcW w:w="6160" w:type="dxa"/>
            <w:gridSpan w:val="3"/>
            <w:vMerge/>
            <w:tcBorders>
              <w:top w:val="single" w:sz="8" w:space="0" w:color="auto"/>
              <w:left w:val="single" w:sz="8" w:space="0" w:color="auto"/>
              <w:bottom w:val="single" w:sz="8" w:space="0" w:color="000000"/>
              <w:right w:val="single" w:sz="8" w:space="0" w:color="000000"/>
            </w:tcBorders>
            <w:vAlign w:val="center"/>
            <w:hideMark/>
          </w:tcPr>
          <w:p w14:paraId="5909F644"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E396624"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r w:rsidR="008B48AC" w:rsidRPr="00A33AE8" w14:paraId="533FD79D" w14:textId="77777777" w:rsidTr="006769DA">
        <w:trPr>
          <w:trHeight w:val="629"/>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30FE04A9"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1C059792"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1D947D27" w14:textId="77777777" w:rsidR="008B48AC" w:rsidRPr="00A33AE8" w:rsidRDefault="008B48AC"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tc>
        <w:tc>
          <w:tcPr>
            <w:tcW w:w="222" w:type="dxa"/>
            <w:vAlign w:val="center"/>
            <w:hideMark/>
          </w:tcPr>
          <w:p w14:paraId="64921516"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r w:rsidR="008B48AC" w:rsidRPr="00A33AE8" w14:paraId="4A41C83F" w14:textId="77777777" w:rsidTr="006769DA">
        <w:trPr>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533F8E15"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483A929F" w14:textId="77777777" w:rsidR="008B48AC" w:rsidRPr="00A33AE8" w:rsidRDefault="00E011AD" w:rsidP="008B48AC">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35m €</w:t>
            </w:r>
          </w:p>
        </w:tc>
        <w:tc>
          <w:tcPr>
            <w:tcW w:w="222" w:type="dxa"/>
            <w:vAlign w:val="center"/>
            <w:hideMark/>
          </w:tcPr>
          <w:p w14:paraId="0A17B32F"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r w:rsidR="008B48AC" w:rsidRPr="00A33AE8" w14:paraId="55409B18" w14:textId="77777777" w:rsidTr="006769DA">
        <w:trPr>
          <w:trHeight w:val="315"/>
        </w:trPr>
        <w:tc>
          <w:tcPr>
            <w:tcW w:w="3298" w:type="dxa"/>
            <w:tcBorders>
              <w:top w:val="nil"/>
              <w:left w:val="single" w:sz="8" w:space="0" w:color="auto"/>
              <w:bottom w:val="single" w:sz="8" w:space="0" w:color="auto"/>
              <w:right w:val="single" w:sz="8" w:space="0" w:color="auto"/>
            </w:tcBorders>
            <w:shd w:val="clear" w:color="000000" w:fill="244062"/>
            <w:vAlign w:val="center"/>
            <w:hideMark/>
          </w:tcPr>
          <w:p w14:paraId="58ABFF3D" w14:textId="77777777" w:rsidR="008B48AC" w:rsidRPr="00A33AE8" w:rsidRDefault="008B48AC" w:rsidP="008B48A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60" w:type="dxa"/>
            <w:gridSpan w:val="3"/>
            <w:tcBorders>
              <w:top w:val="single" w:sz="8" w:space="0" w:color="auto"/>
              <w:left w:val="nil"/>
              <w:bottom w:val="single" w:sz="8" w:space="0" w:color="auto"/>
              <w:right w:val="single" w:sz="8" w:space="0" w:color="000000"/>
            </w:tcBorders>
            <w:shd w:val="clear" w:color="auto" w:fill="auto"/>
            <w:vAlign w:val="center"/>
            <w:hideMark/>
          </w:tcPr>
          <w:p w14:paraId="596BA5A5" w14:textId="77777777" w:rsidR="008B48AC" w:rsidRPr="00A33AE8" w:rsidRDefault="00E011AD" w:rsidP="008B48AC">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105095" w:rsidRPr="00A33AE8">
              <w:rPr>
                <w:rFonts w:ascii="Calibri Light" w:eastAsia="Times New Roman" w:hAnsi="Calibri Light" w:cs="Calibri Light"/>
                <w:color w:val="000000"/>
                <w:sz w:val="20"/>
                <w:szCs w:val="20"/>
                <w:lang w:eastAsia="en-GB"/>
              </w:rPr>
              <w:t>own</w:t>
            </w:r>
            <w:r w:rsidRPr="00A33AE8">
              <w:rPr>
                <w:rFonts w:ascii="Calibri Light" w:eastAsia="Times New Roman" w:hAnsi="Calibri Light" w:cs="Calibri Light"/>
                <w:color w:val="000000"/>
                <w:sz w:val="20"/>
                <w:szCs w:val="20"/>
                <w:lang w:eastAsia="en-GB"/>
              </w:rPr>
              <w:t xml:space="preserve"> funds</w:t>
            </w:r>
          </w:p>
        </w:tc>
        <w:tc>
          <w:tcPr>
            <w:tcW w:w="222" w:type="dxa"/>
            <w:vAlign w:val="center"/>
            <w:hideMark/>
          </w:tcPr>
          <w:p w14:paraId="11BE86A8" w14:textId="77777777" w:rsidR="008B48AC" w:rsidRPr="00A33AE8" w:rsidRDefault="008B48AC" w:rsidP="008B48AC">
            <w:pPr>
              <w:spacing w:after="0" w:line="240" w:lineRule="auto"/>
              <w:rPr>
                <w:rFonts w:ascii="Times New Roman" w:eastAsia="Times New Roman" w:hAnsi="Times New Roman" w:cs="Times New Roman"/>
                <w:sz w:val="20"/>
                <w:szCs w:val="20"/>
                <w:lang w:eastAsia="en-GB"/>
              </w:rPr>
            </w:pPr>
          </w:p>
        </w:tc>
      </w:tr>
    </w:tbl>
    <w:p w14:paraId="2A8ACD2C"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5"/>
        <w:gridCol w:w="986"/>
        <w:gridCol w:w="943"/>
        <w:gridCol w:w="4214"/>
        <w:gridCol w:w="222"/>
      </w:tblGrid>
      <w:tr w:rsidR="00B63E46" w:rsidRPr="00A33AE8" w14:paraId="5A12ACE3" w14:textId="77777777" w:rsidTr="006769DA">
        <w:trPr>
          <w:gridAfter w:val="1"/>
          <w:wAfter w:w="222" w:type="dxa"/>
          <w:trHeight w:val="780"/>
        </w:trPr>
        <w:tc>
          <w:tcPr>
            <w:tcW w:w="331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9EDE894" w14:textId="0379E748"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7003635"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PM_EE35</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4E2C4AD2"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143F43A4" w14:textId="77777777" w:rsidR="00B63E46" w:rsidRPr="00A33AE8" w:rsidRDefault="00E31761"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Improvement and further d</w:t>
            </w:r>
            <w:r w:rsidR="00B63E46" w:rsidRPr="00A33AE8">
              <w:rPr>
                <w:rFonts w:ascii="Calibri Light" w:eastAsia="Times New Roman" w:hAnsi="Calibri Light" w:cs="Calibri Light"/>
                <w:b/>
                <w:bCs/>
                <w:color w:val="000000"/>
                <w:sz w:val="20"/>
                <w:szCs w:val="20"/>
                <w:lang w:eastAsia="en-GB"/>
              </w:rPr>
              <w:t>evelopment of a scheme for the qualification, accreditation and certification of energy efficiency professionals</w:t>
            </w:r>
          </w:p>
        </w:tc>
      </w:tr>
      <w:tr w:rsidR="00B63E46" w:rsidRPr="00A33AE8" w14:paraId="67464F70" w14:textId="77777777" w:rsidTr="006769DA">
        <w:trPr>
          <w:gridAfter w:val="1"/>
          <w:wAfter w:w="222" w:type="dxa"/>
          <w:trHeight w:val="385"/>
        </w:trPr>
        <w:tc>
          <w:tcPr>
            <w:tcW w:w="3315" w:type="dxa"/>
            <w:tcBorders>
              <w:top w:val="nil"/>
              <w:left w:val="single" w:sz="8" w:space="0" w:color="auto"/>
              <w:bottom w:val="single" w:sz="8" w:space="0" w:color="auto"/>
              <w:right w:val="nil"/>
            </w:tcBorders>
            <w:shd w:val="clear" w:color="000000" w:fill="244062"/>
            <w:vAlign w:val="center"/>
            <w:hideMark/>
          </w:tcPr>
          <w:p w14:paraId="197F7727" w14:textId="76AA68EE"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A0AE238" w14:textId="02886003" w:rsidR="00B63E46"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C71C70"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1E954A06" w14:textId="77777777" w:rsidR="00B63E46" w:rsidRPr="00A33AE8" w:rsidRDefault="00B63E46"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60458D30" w14:textId="77777777" w:rsidR="00F57DD5" w:rsidRPr="00A33AE8" w:rsidRDefault="00F57DD5"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16</w:t>
            </w:r>
          </w:p>
        </w:tc>
      </w:tr>
      <w:tr w:rsidR="00B63E46" w:rsidRPr="00A33AE8" w14:paraId="45D3B733"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F627633" w14:textId="44D7F5C8"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F5D3554"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FE5DB0" w:rsidRPr="00A33AE8">
              <w:rPr>
                <w:rFonts w:ascii="Calibri Light" w:eastAsia="Times New Roman" w:hAnsi="Calibri Light" w:cs="Calibri Light"/>
                <w:color w:val="000000"/>
                <w:sz w:val="20"/>
                <w:szCs w:val="20"/>
                <w:lang w:eastAsia="en-GB"/>
              </w:rPr>
              <w:t>fulfilling the expected final energy consumption levels</w:t>
            </w:r>
          </w:p>
        </w:tc>
      </w:tr>
      <w:tr w:rsidR="009B2181" w:rsidRPr="00A33AE8" w14:paraId="2E985CF4" w14:textId="77777777" w:rsidTr="006769DA">
        <w:trPr>
          <w:gridAfter w:val="1"/>
          <w:wAfter w:w="222" w:type="dxa"/>
          <w:trHeight w:val="1467"/>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627F7A4"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6543FCC" w14:textId="77777777" w:rsidR="009B2181" w:rsidRPr="000007D2" w:rsidRDefault="009B2181" w:rsidP="009B2181">
            <w:pPr>
              <w:spacing w:after="0" w:line="240" w:lineRule="auto"/>
              <w:jc w:val="both"/>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PM_EE35 will include improvement of the existing and, if necessary, establishment of new qualification, accreditation, or certification schemes for all energy efficiency professional</w:t>
            </w:r>
            <w:r w:rsidR="00FE5DB0" w:rsidRPr="00A33AE8">
              <w:rPr>
                <w:rFonts w:ascii="Calibri Light" w:eastAsia="Times New Roman" w:hAnsi="Calibri Light" w:cs="Calibri Light"/>
                <w:color w:val="000000"/>
                <w:sz w:val="20"/>
                <w:szCs w:val="20"/>
                <w:lang w:eastAsia="en-GB"/>
              </w:rPr>
              <w:t>s</w:t>
            </w:r>
            <w:r w:rsidRPr="000007D2">
              <w:rPr>
                <w:rFonts w:ascii="Calibri Light" w:eastAsia="Times New Roman" w:hAnsi="Calibri Light" w:cs="Calibri Light"/>
                <w:color w:val="000000"/>
                <w:sz w:val="20"/>
                <w:szCs w:val="20"/>
                <w:lang w:eastAsia="en-GB"/>
              </w:rPr>
              <w:t xml:space="preserve"> (</w:t>
            </w:r>
            <w:r w:rsidR="00FE5DB0" w:rsidRPr="00A33AE8">
              <w:rPr>
                <w:rFonts w:ascii="Calibri Light" w:eastAsia="Times New Roman" w:hAnsi="Calibri Light" w:cs="Calibri Light"/>
                <w:color w:val="000000"/>
                <w:sz w:val="20"/>
                <w:szCs w:val="20"/>
                <w:lang w:eastAsia="en-GB"/>
              </w:rPr>
              <w:t xml:space="preserve">e.g. </w:t>
            </w:r>
            <w:r w:rsidRPr="000007D2">
              <w:rPr>
                <w:rFonts w:ascii="Calibri Light" w:eastAsia="Times New Roman" w:hAnsi="Calibri Light" w:cs="Calibri Light"/>
                <w:color w:val="000000"/>
                <w:sz w:val="20"/>
                <w:szCs w:val="20"/>
                <w:lang w:eastAsia="en-GB"/>
              </w:rPr>
              <w:t>providers of energy services, energy advisors, energy managers</w:t>
            </w:r>
            <w:r w:rsidR="00FE5DB0" w:rsidRPr="00A33AE8">
              <w:rPr>
                <w:rFonts w:ascii="Calibri Light" w:eastAsia="Times New Roman" w:hAnsi="Calibri Light" w:cs="Calibri Light"/>
                <w:color w:val="000000"/>
                <w:sz w:val="20"/>
                <w:szCs w:val="20"/>
                <w:lang w:eastAsia="en-GB"/>
              </w:rPr>
              <w:t>, responsible engineers of the energy efficiency of buildings</w:t>
            </w:r>
            <w:r w:rsidRPr="000007D2">
              <w:rPr>
                <w:rFonts w:ascii="Calibri Light" w:eastAsia="Times New Roman" w:hAnsi="Calibri Light" w:cs="Calibri Light"/>
                <w:color w:val="000000"/>
                <w:sz w:val="20"/>
                <w:szCs w:val="20"/>
                <w:lang w:eastAsia="en-GB"/>
              </w:rPr>
              <w:t xml:space="preserve"> and installers of energy related budling elements that are related to the improvement of the energy performance of a building, developers of design and technical documentation).</w:t>
            </w:r>
          </w:p>
          <w:p w14:paraId="09203A32" w14:textId="77777777" w:rsidR="009B2181" w:rsidRPr="00A33AE8" w:rsidRDefault="009B2181" w:rsidP="009B2181">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Specialized training programs will be organized, tools will be developed and technical support will be provided within the framework of the current measure.</w:t>
            </w:r>
          </w:p>
          <w:p w14:paraId="346555C6" w14:textId="77777777" w:rsidR="00FE5DB0" w:rsidRPr="00A33AE8" w:rsidRDefault="00FE5DB0" w:rsidP="009B2181">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Finally, it will be examined the expansion of the measure so as to cover the accreditation and certification of the energy efficiency equipment and </w:t>
            </w:r>
            <w:r w:rsidRPr="00A33AE8">
              <w:rPr>
                <w:rFonts w:ascii="Calibri Light" w:eastAsia="Times New Roman" w:hAnsi="Calibri Light" w:cs="Calibri Light"/>
                <w:color w:val="000000"/>
                <w:sz w:val="20"/>
                <w:szCs w:val="20"/>
                <w:lang w:eastAsia="en-GB"/>
              </w:rPr>
              <w:lastRenderedPageBreak/>
              <w:t>technologies, which are produced from domestic SMEs so as to overcome the high expenses and to increase the perceived quality to the end-users.</w:t>
            </w:r>
          </w:p>
        </w:tc>
      </w:tr>
      <w:tr w:rsidR="009B2181" w:rsidRPr="00A33AE8" w14:paraId="0FC31AE3"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2632D62F"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074F7EE0" w14:textId="77777777" w:rsidR="009B2181" w:rsidRPr="00A33AE8" w:rsidRDefault="00C71C70"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9B2181" w:rsidRPr="00A33AE8">
              <w:rPr>
                <w:rFonts w:ascii="Calibri Light" w:eastAsia="Times New Roman" w:hAnsi="Calibri Light" w:cs="Calibri Light"/>
                <w:color w:val="000000"/>
                <w:sz w:val="20"/>
                <w:szCs w:val="20"/>
                <w:lang w:eastAsia="en-GB"/>
              </w:rPr>
              <w:t>-</w:t>
            </w:r>
            <w:r w:rsidR="00B375BC" w:rsidRPr="00A33AE8">
              <w:rPr>
                <w:rFonts w:ascii="Calibri Light" w:eastAsia="Times New Roman" w:hAnsi="Calibri Light" w:cs="Calibri Light"/>
                <w:color w:val="000000"/>
                <w:sz w:val="20"/>
                <w:szCs w:val="20"/>
                <w:lang w:eastAsia="en-GB"/>
              </w:rPr>
              <w:t>20</w:t>
            </w:r>
            <w:r w:rsidR="00B375BC">
              <w:rPr>
                <w:rFonts w:ascii="Calibri Light" w:eastAsia="Times New Roman" w:hAnsi="Calibri Light" w:cs="Calibri Light"/>
                <w:color w:val="000000"/>
                <w:sz w:val="20"/>
                <w:szCs w:val="20"/>
                <w:lang w:eastAsia="en-GB"/>
              </w:rPr>
              <w:t>28</w:t>
            </w:r>
          </w:p>
        </w:tc>
      </w:tr>
      <w:tr w:rsidR="00B63E46" w:rsidRPr="00A33AE8" w14:paraId="70EFCD3F"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AEB433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E7D88A4"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6D4DB875"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3AA1E9A4"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08D06E0"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B63E46" w:rsidRPr="00A33AE8" w14:paraId="419D482A"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59AA4EB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59AF089" w14:textId="77777777" w:rsidR="00B63E46" w:rsidRPr="00A33AE8" w:rsidRDefault="00530090"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540AB619" w14:textId="77777777" w:rsidR="00530090" w:rsidRPr="00A33AE8" w:rsidRDefault="00530090"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p w14:paraId="39F8C083" w14:textId="77777777" w:rsidR="00530090" w:rsidRPr="00A33AE8" w:rsidRDefault="00530090"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Chamber of Engineers</w:t>
            </w:r>
            <w:r w:rsidR="00C71C70" w:rsidRPr="00A33AE8">
              <w:rPr>
                <w:rFonts w:ascii="Calibri Light" w:eastAsia="Times New Roman" w:hAnsi="Calibri Light" w:cs="Calibri Light"/>
                <w:color w:val="000000"/>
                <w:sz w:val="20"/>
                <w:szCs w:val="20"/>
                <w:lang w:eastAsia="en-GB"/>
              </w:rPr>
              <w:t xml:space="preserve"> of Serbia</w:t>
            </w:r>
          </w:p>
          <w:p w14:paraId="16FE3CDB" w14:textId="77777777" w:rsidR="00530090" w:rsidRPr="00A33AE8" w:rsidRDefault="00FE5DB0"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Competent Universities of the RS</w:t>
            </w:r>
          </w:p>
          <w:p w14:paraId="32715A2D" w14:textId="77777777" w:rsidR="00FE5DB0" w:rsidRPr="00A33AE8" w:rsidRDefault="00FE5DB0"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Regional Centres for Energy Efficiency</w:t>
            </w:r>
          </w:p>
        </w:tc>
      </w:tr>
      <w:tr w:rsidR="00B63E46" w:rsidRPr="00A33AE8" w14:paraId="0CB8B911"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49E6489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27C1184" w14:textId="77777777" w:rsidR="00B63E46" w:rsidRPr="00A33AE8" w:rsidRDefault="00B375BC"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B375BC">
              <w:rPr>
                <w:rFonts w:ascii="Calibri Light" w:eastAsia="Times New Roman" w:hAnsi="Calibri Light" w:cs="Calibri Light"/>
                <w:color w:val="000000"/>
                <w:sz w:val="20"/>
                <w:szCs w:val="20"/>
                <w:lang w:eastAsia="en-GB"/>
              </w:rPr>
              <w:t>Government of the Republic of Serbia</w:t>
            </w:r>
          </w:p>
        </w:tc>
      </w:tr>
      <w:tr w:rsidR="00B63E46" w:rsidRPr="00A33AE8" w14:paraId="303602C4"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25A078ED"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84BD4F9" w14:textId="77777777" w:rsidR="00B63E46" w:rsidRPr="00A33AE8" w:rsidRDefault="00253B22"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energy efficiency professionals</w:t>
            </w:r>
            <w:r w:rsidR="00C71C70" w:rsidRPr="00A33AE8">
              <w:rPr>
                <w:rFonts w:ascii="Calibri Light" w:eastAsia="Times New Roman" w:hAnsi="Calibri Light" w:cs="Calibri Light"/>
                <w:color w:val="000000"/>
                <w:sz w:val="20"/>
                <w:szCs w:val="20"/>
                <w:lang w:eastAsia="en-GB"/>
              </w:rPr>
              <w:t xml:space="preserve"> with improved skills</w:t>
            </w:r>
          </w:p>
        </w:tc>
      </w:tr>
      <w:tr w:rsidR="006C6A30" w:rsidRPr="00A33AE8" w14:paraId="4DA7E56F" w14:textId="77777777" w:rsidTr="006769DA">
        <w:trPr>
          <w:gridAfter w:val="1"/>
          <w:wAfter w:w="222" w:type="dxa"/>
          <w:trHeight w:val="409"/>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2314D66C"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172B011" w14:textId="77777777" w:rsidR="00B375BC" w:rsidRPr="00B375BC" w:rsidRDefault="006C6A30"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B375BC" w:rsidRPr="00B375BC">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in heating and cooling)</w:t>
            </w:r>
          </w:p>
          <w:p w14:paraId="57D97D47" w14:textId="77777777" w:rsidR="006C6A30" w:rsidRPr="00A33AE8" w:rsidRDefault="00B375BC"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B375BC">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63E46" w:rsidRPr="00A33AE8" w14:paraId="657A3722" w14:textId="77777777" w:rsidTr="006769DA">
        <w:trPr>
          <w:gridAfter w:val="1"/>
          <w:wAfter w:w="222" w:type="dxa"/>
          <w:trHeight w:val="450"/>
        </w:trPr>
        <w:tc>
          <w:tcPr>
            <w:tcW w:w="331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D19A898"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C659DD2" w14:textId="77777777" w:rsidR="00B63E46" w:rsidRPr="00A33AE8" w:rsidRDefault="00B63E46"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01644986" w14:textId="77777777" w:rsidR="00B63E46" w:rsidRPr="00A33AE8" w:rsidRDefault="00B63E46"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7F65510C" w14:textId="77777777" w:rsidR="00B25A56" w:rsidRPr="00A33AE8" w:rsidRDefault="00B25A56"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0007D2">
              <w:rPr>
                <w:rFonts w:ascii="Calibri Light" w:hAnsi="Calibri Light"/>
                <w:color w:val="000000"/>
                <w:sz w:val="20"/>
              </w:rPr>
              <w:t xml:space="preserve">Directive </w:t>
            </w:r>
            <w:r w:rsidR="00C71C70" w:rsidRPr="00A33AE8">
              <w:rPr>
                <w:rFonts w:ascii="Calibri Light" w:eastAsia="Times New Roman" w:hAnsi="Calibri Light" w:cs="Calibri Light"/>
                <w:color w:val="000000"/>
                <w:sz w:val="20"/>
                <w:szCs w:val="20"/>
                <w:lang w:eastAsia="en-GB"/>
              </w:rPr>
              <w:t xml:space="preserve">(EU) </w:t>
            </w:r>
            <w:r w:rsidRPr="000007D2">
              <w:rPr>
                <w:rFonts w:ascii="Calibri Light" w:hAnsi="Calibri Light"/>
                <w:color w:val="000000"/>
                <w:sz w:val="20"/>
              </w:rPr>
              <w:t>2010/31</w:t>
            </w:r>
          </w:p>
          <w:p w14:paraId="6CE3427A" w14:textId="77777777" w:rsidR="00B25A56" w:rsidRPr="00A33AE8" w:rsidRDefault="00B25A56" w:rsidP="00884F3B">
            <w:pPr>
              <w:pStyle w:val="ListParagraph"/>
              <w:numPr>
                <w:ilvl w:val="0"/>
                <w:numId w:val="168"/>
              </w:numPr>
              <w:spacing w:after="0" w:line="240" w:lineRule="auto"/>
              <w:rPr>
                <w:rFonts w:ascii="Calibri Light" w:eastAsia="Times New Roman" w:hAnsi="Calibri Light" w:cs="Calibri Light"/>
                <w:color w:val="000000"/>
                <w:sz w:val="20"/>
                <w:szCs w:val="20"/>
                <w:lang w:eastAsia="en-GB"/>
              </w:rPr>
            </w:pPr>
            <w:r w:rsidRPr="000007D2">
              <w:rPr>
                <w:rFonts w:ascii="Calibri Light" w:hAnsi="Calibri Light"/>
                <w:color w:val="000000"/>
                <w:sz w:val="20"/>
              </w:rPr>
              <w:t xml:space="preserve">Directive </w:t>
            </w:r>
            <w:r w:rsidR="00C71C70" w:rsidRPr="00A33AE8">
              <w:rPr>
                <w:rFonts w:ascii="Calibri Light" w:eastAsia="Times New Roman" w:hAnsi="Calibri Light" w:cs="Calibri Light"/>
                <w:color w:val="000000"/>
                <w:sz w:val="20"/>
                <w:szCs w:val="20"/>
                <w:lang w:eastAsia="en-GB"/>
              </w:rPr>
              <w:t xml:space="preserve">(EU) </w:t>
            </w:r>
            <w:r w:rsidRPr="000007D2">
              <w:rPr>
                <w:rFonts w:ascii="Calibri Light" w:hAnsi="Calibri Light"/>
                <w:color w:val="000000"/>
                <w:sz w:val="20"/>
              </w:rPr>
              <w:t>2018/844</w:t>
            </w:r>
          </w:p>
        </w:tc>
      </w:tr>
      <w:tr w:rsidR="00B63E46" w:rsidRPr="00A33AE8" w14:paraId="6174F836" w14:textId="77777777" w:rsidTr="006769DA">
        <w:trPr>
          <w:trHeight w:val="300"/>
        </w:trPr>
        <w:tc>
          <w:tcPr>
            <w:tcW w:w="3315" w:type="dxa"/>
            <w:vMerge/>
            <w:tcBorders>
              <w:top w:val="nil"/>
              <w:left w:val="single" w:sz="8" w:space="0" w:color="auto"/>
              <w:bottom w:val="single" w:sz="8" w:space="0" w:color="000000"/>
              <w:right w:val="single" w:sz="8" w:space="0" w:color="auto"/>
            </w:tcBorders>
            <w:vAlign w:val="center"/>
            <w:hideMark/>
          </w:tcPr>
          <w:p w14:paraId="1CA1F41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0C1DB694"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AF20349"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168CE66E" w14:textId="77777777" w:rsidTr="006769DA">
        <w:trPr>
          <w:trHeight w:val="60"/>
        </w:trPr>
        <w:tc>
          <w:tcPr>
            <w:tcW w:w="3315" w:type="dxa"/>
            <w:vMerge/>
            <w:tcBorders>
              <w:top w:val="nil"/>
              <w:left w:val="single" w:sz="8" w:space="0" w:color="auto"/>
              <w:bottom w:val="single" w:sz="8" w:space="0" w:color="000000"/>
              <w:right w:val="single" w:sz="8" w:space="0" w:color="auto"/>
            </w:tcBorders>
            <w:vAlign w:val="center"/>
            <w:hideMark/>
          </w:tcPr>
          <w:p w14:paraId="5F6310A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768292C2"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A45103F"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3D054857" w14:textId="77777777" w:rsidTr="006769DA">
        <w:trPr>
          <w:trHeight w:val="640"/>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3670BD83"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E23233B" w14:textId="77777777" w:rsidR="0075346B" w:rsidRPr="00A33AE8" w:rsidRDefault="00D31D50"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w:t>
            </w:r>
          </w:p>
          <w:p w14:paraId="450B63B4" w14:textId="77777777" w:rsidR="00FE5DB0" w:rsidRPr="00A33AE8" w:rsidRDefault="00FE5DB0" w:rsidP="00884F3B">
            <w:pPr>
              <w:pStyle w:val="ListParagraph"/>
              <w:numPr>
                <w:ilvl w:val="0"/>
                <w:numId w:val="167"/>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Planning and Construction</w:t>
            </w:r>
          </w:p>
          <w:p w14:paraId="60FCBEFD" w14:textId="77777777" w:rsidR="00D31D50" w:rsidRPr="00A33AE8" w:rsidRDefault="00D31D50" w:rsidP="00884F3B">
            <w:pPr>
              <w:pStyle w:val="ListParagraph"/>
              <w:numPr>
                <w:ilvl w:val="0"/>
                <w:numId w:val="1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Rational Use of Energy 4th NEEAP</w:t>
            </w:r>
          </w:p>
          <w:p w14:paraId="5B37DE81"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c>
          <w:tcPr>
            <w:tcW w:w="222" w:type="dxa"/>
            <w:vAlign w:val="center"/>
            <w:hideMark/>
          </w:tcPr>
          <w:p w14:paraId="095FD89A"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867645" w:rsidRPr="00A33AE8" w14:paraId="6665A6C7"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EB4F485"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F154DA9" w14:textId="77777777" w:rsidR="00867645" w:rsidRPr="00A33AE8" w:rsidRDefault="00867645" w:rsidP="00867645">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Budget incorporated into all end-use measures</w:t>
            </w:r>
            <w:r w:rsidR="003C6869" w:rsidRPr="00A33AE8">
              <w:rPr>
                <w:rFonts w:ascii="Calibri Light" w:eastAsia="Times New Roman" w:hAnsi="Calibri Light" w:cs="Calibri Light"/>
                <w:color w:val="000000"/>
                <w:sz w:val="20"/>
                <w:szCs w:val="20"/>
                <w:lang w:eastAsia="en-GB"/>
              </w:rPr>
              <w:t xml:space="preserve"> – under consideration</w:t>
            </w:r>
          </w:p>
        </w:tc>
        <w:tc>
          <w:tcPr>
            <w:tcW w:w="222" w:type="dxa"/>
            <w:vAlign w:val="center"/>
            <w:hideMark/>
          </w:tcPr>
          <w:p w14:paraId="7F5120D6"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B63E46" w:rsidRPr="00A33AE8" w14:paraId="362E39B2"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4BC160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EA50BEB" w14:textId="77777777" w:rsidR="00B63E46" w:rsidRPr="00A33AE8" w:rsidRDefault="00253B22" w:rsidP="006769DA">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EU and other funds</w:t>
            </w:r>
            <w:r w:rsidR="00037A9E"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public funds</w:t>
            </w:r>
            <w:r w:rsidR="00867645" w:rsidRPr="00A33AE8">
              <w:rPr>
                <w:rFonts w:asciiTheme="majorHAnsi" w:eastAsia="Times New Roman" w:hAnsiTheme="majorHAnsi" w:cstheme="majorHAnsi"/>
                <w:color w:val="000000"/>
                <w:sz w:val="20"/>
                <w:szCs w:val="20"/>
                <w:lang w:eastAsia="en-GB"/>
              </w:rPr>
              <w:t xml:space="preserve"> and </w:t>
            </w:r>
            <w:r w:rsidR="00922BD5" w:rsidRPr="00A33AE8">
              <w:rPr>
                <w:rFonts w:asciiTheme="majorHAnsi" w:eastAsia="Times New Roman" w:hAnsiTheme="majorHAnsi" w:cstheme="majorHAnsi"/>
                <w:color w:val="000000"/>
                <w:sz w:val="20"/>
                <w:szCs w:val="20"/>
                <w:lang w:eastAsia="en-GB"/>
              </w:rPr>
              <w:t xml:space="preserve">own </w:t>
            </w:r>
            <w:r w:rsidR="00867645"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3CC6EAE5"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bl>
    <w:p w14:paraId="266827B9"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5"/>
        <w:gridCol w:w="986"/>
        <w:gridCol w:w="943"/>
        <w:gridCol w:w="4214"/>
        <w:gridCol w:w="222"/>
      </w:tblGrid>
      <w:tr w:rsidR="00B63E46" w:rsidRPr="00A33AE8" w14:paraId="00C6C822" w14:textId="77777777" w:rsidTr="006769DA">
        <w:trPr>
          <w:gridAfter w:val="1"/>
          <w:wAfter w:w="222" w:type="dxa"/>
          <w:trHeight w:val="780"/>
        </w:trPr>
        <w:tc>
          <w:tcPr>
            <w:tcW w:w="331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4C8B7AE"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33B4F07"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PM_EE36</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3553779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5E1FB099"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energy efficiency in water supply, distribution and consumption</w:t>
            </w:r>
          </w:p>
        </w:tc>
      </w:tr>
      <w:tr w:rsidR="00B63E46" w:rsidRPr="00A33AE8" w14:paraId="1498A566" w14:textId="77777777" w:rsidTr="006769DA">
        <w:trPr>
          <w:gridAfter w:val="1"/>
          <w:wAfter w:w="222" w:type="dxa"/>
          <w:trHeight w:val="496"/>
        </w:trPr>
        <w:tc>
          <w:tcPr>
            <w:tcW w:w="3315" w:type="dxa"/>
            <w:tcBorders>
              <w:top w:val="nil"/>
              <w:left w:val="single" w:sz="8" w:space="0" w:color="auto"/>
              <w:bottom w:val="single" w:sz="8" w:space="0" w:color="auto"/>
              <w:right w:val="nil"/>
            </w:tcBorders>
            <w:shd w:val="clear" w:color="000000" w:fill="244062"/>
            <w:vAlign w:val="center"/>
            <w:hideMark/>
          </w:tcPr>
          <w:p w14:paraId="64F87F1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C2F8A4B" w14:textId="2BFCD752"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36D91964" w14:textId="77777777" w:rsidR="00B63E46" w:rsidRPr="00A33AE8" w:rsidRDefault="00B63E46" w:rsidP="00884F3B">
            <w:pPr>
              <w:pStyle w:val="ListParagraph"/>
              <w:numPr>
                <w:ilvl w:val="0"/>
                <w:numId w:val="1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p w14:paraId="41AFE95E" w14:textId="77777777" w:rsidR="00B63E46" w:rsidRPr="00A33AE8" w:rsidRDefault="00B63E46" w:rsidP="00884F3B">
            <w:pPr>
              <w:pStyle w:val="ListParagraph"/>
              <w:numPr>
                <w:ilvl w:val="0"/>
                <w:numId w:val="1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7</w:t>
            </w:r>
          </w:p>
        </w:tc>
      </w:tr>
      <w:tr w:rsidR="00B63E46" w:rsidRPr="00A33AE8" w14:paraId="6C5D68F2"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3F0E0343"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79FE694"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r>
      <w:tr w:rsidR="009B2181" w:rsidRPr="00A33AE8" w14:paraId="75FE4684" w14:textId="77777777" w:rsidTr="006769DA">
        <w:trPr>
          <w:gridAfter w:val="1"/>
          <w:wAfter w:w="222" w:type="dxa"/>
          <w:trHeight w:val="1437"/>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568FFA0F"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6C78EBE3" w14:textId="77777777" w:rsidR="009B2181" w:rsidRPr="00A33AE8" w:rsidRDefault="009B2181" w:rsidP="009B2181">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PM_EE36 will promote energy efficiency in water sector mainly through the provision of economic incentives either in the form of subsidies or soft loans. The measure will focus on the identification of the relationship between the water used for energy production (energy-water nexus), the implementation of water management techniques, the installation of water-efficient end-use equipment and the conduction of other energy conservation measures in compliance with the Principle "Energy efficiency first".</w:t>
            </w:r>
            <w:r w:rsidR="00B618D2" w:rsidRPr="00A33AE8">
              <w:rPr>
                <w:rFonts w:ascii="Calibri Light" w:eastAsia="Times New Roman" w:hAnsi="Calibri Light" w:cs="Calibri Light"/>
                <w:color w:val="000000"/>
                <w:sz w:val="20"/>
                <w:szCs w:val="20"/>
                <w:lang w:eastAsia="en-GB"/>
              </w:rPr>
              <w:t xml:space="preserve"> A targeted action plan will be prepared for </w:t>
            </w:r>
            <w:r w:rsidR="00081D7A" w:rsidRPr="00A33AE8">
              <w:rPr>
                <w:rFonts w:ascii="Calibri Light" w:eastAsia="Times New Roman" w:hAnsi="Calibri Light" w:cs="Calibri Light"/>
                <w:color w:val="000000"/>
                <w:sz w:val="20"/>
                <w:szCs w:val="20"/>
                <w:lang w:eastAsia="en-GB"/>
              </w:rPr>
              <w:t>identifying</w:t>
            </w:r>
            <w:r w:rsidR="00B618D2" w:rsidRPr="00A33AE8">
              <w:rPr>
                <w:rFonts w:ascii="Calibri Light" w:eastAsia="Times New Roman" w:hAnsi="Calibri Light" w:cs="Calibri Light"/>
                <w:color w:val="000000"/>
                <w:sz w:val="20"/>
                <w:szCs w:val="20"/>
                <w:lang w:eastAsia="en-GB"/>
              </w:rPr>
              <w:t xml:space="preserve"> the most cost-effective</w:t>
            </w:r>
            <w:r w:rsidR="00081D7A" w:rsidRPr="000007D2">
              <w:rPr>
                <w:rFonts w:ascii="Calibri Light" w:eastAsia="Times New Roman" w:hAnsi="Calibri Light" w:cs="Calibri Light"/>
                <w:color w:val="000000"/>
                <w:sz w:val="20"/>
                <w:szCs w:val="20"/>
                <w:lang w:eastAsia="en-GB"/>
              </w:rPr>
              <w:t xml:space="preserve"> </w:t>
            </w:r>
            <w:r w:rsidR="00081D7A" w:rsidRPr="00A33AE8">
              <w:rPr>
                <w:rFonts w:ascii="Calibri Light" w:eastAsia="Times New Roman" w:hAnsi="Calibri Light" w:cs="Calibri Light"/>
                <w:color w:val="000000"/>
                <w:sz w:val="20"/>
                <w:szCs w:val="20"/>
                <w:lang w:eastAsia="en-GB"/>
              </w:rPr>
              <w:t>equipment</w:t>
            </w:r>
            <w:r w:rsidR="00B618D2" w:rsidRPr="00A33AE8">
              <w:rPr>
                <w:rFonts w:ascii="Calibri Light" w:eastAsia="Times New Roman" w:hAnsi="Calibri Light" w:cs="Calibri Light"/>
                <w:color w:val="000000"/>
                <w:sz w:val="20"/>
                <w:szCs w:val="20"/>
                <w:lang w:eastAsia="en-GB"/>
              </w:rPr>
              <w:t xml:space="preserve"> and technologies in order to promote the energy efficiency in water supply, distribution and consumption.</w:t>
            </w:r>
          </w:p>
        </w:tc>
      </w:tr>
      <w:tr w:rsidR="00B63E46" w:rsidRPr="00A33AE8" w14:paraId="658D9AB7"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36E43B40"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6CC1E57B"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-2030</w:t>
            </w:r>
          </w:p>
        </w:tc>
      </w:tr>
      <w:tr w:rsidR="00B63E46" w:rsidRPr="00A33AE8" w14:paraId="5BEEE8D3"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475423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179E264"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B63E46" w:rsidRPr="00A33AE8" w14:paraId="01B3D0A6"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766BFF7"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BDF545A" w14:textId="77777777" w:rsidR="00B63E46" w:rsidRPr="000007D2" w:rsidRDefault="00B63E4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All </w:t>
            </w:r>
            <w:r w:rsidR="00CE2977" w:rsidRPr="00A33AE8">
              <w:rPr>
                <w:rFonts w:ascii="Calibri Light" w:eastAsia="Times New Roman" w:hAnsi="Calibri Light" w:cs="Calibri Light"/>
                <w:color w:val="000000"/>
                <w:sz w:val="20"/>
                <w:szCs w:val="20"/>
                <w:lang w:eastAsia="en-GB"/>
              </w:rPr>
              <w:t xml:space="preserve">final energy consumption </w:t>
            </w:r>
            <w:r w:rsidRPr="00A33AE8">
              <w:rPr>
                <w:rFonts w:ascii="Calibri Light" w:eastAsia="Times New Roman" w:hAnsi="Calibri Light" w:cs="Calibri Light"/>
                <w:color w:val="000000"/>
                <w:sz w:val="20"/>
                <w:szCs w:val="20"/>
                <w:lang w:eastAsia="en-GB"/>
              </w:rPr>
              <w:t>sectors</w:t>
            </w:r>
          </w:p>
        </w:tc>
      </w:tr>
      <w:tr w:rsidR="00BC283F" w:rsidRPr="00A33AE8" w14:paraId="38FD4484" w14:textId="77777777" w:rsidTr="006769DA">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A581C83" w14:textId="77777777" w:rsidR="00BC283F" w:rsidRPr="000007D2" w:rsidRDefault="00BC283F" w:rsidP="00BC283F">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Implementing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14AADE0" w14:textId="77777777" w:rsidR="00BC283F" w:rsidRPr="000007D2" w:rsidRDefault="00BC283F"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BC283F" w:rsidRPr="00A33AE8" w14:paraId="2AF0C97D"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673A4322"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12E5E9F" w14:textId="77777777" w:rsidR="00BC283F" w:rsidRPr="00A33AE8" w:rsidRDefault="00772702"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Government of the Republic of Serbia</w:t>
            </w:r>
          </w:p>
        </w:tc>
      </w:tr>
      <w:tr w:rsidR="00BC283F" w:rsidRPr="00A33AE8" w14:paraId="4588325A" w14:textId="77777777" w:rsidTr="006769DA">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726E7E13"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13E78B8D" w14:textId="77777777" w:rsidR="00BC283F" w:rsidRPr="00A33AE8"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Modernised water network</w:t>
            </w:r>
          </w:p>
          <w:p w14:paraId="34E16263" w14:textId="77777777" w:rsidR="00BC283F" w:rsidRPr="00A33AE8"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energy-water nexus projects</w:t>
            </w:r>
          </w:p>
        </w:tc>
      </w:tr>
      <w:tr w:rsidR="00BC283F" w:rsidRPr="00A33AE8" w14:paraId="10631F63" w14:textId="77777777" w:rsidTr="006769DA">
        <w:trPr>
          <w:gridAfter w:val="1"/>
          <w:wAfter w:w="222" w:type="dxa"/>
          <w:trHeight w:val="378"/>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15007DFD"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EEE1DD6" w14:textId="77777777" w:rsidR="00772702" w:rsidRPr="00772702"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72702" w:rsidRPr="00772702">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1FFB8D29" w14:textId="77777777" w:rsidR="00BC283F" w:rsidRPr="00A33AE8" w:rsidRDefault="00772702"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C283F" w:rsidRPr="00A33AE8" w14:paraId="78100841" w14:textId="77777777" w:rsidTr="006769DA">
        <w:trPr>
          <w:gridAfter w:val="1"/>
          <w:wAfter w:w="222" w:type="dxa"/>
          <w:trHeight w:val="450"/>
        </w:trPr>
        <w:tc>
          <w:tcPr>
            <w:tcW w:w="331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5B7C300"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C0AD05" w14:textId="77777777" w:rsidR="00BC283F" w:rsidRPr="00A33AE8"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3BBA6060" w14:textId="77777777" w:rsidR="00BC283F" w:rsidRPr="00A33AE8"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BC283F" w:rsidRPr="00A33AE8" w14:paraId="182A1F42" w14:textId="77777777" w:rsidTr="006769DA">
        <w:trPr>
          <w:trHeight w:val="300"/>
        </w:trPr>
        <w:tc>
          <w:tcPr>
            <w:tcW w:w="3315" w:type="dxa"/>
            <w:vMerge/>
            <w:tcBorders>
              <w:top w:val="nil"/>
              <w:left w:val="single" w:sz="8" w:space="0" w:color="auto"/>
              <w:bottom w:val="single" w:sz="8" w:space="0" w:color="000000"/>
              <w:right w:val="single" w:sz="8" w:space="0" w:color="auto"/>
            </w:tcBorders>
            <w:vAlign w:val="center"/>
            <w:hideMark/>
          </w:tcPr>
          <w:p w14:paraId="1A19AD76"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6620477B" w14:textId="77777777" w:rsidR="00BC283F" w:rsidRPr="00A33AE8"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F631BB0" w14:textId="77777777" w:rsidR="00BC283F" w:rsidRPr="00A33AE8" w:rsidRDefault="00BC283F" w:rsidP="00BC283F">
            <w:pPr>
              <w:spacing w:after="0" w:line="240" w:lineRule="auto"/>
              <w:rPr>
                <w:rFonts w:ascii="Calibri Light" w:eastAsia="Times New Roman" w:hAnsi="Calibri Light" w:cs="Calibri Light"/>
                <w:color w:val="000000"/>
                <w:sz w:val="20"/>
                <w:szCs w:val="20"/>
                <w:lang w:eastAsia="en-GB"/>
              </w:rPr>
            </w:pPr>
          </w:p>
        </w:tc>
      </w:tr>
      <w:tr w:rsidR="00BC283F" w:rsidRPr="00A33AE8" w14:paraId="30563D11" w14:textId="77777777" w:rsidTr="006769DA">
        <w:trPr>
          <w:trHeight w:val="60"/>
        </w:trPr>
        <w:tc>
          <w:tcPr>
            <w:tcW w:w="3315" w:type="dxa"/>
            <w:vMerge/>
            <w:tcBorders>
              <w:top w:val="nil"/>
              <w:left w:val="single" w:sz="8" w:space="0" w:color="auto"/>
              <w:bottom w:val="single" w:sz="8" w:space="0" w:color="000000"/>
              <w:right w:val="single" w:sz="8" w:space="0" w:color="auto"/>
            </w:tcBorders>
            <w:vAlign w:val="center"/>
            <w:hideMark/>
          </w:tcPr>
          <w:p w14:paraId="22FDE53E"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01505332" w14:textId="77777777" w:rsidR="00BC283F" w:rsidRPr="00A33AE8" w:rsidRDefault="00BC283F"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1944636" w14:textId="77777777" w:rsidR="00BC283F" w:rsidRPr="00A33AE8" w:rsidRDefault="00BC283F" w:rsidP="00BC283F">
            <w:pPr>
              <w:spacing w:after="0" w:line="240" w:lineRule="auto"/>
              <w:rPr>
                <w:rFonts w:ascii="Times New Roman" w:eastAsia="Times New Roman" w:hAnsi="Times New Roman" w:cs="Times New Roman"/>
                <w:sz w:val="20"/>
                <w:szCs w:val="20"/>
                <w:lang w:eastAsia="en-GB"/>
              </w:rPr>
            </w:pPr>
          </w:p>
        </w:tc>
      </w:tr>
      <w:tr w:rsidR="00BC283F" w:rsidRPr="00A33AE8" w14:paraId="7CEEDDFD" w14:textId="77777777" w:rsidTr="006769DA">
        <w:trPr>
          <w:trHeight w:val="327"/>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7718408"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8E32A11" w14:textId="77777777" w:rsidR="00BC283F" w:rsidRPr="00A33AE8" w:rsidRDefault="00CB3A26" w:rsidP="00884F3B">
            <w:pPr>
              <w:pStyle w:val="ListParagraph"/>
              <w:numPr>
                <w:ilvl w:val="0"/>
                <w:numId w:val="1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p w14:paraId="1DD1B9DA" w14:textId="77777777" w:rsidR="00BC283F" w:rsidRPr="00A33AE8" w:rsidRDefault="00BC283F" w:rsidP="00884F3B">
            <w:pPr>
              <w:pStyle w:val="ListParagraph"/>
              <w:numPr>
                <w:ilvl w:val="0"/>
                <w:numId w:val="16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Other strategic documents in the field of environmental protection</w:t>
            </w:r>
          </w:p>
        </w:tc>
        <w:tc>
          <w:tcPr>
            <w:tcW w:w="222" w:type="dxa"/>
            <w:vAlign w:val="center"/>
            <w:hideMark/>
          </w:tcPr>
          <w:p w14:paraId="11D39459" w14:textId="77777777" w:rsidR="00BC283F" w:rsidRPr="00A33AE8" w:rsidRDefault="00BC283F" w:rsidP="00BC283F">
            <w:pPr>
              <w:spacing w:after="0" w:line="240" w:lineRule="auto"/>
              <w:rPr>
                <w:rFonts w:ascii="Times New Roman" w:eastAsia="Times New Roman" w:hAnsi="Times New Roman" w:cs="Times New Roman"/>
                <w:sz w:val="20"/>
                <w:szCs w:val="20"/>
                <w:lang w:eastAsia="en-GB"/>
              </w:rPr>
            </w:pPr>
          </w:p>
        </w:tc>
      </w:tr>
      <w:tr w:rsidR="00BC283F" w:rsidRPr="00A33AE8" w14:paraId="31BE090D"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2C733EF"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F204FEF" w14:textId="77777777" w:rsidR="00BC283F" w:rsidRPr="00A33AE8" w:rsidRDefault="00BC283F" w:rsidP="00BC283F">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75A76441" w14:textId="77777777" w:rsidR="00BC283F" w:rsidRPr="00A33AE8" w:rsidRDefault="00BC283F" w:rsidP="00BC283F">
            <w:pPr>
              <w:spacing w:after="0" w:line="240" w:lineRule="auto"/>
              <w:rPr>
                <w:rFonts w:ascii="Times New Roman" w:eastAsia="Times New Roman" w:hAnsi="Times New Roman" w:cs="Times New Roman"/>
                <w:sz w:val="20"/>
                <w:szCs w:val="20"/>
                <w:lang w:eastAsia="en-GB"/>
              </w:rPr>
            </w:pPr>
          </w:p>
        </w:tc>
      </w:tr>
      <w:tr w:rsidR="00BC283F" w:rsidRPr="00A33AE8" w14:paraId="6F62238F" w14:textId="77777777" w:rsidTr="006769DA">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26DFFE0" w14:textId="77777777" w:rsidR="00BC283F" w:rsidRPr="00A33AE8" w:rsidRDefault="00BC283F" w:rsidP="00BC283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0FE3182" w14:textId="77777777" w:rsidR="00BC283F" w:rsidRPr="00A33AE8" w:rsidRDefault="00BC283F" w:rsidP="00BC283F">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22BE08BE" w14:textId="77777777" w:rsidR="00BC283F" w:rsidRPr="00A33AE8" w:rsidRDefault="00BC283F" w:rsidP="00BC283F">
            <w:pPr>
              <w:spacing w:after="0" w:line="240" w:lineRule="auto"/>
              <w:rPr>
                <w:rFonts w:ascii="Times New Roman" w:eastAsia="Times New Roman" w:hAnsi="Times New Roman" w:cs="Times New Roman"/>
                <w:sz w:val="20"/>
                <w:szCs w:val="20"/>
                <w:lang w:eastAsia="en-GB"/>
              </w:rPr>
            </w:pPr>
          </w:p>
        </w:tc>
      </w:tr>
    </w:tbl>
    <w:p w14:paraId="22FB0A2E" w14:textId="77777777" w:rsidR="00B63E46" w:rsidRPr="00A33AE8" w:rsidRDefault="00B63E46" w:rsidP="00B63E46">
      <w:pPr>
        <w:pStyle w:val="LDKbody"/>
        <w:rPr>
          <w:lang w:val="en-GB"/>
        </w:rPr>
      </w:pPr>
    </w:p>
    <w:tbl>
      <w:tblPr>
        <w:tblW w:w="9680" w:type="dxa"/>
        <w:tblLook w:val="04A0" w:firstRow="1" w:lastRow="0" w:firstColumn="1" w:lastColumn="0" w:noHBand="0" w:noVBand="1"/>
      </w:tblPr>
      <w:tblGrid>
        <w:gridCol w:w="3312"/>
        <w:gridCol w:w="986"/>
        <w:gridCol w:w="943"/>
        <w:gridCol w:w="4217"/>
        <w:gridCol w:w="222"/>
      </w:tblGrid>
      <w:tr w:rsidR="00B63E46" w:rsidRPr="00A33AE8" w14:paraId="0D7ABF2A" w14:textId="77777777" w:rsidTr="006769DA">
        <w:trPr>
          <w:gridAfter w:val="1"/>
          <w:wAfter w:w="222" w:type="dxa"/>
          <w:trHeight w:val="780"/>
        </w:trPr>
        <w:tc>
          <w:tcPr>
            <w:tcW w:w="3312"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13C2497A" w14:textId="77777777" w:rsidR="00B63E46" w:rsidRPr="00A33AE8" w:rsidRDefault="00B63E46"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F897ABB"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PM_EE37</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78360E41"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7" w:type="dxa"/>
            <w:tcBorders>
              <w:top w:val="single" w:sz="8" w:space="0" w:color="auto"/>
              <w:left w:val="nil"/>
              <w:bottom w:val="single" w:sz="8" w:space="0" w:color="auto"/>
              <w:right w:val="single" w:sz="8" w:space="0" w:color="auto"/>
            </w:tcBorders>
            <w:shd w:val="clear" w:color="auto" w:fill="E7E6E6" w:themeFill="background2"/>
            <w:vAlign w:val="center"/>
            <w:hideMark/>
          </w:tcPr>
          <w:p w14:paraId="4CCDC7E7" w14:textId="77777777" w:rsidR="00B63E46" w:rsidRPr="00A33AE8" w:rsidRDefault="00B63E46"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Strengthening the technical and administrative capacity of the involved policy makers</w:t>
            </w:r>
          </w:p>
        </w:tc>
      </w:tr>
      <w:tr w:rsidR="00B63E46" w:rsidRPr="00A33AE8" w14:paraId="3100FB5F" w14:textId="77777777" w:rsidTr="006769DA">
        <w:trPr>
          <w:gridAfter w:val="1"/>
          <w:wAfter w:w="222" w:type="dxa"/>
          <w:trHeight w:val="422"/>
        </w:trPr>
        <w:tc>
          <w:tcPr>
            <w:tcW w:w="3312" w:type="dxa"/>
            <w:tcBorders>
              <w:top w:val="nil"/>
              <w:left w:val="single" w:sz="8" w:space="0" w:color="auto"/>
              <w:bottom w:val="single" w:sz="8" w:space="0" w:color="auto"/>
              <w:right w:val="nil"/>
            </w:tcBorders>
            <w:shd w:val="clear" w:color="000000" w:fill="244062"/>
            <w:vAlign w:val="center"/>
            <w:hideMark/>
          </w:tcPr>
          <w:p w14:paraId="3904645B"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788AD670" w14:textId="1DDD3138"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B63E46" w:rsidRPr="00A33AE8">
              <w:rPr>
                <w:rFonts w:ascii="Calibri Light" w:eastAsia="Times New Roman" w:hAnsi="Calibri Light" w:cs="Calibri Light"/>
                <w:color w:val="000000"/>
                <w:sz w:val="20"/>
                <w:szCs w:val="20"/>
                <w:lang w:eastAsia="en-GB"/>
              </w:rPr>
              <w:t>:</w:t>
            </w:r>
          </w:p>
          <w:p w14:paraId="01518FA9" w14:textId="77777777" w:rsidR="00B63E46" w:rsidRPr="00A33AE8" w:rsidRDefault="00B63E4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B63E46" w:rsidRPr="00A33AE8" w14:paraId="38E4D529" w14:textId="77777777" w:rsidTr="006769DA">
        <w:trPr>
          <w:gridAfter w:val="1"/>
          <w:wAfter w:w="222" w:type="dxa"/>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0DB82F1A"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6DF3B147" w14:textId="77777777" w:rsidR="00B63E46" w:rsidRPr="00A33AE8" w:rsidRDefault="00B63E46"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C644D9" w:rsidRPr="00A33AE8">
              <w:rPr>
                <w:rFonts w:ascii="Calibri Light" w:eastAsia="Times New Roman" w:hAnsi="Calibri Light" w:cs="Calibri Light"/>
                <w:color w:val="000000"/>
                <w:sz w:val="20"/>
                <w:szCs w:val="20"/>
                <w:lang w:eastAsia="en-GB"/>
              </w:rPr>
              <w:t>fulfilling the expected final energy consumption levels</w:t>
            </w:r>
          </w:p>
        </w:tc>
      </w:tr>
      <w:tr w:rsidR="00B63E46" w:rsidRPr="00A33AE8" w14:paraId="12FEFA34" w14:textId="77777777" w:rsidTr="006769DA">
        <w:trPr>
          <w:gridAfter w:val="1"/>
          <w:wAfter w:w="222" w:type="dxa"/>
          <w:trHeight w:val="229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3DD25864"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4995CDA4" w14:textId="49B5EF4F" w:rsidR="00B63E46" w:rsidRPr="00A33AE8" w:rsidRDefault="00B63E46"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PM_EE37 will reinforce on continuous basis the technical and administrative capacity of the involved policy makers in order to facilitate the effective design, implementation, monitoring and evaluation of the energy efficiency measures. Specialized trainings will be organized and sophisticated tools and materials will be prepared ensuring that the existing level of knowledge and the required skills are sufficient. </w:t>
            </w:r>
            <w:r w:rsidR="00170D15" w:rsidRPr="00A33AE8">
              <w:rPr>
                <w:rFonts w:ascii="Calibri Light" w:eastAsia="Times New Roman" w:hAnsi="Calibri Light" w:cs="Calibri Light"/>
                <w:color w:val="000000"/>
                <w:sz w:val="20"/>
                <w:szCs w:val="20"/>
                <w:lang w:eastAsia="en-GB"/>
              </w:rPr>
              <w:t xml:space="preserve">Training can include requirements for the </w:t>
            </w:r>
            <w:r w:rsidRPr="00A33AE8">
              <w:rPr>
                <w:rFonts w:ascii="Calibri Light" w:eastAsia="Times New Roman" w:hAnsi="Calibri Light" w:cs="Calibri Light"/>
                <w:color w:val="000000"/>
                <w:sz w:val="20"/>
                <w:szCs w:val="20"/>
                <w:lang w:eastAsia="en-GB"/>
              </w:rPr>
              <w:t>preparation of project/technical documentation in order to increase the quality and the utilization of the projects for the deep renovation of the buildings</w:t>
            </w:r>
            <w:r w:rsidR="00F53D8F" w:rsidRPr="00A33AE8">
              <w:rPr>
                <w:rFonts w:ascii="Calibri Light" w:eastAsia="Times New Roman" w:hAnsi="Calibri Light" w:cs="Calibri Light"/>
                <w:color w:val="000000"/>
                <w:sz w:val="20"/>
                <w:szCs w:val="20"/>
                <w:lang w:eastAsia="en-GB"/>
              </w:rPr>
              <w:t xml:space="preserve">, but also preparation of technical documentation and design brief </w:t>
            </w:r>
            <w:r w:rsidR="00F53D8F" w:rsidRPr="000007D2">
              <w:rPr>
                <w:rFonts w:ascii="Calibri Light" w:eastAsia="Times New Roman" w:hAnsi="Calibri Light" w:cs="Calibri Light"/>
                <w:color w:val="000000"/>
                <w:sz w:val="20"/>
                <w:szCs w:val="20"/>
                <w:lang w:eastAsia="en-GB"/>
              </w:rPr>
              <w:t xml:space="preserve">for their implementation. </w:t>
            </w:r>
            <w:r w:rsidRPr="00A33AE8">
              <w:rPr>
                <w:rFonts w:ascii="Calibri Light" w:eastAsia="Times New Roman" w:hAnsi="Calibri Light" w:cs="Calibri Light"/>
                <w:color w:val="000000"/>
                <w:sz w:val="20"/>
                <w:szCs w:val="20"/>
                <w:lang w:eastAsia="en-GB"/>
              </w:rPr>
              <w:t xml:space="preserve">Finally, tools will be </w:t>
            </w:r>
            <w:r w:rsidR="00F53D8F" w:rsidRPr="00A33AE8">
              <w:rPr>
                <w:rFonts w:ascii="Calibri Light" w:eastAsia="Times New Roman" w:hAnsi="Calibri Light" w:cs="Calibri Light"/>
                <w:color w:val="000000"/>
                <w:sz w:val="20"/>
                <w:szCs w:val="20"/>
                <w:lang w:eastAsia="en-GB"/>
              </w:rPr>
              <w:t xml:space="preserve">further improved and, when needed, </w:t>
            </w:r>
            <w:r w:rsidRPr="00A33AE8">
              <w:rPr>
                <w:rFonts w:ascii="Calibri Light" w:eastAsia="Times New Roman" w:hAnsi="Calibri Light" w:cs="Calibri Light"/>
                <w:color w:val="000000"/>
                <w:sz w:val="20"/>
                <w:szCs w:val="20"/>
                <w:lang w:eastAsia="en-GB"/>
              </w:rPr>
              <w:t xml:space="preserve">developed for monitoring the achievement of the established targets and the performance of the implemented policies and measures including the compliance with the energy efficiency first principle. </w:t>
            </w:r>
          </w:p>
        </w:tc>
      </w:tr>
      <w:tr w:rsidR="00B63E46" w:rsidRPr="00A33AE8" w14:paraId="2E0F0939" w14:textId="77777777" w:rsidTr="006769DA">
        <w:trPr>
          <w:gridAfter w:val="1"/>
          <w:wAfter w:w="222" w:type="dxa"/>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5AD14666"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2986A906" w14:textId="77777777" w:rsidR="00B63E46"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63E46" w:rsidRPr="00A33AE8">
              <w:rPr>
                <w:rFonts w:ascii="Calibri Light" w:eastAsia="Times New Roman" w:hAnsi="Calibri Light" w:cs="Calibri Light"/>
                <w:color w:val="000000"/>
                <w:sz w:val="20"/>
                <w:szCs w:val="20"/>
                <w:lang w:eastAsia="en-GB"/>
              </w:rPr>
              <w:t>-</w:t>
            </w:r>
            <w:r w:rsidR="00772702" w:rsidRPr="00A33AE8">
              <w:rPr>
                <w:rFonts w:ascii="Calibri Light" w:eastAsia="Times New Roman" w:hAnsi="Calibri Light" w:cs="Calibri Light"/>
                <w:color w:val="000000"/>
                <w:sz w:val="20"/>
                <w:szCs w:val="20"/>
                <w:lang w:eastAsia="en-GB"/>
              </w:rPr>
              <w:t>20</w:t>
            </w:r>
            <w:r w:rsidR="00772702">
              <w:rPr>
                <w:rFonts w:ascii="Calibri Light" w:eastAsia="Times New Roman" w:hAnsi="Calibri Light" w:cs="Calibri Light"/>
                <w:color w:val="000000"/>
                <w:sz w:val="20"/>
                <w:szCs w:val="20"/>
                <w:lang w:eastAsia="en-GB"/>
              </w:rPr>
              <w:t>26</w:t>
            </w:r>
          </w:p>
        </w:tc>
      </w:tr>
      <w:tr w:rsidR="00B63E46" w:rsidRPr="00A33AE8" w14:paraId="08EBA17A" w14:textId="77777777" w:rsidTr="006769DA">
        <w:trPr>
          <w:gridAfter w:val="1"/>
          <w:wAfter w:w="222" w:type="dxa"/>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11E1927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15BCD95E" w14:textId="77777777" w:rsidR="00B63E46"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51E83C6E" w14:textId="77777777" w:rsidTr="006769DA">
        <w:trPr>
          <w:gridAfter w:val="1"/>
          <w:wAfter w:w="222" w:type="dxa"/>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529E6CE2"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22C3F059"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B63E46" w:rsidRPr="00A33AE8" w14:paraId="5F8B3B9B" w14:textId="77777777" w:rsidTr="006769DA">
        <w:trPr>
          <w:gridAfter w:val="1"/>
          <w:wAfter w:w="222" w:type="dxa"/>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55632758"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57E93D93" w14:textId="77777777" w:rsidR="00C100B8" w:rsidRPr="00A33AE8" w:rsidRDefault="00C100B8"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29EC0BBE" w14:textId="77777777" w:rsidR="00B63E46" w:rsidRPr="00A33AE8" w:rsidRDefault="00C963EB"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B63E46" w:rsidRPr="00A33AE8" w14:paraId="0D7870B3" w14:textId="77777777" w:rsidTr="006769DA">
        <w:trPr>
          <w:gridAfter w:val="1"/>
          <w:wAfter w:w="222" w:type="dxa"/>
          <w:trHeight w:val="315"/>
        </w:trPr>
        <w:tc>
          <w:tcPr>
            <w:tcW w:w="3312" w:type="dxa"/>
            <w:tcBorders>
              <w:top w:val="nil"/>
              <w:left w:val="single" w:sz="8" w:space="0" w:color="auto"/>
              <w:bottom w:val="single" w:sz="8" w:space="0" w:color="auto"/>
              <w:right w:val="nil"/>
            </w:tcBorders>
            <w:shd w:val="clear" w:color="000000" w:fill="244062"/>
            <w:vAlign w:val="center"/>
            <w:hideMark/>
          </w:tcPr>
          <w:p w14:paraId="7B7AA35D"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2ADA22DE" w14:textId="77777777" w:rsidR="00B63E46" w:rsidRPr="00A33AE8" w:rsidRDefault="00772702"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Government of the Republic of Serbia</w:t>
            </w:r>
            <w:r w:rsidR="00B63E46" w:rsidRPr="00A33AE8">
              <w:rPr>
                <w:rFonts w:ascii="Calibri Light" w:eastAsia="Times New Roman" w:hAnsi="Calibri Light" w:cs="Calibri Light"/>
                <w:color w:val="000000"/>
                <w:sz w:val="20"/>
                <w:szCs w:val="20"/>
                <w:lang w:eastAsia="en-GB"/>
              </w:rPr>
              <w:t> </w:t>
            </w:r>
          </w:p>
        </w:tc>
      </w:tr>
      <w:tr w:rsidR="00B63E46" w:rsidRPr="00A33AE8" w14:paraId="0BAFA8F5" w14:textId="77777777" w:rsidTr="006769DA">
        <w:trPr>
          <w:gridAfter w:val="1"/>
          <w:wAfter w:w="222" w:type="dxa"/>
          <w:trHeight w:val="315"/>
        </w:trPr>
        <w:tc>
          <w:tcPr>
            <w:tcW w:w="3312" w:type="dxa"/>
            <w:tcBorders>
              <w:top w:val="nil"/>
              <w:left w:val="single" w:sz="8" w:space="0" w:color="auto"/>
              <w:bottom w:val="single" w:sz="8" w:space="0" w:color="auto"/>
              <w:right w:val="nil"/>
            </w:tcBorders>
            <w:shd w:val="clear" w:color="000000" w:fill="244062"/>
            <w:vAlign w:val="center"/>
            <w:hideMark/>
          </w:tcPr>
          <w:p w14:paraId="60883288"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64076B63" w14:textId="77777777" w:rsidR="00B63E46" w:rsidRPr="00A33AE8" w:rsidRDefault="00253B22"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policy makers</w:t>
            </w:r>
            <w:r w:rsidR="00C71C70" w:rsidRPr="00A33AE8">
              <w:rPr>
                <w:rFonts w:ascii="Calibri Light" w:eastAsia="Times New Roman" w:hAnsi="Calibri Light" w:cs="Calibri Light"/>
                <w:color w:val="000000"/>
                <w:sz w:val="20"/>
                <w:szCs w:val="20"/>
                <w:lang w:eastAsia="en-GB"/>
              </w:rPr>
              <w:t xml:space="preserve"> with improved skills</w:t>
            </w:r>
          </w:p>
        </w:tc>
      </w:tr>
      <w:tr w:rsidR="006C6A30" w:rsidRPr="00A33AE8" w14:paraId="67282265" w14:textId="77777777" w:rsidTr="006769DA">
        <w:trPr>
          <w:gridAfter w:val="1"/>
          <w:wAfter w:w="222" w:type="dxa"/>
          <w:trHeight w:val="552"/>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6CF1795F"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06CA1E76" w14:textId="77777777" w:rsidR="00772702" w:rsidRPr="00772702" w:rsidRDefault="006C6A30"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72702" w:rsidRPr="00772702">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totally)</w:t>
            </w:r>
          </w:p>
          <w:p w14:paraId="12FF4C8B" w14:textId="77777777" w:rsidR="006C6A30" w:rsidRPr="00A33AE8" w:rsidRDefault="00772702"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B63E46" w:rsidRPr="00A33AE8" w14:paraId="5FA21851" w14:textId="77777777" w:rsidTr="006769DA">
        <w:trPr>
          <w:gridAfter w:val="1"/>
          <w:wAfter w:w="222" w:type="dxa"/>
          <w:trHeight w:val="450"/>
        </w:trPr>
        <w:tc>
          <w:tcPr>
            <w:tcW w:w="3312"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09BC7BD9"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6"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EE7F0AD" w14:textId="77777777" w:rsidR="00B25A56" w:rsidRPr="00A33AE8" w:rsidRDefault="00B25A5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0007D2">
              <w:rPr>
                <w:rFonts w:ascii="Calibri Light" w:hAnsi="Calibri Light"/>
                <w:color w:val="000000"/>
                <w:sz w:val="20"/>
              </w:rPr>
              <w:t xml:space="preserve">Directive </w:t>
            </w:r>
            <w:r w:rsidR="00C71C70" w:rsidRPr="00A33AE8">
              <w:rPr>
                <w:rFonts w:ascii="Calibri Light" w:eastAsia="Times New Roman" w:hAnsi="Calibri Light" w:cs="Calibri Light"/>
                <w:color w:val="000000"/>
                <w:sz w:val="20"/>
                <w:szCs w:val="20"/>
                <w:lang w:eastAsia="en-GB"/>
              </w:rPr>
              <w:t xml:space="preserve">(EU) </w:t>
            </w:r>
            <w:r w:rsidRPr="000007D2">
              <w:rPr>
                <w:rFonts w:ascii="Calibri Light" w:hAnsi="Calibri Light"/>
                <w:color w:val="000000"/>
                <w:sz w:val="20"/>
              </w:rPr>
              <w:t>2010/3</w:t>
            </w:r>
          </w:p>
          <w:p w14:paraId="4308E335" w14:textId="77777777" w:rsidR="00B63E46" w:rsidRPr="00A33AE8" w:rsidRDefault="00B63E4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4701313C" w14:textId="77777777" w:rsidR="00B63E46" w:rsidRPr="00A33AE8" w:rsidRDefault="00B63E4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p w14:paraId="13CAA17E" w14:textId="77777777" w:rsidR="00B25A56" w:rsidRPr="00A33AE8" w:rsidRDefault="00B25A5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 xml:space="preserve">Directive </w:t>
            </w:r>
            <w:r w:rsidR="00C71C70" w:rsidRPr="00A33AE8">
              <w:rPr>
                <w:rFonts w:ascii="Calibri Light" w:eastAsia="Times New Roman" w:hAnsi="Calibri Light" w:cs="Calibri Light"/>
                <w:color w:val="000000"/>
                <w:sz w:val="20"/>
                <w:szCs w:val="20"/>
                <w:lang w:eastAsia="en-GB"/>
              </w:rPr>
              <w:t xml:space="preserve">(EU) </w:t>
            </w:r>
            <w:r w:rsidRPr="000007D2">
              <w:rPr>
                <w:rFonts w:ascii="Calibri Light" w:eastAsia="Times New Roman" w:hAnsi="Calibri Light" w:cs="Calibri Light"/>
                <w:color w:val="000000"/>
                <w:sz w:val="20"/>
                <w:szCs w:val="20"/>
                <w:lang w:eastAsia="en-GB"/>
              </w:rPr>
              <w:t>2018/844</w:t>
            </w:r>
          </w:p>
        </w:tc>
      </w:tr>
      <w:tr w:rsidR="00B63E46" w:rsidRPr="00A33AE8" w14:paraId="69E119D6" w14:textId="77777777" w:rsidTr="006769DA">
        <w:trPr>
          <w:trHeight w:val="300"/>
        </w:trPr>
        <w:tc>
          <w:tcPr>
            <w:tcW w:w="3312" w:type="dxa"/>
            <w:vMerge/>
            <w:tcBorders>
              <w:top w:val="nil"/>
              <w:left w:val="single" w:sz="8" w:space="0" w:color="auto"/>
              <w:bottom w:val="single" w:sz="8" w:space="0" w:color="000000"/>
              <w:right w:val="single" w:sz="8" w:space="0" w:color="auto"/>
            </w:tcBorders>
            <w:vAlign w:val="center"/>
            <w:hideMark/>
          </w:tcPr>
          <w:p w14:paraId="688BC872"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5595A244" w14:textId="77777777" w:rsidR="00B63E46" w:rsidRPr="00A33AE8" w:rsidRDefault="00B63E4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87EF746" w14:textId="77777777" w:rsidR="00B63E46" w:rsidRPr="00A33AE8" w:rsidRDefault="00B63E46" w:rsidP="006769DA">
            <w:pPr>
              <w:spacing w:after="0" w:line="240" w:lineRule="auto"/>
              <w:rPr>
                <w:rFonts w:ascii="Calibri Light" w:eastAsia="Times New Roman" w:hAnsi="Calibri Light" w:cs="Calibri Light"/>
                <w:color w:val="000000"/>
                <w:sz w:val="20"/>
                <w:szCs w:val="20"/>
                <w:lang w:eastAsia="en-GB"/>
              </w:rPr>
            </w:pPr>
          </w:p>
        </w:tc>
      </w:tr>
      <w:tr w:rsidR="00B63E46" w:rsidRPr="00A33AE8" w14:paraId="2008B40B" w14:textId="77777777" w:rsidTr="006769DA">
        <w:trPr>
          <w:trHeight w:val="60"/>
        </w:trPr>
        <w:tc>
          <w:tcPr>
            <w:tcW w:w="3312" w:type="dxa"/>
            <w:vMerge/>
            <w:tcBorders>
              <w:top w:val="nil"/>
              <w:left w:val="single" w:sz="8" w:space="0" w:color="auto"/>
              <w:bottom w:val="single" w:sz="8" w:space="0" w:color="000000"/>
              <w:right w:val="single" w:sz="8" w:space="0" w:color="auto"/>
            </w:tcBorders>
            <w:vAlign w:val="center"/>
            <w:hideMark/>
          </w:tcPr>
          <w:p w14:paraId="7BA905AC"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1E4B9D02" w14:textId="77777777" w:rsidR="00B63E46" w:rsidRPr="00A33AE8" w:rsidRDefault="00B63E4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5D32393"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B63E46" w:rsidRPr="00A33AE8" w14:paraId="4E71A949" w14:textId="77777777" w:rsidTr="006769DA">
        <w:trPr>
          <w:trHeight w:val="780"/>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08EFC438" w14:textId="77777777" w:rsidR="00B63E46" w:rsidRPr="00A33AE8" w:rsidRDefault="00B63E46"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714750FD" w14:textId="77777777" w:rsidR="00B63E46" w:rsidRPr="00A33AE8" w:rsidRDefault="00B63E4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Long Term Renovation Strategy</w:t>
            </w:r>
          </w:p>
        </w:tc>
        <w:tc>
          <w:tcPr>
            <w:tcW w:w="222" w:type="dxa"/>
            <w:vAlign w:val="center"/>
            <w:hideMark/>
          </w:tcPr>
          <w:p w14:paraId="57FAE009" w14:textId="77777777" w:rsidR="00B63E46" w:rsidRPr="00A33AE8" w:rsidRDefault="00B63E46" w:rsidP="006769DA">
            <w:pPr>
              <w:spacing w:after="0" w:line="240" w:lineRule="auto"/>
              <w:rPr>
                <w:rFonts w:ascii="Times New Roman" w:eastAsia="Times New Roman" w:hAnsi="Times New Roman" w:cs="Times New Roman"/>
                <w:sz w:val="20"/>
                <w:szCs w:val="20"/>
                <w:lang w:eastAsia="en-GB"/>
              </w:rPr>
            </w:pPr>
          </w:p>
        </w:tc>
      </w:tr>
      <w:tr w:rsidR="00867645" w:rsidRPr="00A33AE8" w14:paraId="18B991A7" w14:textId="77777777" w:rsidTr="006769DA">
        <w:trPr>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7978448F"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15EB297F" w14:textId="63AA8BDA"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79A3B73D"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867645" w:rsidRPr="00A33AE8" w14:paraId="1423E01A" w14:textId="77777777" w:rsidTr="006769DA">
        <w:trPr>
          <w:trHeight w:val="315"/>
        </w:trPr>
        <w:tc>
          <w:tcPr>
            <w:tcW w:w="3312" w:type="dxa"/>
            <w:tcBorders>
              <w:top w:val="nil"/>
              <w:left w:val="single" w:sz="8" w:space="0" w:color="auto"/>
              <w:bottom w:val="single" w:sz="8" w:space="0" w:color="auto"/>
              <w:right w:val="single" w:sz="8" w:space="0" w:color="auto"/>
            </w:tcBorders>
            <w:shd w:val="clear" w:color="000000" w:fill="244062"/>
            <w:vAlign w:val="center"/>
            <w:hideMark/>
          </w:tcPr>
          <w:p w14:paraId="22157C20"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6" w:type="dxa"/>
            <w:gridSpan w:val="3"/>
            <w:tcBorders>
              <w:top w:val="single" w:sz="8" w:space="0" w:color="auto"/>
              <w:left w:val="nil"/>
              <w:bottom w:val="single" w:sz="8" w:space="0" w:color="auto"/>
              <w:right w:val="single" w:sz="8" w:space="0" w:color="000000"/>
            </w:tcBorders>
            <w:shd w:val="clear" w:color="auto" w:fill="auto"/>
            <w:vAlign w:val="center"/>
            <w:hideMark/>
          </w:tcPr>
          <w:p w14:paraId="2D47A3E7"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3067AB50"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bl>
    <w:p w14:paraId="3F58F639" w14:textId="77777777" w:rsidR="00971990" w:rsidRPr="00A33AE8" w:rsidRDefault="00971990" w:rsidP="00507954">
      <w:pPr>
        <w:pStyle w:val="LDKbody"/>
        <w:rPr>
          <w:lang w:val="en-GB"/>
        </w:rPr>
      </w:pPr>
    </w:p>
    <w:tbl>
      <w:tblPr>
        <w:tblW w:w="9680" w:type="dxa"/>
        <w:tblLook w:val="04A0" w:firstRow="1" w:lastRow="0" w:firstColumn="1" w:lastColumn="0" w:noHBand="0" w:noVBand="1"/>
      </w:tblPr>
      <w:tblGrid>
        <w:gridCol w:w="3317"/>
        <w:gridCol w:w="986"/>
        <w:gridCol w:w="944"/>
        <w:gridCol w:w="4211"/>
        <w:gridCol w:w="222"/>
      </w:tblGrid>
      <w:tr w:rsidR="00971990" w:rsidRPr="00A33AE8" w14:paraId="478E4EDB"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52EACC10" w14:textId="77777777" w:rsidR="00971990" w:rsidRPr="00A33AE8" w:rsidRDefault="00971990"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4A3561C" w14:textId="77777777" w:rsidR="00971990" w:rsidRPr="00A33AE8" w:rsidRDefault="00971990"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PM_EE41</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592B30E9"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69003215" w14:textId="77777777" w:rsidR="00971990" w:rsidRPr="00A33AE8" w:rsidRDefault="00971990"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smart and carbon neutral cities</w:t>
            </w:r>
          </w:p>
        </w:tc>
      </w:tr>
      <w:tr w:rsidR="00971990" w:rsidRPr="00A33AE8" w14:paraId="54973ECB" w14:textId="77777777" w:rsidTr="006769DA">
        <w:trPr>
          <w:gridAfter w:val="1"/>
          <w:wAfter w:w="222" w:type="dxa"/>
          <w:trHeight w:val="407"/>
        </w:trPr>
        <w:tc>
          <w:tcPr>
            <w:tcW w:w="3317" w:type="dxa"/>
            <w:tcBorders>
              <w:top w:val="nil"/>
              <w:left w:val="single" w:sz="8" w:space="0" w:color="auto"/>
              <w:bottom w:val="single" w:sz="8" w:space="0" w:color="auto"/>
              <w:right w:val="nil"/>
            </w:tcBorders>
            <w:shd w:val="clear" w:color="000000" w:fill="244062"/>
            <w:vAlign w:val="center"/>
            <w:hideMark/>
          </w:tcPr>
          <w:p w14:paraId="397411BC"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4D91B89" w14:textId="20C42874" w:rsidR="00971990"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971990" w:rsidRPr="00A33AE8">
              <w:rPr>
                <w:rFonts w:ascii="Calibri Light" w:eastAsia="Times New Roman" w:hAnsi="Calibri Light" w:cs="Calibri Light"/>
                <w:color w:val="000000"/>
                <w:sz w:val="20"/>
                <w:szCs w:val="20"/>
                <w:lang w:eastAsia="en-GB"/>
              </w:rPr>
              <w:t>:</w:t>
            </w:r>
          </w:p>
          <w:p w14:paraId="08022021" w14:textId="77777777" w:rsidR="00971990" w:rsidRPr="00A33AE8" w:rsidRDefault="00971990"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971990" w:rsidRPr="00A33AE8" w14:paraId="5AF3ACE0"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950E369"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F31220A" w14:textId="77777777" w:rsidR="00971990" w:rsidRPr="00A33AE8" w:rsidRDefault="00C644D9"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 fulfilling the expected final energy consumption levels</w:t>
            </w:r>
          </w:p>
        </w:tc>
      </w:tr>
      <w:tr w:rsidR="00971990" w:rsidRPr="00A33AE8" w14:paraId="77A5B31E" w14:textId="77777777" w:rsidTr="006769DA">
        <w:trPr>
          <w:gridAfter w:val="1"/>
          <w:wAfter w:w="222" w:type="dxa"/>
          <w:trHeight w:val="229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13C0602"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6BF6581" w14:textId="77777777" w:rsidR="00971990" w:rsidRPr="00A33AE8" w:rsidRDefault="00971990"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PM_EE41 will promote the model of smart and carbon neutral cities until 2030 through the </w:t>
            </w:r>
            <w:r w:rsidR="00C644D9" w:rsidRPr="00A33AE8">
              <w:rPr>
                <w:rFonts w:ascii="Calibri Light" w:eastAsia="Times New Roman" w:hAnsi="Calibri Light" w:cs="Calibri Light"/>
                <w:color w:val="000000"/>
                <w:sz w:val="20"/>
                <w:szCs w:val="20"/>
                <w:lang w:eastAsia="en-GB"/>
              </w:rPr>
              <w:t>provision of financial support to specific investments</w:t>
            </w:r>
            <w:r w:rsidRPr="00A33AE8">
              <w:rPr>
                <w:rFonts w:ascii="Calibri Light" w:eastAsia="Times New Roman" w:hAnsi="Calibri Light" w:cs="Calibri Light"/>
                <w:color w:val="000000"/>
                <w:sz w:val="20"/>
                <w:szCs w:val="20"/>
                <w:lang w:eastAsia="en-GB"/>
              </w:rPr>
              <w:t xml:space="preserve"> in </w:t>
            </w:r>
            <w:r w:rsidR="00AB1162" w:rsidRPr="00A33AE8">
              <w:rPr>
                <w:rFonts w:ascii="Calibri Light" w:eastAsia="Times New Roman" w:hAnsi="Calibri Light" w:cs="Calibri Light"/>
                <w:color w:val="000000"/>
                <w:sz w:val="20"/>
                <w:szCs w:val="20"/>
                <w:lang w:eastAsia="en-GB"/>
              </w:rPr>
              <w:t>all end-use</w:t>
            </w:r>
            <w:r w:rsidRPr="00A33AE8">
              <w:rPr>
                <w:rFonts w:ascii="Calibri Light" w:eastAsia="Times New Roman" w:hAnsi="Calibri Light" w:cs="Calibri Light"/>
                <w:color w:val="000000"/>
                <w:sz w:val="20"/>
                <w:szCs w:val="20"/>
                <w:lang w:eastAsia="en-GB"/>
              </w:rPr>
              <w:t xml:space="preserve"> sectors. In this context, both buildings and vehicles, as independent entities, will be capable of communicating and interacting through support structures based on the use of </w:t>
            </w:r>
            <w:r w:rsidR="00AB1162" w:rsidRPr="00A33AE8">
              <w:rPr>
                <w:rFonts w:ascii="Calibri Light" w:eastAsia="Times New Roman" w:hAnsi="Calibri Light" w:cs="Calibri Light"/>
                <w:color w:val="000000"/>
                <w:sz w:val="20"/>
                <w:szCs w:val="20"/>
                <w:lang w:eastAsia="en-GB"/>
              </w:rPr>
              <w:t>smart</w:t>
            </w:r>
            <w:r w:rsidRPr="00A33AE8">
              <w:rPr>
                <w:rFonts w:ascii="Calibri Light" w:eastAsia="Times New Roman" w:hAnsi="Calibri Light" w:cs="Calibri Light"/>
                <w:color w:val="000000"/>
                <w:sz w:val="20"/>
                <w:szCs w:val="20"/>
                <w:lang w:eastAsia="en-GB"/>
              </w:rPr>
              <w:t xml:space="preserve"> information and communication technologies contributing to the alleviation of the adverse impacts triggered by </w:t>
            </w:r>
            <w:r w:rsidR="00C644D9" w:rsidRPr="00A33AE8">
              <w:rPr>
                <w:rFonts w:ascii="Calibri Light" w:eastAsia="Times New Roman" w:hAnsi="Calibri Light" w:cs="Calibri Light"/>
                <w:color w:val="000000"/>
                <w:sz w:val="20"/>
                <w:szCs w:val="20"/>
                <w:lang w:eastAsia="en-GB"/>
              </w:rPr>
              <w:t>the urbanization</w:t>
            </w:r>
            <w:r w:rsidRPr="00A33AE8">
              <w:rPr>
                <w:rFonts w:ascii="Calibri Light" w:eastAsia="Times New Roman" w:hAnsi="Calibri Light" w:cs="Calibri Light"/>
                <w:color w:val="000000"/>
                <w:sz w:val="20"/>
                <w:szCs w:val="20"/>
                <w:lang w:eastAsia="en-GB"/>
              </w:rPr>
              <w:t>. The massive deployment of smart meters is considered as a prerequisite for the realization of the smart and carbon neutral cities.</w:t>
            </w:r>
            <w:r w:rsidR="00C644D9" w:rsidRPr="00A33AE8">
              <w:rPr>
                <w:rFonts w:ascii="Calibri Light" w:eastAsia="Times New Roman" w:hAnsi="Calibri Light" w:cs="Calibri Light"/>
                <w:color w:val="000000"/>
                <w:sz w:val="20"/>
                <w:szCs w:val="20"/>
                <w:lang w:eastAsia="en-GB"/>
              </w:rPr>
              <w:t xml:space="preserve"> It should be noted that the promotion of smart and carbon neutral cities will be accomplished in compliance with the provisions of the planning and construction legislative framework including targeted spatial interventions in order to achieve better microclimatic conditions.</w:t>
            </w:r>
          </w:p>
        </w:tc>
      </w:tr>
      <w:tr w:rsidR="00971990" w:rsidRPr="00A33AE8" w14:paraId="6A2FB157"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AD57B03"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ADCF855" w14:textId="77777777" w:rsidR="00971990" w:rsidRPr="00A33AE8" w:rsidRDefault="00C71C70"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971990" w:rsidRPr="00A33AE8">
              <w:rPr>
                <w:rFonts w:ascii="Calibri Light" w:eastAsia="Times New Roman" w:hAnsi="Calibri Light" w:cs="Calibri Light"/>
                <w:color w:val="000000"/>
                <w:sz w:val="20"/>
                <w:szCs w:val="20"/>
                <w:lang w:eastAsia="en-GB"/>
              </w:rPr>
              <w:t>-2030</w:t>
            </w:r>
          </w:p>
        </w:tc>
      </w:tr>
      <w:tr w:rsidR="00971990" w:rsidRPr="00A33AE8" w14:paraId="3EB25C4B"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42B335FD"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02B0D83" w14:textId="77777777" w:rsidR="00971990"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9B2181" w:rsidRPr="00A33AE8" w14:paraId="70254782"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B8B6CE8"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EDDDAF3"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971990" w:rsidRPr="00A33AE8" w14:paraId="496487AD"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1353F02"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2BF286F" w14:textId="2050A017" w:rsidR="00C644D9" w:rsidRPr="00A33AE8" w:rsidRDefault="00AB1162"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A7F1C12" w14:textId="77777777" w:rsidR="00971990" w:rsidRPr="000007D2" w:rsidRDefault="00AB1162"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Construction, Transport and Infrastructure</w:t>
            </w:r>
          </w:p>
        </w:tc>
      </w:tr>
      <w:tr w:rsidR="00971990" w:rsidRPr="00A33AE8" w14:paraId="195FF9B3"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30B5C6F9"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89F111A" w14:textId="77777777" w:rsidR="00971990" w:rsidRPr="00A33AE8" w:rsidRDefault="00772702"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Government of the Republic of Serbia</w:t>
            </w:r>
          </w:p>
        </w:tc>
      </w:tr>
      <w:tr w:rsidR="00971990" w:rsidRPr="00A33AE8" w14:paraId="402CF552"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11FB070C"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64A019E" w14:textId="77777777" w:rsidR="00971990" w:rsidRPr="00A33AE8" w:rsidRDefault="00253B22"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involved cities</w:t>
            </w:r>
          </w:p>
        </w:tc>
      </w:tr>
      <w:tr w:rsidR="006C6A30" w:rsidRPr="00A33AE8" w14:paraId="5811A425" w14:textId="77777777" w:rsidTr="006769DA">
        <w:trPr>
          <w:gridAfter w:val="1"/>
          <w:wAfter w:w="222" w:type="dxa"/>
          <w:trHeight w:val="467"/>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7CC2C59"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ECE18D8" w14:textId="77777777" w:rsidR="00772702" w:rsidRPr="00772702" w:rsidRDefault="006C6A30"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772702" w:rsidRPr="00772702">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139BC706" w14:textId="77777777" w:rsidR="00772702" w:rsidRPr="00772702" w:rsidRDefault="00772702"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p w14:paraId="5A2EFFA1" w14:textId="77777777" w:rsidR="006C6A30" w:rsidRPr="00A33AE8" w:rsidRDefault="00772702"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Internal energy market (the installation of smart meters will enable the market integration and coupling)</w:t>
            </w:r>
          </w:p>
        </w:tc>
      </w:tr>
      <w:tr w:rsidR="00971990" w:rsidRPr="00A33AE8" w14:paraId="2CAF1ADB"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37D3056B"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83BBE1" w14:textId="77777777" w:rsidR="00971990" w:rsidRPr="00A33AE8" w:rsidRDefault="00971990"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B1162"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9CB70B2" w14:textId="77777777" w:rsidR="00971990" w:rsidRPr="00A33AE8" w:rsidRDefault="00971990"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AB1162"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971990" w:rsidRPr="00A33AE8" w14:paraId="351745DC"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54A61441"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0263F382" w14:textId="77777777" w:rsidR="00971990" w:rsidRPr="00A33AE8" w:rsidRDefault="00971990"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F81794C" w14:textId="77777777" w:rsidR="00971990" w:rsidRPr="00A33AE8" w:rsidRDefault="00971990" w:rsidP="006769DA">
            <w:pPr>
              <w:spacing w:after="0" w:line="240" w:lineRule="auto"/>
              <w:rPr>
                <w:rFonts w:ascii="Calibri Light" w:eastAsia="Times New Roman" w:hAnsi="Calibri Light" w:cs="Calibri Light"/>
                <w:color w:val="000000"/>
                <w:sz w:val="20"/>
                <w:szCs w:val="20"/>
                <w:lang w:eastAsia="en-GB"/>
              </w:rPr>
            </w:pPr>
          </w:p>
        </w:tc>
      </w:tr>
      <w:tr w:rsidR="00971990" w:rsidRPr="00A33AE8" w14:paraId="46AED667"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58DFCCF5"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CC6AA26" w14:textId="77777777" w:rsidR="00971990" w:rsidRPr="00A33AE8" w:rsidRDefault="00971990"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C7A30CD" w14:textId="77777777" w:rsidR="00971990" w:rsidRPr="00A33AE8" w:rsidRDefault="00971990" w:rsidP="006769DA">
            <w:pPr>
              <w:spacing w:after="0" w:line="240" w:lineRule="auto"/>
              <w:rPr>
                <w:rFonts w:ascii="Times New Roman" w:eastAsia="Times New Roman" w:hAnsi="Times New Roman" w:cs="Times New Roman"/>
                <w:sz w:val="20"/>
                <w:szCs w:val="20"/>
                <w:lang w:eastAsia="en-GB"/>
              </w:rPr>
            </w:pPr>
          </w:p>
        </w:tc>
      </w:tr>
      <w:tr w:rsidR="00971990" w:rsidRPr="00A33AE8" w14:paraId="7B5EB1E4" w14:textId="77777777" w:rsidTr="006769DA">
        <w:trPr>
          <w:trHeight w:val="40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C641485" w14:textId="77777777" w:rsidR="00971990" w:rsidRPr="00A33AE8" w:rsidRDefault="00971990"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67409C1" w14:textId="77777777" w:rsidR="00C644D9" w:rsidRPr="000007D2" w:rsidRDefault="00C644D9" w:rsidP="00884F3B">
            <w:pPr>
              <w:pStyle w:val="ListParagraph"/>
              <w:numPr>
                <w:ilvl w:val="0"/>
                <w:numId w:val="171"/>
              </w:numP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Planning and Construction</w:t>
            </w:r>
          </w:p>
          <w:p w14:paraId="0CA73058" w14:textId="77777777" w:rsidR="00971990" w:rsidRPr="00A33AE8" w:rsidRDefault="00CB3A26"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04F663C8" w14:textId="77777777" w:rsidR="00971990" w:rsidRPr="00A33AE8" w:rsidRDefault="00971990" w:rsidP="006769DA">
            <w:pPr>
              <w:spacing w:after="0" w:line="240" w:lineRule="auto"/>
              <w:rPr>
                <w:rFonts w:ascii="Times New Roman" w:eastAsia="Times New Roman" w:hAnsi="Times New Roman" w:cs="Times New Roman"/>
                <w:sz w:val="20"/>
                <w:szCs w:val="20"/>
                <w:lang w:eastAsia="en-GB"/>
              </w:rPr>
            </w:pPr>
          </w:p>
        </w:tc>
      </w:tr>
      <w:tr w:rsidR="00867645" w:rsidRPr="00A33AE8" w14:paraId="198930E9"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7ADB678B"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E20391B"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453B9328"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867645" w:rsidRPr="00A33AE8" w14:paraId="35FDE60B"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F262A25"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62B9C91"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922BD5"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42223952"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bl>
    <w:p w14:paraId="686EF302" w14:textId="77777777" w:rsidR="000A360E" w:rsidRDefault="000A360E" w:rsidP="000A360E">
      <w:pPr>
        <w:pStyle w:val="LDKBody1"/>
      </w:pPr>
    </w:p>
    <w:tbl>
      <w:tblPr>
        <w:tblW w:w="9680" w:type="dxa"/>
        <w:tblLook w:val="04A0" w:firstRow="1" w:lastRow="0" w:firstColumn="1" w:lastColumn="0" w:noHBand="0" w:noVBand="1"/>
      </w:tblPr>
      <w:tblGrid>
        <w:gridCol w:w="3317"/>
        <w:gridCol w:w="986"/>
        <w:gridCol w:w="944"/>
        <w:gridCol w:w="4211"/>
        <w:gridCol w:w="222"/>
      </w:tblGrid>
      <w:tr w:rsidR="00085C60" w:rsidRPr="00587565" w14:paraId="18C75BB2" w14:textId="77777777" w:rsidTr="001544A6">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36D8AB7" w14:textId="501A63CD" w:rsidR="00085C60" w:rsidRPr="005B2C66" w:rsidRDefault="00085C60" w:rsidP="001544A6">
            <w:pPr>
              <w:spacing w:after="0" w:line="240" w:lineRule="auto"/>
              <w:jc w:val="both"/>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C6F530B" w14:textId="77777777" w:rsidR="00085C60" w:rsidRPr="00D72F50" w:rsidRDefault="00085C60" w:rsidP="001544A6">
            <w:pPr>
              <w:spacing w:after="0" w:line="240" w:lineRule="auto"/>
              <w:jc w:val="both"/>
              <w:rPr>
                <w:rFonts w:ascii="Calibri Light" w:eastAsia="Times New Roman" w:hAnsi="Calibri Light" w:cs="Calibri Light"/>
                <w:b/>
                <w:bCs/>
                <w:color w:val="FF0000"/>
                <w:sz w:val="20"/>
                <w:szCs w:val="20"/>
                <w:lang w:eastAsia="en-GB"/>
              </w:rPr>
            </w:pPr>
            <w:r w:rsidRPr="005B2C66">
              <w:rPr>
                <w:rFonts w:ascii="Calibri Light" w:eastAsia="Times New Roman" w:hAnsi="Calibri Light" w:cs="Calibri Light"/>
                <w:b/>
                <w:bCs/>
                <w:color w:val="000000" w:themeColor="text1"/>
                <w:sz w:val="20"/>
                <w:szCs w:val="20"/>
                <w:lang w:eastAsia="en-GB"/>
              </w:rPr>
              <w:t>PM_EE45</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75D18830"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02628650" w14:textId="77777777" w:rsidR="00085C60" w:rsidRPr="00D72F50" w:rsidRDefault="00085C60" w:rsidP="001544A6">
            <w:pPr>
              <w:spacing w:after="0" w:line="240" w:lineRule="auto"/>
              <w:jc w:val="both"/>
              <w:rPr>
                <w:rFonts w:ascii="Calibri Light" w:eastAsia="Times New Roman" w:hAnsi="Calibri Light" w:cs="Calibri Light"/>
                <w:b/>
                <w:bCs/>
                <w:color w:val="FF0000"/>
                <w:sz w:val="20"/>
                <w:szCs w:val="20"/>
                <w:lang w:eastAsia="en-GB"/>
              </w:rPr>
            </w:pPr>
            <w:r w:rsidRPr="005B2C66">
              <w:rPr>
                <w:rFonts w:ascii="Calibri Light" w:eastAsia="Times New Roman" w:hAnsi="Calibri Light" w:cs="Calibri Light"/>
                <w:b/>
                <w:bCs/>
                <w:color w:val="000000" w:themeColor="text1"/>
                <w:sz w:val="20"/>
                <w:szCs w:val="20"/>
                <w:lang w:eastAsia="en-GB"/>
              </w:rPr>
              <w:t>Preparation of the comprehensive assessment for promoting efficiency in heating and cooling</w:t>
            </w:r>
          </w:p>
        </w:tc>
      </w:tr>
      <w:tr w:rsidR="00085C60" w:rsidRPr="00587565" w14:paraId="387E1291" w14:textId="77777777" w:rsidTr="001544A6">
        <w:trPr>
          <w:gridAfter w:val="1"/>
          <w:wAfter w:w="222" w:type="dxa"/>
          <w:trHeight w:val="355"/>
        </w:trPr>
        <w:tc>
          <w:tcPr>
            <w:tcW w:w="3317" w:type="dxa"/>
            <w:tcBorders>
              <w:top w:val="nil"/>
              <w:left w:val="single" w:sz="8" w:space="0" w:color="auto"/>
              <w:bottom w:val="single" w:sz="8" w:space="0" w:color="auto"/>
              <w:right w:val="nil"/>
            </w:tcBorders>
            <w:shd w:val="clear" w:color="000000" w:fill="244062"/>
            <w:vAlign w:val="center"/>
            <w:hideMark/>
          </w:tcPr>
          <w:p w14:paraId="33156AB9" w14:textId="1F739A53"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7AC0862" w14:textId="30F41661" w:rsidR="00085C60" w:rsidRPr="005B2C66" w:rsidRDefault="00085C60"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Implementation of the following articles of the Directive (EU) 2012/27/EU, as amended by Directive (EU) 2018/2002:</w:t>
            </w:r>
          </w:p>
          <w:p w14:paraId="7DCA74E2"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Article 3</w:t>
            </w:r>
          </w:p>
          <w:p w14:paraId="5AF307C6"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Article 14</w:t>
            </w:r>
          </w:p>
        </w:tc>
      </w:tr>
      <w:tr w:rsidR="00085C60" w:rsidRPr="00587565" w14:paraId="4B43FC50"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79B2422" w14:textId="1F0B51DF"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5C615EC" w14:textId="77777777" w:rsidR="00085C60" w:rsidRPr="005B2C66" w:rsidRDefault="00085C60" w:rsidP="001544A6">
            <w:pPr>
              <w:spacing w:after="0" w:line="240" w:lineRule="auto"/>
              <w:rPr>
                <w:rFonts w:ascii="Calibri" w:eastAsia="Times New Roman" w:hAnsi="Calibri" w:cs="Calibri"/>
                <w:color w:val="000000" w:themeColor="text1"/>
                <w:lang w:eastAsia="en-GB"/>
              </w:rPr>
            </w:pPr>
            <w:r w:rsidRPr="005B2C66">
              <w:rPr>
                <w:rFonts w:ascii="Calibri Light" w:eastAsia="Times New Roman" w:hAnsi="Calibri Light" w:cs="Calibri Light"/>
                <w:color w:val="000000" w:themeColor="text1"/>
                <w:sz w:val="20"/>
                <w:szCs w:val="20"/>
                <w:lang w:eastAsia="en-GB"/>
              </w:rPr>
              <w:t>Contribution to fulfilling the expected final energy consumption levels and promoting efficient heating and cooling technologies</w:t>
            </w:r>
          </w:p>
        </w:tc>
      </w:tr>
      <w:tr w:rsidR="00085C60" w:rsidRPr="00587565" w14:paraId="5A0DBF31" w14:textId="77777777" w:rsidTr="001544A6">
        <w:trPr>
          <w:gridAfter w:val="1"/>
          <w:wAfter w:w="222" w:type="dxa"/>
          <w:trHeight w:val="129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A337364"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2DE6D23" w14:textId="77777777" w:rsidR="00085C60" w:rsidRPr="005B2C66" w:rsidRDefault="00085C60" w:rsidP="001544A6">
            <w:pPr>
              <w:spacing w:after="0" w:line="240" w:lineRule="auto"/>
              <w:jc w:val="both"/>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PM_EE45 will prepare the comprehensive heating and cooling assessment so as to identify the most efficient heating and cooling alternatives as resulted by the conduction of the Cost-Benefit Analysis according to the requirements of the directive on the basis of climate conditions, economic feasibility and technical suitability. The findings of the comprehensive assessment will be streamlined and aligned with the priorities of the NECP. Emphasis will be given on identifying the potential for the application of high-efficiency cogeneration and/or efficient district heating and cooling from waste heat in the case that the expected benefits exceed the respective costs. The preparation of the strategy will be occurred with the participation of the relevant stakeholders, while it will include the policies and measures, which ensure that the potential identified in the comprehensive assessments</w:t>
            </w:r>
            <w:r w:rsidRPr="005B2C66" w:rsidDel="00F51848">
              <w:rPr>
                <w:rFonts w:ascii="Calibri Light" w:eastAsia="Times New Roman" w:hAnsi="Calibri Light" w:cs="Calibri Light"/>
                <w:color w:val="000000" w:themeColor="text1"/>
                <w:sz w:val="20"/>
                <w:szCs w:val="20"/>
                <w:lang w:eastAsia="en-GB"/>
              </w:rPr>
              <w:t xml:space="preserve"> </w:t>
            </w:r>
            <w:r w:rsidRPr="005B2C66">
              <w:rPr>
                <w:rFonts w:ascii="Calibri Light" w:eastAsia="Times New Roman" w:hAnsi="Calibri Light" w:cs="Calibri Light"/>
                <w:color w:val="000000" w:themeColor="text1"/>
                <w:sz w:val="20"/>
                <w:szCs w:val="20"/>
                <w:lang w:eastAsia="en-GB"/>
              </w:rPr>
              <w:t xml:space="preserve">will be exploited. Finally, the preparation of local heating and cooling plans will be examined. </w:t>
            </w:r>
          </w:p>
        </w:tc>
      </w:tr>
      <w:tr w:rsidR="00085C60" w:rsidRPr="00587565" w14:paraId="11BA122C"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C6C8ECB"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BAEF356" w14:textId="77777777" w:rsidR="00085C60" w:rsidRPr="005B2C66" w:rsidRDefault="00085C60"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2025</w:t>
            </w:r>
          </w:p>
        </w:tc>
      </w:tr>
      <w:tr w:rsidR="00085C60" w:rsidRPr="00587565" w14:paraId="47599E21"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A57D2FD"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64605D0" w14:textId="77777777" w:rsidR="00085C60" w:rsidRPr="005B2C66" w:rsidRDefault="00085C60"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Reform</w:t>
            </w:r>
          </w:p>
        </w:tc>
      </w:tr>
      <w:tr w:rsidR="00085C60" w:rsidRPr="00587565" w14:paraId="48749B56"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4144036"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7F04ADC" w14:textId="77777777" w:rsidR="00085C60" w:rsidRPr="005B2C66" w:rsidRDefault="00085C60" w:rsidP="001544A6">
            <w:p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All final energy consumption sectors</w:t>
            </w:r>
          </w:p>
        </w:tc>
      </w:tr>
      <w:tr w:rsidR="00085C60" w:rsidRPr="00587565" w14:paraId="076FF450"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C77FBAC"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1FECF9F" w14:textId="77777777" w:rsidR="00085C60" w:rsidRPr="005B2C66" w:rsidRDefault="00085C60" w:rsidP="00884F3B">
            <w:pPr>
              <w:pStyle w:val="ListParagraph"/>
              <w:numPr>
                <w:ilvl w:val="0"/>
                <w:numId w:val="172"/>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Ministry of Mining and Energy</w:t>
            </w:r>
          </w:p>
        </w:tc>
      </w:tr>
      <w:tr w:rsidR="00085C60" w:rsidRPr="00587565" w14:paraId="1D2953F0" w14:textId="77777777" w:rsidTr="001544A6">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6CFC439A"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4BA6109" w14:textId="77777777" w:rsidR="00085C60" w:rsidRPr="005B2C66" w:rsidRDefault="00085C60" w:rsidP="00884F3B">
            <w:pPr>
              <w:pStyle w:val="ListParagraph"/>
              <w:numPr>
                <w:ilvl w:val="0"/>
                <w:numId w:val="287"/>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Ministry of Mining and Energy</w:t>
            </w:r>
          </w:p>
        </w:tc>
      </w:tr>
      <w:tr w:rsidR="00085C60" w:rsidRPr="00587565" w14:paraId="26907FE9" w14:textId="77777777" w:rsidTr="001544A6">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5585E478"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C9AB7F9" w14:textId="77777777" w:rsidR="00085C60" w:rsidRPr="005B2C66" w:rsidRDefault="00085C60" w:rsidP="00884F3B">
            <w:pPr>
              <w:pStyle w:val="ListParagraph"/>
              <w:numPr>
                <w:ilvl w:val="0"/>
                <w:numId w:val="172"/>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Adoption of the heating and cooling assessment</w:t>
            </w:r>
          </w:p>
        </w:tc>
      </w:tr>
      <w:tr w:rsidR="00085C60" w:rsidRPr="00587565" w14:paraId="52E9089D" w14:textId="77777777" w:rsidTr="001544A6">
        <w:trPr>
          <w:gridAfter w:val="1"/>
          <w:wAfter w:w="222" w:type="dxa"/>
          <w:trHeight w:val="419"/>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087C6D1"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43E30A1B"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Decarbonisation (the delivered energy savings will decrease the consumed quantities of fossil fuels leading to the respective GHG emission reduction &amp; the utilised RES technologies will increase the RES share totally)</w:t>
            </w:r>
          </w:p>
          <w:p w14:paraId="780780E7"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Energy Security (the delivered energy savings will decrease the consumed quantities of the imported fossil fuels reducing energy import dependency from third countries)</w:t>
            </w:r>
          </w:p>
        </w:tc>
      </w:tr>
      <w:tr w:rsidR="00085C60" w:rsidRPr="00587565" w14:paraId="68D2EC2D" w14:textId="77777777" w:rsidTr="001544A6">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0FC620D"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D4A5F97"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Directive (EU) 2012/27</w:t>
            </w:r>
          </w:p>
          <w:p w14:paraId="29422003"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Directive (EU) 2018/2002</w:t>
            </w:r>
          </w:p>
        </w:tc>
      </w:tr>
      <w:tr w:rsidR="00085C60" w:rsidRPr="00587565" w14:paraId="3455F542" w14:textId="77777777" w:rsidTr="001544A6">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7EBB796C"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792E26D5"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p>
        </w:tc>
        <w:tc>
          <w:tcPr>
            <w:tcW w:w="222" w:type="dxa"/>
            <w:tcBorders>
              <w:top w:val="nil"/>
              <w:left w:val="nil"/>
              <w:bottom w:val="nil"/>
              <w:right w:val="nil"/>
            </w:tcBorders>
            <w:shd w:val="clear" w:color="auto" w:fill="auto"/>
            <w:noWrap/>
            <w:vAlign w:val="bottom"/>
            <w:hideMark/>
          </w:tcPr>
          <w:p w14:paraId="7A94AA4B" w14:textId="77777777" w:rsidR="00085C60" w:rsidRPr="00D72F50" w:rsidRDefault="00085C60" w:rsidP="001544A6">
            <w:pPr>
              <w:spacing w:after="0" w:line="240" w:lineRule="auto"/>
              <w:rPr>
                <w:rFonts w:ascii="Calibri Light" w:eastAsia="Times New Roman" w:hAnsi="Calibri Light" w:cs="Calibri Light"/>
                <w:color w:val="FF0000"/>
                <w:sz w:val="20"/>
                <w:szCs w:val="20"/>
                <w:lang w:eastAsia="en-GB"/>
              </w:rPr>
            </w:pPr>
          </w:p>
        </w:tc>
      </w:tr>
      <w:tr w:rsidR="00085C60" w:rsidRPr="00587565" w14:paraId="620B069A" w14:textId="77777777" w:rsidTr="001544A6">
        <w:trPr>
          <w:trHeight w:val="60"/>
        </w:trPr>
        <w:tc>
          <w:tcPr>
            <w:tcW w:w="3317" w:type="dxa"/>
            <w:vMerge/>
            <w:tcBorders>
              <w:top w:val="nil"/>
              <w:left w:val="single" w:sz="8" w:space="0" w:color="auto"/>
              <w:bottom w:val="single" w:sz="8" w:space="0" w:color="000000"/>
              <w:right w:val="single" w:sz="8" w:space="0" w:color="auto"/>
            </w:tcBorders>
            <w:vAlign w:val="center"/>
            <w:hideMark/>
          </w:tcPr>
          <w:p w14:paraId="60AEC21C"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2B59A3E9"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p>
        </w:tc>
        <w:tc>
          <w:tcPr>
            <w:tcW w:w="222" w:type="dxa"/>
            <w:tcBorders>
              <w:top w:val="nil"/>
              <w:left w:val="nil"/>
              <w:bottom w:val="nil"/>
              <w:right w:val="nil"/>
            </w:tcBorders>
            <w:shd w:val="clear" w:color="auto" w:fill="auto"/>
            <w:noWrap/>
            <w:vAlign w:val="bottom"/>
            <w:hideMark/>
          </w:tcPr>
          <w:p w14:paraId="28F1DF2A"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r w:rsidR="00085C60" w:rsidRPr="00587565" w14:paraId="02919CF9" w14:textId="77777777" w:rsidTr="001544A6">
        <w:trPr>
          <w:trHeight w:val="78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C093290"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7E59860" w14:textId="10508832"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Energy Law</w:t>
            </w:r>
          </w:p>
          <w:p w14:paraId="6E138173"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color w:val="000000" w:themeColor="text1"/>
                <w:sz w:val="20"/>
                <w:szCs w:val="20"/>
                <w:lang w:eastAsia="en-GB"/>
              </w:rPr>
            </w:pPr>
            <w:r w:rsidRPr="005B2C66">
              <w:rPr>
                <w:rFonts w:ascii="Calibri Light" w:eastAsia="Times New Roman" w:hAnsi="Calibri Light" w:cs="Calibri Light"/>
                <w:color w:val="000000" w:themeColor="text1"/>
                <w:sz w:val="20"/>
                <w:szCs w:val="20"/>
                <w:lang w:eastAsia="en-GB"/>
              </w:rPr>
              <w:t>Law on Energy Efficiency and Rational Use of Energy</w:t>
            </w:r>
          </w:p>
        </w:tc>
        <w:tc>
          <w:tcPr>
            <w:tcW w:w="222" w:type="dxa"/>
            <w:vAlign w:val="center"/>
            <w:hideMark/>
          </w:tcPr>
          <w:p w14:paraId="7D5A0C2A"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r w:rsidR="00085C60" w:rsidRPr="00587565" w14:paraId="742780DF" w14:textId="77777777" w:rsidTr="001544A6">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73FBDB9"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35E1DB4" w14:textId="77777777" w:rsidR="00085C60" w:rsidRPr="005B2C66" w:rsidRDefault="00085C60" w:rsidP="001544A6">
            <w:pPr>
              <w:spacing w:after="0" w:line="240" w:lineRule="auto"/>
              <w:rPr>
                <w:rFonts w:ascii="Calibri" w:eastAsia="Times New Roman" w:hAnsi="Calibri" w:cs="Calibri"/>
                <w:color w:val="000000" w:themeColor="text1"/>
                <w:highlight w:val="yellow"/>
                <w:lang w:eastAsia="en-GB"/>
              </w:rPr>
            </w:pPr>
            <w:r w:rsidRPr="005B2C66">
              <w:rPr>
                <w:rFonts w:ascii="Calibri Light" w:eastAsia="Times New Roman" w:hAnsi="Calibri Light" w:cs="Calibri Light"/>
                <w:color w:val="000000" w:themeColor="text1"/>
                <w:sz w:val="20"/>
                <w:szCs w:val="20"/>
                <w:lang w:eastAsia="en-GB"/>
              </w:rPr>
              <w:t>0.5 million €</w:t>
            </w:r>
          </w:p>
        </w:tc>
        <w:tc>
          <w:tcPr>
            <w:tcW w:w="222" w:type="dxa"/>
            <w:vAlign w:val="center"/>
            <w:hideMark/>
          </w:tcPr>
          <w:p w14:paraId="5CA65569"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r w:rsidR="00085C60" w:rsidRPr="00587565" w14:paraId="1A67B6EC" w14:textId="77777777" w:rsidTr="001544A6">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A87E226"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lastRenderedPageBreak/>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9FB9E74" w14:textId="77777777" w:rsidR="00085C60" w:rsidRPr="005B2C66" w:rsidRDefault="00085C60" w:rsidP="001544A6">
            <w:pPr>
              <w:spacing w:after="0" w:line="240" w:lineRule="auto"/>
              <w:rPr>
                <w:rFonts w:ascii="Calibri" w:eastAsia="Times New Roman" w:hAnsi="Calibri" w:cs="Calibri"/>
                <w:color w:val="000000" w:themeColor="text1"/>
                <w:highlight w:val="yellow"/>
                <w:lang w:eastAsia="en-GB"/>
              </w:rPr>
            </w:pPr>
            <w:r w:rsidRPr="005B2C66">
              <w:rPr>
                <w:rFonts w:asciiTheme="majorHAnsi" w:eastAsia="Times New Roman" w:hAnsiTheme="majorHAnsi" w:cstheme="majorHAnsi"/>
                <w:color w:val="000000" w:themeColor="text1"/>
                <w:sz w:val="20"/>
                <w:szCs w:val="20"/>
                <w:lang w:eastAsia="en-GB"/>
              </w:rPr>
              <w:t xml:space="preserve">Public funds </w:t>
            </w:r>
          </w:p>
        </w:tc>
        <w:tc>
          <w:tcPr>
            <w:tcW w:w="222" w:type="dxa"/>
            <w:vAlign w:val="center"/>
            <w:hideMark/>
          </w:tcPr>
          <w:p w14:paraId="04FA8908"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bl>
    <w:p w14:paraId="17E14C5C" w14:textId="77777777" w:rsidR="00085C60" w:rsidRDefault="00085C60" w:rsidP="005B2C66">
      <w:pPr>
        <w:pStyle w:val="LDKBody1"/>
        <w:spacing w:before="120"/>
      </w:pPr>
    </w:p>
    <w:tbl>
      <w:tblPr>
        <w:tblW w:w="9680" w:type="dxa"/>
        <w:tblLook w:val="04A0" w:firstRow="1" w:lastRow="0" w:firstColumn="1" w:lastColumn="0" w:noHBand="0" w:noVBand="1"/>
      </w:tblPr>
      <w:tblGrid>
        <w:gridCol w:w="3317"/>
        <w:gridCol w:w="986"/>
        <w:gridCol w:w="944"/>
        <w:gridCol w:w="4211"/>
        <w:gridCol w:w="222"/>
      </w:tblGrid>
      <w:tr w:rsidR="00085C60" w:rsidRPr="00587565" w14:paraId="2797FC9B" w14:textId="77777777" w:rsidTr="001544A6">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93B29FB" w14:textId="7C8591C5" w:rsidR="00085C60" w:rsidRPr="005B2C66" w:rsidRDefault="00085C60" w:rsidP="001544A6">
            <w:pPr>
              <w:spacing w:after="0" w:line="240" w:lineRule="auto"/>
              <w:jc w:val="both"/>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DC663BE" w14:textId="77777777" w:rsidR="00085C60" w:rsidRPr="00D72F50" w:rsidRDefault="00085C60" w:rsidP="001544A6">
            <w:pPr>
              <w:spacing w:after="0" w:line="240" w:lineRule="auto"/>
              <w:jc w:val="both"/>
              <w:rPr>
                <w:rFonts w:ascii="Calibri Light" w:eastAsia="Times New Roman" w:hAnsi="Calibri Light" w:cs="Calibri Light"/>
                <w:b/>
                <w:bCs/>
                <w:color w:val="FF0000"/>
                <w:sz w:val="20"/>
                <w:szCs w:val="20"/>
                <w:lang w:eastAsia="en-GB"/>
              </w:rPr>
            </w:pPr>
            <w:r w:rsidRPr="005B2C66">
              <w:rPr>
                <w:rFonts w:ascii="Calibri Light" w:eastAsia="Times New Roman" w:hAnsi="Calibri Light" w:cs="Calibri Light"/>
                <w:b/>
                <w:bCs/>
                <w:sz w:val="20"/>
                <w:szCs w:val="20"/>
                <w:lang w:eastAsia="en-GB"/>
              </w:rPr>
              <w:t>PM_EE46</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2EED3688" w14:textId="77777777" w:rsidR="00085C60" w:rsidRPr="00D72F50" w:rsidRDefault="00085C60" w:rsidP="001544A6">
            <w:pPr>
              <w:spacing w:after="0" w:line="240" w:lineRule="auto"/>
              <w:rPr>
                <w:rFonts w:ascii="Calibri Light" w:eastAsia="Times New Roman" w:hAnsi="Calibri Light" w:cs="Calibri Light"/>
                <w:b/>
                <w:bCs/>
                <w:color w:val="FF0000"/>
                <w:sz w:val="20"/>
                <w:szCs w:val="20"/>
                <w:lang w:eastAsia="en-GB"/>
              </w:rPr>
            </w:pPr>
            <w:r w:rsidRPr="005B2C66">
              <w:rPr>
                <w:rFonts w:ascii="Calibri Light" w:eastAsia="Times New Roman" w:hAnsi="Calibri Light" w:cs="Calibri Light"/>
                <w:b/>
                <w:bCs/>
                <w:color w:val="FFFFFF" w:themeColor="background1"/>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D51D652" w14:textId="77777777" w:rsidR="00085C60" w:rsidRPr="00D72F50" w:rsidRDefault="00085C60" w:rsidP="001544A6">
            <w:pPr>
              <w:spacing w:after="0" w:line="240" w:lineRule="auto"/>
              <w:jc w:val="both"/>
              <w:rPr>
                <w:rFonts w:ascii="Calibri Light" w:eastAsia="Times New Roman" w:hAnsi="Calibri Light" w:cs="Calibri Light"/>
                <w:b/>
                <w:bCs/>
                <w:color w:val="FF0000"/>
                <w:sz w:val="20"/>
                <w:szCs w:val="20"/>
                <w:lang w:eastAsia="en-GB"/>
              </w:rPr>
            </w:pPr>
            <w:r w:rsidRPr="005B2C66">
              <w:rPr>
                <w:rFonts w:ascii="Calibri Light" w:eastAsia="Times New Roman" w:hAnsi="Calibri Light" w:cs="Calibri Light"/>
                <w:b/>
                <w:bCs/>
                <w:sz w:val="20"/>
                <w:szCs w:val="20"/>
                <w:lang w:eastAsia="en-GB"/>
              </w:rPr>
              <w:t>Monitoring the provisions for metering billing information</w:t>
            </w:r>
          </w:p>
        </w:tc>
      </w:tr>
      <w:tr w:rsidR="00085C60" w:rsidRPr="00587565" w14:paraId="7DEA26F9" w14:textId="77777777" w:rsidTr="001544A6">
        <w:trPr>
          <w:gridAfter w:val="1"/>
          <w:wAfter w:w="222" w:type="dxa"/>
          <w:trHeight w:val="355"/>
        </w:trPr>
        <w:tc>
          <w:tcPr>
            <w:tcW w:w="3317" w:type="dxa"/>
            <w:tcBorders>
              <w:top w:val="nil"/>
              <w:left w:val="single" w:sz="8" w:space="0" w:color="auto"/>
              <w:bottom w:val="single" w:sz="8" w:space="0" w:color="auto"/>
              <w:right w:val="nil"/>
            </w:tcBorders>
            <w:shd w:val="clear" w:color="000000" w:fill="244062"/>
            <w:vAlign w:val="center"/>
            <w:hideMark/>
          </w:tcPr>
          <w:p w14:paraId="0CC2809B" w14:textId="2B3627D5"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Main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CCC79ED" w14:textId="57A2D432" w:rsidR="00085C60" w:rsidRPr="005B2C66" w:rsidRDefault="00085C60" w:rsidP="001544A6">
            <w:p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Implementation of the following articles of the Directive (EU) 2012/27/EU, as amended by Directive (EU) 2018/2002:</w:t>
            </w:r>
          </w:p>
          <w:p w14:paraId="6B6E34BD"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Articles 9-11</w:t>
            </w:r>
          </w:p>
        </w:tc>
      </w:tr>
      <w:tr w:rsidR="00085C60" w:rsidRPr="00587565" w14:paraId="0DDAD4B2"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AE62974" w14:textId="1CB35663"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Quantified objective: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AD0F886" w14:textId="77777777" w:rsidR="00085C60" w:rsidRPr="005B2C66" w:rsidRDefault="00085C60" w:rsidP="001544A6">
            <w:pPr>
              <w:spacing w:after="0" w:line="240" w:lineRule="auto"/>
              <w:rPr>
                <w:rFonts w:ascii="Calibri" w:eastAsia="Times New Roman" w:hAnsi="Calibri" w:cs="Calibri"/>
                <w:lang w:eastAsia="en-GB"/>
              </w:rPr>
            </w:pPr>
            <w:r w:rsidRPr="005B2C66">
              <w:rPr>
                <w:rFonts w:ascii="Calibri Light" w:eastAsia="Times New Roman" w:hAnsi="Calibri Light" w:cs="Calibri Light"/>
                <w:sz w:val="20"/>
                <w:szCs w:val="20"/>
                <w:lang w:eastAsia="en-GB"/>
              </w:rPr>
              <w:t>Contribution to fulfilling the expected final energy consumption levels and raising awareness about metering and billing information</w:t>
            </w:r>
          </w:p>
        </w:tc>
      </w:tr>
      <w:tr w:rsidR="00085C60" w:rsidRPr="00587565" w14:paraId="42EEED5C" w14:textId="77777777" w:rsidTr="001544A6">
        <w:trPr>
          <w:gridAfter w:val="1"/>
          <w:wAfter w:w="222" w:type="dxa"/>
          <w:trHeight w:val="129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F1E63FE"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BEECB02" w14:textId="77777777" w:rsidR="00085C60" w:rsidRPr="005B2C66" w:rsidRDefault="00085C60" w:rsidP="001544A6">
            <w:pPr>
              <w:spacing w:after="0" w:line="240" w:lineRule="auto"/>
              <w:jc w:val="both"/>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PM_EE46 will enhance and improve the current provisions of the Law on Energy Efficiency and Rational Use of Energy about the metering and billing information. The current provisions will be monitored continuously and potentially updated in order to ensure that, in so far as technically possible, financially reasonable, and proportionate to the potential energy savings, the metering information of all distributed energy carriers will reflect the actual energy consumption</w:t>
            </w:r>
            <w:r w:rsidRPr="005B2C66" w:rsidDel="0054178A">
              <w:rPr>
                <w:rFonts w:ascii="Calibri Light" w:eastAsia="Times New Roman" w:hAnsi="Calibri Light" w:cs="Calibri Light"/>
                <w:sz w:val="20"/>
                <w:szCs w:val="20"/>
                <w:lang w:eastAsia="en-GB"/>
              </w:rPr>
              <w:t xml:space="preserve"> </w:t>
            </w:r>
            <w:r w:rsidRPr="005B2C66">
              <w:rPr>
                <w:rFonts w:ascii="Calibri Light" w:eastAsia="Times New Roman" w:hAnsi="Calibri Light" w:cs="Calibri Light"/>
                <w:sz w:val="20"/>
                <w:szCs w:val="20"/>
                <w:lang w:eastAsia="en-GB"/>
              </w:rPr>
              <w:t>including the multi-apartment and multi-purpose buildings. Emphasis will be given also on the remote reading information. Regarding the billing information, it will be ensured that it is reliable, accurate and based on actual consumption, where that is technically possible and economically justified. Finally, it will be ensured that the final customers will receive all their bills and billing information for energy consumption free of charge and that final customers have access to their consumption data in an appropriate manner and free of charge.</w:t>
            </w:r>
          </w:p>
        </w:tc>
      </w:tr>
      <w:tr w:rsidR="00085C60" w:rsidRPr="00587565" w14:paraId="0FFAFE6A"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314AFF9"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BAFBD39" w14:textId="77777777" w:rsidR="00085C60" w:rsidRPr="005B2C66" w:rsidRDefault="00085C60" w:rsidP="001544A6">
            <w:p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2025-2030</w:t>
            </w:r>
          </w:p>
        </w:tc>
      </w:tr>
      <w:tr w:rsidR="00085C60" w:rsidRPr="00587565" w14:paraId="68D69660"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AFEDFA8"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ED6FDE3" w14:textId="77777777" w:rsidR="00085C60" w:rsidRPr="005B2C66" w:rsidRDefault="00085C60" w:rsidP="001544A6">
            <w:p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Reform</w:t>
            </w:r>
          </w:p>
        </w:tc>
      </w:tr>
      <w:tr w:rsidR="00085C60" w:rsidRPr="00587565" w14:paraId="31B57BB8"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B53C176"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7318484" w14:textId="77777777" w:rsidR="00085C60" w:rsidRPr="005B2C66" w:rsidRDefault="00085C60" w:rsidP="001544A6">
            <w:p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All final energy carriers that are distributed by networks</w:t>
            </w:r>
          </w:p>
        </w:tc>
      </w:tr>
      <w:tr w:rsidR="00085C60" w:rsidRPr="00587565" w14:paraId="2A53BA01" w14:textId="77777777" w:rsidTr="001544A6">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A580B6D"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EBB164F" w14:textId="77777777" w:rsidR="00085C60" w:rsidRPr="005B2C66" w:rsidRDefault="00085C60" w:rsidP="00884F3B">
            <w:pPr>
              <w:pStyle w:val="ListParagraph"/>
              <w:numPr>
                <w:ilvl w:val="0"/>
                <w:numId w:val="172"/>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Ministry of Mining and Energy</w:t>
            </w:r>
          </w:p>
        </w:tc>
      </w:tr>
      <w:tr w:rsidR="00085C60" w:rsidRPr="00587565" w14:paraId="56856351" w14:textId="77777777" w:rsidTr="001544A6">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69138204"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C6FC280" w14:textId="77777777" w:rsidR="00085C60" w:rsidRPr="005B2C66" w:rsidRDefault="00085C60" w:rsidP="00884F3B">
            <w:pPr>
              <w:pStyle w:val="ListParagraph"/>
              <w:numPr>
                <w:ilvl w:val="0"/>
                <w:numId w:val="288"/>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Ministry of Mining and Energy</w:t>
            </w:r>
          </w:p>
        </w:tc>
      </w:tr>
      <w:tr w:rsidR="00085C60" w:rsidRPr="00587565" w14:paraId="00E80B5C" w14:textId="77777777" w:rsidTr="001544A6">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56400AD1"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1EBDF72" w14:textId="77777777" w:rsidR="00085C60" w:rsidRPr="005B2C66" w:rsidRDefault="00085C60" w:rsidP="00884F3B">
            <w:pPr>
              <w:pStyle w:val="ListParagraph"/>
              <w:numPr>
                <w:ilvl w:val="0"/>
                <w:numId w:val="172"/>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Developed regulatory framework</w:t>
            </w:r>
          </w:p>
        </w:tc>
      </w:tr>
      <w:tr w:rsidR="00085C60" w:rsidRPr="00587565" w14:paraId="74F4920A" w14:textId="77777777" w:rsidTr="001544A6">
        <w:trPr>
          <w:gridAfter w:val="1"/>
          <w:wAfter w:w="222" w:type="dxa"/>
          <w:trHeight w:val="419"/>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1086E1C"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B751007"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Internal energy market (the provision of accurate metering and billing information will facilitate the protection of the energy consumers)</w:t>
            </w:r>
          </w:p>
        </w:tc>
      </w:tr>
      <w:tr w:rsidR="00085C60" w:rsidRPr="00587565" w14:paraId="1E4D06A3" w14:textId="77777777" w:rsidTr="001544A6">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65937DFF"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557CEC"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Directive (EU) 2012/27</w:t>
            </w:r>
          </w:p>
          <w:p w14:paraId="78A6490A"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Directive (EU) 2018/2002</w:t>
            </w:r>
          </w:p>
        </w:tc>
      </w:tr>
      <w:tr w:rsidR="00085C60" w:rsidRPr="00587565" w14:paraId="1247DC78" w14:textId="77777777" w:rsidTr="001544A6">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0C045463"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D262425"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p>
        </w:tc>
        <w:tc>
          <w:tcPr>
            <w:tcW w:w="222" w:type="dxa"/>
            <w:tcBorders>
              <w:top w:val="nil"/>
              <w:left w:val="nil"/>
              <w:bottom w:val="nil"/>
              <w:right w:val="nil"/>
            </w:tcBorders>
            <w:shd w:val="clear" w:color="auto" w:fill="auto"/>
            <w:noWrap/>
            <w:vAlign w:val="bottom"/>
            <w:hideMark/>
          </w:tcPr>
          <w:p w14:paraId="5B457289" w14:textId="77777777" w:rsidR="00085C60" w:rsidRPr="00D72F50" w:rsidRDefault="00085C60" w:rsidP="001544A6">
            <w:pPr>
              <w:spacing w:after="0" w:line="240" w:lineRule="auto"/>
              <w:rPr>
                <w:rFonts w:ascii="Calibri Light" w:eastAsia="Times New Roman" w:hAnsi="Calibri Light" w:cs="Calibri Light"/>
                <w:color w:val="FF0000"/>
                <w:sz w:val="20"/>
                <w:szCs w:val="20"/>
                <w:lang w:eastAsia="en-GB"/>
              </w:rPr>
            </w:pPr>
          </w:p>
        </w:tc>
      </w:tr>
      <w:tr w:rsidR="00085C60" w:rsidRPr="00587565" w14:paraId="24BA9715" w14:textId="77777777" w:rsidTr="001544A6">
        <w:trPr>
          <w:trHeight w:val="60"/>
        </w:trPr>
        <w:tc>
          <w:tcPr>
            <w:tcW w:w="3317" w:type="dxa"/>
            <w:vMerge/>
            <w:tcBorders>
              <w:top w:val="nil"/>
              <w:left w:val="single" w:sz="8" w:space="0" w:color="auto"/>
              <w:bottom w:val="single" w:sz="8" w:space="0" w:color="000000"/>
              <w:right w:val="single" w:sz="8" w:space="0" w:color="auto"/>
            </w:tcBorders>
            <w:vAlign w:val="center"/>
            <w:hideMark/>
          </w:tcPr>
          <w:p w14:paraId="69E1B43E"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12CCA7C3"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p>
        </w:tc>
        <w:tc>
          <w:tcPr>
            <w:tcW w:w="222" w:type="dxa"/>
            <w:tcBorders>
              <w:top w:val="nil"/>
              <w:left w:val="nil"/>
              <w:bottom w:val="nil"/>
              <w:right w:val="nil"/>
            </w:tcBorders>
            <w:shd w:val="clear" w:color="auto" w:fill="auto"/>
            <w:noWrap/>
            <w:vAlign w:val="bottom"/>
            <w:hideMark/>
          </w:tcPr>
          <w:p w14:paraId="504C9345"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r w:rsidR="00085C60" w:rsidRPr="00587565" w14:paraId="70F416D0" w14:textId="77777777" w:rsidTr="001544A6">
        <w:trPr>
          <w:trHeight w:val="78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542D261"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F8D8D3C" w14:textId="2705CDBD"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Energy Law</w:t>
            </w:r>
          </w:p>
          <w:p w14:paraId="447000E7" w14:textId="77777777" w:rsidR="00085C60" w:rsidRPr="005B2C66" w:rsidRDefault="00085C60" w:rsidP="00884F3B">
            <w:pPr>
              <w:pStyle w:val="ListParagraph"/>
              <w:numPr>
                <w:ilvl w:val="0"/>
                <w:numId w:val="173"/>
              </w:numPr>
              <w:spacing w:after="0" w:line="240" w:lineRule="auto"/>
              <w:rPr>
                <w:rFonts w:ascii="Calibri Light" w:eastAsia="Times New Roman" w:hAnsi="Calibri Light" w:cs="Calibri Light"/>
                <w:sz w:val="20"/>
                <w:szCs w:val="20"/>
                <w:lang w:eastAsia="en-GB"/>
              </w:rPr>
            </w:pPr>
            <w:r w:rsidRPr="005B2C66">
              <w:rPr>
                <w:rFonts w:ascii="Calibri Light" w:eastAsia="Times New Roman" w:hAnsi="Calibri Light" w:cs="Calibri Light"/>
                <w:sz w:val="20"/>
                <w:szCs w:val="20"/>
                <w:lang w:eastAsia="en-GB"/>
              </w:rPr>
              <w:t>Law on Energy Efficiency and Rational Use of Energy</w:t>
            </w:r>
          </w:p>
        </w:tc>
        <w:tc>
          <w:tcPr>
            <w:tcW w:w="222" w:type="dxa"/>
            <w:vAlign w:val="center"/>
            <w:hideMark/>
          </w:tcPr>
          <w:p w14:paraId="17DF6A0C"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r w:rsidR="00085C60" w:rsidRPr="00587565" w14:paraId="567F4B82" w14:textId="77777777" w:rsidTr="001544A6">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F1C1C34"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5472CD6F" w14:textId="77777777" w:rsidR="00085C60" w:rsidRPr="005B2C66" w:rsidRDefault="00085C60" w:rsidP="001544A6">
            <w:pPr>
              <w:spacing w:after="0" w:line="240" w:lineRule="auto"/>
              <w:rPr>
                <w:rFonts w:ascii="Calibri" w:eastAsia="Times New Roman" w:hAnsi="Calibri" w:cs="Calibri"/>
                <w:highlight w:val="yellow"/>
                <w:lang w:eastAsia="en-GB"/>
              </w:rPr>
            </w:pPr>
            <w:r w:rsidRPr="005B2C66">
              <w:rPr>
                <w:rFonts w:ascii="Calibri Light" w:eastAsia="Times New Roman" w:hAnsi="Calibri Light" w:cs="Calibri Light"/>
                <w:sz w:val="20"/>
                <w:szCs w:val="20"/>
                <w:lang w:eastAsia="en-GB"/>
              </w:rPr>
              <w:t>0.5 million €</w:t>
            </w:r>
          </w:p>
        </w:tc>
        <w:tc>
          <w:tcPr>
            <w:tcW w:w="222" w:type="dxa"/>
            <w:vAlign w:val="center"/>
            <w:hideMark/>
          </w:tcPr>
          <w:p w14:paraId="533FED4C"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r w:rsidR="00085C60" w:rsidRPr="00587565" w14:paraId="023A3396" w14:textId="77777777" w:rsidTr="001544A6">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C809E54" w14:textId="77777777" w:rsidR="00085C60" w:rsidRPr="005B2C66" w:rsidRDefault="00085C60" w:rsidP="001544A6">
            <w:pPr>
              <w:spacing w:after="0" w:line="240" w:lineRule="auto"/>
              <w:rPr>
                <w:rFonts w:ascii="Calibri Light" w:eastAsia="Times New Roman" w:hAnsi="Calibri Light" w:cs="Calibri Light"/>
                <w:b/>
                <w:bCs/>
                <w:color w:val="FFFFFF" w:themeColor="background1"/>
                <w:sz w:val="20"/>
                <w:szCs w:val="20"/>
                <w:lang w:eastAsia="en-GB"/>
              </w:rPr>
            </w:pPr>
            <w:r w:rsidRPr="005B2C66">
              <w:rPr>
                <w:rFonts w:ascii="Calibri Light" w:eastAsia="Times New Roman" w:hAnsi="Calibri Light" w:cs="Calibri Light"/>
                <w:b/>
                <w:bCs/>
                <w:color w:val="FFFFFF" w:themeColor="background1"/>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D46F022" w14:textId="77777777" w:rsidR="00085C60" w:rsidRPr="005B2C66" w:rsidRDefault="00085C60" w:rsidP="001544A6">
            <w:pPr>
              <w:spacing w:after="0" w:line="240" w:lineRule="auto"/>
              <w:rPr>
                <w:rFonts w:ascii="Calibri" w:eastAsia="Times New Roman" w:hAnsi="Calibri" w:cs="Calibri"/>
                <w:highlight w:val="yellow"/>
                <w:lang w:eastAsia="en-GB"/>
              </w:rPr>
            </w:pPr>
            <w:r w:rsidRPr="005B2C66">
              <w:rPr>
                <w:rFonts w:asciiTheme="majorHAnsi" w:eastAsia="Times New Roman" w:hAnsiTheme="majorHAnsi" w:cstheme="majorHAnsi"/>
                <w:sz w:val="20"/>
                <w:szCs w:val="20"/>
                <w:lang w:eastAsia="en-GB"/>
              </w:rPr>
              <w:t>Public funds</w:t>
            </w:r>
          </w:p>
        </w:tc>
        <w:tc>
          <w:tcPr>
            <w:tcW w:w="222" w:type="dxa"/>
            <w:vAlign w:val="center"/>
            <w:hideMark/>
          </w:tcPr>
          <w:p w14:paraId="45770651" w14:textId="77777777" w:rsidR="00085C60" w:rsidRPr="00D72F50" w:rsidRDefault="00085C60" w:rsidP="001544A6">
            <w:pPr>
              <w:spacing w:after="0" w:line="240" w:lineRule="auto"/>
              <w:rPr>
                <w:rFonts w:ascii="Times New Roman" w:eastAsia="Times New Roman" w:hAnsi="Times New Roman" w:cs="Times New Roman"/>
                <w:color w:val="FF0000"/>
                <w:sz w:val="20"/>
                <w:szCs w:val="20"/>
                <w:lang w:eastAsia="en-GB"/>
              </w:rPr>
            </w:pPr>
          </w:p>
        </w:tc>
      </w:tr>
    </w:tbl>
    <w:p w14:paraId="0DD9B306" w14:textId="77777777" w:rsidR="00085C60" w:rsidRPr="00A33AE8" w:rsidRDefault="00085C60" w:rsidP="000A360E">
      <w:pPr>
        <w:pStyle w:val="LDKBody1"/>
      </w:pPr>
    </w:p>
    <w:p w14:paraId="73B5A321" w14:textId="77777777" w:rsidR="00D2554B" w:rsidRPr="00A33AE8" w:rsidRDefault="00D2554B" w:rsidP="00884F3B">
      <w:pPr>
        <w:pStyle w:val="Heading4"/>
        <w:numPr>
          <w:ilvl w:val="0"/>
          <w:numId w:val="6"/>
        </w:numPr>
        <w:jc w:val="both"/>
      </w:pPr>
      <w:r w:rsidRPr="00A33AE8">
        <w:t>Description of measures to develop measures to utilise energy efficiency potentials of gas and electricity infrastructure</w:t>
      </w:r>
    </w:p>
    <w:p w14:paraId="1A401171"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t>The energy efficiency of the electricity and gas infrastructures will be improved by the measures, which will be conducted by the respective operators within the framework of their development programmes in compliance with the energy efficiency first principle. Targeted technical measures will be initiated for reducing the losses in transmission and distribution network, load management, improving the network interoperability.</w:t>
      </w:r>
    </w:p>
    <w:p w14:paraId="26E9D79F" w14:textId="77777777" w:rsidR="00D2554B" w:rsidRPr="00A33AE8" w:rsidRDefault="00D2554B" w:rsidP="004C6CE1">
      <w:pPr>
        <w:spacing w:before="160"/>
        <w:jc w:val="both"/>
        <w:rPr>
          <w:rFonts w:asciiTheme="majorHAnsi" w:hAnsiTheme="majorHAnsi" w:cstheme="majorHAnsi"/>
          <w:color w:val="000000"/>
        </w:rPr>
      </w:pPr>
      <w:r w:rsidRPr="00A33AE8">
        <w:rPr>
          <w:rFonts w:asciiTheme="majorHAnsi" w:hAnsiTheme="majorHAnsi" w:cstheme="majorHAnsi"/>
          <w:color w:val="000000"/>
        </w:rPr>
        <w:lastRenderedPageBreak/>
        <w:t>Moreover, reports will be prepared on annual basis describing analytically the performed actions, while the incentives will be given on both natural gas and electricity transmission and distribution network operators in order to have a higher return on the invested capital if they attain specific energy efficiency targets.</w:t>
      </w:r>
    </w:p>
    <w:p w14:paraId="7401B1BF" w14:textId="77777777" w:rsidR="00D2554B" w:rsidRPr="00A33AE8" w:rsidRDefault="00D2554B" w:rsidP="004C6CE1">
      <w:pPr>
        <w:spacing w:before="160"/>
        <w:jc w:val="both"/>
        <w:rPr>
          <w:rFonts w:asciiTheme="majorHAnsi" w:hAnsiTheme="majorHAnsi" w:cstheme="majorHAnsi"/>
          <w:i/>
          <w:iCs/>
          <w:color w:val="000000"/>
          <w:u w:val="single"/>
        </w:rPr>
      </w:pPr>
      <w:r w:rsidRPr="00A33AE8">
        <w:rPr>
          <w:rFonts w:asciiTheme="majorHAnsi" w:hAnsiTheme="majorHAnsi" w:cstheme="majorHAnsi"/>
          <w:color w:val="000000"/>
        </w:rPr>
        <w:t>Finally, the massive installation of smart meters will be ensured facilitating the provision of demand response services</w:t>
      </w:r>
      <w:r w:rsidR="00EC44AC" w:rsidRPr="00A33AE8">
        <w:rPr>
          <w:rFonts w:asciiTheme="majorHAnsi" w:hAnsiTheme="majorHAnsi" w:cstheme="majorHAnsi"/>
          <w:color w:val="000000"/>
        </w:rPr>
        <w:t>, while</w:t>
      </w:r>
      <w:r w:rsidRPr="00A33AE8">
        <w:rPr>
          <w:rFonts w:asciiTheme="majorHAnsi" w:hAnsiTheme="majorHAnsi" w:cstheme="majorHAnsi"/>
          <w:color w:val="000000"/>
        </w:rPr>
        <w:t xml:space="preserve"> the necessary legislative framework</w:t>
      </w:r>
      <w:r w:rsidR="00EC44AC" w:rsidRPr="00A33AE8">
        <w:rPr>
          <w:rFonts w:asciiTheme="majorHAnsi" w:hAnsiTheme="majorHAnsi" w:cstheme="majorHAnsi"/>
          <w:color w:val="000000"/>
        </w:rPr>
        <w:t xml:space="preserve"> will be adopted in order to foster the dynamic pricing and tariffs</w:t>
      </w:r>
      <w:r w:rsidRPr="00A33AE8">
        <w:rPr>
          <w:rFonts w:asciiTheme="majorHAnsi" w:hAnsiTheme="majorHAnsi" w:cstheme="majorHAnsi"/>
          <w:color w:val="000000"/>
        </w:rPr>
        <w:t>.</w:t>
      </w:r>
    </w:p>
    <w:tbl>
      <w:tblPr>
        <w:tblW w:w="9680" w:type="dxa"/>
        <w:tblLook w:val="04A0" w:firstRow="1" w:lastRow="0" w:firstColumn="1" w:lastColumn="0" w:noHBand="0" w:noVBand="1"/>
      </w:tblPr>
      <w:tblGrid>
        <w:gridCol w:w="3316"/>
        <w:gridCol w:w="986"/>
        <w:gridCol w:w="943"/>
        <w:gridCol w:w="4213"/>
        <w:gridCol w:w="222"/>
      </w:tblGrid>
      <w:tr w:rsidR="00B51D71" w:rsidRPr="00A33AE8" w14:paraId="48823DBA" w14:textId="77777777" w:rsidTr="006769DA">
        <w:trPr>
          <w:gridAfter w:val="1"/>
          <w:wAfter w:w="222" w:type="dxa"/>
          <w:trHeight w:val="780"/>
        </w:trPr>
        <w:tc>
          <w:tcPr>
            <w:tcW w:w="3316"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00CD511" w14:textId="24B280DC" w:rsidR="00B51D71" w:rsidRPr="00A33AE8" w:rsidRDefault="00B51D71"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7569737" w14:textId="77777777" w:rsidR="00B51D71" w:rsidRPr="00A33AE8" w:rsidRDefault="00B51D71"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PM_EE40</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1FF3C8A3" w14:textId="77777777"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3" w:type="dxa"/>
            <w:tcBorders>
              <w:top w:val="single" w:sz="8" w:space="0" w:color="auto"/>
              <w:left w:val="nil"/>
              <w:bottom w:val="single" w:sz="8" w:space="0" w:color="auto"/>
              <w:right w:val="single" w:sz="8" w:space="0" w:color="auto"/>
            </w:tcBorders>
            <w:shd w:val="clear" w:color="auto" w:fill="E7E6E6" w:themeFill="background2"/>
            <w:vAlign w:val="center"/>
            <w:hideMark/>
          </w:tcPr>
          <w:p w14:paraId="6664EA6D" w14:textId="77777777" w:rsidR="00B51D71" w:rsidRPr="00A33AE8" w:rsidRDefault="00B51D71"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Deployment of smart meters (synergies with energy market dimension)</w:t>
            </w:r>
          </w:p>
        </w:tc>
      </w:tr>
      <w:tr w:rsidR="00B51D71" w:rsidRPr="00A33AE8" w14:paraId="598CB3A6" w14:textId="77777777" w:rsidTr="006769DA">
        <w:trPr>
          <w:gridAfter w:val="1"/>
          <w:wAfter w:w="222" w:type="dxa"/>
          <w:trHeight w:val="316"/>
        </w:trPr>
        <w:tc>
          <w:tcPr>
            <w:tcW w:w="3316" w:type="dxa"/>
            <w:tcBorders>
              <w:top w:val="nil"/>
              <w:left w:val="single" w:sz="8" w:space="0" w:color="auto"/>
              <w:bottom w:val="single" w:sz="8" w:space="0" w:color="auto"/>
              <w:right w:val="nil"/>
            </w:tcBorders>
            <w:shd w:val="clear" w:color="000000" w:fill="244062"/>
            <w:vAlign w:val="center"/>
            <w:hideMark/>
          </w:tcPr>
          <w:p w14:paraId="4786D226" w14:textId="6F065069"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1A38E3E2" w14:textId="6047B9D7" w:rsidR="00B51D71"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EC44AC"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EC44A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EC44A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B51D71" w:rsidRPr="00A33AE8">
              <w:rPr>
                <w:rFonts w:ascii="Calibri Light" w:eastAsia="Times New Roman" w:hAnsi="Calibri Light" w:cs="Calibri Light"/>
                <w:color w:val="000000"/>
                <w:sz w:val="20"/>
                <w:szCs w:val="20"/>
                <w:lang w:eastAsia="en-GB"/>
              </w:rPr>
              <w:t>:</w:t>
            </w:r>
          </w:p>
          <w:p w14:paraId="138B140B" w14:textId="77777777" w:rsidR="00B51D71" w:rsidRPr="00A33AE8" w:rsidRDefault="00B51D71"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B51D71" w:rsidRPr="00A33AE8" w14:paraId="37EA92FC" w14:textId="77777777" w:rsidTr="006769DA">
        <w:trPr>
          <w:gridAfter w:val="1"/>
          <w:wAfter w:w="222" w:type="dxa"/>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05D4D65A" w14:textId="3AB143F3"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512FF583" w14:textId="77777777" w:rsidR="00B51D71" w:rsidRPr="00A33AE8" w:rsidRDefault="00532B7A"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C644D9" w:rsidRPr="00A33AE8">
              <w:rPr>
                <w:rFonts w:ascii="Calibri Light" w:eastAsia="Times New Roman" w:hAnsi="Calibri Light" w:cs="Calibri Light"/>
                <w:color w:val="000000"/>
                <w:sz w:val="20"/>
                <w:szCs w:val="20"/>
                <w:lang w:eastAsia="en-GB"/>
              </w:rPr>
              <w:t>fulfilling the expected final energy consumption levels</w:t>
            </w:r>
          </w:p>
        </w:tc>
      </w:tr>
      <w:tr w:rsidR="00B51D71" w:rsidRPr="00A33AE8" w14:paraId="365BE6C8" w14:textId="77777777" w:rsidTr="006769DA">
        <w:trPr>
          <w:gridAfter w:val="1"/>
          <w:wAfter w:w="222" w:type="dxa"/>
          <w:trHeight w:val="784"/>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3D1592B5" w14:textId="77777777"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7FA9F654" w14:textId="77777777" w:rsidR="00B51D71" w:rsidRPr="00A33AE8" w:rsidRDefault="00B51D71"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PM_EE40 will facilitate the deployment of smart meters through the identification of the most effective business model and the development of the required infrastructure. </w:t>
            </w:r>
          </w:p>
        </w:tc>
      </w:tr>
      <w:tr w:rsidR="00B51D71" w:rsidRPr="00A33AE8" w14:paraId="19A4E75F" w14:textId="77777777" w:rsidTr="006769DA">
        <w:trPr>
          <w:gridAfter w:val="1"/>
          <w:wAfter w:w="222" w:type="dxa"/>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7EB160A4" w14:textId="77777777"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75D5798C" w14:textId="77777777" w:rsidR="00B51D71" w:rsidRPr="00A33AE8" w:rsidRDefault="00EC44A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B51D71" w:rsidRPr="00A33AE8">
              <w:rPr>
                <w:rFonts w:ascii="Calibri Light" w:eastAsia="Times New Roman" w:hAnsi="Calibri Light" w:cs="Calibri Light"/>
                <w:color w:val="000000"/>
                <w:sz w:val="20"/>
                <w:szCs w:val="20"/>
                <w:lang w:eastAsia="en-GB"/>
              </w:rPr>
              <w:t>-2030</w:t>
            </w:r>
          </w:p>
        </w:tc>
      </w:tr>
      <w:tr w:rsidR="00B51D71" w:rsidRPr="00A33AE8" w14:paraId="3ED47E48" w14:textId="77777777" w:rsidTr="006769DA">
        <w:trPr>
          <w:gridAfter w:val="1"/>
          <w:wAfter w:w="222" w:type="dxa"/>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664CF68F" w14:textId="77777777"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319BBDFE" w14:textId="77777777" w:rsidR="00B51D71"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9B2181" w:rsidRPr="00A33AE8" w14:paraId="2B4AAAE0" w14:textId="77777777" w:rsidTr="006769DA">
        <w:trPr>
          <w:gridAfter w:val="1"/>
          <w:wAfter w:w="222" w:type="dxa"/>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78FD7528"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2E847A0A"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B51D71" w:rsidRPr="00A33AE8" w14:paraId="6AF19B57" w14:textId="77777777" w:rsidTr="006769DA">
        <w:trPr>
          <w:gridAfter w:val="1"/>
          <w:wAfter w:w="222" w:type="dxa"/>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6A8A13A9" w14:textId="77777777" w:rsidR="00B51D71" w:rsidRPr="00A33AE8" w:rsidRDefault="00B51D71"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4E2134C0" w14:textId="77777777" w:rsidR="00B51D71" w:rsidRPr="000007D2" w:rsidRDefault="00C644D9"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F3686D" w:rsidRPr="00A33AE8" w14:paraId="3AA9F5B3" w14:textId="77777777" w:rsidTr="006769DA">
        <w:trPr>
          <w:gridAfter w:val="1"/>
          <w:wAfter w:w="222" w:type="dxa"/>
          <w:trHeight w:val="315"/>
        </w:trPr>
        <w:tc>
          <w:tcPr>
            <w:tcW w:w="3316" w:type="dxa"/>
            <w:tcBorders>
              <w:top w:val="nil"/>
              <w:left w:val="single" w:sz="8" w:space="0" w:color="auto"/>
              <w:bottom w:val="single" w:sz="8" w:space="0" w:color="auto"/>
              <w:right w:val="nil"/>
            </w:tcBorders>
            <w:shd w:val="clear" w:color="000000" w:fill="244062"/>
            <w:vAlign w:val="center"/>
            <w:hideMark/>
          </w:tcPr>
          <w:p w14:paraId="51E14088"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497578D9" w14:textId="77777777" w:rsidR="00F3686D" w:rsidRPr="00A33AE8" w:rsidRDefault="00F3686D"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772702">
              <w:rPr>
                <w:rFonts w:ascii="Calibri Light" w:eastAsia="Times New Roman" w:hAnsi="Calibri Light" w:cs="Calibri Light"/>
                <w:color w:val="000000"/>
                <w:sz w:val="20"/>
                <w:szCs w:val="20"/>
                <w:lang w:eastAsia="en-GB"/>
              </w:rPr>
              <w:t>Government of the Republic of Serbia</w:t>
            </w:r>
          </w:p>
        </w:tc>
      </w:tr>
      <w:tr w:rsidR="00F3686D" w:rsidRPr="00A33AE8" w14:paraId="79195A52" w14:textId="77777777" w:rsidTr="006769DA">
        <w:trPr>
          <w:gridAfter w:val="1"/>
          <w:wAfter w:w="222" w:type="dxa"/>
          <w:trHeight w:val="315"/>
        </w:trPr>
        <w:tc>
          <w:tcPr>
            <w:tcW w:w="3316" w:type="dxa"/>
            <w:tcBorders>
              <w:top w:val="nil"/>
              <w:left w:val="single" w:sz="8" w:space="0" w:color="auto"/>
              <w:bottom w:val="single" w:sz="8" w:space="0" w:color="auto"/>
              <w:right w:val="nil"/>
            </w:tcBorders>
            <w:shd w:val="clear" w:color="000000" w:fill="244062"/>
            <w:vAlign w:val="center"/>
            <w:hideMark/>
          </w:tcPr>
          <w:p w14:paraId="254397D7"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2D24D558" w14:textId="77777777" w:rsidR="00F3686D" w:rsidRPr="00A33AE8" w:rsidRDefault="00F3686D"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installed smart meters</w:t>
            </w:r>
          </w:p>
        </w:tc>
      </w:tr>
      <w:tr w:rsidR="00F3686D" w:rsidRPr="00A33AE8" w14:paraId="1ABCFBB5" w14:textId="77777777" w:rsidTr="006769DA">
        <w:trPr>
          <w:gridAfter w:val="1"/>
          <w:wAfter w:w="222" w:type="dxa"/>
          <w:trHeight w:val="519"/>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5CAAF552"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25923C9B" w14:textId="77777777" w:rsidR="00F3686D" w:rsidRPr="00F3686D"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Pr="00F3686D">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762BDCC6" w14:textId="77777777" w:rsidR="00F3686D" w:rsidRPr="00F3686D"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F3686D">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p w14:paraId="0BC1894D" w14:textId="77777777" w:rsidR="00F3686D"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F3686D">
              <w:rPr>
                <w:rFonts w:ascii="Calibri Light" w:eastAsia="Times New Roman" w:hAnsi="Calibri Light" w:cs="Calibri Light"/>
                <w:color w:val="000000"/>
                <w:sz w:val="20"/>
                <w:szCs w:val="20"/>
                <w:lang w:eastAsia="en-GB"/>
              </w:rPr>
              <w:t>Internal energy market (the installation of smart meters will enable the market integration and coupling)</w:t>
            </w:r>
          </w:p>
        </w:tc>
      </w:tr>
      <w:tr w:rsidR="00F3686D" w:rsidRPr="00A33AE8" w14:paraId="7BF3DC5F" w14:textId="77777777" w:rsidTr="006769DA">
        <w:trPr>
          <w:gridAfter w:val="1"/>
          <w:wAfter w:w="222" w:type="dxa"/>
          <w:trHeight w:val="450"/>
        </w:trPr>
        <w:tc>
          <w:tcPr>
            <w:tcW w:w="3316"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5F111316"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2"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D162602" w14:textId="77777777" w:rsidR="00F3686D"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45BCED99" w14:textId="77777777" w:rsidR="00F3686D"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F3686D" w:rsidRPr="00A33AE8" w14:paraId="6F4C8D17" w14:textId="77777777" w:rsidTr="006769DA">
        <w:trPr>
          <w:trHeight w:val="300"/>
        </w:trPr>
        <w:tc>
          <w:tcPr>
            <w:tcW w:w="3316" w:type="dxa"/>
            <w:vMerge/>
            <w:tcBorders>
              <w:top w:val="nil"/>
              <w:left w:val="single" w:sz="8" w:space="0" w:color="auto"/>
              <w:bottom w:val="single" w:sz="8" w:space="0" w:color="000000"/>
              <w:right w:val="single" w:sz="8" w:space="0" w:color="auto"/>
            </w:tcBorders>
            <w:vAlign w:val="center"/>
            <w:hideMark/>
          </w:tcPr>
          <w:p w14:paraId="555A27E4"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p>
        </w:tc>
        <w:tc>
          <w:tcPr>
            <w:tcW w:w="6142" w:type="dxa"/>
            <w:gridSpan w:val="3"/>
            <w:vMerge/>
            <w:tcBorders>
              <w:top w:val="single" w:sz="8" w:space="0" w:color="auto"/>
              <w:left w:val="single" w:sz="8" w:space="0" w:color="auto"/>
              <w:bottom w:val="single" w:sz="8" w:space="0" w:color="000000"/>
              <w:right w:val="single" w:sz="8" w:space="0" w:color="000000"/>
            </w:tcBorders>
            <w:vAlign w:val="center"/>
            <w:hideMark/>
          </w:tcPr>
          <w:p w14:paraId="7EB92792" w14:textId="77777777" w:rsidR="00F3686D"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203012C3" w14:textId="77777777" w:rsidR="00F3686D" w:rsidRPr="00A33AE8" w:rsidRDefault="00F3686D" w:rsidP="00F3686D">
            <w:pPr>
              <w:spacing w:after="0" w:line="240" w:lineRule="auto"/>
              <w:rPr>
                <w:rFonts w:ascii="Calibri Light" w:eastAsia="Times New Roman" w:hAnsi="Calibri Light" w:cs="Calibri Light"/>
                <w:color w:val="000000"/>
                <w:sz w:val="20"/>
                <w:szCs w:val="20"/>
                <w:lang w:eastAsia="en-GB"/>
              </w:rPr>
            </w:pPr>
          </w:p>
        </w:tc>
      </w:tr>
      <w:tr w:rsidR="00F3686D" w:rsidRPr="00A33AE8" w14:paraId="078811F0" w14:textId="77777777" w:rsidTr="006769DA">
        <w:trPr>
          <w:trHeight w:val="60"/>
        </w:trPr>
        <w:tc>
          <w:tcPr>
            <w:tcW w:w="3316" w:type="dxa"/>
            <w:vMerge/>
            <w:tcBorders>
              <w:top w:val="nil"/>
              <w:left w:val="single" w:sz="8" w:space="0" w:color="auto"/>
              <w:bottom w:val="single" w:sz="8" w:space="0" w:color="000000"/>
              <w:right w:val="single" w:sz="8" w:space="0" w:color="auto"/>
            </w:tcBorders>
            <w:vAlign w:val="center"/>
            <w:hideMark/>
          </w:tcPr>
          <w:p w14:paraId="66CDABC8"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p>
        </w:tc>
        <w:tc>
          <w:tcPr>
            <w:tcW w:w="6142" w:type="dxa"/>
            <w:gridSpan w:val="3"/>
            <w:vMerge/>
            <w:tcBorders>
              <w:top w:val="single" w:sz="8" w:space="0" w:color="auto"/>
              <w:left w:val="single" w:sz="8" w:space="0" w:color="auto"/>
              <w:bottom w:val="single" w:sz="8" w:space="0" w:color="000000"/>
              <w:right w:val="single" w:sz="8" w:space="0" w:color="000000"/>
            </w:tcBorders>
            <w:vAlign w:val="center"/>
            <w:hideMark/>
          </w:tcPr>
          <w:p w14:paraId="7B43FE61" w14:textId="77777777" w:rsidR="00F3686D"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A82D090" w14:textId="77777777" w:rsidR="00F3686D" w:rsidRPr="00A33AE8" w:rsidRDefault="00F3686D" w:rsidP="00F3686D">
            <w:pPr>
              <w:spacing w:after="0" w:line="240" w:lineRule="auto"/>
              <w:rPr>
                <w:rFonts w:ascii="Times New Roman" w:eastAsia="Times New Roman" w:hAnsi="Times New Roman" w:cs="Times New Roman"/>
                <w:sz w:val="20"/>
                <w:szCs w:val="20"/>
                <w:lang w:eastAsia="en-GB"/>
              </w:rPr>
            </w:pPr>
          </w:p>
        </w:tc>
      </w:tr>
      <w:tr w:rsidR="00F3686D" w:rsidRPr="00A33AE8" w14:paraId="5726E727" w14:textId="77777777" w:rsidTr="006769DA">
        <w:trPr>
          <w:trHeight w:val="477"/>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0A24CDC7"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40F6F780" w14:textId="77777777" w:rsidR="00F3686D"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Energy Law </w:t>
            </w:r>
          </w:p>
        </w:tc>
        <w:tc>
          <w:tcPr>
            <w:tcW w:w="222" w:type="dxa"/>
            <w:vAlign w:val="center"/>
            <w:hideMark/>
          </w:tcPr>
          <w:p w14:paraId="5D81C9C8" w14:textId="77777777" w:rsidR="00F3686D" w:rsidRPr="00A33AE8" w:rsidRDefault="00F3686D" w:rsidP="00F3686D">
            <w:pPr>
              <w:spacing w:after="0" w:line="240" w:lineRule="auto"/>
              <w:rPr>
                <w:rFonts w:ascii="Times New Roman" w:eastAsia="Times New Roman" w:hAnsi="Times New Roman" w:cs="Times New Roman"/>
                <w:sz w:val="20"/>
                <w:szCs w:val="20"/>
                <w:lang w:eastAsia="en-GB"/>
              </w:rPr>
            </w:pPr>
          </w:p>
        </w:tc>
      </w:tr>
      <w:tr w:rsidR="00F3686D" w:rsidRPr="00A33AE8" w14:paraId="686E2A80" w14:textId="77777777" w:rsidTr="006769DA">
        <w:trPr>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0A7EB9C8"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3AA9F5BD" w14:textId="77777777" w:rsidR="00F3686D" w:rsidRPr="00A33AE8" w:rsidRDefault="00F3686D" w:rsidP="00F3686D">
            <w:pPr>
              <w:spacing w:after="0" w:line="240" w:lineRule="auto"/>
              <w:rPr>
                <w:rFonts w:ascii="Calibri Light" w:eastAsia="Times New Roman" w:hAnsi="Calibri Light" w:cs="Calibri Light"/>
                <w:color w:val="000000"/>
                <w:sz w:val="20"/>
                <w:szCs w:val="2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25452376" w14:textId="77777777" w:rsidR="00F3686D" w:rsidRPr="00A33AE8" w:rsidRDefault="00F3686D" w:rsidP="00F3686D">
            <w:pPr>
              <w:spacing w:after="0" w:line="240" w:lineRule="auto"/>
              <w:rPr>
                <w:rFonts w:ascii="Times New Roman" w:eastAsia="Times New Roman" w:hAnsi="Times New Roman" w:cs="Times New Roman"/>
                <w:sz w:val="20"/>
                <w:szCs w:val="20"/>
                <w:lang w:eastAsia="en-GB"/>
              </w:rPr>
            </w:pPr>
          </w:p>
        </w:tc>
      </w:tr>
      <w:tr w:rsidR="00F3686D" w:rsidRPr="00A33AE8" w14:paraId="334A0F0B" w14:textId="77777777" w:rsidTr="006769DA">
        <w:trPr>
          <w:trHeight w:val="315"/>
        </w:trPr>
        <w:tc>
          <w:tcPr>
            <w:tcW w:w="3316" w:type="dxa"/>
            <w:tcBorders>
              <w:top w:val="nil"/>
              <w:left w:val="single" w:sz="8" w:space="0" w:color="auto"/>
              <w:bottom w:val="single" w:sz="8" w:space="0" w:color="auto"/>
              <w:right w:val="single" w:sz="8" w:space="0" w:color="auto"/>
            </w:tcBorders>
            <w:shd w:val="clear" w:color="000000" w:fill="244062"/>
            <w:vAlign w:val="center"/>
            <w:hideMark/>
          </w:tcPr>
          <w:p w14:paraId="65615906" w14:textId="77777777" w:rsidR="00F3686D" w:rsidRPr="00A33AE8" w:rsidRDefault="00F3686D" w:rsidP="00F3686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2" w:type="dxa"/>
            <w:gridSpan w:val="3"/>
            <w:tcBorders>
              <w:top w:val="single" w:sz="8" w:space="0" w:color="auto"/>
              <w:left w:val="nil"/>
              <w:bottom w:val="single" w:sz="8" w:space="0" w:color="auto"/>
              <w:right w:val="single" w:sz="8" w:space="0" w:color="000000"/>
            </w:tcBorders>
            <w:shd w:val="clear" w:color="auto" w:fill="auto"/>
            <w:vAlign w:val="center"/>
            <w:hideMark/>
          </w:tcPr>
          <w:p w14:paraId="62A123ED" w14:textId="77777777" w:rsidR="00F3686D" w:rsidRPr="00A33AE8" w:rsidRDefault="00F3686D" w:rsidP="00F3686D">
            <w:pPr>
              <w:spacing w:after="0" w:line="240" w:lineRule="auto"/>
              <w:rPr>
                <w:rFonts w:ascii="Calibri Light" w:eastAsia="Times New Roman" w:hAnsi="Calibri Light" w:cs="Calibri Light"/>
                <w:color w:val="000000"/>
                <w:sz w:val="20"/>
                <w:szCs w:val="20"/>
                <w:highlight w:val="yellow"/>
                <w:lang w:eastAsia="en-GB"/>
              </w:rPr>
            </w:pPr>
            <w:r w:rsidRPr="00A33AE8">
              <w:rPr>
                <w:rFonts w:asciiTheme="majorHAnsi" w:eastAsia="Times New Roman" w:hAnsiTheme="majorHAnsi" w:cstheme="majorHAnsi"/>
                <w:color w:val="000000"/>
                <w:sz w:val="20"/>
                <w:szCs w:val="20"/>
                <w:lang w:eastAsia="en-GB"/>
              </w:rPr>
              <w:t>EU and other funds, public funds and own funds</w:t>
            </w:r>
          </w:p>
        </w:tc>
        <w:tc>
          <w:tcPr>
            <w:tcW w:w="222" w:type="dxa"/>
            <w:vAlign w:val="center"/>
            <w:hideMark/>
          </w:tcPr>
          <w:p w14:paraId="5AEC38C0" w14:textId="77777777" w:rsidR="00F3686D" w:rsidRPr="00A33AE8" w:rsidRDefault="00F3686D" w:rsidP="00F3686D">
            <w:pPr>
              <w:spacing w:after="0" w:line="240" w:lineRule="auto"/>
              <w:rPr>
                <w:rFonts w:ascii="Times New Roman" w:eastAsia="Times New Roman" w:hAnsi="Times New Roman" w:cs="Times New Roman"/>
                <w:sz w:val="20"/>
                <w:szCs w:val="20"/>
                <w:lang w:eastAsia="en-GB"/>
              </w:rPr>
            </w:pPr>
          </w:p>
        </w:tc>
      </w:tr>
    </w:tbl>
    <w:p w14:paraId="3B2FE50D" w14:textId="77777777" w:rsidR="002F281C" w:rsidRPr="00A33AE8" w:rsidRDefault="002F281C" w:rsidP="002F281C">
      <w:pPr>
        <w:pStyle w:val="LDKbody"/>
        <w:rPr>
          <w:lang w:val="en-GB"/>
        </w:rPr>
      </w:pPr>
    </w:p>
    <w:tbl>
      <w:tblPr>
        <w:tblW w:w="9680" w:type="dxa"/>
        <w:tblLook w:val="04A0" w:firstRow="1" w:lastRow="0" w:firstColumn="1" w:lastColumn="0" w:noHBand="0" w:noVBand="1"/>
      </w:tblPr>
      <w:tblGrid>
        <w:gridCol w:w="3294"/>
        <w:gridCol w:w="986"/>
        <w:gridCol w:w="939"/>
        <w:gridCol w:w="4184"/>
        <w:gridCol w:w="277"/>
      </w:tblGrid>
      <w:tr w:rsidR="002F281C" w:rsidRPr="00A33AE8" w14:paraId="3908D656" w14:textId="77777777" w:rsidTr="00C644D9">
        <w:trPr>
          <w:gridAfter w:val="1"/>
          <w:wAfter w:w="277" w:type="dxa"/>
          <w:trHeight w:val="780"/>
        </w:trPr>
        <w:tc>
          <w:tcPr>
            <w:tcW w:w="3294"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3772E536" w14:textId="3D8888C2" w:rsidR="002F281C" w:rsidRPr="00A33AE8" w:rsidRDefault="002F281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DD01904" w14:textId="77777777" w:rsidR="002F281C" w:rsidRPr="00A33AE8" w:rsidRDefault="002F281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PM_EE42</w:t>
            </w:r>
          </w:p>
        </w:tc>
        <w:tc>
          <w:tcPr>
            <w:tcW w:w="939" w:type="dxa"/>
            <w:tcBorders>
              <w:top w:val="single" w:sz="8" w:space="0" w:color="auto"/>
              <w:left w:val="nil"/>
              <w:bottom w:val="single" w:sz="8" w:space="0" w:color="auto"/>
              <w:right w:val="single" w:sz="8" w:space="0" w:color="auto"/>
            </w:tcBorders>
            <w:shd w:val="clear" w:color="000000" w:fill="244062"/>
            <w:vAlign w:val="center"/>
            <w:hideMark/>
          </w:tcPr>
          <w:p w14:paraId="435C8479"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84" w:type="dxa"/>
            <w:tcBorders>
              <w:top w:val="single" w:sz="8" w:space="0" w:color="auto"/>
              <w:left w:val="nil"/>
              <w:bottom w:val="single" w:sz="8" w:space="0" w:color="auto"/>
              <w:right w:val="single" w:sz="8" w:space="0" w:color="auto"/>
            </w:tcBorders>
            <w:shd w:val="clear" w:color="auto" w:fill="E7E6E6" w:themeFill="background2"/>
            <w:vAlign w:val="center"/>
            <w:hideMark/>
          </w:tcPr>
          <w:p w14:paraId="4F52DD83" w14:textId="77777777" w:rsidR="002F281C" w:rsidRPr="00A33AE8" w:rsidRDefault="002F281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measures for improving energy efficiency in electricity infrastructure</w:t>
            </w:r>
          </w:p>
        </w:tc>
      </w:tr>
      <w:tr w:rsidR="002F281C" w:rsidRPr="00A33AE8" w14:paraId="7C6DFFB0" w14:textId="77777777" w:rsidTr="00C644D9">
        <w:trPr>
          <w:gridAfter w:val="1"/>
          <w:wAfter w:w="277" w:type="dxa"/>
          <w:trHeight w:val="355"/>
        </w:trPr>
        <w:tc>
          <w:tcPr>
            <w:tcW w:w="3294" w:type="dxa"/>
            <w:tcBorders>
              <w:top w:val="nil"/>
              <w:left w:val="single" w:sz="8" w:space="0" w:color="auto"/>
              <w:bottom w:val="single" w:sz="8" w:space="0" w:color="auto"/>
              <w:right w:val="nil"/>
            </w:tcBorders>
            <w:shd w:val="clear" w:color="000000" w:fill="244062"/>
            <w:vAlign w:val="center"/>
            <w:hideMark/>
          </w:tcPr>
          <w:p w14:paraId="231382BA" w14:textId="39F35F41"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3E8AD91C" w14:textId="489A2637" w:rsidR="002F281C" w:rsidRPr="00A33AE8" w:rsidRDefault="008017D6"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 </w:t>
            </w:r>
            <w:r w:rsidR="00EC44AC" w:rsidRPr="00A33AE8">
              <w:rPr>
                <w:rFonts w:ascii="Calibri Light" w:eastAsia="Times New Roman" w:hAnsi="Calibri Light" w:cs="Calibri Light"/>
                <w:color w:val="000000"/>
                <w:sz w:val="20"/>
                <w:szCs w:val="20"/>
                <w:lang w:eastAsia="en-GB"/>
              </w:rPr>
              <w:t>Implementation</w:t>
            </w:r>
            <w:r w:rsidRPr="00A33AE8">
              <w:rPr>
                <w:rFonts w:ascii="Calibri Light" w:eastAsia="Times New Roman" w:hAnsi="Calibri Light" w:cs="Calibri Light"/>
                <w:color w:val="000000"/>
                <w:sz w:val="20"/>
                <w:szCs w:val="20"/>
                <w:lang w:eastAsia="en-GB"/>
              </w:rPr>
              <w:t xml:space="preserve"> of the following articles of the Directive </w:t>
            </w:r>
            <w:r w:rsidR="00EC44A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 xml:space="preserve">2012/27/EU, as amended by Directive </w:t>
            </w:r>
            <w:r w:rsidR="00EC44A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r w:rsidR="002F281C" w:rsidRPr="00A33AE8">
              <w:rPr>
                <w:rFonts w:ascii="Calibri Light" w:eastAsia="Times New Roman" w:hAnsi="Calibri Light" w:cs="Calibri Light"/>
                <w:color w:val="000000"/>
                <w:sz w:val="20"/>
                <w:szCs w:val="20"/>
                <w:lang w:eastAsia="en-GB"/>
              </w:rPr>
              <w:t>:</w:t>
            </w:r>
          </w:p>
          <w:p w14:paraId="6FB7E235" w14:textId="77777777" w:rsidR="002F281C" w:rsidRPr="00A33AE8" w:rsidRDefault="002F281C"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2F281C" w:rsidRPr="00A33AE8" w14:paraId="017860B5" w14:textId="77777777" w:rsidTr="00C644D9">
        <w:trPr>
          <w:gridAfter w:val="1"/>
          <w:wAfter w:w="277" w:type="dxa"/>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22F70DA2" w14:textId="5CB8F182"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7AD2BBB7" w14:textId="77777777" w:rsidR="002F281C" w:rsidRPr="000007D2" w:rsidRDefault="00EC44AC" w:rsidP="000C0536">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w:t>
            </w:r>
            <w:r w:rsidR="007B193F" w:rsidRPr="00A33AE8">
              <w:rPr>
                <w:rFonts w:ascii="Calibri Light" w:eastAsia="Times New Roman" w:hAnsi="Calibri Light" w:cs="Calibri Light"/>
                <w:color w:val="000000"/>
                <w:sz w:val="20"/>
                <w:szCs w:val="20"/>
                <w:lang w:eastAsia="en-GB"/>
              </w:rPr>
              <w:t xml:space="preserve"> of </w:t>
            </w:r>
            <w:r w:rsidRPr="00A33AE8">
              <w:rPr>
                <w:rFonts w:ascii="Calibri Light" w:eastAsia="Times New Roman" w:hAnsi="Calibri Light" w:cs="Calibri Light"/>
                <w:color w:val="000000"/>
                <w:sz w:val="20"/>
                <w:szCs w:val="20"/>
                <w:lang w:eastAsia="en-GB"/>
              </w:rPr>
              <w:t xml:space="preserve">the </w:t>
            </w:r>
            <w:r w:rsidR="007B193F" w:rsidRPr="00A33AE8">
              <w:rPr>
                <w:rFonts w:ascii="Calibri Light" w:eastAsia="Times New Roman" w:hAnsi="Calibri Light" w:cs="Calibri Light"/>
                <w:color w:val="000000"/>
                <w:sz w:val="20"/>
                <w:szCs w:val="20"/>
                <w:lang w:eastAsia="en-GB"/>
              </w:rPr>
              <w:t xml:space="preserve">losses </w:t>
            </w:r>
            <w:r w:rsidRPr="00A33AE8">
              <w:rPr>
                <w:rFonts w:ascii="Calibri Light" w:eastAsia="Times New Roman" w:hAnsi="Calibri Light" w:cs="Calibri Light"/>
                <w:color w:val="000000"/>
                <w:sz w:val="20"/>
                <w:szCs w:val="20"/>
                <w:lang w:eastAsia="en-GB"/>
              </w:rPr>
              <w:t>equal</w:t>
            </w:r>
            <w:r w:rsidR="007B193F" w:rsidRPr="00A33AE8">
              <w:rPr>
                <w:rFonts w:ascii="Calibri Light" w:eastAsia="Times New Roman" w:hAnsi="Calibri Light" w:cs="Calibri Light"/>
                <w:color w:val="000000"/>
                <w:sz w:val="20"/>
                <w:szCs w:val="20"/>
                <w:lang w:eastAsia="en-GB"/>
              </w:rPr>
              <w:t xml:space="preserve"> to </w:t>
            </w:r>
            <w:r w:rsidRPr="00A33AE8">
              <w:rPr>
                <w:rFonts w:ascii="Calibri Light" w:eastAsia="Times New Roman" w:hAnsi="Calibri Light" w:cs="Calibri Light"/>
                <w:color w:val="000000"/>
                <w:sz w:val="20"/>
                <w:szCs w:val="20"/>
                <w:lang w:eastAsia="en-GB"/>
              </w:rPr>
              <w:t xml:space="preserve">3.7% </w:t>
            </w:r>
            <w:r w:rsidR="007B193F" w:rsidRPr="00A33AE8">
              <w:rPr>
                <w:rFonts w:ascii="Calibri Light" w:eastAsia="Times New Roman" w:hAnsi="Calibri Light" w:cs="Calibri Light"/>
                <w:color w:val="000000"/>
                <w:sz w:val="20"/>
                <w:szCs w:val="20"/>
                <w:lang w:eastAsia="en-GB"/>
              </w:rPr>
              <w:t xml:space="preserve">and </w:t>
            </w:r>
            <w:r w:rsidRPr="00A33AE8">
              <w:rPr>
                <w:rFonts w:ascii="Calibri Light" w:eastAsia="Times New Roman" w:hAnsi="Calibri Light" w:cs="Calibri Light"/>
                <w:color w:val="000000"/>
                <w:sz w:val="20"/>
                <w:szCs w:val="20"/>
                <w:lang w:eastAsia="en-GB"/>
              </w:rPr>
              <w:t>5</w:t>
            </w:r>
            <w:r w:rsidR="007B193F" w:rsidRPr="00A33AE8">
              <w:rPr>
                <w:rFonts w:ascii="Calibri Light" w:eastAsia="Times New Roman" w:hAnsi="Calibri Light" w:cs="Calibri Light"/>
                <w:color w:val="000000"/>
                <w:sz w:val="20"/>
                <w:szCs w:val="20"/>
                <w:lang w:eastAsia="en-GB"/>
              </w:rPr>
              <w:t xml:space="preserve">.6% in </w:t>
            </w:r>
            <w:r w:rsidRPr="00A33AE8">
              <w:rPr>
                <w:rFonts w:ascii="Calibri Light" w:eastAsia="Times New Roman" w:hAnsi="Calibri Light" w:cs="Calibri Light"/>
                <w:color w:val="000000"/>
                <w:sz w:val="20"/>
                <w:szCs w:val="20"/>
                <w:lang w:eastAsia="en-GB"/>
              </w:rPr>
              <w:t>2030 compared</w:t>
            </w:r>
            <w:r w:rsidR="007B193F" w:rsidRPr="00A33AE8">
              <w:rPr>
                <w:rFonts w:ascii="Calibri Light" w:eastAsia="Times New Roman" w:hAnsi="Calibri Light" w:cs="Calibri Light"/>
                <w:color w:val="000000"/>
                <w:sz w:val="20"/>
                <w:szCs w:val="20"/>
                <w:lang w:eastAsia="en-GB"/>
              </w:rPr>
              <w:t xml:space="preserve"> to </w:t>
            </w:r>
            <w:r w:rsidRPr="00A33AE8">
              <w:rPr>
                <w:rFonts w:ascii="Calibri Light" w:eastAsia="Times New Roman" w:hAnsi="Calibri Light" w:cs="Calibri Light"/>
                <w:color w:val="000000"/>
                <w:sz w:val="20"/>
                <w:szCs w:val="20"/>
                <w:lang w:eastAsia="en-GB"/>
              </w:rPr>
              <w:t>2023</w:t>
            </w:r>
            <w:r w:rsidR="007B193F" w:rsidRPr="00A33AE8">
              <w:rPr>
                <w:rFonts w:ascii="Calibri Light" w:eastAsia="Times New Roman" w:hAnsi="Calibri Light" w:cs="Calibri Light"/>
                <w:color w:val="000000"/>
                <w:sz w:val="20"/>
                <w:szCs w:val="20"/>
                <w:lang w:eastAsia="en-GB"/>
              </w:rPr>
              <w:t xml:space="preserve"> in </w:t>
            </w:r>
            <w:r w:rsidRPr="00A33AE8">
              <w:rPr>
                <w:rFonts w:ascii="Calibri Light" w:eastAsia="Times New Roman" w:hAnsi="Calibri Light" w:cs="Calibri Light"/>
                <w:color w:val="000000"/>
                <w:sz w:val="20"/>
                <w:szCs w:val="20"/>
                <w:lang w:eastAsia="en-GB"/>
              </w:rPr>
              <w:t xml:space="preserve">the </w:t>
            </w:r>
            <w:r w:rsidR="00B07894" w:rsidRPr="00A33AE8">
              <w:rPr>
                <w:rFonts w:ascii="Calibri Light" w:eastAsia="Times New Roman" w:hAnsi="Calibri Light" w:cs="Calibri Light"/>
                <w:color w:val="000000"/>
                <w:sz w:val="20"/>
                <w:szCs w:val="20"/>
                <w:lang w:eastAsia="en-GB"/>
              </w:rPr>
              <w:t>transmission</w:t>
            </w:r>
            <w:r w:rsidRPr="00A33AE8">
              <w:rPr>
                <w:rFonts w:ascii="Calibri Light" w:eastAsia="Times New Roman" w:hAnsi="Calibri Light" w:cs="Calibri Light"/>
                <w:color w:val="000000"/>
                <w:sz w:val="20"/>
                <w:szCs w:val="20"/>
                <w:lang w:eastAsia="en-GB"/>
              </w:rPr>
              <w:t xml:space="preserve"> and</w:t>
            </w:r>
            <w:r w:rsidR="007B193F" w:rsidRPr="00A33AE8">
              <w:rPr>
                <w:rFonts w:ascii="Calibri Light" w:eastAsia="Times New Roman" w:hAnsi="Calibri Light" w:cs="Calibri Light"/>
                <w:color w:val="000000"/>
                <w:sz w:val="20"/>
                <w:szCs w:val="20"/>
                <w:lang w:eastAsia="en-GB"/>
              </w:rPr>
              <w:t xml:space="preserve"> distribution </w:t>
            </w:r>
            <w:r w:rsidRPr="00A33AE8">
              <w:rPr>
                <w:rFonts w:ascii="Calibri Light" w:eastAsia="Times New Roman" w:hAnsi="Calibri Light" w:cs="Calibri Light"/>
                <w:color w:val="000000"/>
                <w:sz w:val="20"/>
                <w:szCs w:val="20"/>
                <w:lang w:eastAsia="en-GB"/>
              </w:rPr>
              <w:t>network respectively.</w:t>
            </w:r>
          </w:p>
        </w:tc>
      </w:tr>
      <w:tr w:rsidR="002F281C" w:rsidRPr="00A33AE8" w14:paraId="63EA9AE2" w14:textId="77777777" w:rsidTr="00C644D9">
        <w:trPr>
          <w:gridAfter w:val="1"/>
          <w:wAfter w:w="277" w:type="dxa"/>
          <w:trHeight w:val="712"/>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0222B1BC"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080932B2" w14:textId="77777777" w:rsidR="002F281C" w:rsidRPr="00A33AE8" w:rsidRDefault="002F281C" w:rsidP="006769DA">
            <w:pPr>
              <w:spacing w:after="0" w:line="240" w:lineRule="auto"/>
              <w:jc w:val="both"/>
              <w:rPr>
                <w:rFonts w:ascii="Times New Roman" w:hAnsi="Times New Roman" w:cs="Times New Roman"/>
                <w:sz w:val="24"/>
                <w:szCs w:val="24"/>
                <w:lang w:eastAsia="en-GB"/>
              </w:rPr>
            </w:pPr>
            <w:r w:rsidRPr="00A33AE8">
              <w:rPr>
                <w:rFonts w:ascii="Calibri Light" w:eastAsia="Times New Roman" w:hAnsi="Calibri Light" w:cs="Calibri Light"/>
                <w:color w:val="000000"/>
                <w:sz w:val="20"/>
                <w:szCs w:val="20"/>
                <w:lang w:eastAsia="en-GB"/>
              </w:rPr>
              <w:t xml:space="preserve">PM_EE42 will promote measures for increasing the energy efficiency of the electricity infrastructures, which will be conducted by the respective operators within the framework of their development programmes. Targeted technical measures will be initiated for reducing the losses in </w:t>
            </w:r>
            <w:r w:rsidRPr="00A33AE8">
              <w:rPr>
                <w:rFonts w:ascii="Calibri Light" w:eastAsia="Times New Roman" w:hAnsi="Calibri Light" w:cs="Calibri Light"/>
                <w:color w:val="000000"/>
                <w:sz w:val="20"/>
                <w:szCs w:val="20"/>
                <w:lang w:eastAsia="en-GB"/>
              </w:rPr>
              <w:lastRenderedPageBreak/>
              <w:t xml:space="preserve">transmission and distribution network, load management, improving the network interoperability and facilitating the penetration of </w:t>
            </w:r>
            <w:r w:rsidR="00EC44AC" w:rsidRPr="00A33AE8">
              <w:rPr>
                <w:rFonts w:ascii="Calibri Light" w:eastAsia="Times New Roman" w:hAnsi="Calibri Light" w:cs="Calibri Light"/>
                <w:color w:val="000000"/>
                <w:sz w:val="20"/>
                <w:szCs w:val="20"/>
                <w:lang w:eastAsia="en-GB"/>
              </w:rPr>
              <w:t>decentralised electricity</w:t>
            </w:r>
            <w:r w:rsidRPr="00A33AE8">
              <w:rPr>
                <w:rFonts w:ascii="Calibri Light" w:eastAsia="Times New Roman" w:hAnsi="Calibri Light" w:cs="Calibri Light"/>
                <w:color w:val="000000"/>
                <w:sz w:val="20"/>
                <w:szCs w:val="20"/>
                <w:lang w:eastAsia="en-GB"/>
              </w:rPr>
              <w:t xml:space="preserve"> generation installations. Electricity infrastructure operators will be obliged to prepare reports on annual basis describing analytically the performed actions, while the required measures and investments will be specified for the materialization of the most cost-effective energy efficiency interventions in the network infrastructure including a timetable for their implementation. Moreover, incentives will be given </w:t>
            </w:r>
            <w:r w:rsidR="00B07894" w:rsidRPr="000007D2">
              <w:rPr>
                <w:rFonts w:ascii="Calibri Light" w:eastAsia="Times New Roman" w:hAnsi="Calibri Light" w:cs="Calibri Light"/>
                <w:color w:val="000000"/>
                <w:sz w:val="20"/>
                <w:szCs w:val="20"/>
                <w:lang w:eastAsia="en-GB"/>
              </w:rPr>
              <w:t>to</w:t>
            </w:r>
            <w:r w:rsidR="00B07894"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electricity transmission and distribution network operators in order to have a higher return on the invested capital if they attain specific energy efficiency targets. Obviously, in the case that the energy efficiency targets will not be achieved a reduction to the return on the invested capital must be foreseen. Moreover, the energy efficiency first principle will be used for taking the most effective decision in regards to the design and operation of the energy transmission and distribution networks contributing meaningfully to the fulfilment of the established energy efficiency targets.</w:t>
            </w:r>
          </w:p>
        </w:tc>
      </w:tr>
      <w:tr w:rsidR="002F281C" w:rsidRPr="00A33AE8" w14:paraId="01D18872" w14:textId="77777777" w:rsidTr="00C644D9">
        <w:trPr>
          <w:gridAfter w:val="1"/>
          <w:wAfter w:w="277" w:type="dxa"/>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3A44B4DA"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78DAED61" w14:textId="77777777" w:rsidR="002F281C" w:rsidRPr="00A33AE8" w:rsidRDefault="00EC44AC"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2F281C" w:rsidRPr="00A33AE8">
              <w:rPr>
                <w:rFonts w:ascii="Calibri Light" w:eastAsia="Times New Roman" w:hAnsi="Calibri Light" w:cs="Calibri Light"/>
                <w:color w:val="000000"/>
                <w:sz w:val="20"/>
                <w:szCs w:val="20"/>
                <w:lang w:eastAsia="en-GB"/>
              </w:rPr>
              <w:t>-2030</w:t>
            </w:r>
          </w:p>
        </w:tc>
      </w:tr>
      <w:tr w:rsidR="002F281C" w:rsidRPr="00A33AE8" w14:paraId="5CE01073" w14:textId="77777777" w:rsidTr="00C644D9">
        <w:trPr>
          <w:gridAfter w:val="1"/>
          <w:wAfter w:w="277" w:type="dxa"/>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5E6C2799"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7637FC89" w14:textId="77777777" w:rsidR="002F281C"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3D606DEF" w14:textId="77777777" w:rsidTr="00C644D9">
        <w:trPr>
          <w:gridAfter w:val="1"/>
          <w:wAfter w:w="277" w:type="dxa"/>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1AE3EF36"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355C9F84"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C644D9" w:rsidRPr="00A33AE8" w14:paraId="341AE872" w14:textId="77777777" w:rsidTr="00C644D9">
        <w:trPr>
          <w:gridAfter w:val="1"/>
          <w:wAfter w:w="277" w:type="dxa"/>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376641A4"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68F105EB"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17D044E" w14:textId="77777777" w:rsidR="00C644D9" w:rsidRPr="000007D2"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Energy Agency of the Republic of Serbia</w:t>
            </w:r>
          </w:p>
        </w:tc>
      </w:tr>
      <w:tr w:rsidR="00C644D9" w:rsidRPr="00A33AE8" w14:paraId="51A4BBD3" w14:textId="77777777" w:rsidTr="00C644D9">
        <w:trPr>
          <w:gridAfter w:val="1"/>
          <w:wAfter w:w="277" w:type="dxa"/>
          <w:trHeight w:val="315"/>
        </w:trPr>
        <w:tc>
          <w:tcPr>
            <w:tcW w:w="3294" w:type="dxa"/>
            <w:tcBorders>
              <w:top w:val="nil"/>
              <w:left w:val="single" w:sz="8" w:space="0" w:color="auto"/>
              <w:bottom w:val="single" w:sz="8" w:space="0" w:color="auto"/>
              <w:right w:val="nil"/>
            </w:tcBorders>
            <w:shd w:val="clear" w:color="000000" w:fill="244062"/>
            <w:vAlign w:val="center"/>
            <w:hideMark/>
          </w:tcPr>
          <w:p w14:paraId="07543B87"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457C6E6A" w14:textId="77777777" w:rsidR="00C644D9"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F3686D">
              <w:rPr>
                <w:rFonts w:ascii="Calibri Light" w:eastAsia="Times New Roman" w:hAnsi="Calibri Light" w:cs="Calibri Light"/>
                <w:color w:val="000000"/>
                <w:sz w:val="20"/>
                <w:szCs w:val="20"/>
                <w:lang w:eastAsia="en-GB"/>
              </w:rPr>
              <w:t>Government of the Republic of Serbia</w:t>
            </w:r>
          </w:p>
        </w:tc>
      </w:tr>
      <w:tr w:rsidR="00C644D9" w:rsidRPr="00A33AE8" w14:paraId="6F27AC0A" w14:textId="77777777" w:rsidTr="00C644D9">
        <w:trPr>
          <w:gridAfter w:val="1"/>
          <w:wAfter w:w="277" w:type="dxa"/>
          <w:trHeight w:val="315"/>
        </w:trPr>
        <w:tc>
          <w:tcPr>
            <w:tcW w:w="3294" w:type="dxa"/>
            <w:tcBorders>
              <w:top w:val="nil"/>
              <w:left w:val="single" w:sz="8" w:space="0" w:color="auto"/>
              <w:bottom w:val="single" w:sz="8" w:space="0" w:color="auto"/>
              <w:right w:val="nil"/>
            </w:tcBorders>
            <w:shd w:val="clear" w:color="000000" w:fill="244062"/>
            <w:vAlign w:val="center"/>
            <w:hideMark/>
          </w:tcPr>
          <w:p w14:paraId="37C6719C"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53012CFC"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Modernised electricity network</w:t>
            </w:r>
          </w:p>
        </w:tc>
      </w:tr>
      <w:tr w:rsidR="00C644D9" w:rsidRPr="00A33AE8" w14:paraId="54F74271" w14:textId="77777777" w:rsidTr="00C644D9">
        <w:trPr>
          <w:gridAfter w:val="1"/>
          <w:wAfter w:w="277" w:type="dxa"/>
          <w:trHeight w:val="608"/>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5FFFFC6F"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7A841173" w14:textId="77777777" w:rsidR="00F3686D" w:rsidRPr="00F3686D"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F3686D" w:rsidRPr="00F3686D">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379E74E5" w14:textId="77777777" w:rsidR="00C644D9" w:rsidRPr="00A33AE8" w:rsidRDefault="00F3686D"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F3686D">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C644D9" w:rsidRPr="00A33AE8" w14:paraId="4A7AB63D" w14:textId="77777777" w:rsidTr="00C644D9">
        <w:trPr>
          <w:gridAfter w:val="1"/>
          <w:wAfter w:w="277" w:type="dxa"/>
          <w:trHeight w:val="450"/>
        </w:trPr>
        <w:tc>
          <w:tcPr>
            <w:tcW w:w="3294"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CBCCD4E"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09"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1D0486"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2012/27</w:t>
            </w:r>
          </w:p>
          <w:p w14:paraId="0E4364B2"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2018/2002</w:t>
            </w:r>
          </w:p>
        </w:tc>
      </w:tr>
      <w:tr w:rsidR="00C644D9" w:rsidRPr="00A33AE8" w14:paraId="7D136A6B" w14:textId="77777777" w:rsidTr="00C644D9">
        <w:trPr>
          <w:trHeight w:val="300"/>
        </w:trPr>
        <w:tc>
          <w:tcPr>
            <w:tcW w:w="3294" w:type="dxa"/>
            <w:vMerge/>
            <w:tcBorders>
              <w:top w:val="nil"/>
              <w:left w:val="single" w:sz="8" w:space="0" w:color="auto"/>
              <w:bottom w:val="single" w:sz="8" w:space="0" w:color="000000"/>
              <w:right w:val="single" w:sz="8" w:space="0" w:color="auto"/>
            </w:tcBorders>
            <w:vAlign w:val="center"/>
            <w:hideMark/>
          </w:tcPr>
          <w:p w14:paraId="60AE1721"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p>
        </w:tc>
        <w:tc>
          <w:tcPr>
            <w:tcW w:w="6109" w:type="dxa"/>
            <w:gridSpan w:val="3"/>
            <w:vMerge/>
            <w:tcBorders>
              <w:top w:val="single" w:sz="8" w:space="0" w:color="auto"/>
              <w:left w:val="single" w:sz="8" w:space="0" w:color="auto"/>
              <w:bottom w:val="single" w:sz="8" w:space="0" w:color="000000"/>
              <w:right w:val="single" w:sz="8" w:space="0" w:color="000000"/>
            </w:tcBorders>
            <w:vAlign w:val="center"/>
            <w:hideMark/>
          </w:tcPr>
          <w:p w14:paraId="11BA2615"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p>
        </w:tc>
        <w:tc>
          <w:tcPr>
            <w:tcW w:w="277" w:type="dxa"/>
            <w:tcBorders>
              <w:top w:val="nil"/>
              <w:left w:val="nil"/>
              <w:bottom w:val="nil"/>
              <w:right w:val="nil"/>
            </w:tcBorders>
            <w:shd w:val="clear" w:color="auto" w:fill="auto"/>
            <w:noWrap/>
            <w:vAlign w:val="bottom"/>
            <w:hideMark/>
          </w:tcPr>
          <w:p w14:paraId="2D53A5FB" w14:textId="77777777" w:rsidR="00C644D9" w:rsidRPr="00A33AE8" w:rsidRDefault="00C644D9" w:rsidP="00C644D9">
            <w:pPr>
              <w:spacing w:after="0" w:line="240" w:lineRule="auto"/>
              <w:rPr>
                <w:rFonts w:ascii="Calibri Light" w:eastAsia="Times New Roman" w:hAnsi="Calibri Light" w:cs="Calibri Light"/>
                <w:color w:val="000000"/>
                <w:sz w:val="20"/>
                <w:szCs w:val="20"/>
                <w:lang w:eastAsia="en-GB"/>
              </w:rPr>
            </w:pPr>
          </w:p>
        </w:tc>
      </w:tr>
      <w:tr w:rsidR="00C644D9" w:rsidRPr="00A33AE8" w14:paraId="5071450E" w14:textId="77777777" w:rsidTr="00C644D9">
        <w:trPr>
          <w:trHeight w:val="60"/>
        </w:trPr>
        <w:tc>
          <w:tcPr>
            <w:tcW w:w="3294" w:type="dxa"/>
            <w:vMerge/>
            <w:tcBorders>
              <w:top w:val="nil"/>
              <w:left w:val="single" w:sz="8" w:space="0" w:color="auto"/>
              <w:bottom w:val="single" w:sz="8" w:space="0" w:color="000000"/>
              <w:right w:val="single" w:sz="8" w:space="0" w:color="auto"/>
            </w:tcBorders>
            <w:vAlign w:val="center"/>
            <w:hideMark/>
          </w:tcPr>
          <w:p w14:paraId="6CE67BB6"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p>
        </w:tc>
        <w:tc>
          <w:tcPr>
            <w:tcW w:w="6109" w:type="dxa"/>
            <w:gridSpan w:val="3"/>
            <w:vMerge/>
            <w:tcBorders>
              <w:top w:val="single" w:sz="8" w:space="0" w:color="auto"/>
              <w:left w:val="single" w:sz="8" w:space="0" w:color="auto"/>
              <w:bottom w:val="single" w:sz="8" w:space="0" w:color="000000"/>
              <w:right w:val="single" w:sz="8" w:space="0" w:color="000000"/>
            </w:tcBorders>
            <w:vAlign w:val="center"/>
            <w:hideMark/>
          </w:tcPr>
          <w:p w14:paraId="6124E43C"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p>
        </w:tc>
        <w:tc>
          <w:tcPr>
            <w:tcW w:w="277" w:type="dxa"/>
            <w:tcBorders>
              <w:top w:val="nil"/>
              <w:left w:val="nil"/>
              <w:bottom w:val="nil"/>
              <w:right w:val="nil"/>
            </w:tcBorders>
            <w:shd w:val="clear" w:color="auto" w:fill="auto"/>
            <w:noWrap/>
            <w:vAlign w:val="bottom"/>
            <w:hideMark/>
          </w:tcPr>
          <w:p w14:paraId="5F54BA05" w14:textId="77777777" w:rsidR="00C644D9" w:rsidRPr="00A33AE8" w:rsidRDefault="00C644D9" w:rsidP="00C644D9">
            <w:pPr>
              <w:spacing w:after="0" w:line="240" w:lineRule="auto"/>
              <w:rPr>
                <w:rFonts w:ascii="Times New Roman" w:eastAsia="Times New Roman" w:hAnsi="Times New Roman" w:cs="Times New Roman"/>
                <w:sz w:val="20"/>
                <w:szCs w:val="20"/>
                <w:lang w:eastAsia="en-GB"/>
              </w:rPr>
            </w:pPr>
          </w:p>
        </w:tc>
      </w:tr>
      <w:tr w:rsidR="00C644D9" w:rsidRPr="00A33AE8" w14:paraId="25CE38B1" w14:textId="77777777" w:rsidTr="00C644D9">
        <w:trPr>
          <w:trHeight w:val="780"/>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247311DD"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6D8114B6" w14:textId="3E15E6C9"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0C048A9F" w14:textId="77777777" w:rsidR="00C644D9" w:rsidRPr="00A33AE8" w:rsidRDefault="00C644D9" w:rsidP="00884F3B">
            <w:pPr>
              <w:pStyle w:val="ListParagraph"/>
              <w:numPr>
                <w:ilvl w:val="0"/>
                <w:numId w:val="1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77" w:type="dxa"/>
            <w:vAlign w:val="center"/>
            <w:hideMark/>
          </w:tcPr>
          <w:p w14:paraId="2546BD05" w14:textId="77777777" w:rsidR="00C644D9" w:rsidRPr="00A33AE8" w:rsidRDefault="00C644D9" w:rsidP="00C644D9">
            <w:pPr>
              <w:spacing w:after="0" w:line="240" w:lineRule="auto"/>
              <w:rPr>
                <w:rFonts w:ascii="Times New Roman" w:eastAsia="Times New Roman" w:hAnsi="Times New Roman" w:cs="Times New Roman"/>
                <w:sz w:val="20"/>
                <w:szCs w:val="20"/>
                <w:lang w:eastAsia="en-GB"/>
              </w:rPr>
            </w:pPr>
          </w:p>
        </w:tc>
      </w:tr>
      <w:tr w:rsidR="00C644D9" w:rsidRPr="00A33AE8" w14:paraId="71FA6DC6" w14:textId="77777777" w:rsidTr="00C644D9">
        <w:trPr>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7361A9E7"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04BFE753" w14:textId="77777777" w:rsidR="00C644D9" w:rsidRPr="00A33AE8" w:rsidRDefault="00C644D9" w:rsidP="00C644D9">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Under examination</w:t>
            </w:r>
          </w:p>
        </w:tc>
        <w:tc>
          <w:tcPr>
            <w:tcW w:w="277" w:type="dxa"/>
            <w:vAlign w:val="center"/>
            <w:hideMark/>
          </w:tcPr>
          <w:p w14:paraId="511A1DEA" w14:textId="77777777" w:rsidR="00C644D9" w:rsidRPr="00A33AE8" w:rsidRDefault="00C644D9" w:rsidP="00C644D9">
            <w:pPr>
              <w:spacing w:after="0" w:line="240" w:lineRule="auto"/>
              <w:rPr>
                <w:rFonts w:ascii="Times New Roman" w:eastAsia="Times New Roman" w:hAnsi="Times New Roman" w:cs="Times New Roman"/>
                <w:sz w:val="20"/>
                <w:szCs w:val="20"/>
                <w:lang w:eastAsia="en-GB"/>
              </w:rPr>
            </w:pPr>
          </w:p>
        </w:tc>
      </w:tr>
      <w:tr w:rsidR="00C644D9" w:rsidRPr="00A33AE8" w14:paraId="076B76DE" w14:textId="77777777" w:rsidTr="00C644D9">
        <w:trPr>
          <w:trHeight w:val="315"/>
        </w:trPr>
        <w:tc>
          <w:tcPr>
            <w:tcW w:w="3294" w:type="dxa"/>
            <w:tcBorders>
              <w:top w:val="nil"/>
              <w:left w:val="single" w:sz="8" w:space="0" w:color="auto"/>
              <w:bottom w:val="single" w:sz="8" w:space="0" w:color="auto"/>
              <w:right w:val="single" w:sz="8" w:space="0" w:color="auto"/>
            </w:tcBorders>
            <w:shd w:val="clear" w:color="000000" w:fill="244062"/>
            <w:vAlign w:val="center"/>
            <w:hideMark/>
          </w:tcPr>
          <w:p w14:paraId="2F5247FB" w14:textId="77777777" w:rsidR="00C644D9" w:rsidRPr="00A33AE8" w:rsidRDefault="00C644D9" w:rsidP="00C644D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09" w:type="dxa"/>
            <w:gridSpan w:val="3"/>
            <w:tcBorders>
              <w:top w:val="single" w:sz="8" w:space="0" w:color="auto"/>
              <w:left w:val="nil"/>
              <w:bottom w:val="single" w:sz="8" w:space="0" w:color="auto"/>
              <w:right w:val="single" w:sz="8" w:space="0" w:color="000000"/>
            </w:tcBorders>
            <w:shd w:val="clear" w:color="auto" w:fill="auto"/>
            <w:vAlign w:val="center"/>
            <w:hideMark/>
          </w:tcPr>
          <w:p w14:paraId="02A03630" w14:textId="77777777" w:rsidR="00C644D9" w:rsidRPr="00A33AE8" w:rsidRDefault="00C644D9" w:rsidP="00C644D9">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Under examination</w:t>
            </w:r>
          </w:p>
        </w:tc>
        <w:tc>
          <w:tcPr>
            <w:tcW w:w="277" w:type="dxa"/>
            <w:vAlign w:val="center"/>
            <w:hideMark/>
          </w:tcPr>
          <w:p w14:paraId="574B8649" w14:textId="77777777" w:rsidR="00C644D9" w:rsidRPr="00A33AE8" w:rsidRDefault="00C644D9" w:rsidP="00C644D9">
            <w:pPr>
              <w:spacing w:after="0" w:line="240" w:lineRule="auto"/>
              <w:rPr>
                <w:rFonts w:ascii="Times New Roman" w:eastAsia="Times New Roman" w:hAnsi="Times New Roman" w:cs="Times New Roman"/>
                <w:sz w:val="20"/>
                <w:szCs w:val="20"/>
                <w:lang w:eastAsia="en-GB"/>
              </w:rPr>
            </w:pPr>
          </w:p>
        </w:tc>
      </w:tr>
    </w:tbl>
    <w:p w14:paraId="40BBCCAF" w14:textId="77777777" w:rsidR="002F281C" w:rsidRPr="00A33AE8" w:rsidRDefault="002F281C" w:rsidP="002F281C">
      <w:pPr>
        <w:pStyle w:val="LDKbody"/>
        <w:rPr>
          <w:lang w:val="en-GB"/>
        </w:rPr>
      </w:pPr>
    </w:p>
    <w:tbl>
      <w:tblPr>
        <w:tblW w:w="9680" w:type="dxa"/>
        <w:tblLook w:val="04A0" w:firstRow="1" w:lastRow="0" w:firstColumn="1" w:lastColumn="0" w:noHBand="0" w:noVBand="1"/>
      </w:tblPr>
      <w:tblGrid>
        <w:gridCol w:w="3243"/>
        <w:gridCol w:w="1188"/>
        <w:gridCol w:w="930"/>
        <w:gridCol w:w="4097"/>
        <w:gridCol w:w="222"/>
      </w:tblGrid>
      <w:tr w:rsidR="002F281C" w:rsidRPr="00A33AE8" w14:paraId="32350C2E" w14:textId="77777777" w:rsidTr="00491CF7">
        <w:trPr>
          <w:gridAfter w:val="1"/>
          <w:wAfter w:w="222" w:type="dxa"/>
          <w:trHeight w:val="780"/>
        </w:trPr>
        <w:tc>
          <w:tcPr>
            <w:tcW w:w="3243"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FA82B97" w14:textId="77777777" w:rsidR="002F281C" w:rsidRPr="00A33AE8" w:rsidRDefault="002F281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88" w:type="dxa"/>
            <w:tcBorders>
              <w:top w:val="single" w:sz="8" w:space="0" w:color="auto"/>
              <w:left w:val="nil"/>
              <w:bottom w:val="single" w:sz="8" w:space="0" w:color="auto"/>
              <w:right w:val="single" w:sz="8" w:space="0" w:color="auto"/>
            </w:tcBorders>
            <w:shd w:val="clear" w:color="auto" w:fill="E7E6E6" w:themeFill="background2"/>
            <w:vAlign w:val="center"/>
            <w:hideMark/>
          </w:tcPr>
          <w:p w14:paraId="719D2DC6" w14:textId="77777777" w:rsidR="002F281C" w:rsidRPr="00A33AE8" w:rsidRDefault="002F281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PM_EE43</w:t>
            </w:r>
          </w:p>
        </w:tc>
        <w:tc>
          <w:tcPr>
            <w:tcW w:w="930" w:type="dxa"/>
            <w:tcBorders>
              <w:top w:val="single" w:sz="8" w:space="0" w:color="auto"/>
              <w:left w:val="nil"/>
              <w:bottom w:val="single" w:sz="8" w:space="0" w:color="auto"/>
              <w:right w:val="single" w:sz="8" w:space="0" w:color="auto"/>
            </w:tcBorders>
            <w:shd w:val="clear" w:color="000000" w:fill="244062"/>
            <w:vAlign w:val="center"/>
            <w:hideMark/>
          </w:tcPr>
          <w:p w14:paraId="35F1F0C1"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97" w:type="dxa"/>
            <w:tcBorders>
              <w:top w:val="single" w:sz="8" w:space="0" w:color="auto"/>
              <w:left w:val="nil"/>
              <w:bottom w:val="single" w:sz="8" w:space="0" w:color="auto"/>
              <w:right w:val="single" w:sz="8" w:space="0" w:color="auto"/>
            </w:tcBorders>
            <w:shd w:val="clear" w:color="auto" w:fill="E7E6E6" w:themeFill="background2"/>
            <w:vAlign w:val="center"/>
            <w:hideMark/>
          </w:tcPr>
          <w:p w14:paraId="1DADDE47" w14:textId="77777777" w:rsidR="002F281C" w:rsidRPr="00A33AE8" w:rsidRDefault="002F281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measures for improving energy efficiency in natural gas infrastructure</w:t>
            </w:r>
          </w:p>
        </w:tc>
      </w:tr>
      <w:tr w:rsidR="002F281C" w:rsidRPr="00A33AE8" w14:paraId="59A54175" w14:textId="77777777" w:rsidTr="00491CF7">
        <w:trPr>
          <w:gridAfter w:val="1"/>
          <w:wAfter w:w="222" w:type="dxa"/>
          <w:trHeight w:val="355"/>
        </w:trPr>
        <w:tc>
          <w:tcPr>
            <w:tcW w:w="3243" w:type="dxa"/>
            <w:tcBorders>
              <w:top w:val="nil"/>
              <w:left w:val="single" w:sz="8" w:space="0" w:color="auto"/>
              <w:bottom w:val="single" w:sz="8" w:space="0" w:color="auto"/>
              <w:right w:val="nil"/>
            </w:tcBorders>
            <w:shd w:val="clear" w:color="000000" w:fill="244062"/>
            <w:vAlign w:val="center"/>
            <w:hideMark/>
          </w:tcPr>
          <w:p w14:paraId="38211801"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68A2A94A" w14:textId="69438FB3" w:rsidR="002F281C" w:rsidRPr="00A33AE8" w:rsidRDefault="0074482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2F281C" w:rsidRPr="00A33AE8">
              <w:rPr>
                <w:rFonts w:ascii="Calibri Light" w:eastAsia="Times New Roman" w:hAnsi="Calibri Light" w:cs="Calibri Light"/>
                <w:color w:val="000000"/>
                <w:sz w:val="20"/>
                <w:szCs w:val="20"/>
                <w:lang w:eastAsia="en-GB"/>
              </w:rPr>
              <w:t>:</w:t>
            </w:r>
          </w:p>
          <w:p w14:paraId="43456E4C" w14:textId="77777777" w:rsidR="002F281C" w:rsidRPr="00A33AE8" w:rsidRDefault="002F281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2F281C" w:rsidRPr="00A33AE8" w14:paraId="5B20AAC3" w14:textId="77777777" w:rsidTr="00491CF7">
        <w:trPr>
          <w:gridAfter w:val="1"/>
          <w:wAfter w:w="222" w:type="dxa"/>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33CD1C44"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5EC232B8" w14:textId="77777777" w:rsidR="002F281C" w:rsidRPr="00A33AE8" w:rsidRDefault="00491CF7"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Reduced l</w:t>
            </w:r>
            <w:r w:rsidR="002F281C" w:rsidRPr="00A33AE8">
              <w:rPr>
                <w:rFonts w:ascii="Calibri Light" w:eastAsia="Times New Roman" w:hAnsi="Calibri Light" w:cs="Calibri Light"/>
                <w:color w:val="000000"/>
                <w:sz w:val="20"/>
                <w:szCs w:val="20"/>
                <w:lang w:eastAsia="en-GB"/>
              </w:rPr>
              <w:t>osses</w:t>
            </w:r>
          </w:p>
        </w:tc>
      </w:tr>
      <w:tr w:rsidR="002F281C" w:rsidRPr="00A33AE8" w14:paraId="6DA9DB5B" w14:textId="77777777" w:rsidTr="00491CF7">
        <w:trPr>
          <w:gridAfter w:val="1"/>
          <w:wAfter w:w="222" w:type="dxa"/>
          <w:trHeight w:val="868"/>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0F43E697"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3AF1E9F9" w14:textId="77777777" w:rsidR="002F281C" w:rsidRPr="00A33AE8" w:rsidRDefault="002F281C"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PM_EE43 will promote measures for increasing the energy efficiency of the gas infrastructures, which will be conducted by the respective operators within the framework of their development programmes. Targeted technical measures will be initiated for reducing the losses in transmission and distribution network and for improving the load management. Gas infrastructure operators will be obliged to prepare reports on annual basis describing analytically the performed actions, while the required measures </w:t>
            </w:r>
            <w:r w:rsidRPr="00A33AE8">
              <w:rPr>
                <w:rFonts w:ascii="Calibri Light" w:eastAsia="Times New Roman" w:hAnsi="Calibri Light" w:cs="Calibri Light"/>
                <w:color w:val="000000"/>
                <w:sz w:val="20"/>
                <w:szCs w:val="20"/>
                <w:lang w:eastAsia="en-GB"/>
              </w:rPr>
              <w:lastRenderedPageBreak/>
              <w:t>and investments will be specified for the materialization of the most cost-effective energy efficiency interventions in the network infrastructure including a timetable for their implementation. Moreover, incentives will be given on natural gas transmission and distribution network operators in order to have a higher return on the invested capital if they attain specific energy efficiency targets. Obviously, in the case that the energy efficiency targets will not be achieved a reduction to the return on the invested capital must be foreseen. Moreover, the energy efficiency first principle will be used for taking the most effective decision in regards to the design and operation of the energy transmission and distribution networks contributing meaningfully to the fulfilment of the established energy efficiency targets.</w:t>
            </w:r>
            <w:r w:rsidR="0074482A" w:rsidRPr="00A33AE8">
              <w:rPr>
                <w:rFonts w:ascii="Calibri Light" w:eastAsia="Times New Roman" w:hAnsi="Calibri Light" w:cs="Calibri Light"/>
                <w:color w:val="000000"/>
                <w:sz w:val="20"/>
                <w:szCs w:val="20"/>
                <w:lang w:eastAsia="en-GB"/>
              </w:rPr>
              <w:t xml:space="preserve"> Finally, the proposed measures will facilitate also the reduction of emissions with the greenhouse effect (methane), while new technologies for the identification of emissions will be promoted during their </w:t>
            </w:r>
            <w:r w:rsidR="00790720" w:rsidRPr="00A33AE8">
              <w:rPr>
                <w:rFonts w:ascii="Calibri Light" w:eastAsia="Times New Roman" w:hAnsi="Calibri Light" w:cs="Calibri Light"/>
                <w:color w:val="000000"/>
                <w:sz w:val="20"/>
                <w:szCs w:val="20"/>
                <w:lang w:eastAsia="en-GB"/>
              </w:rPr>
              <w:t>implementation</w:t>
            </w:r>
            <w:r w:rsidR="0074482A" w:rsidRPr="00A33AE8">
              <w:rPr>
                <w:rFonts w:ascii="Calibri Light" w:eastAsia="Times New Roman" w:hAnsi="Calibri Light" w:cs="Calibri Light"/>
                <w:color w:val="000000"/>
                <w:sz w:val="20"/>
                <w:szCs w:val="20"/>
                <w:lang w:eastAsia="en-GB"/>
              </w:rPr>
              <w:t>.</w:t>
            </w:r>
          </w:p>
        </w:tc>
      </w:tr>
      <w:tr w:rsidR="002F281C" w:rsidRPr="00A33AE8" w14:paraId="2316F89A" w14:textId="77777777" w:rsidTr="00491CF7">
        <w:trPr>
          <w:gridAfter w:val="1"/>
          <w:wAfter w:w="222" w:type="dxa"/>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28513376"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4E300404" w14:textId="77777777" w:rsidR="002F281C" w:rsidRPr="00A33AE8" w:rsidRDefault="0074482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2F281C" w:rsidRPr="00A33AE8">
              <w:rPr>
                <w:rFonts w:ascii="Calibri Light" w:eastAsia="Times New Roman" w:hAnsi="Calibri Light" w:cs="Calibri Light"/>
                <w:color w:val="000000"/>
                <w:sz w:val="20"/>
                <w:szCs w:val="20"/>
                <w:lang w:eastAsia="en-GB"/>
              </w:rPr>
              <w:t>-2030</w:t>
            </w:r>
          </w:p>
        </w:tc>
      </w:tr>
      <w:tr w:rsidR="002F281C" w:rsidRPr="00A33AE8" w14:paraId="0AFFB6E8" w14:textId="77777777" w:rsidTr="00491CF7">
        <w:trPr>
          <w:gridAfter w:val="1"/>
          <w:wAfter w:w="222" w:type="dxa"/>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434BFC0B"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55111281" w14:textId="77777777" w:rsidR="002F281C"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32ACF240" w14:textId="77777777" w:rsidTr="00491CF7">
        <w:trPr>
          <w:gridAfter w:val="1"/>
          <w:wAfter w:w="222" w:type="dxa"/>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0F18A62B"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3FAB88D4"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2F281C" w:rsidRPr="00A33AE8" w14:paraId="4F71AA04" w14:textId="77777777" w:rsidTr="00491CF7">
        <w:trPr>
          <w:gridAfter w:val="1"/>
          <w:wAfter w:w="222" w:type="dxa"/>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2FD654CC"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4C7FDDE4" w14:textId="77777777" w:rsidR="0013758A" w:rsidRPr="00A33AE8" w:rsidRDefault="00EC44A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60704E1D" w14:textId="77777777" w:rsidR="002F281C" w:rsidRPr="000007D2" w:rsidRDefault="0074482A"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Energy Agency of the Republic of Serbia</w:t>
            </w:r>
          </w:p>
        </w:tc>
      </w:tr>
      <w:tr w:rsidR="002F281C" w:rsidRPr="00A33AE8" w14:paraId="45E89084" w14:textId="77777777" w:rsidTr="00491CF7">
        <w:trPr>
          <w:gridAfter w:val="1"/>
          <w:wAfter w:w="222" w:type="dxa"/>
          <w:trHeight w:val="315"/>
        </w:trPr>
        <w:tc>
          <w:tcPr>
            <w:tcW w:w="3243" w:type="dxa"/>
            <w:tcBorders>
              <w:top w:val="nil"/>
              <w:left w:val="single" w:sz="8" w:space="0" w:color="auto"/>
              <w:bottom w:val="single" w:sz="8" w:space="0" w:color="auto"/>
              <w:right w:val="nil"/>
            </w:tcBorders>
            <w:shd w:val="clear" w:color="000000" w:fill="244062"/>
            <w:vAlign w:val="center"/>
            <w:hideMark/>
          </w:tcPr>
          <w:p w14:paraId="5694427A"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10C73929" w14:textId="77777777" w:rsidR="002F281C" w:rsidRPr="00A33AE8" w:rsidRDefault="00D55A3A"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D55A3A">
              <w:rPr>
                <w:rFonts w:ascii="Calibri Light" w:eastAsia="Times New Roman" w:hAnsi="Calibri Light" w:cs="Calibri Light"/>
                <w:color w:val="000000"/>
                <w:sz w:val="20"/>
                <w:szCs w:val="20"/>
                <w:lang w:eastAsia="en-GB"/>
              </w:rPr>
              <w:t>Government of the Republic of Serbia</w:t>
            </w:r>
          </w:p>
        </w:tc>
      </w:tr>
      <w:tr w:rsidR="002F281C" w:rsidRPr="00A33AE8" w14:paraId="65FC5EF8" w14:textId="77777777" w:rsidTr="00491CF7">
        <w:trPr>
          <w:gridAfter w:val="1"/>
          <w:wAfter w:w="222" w:type="dxa"/>
          <w:trHeight w:val="315"/>
        </w:trPr>
        <w:tc>
          <w:tcPr>
            <w:tcW w:w="3243" w:type="dxa"/>
            <w:tcBorders>
              <w:top w:val="nil"/>
              <w:left w:val="single" w:sz="8" w:space="0" w:color="auto"/>
              <w:bottom w:val="single" w:sz="8" w:space="0" w:color="auto"/>
              <w:right w:val="nil"/>
            </w:tcBorders>
            <w:shd w:val="clear" w:color="000000" w:fill="244062"/>
            <w:vAlign w:val="center"/>
            <w:hideMark/>
          </w:tcPr>
          <w:p w14:paraId="05FD01C1"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56390EDF" w14:textId="77777777" w:rsidR="002F281C" w:rsidRPr="00A33AE8" w:rsidRDefault="00491CF7"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Modernised natural gas network</w:t>
            </w:r>
          </w:p>
        </w:tc>
      </w:tr>
      <w:tr w:rsidR="006C6A30" w:rsidRPr="00A33AE8" w14:paraId="10B6760C" w14:textId="77777777" w:rsidTr="00491CF7">
        <w:trPr>
          <w:gridAfter w:val="1"/>
          <w:wAfter w:w="222" w:type="dxa"/>
          <w:trHeight w:val="273"/>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1DD447C2"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73D19406" w14:textId="77777777" w:rsidR="00D55A3A" w:rsidRPr="00D55A3A" w:rsidRDefault="006C6A30"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D55A3A" w:rsidRPr="00D55A3A">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w:t>
            </w:r>
          </w:p>
          <w:p w14:paraId="4A288D03" w14:textId="77777777" w:rsidR="006C6A30" w:rsidRPr="00A33AE8" w:rsidRDefault="00D55A3A"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D55A3A">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2F281C" w:rsidRPr="00A33AE8" w14:paraId="3CC80DC7" w14:textId="77777777" w:rsidTr="00491CF7">
        <w:trPr>
          <w:gridAfter w:val="1"/>
          <w:wAfter w:w="222" w:type="dxa"/>
          <w:trHeight w:val="450"/>
        </w:trPr>
        <w:tc>
          <w:tcPr>
            <w:tcW w:w="3243"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42DB688D"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15"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46B9EB" w14:textId="77777777" w:rsidR="002F281C" w:rsidRPr="00A33AE8" w:rsidRDefault="002F281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4482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12575E44" w14:textId="77777777" w:rsidR="002F281C" w:rsidRPr="00A33AE8" w:rsidRDefault="002F281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4482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2F281C" w:rsidRPr="00A33AE8" w14:paraId="26A581F7" w14:textId="77777777" w:rsidTr="00491CF7">
        <w:trPr>
          <w:trHeight w:val="300"/>
        </w:trPr>
        <w:tc>
          <w:tcPr>
            <w:tcW w:w="3243" w:type="dxa"/>
            <w:vMerge/>
            <w:tcBorders>
              <w:top w:val="nil"/>
              <w:left w:val="single" w:sz="8" w:space="0" w:color="auto"/>
              <w:bottom w:val="single" w:sz="8" w:space="0" w:color="000000"/>
              <w:right w:val="single" w:sz="8" w:space="0" w:color="auto"/>
            </w:tcBorders>
            <w:vAlign w:val="center"/>
            <w:hideMark/>
          </w:tcPr>
          <w:p w14:paraId="61C5522C"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p>
        </w:tc>
        <w:tc>
          <w:tcPr>
            <w:tcW w:w="6215" w:type="dxa"/>
            <w:gridSpan w:val="3"/>
            <w:vMerge/>
            <w:tcBorders>
              <w:top w:val="single" w:sz="8" w:space="0" w:color="auto"/>
              <w:left w:val="single" w:sz="8" w:space="0" w:color="auto"/>
              <w:bottom w:val="single" w:sz="8" w:space="0" w:color="000000"/>
              <w:right w:val="single" w:sz="8" w:space="0" w:color="000000"/>
            </w:tcBorders>
            <w:vAlign w:val="center"/>
            <w:hideMark/>
          </w:tcPr>
          <w:p w14:paraId="69EE5BBE" w14:textId="77777777" w:rsidR="002F281C" w:rsidRPr="00A33AE8" w:rsidRDefault="002F281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842683A" w14:textId="77777777" w:rsidR="002F281C" w:rsidRPr="00A33AE8" w:rsidRDefault="002F281C" w:rsidP="006769DA">
            <w:pPr>
              <w:spacing w:after="0" w:line="240" w:lineRule="auto"/>
              <w:rPr>
                <w:rFonts w:ascii="Calibri Light" w:eastAsia="Times New Roman" w:hAnsi="Calibri Light" w:cs="Calibri Light"/>
                <w:color w:val="000000"/>
                <w:sz w:val="20"/>
                <w:szCs w:val="20"/>
                <w:lang w:eastAsia="en-GB"/>
              </w:rPr>
            </w:pPr>
          </w:p>
        </w:tc>
      </w:tr>
      <w:tr w:rsidR="002F281C" w:rsidRPr="00A33AE8" w14:paraId="212561DB" w14:textId="77777777" w:rsidTr="00491CF7">
        <w:trPr>
          <w:trHeight w:val="60"/>
        </w:trPr>
        <w:tc>
          <w:tcPr>
            <w:tcW w:w="3243" w:type="dxa"/>
            <w:vMerge/>
            <w:tcBorders>
              <w:top w:val="nil"/>
              <w:left w:val="single" w:sz="8" w:space="0" w:color="auto"/>
              <w:bottom w:val="single" w:sz="8" w:space="0" w:color="000000"/>
              <w:right w:val="single" w:sz="8" w:space="0" w:color="auto"/>
            </w:tcBorders>
            <w:vAlign w:val="center"/>
            <w:hideMark/>
          </w:tcPr>
          <w:p w14:paraId="3677B52D"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p>
        </w:tc>
        <w:tc>
          <w:tcPr>
            <w:tcW w:w="6215" w:type="dxa"/>
            <w:gridSpan w:val="3"/>
            <w:vMerge/>
            <w:tcBorders>
              <w:top w:val="single" w:sz="8" w:space="0" w:color="auto"/>
              <w:left w:val="single" w:sz="8" w:space="0" w:color="auto"/>
              <w:bottom w:val="single" w:sz="8" w:space="0" w:color="000000"/>
              <w:right w:val="single" w:sz="8" w:space="0" w:color="000000"/>
            </w:tcBorders>
            <w:vAlign w:val="center"/>
            <w:hideMark/>
          </w:tcPr>
          <w:p w14:paraId="296E4E06" w14:textId="77777777" w:rsidR="002F281C" w:rsidRPr="00A33AE8" w:rsidRDefault="002F281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7B40B62" w14:textId="77777777" w:rsidR="002F281C" w:rsidRPr="00A33AE8" w:rsidRDefault="002F281C" w:rsidP="006769DA">
            <w:pPr>
              <w:spacing w:after="0" w:line="240" w:lineRule="auto"/>
              <w:rPr>
                <w:rFonts w:ascii="Times New Roman" w:eastAsia="Times New Roman" w:hAnsi="Times New Roman" w:cs="Times New Roman"/>
                <w:sz w:val="20"/>
                <w:szCs w:val="20"/>
                <w:lang w:eastAsia="en-GB"/>
              </w:rPr>
            </w:pPr>
          </w:p>
        </w:tc>
      </w:tr>
      <w:tr w:rsidR="002F281C" w:rsidRPr="00A33AE8" w14:paraId="3B4F9BBC" w14:textId="77777777" w:rsidTr="00491CF7">
        <w:trPr>
          <w:trHeight w:val="780"/>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3227CB54"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3BB014E8" w14:textId="5FECA855" w:rsidR="002F281C" w:rsidRPr="00A33AE8" w:rsidRDefault="002F281C"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4th NEEAP</w:t>
            </w:r>
          </w:p>
          <w:p w14:paraId="6D1ED561" w14:textId="77777777" w:rsidR="009B2181" w:rsidRPr="00A33AE8" w:rsidRDefault="009B2181"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52ECE6EB" w14:textId="77777777" w:rsidR="002F281C" w:rsidRPr="00A33AE8" w:rsidRDefault="00CB3A26"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Sustainable Urban Development Strategy of the Republic of Serbia until 2030</w:t>
            </w:r>
          </w:p>
        </w:tc>
        <w:tc>
          <w:tcPr>
            <w:tcW w:w="222" w:type="dxa"/>
            <w:vAlign w:val="center"/>
            <w:hideMark/>
          </w:tcPr>
          <w:p w14:paraId="6563A8CD" w14:textId="77777777" w:rsidR="002F281C" w:rsidRPr="00A33AE8" w:rsidRDefault="002F281C" w:rsidP="006769DA">
            <w:pPr>
              <w:spacing w:after="0" w:line="240" w:lineRule="auto"/>
              <w:rPr>
                <w:rFonts w:ascii="Times New Roman" w:eastAsia="Times New Roman" w:hAnsi="Times New Roman" w:cs="Times New Roman"/>
                <w:sz w:val="20"/>
                <w:szCs w:val="20"/>
                <w:lang w:eastAsia="en-GB"/>
              </w:rPr>
            </w:pPr>
          </w:p>
        </w:tc>
      </w:tr>
      <w:tr w:rsidR="00491CF7" w:rsidRPr="00A33AE8" w14:paraId="03577606" w14:textId="77777777" w:rsidTr="00491CF7">
        <w:trPr>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78165E46" w14:textId="77777777" w:rsidR="00491CF7" w:rsidRPr="00A33AE8" w:rsidRDefault="00491CF7" w:rsidP="00491CF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0D2BA19D" w14:textId="77777777" w:rsidR="00491CF7" w:rsidRPr="00A33AE8" w:rsidRDefault="00491CF7" w:rsidP="00491CF7">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5DE3B304" w14:textId="77777777" w:rsidR="00491CF7" w:rsidRPr="00A33AE8" w:rsidRDefault="00491CF7" w:rsidP="00491CF7">
            <w:pPr>
              <w:spacing w:after="0" w:line="240" w:lineRule="auto"/>
              <w:rPr>
                <w:rFonts w:ascii="Times New Roman" w:eastAsia="Times New Roman" w:hAnsi="Times New Roman" w:cs="Times New Roman"/>
                <w:sz w:val="20"/>
                <w:szCs w:val="20"/>
                <w:lang w:eastAsia="en-GB"/>
              </w:rPr>
            </w:pPr>
          </w:p>
        </w:tc>
      </w:tr>
      <w:tr w:rsidR="00352169" w:rsidRPr="00A33AE8" w14:paraId="0A035EE6" w14:textId="77777777" w:rsidTr="00491CF7">
        <w:trPr>
          <w:trHeight w:val="315"/>
        </w:trPr>
        <w:tc>
          <w:tcPr>
            <w:tcW w:w="3243" w:type="dxa"/>
            <w:tcBorders>
              <w:top w:val="nil"/>
              <w:left w:val="single" w:sz="8" w:space="0" w:color="auto"/>
              <w:bottom w:val="single" w:sz="8" w:space="0" w:color="auto"/>
              <w:right w:val="single" w:sz="8" w:space="0" w:color="auto"/>
            </w:tcBorders>
            <w:shd w:val="clear" w:color="000000" w:fill="244062"/>
            <w:vAlign w:val="center"/>
            <w:hideMark/>
          </w:tcPr>
          <w:p w14:paraId="4D57884A" w14:textId="77777777" w:rsidR="00352169" w:rsidRPr="00A33AE8" w:rsidRDefault="00352169" w:rsidP="0035216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15" w:type="dxa"/>
            <w:gridSpan w:val="3"/>
            <w:tcBorders>
              <w:top w:val="single" w:sz="8" w:space="0" w:color="auto"/>
              <w:left w:val="nil"/>
              <w:bottom w:val="single" w:sz="8" w:space="0" w:color="auto"/>
              <w:right w:val="single" w:sz="8" w:space="0" w:color="000000"/>
            </w:tcBorders>
            <w:shd w:val="clear" w:color="auto" w:fill="auto"/>
            <w:vAlign w:val="center"/>
            <w:hideMark/>
          </w:tcPr>
          <w:p w14:paraId="32145CFE" w14:textId="77777777" w:rsidR="00352169" w:rsidRPr="00A33AE8" w:rsidRDefault="00352169" w:rsidP="00352169">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Under examination</w:t>
            </w:r>
          </w:p>
        </w:tc>
        <w:tc>
          <w:tcPr>
            <w:tcW w:w="222" w:type="dxa"/>
            <w:vAlign w:val="center"/>
            <w:hideMark/>
          </w:tcPr>
          <w:p w14:paraId="52405B82" w14:textId="77777777" w:rsidR="00352169" w:rsidRPr="00A33AE8" w:rsidRDefault="00352169" w:rsidP="00352169">
            <w:pPr>
              <w:spacing w:after="0" w:line="240" w:lineRule="auto"/>
              <w:rPr>
                <w:rFonts w:ascii="Times New Roman" w:eastAsia="Times New Roman" w:hAnsi="Times New Roman" w:cs="Times New Roman"/>
                <w:sz w:val="20"/>
                <w:szCs w:val="20"/>
                <w:lang w:eastAsia="en-GB"/>
              </w:rPr>
            </w:pPr>
          </w:p>
        </w:tc>
      </w:tr>
    </w:tbl>
    <w:p w14:paraId="3E5C5AC6" w14:textId="77777777" w:rsidR="002F281C" w:rsidRPr="00A33AE8" w:rsidRDefault="002F281C" w:rsidP="002F281C">
      <w:pPr>
        <w:pStyle w:val="LDKbody"/>
        <w:rPr>
          <w:lang w:val="en-GB"/>
        </w:rPr>
      </w:pPr>
    </w:p>
    <w:tbl>
      <w:tblPr>
        <w:tblW w:w="9680" w:type="dxa"/>
        <w:tblLook w:val="04A0" w:firstRow="1" w:lastRow="0" w:firstColumn="1" w:lastColumn="0" w:noHBand="0" w:noVBand="1"/>
      </w:tblPr>
      <w:tblGrid>
        <w:gridCol w:w="3317"/>
        <w:gridCol w:w="986"/>
        <w:gridCol w:w="944"/>
        <w:gridCol w:w="4211"/>
        <w:gridCol w:w="222"/>
      </w:tblGrid>
      <w:tr w:rsidR="002F281C" w:rsidRPr="00A33AE8" w14:paraId="31F93D24" w14:textId="77777777" w:rsidTr="006769DA">
        <w:trPr>
          <w:gridAfter w:val="1"/>
          <w:wAfter w:w="222" w:type="dxa"/>
          <w:trHeight w:val="780"/>
        </w:trPr>
        <w:tc>
          <w:tcPr>
            <w:tcW w:w="3317"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781320C3" w14:textId="77777777" w:rsidR="002F281C" w:rsidRPr="00A33AE8" w:rsidRDefault="002F281C"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0DCD9F2" w14:textId="77777777" w:rsidR="002F281C" w:rsidRPr="00A33AE8" w:rsidRDefault="002F281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PM_EE44</w:t>
            </w:r>
          </w:p>
        </w:tc>
        <w:tc>
          <w:tcPr>
            <w:tcW w:w="944" w:type="dxa"/>
            <w:tcBorders>
              <w:top w:val="single" w:sz="8" w:space="0" w:color="auto"/>
              <w:left w:val="nil"/>
              <w:bottom w:val="single" w:sz="8" w:space="0" w:color="auto"/>
              <w:right w:val="single" w:sz="8" w:space="0" w:color="auto"/>
            </w:tcBorders>
            <w:shd w:val="clear" w:color="000000" w:fill="244062"/>
            <w:vAlign w:val="center"/>
            <w:hideMark/>
          </w:tcPr>
          <w:p w14:paraId="03A1CB32"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0FCEC11" w14:textId="77777777" w:rsidR="002F281C" w:rsidRPr="00A33AE8" w:rsidRDefault="002F281C"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demand response and dynamic pricing and tariffs</w:t>
            </w:r>
          </w:p>
        </w:tc>
      </w:tr>
      <w:tr w:rsidR="002F281C" w:rsidRPr="00A33AE8" w14:paraId="2EA58BBE" w14:textId="77777777" w:rsidTr="006769DA">
        <w:trPr>
          <w:gridAfter w:val="1"/>
          <w:wAfter w:w="222" w:type="dxa"/>
          <w:trHeight w:val="355"/>
        </w:trPr>
        <w:tc>
          <w:tcPr>
            <w:tcW w:w="3317" w:type="dxa"/>
            <w:tcBorders>
              <w:top w:val="nil"/>
              <w:left w:val="single" w:sz="8" w:space="0" w:color="auto"/>
              <w:bottom w:val="single" w:sz="8" w:space="0" w:color="auto"/>
              <w:right w:val="nil"/>
            </w:tcBorders>
            <w:shd w:val="clear" w:color="000000" w:fill="244062"/>
            <w:vAlign w:val="center"/>
            <w:hideMark/>
          </w:tcPr>
          <w:p w14:paraId="41AB5662"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651DD24E" w14:textId="1502AAB6" w:rsidR="002F281C" w:rsidRPr="00A33AE8" w:rsidRDefault="0074482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2F281C" w:rsidRPr="00A33AE8">
              <w:rPr>
                <w:rFonts w:ascii="Calibri Light" w:eastAsia="Times New Roman" w:hAnsi="Calibri Light" w:cs="Calibri Light"/>
                <w:color w:val="000000"/>
                <w:sz w:val="20"/>
                <w:szCs w:val="20"/>
                <w:lang w:eastAsia="en-GB"/>
              </w:rPr>
              <w:t>:</w:t>
            </w:r>
          </w:p>
          <w:p w14:paraId="4419D8F8" w14:textId="77777777" w:rsidR="002F281C" w:rsidRPr="00A33AE8" w:rsidRDefault="002F281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2F281C" w:rsidRPr="00A33AE8" w14:paraId="1A1E7A0E"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FEED636"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89C9575" w14:textId="77777777" w:rsidR="002F281C" w:rsidRPr="00A33AE8" w:rsidRDefault="002F281C" w:rsidP="006769DA">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Contribution to</w:t>
            </w:r>
            <w:r w:rsidR="008C6BDC" w:rsidRPr="00A33AE8">
              <w:rPr>
                <w:rFonts w:ascii="Calibri Light" w:eastAsia="Times New Roman" w:hAnsi="Calibri Light" w:cs="Calibri Light"/>
                <w:color w:val="000000"/>
                <w:sz w:val="20"/>
                <w:szCs w:val="20"/>
                <w:lang w:eastAsia="en-GB"/>
              </w:rPr>
              <w:t xml:space="preserve"> fulfilling the expected final energy consumption levels</w:t>
            </w:r>
          </w:p>
        </w:tc>
      </w:tr>
      <w:tr w:rsidR="002F281C" w:rsidRPr="00A33AE8" w14:paraId="77F3B32C" w14:textId="77777777" w:rsidTr="006769DA">
        <w:trPr>
          <w:gridAfter w:val="1"/>
          <w:wAfter w:w="222" w:type="dxa"/>
          <w:trHeight w:val="129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E3D28AE"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B4E5A87" w14:textId="77777777" w:rsidR="002F281C" w:rsidRPr="00A33AE8" w:rsidRDefault="002F281C"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PM_EE44 will adopt the legislative framework for the provision of demand response services and the establishment of dynamic pricing and tariffs in compliance with the provisions of the EED leading to effective electricity balancing and peak load management additionally to the delivery of final energy savings.</w:t>
            </w:r>
          </w:p>
        </w:tc>
      </w:tr>
      <w:tr w:rsidR="002F281C" w:rsidRPr="00A33AE8" w14:paraId="4233288F"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B2D9FC9"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057C527" w14:textId="77777777" w:rsidR="002F281C" w:rsidRPr="00A33AE8" w:rsidRDefault="0074482A"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2F281C" w:rsidRPr="00A33AE8">
              <w:rPr>
                <w:rFonts w:ascii="Calibri Light" w:eastAsia="Times New Roman" w:hAnsi="Calibri Light" w:cs="Calibri Light"/>
                <w:color w:val="000000"/>
                <w:sz w:val="20"/>
                <w:szCs w:val="20"/>
                <w:lang w:eastAsia="en-GB"/>
              </w:rPr>
              <w:t>-2030</w:t>
            </w:r>
          </w:p>
        </w:tc>
      </w:tr>
      <w:tr w:rsidR="002F281C" w:rsidRPr="00A33AE8" w14:paraId="761A6A3B"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3FA7C30D"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1F2AE6E" w14:textId="77777777" w:rsidR="002F281C" w:rsidRPr="00A33AE8" w:rsidRDefault="00285B15"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725A8394"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E6A4314"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Sectors covered/affected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D9C5AF6"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2F281C" w:rsidRPr="00A33AE8" w14:paraId="245361F3" w14:textId="77777777" w:rsidTr="006769DA">
        <w:trPr>
          <w:gridAfter w:val="1"/>
          <w:wAfter w:w="222" w:type="dxa"/>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1576BA7B"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06DCC1F3" w14:textId="77777777" w:rsidR="009775CD" w:rsidRPr="00A33AE8" w:rsidRDefault="0074482A"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5E0942C5" w14:textId="77777777" w:rsidR="002F281C" w:rsidRPr="005B2C66" w:rsidRDefault="0074482A"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5B2C66">
              <w:rPr>
                <w:rFonts w:ascii="Calibri Light" w:eastAsia="Times New Roman" w:hAnsi="Calibri Light" w:cs="Calibri Light"/>
                <w:color w:val="000000"/>
                <w:sz w:val="20"/>
                <w:szCs w:val="20"/>
                <w:lang w:eastAsia="en-GB"/>
              </w:rPr>
              <w:t>Energy Agency of the Republic of Serbia</w:t>
            </w:r>
          </w:p>
        </w:tc>
      </w:tr>
      <w:tr w:rsidR="002F281C" w:rsidRPr="00A33AE8" w14:paraId="325AF1BF"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2DE16DB6"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3C3AAF11" w14:textId="77777777" w:rsidR="002F281C" w:rsidRPr="00A33AE8" w:rsidRDefault="009775CD" w:rsidP="00884F3B">
            <w:pPr>
              <w:pStyle w:val="ListParagraph"/>
              <w:numPr>
                <w:ilvl w:val="0"/>
                <w:numId w:val="172"/>
              </w:numPr>
              <w:spacing w:after="0" w:line="240" w:lineRule="auto"/>
              <w:rPr>
                <w:rFonts w:ascii="Calibri Light" w:eastAsia="Times New Roman" w:hAnsi="Calibri Light" w:cs="Calibri Light"/>
                <w:color w:val="000000"/>
                <w:sz w:val="20"/>
                <w:szCs w:val="20"/>
                <w:lang w:eastAsia="en-GB"/>
              </w:rPr>
            </w:pPr>
            <w:r w:rsidRPr="009775CD">
              <w:rPr>
                <w:rFonts w:ascii="Calibri Light" w:eastAsia="Times New Roman" w:hAnsi="Calibri Light" w:cs="Calibri Light"/>
                <w:color w:val="000000"/>
                <w:sz w:val="20"/>
                <w:szCs w:val="20"/>
                <w:lang w:eastAsia="en-GB"/>
              </w:rPr>
              <w:t>Government of the Republic of Serbia</w:t>
            </w:r>
          </w:p>
        </w:tc>
      </w:tr>
      <w:tr w:rsidR="002F281C" w:rsidRPr="00A33AE8" w14:paraId="12E0D503" w14:textId="77777777" w:rsidTr="006769DA">
        <w:trPr>
          <w:gridAfter w:val="1"/>
          <w:wAfter w:w="222" w:type="dxa"/>
          <w:trHeight w:val="315"/>
        </w:trPr>
        <w:tc>
          <w:tcPr>
            <w:tcW w:w="3317" w:type="dxa"/>
            <w:tcBorders>
              <w:top w:val="nil"/>
              <w:left w:val="single" w:sz="8" w:space="0" w:color="auto"/>
              <w:bottom w:val="single" w:sz="8" w:space="0" w:color="auto"/>
              <w:right w:val="nil"/>
            </w:tcBorders>
            <w:shd w:val="clear" w:color="000000" w:fill="244062"/>
            <w:vAlign w:val="center"/>
            <w:hideMark/>
          </w:tcPr>
          <w:p w14:paraId="65F90CAB"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E67E59F" w14:textId="77777777" w:rsidR="002F281C" w:rsidRPr="00A33AE8" w:rsidRDefault="00491CF7"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legislative and regulatory framework</w:t>
            </w:r>
          </w:p>
        </w:tc>
      </w:tr>
      <w:tr w:rsidR="006C6A30" w:rsidRPr="00A33AE8" w14:paraId="434E5131" w14:textId="77777777" w:rsidTr="006769DA">
        <w:trPr>
          <w:gridAfter w:val="1"/>
          <w:wAfter w:w="222" w:type="dxa"/>
          <w:trHeight w:val="419"/>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56589C2B"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206C13C9" w14:textId="77777777" w:rsidR="00EF7A4F" w:rsidRPr="00EF7A4F" w:rsidRDefault="006C6A30"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EF7A4F" w:rsidRPr="00EF7A4F">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totally)</w:t>
            </w:r>
          </w:p>
          <w:p w14:paraId="6D3FCAA7" w14:textId="77777777" w:rsidR="006C6A30" w:rsidRPr="00A33AE8" w:rsidRDefault="00EF7A4F"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EF7A4F">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2F281C" w:rsidRPr="00A33AE8" w14:paraId="67AC1D5B" w14:textId="77777777" w:rsidTr="006769DA">
        <w:trPr>
          <w:gridAfter w:val="1"/>
          <w:wAfter w:w="222" w:type="dxa"/>
          <w:trHeight w:val="450"/>
        </w:trPr>
        <w:tc>
          <w:tcPr>
            <w:tcW w:w="3317"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E8DADA0"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4AB163" w14:textId="77777777" w:rsidR="002F281C" w:rsidRPr="00A33AE8" w:rsidRDefault="002F281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4482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2883E9C6" w14:textId="77777777" w:rsidR="002F281C" w:rsidRPr="00A33AE8" w:rsidRDefault="002F281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74482A"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2F281C" w:rsidRPr="00A33AE8" w14:paraId="19C1E58F" w14:textId="77777777" w:rsidTr="006769DA">
        <w:trPr>
          <w:trHeight w:val="300"/>
        </w:trPr>
        <w:tc>
          <w:tcPr>
            <w:tcW w:w="3317" w:type="dxa"/>
            <w:vMerge/>
            <w:tcBorders>
              <w:top w:val="nil"/>
              <w:left w:val="single" w:sz="8" w:space="0" w:color="auto"/>
              <w:bottom w:val="single" w:sz="8" w:space="0" w:color="000000"/>
              <w:right w:val="single" w:sz="8" w:space="0" w:color="auto"/>
            </w:tcBorders>
            <w:vAlign w:val="center"/>
            <w:hideMark/>
          </w:tcPr>
          <w:p w14:paraId="50EF1063"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7E54881E" w14:textId="77777777" w:rsidR="002F281C" w:rsidRPr="00A33AE8" w:rsidRDefault="002F281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BF6E528" w14:textId="77777777" w:rsidR="002F281C" w:rsidRPr="00A33AE8" w:rsidRDefault="002F281C" w:rsidP="006769DA">
            <w:pPr>
              <w:spacing w:after="0" w:line="240" w:lineRule="auto"/>
              <w:rPr>
                <w:rFonts w:ascii="Calibri Light" w:eastAsia="Times New Roman" w:hAnsi="Calibri Light" w:cs="Calibri Light"/>
                <w:color w:val="000000"/>
                <w:sz w:val="20"/>
                <w:szCs w:val="20"/>
                <w:lang w:eastAsia="en-GB"/>
              </w:rPr>
            </w:pPr>
          </w:p>
        </w:tc>
      </w:tr>
      <w:tr w:rsidR="002F281C" w:rsidRPr="00A33AE8" w14:paraId="1C910BE1" w14:textId="77777777" w:rsidTr="006769DA">
        <w:trPr>
          <w:trHeight w:val="60"/>
        </w:trPr>
        <w:tc>
          <w:tcPr>
            <w:tcW w:w="3317" w:type="dxa"/>
            <w:vMerge/>
            <w:tcBorders>
              <w:top w:val="nil"/>
              <w:left w:val="single" w:sz="8" w:space="0" w:color="auto"/>
              <w:bottom w:val="single" w:sz="8" w:space="0" w:color="000000"/>
              <w:right w:val="single" w:sz="8" w:space="0" w:color="auto"/>
            </w:tcBorders>
            <w:vAlign w:val="center"/>
            <w:hideMark/>
          </w:tcPr>
          <w:p w14:paraId="3E905100"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p>
        </w:tc>
        <w:tc>
          <w:tcPr>
            <w:tcW w:w="6141" w:type="dxa"/>
            <w:gridSpan w:val="3"/>
            <w:vMerge/>
            <w:tcBorders>
              <w:top w:val="single" w:sz="8" w:space="0" w:color="auto"/>
              <w:left w:val="single" w:sz="8" w:space="0" w:color="auto"/>
              <w:bottom w:val="single" w:sz="8" w:space="0" w:color="000000"/>
              <w:right w:val="single" w:sz="8" w:space="0" w:color="000000"/>
            </w:tcBorders>
            <w:vAlign w:val="center"/>
            <w:hideMark/>
          </w:tcPr>
          <w:p w14:paraId="418053BA" w14:textId="77777777" w:rsidR="002F281C" w:rsidRPr="00A33AE8" w:rsidRDefault="002F281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7318E188" w14:textId="77777777" w:rsidR="002F281C" w:rsidRPr="00A33AE8" w:rsidRDefault="002F281C" w:rsidP="006769DA">
            <w:pPr>
              <w:spacing w:after="0" w:line="240" w:lineRule="auto"/>
              <w:rPr>
                <w:rFonts w:ascii="Times New Roman" w:eastAsia="Times New Roman" w:hAnsi="Times New Roman" w:cs="Times New Roman"/>
                <w:sz w:val="20"/>
                <w:szCs w:val="20"/>
                <w:lang w:eastAsia="en-GB"/>
              </w:rPr>
            </w:pPr>
          </w:p>
        </w:tc>
      </w:tr>
      <w:tr w:rsidR="002F281C" w:rsidRPr="00A33AE8" w14:paraId="1EFB5C30" w14:textId="77777777" w:rsidTr="006769DA">
        <w:trPr>
          <w:trHeight w:val="780"/>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038178C1" w14:textId="77777777" w:rsidR="002F281C" w:rsidRPr="00A33AE8" w:rsidRDefault="002F281C"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9023891" w14:textId="225BB5D3" w:rsidR="00670C59" w:rsidRPr="00A33AE8" w:rsidRDefault="002F281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0540CBDA" w14:textId="77777777" w:rsidR="002F281C" w:rsidRPr="00A33AE8" w:rsidRDefault="00EC44AC" w:rsidP="00884F3B">
            <w:pPr>
              <w:pStyle w:val="ListParagraph"/>
              <w:numPr>
                <w:ilvl w:val="0"/>
                <w:numId w:val="1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tc>
        <w:tc>
          <w:tcPr>
            <w:tcW w:w="222" w:type="dxa"/>
            <w:vAlign w:val="center"/>
            <w:hideMark/>
          </w:tcPr>
          <w:p w14:paraId="21D90E03" w14:textId="77777777" w:rsidR="002F281C" w:rsidRPr="00A33AE8" w:rsidRDefault="002F281C" w:rsidP="006769DA">
            <w:pPr>
              <w:spacing w:after="0" w:line="240" w:lineRule="auto"/>
              <w:rPr>
                <w:rFonts w:ascii="Times New Roman" w:eastAsia="Times New Roman" w:hAnsi="Times New Roman" w:cs="Times New Roman"/>
                <w:sz w:val="20"/>
                <w:szCs w:val="20"/>
                <w:lang w:eastAsia="en-GB"/>
              </w:rPr>
            </w:pPr>
          </w:p>
        </w:tc>
      </w:tr>
      <w:tr w:rsidR="00867645" w:rsidRPr="00A33AE8" w14:paraId="60921DF1"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2C0C61C6"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720FB594"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5FB5E7FF"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867645" w:rsidRPr="00A33AE8" w14:paraId="38F3B10A" w14:textId="77777777" w:rsidTr="006769DA">
        <w:trPr>
          <w:trHeight w:val="315"/>
        </w:trPr>
        <w:tc>
          <w:tcPr>
            <w:tcW w:w="3317" w:type="dxa"/>
            <w:tcBorders>
              <w:top w:val="nil"/>
              <w:left w:val="single" w:sz="8" w:space="0" w:color="auto"/>
              <w:bottom w:val="single" w:sz="8" w:space="0" w:color="auto"/>
              <w:right w:val="single" w:sz="8" w:space="0" w:color="auto"/>
            </w:tcBorders>
            <w:shd w:val="clear" w:color="000000" w:fill="244062"/>
            <w:vAlign w:val="center"/>
            <w:hideMark/>
          </w:tcPr>
          <w:p w14:paraId="60938D80"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41" w:type="dxa"/>
            <w:gridSpan w:val="3"/>
            <w:tcBorders>
              <w:top w:val="single" w:sz="8" w:space="0" w:color="auto"/>
              <w:left w:val="nil"/>
              <w:bottom w:val="single" w:sz="8" w:space="0" w:color="auto"/>
              <w:right w:val="single" w:sz="8" w:space="0" w:color="000000"/>
            </w:tcBorders>
            <w:shd w:val="clear" w:color="auto" w:fill="auto"/>
            <w:vAlign w:val="center"/>
            <w:hideMark/>
          </w:tcPr>
          <w:p w14:paraId="17A8575F"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 xml:space="preserve">EU and other funds, public funds and </w:t>
            </w:r>
            <w:r w:rsidR="007B193F"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302C9242"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bl>
    <w:p w14:paraId="3E12FE36" w14:textId="77777777" w:rsidR="00D2554B" w:rsidRPr="00A33AE8" w:rsidRDefault="00D2554B" w:rsidP="00884F3B">
      <w:pPr>
        <w:pStyle w:val="Heading4"/>
        <w:numPr>
          <w:ilvl w:val="0"/>
          <w:numId w:val="6"/>
        </w:numPr>
      </w:pPr>
      <w:r w:rsidRPr="00A33AE8">
        <w:t>Financing measures, including EU support and the use of EU funds, in the area at national level</w:t>
      </w:r>
    </w:p>
    <w:p w14:paraId="79AF2D1D" w14:textId="77777777" w:rsidR="00D2554B" w:rsidRPr="00A33AE8" w:rsidRDefault="00D2554B" w:rsidP="004C6CE1">
      <w:pPr>
        <w:spacing w:before="160"/>
        <w:jc w:val="both"/>
        <w:rPr>
          <w:rFonts w:asciiTheme="majorHAnsi" w:hAnsiTheme="majorHAnsi" w:cstheme="majorHAnsi"/>
          <w:color w:val="000000"/>
        </w:rPr>
      </w:pPr>
      <w:bookmarkStart w:id="165" w:name="_Hlk118326878"/>
      <w:r w:rsidRPr="00A33AE8">
        <w:rPr>
          <w:rFonts w:asciiTheme="majorHAnsi" w:hAnsiTheme="majorHAnsi" w:cstheme="majorHAnsi"/>
          <w:color w:val="000000"/>
        </w:rPr>
        <w:t xml:space="preserve">The main challenges, which are derived by the design and implementation of the envisaged financial measures will be addressed, such as the maximization of the expected leverage, the most cost-effective exploitation of the available fund, the </w:t>
      </w:r>
      <w:r w:rsidR="00F772EC" w:rsidRPr="00A33AE8">
        <w:rPr>
          <w:rFonts w:asciiTheme="majorHAnsi" w:hAnsiTheme="majorHAnsi" w:cstheme="majorHAnsi"/>
          <w:color w:val="000000"/>
        </w:rPr>
        <w:t>exploitation</w:t>
      </w:r>
      <w:r w:rsidRPr="00A33AE8">
        <w:rPr>
          <w:rFonts w:asciiTheme="majorHAnsi" w:hAnsiTheme="majorHAnsi" w:cstheme="majorHAnsi"/>
          <w:color w:val="000000"/>
        </w:rPr>
        <w:t xml:space="preserve"> of </w:t>
      </w:r>
      <w:r w:rsidR="00081D7A" w:rsidRPr="00A33AE8">
        <w:rPr>
          <w:rFonts w:asciiTheme="majorHAnsi" w:hAnsiTheme="majorHAnsi" w:cstheme="majorHAnsi"/>
          <w:color w:val="000000"/>
        </w:rPr>
        <w:t>additional</w:t>
      </w:r>
      <w:r w:rsidRPr="00A33AE8">
        <w:rPr>
          <w:rFonts w:asciiTheme="majorHAnsi" w:hAnsiTheme="majorHAnsi" w:cstheme="majorHAnsi"/>
          <w:color w:val="000000"/>
        </w:rPr>
        <w:t xml:space="preserve"> financing tools and the active mobilization of the domestic financial sector.</w:t>
      </w:r>
      <w:r w:rsidR="003C635D" w:rsidRPr="00A33AE8">
        <w:rPr>
          <w:rFonts w:asciiTheme="majorHAnsi" w:hAnsiTheme="majorHAnsi" w:cstheme="majorHAnsi"/>
          <w:color w:val="000000"/>
        </w:rPr>
        <w:t xml:space="preserve"> </w:t>
      </w:r>
      <w:r w:rsidR="00E05078" w:rsidRPr="000007D2">
        <w:rPr>
          <w:rFonts w:asciiTheme="majorHAnsi" w:hAnsiTheme="majorHAnsi" w:cstheme="majorHAnsi"/>
          <w:color w:val="000000"/>
        </w:rPr>
        <w:t>For the purpose of the implementation of activities for financing and promotion of energy efficiency at the national level, t</w:t>
      </w:r>
      <w:r w:rsidRPr="00A33AE8">
        <w:rPr>
          <w:rFonts w:asciiTheme="majorHAnsi" w:hAnsiTheme="majorHAnsi" w:cstheme="majorHAnsi"/>
          <w:color w:val="000000"/>
        </w:rPr>
        <w:t xml:space="preserve">he </w:t>
      </w:r>
      <w:r w:rsidR="00E05078" w:rsidRPr="00A33AE8">
        <w:rPr>
          <w:rFonts w:asciiTheme="majorHAnsi" w:hAnsiTheme="majorHAnsi" w:cstheme="majorHAnsi"/>
          <w:color w:val="000000"/>
        </w:rPr>
        <w:t xml:space="preserve">EE </w:t>
      </w:r>
      <w:r w:rsidRPr="00A33AE8">
        <w:rPr>
          <w:rFonts w:asciiTheme="majorHAnsi" w:hAnsiTheme="majorHAnsi" w:cstheme="majorHAnsi"/>
          <w:color w:val="000000"/>
        </w:rPr>
        <w:t xml:space="preserve">Directorate </w:t>
      </w:r>
      <w:r w:rsidR="00E05078" w:rsidRPr="00A33AE8">
        <w:rPr>
          <w:rFonts w:asciiTheme="majorHAnsi" w:hAnsiTheme="majorHAnsi" w:cstheme="majorHAnsi"/>
          <w:color w:val="000000"/>
        </w:rPr>
        <w:t xml:space="preserve">was established </w:t>
      </w:r>
      <w:r w:rsidR="00E05078" w:rsidRPr="000007D2">
        <w:rPr>
          <w:rFonts w:asciiTheme="majorHAnsi" w:hAnsiTheme="majorHAnsi" w:cstheme="majorHAnsi"/>
          <w:color w:val="000000"/>
        </w:rPr>
        <w:t xml:space="preserve">as a separate legal entity within the Ministry of Mining and Energy. The Directorate awards incentives in accordance with the Financing Program adopted by the Government every year at the proposal of the Ministry of Mining and Energy and the EE </w:t>
      </w:r>
      <w:r w:rsidR="007F69C7" w:rsidRPr="000007D2">
        <w:rPr>
          <w:rFonts w:asciiTheme="majorHAnsi" w:hAnsiTheme="majorHAnsi" w:cstheme="majorHAnsi"/>
          <w:color w:val="000000"/>
        </w:rPr>
        <w:t>Directorate</w:t>
      </w:r>
      <w:r w:rsidR="00E05078" w:rsidRPr="000007D2">
        <w:rPr>
          <w:rFonts w:asciiTheme="majorHAnsi" w:hAnsiTheme="majorHAnsi" w:cstheme="majorHAnsi"/>
          <w:color w:val="000000"/>
        </w:rPr>
        <w:t xml:space="preserve">. Activities carried out by the </w:t>
      </w:r>
      <w:r w:rsidR="007F69C7" w:rsidRPr="000007D2">
        <w:rPr>
          <w:rFonts w:asciiTheme="majorHAnsi" w:hAnsiTheme="majorHAnsi" w:cstheme="majorHAnsi"/>
          <w:color w:val="000000"/>
        </w:rPr>
        <w:t>Directorate</w:t>
      </w:r>
      <w:r w:rsidR="00E05078" w:rsidRPr="000007D2">
        <w:rPr>
          <w:rFonts w:asciiTheme="majorHAnsi" w:hAnsiTheme="majorHAnsi" w:cstheme="majorHAnsi"/>
          <w:color w:val="000000"/>
        </w:rPr>
        <w:t xml:space="preserve"> are financed from the Budget, donations and loans from international financial institutions.</w:t>
      </w:r>
      <w:r w:rsidR="007F69C7" w:rsidRPr="000007D2">
        <w:rPr>
          <w:rFonts w:asciiTheme="majorHAnsi" w:hAnsiTheme="majorHAnsi" w:cstheme="majorHAnsi"/>
          <w:color w:val="000000"/>
        </w:rPr>
        <w:t xml:space="preserve"> Improvement of EE Directorate operation</w:t>
      </w:r>
      <w:r w:rsidRPr="00A33AE8">
        <w:rPr>
          <w:rFonts w:asciiTheme="majorHAnsi" w:hAnsiTheme="majorHAnsi" w:cstheme="majorHAnsi"/>
          <w:color w:val="000000"/>
        </w:rPr>
        <w:t xml:space="preserve"> is essential for the effective implementation of the planned financial measures</w:t>
      </w:r>
      <w:r w:rsidR="00090EC2" w:rsidRPr="000007D2">
        <w:rPr>
          <w:rFonts w:asciiTheme="majorHAnsi" w:hAnsiTheme="majorHAnsi" w:cstheme="majorHAnsi"/>
          <w:color w:val="000000"/>
        </w:rPr>
        <w:t xml:space="preserve"> with special focus on building sector</w:t>
      </w:r>
      <w:r w:rsidRPr="00A33AE8">
        <w:rPr>
          <w:rFonts w:asciiTheme="majorHAnsi" w:hAnsiTheme="majorHAnsi" w:cstheme="majorHAnsi"/>
          <w:color w:val="000000"/>
        </w:rPr>
        <w:t>.</w:t>
      </w:r>
    </w:p>
    <w:p w14:paraId="5062A706" w14:textId="77777777" w:rsidR="00D2554B" w:rsidRPr="00A33AE8" w:rsidRDefault="00090EC2" w:rsidP="004C6CE1">
      <w:pPr>
        <w:spacing w:before="160"/>
        <w:jc w:val="both"/>
        <w:rPr>
          <w:rFonts w:asciiTheme="majorHAnsi" w:hAnsiTheme="majorHAnsi" w:cstheme="majorHAnsi"/>
          <w:color w:val="000000"/>
        </w:rPr>
      </w:pPr>
      <w:r w:rsidRPr="00A33AE8">
        <w:rPr>
          <w:rFonts w:asciiTheme="majorHAnsi" w:hAnsiTheme="majorHAnsi" w:cstheme="majorHAnsi"/>
          <w:color w:val="000000"/>
        </w:rPr>
        <w:t>In the following period, EE Directive should provide support for the implementation of</w:t>
      </w:r>
      <w:r w:rsidR="00D2554B" w:rsidRPr="00A33AE8">
        <w:rPr>
          <w:rFonts w:asciiTheme="majorHAnsi" w:hAnsiTheme="majorHAnsi" w:cstheme="majorHAnsi"/>
          <w:color w:val="000000"/>
        </w:rPr>
        <w:t xml:space="preserve"> innovative pilot energy efficiency projects for the promotion of sustainable green solutions including the area of buildings</w:t>
      </w:r>
      <w:r w:rsidRPr="00A33AE8">
        <w:rPr>
          <w:rFonts w:asciiTheme="majorHAnsi" w:hAnsiTheme="majorHAnsi" w:cstheme="majorHAnsi"/>
          <w:color w:val="000000"/>
        </w:rPr>
        <w:t>, and above of all, it is important to work on the establishment of the new financing mechanisms</w:t>
      </w:r>
      <w:r w:rsidR="00D2554B" w:rsidRPr="00A33AE8">
        <w:rPr>
          <w:rFonts w:asciiTheme="majorHAnsi" w:hAnsiTheme="majorHAnsi" w:cstheme="majorHAnsi"/>
          <w:color w:val="000000"/>
        </w:rPr>
        <w:t xml:space="preserve">. </w:t>
      </w:r>
      <w:r w:rsidRPr="00A33AE8">
        <w:rPr>
          <w:rFonts w:asciiTheme="majorHAnsi" w:hAnsiTheme="majorHAnsi" w:cstheme="majorHAnsi"/>
          <w:color w:val="000000"/>
        </w:rPr>
        <w:t>In that sense, t</w:t>
      </w:r>
      <w:r w:rsidR="00D2554B" w:rsidRPr="00A33AE8">
        <w:rPr>
          <w:rFonts w:asciiTheme="majorHAnsi" w:hAnsiTheme="majorHAnsi" w:cstheme="majorHAnsi"/>
          <w:color w:val="000000"/>
        </w:rPr>
        <w:t xml:space="preserve">echnical assistance will be provided for </w:t>
      </w:r>
      <w:r w:rsidRPr="00A33AE8">
        <w:rPr>
          <w:rFonts w:asciiTheme="majorHAnsi" w:hAnsiTheme="majorHAnsi" w:cstheme="majorHAnsi"/>
          <w:color w:val="000000"/>
        </w:rPr>
        <w:t xml:space="preserve">capacity building of EE Directorate which will include support for the accreditation of EE Directorate for utilization of EU and other funds and consideration of possibilities for </w:t>
      </w:r>
      <w:r w:rsidR="00F941EA" w:rsidRPr="00A33AE8">
        <w:rPr>
          <w:rFonts w:asciiTheme="majorHAnsi" w:hAnsiTheme="majorHAnsi" w:cstheme="majorHAnsi"/>
          <w:color w:val="000000"/>
        </w:rPr>
        <w:t>upgrading</w:t>
      </w:r>
      <w:r w:rsidRPr="00A33AE8">
        <w:rPr>
          <w:rFonts w:asciiTheme="majorHAnsi" w:hAnsiTheme="majorHAnsi" w:cstheme="majorHAnsi"/>
          <w:color w:val="000000"/>
        </w:rPr>
        <w:t xml:space="preserve"> of</w:t>
      </w:r>
      <w:r w:rsidR="00F941EA" w:rsidRPr="00A33AE8">
        <w:rPr>
          <w:rFonts w:asciiTheme="majorHAnsi" w:hAnsiTheme="majorHAnsi" w:cstheme="majorHAnsi"/>
          <w:color w:val="000000"/>
        </w:rPr>
        <w:t xml:space="preserve"> the</w:t>
      </w:r>
      <w:r w:rsidRPr="00A33AE8">
        <w:rPr>
          <w:rFonts w:asciiTheme="majorHAnsi" w:hAnsiTheme="majorHAnsi" w:cstheme="majorHAnsi"/>
          <w:color w:val="000000"/>
        </w:rPr>
        <w:t xml:space="preserve"> legal status of Directorate into the independent </w:t>
      </w:r>
      <w:r w:rsidR="00A4135B" w:rsidRPr="00A33AE8">
        <w:rPr>
          <w:rFonts w:asciiTheme="majorHAnsi" w:hAnsiTheme="majorHAnsi" w:cstheme="majorHAnsi"/>
          <w:color w:val="000000"/>
        </w:rPr>
        <w:t>N</w:t>
      </w:r>
      <w:r w:rsidRPr="00A33AE8">
        <w:rPr>
          <w:rFonts w:asciiTheme="majorHAnsi" w:hAnsiTheme="majorHAnsi" w:cstheme="majorHAnsi"/>
          <w:color w:val="000000"/>
        </w:rPr>
        <w:t xml:space="preserve">ational </w:t>
      </w:r>
      <w:r w:rsidR="00A4135B" w:rsidRPr="00A33AE8">
        <w:rPr>
          <w:rFonts w:asciiTheme="majorHAnsi" w:hAnsiTheme="majorHAnsi" w:cstheme="majorHAnsi"/>
          <w:color w:val="000000"/>
        </w:rPr>
        <w:t>E</w:t>
      </w:r>
      <w:r w:rsidRPr="00A33AE8">
        <w:rPr>
          <w:rFonts w:asciiTheme="majorHAnsi" w:hAnsiTheme="majorHAnsi" w:cstheme="majorHAnsi"/>
          <w:color w:val="000000"/>
        </w:rPr>
        <w:t xml:space="preserve">nergy </w:t>
      </w:r>
      <w:r w:rsidR="00A4135B" w:rsidRPr="00A33AE8">
        <w:rPr>
          <w:rFonts w:asciiTheme="majorHAnsi" w:hAnsiTheme="majorHAnsi" w:cstheme="majorHAnsi"/>
          <w:color w:val="000000"/>
        </w:rPr>
        <w:t>E</w:t>
      </w:r>
      <w:r w:rsidRPr="00A33AE8">
        <w:rPr>
          <w:rFonts w:asciiTheme="majorHAnsi" w:hAnsiTheme="majorHAnsi" w:cstheme="majorHAnsi"/>
          <w:color w:val="000000"/>
        </w:rPr>
        <w:t xml:space="preserve">fficiency </w:t>
      </w:r>
      <w:r w:rsidR="00A4135B" w:rsidRPr="00A33AE8">
        <w:rPr>
          <w:rFonts w:asciiTheme="majorHAnsi" w:hAnsiTheme="majorHAnsi" w:cstheme="majorHAnsi"/>
          <w:color w:val="000000"/>
        </w:rPr>
        <w:t>F</w:t>
      </w:r>
      <w:r w:rsidRPr="00A33AE8">
        <w:rPr>
          <w:rFonts w:asciiTheme="majorHAnsi" w:hAnsiTheme="majorHAnsi" w:cstheme="majorHAnsi"/>
          <w:color w:val="000000"/>
        </w:rPr>
        <w:t xml:space="preserve">und, which would facilitate implementation of various financing mechanisms and </w:t>
      </w:r>
      <w:r w:rsidR="00F941EA" w:rsidRPr="00A33AE8">
        <w:rPr>
          <w:rFonts w:asciiTheme="majorHAnsi" w:hAnsiTheme="majorHAnsi" w:cstheme="majorHAnsi"/>
          <w:color w:val="000000"/>
        </w:rPr>
        <w:t xml:space="preserve">accumulation of all available </w:t>
      </w:r>
      <w:r w:rsidR="00D2554B" w:rsidRPr="00A33AE8">
        <w:rPr>
          <w:rFonts w:asciiTheme="majorHAnsi" w:hAnsiTheme="majorHAnsi" w:cstheme="majorHAnsi"/>
          <w:color w:val="000000"/>
        </w:rPr>
        <w:t>public financing streams into one achieving a considerably better level of coordination and effectiveness.</w:t>
      </w:r>
    </w:p>
    <w:p w14:paraId="73AE63D3" w14:textId="335B31DA" w:rsidR="00D2554B" w:rsidRPr="00A33AE8" w:rsidRDefault="00D2554B" w:rsidP="004C6CE1">
      <w:pPr>
        <w:spacing w:before="160"/>
        <w:jc w:val="both"/>
        <w:rPr>
          <w:rFonts w:cstheme="minorHAnsi"/>
          <w:color w:val="000000"/>
        </w:rPr>
      </w:pPr>
      <w:r w:rsidRPr="00A33AE8">
        <w:rPr>
          <w:rFonts w:asciiTheme="majorHAnsi" w:hAnsiTheme="majorHAnsi" w:cstheme="majorHAnsi"/>
          <w:color w:val="000000"/>
        </w:rPr>
        <w:t xml:space="preserve">Finally, the bankability of the energy efficiency projects will be increased with the utilization of specialized tools and methodologies so as to minimize the existing levels of risk. The </w:t>
      </w:r>
      <w:r w:rsidR="00F772EC" w:rsidRPr="00A33AE8">
        <w:rPr>
          <w:rFonts w:asciiTheme="majorHAnsi" w:hAnsiTheme="majorHAnsi" w:cstheme="majorHAnsi"/>
          <w:color w:val="000000"/>
        </w:rPr>
        <w:t>mo</w:t>
      </w:r>
      <w:r w:rsidR="0057548D" w:rsidRPr="00A33AE8">
        <w:rPr>
          <w:rFonts w:asciiTheme="majorHAnsi" w:hAnsiTheme="majorHAnsi" w:cstheme="majorHAnsi"/>
          <w:color w:val="000000"/>
        </w:rPr>
        <w:t>b</w:t>
      </w:r>
      <w:r w:rsidR="00F772EC" w:rsidRPr="00A33AE8">
        <w:rPr>
          <w:rFonts w:asciiTheme="majorHAnsi" w:hAnsiTheme="majorHAnsi" w:cstheme="majorHAnsi"/>
          <w:color w:val="000000"/>
        </w:rPr>
        <w:t>ilization</w:t>
      </w:r>
      <w:r w:rsidRPr="00A33AE8">
        <w:rPr>
          <w:rFonts w:asciiTheme="majorHAnsi" w:hAnsiTheme="majorHAnsi" w:cstheme="majorHAnsi"/>
          <w:color w:val="000000"/>
        </w:rPr>
        <w:t xml:space="preserve"> of the banking sector will be encouraged, while the conduction of specialized training will enhance the current level of knowledge and skills of the employees in the banking sector.</w:t>
      </w:r>
      <w:bookmarkEnd w:id="165"/>
    </w:p>
    <w:tbl>
      <w:tblPr>
        <w:tblW w:w="9680" w:type="dxa"/>
        <w:tblLook w:val="04A0" w:firstRow="1" w:lastRow="0" w:firstColumn="1" w:lastColumn="0" w:noHBand="0" w:noVBand="1"/>
      </w:tblPr>
      <w:tblGrid>
        <w:gridCol w:w="3315"/>
        <w:gridCol w:w="986"/>
        <w:gridCol w:w="943"/>
        <w:gridCol w:w="4214"/>
        <w:gridCol w:w="222"/>
      </w:tblGrid>
      <w:tr w:rsidR="00C8427B" w:rsidRPr="00A33AE8" w14:paraId="6F123E05" w14:textId="77777777" w:rsidTr="009433B3">
        <w:trPr>
          <w:gridAfter w:val="1"/>
          <w:wAfter w:w="222" w:type="dxa"/>
          <w:trHeight w:val="529"/>
        </w:trPr>
        <w:tc>
          <w:tcPr>
            <w:tcW w:w="3315"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04387CE8" w14:textId="77777777" w:rsidR="00C8427B" w:rsidRPr="00A33AE8" w:rsidRDefault="00C8427B" w:rsidP="00C842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8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61C8F73" w14:textId="77777777" w:rsidR="00C8427B" w:rsidRPr="00A33AE8" w:rsidRDefault="002B5578" w:rsidP="00C842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w:t>
            </w:r>
            <w:r w:rsidR="00F36749" w:rsidRPr="00A33AE8">
              <w:rPr>
                <w:rFonts w:ascii="Calibri Light" w:eastAsia="Times New Roman" w:hAnsi="Calibri Light" w:cs="Calibri Light"/>
                <w:b/>
                <w:bCs/>
                <w:color w:val="000000"/>
                <w:sz w:val="20"/>
                <w:szCs w:val="20"/>
                <w:lang w:eastAsia="en-GB"/>
              </w:rPr>
              <w:t>38</w:t>
            </w:r>
          </w:p>
        </w:tc>
        <w:tc>
          <w:tcPr>
            <w:tcW w:w="943" w:type="dxa"/>
            <w:tcBorders>
              <w:top w:val="single" w:sz="8" w:space="0" w:color="auto"/>
              <w:left w:val="nil"/>
              <w:bottom w:val="single" w:sz="8" w:space="0" w:color="auto"/>
              <w:right w:val="single" w:sz="8" w:space="0" w:color="auto"/>
            </w:tcBorders>
            <w:shd w:val="clear" w:color="000000" w:fill="244062"/>
            <w:vAlign w:val="center"/>
            <w:hideMark/>
          </w:tcPr>
          <w:p w14:paraId="10B7E6FA"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14" w:type="dxa"/>
            <w:tcBorders>
              <w:top w:val="single" w:sz="8" w:space="0" w:color="auto"/>
              <w:left w:val="nil"/>
              <w:bottom w:val="single" w:sz="8" w:space="0" w:color="auto"/>
              <w:right w:val="single" w:sz="8" w:space="0" w:color="auto"/>
            </w:tcBorders>
            <w:shd w:val="clear" w:color="auto" w:fill="E7E6E6" w:themeFill="background2"/>
            <w:vAlign w:val="center"/>
            <w:hideMark/>
          </w:tcPr>
          <w:p w14:paraId="7A24C122" w14:textId="77777777" w:rsidR="00C8427B" w:rsidRPr="00A33AE8" w:rsidRDefault="00C8427B" w:rsidP="00D75F98">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sustainable and innovative financing of energy efficiency projects</w:t>
            </w:r>
          </w:p>
        </w:tc>
      </w:tr>
      <w:tr w:rsidR="009433B3" w:rsidRPr="00A33AE8" w14:paraId="45C3A437" w14:textId="77777777" w:rsidTr="009433B3">
        <w:trPr>
          <w:gridAfter w:val="1"/>
          <w:wAfter w:w="222" w:type="dxa"/>
          <w:trHeight w:val="440"/>
        </w:trPr>
        <w:tc>
          <w:tcPr>
            <w:tcW w:w="3315" w:type="dxa"/>
            <w:tcBorders>
              <w:top w:val="nil"/>
              <w:left w:val="single" w:sz="8" w:space="0" w:color="auto"/>
              <w:bottom w:val="single" w:sz="8" w:space="0" w:color="auto"/>
              <w:right w:val="nil"/>
            </w:tcBorders>
            <w:shd w:val="clear" w:color="000000" w:fill="244062"/>
            <w:vAlign w:val="center"/>
            <w:hideMark/>
          </w:tcPr>
          <w:p w14:paraId="29E22BA5"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64B12D15" w14:textId="4C9435A3" w:rsidR="009433B3" w:rsidRPr="00A33AE8" w:rsidRDefault="00F772EC" w:rsidP="009433B3">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 xml:space="preserve">2012/27/EU, as amended by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2018/2002</w:t>
            </w:r>
            <w:r w:rsidR="009433B3" w:rsidRPr="00A33AE8">
              <w:rPr>
                <w:rFonts w:ascii="Calibri Light" w:eastAsia="Times New Roman" w:hAnsi="Calibri Light" w:cs="Calibri Light"/>
                <w:color w:val="000000"/>
                <w:sz w:val="20"/>
                <w:szCs w:val="20"/>
                <w:lang w:eastAsia="en-GB"/>
              </w:rPr>
              <w:t>:</w:t>
            </w:r>
          </w:p>
          <w:p w14:paraId="7C1B7E27"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C8427B" w:rsidRPr="00A33AE8" w14:paraId="728D6529" w14:textId="77777777" w:rsidTr="009433B3">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D7FAA2B"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5B02BCF" w14:textId="77777777" w:rsidR="00C8427B" w:rsidRPr="00A33AE8" w:rsidRDefault="00265FD3" w:rsidP="00265FD3">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8C6BDC" w:rsidRPr="00A33AE8">
              <w:rPr>
                <w:rFonts w:ascii="Calibri Light" w:eastAsia="Times New Roman" w:hAnsi="Calibri Light" w:cs="Calibri Light"/>
                <w:color w:val="000000"/>
                <w:sz w:val="20"/>
                <w:szCs w:val="20"/>
                <w:lang w:eastAsia="en-GB"/>
              </w:rPr>
              <w:t>fulfilling the expected final energy consumption levels</w:t>
            </w:r>
          </w:p>
        </w:tc>
      </w:tr>
      <w:tr w:rsidR="00C8427B" w:rsidRPr="00A33AE8" w14:paraId="30B43E38" w14:textId="77777777" w:rsidTr="00507954">
        <w:trPr>
          <w:gridAfter w:val="1"/>
          <w:wAfter w:w="222" w:type="dxa"/>
          <w:trHeight w:val="584"/>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356EC23E"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51E912C" w14:textId="57EF4485" w:rsidR="00C8427B" w:rsidRPr="00A33AE8" w:rsidRDefault="007724B6" w:rsidP="0008192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PM_EE</w:t>
            </w:r>
            <w:r w:rsidR="00F36749" w:rsidRPr="00A33AE8">
              <w:rPr>
                <w:rFonts w:ascii="Calibri Light" w:eastAsia="Times New Roman" w:hAnsi="Calibri Light" w:cs="Calibri Light"/>
                <w:color w:val="000000"/>
                <w:sz w:val="20"/>
                <w:szCs w:val="20"/>
                <w:lang w:eastAsia="en-GB"/>
              </w:rPr>
              <w:t>38</w:t>
            </w:r>
            <w:r w:rsidR="00F772EC" w:rsidRPr="00A33AE8">
              <w:rPr>
                <w:rFonts w:ascii="Calibri Light" w:eastAsia="Times New Roman" w:hAnsi="Calibri Light" w:cs="Calibri Light"/>
                <w:color w:val="000000"/>
                <w:sz w:val="20"/>
                <w:szCs w:val="20"/>
                <w:lang w:eastAsia="en-GB"/>
              </w:rPr>
              <w:t xml:space="preserve"> </w:t>
            </w:r>
            <w:r w:rsidR="00C8427B" w:rsidRPr="00A33AE8">
              <w:rPr>
                <w:rFonts w:ascii="Calibri Light" w:eastAsia="Times New Roman" w:hAnsi="Calibri Light" w:cs="Calibri Light"/>
                <w:color w:val="000000"/>
                <w:sz w:val="20"/>
                <w:szCs w:val="20"/>
                <w:lang w:eastAsia="en-GB"/>
              </w:rPr>
              <w:t>will address the main challenges, which are derived by the design and implementation of the envisaged financial measures such as the maximization of the expected leverage, the most cost-effective exploitation of the available fund, the adoption of innovative financing tools and the active mobilization of the domestic financial sector. All the available funds will be mobilized at national and EU levels including funds from other donors. The effective coordination of the available financial stream is essential for the effective implementation of the planned financial measures. The Directorate for financing and promoting energy efficiency will undertake the administration of the available funds (Budget Fund for Energy Efficiency)</w:t>
            </w:r>
            <w:r w:rsidR="00F941EA" w:rsidRPr="00A33AE8">
              <w:rPr>
                <w:rFonts w:ascii="Calibri Light" w:eastAsia="Times New Roman" w:hAnsi="Calibri Light" w:cs="Calibri Light"/>
                <w:color w:val="000000"/>
                <w:sz w:val="20"/>
                <w:szCs w:val="20"/>
                <w:lang w:eastAsia="en-GB"/>
              </w:rPr>
              <w:t xml:space="preserve"> and implement other activities necessary for the utilization of other sources</w:t>
            </w:r>
            <w:r w:rsidR="00C8427B" w:rsidRPr="00A33AE8">
              <w:rPr>
                <w:rFonts w:ascii="Calibri Light" w:eastAsia="Times New Roman" w:hAnsi="Calibri Light" w:cs="Calibri Light"/>
                <w:color w:val="000000"/>
                <w:sz w:val="20"/>
                <w:szCs w:val="20"/>
                <w:lang w:eastAsia="en-GB"/>
              </w:rPr>
              <w:t xml:space="preserve"> such as grants </w:t>
            </w:r>
            <w:r w:rsidR="00F941EA" w:rsidRPr="00A33AE8">
              <w:rPr>
                <w:rFonts w:ascii="Calibri Light" w:eastAsia="Times New Roman" w:hAnsi="Calibri Light" w:cs="Calibri Light"/>
                <w:color w:val="000000"/>
                <w:sz w:val="20"/>
                <w:szCs w:val="20"/>
                <w:lang w:eastAsia="en-GB"/>
              </w:rPr>
              <w:t xml:space="preserve">and/or loans </w:t>
            </w:r>
            <w:r w:rsidR="00C8427B" w:rsidRPr="00A33AE8">
              <w:rPr>
                <w:rFonts w:ascii="Calibri Light" w:eastAsia="Times New Roman" w:hAnsi="Calibri Light" w:cs="Calibri Light"/>
                <w:color w:val="000000"/>
                <w:sz w:val="20"/>
                <w:szCs w:val="20"/>
                <w:lang w:eastAsia="en-GB"/>
              </w:rPr>
              <w:t>by IFI, grants and/or loans by World Bank</w:t>
            </w:r>
            <w:r w:rsidR="00F941EA" w:rsidRPr="00A33AE8">
              <w:rPr>
                <w:rFonts w:ascii="Calibri Light" w:eastAsia="Times New Roman" w:hAnsi="Calibri Light" w:cs="Calibri Light"/>
                <w:color w:val="000000"/>
                <w:sz w:val="20"/>
                <w:szCs w:val="20"/>
                <w:lang w:eastAsia="en-GB"/>
              </w:rPr>
              <w:t>, EBRD,</w:t>
            </w:r>
            <w:r w:rsidR="00C8427B" w:rsidRPr="00A33AE8">
              <w:rPr>
                <w:rFonts w:ascii="Calibri Light" w:eastAsia="Times New Roman" w:hAnsi="Calibri Light" w:cs="Calibri Light"/>
                <w:color w:val="000000"/>
                <w:sz w:val="20"/>
                <w:szCs w:val="20"/>
                <w:lang w:eastAsia="en-GB"/>
              </w:rPr>
              <w:t xml:space="preserve"> EU</w:t>
            </w:r>
            <w:r w:rsidR="00F941EA" w:rsidRPr="00A33AE8">
              <w:rPr>
                <w:rFonts w:ascii="Calibri Light" w:eastAsia="Times New Roman" w:hAnsi="Calibri Light" w:cs="Calibri Light"/>
                <w:color w:val="000000"/>
                <w:sz w:val="20"/>
                <w:szCs w:val="20"/>
                <w:lang w:eastAsia="en-GB"/>
              </w:rPr>
              <w:t>, etc.</w:t>
            </w:r>
            <w:r w:rsidR="00C8427B" w:rsidRPr="00A33AE8">
              <w:rPr>
                <w:rFonts w:ascii="Calibri Light" w:eastAsia="Times New Roman" w:hAnsi="Calibri Light" w:cs="Calibri Light"/>
                <w:color w:val="000000"/>
                <w:sz w:val="20"/>
                <w:szCs w:val="20"/>
                <w:lang w:eastAsia="en-GB"/>
              </w:rPr>
              <w:t xml:space="preserve"> </w:t>
            </w:r>
            <w:r w:rsidR="00F941EA" w:rsidRPr="000007D2">
              <w:rPr>
                <w:rFonts w:ascii="Calibri Light" w:eastAsia="Times New Roman" w:hAnsi="Calibri Light" w:cs="Calibri Light"/>
                <w:color w:val="000000"/>
                <w:sz w:val="20"/>
                <w:szCs w:val="20"/>
                <w:lang w:eastAsia="en-GB"/>
              </w:rPr>
              <w:t>T</w:t>
            </w:r>
            <w:r w:rsidR="00287CE1" w:rsidRPr="000007D2">
              <w:rPr>
                <w:rFonts w:ascii="Calibri Light" w:eastAsia="Times New Roman" w:hAnsi="Calibri Light" w:cs="Calibri Light"/>
                <w:color w:val="000000"/>
                <w:sz w:val="20"/>
                <w:szCs w:val="20"/>
                <w:lang w:eastAsia="en-GB"/>
              </w:rPr>
              <w:t>he first t</w:t>
            </w:r>
            <w:r w:rsidR="00F941EA" w:rsidRPr="000007D2">
              <w:rPr>
                <w:rFonts w:ascii="Calibri Light" w:eastAsia="Times New Roman" w:hAnsi="Calibri Light" w:cs="Calibri Light"/>
                <w:color w:val="000000"/>
                <w:sz w:val="20"/>
                <w:szCs w:val="20"/>
                <w:lang w:eastAsia="en-GB"/>
              </w:rPr>
              <w:t xml:space="preserve">ask of the EE Directory is to provide </w:t>
            </w:r>
            <w:r w:rsidR="00287CE1" w:rsidRPr="000007D2">
              <w:rPr>
                <w:rFonts w:ascii="Calibri Light" w:eastAsia="Times New Roman" w:hAnsi="Calibri Light" w:cs="Calibri Light"/>
                <w:color w:val="000000"/>
                <w:sz w:val="20"/>
                <w:szCs w:val="20"/>
                <w:lang w:eastAsia="en-GB"/>
              </w:rPr>
              <w:t>a</w:t>
            </w:r>
            <w:r w:rsidR="00F941EA" w:rsidRPr="000007D2">
              <w:rPr>
                <w:rFonts w:ascii="Calibri Light" w:eastAsia="Times New Roman" w:hAnsi="Calibri Light" w:cs="Calibri Light"/>
                <w:color w:val="000000"/>
                <w:sz w:val="20"/>
                <w:szCs w:val="20"/>
                <w:lang w:eastAsia="en-GB"/>
              </w:rPr>
              <w:t xml:space="preserve"> wide availability of incentives for the </w:t>
            </w:r>
            <w:r w:rsidR="00E676F5" w:rsidRPr="000007D2">
              <w:rPr>
                <w:rFonts w:ascii="Calibri Light" w:eastAsia="Times New Roman" w:hAnsi="Calibri Light" w:cs="Calibri Light"/>
                <w:color w:val="000000"/>
                <w:sz w:val="20"/>
                <w:szCs w:val="20"/>
                <w:lang w:eastAsia="en-GB"/>
              </w:rPr>
              <w:t>realisation</w:t>
            </w:r>
            <w:r w:rsidR="00F941EA" w:rsidRPr="000007D2">
              <w:rPr>
                <w:rFonts w:ascii="Calibri Light" w:eastAsia="Times New Roman" w:hAnsi="Calibri Light" w:cs="Calibri Light"/>
                <w:color w:val="000000"/>
                <w:sz w:val="20"/>
                <w:szCs w:val="20"/>
                <w:lang w:eastAsia="en-GB"/>
              </w:rPr>
              <w:t xml:space="preserve"> of energy efficiency measures </w:t>
            </w:r>
            <w:r w:rsidR="00287CE1" w:rsidRPr="000007D2">
              <w:rPr>
                <w:rFonts w:ascii="Calibri Light" w:eastAsia="Times New Roman" w:hAnsi="Calibri Light" w:cs="Calibri Light"/>
                <w:color w:val="000000"/>
                <w:sz w:val="20"/>
                <w:szCs w:val="20"/>
                <w:lang w:eastAsia="en-GB"/>
              </w:rPr>
              <w:t xml:space="preserve">in all segments of energy consumption with focus on building sector, however in the following period it should also implement </w:t>
            </w:r>
            <w:r w:rsidR="00F941EA" w:rsidRPr="00A33AE8">
              <w:rPr>
                <w:rFonts w:ascii="Calibri Light" w:eastAsia="Times New Roman" w:hAnsi="Calibri Light" w:cs="Calibri Light"/>
                <w:color w:val="000000"/>
                <w:sz w:val="20"/>
                <w:szCs w:val="20"/>
                <w:lang w:eastAsia="en-GB"/>
              </w:rPr>
              <w:t>i</w:t>
            </w:r>
            <w:r w:rsidR="00C8427B" w:rsidRPr="00A33AE8">
              <w:rPr>
                <w:rFonts w:ascii="Calibri Light" w:eastAsia="Times New Roman" w:hAnsi="Calibri Light" w:cs="Calibri Light"/>
                <w:color w:val="000000"/>
                <w:sz w:val="20"/>
                <w:szCs w:val="20"/>
                <w:lang w:eastAsia="en-GB"/>
              </w:rPr>
              <w:t xml:space="preserve">nnovative pilot energy efficiency project will be financed for the promotion of promoting sustainable green solutions including the area of buildings. Moreover, the provision of technical assistance will be foreseen for facilitating the financing of the energy efficiency projects. </w:t>
            </w:r>
            <w:r w:rsidR="00287CE1" w:rsidRPr="000007D2">
              <w:rPr>
                <w:rFonts w:ascii="Calibri Light" w:eastAsia="Times New Roman" w:hAnsi="Calibri Light" w:cs="Calibri Light"/>
                <w:color w:val="000000"/>
                <w:sz w:val="20"/>
                <w:szCs w:val="20"/>
                <w:lang w:eastAsia="en-GB"/>
              </w:rPr>
              <w:t xml:space="preserve">Support for the capacity building of EE Directorate should include also the </w:t>
            </w:r>
            <w:r w:rsidR="00E676F5" w:rsidRPr="000007D2">
              <w:rPr>
                <w:rFonts w:ascii="Calibri Light" w:eastAsia="Times New Roman" w:hAnsi="Calibri Light" w:cs="Calibri Light"/>
                <w:color w:val="000000"/>
                <w:sz w:val="20"/>
                <w:szCs w:val="20"/>
                <w:lang w:eastAsia="en-GB"/>
              </w:rPr>
              <w:t>support</w:t>
            </w:r>
            <w:r w:rsidR="00287CE1" w:rsidRPr="000007D2">
              <w:rPr>
                <w:rFonts w:ascii="Calibri Light" w:eastAsia="Times New Roman" w:hAnsi="Calibri Light" w:cs="Calibri Light"/>
                <w:color w:val="000000"/>
                <w:sz w:val="20"/>
                <w:szCs w:val="20"/>
                <w:lang w:eastAsia="en-GB"/>
              </w:rPr>
              <w:t xml:space="preserve"> for the accreditation of EE Directorate for the utilization of EU and other funds and consideration of possibilities for upgrade of the legal status of Directory into the independent </w:t>
            </w:r>
            <w:r w:rsidR="00A4135B" w:rsidRPr="000007D2">
              <w:rPr>
                <w:rFonts w:ascii="Calibri Light" w:eastAsia="Times New Roman" w:hAnsi="Calibri Light" w:cs="Calibri Light"/>
                <w:color w:val="000000"/>
                <w:sz w:val="20"/>
                <w:szCs w:val="20"/>
                <w:lang w:eastAsia="en-GB"/>
              </w:rPr>
              <w:t>N</w:t>
            </w:r>
            <w:r w:rsidR="00287CE1" w:rsidRPr="000007D2">
              <w:rPr>
                <w:rFonts w:ascii="Calibri Light" w:eastAsia="Times New Roman" w:hAnsi="Calibri Light" w:cs="Calibri Light"/>
                <w:color w:val="000000"/>
                <w:sz w:val="20"/>
                <w:szCs w:val="20"/>
                <w:lang w:eastAsia="en-GB"/>
              </w:rPr>
              <w:t xml:space="preserve">ational </w:t>
            </w:r>
            <w:r w:rsidR="00A4135B" w:rsidRPr="000007D2">
              <w:rPr>
                <w:rFonts w:ascii="Calibri Light" w:eastAsia="Times New Roman" w:hAnsi="Calibri Light" w:cs="Calibri Light"/>
                <w:color w:val="000000"/>
                <w:sz w:val="20"/>
                <w:szCs w:val="20"/>
                <w:lang w:eastAsia="en-GB"/>
              </w:rPr>
              <w:t>E</w:t>
            </w:r>
            <w:r w:rsidR="00287CE1" w:rsidRPr="000007D2">
              <w:rPr>
                <w:rFonts w:ascii="Calibri Light" w:eastAsia="Times New Roman" w:hAnsi="Calibri Light" w:cs="Calibri Light"/>
                <w:color w:val="000000"/>
                <w:sz w:val="20"/>
                <w:szCs w:val="20"/>
                <w:lang w:eastAsia="en-GB"/>
              </w:rPr>
              <w:t xml:space="preserve">nergy </w:t>
            </w:r>
            <w:r w:rsidR="00A4135B" w:rsidRPr="000007D2">
              <w:rPr>
                <w:rFonts w:ascii="Calibri Light" w:eastAsia="Times New Roman" w:hAnsi="Calibri Light" w:cs="Calibri Light"/>
                <w:color w:val="000000"/>
                <w:sz w:val="20"/>
                <w:szCs w:val="20"/>
                <w:lang w:eastAsia="en-GB"/>
              </w:rPr>
              <w:t>E</w:t>
            </w:r>
            <w:r w:rsidR="00287CE1" w:rsidRPr="000007D2">
              <w:rPr>
                <w:rFonts w:ascii="Calibri Light" w:eastAsia="Times New Roman" w:hAnsi="Calibri Light" w:cs="Calibri Light"/>
                <w:color w:val="000000"/>
                <w:sz w:val="20"/>
                <w:szCs w:val="20"/>
                <w:lang w:eastAsia="en-GB"/>
              </w:rPr>
              <w:t xml:space="preserve">fficiency </w:t>
            </w:r>
            <w:r w:rsidR="00A4135B" w:rsidRPr="000007D2">
              <w:rPr>
                <w:rFonts w:ascii="Calibri Light" w:eastAsia="Times New Roman" w:hAnsi="Calibri Light" w:cs="Calibri Light"/>
                <w:color w:val="000000"/>
                <w:sz w:val="20"/>
                <w:szCs w:val="20"/>
                <w:lang w:eastAsia="en-GB"/>
              </w:rPr>
              <w:t>F</w:t>
            </w:r>
            <w:r w:rsidR="00287CE1" w:rsidRPr="000007D2">
              <w:rPr>
                <w:rFonts w:ascii="Calibri Light" w:eastAsia="Times New Roman" w:hAnsi="Calibri Light" w:cs="Calibri Light"/>
                <w:color w:val="000000"/>
                <w:sz w:val="20"/>
                <w:szCs w:val="20"/>
                <w:lang w:eastAsia="en-GB"/>
              </w:rPr>
              <w:t xml:space="preserve">und which would facilitate the implementation of various financing mechanisms and accumulation of all available </w:t>
            </w:r>
            <w:r w:rsidR="00287CE1" w:rsidRPr="00A33AE8">
              <w:rPr>
                <w:rFonts w:ascii="Calibri Light" w:eastAsia="Times New Roman" w:hAnsi="Calibri Light" w:cs="Calibri Light"/>
                <w:color w:val="000000"/>
                <w:sz w:val="20"/>
                <w:szCs w:val="20"/>
                <w:lang w:eastAsia="en-GB"/>
              </w:rPr>
              <w:t xml:space="preserve">public financing streams into one achieving a considerably better level of coordination and effectiveness. </w:t>
            </w:r>
            <w:r w:rsidR="00081924" w:rsidRPr="00A33AE8">
              <w:rPr>
                <w:rFonts w:ascii="Calibri Light" w:eastAsia="Times New Roman" w:hAnsi="Calibri Light" w:cs="Calibri Light"/>
                <w:color w:val="000000"/>
                <w:sz w:val="20"/>
                <w:szCs w:val="20"/>
                <w:lang w:eastAsia="en-GB"/>
              </w:rPr>
              <w:t xml:space="preserve">With the aim of </w:t>
            </w:r>
            <w:r w:rsidR="00C8427B" w:rsidRPr="00A33AE8">
              <w:rPr>
                <w:rFonts w:ascii="Calibri Light" w:eastAsia="Times New Roman" w:hAnsi="Calibri Light" w:cs="Calibri Light"/>
                <w:color w:val="000000"/>
                <w:sz w:val="20"/>
                <w:szCs w:val="20"/>
                <w:lang w:eastAsia="en-GB"/>
              </w:rPr>
              <w:t>improv</w:t>
            </w:r>
            <w:r w:rsidR="00081924" w:rsidRPr="00A33AE8">
              <w:rPr>
                <w:rFonts w:ascii="Calibri Light" w:eastAsia="Times New Roman" w:hAnsi="Calibri Light" w:cs="Calibri Light"/>
                <w:color w:val="000000"/>
                <w:sz w:val="20"/>
                <w:szCs w:val="20"/>
                <w:lang w:eastAsia="en-GB"/>
              </w:rPr>
              <w:t>ing</w:t>
            </w:r>
            <w:r w:rsidR="00C8427B" w:rsidRPr="00A33AE8">
              <w:rPr>
                <w:rFonts w:ascii="Calibri Light" w:eastAsia="Times New Roman" w:hAnsi="Calibri Light" w:cs="Calibri Light"/>
                <w:color w:val="000000"/>
                <w:sz w:val="20"/>
                <w:szCs w:val="20"/>
                <w:lang w:eastAsia="en-GB"/>
              </w:rPr>
              <w:t xml:space="preserve"> cost-effectiveness of the implemented energy efficiency projects, </w:t>
            </w:r>
            <w:r w:rsidR="00413C41" w:rsidRPr="00A33AE8">
              <w:rPr>
                <w:rFonts w:ascii="Calibri Light" w:eastAsia="Times New Roman" w:hAnsi="Calibri Light" w:cs="Calibri Light"/>
                <w:color w:val="000000"/>
                <w:sz w:val="20"/>
                <w:szCs w:val="20"/>
                <w:lang w:eastAsia="en-GB"/>
              </w:rPr>
              <w:t>other mechanisms which can contribute to the financing</w:t>
            </w:r>
            <w:r w:rsidR="00C8427B" w:rsidRPr="00A33AE8">
              <w:rPr>
                <w:rFonts w:ascii="Calibri Light" w:eastAsia="Times New Roman" w:hAnsi="Calibri Light" w:cs="Calibri Light"/>
                <w:color w:val="000000"/>
                <w:sz w:val="20"/>
                <w:szCs w:val="20"/>
                <w:lang w:eastAsia="en-GB"/>
              </w:rPr>
              <w:t xml:space="preserve"> of energy efficiency will be </w:t>
            </w:r>
            <w:r w:rsidR="00413C41" w:rsidRPr="00A33AE8">
              <w:rPr>
                <w:rFonts w:ascii="Calibri Light" w:eastAsia="Times New Roman" w:hAnsi="Calibri Light" w:cs="Calibri Light"/>
                <w:color w:val="000000"/>
                <w:sz w:val="20"/>
                <w:szCs w:val="20"/>
                <w:lang w:eastAsia="en-GB"/>
              </w:rPr>
              <w:t>considered</w:t>
            </w:r>
            <w:r w:rsidR="00413C41" w:rsidRPr="000007D2">
              <w:rPr>
                <w:rFonts w:ascii="Calibri Light" w:eastAsia="Times New Roman" w:hAnsi="Calibri Light" w:cs="Calibri Light"/>
                <w:color w:val="000000"/>
                <w:sz w:val="20"/>
                <w:szCs w:val="20"/>
                <w:lang w:eastAsia="en-GB"/>
              </w:rPr>
              <w:t>, as well as</w:t>
            </w:r>
            <w:r w:rsidR="00081924" w:rsidRPr="000007D2">
              <w:rPr>
                <w:rFonts w:ascii="Calibri Light" w:hAnsi="Calibri Light"/>
                <w:color w:val="000000"/>
                <w:sz w:val="20"/>
              </w:rPr>
              <w:t xml:space="preserve"> </w:t>
            </w:r>
            <w:r w:rsidR="00081924" w:rsidRPr="00A33AE8">
              <w:rPr>
                <w:rFonts w:ascii="Calibri Light" w:eastAsia="Times New Roman" w:hAnsi="Calibri Light" w:cs="Calibri Light"/>
                <w:color w:val="000000"/>
                <w:sz w:val="20"/>
                <w:szCs w:val="20"/>
                <w:lang w:eastAsia="en-GB"/>
              </w:rPr>
              <w:t>how to avoid</w:t>
            </w:r>
            <w:r w:rsidR="00C8427B" w:rsidRPr="00A33AE8">
              <w:rPr>
                <w:rFonts w:ascii="Calibri Light" w:eastAsia="Times New Roman" w:hAnsi="Calibri Light" w:cs="Calibri Light"/>
                <w:color w:val="000000"/>
                <w:sz w:val="20"/>
                <w:szCs w:val="20"/>
                <w:lang w:eastAsia="en-GB"/>
              </w:rPr>
              <w:t xml:space="preserve"> the potential overlaps of </w:t>
            </w:r>
            <w:r w:rsidR="00413C41" w:rsidRPr="00A33AE8">
              <w:rPr>
                <w:rFonts w:ascii="Calibri Light" w:eastAsia="Times New Roman" w:hAnsi="Calibri Light" w:cs="Calibri Light"/>
                <w:color w:val="000000"/>
                <w:sz w:val="20"/>
                <w:szCs w:val="20"/>
                <w:lang w:eastAsia="en-GB"/>
              </w:rPr>
              <w:t xml:space="preserve">various </w:t>
            </w:r>
            <w:r w:rsidR="00C8427B" w:rsidRPr="00A33AE8">
              <w:rPr>
                <w:rFonts w:ascii="Calibri Light" w:eastAsia="Times New Roman" w:hAnsi="Calibri Light" w:cs="Calibri Light"/>
                <w:color w:val="000000"/>
                <w:sz w:val="20"/>
                <w:szCs w:val="20"/>
                <w:lang w:eastAsia="en-GB"/>
              </w:rPr>
              <w:t>energy efficiency subsidies schemes</w:t>
            </w:r>
            <w:r w:rsidR="00413C41" w:rsidRPr="00A33AE8">
              <w:rPr>
                <w:rFonts w:ascii="Calibri Light" w:eastAsia="Times New Roman" w:hAnsi="Calibri Light" w:cs="Calibri Light"/>
                <w:color w:val="000000"/>
                <w:sz w:val="20"/>
                <w:szCs w:val="20"/>
                <w:lang w:eastAsia="en-GB"/>
              </w:rPr>
              <w:t>.</w:t>
            </w:r>
            <w:r w:rsidR="00F772EC" w:rsidRPr="00A33AE8">
              <w:rPr>
                <w:rFonts w:ascii="Calibri Light" w:eastAsia="Times New Roman" w:hAnsi="Calibri Light" w:cs="Calibri Light"/>
                <w:color w:val="000000"/>
                <w:sz w:val="20"/>
                <w:szCs w:val="20"/>
                <w:lang w:eastAsia="en-GB"/>
              </w:rPr>
              <w:t xml:space="preserve"> </w:t>
            </w:r>
            <w:r w:rsidR="005510D1">
              <w:rPr>
                <w:rFonts w:ascii="Calibri Light" w:eastAsia="Times New Roman" w:hAnsi="Calibri Light" w:cs="Calibri Light"/>
                <w:color w:val="000000"/>
                <w:sz w:val="20"/>
                <w:szCs w:val="20"/>
                <w:lang w:eastAsia="en-GB"/>
              </w:rPr>
              <w:t>T</w:t>
            </w:r>
            <w:r w:rsidR="00C8427B" w:rsidRPr="00A33AE8">
              <w:rPr>
                <w:rFonts w:ascii="Calibri Light" w:eastAsia="Times New Roman" w:hAnsi="Calibri Light" w:cs="Calibri Light"/>
                <w:color w:val="000000"/>
                <w:sz w:val="20"/>
                <w:szCs w:val="20"/>
                <w:lang w:eastAsia="en-GB"/>
              </w:rPr>
              <w:t xml:space="preserve">he provided subsidies must be </w:t>
            </w:r>
            <w:r w:rsidR="00081924" w:rsidRPr="00A33AE8">
              <w:rPr>
                <w:rFonts w:ascii="Calibri Light" w:eastAsia="Times New Roman" w:hAnsi="Calibri Light" w:cs="Calibri Light"/>
                <w:color w:val="000000"/>
                <w:sz w:val="20"/>
                <w:szCs w:val="20"/>
                <w:lang w:eastAsia="en-GB"/>
              </w:rPr>
              <w:t>aligned with the regulation on</w:t>
            </w:r>
            <w:r w:rsidR="00C8427B" w:rsidRPr="00A33AE8">
              <w:rPr>
                <w:rFonts w:ascii="Calibri Light" w:eastAsia="Times New Roman" w:hAnsi="Calibri Light" w:cs="Calibri Light"/>
                <w:color w:val="000000"/>
                <w:sz w:val="20"/>
                <w:szCs w:val="20"/>
                <w:lang w:eastAsia="en-GB"/>
              </w:rPr>
              <w:t xml:space="preserve"> state aid.</w:t>
            </w:r>
          </w:p>
        </w:tc>
      </w:tr>
      <w:tr w:rsidR="00C8427B" w:rsidRPr="00A33AE8" w14:paraId="1023C677" w14:textId="77777777" w:rsidTr="009433B3">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DC3C04A"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9B49779" w14:textId="77777777" w:rsidR="00C8427B" w:rsidRPr="00A33AE8" w:rsidRDefault="00F772EC" w:rsidP="00C8427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C8427B" w:rsidRPr="00A33AE8">
              <w:rPr>
                <w:rFonts w:ascii="Calibri Light" w:eastAsia="Times New Roman" w:hAnsi="Calibri Light" w:cs="Calibri Light"/>
                <w:color w:val="000000"/>
                <w:sz w:val="20"/>
                <w:szCs w:val="20"/>
                <w:lang w:eastAsia="en-GB"/>
              </w:rPr>
              <w:t>-2030</w:t>
            </w:r>
          </w:p>
        </w:tc>
      </w:tr>
      <w:tr w:rsidR="00C8427B" w:rsidRPr="00A33AE8" w14:paraId="71D78161" w14:textId="77777777" w:rsidTr="009433B3">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7817DF9"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DCAA2E1" w14:textId="77777777" w:rsidR="00C8427B" w:rsidRPr="00A33AE8" w:rsidRDefault="00285B15" w:rsidP="00C8427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362C0071" w14:textId="77777777" w:rsidTr="009433B3">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738B58CD"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43DAA656"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C8427B" w:rsidRPr="00A33AE8" w14:paraId="4AA75772" w14:textId="77777777" w:rsidTr="009433B3">
        <w:trPr>
          <w:gridAfter w:val="1"/>
          <w:wAfter w:w="222" w:type="dxa"/>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5119C8AA"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653404E3" w14:textId="77777777" w:rsidR="00C100B8" w:rsidRPr="00A33AE8" w:rsidRDefault="00C100B8"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17AC5E38" w14:textId="77777777" w:rsidR="00C8427B" w:rsidRPr="00A33AE8" w:rsidRDefault="00C963EB"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C8427B" w:rsidRPr="00A33AE8" w14:paraId="27C6A60D" w14:textId="77777777" w:rsidTr="009433B3">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10D286BC"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7787975C" w14:textId="77777777" w:rsidR="00C8427B" w:rsidRPr="00A33AE8" w:rsidRDefault="00FB7A14"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FB7A14">
              <w:rPr>
                <w:rFonts w:ascii="Calibri Light" w:eastAsia="Times New Roman" w:hAnsi="Calibri Light" w:cs="Calibri Light"/>
                <w:color w:val="000000"/>
                <w:sz w:val="20"/>
                <w:szCs w:val="20"/>
                <w:lang w:eastAsia="en-GB"/>
              </w:rPr>
              <w:t>Government of the Republic of Serbia</w:t>
            </w:r>
          </w:p>
        </w:tc>
      </w:tr>
      <w:tr w:rsidR="00C8427B" w:rsidRPr="00A33AE8" w14:paraId="18C23A5D" w14:textId="77777777" w:rsidTr="009433B3">
        <w:trPr>
          <w:gridAfter w:val="1"/>
          <w:wAfter w:w="222" w:type="dxa"/>
          <w:trHeight w:val="315"/>
        </w:trPr>
        <w:tc>
          <w:tcPr>
            <w:tcW w:w="3315" w:type="dxa"/>
            <w:tcBorders>
              <w:top w:val="nil"/>
              <w:left w:val="single" w:sz="8" w:space="0" w:color="auto"/>
              <w:bottom w:val="single" w:sz="8" w:space="0" w:color="auto"/>
              <w:right w:val="nil"/>
            </w:tcBorders>
            <w:shd w:val="clear" w:color="000000" w:fill="244062"/>
            <w:vAlign w:val="center"/>
            <w:hideMark/>
          </w:tcPr>
          <w:p w14:paraId="0ADCFD7E"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5AF58A29" w14:textId="77777777" w:rsidR="00C8427B" w:rsidRPr="00A33AE8" w:rsidRDefault="00491CF7" w:rsidP="00884F3B">
            <w:pPr>
              <w:pStyle w:val="ListParagraph"/>
              <w:numPr>
                <w:ilvl w:val="0"/>
                <w:numId w:val="12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Financed energy efficiency projects</w:t>
            </w:r>
          </w:p>
        </w:tc>
      </w:tr>
      <w:tr w:rsidR="006C6A30" w:rsidRPr="00A33AE8" w14:paraId="625F4440" w14:textId="77777777" w:rsidTr="009433B3">
        <w:trPr>
          <w:gridAfter w:val="1"/>
          <w:wAfter w:w="222" w:type="dxa"/>
          <w:trHeight w:val="659"/>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E45B1BD"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02C08318" w14:textId="77777777" w:rsidR="00FB7A14" w:rsidRPr="00FB7A14" w:rsidRDefault="00FB7A14"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FB7A14">
              <w:rPr>
                <w:rFonts w:ascii="Calibri Light" w:eastAsia="Times New Roman" w:hAnsi="Calibri Light" w:cs="Calibri Light"/>
                <w:color w:val="000000"/>
                <w:sz w:val="20"/>
                <w:szCs w:val="20"/>
                <w:lang w:eastAsia="en-GB"/>
              </w:rPr>
              <w:t>Decarbonisation (the delivered energy savings will decrease the consumed quantities of fossil fuels leading to the respective GHG emission reduction &amp; the utilised RES technologies will increase the RES share totally)</w:t>
            </w:r>
          </w:p>
          <w:p w14:paraId="2E71E4B2" w14:textId="77777777" w:rsidR="006C6A30" w:rsidRPr="00A33AE8" w:rsidRDefault="00FB7A14"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FB7A14">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9433B3" w:rsidRPr="00A33AE8" w14:paraId="3A244A8B" w14:textId="77777777" w:rsidTr="009433B3">
        <w:trPr>
          <w:gridAfter w:val="1"/>
          <w:wAfter w:w="222" w:type="dxa"/>
          <w:trHeight w:val="450"/>
        </w:trPr>
        <w:tc>
          <w:tcPr>
            <w:tcW w:w="3315"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7BCA35F2"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43"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78477EF"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F772E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4FF9B868"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F772E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9433B3" w:rsidRPr="00A33AE8" w14:paraId="5EA48FE5" w14:textId="77777777" w:rsidTr="009433B3">
        <w:trPr>
          <w:trHeight w:val="300"/>
        </w:trPr>
        <w:tc>
          <w:tcPr>
            <w:tcW w:w="3315" w:type="dxa"/>
            <w:vMerge/>
            <w:tcBorders>
              <w:top w:val="nil"/>
              <w:left w:val="single" w:sz="8" w:space="0" w:color="auto"/>
              <w:bottom w:val="single" w:sz="8" w:space="0" w:color="000000"/>
              <w:right w:val="single" w:sz="8" w:space="0" w:color="auto"/>
            </w:tcBorders>
            <w:vAlign w:val="center"/>
            <w:hideMark/>
          </w:tcPr>
          <w:p w14:paraId="1D4C8B64"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1C8C4D74"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4D84119D" w14:textId="77777777" w:rsidR="009433B3" w:rsidRPr="00A33AE8" w:rsidRDefault="009433B3" w:rsidP="009433B3">
            <w:pPr>
              <w:spacing w:after="0" w:line="240" w:lineRule="auto"/>
              <w:rPr>
                <w:rFonts w:ascii="Calibri Light" w:eastAsia="Times New Roman" w:hAnsi="Calibri Light" w:cs="Calibri Light"/>
                <w:color w:val="000000"/>
                <w:sz w:val="20"/>
                <w:szCs w:val="20"/>
                <w:lang w:eastAsia="en-GB"/>
              </w:rPr>
            </w:pPr>
          </w:p>
        </w:tc>
      </w:tr>
      <w:tr w:rsidR="009433B3" w:rsidRPr="00A33AE8" w14:paraId="78B7F99C" w14:textId="77777777" w:rsidTr="009433B3">
        <w:trPr>
          <w:trHeight w:val="60"/>
        </w:trPr>
        <w:tc>
          <w:tcPr>
            <w:tcW w:w="3315" w:type="dxa"/>
            <w:vMerge/>
            <w:tcBorders>
              <w:top w:val="nil"/>
              <w:left w:val="single" w:sz="8" w:space="0" w:color="auto"/>
              <w:bottom w:val="single" w:sz="8" w:space="0" w:color="000000"/>
              <w:right w:val="single" w:sz="8" w:space="0" w:color="auto"/>
            </w:tcBorders>
            <w:vAlign w:val="center"/>
            <w:hideMark/>
          </w:tcPr>
          <w:p w14:paraId="6A31388E"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p>
        </w:tc>
        <w:tc>
          <w:tcPr>
            <w:tcW w:w="6143" w:type="dxa"/>
            <w:gridSpan w:val="3"/>
            <w:vMerge/>
            <w:tcBorders>
              <w:top w:val="single" w:sz="8" w:space="0" w:color="auto"/>
              <w:left w:val="single" w:sz="8" w:space="0" w:color="auto"/>
              <w:bottom w:val="single" w:sz="8" w:space="0" w:color="000000"/>
              <w:right w:val="single" w:sz="8" w:space="0" w:color="000000"/>
            </w:tcBorders>
            <w:vAlign w:val="center"/>
            <w:hideMark/>
          </w:tcPr>
          <w:p w14:paraId="7D537CCB"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06E77674" w14:textId="77777777" w:rsidR="009433B3" w:rsidRPr="00A33AE8" w:rsidRDefault="009433B3" w:rsidP="009433B3">
            <w:pPr>
              <w:spacing w:after="0" w:line="240" w:lineRule="auto"/>
              <w:rPr>
                <w:rFonts w:ascii="Times New Roman" w:eastAsia="Times New Roman" w:hAnsi="Times New Roman" w:cs="Times New Roman"/>
                <w:sz w:val="20"/>
                <w:szCs w:val="20"/>
                <w:lang w:eastAsia="en-GB"/>
              </w:rPr>
            </w:pPr>
          </w:p>
        </w:tc>
      </w:tr>
      <w:tr w:rsidR="009433B3" w:rsidRPr="00A33AE8" w14:paraId="10820F34" w14:textId="77777777" w:rsidTr="009433B3">
        <w:trPr>
          <w:trHeight w:val="780"/>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44EFBBB9"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C019155"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 Efficiency and Rational Use of Energy</w:t>
            </w:r>
          </w:p>
          <w:p w14:paraId="23313DA7" w14:textId="77777777" w:rsidR="008C6BDC" w:rsidRPr="00A33AE8" w:rsidRDefault="008C6BDC"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Planning and Construction</w:t>
            </w:r>
          </w:p>
        </w:tc>
        <w:tc>
          <w:tcPr>
            <w:tcW w:w="222" w:type="dxa"/>
            <w:vAlign w:val="center"/>
            <w:hideMark/>
          </w:tcPr>
          <w:p w14:paraId="3316E5FE" w14:textId="77777777" w:rsidR="009433B3" w:rsidRPr="00A33AE8" w:rsidRDefault="009433B3" w:rsidP="009433B3">
            <w:pPr>
              <w:spacing w:after="0" w:line="240" w:lineRule="auto"/>
              <w:rPr>
                <w:rFonts w:ascii="Times New Roman" w:eastAsia="Times New Roman" w:hAnsi="Times New Roman" w:cs="Times New Roman"/>
                <w:sz w:val="20"/>
                <w:szCs w:val="20"/>
                <w:lang w:eastAsia="en-GB"/>
              </w:rPr>
            </w:pPr>
          </w:p>
        </w:tc>
      </w:tr>
      <w:tr w:rsidR="00867645" w:rsidRPr="00A33AE8" w14:paraId="7FAF58B3" w14:textId="77777777" w:rsidTr="009433B3">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688DEDC5"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27E77B08"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76679AEC"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9B2181" w:rsidRPr="00A33AE8" w14:paraId="5366F9B3" w14:textId="77777777" w:rsidTr="009433B3">
        <w:trPr>
          <w:trHeight w:val="315"/>
        </w:trPr>
        <w:tc>
          <w:tcPr>
            <w:tcW w:w="3315" w:type="dxa"/>
            <w:tcBorders>
              <w:top w:val="nil"/>
              <w:left w:val="single" w:sz="8" w:space="0" w:color="auto"/>
              <w:bottom w:val="single" w:sz="8" w:space="0" w:color="auto"/>
              <w:right w:val="single" w:sz="8" w:space="0" w:color="auto"/>
            </w:tcBorders>
            <w:shd w:val="clear" w:color="000000" w:fill="244062"/>
            <w:vAlign w:val="center"/>
            <w:hideMark/>
          </w:tcPr>
          <w:p w14:paraId="04EACCBB"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Financing source(s)</w:t>
            </w:r>
          </w:p>
        </w:tc>
        <w:tc>
          <w:tcPr>
            <w:tcW w:w="6143" w:type="dxa"/>
            <w:gridSpan w:val="3"/>
            <w:tcBorders>
              <w:top w:val="single" w:sz="8" w:space="0" w:color="auto"/>
              <w:left w:val="nil"/>
              <w:bottom w:val="single" w:sz="8" w:space="0" w:color="auto"/>
              <w:right w:val="single" w:sz="8" w:space="0" w:color="000000"/>
            </w:tcBorders>
            <w:shd w:val="clear" w:color="auto" w:fill="auto"/>
            <w:vAlign w:val="center"/>
            <w:hideMark/>
          </w:tcPr>
          <w:p w14:paraId="3EBCE598" w14:textId="77777777" w:rsidR="009B2181" w:rsidRPr="00A33AE8" w:rsidRDefault="009B2181" w:rsidP="009B2181">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 xml:space="preserve">EU and other funds (e.g., World bank, EBRD, IFIs etc.), public funds and </w:t>
            </w:r>
            <w:r w:rsidR="007B193F" w:rsidRPr="00A33AE8">
              <w:rPr>
                <w:rFonts w:asciiTheme="majorHAnsi" w:eastAsia="Times New Roman" w:hAnsiTheme="majorHAnsi" w:cstheme="majorHAnsi"/>
                <w:color w:val="000000"/>
                <w:sz w:val="20"/>
                <w:szCs w:val="20"/>
                <w:lang w:eastAsia="en-GB"/>
              </w:rPr>
              <w:t xml:space="preserve">own </w:t>
            </w:r>
            <w:r w:rsidRPr="00A33AE8">
              <w:rPr>
                <w:rFonts w:asciiTheme="majorHAnsi" w:eastAsia="Times New Roman" w:hAnsiTheme="majorHAnsi" w:cstheme="majorHAnsi"/>
                <w:color w:val="000000"/>
                <w:sz w:val="20"/>
                <w:szCs w:val="20"/>
                <w:lang w:eastAsia="en-GB"/>
              </w:rPr>
              <w:t>funds</w:t>
            </w:r>
          </w:p>
        </w:tc>
        <w:tc>
          <w:tcPr>
            <w:tcW w:w="222" w:type="dxa"/>
            <w:vAlign w:val="center"/>
            <w:hideMark/>
          </w:tcPr>
          <w:p w14:paraId="6FC0D2E1" w14:textId="77777777" w:rsidR="009B2181" w:rsidRPr="00A33AE8" w:rsidRDefault="009B2181" w:rsidP="009B2181">
            <w:pPr>
              <w:spacing w:after="0" w:line="240" w:lineRule="auto"/>
              <w:rPr>
                <w:rFonts w:ascii="Times New Roman" w:eastAsia="Times New Roman" w:hAnsi="Times New Roman" w:cs="Times New Roman"/>
                <w:sz w:val="20"/>
                <w:szCs w:val="20"/>
                <w:lang w:eastAsia="en-GB"/>
              </w:rPr>
            </w:pPr>
          </w:p>
        </w:tc>
      </w:tr>
    </w:tbl>
    <w:p w14:paraId="30861A86" w14:textId="77777777" w:rsidR="00F350BD" w:rsidRPr="00A33AE8" w:rsidRDefault="00F350BD" w:rsidP="001D1BB0">
      <w:pPr>
        <w:pStyle w:val="LDKbody"/>
        <w:rPr>
          <w:lang w:val="en-GB"/>
        </w:rPr>
      </w:pPr>
    </w:p>
    <w:tbl>
      <w:tblPr>
        <w:tblW w:w="9680" w:type="dxa"/>
        <w:tblLook w:val="04A0" w:firstRow="1" w:lastRow="0" w:firstColumn="1" w:lastColumn="0" w:noHBand="0" w:noVBand="1"/>
      </w:tblPr>
      <w:tblGrid>
        <w:gridCol w:w="3251"/>
        <w:gridCol w:w="1188"/>
        <w:gridCol w:w="930"/>
        <w:gridCol w:w="4089"/>
        <w:gridCol w:w="222"/>
      </w:tblGrid>
      <w:tr w:rsidR="00C8427B" w:rsidRPr="00A33AE8" w14:paraId="7626BAB2" w14:textId="77777777" w:rsidTr="00491CF7">
        <w:trPr>
          <w:gridAfter w:val="1"/>
          <w:wAfter w:w="222" w:type="dxa"/>
          <w:trHeight w:val="780"/>
        </w:trPr>
        <w:tc>
          <w:tcPr>
            <w:tcW w:w="3251" w:type="dxa"/>
            <w:tcBorders>
              <w:top w:val="single" w:sz="8" w:space="0" w:color="auto"/>
              <w:left w:val="single" w:sz="8" w:space="0" w:color="auto"/>
              <w:bottom w:val="single" w:sz="8" w:space="0" w:color="auto"/>
              <w:right w:val="single" w:sz="8" w:space="0" w:color="auto"/>
            </w:tcBorders>
            <w:shd w:val="clear" w:color="000000" w:fill="244062"/>
            <w:vAlign w:val="center"/>
            <w:hideMark/>
          </w:tcPr>
          <w:p w14:paraId="23B45FFF" w14:textId="77777777" w:rsidR="00C8427B" w:rsidRPr="00A33AE8" w:rsidRDefault="00C8427B" w:rsidP="00C842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88" w:type="dxa"/>
            <w:tcBorders>
              <w:top w:val="single" w:sz="8" w:space="0" w:color="auto"/>
              <w:left w:val="nil"/>
              <w:bottom w:val="single" w:sz="8" w:space="0" w:color="auto"/>
              <w:right w:val="single" w:sz="8" w:space="0" w:color="auto"/>
            </w:tcBorders>
            <w:shd w:val="clear" w:color="auto" w:fill="E7E6E6" w:themeFill="background2"/>
            <w:vAlign w:val="center"/>
            <w:hideMark/>
          </w:tcPr>
          <w:p w14:paraId="59D380E4" w14:textId="77777777" w:rsidR="00C8427B" w:rsidRPr="00A33AE8" w:rsidRDefault="002B5578" w:rsidP="00C842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PM_EE</w:t>
            </w:r>
            <w:r w:rsidR="00F36749" w:rsidRPr="00A33AE8">
              <w:rPr>
                <w:rFonts w:ascii="Calibri Light" w:eastAsia="Times New Roman" w:hAnsi="Calibri Light" w:cs="Calibri Light"/>
                <w:b/>
                <w:bCs/>
                <w:color w:val="000000"/>
                <w:sz w:val="20"/>
                <w:szCs w:val="20"/>
                <w:lang w:eastAsia="en-GB"/>
              </w:rPr>
              <w:t>39</w:t>
            </w:r>
          </w:p>
        </w:tc>
        <w:tc>
          <w:tcPr>
            <w:tcW w:w="930" w:type="dxa"/>
            <w:tcBorders>
              <w:top w:val="single" w:sz="8" w:space="0" w:color="auto"/>
              <w:left w:val="nil"/>
              <w:bottom w:val="single" w:sz="8" w:space="0" w:color="auto"/>
              <w:right w:val="single" w:sz="8" w:space="0" w:color="auto"/>
            </w:tcBorders>
            <w:shd w:val="clear" w:color="000000" w:fill="244062"/>
            <w:vAlign w:val="center"/>
            <w:hideMark/>
          </w:tcPr>
          <w:p w14:paraId="2204A111"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89" w:type="dxa"/>
            <w:tcBorders>
              <w:top w:val="single" w:sz="8" w:space="0" w:color="auto"/>
              <w:left w:val="nil"/>
              <w:bottom w:val="single" w:sz="8" w:space="0" w:color="auto"/>
              <w:right w:val="single" w:sz="8" w:space="0" w:color="auto"/>
            </w:tcBorders>
            <w:shd w:val="clear" w:color="auto" w:fill="E7E6E6" w:themeFill="background2"/>
            <w:vAlign w:val="center"/>
            <w:hideMark/>
          </w:tcPr>
          <w:p w14:paraId="26A3D4C8" w14:textId="77777777" w:rsidR="00C8427B" w:rsidRPr="00A33AE8" w:rsidRDefault="00C8427B" w:rsidP="00D75F98">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Improve the bankability of energy efficiency projects</w:t>
            </w:r>
          </w:p>
        </w:tc>
      </w:tr>
      <w:tr w:rsidR="009433B3" w:rsidRPr="00A33AE8" w14:paraId="00E4D187" w14:textId="77777777" w:rsidTr="00491CF7">
        <w:trPr>
          <w:gridAfter w:val="1"/>
          <w:wAfter w:w="222" w:type="dxa"/>
          <w:trHeight w:val="405"/>
        </w:trPr>
        <w:tc>
          <w:tcPr>
            <w:tcW w:w="3251" w:type="dxa"/>
            <w:tcBorders>
              <w:top w:val="nil"/>
              <w:left w:val="single" w:sz="8" w:space="0" w:color="auto"/>
              <w:bottom w:val="single" w:sz="8" w:space="0" w:color="auto"/>
              <w:right w:val="nil"/>
            </w:tcBorders>
            <w:shd w:val="clear" w:color="000000" w:fill="244062"/>
            <w:vAlign w:val="center"/>
            <w:hideMark/>
          </w:tcPr>
          <w:p w14:paraId="46D527CA"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7A644439" w14:textId="11248334" w:rsidR="009433B3" w:rsidRPr="00A33AE8" w:rsidRDefault="00F772EC" w:rsidP="009433B3">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Implementation</w:t>
            </w:r>
            <w:r w:rsidR="008017D6" w:rsidRPr="00A33AE8">
              <w:rPr>
                <w:rFonts w:ascii="Calibri Light" w:eastAsia="Times New Roman" w:hAnsi="Calibri Light" w:cs="Calibri Light"/>
                <w:color w:val="000000"/>
                <w:sz w:val="20"/>
                <w:szCs w:val="20"/>
                <w:lang w:eastAsia="en-GB"/>
              </w:rPr>
              <w:t xml:space="preserve"> of the following articles of the Directive </w:t>
            </w:r>
            <w:r w:rsidRPr="00A33AE8">
              <w:rPr>
                <w:rFonts w:ascii="Calibri Light" w:eastAsia="Times New Roman" w:hAnsi="Calibri Light" w:cs="Calibri Light"/>
                <w:color w:val="000000"/>
                <w:sz w:val="20"/>
                <w:szCs w:val="20"/>
                <w:lang w:eastAsia="en-GB"/>
              </w:rPr>
              <w:t xml:space="preserve">(EU) </w:t>
            </w:r>
            <w:r w:rsidR="008017D6" w:rsidRPr="00A33AE8">
              <w:rPr>
                <w:rFonts w:ascii="Calibri Light" w:eastAsia="Times New Roman" w:hAnsi="Calibri Light" w:cs="Calibri Light"/>
                <w:color w:val="000000"/>
                <w:sz w:val="20"/>
                <w:szCs w:val="20"/>
                <w:lang w:eastAsia="en-GB"/>
              </w:rPr>
              <w:t>2012/27/EU, as amended by Directive 2018/2002</w:t>
            </w:r>
            <w:r w:rsidR="009433B3" w:rsidRPr="00A33AE8">
              <w:rPr>
                <w:rFonts w:ascii="Calibri Light" w:eastAsia="Times New Roman" w:hAnsi="Calibri Light" w:cs="Calibri Light"/>
                <w:color w:val="000000"/>
                <w:sz w:val="20"/>
                <w:szCs w:val="20"/>
                <w:lang w:eastAsia="en-GB"/>
              </w:rPr>
              <w:t>:</w:t>
            </w:r>
          </w:p>
          <w:p w14:paraId="739A48B9"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Article 3</w:t>
            </w:r>
          </w:p>
        </w:tc>
      </w:tr>
      <w:tr w:rsidR="00C8427B" w:rsidRPr="00A33AE8" w14:paraId="135EB506" w14:textId="77777777" w:rsidTr="00491CF7">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6546E64E"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6BFE3C5D" w14:textId="77777777" w:rsidR="00C8427B" w:rsidRPr="00A33AE8" w:rsidRDefault="00265FD3" w:rsidP="00265FD3">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Contribution to </w:t>
            </w:r>
            <w:r w:rsidR="008C6BDC" w:rsidRPr="00A33AE8">
              <w:rPr>
                <w:rFonts w:ascii="Calibri Light" w:eastAsia="Times New Roman" w:hAnsi="Calibri Light" w:cs="Calibri Light"/>
                <w:color w:val="000000"/>
                <w:sz w:val="20"/>
                <w:szCs w:val="20"/>
                <w:lang w:eastAsia="en-GB"/>
              </w:rPr>
              <w:t>fulfilling the expected final energy consumption levels</w:t>
            </w:r>
          </w:p>
        </w:tc>
      </w:tr>
      <w:tr w:rsidR="009B2181" w:rsidRPr="00A33AE8" w14:paraId="313F4078" w14:textId="77777777" w:rsidTr="00033318">
        <w:trPr>
          <w:gridAfter w:val="1"/>
          <w:wAfter w:w="222" w:type="dxa"/>
          <w:trHeight w:val="443"/>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335356C3"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1F34376E" w14:textId="77777777" w:rsidR="009B2181" w:rsidRPr="000007D2" w:rsidRDefault="009B2181" w:rsidP="009B2181">
            <w:pPr>
              <w:spacing w:after="0" w:line="240" w:lineRule="auto"/>
              <w:jc w:val="both"/>
              <w:rPr>
                <w:rFonts w:ascii="Calibri Light" w:hAnsi="Calibri Light"/>
                <w:color w:val="000000"/>
                <w:sz w:val="20"/>
              </w:rPr>
            </w:pPr>
            <w:r w:rsidRPr="00A33AE8">
              <w:rPr>
                <w:rFonts w:ascii="Calibri Light" w:eastAsia="Times New Roman" w:hAnsi="Calibri Light" w:cs="Calibri Light"/>
                <w:color w:val="000000"/>
                <w:sz w:val="20"/>
                <w:szCs w:val="20"/>
                <w:lang w:eastAsia="en-GB"/>
              </w:rPr>
              <w:t>PM_EE39</w:t>
            </w:r>
            <w:r w:rsidR="00F772EC"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will improve the bankability of the energy efficiency projects with the utilization of specialized tools and methodologies so as to minimize the existing levels of risk. Moreover, the implementation of a quality assurance scheme and the establishment of a methodological approach for the standardization of the different steps during the evaluation of energy efficiency projects will facilitate the de-risking of the energy efficiency investments. The involvement of the banking sector is essential, while the design of new financial products specifically dedicated to the financing of the energy efficient projects will facilitate the financing of the energy efficiency projects. Specialized training will be </w:t>
            </w:r>
            <w:r w:rsidR="00F772EC" w:rsidRPr="00A33AE8">
              <w:rPr>
                <w:rFonts w:ascii="Calibri Light" w:eastAsia="Times New Roman" w:hAnsi="Calibri Light" w:cs="Calibri Light"/>
                <w:color w:val="000000"/>
                <w:sz w:val="20"/>
                <w:szCs w:val="20"/>
                <w:lang w:eastAsia="en-GB"/>
              </w:rPr>
              <w:t>organised in order to achieve the above-mentioned objectives</w:t>
            </w:r>
            <w:r w:rsidRPr="00A33AE8">
              <w:rPr>
                <w:rFonts w:ascii="Calibri Light" w:eastAsia="Times New Roman" w:hAnsi="Calibri Light" w:cs="Calibri Light"/>
                <w:color w:val="000000"/>
                <w:sz w:val="20"/>
                <w:szCs w:val="20"/>
                <w:lang w:eastAsia="en-GB"/>
              </w:rPr>
              <w:t>.</w:t>
            </w:r>
          </w:p>
        </w:tc>
      </w:tr>
      <w:tr w:rsidR="00C8427B" w:rsidRPr="00A33AE8" w14:paraId="2984AB67" w14:textId="77777777" w:rsidTr="00491CF7">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6298F656"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212F2AAB" w14:textId="77777777" w:rsidR="00C8427B" w:rsidRPr="00A33AE8" w:rsidRDefault="00F772EC" w:rsidP="00C8427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2025</w:t>
            </w:r>
            <w:r w:rsidR="00C8427B" w:rsidRPr="00A33AE8">
              <w:rPr>
                <w:rFonts w:ascii="Calibri Light" w:eastAsia="Times New Roman" w:hAnsi="Calibri Light" w:cs="Calibri Light"/>
                <w:color w:val="000000"/>
                <w:sz w:val="20"/>
                <w:szCs w:val="20"/>
                <w:lang w:eastAsia="en-GB"/>
              </w:rPr>
              <w:t>-2030</w:t>
            </w:r>
          </w:p>
        </w:tc>
      </w:tr>
      <w:tr w:rsidR="00C8427B" w:rsidRPr="00A33AE8" w14:paraId="737DDA97" w14:textId="77777777" w:rsidTr="00491CF7">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61B05A9E"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45915530" w14:textId="77777777" w:rsidR="00C8427B" w:rsidRPr="00A33AE8" w:rsidRDefault="00285B15" w:rsidP="00C8427B">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9B2181" w:rsidRPr="00A33AE8" w14:paraId="006B20E1" w14:textId="77777777" w:rsidTr="00491CF7">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3E37CFFC" w14:textId="77777777" w:rsidR="009B2181" w:rsidRPr="00A33AE8" w:rsidRDefault="009B2181" w:rsidP="009B2181">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7E32DD92" w14:textId="77777777" w:rsidR="009B2181" w:rsidRPr="00A33AE8" w:rsidRDefault="009B2181" w:rsidP="009B2181">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 final energy consumption sectors</w:t>
            </w:r>
          </w:p>
        </w:tc>
      </w:tr>
      <w:tr w:rsidR="00C8427B" w:rsidRPr="00A33AE8" w14:paraId="185970BF" w14:textId="77777777" w:rsidTr="00491CF7">
        <w:trPr>
          <w:gridAfter w:val="1"/>
          <w:wAfter w:w="222" w:type="dxa"/>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28D90E83" w14:textId="77777777" w:rsidR="00C8427B" w:rsidRPr="000007D2" w:rsidRDefault="00C8427B" w:rsidP="00C8427B">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Implementing Entity</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2A0E88F7" w14:textId="77777777" w:rsidR="00C8427B" w:rsidRPr="00A33AE8" w:rsidRDefault="00F772EC"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p w14:paraId="0AA934C0" w14:textId="77777777" w:rsidR="008C6BDC" w:rsidRPr="000007D2" w:rsidRDefault="008C6BDC"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Construction, Transport and Infrastructure</w:t>
            </w:r>
          </w:p>
        </w:tc>
      </w:tr>
      <w:tr w:rsidR="00C8427B" w:rsidRPr="00A33AE8" w14:paraId="4AB6FA84" w14:textId="77777777" w:rsidTr="00491CF7">
        <w:trPr>
          <w:gridAfter w:val="1"/>
          <w:wAfter w:w="222" w:type="dxa"/>
          <w:trHeight w:val="315"/>
        </w:trPr>
        <w:tc>
          <w:tcPr>
            <w:tcW w:w="3251" w:type="dxa"/>
            <w:tcBorders>
              <w:top w:val="nil"/>
              <w:left w:val="single" w:sz="8" w:space="0" w:color="auto"/>
              <w:bottom w:val="single" w:sz="8" w:space="0" w:color="auto"/>
              <w:right w:val="nil"/>
            </w:tcBorders>
            <w:shd w:val="clear" w:color="000000" w:fill="244062"/>
            <w:vAlign w:val="center"/>
            <w:hideMark/>
          </w:tcPr>
          <w:p w14:paraId="3A471A0E"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54BF51EE" w14:textId="77777777" w:rsidR="00C8427B" w:rsidRPr="00A33AE8" w:rsidRDefault="00A57D16"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57D16">
              <w:rPr>
                <w:rFonts w:ascii="Calibri Light" w:eastAsia="Times New Roman" w:hAnsi="Calibri Light" w:cs="Calibri Light"/>
                <w:color w:val="000000"/>
                <w:sz w:val="20"/>
                <w:szCs w:val="20"/>
                <w:lang w:eastAsia="en-GB"/>
              </w:rPr>
              <w:t>Government of the Republic of Serbia</w:t>
            </w:r>
          </w:p>
        </w:tc>
      </w:tr>
      <w:tr w:rsidR="00C8427B" w:rsidRPr="00A33AE8" w14:paraId="4C65A30B" w14:textId="77777777" w:rsidTr="00491CF7">
        <w:trPr>
          <w:gridAfter w:val="1"/>
          <w:wAfter w:w="222" w:type="dxa"/>
          <w:trHeight w:val="315"/>
        </w:trPr>
        <w:tc>
          <w:tcPr>
            <w:tcW w:w="3251" w:type="dxa"/>
            <w:tcBorders>
              <w:top w:val="nil"/>
              <w:left w:val="single" w:sz="8" w:space="0" w:color="auto"/>
              <w:bottom w:val="single" w:sz="8" w:space="0" w:color="auto"/>
              <w:right w:val="nil"/>
            </w:tcBorders>
            <w:shd w:val="clear" w:color="000000" w:fill="244062"/>
            <w:vAlign w:val="center"/>
            <w:hideMark/>
          </w:tcPr>
          <w:p w14:paraId="68B578BC"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14E5BBE3" w14:textId="77777777" w:rsidR="00C8427B" w:rsidRPr="00A33AE8" w:rsidRDefault="00491CF7" w:rsidP="00884F3B">
            <w:pPr>
              <w:pStyle w:val="ListParagraph"/>
              <w:numPr>
                <w:ilvl w:val="0"/>
                <w:numId w:val="25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Affected energy efficiency projects and employees in the banking sector</w:t>
            </w:r>
          </w:p>
        </w:tc>
      </w:tr>
      <w:tr w:rsidR="006C6A30" w:rsidRPr="00A33AE8" w14:paraId="7B73B122" w14:textId="77777777" w:rsidTr="00491CF7">
        <w:trPr>
          <w:gridAfter w:val="1"/>
          <w:wAfter w:w="222" w:type="dxa"/>
          <w:trHeight w:val="566"/>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722CC3F2" w14:textId="77777777" w:rsidR="006C6A30" w:rsidRPr="00A33AE8" w:rsidRDefault="006C6A30" w:rsidP="006C6A3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3A660AC8" w14:textId="77777777" w:rsidR="00A57D16" w:rsidRPr="00A57D16" w:rsidRDefault="006C6A30"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r w:rsidR="00A57D16" w:rsidRPr="00A57D16">
              <w:rPr>
                <w:rFonts w:ascii="Calibri Light" w:eastAsia="Times New Roman" w:hAnsi="Calibri Light" w:cs="Calibri Light"/>
                <w:color w:val="000000"/>
                <w:sz w:val="20"/>
                <w:szCs w:val="20"/>
                <w:lang w:eastAsia="en-GB"/>
              </w:rPr>
              <w:t xml:space="preserve"> (the delivered energy savings will decrease the consumed quantities of fossil fuels leading to the respective GHG emission reduction &amp; the utilised RES technologies will increase the RES share totally)</w:t>
            </w:r>
          </w:p>
          <w:p w14:paraId="77B87BD6" w14:textId="77777777" w:rsidR="006C6A30" w:rsidRPr="00A33AE8" w:rsidRDefault="00A57D16"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57D16">
              <w:rPr>
                <w:rFonts w:ascii="Calibri Light" w:eastAsia="Times New Roman" w:hAnsi="Calibri Light" w:cs="Calibri Light"/>
                <w:color w:val="000000"/>
                <w:sz w:val="20"/>
                <w:szCs w:val="20"/>
                <w:lang w:eastAsia="en-GB"/>
              </w:rPr>
              <w:t>Energy Security (the delivered energy savings will decrease the consumed quantities of the imported fossil fuels reducing energy import dependency from third countries)</w:t>
            </w:r>
          </w:p>
        </w:tc>
      </w:tr>
      <w:tr w:rsidR="009433B3" w:rsidRPr="00A33AE8" w14:paraId="3B6B194D" w14:textId="77777777" w:rsidTr="00491CF7">
        <w:trPr>
          <w:gridAfter w:val="1"/>
          <w:wAfter w:w="222" w:type="dxa"/>
          <w:trHeight w:val="450"/>
        </w:trPr>
        <w:tc>
          <w:tcPr>
            <w:tcW w:w="3251" w:type="dxa"/>
            <w:vMerge w:val="restart"/>
            <w:tcBorders>
              <w:top w:val="nil"/>
              <w:left w:val="single" w:sz="8" w:space="0" w:color="auto"/>
              <w:bottom w:val="single" w:sz="8" w:space="0" w:color="000000"/>
              <w:right w:val="single" w:sz="8" w:space="0" w:color="auto"/>
            </w:tcBorders>
            <w:shd w:val="clear" w:color="000000" w:fill="244062"/>
            <w:vAlign w:val="center"/>
            <w:hideMark/>
          </w:tcPr>
          <w:p w14:paraId="205F50E0" w14:textId="77777777" w:rsidR="009433B3" w:rsidRPr="00A33AE8" w:rsidRDefault="009433B3" w:rsidP="009433B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7"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3AE6E08" w14:textId="77777777" w:rsidR="009433B3" w:rsidRPr="00A33AE8" w:rsidRDefault="009433B3" w:rsidP="00884F3B">
            <w:pPr>
              <w:pStyle w:val="ListParagraph"/>
              <w:numPr>
                <w:ilvl w:val="0"/>
                <w:numId w:val="1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F772E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2012/27</w:t>
            </w:r>
          </w:p>
          <w:p w14:paraId="55BFD56A" w14:textId="77777777" w:rsidR="009433B3" w:rsidRPr="00A33AE8" w:rsidRDefault="009433B3" w:rsidP="00884F3B">
            <w:pPr>
              <w:pStyle w:val="ListParagraph"/>
              <w:numPr>
                <w:ilvl w:val="0"/>
                <w:numId w:val="17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Directive </w:t>
            </w:r>
            <w:r w:rsidR="00F772EC" w:rsidRPr="00A33AE8">
              <w:rPr>
                <w:rFonts w:ascii="Calibri Light" w:eastAsia="Times New Roman" w:hAnsi="Calibri Light" w:cs="Calibri Light"/>
                <w:color w:val="000000"/>
                <w:sz w:val="20"/>
                <w:szCs w:val="20"/>
                <w:lang w:eastAsia="en-GB"/>
              </w:rPr>
              <w:t xml:space="preserve">(EU) </w:t>
            </w:r>
            <w:r w:rsidRPr="00A33AE8">
              <w:rPr>
                <w:rFonts w:ascii="Calibri Light" w:eastAsia="Times New Roman" w:hAnsi="Calibri Light" w:cs="Calibri Light"/>
                <w:color w:val="000000"/>
                <w:sz w:val="20"/>
                <w:szCs w:val="20"/>
                <w:lang w:eastAsia="en-GB"/>
              </w:rPr>
              <w:t>2018/2002</w:t>
            </w:r>
          </w:p>
        </w:tc>
      </w:tr>
      <w:tr w:rsidR="00C8427B" w:rsidRPr="00A33AE8" w14:paraId="0548A596" w14:textId="77777777" w:rsidTr="00491CF7">
        <w:trPr>
          <w:trHeight w:val="300"/>
        </w:trPr>
        <w:tc>
          <w:tcPr>
            <w:tcW w:w="3251" w:type="dxa"/>
            <w:vMerge/>
            <w:tcBorders>
              <w:top w:val="nil"/>
              <w:left w:val="single" w:sz="8" w:space="0" w:color="auto"/>
              <w:bottom w:val="single" w:sz="8" w:space="0" w:color="000000"/>
              <w:right w:val="single" w:sz="8" w:space="0" w:color="auto"/>
            </w:tcBorders>
            <w:vAlign w:val="center"/>
            <w:hideMark/>
          </w:tcPr>
          <w:p w14:paraId="16B677FE"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p>
        </w:tc>
        <w:tc>
          <w:tcPr>
            <w:tcW w:w="6207" w:type="dxa"/>
            <w:gridSpan w:val="3"/>
            <w:vMerge/>
            <w:tcBorders>
              <w:top w:val="single" w:sz="8" w:space="0" w:color="auto"/>
              <w:left w:val="single" w:sz="8" w:space="0" w:color="auto"/>
              <w:bottom w:val="single" w:sz="8" w:space="0" w:color="000000"/>
              <w:right w:val="single" w:sz="8" w:space="0" w:color="000000"/>
            </w:tcBorders>
            <w:vAlign w:val="center"/>
            <w:hideMark/>
          </w:tcPr>
          <w:p w14:paraId="7125F6A7" w14:textId="77777777" w:rsidR="00C8427B" w:rsidRPr="00A33AE8" w:rsidRDefault="00C8427B" w:rsidP="00C8427B">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58746B63" w14:textId="77777777" w:rsidR="00C8427B" w:rsidRPr="00A33AE8" w:rsidRDefault="00C8427B" w:rsidP="00C8427B">
            <w:pPr>
              <w:spacing w:after="0" w:line="240" w:lineRule="auto"/>
              <w:rPr>
                <w:rFonts w:ascii="Calibri Light" w:eastAsia="Times New Roman" w:hAnsi="Calibri Light" w:cs="Calibri Light"/>
                <w:color w:val="000000"/>
                <w:sz w:val="20"/>
                <w:szCs w:val="20"/>
                <w:lang w:eastAsia="en-GB"/>
              </w:rPr>
            </w:pPr>
          </w:p>
        </w:tc>
      </w:tr>
      <w:tr w:rsidR="00C8427B" w:rsidRPr="00A33AE8" w14:paraId="11C5870E" w14:textId="77777777" w:rsidTr="00491CF7">
        <w:trPr>
          <w:trHeight w:val="60"/>
        </w:trPr>
        <w:tc>
          <w:tcPr>
            <w:tcW w:w="3251" w:type="dxa"/>
            <w:vMerge/>
            <w:tcBorders>
              <w:top w:val="nil"/>
              <w:left w:val="single" w:sz="8" w:space="0" w:color="auto"/>
              <w:bottom w:val="single" w:sz="8" w:space="0" w:color="000000"/>
              <w:right w:val="single" w:sz="8" w:space="0" w:color="auto"/>
            </w:tcBorders>
            <w:vAlign w:val="center"/>
            <w:hideMark/>
          </w:tcPr>
          <w:p w14:paraId="4F051F31"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p>
        </w:tc>
        <w:tc>
          <w:tcPr>
            <w:tcW w:w="6207" w:type="dxa"/>
            <w:gridSpan w:val="3"/>
            <w:vMerge/>
            <w:tcBorders>
              <w:top w:val="single" w:sz="8" w:space="0" w:color="auto"/>
              <w:left w:val="single" w:sz="8" w:space="0" w:color="auto"/>
              <w:bottom w:val="single" w:sz="8" w:space="0" w:color="000000"/>
              <w:right w:val="single" w:sz="8" w:space="0" w:color="000000"/>
            </w:tcBorders>
            <w:vAlign w:val="center"/>
            <w:hideMark/>
          </w:tcPr>
          <w:p w14:paraId="128A8161" w14:textId="77777777" w:rsidR="00C8427B" w:rsidRPr="00A33AE8" w:rsidRDefault="00C8427B" w:rsidP="00C8427B">
            <w:pPr>
              <w:spacing w:after="0" w:line="240" w:lineRule="auto"/>
              <w:rPr>
                <w:rFonts w:ascii="Calibri Light" w:eastAsia="Times New Roman" w:hAnsi="Calibri Light" w:cs="Calibri Light"/>
                <w:color w:val="000000"/>
                <w:sz w:val="20"/>
                <w:szCs w:val="20"/>
                <w:lang w:eastAsia="en-GB"/>
              </w:rPr>
            </w:pPr>
          </w:p>
        </w:tc>
        <w:tc>
          <w:tcPr>
            <w:tcW w:w="222" w:type="dxa"/>
            <w:tcBorders>
              <w:top w:val="nil"/>
              <w:left w:val="nil"/>
              <w:bottom w:val="nil"/>
              <w:right w:val="nil"/>
            </w:tcBorders>
            <w:shd w:val="clear" w:color="auto" w:fill="auto"/>
            <w:noWrap/>
            <w:vAlign w:val="bottom"/>
            <w:hideMark/>
          </w:tcPr>
          <w:p w14:paraId="66923343" w14:textId="77777777" w:rsidR="00C8427B" w:rsidRPr="00A33AE8" w:rsidRDefault="00C8427B" w:rsidP="00C8427B">
            <w:pPr>
              <w:spacing w:after="0" w:line="240" w:lineRule="auto"/>
              <w:rPr>
                <w:rFonts w:ascii="Times New Roman" w:eastAsia="Times New Roman" w:hAnsi="Times New Roman" w:cs="Times New Roman"/>
                <w:sz w:val="20"/>
                <w:szCs w:val="20"/>
                <w:lang w:eastAsia="en-GB"/>
              </w:rPr>
            </w:pPr>
          </w:p>
        </w:tc>
      </w:tr>
      <w:tr w:rsidR="00C8427B" w:rsidRPr="00A33AE8" w14:paraId="7F194684" w14:textId="77777777" w:rsidTr="00491CF7">
        <w:trPr>
          <w:trHeight w:val="557"/>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61DAE546" w14:textId="77777777" w:rsidR="00C8427B" w:rsidRPr="00A33AE8" w:rsidRDefault="00C8427B" w:rsidP="00C842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259A8952" w14:textId="77777777" w:rsidR="00C8427B" w:rsidRPr="000007D2" w:rsidRDefault="008C6BDC" w:rsidP="00884F3B">
            <w:pPr>
              <w:pStyle w:val="ListParagraph"/>
              <w:numPr>
                <w:ilvl w:val="0"/>
                <w:numId w:val="253"/>
              </w:numPr>
              <w:spacing w:after="0" w:line="240" w:lineRule="auto"/>
              <w:rPr>
                <w:rFonts w:ascii="Calibri Light" w:eastAsia="Times New Roman" w:hAnsi="Calibri Light" w:cs="Calibri Light"/>
                <w:color w:val="000000"/>
                <w:sz w:val="20"/>
                <w:szCs w:val="20"/>
                <w:lang w:eastAsia="en-GB"/>
              </w:rPr>
            </w:pPr>
            <w:r w:rsidRPr="000007D2">
              <w:rPr>
                <w:rFonts w:ascii="Calibri Light" w:eastAsia="Times New Roman" w:hAnsi="Calibri Light" w:cs="Calibri Light"/>
                <w:color w:val="000000"/>
                <w:sz w:val="20"/>
                <w:szCs w:val="20"/>
                <w:lang w:eastAsia="en-GB"/>
              </w:rPr>
              <w:t>Law on Planning and Construction</w:t>
            </w:r>
          </w:p>
        </w:tc>
        <w:tc>
          <w:tcPr>
            <w:tcW w:w="222" w:type="dxa"/>
            <w:vAlign w:val="center"/>
            <w:hideMark/>
          </w:tcPr>
          <w:p w14:paraId="3492CEEE" w14:textId="77777777" w:rsidR="00C8427B" w:rsidRPr="00A33AE8" w:rsidRDefault="00C8427B" w:rsidP="00C8427B">
            <w:pPr>
              <w:spacing w:after="0" w:line="240" w:lineRule="auto"/>
              <w:rPr>
                <w:rFonts w:ascii="Times New Roman" w:eastAsia="Times New Roman" w:hAnsi="Times New Roman" w:cs="Times New Roman"/>
                <w:sz w:val="20"/>
                <w:szCs w:val="20"/>
                <w:lang w:eastAsia="en-GB"/>
              </w:rPr>
            </w:pPr>
          </w:p>
        </w:tc>
      </w:tr>
      <w:tr w:rsidR="00867645" w:rsidRPr="00A33AE8" w14:paraId="462ABCEE" w14:textId="77777777" w:rsidTr="00491CF7">
        <w:trPr>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07B32FCA"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003D195A"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Budget incorporated into all end-use measures</w:t>
            </w:r>
          </w:p>
        </w:tc>
        <w:tc>
          <w:tcPr>
            <w:tcW w:w="222" w:type="dxa"/>
            <w:vAlign w:val="center"/>
            <w:hideMark/>
          </w:tcPr>
          <w:p w14:paraId="43023151"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r w:rsidR="00867645" w:rsidRPr="00A33AE8" w14:paraId="488E1355" w14:textId="77777777" w:rsidTr="00491CF7">
        <w:trPr>
          <w:trHeight w:val="315"/>
        </w:trPr>
        <w:tc>
          <w:tcPr>
            <w:tcW w:w="3251" w:type="dxa"/>
            <w:tcBorders>
              <w:top w:val="nil"/>
              <w:left w:val="single" w:sz="8" w:space="0" w:color="auto"/>
              <w:bottom w:val="single" w:sz="8" w:space="0" w:color="auto"/>
              <w:right w:val="single" w:sz="8" w:space="0" w:color="auto"/>
            </w:tcBorders>
            <w:shd w:val="clear" w:color="000000" w:fill="244062"/>
            <w:vAlign w:val="center"/>
            <w:hideMark/>
          </w:tcPr>
          <w:p w14:paraId="709EC9C7" w14:textId="77777777" w:rsidR="00867645" w:rsidRPr="00A33AE8" w:rsidRDefault="00867645" w:rsidP="0086764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7" w:type="dxa"/>
            <w:gridSpan w:val="3"/>
            <w:tcBorders>
              <w:top w:val="single" w:sz="8" w:space="0" w:color="auto"/>
              <w:left w:val="nil"/>
              <w:bottom w:val="single" w:sz="8" w:space="0" w:color="auto"/>
              <w:right w:val="single" w:sz="8" w:space="0" w:color="000000"/>
            </w:tcBorders>
            <w:shd w:val="clear" w:color="auto" w:fill="auto"/>
            <w:vAlign w:val="center"/>
            <w:hideMark/>
          </w:tcPr>
          <w:p w14:paraId="16AFD6E6" w14:textId="77777777" w:rsidR="00867645" w:rsidRPr="00A33AE8" w:rsidRDefault="00867645" w:rsidP="00867645">
            <w:pPr>
              <w:spacing w:after="0" w:line="240" w:lineRule="auto"/>
              <w:rPr>
                <w:rFonts w:ascii="Calibri" w:eastAsia="Times New Roman" w:hAnsi="Calibri" w:cs="Calibri"/>
                <w:color w:val="000000"/>
                <w:highlight w:val="yellow"/>
                <w:lang w:eastAsia="en-GB"/>
              </w:rPr>
            </w:pPr>
            <w:r w:rsidRPr="00A33AE8">
              <w:rPr>
                <w:rFonts w:asciiTheme="majorHAnsi" w:eastAsia="Times New Roman" w:hAnsiTheme="majorHAnsi" w:cstheme="majorHAnsi"/>
                <w:color w:val="000000"/>
                <w:sz w:val="20"/>
                <w:szCs w:val="20"/>
                <w:lang w:eastAsia="en-GB"/>
              </w:rPr>
              <w:t>EU and other funds, public funds and funds</w:t>
            </w:r>
            <w:r w:rsidR="0085327F">
              <w:rPr>
                <w:rFonts w:asciiTheme="majorHAnsi" w:eastAsia="Times New Roman" w:hAnsiTheme="majorHAnsi" w:cstheme="majorHAnsi"/>
                <w:color w:val="000000"/>
                <w:sz w:val="20"/>
                <w:szCs w:val="20"/>
                <w:lang w:eastAsia="en-GB"/>
              </w:rPr>
              <w:t xml:space="preserve"> from own resources</w:t>
            </w:r>
          </w:p>
        </w:tc>
        <w:tc>
          <w:tcPr>
            <w:tcW w:w="222" w:type="dxa"/>
            <w:vAlign w:val="center"/>
            <w:hideMark/>
          </w:tcPr>
          <w:p w14:paraId="72D3F5EA" w14:textId="77777777" w:rsidR="00867645" w:rsidRPr="00A33AE8" w:rsidRDefault="00867645" w:rsidP="00867645">
            <w:pPr>
              <w:spacing w:after="0" w:line="240" w:lineRule="auto"/>
              <w:rPr>
                <w:rFonts w:ascii="Times New Roman" w:eastAsia="Times New Roman" w:hAnsi="Times New Roman" w:cs="Times New Roman"/>
                <w:sz w:val="20"/>
                <w:szCs w:val="20"/>
                <w:lang w:eastAsia="en-GB"/>
              </w:rPr>
            </w:pPr>
          </w:p>
        </w:tc>
      </w:tr>
    </w:tbl>
    <w:p w14:paraId="0D889181" w14:textId="77777777" w:rsidR="00C8427B" w:rsidRPr="00A33AE8" w:rsidRDefault="00C8427B" w:rsidP="001D1BB0">
      <w:pPr>
        <w:pStyle w:val="LDKbody"/>
        <w:rPr>
          <w:lang w:val="en-GB"/>
        </w:rPr>
      </w:pPr>
    </w:p>
    <w:p w14:paraId="4B42AB60" w14:textId="77777777" w:rsidR="009433B3" w:rsidRPr="00A33AE8" w:rsidRDefault="009433B3" w:rsidP="009433B3">
      <w:pPr>
        <w:pStyle w:val="LDKbody"/>
        <w:rPr>
          <w:rFonts w:asciiTheme="majorHAnsi" w:hAnsiTheme="majorHAnsi" w:cstheme="majorHAnsi"/>
          <w:lang w:val="en-GB"/>
        </w:rPr>
      </w:pPr>
      <w:r w:rsidRPr="00A33AE8">
        <w:rPr>
          <w:rFonts w:asciiTheme="majorHAnsi" w:hAnsiTheme="majorHAnsi" w:cstheme="majorHAnsi"/>
          <w:lang w:val="en-GB"/>
        </w:rPr>
        <w:t>Except the measures presented in the previous tables, the following measures related to the other dimensions also affect the energy efficiency dimension and contribute to the achievement of the energy efficiency targets:</w:t>
      </w:r>
    </w:p>
    <w:p w14:paraId="57B54D7A" w14:textId="77777777" w:rsidR="009433B3" w:rsidRPr="00A33AE8" w:rsidRDefault="009433B3" w:rsidP="009433B3">
      <w:pPr>
        <w:pStyle w:val="LDKBullets-main"/>
        <w:rPr>
          <w:rFonts w:asciiTheme="majorHAnsi" w:hAnsiTheme="majorHAnsi" w:cstheme="majorHAnsi"/>
        </w:rPr>
      </w:pPr>
      <w:r w:rsidRPr="00A33AE8">
        <w:rPr>
          <w:rFonts w:asciiTheme="majorHAnsi" w:hAnsiTheme="majorHAnsi" w:cstheme="majorHAnsi"/>
        </w:rPr>
        <w:t xml:space="preserve">Dimension decarbonisation: </w:t>
      </w:r>
      <w:r w:rsidRPr="00A33AE8">
        <w:rPr>
          <w:rFonts w:asciiTheme="majorHAnsi" w:hAnsiTheme="majorHAnsi" w:cstheme="majorHAnsi"/>
          <w:b/>
          <w:bCs/>
        </w:rPr>
        <w:t>PM_</w:t>
      </w:r>
      <w:r w:rsidR="008C6BDC" w:rsidRPr="00A33AE8">
        <w:rPr>
          <w:rFonts w:asciiTheme="majorHAnsi" w:hAnsiTheme="majorHAnsi" w:cstheme="majorHAnsi"/>
          <w:b/>
          <w:bCs/>
        </w:rPr>
        <w:t xml:space="preserve">D29 </w:t>
      </w:r>
      <w:r w:rsidRPr="00A33AE8">
        <w:rPr>
          <w:rFonts w:asciiTheme="majorHAnsi" w:hAnsiTheme="majorHAnsi" w:cstheme="majorHAnsi"/>
          <w:b/>
          <w:bCs/>
        </w:rPr>
        <w:t>– PM_D3</w:t>
      </w:r>
      <w:r w:rsidR="008C6BDC" w:rsidRPr="00A33AE8">
        <w:rPr>
          <w:rFonts w:asciiTheme="majorHAnsi" w:hAnsiTheme="majorHAnsi" w:cstheme="majorHAnsi"/>
          <w:b/>
          <w:bCs/>
        </w:rPr>
        <w:t>1</w:t>
      </w:r>
      <w:r w:rsidRPr="00A33AE8">
        <w:rPr>
          <w:rFonts w:asciiTheme="majorHAnsi" w:hAnsiTheme="majorHAnsi" w:cstheme="majorHAnsi"/>
        </w:rPr>
        <w:t xml:space="preserve">, </w:t>
      </w:r>
      <w:r w:rsidRPr="00A33AE8">
        <w:rPr>
          <w:rFonts w:asciiTheme="majorHAnsi" w:hAnsiTheme="majorHAnsi" w:cstheme="majorHAnsi"/>
          <w:b/>
          <w:bCs/>
        </w:rPr>
        <w:t>PM_D3</w:t>
      </w:r>
      <w:r w:rsidR="008C6BDC" w:rsidRPr="00A33AE8">
        <w:rPr>
          <w:rFonts w:asciiTheme="majorHAnsi" w:hAnsiTheme="majorHAnsi" w:cstheme="majorHAnsi"/>
          <w:b/>
          <w:bCs/>
        </w:rPr>
        <w:t>4</w:t>
      </w:r>
      <w:r w:rsidR="002F1536" w:rsidRPr="00A33AE8">
        <w:rPr>
          <w:rFonts w:asciiTheme="majorHAnsi" w:hAnsiTheme="majorHAnsi" w:cstheme="majorHAnsi"/>
          <w:b/>
          <w:bCs/>
        </w:rPr>
        <w:t xml:space="preserve">, </w:t>
      </w:r>
      <w:r w:rsidRPr="00A33AE8">
        <w:rPr>
          <w:rFonts w:asciiTheme="majorHAnsi" w:hAnsiTheme="majorHAnsi" w:cstheme="majorHAnsi"/>
          <w:b/>
          <w:bCs/>
        </w:rPr>
        <w:t>PM_3</w:t>
      </w:r>
      <w:r w:rsidR="008C6BDC" w:rsidRPr="00A33AE8">
        <w:rPr>
          <w:rFonts w:asciiTheme="majorHAnsi" w:hAnsiTheme="majorHAnsi" w:cstheme="majorHAnsi"/>
          <w:b/>
          <w:bCs/>
        </w:rPr>
        <w:t>5</w:t>
      </w:r>
      <w:r w:rsidRPr="00A33AE8">
        <w:rPr>
          <w:rFonts w:asciiTheme="majorHAnsi" w:hAnsiTheme="majorHAnsi" w:cstheme="majorHAnsi"/>
        </w:rPr>
        <w:t xml:space="preserve"> and </w:t>
      </w:r>
      <w:r w:rsidRPr="00A33AE8">
        <w:rPr>
          <w:rFonts w:asciiTheme="majorHAnsi" w:hAnsiTheme="majorHAnsi" w:cstheme="majorHAnsi"/>
          <w:b/>
          <w:bCs/>
        </w:rPr>
        <w:t>PM_D4</w:t>
      </w:r>
      <w:r w:rsidR="008C6BDC" w:rsidRPr="00A33AE8">
        <w:rPr>
          <w:rFonts w:asciiTheme="majorHAnsi" w:hAnsiTheme="majorHAnsi" w:cstheme="majorHAnsi"/>
          <w:b/>
          <w:bCs/>
        </w:rPr>
        <w:t>3</w:t>
      </w:r>
    </w:p>
    <w:p w14:paraId="616A25B9" w14:textId="77777777" w:rsidR="00351DC9" w:rsidRPr="00A33AE8" w:rsidRDefault="009433B3" w:rsidP="001D1BB0">
      <w:pPr>
        <w:pStyle w:val="LDKBullets-main"/>
        <w:rPr>
          <w:rFonts w:asciiTheme="majorHAnsi" w:hAnsiTheme="majorHAnsi" w:cstheme="majorHAnsi"/>
          <w:b/>
          <w:bCs/>
        </w:rPr>
      </w:pPr>
      <w:r w:rsidRPr="00A33AE8">
        <w:rPr>
          <w:rFonts w:asciiTheme="majorHAnsi" w:hAnsiTheme="majorHAnsi" w:cstheme="majorHAnsi"/>
        </w:rPr>
        <w:t xml:space="preserve">Dimension internal energy market: </w:t>
      </w:r>
      <w:r w:rsidRPr="00A33AE8">
        <w:rPr>
          <w:rFonts w:asciiTheme="majorHAnsi" w:hAnsiTheme="majorHAnsi" w:cstheme="majorHAnsi"/>
          <w:b/>
          <w:bCs/>
        </w:rPr>
        <w:t>PM_IEM11</w:t>
      </w:r>
      <w:r w:rsidRPr="00A33AE8">
        <w:rPr>
          <w:rFonts w:asciiTheme="majorHAnsi" w:hAnsiTheme="majorHAnsi" w:cstheme="majorHAnsi"/>
        </w:rPr>
        <w:t xml:space="preserve">, </w:t>
      </w:r>
      <w:r w:rsidRPr="00A33AE8">
        <w:rPr>
          <w:rFonts w:asciiTheme="majorHAnsi" w:hAnsiTheme="majorHAnsi" w:cstheme="majorHAnsi"/>
          <w:b/>
          <w:bCs/>
        </w:rPr>
        <w:t>PM_IEM13</w:t>
      </w:r>
      <w:r w:rsidRPr="00A33AE8">
        <w:rPr>
          <w:rFonts w:asciiTheme="majorHAnsi" w:hAnsiTheme="majorHAnsi" w:cstheme="majorHAnsi"/>
        </w:rPr>
        <w:t xml:space="preserve">, </w:t>
      </w:r>
      <w:r w:rsidRPr="00A33AE8">
        <w:rPr>
          <w:rFonts w:asciiTheme="majorHAnsi" w:hAnsiTheme="majorHAnsi" w:cstheme="majorHAnsi"/>
          <w:b/>
          <w:bCs/>
        </w:rPr>
        <w:t>PM_IEM17</w:t>
      </w:r>
      <w:r w:rsidR="002E14B4" w:rsidRPr="00A33AE8">
        <w:rPr>
          <w:rFonts w:asciiTheme="majorHAnsi" w:hAnsiTheme="majorHAnsi" w:cstheme="majorHAnsi"/>
          <w:b/>
          <w:bCs/>
        </w:rPr>
        <w:t>, PM_IEM20</w:t>
      </w:r>
      <w:r w:rsidRPr="00A33AE8">
        <w:rPr>
          <w:rFonts w:asciiTheme="majorHAnsi" w:hAnsiTheme="majorHAnsi" w:cstheme="majorHAnsi"/>
        </w:rPr>
        <w:t xml:space="preserve"> and </w:t>
      </w:r>
      <w:r w:rsidRPr="00A33AE8">
        <w:rPr>
          <w:rFonts w:asciiTheme="majorHAnsi" w:hAnsiTheme="majorHAnsi" w:cstheme="majorHAnsi"/>
          <w:b/>
          <w:bCs/>
        </w:rPr>
        <w:t>PM_</w:t>
      </w:r>
      <w:r w:rsidR="00A603F1" w:rsidRPr="00A33AE8">
        <w:rPr>
          <w:rFonts w:asciiTheme="majorHAnsi" w:hAnsiTheme="majorHAnsi" w:cstheme="majorHAnsi"/>
          <w:b/>
          <w:bCs/>
        </w:rPr>
        <w:t>IEM3</w:t>
      </w:r>
      <w:r w:rsidR="00A603F1">
        <w:rPr>
          <w:rFonts w:asciiTheme="majorHAnsi" w:hAnsiTheme="majorHAnsi" w:cstheme="majorHAnsi"/>
          <w:b/>
          <w:bCs/>
        </w:rPr>
        <w:t>6</w:t>
      </w:r>
    </w:p>
    <w:p w14:paraId="40361355" w14:textId="77777777" w:rsidR="00073F42" w:rsidRPr="00A33AE8" w:rsidRDefault="00073F42" w:rsidP="00073F42">
      <w:pPr>
        <w:pStyle w:val="Heading2"/>
      </w:pPr>
      <w:bookmarkStart w:id="166" w:name="_Toc79772555"/>
      <w:bookmarkStart w:id="167" w:name="_Toc118991775"/>
      <w:bookmarkStart w:id="168" w:name="_Toc153545047"/>
      <w:r w:rsidRPr="00A33AE8">
        <w:lastRenderedPageBreak/>
        <w:t>Dimension Energy Security</w:t>
      </w:r>
      <w:bookmarkEnd w:id="166"/>
      <w:bookmarkEnd w:id="167"/>
      <w:bookmarkEnd w:id="168"/>
    </w:p>
    <w:p w14:paraId="759077A5" w14:textId="40CA100C" w:rsidR="004E0852" w:rsidRPr="00A33AE8" w:rsidRDefault="004E0852" w:rsidP="004E0852">
      <w:pPr>
        <w:pStyle w:val="LDKbody"/>
        <w:rPr>
          <w:rFonts w:ascii="Calibri Light" w:hAnsi="Calibri Light" w:cs="Calibri Light"/>
          <w:lang w:val="en-GB"/>
        </w:rPr>
      </w:pPr>
      <w:r w:rsidRPr="00A33AE8">
        <w:rPr>
          <w:rFonts w:ascii="Calibri Light" w:hAnsi="Calibri Light" w:cs="Calibri Light"/>
          <w:lang w:val="en-GB"/>
        </w:rPr>
        <w:t xml:space="preserve">For the achievement of the target regarding the energy security, </w:t>
      </w:r>
      <w:r w:rsidR="005B7479">
        <w:rPr>
          <w:rFonts w:ascii="Calibri Light" w:hAnsi="Calibri Light" w:cs="Calibri Light"/>
          <w:lang w:val="en-GB"/>
        </w:rPr>
        <w:t>12</w:t>
      </w:r>
      <w:r w:rsidR="005B7479" w:rsidRPr="00A33AE8">
        <w:rPr>
          <w:rFonts w:ascii="Calibri Light" w:hAnsi="Calibri Light" w:cs="Calibri Light"/>
          <w:lang w:val="en-GB"/>
        </w:rPr>
        <w:t xml:space="preserve"> </w:t>
      </w:r>
      <w:r w:rsidRPr="00A33AE8">
        <w:rPr>
          <w:rFonts w:ascii="Calibri Light" w:hAnsi="Calibri Light" w:cs="Calibri Light"/>
          <w:lang w:val="en-GB"/>
        </w:rPr>
        <w:t>policies and measures are defined. The following tables present details for each of them.</w:t>
      </w:r>
    </w:p>
    <w:p w14:paraId="51189946"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38"/>
        <w:gridCol w:w="940"/>
        <w:gridCol w:w="944"/>
        <w:gridCol w:w="4266"/>
        <w:gridCol w:w="1212"/>
      </w:tblGrid>
      <w:tr w:rsidR="00751097" w:rsidRPr="00A33AE8" w14:paraId="7206D1A2" w14:textId="77777777" w:rsidTr="004B71DA">
        <w:trPr>
          <w:gridAfter w:val="1"/>
          <w:wAfter w:w="1212" w:type="dxa"/>
          <w:trHeight w:val="780"/>
        </w:trPr>
        <w:tc>
          <w:tcPr>
            <w:tcW w:w="333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7BCEFA4"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6423EEB" w14:textId="77777777" w:rsidR="00751097" w:rsidRPr="00A33AE8" w:rsidRDefault="00601232">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ES2</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16749D22"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6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2BCDA13" w14:textId="77777777" w:rsidR="00751097" w:rsidRPr="00A33AE8" w:rsidRDefault="00751097">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Enhancement of regional electricity and gas interconnections</w:t>
            </w:r>
          </w:p>
        </w:tc>
      </w:tr>
      <w:tr w:rsidR="004B71DA" w:rsidRPr="00A33AE8" w14:paraId="1A9D1F7B" w14:textId="77777777" w:rsidTr="004B71DA">
        <w:trPr>
          <w:gridAfter w:val="1"/>
          <w:wAfter w:w="1212" w:type="dxa"/>
          <w:trHeight w:val="449"/>
        </w:trPr>
        <w:tc>
          <w:tcPr>
            <w:tcW w:w="3338" w:type="dxa"/>
            <w:tcBorders>
              <w:top w:val="nil"/>
              <w:left w:val="single" w:sz="8" w:space="0" w:color="auto"/>
              <w:bottom w:val="single" w:sz="8" w:space="0" w:color="auto"/>
              <w:right w:val="nil"/>
            </w:tcBorders>
            <w:shd w:val="clear" w:color="auto" w:fill="244062"/>
            <w:vAlign w:val="center"/>
            <w:hideMark/>
          </w:tcPr>
          <w:p w14:paraId="0AA51FAD"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50" w:type="dxa"/>
            <w:gridSpan w:val="3"/>
            <w:tcBorders>
              <w:top w:val="single" w:sz="8" w:space="0" w:color="auto"/>
              <w:left w:val="nil"/>
              <w:bottom w:val="single" w:sz="8" w:space="0" w:color="auto"/>
              <w:right w:val="single" w:sz="8" w:space="0" w:color="000000"/>
            </w:tcBorders>
            <w:vAlign w:val="center"/>
            <w:hideMark/>
          </w:tcPr>
          <w:p w14:paraId="7BBCF202" w14:textId="77777777" w:rsidR="004B71DA" w:rsidRPr="00A33AE8" w:rsidRDefault="004B71DA" w:rsidP="004B71DA">
            <w:pPr>
              <w:spacing w:after="0"/>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sz w:val="20"/>
                <w:szCs w:val="20"/>
                <w:lang w:eastAsia="en-GB"/>
              </w:rPr>
              <w:t>Diversification of routes, reduce import dependency from a single route and single source, ability to cope with constrained or interrupted supply of an energy source, flexibility of the national energy system</w:t>
            </w:r>
            <w:r w:rsidR="00D32864" w:rsidRPr="00D32864">
              <w:rPr>
                <w:rFonts w:asciiTheme="majorHAnsi" w:eastAsia="Times New Roman" w:hAnsiTheme="majorHAnsi" w:cstheme="majorHAnsi"/>
                <w:sz w:val="20"/>
                <w:szCs w:val="20"/>
                <w:lang w:eastAsia="en-GB"/>
              </w:rPr>
              <w:t>, fostering regional energy cooperation and increasing regional market integration.</w:t>
            </w:r>
          </w:p>
        </w:tc>
      </w:tr>
      <w:tr w:rsidR="004B71DA" w:rsidRPr="00A33AE8" w14:paraId="70920290" w14:textId="77777777" w:rsidTr="004B71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18CD62C4"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50" w:type="dxa"/>
            <w:gridSpan w:val="3"/>
            <w:tcBorders>
              <w:top w:val="single" w:sz="8" w:space="0" w:color="auto"/>
              <w:left w:val="nil"/>
              <w:bottom w:val="single" w:sz="8" w:space="0" w:color="auto"/>
              <w:right w:val="single" w:sz="8" w:space="0" w:color="000000"/>
            </w:tcBorders>
            <w:vAlign w:val="center"/>
            <w:hideMark/>
          </w:tcPr>
          <w:p w14:paraId="1A52ABB5" w14:textId="77777777" w:rsidR="004B71DA" w:rsidRPr="00A33AE8" w:rsidRDefault="00A62A52" w:rsidP="004B71DA">
            <w:pPr>
              <w:spacing w:after="0"/>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sz w:val="20"/>
                <w:szCs w:val="20"/>
                <w:lang w:eastAsia="en-GB"/>
              </w:rPr>
              <w:t>Increased interconnection capacities</w:t>
            </w:r>
            <w:r w:rsidR="00D32864" w:rsidRPr="00D32864">
              <w:rPr>
                <w:rFonts w:asciiTheme="majorHAnsi" w:eastAsia="Times New Roman" w:hAnsiTheme="majorHAnsi" w:cstheme="majorHAnsi"/>
                <w:sz w:val="20"/>
                <w:szCs w:val="20"/>
                <w:lang w:eastAsia="en-GB"/>
              </w:rPr>
              <w:t>. For further details please check the specific PMs in the next section “Dimension Internal Energy Market”.</w:t>
            </w:r>
          </w:p>
        </w:tc>
      </w:tr>
      <w:tr w:rsidR="00751097" w:rsidRPr="00A33AE8" w14:paraId="088B833C" w14:textId="77777777" w:rsidTr="007B2BAE">
        <w:trPr>
          <w:gridAfter w:val="1"/>
          <w:wAfter w:w="1212" w:type="dxa"/>
          <w:trHeight w:val="584"/>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2C7936EA"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50" w:type="dxa"/>
            <w:gridSpan w:val="3"/>
            <w:tcBorders>
              <w:top w:val="single" w:sz="8" w:space="0" w:color="auto"/>
              <w:left w:val="nil"/>
              <w:bottom w:val="single" w:sz="8" w:space="0" w:color="auto"/>
              <w:right w:val="single" w:sz="8" w:space="0" w:color="000000"/>
            </w:tcBorders>
            <w:vAlign w:val="center"/>
            <w:hideMark/>
          </w:tcPr>
          <w:p w14:paraId="47E25AF5" w14:textId="22D67201" w:rsidR="006D41E1" w:rsidRPr="00A33AE8" w:rsidRDefault="004B71DA" w:rsidP="0087794A">
            <w:pPr>
              <w:spacing w:line="240" w:lineRule="auto"/>
              <w:jc w:val="both"/>
              <w:rPr>
                <w:rFonts w:ascii="Times New Roman" w:hAnsi="Times New Roman" w:cs="Times New Roman"/>
                <w:sz w:val="24"/>
                <w:szCs w:val="24"/>
                <w:lang w:eastAsia="en-GB"/>
              </w:rPr>
            </w:pPr>
            <w:r w:rsidRPr="00A33AE8">
              <w:rPr>
                <w:rFonts w:asciiTheme="majorHAnsi" w:eastAsia="Times New Roman" w:hAnsiTheme="majorHAnsi" w:cstheme="majorHAnsi"/>
                <w:color w:val="000000"/>
                <w:sz w:val="20"/>
                <w:szCs w:val="20"/>
                <w:lang w:eastAsia="en-GB"/>
              </w:rPr>
              <w:t xml:space="preserve">PM_ES2 aligns with the EU Energy System Integration Strategy which aims for more physical links between energy carriers. This calls for a new, holistic approach for both large-scale and local infrastructure planning, including the protection and resilience of critical infrastructures. Furthermore, the strategy infers that infrastructure planning should facilitate the integration of various energy carriers and arbitrate between the development of new infrastructure or re-purposing of existing ones. In response Serbia should follow the developments in regards to the revision of the of the TEN-E and TEN-T regulations which will fully support a more integrated energy system, including through greater synergies between the energy and transport infrastructure. In addition, the country should follow-on with the developments in the EU and review the scope and governance of the TYNDP to ensure full consistency with the EU’s decarbonisation objectives and cross-sectoral infrastructure planning as part of the revision of the TEN-E Regulation and other relevant legislation. </w:t>
            </w:r>
            <w:r w:rsidRPr="00A33AE8">
              <w:rPr>
                <w:rFonts w:asciiTheme="majorHAnsi" w:eastAsia="Times New Roman" w:hAnsiTheme="majorHAnsi" w:cstheme="majorHAnsi"/>
                <w:color w:val="000000"/>
                <w:sz w:val="20"/>
                <w:szCs w:val="20"/>
                <w:lang w:eastAsia="en-GB"/>
              </w:rPr>
              <w:br/>
              <w:t xml:space="preserve">ES2 for Electricity includes the Interconnection projects are included in the Serbian TYNDP 2021-2030, namely: </w:t>
            </w:r>
            <w:r w:rsidR="006D41E1" w:rsidRPr="00A33AE8">
              <w:rPr>
                <w:rFonts w:asciiTheme="majorHAnsi" w:eastAsia="Times New Roman" w:hAnsiTheme="majorHAnsi" w:cstheme="majorHAnsi"/>
                <w:color w:val="000000"/>
                <w:sz w:val="20"/>
                <w:szCs w:val="20"/>
                <w:lang w:eastAsia="en-GB"/>
              </w:rPr>
              <w:t xml:space="preserve">1) Transbalkan </w:t>
            </w:r>
            <w:r w:rsidR="008C72A0" w:rsidRPr="00A33AE8">
              <w:rPr>
                <w:rFonts w:asciiTheme="majorHAnsi" w:eastAsia="Times New Roman" w:hAnsiTheme="majorHAnsi" w:cstheme="majorHAnsi"/>
                <w:color w:val="000000"/>
                <w:sz w:val="20"/>
                <w:szCs w:val="20"/>
                <w:lang w:eastAsia="en-GB"/>
              </w:rPr>
              <w:t xml:space="preserve">Corridor </w:t>
            </w:r>
            <w:r w:rsidR="006D41E1" w:rsidRPr="00A33AE8">
              <w:rPr>
                <w:rFonts w:asciiTheme="majorHAnsi" w:eastAsia="Times New Roman" w:hAnsiTheme="majorHAnsi" w:cstheme="majorHAnsi"/>
                <w:color w:val="000000"/>
                <w:sz w:val="20"/>
                <w:szCs w:val="20"/>
                <w:lang w:eastAsia="en-GB"/>
              </w:rPr>
              <w:t xml:space="preserve">– first phase, 2) North </w:t>
            </w:r>
            <w:r w:rsidR="008C72A0" w:rsidRPr="000007D2">
              <w:rPr>
                <w:rFonts w:asciiTheme="majorHAnsi" w:eastAsia="Times New Roman" w:hAnsiTheme="majorHAnsi" w:cstheme="majorHAnsi"/>
                <w:color w:val="000000"/>
                <w:sz w:val="20"/>
                <w:szCs w:val="20"/>
                <w:lang w:eastAsia="en-GB"/>
              </w:rPr>
              <w:t>C</w:t>
            </w:r>
            <w:r w:rsidR="006D41E1" w:rsidRPr="00A33AE8">
              <w:rPr>
                <w:rFonts w:asciiTheme="majorHAnsi" w:eastAsia="Times New Roman" w:hAnsiTheme="majorHAnsi" w:cstheme="majorHAnsi"/>
                <w:color w:val="000000"/>
                <w:sz w:val="20"/>
                <w:szCs w:val="20"/>
                <w:lang w:eastAsia="en-GB"/>
              </w:rPr>
              <w:t>orridor, 3) Central-</w:t>
            </w:r>
            <w:r w:rsidR="008C72A0" w:rsidRPr="00A33AE8">
              <w:rPr>
                <w:rFonts w:asciiTheme="majorHAnsi" w:eastAsia="Times New Roman" w:hAnsiTheme="majorHAnsi" w:cstheme="majorHAnsi"/>
                <w:color w:val="000000"/>
                <w:sz w:val="20"/>
                <w:szCs w:val="20"/>
                <w:lang w:eastAsia="en-GB"/>
              </w:rPr>
              <w:t xml:space="preserve">Balkan Corridor </w:t>
            </w:r>
            <w:r w:rsidR="006D41E1" w:rsidRPr="00A33AE8">
              <w:rPr>
                <w:rFonts w:asciiTheme="majorHAnsi" w:eastAsia="Times New Roman" w:hAnsiTheme="majorHAnsi" w:cstheme="majorHAnsi"/>
                <w:color w:val="000000"/>
                <w:sz w:val="20"/>
                <w:szCs w:val="20"/>
                <w:lang w:eastAsia="en-GB"/>
              </w:rPr>
              <w:t xml:space="preserve">with an implementation horizon after 2030 and 4) Pannonian corridor with an implementation horizon </w:t>
            </w:r>
            <w:r w:rsidR="00091E4C" w:rsidRPr="00A33AE8">
              <w:rPr>
                <w:rFonts w:asciiTheme="majorHAnsi" w:eastAsia="Times New Roman" w:hAnsiTheme="majorHAnsi" w:cstheme="majorHAnsi"/>
                <w:color w:val="000000"/>
                <w:sz w:val="20"/>
                <w:szCs w:val="20"/>
                <w:lang w:eastAsia="en-GB"/>
              </w:rPr>
              <w:t xml:space="preserve">after </w:t>
            </w:r>
            <w:r w:rsidR="006D41E1" w:rsidRPr="00A33AE8">
              <w:rPr>
                <w:rFonts w:asciiTheme="majorHAnsi" w:eastAsia="Times New Roman" w:hAnsiTheme="majorHAnsi" w:cstheme="majorHAnsi"/>
                <w:color w:val="000000"/>
                <w:sz w:val="20"/>
                <w:szCs w:val="20"/>
                <w:lang w:eastAsia="en-GB"/>
              </w:rPr>
              <w:t>2030 but not later than 2035 and the 400 kV OHL between Serbia and Croatia with an implementation horizon that extends beyond 2030.</w:t>
            </w:r>
            <w:r w:rsidR="00D53185" w:rsidRPr="00A33AE8">
              <w:rPr>
                <w:rFonts w:asciiTheme="majorHAnsi" w:eastAsia="Times New Roman" w:hAnsiTheme="majorHAnsi" w:cstheme="majorHAnsi"/>
                <w:color w:val="000000"/>
                <w:sz w:val="20"/>
                <w:szCs w:val="20"/>
                <w:lang w:eastAsia="en-GB"/>
              </w:rPr>
              <w:t xml:space="preserve"> (Important note: the aforementioned electricity projects are discussed on an individual basis later on in the description of measures PM_IEM1 to PM_IEM6)</w:t>
            </w:r>
          </w:p>
          <w:p w14:paraId="51C8344E" w14:textId="23DB4495" w:rsidR="00751097" w:rsidRPr="00A33AE8" w:rsidRDefault="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PM_ES2 for gas includes the cumulative interconnections may be considered as stemming from PLIMA and relevant to gas interconnections: Gas_10 (TRA-N-70) Interconnector Serbia-Croatia, Gas_11 (TRA-N-965) Interconnector Serbia-North Macedonia, G08 Serbia-Romania (not included in ENTSOG TYNDP 2020, TRA-N-1268 in TYNDP 2018)</w:t>
            </w:r>
            <w:r w:rsidR="006D481B">
              <w:rPr>
                <w:rFonts w:asciiTheme="majorHAnsi" w:eastAsia="Times New Roman" w:hAnsiTheme="majorHAnsi" w:cstheme="majorHAnsi"/>
                <w:color w:val="000000"/>
                <w:sz w:val="20"/>
                <w:szCs w:val="20"/>
                <w:lang w:eastAsia="en-GB"/>
              </w:rPr>
              <w:t>.</w:t>
            </w:r>
          </w:p>
        </w:tc>
      </w:tr>
      <w:tr w:rsidR="00751097" w:rsidRPr="00A33AE8" w14:paraId="78D4939A" w14:textId="77777777" w:rsidTr="004B71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6B3641AD"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50" w:type="dxa"/>
            <w:gridSpan w:val="3"/>
            <w:tcBorders>
              <w:top w:val="single" w:sz="8" w:space="0" w:color="auto"/>
              <w:left w:val="nil"/>
              <w:bottom w:val="single" w:sz="8" w:space="0" w:color="auto"/>
              <w:right w:val="single" w:sz="8" w:space="0" w:color="000000"/>
            </w:tcBorders>
            <w:vAlign w:val="center"/>
            <w:hideMark/>
          </w:tcPr>
          <w:p w14:paraId="1B82827C" w14:textId="77777777" w:rsidR="00751097" w:rsidRPr="00A33AE8" w:rsidRDefault="00751097">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751097" w:rsidRPr="00A33AE8" w14:paraId="04BBA632" w14:textId="77777777" w:rsidTr="004B71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0E2F82DE"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50" w:type="dxa"/>
            <w:gridSpan w:val="3"/>
            <w:tcBorders>
              <w:top w:val="single" w:sz="8" w:space="0" w:color="auto"/>
              <w:left w:val="nil"/>
              <w:bottom w:val="single" w:sz="8" w:space="0" w:color="auto"/>
              <w:right w:val="single" w:sz="8" w:space="0" w:color="000000"/>
            </w:tcBorders>
            <w:vAlign w:val="center"/>
            <w:hideMark/>
          </w:tcPr>
          <w:p w14:paraId="4FBC454E"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751097" w:rsidRPr="00A33AE8" w14:paraId="65FB7949" w14:textId="77777777" w:rsidTr="004B71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2DE36C03"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50" w:type="dxa"/>
            <w:gridSpan w:val="3"/>
            <w:tcBorders>
              <w:top w:val="single" w:sz="8" w:space="0" w:color="auto"/>
              <w:left w:val="nil"/>
              <w:bottom w:val="single" w:sz="8" w:space="0" w:color="auto"/>
              <w:right w:val="single" w:sz="8" w:space="0" w:color="000000"/>
            </w:tcBorders>
            <w:vAlign w:val="center"/>
            <w:hideMark/>
          </w:tcPr>
          <w:p w14:paraId="08B36A23" w14:textId="77777777" w:rsidR="00751097" w:rsidRPr="00A33AE8" w:rsidRDefault="00751097">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 Gas</w:t>
            </w:r>
          </w:p>
        </w:tc>
      </w:tr>
      <w:tr w:rsidR="00751097" w:rsidRPr="00A33AE8" w14:paraId="3C02EAC5" w14:textId="77777777" w:rsidTr="004B71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7B68C4AD"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50" w:type="dxa"/>
            <w:gridSpan w:val="3"/>
            <w:tcBorders>
              <w:top w:val="single" w:sz="8" w:space="0" w:color="auto"/>
              <w:left w:val="nil"/>
              <w:bottom w:val="single" w:sz="8" w:space="0" w:color="auto"/>
              <w:right w:val="single" w:sz="8" w:space="0" w:color="000000"/>
            </w:tcBorders>
            <w:vAlign w:val="center"/>
            <w:hideMark/>
          </w:tcPr>
          <w:p w14:paraId="7D4E14E8" w14:textId="77777777" w:rsidR="00C963EB" w:rsidRPr="00A33AE8" w:rsidRDefault="00245A42"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3785166C" w14:textId="77777777" w:rsidR="00C963EB" w:rsidRPr="00A33AE8" w:rsidRDefault="006D41E1"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07B9F6BE" w14:textId="77777777" w:rsidR="00C963EB" w:rsidRPr="00A33AE8" w:rsidRDefault="00751097"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p w14:paraId="043B91C5" w14:textId="77777777" w:rsidR="00C963EB" w:rsidRPr="00A33AE8" w:rsidRDefault="00751097"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Srbijagas</w:t>
            </w:r>
          </w:p>
          <w:p w14:paraId="7C53F5A0" w14:textId="77777777" w:rsidR="00F93E76" w:rsidRPr="00A33AE8" w:rsidRDefault="00751097"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Donors</w:t>
            </w:r>
          </w:p>
        </w:tc>
      </w:tr>
      <w:tr w:rsidR="00751097" w:rsidRPr="00A33AE8" w14:paraId="1420FE23" w14:textId="77777777" w:rsidTr="004B71DA">
        <w:trPr>
          <w:gridAfter w:val="1"/>
          <w:wAfter w:w="1212" w:type="dxa"/>
          <w:trHeight w:val="315"/>
        </w:trPr>
        <w:tc>
          <w:tcPr>
            <w:tcW w:w="3338" w:type="dxa"/>
            <w:tcBorders>
              <w:top w:val="nil"/>
              <w:left w:val="single" w:sz="8" w:space="0" w:color="auto"/>
              <w:bottom w:val="single" w:sz="8" w:space="0" w:color="auto"/>
              <w:right w:val="nil"/>
            </w:tcBorders>
            <w:shd w:val="clear" w:color="auto" w:fill="244062"/>
            <w:vAlign w:val="center"/>
            <w:hideMark/>
          </w:tcPr>
          <w:p w14:paraId="56F553EB"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50" w:type="dxa"/>
            <w:gridSpan w:val="3"/>
            <w:tcBorders>
              <w:top w:val="single" w:sz="8" w:space="0" w:color="auto"/>
              <w:left w:val="nil"/>
              <w:bottom w:val="single" w:sz="8" w:space="0" w:color="auto"/>
              <w:right w:val="single" w:sz="8" w:space="0" w:color="000000"/>
            </w:tcBorders>
            <w:vAlign w:val="center"/>
            <w:hideMark/>
          </w:tcPr>
          <w:p w14:paraId="1CA13BBC" w14:textId="77777777" w:rsidR="00C963EB" w:rsidRPr="00A33AE8" w:rsidRDefault="00245A42"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07D5B35" w14:textId="77777777" w:rsidR="00751097" w:rsidRPr="000007D2" w:rsidRDefault="00343B13"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Construction, Transport and Infrastructure</w:t>
            </w:r>
          </w:p>
        </w:tc>
      </w:tr>
      <w:tr w:rsidR="00751097" w:rsidRPr="00A33AE8" w14:paraId="795EEF99" w14:textId="77777777" w:rsidTr="004B71DA">
        <w:trPr>
          <w:gridAfter w:val="1"/>
          <w:wAfter w:w="1212" w:type="dxa"/>
          <w:trHeight w:val="315"/>
        </w:trPr>
        <w:tc>
          <w:tcPr>
            <w:tcW w:w="3338" w:type="dxa"/>
            <w:tcBorders>
              <w:top w:val="nil"/>
              <w:left w:val="single" w:sz="8" w:space="0" w:color="auto"/>
              <w:bottom w:val="single" w:sz="8" w:space="0" w:color="auto"/>
              <w:right w:val="nil"/>
            </w:tcBorders>
            <w:shd w:val="clear" w:color="auto" w:fill="244062"/>
            <w:vAlign w:val="center"/>
            <w:hideMark/>
          </w:tcPr>
          <w:p w14:paraId="50C23E2F"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50" w:type="dxa"/>
            <w:gridSpan w:val="3"/>
            <w:tcBorders>
              <w:top w:val="single" w:sz="8" w:space="0" w:color="auto"/>
              <w:left w:val="nil"/>
              <w:bottom w:val="single" w:sz="8" w:space="0" w:color="auto"/>
              <w:right w:val="single" w:sz="8" w:space="0" w:color="000000"/>
            </w:tcBorders>
            <w:vAlign w:val="center"/>
            <w:hideMark/>
          </w:tcPr>
          <w:p w14:paraId="46D87720" w14:textId="77777777" w:rsidR="00751097" w:rsidRPr="00A33AE8" w:rsidRDefault="00751097">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847AD0" w:rsidRPr="00A33AE8">
              <w:rPr>
                <w:rFonts w:asciiTheme="majorHAnsi" w:eastAsia="Times New Roman" w:hAnsiTheme="majorHAnsi" w:cstheme="majorHAnsi"/>
                <w:color w:val="000000"/>
                <w:sz w:val="20"/>
                <w:szCs w:val="20"/>
                <w:lang w:eastAsia="en-GB"/>
              </w:rPr>
              <w:t>Interconnectivity targets</w:t>
            </w:r>
          </w:p>
        </w:tc>
      </w:tr>
      <w:tr w:rsidR="00A0226E" w:rsidRPr="00A33AE8" w14:paraId="1063618A" w14:textId="77777777" w:rsidTr="004B71DA">
        <w:trPr>
          <w:gridAfter w:val="1"/>
          <w:wAfter w:w="1212" w:type="dxa"/>
          <w:trHeight w:val="804"/>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4A1AACC7"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50" w:type="dxa"/>
            <w:gridSpan w:val="3"/>
            <w:tcBorders>
              <w:top w:val="single" w:sz="8" w:space="0" w:color="auto"/>
              <w:left w:val="nil"/>
              <w:bottom w:val="single" w:sz="8" w:space="0" w:color="auto"/>
              <w:right w:val="single" w:sz="8" w:space="0" w:color="000000"/>
            </w:tcBorders>
            <w:vAlign w:val="center"/>
            <w:hideMark/>
          </w:tcPr>
          <w:p w14:paraId="7C633338" w14:textId="77777777" w:rsidR="00A0226E" w:rsidRPr="00A33AE8" w:rsidRDefault="00A0226E"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04B0DEE3" w14:textId="77777777" w:rsidR="00A0226E" w:rsidRPr="00A33AE8" w:rsidRDefault="00A0226E" w:rsidP="00884F3B">
            <w:pPr>
              <w:pStyle w:val="ListParagraph"/>
              <w:numPr>
                <w:ilvl w:val="0"/>
                <w:numId w:val="1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CE2D90" w:rsidRPr="00A33AE8" w14:paraId="205174A1" w14:textId="77777777" w:rsidTr="004B71DA">
        <w:trPr>
          <w:gridAfter w:val="1"/>
          <w:wAfter w:w="1212" w:type="dxa"/>
          <w:trHeight w:val="450"/>
        </w:trPr>
        <w:tc>
          <w:tcPr>
            <w:tcW w:w="3338" w:type="dxa"/>
            <w:vMerge w:val="restart"/>
            <w:tcBorders>
              <w:top w:val="nil"/>
              <w:left w:val="single" w:sz="8" w:space="0" w:color="auto"/>
              <w:bottom w:val="single" w:sz="8" w:space="0" w:color="000000"/>
              <w:right w:val="single" w:sz="8" w:space="0" w:color="auto"/>
            </w:tcBorders>
            <w:shd w:val="clear" w:color="auto" w:fill="244062"/>
            <w:vAlign w:val="center"/>
            <w:hideMark/>
          </w:tcPr>
          <w:p w14:paraId="4FA1B204" w14:textId="77777777" w:rsidR="00CE2D90" w:rsidRPr="00A33AE8" w:rsidRDefault="00CE2D90" w:rsidP="00CE2D90">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5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93716DA" w14:textId="77777777" w:rsidR="00A00F63" w:rsidRPr="00A33AE8" w:rsidRDefault="00A00F63" w:rsidP="00884F3B">
            <w:pPr>
              <w:pStyle w:val="ListParagraph"/>
              <w:numPr>
                <w:ilvl w:val="0"/>
                <w:numId w:val="3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2174630B" w14:textId="77777777" w:rsidR="004B71DA" w:rsidRPr="00A33AE8" w:rsidRDefault="00CE2D90" w:rsidP="00884F3B">
            <w:pPr>
              <w:pStyle w:val="ListParagraph"/>
              <w:numPr>
                <w:ilvl w:val="0"/>
                <w:numId w:val="3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0908592B" w14:textId="17E05B72" w:rsidR="00CE2D90" w:rsidRPr="00A33AE8" w:rsidRDefault="00CE2D90" w:rsidP="00884F3B">
            <w:pPr>
              <w:pStyle w:val="ListParagraph"/>
              <w:numPr>
                <w:ilvl w:val="0"/>
                <w:numId w:val="3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No 347/2013</w:t>
            </w:r>
          </w:p>
        </w:tc>
      </w:tr>
      <w:tr w:rsidR="00751097" w:rsidRPr="00A33AE8" w14:paraId="0EBBA22D"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6FF40C31"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hideMark/>
          </w:tcPr>
          <w:p w14:paraId="0084AD7D" w14:textId="77777777" w:rsidR="00751097" w:rsidRPr="00A33AE8" w:rsidRDefault="00751097">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D004748" w14:textId="77777777" w:rsidR="00751097" w:rsidRPr="00A33AE8" w:rsidRDefault="00751097"/>
        </w:tc>
      </w:tr>
      <w:tr w:rsidR="00751097" w:rsidRPr="00A33AE8" w14:paraId="03695E23" w14:textId="77777777" w:rsidTr="004B71DA">
        <w:trPr>
          <w:trHeight w:val="60"/>
        </w:trPr>
        <w:tc>
          <w:tcPr>
            <w:tcW w:w="0" w:type="auto"/>
            <w:vMerge/>
            <w:tcBorders>
              <w:top w:val="nil"/>
              <w:left w:val="single" w:sz="8" w:space="0" w:color="auto"/>
              <w:bottom w:val="single" w:sz="8" w:space="0" w:color="000000"/>
              <w:right w:val="single" w:sz="8" w:space="0" w:color="auto"/>
            </w:tcBorders>
            <w:vAlign w:val="center"/>
            <w:hideMark/>
          </w:tcPr>
          <w:p w14:paraId="4F495184"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hideMark/>
          </w:tcPr>
          <w:p w14:paraId="4AC9257F" w14:textId="77777777" w:rsidR="00751097" w:rsidRPr="00A33AE8" w:rsidRDefault="00751097">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1B04C3C" w14:textId="77777777" w:rsidR="00751097" w:rsidRPr="00A33AE8" w:rsidRDefault="00751097">
            <w:pPr>
              <w:spacing w:after="0" w:line="256" w:lineRule="auto"/>
              <w:rPr>
                <w:sz w:val="20"/>
                <w:szCs w:val="20"/>
                <w:lang w:eastAsia="en-GB"/>
              </w:rPr>
            </w:pPr>
          </w:p>
        </w:tc>
      </w:tr>
      <w:tr w:rsidR="00751097" w:rsidRPr="00A33AE8" w14:paraId="2499888B" w14:textId="77777777" w:rsidTr="004B71DA">
        <w:trPr>
          <w:trHeight w:val="780"/>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7C4D0B00"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50" w:type="dxa"/>
            <w:gridSpan w:val="3"/>
            <w:tcBorders>
              <w:top w:val="single" w:sz="8" w:space="0" w:color="auto"/>
              <w:left w:val="nil"/>
              <w:bottom w:val="single" w:sz="8" w:space="0" w:color="auto"/>
              <w:right w:val="single" w:sz="8" w:space="0" w:color="000000"/>
            </w:tcBorders>
            <w:vAlign w:val="center"/>
            <w:hideMark/>
          </w:tcPr>
          <w:p w14:paraId="32ABF83C" w14:textId="77777777" w:rsidR="00751097" w:rsidRPr="00A33AE8" w:rsidRDefault="00751097"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p w14:paraId="0A5EEBBE" w14:textId="77777777" w:rsidR="00751097" w:rsidRPr="00A33AE8" w:rsidRDefault="00847AD0"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Serbian TYNDP 2021-2030</w:t>
            </w:r>
          </w:p>
        </w:tc>
        <w:tc>
          <w:tcPr>
            <w:tcW w:w="1212" w:type="dxa"/>
            <w:vAlign w:val="center"/>
            <w:hideMark/>
          </w:tcPr>
          <w:p w14:paraId="7686989C" w14:textId="77777777" w:rsidR="00751097" w:rsidRPr="00A33AE8" w:rsidRDefault="00751097">
            <w:pPr>
              <w:rPr>
                <w:rFonts w:asciiTheme="majorHAnsi" w:eastAsia="Times New Roman" w:hAnsiTheme="majorHAnsi" w:cstheme="majorHAnsi"/>
                <w:color w:val="000000"/>
                <w:sz w:val="20"/>
                <w:szCs w:val="20"/>
                <w:lang w:eastAsia="en-GB"/>
              </w:rPr>
            </w:pPr>
          </w:p>
        </w:tc>
      </w:tr>
      <w:tr w:rsidR="004B71DA" w:rsidRPr="00A33AE8" w14:paraId="38912769" w14:textId="77777777" w:rsidTr="004B71DA">
        <w:trPr>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3117F751"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50" w:type="dxa"/>
            <w:gridSpan w:val="3"/>
            <w:tcBorders>
              <w:top w:val="single" w:sz="8" w:space="0" w:color="auto"/>
              <w:left w:val="nil"/>
              <w:bottom w:val="single" w:sz="8" w:space="0" w:color="auto"/>
              <w:right w:val="single" w:sz="8" w:space="0" w:color="000000"/>
            </w:tcBorders>
            <w:vAlign w:val="center"/>
            <w:hideMark/>
          </w:tcPr>
          <w:p w14:paraId="7F77A874" w14:textId="77777777" w:rsidR="004B71DA" w:rsidRPr="00A33AE8" w:rsidRDefault="0050246E"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187.2</w:t>
            </w:r>
            <w:r w:rsidR="007B2BAE" w:rsidRPr="00A33AE8">
              <w:rPr>
                <w:rFonts w:asciiTheme="majorHAnsi" w:eastAsia="Times New Roman" w:hAnsiTheme="majorHAnsi" w:cstheme="majorHAnsi"/>
                <w:color w:val="000000"/>
                <w:sz w:val="20"/>
                <w:szCs w:val="20"/>
                <w:lang w:eastAsia="en-GB"/>
              </w:rPr>
              <w:t xml:space="preserve"> M</w:t>
            </w:r>
            <w:r w:rsidR="007B2BAE" w:rsidRPr="00A33AE8">
              <w:rPr>
                <w:rFonts w:ascii="Calibri" w:eastAsia="Times New Roman" w:hAnsi="Calibri" w:cs="Calibri"/>
                <w:color w:val="000000"/>
                <w:sz w:val="20"/>
                <w:szCs w:val="20"/>
                <w:lang w:eastAsia="en-GB"/>
              </w:rPr>
              <w:t>€</w:t>
            </w:r>
          </w:p>
        </w:tc>
        <w:tc>
          <w:tcPr>
            <w:tcW w:w="1212" w:type="dxa"/>
            <w:vAlign w:val="center"/>
            <w:hideMark/>
          </w:tcPr>
          <w:p w14:paraId="2C8655AA" w14:textId="77777777" w:rsidR="004B71DA" w:rsidRPr="00A33AE8" w:rsidRDefault="004B71DA" w:rsidP="004B71DA">
            <w:pPr>
              <w:rPr>
                <w:rFonts w:asciiTheme="majorHAnsi" w:eastAsia="Times New Roman" w:hAnsiTheme="majorHAnsi" w:cstheme="majorHAnsi"/>
                <w:color w:val="000000"/>
                <w:sz w:val="20"/>
                <w:szCs w:val="20"/>
                <w:lang w:eastAsia="en-GB"/>
              </w:rPr>
            </w:pPr>
          </w:p>
        </w:tc>
      </w:tr>
      <w:tr w:rsidR="007B2BAE" w:rsidRPr="00A33AE8" w14:paraId="6415BDAA" w14:textId="77777777" w:rsidTr="004B71DA">
        <w:trPr>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33A1BA04" w14:textId="77777777" w:rsidR="007B2BAE" w:rsidRPr="00A33AE8" w:rsidRDefault="007B2BAE" w:rsidP="007B2BAE">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50" w:type="dxa"/>
            <w:gridSpan w:val="3"/>
            <w:tcBorders>
              <w:top w:val="single" w:sz="8" w:space="0" w:color="auto"/>
              <w:left w:val="nil"/>
              <w:bottom w:val="single" w:sz="8" w:space="0" w:color="auto"/>
              <w:right w:val="single" w:sz="8" w:space="0" w:color="000000"/>
            </w:tcBorders>
            <w:vAlign w:val="center"/>
            <w:hideMark/>
          </w:tcPr>
          <w:p w14:paraId="5E6A013F" w14:textId="77777777" w:rsidR="007B2BAE" w:rsidRPr="00A33AE8" w:rsidRDefault="007B2BAE" w:rsidP="007B2BAE">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23BEA6E7" w14:textId="77777777" w:rsidR="007B2BAE" w:rsidRPr="00A33AE8" w:rsidRDefault="007B2BAE" w:rsidP="007B2BAE">
            <w:pPr>
              <w:rPr>
                <w:rFonts w:asciiTheme="majorHAnsi" w:eastAsia="Times New Roman" w:hAnsiTheme="majorHAnsi" w:cstheme="majorHAnsi"/>
                <w:color w:val="000000"/>
                <w:sz w:val="20"/>
                <w:szCs w:val="20"/>
                <w:lang w:eastAsia="en-GB"/>
              </w:rPr>
            </w:pPr>
          </w:p>
        </w:tc>
      </w:tr>
    </w:tbl>
    <w:p w14:paraId="311A031E"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42"/>
        <w:gridCol w:w="942"/>
        <w:gridCol w:w="945"/>
        <w:gridCol w:w="4259"/>
        <w:gridCol w:w="1212"/>
      </w:tblGrid>
      <w:tr w:rsidR="006D41E1" w:rsidRPr="00A33AE8" w14:paraId="0BACC762" w14:textId="77777777" w:rsidTr="004B71DA">
        <w:trPr>
          <w:gridAfter w:val="1"/>
          <w:wAfter w:w="1212" w:type="dxa"/>
          <w:trHeight w:val="780"/>
        </w:trPr>
        <w:tc>
          <w:tcPr>
            <w:tcW w:w="3342"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DF66001" w14:textId="77777777" w:rsidR="006D41E1" w:rsidRPr="00A33AE8" w:rsidRDefault="006D41E1" w:rsidP="006D41E1">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7FCDD27D" w14:textId="77777777" w:rsidR="006D41E1" w:rsidRPr="00A33AE8" w:rsidRDefault="006D41E1" w:rsidP="006D41E1">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ES3</w:t>
            </w:r>
          </w:p>
        </w:tc>
        <w:tc>
          <w:tcPr>
            <w:tcW w:w="945" w:type="dxa"/>
            <w:tcBorders>
              <w:top w:val="single" w:sz="8" w:space="0" w:color="auto"/>
              <w:left w:val="nil"/>
              <w:bottom w:val="single" w:sz="8" w:space="0" w:color="auto"/>
              <w:right w:val="single" w:sz="8" w:space="0" w:color="auto"/>
            </w:tcBorders>
            <w:shd w:val="clear" w:color="auto" w:fill="244062"/>
            <w:vAlign w:val="center"/>
            <w:hideMark/>
          </w:tcPr>
          <w:p w14:paraId="1610F43B" w14:textId="77777777" w:rsidR="006D41E1" w:rsidRPr="00A33AE8" w:rsidRDefault="006D41E1" w:rsidP="006D41E1">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59" w:type="dxa"/>
            <w:tcBorders>
              <w:top w:val="single" w:sz="8" w:space="0" w:color="auto"/>
              <w:left w:val="nil"/>
              <w:bottom w:val="single" w:sz="8" w:space="0" w:color="auto"/>
              <w:right w:val="single" w:sz="8" w:space="0" w:color="auto"/>
            </w:tcBorders>
            <w:shd w:val="clear" w:color="auto" w:fill="E7E6E6" w:themeFill="background2"/>
            <w:vAlign w:val="center"/>
            <w:hideMark/>
          </w:tcPr>
          <w:p w14:paraId="237647CA" w14:textId="77777777" w:rsidR="006D41E1" w:rsidRPr="000007D2" w:rsidRDefault="006D41E1" w:rsidP="006D41E1">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 xml:space="preserve">Building capacities for </w:t>
            </w:r>
            <w:r w:rsidR="00343B13" w:rsidRPr="00A33AE8">
              <w:rPr>
                <w:rFonts w:asciiTheme="majorHAnsi" w:eastAsia="Times New Roman" w:hAnsiTheme="majorHAnsi" w:cstheme="majorHAnsi"/>
                <w:b/>
                <w:bCs/>
                <w:color w:val="000000"/>
                <w:sz w:val="20"/>
                <w:szCs w:val="20"/>
                <w:lang w:eastAsia="en-GB"/>
              </w:rPr>
              <w:t xml:space="preserve">electricity </w:t>
            </w:r>
            <w:r w:rsidRPr="00A33AE8">
              <w:rPr>
                <w:rFonts w:asciiTheme="majorHAnsi" w:eastAsia="Times New Roman" w:hAnsiTheme="majorHAnsi" w:cstheme="majorHAnsi"/>
                <w:b/>
                <w:bCs/>
                <w:color w:val="000000"/>
                <w:sz w:val="20"/>
                <w:szCs w:val="20"/>
                <w:lang w:eastAsia="en-GB"/>
              </w:rPr>
              <w:t>storage</w:t>
            </w:r>
          </w:p>
        </w:tc>
      </w:tr>
      <w:tr w:rsidR="00751097" w:rsidRPr="00A33AE8" w14:paraId="62E7A86D" w14:textId="77777777" w:rsidTr="00FE139E">
        <w:trPr>
          <w:gridAfter w:val="1"/>
          <w:wAfter w:w="1212" w:type="dxa"/>
          <w:trHeight w:val="257"/>
        </w:trPr>
        <w:tc>
          <w:tcPr>
            <w:tcW w:w="3342" w:type="dxa"/>
            <w:tcBorders>
              <w:top w:val="nil"/>
              <w:left w:val="single" w:sz="8" w:space="0" w:color="auto"/>
              <w:bottom w:val="single" w:sz="8" w:space="0" w:color="auto"/>
              <w:right w:val="nil"/>
            </w:tcBorders>
            <w:shd w:val="clear" w:color="auto" w:fill="244062"/>
            <w:vAlign w:val="center"/>
            <w:hideMark/>
          </w:tcPr>
          <w:p w14:paraId="7E69BA83"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46" w:type="dxa"/>
            <w:gridSpan w:val="3"/>
            <w:tcBorders>
              <w:top w:val="single" w:sz="8" w:space="0" w:color="auto"/>
              <w:left w:val="nil"/>
              <w:bottom w:val="single" w:sz="8" w:space="0" w:color="auto"/>
              <w:right w:val="single" w:sz="8" w:space="0" w:color="000000"/>
            </w:tcBorders>
            <w:vAlign w:val="center"/>
            <w:hideMark/>
          </w:tcPr>
          <w:p w14:paraId="39253178" w14:textId="77777777" w:rsidR="00751097" w:rsidRPr="00A33AE8" w:rsidRDefault="007F7ED1" w:rsidP="00B6097F">
            <w:pPr>
              <w:spacing w:after="0"/>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r w:rsidR="00D32864" w:rsidRPr="00D32864">
              <w:rPr>
                <w:rFonts w:asciiTheme="majorHAnsi" w:eastAsia="Times New Roman" w:hAnsiTheme="majorHAnsi" w:cstheme="majorHAnsi"/>
                <w:color w:val="000000"/>
                <w:sz w:val="20"/>
                <w:szCs w:val="20"/>
                <w:lang w:eastAsia="en-GB"/>
              </w:rPr>
              <w:t>, development of low carbon new technologies</w:t>
            </w:r>
          </w:p>
        </w:tc>
      </w:tr>
      <w:tr w:rsidR="00751097" w:rsidRPr="00A33AE8" w14:paraId="58F03010" w14:textId="77777777" w:rsidTr="00B6097F">
        <w:trPr>
          <w:gridAfter w:val="1"/>
          <w:wAfter w:w="1212" w:type="dxa"/>
          <w:trHeight w:val="251"/>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6C3543A6"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46" w:type="dxa"/>
            <w:gridSpan w:val="3"/>
            <w:tcBorders>
              <w:top w:val="single" w:sz="8" w:space="0" w:color="auto"/>
              <w:left w:val="nil"/>
              <w:bottom w:val="single" w:sz="8" w:space="0" w:color="auto"/>
              <w:right w:val="single" w:sz="8" w:space="0" w:color="000000"/>
            </w:tcBorders>
            <w:vAlign w:val="center"/>
            <w:hideMark/>
          </w:tcPr>
          <w:p w14:paraId="52712047" w14:textId="77777777" w:rsidR="00751097" w:rsidRPr="000007D2" w:rsidRDefault="007F7ED1" w:rsidP="000007D2">
            <w:pPr>
              <w:spacing w:after="0"/>
              <w:rPr>
                <w:rFonts w:asciiTheme="majorHAnsi" w:eastAsia="Times New Roman" w:hAnsiTheme="majorHAnsi" w:cstheme="majorHAnsi"/>
                <w:color w:val="000000" w:themeColor="text1"/>
                <w:sz w:val="20"/>
                <w:szCs w:val="20"/>
                <w:lang w:eastAsia="en-GB"/>
              </w:rPr>
            </w:pPr>
            <w:r w:rsidRPr="000007D2">
              <w:rPr>
                <w:rFonts w:asciiTheme="majorHAnsi" w:eastAsia="Times New Roman" w:hAnsiTheme="majorHAnsi" w:cstheme="majorHAnsi"/>
                <w:color w:val="000000" w:themeColor="text1"/>
                <w:sz w:val="20"/>
                <w:szCs w:val="20"/>
                <w:lang w:eastAsia="en-GB"/>
              </w:rPr>
              <w:t xml:space="preserve">Storage capacity [MWh] cumulatively installed in the </w:t>
            </w:r>
            <w:r w:rsidR="000E0CA4" w:rsidRPr="000007D2">
              <w:rPr>
                <w:rFonts w:asciiTheme="majorHAnsi" w:eastAsia="Times New Roman" w:hAnsiTheme="majorHAnsi" w:cstheme="majorHAnsi"/>
                <w:color w:val="000000" w:themeColor="text1"/>
                <w:sz w:val="20"/>
                <w:szCs w:val="20"/>
                <w:lang w:eastAsia="en-GB"/>
              </w:rPr>
              <w:t>Serbian power system</w:t>
            </w:r>
          </w:p>
        </w:tc>
      </w:tr>
      <w:tr w:rsidR="006D41E1" w:rsidRPr="00A33AE8" w14:paraId="59DF71A5" w14:textId="77777777" w:rsidTr="00B6097F">
        <w:trPr>
          <w:gridAfter w:val="1"/>
          <w:wAfter w:w="1212" w:type="dxa"/>
          <w:trHeight w:val="443"/>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170C1B6" w14:textId="77777777" w:rsidR="006D41E1" w:rsidRPr="00A33AE8" w:rsidRDefault="006D41E1" w:rsidP="006D41E1">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46" w:type="dxa"/>
            <w:gridSpan w:val="3"/>
            <w:tcBorders>
              <w:top w:val="single" w:sz="8" w:space="0" w:color="auto"/>
              <w:left w:val="nil"/>
              <w:bottom w:val="single" w:sz="8" w:space="0" w:color="auto"/>
              <w:right w:val="single" w:sz="8" w:space="0" w:color="000000"/>
            </w:tcBorders>
            <w:vAlign w:val="center"/>
            <w:hideMark/>
          </w:tcPr>
          <w:p w14:paraId="2DC42C2C" w14:textId="1520D80B" w:rsidR="006D41E1" w:rsidRPr="00A33AE8" w:rsidRDefault="006D41E1" w:rsidP="006D41E1">
            <w:pPr>
              <w:spacing w:after="0" w:line="240" w:lineRule="auto"/>
              <w:jc w:val="both"/>
              <w:rPr>
                <w:rFonts w:asciiTheme="majorHAnsi" w:eastAsia="Times New Roman" w:hAnsiTheme="majorHAnsi" w:cstheme="majorHAnsi"/>
                <w:sz w:val="20"/>
                <w:szCs w:val="20"/>
                <w:lang w:eastAsia="en-GB"/>
              </w:rPr>
            </w:pPr>
            <w:r w:rsidRPr="00A33AE8">
              <w:rPr>
                <w:rFonts w:asciiTheme="majorHAnsi" w:eastAsia="Times New Roman" w:hAnsiTheme="majorHAnsi" w:cstheme="majorHAnsi"/>
                <w:sz w:val="20"/>
                <w:szCs w:val="20"/>
                <w:lang w:eastAsia="en-GB"/>
              </w:rPr>
              <w:t xml:space="preserve">PM_ES3 concerns energy storage which cumulatively address the aspects of security supply and smart system integration. The CEP and in particular the Electricity Directive </w:t>
            </w:r>
            <w:r w:rsidR="00310902" w:rsidRPr="00A33AE8">
              <w:rPr>
                <w:rFonts w:asciiTheme="majorHAnsi" w:eastAsia="Times New Roman" w:hAnsiTheme="majorHAnsi" w:cstheme="majorHAnsi"/>
                <w:sz w:val="20"/>
                <w:szCs w:val="20"/>
                <w:lang w:eastAsia="en-GB"/>
              </w:rPr>
              <w:t xml:space="preserve">(2019/944) </w:t>
            </w:r>
            <w:r w:rsidRPr="00A33AE8">
              <w:rPr>
                <w:rFonts w:asciiTheme="majorHAnsi" w:eastAsia="Times New Roman" w:hAnsiTheme="majorHAnsi" w:cstheme="majorHAnsi"/>
                <w:sz w:val="20"/>
                <w:szCs w:val="20"/>
                <w:lang w:eastAsia="en-GB"/>
              </w:rPr>
              <w:t xml:space="preserve">and the Electricity Regulation </w:t>
            </w:r>
            <w:r w:rsidR="00310902" w:rsidRPr="00A33AE8">
              <w:rPr>
                <w:rFonts w:asciiTheme="majorHAnsi" w:eastAsia="Times New Roman" w:hAnsiTheme="majorHAnsi" w:cstheme="majorHAnsi"/>
                <w:sz w:val="20"/>
                <w:szCs w:val="20"/>
                <w:lang w:eastAsia="en-GB"/>
              </w:rPr>
              <w:t xml:space="preserve">(2019/943) </w:t>
            </w:r>
            <w:r w:rsidRPr="00A33AE8">
              <w:rPr>
                <w:rFonts w:asciiTheme="majorHAnsi" w:eastAsia="Times New Roman" w:hAnsiTheme="majorHAnsi" w:cstheme="majorHAnsi"/>
                <w:sz w:val="20"/>
                <w:szCs w:val="20"/>
                <w:lang w:eastAsia="en-GB"/>
              </w:rPr>
              <w:t xml:space="preserve">and in particular the latter, aims at setting principles for well-functioning, integrated electricity markets, which allow, </w:t>
            </w:r>
            <w:r w:rsidRPr="00A33AE8">
              <w:rPr>
                <w:rFonts w:asciiTheme="majorHAnsi" w:eastAsia="Times New Roman" w:hAnsiTheme="majorHAnsi" w:cstheme="majorHAnsi"/>
                <w:i/>
                <w:iCs/>
                <w:sz w:val="20"/>
                <w:szCs w:val="20"/>
                <w:lang w:eastAsia="en-GB"/>
              </w:rPr>
              <w:t>in</w:t>
            </w:r>
            <w:r w:rsidR="005707C0" w:rsidRPr="00A33AE8">
              <w:rPr>
                <w:rFonts w:asciiTheme="majorHAnsi" w:eastAsia="Times New Roman" w:hAnsiTheme="majorHAnsi" w:cstheme="majorHAnsi"/>
                <w:i/>
                <w:iCs/>
                <w:sz w:val="20"/>
                <w:szCs w:val="20"/>
                <w:lang w:eastAsia="en-GB"/>
              </w:rPr>
              <w:t>ter alias</w:t>
            </w:r>
            <w:r w:rsidRPr="00A33AE8">
              <w:rPr>
                <w:rFonts w:asciiTheme="majorHAnsi" w:eastAsia="Times New Roman" w:hAnsiTheme="majorHAnsi" w:cstheme="majorHAnsi"/>
                <w:sz w:val="20"/>
                <w:szCs w:val="20"/>
                <w:lang w:eastAsia="en-GB"/>
              </w:rPr>
              <w:t xml:space="preserve"> particular, </w:t>
            </w:r>
            <w:r w:rsidR="005707C0" w:rsidRPr="00A33AE8">
              <w:rPr>
                <w:rFonts w:asciiTheme="majorHAnsi" w:eastAsia="Times New Roman" w:hAnsiTheme="majorHAnsi" w:cstheme="majorHAnsi"/>
                <w:sz w:val="20"/>
                <w:szCs w:val="20"/>
                <w:lang w:eastAsia="en-GB"/>
              </w:rPr>
              <w:t>for</w:t>
            </w:r>
            <w:r w:rsidRPr="00A33AE8">
              <w:rPr>
                <w:rFonts w:asciiTheme="majorHAnsi" w:eastAsia="Times New Roman" w:hAnsiTheme="majorHAnsi" w:cstheme="majorHAnsi"/>
                <w:sz w:val="20"/>
                <w:szCs w:val="20"/>
                <w:lang w:eastAsia="en-GB"/>
              </w:rPr>
              <w:t xml:space="preserve"> non-discriminatory market access for providers of demand response and energy storage services. Member States should also incentivise transmission and distribution system operators to procure flexibility services, including storage services</w:t>
            </w:r>
            <w:r w:rsidR="00310902" w:rsidRPr="00A33AE8">
              <w:rPr>
                <w:rFonts w:asciiTheme="majorHAnsi" w:eastAsia="Times New Roman" w:hAnsiTheme="majorHAnsi" w:cstheme="majorHAnsi"/>
                <w:sz w:val="20"/>
                <w:szCs w:val="20"/>
                <w:lang w:eastAsia="en-GB"/>
              </w:rPr>
              <w:t>, where this provides a better economic option compared to new grid infrastructure</w:t>
            </w:r>
            <w:r w:rsidRPr="00A33AE8">
              <w:rPr>
                <w:rFonts w:asciiTheme="majorHAnsi" w:eastAsia="Times New Roman" w:hAnsiTheme="majorHAnsi" w:cstheme="majorHAnsi"/>
                <w:sz w:val="20"/>
                <w:szCs w:val="20"/>
                <w:lang w:eastAsia="en-GB"/>
              </w:rPr>
              <w:t>. However, a common approach that tackles the known barriers of energy storage (a) grid fees; (b) combining revenues from different services; (c) ownership of energy storage facilities; and (d) combining electricity with other forms of energy, is yet to be developed in Europe and subsequently in Serbia; e) pump up/storage hydropower plants as a specific form of electricity storage</w:t>
            </w:r>
            <w:r w:rsidR="005707C0" w:rsidRPr="00A33AE8">
              <w:rPr>
                <w:rFonts w:asciiTheme="majorHAnsi" w:eastAsia="Times New Roman" w:hAnsiTheme="majorHAnsi" w:cstheme="majorHAnsi"/>
                <w:sz w:val="20"/>
                <w:szCs w:val="20"/>
                <w:lang w:eastAsia="en-GB"/>
              </w:rPr>
              <w:t>.</w:t>
            </w:r>
          </w:p>
        </w:tc>
      </w:tr>
      <w:tr w:rsidR="00751097" w:rsidRPr="00A33AE8" w14:paraId="36743310"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6C17A2BA"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46" w:type="dxa"/>
            <w:gridSpan w:val="3"/>
            <w:tcBorders>
              <w:top w:val="single" w:sz="8" w:space="0" w:color="auto"/>
              <w:left w:val="nil"/>
              <w:bottom w:val="single" w:sz="8" w:space="0" w:color="auto"/>
              <w:right w:val="single" w:sz="8" w:space="0" w:color="000000"/>
            </w:tcBorders>
            <w:vAlign w:val="center"/>
            <w:hideMark/>
          </w:tcPr>
          <w:p w14:paraId="61CAA6F7" w14:textId="77777777" w:rsidR="00751097" w:rsidRPr="00A33AE8" w:rsidRDefault="005707C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2024-20</w:t>
            </w:r>
            <w:r w:rsidR="00FE139E"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0</w:t>
            </w:r>
          </w:p>
        </w:tc>
      </w:tr>
      <w:tr w:rsidR="00751097" w:rsidRPr="00A33AE8" w14:paraId="33A179BB"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22D7C4C8"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46" w:type="dxa"/>
            <w:gridSpan w:val="3"/>
            <w:tcBorders>
              <w:top w:val="single" w:sz="8" w:space="0" w:color="auto"/>
              <w:left w:val="nil"/>
              <w:bottom w:val="single" w:sz="8" w:space="0" w:color="auto"/>
              <w:right w:val="single" w:sz="8" w:space="0" w:color="000000"/>
            </w:tcBorders>
            <w:vAlign w:val="center"/>
            <w:hideMark/>
          </w:tcPr>
          <w:p w14:paraId="4AA4E993"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751097" w:rsidRPr="00A33AE8" w14:paraId="6F86F8F2"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4C7BFCB"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46" w:type="dxa"/>
            <w:gridSpan w:val="3"/>
            <w:tcBorders>
              <w:top w:val="single" w:sz="8" w:space="0" w:color="auto"/>
              <w:left w:val="nil"/>
              <w:bottom w:val="single" w:sz="8" w:space="0" w:color="auto"/>
              <w:right w:val="single" w:sz="8" w:space="0" w:color="000000"/>
            </w:tcBorders>
            <w:vAlign w:val="center"/>
            <w:hideMark/>
          </w:tcPr>
          <w:p w14:paraId="0E15A5D1" w14:textId="77777777" w:rsidR="00751097" w:rsidRPr="00A33AE8" w:rsidRDefault="00751097">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751097" w:rsidRPr="00A33AE8" w14:paraId="28794D8F"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28095AB2"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09E91F08" w14:textId="77777777" w:rsidR="00C963EB" w:rsidRPr="00A33AE8" w:rsidRDefault="00751097"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F582A81" w14:textId="77777777" w:rsidR="00C963EB" w:rsidRPr="00A33AE8" w:rsidRDefault="00833710"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p w14:paraId="04638456" w14:textId="77777777" w:rsidR="00C963EB" w:rsidRPr="00A33AE8" w:rsidRDefault="00751097"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EPS</w:t>
            </w:r>
          </w:p>
          <w:p w14:paraId="78D8992D" w14:textId="77777777" w:rsidR="00751097" w:rsidRPr="00A33AE8" w:rsidRDefault="00C963EB"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w:t>
            </w:r>
            <w:r w:rsidR="00751097" w:rsidRPr="00A33AE8">
              <w:rPr>
                <w:rFonts w:asciiTheme="majorHAnsi" w:eastAsia="Times New Roman" w:hAnsiTheme="majorHAnsi" w:cstheme="majorHAnsi"/>
                <w:color w:val="000000"/>
                <w:sz w:val="20"/>
                <w:szCs w:val="20"/>
                <w:lang w:eastAsia="en-GB"/>
              </w:rPr>
              <w:t xml:space="preserve">rivate sector </w:t>
            </w:r>
          </w:p>
        </w:tc>
      </w:tr>
      <w:tr w:rsidR="00751097" w:rsidRPr="00A33AE8" w14:paraId="49765F06" w14:textId="77777777" w:rsidTr="004B71DA">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50A12451"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50FB0833" w14:textId="77777777" w:rsidR="00751097" w:rsidRPr="000007D2" w:rsidRDefault="00751097"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500B07" w:rsidRPr="000007D2">
              <w:rPr>
                <w:rFonts w:asciiTheme="majorHAnsi" w:eastAsia="Times New Roman" w:hAnsiTheme="majorHAnsi" w:cstheme="majorHAnsi"/>
                <w:color w:val="000000"/>
                <w:sz w:val="20"/>
                <w:szCs w:val="20"/>
                <w:lang w:eastAsia="en-GB"/>
              </w:rPr>
              <w:t>“Elektromreža Srbije“ - EMS</w:t>
            </w:r>
          </w:p>
        </w:tc>
      </w:tr>
      <w:tr w:rsidR="00751097" w:rsidRPr="00A33AE8" w14:paraId="49B9F791" w14:textId="77777777" w:rsidTr="004B71DA">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5D28427E"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46" w:type="dxa"/>
            <w:gridSpan w:val="3"/>
            <w:tcBorders>
              <w:top w:val="single" w:sz="8" w:space="0" w:color="auto"/>
              <w:left w:val="nil"/>
              <w:bottom w:val="single" w:sz="8" w:space="0" w:color="auto"/>
              <w:right w:val="single" w:sz="8" w:space="0" w:color="000000"/>
            </w:tcBorders>
            <w:vAlign w:val="center"/>
            <w:hideMark/>
          </w:tcPr>
          <w:p w14:paraId="6C8BC964" w14:textId="77777777" w:rsidR="00751097" w:rsidRPr="00A33AE8" w:rsidRDefault="00833710" w:rsidP="00C963EB">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Variable RE penetration, curtailed RES electricity</w:t>
            </w:r>
          </w:p>
        </w:tc>
      </w:tr>
      <w:tr w:rsidR="00A0226E" w:rsidRPr="00A33AE8" w14:paraId="71DBC2CC" w14:textId="77777777" w:rsidTr="00B6097F">
        <w:trPr>
          <w:gridAfter w:val="1"/>
          <w:wAfter w:w="1212" w:type="dxa"/>
          <w:trHeight w:val="606"/>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E5B416D"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6" w:type="dxa"/>
            <w:gridSpan w:val="3"/>
            <w:tcBorders>
              <w:top w:val="single" w:sz="8" w:space="0" w:color="auto"/>
              <w:left w:val="nil"/>
              <w:bottom w:val="single" w:sz="8" w:space="0" w:color="auto"/>
              <w:right w:val="single" w:sz="8" w:space="0" w:color="000000"/>
            </w:tcBorders>
            <w:vAlign w:val="center"/>
            <w:hideMark/>
          </w:tcPr>
          <w:p w14:paraId="0DE9E4F1" w14:textId="77777777" w:rsidR="00A0226E" w:rsidRPr="00A33AE8" w:rsidRDefault="00A0226E"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6100AC38" w14:textId="77777777" w:rsidR="00A0226E" w:rsidRPr="00A33AE8" w:rsidRDefault="00A0226E" w:rsidP="00884F3B">
            <w:pPr>
              <w:pStyle w:val="ListParagraph"/>
              <w:numPr>
                <w:ilvl w:val="0"/>
                <w:numId w:val="4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751097" w:rsidRPr="00A33AE8" w14:paraId="2A876165" w14:textId="77777777" w:rsidTr="004B71DA">
        <w:trPr>
          <w:gridAfter w:val="1"/>
          <w:wAfter w:w="1212" w:type="dxa"/>
          <w:trHeight w:val="450"/>
        </w:trPr>
        <w:tc>
          <w:tcPr>
            <w:tcW w:w="3342" w:type="dxa"/>
            <w:vMerge w:val="restart"/>
            <w:tcBorders>
              <w:top w:val="nil"/>
              <w:left w:val="single" w:sz="8" w:space="0" w:color="auto"/>
              <w:bottom w:val="single" w:sz="8" w:space="0" w:color="000000"/>
              <w:right w:val="single" w:sz="8" w:space="0" w:color="auto"/>
            </w:tcBorders>
            <w:shd w:val="clear" w:color="auto" w:fill="244062"/>
            <w:vAlign w:val="center"/>
            <w:hideMark/>
          </w:tcPr>
          <w:p w14:paraId="16CCFFE0"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46" w:type="dxa"/>
            <w:gridSpan w:val="3"/>
            <w:vMerge w:val="restart"/>
            <w:tcBorders>
              <w:top w:val="single" w:sz="8" w:space="0" w:color="auto"/>
              <w:left w:val="single" w:sz="8" w:space="0" w:color="auto"/>
              <w:bottom w:val="single" w:sz="8" w:space="0" w:color="000000"/>
              <w:right w:val="single" w:sz="8" w:space="0" w:color="000000"/>
            </w:tcBorders>
            <w:vAlign w:val="center"/>
          </w:tcPr>
          <w:p w14:paraId="51810047" w14:textId="280CD73E" w:rsidR="00DF689A" w:rsidRPr="00A33AE8" w:rsidRDefault="00DF689A" w:rsidP="00884F3B">
            <w:pPr>
              <w:pStyle w:val="ListParagraph"/>
              <w:numPr>
                <w:ilvl w:val="0"/>
                <w:numId w:val="4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Directive </w:t>
            </w:r>
            <w:r w:rsidR="00643B97" w:rsidRPr="00A33AE8">
              <w:rPr>
                <w:rFonts w:asciiTheme="majorHAnsi" w:eastAsia="Times New Roman" w:hAnsiTheme="majorHAnsi" w:cstheme="majorHAnsi"/>
                <w:color w:val="000000"/>
                <w:sz w:val="20"/>
                <w:szCs w:val="20"/>
                <w:lang w:eastAsia="en-GB"/>
              </w:rPr>
              <w:t xml:space="preserve">(EU) </w:t>
            </w:r>
            <w:r w:rsidRPr="00A33AE8">
              <w:rPr>
                <w:rFonts w:asciiTheme="majorHAnsi" w:eastAsia="Times New Roman" w:hAnsiTheme="majorHAnsi" w:cstheme="majorHAnsi"/>
                <w:color w:val="000000"/>
                <w:sz w:val="20"/>
                <w:szCs w:val="20"/>
                <w:lang w:eastAsia="en-GB"/>
              </w:rPr>
              <w:t>2019/944</w:t>
            </w:r>
          </w:p>
          <w:p w14:paraId="5CF47DB5" w14:textId="77777777" w:rsidR="00751097" w:rsidRPr="00A33AE8" w:rsidRDefault="00DF689A" w:rsidP="00884F3B">
            <w:pPr>
              <w:pStyle w:val="ListParagraph"/>
              <w:numPr>
                <w:ilvl w:val="0"/>
                <w:numId w:val="4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w:t>
            </w:r>
            <w:r w:rsidR="00643B97" w:rsidRPr="00A33AE8">
              <w:rPr>
                <w:rFonts w:asciiTheme="majorHAnsi" w:eastAsia="Times New Roman" w:hAnsiTheme="majorHAnsi" w:cstheme="majorHAnsi"/>
                <w:color w:val="000000"/>
                <w:sz w:val="20"/>
                <w:szCs w:val="20"/>
                <w:lang w:eastAsia="en-GB"/>
              </w:rPr>
              <w:t xml:space="preserve">(EU) </w:t>
            </w:r>
            <w:r w:rsidRPr="00A33AE8">
              <w:rPr>
                <w:rFonts w:asciiTheme="majorHAnsi" w:eastAsia="Times New Roman" w:hAnsiTheme="majorHAnsi" w:cstheme="majorHAnsi"/>
                <w:color w:val="000000"/>
                <w:sz w:val="20"/>
                <w:szCs w:val="20"/>
                <w:lang w:eastAsia="en-GB"/>
              </w:rPr>
              <w:t>2019/943</w:t>
            </w:r>
          </w:p>
        </w:tc>
      </w:tr>
      <w:tr w:rsidR="00751097" w:rsidRPr="00A33AE8" w14:paraId="46797EE3"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B034F6"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50EC8FF7" w14:textId="77777777" w:rsidR="00751097" w:rsidRPr="00A33AE8" w:rsidRDefault="00751097">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E5BE554" w14:textId="77777777" w:rsidR="00751097" w:rsidRPr="00A33AE8" w:rsidRDefault="00751097"/>
        </w:tc>
      </w:tr>
      <w:tr w:rsidR="00751097" w:rsidRPr="00A33AE8" w14:paraId="1169A942" w14:textId="77777777" w:rsidTr="00B6097F">
        <w:trPr>
          <w:trHeight w:val="60"/>
        </w:trPr>
        <w:tc>
          <w:tcPr>
            <w:tcW w:w="0" w:type="auto"/>
            <w:vMerge/>
            <w:tcBorders>
              <w:top w:val="nil"/>
              <w:left w:val="single" w:sz="8" w:space="0" w:color="auto"/>
              <w:bottom w:val="single" w:sz="8" w:space="0" w:color="000000"/>
              <w:right w:val="single" w:sz="8" w:space="0" w:color="auto"/>
            </w:tcBorders>
            <w:vAlign w:val="center"/>
            <w:hideMark/>
          </w:tcPr>
          <w:p w14:paraId="3E05AD39"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7AD3269D" w14:textId="77777777" w:rsidR="00751097" w:rsidRPr="00A33AE8" w:rsidRDefault="00751097">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17D5D1C" w14:textId="77777777" w:rsidR="00751097" w:rsidRPr="00A33AE8" w:rsidRDefault="00751097">
            <w:pPr>
              <w:spacing w:after="0" w:line="256" w:lineRule="auto"/>
              <w:rPr>
                <w:sz w:val="20"/>
                <w:szCs w:val="20"/>
                <w:lang w:eastAsia="en-GB"/>
              </w:rPr>
            </w:pPr>
          </w:p>
        </w:tc>
      </w:tr>
      <w:tr w:rsidR="00751097" w:rsidRPr="00A33AE8" w14:paraId="37641BA8" w14:textId="77777777" w:rsidTr="00B6097F">
        <w:trPr>
          <w:trHeight w:val="387"/>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D8EF14A"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46" w:type="dxa"/>
            <w:gridSpan w:val="3"/>
            <w:tcBorders>
              <w:top w:val="single" w:sz="8" w:space="0" w:color="auto"/>
              <w:left w:val="nil"/>
              <w:bottom w:val="single" w:sz="8" w:space="0" w:color="auto"/>
              <w:right w:val="single" w:sz="8" w:space="0" w:color="000000"/>
            </w:tcBorders>
            <w:vAlign w:val="center"/>
          </w:tcPr>
          <w:p w14:paraId="0FCB7316" w14:textId="77777777" w:rsidR="00751097" w:rsidRPr="00A33AE8" w:rsidRDefault="007F7ED1">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Energy Law, </w:t>
            </w:r>
            <w:r w:rsidR="00343B13" w:rsidRPr="00A33AE8">
              <w:rPr>
                <w:rFonts w:asciiTheme="majorHAnsi" w:eastAsia="Times New Roman" w:hAnsiTheme="majorHAnsi" w:cstheme="majorHAnsi"/>
                <w:color w:val="000000"/>
                <w:sz w:val="20"/>
                <w:szCs w:val="20"/>
                <w:lang w:eastAsia="en-GB"/>
              </w:rPr>
              <w:t xml:space="preserve">Transmission </w:t>
            </w:r>
            <w:r w:rsidRPr="00A33AE8">
              <w:rPr>
                <w:rFonts w:asciiTheme="majorHAnsi" w:eastAsia="Times New Roman" w:hAnsiTheme="majorHAnsi" w:cstheme="majorHAnsi"/>
                <w:color w:val="000000"/>
                <w:sz w:val="20"/>
                <w:szCs w:val="20"/>
                <w:lang w:eastAsia="en-GB"/>
              </w:rPr>
              <w:t>Grid Code, TYNDP</w:t>
            </w:r>
          </w:p>
        </w:tc>
        <w:tc>
          <w:tcPr>
            <w:tcW w:w="1212" w:type="dxa"/>
            <w:vAlign w:val="center"/>
            <w:hideMark/>
          </w:tcPr>
          <w:p w14:paraId="0B0AC63F" w14:textId="77777777" w:rsidR="00751097" w:rsidRPr="00A33AE8" w:rsidRDefault="00751097">
            <w:pPr>
              <w:rPr>
                <w:rFonts w:asciiTheme="majorHAnsi" w:eastAsia="Times New Roman" w:hAnsiTheme="majorHAnsi" w:cstheme="majorHAnsi"/>
                <w:color w:val="000000"/>
                <w:sz w:val="20"/>
                <w:szCs w:val="20"/>
                <w:lang w:eastAsia="en-GB"/>
              </w:rPr>
            </w:pPr>
          </w:p>
        </w:tc>
      </w:tr>
      <w:tr w:rsidR="00751097" w:rsidRPr="00A33AE8" w14:paraId="04730962" w14:textId="77777777" w:rsidTr="004B71DA">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685BB6C"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Implementation cost</w:t>
            </w:r>
          </w:p>
        </w:tc>
        <w:tc>
          <w:tcPr>
            <w:tcW w:w="6146" w:type="dxa"/>
            <w:gridSpan w:val="3"/>
            <w:tcBorders>
              <w:top w:val="single" w:sz="8" w:space="0" w:color="auto"/>
              <w:left w:val="nil"/>
              <w:bottom w:val="single" w:sz="8" w:space="0" w:color="auto"/>
              <w:right w:val="single" w:sz="8" w:space="0" w:color="000000"/>
            </w:tcBorders>
            <w:vAlign w:val="center"/>
          </w:tcPr>
          <w:p w14:paraId="2373EB56" w14:textId="77777777" w:rsidR="00751097" w:rsidRPr="000007D2" w:rsidRDefault="007F7ED1">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1 </w:t>
            </w:r>
            <w:r w:rsidR="00FE139E" w:rsidRPr="00A33AE8">
              <w:rPr>
                <w:rFonts w:asciiTheme="majorHAnsi" w:eastAsia="Times New Roman" w:hAnsiTheme="majorHAnsi" w:cstheme="majorHAnsi"/>
                <w:color w:val="000000"/>
                <w:sz w:val="20"/>
                <w:szCs w:val="20"/>
                <w:lang w:eastAsia="en-GB"/>
              </w:rPr>
              <w:t>M</w:t>
            </w:r>
            <w:r w:rsidR="00FE139E" w:rsidRPr="00A33AE8">
              <w:rPr>
                <w:rFonts w:ascii="Calibri" w:eastAsia="Times New Roman" w:hAnsi="Calibri" w:cs="Calibri"/>
                <w:color w:val="000000"/>
                <w:sz w:val="20"/>
                <w:szCs w:val="20"/>
                <w:lang w:eastAsia="en-GB"/>
              </w:rPr>
              <w:t>€</w:t>
            </w:r>
          </w:p>
        </w:tc>
        <w:tc>
          <w:tcPr>
            <w:tcW w:w="1212" w:type="dxa"/>
            <w:vAlign w:val="center"/>
            <w:hideMark/>
          </w:tcPr>
          <w:p w14:paraId="31181890" w14:textId="77777777" w:rsidR="00751097" w:rsidRPr="00A33AE8" w:rsidRDefault="00751097">
            <w:pPr>
              <w:rPr>
                <w:rFonts w:asciiTheme="majorHAnsi" w:eastAsia="Times New Roman" w:hAnsiTheme="majorHAnsi" w:cstheme="majorHAnsi"/>
                <w:color w:val="000000"/>
                <w:sz w:val="20"/>
                <w:szCs w:val="20"/>
                <w:lang w:eastAsia="en-GB"/>
              </w:rPr>
            </w:pPr>
          </w:p>
        </w:tc>
      </w:tr>
      <w:tr w:rsidR="007B2BAE" w:rsidRPr="00A33AE8" w14:paraId="25CD17D8" w14:textId="77777777" w:rsidTr="004B71DA">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4C3BA980" w14:textId="77777777" w:rsidR="007B2BAE" w:rsidRPr="00A33AE8" w:rsidRDefault="007B2BAE" w:rsidP="007B2BAE">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46" w:type="dxa"/>
            <w:gridSpan w:val="3"/>
            <w:tcBorders>
              <w:top w:val="single" w:sz="8" w:space="0" w:color="auto"/>
              <w:left w:val="nil"/>
              <w:bottom w:val="single" w:sz="8" w:space="0" w:color="auto"/>
              <w:right w:val="single" w:sz="8" w:space="0" w:color="000000"/>
            </w:tcBorders>
            <w:vAlign w:val="center"/>
            <w:hideMark/>
          </w:tcPr>
          <w:p w14:paraId="27E2767B" w14:textId="77777777" w:rsidR="007B2BAE" w:rsidRPr="00A33AE8" w:rsidRDefault="007B2BAE" w:rsidP="007B2BAE">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35E82480" w14:textId="77777777" w:rsidR="007B2BAE" w:rsidRPr="00A33AE8" w:rsidRDefault="007B2BAE" w:rsidP="007B2BAE">
            <w:pPr>
              <w:rPr>
                <w:rFonts w:asciiTheme="majorHAnsi" w:eastAsia="Times New Roman" w:hAnsiTheme="majorHAnsi" w:cstheme="majorHAnsi"/>
                <w:color w:val="000000"/>
                <w:sz w:val="20"/>
                <w:szCs w:val="20"/>
                <w:lang w:eastAsia="en-GB"/>
              </w:rPr>
            </w:pPr>
          </w:p>
        </w:tc>
      </w:tr>
    </w:tbl>
    <w:p w14:paraId="48188F09"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20"/>
        <w:gridCol w:w="1027"/>
        <w:gridCol w:w="941"/>
        <w:gridCol w:w="4200"/>
        <w:gridCol w:w="1212"/>
      </w:tblGrid>
      <w:tr w:rsidR="00751097" w:rsidRPr="00A33AE8" w14:paraId="383A5359" w14:textId="77777777" w:rsidTr="004B71DA">
        <w:trPr>
          <w:gridAfter w:val="1"/>
          <w:wAfter w:w="1212" w:type="dxa"/>
          <w:trHeight w:val="780"/>
        </w:trPr>
        <w:tc>
          <w:tcPr>
            <w:tcW w:w="3320"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13436BD"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1027" w:type="dxa"/>
            <w:tcBorders>
              <w:top w:val="single" w:sz="8" w:space="0" w:color="auto"/>
              <w:left w:val="nil"/>
              <w:bottom w:val="single" w:sz="8" w:space="0" w:color="auto"/>
              <w:right w:val="single" w:sz="8" w:space="0" w:color="auto"/>
            </w:tcBorders>
            <w:shd w:val="clear" w:color="auto" w:fill="E7E6E6" w:themeFill="background2"/>
            <w:vAlign w:val="center"/>
            <w:hideMark/>
          </w:tcPr>
          <w:p w14:paraId="7B24F521" w14:textId="77777777" w:rsidR="00751097" w:rsidRPr="00A33AE8" w:rsidRDefault="00057564">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ES3.1</w:t>
            </w:r>
          </w:p>
        </w:tc>
        <w:tc>
          <w:tcPr>
            <w:tcW w:w="941" w:type="dxa"/>
            <w:tcBorders>
              <w:top w:val="single" w:sz="8" w:space="0" w:color="auto"/>
              <w:left w:val="nil"/>
              <w:bottom w:val="single" w:sz="8" w:space="0" w:color="auto"/>
              <w:right w:val="single" w:sz="8" w:space="0" w:color="auto"/>
            </w:tcBorders>
            <w:shd w:val="clear" w:color="auto" w:fill="244062"/>
            <w:vAlign w:val="center"/>
            <w:hideMark/>
          </w:tcPr>
          <w:p w14:paraId="53DCF896"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00" w:type="dxa"/>
            <w:tcBorders>
              <w:top w:val="single" w:sz="8" w:space="0" w:color="auto"/>
              <w:left w:val="nil"/>
              <w:bottom w:val="single" w:sz="8" w:space="0" w:color="auto"/>
              <w:right w:val="single" w:sz="8" w:space="0" w:color="auto"/>
            </w:tcBorders>
            <w:shd w:val="clear" w:color="auto" w:fill="E7E6E6" w:themeFill="background2"/>
            <w:vAlign w:val="center"/>
            <w:hideMark/>
          </w:tcPr>
          <w:p w14:paraId="5F39673C" w14:textId="77777777" w:rsidR="00751097" w:rsidRPr="00A33AE8" w:rsidRDefault="00751097">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Banatski dvor, natural gas storage</w:t>
            </w:r>
            <w:r w:rsidR="004B54C1" w:rsidRPr="00A33AE8">
              <w:rPr>
                <w:rFonts w:asciiTheme="majorHAnsi" w:eastAsia="Times New Roman" w:hAnsiTheme="majorHAnsi" w:cstheme="majorHAnsi"/>
                <w:b/>
                <w:bCs/>
                <w:color w:val="000000"/>
                <w:sz w:val="20"/>
                <w:szCs w:val="20"/>
                <w:lang w:eastAsia="en-GB"/>
              </w:rPr>
              <w:t xml:space="preserve"> expansion</w:t>
            </w:r>
          </w:p>
        </w:tc>
      </w:tr>
      <w:tr w:rsidR="004B71DA" w:rsidRPr="00A33AE8" w14:paraId="6332BE00" w14:textId="77777777" w:rsidTr="004B71DA">
        <w:trPr>
          <w:gridAfter w:val="1"/>
          <w:wAfter w:w="1212" w:type="dxa"/>
          <w:trHeight w:val="608"/>
        </w:trPr>
        <w:tc>
          <w:tcPr>
            <w:tcW w:w="3320" w:type="dxa"/>
            <w:tcBorders>
              <w:top w:val="nil"/>
              <w:left w:val="single" w:sz="8" w:space="0" w:color="auto"/>
              <w:bottom w:val="single" w:sz="8" w:space="0" w:color="auto"/>
              <w:right w:val="nil"/>
            </w:tcBorders>
            <w:shd w:val="clear" w:color="auto" w:fill="244062"/>
            <w:vAlign w:val="center"/>
            <w:hideMark/>
          </w:tcPr>
          <w:p w14:paraId="309C3C0C"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68" w:type="dxa"/>
            <w:gridSpan w:val="3"/>
            <w:tcBorders>
              <w:top w:val="single" w:sz="8" w:space="0" w:color="auto"/>
              <w:left w:val="nil"/>
              <w:bottom w:val="single" w:sz="8" w:space="0" w:color="auto"/>
              <w:right w:val="single" w:sz="8" w:space="0" w:color="000000"/>
            </w:tcBorders>
            <w:vAlign w:val="center"/>
          </w:tcPr>
          <w:p w14:paraId="74B87378"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r w:rsidR="00D32864" w:rsidRPr="00D32864">
              <w:rPr>
                <w:rFonts w:asciiTheme="majorHAnsi" w:eastAsia="Times New Roman" w:hAnsiTheme="majorHAnsi" w:cstheme="majorHAnsi"/>
                <w:color w:val="000000"/>
                <w:sz w:val="20"/>
                <w:szCs w:val="20"/>
                <w:lang w:eastAsia="en-GB"/>
              </w:rPr>
              <w:t>, fostering regional energy cooperation and increasing regional market integration.</w:t>
            </w:r>
          </w:p>
        </w:tc>
      </w:tr>
      <w:tr w:rsidR="004B71DA" w:rsidRPr="00A33AE8" w14:paraId="27B0C680" w14:textId="77777777" w:rsidTr="004B71DA">
        <w:trPr>
          <w:gridAfter w:val="1"/>
          <w:wAfter w:w="1212" w:type="dxa"/>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2CAFE622"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68" w:type="dxa"/>
            <w:gridSpan w:val="3"/>
            <w:tcBorders>
              <w:top w:val="single" w:sz="8" w:space="0" w:color="auto"/>
              <w:left w:val="nil"/>
              <w:bottom w:val="single" w:sz="8" w:space="0" w:color="auto"/>
              <w:right w:val="single" w:sz="8" w:space="0" w:color="000000"/>
            </w:tcBorders>
            <w:vAlign w:val="center"/>
          </w:tcPr>
          <w:p w14:paraId="731C81E9" w14:textId="77777777" w:rsidR="004B71DA" w:rsidRPr="00A33AE8" w:rsidRDefault="00D32864" w:rsidP="004B71DA">
            <w:pPr>
              <w:spacing w:after="0" w:line="240" w:lineRule="auto"/>
              <w:jc w:val="both"/>
              <w:rPr>
                <w:rFonts w:asciiTheme="majorHAnsi" w:eastAsia="Times New Roman" w:hAnsiTheme="majorHAnsi" w:cstheme="majorHAnsi"/>
                <w:color w:val="000000"/>
                <w:sz w:val="20"/>
                <w:szCs w:val="20"/>
                <w:lang w:eastAsia="en-GB"/>
              </w:rPr>
            </w:pPr>
            <w:r w:rsidRPr="00D32864">
              <w:rPr>
                <w:rFonts w:asciiTheme="majorHAnsi" w:eastAsia="Times New Roman" w:hAnsiTheme="majorHAnsi" w:cstheme="majorHAnsi"/>
                <w:color w:val="000000"/>
                <w:sz w:val="20"/>
                <w:szCs w:val="20"/>
                <w:lang w:eastAsia="en-GB"/>
              </w:rPr>
              <w:t xml:space="preserve">Additional storage </w:t>
            </w:r>
            <w:r w:rsidR="00A62A52" w:rsidRPr="00A33AE8">
              <w:rPr>
                <w:rFonts w:asciiTheme="majorHAnsi" w:eastAsia="Times New Roman" w:hAnsiTheme="majorHAnsi" w:cstheme="majorHAnsi"/>
                <w:color w:val="000000"/>
                <w:sz w:val="20"/>
                <w:szCs w:val="20"/>
                <w:lang w:eastAsia="en-GB"/>
              </w:rPr>
              <w:t>capacities</w:t>
            </w:r>
            <w:r w:rsidRPr="00D32864">
              <w:rPr>
                <w:rFonts w:asciiTheme="majorHAnsi" w:eastAsia="Times New Roman" w:hAnsiTheme="majorHAnsi" w:cstheme="majorHAnsi"/>
                <w:color w:val="000000"/>
                <w:sz w:val="20"/>
                <w:szCs w:val="20"/>
                <w:lang w:eastAsia="en-GB"/>
              </w:rPr>
              <w:t xml:space="preserve"> of 0.75bcm</w:t>
            </w:r>
          </w:p>
        </w:tc>
      </w:tr>
      <w:tr w:rsidR="004B71DA" w:rsidRPr="00A33AE8" w14:paraId="4F867114" w14:textId="77777777" w:rsidTr="004B71DA">
        <w:trPr>
          <w:gridAfter w:val="1"/>
          <w:wAfter w:w="1212" w:type="dxa"/>
          <w:trHeight w:val="942"/>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43BBE3E8"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68" w:type="dxa"/>
            <w:gridSpan w:val="3"/>
            <w:tcBorders>
              <w:top w:val="single" w:sz="8" w:space="0" w:color="auto"/>
              <w:left w:val="nil"/>
              <w:bottom w:val="single" w:sz="8" w:space="0" w:color="auto"/>
              <w:right w:val="single" w:sz="8" w:space="0" w:color="000000"/>
            </w:tcBorders>
            <w:vAlign w:val="center"/>
            <w:hideMark/>
          </w:tcPr>
          <w:p w14:paraId="1A231918"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PM_ES3.1 Refers to the expansion of Banatski Dvor underground gas storage as per Memorandum of Understanding signed between JP Srbijagas and Gazprom in early 2019</w:t>
            </w:r>
          </w:p>
        </w:tc>
      </w:tr>
      <w:tr w:rsidR="004B71DA" w:rsidRPr="00A33AE8" w14:paraId="0F249CA4" w14:textId="77777777" w:rsidTr="004B71DA">
        <w:trPr>
          <w:gridAfter w:val="1"/>
          <w:wAfter w:w="1212" w:type="dxa"/>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73ACF16A"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68" w:type="dxa"/>
            <w:gridSpan w:val="3"/>
            <w:tcBorders>
              <w:top w:val="single" w:sz="8" w:space="0" w:color="auto"/>
              <w:left w:val="nil"/>
              <w:bottom w:val="single" w:sz="8" w:space="0" w:color="auto"/>
              <w:right w:val="single" w:sz="8" w:space="0" w:color="000000"/>
            </w:tcBorders>
            <w:vAlign w:val="center"/>
            <w:hideMark/>
          </w:tcPr>
          <w:p w14:paraId="4CB677F4" w14:textId="77777777" w:rsidR="004B71DA" w:rsidRPr="00A33AE8" w:rsidRDefault="0049798B"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2023</w:t>
            </w:r>
            <w:r w:rsidR="004B71DA" w:rsidRPr="00A33AE8">
              <w:rPr>
                <w:rFonts w:asciiTheme="majorHAnsi" w:eastAsia="Times New Roman" w:hAnsiTheme="majorHAnsi" w:cstheme="majorHAnsi"/>
                <w:color w:val="000000"/>
                <w:sz w:val="20"/>
                <w:szCs w:val="20"/>
                <w:lang w:eastAsia="en-GB"/>
              </w:rPr>
              <w:t>-2030</w:t>
            </w:r>
          </w:p>
        </w:tc>
      </w:tr>
      <w:tr w:rsidR="004B71DA" w:rsidRPr="00A33AE8" w14:paraId="66609713" w14:textId="77777777" w:rsidTr="004B71DA">
        <w:trPr>
          <w:gridAfter w:val="1"/>
          <w:wAfter w:w="1212" w:type="dxa"/>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0A9A009F"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68" w:type="dxa"/>
            <w:gridSpan w:val="3"/>
            <w:tcBorders>
              <w:top w:val="single" w:sz="8" w:space="0" w:color="auto"/>
              <w:left w:val="nil"/>
              <w:bottom w:val="single" w:sz="8" w:space="0" w:color="auto"/>
              <w:right w:val="single" w:sz="8" w:space="0" w:color="000000"/>
            </w:tcBorders>
            <w:vAlign w:val="center"/>
            <w:hideMark/>
          </w:tcPr>
          <w:p w14:paraId="51167A59" w14:textId="77777777" w:rsidR="004B71DA" w:rsidRPr="00A33AE8" w:rsidRDefault="00FE139E"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71DA" w:rsidRPr="00A33AE8" w14:paraId="2E318F08" w14:textId="77777777" w:rsidTr="004B71DA">
        <w:trPr>
          <w:gridAfter w:val="1"/>
          <w:wAfter w:w="1212" w:type="dxa"/>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22909F94"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68" w:type="dxa"/>
            <w:gridSpan w:val="3"/>
            <w:tcBorders>
              <w:top w:val="single" w:sz="8" w:space="0" w:color="auto"/>
              <w:left w:val="nil"/>
              <w:bottom w:val="single" w:sz="8" w:space="0" w:color="auto"/>
              <w:right w:val="single" w:sz="8" w:space="0" w:color="000000"/>
            </w:tcBorders>
            <w:vAlign w:val="center"/>
            <w:hideMark/>
          </w:tcPr>
          <w:p w14:paraId="2146A4EB"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71DA" w:rsidRPr="00A33AE8" w14:paraId="697CE9A2" w14:textId="77777777" w:rsidTr="004B71DA">
        <w:trPr>
          <w:gridAfter w:val="1"/>
          <w:wAfter w:w="1212" w:type="dxa"/>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3E490092"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68" w:type="dxa"/>
            <w:gridSpan w:val="3"/>
            <w:tcBorders>
              <w:top w:val="single" w:sz="8" w:space="0" w:color="auto"/>
              <w:left w:val="nil"/>
              <w:bottom w:val="single" w:sz="8" w:space="0" w:color="auto"/>
              <w:right w:val="single" w:sz="8" w:space="0" w:color="000000"/>
            </w:tcBorders>
            <w:vAlign w:val="center"/>
            <w:hideMark/>
          </w:tcPr>
          <w:p w14:paraId="11A7B2A4" w14:textId="77777777" w:rsidR="004B71DA" w:rsidRPr="00A33AE8" w:rsidRDefault="004B71DA"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 Storage Operator</w:t>
            </w:r>
          </w:p>
        </w:tc>
      </w:tr>
      <w:tr w:rsidR="004B71DA" w:rsidRPr="00A33AE8" w14:paraId="09925B03" w14:textId="77777777" w:rsidTr="004B71DA">
        <w:trPr>
          <w:gridAfter w:val="1"/>
          <w:wAfter w:w="1212" w:type="dxa"/>
          <w:trHeight w:val="315"/>
        </w:trPr>
        <w:tc>
          <w:tcPr>
            <w:tcW w:w="3320" w:type="dxa"/>
            <w:tcBorders>
              <w:top w:val="nil"/>
              <w:left w:val="single" w:sz="8" w:space="0" w:color="auto"/>
              <w:bottom w:val="single" w:sz="8" w:space="0" w:color="auto"/>
              <w:right w:val="nil"/>
            </w:tcBorders>
            <w:shd w:val="clear" w:color="auto" w:fill="244062"/>
            <w:vAlign w:val="center"/>
            <w:hideMark/>
          </w:tcPr>
          <w:p w14:paraId="781BE48F"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68" w:type="dxa"/>
            <w:gridSpan w:val="3"/>
            <w:tcBorders>
              <w:top w:val="single" w:sz="8" w:space="0" w:color="auto"/>
              <w:left w:val="nil"/>
              <w:bottom w:val="single" w:sz="8" w:space="0" w:color="auto"/>
              <w:right w:val="single" w:sz="8" w:space="0" w:color="000000"/>
            </w:tcBorders>
            <w:vAlign w:val="center"/>
            <w:hideMark/>
          </w:tcPr>
          <w:p w14:paraId="611C33B0" w14:textId="77777777" w:rsidR="00C963EB" w:rsidRPr="00A33AE8" w:rsidRDefault="00245A42"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11F7DCF4" w14:textId="77777777" w:rsidR="00F93E76" w:rsidRPr="00A33AE8" w:rsidRDefault="004B71DA"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6CE43356" w14:textId="0FAA36AD" w:rsidR="004B71DA" w:rsidRPr="00A33AE8" w:rsidRDefault="006D481B"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w:t>
            </w:r>
            <w:r w:rsidR="00081D7A" w:rsidRPr="00A33AE8">
              <w:rPr>
                <w:rFonts w:asciiTheme="majorHAnsi" w:eastAsia="Times New Roman" w:hAnsiTheme="majorHAnsi" w:cstheme="majorHAnsi"/>
                <w:color w:val="000000"/>
                <w:sz w:val="20"/>
                <w:szCs w:val="20"/>
                <w:lang w:eastAsia="en-GB"/>
              </w:rPr>
              <w:t xml:space="preserve"> of Construction, Transport and Infrastructure</w:t>
            </w:r>
          </w:p>
        </w:tc>
      </w:tr>
      <w:tr w:rsidR="004B71DA" w:rsidRPr="00A33AE8" w14:paraId="44063FF3" w14:textId="77777777" w:rsidTr="004B71DA">
        <w:trPr>
          <w:gridAfter w:val="1"/>
          <w:wAfter w:w="1212" w:type="dxa"/>
          <w:trHeight w:val="315"/>
        </w:trPr>
        <w:tc>
          <w:tcPr>
            <w:tcW w:w="3320" w:type="dxa"/>
            <w:tcBorders>
              <w:top w:val="nil"/>
              <w:left w:val="single" w:sz="8" w:space="0" w:color="auto"/>
              <w:bottom w:val="single" w:sz="8" w:space="0" w:color="auto"/>
              <w:right w:val="nil"/>
            </w:tcBorders>
            <w:shd w:val="clear" w:color="auto" w:fill="244062"/>
            <w:vAlign w:val="center"/>
            <w:hideMark/>
          </w:tcPr>
          <w:p w14:paraId="4EBA43CD"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68" w:type="dxa"/>
            <w:gridSpan w:val="3"/>
            <w:tcBorders>
              <w:top w:val="single" w:sz="8" w:space="0" w:color="auto"/>
              <w:left w:val="nil"/>
              <w:bottom w:val="single" w:sz="8" w:space="0" w:color="auto"/>
              <w:right w:val="single" w:sz="8" w:space="0" w:color="000000"/>
            </w:tcBorders>
            <w:vAlign w:val="center"/>
            <w:hideMark/>
          </w:tcPr>
          <w:p w14:paraId="5AC7F4C6"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Storage capacity, injection and withdrawal rates</w:t>
            </w:r>
          </w:p>
        </w:tc>
      </w:tr>
      <w:tr w:rsidR="00A0226E" w:rsidRPr="00A33AE8" w14:paraId="6143B0C0" w14:textId="77777777" w:rsidTr="00A0226E">
        <w:trPr>
          <w:gridAfter w:val="1"/>
          <w:wAfter w:w="1212" w:type="dxa"/>
          <w:trHeight w:val="606"/>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3ED015F5"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68" w:type="dxa"/>
            <w:gridSpan w:val="3"/>
            <w:tcBorders>
              <w:top w:val="single" w:sz="8" w:space="0" w:color="auto"/>
              <w:left w:val="nil"/>
              <w:bottom w:val="single" w:sz="8" w:space="0" w:color="auto"/>
              <w:right w:val="single" w:sz="8" w:space="0" w:color="000000"/>
            </w:tcBorders>
            <w:vAlign w:val="center"/>
            <w:hideMark/>
          </w:tcPr>
          <w:p w14:paraId="4FE7392F" w14:textId="77777777" w:rsidR="00A0226E" w:rsidRPr="00A33AE8" w:rsidRDefault="00A0226E"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7489B077" w14:textId="77777777" w:rsidR="00A0226E" w:rsidRPr="00A33AE8" w:rsidRDefault="00A0226E"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71DA" w:rsidRPr="00A33AE8" w14:paraId="7862056B" w14:textId="77777777" w:rsidTr="004B71DA">
        <w:trPr>
          <w:gridAfter w:val="1"/>
          <w:wAfter w:w="1212" w:type="dxa"/>
          <w:trHeight w:val="450"/>
        </w:trPr>
        <w:tc>
          <w:tcPr>
            <w:tcW w:w="3320" w:type="dxa"/>
            <w:vMerge w:val="restart"/>
            <w:tcBorders>
              <w:top w:val="nil"/>
              <w:left w:val="single" w:sz="8" w:space="0" w:color="auto"/>
              <w:bottom w:val="single" w:sz="8" w:space="0" w:color="000000"/>
              <w:right w:val="single" w:sz="8" w:space="0" w:color="auto"/>
            </w:tcBorders>
            <w:shd w:val="clear" w:color="auto" w:fill="244062"/>
            <w:vAlign w:val="center"/>
            <w:hideMark/>
          </w:tcPr>
          <w:p w14:paraId="7CE0A8C3"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6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1B73A13" w14:textId="77777777" w:rsidR="004B71DA" w:rsidRPr="00A33AE8" w:rsidRDefault="004B71DA"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7D3BC0D7" w14:textId="10003376" w:rsidR="004B71DA" w:rsidRPr="00A33AE8" w:rsidRDefault="004B71DA"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No 347/2013</w:t>
            </w:r>
          </w:p>
        </w:tc>
      </w:tr>
      <w:tr w:rsidR="004B71DA" w:rsidRPr="00A33AE8" w14:paraId="696A1410"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6376C9E3" w14:textId="77777777" w:rsidR="004B71DA" w:rsidRPr="00A33AE8" w:rsidRDefault="004B71DA" w:rsidP="004B71DA">
            <w:pPr>
              <w:spacing w:after="0" w:line="256" w:lineRule="auto"/>
              <w:rPr>
                <w:rFonts w:asciiTheme="majorHAnsi" w:eastAsia="Times New Roman" w:hAnsiTheme="majorHAnsi" w:cstheme="majorHAnsi"/>
                <w:b/>
                <w:bCs/>
                <w:color w:val="FFFFFF"/>
                <w:sz w:val="20"/>
                <w:szCs w:val="20"/>
                <w:lang w:eastAsia="en-GB"/>
              </w:rPr>
            </w:pPr>
          </w:p>
        </w:tc>
        <w:tc>
          <w:tcPr>
            <w:tcW w:w="6168" w:type="dxa"/>
            <w:gridSpan w:val="3"/>
            <w:vMerge/>
            <w:tcBorders>
              <w:top w:val="single" w:sz="8" w:space="0" w:color="auto"/>
              <w:left w:val="single" w:sz="8" w:space="0" w:color="auto"/>
              <w:bottom w:val="single" w:sz="8" w:space="0" w:color="000000"/>
              <w:right w:val="single" w:sz="8" w:space="0" w:color="000000"/>
            </w:tcBorders>
            <w:vAlign w:val="center"/>
            <w:hideMark/>
          </w:tcPr>
          <w:p w14:paraId="5F2BF895" w14:textId="77777777" w:rsidR="004B71DA" w:rsidRPr="00A33AE8" w:rsidRDefault="004B71DA" w:rsidP="004B71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4EC5448" w14:textId="77777777" w:rsidR="004B71DA" w:rsidRPr="00A33AE8" w:rsidRDefault="004B71DA" w:rsidP="004B71DA"/>
        </w:tc>
      </w:tr>
      <w:tr w:rsidR="004B71DA" w:rsidRPr="00A33AE8" w14:paraId="6A56C6BA"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259095B6" w14:textId="77777777" w:rsidR="004B71DA" w:rsidRPr="00A33AE8" w:rsidRDefault="004B71DA" w:rsidP="004B71DA">
            <w:pPr>
              <w:spacing w:after="0" w:line="256" w:lineRule="auto"/>
              <w:rPr>
                <w:rFonts w:asciiTheme="majorHAnsi" w:eastAsia="Times New Roman" w:hAnsiTheme="majorHAnsi" w:cstheme="majorHAnsi"/>
                <w:b/>
                <w:bCs/>
                <w:color w:val="FFFFFF"/>
                <w:sz w:val="20"/>
                <w:szCs w:val="20"/>
                <w:lang w:eastAsia="en-GB"/>
              </w:rPr>
            </w:pPr>
          </w:p>
        </w:tc>
        <w:tc>
          <w:tcPr>
            <w:tcW w:w="6168" w:type="dxa"/>
            <w:gridSpan w:val="3"/>
            <w:vMerge/>
            <w:tcBorders>
              <w:top w:val="single" w:sz="8" w:space="0" w:color="auto"/>
              <w:left w:val="single" w:sz="8" w:space="0" w:color="auto"/>
              <w:bottom w:val="single" w:sz="8" w:space="0" w:color="000000"/>
              <w:right w:val="single" w:sz="8" w:space="0" w:color="000000"/>
            </w:tcBorders>
            <w:vAlign w:val="center"/>
            <w:hideMark/>
          </w:tcPr>
          <w:p w14:paraId="36CC302C" w14:textId="77777777" w:rsidR="004B71DA" w:rsidRPr="00A33AE8" w:rsidRDefault="004B71DA" w:rsidP="004B71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260E5A5" w14:textId="77777777" w:rsidR="004B71DA" w:rsidRPr="00A33AE8" w:rsidRDefault="004B71DA" w:rsidP="004B71DA">
            <w:pPr>
              <w:spacing w:after="0" w:line="256" w:lineRule="auto"/>
              <w:rPr>
                <w:sz w:val="20"/>
                <w:szCs w:val="20"/>
                <w:lang w:eastAsia="en-GB"/>
              </w:rPr>
            </w:pPr>
          </w:p>
        </w:tc>
      </w:tr>
      <w:tr w:rsidR="004B71DA" w:rsidRPr="00A33AE8" w14:paraId="6A85CDBA" w14:textId="77777777" w:rsidTr="004B71DA">
        <w:trPr>
          <w:trHeight w:val="780"/>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1E12BAF8"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68" w:type="dxa"/>
            <w:gridSpan w:val="3"/>
            <w:tcBorders>
              <w:top w:val="single" w:sz="8" w:space="0" w:color="auto"/>
              <w:left w:val="nil"/>
              <w:bottom w:val="single" w:sz="8" w:space="0" w:color="auto"/>
              <w:right w:val="single" w:sz="8" w:space="0" w:color="000000"/>
            </w:tcBorders>
            <w:vAlign w:val="center"/>
            <w:hideMark/>
          </w:tcPr>
          <w:p w14:paraId="4F9B7710" w14:textId="77777777" w:rsidR="004B71DA" w:rsidRPr="00A33AE8" w:rsidRDefault="004B71DA"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p w14:paraId="1A3378C8" w14:textId="77777777" w:rsidR="004B71DA" w:rsidRPr="00A33AE8" w:rsidRDefault="004B71DA" w:rsidP="00884F3B">
            <w:pPr>
              <w:pStyle w:val="ListParagraph"/>
              <w:numPr>
                <w:ilvl w:val="0"/>
                <w:numId w:val="4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Srbijagas Investment Plan</w:t>
            </w:r>
          </w:p>
        </w:tc>
        <w:tc>
          <w:tcPr>
            <w:tcW w:w="1212" w:type="dxa"/>
            <w:vAlign w:val="center"/>
            <w:hideMark/>
          </w:tcPr>
          <w:p w14:paraId="43AD4D93" w14:textId="77777777" w:rsidR="004B71DA" w:rsidRPr="00A33AE8" w:rsidRDefault="004B71DA" w:rsidP="004B71DA">
            <w:pPr>
              <w:rPr>
                <w:rFonts w:asciiTheme="majorHAnsi" w:eastAsia="Times New Roman" w:hAnsiTheme="majorHAnsi" w:cstheme="majorHAnsi"/>
                <w:color w:val="000000"/>
                <w:sz w:val="20"/>
                <w:szCs w:val="20"/>
                <w:lang w:eastAsia="en-GB"/>
              </w:rPr>
            </w:pPr>
          </w:p>
        </w:tc>
      </w:tr>
      <w:tr w:rsidR="004B71DA" w:rsidRPr="00A33AE8" w14:paraId="563DEEB1" w14:textId="77777777" w:rsidTr="004B71DA">
        <w:trPr>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2A3243CB"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68" w:type="dxa"/>
            <w:gridSpan w:val="3"/>
            <w:tcBorders>
              <w:top w:val="single" w:sz="8" w:space="0" w:color="auto"/>
              <w:left w:val="nil"/>
              <w:bottom w:val="single" w:sz="8" w:space="0" w:color="auto"/>
              <w:right w:val="single" w:sz="8" w:space="0" w:color="000000"/>
            </w:tcBorders>
            <w:vAlign w:val="center"/>
            <w:hideMark/>
          </w:tcPr>
          <w:p w14:paraId="655F99D0"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100 </w:t>
            </w:r>
            <w:r w:rsidR="00FE139E" w:rsidRPr="00A33AE8">
              <w:rPr>
                <w:rFonts w:asciiTheme="majorHAnsi" w:eastAsia="Times New Roman" w:hAnsiTheme="majorHAnsi" w:cstheme="majorHAnsi"/>
                <w:color w:val="000000"/>
                <w:sz w:val="20"/>
                <w:szCs w:val="20"/>
                <w:lang w:eastAsia="en-GB"/>
              </w:rPr>
              <w:t>M</w:t>
            </w:r>
            <w:r w:rsidR="00FE139E" w:rsidRPr="00A33AE8">
              <w:rPr>
                <w:rFonts w:ascii="Calibri" w:eastAsia="Times New Roman" w:hAnsi="Calibri" w:cs="Calibri"/>
                <w:color w:val="000000"/>
                <w:sz w:val="20"/>
                <w:szCs w:val="20"/>
                <w:lang w:eastAsia="en-GB"/>
              </w:rPr>
              <w:t>€</w:t>
            </w:r>
          </w:p>
        </w:tc>
        <w:tc>
          <w:tcPr>
            <w:tcW w:w="1212" w:type="dxa"/>
            <w:vAlign w:val="center"/>
            <w:hideMark/>
          </w:tcPr>
          <w:p w14:paraId="1F9C9CF4" w14:textId="77777777" w:rsidR="004B71DA" w:rsidRPr="00A33AE8" w:rsidRDefault="004B71DA" w:rsidP="004B71DA">
            <w:pPr>
              <w:rPr>
                <w:rFonts w:asciiTheme="majorHAnsi" w:eastAsia="Times New Roman" w:hAnsiTheme="majorHAnsi" w:cstheme="majorHAnsi"/>
                <w:color w:val="000000"/>
                <w:sz w:val="20"/>
                <w:szCs w:val="20"/>
                <w:lang w:eastAsia="en-GB"/>
              </w:rPr>
            </w:pPr>
          </w:p>
        </w:tc>
      </w:tr>
      <w:tr w:rsidR="007B2BAE" w:rsidRPr="00A33AE8" w14:paraId="59516D2E" w14:textId="77777777" w:rsidTr="004B71DA">
        <w:trPr>
          <w:trHeight w:val="315"/>
        </w:trPr>
        <w:tc>
          <w:tcPr>
            <w:tcW w:w="3320" w:type="dxa"/>
            <w:tcBorders>
              <w:top w:val="nil"/>
              <w:left w:val="single" w:sz="8" w:space="0" w:color="auto"/>
              <w:bottom w:val="single" w:sz="8" w:space="0" w:color="auto"/>
              <w:right w:val="single" w:sz="8" w:space="0" w:color="auto"/>
            </w:tcBorders>
            <w:shd w:val="clear" w:color="auto" w:fill="244062"/>
            <w:vAlign w:val="center"/>
            <w:hideMark/>
          </w:tcPr>
          <w:p w14:paraId="20FAE308" w14:textId="77777777" w:rsidR="007B2BAE" w:rsidRPr="00A33AE8" w:rsidRDefault="007B2BAE" w:rsidP="007B2BAE">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68" w:type="dxa"/>
            <w:gridSpan w:val="3"/>
            <w:tcBorders>
              <w:top w:val="single" w:sz="8" w:space="0" w:color="auto"/>
              <w:left w:val="nil"/>
              <w:bottom w:val="single" w:sz="8" w:space="0" w:color="auto"/>
              <w:right w:val="single" w:sz="8" w:space="0" w:color="000000"/>
            </w:tcBorders>
            <w:vAlign w:val="center"/>
            <w:hideMark/>
          </w:tcPr>
          <w:p w14:paraId="53E45E81" w14:textId="77777777" w:rsidR="007B2BAE" w:rsidRPr="00A33AE8" w:rsidRDefault="00343B13" w:rsidP="007B2BAE">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Levy on retail price of motor fuels</w:t>
            </w:r>
          </w:p>
        </w:tc>
        <w:tc>
          <w:tcPr>
            <w:tcW w:w="1212" w:type="dxa"/>
            <w:vAlign w:val="center"/>
            <w:hideMark/>
          </w:tcPr>
          <w:p w14:paraId="7B0A6855" w14:textId="77777777" w:rsidR="007B2BAE" w:rsidRPr="00A33AE8" w:rsidRDefault="007B2BAE" w:rsidP="007B2BAE">
            <w:pPr>
              <w:rPr>
                <w:rFonts w:asciiTheme="majorHAnsi" w:eastAsia="Times New Roman" w:hAnsiTheme="majorHAnsi" w:cstheme="majorHAnsi"/>
                <w:color w:val="000000"/>
                <w:sz w:val="20"/>
                <w:szCs w:val="20"/>
                <w:lang w:eastAsia="en-GB"/>
              </w:rPr>
            </w:pPr>
          </w:p>
        </w:tc>
      </w:tr>
    </w:tbl>
    <w:p w14:paraId="23D6518F"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18"/>
        <w:gridCol w:w="1027"/>
        <w:gridCol w:w="939"/>
        <w:gridCol w:w="4204"/>
        <w:gridCol w:w="1212"/>
      </w:tblGrid>
      <w:tr w:rsidR="00751097" w:rsidRPr="00A33AE8" w14:paraId="103E0FEB" w14:textId="77777777" w:rsidTr="004B71DA">
        <w:trPr>
          <w:gridAfter w:val="1"/>
          <w:wAfter w:w="1212" w:type="dxa"/>
          <w:trHeight w:val="780"/>
        </w:trPr>
        <w:tc>
          <w:tcPr>
            <w:tcW w:w="331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003983D"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1027" w:type="dxa"/>
            <w:tcBorders>
              <w:top w:val="single" w:sz="8" w:space="0" w:color="auto"/>
              <w:left w:val="nil"/>
              <w:bottom w:val="single" w:sz="8" w:space="0" w:color="auto"/>
              <w:right w:val="single" w:sz="8" w:space="0" w:color="auto"/>
            </w:tcBorders>
            <w:shd w:val="clear" w:color="auto" w:fill="E7E6E6" w:themeFill="background2"/>
            <w:vAlign w:val="center"/>
            <w:hideMark/>
          </w:tcPr>
          <w:p w14:paraId="54F44C54" w14:textId="77777777" w:rsidR="00751097" w:rsidRPr="00A33AE8" w:rsidRDefault="00057564">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ES3.2</w:t>
            </w:r>
          </w:p>
        </w:tc>
        <w:tc>
          <w:tcPr>
            <w:tcW w:w="939" w:type="dxa"/>
            <w:tcBorders>
              <w:top w:val="single" w:sz="8" w:space="0" w:color="auto"/>
              <w:left w:val="nil"/>
              <w:bottom w:val="single" w:sz="8" w:space="0" w:color="auto"/>
              <w:right w:val="single" w:sz="8" w:space="0" w:color="auto"/>
            </w:tcBorders>
            <w:shd w:val="clear" w:color="auto" w:fill="244062"/>
            <w:vAlign w:val="center"/>
            <w:hideMark/>
          </w:tcPr>
          <w:p w14:paraId="3B210935"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04" w:type="dxa"/>
            <w:tcBorders>
              <w:top w:val="single" w:sz="8" w:space="0" w:color="auto"/>
              <w:left w:val="nil"/>
              <w:bottom w:val="single" w:sz="8" w:space="0" w:color="auto"/>
              <w:right w:val="single" w:sz="8" w:space="0" w:color="auto"/>
            </w:tcBorders>
            <w:shd w:val="clear" w:color="auto" w:fill="E7E6E6" w:themeFill="background2"/>
            <w:vAlign w:val="center"/>
            <w:hideMark/>
          </w:tcPr>
          <w:p w14:paraId="7D6B1629" w14:textId="77777777" w:rsidR="00751097" w:rsidRPr="00A33AE8" w:rsidRDefault="00751097">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Creating mandatory reserves of oil and petroleum products</w:t>
            </w:r>
          </w:p>
        </w:tc>
      </w:tr>
      <w:tr w:rsidR="004B71DA" w:rsidRPr="00A33AE8" w14:paraId="6E60A912" w14:textId="77777777" w:rsidTr="004B71DA">
        <w:trPr>
          <w:gridAfter w:val="1"/>
          <w:wAfter w:w="1212" w:type="dxa"/>
          <w:trHeight w:val="650"/>
        </w:trPr>
        <w:tc>
          <w:tcPr>
            <w:tcW w:w="3318" w:type="dxa"/>
            <w:tcBorders>
              <w:top w:val="nil"/>
              <w:left w:val="single" w:sz="8" w:space="0" w:color="auto"/>
              <w:bottom w:val="single" w:sz="8" w:space="0" w:color="auto"/>
              <w:right w:val="nil"/>
            </w:tcBorders>
            <w:shd w:val="clear" w:color="auto" w:fill="244062"/>
            <w:vAlign w:val="center"/>
            <w:hideMark/>
          </w:tcPr>
          <w:p w14:paraId="37F568F0"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70" w:type="dxa"/>
            <w:gridSpan w:val="3"/>
            <w:tcBorders>
              <w:top w:val="single" w:sz="8" w:space="0" w:color="auto"/>
              <w:left w:val="nil"/>
              <w:bottom w:val="single" w:sz="8" w:space="0" w:color="auto"/>
              <w:right w:val="single" w:sz="8" w:space="0" w:color="000000"/>
            </w:tcBorders>
            <w:vAlign w:val="center"/>
          </w:tcPr>
          <w:p w14:paraId="5CC78C5D"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p>
        </w:tc>
      </w:tr>
      <w:tr w:rsidR="004B71DA" w:rsidRPr="00A33AE8" w14:paraId="1A0BE10E" w14:textId="77777777" w:rsidTr="004B71DA">
        <w:trPr>
          <w:gridAfter w:val="1"/>
          <w:wAfter w:w="1212" w:type="dxa"/>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0D42F6DA"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70" w:type="dxa"/>
            <w:gridSpan w:val="3"/>
            <w:tcBorders>
              <w:top w:val="single" w:sz="8" w:space="0" w:color="auto"/>
              <w:left w:val="nil"/>
              <w:bottom w:val="single" w:sz="8" w:space="0" w:color="auto"/>
              <w:right w:val="single" w:sz="8" w:space="0" w:color="000000"/>
            </w:tcBorders>
            <w:vAlign w:val="center"/>
          </w:tcPr>
          <w:p w14:paraId="5D04BE78"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Available storage space for crude oil and oil products</w:t>
            </w:r>
          </w:p>
        </w:tc>
      </w:tr>
      <w:tr w:rsidR="00751097" w:rsidRPr="00A33AE8" w14:paraId="27CB35FF" w14:textId="77777777" w:rsidTr="004B71DA">
        <w:trPr>
          <w:gridAfter w:val="1"/>
          <w:wAfter w:w="1212" w:type="dxa"/>
          <w:trHeight w:val="598"/>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54C5994C"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70" w:type="dxa"/>
            <w:gridSpan w:val="3"/>
            <w:tcBorders>
              <w:top w:val="single" w:sz="8" w:space="0" w:color="auto"/>
              <w:left w:val="nil"/>
              <w:bottom w:val="single" w:sz="8" w:space="0" w:color="auto"/>
              <w:right w:val="single" w:sz="8" w:space="0" w:color="000000"/>
            </w:tcBorders>
            <w:vAlign w:val="center"/>
            <w:hideMark/>
          </w:tcPr>
          <w:p w14:paraId="3B96CFD4" w14:textId="77777777" w:rsidR="00751097" w:rsidRDefault="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The </w:t>
            </w:r>
            <w:r w:rsidR="00CF58E3" w:rsidRPr="00A33AE8">
              <w:rPr>
                <w:rFonts w:asciiTheme="majorHAnsi" w:eastAsia="Times New Roman" w:hAnsiTheme="majorHAnsi" w:cstheme="majorHAnsi"/>
                <w:color w:val="000000"/>
                <w:sz w:val="20"/>
                <w:szCs w:val="20"/>
                <w:lang w:eastAsia="en-GB"/>
              </w:rPr>
              <w:t xml:space="preserve">mandatory </w:t>
            </w:r>
            <w:r w:rsidRPr="00A33AE8">
              <w:rPr>
                <w:rFonts w:asciiTheme="majorHAnsi" w:eastAsia="Times New Roman" w:hAnsiTheme="majorHAnsi" w:cstheme="majorHAnsi"/>
                <w:color w:val="000000"/>
                <w:sz w:val="20"/>
                <w:szCs w:val="20"/>
                <w:lang w:eastAsia="en-GB"/>
              </w:rPr>
              <w:t>oil stocks of the Republic of Serbia will be established in oil products and crude oil, whereas at least one third of the stockholding obligation shall be in finished products of certain oil products (unleaded motor gasoline, Euro diesel, kerosene jet fuel and residual fuel oil</w:t>
            </w:r>
            <w:r w:rsidRPr="00A4640C">
              <w:rPr>
                <w:rFonts w:asciiTheme="majorHAnsi" w:eastAsia="Times New Roman" w:hAnsiTheme="majorHAnsi" w:cstheme="majorHAnsi"/>
                <w:color w:val="000000"/>
                <w:sz w:val="20"/>
                <w:szCs w:val="20"/>
                <w:lang w:eastAsia="en-GB"/>
              </w:rPr>
              <w:t>). It is necessary to hold an additional 435,000 metric tons of oil products and 75,000 metric tons of crude oil</w:t>
            </w:r>
            <w:r w:rsidR="00A4640C" w:rsidRPr="00A4640C">
              <w:rPr>
                <w:rFonts w:asciiTheme="majorHAnsi" w:eastAsia="Times New Roman" w:hAnsiTheme="majorHAnsi" w:cstheme="majorHAnsi"/>
                <w:color w:val="000000"/>
                <w:sz w:val="20"/>
                <w:szCs w:val="20"/>
                <w:lang w:eastAsia="en-GB"/>
              </w:rPr>
              <w:t>.</w:t>
            </w:r>
          </w:p>
          <w:p w14:paraId="23AFBBFA" w14:textId="77777777" w:rsidR="00A4640C" w:rsidRPr="00A33AE8" w:rsidRDefault="00A4640C">
            <w:pPr>
              <w:spacing w:after="0" w:line="240" w:lineRule="auto"/>
              <w:jc w:val="both"/>
              <w:rPr>
                <w:rFonts w:asciiTheme="majorHAnsi" w:eastAsia="Times New Roman" w:hAnsiTheme="majorHAnsi" w:cstheme="majorHAnsi"/>
                <w:color w:val="000000"/>
                <w:sz w:val="20"/>
                <w:szCs w:val="20"/>
                <w:lang w:eastAsia="en-GB"/>
              </w:rPr>
            </w:pPr>
            <w:r w:rsidRPr="00A4640C">
              <w:rPr>
                <w:rFonts w:asciiTheme="majorHAnsi" w:eastAsia="Times New Roman" w:hAnsiTheme="majorHAnsi" w:cstheme="majorHAnsi"/>
                <w:color w:val="000000"/>
                <w:sz w:val="20"/>
                <w:szCs w:val="20"/>
                <w:lang w:eastAsia="en-GB"/>
              </w:rPr>
              <w:t xml:space="preserve">This policy measure exclusively refers to the legal and regulatory reforms, which are necessary to create mandatory reserves of oil and petroleum products. Any additional investment costs essential for its implementation </w:t>
            </w:r>
            <w:r w:rsidRPr="00A4640C">
              <w:rPr>
                <w:rFonts w:asciiTheme="majorHAnsi" w:eastAsia="Times New Roman" w:hAnsiTheme="majorHAnsi" w:cstheme="majorHAnsi"/>
                <w:color w:val="000000"/>
                <w:sz w:val="20"/>
                <w:szCs w:val="20"/>
                <w:lang w:eastAsia="en-GB"/>
              </w:rPr>
              <w:lastRenderedPageBreak/>
              <w:t>will be subjected to thorough scrutiny within the framework of comprehensive action plans.</w:t>
            </w:r>
          </w:p>
        </w:tc>
      </w:tr>
      <w:tr w:rsidR="00751097" w:rsidRPr="00A33AE8" w14:paraId="21B817BF" w14:textId="77777777" w:rsidTr="004B71DA">
        <w:trPr>
          <w:gridAfter w:val="1"/>
          <w:wAfter w:w="1212" w:type="dxa"/>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39E338C0"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Implementation Timeframe</w:t>
            </w:r>
          </w:p>
        </w:tc>
        <w:tc>
          <w:tcPr>
            <w:tcW w:w="6170" w:type="dxa"/>
            <w:gridSpan w:val="3"/>
            <w:tcBorders>
              <w:top w:val="single" w:sz="8" w:space="0" w:color="auto"/>
              <w:left w:val="nil"/>
              <w:bottom w:val="single" w:sz="8" w:space="0" w:color="auto"/>
              <w:right w:val="single" w:sz="8" w:space="0" w:color="000000"/>
            </w:tcBorders>
            <w:vAlign w:val="center"/>
            <w:hideMark/>
          </w:tcPr>
          <w:p w14:paraId="5D04F1AB" w14:textId="77777777" w:rsidR="00751097" w:rsidRPr="00A33AE8" w:rsidRDefault="00A62A52">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June </w:t>
            </w:r>
            <w:r w:rsidR="00751097" w:rsidRPr="00A33AE8">
              <w:rPr>
                <w:rFonts w:asciiTheme="majorHAnsi" w:eastAsia="Times New Roman" w:hAnsiTheme="majorHAnsi" w:cstheme="majorHAnsi"/>
                <w:color w:val="000000"/>
                <w:sz w:val="20"/>
                <w:szCs w:val="20"/>
                <w:lang w:eastAsia="en-GB"/>
              </w:rPr>
              <w:t>20</w:t>
            </w:r>
            <w:r w:rsidR="000E47E5" w:rsidRPr="00A33AE8">
              <w:rPr>
                <w:rFonts w:asciiTheme="majorHAnsi" w:eastAsia="Times New Roman" w:hAnsiTheme="majorHAnsi" w:cstheme="majorHAnsi"/>
                <w:color w:val="000000"/>
                <w:sz w:val="20"/>
                <w:szCs w:val="20"/>
                <w:lang w:eastAsia="en-GB"/>
              </w:rPr>
              <w:t>21</w:t>
            </w:r>
            <w:r w:rsidRPr="00A33AE8">
              <w:rPr>
                <w:rFonts w:asciiTheme="majorHAnsi" w:eastAsia="Times New Roman" w:hAnsiTheme="majorHAnsi" w:cstheme="majorHAnsi"/>
                <w:color w:val="000000"/>
                <w:sz w:val="20"/>
                <w:szCs w:val="20"/>
                <w:lang w:eastAsia="en-GB"/>
              </w:rPr>
              <w:t xml:space="preserve"> – December </w:t>
            </w:r>
            <w:r w:rsidR="00751097" w:rsidRPr="00A33AE8">
              <w:rPr>
                <w:rFonts w:asciiTheme="majorHAnsi" w:eastAsia="Times New Roman" w:hAnsiTheme="majorHAnsi" w:cstheme="majorHAnsi"/>
                <w:color w:val="000000"/>
                <w:sz w:val="20"/>
                <w:szCs w:val="20"/>
                <w:lang w:eastAsia="en-GB"/>
              </w:rPr>
              <w:t>20</w:t>
            </w:r>
            <w:r w:rsidR="000E47E5" w:rsidRPr="00A33AE8">
              <w:rPr>
                <w:rFonts w:asciiTheme="majorHAnsi" w:eastAsia="Times New Roman" w:hAnsiTheme="majorHAnsi" w:cstheme="majorHAnsi"/>
                <w:color w:val="000000"/>
                <w:sz w:val="20"/>
                <w:szCs w:val="20"/>
                <w:lang w:eastAsia="en-GB"/>
              </w:rPr>
              <w:t>26</w:t>
            </w:r>
          </w:p>
        </w:tc>
      </w:tr>
      <w:tr w:rsidR="00751097" w:rsidRPr="00A33AE8" w14:paraId="6BBDBBD2" w14:textId="77777777" w:rsidTr="004B71DA">
        <w:trPr>
          <w:gridAfter w:val="1"/>
          <w:wAfter w:w="1212" w:type="dxa"/>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2E73C012"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70" w:type="dxa"/>
            <w:gridSpan w:val="3"/>
            <w:tcBorders>
              <w:top w:val="single" w:sz="8" w:space="0" w:color="auto"/>
              <w:left w:val="nil"/>
              <w:bottom w:val="single" w:sz="8" w:space="0" w:color="auto"/>
              <w:right w:val="single" w:sz="8" w:space="0" w:color="000000"/>
            </w:tcBorders>
            <w:vAlign w:val="center"/>
            <w:hideMark/>
          </w:tcPr>
          <w:p w14:paraId="299C4988"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751097" w:rsidRPr="00A33AE8" w14:paraId="546C98BD" w14:textId="77777777" w:rsidTr="004B71DA">
        <w:trPr>
          <w:gridAfter w:val="1"/>
          <w:wAfter w:w="1212" w:type="dxa"/>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68DB6A30"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70" w:type="dxa"/>
            <w:gridSpan w:val="3"/>
            <w:tcBorders>
              <w:top w:val="single" w:sz="8" w:space="0" w:color="auto"/>
              <w:left w:val="nil"/>
              <w:bottom w:val="single" w:sz="8" w:space="0" w:color="auto"/>
              <w:right w:val="single" w:sz="8" w:space="0" w:color="000000"/>
            </w:tcBorders>
            <w:vAlign w:val="center"/>
            <w:hideMark/>
          </w:tcPr>
          <w:p w14:paraId="448599DD" w14:textId="77777777" w:rsidR="00751097" w:rsidRPr="00A33AE8" w:rsidRDefault="00751097">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Oil</w:t>
            </w:r>
          </w:p>
        </w:tc>
      </w:tr>
      <w:tr w:rsidR="004B71DA" w:rsidRPr="00A33AE8" w14:paraId="1F2B7E00" w14:textId="77777777" w:rsidTr="004B71DA">
        <w:trPr>
          <w:gridAfter w:val="1"/>
          <w:wAfter w:w="1212" w:type="dxa"/>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652C6240"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70" w:type="dxa"/>
            <w:gridSpan w:val="3"/>
            <w:tcBorders>
              <w:top w:val="single" w:sz="8" w:space="0" w:color="auto"/>
              <w:left w:val="nil"/>
              <w:bottom w:val="single" w:sz="8" w:space="0" w:color="auto"/>
              <w:right w:val="single" w:sz="8" w:space="0" w:color="000000"/>
            </w:tcBorders>
            <w:vAlign w:val="center"/>
            <w:hideMark/>
          </w:tcPr>
          <w:p w14:paraId="72C2180D" w14:textId="77777777" w:rsidR="00245A42"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Reserves Directorate</w:t>
            </w:r>
          </w:p>
          <w:p w14:paraId="1B218CA8" w14:textId="77777777" w:rsidR="00245A42"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Transnafta </w:t>
            </w:r>
            <w:r w:rsidR="00CF58E3" w:rsidRPr="00A33AE8">
              <w:rPr>
                <w:rFonts w:asciiTheme="majorHAnsi" w:eastAsia="Times New Roman" w:hAnsiTheme="majorHAnsi" w:cstheme="majorHAnsi"/>
                <w:color w:val="000000"/>
                <w:sz w:val="20"/>
                <w:szCs w:val="20"/>
                <w:lang w:eastAsia="en-GB"/>
              </w:rPr>
              <w:t>ad Pancevo</w:t>
            </w:r>
          </w:p>
          <w:p w14:paraId="711DCC17" w14:textId="77777777" w:rsidR="004B71DA" w:rsidRPr="00A33AE8" w:rsidRDefault="00245A42"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w:t>
            </w:r>
            <w:r w:rsidR="004B71DA" w:rsidRPr="00A33AE8">
              <w:rPr>
                <w:rFonts w:asciiTheme="majorHAnsi" w:eastAsia="Times New Roman" w:hAnsiTheme="majorHAnsi" w:cstheme="majorHAnsi"/>
                <w:color w:val="000000"/>
                <w:sz w:val="20"/>
                <w:szCs w:val="20"/>
                <w:lang w:eastAsia="en-GB"/>
              </w:rPr>
              <w:t>rivate entities</w:t>
            </w:r>
          </w:p>
        </w:tc>
      </w:tr>
      <w:tr w:rsidR="004B71DA" w:rsidRPr="00A33AE8" w14:paraId="768EBFAC" w14:textId="77777777" w:rsidTr="00FF03FA">
        <w:trPr>
          <w:gridAfter w:val="1"/>
          <w:wAfter w:w="1212" w:type="dxa"/>
          <w:trHeight w:val="315"/>
        </w:trPr>
        <w:tc>
          <w:tcPr>
            <w:tcW w:w="3318" w:type="dxa"/>
            <w:tcBorders>
              <w:top w:val="nil"/>
              <w:left w:val="single" w:sz="8" w:space="0" w:color="auto"/>
              <w:bottom w:val="single" w:sz="8" w:space="0" w:color="auto"/>
              <w:right w:val="nil"/>
            </w:tcBorders>
            <w:shd w:val="clear" w:color="auto" w:fill="244062"/>
            <w:vAlign w:val="center"/>
            <w:hideMark/>
          </w:tcPr>
          <w:p w14:paraId="628D925A"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70" w:type="dxa"/>
            <w:gridSpan w:val="3"/>
            <w:tcBorders>
              <w:top w:val="single" w:sz="8" w:space="0" w:color="auto"/>
              <w:left w:val="nil"/>
              <w:bottom w:val="single" w:sz="8" w:space="0" w:color="auto"/>
              <w:right w:val="single" w:sz="8" w:space="0" w:color="000000"/>
            </w:tcBorders>
            <w:hideMark/>
          </w:tcPr>
          <w:p w14:paraId="6C34640E" w14:textId="77777777" w:rsidR="00245A42"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Reserves Directorate</w:t>
            </w:r>
          </w:p>
          <w:p w14:paraId="30EF535D" w14:textId="77777777" w:rsidR="00245A42" w:rsidRPr="00A33AE8" w:rsidRDefault="00245A42"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85DEE60" w14:textId="77777777"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4B71DA" w:rsidRPr="00A33AE8" w14:paraId="3DFFC420" w14:textId="77777777" w:rsidTr="00FF03FA">
        <w:trPr>
          <w:gridAfter w:val="1"/>
          <w:wAfter w:w="1212" w:type="dxa"/>
          <w:trHeight w:val="315"/>
        </w:trPr>
        <w:tc>
          <w:tcPr>
            <w:tcW w:w="3318" w:type="dxa"/>
            <w:tcBorders>
              <w:top w:val="nil"/>
              <w:left w:val="single" w:sz="8" w:space="0" w:color="auto"/>
              <w:bottom w:val="single" w:sz="8" w:space="0" w:color="auto"/>
              <w:right w:val="nil"/>
            </w:tcBorders>
            <w:shd w:val="clear" w:color="auto" w:fill="244062"/>
            <w:vAlign w:val="center"/>
            <w:hideMark/>
          </w:tcPr>
          <w:p w14:paraId="5D5C31C7"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70" w:type="dxa"/>
            <w:gridSpan w:val="3"/>
            <w:tcBorders>
              <w:top w:val="single" w:sz="8" w:space="0" w:color="auto"/>
              <w:left w:val="nil"/>
              <w:bottom w:val="single" w:sz="8" w:space="0" w:color="auto"/>
              <w:right w:val="single" w:sz="8" w:space="0" w:color="000000"/>
            </w:tcBorders>
            <w:hideMark/>
          </w:tcPr>
          <w:p w14:paraId="34EE88B8" w14:textId="77777777" w:rsidR="004B71DA" w:rsidRPr="00A33AE8" w:rsidRDefault="004B71DA" w:rsidP="004B71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Available storage space for crude oil and oil products</w:t>
            </w:r>
            <w:r w:rsidR="00310902" w:rsidRPr="00A33AE8">
              <w:rPr>
                <w:rFonts w:asciiTheme="majorHAnsi" w:eastAsia="Times New Roman" w:hAnsiTheme="majorHAnsi" w:cstheme="majorHAnsi"/>
                <w:color w:val="000000"/>
                <w:sz w:val="20"/>
                <w:szCs w:val="20"/>
                <w:lang w:eastAsia="en-GB"/>
              </w:rPr>
              <w:t>, Provision of oil products and crude oil</w:t>
            </w:r>
          </w:p>
        </w:tc>
      </w:tr>
      <w:tr w:rsidR="00A0226E" w:rsidRPr="00A33AE8" w14:paraId="11B0DE36" w14:textId="77777777" w:rsidTr="00A0226E">
        <w:trPr>
          <w:gridAfter w:val="1"/>
          <w:wAfter w:w="1212" w:type="dxa"/>
          <w:trHeight w:val="399"/>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1813CBD4"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0" w:type="dxa"/>
            <w:gridSpan w:val="3"/>
            <w:tcBorders>
              <w:top w:val="single" w:sz="8" w:space="0" w:color="auto"/>
              <w:left w:val="nil"/>
              <w:bottom w:val="single" w:sz="8" w:space="0" w:color="auto"/>
              <w:right w:val="single" w:sz="8" w:space="0" w:color="000000"/>
            </w:tcBorders>
            <w:vAlign w:val="center"/>
            <w:hideMark/>
          </w:tcPr>
          <w:p w14:paraId="4A7F5370" w14:textId="77777777" w:rsidR="00A0226E" w:rsidRPr="00A33AE8" w:rsidRDefault="00A0226E" w:rsidP="00A0226E">
            <w:pPr>
              <w:spacing w:after="0" w:line="240" w:lineRule="auto"/>
              <w:jc w:val="both"/>
              <w:rPr>
                <w:rFonts w:asciiTheme="majorHAnsi" w:eastAsia="Times New Roman" w:hAnsiTheme="majorHAnsi" w:cstheme="majorHAnsi"/>
                <w:color w:val="000000"/>
                <w:sz w:val="20"/>
                <w:szCs w:val="20"/>
                <w:lang w:eastAsia="en-GB"/>
              </w:rPr>
            </w:pPr>
          </w:p>
        </w:tc>
      </w:tr>
      <w:tr w:rsidR="004B71DA" w:rsidRPr="00A33AE8" w14:paraId="3CC8AE1F" w14:textId="77777777" w:rsidTr="004B71DA">
        <w:trPr>
          <w:gridAfter w:val="1"/>
          <w:wAfter w:w="1212" w:type="dxa"/>
          <w:trHeight w:val="450"/>
        </w:trPr>
        <w:tc>
          <w:tcPr>
            <w:tcW w:w="3318" w:type="dxa"/>
            <w:vMerge w:val="restart"/>
            <w:tcBorders>
              <w:top w:val="nil"/>
              <w:left w:val="single" w:sz="8" w:space="0" w:color="auto"/>
              <w:bottom w:val="single" w:sz="8" w:space="0" w:color="000000"/>
              <w:right w:val="single" w:sz="8" w:space="0" w:color="auto"/>
            </w:tcBorders>
            <w:shd w:val="clear" w:color="auto" w:fill="244062"/>
            <w:vAlign w:val="center"/>
            <w:hideMark/>
          </w:tcPr>
          <w:p w14:paraId="49496E05"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7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10E9CB2" w14:textId="77777777"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2009/119/EC</w:t>
            </w:r>
          </w:p>
          <w:p w14:paraId="489E1B33" w14:textId="77777777"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p w14:paraId="748658C1" w14:textId="77777777" w:rsidR="00796680" w:rsidRPr="00A33AE8" w:rsidRDefault="00796680"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Commodity Reserves</w:t>
            </w:r>
          </w:p>
          <w:p w14:paraId="6107CD29" w14:textId="77777777" w:rsidR="004B71DA" w:rsidRPr="000007D2"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0007D2">
              <w:rPr>
                <w:rFonts w:asciiTheme="majorHAnsi" w:eastAsia="Times New Roman" w:hAnsiTheme="majorHAnsi" w:cstheme="majorHAnsi"/>
                <w:color w:val="000000"/>
                <w:sz w:val="20"/>
                <w:szCs w:val="20"/>
                <w:lang w:eastAsia="en-GB"/>
              </w:rPr>
              <w:t>Action Plan for establishment and maintenance of emergency stocks of crude oil and oil products (2017 – 2022)</w:t>
            </w:r>
          </w:p>
          <w:p w14:paraId="03569137" w14:textId="72C2FA93"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Decree on the methodology of data collection and processing and calculation of average daily net imports, average daily consumption and amounts of required emergency stocks of crude oil and oil products</w:t>
            </w:r>
          </w:p>
          <w:p w14:paraId="2B0D8D00" w14:textId="77777777"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Rulebook on defining the yearly programme of emergency oil (2019)</w:t>
            </w:r>
          </w:p>
          <w:p w14:paraId="41E6FE4F" w14:textId="3D13C8E5"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Decree on the amount, method of calculation, payment and disposal of the fee for the establishment of emergency stocks of crude oil and oil products</w:t>
            </w:r>
          </w:p>
          <w:p w14:paraId="55B6F736" w14:textId="77777777"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Rulebook on keeping a register of emergency stocks of oil and oil products and preparing of monthly statistical reports on the quantity, quality, composition and deployment of emergency and other stocks of crude oil and oil products</w:t>
            </w:r>
          </w:p>
          <w:p w14:paraId="6736BCA3" w14:textId="77777777" w:rsidR="009F4765"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Emergency Response Plan</w:t>
            </w:r>
          </w:p>
          <w:p w14:paraId="39EFBA3E" w14:textId="77777777" w:rsidR="004B71DA" w:rsidRPr="00A33AE8" w:rsidRDefault="004B71DA" w:rsidP="00884F3B">
            <w:pPr>
              <w:pStyle w:val="ListParagraph"/>
              <w:numPr>
                <w:ilvl w:val="0"/>
                <w:numId w:val="4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Draft Action Plan for Establishment and Maintenance of Emergency Stocks of Crude Oil and Oil Products (June 2021 – December 2026)</w:t>
            </w:r>
          </w:p>
        </w:tc>
      </w:tr>
      <w:tr w:rsidR="004B71DA" w:rsidRPr="00A33AE8" w14:paraId="5A96F0E7"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9CCADAE" w14:textId="77777777" w:rsidR="004B71DA" w:rsidRPr="00A33AE8" w:rsidRDefault="004B71DA" w:rsidP="004B71DA">
            <w:pPr>
              <w:spacing w:after="0" w:line="256" w:lineRule="auto"/>
              <w:rPr>
                <w:rFonts w:asciiTheme="majorHAnsi" w:eastAsia="Times New Roman" w:hAnsiTheme="majorHAnsi" w:cstheme="majorHAnsi"/>
                <w:b/>
                <w:bCs/>
                <w:color w:val="FFFFFF"/>
                <w:sz w:val="20"/>
                <w:szCs w:val="20"/>
                <w:lang w:eastAsia="en-GB"/>
              </w:rPr>
            </w:pPr>
          </w:p>
        </w:tc>
        <w:tc>
          <w:tcPr>
            <w:tcW w:w="6170" w:type="dxa"/>
            <w:gridSpan w:val="3"/>
            <w:vMerge/>
            <w:tcBorders>
              <w:top w:val="single" w:sz="8" w:space="0" w:color="auto"/>
              <w:left w:val="single" w:sz="8" w:space="0" w:color="auto"/>
              <w:bottom w:val="single" w:sz="8" w:space="0" w:color="000000"/>
              <w:right w:val="single" w:sz="8" w:space="0" w:color="000000"/>
            </w:tcBorders>
            <w:vAlign w:val="center"/>
            <w:hideMark/>
          </w:tcPr>
          <w:p w14:paraId="3C2FE4EC" w14:textId="77777777" w:rsidR="004B71DA" w:rsidRPr="00A33AE8" w:rsidRDefault="004B71DA" w:rsidP="004B71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46DFD31" w14:textId="77777777" w:rsidR="004B71DA" w:rsidRPr="00A33AE8" w:rsidRDefault="004B71DA" w:rsidP="004B71DA"/>
        </w:tc>
      </w:tr>
      <w:tr w:rsidR="004B71DA" w:rsidRPr="00A33AE8" w14:paraId="7BF4720E" w14:textId="77777777" w:rsidTr="004B71DA">
        <w:trPr>
          <w:trHeight w:val="60"/>
        </w:trPr>
        <w:tc>
          <w:tcPr>
            <w:tcW w:w="0" w:type="auto"/>
            <w:vMerge/>
            <w:tcBorders>
              <w:top w:val="nil"/>
              <w:left w:val="single" w:sz="8" w:space="0" w:color="auto"/>
              <w:bottom w:val="single" w:sz="8" w:space="0" w:color="000000"/>
              <w:right w:val="single" w:sz="8" w:space="0" w:color="auto"/>
            </w:tcBorders>
            <w:vAlign w:val="center"/>
            <w:hideMark/>
          </w:tcPr>
          <w:p w14:paraId="6BA4BF48" w14:textId="77777777" w:rsidR="004B71DA" w:rsidRPr="00A33AE8" w:rsidRDefault="004B71DA" w:rsidP="004B71DA">
            <w:pPr>
              <w:spacing w:after="0" w:line="256" w:lineRule="auto"/>
              <w:rPr>
                <w:rFonts w:asciiTheme="majorHAnsi" w:eastAsia="Times New Roman" w:hAnsiTheme="majorHAnsi" w:cstheme="majorHAnsi"/>
                <w:b/>
                <w:bCs/>
                <w:color w:val="FFFFFF"/>
                <w:sz w:val="20"/>
                <w:szCs w:val="20"/>
                <w:lang w:eastAsia="en-GB"/>
              </w:rPr>
            </w:pPr>
          </w:p>
        </w:tc>
        <w:tc>
          <w:tcPr>
            <w:tcW w:w="6170" w:type="dxa"/>
            <w:gridSpan w:val="3"/>
            <w:vMerge/>
            <w:tcBorders>
              <w:top w:val="single" w:sz="8" w:space="0" w:color="auto"/>
              <w:left w:val="single" w:sz="8" w:space="0" w:color="auto"/>
              <w:bottom w:val="single" w:sz="8" w:space="0" w:color="000000"/>
              <w:right w:val="single" w:sz="8" w:space="0" w:color="000000"/>
            </w:tcBorders>
            <w:vAlign w:val="center"/>
            <w:hideMark/>
          </w:tcPr>
          <w:p w14:paraId="2A4B268B" w14:textId="77777777" w:rsidR="004B71DA" w:rsidRPr="00A33AE8" w:rsidRDefault="004B71DA" w:rsidP="004B71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0125FDD" w14:textId="77777777" w:rsidR="004B71DA" w:rsidRPr="00A33AE8" w:rsidRDefault="004B71DA" w:rsidP="004B71DA">
            <w:pPr>
              <w:spacing w:after="0" w:line="256" w:lineRule="auto"/>
              <w:rPr>
                <w:sz w:val="20"/>
                <w:szCs w:val="20"/>
                <w:lang w:eastAsia="en-GB"/>
              </w:rPr>
            </w:pPr>
          </w:p>
        </w:tc>
      </w:tr>
      <w:tr w:rsidR="004B71DA" w:rsidRPr="00A33AE8" w14:paraId="70BA31EF" w14:textId="77777777" w:rsidTr="004B71DA">
        <w:trPr>
          <w:trHeight w:val="780"/>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6BC87BF1" w14:textId="77777777" w:rsidR="004B71DA" w:rsidRPr="00A33AE8" w:rsidRDefault="004B71DA" w:rsidP="004B71D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70" w:type="dxa"/>
            <w:gridSpan w:val="3"/>
            <w:tcBorders>
              <w:top w:val="single" w:sz="8" w:space="0" w:color="auto"/>
              <w:left w:val="nil"/>
              <w:bottom w:val="single" w:sz="8" w:space="0" w:color="auto"/>
              <w:right w:val="single" w:sz="8" w:space="0" w:color="000000"/>
            </w:tcBorders>
            <w:vAlign w:val="center"/>
          </w:tcPr>
          <w:p w14:paraId="0547CC4F" w14:textId="77777777" w:rsidR="004B71DA" w:rsidRPr="00A33AE8" w:rsidRDefault="007B2BAE" w:rsidP="00884F3B">
            <w:pPr>
              <w:pStyle w:val="ListParagraph"/>
              <w:numPr>
                <w:ilvl w:val="0"/>
                <w:numId w:val="43"/>
              </w:numPr>
              <w:spacing w:after="0" w:line="240" w:lineRule="auto"/>
              <w:jc w:val="both"/>
            </w:pPr>
            <w:r w:rsidRPr="00A33AE8">
              <w:rPr>
                <w:rFonts w:asciiTheme="majorHAnsi" w:eastAsia="Times New Roman" w:hAnsiTheme="majorHAnsi" w:cstheme="majorHAnsi"/>
                <w:color w:val="000000"/>
                <w:sz w:val="20"/>
                <w:szCs w:val="20"/>
                <w:lang w:eastAsia="en-GB"/>
              </w:rPr>
              <w:t>Action plan for establishment and maintenance of emergency stocks of crude oil and oil products</w:t>
            </w:r>
          </w:p>
        </w:tc>
        <w:tc>
          <w:tcPr>
            <w:tcW w:w="1212" w:type="dxa"/>
            <w:vAlign w:val="center"/>
            <w:hideMark/>
          </w:tcPr>
          <w:p w14:paraId="2E759AA3" w14:textId="77777777" w:rsidR="004B71DA" w:rsidRPr="00A33AE8" w:rsidRDefault="004B71DA" w:rsidP="004B71DA">
            <w:pPr>
              <w:rPr>
                <w:rFonts w:asciiTheme="majorHAnsi" w:eastAsia="Times New Roman" w:hAnsiTheme="majorHAnsi" w:cstheme="majorHAnsi"/>
                <w:color w:val="000000"/>
                <w:sz w:val="20"/>
                <w:szCs w:val="20"/>
                <w:lang w:eastAsia="en-GB"/>
              </w:rPr>
            </w:pPr>
          </w:p>
        </w:tc>
      </w:tr>
      <w:tr w:rsidR="00751097" w:rsidRPr="00A33AE8" w14:paraId="06A802F8" w14:textId="77777777" w:rsidTr="004B71DA">
        <w:trPr>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321A8C0B"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70" w:type="dxa"/>
            <w:gridSpan w:val="3"/>
            <w:tcBorders>
              <w:top w:val="single" w:sz="8" w:space="0" w:color="auto"/>
              <w:left w:val="nil"/>
              <w:bottom w:val="single" w:sz="8" w:space="0" w:color="auto"/>
              <w:right w:val="single" w:sz="8" w:space="0" w:color="000000"/>
            </w:tcBorders>
            <w:vAlign w:val="center"/>
          </w:tcPr>
          <w:p w14:paraId="3F7B6354"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0.5 M</w:t>
            </w:r>
            <w:r w:rsidRPr="00A33AE8">
              <w:rPr>
                <w:rFonts w:ascii="Calibri" w:eastAsia="Times New Roman" w:hAnsi="Calibri" w:cs="Calibri"/>
                <w:color w:val="000000"/>
                <w:sz w:val="20"/>
                <w:szCs w:val="20"/>
                <w:lang w:eastAsia="en-GB"/>
              </w:rPr>
              <w:t>€</w:t>
            </w:r>
          </w:p>
        </w:tc>
        <w:tc>
          <w:tcPr>
            <w:tcW w:w="1212" w:type="dxa"/>
            <w:vAlign w:val="center"/>
            <w:hideMark/>
          </w:tcPr>
          <w:p w14:paraId="7B9E657A" w14:textId="77777777" w:rsidR="00751097" w:rsidRPr="00A33AE8" w:rsidRDefault="00751097">
            <w:pPr>
              <w:rPr>
                <w:rFonts w:asciiTheme="majorHAnsi" w:eastAsia="Times New Roman" w:hAnsiTheme="majorHAnsi" w:cstheme="majorHAnsi"/>
                <w:color w:val="000000"/>
                <w:sz w:val="20"/>
                <w:szCs w:val="20"/>
                <w:lang w:eastAsia="en-GB"/>
              </w:rPr>
            </w:pPr>
          </w:p>
        </w:tc>
      </w:tr>
      <w:tr w:rsidR="007B2BAE" w:rsidRPr="00A33AE8" w14:paraId="6F123FCA" w14:textId="77777777" w:rsidTr="005F342E">
        <w:trPr>
          <w:trHeight w:val="315"/>
        </w:trPr>
        <w:tc>
          <w:tcPr>
            <w:tcW w:w="3318" w:type="dxa"/>
            <w:tcBorders>
              <w:top w:val="nil"/>
              <w:left w:val="single" w:sz="8" w:space="0" w:color="auto"/>
              <w:bottom w:val="single" w:sz="8" w:space="0" w:color="auto"/>
              <w:right w:val="single" w:sz="8" w:space="0" w:color="auto"/>
            </w:tcBorders>
            <w:shd w:val="clear" w:color="auto" w:fill="244062"/>
            <w:vAlign w:val="center"/>
            <w:hideMark/>
          </w:tcPr>
          <w:p w14:paraId="76868B21" w14:textId="77777777" w:rsidR="007B2BAE" w:rsidRPr="00A33AE8" w:rsidRDefault="007B2BAE" w:rsidP="007B2BAE">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70" w:type="dxa"/>
            <w:gridSpan w:val="3"/>
            <w:tcBorders>
              <w:top w:val="single" w:sz="8" w:space="0" w:color="auto"/>
              <w:left w:val="nil"/>
              <w:bottom w:val="single" w:sz="8" w:space="0" w:color="auto"/>
              <w:right w:val="single" w:sz="8" w:space="0" w:color="000000"/>
            </w:tcBorders>
            <w:vAlign w:val="center"/>
            <w:hideMark/>
          </w:tcPr>
          <w:p w14:paraId="2294632E" w14:textId="77777777" w:rsidR="007B2BAE" w:rsidRPr="00A33AE8" w:rsidRDefault="00310902" w:rsidP="007B2BAE">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Levy on retail price of motor fuels</w:t>
            </w:r>
          </w:p>
        </w:tc>
        <w:tc>
          <w:tcPr>
            <w:tcW w:w="1212" w:type="dxa"/>
            <w:vAlign w:val="center"/>
            <w:hideMark/>
          </w:tcPr>
          <w:p w14:paraId="31ADAEA8" w14:textId="77777777" w:rsidR="007B2BAE" w:rsidRPr="00A33AE8" w:rsidRDefault="007B2BAE" w:rsidP="007B2BAE">
            <w:pPr>
              <w:rPr>
                <w:rFonts w:asciiTheme="majorHAnsi" w:eastAsia="Times New Roman" w:hAnsiTheme="majorHAnsi" w:cstheme="majorHAnsi"/>
                <w:color w:val="000000"/>
                <w:sz w:val="20"/>
                <w:szCs w:val="20"/>
                <w:lang w:eastAsia="en-GB"/>
              </w:rPr>
            </w:pPr>
          </w:p>
        </w:tc>
      </w:tr>
    </w:tbl>
    <w:p w14:paraId="2A2623A4"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42"/>
        <w:gridCol w:w="941"/>
        <w:gridCol w:w="945"/>
        <w:gridCol w:w="4260"/>
        <w:gridCol w:w="1212"/>
      </w:tblGrid>
      <w:tr w:rsidR="00751097" w:rsidRPr="00A33AE8" w14:paraId="70B5476A" w14:textId="77777777" w:rsidTr="004B71DA">
        <w:trPr>
          <w:gridAfter w:val="1"/>
          <w:wAfter w:w="1212" w:type="dxa"/>
          <w:trHeight w:val="780"/>
        </w:trPr>
        <w:tc>
          <w:tcPr>
            <w:tcW w:w="3342"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4321CC7" w14:textId="3B0EDDD2"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Policy measure code:</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6186BBBC" w14:textId="77777777" w:rsidR="00751097" w:rsidRPr="00A33AE8" w:rsidRDefault="00057564">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ES4</w:t>
            </w:r>
          </w:p>
        </w:tc>
        <w:tc>
          <w:tcPr>
            <w:tcW w:w="945" w:type="dxa"/>
            <w:tcBorders>
              <w:top w:val="single" w:sz="8" w:space="0" w:color="auto"/>
              <w:left w:val="nil"/>
              <w:bottom w:val="single" w:sz="8" w:space="0" w:color="auto"/>
              <w:right w:val="single" w:sz="8" w:space="0" w:color="auto"/>
            </w:tcBorders>
            <w:shd w:val="clear" w:color="auto" w:fill="244062"/>
            <w:vAlign w:val="center"/>
            <w:hideMark/>
          </w:tcPr>
          <w:p w14:paraId="08DCF30B"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60" w:type="dxa"/>
            <w:tcBorders>
              <w:top w:val="single" w:sz="8" w:space="0" w:color="auto"/>
              <w:left w:val="nil"/>
              <w:bottom w:val="single" w:sz="8" w:space="0" w:color="auto"/>
              <w:right w:val="single" w:sz="8" w:space="0" w:color="auto"/>
            </w:tcBorders>
            <w:shd w:val="clear" w:color="auto" w:fill="E7E6E6" w:themeFill="background2"/>
            <w:vAlign w:val="center"/>
            <w:hideMark/>
          </w:tcPr>
          <w:p w14:paraId="1F649503" w14:textId="77777777" w:rsidR="00751097" w:rsidRPr="00A33AE8" w:rsidRDefault="00CF58E3">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Creating operational reserves of oil, coal and other energy derivatives</w:t>
            </w:r>
          </w:p>
        </w:tc>
      </w:tr>
      <w:tr w:rsidR="009F4765" w:rsidRPr="00A33AE8" w14:paraId="6B8B4919" w14:textId="77777777" w:rsidTr="004B71DA">
        <w:trPr>
          <w:gridAfter w:val="1"/>
          <w:wAfter w:w="1212" w:type="dxa"/>
          <w:trHeight w:val="730"/>
        </w:trPr>
        <w:tc>
          <w:tcPr>
            <w:tcW w:w="3342" w:type="dxa"/>
            <w:tcBorders>
              <w:top w:val="nil"/>
              <w:left w:val="single" w:sz="8" w:space="0" w:color="auto"/>
              <w:bottom w:val="single" w:sz="8" w:space="0" w:color="auto"/>
              <w:right w:val="nil"/>
            </w:tcBorders>
            <w:shd w:val="clear" w:color="auto" w:fill="244062"/>
            <w:vAlign w:val="center"/>
            <w:hideMark/>
          </w:tcPr>
          <w:p w14:paraId="7581979A" w14:textId="446098F5"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Main objective:</w:t>
            </w:r>
          </w:p>
        </w:tc>
        <w:tc>
          <w:tcPr>
            <w:tcW w:w="6146" w:type="dxa"/>
            <w:gridSpan w:val="3"/>
            <w:tcBorders>
              <w:top w:val="single" w:sz="8" w:space="0" w:color="auto"/>
              <w:left w:val="nil"/>
              <w:bottom w:val="single" w:sz="8" w:space="0" w:color="auto"/>
              <w:right w:val="single" w:sz="8" w:space="0" w:color="000000"/>
            </w:tcBorders>
            <w:vAlign w:val="center"/>
          </w:tcPr>
          <w:p w14:paraId="07A1F6F2"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p>
        </w:tc>
      </w:tr>
      <w:tr w:rsidR="009F4765" w:rsidRPr="00A33AE8" w14:paraId="3F2A650B"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9804435" w14:textId="48D8B669"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Quantified objective:</w:t>
            </w:r>
          </w:p>
        </w:tc>
        <w:tc>
          <w:tcPr>
            <w:tcW w:w="6146" w:type="dxa"/>
            <w:gridSpan w:val="3"/>
            <w:tcBorders>
              <w:top w:val="single" w:sz="8" w:space="0" w:color="auto"/>
              <w:left w:val="nil"/>
              <w:bottom w:val="single" w:sz="8" w:space="0" w:color="auto"/>
              <w:right w:val="single" w:sz="8" w:space="0" w:color="000000"/>
            </w:tcBorders>
            <w:vAlign w:val="center"/>
          </w:tcPr>
          <w:p w14:paraId="28C59679"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Level of operational reserves by supplier and type of energy product</w:t>
            </w:r>
          </w:p>
        </w:tc>
      </w:tr>
      <w:tr w:rsidR="009F4765" w:rsidRPr="00A33AE8" w14:paraId="22BA346C" w14:textId="77777777" w:rsidTr="004B71DA">
        <w:trPr>
          <w:gridAfter w:val="1"/>
          <w:wAfter w:w="1212" w:type="dxa"/>
          <w:trHeight w:val="1103"/>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8731C9A"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Description:</w:t>
            </w:r>
          </w:p>
        </w:tc>
        <w:tc>
          <w:tcPr>
            <w:tcW w:w="6146" w:type="dxa"/>
            <w:gridSpan w:val="3"/>
            <w:tcBorders>
              <w:top w:val="single" w:sz="8" w:space="0" w:color="auto"/>
              <w:left w:val="nil"/>
              <w:bottom w:val="single" w:sz="8" w:space="0" w:color="auto"/>
              <w:right w:val="single" w:sz="8" w:space="0" w:color="000000"/>
            </w:tcBorders>
            <w:vAlign w:val="center"/>
            <w:hideMark/>
          </w:tcPr>
          <w:p w14:paraId="531D3655" w14:textId="3CDAB7F5"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This measure refers to the introduction of obligations of maintaining commercial reserves (obligations upon suppliers): </w:t>
            </w:r>
            <w:r w:rsidR="00343B13" w:rsidRPr="00A33AE8">
              <w:rPr>
                <w:rFonts w:asciiTheme="majorHAnsi" w:eastAsia="Times New Roman" w:hAnsiTheme="majorHAnsi" w:cstheme="majorHAnsi"/>
                <w:color w:val="000000"/>
                <w:sz w:val="20"/>
                <w:szCs w:val="20"/>
                <w:lang w:eastAsia="en-GB"/>
              </w:rPr>
              <w:t>Decree on operational stocks of oil, coal and other energy carriers (“Official Gazette of the Republic of Serbia", no. 79/21), adopted on 6 August 2021.</w:t>
            </w:r>
          </w:p>
        </w:tc>
      </w:tr>
      <w:tr w:rsidR="009F4765" w:rsidRPr="00A33AE8" w14:paraId="0376C263"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C79C908"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46" w:type="dxa"/>
            <w:gridSpan w:val="3"/>
            <w:tcBorders>
              <w:top w:val="single" w:sz="8" w:space="0" w:color="auto"/>
              <w:left w:val="nil"/>
              <w:bottom w:val="single" w:sz="8" w:space="0" w:color="auto"/>
              <w:right w:val="single" w:sz="8" w:space="0" w:color="000000"/>
            </w:tcBorders>
            <w:vAlign w:val="center"/>
            <w:hideMark/>
          </w:tcPr>
          <w:p w14:paraId="472221C8" w14:textId="77777777" w:rsidR="009F4765" w:rsidRPr="005B2C66" w:rsidRDefault="005B7479" w:rsidP="009F4765">
            <w:pPr>
              <w:spacing w:after="0" w:line="240" w:lineRule="auto"/>
              <w:jc w:val="both"/>
              <w:rPr>
                <w:rFonts w:asciiTheme="majorHAnsi" w:eastAsia="Times New Roman" w:hAnsiTheme="majorHAnsi" w:cstheme="majorHAnsi"/>
                <w:color w:val="000000"/>
                <w:sz w:val="20"/>
                <w:szCs w:val="20"/>
                <w:lang w:val="en-US" w:eastAsia="en-GB"/>
              </w:rPr>
            </w:pPr>
            <w:r w:rsidRPr="00A33AE8">
              <w:rPr>
                <w:rFonts w:asciiTheme="majorHAnsi" w:eastAsia="Times New Roman" w:hAnsiTheme="majorHAnsi" w:cstheme="majorHAnsi"/>
                <w:color w:val="000000"/>
                <w:sz w:val="20"/>
                <w:szCs w:val="20"/>
                <w:lang w:eastAsia="en-GB"/>
              </w:rPr>
              <w:t>202</w:t>
            </w:r>
            <w:r>
              <w:rPr>
                <w:rFonts w:asciiTheme="majorHAnsi" w:eastAsia="Times New Roman" w:hAnsiTheme="majorHAnsi" w:cstheme="majorHAnsi"/>
                <w:color w:val="000000"/>
                <w:sz w:val="20"/>
                <w:szCs w:val="20"/>
                <w:lang w:val="el-GR" w:eastAsia="en-GB"/>
              </w:rPr>
              <w:t>4</w:t>
            </w:r>
          </w:p>
        </w:tc>
      </w:tr>
      <w:tr w:rsidR="009F4765" w:rsidRPr="00A33AE8" w14:paraId="721CADBE"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E0C0370"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46" w:type="dxa"/>
            <w:gridSpan w:val="3"/>
            <w:tcBorders>
              <w:top w:val="single" w:sz="8" w:space="0" w:color="auto"/>
              <w:left w:val="nil"/>
              <w:bottom w:val="single" w:sz="8" w:space="0" w:color="auto"/>
              <w:right w:val="single" w:sz="8" w:space="0" w:color="000000"/>
            </w:tcBorders>
            <w:vAlign w:val="center"/>
            <w:hideMark/>
          </w:tcPr>
          <w:p w14:paraId="2DECD7B9" w14:textId="77777777" w:rsidR="009F4765" w:rsidRPr="00A33AE8" w:rsidRDefault="00FE139E"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9F4765" w:rsidRPr="00A33AE8" w14:paraId="6F6E80C3"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142548C"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46" w:type="dxa"/>
            <w:gridSpan w:val="3"/>
            <w:tcBorders>
              <w:top w:val="single" w:sz="8" w:space="0" w:color="auto"/>
              <w:left w:val="nil"/>
              <w:bottom w:val="single" w:sz="8" w:space="0" w:color="auto"/>
              <w:right w:val="single" w:sz="8" w:space="0" w:color="000000"/>
            </w:tcBorders>
            <w:vAlign w:val="center"/>
            <w:hideMark/>
          </w:tcPr>
          <w:p w14:paraId="78B268E1"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Oil</w:t>
            </w:r>
            <w:r w:rsidR="00343B13" w:rsidRPr="00A33AE8">
              <w:rPr>
                <w:rFonts w:asciiTheme="majorHAnsi" w:eastAsia="Times New Roman" w:hAnsiTheme="majorHAnsi" w:cstheme="majorHAnsi"/>
                <w:color w:val="000000"/>
                <w:sz w:val="20"/>
                <w:szCs w:val="20"/>
                <w:lang w:eastAsia="en-GB"/>
              </w:rPr>
              <w:t xml:space="preserve"> and coal</w:t>
            </w:r>
          </w:p>
        </w:tc>
      </w:tr>
      <w:tr w:rsidR="009F4765" w:rsidRPr="00A33AE8" w14:paraId="17C42944"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D4EB0F2"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4EE73AB6" w14:textId="77777777" w:rsidR="009F4765" w:rsidRPr="00A33AE8" w:rsidRDefault="009F4765" w:rsidP="00884F3B">
            <w:pPr>
              <w:pStyle w:val="ListParagraph"/>
              <w:numPr>
                <w:ilvl w:val="0"/>
                <w:numId w:val="4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entities that have the obligation to form operational reserves</w:t>
            </w:r>
          </w:p>
        </w:tc>
      </w:tr>
      <w:tr w:rsidR="009F4765" w:rsidRPr="00A33AE8" w14:paraId="3E6445DD" w14:textId="77777777" w:rsidTr="004B71DA">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5B6FE4AD"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6EA4ABEB" w14:textId="77777777" w:rsidR="009F4765" w:rsidRPr="00A33AE8" w:rsidRDefault="00245A42" w:rsidP="00884F3B">
            <w:pPr>
              <w:pStyle w:val="ListParagraph"/>
              <w:numPr>
                <w:ilvl w:val="0"/>
                <w:numId w:val="4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9F4765" w:rsidRPr="00A33AE8" w14:paraId="5174E741" w14:textId="77777777" w:rsidTr="004B71DA">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27D913EA"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46" w:type="dxa"/>
            <w:gridSpan w:val="3"/>
            <w:tcBorders>
              <w:top w:val="single" w:sz="8" w:space="0" w:color="auto"/>
              <w:left w:val="nil"/>
              <w:bottom w:val="single" w:sz="8" w:space="0" w:color="auto"/>
              <w:right w:val="single" w:sz="8" w:space="0" w:color="000000"/>
            </w:tcBorders>
            <w:vAlign w:val="center"/>
            <w:hideMark/>
          </w:tcPr>
          <w:p w14:paraId="4DDDCFAC"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Volume of energy product in stock by product</w:t>
            </w:r>
          </w:p>
        </w:tc>
      </w:tr>
      <w:tr w:rsidR="00A0226E" w:rsidRPr="00A33AE8" w14:paraId="31428A29" w14:textId="77777777" w:rsidTr="00013858">
        <w:trPr>
          <w:gridAfter w:val="1"/>
          <w:wAfter w:w="1212" w:type="dxa"/>
          <w:trHeight w:val="387"/>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0CD8866D"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6" w:type="dxa"/>
            <w:gridSpan w:val="3"/>
            <w:tcBorders>
              <w:top w:val="single" w:sz="8" w:space="0" w:color="auto"/>
              <w:left w:val="nil"/>
              <w:bottom w:val="single" w:sz="8" w:space="0" w:color="auto"/>
              <w:right w:val="single" w:sz="8" w:space="0" w:color="000000"/>
            </w:tcBorders>
            <w:vAlign w:val="center"/>
            <w:hideMark/>
          </w:tcPr>
          <w:p w14:paraId="69A9C6F5" w14:textId="77777777" w:rsidR="00A0226E" w:rsidRPr="00A33AE8" w:rsidRDefault="00A0226E" w:rsidP="00A0226E">
            <w:pPr>
              <w:spacing w:after="0" w:line="240" w:lineRule="auto"/>
              <w:jc w:val="both"/>
              <w:rPr>
                <w:rFonts w:asciiTheme="majorHAnsi" w:eastAsia="Times New Roman" w:hAnsiTheme="majorHAnsi" w:cstheme="majorHAnsi"/>
                <w:color w:val="000000"/>
                <w:sz w:val="20"/>
                <w:szCs w:val="20"/>
                <w:lang w:eastAsia="en-GB"/>
              </w:rPr>
            </w:pPr>
          </w:p>
        </w:tc>
      </w:tr>
      <w:tr w:rsidR="009F4765" w:rsidRPr="00A33AE8" w14:paraId="5D9DC46F" w14:textId="77777777" w:rsidTr="004B71DA">
        <w:trPr>
          <w:gridAfter w:val="1"/>
          <w:wAfter w:w="1212" w:type="dxa"/>
          <w:trHeight w:val="450"/>
        </w:trPr>
        <w:tc>
          <w:tcPr>
            <w:tcW w:w="3342" w:type="dxa"/>
            <w:vMerge w:val="restart"/>
            <w:tcBorders>
              <w:top w:val="nil"/>
              <w:left w:val="single" w:sz="8" w:space="0" w:color="auto"/>
              <w:bottom w:val="single" w:sz="8" w:space="0" w:color="000000"/>
              <w:right w:val="single" w:sz="8" w:space="0" w:color="auto"/>
            </w:tcBorders>
            <w:shd w:val="clear" w:color="auto" w:fill="244062"/>
            <w:vAlign w:val="center"/>
            <w:hideMark/>
          </w:tcPr>
          <w:p w14:paraId="60BB029C"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46"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16011F6" w14:textId="77777777" w:rsidR="009F4765" w:rsidRPr="00A33AE8" w:rsidRDefault="009F4765" w:rsidP="00884F3B">
            <w:pPr>
              <w:pStyle w:val="ListParagraph"/>
              <w:numPr>
                <w:ilvl w:val="0"/>
                <w:numId w:val="4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2009/119/EC</w:t>
            </w:r>
          </w:p>
        </w:tc>
      </w:tr>
      <w:tr w:rsidR="009F4765" w:rsidRPr="00A33AE8" w14:paraId="1BDD85CA"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0885CDC4" w14:textId="77777777" w:rsidR="009F4765" w:rsidRPr="00A33AE8" w:rsidRDefault="009F4765" w:rsidP="009F4765">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10338550" w14:textId="77777777" w:rsidR="009F4765" w:rsidRPr="00A33AE8" w:rsidRDefault="009F4765" w:rsidP="009F476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38E0EE1" w14:textId="77777777" w:rsidR="009F4765" w:rsidRPr="00A33AE8" w:rsidRDefault="009F4765" w:rsidP="009F4765"/>
        </w:tc>
      </w:tr>
      <w:tr w:rsidR="009F4765" w:rsidRPr="00A33AE8" w14:paraId="7DDB3F1B" w14:textId="77777777" w:rsidTr="00013858">
        <w:trPr>
          <w:trHeight w:val="60"/>
        </w:trPr>
        <w:tc>
          <w:tcPr>
            <w:tcW w:w="0" w:type="auto"/>
            <w:vMerge/>
            <w:tcBorders>
              <w:top w:val="nil"/>
              <w:left w:val="single" w:sz="8" w:space="0" w:color="auto"/>
              <w:bottom w:val="single" w:sz="8" w:space="0" w:color="000000"/>
              <w:right w:val="single" w:sz="8" w:space="0" w:color="auto"/>
            </w:tcBorders>
            <w:vAlign w:val="center"/>
            <w:hideMark/>
          </w:tcPr>
          <w:p w14:paraId="1C6244C4" w14:textId="77777777" w:rsidR="009F4765" w:rsidRPr="00A33AE8" w:rsidRDefault="009F4765" w:rsidP="009F4765">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00F4D764" w14:textId="77777777" w:rsidR="009F4765" w:rsidRPr="00A33AE8" w:rsidRDefault="009F4765" w:rsidP="009F476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BF7D60B" w14:textId="77777777" w:rsidR="009F4765" w:rsidRPr="00A33AE8" w:rsidRDefault="009F4765" w:rsidP="009F4765">
            <w:pPr>
              <w:spacing w:after="0" w:line="256" w:lineRule="auto"/>
              <w:rPr>
                <w:sz w:val="20"/>
                <w:szCs w:val="20"/>
                <w:lang w:eastAsia="en-GB"/>
              </w:rPr>
            </w:pPr>
          </w:p>
        </w:tc>
      </w:tr>
      <w:tr w:rsidR="009F4765" w:rsidRPr="00A33AE8" w14:paraId="5117E774" w14:textId="77777777" w:rsidTr="004B71DA">
        <w:trPr>
          <w:trHeight w:val="780"/>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F10F5AE"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46" w:type="dxa"/>
            <w:gridSpan w:val="3"/>
            <w:tcBorders>
              <w:top w:val="single" w:sz="8" w:space="0" w:color="auto"/>
              <w:left w:val="nil"/>
              <w:bottom w:val="single" w:sz="8" w:space="0" w:color="auto"/>
              <w:right w:val="single" w:sz="8" w:space="0" w:color="000000"/>
            </w:tcBorders>
            <w:vAlign w:val="center"/>
            <w:hideMark/>
          </w:tcPr>
          <w:p w14:paraId="28ADEC41" w14:textId="77777777" w:rsidR="009F4765" w:rsidRPr="00A33AE8" w:rsidRDefault="009F4765" w:rsidP="00884F3B">
            <w:pPr>
              <w:pStyle w:val="ListParagraph"/>
              <w:numPr>
                <w:ilvl w:val="0"/>
                <w:numId w:val="4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p w14:paraId="334D3D80" w14:textId="77777777" w:rsidR="009F4765" w:rsidRPr="00A33AE8" w:rsidRDefault="009F4765" w:rsidP="00884F3B">
            <w:pPr>
              <w:pStyle w:val="ListParagraph"/>
              <w:numPr>
                <w:ilvl w:val="0"/>
                <w:numId w:val="4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Compulsory Reserves of Oil and Oil Derivatives</w:t>
            </w:r>
          </w:p>
          <w:p w14:paraId="353D20B5" w14:textId="77777777" w:rsidR="009F4765" w:rsidRPr="00A33AE8" w:rsidRDefault="009F4765" w:rsidP="00884F3B">
            <w:pPr>
              <w:pStyle w:val="ListParagraph"/>
              <w:numPr>
                <w:ilvl w:val="0"/>
                <w:numId w:val="4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Action Plan for establishment and maintenance of emergency stocks of crude oil and oil products (2017 - 2022)</w:t>
            </w:r>
          </w:p>
          <w:p w14:paraId="051C84FE" w14:textId="77777777" w:rsidR="009F4765" w:rsidRPr="00A33AE8" w:rsidRDefault="009F4765" w:rsidP="00884F3B">
            <w:pPr>
              <w:pStyle w:val="ListParagraph"/>
              <w:numPr>
                <w:ilvl w:val="0"/>
                <w:numId w:val="4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Decree on the plan and procurement criteria for the formation of emergency reserves (2016)</w:t>
            </w:r>
          </w:p>
          <w:p w14:paraId="3226B175" w14:textId="77777777" w:rsidR="009F4765" w:rsidRPr="00A33AE8" w:rsidRDefault="009F4765" w:rsidP="00884F3B">
            <w:pPr>
              <w:pStyle w:val="ListParagraph"/>
              <w:numPr>
                <w:ilvl w:val="0"/>
                <w:numId w:val="4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Rulebook on defining the yearly programme of emergency oil (2019), Emergency response plan (2019)</w:t>
            </w:r>
          </w:p>
          <w:p w14:paraId="11729D4A" w14:textId="77777777" w:rsidR="00E24B3D" w:rsidRPr="000007D2" w:rsidRDefault="00E24B3D" w:rsidP="00884F3B">
            <w:pPr>
              <w:pStyle w:val="ListParagraph"/>
              <w:numPr>
                <w:ilvl w:val="0"/>
                <w:numId w:val="44"/>
              </w:numPr>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Decree on Operational reserves of Oil, Coal and Other Energy Derivatives (2021)</w:t>
            </w:r>
          </w:p>
          <w:p w14:paraId="7508D3CE" w14:textId="77777777" w:rsidR="009F4765" w:rsidRPr="00A33AE8" w:rsidRDefault="009F4765" w:rsidP="007A0028">
            <w:pPr>
              <w:pStyle w:val="ListParagraph"/>
              <w:spacing w:after="0" w:line="240" w:lineRule="auto"/>
              <w:jc w:val="both"/>
              <w:rPr>
                <w:rFonts w:asciiTheme="majorHAnsi" w:eastAsia="Times New Roman" w:hAnsiTheme="majorHAnsi" w:cstheme="majorHAnsi"/>
                <w:color w:val="000000"/>
                <w:sz w:val="20"/>
                <w:szCs w:val="20"/>
                <w:lang w:eastAsia="en-GB"/>
              </w:rPr>
            </w:pPr>
          </w:p>
        </w:tc>
        <w:tc>
          <w:tcPr>
            <w:tcW w:w="1212" w:type="dxa"/>
            <w:vAlign w:val="center"/>
            <w:hideMark/>
          </w:tcPr>
          <w:p w14:paraId="6EB28151" w14:textId="77777777" w:rsidR="009F4765" w:rsidRPr="00A33AE8" w:rsidRDefault="009F4765" w:rsidP="009F4765">
            <w:pPr>
              <w:rPr>
                <w:rFonts w:asciiTheme="majorHAnsi" w:eastAsia="Times New Roman" w:hAnsiTheme="majorHAnsi" w:cstheme="majorHAnsi"/>
                <w:color w:val="000000"/>
                <w:sz w:val="20"/>
                <w:szCs w:val="20"/>
                <w:lang w:eastAsia="en-GB"/>
              </w:rPr>
            </w:pPr>
          </w:p>
        </w:tc>
      </w:tr>
      <w:tr w:rsidR="009F4765" w:rsidRPr="00A33AE8" w14:paraId="49FF3D5C" w14:textId="77777777" w:rsidTr="004B71DA">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D171DB1"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46" w:type="dxa"/>
            <w:gridSpan w:val="3"/>
            <w:tcBorders>
              <w:top w:val="single" w:sz="8" w:space="0" w:color="auto"/>
              <w:left w:val="nil"/>
              <w:bottom w:val="single" w:sz="8" w:space="0" w:color="auto"/>
              <w:right w:val="single" w:sz="8" w:space="0" w:color="000000"/>
            </w:tcBorders>
            <w:vAlign w:val="center"/>
            <w:hideMark/>
          </w:tcPr>
          <w:p w14:paraId="1ADACCE5" w14:textId="77777777" w:rsidR="009F4765" w:rsidRPr="00A33AE8" w:rsidRDefault="00FE139E"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0.5 M</w:t>
            </w:r>
            <w:r w:rsidRPr="00A33AE8">
              <w:rPr>
                <w:rFonts w:ascii="Calibri" w:eastAsia="Times New Roman" w:hAnsi="Calibri" w:cs="Calibri"/>
                <w:color w:val="000000"/>
                <w:sz w:val="20"/>
                <w:szCs w:val="20"/>
                <w:lang w:eastAsia="en-GB"/>
              </w:rPr>
              <w:t>€</w:t>
            </w:r>
          </w:p>
        </w:tc>
        <w:tc>
          <w:tcPr>
            <w:tcW w:w="1212" w:type="dxa"/>
            <w:vAlign w:val="center"/>
            <w:hideMark/>
          </w:tcPr>
          <w:p w14:paraId="56F32C81" w14:textId="77777777" w:rsidR="009F4765" w:rsidRPr="00A33AE8" w:rsidRDefault="009F4765" w:rsidP="009F4765">
            <w:pPr>
              <w:rPr>
                <w:rFonts w:asciiTheme="majorHAnsi" w:eastAsia="Times New Roman" w:hAnsiTheme="majorHAnsi" w:cstheme="majorHAnsi"/>
                <w:color w:val="000000"/>
                <w:sz w:val="20"/>
                <w:szCs w:val="20"/>
                <w:lang w:eastAsia="en-GB"/>
              </w:rPr>
            </w:pPr>
          </w:p>
        </w:tc>
      </w:tr>
      <w:tr w:rsidR="00D145CB" w:rsidRPr="00A33AE8" w14:paraId="36C6129B" w14:textId="77777777" w:rsidTr="004B71DA">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FE1CCDC" w14:textId="77777777" w:rsidR="00D145CB" w:rsidRPr="00A33AE8" w:rsidRDefault="00D145CB" w:rsidP="00D145CB">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46" w:type="dxa"/>
            <w:gridSpan w:val="3"/>
            <w:tcBorders>
              <w:top w:val="single" w:sz="8" w:space="0" w:color="auto"/>
              <w:left w:val="nil"/>
              <w:bottom w:val="single" w:sz="8" w:space="0" w:color="auto"/>
              <w:right w:val="single" w:sz="8" w:space="0" w:color="000000"/>
            </w:tcBorders>
            <w:vAlign w:val="center"/>
            <w:hideMark/>
          </w:tcPr>
          <w:p w14:paraId="747CF6F9" w14:textId="77777777" w:rsidR="00D145CB" w:rsidRPr="00A33AE8" w:rsidRDefault="00343B13" w:rsidP="00D145CB">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Funds of obliged parties</w:t>
            </w:r>
          </w:p>
        </w:tc>
        <w:tc>
          <w:tcPr>
            <w:tcW w:w="1212" w:type="dxa"/>
            <w:vAlign w:val="center"/>
            <w:hideMark/>
          </w:tcPr>
          <w:p w14:paraId="791BB39A" w14:textId="77777777" w:rsidR="00D145CB" w:rsidRPr="00A33AE8" w:rsidRDefault="00D145CB" w:rsidP="00D145CB">
            <w:pPr>
              <w:rPr>
                <w:rFonts w:asciiTheme="majorHAnsi" w:eastAsia="Times New Roman" w:hAnsiTheme="majorHAnsi" w:cstheme="majorHAnsi"/>
                <w:color w:val="000000"/>
                <w:sz w:val="20"/>
                <w:szCs w:val="20"/>
                <w:lang w:eastAsia="en-GB"/>
              </w:rPr>
            </w:pPr>
          </w:p>
        </w:tc>
      </w:tr>
    </w:tbl>
    <w:p w14:paraId="67C4A14B"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42"/>
        <w:gridCol w:w="941"/>
        <w:gridCol w:w="945"/>
        <w:gridCol w:w="4260"/>
        <w:gridCol w:w="1212"/>
      </w:tblGrid>
      <w:tr w:rsidR="00751097" w:rsidRPr="00A33AE8" w14:paraId="4567AA25" w14:textId="77777777" w:rsidTr="004B71DA">
        <w:trPr>
          <w:gridAfter w:val="1"/>
          <w:wAfter w:w="1212" w:type="dxa"/>
          <w:trHeight w:val="780"/>
        </w:trPr>
        <w:tc>
          <w:tcPr>
            <w:tcW w:w="3342"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D6CA40B"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BDE261E" w14:textId="77777777" w:rsidR="00751097" w:rsidRPr="00A33AE8" w:rsidRDefault="00057564">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ES5</w:t>
            </w:r>
          </w:p>
        </w:tc>
        <w:tc>
          <w:tcPr>
            <w:tcW w:w="945" w:type="dxa"/>
            <w:tcBorders>
              <w:top w:val="single" w:sz="8" w:space="0" w:color="auto"/>
              <w:left w:val="nil"/>
              <w:bottom w:val="single" w:sz="8" w:space="0" w:color="auto"/>
              <w:right w:val="single" w:sz="8" w:space="0" w:color="auto"/>
            </w:tcBorders>
            <w:shd w:val="clear" w:color="auto" w:fill="244062"/>
            <w:vAlign w:val="center"/>
            <w:hideMark/>
          </w:tcPr>
          <w:p w14:paraId="24692AEF"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60" w:type="dxa"/>
            <w:tcBorders>
              <w:top w:val="single" w:sz="8" w:space="0" w:color="auto"/>
              <w:left w:val="nil"/>
              <w:bottom w:val="single" w:sz="8" w:space="0" w:color="auto"/>
              <w:right w:val="single" w:sz="8" w:space="0" w:color="auto"/>
            </w:tcBorders>
            <w:shd w:val="clear" w:color="auto" w:fill="E7E6E6" w:themeFill="background2"/>
            <w:vAlign w:val="center"/>
            <w:hideMark/>
          </w:tcPr>
          <w:p w14:paraId="71A0EB16" w14:textId="77777777" w:rsidR="00751097" w:rsidRPr="00A33AE8" w:rsidRDefault="00751097">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Creating mandatory natural gas reserves</w:t>
            </w:r>
          </w:p>
        </w:tc>
      </w:tr>
      <w:tr w:rsidR="009F4765" w:rsidRPr="00A33AE8" w14:paraId="6142AAA0" w14:textId="77777777" w:rsidTr="004B71DA">
        <w:trPr>
          <w:gridAfter w:val="1"/>
          <w:wAfter w:w="1212" w:type="dxa"/>
          <w:trHeight w:val="588"/>
        </w:trPr>
        <w:tc>
          <w:tcPr>
            <w:tcW w:w="3342" w:type="dxa"/>
            <w:tcBorders>
              <w:top w:val="nil"/>
              <w:left w:val="single" w:sz="8" w:space="0" w:color="auto"/>
              <w:bottom w:val="single" w:sz="8" w:space="0" w:color="auto"/>
              <w:right w:val="nil"/>
            </w:tcBorders>
            <w:shd w:val="clear" w:color="auto" w:fill="244062"/>
            <w:vAlign w:val="center"/>
            <w:hideMark/>
          </w:tcPr>
          <w:p w14:paraId="34F730B9"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46" w:type="dxa"/>
            <w:gridSpan w:val="3"/>
            <w:tcBorders>
              <w:top w:val="single" w:sz="8" w:space="0" w:color="auto"/>
              <w:left w:val="nil"/>
              <w:bottom w:val="single" w:sz="8" w:space="0" w:color="auto"/>
              <w:right w:val="single" w:sz="8" w:space="0" w:color="000000"/>
            </w:tcBorders>
            <w:vAlign w:val="center"/>
          </w:tcPr>
          <w:p w14:paraId="0A14F689"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p>
        </w:tc>
      </w:tr>
      <w:tr w:rsidR="009F4765" w:rsidRPr="00A33AE8" w14:paraId="044920E0"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598B98E"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46" w:type="dxa"/>
            <w:gridSpan w:val="3"/>
            <w:tcBorders>
              <w:top w:val="single" w:sz="8" w:space="0" w:color="auto"/>
              <w:left w:val="nil"/>
              <w:bottom w:val="single" w:sz="8" w:space="0" w:color="auto"/>
              <w:right w:val="single" w:sz="8" w:space="0" w:color="000000"/>
            </w:tcBorders>
            <w:vAlign w:val="center"/>
          </w:tcPr>
          <w:p w14:paraId="5F1358F9"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Level of gas in storage to meet at least </w:t>
            </w:r>
            <w:r w:rsidR="000A360E" w:rsidRPr="00A33AE8">
              <w:rPr>
                <w:rFonts w:asciiTheme="majorHAnsi" w:eastAsia="Times New Roman" w:hAnsiTheme="majorHAnsi" w:cstheme="majorHAnsi"/>
                <w:color w:val="000000"/>
                <w:sz w:val="20"/>
                <w:szCs w:val="20"/>
                <w:lang w:eastAsia="en-GB"/>
              </w:rPr>
              <w:t>30-day</w:t>
            </w:r>
            <w:r w:rsidRPr="00A33AE8">
              <w:rPr>
                <w:rFonts w:asciiTheme="majorHAnsi" w:eastAsia="Times New Roman" w:hAnsiTheme="majorHAnsi" w:cstheme="majorHAnsi"/>
                <w:color w:val="000000"/>
                <w:sz w:val="20"/>
                <w:szCs w:val="20"/>
                <w:lang w:eastAsia="en-GB"/>
              </w:rPr>
              <w:t xml:space="preserve"> demand of consumers</w:t>
            </w:r>
          </w:p>
        </w:tc>
      </w:tr>
      <w:tr w:rsidR="009F4765" w:rsidRPr="00A33AE8" w14:paraId="1E65E6BC" w14:textId="77777777" w:rsidTr="004B71DA">
        <w:trPr>
          <w:gridAfter w:val="1"/>
          <w:wAfter w:w="1212" w:type="dxa"/>
          <w:trHeight w:val="692"/>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047EF1BE"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46" w:type="dxa"/>
            <w:gridSpan w:val="3"/>
            <w:tcBorders>
              <w:top w:val="single" w:sz="8" w:space="0" w:color="auto"/>
              <w:left w:val="nil"/>
              <w:bottom w:val="single" w:sz="8" w:space="0" w:color="auto"/>
              <w:right w:val="single" w:sz="8" w:space="0" w:color="000000"/>
            </w:tcBorders>
            <w:vAlign w:val="center"/>
            <w:hideMark/>
          </w:tcPr>
          <w:p w14:paraId="150CBAA0" w14:textId="77777777" w:rsidR="009F4765"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 accordance with the Law on Energy, energy entities that perform the energy activity of natural gas supply are obliged to provide mandatory natural gas reserves that are at least equal to the thirty-day average needs of these customers in the current year.</w:t>
            </w:r>
          </w:p>
          <w:p w14:paraId="2460533C" w14:textId="77777777" w:rsidR="00122C35" w:rsidRPr="00A33AE8" w:rsidRDefault="00122C35" w:rsidP="009F4765">
            <w:pPr>
              <w:spacing w:after="0" w:line="240" w:lineRule="auto"/>
              <w:jc w:val="both"/>
              <w:rPr>
                <w:rFonts w:asciiTheme="majorHAnsi" w:eastAsia="Times New Roman" w:hAnsiTheme="majorHAnsi" w:cstheme="majorHAnsi"/>
                <w:color w:val="000000"/>
                <w:sz w:val="20"/>
                <w:szCs w:val="20"/>
                <w:lang w:eastAsia="en-GB"/>
              </w:rPr>
            </w:pPr>
            <w:r w:rsidRPr="00122C35">
              <w:rPr>
                <w:rFonts w:asciiTheme="majorHAnsi" w:eastAsia="Times New Roman" w:hAnsiTheme="majorHAnsi" w:cstheme="majorHAnsi"/>
                <w:color w:val="000000"/>
                <w:sz w:val="20"/>
                <w:szCs w:val="20"/>
                <w:lang w:eastAsia="en-GB"/>
              </w:rPr>
              <w:t>This policy measure exclusively refers to the legal and regulatory reforms, which are necessary to create mandatory natural gas reserves. Any additional investment costs essential for its implementation will be subjected to thorough scrutiny within the framework of comprehensive action plans.</w:t>
            </w:r>
          </w:p>
        </w:tc>
      </w:tr>
      <w:tr w:rsidR="009F4765" w:rsidRPr="00A33AE8" w14:paraId="055B9C1B"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46518E24"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46" w:type="dxa"/>
            <w:gridSpan w:val="3"/>
            <w:tcBorders>
              <w:top w:val="single" w:sz="8" w:space="0" w:color="auto"/>
              <w:left w:val="nil"/>
              <w:bottom w:val="single" w:sz="8" w:space="0" w:color="auto"/>
              <w:right w:val="single" w:sz="8" w:space="0" w:color="000000"/>
            </w:tcBorders>
            <w:vAlign w:val="center"/>
            <w:hideMark/>
          </w:tcPr>
          <w:p w14:paraId="41C6DEBC"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9F4765" w:rsidRPr="00A33AE8" w14:paraId="5280E4E4"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26806810"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46" w:type="dxa"/>
            <w:gridSpan w:val="3"/>
            <w:tcBorders>
              <w:top w:val="single" w:sz="8" w:space="0" w:color="auto"/>
              <w:left w:val="nil"/>
              <w:bottom w:val="single" w:sz="8" w:space="0" w:color="auto"/>
              <w:right w:val="single" w:sz="8" w:space="0" w:color="000000"/>
            </w:tcBorders>
            <w:vAlign w:val="center"/>
            <w:hideMark/>
          </w:tcPr>
          <w:p w14:paraId="272506C1" w14:textId="77777777" w:rsidR="009F4765" w:rsidRPr="00A33AE8" w:rsidRDefault="00FE139E"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9F4765" w:rsidRPr="00A33AE8" w14:paraId="1C79A69D"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35D9E34F"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46" w:type="dxa"/>
            <w:gridSpan w:val="3"/>
            <w:tcBorders>
              <w:top w:val="single" w:sz="8" w:space="0" w:color="auto"/>
              <w:left w:val="nil"/>
              <w:bottom w:val="single" w:sz="8" w:space="0" w:color="auto"/>
              <w:right w:val="single" w:sz="8" w:space="0" w:color="000000"/>
            </w:tcBorders>
            <w:vAlign w:val="center"/>
            <w:hideMark/>
          </w:tcPr>
          <w:p w14:paraId="02F2176F"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9F4765" w:rsidRPr="00A33AE8" w14:paraId="0E8CB455" w14:textId="77777777" w:rsidTr="004B71DA">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01F98BBD"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5D728CB4" w14:textId="77777777" w:rsidR="009F4765" w:rsidRPr="00A33AE8" w:rsidRDefault="009F4765"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Suppliers</w:t>
            </w:r>
          </w:p>
        </w:tc>
      </w:tr>
      <w:tr w:rsidR="009F4765" w:rsidRPr="00A33AE8" w14:paraId="5FCD7E35" w14:textId="77777777" w:rsidTr="004B71DA">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46EECA50"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51D44A0F" w14:textId="77777777" w:rsidR="00245A42" w:rsidRPr="00A33AE8" w:rsidRDefault="009F4765"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Reserves Directorate</w:t>
            </w:r>
          </w:p>
          <w:p w14:paraId="582A09F9" w14:textId="77777777" w:rsidR="009F4765" w:rsidRPr="00A33AE8" w:rsidRDefault="00245A42"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9F4765" w:rsidRPr="00A33AE8" w14:paraId="101A2070" w14:textId="77777777" w:rsidTr="004B71DA">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696F8E8B"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Progress indicators</w:t>
            </w:r>
          </w:p>
        </w:tc>
        <w:tc>
          <w:tcPr>
            <w:tcW w:w="6146" w:type="dxa"/>
            <w:gridSpan w:val="3"/>
            <w:tcBorders>
              <w:top w:val="single" w:sz="8" w:space="0" w:color="auto"/>
              <w:left w:val="nil"/>
              <w:bottom w:val="single" w:sz="8" w:space="0" w:color="auto"/>
              <w:right w:val="single" w:sz="8" w:space="0" w:color="000000"/>
            </w:tcBorders>
            <w:vAlign w:val="center"/>
            <w:hideMark/>
          </w:tcPr>
          <w:p w14:paraId="77BC5BC9"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4C7296" w:rsidRPr="00A33AE8">
              <w:rPr>
                <w:rFonts w:asciiTheme="majorHAnsi" w:eastAsia="Times New Roman" w:hAnsiTheme="majorHAnsi" w:cstheme="majorHAnsi"/>
                <w:color w:val="000000"/>
                <w:sz w:val="20"/>
                <w:szCs w:val="20"/>
                <w:lang w:eastAsia="en-GB"/>
              </w:rPr>
              <w:t>Volume of energy product in stock</w:t>
            </w:r>
          </w:p>
        </w:tc>
      </w:tr>
      <w:tr w:rsidR="00A0226E" w:rsidRPr="00A33AE8" w14:paraId="6F346F4B" w14:textId="77777777" w:rsidTr="00013858">
        <w:trPr>
          <w:gridAfter w:val="1"/>
          <w:wAfter w:w="1212" w:type="dxa"/>
          <w:trHeight w:val="491"/>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55B2A40"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6" w:type="dxa"/>
            <w:gridSpan w:val="3"/>
            <w:tcBorders>
              <w:top w:val="single" w:sz="8" w:space="0" w:color="auto"/>
              <w:left w:val="nil"/>
              <w:bottom w:val="single" w:sz="8" w:space="0" w:color="auto"/>
              <w:right w:val="single" w:sz="8" w:space="0" w:color="000000"/>
            </w:tcBorders>
            <w:vAlign w:val="center"/>
            <w:hideMark/>
          </w:tcPr>
          <w:p w14:paraId="2570B09E" w14:textId="77777777" w:rsidR="00A0226E" w:rsidRPr="00A33AE8" w:rsidRDefault="00A0226E" w:rsidP="00A0226E">
            <w:pPr>
              <w:spacing w:after="0" w:line="240" w:lineRule="auto"/>
              <w:jc w:val="both"/>
              <w:rPr>
                <w:rFonts w:asciiTheme="majorHAnsi" w:eastAsia="Times New Roman" w:hAnsiTheme="majorHAnsi" w:cstheme="majorHAnsi"/>
                <w:color w:val="000000"/>
                <w:sz w:val="20"/>
                <w:szCs w:val="20"/>
                <w:lang w:eastAsia="en-GB"/>
              </w:rPr>
            </w:pPr>
          </w:p>
        </w:tc>
      </w:tr>
      <w:tr w:rsidR="009F4765" w:rsidRPr="00A33AE8" w14:paraId="669D7064" w14:textId="77777777" w:rsidTr="004B71DA">
        <w:trPr>
          <w:gridAfter w:val="1"/>
          <w:wAfter w:w="1212" w:type="dxa"/>
          <w:trHeight w:val="450"/>
        </w:trPr>
        <w:tc>
          <w:tcPr>
            <w:tcW w:w="3342" w:type="dxa"/>
            <w:vMerge w:val="restart"/>
            <w:tcBorders>
              <w:top w:val="nil"/>
              <w:left w:val="single" w:sz="8" w:space="0" w:color="auto"/>
              <w:bottom w:val="single" w:sz="8" w:space="0" w:color="000000"/>
              <w:right w:val="single" w:sz="8" w:space="0" w:color="auto"/>
            </w:tcBorders>
            <w:shd w:val="clear" w:color="auto" w:fill="244062"/>
            <w:vAlign w:val="center"/>
            <w:hideMark/>
          </w:tcPr>
          <w:p w14:paraId="499E7E8A"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46"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60695C5B" w14:textId="77777777" w:rsidR="009F4765" w:rsidRPr="00A33AE8" w:rsidRDefault="009F4765"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4509024C" w14:textId="77777777" w:rsidR="009F4765" w:rsidRPr="00A33AE8" w:rsidRDefault="009F4765"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Directive </w:t>
            </w:r>
            <w:r w:rsidR="00DF5835" w:rsidRPr="00A33AE8">
              <w:rPr>
                <w:rFonts w:asciiTheme="majorHAnsi" w:eastAsia="Times New Roman" w:hAnsiTheme="majorHAnsi" w:cstheme="majorHAnsi"/>
                <w:color w:val="000000"/>
                <w:sz w:val="20"/>
                <w:szCs w:val="20"/>
                <w:lang w:eastAsia="en-GB"/>
              </w:rPr>
              <w:t>2017/1938</w:t>
            </w:r>
          </w:p>
          <w:p w14:paraId="05AA0564" w14:textId="77777777" w:rsidR="009F4765" w:rsidRPr="00A33AE8" w:rsidRDefault="009F4765"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Prevention and crisis plan (Government Regulation)</w:t>
            </w:r>
          </w:p>
        </w:tc>
      </w:tr>
      <w:tr w:rsidR="009F4765" w:rsidRPr="00A33AE8" w14:paraId="6AE51B24"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40EDACD5" w14:textId="77777777" w:rsidR="009F4765" w:rsidRPr="00A33AE8" w:rsidRDefault="009F4765" w:rsidP="009F4765">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790C2E8F" w14:textId="77777777" w:rsidR="009F4765" w:rsidRPr="00A33AE8" w:rsidRDefault="009F4765" w:rsidP="009F476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3631337" w14:textId="77777777" w:rsidR="009F4765" w:rsidRPr="00A33AE8" w:rsidRDefault="009F4765" w:rsidP="009F4765"/>
        </w:tc>
      </w:tr>
      <w:tr w:rsidR="009F4765" w:rsidRPr="00A33AE8" w14:paraId="448FB77F" w14:textId="77777777" w:rsidTr="004B71DA">
        <w:trPr>
          <w:trHeight w:val="315"/>
        </w:trPr>
        <w:tc>
          <w:tcPr>
            <w:tcW w:w="0" w:type="auto"/>
            <w:vMerge/>
            <w:tcBorders>
              <w:top w:val="nil"/>
              <w:left w:val="single" w:sz="8" w:space="0" w:color="auto"/>
              <w:bottom w:val="single" w:sz="8" w:space="0" w:color="000000"/>
              <w:right w:val="single" w:sz="8" w:space="0" w:color="auto"/>
            </w:tcBorders>
            <w:vAlign w:val="center"/>
            <w:hideMark/>
          </w:tcPr>
          <w:p w14:paraId="724F1F13" w14:textId="77777777" w:rsidR="009F4765" w:rsidRPr="00A33AE8" w:rsidRDefault="009F4765" w:rsidP="009F4765">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6068046D" w14:textId="77777777" w:rsidR="009F4765" w:rsidRPr="00A33AE8" w:rsidRDefault="009F4765" w:rsidP="009F476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17EB26D" w14:textId="77777777" w:rsidR="009F4765" w:rsidRPr="00A33AE8" w:rsidRDefault="009F4765" w:rsidP="009F4765">
            <w:pPr>
              <w:spacing w:after="0" w:line="256" w:lineRule="auto"/>
              <w:rPr>
                <w:sz w:val="20"/>
                <w:szCs w:val="20"/>
                <w:lang w:eastAsia="en-GB"/>
              </w:rPr>
            </w:pPr>
          </w:p>
        </w:tc>
      </w:tr>
      <w:tr w:rsidR="009F4765" w:rsidRPr="00A33AE8" w14:paraId="25A3C8FB" w14:textId="77777777" w:rsidTr="00B6097F">
        <w:trPr>
          <w:trHeight w:val="311"/>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87F49F1"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46" w:type="dxa"/>
            <w:gridSpan w:val="3"/>
            <w:tcBorders>
              <w:top w:val="single" w:sz="8" w:space="0" w:color="auto"/>
              <w:left w:val="nil"/>
              <w:bottom w:val="single" w:sz="8" w:space="0" w:color="auto"/>
              <w:right w:val="single" w:sz="8" w:space="0" w:color="000000"/>
            </w:tcBorders>
            <w:vAlign w:val="center"/>
            <w:hideMark/>
          </w:tcPr>
          <w:p w14:paraId="26449558" w14:textId="77777777" w:rsidR="009F4765" w:rsidRPr="00A33AE8" w:rsidRDefault="009F4765"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c>
          <w:tcPr>
            <w:tcW w:w="1212" w:type="dxa"/>
            <w:vAlign w:val="center"/>
            <w:hideMark/>
          </w:tcPr>
          <w:p w14:paraId="30220EF0" w14:textId="77777777" w:rsidR="009F4765" w:rsidRPr="00A33AE8" w:rsidRDefault="009F4765" w:rsidP="009F4765">
            <w:pPr>
              <w:rPr>
                <w:rFonts w:asciiTheme="majorHAnsi" w:eastAsia="Times New Roman" w:hAnsiTheme="majorHAnsi" w:cstheme="majorHAnsi"/>
                <w:color w:val="000000"/>
                <w:sz w:val="20"/>
                <w:szCs w:val="20"/>
                <w:lang w:eastAsia="en-GB"/>
              </w:rPr>
            </w:pPr>
          </w:p>
        </w:tc>
      </w:tr>
      <w:tr w:rsidR="009F4765" w:rsidRPr="00A33AE8" w14:paraId="77866171" w14:textId="77777777" w:rsidTr="004B71DA">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7621D14"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46" w:type="dxa"/>
            <w:gridSpan w:val="3"/>
            <w:tcBorders>
              <w:top w:val="single" w:sz="8" w:space="0" w:color="auto"/>
              <w:left w:val="nil"/>
              <w:bottom w:val="single" w:sz="8" w:space="0" w:color="auto"/>
              <w:right w:val="single" w:sz="8" w:space="0" w:color="000000"/>
            </w:tcBorders>
            <w:vAlign w:val="center"/>
            <w:hideMark/>
          </w:tcPr>
          <w:p w14:paraId="2A023E37" w14:textId="77777777" w:rsidR="009F4765" w:rsidRPr="00A33AE8" w:rsidRDefault="00FE139E"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0.5 M</w:t>
            </w:r>
            <w:r w:rsidRPr="00A33AE8">
              <w:rPr>
                <w:rFonts w:ascii="Calibri" w:eastAsia="Times New Roman" w:hAnsi="Calibri" w:cs="Calibri"/>
                <w:color w:val="000000"/>
                <w:sz w:val="20"/>
                <w:szCs w:val="20"/>
                <w:lang w:eastAsia="en-GB"/>
              </w:rPr>
              <w:t>€</w:t>
            </w:r>
          </w:p>
        </w:tc>
        <w:tc>
          <w:tcPr>
            <w:tcW w:w="1212" w:type="dxa"/>
            <w:vAlign w:val="center"/>
            <w:hideMark/>
          </w:tcPr>
          <w:p w14:paraId="3319956E" w14:textId="77777777" w:rsidR="009F4765" w:rsidRPr="00A33AE8" w:rsidRDefault="009F4765" w:rsidP="009F4765">
            <w:pPr>
              <w:rPr>
                <w:rFonts w:asciiTheme="majorHAnsi" w:eastAsia="Times New Roman" w:hAnsiTheme="majorHAnsi" w:cstheme="majorHAnsi"/>
                <w:color w:val="000000"/>
                <w:sz w:val="20"/>
                <w:szCs w:val="20"/>
                <w:lang w:eastAsia="en-GB"/>
              </w:rPr>
            </w:pPr>
          </w:p>
        </w:tc>
      </w:tr>
      <w:tr w:rsidR="00D145CB" w:rsidRPr="00A33AE8" w14:paraId="54414CA8" w14:textId="77777777" w:rsidTr="004B71DA">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9552D00" w14:textId="77777777" w:rsidR="00D145CB" w:rsidRPr="00A33AE8" w:rsidRDefault="00D145CB" w:rsidP="00D145CB">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46" w:type="dxa"/>
            <w:gridSpan w:val="3"/>
            <w:tcBorders>
              <w:top w:val="single" w:sz="8" w:space="0" w:color="auto"/>
              <w:left w:val="nil"/>
              <w:bottom w:val="single" w:sz="8" w:space="0" w:color="auto"/>
              <w:right w:val="single" w:sz="8" w:space="0" w:color="000000"/>
            </w:tcBorders>
            <w:vAlign w:val="center"/>
            <w:hideMark/>
          </w:tcPr>
          <w:p w14:paraId="53AC4A11" w14:textId="77777777" w:rsidR="00D145CB" w:rsidRPr="00A33AE8" w:rsidRDefault="00D145CB" w:rsidP="00D145CB">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13A24BC4" w14:textId="77777777" w:rsidR="00D145CB" w:rsidRPr="00A33AE8" w:rsidRDefault="00D145CB" w:rsidP="00D145CB">
            <w:pPr>
              <w:rPr>
                <w:rFonts w:asciiTheme="majorHAnsi" w:eastAsia="Times New Roman" w:hAnsiTheme="majorHAnsi" w:cstheme="majorHAnsi"/>
                <w:color w:val="000000"/>
                <w:sz w:val="20"/>
                <w:szCs w:val="20"/>
                <w:lang w:eastAsia="en-GB"/>
              </w:rPr>
            </w:pPr>
          </w:p>
        </w:tc>
      </w:tr>
    </w:tbl>
    <w:p w14:paraId="6826BA8C"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41"/>
        <w:gridCol w:w="941"/>
        <w:gridCol w:w="944"/>
        <w:gridCol w:w="4262"/>
        <w:gridCol w:w="1212"/>
      </w:tblGrid>
      <w:tr w:rsidR="00751097" w:rsidRPr="00A33AE8" w14:paraId="598917E3" w14:textId="77777777" w:rsidTr="004B71DA">
        <w:trPr>
          <w:gridAfter w:val="1"/>
          <w:wAfter w:w="1212" w:type="dxa"/>
          <w:trHeight w:val="780"/>
        </w:trPr>
        <w:tc>
          <w:tcPr>
            <w:tcW w:w="3341"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0CF6DD1"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20B4C66A" w14:textId="77777777" w:rsidR="00751097" w:rsidRPr="00A33AE8" w:rsidRDefault="00057564">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ES6</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522CA207"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6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550D85D" w14:textId="77777777" w:rsidR="00751097" w:rsidRPr="00A33AE8" w:rsidRDefault="00751097">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Electricity Risk Preparedness plan</w:t>
            </w:r>
          </w:p>
        </w:tc>
      </w:tr>
      <w:tr w:rsidR="00751097" w:rsidRPr="00A33AE8" w14:paraId="3AF602C9" w14:textId="77777777" w:rsidTr="00B6097F">
        <w:trPr>
          <w:gridAfter w:val="1"/>
          <w:wAfter w:w="1212" w:type="dxa"/>
          <w:trHeight w:val="233"/>
        </w:trPr>
        <w:tc>
          <w:tcPr>
            <w:tcW w:w="3341" w:type="dxa"/>
            <w:tcBorders>
              <w:top w:val="nil"/>
              <w:left w:val="single" w:sz="8" w:space="0" w:color="auto"/>
              <w:bottom w:val="single" w:sz="8" w:space="0" w:color="auto"/>
              <w:right w:val="nil"/>
            </w:tcBorders>
            <w:shd w:val="clear" w:color="auto" w:fill="244062"/>
            <w:vAlign w:val="center"/>
            <w:hideMark/>
          </w:tcPr>
          <w:p w14:paraId="7B6650D4"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47" w:type="dxa"/>
            <w:gridSpan w:val="3"/>
            <w:tcBorders>
              <w:top w:val="single" w:sz="8" w:space="0" w:color="auto"/>
              <w:left w:val="nil"/>
              <w:bottom w:val="single" w:sz="8" w:space="0" w:color="auto"/>
              <w:right w:val="single" w:sz="8" w:space="0" w:color="000000"/>
            </w:tcBorders>
            <w:vAlign w:val="center"/>
          </w:tcPr>
          <w:p w14:paraId="1F37CE67" w14:textId="77777777" w:rsidR="00751097" w:rsidRPr="00A33AE8" w:rsidRDefault="00E24B3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goal of the Risk Preparedness Plan for the electricity sector is to identify the possible risks related to security of electricity supply and to investigate whether the existing and planned measures sufficiently cover said risks. The plan will give an overview of the national electricity crisis scenarios, as well as the relevant regional electricity crisis scenarios.</w:t>
            </w:r>
            <w:r w:rsidR="00D32864">
              <w:rPr>
                <w:rFonts w:asciiTheme="majorHAnsi" w:eastAsia="Times New Roman" w:hAnsiTheme="majorHAnsi" w:cstheme="majorHAnsi"/>
                <w:color w:val="000000"/>
                <w:sz w:val="20"/>
                <w:szCs w:val="20"/>
                <w:lang w:eastAsia="en-GB"/>
              </w:rPr>
              <w:t xml:space="preserve"> </w:t>
            </w:r>
            <w:r w:rsidR="00D32864" w:rsidRPr="00D32864">
              <w:rPr>
                <w:rFonts w:asciiTheme="majorHAnsi" w:eastAsia="Times New Roman" w:hAnsiTheme="majorHAnsi" w:cstheme="majorHAnsi"/>
                <w:color w:val="000000"/>
                <w:sz w:val="20"/>
                <w:szCs w:val="20"/>
                <w:lang w:eastAsia="en-GB"/>
              </w:rPr>
              <w:t>This will foster regional energy cooperation and improve regional market integration.</w:t>
            </w:r>
          </w:p>
        </w:tc>
      </w:tr>
      <w:tr w:rsidR="00751097" w:rsidRPr="00A33AE8" w14:paraId="3B865AD7" w14:textId="77777777" w:rsidTr="004B71DA">
        <w:trPr>
          <w:gridAfter w:val="1"/>
          <w:wAfter w:w="1212" w:type="dxa"/>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0AD5A9CC"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47" w:type="dxa"/>
            <w:gridSpan w:val="3"/>
            <w:tcBorders>
              <w:top w:val="single" w:sz="8" w:space="0" w:color="auto"/>
              <w:left w:val="nil"/>
              <w:bottom w:val="single" w:sz="8" w:space="0" w:color="auto"/>
              <w:right w:val="single" w:sz="8" w:space="0" w:color="000000"/>
            </w:tcBorders>
            <w:vAlign w:val="center"/>
          </w:tcPr>
          <w:p w14:paraId="41DFA33E" w14:textId="77777777" w:rsidR="00751097" w:rsidRPr="00A33AE8" w:rsidRDefault="00E24B3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These electricity crisis scenarios serve as a starting point for the identification of existing and planned preventive, preparedness, and emergency response measures in order to prevent, prepare for and manage electricity crises, both on a national and on a regional level.</w:t>
            </w:r>
          </w:p>
        </w:tc>
      </w:tr>
      <w:tr w:rsidR="009F4765" w:rsidRPr="00A33AE8" w14:paraId="09BE7B00" w14:textId="77777777" w:rsidTr="004B71DA">
        <w:trPr>
          <w:gridAfter w:val="1"/>
          <w:wAfter w:w="1212" w:type="dxa"/>
          <w:trHeight w:val="229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2C57B15D"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47" w:type="dxa"/>
            <w:gridSpan w:val="3"/>
            <w:tcBorders>
              <w:top w:val="single" w:sz="8" w:space="0" w:color="auto"/>
              <w:left w:val="nil"/>
              <w:bottom w:val="single" w:sz="8" w:space="0" w:color="auto"/>
              <w:right w:val="single" w:sz="8" w:space="0" w:color="000000"/>
            </w:tcBorders>
            <w:vAlign w:val="center"/>
            <w:hideMark/>
          </w:tcPr>
          <w:p w14:paraId="3B3C0CA9"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PM_ES6 concerns the preparation and implementation of measures of a Risk Preparedness Plan in accordance to the provisions of Regulation (EU) 2019/941. The Risk Preparedness Regulation </w:t>
            </w:r>
            <w:r w:rsidR="00F473EC" w:rsidRPr="00A33AE8">
              <w:rPr>
                <w:rFonts w:asciiTheme="majorHAnsi" w:eastAsia="Times New Roman" w:hAnsiTheme="majorHAnsi" w:cstheme="majorHAnsi"/>
                <w:color w:val="000000"/>
                <w:sz w:val="20"/>
                <w:szCs w:val="20"/>
                <w:lang w:eastAsia="en-GB"/>
              </w:rPr>
              <w:t xml:space="preserve">in Power Sector </w:t>
            </w:r>
            <w:r w:rsidRPr="00A33AE8">
              <w:rPr>
                <w:rFonts w:asciiTheme="majorHAnsi" w:eastAsia="Times New Roman" w:hAnsiTheme="majorHAnsi" w:cstheme="majorHAnsi"/>
                <w:color w:val="000000"/>
                <w:sz w:val="20"/>
                <w:szCs w:val="20"/>
                <w:lang w:eastAsia="en-GB"/>
              </w:rPr>
              <w:t>introduces important rules for the cooperation between Member States (and on Serbia when adopted by the Energy Community) with the aim to prevent, prepare for, and manage electricity crises. It also establishes common provisions for risk assessment, risk preparedness plans, managing electricity crises, evaluation and monitoring. The plan is based on regional and national electricity crisis scenarios and therefore comprises national, regional and where applicable, bilateral measures planned or taken to prevent, prepare for and mitigate electricity crises.</w:t>
            </w:r>
          </w:p>
        </w:tc>
      </w:tr>
      <w:tr w:rsidR="00751097" w:rsidRPr="00A33AE8" w14:paraId="5BED4352" w14:textId="77777777" w:rsidTr="004B71DA">
        <w:trPr>
          <w:gridAfter w:val="1"/>
          <w:wAfter w:w="1212" w:type="dxa"/>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6B816D0A"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47" w:type="dxa"/>
            <w:gridSpan w:val="3"/>
            <w:tcBorders>
              <w:top w:val="single" w:sz="8" w:space="0" w:color="auto"/>
              <w:left w:val="nil"/>
              <w:bottom w:val="single" w:sz="8" w:space="0" w:color="auto"/>
              <w:right w:val="single" w:sz="8" w:space="0" w:color="000000"/>
            </w:tcBorders>
            <w:vAlign w:val="center"/>
            <w:hideMark/>
          </w:tcPr>
          <w:p w14:paraId="5F4101C1" w14:textId="77777777" w:rsidR="00751097" w:rsidRPr="00A33AE8" w:rsidRDefault="000E0CA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2024-2025</w:t>
            </w:r>
          </w:p>
        </w:tc>
      </w:tr>
      <w:tr w:rsidR="00751097" w:rsidRPr="00A33AE8" w14:paraId="3500E1F6" w14:textId="77777777" w:rsidTr="004B71DA">
        <w:trPr>
          <w:gridAfter w:val="1"/>
          <w:wAfter w:w="1212" w:type="dxa"/>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383C8472"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47" w:type="dxa"/>
            <w:gridSpan w:val="3"/>
            <w:tcBorders>
              <w:top w:val="single" w:sz="8" w:space="0" w:color="auto"/>
              <w:left w:val="nil"/>
              <w:bottom w:val="single" w:sz="8" w:space="0" w:color="auto"/>
              <w:right w:val="single" w:sz="8" w:space="0" w:color="000000"/>
            </w:tcBorders>
            <w:vAlign w:val="center"/>
            <w:hideMark/>
          </w:tcPr>
          <w:p w14:paraId="04B1D339"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751097" w:rsidRPr="00A33AE8" w14:paraId="1E29F4F4" w14:textId="77777777" w:rsidTr="004B71DA">
        <w:trPr>
          <w:gridAfter w:val="1"/>
          <w:wAfter w:w="1212" w:type="dxa"/>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7DE9734E"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47" w:type="dxa"/>
            <w:gridSpan w:val="3"/>
            <w:tcBorders>
              <w:top w:val="single" w:sz="8" w:space="0" w:color="auto"/>
              <w:left w:val="nil"/>
              <w:bottom w:val="single" w:sz="8" w:space="0" w:color="auto"/>
              <w:right w:val="single" w:sz="8" w:space="0" w:color="000000"/>
            </w:tcBorders>
            <w:vAlign w:val="center"/>
            <w:hideMark/>
          </w:tcPr>
          <w:p w14:paraId="7FF96879" w14:textId="77777777" w:rsidR="00751097" w:rsidRPr="00A33AE8" w:rsidRDefault="00751097">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751097" w:rsidRPr="00A33AE8" w14:paraId="632732BA" w14:textId="77777777" w:rsidTr="004B71DA">
        <w:trPr>
          <w:gridAfter w:val="1"/>
          <w:wAfter w:w="1212" w:type="dxa"/>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4AA6E605"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47" w:type="dxa"/>
            <w:gridSpan w:val="3"/>
            <w:tcBorders>
              <w:top w:val="single" w:sz="8" w:space="0" w:color="auto"/>
              <w:left w:val="nil"/>
              <w:bottom w:val="single" w:sz="8" w:space="0" w:color="auto"/>
              <w:right w:val="single" w:sz="8" w:space="0" w:color="000000"/>
            </w:tcBorders>
            <w:vAlign w:val="center"/>
            <w:hideMark/>
          </w:tcPr>
          <w:p w14:paraId="7FD31C30" w14:textId="77777777" w:rsidR="00245A42" w:rsidRPr="00A33AE8" w:rsidRDefault="00245A42"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0ED5D7D" w14:textId="77777777" w:rsidR="00245A42" w:rsidRPr="00A33AE8" w:rsidRDefault="00751097"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AERS</w:t>
            </w:r>
          </w:p>
          <w:p w14:paraId="0D286E96" w14:textId="77777777" w:rsidR="00751097" w:rsidRPr="00A33AE8" w:rsidRDefault="00751097"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751097" w:rsidRPr="00A33AE8" w14:paraId="292C678A" w14:textId="77777777" w:rsidTr="004B71DA">
        <w:trPr>
          <w:gridAfter w:val="1"/>
          <w:wAfter w:w="1212" w:type="dxa"/>
          <w:trHeight w:val="315"/>
        </w:trPr>
        <w:tc>
          <w:tcPr>
            <w:tcW w:w="3341" w:type="dxa"/>
            <w:tcBorders>
              <w:top w:val="nil"/>
              <w:left w:val="single" w:sz="8" w:space="0" w:color="auto"/>
              <w:bottom w:val="single" w:sz="8" w:space="0" w:color="auto"/>
              <w:right w:val="nil"/>
            </w:tcBorders>
            <w:shd w:val="clear" w:color="auto" w:fill="244062"/>
            <w:vAlign w:val="center"/>
            <w:hideMark/>
          </w:tcPr>
          <w:p w14:paraId="71D1F949"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47" w:type="dxa"/>
            <w:gridSpan w:val="3"/>
            <w:tcBorders>
              <w:top w:val="single" w:sz="8" w:space="0" w:color="auto"/>
              <w:left w:val="nil"/>
              <w:bottom w:val="single" w:sz="8" w:space="0" w:color="auto"/>
              <w:right w:val="single" w:sz="8" w:space="0" w:color="000000"/>
            </w:tcBorders>
            <w:vAlign w:val="center"/>
            <w:hideMark/>
          </w:tcPr>
          <w:p w14:paraId="1F555F0E" w14:textId="77777777" w:rsidR="00751097" w:rsidRPr="00A33AE8" w:rsidRDefault="00E24B3D"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751097" w:rsidRPr="00A33AE8" w14:paraId="35478A4D" w14:textId="77777777" w:rsidTr="004B71DA">
        <w:trPr>
          <w:gridAfter w:val="1"/>
          <w:wAfter w:w="1212" w:type="dxa"/>
          <w:trHeight w:val="315"/>
        </w:trPr>
        <w:tc>
          <w:tcPr>
            <w:tcW w:w="3341" w:type="dxa"/>
            <w:tcBorders>
              <w:top w:val="nil"/>
              <w:left w:val="single" w:sz="8" w:space="0" w:color="auto"/>
              <w:bottom w:val="single" w:sz="8" w:space="0" w:color="auto"/>
              <w:right w:val="nil"/>
            </w:tcBorders>
            <w:shd w:val="clear" w:color="auto" w:fill="244062"/>
            <w:vAlign w:val="center"/>
            <w:hideMark/>
          </w:tcPr>
          <w:p w14:paraId="278CEF9A"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47" w:type="dxa"/>
            <w:gridSpan w:val="3"/>
            <w:tcBorders>
              <w:top w:val="single" w:sz="8" w:space="0" w:color="auto"/>
              <w:left w:val="nil"/>
              <w:bottom w:val="single" w:sz="8" w:space="0" w:color="auto"/>
              <w:right w:val="single" w:sz="8" w:space="0" w:color="000000"/>
            </w:tcBorders>
            <w:vAlign w:val="center"/>
            <w:hideMark/>
          </w:tcPr>
          <w:p w14:paraId="64D0B1F2" w14:textId="77777777" w:rsidR="00751097" w:rsidRPr="00A33AE8" w:rsidRDefault="000E0CA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Risk Preparedness Regulation </w:t>
            </w:r>
            <w:r w:rsidR="00F473EC" w:rsidRPr="00A33AE8">
              <w:rPr>
                <w:rFonts w:asciiTheme="majorHAnsi" w:eastAsia="Times New Roman" w:hAnsiTheme="majorHAnsi" w:cstheme="majorHAnsi"/>
                <w:color w:val="000000"/>
                <w:sz w:val="20"/>
                <w:szCs w:val="20"/>
                <w:lang w:eastAsia="en-GB"/>
              </w:rPr>
              <w:t xml:space="preserve">in Power Sector </w:t>
            </w:r>
            <w:r w:rsidRPr="00A33AE8">
              <w:rPr>
                <w:rFonts w:asciiTheme="majorHAnsi" w:eastAsia="Times New Roman" w:hAnsiTheme="majorHAnsi" w:cstheme="majorHAnsi"/>
                <w:color w:val="000000"/>
                <w:sz w:val="20"/>
                <w:szCs w:val="20"/>
                <w:lang w:eastAsia="en-GB"/>
              </w:rPr>
              <w:t>2019/941 adopted and Risk Preparedness Plan prepared and approved</w:t>
            </w:r>
          </w:p>
        </w:tc>
      </w:tr>
      <w:tr w:rsidR="00A0226E" w:rsidRPr="00A33AE8" w14:paraId="218BFEBD" w14:textId="77777777" w:rsidTr="009F4765">
        <w:trPr>
          <w:gridAfter w:val="1"/>
          <w:wAfter w:w="1212" w:type="dxa"/>
          <w:trHeight w:val="376"/>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14916958"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7" w:type="dxa"/>
            <w:gridSpan w:val="3"/>
            <w:tcBorders>
              <w:top w:val="single" w:sz="8" w:space="0" w:color="auto"/>
              <w:left w:val="nil"/>
              <w:bottom w:val="single" w:sz="8" w:space="0" w:color="auto"/>
              <w:right w:val="single" w:sz="8" w:space="0" w:color="000000"/>
            </w:tcBorders>
            <w:vAlign w:val="center"/>
          </w:tcPr>
          <w:p w14:paraId="2982FF61" w14:textId="77777777" w:rsidR="00A0226E" w:rsidRPr="00A33AE8" w:rsidRDefault="00A0226E"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751097" w:rsidRPr="00A33AE8" w14:paraId="11EE461F" w14:textId="77777777" w:rsidTr="004B71DA">
        <w:trPr>
          <w:gridAfter w:val="1"/>
          <w:wAfter w:w="1212" w:type="dxa"/>
          <w:trHeight w:val="450"/>
        </w:trPr>
        <w:tc>
          <w:tcPr>
            <w:tcW w:w="3341" w:type="dxa"/>
            <w:vMerge w:val="restart"/>
            <w:tcBorders>
              <w:top w:val="nil"/>
              <w:left w:val="single" w:sz="8" w:space="0" w:color="auto"/>
              <w:bottom w:val="single" w:sz="8" w:space="0" w:color="000000"/>
              <w:right w:val="single" w:sz="8" w:space="0" w:color="auto"/>
            </w:tcBorders>
            <w:shd w:val="clear" w:color="auto" w:fill="244062"/>
            <w:vAlign w:val="center"/>
            <w:hideMark/>
          </w:tcPr>
          <w:p w14:paraId="12B84B9D"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47"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43398D4B" w14:textId="77777777" w:rsidR="00751097" w:rsidRPr="00A33AE8" w:rsidRDefault="00751097"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2019/941 </w:t>
            </w:r>
          </w:p>
        </w:tc>
      </w:tr>
      <w:tr w:rsidR="00751097" w:rsidRPr="00A33AE8" w14:paraId="524CA695"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D04DEDC"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3EE6A8B1" w14:textId="77777777" w:rsidR="00751097" w:rsidRPr="00A33AE8" w:rsidRDefault="00751097">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1E25110" w14:textId="77777777" w:rsidR="00751097" w:rsidRPr="00A33AE8" w:rsidRDefault="00751097"/>
        </w:tc>
      </w:tr>
      <w:tr w:rsidR="00751097" w:rsidRPr="00A33AE8" w14:paraId="21E04F27" w14:textId="77777777" w:rsidTr="004B71DA">
        <w:trPr>
          <w:trHeight w:val="60"/>
        </w:trPr>
        <w:tc>
          <w:tcPr>
            <w:tcW w:w="0" w:type="auto"/>
            <w:vMerge/>
            <w:tcBorders>
              <w:top w:val="nil"/>
              <w:left w:val="single" w:sz="8" w:space="0" w:color="auto"/>
              <w:bottom w:val="single" w:sz="8" w:space="0" w:color="000000"/>
              <w:right w:val="single" w:sz="8" w:space="0" w:color="auto"/>
            </w:tcBorders>
            <w:vAlign w:val="center"/>
            <w:hideMark/>
          </w:tcPr>
          <w:p w14:paraId="619F7ED0"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47" w:type="dxa"/>
            <w:gridSpan w:val="3"/>
            <w:vMerge/>
            <w:tcBorders>
              <w:top w:val="single" w:sz="8" w:space="0" w:color="auto"/>
              <w:left w:val="single" w:sz="8" w:space="0" w:color="auto"/>
              <w:bottom w:val="single" w:sz="8" w:space="0" w:color="000000"/>
              <w:right w:val="single" w:sz="8" w:space="0" w:color="000000"/>
            </w:tcBorders>
            <w:vAlign w:val="center"/>
            <w:hideMark/>
          </w:tcPr>
          <w:p w14:paraId="3ED0E5DA" w14:textId="77777777" w:rsidR="00751097" w:rsidRPr="00A33AE8" w:rsidRDefault="00751097">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F0EB26F" w14:textId="77777777" w:rsidR="00751097" w:rsidRPr="00A33AE8" w:rsidRDefault="00751097">
            <w:pPr>
              <w:spacing w:after="0" w:line="256" w:lineRule="auto"/>
              <w:rPr>
                <w:sz w:val="20"/>
                <w:szCs w:val="20"/>
                <w:lang w:eastAsia="en-GB"/>
              </w:rPr>
            </w:pPr>
          </w:p>
        </w:tc>
      </w:tr>
      <w:tr w:rsidR="00751097" w:rsidRPr="00A33AE8" w14:paraId="72332C3B" w14:textId="77777777" w:rsidTr="004B71DA">
        <w:trPr>
          <w:trHeight w:val="780"/>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35494457"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Relevant National Planning Document (Legal, Regulatory Acts etc)</w:t>
            </w:r>
          </w:p>
        </w:tc>
        <w:tc>
          <w:tcPr>
            <w:tcW w:w="6147" w:type="dxa"/>
            <w:gridSpan w:val="3"/>
            <w:tcBorders>
              <w:top w:val="single" w:sz="8" w:space="0" w:color="auto"/>
              <w:left w:val="nil"/>
              <w:bottom w:val="single" w:sz="8" w:space="0" w:color="auto"/>
              <w:right w:val="single" w:sz="8" w:space="0" w:color="000000"/>
            </w:tcBorders>
            <w:vAlign w:val="center"/>
          </w:tcPr>
          <w:p w14:paraId="56CF87C9" w14:textId="77777777" w:rsidR="00751097" w:rsidRPr="00A33AE8" w:rsidRDefault="00CE61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7298FD1D" w14:textId="77777777" w:rsidR="00751097" w:rsidRPr="00A33AE8" w:rsidRDefault="00751097">
            <w:pPr>
              <w:rPr>
                <w:rFonts w:asciiTheme="majorHAnsi" w:eastAsia="Times New Roman" w:hAnsiTheme="majorHAnsi" w:cstheme="majorHAnsi"/>
                <w:color w:val="000000"/>
                <w:sz w:val="20"/>
                <w:szCs w:val="20"/>
                <w:lang w:eastAsia="en-GB"/>
              </w:rPr>
            </w:pPr>
          </w:p>
        </w:tc>
      </w:tr>
      <w:tr w:rsidR="00751097" w:rsidRPr="00A33AE8" w14:paraId="49B4FC23" w14:textId="77777777" w:rsidTr="004B71DA">
        <w:trPr>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3034C673"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47" w:type="dxa"/>
            <w:gridSpan w:val="3"/>
            <w:tcBorders>
              <w:top w:val="single" w:sz="8" w:space="0" w:color="auto"/>
              <w:left w:val="nil"/>
              <w:bottom w:val="single" w:sz="8" w:space="0" w:color="auto"/>
              <w:right w:val="single" w:sz="8" w:space="0" w:color="000000"/>
            </w:tcBorders>
            <w:vAlign w:val="center"/>
          </w:tcPr>
          <w:p w14:paraId="73ADFCB8"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0.5 M</w:t>
            </w:r>
            <w:r w:rsidRPr="00A33AE8">
              <w:rPr>
                <w:rFonts w:ascii="Calibri" w:eastAsia="Times New Roman" w:hAnsi="Calibri" w:cs="Calibri"/>
                <w:color w:val="000000"/>
                <w:sz w:val="20"/>
                <w:szCs w:val="20"/>
                <w:lang w:eastAsia="en-GB"/>
              </w:rPr>
              <w:t>€</w:t>
            </w:r>
          </w:p>
        </w:tc>
        <w:tc>
          <w:tcPr>
            <w:tcW w:w="1212" w:type="dxa"/>
            <w:vAlign w:val="center"/>
            <w:hideMark/>
          </w:tcPr>
          <w:p w14:paraId="74C521F7" w14:textId="77777777" w:rsidR="00751097" w:rsidRPr="00A33AE8" w:rsidRDefault="00751097">
            <w:pPr>
              <w:rPr>
                <w:rFonts w:asciiTheme="majorHAnsi" w:eastAsia="Times New Roman" w:hAnsiTheme="majorHAnsi" w:cstheme="majorHAnsi"/>
                <w:color w:val="000000"/>
                <w:sz w:val="20"/>
                <w:szCs w:val="20"/>
                <w:lang w:eastAsia="en-GB"/>
              </w:rPr>
            </w:pPr>
          </w:p>
        </w:tc>
      </w:tr>
      <w:tr w:rsidR="00D145CB" w:rsidRPr="00A33AE8" w14:paraId="78F0B367" w14:textId="77777777" w:rsidTr="004B71DA">
        <w:trPr>
          <w:trHeight w:val="315"/>
        </w:trPr>
        <w:tc>
          <w:tcPr>
            <w:tcW w:w="3341" w:type="dxa"/>
            <w:tcBorders>
              <w:top w:val="nil"/>
              <w:left w:val="single" w:sz="8" w:space="0" w:color="auto"/>
              <w:bottom w:val="single" w:sz="8" w:space="0" w:color="auto"/>
              <w:right w:val="single" w:sz="8" w:space="0" w:color="auto"/>
            </w:tcBorders>
            <w:shd w:val="clear" w:color="auto" w:fill="244062"/>
            <w:vAlign w:val="center"/>
            <w:hideMark/>
          </w:tcPr>
          <w:p w14:paraId="3F39AAD9" w14:textId="77777777" w:rsidR="00D145CB" w:rsidRPr="00A33AE8" w:rsidRDefault="00D145CB" w:rsidP="00D145CB">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47" w:type="dxa"/>
            <w:gridSpan w:val="3"/>
            <w:tcBorders>
              <w:top w:val="single" w:sz="8" w:space="0" w:color="auto"/>
              <w:left w:val="nil"/>
              <w:bottom w:val="single" w:sz="8" w:space="0" w:color="auto"/>
              <w:right w:val="single" w:sz="8" w:space="0" w:color="000000"/>
            </w:tcBorders>
            <w:vAlign w:val="center"/>
            <w:hideMark/>
          </w:tcPr>
          <w:p w14:paraId="225C2266" w14:textId="77777777" w:rsidR="00D145CB" w:rsidRPr="00A33AE8" w:rsidRDefault="00D145CB" w:rsidP="00D145CB">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43A0552F" w14:textId="77777777" w:rsidR="00D145CB" w:rsidRPr="00A33AE8" w:rsidRDefault="00D145CB" w:rsidP="00D145CB">
            <w:pPr>
              <w:rPr>
                <w:rFonts w:asciiTheme="majorHAnsi" w:eastAsia="Times New Roman" w:hAnsiTheme="majorHAnsi" w:cstheme="majorHAnsi"/>
                <w:color w:val="000000"/>
                <w:sz w:val="20"/>
                <w:szCs w:val="20"/>
                <w:lang w:eastAsia="en-GB"/>
              </w:rPr>
            </w:pPr>
          </w:p>
        </w:tc>
      </w:tr>
    </w:tbl>
    <w:p w14:paraId="451F73A0" w14:textId="77777777" w:rsidR="00751097" w:rsidRPr="00A33AE8" w:rsidRDefault="00751097"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43"/>
        <w:gridCol w:w="941"/>
        <w:gridCol w:w="945"/>
        <w:gridCol w:w="4259"/>
        <w:gridCol w:w="1212"/>
      </w:tblGrid>
      <w:tr w:rsidR="00751097" w:rsidRPr="00A33AE8" w14:paraId="2C51ED51" w14:textId="77777777" w:rsidTr="004B71DA">
        <w:trPr>
          <w:gridAfter w:val="1"/>
          <w:wAfter w:w="1212" w:type="dxa"/>
          <w:trHeight w:val="780"/>
        </w:trPr>
        <w:tc>
          <w:tcPr>
            <w:tcW w:w="334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2A388AE" w14:textId="77777777" w:rsidR="00751097" w:rsidRPr="00A33AE8" w:rsidRDefault="00751097">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41" w:type="dxa"/>
            <w:tcBorders>
              <w:top w:val="single" w:sz="8" w:space="0" w:color="auto"/>
              <w:left w:val="nil"/>
              <w:bottom w:val="single" w:sz="8" w:space="0" w:color="auto"/>
              <w:right w:val="single" w:sz="8" w:space="0" w:color="auto"/>
            </w:tcBorders>
            <w:shd w:val="clear" w:color="auto" w:fill="E7E6E6" w:themeFill="background2"/>
            <w:vAlign w:val="center"/>
            <w:hideMark/>
          </w:tcPr>
          <w:p w14:paraId="36BF66F5" w14:textId="77777777" w:rsidR="00751097" w:rsidRPr="00A33AE8" w:rsidRDefault="00057564">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751097" w:rsidRPr="00A33AE8">
              <w:rPr>
                <w:rFonts w:asciiTheme="majorHAnsi" w:eastAsia="Times New Roman" w:hAnsiTheme="majorHAnsi" w:cstheme="majorHAnsi"/>
                <w:b/>
                <w:bCs/>
                <w:color w:val="000000"/>
                <w:sz w:val="20"/>
                <w:szCs w:val="20"/>
                <w:lang w:eastAsia="en-GB"/>
              </w:rPr>
              <w:t>ES7</w:t>
            </w:r>
          </w:p>
        </w:tc>
        <w:tc>
          <w:tcPr>
            <w:tcW w:w="945" w:type="dxa"/>
            <w:tcBorders>
              <w:top w:val="single" w:sz="8" w:space="0" w:color="auto"/>
              <w:left w:val="nil"/>
              <w:bottom w:val="single" w:sz="8" w:space="0" w:color="auto"/>
              <w:right w:val="single" w:sz="8" w:space="0" w:color="auto"/>
            </w:tcBorders>
            <w:shd w:val="clear" w:color="auto" w:fill="244062"/>
            <w:vAlign w:val="center"/>
            <w:hideMark/>
          </w:tcPr>
          <w:p w14:paraId="67DDA67C"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59" w:type="dxa"/>
            <w:tcBorders>
              <w:top w:val="single" w:sz="8" w:space="0" w:color="auto"/>
              <w:left w:val="nil"/>
              <w:bottom w:val="single" w:sz="8" w:space="0" w:color="auto"/>
              <w:right w:val="single" w:sz="8" w:space="0" w:color="auto"/>
            </w:tcBorders>
            <w:shd w:val="clear" w:color="auto" w:fill="E7E6E6" w:themeFill="background2"/>
            <w:vAlign w:val="center"/>
            <w:hideMark/>
          </w:tcPr>
          <w:p w14:paraId="3D48C8F3" w14:textId="77777777" w:rsidR="00751097" w:rsidRPr="00A33AE8" w:rsidRDefault="00751097">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Update in Security of supply regulation (at least at a national level)</w:t>
            </w:r>
          </w:p>
        </w:tc>
      </w:tr>
      <w:tr w:rsidR="009F4765" w:rsidRPr="00A33AE8" w14:paraId="6DBD4B6E" w14:textId="77777777" w:rsidTr="004B71DA">
        <w:trPr>
          <w:gridAfter w:val="1"/>
          <w:wAfter w:w="1212" w:type="dxa"/>
          <w:trHeight w:val="572"/>
        </w:trPr>
        <w:tc>
          <w:tcPr>
            <w:tcW w:w="3343" w:type="dxa"/>
            <w:tcBorders>
              <w:top w:val="nil"/>
              <w:left w:val="single" w:sz="8" w:space="0" w:color="auto"/>
              <w:bottom w:val="single" w:sz="8" w:space="0" w:color="auto"/>
              <w:right w:val="nil"/>
            </w:tcBorders>
            <w:shd w:val="clear" w:color="auto" w:fill="244062"/>
            <w:vAlign w:val="center"/>
            <w:hideMark/>
          </w:tcPr>
          <w:p w14:paraId="5E0A0A80"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45" w:type="dxa"/>
            <w:gridSpan w:val="3"/>
            <w:tcBorders>
              <w:top w:val="single" w:sz="8" w:space="0" w:color="auto"/>
              <w:left w:val="nil"/>
              <w:bottom w:val="single" w:sz="8" w:space="0" w:color="auto"/>
              <w:right w:val="single" w:sz="8" w:space="0" w:color="000000"/>
            </w:tcBorders>
            <w:vAlign w:val="center"/>
          </w:tcPr>
          <w:p w14:paraId="4241B4AE"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r w:rsidR="00D32864" w:rsidRPr="00D32864">
              <w:rPr>
                <w:rFonts w:asciiTheme="majorHAnsi" w:eastAsia="Times New Roman" w:hAnsiTheme="majorHAnsi" w:cstheme="majorHAnsi"/>
                <w:color w:val="000000"/>
                <w:sz w:val="20"/>
                <w:szCs w:val="20"/>
                <w:lang w:eastAsia="en-GB"/>
              </w:rPr>
              <w:t>, fostering regional energy cooperation and improving regional market integration.</w:t>
            </w:r>
          </w:p>
        </w:tc>
      </w:tr>
      <w:tr w:rsidR="009F4765" w:rsidRPr="00A33AE8" w14:paraId="54905984" w14:textId="77777777" w:rsidTr="004B71DA">
        <w:trPr>
          <w:gridAfter w:val="1"/>
          <w:wAfter w:w="1212" w:type="dxa"/>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12039B19"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45" w:type="dxa"/>
            <w:gridSpan w:val="3"/>
            <w:tcBorders>
              <w:top w:val="single" w:sz="8" w:space="0" w:color="auto"/>
              <w:left w:val="nil"/>
              <w:bottom w:val="single" w:sz="8" w:space="0" w:color="auto"/>
              <w:right w:val="single" w:sz="8" w:space="0" w:color="000000"/>
            </w:tcBorders>
            <w:vAlign w:val="center"/>
          </w:tcPr>
          <w:p w14:paraId="2F61C35B"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n.a.</w:t>
            </w:r>
          </w:p>
        </w:tc>
      </w:tr>
      <w:tr w:rsidR="00751097" w:rsidRPr="00A33AE8" w14:paraId="46E022EB" w14:textId="77777777" w:rsidTr="004B71DA">
        <w:trPr>
          <w:gridAfter w:val="1"/>
          <w:wAfter w:w="1212" w:type="dxa"/>
          <w:trHeight w:val="584"/>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40C70687"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45" w:type="dxa"/>
            <w:gridSpan w:val="3"/>
            <w:tcBorders>
              <w:top w:val="single" w:sz="8" w:space="0" w:color="auto"/>
              <w:left w:val="nil"/>
              <w:bottom w:val="single" w:sz="8" w:space="0" w:color="auto"/>
              <w:right w:val="single" w:sz="8" w:space="0" w:color="000000"/>
            </w:tcBorders>
            <w:vAlign w:val="center"/>
          </w:tcPr>
          <w:p w14:paraId="2E524043"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Decree on establishing the Crisis Plan to ensure security of natural gas supply and the Decree on establishing the Preventive Action Plan to ensure security of natural gas supply, adopted in 2018, are in line with the requirements of EU Regulation 994/2010 on measures to ensure security of natural gas supply.</w:t>
            </w:r>
          </w:p>
          <w:p w14:paraId="24780E4D" w14:textId="77777777" w:rsidR="00751097"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 the coming period, these acts will be harmonized with the requirements of EU Regulation 2017/1938 on measures to ensure security of natural gas supply</w:t>
            </w:r>
            <w:r w:rsidR="00F1295D" w:rsidRPr="00A33AE8">
              <w:rPr>
                <w:rFonts w:asciiTheme="majorHAnsi" w:eastAsia="Times New Roman" w:hAnsiTheme="majorHAnsi" w:cstheme="majorHAnsi"/>
                <w:color w:val="000000"/>
                <w:sz w:val="20"/>
                <w:szCs w:val="20"/>
                <w:lang w:eastAsia="en-GB"/>
              </w:rPr>
              <w:t>.</w:t>
            </w:r>
          </w:p>
          <w:p w14:paraId="2CC97026" w14:textId="2DCFF55E" w:rsidR="00F1295D" w:rsidRPr="000007D2" w:rsidRDefault="00F1295D" w:rsidP="009F4765">
            <w:pPr>
              <w:spacing w:after="0" w:line="240" w:lineRule="auto"/>
              <w:jc w:val="both"/>
              <w:rPr>
                <w:rFonts w:asciiTheme="majorHAnsi" w:hAnsiTheme="majorHAnsi"/>
                <w:color w:val="000000"/>
                <w:sz w:val="20"/>
              </w:rPr>
            </w:pPr>
            <w:r w:rsidRPr="000007D2">
              <w:rPr>
                <w:rFonts w:asciiTheme="majorHAnsi" w:eastAsia="Times New Roman" w:hAnsiTheme="majorHAnsi" w:cstheme="majorHAnsi"/>
                <w:color w:val="000000"/>
                <w:sz w:val="20"/>
                <w:szCs w:val="20"/>
                <w:lang w:eastAsia="en-GB"/>
              </w:rPr>
              <w:t xml:space="preserve">In order to achieve the objectives of the INECP, a temporary support measure through a capacity </w:t>
            </w:r>
            <w:r w:rsidR="00804745" w:rsidRPr="000007D2">
              <w:rPr>
                <w:rFonts w:asciiTheme="majorHAnsi" w:eastAsia="Times New Roman" w:hAnsiTheme="majorHAnsi" w:cstheme="majorHAnsi"/>
                <w:color w:val="000000"/>
                <w:sz w:val="20"/>
                <w:szCs w:val="20"/>
                <w:lang w:eastAsia="en-GB"/>
              </w:rPr>
              <w:t>re</w:t>
            </w:r>
            <w:r w:rsidR="00804745" w:rsidRPr="00A33AE8">
              <w:rPr>
                <w:rFonts w:asciiTheme="majorHAnsi" w:eastAsia="Times New Roman" w:hAnsiTheme="majorHAnsi" w:cstheme="majorHAnsi"/>
                <w:color w:val="000000"/>
                <w:sz w:val="20"/>
                <w:szCs w:val="20"/>
                <w:lang w:eastAsia="en-GB"/>
              </w:rPr>
              <w:t>m</w:t>
            </w:r>
            <w:r w:rsidR="00804745" w:rsidRPr="000007D2">
              <w:rPr>
                <w:rFonts w:asciiTheme="majorHAnsi" w:eastAsia="Times New Roman" w:hAnsiTheme="majorHAnsi" w:cstheme="majorHAnsi"/>
                <w:color w:val="000000"/>
                <w:sz w:val="20"/>
                <w:szCs w:val="20"/>
                <w:lang w:eastAsia="en-GB"/>
              </w:rPr>
              <w:t>u</w:t>
            </w:r>
            <w:r w:rsidR="00804745" w:rsidRPr="00A33AE8">
              <w:rPr>
                <w:rFonts w:asciiTheme="majorHAnsi" w:eastAsia="Times New Roman" w:hAnsiTheme="majorHAnsi" w:cstheme="majorHAnsi"/>
                <w:color w:val="000000"/>
                <w:sz w:val="20"/>
                <w:szCs w:val="20"/>
                <w:lang w:eastAsia="en-GB"/>
              </w:rPr>
              <w:t>n</w:t>
            </w:r>
            <w:r w:rsidR="00804745" w:rsidRPr="000007D2">
              <w:rPr>
                <w:rFonts w:asciiTheme="majorHAnsi" w:eastAsia="Times New Roman" w:hAnsiTheme="majorHAnsi" w:cstheme="majorHAnsi"/>
                <w:color w:val="000000"/>
                <w:sz w:val="20"/>
                <w:szCs w:val="20"/>
                <w:lang w:eastAsia="en-GB"/>
              </w:rPr>
              <w:t xml:space="preserve">eration </w:t>
            </w:r>
            <w:r w:rsidRPr="000007D2">
              <w:rPr>
                <w:rFonts w:asciiTheme="majorHAnsi" w:eastAsia="Times New Roman" w:hAnsiTheme="majorHAnsi" w:cstheme="majorHAnsi"/>
                <w:color w:val="000000"/>
                <w:sz w:val="20"/>
                <w:szCs w:val="20"/>
                <w:lang w:eastAsia="en-GB"/>
              </w:rPr>
              <w:t xml:space="preserve">mechanism will be considered. This measure will </w:t>
            </w:r>
            <w:r w:rsidR="000323F6" w:rsidRPr="000007D2">
              <w:rPr>
                <w:rFonts w:asciiTheme="majorHAnsi" w:eastAsia="Times New Roman" w:hAnsiTheme="majorHAnsi" w:cstheme="majorHAnsi"/>
                <w:color w:val="000000"/>
                <w:sz w:val="20"/>
                <w:szCs w:val="20"/>
                <w:lang w:eastAsia="en-GB"/>
              </w:rPr>
              <w:t>remunerate</w:t>
            </w:r>
            <w:r w:rsidRPr="000007D2">
              <w:rPr>
                <w:rFonts w:asciiTheme="majorHAnsi" w:eastAsia="Times New Roman" w:hAnsiTheme="majorHAnsi" w:cstheme="majorHAnsi"/>
                <w:color w:val="000000"/>
                <w:sz w:val="20"/>
                <w:szCs w:val="20"/>
                <w:lang w:eastAsia="en-GB"/>
              </w:rPr>
              <w:t xml:space="preserve"> eligible participants for their contribution to medium and long-term security of supply</w:t>
            </w:r>
            <w:r w:rsidR="001A56D2" w:rsidRPr="000007D2">
              <w:rPr>
                <w:rFonts w:asciiTheme="majorHAnsi" w:eastAsia="Times New Roman" w:hAnsiTheme="majorHAnsi" w:cstheme="majorHAnsi"/>
                <w:color w:val="000000"/>
                <w:sz w:val="20"/>
                <w:szCs w:val="20"/>
                <w:lang w:eastAsia="en-GB"/>
              </w:rPr>
              <w:t xml:space="preserve"> (i.e. being available to increase generation or reduce demand when needed).</w:t>
            </w:r>
          </w:p>
        </w:tc>
      </w:tr>
      <w:tr w:rsidR="009F4765" w:rsidRPr="00A33AE8" w14:paraId="0BC6EAEA" w14:textId="77777777" w:rsidTr="004B71DA">
        <w:trPr>
          <w:gridAfter w:val="1"/>
          <w:wAfter w:w="1212" w:type="dxa"/>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1FA8654B" w14:textId="77777777" w:rsidR="009F4765" w:rsidRPr="00A33AE8" w:rsidRDefault="009F4765" w:rsidP="009F4765">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45" w:type="dxa"/>
            <w:gridSpan w:val="3"/>
            <w:tcBorders>
              <w:top w:val="single" w:sz="8" w:space="0" w:color="auto"/>
              <w:left w:val="nil"/>
              <w:bottom w:val="single" w:sz="8" w:space="0" w:color="auto"/>
              <w:right w:val="single" w:sz="8" w:space="0" w:color="000000"/>
            </w:tcBorders>
            <w:vAlign w:val="center"/>
            <w:hideMark/>
          </w:tcPr>
          <w:p w14:paraId="1A42B282" w14:textId="77777777" w:rsidR="009F4765" w:rsidRPr="00A33AE8" w:rsidRDefault="009F4765" w:rsidP="009F476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2021-202</w:t>
            </w:r>
            <w:r w:rsidR="00F1295D" w:rsidRPr="00A33AE8">
              <w:rPr>
                <w:rFonts w:asciiTheme="majorHAnsi" w:eastAsia="Times New Roman" w:hAnsiTheme="majorHAnsi" w:cstheme="majorHAnsi"/>
                <w:color w:val="000000"/>
                <w:sz w:val="20"/>
                <w:szCs w:val="20"/>
                <w:lang w:eastAsia="en-GB"/>
              </w:rPr>
              <w:t>5</w:t>
            </w:r>
          </w:p>
        </w:tc>
      </w:tr>
      <w:tr w:rsidR="00751097" w:rsidRPr="00A33AE8" w14:paraId="18283864" w14:textId="77777777" w:rsidTr="004B71DA">
        <w:trPr>
          <w:gridAfter w:val="1"/>
          <w:wAfter w:w="1212" w:type="dxa"/>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692EC3A2"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45" w:type="dxa"/>
            <w:gridSpan w:val="3"/>
            <w:tcBorders>
              <w:top w:val="single" w:sz="8" w:space="0" w:color="auto"/>
              <w:left w:val="nil"/>
              <w:bottom w:val="single" w:sz="8" w:space="0" w:color="auto"/>
              <w:right w:val="single" w:sz="8" w:space="0" w:color="000000"/>
            </w:tcBorders>
            <w:vAlign w:val="center"/>
            <w:hideMark/>
          </w:tcPr>
          <w:p w14:paraId="421419A2" w14:textId="77777777" w:rsidR="00751097" w:rsidRPr="00A33AE8" w:rsidRDefault="00FE139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751097" w:rsidRPr="00A33AE8" w14:paraId="3C86D75B" w14:textId="77777777" w:rsidTr="004B71DA">
        <w:trPr>
          <w:gridAfter w:val="1"/>
          <w:wAfter w:w="1212" w:type="dxa"/>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5A081451"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45" w:type="dxa"/>
            <w:gridSpan w:val="3"/>
            <w:tcBorders>
              <w:top w:val="single" w:sz="8" w:space="0" w:color="auto"/>
              <w:left w:val="nil"/>
              <w:bottom w:val="single" w:sz="8" w:space="0" w:color="auto"/>
              <w:right w:val="single" w:sz="8" w:space="0" w:color="000000"/>
            </w:tcBorders>
            <w:vAlign w:val="center"/>
            <w:hideMark/>
          </w:tcPr>
          <w:p w14:paraId="030045EA" w14:textId="77777777" w:rsidR="00751097" w:rsidRPr="00A33AE8" w:rsidRDefault="00C74551">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Electricity, </w:t>
            </w:r>
            <w:r w:rsidR="00751097" w:rsidRPr="00A33AE8">
              <w:rPr>
                <w:rFonts w:asciiTheme="majorHAnsi" w:eastAsia="Times New Roman" w:hAnsiTheme="majorHAnsi" w:cstheme="majorHAnsi"/>
                <w:color w:val="000000"/>
                <w:sz w:val="20"/>
                <w:szCs w:val="20"/>
                <w:lang w:eastAsia="en-GB"/>
              </w:rPr>
              <w:t>Gas</w:t>
            </w:r>
          </w:p>
        </w:tc>
      </w:tr>
      <w:tr w:rsidR="00FD2B5A" w:rsidRPr="00A33AE8" w14:paraId="76B29463" w14:textId="77777777" w:rsidTr="004B71DA">
        <w:trPr>
          <w:gridAfter w:val="1"/>
          <w:wAfter w:w="1212" w:type="dxa"/>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1C00A47E" w14:textId="77777777" w:rsidR="00FD2B5A" w:rsidRPr="00A33AE8" w:rsidRDefault="00FD2B5A" w:rsidP="00FD2B5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45" w:type="dxa"/>
            <w:gridSpan w:val="3"/>
            <w:tcBorders>
              <w:top w:val="single" w:sz="8" w:space="0" w:color="auto"/>
              <w:left w:val="nil"/>
              <w:bottom w:val="single" w:sz="8" w:space="0" w:color="auto"/>
              <w:right w:val="single" w:sz="8" w:space="0" w:color="000000"/>
            </w:tcBorders>
            <w:vAlign w:val="center"/>
            <w:hideMark/>
          </w:tcPr>
          <w:p w14:paraId="5FB32580" w14:textId="77777777" w:rsidR="00FD2B5A" w:rsidRPr="00A33AE8" w:rsidRDefault="00245A42"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FD2B5A" w:rsidRPr="00A33AE8" w14:paraId="53CA8B5E" w14:textId="77777777" w:rsidTr="004B71DA">
        <w:trPr>
          <w:gridAfter w:val="1"/>
          <w:wAfter w:w="1212" w:type="dxa"/>
          <w:trHeight w:val="315"/>
        </w:trPr>
        <w:tc>
          <w:tcPr>
            <w:tcW w:w="3343" w:type="dxa"/>
            <w:tcBorders>
              <w:top w:val="nil"/>
              <w:left w:val="single" w:sz="8" w:space="0" w:color="auto"/>
              <w:bottom w:val="single" w:sz="8" w:space="0" w:color="auto"/>
              <w:right w:val="nil"/>
            </w:tcBorders>
            <w:shd w:val="clear" w:color="auto" w:fill="244062"/>
            <w:vAlign w:val="center"/>
            <w:hideMark/>
          </w:tcPr>
          <w:p w14:paraId="3BF38197" w14:textId="77777777" w:rsidR="00FD2B5A" w:rsidRPr="00A33AE8" w:rsidRDefault="00FD2B5A" w:rsidP="00FD2B5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45" w:type="dxa"/>
            <w:gridSpan w:val="3"/>
            <w:tcBorders>
              <w:top w:val="single" w:sz="8" w:space="0" w:color="auto"/>
              <w:left w:val="nil"/>
              <w:bottom w:val="single" w:sz="8" w:space="0" w:color="auto"/>
              <w:right w:val="single" w:sz="8" w:space="0" w:color="000000"/>
            </w:tcBorders>
            <w:vAlign w:val="center"/>
            <w:hideMark/>
          </w:tcPr>
          <w:p w14:paraId="07BF5FCA" w14:textId="77777777" w:rsidR="00FD2B5A" w:rsidRPr="00A33AE8" w:rsidRDefault="00245A42"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FD2B5A" w:rsidRPr="00A33AE8" w14:paraId="3AEE60DF" w14:textId="77777777" w:rsidTr="004B71DA">
        <w:trPr>
          <w:gridAfter w:val="1"/>
          <w:wAfter w:w="1212" w:type="dxa"/>
          <w:trHeight w:val="315"/>
        </w:trPr>
        <w:tc>
          <w:tcPr>
            <w:tcW w:w="3343" w:type="dxa"/>
            <w:tcBorders>
              <w:top w:val="nil"/>
              <w:left w:val="single" w:sz="8" w:space="0" w:color="auto"/>
              <w:bottom w:val="single" w:sz="8" w:space="0" w:color="auto"/>
              <w:right w:val="nil"/>
            </w:tcBorders>
            <w:shd w:val="clear" w:color="auto" w:fill="244062"/>
            <w:vAlign w:val="center"/>
            <w:hideMark/>
          </w:tcPr>
          <w:p w14:paraId="1C517DD3" w14:textId="77777777" w:rsidR="00FD2B5A" w:rsidRPr="00A33AE8" w:rsidRDefault="00FD2B5A" w:rsidP="00FD2B5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45" w:type="dxa"/>
            <w:gridSpan w:val="3"/>
            <w:tcBorders>
              <w:top w:val="single" w:sz="8" w:space="0" w:color="auto"/>
              <w:left w:val="nil"/>
              <w:bottom w:val="single" w:sz="8" w:space="0" w:color="auto"/>
              <w:right w:val="single" w:sz="8" w:space="0" w:color="000000"/>
            </w:tcBorders>
            <w:vAlign w:val="center"/>
            <w:hideMark/>
          </w:tcPr>
          <w:p w14:paraId="7D54D7F9" w14:textId="77777777" w:rsidR="00FD2B5A" w:rsidRPr="00A33AE8" w:rsidRDefault="00FD2B5A" w:rsidP="00FD2B5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Adoption of regulation, preparation of preventive and emergency action plan according to the updated regulation</w:t>
            </w:r>
          </w:p>
        </w:tc>
      </w:tr>
      <w:tr w:rsidR="00A0226E" w:rsidRPr="00A33AE8" w14:paraId="14BE5DBE" w14:textId="77777777" w:rsidTr="009E094C">
        <w:trPr>
          <w:gridAfter w:val="1"/>
          <w:wAfter w:w="1212" w:type="dxa"/>
          <w:trHeight w:val="387"/>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660716C3"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5" w:type="dxa"/>
            <w:gridSpan w:val="3"/>
            <w:tcBorders>
              <w:top w:val="single" w:sz="8" w:space="0" w:color="auto"/>
              <w:left w:val="nil"/>
              <w:bottom w:val="single" w:sz="8" w:space="0" w:color="auto"/>
              <w:right w:val="single" w:sz="8" w:space="0" w:color="000000"/>
            </w:tcBorders>
            <w:vAlign w:val="center"/>
          </w:tcPr>
          <w:p w14:paraId="3901292E" w14:textId="77777777" w:rsidR="00D32864" w:rsidRPr="00D32864" w:rsidRDefault="00D32864"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D32864">
              <w:rPr>
                <w:rFonts w:asciiTheme="majorHAnsi" w:eastAsia="Times New Roman" w:hAnsiTheme="majorHAnsi" w:cstheme="majorHAnsi"/>
                <w:color w:val="000000"/>
                <w:sz w:val="20"/>
                <w:szCs w:val="20"/>
                <w:lang w:eastAsia="en-GB"/>
              </w:rPr>
              <w:t>Internal Energy Market</w:t>
            </w:r>
          </w:p>
          <w:p w14:paraId="7C95AA97" w14:textId="77777777" w:rsidR="00A0226E" w:rsidRPr="00A33AE8" w:rsidRDefault="00D32864"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D32864">
              <w:rPr>
                <w:rFonts w:asciiTheme="majorHAnsi" w:eastAsia="Times New Roman" w:hAnsiTheme="majorHAnsi" w:cstheme="majorHAnsi"/>
                <w:color w:val="000000"/>
                <w:sz w:val="20"/>
                <w:szCs w:val="20"/>
                <w:lang w:eastAsia="en-GB"/>
              </w:rPr>
              <w:t>Decarbonisation</w:t>
            </w:r>
          </w:p>
        </w:tc>
      </w:tr>
      <w:tr w:rsidR="00751097" w:rsidRPr="00A33AE8" w14:paraId="6A7BA47F" w14:textId="77777777" w:rsidTr="004B71DA">
        <w:trPr>
          <w:gridAfter w:val="1"/>
          <w:wAfter w:w="1212" w:type="dxa"/>
          <w:trHeight w:val="450"/>
        </w:trPr>
        <w:tc>
          <w:tcPr>
            <w:tcW w:w="3343" w:type="dxa"/>
            <w:vMerge w:val="restart"/>
            <w:tcBorders>
              <w:top w:val="nil"/>
              <w:left w:val="single" w:sz="8" w:space="0" w:color="auto"/>
              <w:bottom w:val="single" w:sz="8" w:space="0" w:color="000000"/>
              <w:right w:val="single" w:sz="8" w:space="0" w:color="auto"/>
            </w:tcBorders>
            <w:shd w:val="clear" w:color="auto" w:fill="244062"/>
            <w:vAlign w:val="center"/>
            <w:hideMark/>
          </w:tcPr>
          <w:p w14:paraId="661EF14D" w14:textId="77777777" w:rsidR="00751097" w:rsidRPr="00A33AE8" w:rsidRDefault="00751097">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45"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4C1C086A" w14:textId="77777777" w:rsidR="00751097" w:rsidRPr="00A33AE8" w:rsidRDefault="00751097">
            <w:pPr>
              <w:rPr>
                <w:rFonts w:asciiTheme="majorHAnsi" w:eastAsia="Times New Roman" w:hAnsiTheme="majorHAnsi" w:cstheme="majorHAnsi"/>
                <w:b/>
                <w:bCs/>
                <w:color w:val="FFFFFF"/>
                <w:sz w:val="20"/>
                <w:szCs w:val="20"/>
                <w:lang w:eastAsia="en-GB"/>
              </w:rPr>
            </w:pPr>
          </w:p>
        </w:tc>
      </w:tr>
      <w:tr w:rsidR="00751097" w:rsidRPr="00A33AE8" w14:paraId="6B46F93E" w14:textId="77777777" w:rsidTr="004B71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4627BBF"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71321F88"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1212" w:type="dxa"/>
            <w:noWrap/>
            <w:vAlign w:val="bottom"/>
            <w:hideMark/>
          </w:tcPr>
          <w:p w14:paraId="2AF099BF" w14:textId="77777777" w:rsidR="00751097" w:rsidRPr="00A33AE8" w:rsidRDefault="00751097"/>
        </w:tc>
      </w:tr>
      <w:tr w:rsidR="00751097" w:rsidRPr="00A33AE8" w14:paraId="3CF18683" w14:textId="77777777" w:rsidTr="009E094C">
        <w:trPr>
          <w:trHeight w:val="60"/>
        </w:trPr>
        <w:tc>
          <w:tcPr>
            <w:tcW w:w="0" w:type="auto"/>
            <w:vMerge/>
            <w:tcBorders>
              <w:top w:val="nil"/>
              <w:left w:val="single" w:sz="8" w:space="0" w:color="auto"/>
              <w:bottom w:val="single" w:sz="8" w:space="0" w:color="000000"/>
              <w:right w:val="single" w:sz="8" w:space="0" w:color="auto"/>
            </w:tcBorders>
            <w:vAlign w:val="center"/>
            <w:hideMark/>
          </w:tcPr>
          <w:p w14:paraId="1CD4BCF5"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6145" w:type="dxa"/>
            <w:gridSpan w:val="3"/>
            <w:vMerge/>
            <w:tcBorders>
              <w:top w:val="single" w:sz="8" w:space="0" w:color="auto"/>
              <w:left w:val="single" w:sz="8" w:space="0" w:color="auto"/>
              <w:bottom w:val="single" w:sz="8" w:space="0" w:color="000000"/>
              <w:right w:val="single" w:sz="8" w:space="0" w:color="000000"/>
            </w:tcBorders>
            <w:vAlign w:val="center"/>
            <w:hideMark/>
          </w:tcPr>
          <w:p w14:paraId="2861B92E" w14:textId="77777777" w:rsidR="00751097" w:rsidRPr="00A33AE8" w:rsidRDefault="00751097">
            <w:pPr>
              <w:spacing w:after="0" w:line="256" w:lineRule="auto"/>
              <w:rPr>
                <w:rFonts w:asciiTheme="majorHAnsi" w:eastAsia="Times New Roman" w:hAnsiTheme="majorHAnsi" w:cstheme="majorHAnsi"/>
                <w:b/>
                <w:bCs/>
                <w:color w:val="FFFFFF"/>
                <w:sz w:val="20"/>
                <w:szCs w:val="20"/>
                <w:lang w:eastAsia="en-GB"/>
              </w:rPr>
            </w:pPr>
          </w:p>
        </w:tc>
        <w:tc>
          <w:tcPr>
            <w:tcW w:w="1212" w:type="dxa"/>
            <w:noWrap/>
            <w:vAlign w:val="bottom"/>
            <w:hideMark/>
          </w:tcPr>
          <w:p w14:paraId="4809D9B3" w14:textId="77777777" w:rsidR="00751097" w:rsidRPr="00A33AE8" w:rsidRDefault="00751097">
            <w:pPr>
              <w:spacing w:after="0" w:line="256" w:lineRule="auto"/>
              <w:rPr>
                <w:sz w:val="20"/>
                <w:szCs w:val="20"/>
                <w:lang w:eastAsia="en-GB"/>
              </w:rPr>
            </w:pPr>
          </w:p>
        </w:tc>
      </w:tr>
      <w:tr w:rsidR="00FD2B5A" w:rsidRPr="00A33AE8" w14:paraId="2273CFF8" w14:textId="77777777" w:rsidTr="004B71DA">
        <w:trPr>
          <w:trHeight w:val="780"/>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18C22B4E" w14:textId="77777777" w:rsidR="00FD2B5A" w:rsidRPr="00A33AE8" w:rsidRDefault="00FD2B5A" w:rsidP="00FD2B5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45" w:type="dxa"/>
            <w:gridSpan w:val="3"/>
            <w:tcBorders>
              <w:top w:val="single" w:sz="8" w:space="0" w:color="auto"/>
              <w:left w:val="nil"/>
              <w:bottom w:val="single" w:sz="8" w:space="0" w:color="auto"/>
              <w:right w:val="single" w:sz="8" w:space="0" w:color="000000"/>
            </w:tcBorders>
            <w:vAlign w:val="center"/>
            <w:hideMark/>
          </w:tcPr>
          <w:p w14:paraId="6C040F66" w14:textId="77777777" w:rsidR="00FD2B5A" w:rsidRPr="00A33AE8" w:rsidRDefault="00FD2B5A"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c>
          <w:tcPr>
            <w:tcW w:w="1212" w:type="dxa"/>
            <w:vAlign w:val="center"/>
            <w:hideMark/>
          </w:tcPr>
          <w:p w14:paraId="72CFA181" w14:textId="77777777" w:rsidR="00FD2B5A" w:rsidRPr="00A33AE8" w:rsidRDefault="00FD2B5A" w:rsidP="00FD2B5A">
            <w:pPr>
              <w:rPr>
                <w:rFonts w:asciiTheme="majorHAnsi" w:eastAsia="Times New Roman" w:hAnsiTheme="majorHAnsi" w:cstheme="majorHAnsi"/>
                <w:color w:val="000000"/>
                <w:sz w:val="20"/>
                <w:szCs w:val="20"/>
                <w:lang w:eastAsia="en-GB"/>
              </w:rPr>
            </w:pPr>
          </w:p>
        </w:tc>
      </w:tr>
      <w:tr w:rsidR="00FD2B5A" w:rsidRPr="00A33AE8" w14:paraId="06BC6774" w14:textId="77777777" w:rsidTr="004B71DA">
        <w:trPr>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4FFE2B8B" w14:textId="77777777" w:rsidR="00FD2B5A" w:rsidRPr="00A33AE8" w:rsidRDefault="00FD2B5A" w:rsidP="00FD2B5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45" w:type="dxa"/>
            <w:gridSpan w:val="3"/>
            <w:tcBorders>
              <w:top w:val="single" w:sz="8" w:space="0" w:color="auto"/>
              <w:left w:val="nil"/>
              <w:bottom w:val="single" w:sz="8" w:space="0" w:color="auto"/>
              <w:right w:val="single" w:sz="8" w:space="0" w:color="000000"/>
            </w:tcBorders>
            <w:vAlign w:val="center"/>
          </w:tcPr>
          <w:p w14:paraId="64D95427" w14:textId="77777777" w:rsidR="00FD2B5A" w:rsidRPr="00A33AE8" w:rsidRDefault="00FE139E" w:rsidP="00FD2B5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w:t>
            </w:r>
            <w:r w:rsidR="00F1295D" w:rsidRPr="00A33AE8">
              <w:rPr>
                <w:rFonts w:asciiTheme="majorHAnsi" w:eastAsia="Times New Roman" w:hAnsiTheme="majorHAnsi" w:cstheme="majorHAnsi"/>
                <w:color w:val="000000"/>
                <w:sz w:val="20"/>
                <w:szCs w:val="20"/>
                <w:lang w:eastAsia="en-GB"/>
              </w:rPr>
              <w:t>5</w:t>
            </w:r>
            <w:r w:rsidRPr="00A33AE8">
              <w:rPr>
                <w:rFonts w:asciiTheme="majorHAnsi" w:eastAsia="Times New Roman" w:hAnsiTheme="majorHAnsi" w:cstheme="majorHAnsi"/>
                <w:color w:val="000000"/>
                <w:sz w:val="20"/>
                <w:szCs w:val="20"/>
                <w:lang w:eastAsia="en-GB"/>
              </w:rPr>
              <w:t xml:space="preserve"> M</w:t>
            </w:r>
            <w:r w:rsidRPr="00A33AE8">
              <w:rPr>
                <w:rFonts w:ascii="Calibri" w:eastAsia="Times New Roman" w:hAnsi="Calibri" w:cs="Calibri"/>
                <w:color w:val="000000"/>
                <w:sz w:val="20"/>
                <w:szCs w:val="20"/>
                <w:lang w:eastAsia="en-GB"/>
              </w:rPr>
              <w:t>€</w:t>
            </w:r>
          </w:p>
        </w:tc>
        <w:tc>
          <w:tcPr>
            <w:tcW w:w="1212" w:type="dxa"/>
            <w:vAlign w:val="center"/>
            <w:hideMark/>
          </w:tcPr>
          <w:p w14:paraId="007E4226" w14:textId="77777777" w:rsidR="00FD2B5A" w:rsidRPr="00A33AE8" w:rsidRDefault="00FD2B5A" w:rsidP="00FD2B5A">
            <w:pPr>
              <w:rPr>
                <w:rFonts w:asciiTheme="majorHAnsi" w:eastAsia="Times New Roman" w:hAnsiTheme="majorHAnsi" w:cstheme="majorHAnsi"/>
                <w:color w:val="000000"/>
                <w:sz w:val="20"/>
                <w:szCs w:val="20"/>
                <w:lang w:eastAsia="en-GB"/>
              </w:rPr>
            </w:pPr>
          </w:p>
        </w:tc>
      </w:tr>
      <w:tr w:rsidR="00A56308" w:rsidRPr="00A33AE8" w14:paraId="292841EB" w14:textId="77777777" w:rsidTr="004B71DA">
        <w:trPr>
          <w:trHeight w:val="315"/>
        </w:trPr>
        <w:tc>
          <w:tcPr>
            <w:tcW w:w="3343" w:type="dxa"/>
            <w:tcBorders>
              <w:top w:val="nil"/>
              <w:left w:val="single" w:sz="8" w:space="0" w:color="auto"/>
              <w:bottom w:val="single" w:sz="8" w:space="0" w:color="auto"/>
              <w:right w:val="single" w:sz="8" w:space="0" w:color="auto"/>
            </w:tcBorders>
            <w:shd w:val="clear" w:color="auto" w:fill="244062"/>
            <w:vAlign w:val="center"/>
            <w:hideMark/>
          </w:tcPr>
          <w:p w14:paraId="04D970BD" w14:textId="77777777" w:rsidR="00A56308" w:rsidRPr="00A33AE8" w:rsidRDefault="00A56308" w:rsidP="00A56308">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45" w:type="dxa"/>
            <w:gridSpan w:val="3"/>
            <w:tcBorders>
              <w:top w:val="single" w:sz="8" w:space="0" w:color="auto"/>
              <w:left w:val="nil"/>
              <w:bottom w:val="single" w:sz="8" w:space="0" w:color="auto"/>
              <w:right w:val="single" w:sz="8" w:space="0" w:color="000000"/>
            </w:tcBorders>
            <w:vAlign w:val="center"/>
          </w:tcPr>
          <w:p w14:paraId="24C6A5FE" w14:textId="77777777" w:rsidR="00A56308" w:rsidRPr="00A33AE8" w:rsidRDefault="00A56308" w:rsidP="00A56308">
            <w:pPr>
              <w:spacing w:after="0" w:line="240" w:lineRule="auto"/>
              <w:jc w:val="both"/>
              <w:rPr>
                <w:rFonts w:asciiTheme="majorHAnsi" w:eastAsia="Times New Roman" w:hAnsiTheme="majorHAnsi" w:cstheme="majorHAnsi"/>
                <w:color w:val="000000"/>
                <w:sz w:val="20"/>
                <w:szCs w:val="2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73DABA41" w14:textId="77777777" w:rsidR="00A56308" w:rsidRPr="00A33AE8" w:rsidRDefault="00A56308" w:rsidP="00A56308">
            <w:pPr>
              <w:rPr>
                <w:rFonts w:asciiTheme="majorHAnsi" w:eastAsia="Times New Roman" w:hAnsiTheme="majorHAnsi" w:cstheme="majorHAnsi"/>
                <w:color w:val="000000"/>
                <w:sz w:val="20"/>
                <w:szCs w:val="20"/>
                <w:lang w:eastAsia="en-GB"/>
              </w:rPr>
            </w:pPr>
          </w:p>
        </w:tc>
      </w:tr>
    </w:tbl>
    <w:p w14:paraId="08759EA1" w14:textId="77777777" w:rsidR="00751097" w:rsidRPr="00A33AE8" w:rsidRDefault="00751097" w:rsidP="00751097">
      <w:pPr>
        <w:pStyle w:val="LDKbody"/>
        <w:rPr>
          <w:rFonts w:asciiTheme="majorHAnsi" w:hAnsiTheme="majorHAnsi" w:cstheme="majorHAnsi"/>
          <w:sz w:val="20"/>
          <w:szCs w:val="20"/>
          <w:lang w:val="en-GB"/>
        </w:rPr>
      </w:pPr>
    </w:p>
    <w:tbl>
      <w:tblPr>
        <w:tblW w:w="9488" w:type="dxa"/>
        <w:tblLook w:val="04A0" w:firstRow="1" w:lastRow="0" w:firstColumn="1" w:lastColumn="0" w:noHBand="0" w:noVBand="1"/>
      </w:tblPr>
      <w:tblGrid>
        <w:gridCol w:w="3414"/>
        <w:gridCol w:w="961"/>
        <w:gridCol w:w="965"/>
        <w:gridCol w:w="4148"/>
      </w:tblGrid>
      <w:tr w:rsidR="00FD2B5A" w:rsidRPr="00A33AE8" w14:paraId="69DB8874" w14:textId="77777777" w:rsidTr="00FF03FA">
        <w:trPr>
          <w:trHeight w:val="780"/>
        </w:trPr>
        <w:tc>
          <w:tcPr>
            <w:tcW w:w="341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3533A31" w14:textId="77777777" w:rsidR="00FD2B5A" w:rsidRPr="00A33AE8" w:rsidRDefault="00FD2B5A"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AEC2A04" w14:textId="77777777" w:rsidR="00FD2B5A" w:rsidRPr="00A33AE8" w:rsidRDefault="00FD2B5A"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ES8</w:t>
            </w:r>
          </w:p>
        </w:tc>
        <w:tc>
          <w:tcPr>
            <w:tcW w:w="965" w:type="dxa"/>
            <w:tcBorders>
              <w:top w:val="single" w:sz="8" w:space="0" w:color="auto"/>
              <w:left w:val="nil"/>
              <w:bottom w:val="single" w:sz="8" w:space="0" w:color="auto"/>
              <w:right w:val="single" w:sz="8" w:space="0" w:color="auto"/>
            </w:tcBorders>
            <w:shd w:val="clear" w:color="auto" w:fill="244062"/>
            <w:vAlign w:val="center"/>
            <w:hideMark/>
          </w:tcPr>
          <w:p w14:paraId="6114A87A"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48" w:type="dxa"/>
            <w:tcBorders>
              <w:top w:val="single" w:sz="8" w:space="0" w:color="auto"/>
              <w:left w:val="nil"/>
              <w:bottom w:val="single" w:sz="8" w:space="0" w:color="auto"/>
              <w:right w:val="single" w:sz="8" w:space="0" w:color="auto"/>
            </w:tcBorders>
            <w:shd w:val="clear" w:color="auto" w:fill="E7E6E6" w:themeFill="background2"/>
            <w:vAlign w:val="center"/>
            <w:hideMark/>
          </w:tcPr>
          <w:p w14:paraId="70904608" w14:textId="77777777" w:rsidR="00FD2B5A" w:rsidRPr="00A33AE8" w:rsidRDefault="00FD2B5A" w:rsidP="00FF03FA">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Oil product pipeline from Pan</w:t>
            </w:r>
            <w:r w:rsidR="00801EF6" w:rsidRPr="00A33AE8">
              <w:rPr>
                <w:rFonts w:asciiTheme="majorHAnsi" w:eastAsia="Times New Roman" w:hAnsiTheme="majorHAnsi" w:cstheme="majorHAnsi"/>
                <w:b/>
                <w:bCs/>
                <w:color w:val="000000"/>
                <w:sz w:val="20"/>
                <w:szCs w:val="20"/>
                <w:lang w:eastAsia="en-GB"/>
              </w:rPr>
              <w:t>c</w:t>
            </w:r>
            <w:r w:rsidRPr="00A33AE8">
              <w:rPr>
                <w:rFonts w:asciiTheme="majorHAnsi" w:eastAsia="Times New Roman" w:hAnsiTheme="majorHAnsi" w:cstheme="majorHAnsi"/>
                <w:b/>
                <w:bCs/>
                <w:color w:val="000000"/>
                <w:sz w:val="20"/>
                <w:szCs w:val="20"/>
                <w:lang w:eastAsia="en-GB"/>
              </w:rPr>
              <w:t>evo refinery to Novi Sad, Sombor, Belgrade and Ni</w:t>
            </w:r>
            <w:r w:rsidR="00801EF6" w:rsidRPr="00A33AE8">
              <w:rPr>
                <w:rFonts w:asciiTheme="majorHAnsi" w:eastAsia="Times New Roman" w:hAnsiTheme="majorHAnsi" w:cstheme="majorHAnsi"/>
                <w:b/>
                <w:bCs/>
                <w:color w:val="000000"/>
                <w:sz w:val="20"/>
                <w:szCs w:val="20"/>
                <w:lang w:eastAsia="en-GB"/>
              </w:rPr>
              <w:t>s</w:t>
            </w:r>
            <w:r w:rsidRPr="00A33AE8">
              <w:rPr>
                <w:rFonts w:asciiTheme="majorHAnsi" w:eastAsia="Times New Roman" w:hAnsiTheme="majorHAnsi" w:cstheme="majorHAnsi"/>
                <w:b/>
                <w:bCs/>
                <w:color w:val="000000"/>
                <w:sz w:val="20"/>
                <w:szCs w:val="20"/>
                <w:lang w:eastAsia="en-GB"/>
              </w:rPr>
              <w:t>, through Smederevo and Jagodina</w:t>
            </w:r>
          </w:p>
        </w:tc>
      </w:tr>
      <w:tr w:rsidR="00FD2B5A" w:rsidRPr="00A33AE8" w14:paraId="36E30238" w14:textId="77777777" w:rsidTr="00FF03FA">
        <w:trPr>
          <w:trHeight w:val="572"/>
        </w:trPr>
        <w:tc>
          <w:tcPr>
            <w:tcW w:w="3414" w:type="dxa"/>
            <w:tcBorders>
              <w:top w:val="nil"/>
              <w:left w:val="single" w:sz="8" w:space="0" w:color="auto"/>
              <w:bottom w:val="single" w:sz="8" w:space="0" w:color="auto"/>
              <w:right w:val="nil"/>
            </w:tcBorders>
            <w:shd w:val="clear" w:color="auto" w:fill="244062"/>
            <w:vAlign w:val="center"/>
            <w:hideMark/>
          </w:tcPr>
          <w:p w14:paraId="260ECB8B"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074" w:type="dxa"/>
            <w:gridSpan w:val="3"/>
            <w:tcBorders>
              <w:top w:val="single" w:sz="8" w:space="0" w:color="auto"/>
              <w:left w:val="nil"/>
              <w:bottom w:val="single" w:sz="8" w:space="0" w:color="auto"/>
              <w:right w:val="single" w:sz="8" w:space="0" w:color="000000"/>
            </w:tcBorders>
            <w:vAlign w:val="center"/>
          </w:tcPr>
          <w:p w14:paraId="20A36193" w14:textId="77777777" w:rsidR="00FD2B5A" w:rsidRPr="00A33AE8" w:rsidRDefault="00343B13"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More efficient, cheaper, safer and more environmentally friendly supply of motor fuels to the market of the Republic of Serbia.</w:t>
            </w:r>
          </w:p>
        </w:tc>
      </w:tr>
      <w:tr w:rsidR="00FD2B5A" w:rsidRPr="00A33AE8" w14:paraId="5BDA16FA"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3DD8F290"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074" w:type="dxa"/>
            <w:gridSpan w:val="3"/>
            <w:tcBorders>
              <w:top w:val="single" w:sz="8" w:space="0" w:color="auto"/>
              <w:left w:val="nil"/>
              <w:bottom w:val="single" w:sz="8" w:space="0" w:color="auto"/>
              <w:right w:val="single" w:sz="8" w:space="0" w:color="000000"/>
            </w:tcBorders>
            <w:vAlign w:val="center"/>
          </w:tcPr>
          <w:p w14:paraId="46DE5E72"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n.a.</w:t>
            </w:r>
          </w:p>
        </w:tc>
      </w:tr>
      <w:tr w:rsidR="00FD2B5A" w:rsidRPr="00A33AE8" w14:paraId="7A97D42C" w14:textId="77777777" w:rsidTr="00FF03FA">
        <w:trPr>
          <w:trHeight w:val="584"/>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58B04D4F"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Description:</w:t>
            </w:r>
          </w:p>
        </w:tc>
        <w:tc>
          <w:tcPr>
            <w:tcW w:w="6074" w:type="dxa"/>
            <w:gridSpan w:val="3"/>
            <w:tcBorders>
              <w:top w:val="single" w:sz="8" w:space="0" w:color="auto"/>
              <w:left w:val="nil"/>
              <w:bottom w:val="single" w:sz="8" w:space="0" w:color="auto"/>
              <w:right w:val="single" w:sz="8" w:space="0" w:color="000000"/>
            </w:tcBorders>
            <w:vAlign w:val="center"/>
          </w:tcPr>
          <w:p w14:paraId="7E92BD64"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Transnafta </w:t>
            </w:r>
            <w:r w:rsidR="00CF58E3" w:rsidRPr="00A33AE8">
              <w:rPr>
                <w:rFonts w:asciiTheme="majorHAnsi" w:eastAsia="Times New Roman" w:hAnsiTheme="majorHAnsi" w:cstheme="majorHAnsi"/>
                <w:color w:val="000000"/>
                <w:sz w:val="20"/>
                <w:szCs w:val="20"/>
                <w:lang w:eastAsia="en-GB"/>
              </w:rPr>
              <w:t xml:space="preserve">plans </w:t>
            </w:r>
            <w:r w:rsidRPr="00A33AE8">
              <w:rPr>
                <w:rFonts w:asciiTheme="majorHAnsi" w:eastAsia="Times New Roman" w:hAnsiTheme="majorHAnsi" w:cstheme="majorHAnsi"/>
                <w:color w:val="000000"/>
                <w:sz w:val="20"/>
                <w:szCs w:val="20"/>
                <w:lang w:eastAsia="en-GB"/>
              </w:rPr>
              <w:t xml:space="preserve">the construction of a pipeline </w:t>
            </w:r>
            <w:r w:rsidR="00CF58E3" w:rsidRPr="00A33AE8">
              <w:rPr>
                <w:rFonts w:asciiTheme="majorHAnsi" w:eastAsia="Times New Roman" w:hAnsiTheme="majorHAnsi" w:cstheme="majorHAnsi"/>
                <w:color w:val="000000"/>
                <w:sz w:val="20"/>
                <w:szCs w:val="20"/>
                <w:lang w:eastAsia="en-GB"/>
              </w:rPr>
              <w:t xml:space="preserve">for transport of oil derivatives </w:t>
            </w:r>
            <w:r w:rsidRPr="00A33AE8">
              <w:rPr>
                <w:rFonts w:asciiTheme="majorHAnsi" w:eastAsia="Times New Roman" w:hAnsiTheme="majorHAnsi" w:cstheme="majorHAnsi"/>
                <w:color w:val="000000"/>
                <w:sz w:val="20"/>
                <w:szCs w:val="20"/>
                <w:lang w:eastAsia="en-GB"/>
              </w:rPr>
              <w:t>(gasoline and diesel) in the territory of Serbia, starting from Pan</w:t>
            </w:r>
            <w:r w:rsidR="00801EF6" w:rsidRPr="00A33AE8">
              <w:rPr>
                <w:rFonts w:asciiTheme="majorHAnsi" w:eastAsia="Times New Roman" w:hAnsiTheme="majorHAnsi" w:cstheme="majorHAnsi"/>
                <w:color w:val="000000"/>
                <w:sz w:val="20"/>
                <w:szCs w:val="20"/>
                <w:lang w:eastAsia="en-GB"/>
              </w:rPr>
              <w:t>c</w:t>
            </w:r>
            <w:r w:rsidRPr="00A33AE8">
              <w:rPr>
                <w:rFonts w:asciiTheme="majorHAnsi" w:eastAsia="Times New Roman" w:hAnsiTheme="majorHAnsi" w:cstheme="majorHAnsi"/>
                <w:color w:val="000000"/>
                <w:sz w:val="20"/>
                <w:szCs w:val="20"/>
                <w:lang w:eastAsia="en-GB"/>
              </w:rPr>
              <w:t>evo refinery to Novi Sad, Sombor, Belgrade and Ni</w:t>
            </w:r>
            <w:r w:rsidR="00801EF6" w:rsidRPr="00A33AE8">
              <w:rPr>
                <w:rFonts w:asciiTheme="majorHAnsi" w:eastAsia="Times New Roman" w:hAnsiTheme="majorHAnsi" w:cstheme="majorHAnsi"/>
                <w:color w:val="000000"/>
                <w:sz w:val="20"/>
                <w:szCs w:val="20"/>
                <w:lang w:eastAsia="en-GB"/>
              </w:rPr>
              <w:t>s</w:t>
            </w:r>
            <w:r w:rsidRPr="00A33AE8">
              <w:rPr>
                <w:rFonts w:asciiTheme="majorHAnsi" w:eastAsia="Times New Roman" w:hAnsiTheme="majorHAnsi" w:cstheme="majorHAnsi"/>
                <w:color w:val="000000"/>
                <w:sz w:val="20"/>
                <w:szCs w:val="20"/>
                <w:lang w:eastAsia="en-GB"/>
              </w:rPr>
              <w:t xml:space="preserve">, through Smederevo and Jagodina. The pipeline system will include terminals with appropriate storage capacities, pumping stations (secondary and main pumps) and measuring points for commercial measurement of received and delivered quantities. The </w:t>
            </w:r>
            <w:r w:rsidR="00CF58E3" w:rsidRPr="00A33AE8">
              <w:rPr>
                <w:rFonts w:asciiTheme="majorHAnsi" w:eastAsia="Times New Roman" w:hAnsiTheme="majorHAnsi" w:cstheme="majorHAnsi"/>
                <w:color w:val="000000"/>
                <w:sz w:val="20"/>
                <w:szCs w:val="20"/>
                <w:lang w:eastAsia="en-GB"/>
              </w:rPr>
              <w:t xml:space="preserve">pipeline’s </w:t>
            </w:r>
            <w:r w:rsidRPr="00A33AE8">
              <w:rPr>
                <w:rFonts w:asciiTheme="majorHAnsi" w:eastAsia="Times New Roman" w:hAnsiTheme="majorHAnsi" w:cstheme="majorHAnsi"/>
                <w:color w:val="000000"/>
                <w:sz w:val="20"/>
                <w:szCs w:val="20"/>
                <w:lang w:eastAsia="en-GB"/>
              </w:rPr>
              <w:t>total length is 402km, while its total capacity is 4.3 Mt/year. The pipeline system is expected to create conditions for cheaper, safer, more secure and more environment friendly supply of the market in motor fuels.</w:t>
            </w:r>
          </w:p>
          <w:p w14:paraId="5E78A288"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project includes three facilities:</w:t>
            </w:r>
          </w:p>
          <w:p w14:paraId="55002953"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Facility I: Pan</w:t>
            </w:r>
            <w:r w:rsidR="00801EF6" w:rsidRPr="00A33AE8">
              <w:rPr>
                <w:rFonts w:asciiTheme="majorHAnsi" w:eastAsia="Times New Roman" w:hAnsiTheme="majorHAnsi" w:cstheme="majorHAnsi"/>
                <w:color w:val="000000"/>
                <w:sz w:val="20"/>
                <w:szCs w:val="20"/>
                <w:lang w:eastAsia="en-GB"/>
              </w:rPr>
              <w:t>c</w:t>
            </w:r>
            <w:r w:rsidRPr="00A33AE8">
              <w:rPr>
                <w:rFonts w:asciiTheme="majorHAnsi" w:eastAsia="Times New Roman" w:hAnsiTheme="majorHAnsi" w:cstheme="majorHAnsi"/>
                <w:color w:val="000000"/>
                <w:sz w:val="20"/>
                <w:szCs w:val="20"/>
                <w:lang w:eastAsia="en-GB"/>
              </w:rPr>
              <w:t>evo – Smederevo section; Pan</w:t>
            </w:r>
            <w:r w:rsidR="00801EF6" w:rsidRPr="00A33AE8">
              <w:rPr>
                <w:rFonts w:asciiTheme="majorHAnsi" w:eastAsia="Times New Roman" w:hAnsiTheme="majorHAnsi" w:cstheme="majorHAnsi"/>
                <w:color w:val="000000"/>
                <w:sz w:val="20"/>
                <w:szCs w:val="20"/>
                <w:lang w:eastAsia="en-GB"/>
              </w:rPr>
              <w:t>c</w:t>
            </w:r>
            <w:r w:rsidRPr="00A33AE8">
              <w:rPr>
                <w:rFonts w:asciiTheme="majorHAnsi" w:eastAsia="Times New Roman" w:hAnsiTheme="majorHAnsi" w:cstheme="majorHAnsi"/>
                <w:color w:val="000000"/>
                <w:sz w:val="20"/>
                <w:szCs w:val="20"/>
                <w:lang w:eastAsia="en-GB"/>
              </w:rPr>
              <w:t>evo - Novi Sad section.</w:t>
            </w:r>
          </w:p>
          <w:p w14:paraId="023E40E7"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Facility II:</w:t>
            </w:r>
            <w:r w:rsidR="00801EF6"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Smederevo – Jagodina section;</w:t>
            </w:r>
            <w:r w:rsidR="00801EF6"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Jagodina – Ni</w:t>
            </w:r>
            <w:r w:rsidR="00801EF6" w:rsidRPr="00A33AE8">
              <w:rPr>
                <w:rFonts w:asciiTheme="majorHAnsi" w:eastAsia="Times New Roman" w:hAnsiTheme="majorHAnsi" w:cstheme="majorHAnsi"/>
                <w:color w:val="000000"/>
                <w:sz w:val="20"/>
                <w:szCs w:val="20"/>
                <w:lang w:eastAsia="en-GB"/>
              </w:rPr>
              <w:t>s</w:t>
            </w:r>
            <w:r w:rsidRPr="00A33AE8">
              <w:rPr>
                <w:rFonts w:asciiTheme="majorHAnsi" w:eastAsia="Times New Roman" w:hAnsiTheme="majorHAnsi" w:cstheme="majorHAnsi"/>
                <w:color w:val="000000"/>
                <w:sz w:val="20"/>
                <w:szCs w:val="20"/>
                <w:lang w:eastAsia="en-GB"/>
              </w:rPr>
              <w:t xml:space="preserve"> section.</w:t>
            </w:r>
          </w:p>
          <w:p w14:paraId="294C990A"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Facility III:</w:t>
            </w:r>
            <w:r w:rsidR="00801EF6"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Pan</w:t>
            </w:r>
            <w:r w:rsidR="00801EF6" w:rsidRPr="00A33AE8">
              <w:rPr>
                <w:rFonts w:asciiTheme="majorHAnsi" w:eastAsia="Times New Roman" w:hAnsiTheme="majorHAnsi" w:cstheme="majorHAnsi"/>
                <w:color w:val="000000"/>
                <w:sz w:val="20"/>
                <w:szCs w:val="20"/>
                <w:lang w:eastAsia="en-GB"/>
              </w:rPr>
              <w:t>c</w:t>
            </w:r>
            <w:r w:rsidRPr="00A33AE8">
              <w:rPr>
                <w:rFonts w:asciiTheme="majorHAnsi" w:eastAsia="Times New Roman" w:hAnsiTheme="majorHAnsi" w:cstheme="majorHAnsi"/>
                <w:color w:val="000000"/>
                <w:sz w:val="20"/>
                <w:szCs w:val="20"/>
                <w:lang w:eastAsia="en-GB"/>
              </w:rPr>
              <w:t>evo – Beograd section;</w:t>
            </w:r>
            <w:r w:rsidR="00801EF6"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Novi Sad - Sombor section.</w:t>
            </w:r>
          </w:p>
        </w:tc>
      </w:tr>
      <w:tr w:rsidR="00FD2B5A" w:rsidRPr="00A33AE8" w14:paraId="600330F7"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DB38E07"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074" w:type="dxa"/>
            <w:gridSpan w:val="3"/>
            <w:tcBorders>
              <w:top w:val="single" w:sz="8" w:space="0" w:color="auto"/>
              <w:left w:val="nil"/>
              <w:bottom w:val="single" w:sz="8" w:space="0" w:color="auto"/>
              <w:right w:val="single" w:sz="8" w:space="0" w:color="000000"/>
            </w:tcBorders>
            <w:vAlign w:val="center"/>
            <w:hideMark/>
          </w:tcPr>
          <w:p w14:paraId="5C5C67B3"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w:t>
            </w:r>
            <w:r w:rsidR="00612D01" w:rsidRPr="00A33AE8">
              <w:rPr>
                <w:rFonts w:asciiTheme="majorHAnsi" w:eastAsia="Times New Roman" w:hAnsiTheme="majorHAnsi" w:cstheme="majorHAnsi"/>
                <w:color w:val="000000"/>
                <w:sz w:val="20"/>
                <w:szCs w:val="20"/>
                <w:lang w:eastAsia="en-GB"/>
              </w:rPr>
              <w:t>2029</w:t>
            </w:r>
          </w:p>
        </w:tc>
      </w:tr>
      <w:tr w:rsidR="00FD2B5A" w:rsidRPr="00A33AE8" w14:paraId="05B916DE"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757A65FE"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074" w:type="dxa"/>
            <w:gridSpan w:val="3"/>
            <w:tcBorders>
              <w:top w:val="single" w:sz="8" w:space="0" w:color="auto"/>
              <w:left w:val="nil"/>
              <w:bottom w:val="single" w:sz="8" w:space="0" w:color="auto"/>
              <w:right w:val="single" w:sz="8" w:space="0" w:color="000000"/>
            </w:tcBorders>
            <w:vAlign w:val="center"/>
            <w:hideMark/>
          </w:tcPr>
          <w:p w14:paraId="73A7C18C" w14:textId="77777777" w:rsidR="00FD2B5A" w:rsidRPr="00A33AE8" w:rsidRDefault="00FE139E"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FD2B5A" w:rsidRPr="00A33AE8" w14:paraId="5C489A8F"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8AEF1A1"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074" w:type="dxa"/>
            <w:gridSpan w:val="3"/>
            <w:tcBorders>
              <w:top w:val="single" w:sz="8" w:space="0" w:color="auto"/>
              <w:left w:val="nil"/>
              <w:bottom w:val="single" w:sz="8" w:space="0" w:color="auto"/>
              <w:right w:val="single" w:sz="8" w:space="0" w:color="000000"/>
            </w:tcBorders>
            <w:vAlign w:val="center"/>
            <w:hideMark/>
          </w:tcPr>
          <w:p w14:paraId="5A78830E"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Oil</w:t>
            </w:r>
          </w:p>
        </w:tc>
      </w:tr>
      <w:tr w:rsidR="00FD2B5A" w:rsidRPr="00A33AE8" w14:paraId="75DDA23D"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685E3E0F"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074" w:type="dxa"/>
            <w:gridSpan w:val="3"/>
            <w:tcBorders>
              <w:top w:val="single" w:sz="8" w:space="0" w:color="auto"/>
              <w:left w:val="nil"/>
              <w:bottom w:val="single" w:sz="8" w:space="0" w:color="auto"/>
              <w:right w:val="single" w:sz="8" w:space="0" w:color="000000"/>
            </w:tcBorders>
            <w:vAlign w:val="center"/>
            <w:hideMark/>
          </w:tcPr>
          <w:p w14:paraId="027FA4B0" w14:textId="77777777" w:rsidR="00F93E76" w:rsidRPr="00A33AE8" w:rsidRDefault="00FD2B5A"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Transnafta</w:t>
            </w:r>
            <w:r w:rsidR="00CF58E3" w:rsidRPr="00A33AE8">
              <w:rPr>
                <w:rFonts w:asciiTheme="majorHAnsi" w:eastAsia="Times New Roman" w:hAnsiTheme="majorHAnsi" w:cstheme="majorHAnsi"/>
                <w:color w:val="000000"/>
                <w:sz w:val="20"/>
                <w:szCs w:val="20"/>
                <w:lang w:eastAsia="en-GB"/>
              </w:rPr>
              <w:t xml:space="preserve"> ad Pancevo</w:t>
            </w:r>
          </w:p>
        </w:tc>
      </w:tr>
      <w:tr w:rsidR="00FD2B5A" w:rsidRPr="00A33AE8" w14:paraId="0FFC9237" w14:textId="77777777" w:rsidTr="00FF03FA">
        <w:trPr>
          <w:trHeight w:val="315"/>
        </w:trPr>
        <w:tc>
          <w:tcPr>
            <w:tcW w:w="3414" w:type="dxa"/>
            <w:tcBorders>
              <w:top w:val="nil"/>
              <w:left w:val="single" w:sz="8" w:space="0" w:color="auto"/>
              <w:bottom w:val="single" w:sz="8" w:space="0" w:color="auto"/>
              <w:right w:val="nil"/>
            </w:tcBorders>
            <w:shd w:val="clear" w:color="auto" w:fill="244062"/>
            <w:vAlign w:val="center"/>
            <w:hideMark/>
          </w:tcPr>
          <w:p w14:paraId="52A6081B"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074" w:type="dxa"/>
            <w:gridSpan w:val="3"/>
            <w:tcBorders>
              <w:top w:val="single" w:sz="8" w:space="0" w:color="auto"/>
              <w:left w:val="nil"/>
              <w:bottom w:val="single" w:sz="8" w:space="0" w:color="auto"/>
              <w:right w:val="single" w:sz="8" w:space="0" w:color="000000"/>
            </w:tcBorders>
            <w:vAlign w:val="center"/>
            <w:hideMark/>
          </w:tcPr>
          <w:p w14:paraId="4691CDA6" w14:textId="77777777" w:rsidR="00FD2B5A" w:rsidRPr="00A33AE8" w:rsidRDefault="00245A42"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28B2AFA" w14:textId="77777777" w:rsidR="00356A71" w:rsidRPr="00A33AE8" w:rsidRDefault="00081D7A"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Ministy of Construction, Transport and Infrastructure</w:t>
            </w:r>
          </w:p>
        </w:tc>
      </w:tr>
      <w:tr w:rsidR="00FD2B5A" w:rsidRPr="00A33AE8" w14:paraId="32313FAF" w14:textId="77777777" w:rsidTr="00FF03FA">
        <w:trPr>
          <w:trHeight w:val="315"/>
        </w:trPr>
        <w:tc>
          <w:tcPr>
            <w:tcW w:w="3414" w:type="dxa"/>
            <w:tcBorders>
              <w:top w:val="nil"/>
              <w:left w:val="single" w:sz="8" w:space="0" w:color="auto"/>
              <w:bottom w:val="single" w:sz="8" w:space="0" w:color="auto"/>
              <w:right w:val="nil"/>
            </w:tcBorders>
            <w:shd w:val="clear" w:color="auto" w:fill="244062"/>
            <w:vAlign w:val="center"/>
            <w:hideMark/>
          </w:tcPr>
          <w:p w14:paraId="6781EFD7"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074" w:type="dxa"/>
            <w:gridSpan w:val="3"/>
            <w:tcBorders>
              <w:top w:val="single" w:sz="8" w:space="0" w:color="auto"/>
              <w:left w:val="nil"/>
              <w:bottom w:val="single" w:sz="8" w:space="0" w:color="auto"/>
              <w:right w:val="single" w:sz="8" w:space="0" w:color="000000"/>
            </w:tcBorders>
            <w:vAlign w:val="center"/>
            <w:hideMark/>
          </w:tcPr>
          <w:p w14:paraId="7EDAFD38" w14:textId="77777777" w:rsidR="00FD2B5A" w:rsidRPr="00A33AE8" w:rsidRDefault="00FD2B5A"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Pipeline capacity by product, pipeline length, terminals</w:t>
            </w:r>
          </w:p>
        </w:tc>
      </w:tr>
      <w:tr w:rsidR="00A0226E" w:rsidRPr="00A33AE8" w14:paraId="4A83FD9B" w14:textId="77777777" w:rsidTr="00FF03FA">
        <w:trPr>
          <w:trHeight w:val="387"/>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664FD9C" w14:textId="77777777" w:rsidR="00A0226E" w:rsidRPr="00A33AE8" w:rsidRDefault="00A0226E" w:rsidP="00A0226E">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074" w:type="dxa"/>
            <w:gridSpan w:val="3"/>
            <w:tcBorders>
              <w:top w:val="single" w:sz="8" w:space="0" w:color="auto"/>
              <w:left w:val="nil"/>
              <w:bottom w:val="single" w:sz="8" w:space="0" w:color="auto"/>
              <w:right w:val="single" w:sz="8" w:space="0" w:color="000000"/>
            </w:tcBorders>
            <w:vAlign w:val="center"/>
            <w:hideMark/>
          </w:tcPr>
          <w:p w14:paraId="0B6205C5" w14:textId="77777777" w:rsidR="00A0226E" w:rsidRPr="00A33AE8" w:rsidRDefault="00A0226E"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FD2B5A" w:rsidRPr="00A33AE8" w14:paraId="1A2F0429" w14:textId="77777777" w:rsidTr="00FF03FA">
        <w:trPr>
          <w:trHeight w:val="450"/>
        </w:trPr>
        <w:tc>
          <w:tcPr>
            <w:tcW w:w="3414" w:type="dxa"/>
            <w:vMerge w:val="restart"/>
            <w:tcBorders>
              <w:top w:val="nil"/>
              <w:left w:val="single" w:sz="8" w:space="0" w:color="auto"/>
              <w:bottom w:val="single" w:sz="8" w:space="0" w:color="000000"/>
              <w:right w:val="single" w:sz="8" w:space="0" w:color="auto"/>
            </w:tcBorders>
            <w:shd w:val="clear" w:color="auto" w:fill="244062"/>
            <w:vAlign w:val="center"/>
            <w:hideMark/>
          </w:tcPr>
          <w:p w14:paraId="44A4EF23"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07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676E4AA" w14:textId="77777777" w:rsidR="00FD2B5A" w:rsidRPr="00A33AE8" w:rsidRDefault="00FD2B5A" w:rsidP="00A56308">
            <w:pPr>
              <w:spacing w:after="0"/>
              <w:rPr>
                <w:rFonts w:asciiTheme="majorHAnsi" w:eastAsia="Times New Roman" w:hAnsiTheme="majorHAnsi" w:cstheme="majorHAnsi"/>
                <w:color w:val="FFFFFF"/>
                <w:sz w:val="20"/>
                <w:szCs w:val="20"/>
                <w:lang w:eastAsia="en-GB"/>
              </w:rPr>
            </w:pPr>
          </w:p>
        </w:tc>
      </w:tr>
      <w:tr w:rsidR="00FD2B5A" w:rsidRPr="00A33AE8" w14:paraId="672359AE" w14:textId="77777777" w:rsidTr="00FF03FA">
        <w:trPr>
          <w:trHeight w:val="450"/>
        </w:trPr>
        <w:tc>
          <w:tcPr>
            <w:tcW w:w="0" w:type="auto"/>
            <w:vMerge/>
            <w:tcBorders>
              <w:top w:val="nil"/>
              <w:left w:val="single" w:sz="8" w:space="0" w:color="auto"/>
              <w:bottom w:val="single" w:sz="8" w:space="0" w:color="000000"/>
              <w:right w:val="single" w:sz="8" w:space="0" w:color="auto"/>
            </w:tcBorders>
            <w:vAlign w:val="center"/>
            <w:hideMark/>
          </w:tcPr>
          <w:p w14:paraId="18BF476D" w14:textId="77777777" w:rsidR="00FD2B5A" w:rsidRPr="00A33AE8" w:rsidRDefault="00FD2B5A" w:rsidP="00FF03FA">
            <w:pPr>
              <w:spacing w:after="0" w:line="256" w:lineRule="auto"/>
              <w:rPr>
                <w:rFonts w:asciiTheme="majorHAnsi" w:eastAsia="Times New Roman" w:hAnsiTheme="majorHAnsi" w:cstheme="majorHAnsi"/>
                <w:b/>
                <w:bCs/>
                <w:color w:val="FFFFFF"/>
                <w:sz w:val="20"/>
                <w:szCs w:val="20"/>
                <w:lang w:eastAsia="en-GB"/>
              </w:rPr>
            </w:pPr>
          </w:p>
        </w:tc>
        <w:tc>
          <w:tcPr>
            <w:tcW w:w="6074" w:type="dxa"/>
            <w:gridSpan w:val="3"/>
            <w:vMerge/>
            <w:tcBorders>
              <w:top w:val="single" w:sz="8" w:space="0" w:color="auto"/>
              <w:left w:val="single" w:sz="8" w:space="0" w:color="auto"/>
              <w:bottom w:val="single" w:sz="8" w:space="0" w:color="000000"/>
              <w:right w:val="single" w:sz="8" w:space="0" w:color="000000"/>
            </w:tcBorders>
            <w:vAlign w:val="center"/>
            <w:hideMark/>
          </w:tcPr>
          <w:p w14:paraId="7D23F2B7" w14:textId="77777777" w:rsidR="00FD2B5A" w:rsidRPr="00A33AE8" w:rsidRDefault="00FD2B5A" w:rsidP="00FF03FA">
            <w:pPr>
              <w:spacing w:after="0" w:line="256" w:lineRule="auto"/>
              <w:rPr>
                <w:rFonts w:asciiTheme="majorHAnsi" w:eastAsia="Times New Roman" w:hAnsiTheme="majorHAnsi" w:cstheme="majorHAnsi"/>
                <w:b/>
                <w:bCs/>
                <w:color w:val="FFFFFF"/>
                <w:sz w:val="20"/>
                <w:szCs w:val="20"/>
                <w:lang w:eastAsia="en-GB"/>
              </w:rPr>
            </w:pPr>
          </w:p>
        </w:tc>
      </w:tr>
      <w:tr w:rsidR="00FD2B5A" w:rsidRPr="00A33AE8" w14:paraId="0E069706" w14:textId="77777777" w:rsidTr="005B2C66">
        <w:trPr>
          <w:trHeight w:val="450"/>
        </w:trPr>
        <w:tc>
          <w:tcPr>
            <w:tcW w:w="0" w:type="auto"/>
            <w:vMerge/>
            <w:tcBorders>
              <w:top w:val="nil"/>
              <w:left w:val="single" w:sz="8" w:space="0" w:color="auto"/>
              <w:bottom w:val="single" w:sz="8" w:space="0" w:color="000000"/>
              <w:right w:val="single" w:sz="8" w:space="0" w:color="auto"/>
            </w:tcBorders>
            <w:vAlign w:val="center"/>
            <w:hideMark/>
          </w:tcPr>
          <w:p w14:paraId="52344426" w14:textId="77777777" w:rsidR="00FD2B5A" w:rsidRPr="00A33AE8" w:rsidRDefault="00FD2B5A" w:rsidP="00FF03FA">
            <w:pPr>
              <w:spacing w:after="0" w:line="256" w:lineRule="auto"/>
              <w:rPr>
                <w:rFonts w:asciiTheme="majorHAnsi" w:eastAsia="Times New Roman" w:hAnsiTheme="majorHAnsi" w:cstheme="majorHAnsi"/>
                <w:b/>
                <w:bCs/>
                <w:color w:val="FFFFFF"/>
                <w:sz w:val="20"/>
                <w:szCs w:val="20"/>
                <w:lang w:eastAsia="en-GB"/>
              </w:rPr>
            </w:pPr>
          </w:p>
        </w:tc>
        <w:tc>
          <w:tcPr>
            <w:tcW w:w="6074" w:type="dxa"/>
            <w:gridSpan w:val="3"/>
            <w:vMerge/>
            <w:tcBorders>
              <w:top w:val="single" w:sz="8" w:space="0" w:color="auto"/>
              <w:left w:val="single" w:sz="8" w:space="0" w:color="auto"/>
              <w:bottom w:val="single" w:sz="8" w:space="0" w:color="000000"/>
              <w:right w:val="single" w:sz="8" w:space="0" w:color="000000"/>
            </w:tcBorders>
            <w:vAlign w:val="center"/>
            <w:hideMark/>
          </w:tcPr>
          <w:p w14:paraId="3A273AC6" w14:textId="77777777" w:rsidR="00FD2B5A" w:rsidRPr="00A33AE8" w:rsidRDefault="00FD2B5A" w:rsidP="00FF03FA">
            <w:pPr>
              <w:spacing w:after="0" w:line="256" w:lineRule="auto"/>
              <w:rPr>
                <w:rFonts w:asciiTheme="majorHAnsi" w:eastAsia="Times New Roman" w:hAnsiTheme="majorHAnsi" w:cstheme="majorHAnsi"/>
                <w:b/>
                <w:bCs/>
                <w:color w:val="FFFFFF"/>
                <w:sz w:val="20"/>
                <w:szCs w:val="20"/>
                <w:lang w:eastAsia="en-GB"/>
              </w:rPr>
            </w:pPr>
          </w:p>
        </w:tc>
      </w:tr>
      <w:tr w:rsidR="00FD2B5A" w:rsidRPr="00A33AE8" w14:paraId="7543F86B" w14:textId="77777777" w:rsidTr="00FF03FA">
        <w:trPr>
          <w:trHeight w:val="780"/>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DDC7388"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074" w:type="dxa"/>
            <w:gridSpan w:val="3"/>
            <w:tcBorders>
              <w:top w:val="single" w:sz="8" w:space="0" w:color="auto"/>
              <w:left w:val="nil"/>
              <w:bottom w:val="single" w:sz="8" w:space="0" w:color="auto"/>
              <w:right w:val="single" w:sz="8" w:space="0" w:color="000000"/>
            </w:tcBorders>
            <w:vAlign w:val="center"/>
            <w:hideMark/>
          </w:tcPr>
          <w:p w14:paraId="7D4904A4" w14:textId="77777777" w:rsidR="00FD2B5A" w:rsidRPr="00A33AE8" w:rsidRDefault="00FD2B5A"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r>
      <w:tr w:rsidR="00FD2B5A" w:rsidRPr="00A33AE8" w14:paraId="48E11C97"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4B9E0FFD" w14:textId="77777777" w:rsidR="00FD2B5A" w:rsidRPr="00A33AE8" w:rsidRDefault="00FD2B5A" w:rsidP="00FF03FA">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074" w:type="dxa"/>
            <w:gridSpan w:val="3"/>
            <w:tcBorders>
              <w:top w:val="single" w:sz="8" w:space="0" w:color="auto"/>
              <w:left w:val="nil"/>
              <w:bottom w:val="single" w:sz="8" w:space="0" w:color="auto"/>
              <w:right w:val="single" w:sz="8" w:space="0" w:color="000000"/>
            </w:tcBorders>
            <w:vAlign w:val="center"/>
          </w:tcPr>
          <w:p w14:paraId="09D84524" w14:textId="77777777" w:rsidR="00FD2B5A" w:rsidRPr="00A33AE8" w:rsidRDefault="00FE139E"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400 M</w:t>
            </w:r>
            <w:r w:rsidRPr="00A33AE8">
              <w:rPr>
                <w:rFonts w:ascii="Calibri" w:eastAsia="Times New Roman" w:hAnsi="Calibri" w:cs="Calibri"/>
                <w:color w:val="000000"/>
                <w:sz w:val="20"/>
                <w:szCs w:val="20"/>
                <w:lang w:eastAsia="en-GB"/>
              </w:rPr>
              <w:t>€</w:t>
            </w:r>
          </w:p>
        </w:tc>
      </w:tr>
      <w:tr w:rsidR="00A56308" w:rsidRPr="00A33AE8" w14:paraId="5881C84B" w14:textId="77777777" w:rsidTr="00FF03FA">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7F12B4A1" w14:textId="77777777" w:rsidR="00A56308" w:rsidRPr="00A33AE8" w:rsidRDefault="00A56308" w:rsidP="00A56308">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074" w:type="dxa"/>
            <w:gridSpan w:val="3"/>
            <w:tcBorders>
              <w:top w:val="single" w:sz="8" w:space="0" w:color="auto"/>
              <w:left w:val="nil"/>
              <w:bottom w:val="single" w:sz="8" w:space="0" w:color="auto"/>
              <w:right w:val="single" w:sz="8" w:space="0" w:color="000000"/>
            </w:tcBorders>
            <w:vAlign w:val="center"/>
          </w:tcPr>
          <w:p w14:paraId="0BA87449" w14:textId="77777777" w:rsidR="00A56308" w:rsidRPr="00A33AE8" w:rsidRDefault="00A56308" w:rsidP="00A56308">
            <w:pPr>
              <w:spacing w:after="0" w:line="240" w:lineRule="auto"/>
              <w:jc w:val="both"/>
              <w:rPr>
                <w:rFonts w:asciiTheme="majorHAnsi" w:eastAsia="Times New Roman" w:hAnsiTheme="majorHAnsi" w:cstheme="majorHAnsi"/>
                <w:color w:val="000000"/>
                <w:sz w:val="20"/>
                <w:szCs w:val="20"/>
                <w:highlight w:val="yellow"/>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r>
    </w:tbl>
    <w:p w14:paraId="05EDD2CC" w14:textId="77777777" w:rsidR="00FD2B5A" w:rsidRPr="00A33AE8" w:rsidRDefault="00FD2B5A" w:rsidP="00751097">
      <w:pPr>
        <w:pStyle w:val="LDKbody"/>
        <w:rPr>
          <w:rFonts w:asciiTheme="majorHAnsi" w:hAnsiTheme="majorHAnsi" w:cstheme="majorHAnsi"/>
          <w:sz w:val="20"/>
          <w:szCs w:val="20"/>
          <w:lang w:val="en-GB"/>
        </w:rPr>
      </w:pPr>
    </w:p>
    <w:tbl>
      <w:tblPr>
        <w:tblW w:w="9488" w:type="dxa"/>
        <w:tblLook w:val="04A0" w:firstRow="1" w:lastRow="0" w:firstColumn="1" w:lastColumn="0" w:noHBand="0" w:noVBand="1"/>
      </w:tblPr>
      <w:tblGrid>
        <w:gridCol w:w="3414"/>
        <w:gridCol w:w="961"/>
        <w:gridCol w:w="965"/>
        <w:gridCol w:w="4148"/>
      </w:tblGrid>
      <w:tr w:rsidR="002B6A6F" w:rsidRPr="00A33AE8" w14:paraId="4ACCC0C4" w14:textId="77777777" w:rsidTr="0083689C">
        <w:trPr>
          <w:trHeight w:val="780"/>
        </w:trPr>
        <w:tc>
          <w:tcPr>
            <w:tcW w:w="341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FBC7EA8" w14:textId="77777777" w:rsidR="002B6A6F" w:rsidRPr="00A33AE8" w:rsidRDefault="002B6A6F" w:rsidP="0083689C">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9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D539C64" w14:textId="77777777" w:rsidR="002B6A6F" w:rsidRPr="00A33AE8" w:rsidRDefault="002B6A6F" w:rsidP="0083689C">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ES9</w:t>
            </w:r>
          </w:p>
        </w:tc>
        <w:tc>
          <w:tcPr>
            <w:tcW w:w="965" w:type="dxa"/>
            <w:tcBorders>
              <w:top w:val="single" w:sz="8" w:space="0" w:color="auto"/>
              <w:left w:val="nil"/>
              <w:bottom w:val="single" w:sz="8" w:space="0" w:color="auto"/>
              <w:right w:val="single" w:sz="8" w:space="0" w:color="auto"/>
            </w:tcBorders>
            <w:shd w:val="clear" w:color="auto" w:fill="244062"/>
            <w:vAlign w:val="center"/>
            <w:hideMark/>
          </w:tcPr>
          <w:p w14:paraId="1BA38C5C"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48" w:type="dxa"/>
            <w:tcBorders>
              <w:top w:val="single" w:sz="8" w:space="0" w:color="auto"/>
              <w:left w:val="nil"/>
              <w:bottom w:val="single" w:sz="8" w:space="0" w:color="auto"/>
              <w:right w:val="single" w:sz="8" w:space="0" w:color="auto"/>
            </w:tcBorders>
            <w:shd w:val="clear" w:color="auto" w:fill="E7E6E6" w:themeFill="background2"/>
            <w:vAlign w:val="center"/>
            <w:hideMark/>
          </w:tcPr>
          <w:p w14:paraId="6C4C6BB4" w14:textId="77777777" w:rsidR="002B6A6F" w:rsidRPr="00A33AE8" w:rsidRDefault="002B6A6F" w:rsidP="0083689C">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Development of a pumped storage project</w:t>
            </w:r>
            <w:r w:rsidR="006575C2" w:rsidRPr="00A33AE8">
              <w:rPr>
                <w:rFonts w:asciiTheme="majorHAnsi" w:eastAsia="Times New Roman" w:hAnsiTheme="majorHAnsi" w:cstheme="majorHAnsi"/>
                <w:b/>
                <w:bCs/>
                <w:color w:val="000000"/>
                <w:sz w:val="20"/>
                <w:szCs w:val="20"/>
                <w:lang w:eastAsia="en-GB"/>
              </w:rPr>
              <w:t xml:space="preserve"> in Bistrica</w:t>
            </w:r>
          </w:p>
        </w:tc>
      </w:tr>
      <w:tr w:rsidR="002B6A6F" w:rsidRPr="00A33AE8" w14:paraId="5026FFFB" w14:textId="77777777" w:rsidTr="0083689C">
        <w:trPr>
          <w:trHeight w:val="572"/>
        </w:trPr>
        <w:tc>
          <w:tcPr>
            <w:tcW w:w="3414" w:type="dxa"/>
            <w:tcBorders>
              <w:top w:val="nil"/>
              <w:left w:val="single" w:sz="8" w:space="0" w:color="auto"/>
              <w:bottom w:val="single" w:sz="8" w:space="0" w:color="auto"/>
              <w:right w:val="nil"/>
            </w:tcBorders>
            <w:shd w:val="clear" w:color="auto" w:fill="244062"/>
            <w:vAlign w:val="center"/>
            <w:hideMark/>
          </w:tcPr>
          <w:p w14:paraId="2C0BFA18"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074" w:type="dxa"/>
            <w:gridSpan w:val="3"/>
            <w:tcBorders>
              <w:top w:val="single" w:sz="8" w:space="0" w:color="auto"/>
              <w:left w:val="nil"/>
              <w:bottom w:val="single" w:sz="8" w:space="0" w:color="auto"/>
              <w:right w:val="single" w:sz="8" w:space="0" w:color="000000"/>
            </w:tcBorders>
            <w:vAlign w:val="center"/>
          </w:tcPr>
          <w:p w14:paraId="62862ADB" w14:textId="77777777" w:rsidR="002B6A6F" w:rsidRPr="00A33AE8" w:rsidRDefault="002B6A6F" w:rsidP="002B6A6F">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More diverse energy mix, enabler for the penetration of RES with the ability to absorb redundant energy from uncontrollable RES, contribution to the necessary power adequacy of the system</w:t>
            </w:r>
            <w:r w:rsidR="00D32864" w:rsidRPr="00D32864">
              <w:rPr>
                <w:rFonts w:asciiTheme="majorHAnsi" w:eastAsia="Times New Roman" w:hAnsiTheme="majorHAnsi" w:cstheme="majorHAnsi"/>
                <w:color w:val="000000"/>
                <w:sz w:val="20"/>
                <w:szCs w:val="20"/>
                <w:lang w:eastAsia="en-GB"/>
              </w:rPr>
              <w:t>, development of clean low carbon new technologies</w:t>
            </w:r>
          </w:p>
        </w:tc>
      </w:tr>
      <w:tr w:rsidR="002B6A6F" w:rsidRPr="00A33AE8" w14:paraId="756740E1"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033713A8"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074" w:type="dxa"/>
            <w:gridSpan w:val="3"/>
            <w:tcBorders>
              <w:top w:val="single" w:sz="8" w:space="0" w:color="auto"/>
              <w:left w:val="nil"/>
              <w:bottom w:val="single" w:sz="8" w:space="0" w:color="auto"/>
              <w:right w:val="single" w:sz="8" w:space="0" w:color="000000"/>
            </w:tcBorders>
            <w:vAlign w:val="center"/>
          </w:tcPr>
          <w:p w14:paraId="72F9D4D7"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600MW of additional generation capacity</w:t>
            </w:r>
          </w:p>
        </w:tc>
      </w:tr>
      <w:tr w:rsidR="002B6A6F" w:rsidRPr="00A33AE8" w14:paraId="275583B5" w14:textId="77777777" w:rsidTr="0083689C">
        <w:trPr>
          <w:trHeight w:val="584"/>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1530E390"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074" w:type="dxa"/>
            <w:gridSpan w:val="3"/>
            <w:tcBorders>
              <w:top w:val="single" w:sz="8" w:space="0" w:color="auto"/>
              <w:left w:val="nil"/>
              <w:bottom w:val="single" w:sz="8" w:space="0" w:color="auto"/>
              <w:right w:val="single" w:sz="8" w:space="0" w:color="000000"/>
            </w:tcBorders>
            <w:vAlign w:val="center"/>
          </w:tcPr>
          <w:p w14:paraId="0F96CD7A"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In order to achieve the objectives of the INECP in the most cost-efficient manner and facilitate the penetration of RES, there is a need for energy storage systems to be built. More specifically, based on </w:t>
            </w:r>
            <w:r w:rsidR="006575C2" w:rsidRPr="00A33AE8">
              <w:rPr>
                <w:rFonts w:asciiTheme="majorHAnsi" w:eastAsia="Times New Roman" w:hAnsiTheme="majorHAnsi" w:cstheme="majorHAnsi"/>
                <w:color w:val="000000"/>
                <w:sz w:val="20"/>
                <w:szCs w:val="20"/>
                <w:lang w:eastAsia="en-GB"/>
              </w:rPr>
              <w:t>the</w:t>
            </w:r>
            <w:r w:rsidRPr="00A33AE8">
              <w:rPr>
                <w:rFonts w:asciiTheme="majorHAnsi" w:eastAsia="Times New Roman" w:hAnsiTheme="majorHAnsi" w:cstheme="majorHAnsi"/>
                <w:color w:val="000000"/>
                <w:sz w:val="20"/>
                <w:szCs w:val="20"/>
                <w:lang w:eastAsia="en-GB"/>
              </w:rPr>
              <w:t xml:space="preserve"> </w:t>
            </w:r>
            <w:r w:rsidR="00081D7A" w:rsidRPr="00A33AE8">
              <w:rPr>
                <w:rFonts w:asciiTheme="majorHAnsi" w:eastAsia="Times New Roman" w:hAnsiTheme="majorHAnsi" w:cstheme="majorHAnsi"/>
                <w:color w:val="000000"/>
                <w:sz w:val="20"/>
                <w:szCs w:val="20"/>
                <w:lang w:eastAsia="en-GB"/>
              </w:rPr>
              <w:t>performed</w:t>
            </w:r>
            <w:r w:rsidR="006575C2"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 xml:space="preserve">studies and modelling results, the </w:t>
            </w:r>
            <w:r w:rsidR="006575C2" w:rsidRPr="00A33AE8">
              <w:rPr>
                <w:rFonts w:asciiTheme="majorHAnsi" w:eastAsia="Times New Roman" w:hAnsiTheme="majorHAnsi" w:cstheme="majorHAnsi"/>
                <w:color w:val="000000"/>
                <w:sz w:val="20"/>
                <w:szCs w:val="20"/>
                <w:lang w:eastAsia="en-GB"/>
              </w:rPr>
              <w:t>SEMS</w:t>
            </w:r>
            <w:r w:rsidRPr="00A33AE8">
              <w:rPr>
                <w:rFonts w:asciiTheme="majorHAnsi" w:eastAsia="Times New Roman" w:hAnsiTheme="majorHAnsi" w:cstheme="majorHAnsi"/>
                <w:color w:val="000000"/>
                <w:sz w:val="20"/>
                <w:szCs w:val="20"/>
                <w:lang w:eastAsia="en-GB"/>
              </w:rPr>
              <w:t xml:space="preserve"> model considers that a new pumped storage project will be integrated in the system in 2031</w:t>
            </w:r>
            <w:r w:rsidR="0034044B" w:rsidRPr="00A33AE8">
              <w:rPr>
                <w:rFonts w:asciiTheme="majorHAnsi" w:eastAsia="Times New Roman" w:hAnsiTheme="majorHAnsi" w:cstheme="majorHAnsi"/>
                <w:color w:val="000000"/>
                <w:sz w:val="20"/>
                <w:szCs w:val="20"/>
                <w:lang w:eastAsia="en-GB"/>
              </w:rPr>
              <w:t>. This asset will also support the operation of the system since it will increase the volume of available regulation capacities in the system.</w:t>
            </w:r>
          </w:p>
        </w:tc>
      </w:tr>
      <w:tr w:rsidR="002B6A6F" w:rsidRPr="00A33AE8" w14:paraId="428E3BEF"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16AA8E0C"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074" w:type="dxa"/>
            <w:gridSpan w:val="3"/>
            <w:tcBorders>
              <w:top w:val="single" w:sz="8" w:space="0" w:color="auto"/>
              <w:left w:val="nil"/>
              <w:bottom w:val="single" w:sz="8" w:space="0" w:color="auto"/>
              <w:right w:val="single" w:sz="8" w:space="0" w:color="000000"/>
            </w:tcBorders>
            <w:vAlign w:val="center"/>
            <w:hideMark/>
          </w:tcPr>
          <w:p w14:paraId="28182D4A"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5433B6"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-2031</w:t>
            </w:r>
          </w:p>
        </w:tc>
      </w:tr>
      <w:tr w:rsidR="002B6A6F" w:rsidRPr="00A33AE8" w14:paraId="5D2E8EE7"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659E27AC"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074" w:type="dxa"/>
            <w:gridSpan w:val="3"/>
            <w:tcBorders>
              <w:top w:val="single" w:sz="8" w:space="0" w:color="auto"/>
              <w:left w:val="nil"/>
              <w:bottom w:val="single" w:sz="8" w:space="0" w:color="auto"/>
              <w:right w:val="single" w:sz="8" w:space="0" w:color="000000"/>
            </w:tcBorders>
            <w:vAlign w:val="center"/>
            <w:hideMark/>
          </w:tcPr>
          <w:p w14:paraId="7F64E83E"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2B6A6F" w:rsidRPr="00A33AE8" w14:paraId="09D16EE5"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5E2D21D6"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074" w:type="dxa"/>
            <w:gridSpan w:val="3"/>
            <w:tcBorders>
              <w:top w:val="single" w:sz="8" w:space="0" w:color="auto"/>
              <w:left w:val="nil"/>
              <w:bottom w:val="single" w:sz="8" w:space="0" w:color="auto"/>
              <w:right w:val="single" w:sz="8" w:space="0" w:color="000000"/>
            </w:tcBorders>
            <w:vAlign w:val="center"/>
            <w:hideMark/>
          </w:tcPr>
          <w:p w14:paraId="0477FA7E"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2B6A6F" w:rsidRPr="00A33AE8" w14:paraId="0A163489"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429806BB"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lastRenderedPageBreak/>
              <w:t>Implementing Entity</w:t>
            </w:r>
          </w:p>
        </w:tc>
        <w:tc>
          <w:tcPr>
            <w:tcW w:w="6074" w:type="dxa"/>
            <w:gridSpan w:val="3"/>
            <w:tcBorders>
              <w:top w:val="single" w:sz="8" w:space="0" w:color="auto"/>
              <w:left w:val="nil"/>
              <w:bottom w:val="single" w:sz="8" w:space="0" w:color="auto"/>
              <w:right w:val="single" w:sz="8" w:space="0" w:color="000000"/>
            </w:tcBorders>
            <w:vAlign w:val="center"/>
            <w:hideMark/>
          </w:tcPr>
          <w:p w14:paraId="5D470EF8" w14:textId="77777777" w:rsidR="002B6A6F" w:rsidRPr="00A33AE8" w:rsidRDefault="005433B6"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EPS</w:t>
            </w:r>
          </w:p>
        </w:tc>
      </w:tr>
      <w:tr w:rsidR="002B6A6F" w:rsidRPr="00A33AE8" w14:paraId="0F394BD1" w14:textId="77777777" w:rsidTr="0083689C">
        <w:trPr>
          <w:trHeight w:val="315"/>
        </w:trPr>
        <w:tc>
          <w:tcPr>
            <w:tcW w:w="3414" w:type="dxa"/>
            <w:tcBorders>
              <w:top w:val="nil"/>
              <w:left w:val="single" w:sz="8" w:space="0" w:color="auto"/>
              <w:bottom w:val="single" w:sz="8" w:space="0" w:color="auto"/>
              <w:right w:val="nil"/>
            </w:tcBorders>
            <w:shd w:val="clear" w:color="auto" w:fill="244062"/>
            <w:vAlign w:val="center"/>
            <w:hideMark/>
          </w:tcPr>
          <w:p w14:paraId="10EA2997"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074" w:type="dxa"/>
            <w:gridSpan w:val="3"/>
            <w:tcBorders>
              <w:top w:val="single" w:sz="8" w:space="0" w:color="auto"/>
              <w:left w:val="nil"/>
              <w:bottom w:val="single" w:sz="8" w:space="0" w:color="auto"/>
              <w:right w:val="single" w:sz="8" w:space="0" w:color="000000"/>
            </w:tcBorders>
            <w:vAlign w:val="center"/>
            <w:hideMark/>
          </w:tcPr>
          <w:p w14:paraId="024A33B7" w14:textId="77777777" w:rsidR="002B6A6F" w:rsidRPr="00A33AE8" w:rsidRDefault="002B6A6F"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3AEAD3F" w14:textId="77777777" w:rsidR="0034044B" w:rsidRPr="000007D2" w:rsidRDefault="00081D7A"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w:t>
            </w:r>
            <w:r w:rsidR="00D32864">
              <w:rPr>
                <w:rFonts w:asciiTheme="majorHAnsi" w:eastAsia="Times New Roman" w:hAnsiTheme="majorHAnsi" w:cstheme="majorHAnsi"/>
                <w:color w:val="000000"/>
                <w:sz w:val="20"/>
                <w:szCs w:val="20"/>
                <w:lang w:eastAsia="en-GB"/>
              </w:rPr>
              <w:t>r</w:t>
            </w:r>
            <w:r w:rsidRPr="00A33AE8">
              <w:rPr>
                <w:rFonts w:asciiTheme="majorHAnsi" w:eastAsia="Times New Roman" w:hAnsiTheme="majorHAnsi" w:cstheme="majorHAnsi"/>
                <w:color w:val="000000"/>
                <w:sz w:val="20"/>
                <w:szCs w:val="20"/>
                <w:lang w:eastAsia="en-GB"/>
              </w:rPr>
              <w:t>y of Construction, Transport and Infrastructure</w:t>
            </w:r>
          </w:p>
        </w:tc>
      </w:tr>
      <w:tr w:rsidR="002B6A6F" w:rsidRPr="00A33AE8" w14:paraId="01B5410B" w14:textId="77777777" w:rsidTr="0083689C">
        <w:trPr>
          <w:trHeight w:val="315"/>
        </w:trPr>
        <w:tc>
          <w:tcPr>
            <w:tcW w:w="3414" w:type="dxa"/>
            <w:tcBorders>
              <w:top w:val="nil"/>
              <w:left w:val="single" w:sz="8" w:space="0" w:color="auto"/>
              <w:bottom w:val="single" w:sz="8" w:space="0" w:color="auto"/>
              <w:right w:val="nil"/>
            </w:tcBorders>
            <w:shd w:val="clear" w:color="auto" w:fill="244062"/>
            <w:vAlign w:val="center"/>
            <w:hideMark/>
          </w:tcPr>
          <w:p w14:paraId="241E5A22"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074" w:type="dxa"/>
            <w:gridSpan w:val="3"/>
            <w:tcBorders>
              <w:top w:val="single" w:sz="8" w:space="0" w:color="auto"/>
              <w:left w:val="nil"/>
              <w:bottom w:val="single" w:sz="8" w:space="0" w:color="auto"/>
              <w:right w:val="single" w:sz="8" w:space="0" w:color="000000"/>
            </w:tcBorders>
            <w:vAlign w:val="center"/>
            <w:hideMark/>
          </w:tcPr>
          <w:p w14:paraId="3B748F96" w14:textId="77777777" w:rsidR="002B6A6F"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Volume of pumped storage capacity in the system</w:t>
            </w:r>
          </w:p>
        </w:tc>
      </w:tr>
      <w:tr w:rsidR="002B6A6F" w:rsidRPr="00A33AE8" w14:paraId="58D28B64" w14:textId="77777777" w:rsidTr="0083689C">
        <w:trPr>
          <w:trHeight w:val="387"/>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18CE46B"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074" w:type="dxa"/>
            <w:gridSpan w:val="3"/>
            <w:tcBorders>
              <w:top w:val="single" w:sz="8" w:space="0" w:color="auto"/>
              <w:left w:val="nil"/>
              <w:bottom w:val="single" w:sz="8" w:space="0" w:color="auto"/>
              <w:right w:val="single" w:sz="8" w:space="0" w:color="000000"/>
            </w:tcBorders>
            <w:vAlign w:val="center"/>
            <w:hideMark/>
          </w:tcPr>
          <w:p w14:paraId="352390CD" w14:textId="77777777" w:rsidR="00D32864" w:rsidRPr="005B2C66" w:rsidRDefault="00D32864" w:rsidP="00884F3B">
            <w:pPr>
              <w:pStyle w:val="ListParagraph"/>
              <w:numPr>
                <w:ilvl w:val="0"/>
                <w:numId w:val="48"/>
              </w:numPr>
              <w:rPr>
                <w:rFonts w:asciiTheme="majorHAnsi" w:eastAsia="Times New Roman" w:hAnsiTheme="majorHAnsi" w:cstheme="majorHAnsi"/>
                <w:color w:val="000000"/>
                <w:sz w:val="20"/>
                <w:szCs w:val="20"/>
                <w:lang w:eastAsia="en-GB"/>
              </w:rPr>
            </w:pPr>
            <w:r w:rsidRPr="00D32864">
              <w:rPr>
                <w:rFonts w:asciiTheme="majorHAnsi" w:eastAsia="Times New Roman" w:hAnsiTheme="majorHAnsi" w:cstheme="majorHAnsi"/>
                <w:color w:val="000000"/>
                <w:sz w:val="20"/>
                <w:szCs w:val="20"/>
                <w:lang w:eastAsia="en-GB"/>
              </w:rPr>
              <w:t>Internal Energy Market</w:t>
            </w:r>
          </w:p>
          <w:p w14:paraId="3076CE3B" w14:textId="77777777" w:rsidR="002B6A6F" w:rsidRPr="00A33AE8" w:rsidRDefault="002B6A6F"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2B6A6F" w:rsidRPr="00A33AE8" w14:paraId="080FCB20" w14:textId="77777777" w:rsidTr="0083689C">
        <w:trPr>
          <w:trHeight w:val="450"/>
        </w:trPr>
        <w:tc>
          <w:tcPr>
            <w:tcW w:w="3414" w:type="dxa"/>
            <w:vMerge w:val="restart"/>
            <w:tcBorders>
              <w:top w:val="nil"/>
              <w:left w:val="single" w:sz="8" w:space="0" w:color="auto"/>
              <w:bottom w:val="single" w:sz="8" w:space="0" w:color="000000"/>
              <w:right w:val="single" w:sz="8" w:space="0" w:color="auto"/>
            </w:tcBorders>
            <w:shd w:val="clear" w:color="auto" w:fill="244062"/>
            <w:vAlign w:val="center"/>
            <w:hideMark/>
          </w:tcPr>
          <w:p w14:paraId="203A72FE"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07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7D5A30D1" w14:textId="77777777" w:rsidR="002B6A6F" w:rsidRPr="00A33AE8" w:rsidRDefault="002B6A6F" w:rsidP="0083689C">
            <w:pPr>
              <w:spacing w:after="0"/>
              <w:rPr>
                <w:rFonts w:asciiTheme="majorHAnsi" w:eastAsia="Times New Roman" w:hAnsiTheme="majorHAnsi" w:cstheme="majorHAnsi"/>
                <w:color w:val="FFFFFF"/>
                <w:sz w:val="20"/>
                <w:szCs w:val="20"/>
                <w:lang w:eastAsia="en-GB"/>
              </w:rPr>
            </w:pPr>
          </w:p>
        </w:tc>
      </w:tr>
      <w:tr w:rsidR="002B6A6F" w:rsidRPr="00A33AE8" w14:paraId="5564D077" w14:textId="77777777" w:rsidTr="0083689C">
        <w:trPr>
          <w:trHeight w:val="450"/>
        </w:trPr>
        <w:tc>
          <w:tcPr>
            <w:tcW w:w="0" w:type="auto"/>
            <w:vMerge/>
            <w:tcBorders>
              <w:top w:val="nil"/>
              <w:left w:val="single" w:sz="8" w:space="0" w:color="auto"/>
              <w:bottom w:val="single" w:sz="8" w:space="0" w:color="000000"/>
              <w:right w:val="single" w:sz="8" w:space="0" w:color="auto"/>
            </w:tcBorders>
            <w:vAlign w:val="center"/>
            <w:hideMark/>
          </w:tcPr>
          <w:p w14:paraId="60F02E37" w14:textId="77777777" w:rsidR="002B6A6F" w:rsidRPr="00A33AE8" w:rsidRDefault="002B6A6F" w:rsidP="0083689C">
            <w:pPr>
              <w:spacing w:after="0" w:line="256" w:lineRule="auto"/>
              <w:rPr>
                <w:rFonts w:asciiTheme="majorHAnsi" w:eastAsia="Times New Roman" w:hAnsiTheme="majorHAnsi" w:cstheme="majorHAnsi"/>
                <w:b/>
                <w:bCs/>
                <w:color w:val="FFFFFF"/>
                <w:sz w:val="20"/>
                <w:szCs w:val="20"/>
                <w:lang w:eastAsia="en-GB"/>
              </w:rPr>
            </w:pPr>
          </w:p>
        </w:tc>
        <w:tc>
          <w:tcPr>
            <w:tcW w:w="6074" w:type="dxa"/>
            <w:gridSpan w:val="3"/>
            <w:vMerge/>
            <w:tcBorders>
              <w:top w:val="single" w:sz="8" w:space="0" w:color="auto"/>
              <w:left w:val="single" w:sz="8" w:space="0" w:color="auto"/>
              <w:bottom w:val="single" w:sz="8" w:space="0" w:color="000000"/>
              <w:right w:val="single" w:sz="8" w:space="0" w:color="000000"/>
            </w:tcBorders>
            <w:vAlign w:val="center"/>
            <w:hideMark/>
          </w:tcPr>
          <w:p w14:paraId="7929D888" w14:textId="77777777" w:rsidR="002B6A6F" w:rsidRPr="00A33AE8" w:rsidRDefault="002B6A6F" w:rsidP="0083689C">
            <w:pPr>
              <w:spacing w:after="0" w:line="256" w:lineRule="auto"/>
              <w:rPr>
                <w:rFonts w:asciiTheme="majorHAnsi" w:eastAsia="Times New Roman" w:hAnsiTheme="majorHAnsi" w:cstheme="majorHAnsi"/>
                <w:b/>
                <w:bCs/>
                <w:color w:val="FFFFFF"/>
                <w:sz w:val="20"/>
                <w:szCs w:val="20"/>
                <w:lang w:eastAsia="en-GB"/>
              </w:rPr>
            </w:pPr>
          </w:p>
        </w:tc>
      </w:tr>
      <w:tr w:rsidR="002B6A6F" w:rsidRPr="00A33AE8" w14:paraId="52A38CCD" w14:textId="77777777" w:rsidTr="0083689C">
        <w:trPr>
          <w:trHeight w:val="450"/>
        </w:trPr>
        <w:tc>
          <w:tcPr>
            <w:tcW w:w="0" w:type="auto"/>
            <w:vMerge/>
            <w:tcBorders>
              <w:top w:val="nil"/>
              <w:left w:val="single" w:sz="8" w:space="0" w:color="auto"/>
              <w:bottom w:val="single" w:sz="8" w:space="0" w:color="000000"/>
              <w:right w:val="single" w:sz="8" w:space="0" w:color="auto"/>
            </w:tcBorders>
            <w:vAlign w:val="center"/>
            <w:hideMark/>
          </w:tcPr>
          <w:p w14:paraId="179E5733" w14:textId="77777777" w:rsidR="002B6A6F" w:rsidRPr="00A33AE8" w:rsidRDefault="002B6A6F" w:rsidP="0083689C">
            <w:pPr>
              <w:spacing w:after="0" w:line="256" w:lineRule="auto"/>
              <w:rPr>
                <w:rFonts w:asciiTheme="majorHAnsi" w:eastAsia="Times New Roman" w:hAnsiTheme="majorHAnsi" w:cstheme="majorHAnsi"/>
                <w:b/>
                <w:bCs/>
                <w:color w:val="FFFFFF"/>
                <w:sz w:val="20"/>
                <w:szCs w:val="20"/>
                <w:lang w:eastAsia="en-GB"/>
              </w:rPr>
            </w:pPr>
          </w:p>
        </w:tc>
        <w:tc>
          <w:tcPr>
            <w:tcW w:w="6074" w:type="dxa"/>
            <w:gridSpan w:val="3"/>
            <w:vMerge/>
            <w:tcBorders>
              <w:top w:val="single" w:sz="8" w:space="0" w:color="auto"/>
              <w:left w:val="single" w:sz="8" w:space="0" w:color="auto"/>
              <w:bottom w:val="single" w:sz="8" w:space="0" w:color="000000"/>
              <w:right w:val="single" w:sz="8" w:space="0" w:color="000000"/>
            </w:tcBorders>
            <w:vAlign w:val="center"/>
            <w:hideMark/>
          </w:tcPr>
          <w:p w14:paraId="3083FD92" w14:textId="77777777" w:rsidR="002B6A6F" w:rsidRPr="00A33AE8" w:rsidRDefault="002B6A6F" w:rsidP="0083689C">
            <w:pPr>
              <w:spacing w:after="0" w:line="256" w:lineRule="auto"/>
              <w:rPr>
                <w:rFonts w:asciiTheme="majorHAnsi" w:eastAsia="Times New Roman" w:hAnsiTheme="majorHAnsi" w:cstheme="majorHAnsi"/>
                <w:b/>
                <w:bCs/>
                <w:color w:val="FFFFFF"/>
                <w:sz w:val="20"/>
                <w:szCs w:val="20"/>
                <w:lang w:eastAsia="en-GB"/>
              </w:rPr>
            </w:pPr>
          </w:p>
        </w:tc>
      </w:tr>
      <w:tr w:rsidR="002B6A6F" w:rsidRPr="00A33AE8" w14:paraId="7209B88A" w14:textId="77777777" w:rsidTr="0083689C">
        <w:trPr>
          <w:trHeight w:val="780"/>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675D683E"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074" w:type="dxa"/>
            <w:gridSpan w:val="3"/>
            <w:tcBorders>
              <w:top w:val="single" w:sz="8" w:space="0" w:color="auto"/>
              <w:left w:val="nil"/>
              <w:bottom w:val="single" w:sz="8" w:space="0" w:color="auto"/>
              <w:right w:val="single" w:sz="8" w:space="0" w:color="000000"/>
            </w:tcBorders>
            <w:vAlign w:val="center"/>
            <w:hideMark/>
          </w:tcPr>
          <w:p w14:paraId="0574EF37" w14:textId="77777777" w:rsidR="002B6A6F" w:rsidRPr="00A33AE8" w:rsidRDefault="002B6A6F"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r>
      <w:tr w:rsidR="002B6A6F" w:rsidRPr="00A33AE8" w14:paraId="0DE58998"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79F982BC"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074" w:type="dxa"/>
            <w:gridSpan w:val="3"/>
            <w:tcBorders>
              <w:top w:val="single" w:sz="8" w:space="0" w:color="auto"/>
              <w:left w:val="nil"/>
              <w:bottom w:val="single" w:sz="8" w:space="0" w:color="auto"/>
              <w:right w:val="single" w:sz="8" w:space="0" w:color="000000"/>
            </w:tcBorders>
            <w:vAlign w:val="center"/>
          </w:tcPr>
          <w:p w14:paraId="74196932"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835 M</w:t>
            </w:r>
            <w:r w:rsidRPr="00A33AE8">
              <w:rPr>
                <w:rFonts w:ascii="Calibri" w:eastAsia="Times New Roman" w:hAnsi="Calibri" w:cs="Calibri"/>
                <w:color w:val="000000"/>
                <w:sz w:val="20"/>
                <w:szCs w:val="20"/>
                <w:lang w:eastAsia="en-GB"/>
              </w:rPr>
              <w:t>€</w:t>
            </w:r>
          </w:p>
        </w:tc>
      </w:tr>
      <w:tr w:rsidR="002B6A6F" w:rsidRPr="00A33AE8" w14:paraId="117F8094"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39DC4B62" w14:textId="77777777" w:rsidR="002B6A6F" w:rsidRPr="00A33AE8" w:rsidRDefault="002B6A6F"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074" w:type="dxa"/>
            <w:gridSpan w:val="3"/>
            <w:tcBorders>
              <w:top w:val="single" w:sz="8" w:space="0" w:color="auto"/>
              <w:left w:val="nil"/>
              <w:bottom w:val="single" w:sz="8" w:space="0" w:color="auto"/>
              <w:right w:val="single" w:sz="8" w:space="0" w:color="000000"/>
            </w:tcBorders>
            <w:vAlign w:val="center"/>
          </w:tcPr>
          <w:p w14:paraId="5344CD29" w14:textId="77777777" w:rsidR="002B6A6F" w:rsidRPr="00A33AE8" w:rsidRDefault="002B6A6F" w:rsidP="0083689C">
            <w:pPr>
              <w:spacing w:after="0" w:line="240" w:lineRule="auto"/>
              <w:jc w:val="both"/>
              <w:rPr>
                <w:rFonts w:asciiTheme="majorHAnsi" w:eastAsia="Times New Roman" w:hAnsiTheme="majorHAnsi" w:cstheme="majorHAnsi"/>
                <w:color w:val="000000"/>
                <w:sz w:val="20"/>
                <w:szCs w:val="20"/>
                <w:highlight w:val="yellow"/>
                <w:lang w:eastAsia="en-GB"/>
              </w:rPr>
            </w:pPr>
            <w:r w:rsidRPr="00A33AE8">
              <w:rPr>
                <w:rFonts w:ascii="Calibri Light" w:eastAsia="Times New Roman" w:hAnsi="Calibri Light" w:cs="Calibri Light"/>
                <w:color w:val="000000"/>
                <w:sz w:val="20"/>
                <w:szCs w:val="20"/>
                <w:lang w:eastAsia="en-GB"/>
              </w:rPr>
              <w:t>EU and other funds, public funds and own funds</w:t>
            </w:r>
          </w:p>
        </w:tc>
      </w:tr>
    </w:tbl>
    <w:p w14:paraId="637469B5" w14:textId="77777777" w:rsidR="002B6A6F" w:rsidRPr="00A33AE8" w:rsidRDefault="002B6A6F" w:rsidP="00751097">
      <w:pPr>
        <w:pStyle w:val="LDKbody"/>
        <w:rPr>
          <w:rFonts w:asciiTheme="majorHAnsi" w:hAnsiTheme="majorHAnsi" w:cstheme="majorHAnsi"/>
          <w:sz w:val="20"/>
          <w:szCs w:val="20"/>
          <w:lang w:val="en-GB"/>
        </w:rPr>
      </w:pPr>
    </w:p>
    <w:tbl>
      <w:tblPr>
        <w:tblW w:w="9488" w:type="dxa"/>
        <w:tblLook w:val="04A0" w:firstRow="1" w:lastRow="0" w:firstColumn="1" w:lastColumn="0" w:noHBand="0" w:noVBand="1"/>
      </w:tblPr>
      <w:tblGrid>
        <w:gridCol w:w="3408"/>
        <w:gridCol w:w="978"/>
        <w:gridCol w:w="964"/>
        <w:gridCol w:w="4138"/>
      </w:tblGrid>
      <w:tr w:rsidR="0034044B" w:rsidRPr="00A33AE8" w14:paraId="32CB0BD5" w14:textId="77777777" w:rsidTr="0083689C">
        <w:trPr>
          <w:trHeight w:val="780"/>
        </w:trPr>
        <w:tc>
          <w:tcPr>
            <w:tcW w:w="341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4082A96" w14:textId="77777777" w:rsidR="0034044B" w:rsidRPr="00A33AE8" w:rsidRDefault="0034044B" w:rsidP="0083689C">
            <w:pPr>
              <w:spacing w:after="0" w:line="240" w:lineRule="auto"/>
              <w:jc w:val="both"/>
              <w:rPr>
                <w:rFonts w:asciiTheme="majorHAnsi" w:eastAsia="Times New Roman" w:hAnsiTheme="majorHAnsi" w:cstheme="majorHAnsi"/>
                <w:b/>
                <w:bCs/>
                <w:color w:val="FFFFFF"/>
                <w:sz w:val="20"/>
                <w:szCs w:val="20"/>
                <w:lang w:eastAsia="en-GB"/>
              </w:rPr>
            </w:pPr>
            <w:bookmarkStart w:id="169" w:name="_Hlk151138520"/>
            <w:r w:rsidRPr="00A33AE8">
              <w:rPr>
                <w:rFonts w:asciiTheme="majorHAnsi" w:eastAsia="Times New Roman" w:hAnsiTheme="majorHAnsi" w:cstheme="majorHAnsi"/>
                <w:b/>
                <w:bCs/>
                <w:color w:val="FFFFFF"/>
                <w:sz w:val="20"/>
                <w:szCs w:val="20"/>
                <w:lang w:eastAsia="en-GB"/>
              </w:rPr>
              <w:t xml:space="preserve">Policy measure code: </w:t>
            </w:r>
          </w:p>
        </w:tc>
        <w:tc>
          <w:tcPr>
            <w:tcW w:w="9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8566A33" w14:textId="77777777" w:rsidR="0034044B" w:rsidRPr="00A33AE8" w:rsidRDefault="0034044B" w:rsidP="0083689C">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ES10</w:t>
            </w:r>
          </w:p>
        </w:tc>
        <w:tc>
          <w:tcPr>
            <w:tcW w:w="965" w:type="dxa"/>
            <w:tcBorders>
              <w:top w:val="single" w:sz="8" w:space="0" w:color="auto"/>
              <w:left w:val="nil"/>
              <w:bottom w:val="single" w:sz="8" w:space="0" w:color="auto"/>
              <w:right w:val="single" w:sz="8" w:space="0" w:color="auto"/>
            </w:tcBorders>
            <w:shd w:val="clear" w:color="auto" w:fill="244062"/>
            <w:vAlign w:val="center"/>
            <w:hideMark/>
          </w:tcPr>
          <w:p w14:paraId="3634F8B9"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48" w:type="dxa"/>
            <w:tcBorders>
              <w:top w:val="single" w:sz="8" w:space="0" w:color="auto"/>
              <w:left w:val="nil"/>
              <w:bottom w:val="single" w:sz="8" w:space="0" w:color="auto"/>
              <w:right w:val="single" w:sz="8" w:space="0" w:color="auto"/>
            </w:tcBorders>
            <w:shd w:val="clear" w:color="auto" w:fill="E7E6E6" w:themeFill="background2"/>
            <w:vAlign w:val="center"/>
            <w:hideMark/>
          </w:tcPr>
          <w:p w14:paraId="2936B503" w14:textId="77777777" w:rsidR="0034044B" w:rsidRPr="00A33AE8" w:rsidRDefault="0034044B" w:rsidP="0083689C">
            <w:pPr>
              <w:spacing w:after="0" w:line="240" w:lineRule="auto"/>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Development of additional dispatchable generation from natural gas</w:t>
            </w:r>
          </w:p>
        </w:tc>
      </w:tr>
      <w:bookmarkEnd w:id="169"/>
      <w:tr w:rsidR="0034044B" w:rsidRPr="00A33AE8" w14:paraId="3DD7AB92" w14:textId="77777777" w:rsidTr="0083689C">
        <w:trPr>
          <w:trHeight w:val="572"/>
        </w:trPr>
        <w:tc>
          <w:tcPr>
            <w:tcW w:w="3414" w:type="dxa"/>
            <w:tcBorders>
              <w:top w:val="nil"/>
              <w:left w:val="single" w:sz="8" w:space="0" w:color="auto"/>
              <w:bottom w:val="single" w:sz="8" w:space="0" w:color="auto"/>
              <w:right w:val="nil"/>
            </w:tcBorders>
            <w:shd w:val="clear" w:color="auto" w:fill="244062"/>
            <w:vAlign w:val="center"/>
            <w:hideMark/>
          </w:tcPr>
          <w:p w14:paraId="3291B8C1"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074" w:type="dxa"/>
            <w:gridSpan w:val="3"/>
            <w:tcBorders>
              <w:top w:val="single" w:sz="8" w:space="0" w:color="auto"/>
              <w:left w:val="nil"/>
              <w:bottom w:val="single" w:sz="8" w:space="0" w:color="auto"/>
              <w:right w:val="single" w:sz="8" w:space="0" w:color="000000"/>
            </w:tcBorders>
            <w:vAlign w:val="center"/>
          </w:tcPr>
          <w:p w14:paraId="1B699DCE"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More diverse energy mix, enabler for the penetration of RES</w:t>
            </w:r>
            <w:r w:rsidR="005A33E0" w:rsidRPr="00A33AE8">
              <w:rPr>
                <w:rFonts w:asciiTheme="majorHAnsi" w:eastAsia="Times New Roman" w:hAnsiTheme="majorHAnsi" w:cstheme="majorHAnsi"/>
                <w:color w:val="000000"/>
                <w:sz w:val="20"/>
                <w:szCs w:val="20"/>
                <w:lang w:eastAsia="en-GB"/>
              </w:rPr>
              <w:t>,</w:t>
            </w:r>
            <w:r w:rsidRPr="00A33AE8">
              <w:rPr>
                <w:rFonts w:asciiTheme="majorHAnsi" w:eastAsia="Times New Roman" w:hAnsiTheme="majorHAnsi" w:cstheme="majorHAnsi"/>
                <w:color w:val="000000"/>
                <w:sz w:val="20"/>
                <w:szCs w:val="20"/>
                <w:lang w:eastAsia="en-GB"/>
              </w:rPr>
              <w:t xml:space="preserve"> contribution to the necessary power adequacy of the system</w:t>
            </w:r>
          </w:p>
        </w:tc>
      </w:tr>
      <w:tr w:rsidR="0034044B" w:rsidRPr="00A33AE8" w14:paraId="0B59C02B"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15DDE1AC"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074" w:type="dxa"/>
            <w:gridSpan w:val="3"/>
            <w:tcBorders>
              <w:top w:val="single" w:sz="8" w:space="0" w:color="auto"/>
              <w:left w:val="nil"/>
              <w:bottom w:val="single" w:sz="8" w:space="0" w:color="auto"/>
              <w:right w:val="single" w:sz="8" w:space="0" w:color="000000"/>
            </w:tcBorders>
            <w:vAlign w:val="center"/>
          </w:tcPr>
          <w:p w14:paraId="7C2750F5"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350MW of additional generation capacity</w:t>
            </w:r>
          </w:p>
        </w:tc>
      </w:tr>
      <w:tr w:rsidR="0034044B" w:rsidRPr="00A33AE8" w14:paraId="177F7E78" w14:textId="77777777" w:rsidTr="0083689C">
        <w:trPr>
          <w:trHeight w:val="584"/>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0D2DDA29"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074" w:type="dxa"/>
            <w:gridSpan w:val="3"/>
            <w:tcBorders>
              <w:top w:val="single" w:sz="8" w:space="0" w:color="auto"/>
              <w:left w:val="nil"/>
              <w:bottom w:val="single" w:sz="8" w:space="0" w:color="auto"/>
              <w:right w:val="single" w:sz="8" w:space="0" w:color="000000"/>
            </w:tcBorders>
            <w:vAlign w:val="center"/>
          </w:tcPr>
          <w:p w14:paraId="331714A3"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In order to achieve the objectives of the INECP in the most cost-efficient manner and facilitate the penetration of RES, there is a need for </w:t>
            </w:r>
            <w:r w:rsidR="005A33E0" w:rsidRPr="00A33AE8">
              <w:rPr>
                <w:rFonts w:asciiTheme="majorHAnsi" w:eastAsia="Times New Roman" w:hAnsiTheme="majorHAnsi" w:cstheme="majorHAnsi"/>
                <w:color w:val="000000"/>
                <w:sz w:val="20"/>
                <w:szCs w:val="20"/>
                <w:lang w:eastAsia="en-GB"/>
              </w:rPr>
              <w:t xml:space="preserve">additional dispatchable generation </w:t>
            </w:r>
            <w:r w:rsidRPr="00A33AE8">
              <w:rPr>
                <w:rFonts w:asciiTheme="majorHAnsi" w:eastAsia="Times New Roman" w:hAnsiTheme="majorHAnsi" w:cstheme="majorHAnsi"/>
                <w:color w:val="000000"/>
                <w:sz w:val="20"/>
                <w:szCs w:val="20"/>
                <w:lang w:eastAsia="en-GB"/>
              </w:rPr>
              <w:t xml:space="preserve">to be built. More specifically, based on </w:t>
            </w:r>
            <w:r w:rsidR="005433B6" w:rsidRPr="00A33AE8">
              <w:rPr>
                <w:rFonts w:asciiTheme="majorHAnsi" w:eastAsia="Times New Roman" w:hAnsiTheme="majorHAnsi" w:cstheme="majorHAnsi"/>
                <w:color w:val="000000"/>
                <w:sz w:val="20"/>
                <w:szCs w:val="20"/>
                <w:lang w:eastAsia="en-GB"/>
              </w:rPr>
              <w:t>the performed</w:t>
            </w:r>
            <w:r w:rsidRPr="00A33AE8">
              <w:rPr>
                <w:rFonts w:asciiTheme="majorHAnsi" w:eastAsia="Times New Roman" w:hAnsiTheme="majorHAnsi" w:cstheme="majorHAnsi"/>
                <w:color w:val="000000"/>
                <w:sz w:val="20"/>
                <w:szCs w:val="20"/>
                <w:lang w:eastAsia="en-GB"/>
              </w:rPr>
              <w:t xml:space="preserve"> studies and modelling results, the </w:t>
            </w:r>
            <w:r w:rsidR="005433B6" w:rsidRPr="00A33AE8">
              <w:rPr>
                <w:rFonts w:asciiTheme="majorHAnsi" w:eastAsia="Times New Roman" w:hAnsiTheme="majorHAnsi" w:cstheme="majorHAnsi"/>
                <w:color w:val="000000"/>
                <w:sz w:val="20"/>
                <w:szCs w:val="20"/>
                <w:lang w:eastAsia="en-GB"/>
              </w:rPr>
              <w:t>SEMS</w:t>
            </w:r>
            <w:r w:rsidRPr="00A33AE8">
              <w:rPr>
                <w:rFonts w:asciiTheme="majorHAnsi" w:eastAsia="Times New Roman" w:hAnsiTheme="majorHAnsi" w:cstheme="majorHAnsi"/>
                <w:color w:val="000000"/>
                <w:sz w:val="20"/>
                <w:szCs w:val="20"/>
                <w:lang w:eastAsia="en-GB"/>
              </w:rPr>
              <w:t xml:space="preserve"> model considers that a </w:t>
            </w:r>
            <w:r w:rsidR="005A33E0" w:rsidRPr="00A33AE8">
              <w:rPr>
                <w:rFonts w:asciiTheme="majorHAnsi" w:eastAsia="Times New Roman" w:hAnsiTheme="majorHAnsi" w:cstheme="majorHAnsi"/>
                <w:color w:val="000000"/>
                <w:sz w:val="20"/>
                <w:szCs w:val="20"/>
                <w:lang w:eastAsia="en-GB"/>
              </w:rPr>
              <w:t>new gas power plant</w:t>
            </w:r>
            <w:r w:rsidRPr="00A33AE8">
              <w:rPr>
                <w:rFonts w:asciiTheme="majorHAnsi" w:eastAsia="Times New Roman" w:hAnsiTheme="majorHAnsi" w:cstheme="majorHAnsi"/>
                <w:color w:val="000000"/>
                <w:sz w:val="20"/>
                <w:szCs w:val="20"/>
                <w:lang w:eastAsia="en-GB"/>
              </w:rPr>
              <w:t xml:space="preserve"> will be integrated in the system </w:t>
            </w:r>
            <w:r w:rsidR="005A33E0" w:rsidRPr="00A33AE8">
              <w:rPr>
                <w:rFonts w:asciiTheme="majorHAnsi" w:eastAsia="Times New Roman" w:hAnsiTheme="majorHAnsi" w:cstheme="majorHAnsi"/>
                <w:color w:val="000000"/>
                <w:sz w:val="20"/>
                <w:szCs w:val="20"/>
                <w:lang w:eastAsia="en-GB"/>
              </w:rPr>
              <w:t>by 202</w:t>
            </w:r>
            <w:r w:rsidR="005433B6" w:rsidRPr="00A33AE8">
              <w:rPr>
                <w:rFonts w:asciiTheme="majorHAnsi" w:eastAsia="Times New Roman" w:hAnsiTheme="majorHAnsi" w:cstheme="majorHAnsi"/>
                <w:color w:val="000000"/>
                <w:sz w:val="20"/>
                <w:szCs w:val="20"/>
                <w:lang w:eastAsia="en-GB"/>
              </w:rPr>
              <w:t>8</w:t>
            </w:r>
            <w:r w:rsidRPr="00A33AE8">
              <w:rPr>
                <w:rFonts w:asciiTheme="majorHAnsi" w:eastAsia="Times New Roman" w:hAnsiTheme="majorHAnsi" w:cstheme="majorHAnsi"/>
                <w:color w:val="000000"/>
                <w:sz w:val="20"/>
                <w:szCs w:val="20"/>
                <w:lang w:eastAsia="en-GB"/>
              </w:rPr>
              <w:t>. This asset will also support the operation of the system since it will increase the volume of available regulation capacities in the system.</w:t>
            </w:r>
          </w:p>
        </w:tc>
      </w:tr>
      <w:tr w:rsidR="0034044B" w:rsidRPr="00A33AE8" w14:paraId="0AC340D0"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11237F7D"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074" w:type="dxa"/>
            <w:gridSpan w:val="3"/>
            <w:tcBorders>
              <w:top w:val="single" w:sz="8" w:space="0" w:color="auto"/>
              <w:left w:val="nil"/>
              <w:bottom w:val="single" w:sz="8" w:space="0" w:color="auto"/>
              <w:right w:val="single" w:sz="8" w:space="0" w:color="000000"/>
            </w:tcBorders>
            <w:vAlign w:val="center"/>
            <w:hideMark/>
          </w:tcPr>
          <w:p w14:paraId="19DE933D"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2023-</w:t>
            </w:r>
            <w:r w:rsidRPr="0056323A">
              <w:rPr>
                <w:rFonts w:asciiTheme="majorHAnsi" w:eastAsia="Times New Roman" w:hAnsiTheme="majorHAnsi" w:cstheme="majorHAnsi"/>
                <w:color w:val="000000"/>
                <w:sz w:val="20"/>
                <w:szCs w:val="20"/>
                <w:lang w:eastAsia="en-GB"/>
              </w:rPr>
              <w:t>202</w:t>
            </w:r>
            <w:r w:rsidR="005433B6" w:rsidRPr="0056323A">
              <w:rPr>
                <w:rFonts w:asciiTheme="majorHAnsi" w:eastAsia="Times New Roman" w:hAnsiTheme="majorHAnsi" w:cstheme="majorHAnsi"/>
                <w:color w:val="000000"/>
                <w:sz w:val="20"/>
                <w:szCs w:val="20"/>
                <w:lang w:eastAsia="en-GB"/>
              </w:rPr>
              <w:t>8</w:t>
            </w:r>
          </w:p>
        </w:tc>
      </w:tr>
      <w:tr w:rsidR="0034044B" w:rsidRPr="00A33AE8" w14:paraId="38EAE2D1"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7F9A2122"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074" w:type="dxa"/>
            <w:gridSpan w:val="3"/>
            <w:tcBorders>
              <w:top w:val="single" w:sz="8" w:space="0" w:color="auto"/>
              <w:left w:val="nil"/>
              <w:bottom w:val="single" w:sz="8" w:space="0" w:color="auto"/>
              <w:right w:val="single" w:sz="8" w:space="0" w:color="000000"/>
            </w:tcBorders>
            <w:vAlign w:val="center"/>
            <w:hideMark/>
          </w:tcPr>
          <w:p w14:paraId="56F610AF"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34044B" w:rsidRPr="00A33AE8" w14:paraId="4269FB0C"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60C2C37"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074" w:type="dxa"/>
            <w:gridSpan w:val="3"/>
            <w:tcBorders>
              <w:top w:val="single" w:sz="8" w:space="0" w:color="auto"/>
              <w:left w:val="nil"/>
              <w:bottom w:val="single" w:sz="8" w:space="0" w:color="auto"/>
              <w:right w:val="single" w:sz="8" w:space="0" w:color="000000"/>
            </w:tcBorders>
            <w:vAlign w:val="center"/>
            <w:hideMark/>
          </w:tcPr>
          <w:p w14:paraId="3C090DFA"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34044B" w:rsidRPr="00A33AE8" w14:paraId="58F55C83"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76D0E348"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074" w:type="dxa"/>
            <w:gridSpan w:val="3"/>
            <w:tcBorders>
              <w:top w:val="single" w:sz="8" w:space="0" w:color="auto"/>
              <w:left w:val="nil"/>
              <w:bottom w:val="single" w:sz="8" w:space="0" w:color="auto"/>
              <w:right w:val="single" w:sz="8" w:space="0" w:color="000000"/>
            </w:tcBorders>
            <w:vAlign w:val="center"/>
            <w:hideMark/>
          </w:tcPr>
          <w:p w14:paraId="46AC3EE3" w14:textId="77777777" w:rsidR="0034044B" w:rsidRPr="00A33AE8" w:rsidRDefault="0034044B"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p>
        </w:tc>
      </w:tr>
      <w:tr w:rsidR="0034044B" w:rsidRPr="00A33AE8" w14:paraId="4B6F1600" w14:textId="77777777" w:rsidTr="0083689C">
        <w:trPr>
          <w:trHeight w:val="315"/>
        </w:trPr>
        <w:tc>
          <w:tcPr>
            <w:tcW w:w="3414" w:type="dxa"/>
            <w:tcBorders>
              <w:top w:val="nil"/>
              <w:left w:val="single" w:sz="8" w:space="0" w:color="auto"/>
              <w:bottom w:val="single" w:sz="8" w:space="0" w:color="auto"/>
              <w:right w:val="nil"/>
            </w:tcBorders>
            <w:shd w:val="clear" w:color="auto" w:fill="244062"/>
            <w:vAlign w:val="center"/>
            <w:hideMark/>
          </w:tcPr>
          <w:p w14:paraId="57EAE375"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074" w:type="dxa"/>
            <w:gridSpan w:val="3"/>
            <w:tcBorders>
              <w:top w:val="single" w:sz="8" w:space="0" w:color="auto"/>
              <w:left w:val="nil"/>
              <w:bottom w:val="single" w:sz="8" w:space="0" w:color="auto"/>
              <w:right w:val="single" w:sz="8" w:space="0" w:color="000000"/>
            </w:tcBorders>
            <w:vAlign w:val="center"/>
            <w:hideMark/>
          </w:tcPr>
          <w:p w14:paraId="6924DF7C" w14:textId="77777777" w:rsidR="0034044B" w:rsidRPr="00A33AE8" w:rsidRDefault="0034044B"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69E8C09" w14:textId="1E04D5F1" w:rsidR="0034044B" w:rsidRPr="000007D2" w:rsidRDefault="003E5BA7"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w:t>
            </w:r>
            <w:r w:rsidR="00081D7A" w:rsidRPr="00A33AE8">
              <w:rPr>
                <w:rFonts w:asciiTheme="majorHAnsi" w:eastAsia="Times New Roman" w:hAnsiTheme="majorHAnsi" w:cstheme="majorHAnsi"/>
                <w:color w:val="000000"/>
                <w:sz w:val="20"/>
                <w:szCs w:val="20"/>
                <w:lang w:eastAsia="en-GB"/>
              </w:rPr>
              <w:t xml:space="preserve"> of Construction, Transport and Infrastructure</w:t>
            </w:r>
          </w:p>
        </w:tc>
      </w:tr>
      <w:tr w:rsidR="0034044B" w:rsidRPr="00A33AE8" w14:paraId="06A739E1" w14:textId="77777777" w:rsidTr="0083689C">
        <w:trPr>
          <w:trHeight w:val="315"/>
        </w:trPr>
        <w:tc>
          <w:tcPr>
            <w:tcW w:w="3414" w:type="dxa"/>
            <w:tcBorders>
              <w:top w:val="nil"/>
              <w:left w:val="single" w:sz="8" w:space="0" w:color="auto"/>
              <w:bottom w:val="single" w:sz="8" w:space="0" w:color="auto"/>
              <w:right w:val="nil"/>
            </w:tcBorders>
            <w:shd w:val="clear" w:color="auto" w:fill="244062"/>
            <w:vAlign w:val="center"/>
            <w:hideMark/>
          </w:tcPr>
          <w:p w14:paraId="7FABEAF1"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074" w:type="dxa"/>
            <w:gridSpan w:val="3"/>
            <w:tcBorders>
              <w:top w:val="single" w:sz="8" w:space="0" w:color="auto"/>
              <w:left w:val="nil"/>
              <w:bottom w:val="single" w:sz="8" w:space="0" w:color="auto"/>
              <w:right w:val="single" w:sz="8" w:space="0" w:color="000000"/>
            </w:tcBorders>
            <w:vAlign w:val="center"/>
            <w:hideMark/>
          </w:tcPr>
          <w:p w14:paraId="016123CE"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Volume of </w:t>
            </w:r>
            <w:r w:rsidR="005A33E0" w:rsidRPr="00A33AE8">
              <w:rPr>
                <w:rFonts w:asciiTheme="majorHAnsi" w:eastAsia="Times New Roman" w:hAnsiTheme="majorHAnsi" w:cstheme="majorHAnsi"/>
                <w:color w:val="000000"/>
                <w:sz w:val="20"/>
                <w:szCs w:val="20"/>
                <w:lang w:eastAsia="en-GB"/>
              </w:rPr>
              <w:t>dispatchable generation</w:t>
            </w:r>
            <w:r w:rsidRPr="00A33AE8">
              <w:rPr>
                <w:rFonts w:asciiTheme="majorHAnsi" w:eastAsia="Times New Roman" w:hAnsiTheme="majorHAnsi" w:cstheme="majorHAnsi"/>
                <w:color w:val="000000"/>
                <w:sz w:val="20"/>
                <w:szCs w:val="20"/>
                <w:lang w:eastAsia="en-GB"/>
              </w:rPr>
              <w:t xml:space="preserve"> capacity in the system</w:t>
            </w:r>
          </w:p>
        </w:tc>
      </w:tr>
      <w:tr w:rsidR="0034044B" w:rsidRPr="00A33AE8" w14:paraId="724E088D" w14:textId="77777777" w:rsidTr="0083689C">
        <w:trPr>
          <w:trHeight w:val="387"/>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58642E60"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074" w:type="dxa"/>
            <w:gridSpan w:val="3"/>
            <w:tcBorders>
              <w:top w:val="single" w:sz="8" w:space="0" w:color="auto"/>
              <w:left w:val="nil"/>
              <w:bottom w:val="single" w:sz="8" w:space="0" w:color="auto"/>
              <w:right w:val="single" w:sz="8" w:space="0" w:color="000000"/>
            </w:tcBorders>
            <w:vAlign w:val="center"/>
            <w:hideMark/>
          </w:tcPr>
          <w:p w14:paraId="165402B6" w14:textId="77777777" w:rsidR="00D32864" w:rsidRPr="005B2C66" w:rsidRDefault="00D32864" w:rsidP="00884F3B">
            <w:pPr>
              <w:pStyle w:val="ListParagraph"/>
              <w:numPr>
                <w:ilvl w:val="0"/>
                <w:numId w:val="48"/>
              </w:numPr>
              <w:rPr>
                <w:rFonts w:asciiTheme="majorHAnsi" w:eastAsia="Times New Roman" w:hAnsiTheme="majorHAnsi" w:cstheme="majorHAnsi"/>
                <w:color w:val="000000"/>
                <w:sz w:val="20"/>
                <w:szCs w:val="20"/>
                <w:lang w:eastAsia="en-GB"/>
              </w:rPr>
            </w:pPr>
            <w:r w:rsidRPr="00D32864">
              <w:rPr>
                <w:rFonts w:asciiTheme="majorHAnsi" w:eastAsia="Times New Roman" w:hAnsiTheme="majorHAnsi" w:cstheme="majorHAnsi"/>
                <w:color w:val="000000"/>
                <w:sz w:val="20"/>
                <w:szCs w:val="20"/>
                <w:lang w:eastAsia="en-GB"/>
              </w:rPr>
              <w:t>Internal Energy Market</w:t>
            </w:r>
          </w:p>
          <w:p w14:paraId="2FF8AE93" w14:textId="77777777" w:rsidR="0034044B" w:rsidRPr="00A33AE8" w:rsidRDefault="0034044B"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34044B" w:rsidRPr="00A33AE8" w14:paraId="1D8E77D0" w14:textId="77777777" w:rsidTr="0083689C">
        <w:trPr>
          <w:trHeight w:val="450"/>
        </w:trPr>
        <w:tc>
          <w:tcPr>
            <w:tcW w:w="3414" w:type="dxa"/>
            <w:vMerge w:val="restart"/>
            <w:tcBorders>
              <w:top w:val="nil"/>
              <w:left w:val="single" w:sz="8" w:space="0" w:color="auto"/>
              <w:bottom w:val="single" w:sz="8" w:space="0" w:color="000000"/>
              <w:right w:val="single" w:sz="8" w:space="0" w:color="auto"/>
            </w:tcBorders>
            <w:shd w:val="clear" w:color="auto" w:fill="244062"/>
            <w:vAlign w:val="center"/>
            <w:hideMark/>
          </w:tcPr>
          <w:p w14:paraId="36AB108B"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07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BA68022" w14:textId="77777777" w:rsidR="0034044B" w:rsidRPr="00A33AE8" w:rsidRDefault="0034044B" w:rsidP="0083689C">
            <w:pPr>
              <w:spacing w:after="0"/>
              <w:rPr>
                <w:rFonts w:asciiTheme="majorHAnsi" w:eastAsia="Times New Roman" w:hAnsiTheme="majorHAnsi" w:cstheme="majorHAnsi"/>
                <w:color w:val="FFFFFF"/>
                <w:sz w:val="20"/>
                <w:szCs w:val="20"/>
                <w:lang w:eastAsia="en-GB"/>
              </w:rPr>
            </w:pPr>
          </w:p>
        </w:tc>
      </w:tr>
      <w:tr w:rsidR="0034044B" w:rsidRPr="00A33AE8" w14:paraId="14EA3DC5" w14:textId="77777777" w:rsidTr="0083689C">
        <w:trPr>
          <w:trHeight w:val="450"/>
        </w:trPr>
        <w:tc>
          <w:tcPr>
            <w:tcW w:w="0" w:type="auto"/>
            <w:vMerge/>
            <w:tcBorders>
              <w:top w:val="nil"/>
              <w:left w:val="single" w:sz="8" w:space="0" w:color="auto"/>
              <w:bottom w:val="single" w:sz="8" w:space="0" w:color="000000"/>
              <w:right w:val="single" w:sz="8" w:space="0" w:color="auto"/>
            </w:tcBorders>
            <w:vAlign w:val="center"/>
            <w:hideMark/>
          </w:tcPr>
          <w:p w14:paraId="7D9729C5" w14:textId="77777777" w:rsidR="0034044B" w:rsidRPr="00A33AE8" w:rsidRDefault="0034044B" w:rsidP="0083689C">
            <w:pPr>
              <w:spacing w:after="0" w:line="256" w:lineRule="auto"/>
              <w:rPr>
                <w:rFonts w:asciiTheme="majorHAnsi" w:eastAsia="Times New Roman" w:hAnsiTheme="majorHAnsi" w:cstheme="majorHAnsi"/>
                <w:b/>
                <w:bCs/>
                <w:color w:val="FFFFFF"/>
                <w:sz w:val="20"/>
                <w:szCs w:val="20"/>
                <w:lang w:eastAsia="en-GB"/>
              </w:rPr>
            </w:pPr>
          </w:p>
        </w:tc>
        <w:tc>
          <w:tcPr>
            <w:tcW w:w="6074" w:type="dxa"/>
            <w:gridSpan w:val="3"/>
            <w:vMerge/>
            <w:tcBorders>
              <w:top w:val="single" w:sz="8" w:space="0" w:color="auto"/>
              <w:left w:val="single" w:sz="8" w:space="0" w:color="auto"/>
              <w:bottom w:val="single" w:sz="8" w:space="0" w:color="000000"/>
              <w:right w:val="single" w:sz="8" w:space="0" w:color="000000"/>
            </w:tcBorders>
            <w:vAlign w:val="center"/>
            <w:hideMark/>
          </w:tcPr>
          <w:p w14:paraId="2B2A6826" w14:textId="77777777" w:rsidR="0034044B" w:rsidRPr="00A33AE8" w:rsidRDefault="0034044B" w:rsidP="0083689C">
            <w:pPr>
              <w:spacing w:after="0" w:line="256" w:lineRule="auto"/>
              <w:rPr>
                <w:rFonts w:asciiTheme="majorHAnsi" w:eastAsia="Times New Roman" w:hAnsiTheme="majorHAnsi" w:cstheme="majorHAnsi"/>
                <w:b/>
                <w:bCs/>
                <w:color w:val="FFFFFF"/>
                <w:sz w:val="20"/>
                <w:szCs w:val="20"/>
                <w:lang w:eastAsia="en-GB"/>
              </w:rPr>
            </w:pPr>
          </w:p>
        </w:tc>
      </w:tr>
      <w:tr w:rsidR="0034044B" w:rsidRPr="00A33AE8" w14:paraId="3A0D4AB1" w14:textId="77777777" w:rsidTr="0083689C">
        <w:trPr>
          <w:trHeight w:val="450"/>
        </w:trPr>
        <w:tc>
          <w:tcPr>
            <w:tcW w:w="0" w:type="auto"/>
            <w:vMerge/>
            <w:tcBorders>
              <w:top w:val="nil"/>
              <w:left w:val="single" w:sz="8" w:space="0" w:color="auto"/>
              <w:bottom w:val="single" w:sz="8" w:space="0" w:color="000000"/>
              <w:right w:val="single" w:sz="8" w:space="0" w:color="auto"/>
            </w:tcBorders>
            <w:vAlign w:val="center"/>
            <w:hideMark/>
          </w:tcPr>
          <w:p w14:paraId="79505860" w14:textId="77777777" w:rsidR="0034044B" w:rsidRPr="00A33AE8" w:rsidRDefault="0034044B" w:rsidP="0083689C">
            <w:pPr>
              <w:spacing w:after="0" w:line="256" w:lineRule="auto"/>
              <w:rPr>
                <w:rFonts w:asciiTheme="majorHAnsi" w:eastAsia="Times New Roman" w:hAnsiTheme="majorHAnsi" w:cstheme="majorHAnsi"/>
                <w:b/>
                <w:bCs/>
                <w:color w:val="FFFFFF"/>
                <w:sz w:val="20"/>
                <w:szCs w:val="20"/>
                <w:lang w:eastAsia="en-GB"/>
              </w:rPr>
            </w:pPr>
          </w:p>
        </w:tc>
        <w:tc>
          <w:tcPr>
            <w:tcW w:w="6074" w:type="dxa"/>
            <w:gridSpan w:val="3"/>
            <w:vMerge/>
            <w:tcBorders>
              <w:top w:val="single" w:sz="8" w:space="0" w:color="auto"/>
              <w:left w:val="single" w:sz="8" w:space="0" w:color="auto"/>
              <w:bottom w:val="single" w:sz="8" w:space="0" w:color="000000"/>
              <w:right w:val="single" w:sz="8" w:space="0" w:color="000000"/>
            </w:tcBorders>
            <w:vAlign w:val="center"/>
            <w:hideMark/>
          </w:tcPr>
          <w:p w14:paraId="1A5B425B" w14:textId="77777777" w:rsidR="0034044B" w:rsidRPr="00A33AE8" w:rsidRDefault="0034044B" w:rsidP="0083689C">
            <w:pPr>
              <w:spacing w:after="0" w:line="256" w:lineRule="auto"/>
              <w:rPr>
                <w:rFonts w:asciiTheme="majorHAnsi" w:eastAsia="Times New Roman" w:hAnsiTheme="majorHAnsi" w:cstheme="majorHAnsi"/>
                <w:b/>
                <w:bCs/>
                <w:color w:val="FFFFFF"/>
                <w:sz w:val="20"/>
                <w:szCs w:val="20"/>
                <w:lang w:eastAsia="en-GB"/>
              </w:rPr>
            </w:pPr>
          </w:p>
        </w:tc>
      </w:tr>
      <w:tr w:rsidR="0034044B" w:rsidRPr="00A33AE8" w14:paraId="2B056676" w14:textId="77777777" w:rsidTr="0083689C">
        <w:trPr>
          <w:trHeight w:val="780"/>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2AF73388"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074" w:type="dxa"/>
            <w:gridSpan w:val="3"/>
            <w:tcBorders>
              <w:top w:val="single" w:sz="8" w:space="0" w:color="auto"/>
              <w:left w:val="nil"/>
              <w:bottom w:val="single" w:sz="8" w:space="0" w:color="auto"/>
              <w:right w:val="single" w:sz="8" w:space="0" w:color="000000"/>
            </w:tcBorders>
            <w:vAlign w:val="center"/>
            <w:hideMark/>
          </w:tcPr>
          <w:p w14:paraId="6880A9F7" w14:textId="77777777" w:rsidR="0034044B" w:rsidRPr="00A33AE8" w:rsidRDefault="0034044B" w:rsidP="00884F3B">
            <w:pPr>
              <w:pStyle w:val="ListParagraph"/>
              <w:numPr>
                <w:ilvl w:val="0"/>
                <w:numId w:val="4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r>
      <w:tr w:rsidR="0034044B" w:rsidRPr="00A33AE8" w14:paraId="2B69A994"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09388EC4"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074" w:type="dxa"/>
            <w:gridSpan w:val="3"/>
            <w:tcBorders>
              <w:top w:val="single" w:sz="8" w:space="0" w:color="auto"/>
              <w:left w:val="nil"/>
              <w:bottom w:val="single" w:sz="8" w:space="0" w:color="auto"/>
              <w:right w:val="single" w:sz="8" w:space="0" w:color="000000"/>
            </w:tcBorders>
            <w:vAlign w:val="center"/>
          </w:tcPr>
          <w:p w14:paraId="59C9BD22"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3</w:t>
            </w:r>
            <w:r w:rsidR="005433B6" w:rsidRPr="00A33AE8">
              <w:rPr>
                <w:rFonts w:asciiTheme="majorHAnsi" w:eastAsia="Times New Roman" w:hAnsiTheme="majorHAnsi" w:cstheme="majorHAnsi"/>
                <w:color w:val="000000"/>
                <w:sz w:val="20"/>
                <w:szCs w:val="20"/>
                <w:lang w:eastAsia="en-GB"/>
              </w:rPr>
              <w:t>0</w:t>
            </w:r>
            <w:r w:rsidRPr="00A33AE8">
              <w:rPr>
                <w:rFonts w:asciiTheme="majorHAnsi" w:eastAsia="Times New Roman" w:hAnsiTheme="majorHAnsi" w:cstheme="majorHAnsi"/>
                <w:color w:val="000000"/>
                <w:sz w:val="20"/>
                <w:szCs w:val="20"/>
                <w:lang w:eastAsia="en-GB"/>
              </w:rPr>
              <w:t>0 M</w:t>
            </w:r>
            <w:r w:rsidRPr="00A33AE8">
              <w:rPr>
                <w:rFonts w:ascii="Calibri" w:eastAsia="Times New Roman" w:hAnsi="Calibri" w:cs="Calibri"/>
                <w:color w:val="000000"/>
                <w:sz w:val="20"/>
                <w:szCs w:val="20"/>
                <w:lang w:eastAsia="en-GB"/>
              </w:rPr>
              <w:t>€</w:t>
            </w:r>
          </w:p>
        </w:tc>
      </w:tr>
      <w:tr w:rsidR="0034044B" w:rsidRPr="00A33AE8" w14:paraId="5F1AB27D" w14:textId="77777777" w:rsidTr="0083689C">
        <w:trPr>
          <w:trHeight w:val="315"/>
        </w:trPr>
        <w:tc>
          <w:tcPr>
            <w:tcW w:w="3414" w:type="dxa"/>
            <w:tcBorders>
              <w:top w:val="nil"/>
              <w:left w:val="single" w:sz="8" w:space="0" w:color="auto"/>
              <w:bottom w:val="single" w:sz="8" w:space="0" w:color="auto"/>
              <w:right w:val="single" w:sz="8" w:space="0" w:color="auto"/>
            </w:tcBorders>
            <w:shd w:val="clear" w:color="auto" w:fill="244062"/>
            <w:vAlign w:val="center"/>
            <w:hideMark/>
          </w:tcPr>
          <w:p w14:paraId="0F9B5FA5" w14:textId="77777777" w:rsidR="0034044B" w:rsidRPr="00A33AE8" w:rsidRDefault="0034044B"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074" w:type="dxa"/>
            <w:gridSpan w:val="3"/>
            <w:tcBorders>
              <w:top w:val="single" w:sz="8" w:space="0" w:color="auto"/>
              <w:left w:val="nil"/>
              <w:bottom w:val="single" w:sz="8" w:space="0" w:color="auto"/>
              <w:right w:val="single" w:sz="8" w:space="0" w:color="000000"/>
            </w:tcBorders>
            <w:vAlign w:val="center"/>
          </w:tcPr>
          <w:p w14:paraId="56B0FE5A" w14:textId="77777777" w:rsidR="0034044B" w:rsidRPr="00A33AE8" w:rsidRDefault="0034044B" w:rsidP="0083689C">
            <w:pPr>
              <w:spacing w:after="0" w:line="240" w:lineRule="auto"/>
              <w:jc w:val="both"/>
              <w:rPr>
                <w:rFonts w:asciiTheme="majorHAnsi" w:eastAsia="Times New Roman" w:hAnsiTheme="majorHAnsi" w:cstheme="majorHAnsi"/>
                <w:color w:val="000000"/>
                <w:sz w:val="20"/>
                <w:szCs w:val="20"/>
                <w:highlight w:val="yellow"/>
                <w:lang w:eastAsia="en-GB"/>
              </w:rPr>
            </w:pPr>
            <w:r w:rsidRPr="00A33AE8">
              <w:rPr>
                <w:rFonts w:ascii="Calibri Light" w:eastAsia="Times New Roman" w:hAnsi="Calibri Light" w:cs="Calibri Light"/>
                <w:color w:val="000000"/>
                <w:sz w:val="20"/>
                <w:szCs w:val="20"/>
                <w:lang w:eastAsia="en-GB"/>
              </w:rPr>
              <w:t>EU and other funds, public funds and own funds</w:t>
            </w:r>
          </w:p>
        </w:tc>
      </w:tr>
    </w:tbl>
    <w:p w14:paraId="1E3E3F8D" w14:textId="77777777" w:rsidR="0034044B" w:rsidRPr="00A33AE8" w:rsidRDefault="0034044B" w:rsidP="00751097">
      <w:pPr>
        <w:pStyle w:val="LDKbody"/>
        <w:rPr>
          <w:rFonts w:asciiTheme="majorHAnsi" w:hAnsiTheme="majorHAnsi" w:cstheme="majorHAnsi"/>
          <w:sz w:val="20"/>
          <w:szCs w:val="20"/>
          <w:lang w:val="en-GB"/>
        </w:rPr>
      </w:pPr>
    </w:p>
    <w:tbl>
      <w:tblPr>
        <w:tblW w:w="10700" w:type="dxa"/>
        <w:tblLook w:val="04A0" w:firstRow="1" w:lastRow="0" w:firstColumn="1" w:lastColumn="0" w:noHBand="0" w:noVBand="1"/>
      </w:tblPr>
      <w:tblGrid>
        <w:gridCol w:w="3342"/>
        <w:gridCol w:w="1043"/>
        <w:gridCol w:w="843"/>
        <w:gridCol w:w="4260"/>
        <w:gridCol w:w="1212"/>
      </w:tblGrid>
      <w:tr w:rsidR="00591E02" w:rsidRPr="00A33AE8" w14:paraId="72888EE1" w14:textId="77777777" w:rsidTr="007A0028">
        <w:trPr>
          <w:gridAfter w:val="1"/>
          <w:wAfter w:w="1212" w:type="dxa"/>
          <w:trHeight w:val="780"/>
        </w:trPr>
        <w:tc>
          <w:tcPr>
            <w:tcW w:w="3342"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5518CB67" w14:textId="77777777" w:rsidR="00591E02" w:rsidRPr="00A33AE8" w:rsidRDefault="00591E02" w:rsidP="0083689C">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Policy measure code: </w:t>
            </w:r>
          </w:p>
        </w:tc>
        <w:tc>
          <w:tcPr>
            <w:tcW w:w="1043" w:type="dxa"/>
            <w:tcBorders>
              <w:top w:val="single" w:sz="8" w:space="0" w:color="auto"/>
              <w:left w:val="nil"/>
              <w:bottom w:val="single" w:sz="8" w:space="0" w:color="auto"/>
              <w:right w:val="single" w:sz="8" w:space="0" w:color="auto"/>
            </w:tcBorders>
            <w:shd w:val="clear" w:color="auto" w:fill="E7E6E6" w:themeFill="background2"/>
            <w:vAlign w:val="center"/>
            <w:hideMark/>
          </w:tcPr>
          <w:p w14:paraId="33401DB0" w14:textId="77777777" w:rsidR="00591E02" w:rsidRPr="00A33AE8" w:rsidRDefault="00591E02" w:rsidP="0083689C">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ES11</w:t>
            </w:r>
          </w:p>
        </w:tc>
        <w:tc>
          <w:tcPr>
            <w:tcW w:w="843" w:type="dxa"/>
            <w:tcBorders>
              <w:top w:val="single" w:sz="8" w:space="0" w:color="auto"/>
              <w:left w:val="nil"/>
              <w:bottom w:val="single" w:sz="8" w:space="0" w:color="auto"/>
              <w:right w:val="single" w:sz="8" w:space="0" w:color="auto"/>
            </w:tcBorders>
            <w:shd w:val="clear" w:color="auto" w:fill="244062"/>
            <w:vAlign w:val="center"/>
            <w:hideMark/>
          </w:tcPr>
          <w:p w14:paraId="3DBFB8A9"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60" w:type="dxa"/>
            <w:tcBorders>
              <w:top w:val="single" w:sz="8" w:space="0" w:color="auto"/>
              <w:left w:val="nil"/>
              <w:bottom w:val="single" w:sz="8" w:space="0" w:color="auto"/>
              <w:right w:val="single" w:sz="8" w:space="0" w:color="auto"/>
            </w:tcBorders>
            <w:shd w:val="clear" w:color="auto" w:fill="E7E6E6" w:themeFill="background2"/>
            <w:vAlign w:val="center"/>
            <w:hideMark/>
          </w:tcPr>
          <w:p w14:paraId="7F1C0F6C" w14:textId="77777777" w:rsidR="00591E02" w:rsidRPr="000007D2" w:rsidRDefault="00591E02" w:rsidP="0083689C">
            <w:pPr>
              <w:spacing w:after="0" w:line="240" w:lineRule="auto"/>
              <w:rPr>
                <w:rFonts w:asciiTheme="majorHAnsi" w:eastAsia="Times New Roman" w:hAnsiTheme="majorHAnsi" w:cstheme="majorHAnsi"/>
                <w:b/>
                <w:bCs/>
                <w:color w:val="000000"/>
                <w:sz w:val="20"/>
                <w:szCs w:val="20"/>
                <w:lang w:eastAsia="en-GB"/>
              </w:rPr>
            </w:pPr>
            <w:r w:rsidRPr="000007D2">
              <w:rPr>
                <w:rFonts w:asciiTheme="majorHAnsi" w:eastAsia="Times New Roman" w:hAnsiTheme="majorHAnsi" w:cstheme="majorHAnsi"/>
                <w:b/>
                <w:bCs/>
                <w:color w:val="000000"/>
                <w:sz w:val="20"/>
                <w:szCs w:val="20"/>
                <w:lang w:eastAsia="en-GB"/>
              </w:rPr>
              <w:t>Modernisation of the coal mining industry</w:t>
            </w:r>
          </w:p>
        </w:tc>
      </w:tr>
      <w:tr w:rsidR="00591E02" w:rsidRPr="00A33AE8" w14:paraId="73D1D697" w14:textId="77777777" w:rsidTr="0083689C">
        <w:trPr>
          <w:gridAfter w:val="1"/>
          <w:wAfter w:w="1212" w:type="dxa"/>
          <w:trHeight w:val="588"/>
        </w:trPr>
        <w:tc>
          <w:tcPr>
            <w:tcW w:w="3342" w:type="dxa"/>
            <w:tcBorders>
              <w:top w:val="nil"/>
              <w:left w:val="single" w:sz="8" w:space="0" w:color="auto"/>
              <w:bottom w:val="single" w:sz="8" w:space="0" w:color="auto"/>
              <w:right w:val="nil"/>
            </w:tcBorders>
            <w:shd w:val="clear" w:color="auto" w:fill="244062"/>
            <w:vAlign w:val="center"/>
            <w:hideMark/>
          </w:tcPr>
          <w:p w14:paraId="7BDE3643"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Main objective: </w:t>
            </w:r>
          </w:p>
        </w:tc>
        <w:tc>
          <w:tcPr>
            <w:tcW w:w="6146" w:type="dxa"/>
            <w:gridSpan w:val="3"/>
            <w:tcBorders>
              <w:top w:val="single" w:sz="8" w:space="0" w:color="auto"/>
              <w:left w:val="nil"/>
              <w:bottom w:val="single" w:sz="8" w:space="0" w:color="auto"/>
              <w:right w:val="single" w:sz="8" w:space="0" w:color="000000"/>
            </w:tcBorders>
            <w:vAlign w:val="center"/>
          </w:tcPr>
          <w:p w14:paraId="16D4912B" w14:textId="77777777" w:rsidR="00591E02" w:rsidRPr="00A33AE8" w:rsidRDefault="00591E02"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Ability to cope with constrained or interrupted supply of an energy source, Flexibility of the national energy system</w:t>
            </w:r>
          </w:p>
        </w:tc>
      </w:tr>
      <w:tr w:rsidR="00591E02" w:rsidRPr="00A33AE8" w14:paraId="21ED69FF" w14:textId="77777777" w:rsidTr="0083689C">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542252FE"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Quantified objective: </w:t>
            </w:r>
          </w:p>
        </w:tc>
        <w:tc>
          <w:tcPr>
            <w:tcW w:w="6146" w:type="dxa"/>
            <w:gridSpan w:val="3"/>
            <w:tcBorders>
              <w:top w:val="single" w:sz="8" w:space="0" w:color="auto"/>
              <w:left w:val="nil"/>
              <w:bottom w:val="single" w:sz="8" w:space="0" w:color="auto"/>
              <w:right w:val="single" w:sz="8" w:space="0" w:color="000000"/>
            </w:tcBorders>
            <w:vAlign w:val="center"/>
          </w:tcPr>
          <w:p w14:paraId="43D6C918" w14:textId="77777777" w:rsidR="00591E02" w:rsidRPr="00A33AE8" w:rsidRDefault="00591E02"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Sufficient level of coal in storage</w:t>
            </w:r>
          </w:p>
        </w:tc>
      </w:tr>
      <w:tr w:rsidR="00591E02" w:rsidRPr="00A33AE8" w14:paraId="0BE55A7B" w14:textId="77777777" w:rsidTr="0083689C">
        <w:trPr>
          <w:gridAfter w:val="1"/>
          <w:wAfter w:w="1212" w:type="dxa"/>
          <w:trHeight w:val="692"/>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2C083208"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Description:</w:t>
            </w:r>
          </w:p>
        </w:tc>
        <w:tc>
          <w:tcPr>
            <w:tcW w:w="6146" w:type="dxa"/>
            <w:gridSpan w:val="3"/>
            <w:tcBorders>
              <w:top w:val="single" w:sz="8" w:space="0" w:color="auto"/>
              <w:left w:val="nil"/>
              <w:bottom w:val="single" w:sz="8" w:space="0" w:color="auto"/>
              <w:right w:val="single" w:sz="8" w:space="0" w:color="000000"/>
            </w:tcBorders>
            <w:vAlign w:val="center"/>
            <w:hideMark/>
          </w:tcPr>
          <w:p w14:paraId="517420F1" w14:textId="77777777" w:rsidR="00272460" w:rsidRPr="00272460" w:rsidRDefault="00591E02" w:rsidP="00272460">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 order to achieve the objectives of the INECP in the most cost-efficient manner and ensure a safe and reliable energy system, investments should be made to modernise the coal mining industry in Serbia. This will mitigate any concerns regarding constrained or interrupted supply of energy.</w:t>
            </w:r>
          </w:p>
          <w:p w14:paraId="6F2094B1" w14:textId="77777777" w:rsidR="00272460" w:rsidRPr="00272460" w:rsidRDefault="00272460" w:rsidP="00272460">
            <w:pPr>
              <w:spacing w:after="0" w:line="240" w:lineRule="auto"/>
              <w:jc w:val="both"/>
              <w:rPr>
                <w:rFonts w:asciiTheme="majorHAnsi" w:eastAsia="Times New Roman" w:hAnsiTheme="majorHAnsi" w:cstheme="majorHAnsi"/>
                <w:color w:val="000000"/>
                <w:sz w:val="20"/>
                <w:szCs w:val="20"/>
                <w:lang w:eastAsia="en-GB"/>
              </w:rPr>
            </w:pPr>
            <w:r w:rsidRPr="00272460">
              <w:rPr>
                <w:rFonts w:asciiTheme="majorHAnsi" w:eastAsia="Times New Roman" w:hAnsiTheme="majorHAnsi" w:cstheme="majorHAnsi"/>
                <w:color w:val="000000"/>
                <w:sz w:val="20"/>
                <w:szCs w:val="20"/>
                <w:lang w:eastAsia="en-GB"/>
              </w:rPr>
              <w:t>The modernisation of coal mining is coupled with a modernisation of the older power plants, so that they can be compatible with the Large Combustion Plant Directive requirements. Such transitional measures are necessary to ensure a smooth energy transition in Serbia.</w:t>
            </w:r>
          </w:p>
          <w:p w14:paraId="4FF52DA8" w14:textId="77777777" w:rsidR="00591E02" w:rsidRPr="00A33AE8" w:rsidRDefault="00272460" w:rsidP="00272460">
            <w:pPr>
              <w:spacing w:after="0" w:line="240" w:lineRule="auto"/>
              <w:jc w:val="both"/>
              <w:rPr>
                <w:rFonts w:asciiTheme="majorHAnsi" w:eastAsia="Times New Roman" w:hAnsiTheme="majorHAnsi" w:cstheme="majorHAnsi"/>
                <w:color w:val="000000"/>
                <w:sz w:val="20"/>
                <w:szCs w:val="20"/>
                <w:lang w:eastAsia="en-GB"/>
              </w:rPr>
            </w:pPr>
            <w:r w:rsidRPr="00272460">
              <w:rPr>
                <w:rFonts w:asciiTheme="majorHAnsi" w:eastAsia="Times New Roman" w:hAnsiTheme="majorHAnsi" w:cstheme="majorHAnsi"/>
                <w:color w:val="000000"/>
                <w:sz w:val="20"/>
                <w:szCs w:val="20"/>
                <w:lang w:eastAsia="en-GB"/>
              </w:rPr>
              <w:t>More specifically, the modernisation of the coal mining industry includes investments in systems that lead to the reduction of harmful emissions and their associated negative impact on the environment due to more efficient and increased productivity. These investments will help with better product quality because of selective mining, homogenization and the introduction of an integral coal quality management system. These actions will ensure that the operation of the coal mining industry complies with the highest environmental standards, and facilitate the reduction of dust emissions, particulate matter, etc.</w:t>
            </w:r>
          </w:p>
        </w:tc>
      </w:tr>
      <w:tr w:rsidR="00591E02" w:rsidRPr="00A33AE8" w14:paraId="4FE4C46E" w14:textId="77777777" w:rsidTr="0083689C">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8CCC8FE"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Timeframe</w:t>
            </w:r>
          </w:p>
        </w:tc>
        <w:tc>
          <w:tcPr>
            <w:tcW w:w="6146" w:type="dxa"/>
            <w:gridSpan w:val="3"/>
            <w:tcBorders>
              <w:top w:val="single" w:sz="8" w:space="0" w:color="auto"/>
              <w:left w:val="nil"/>
              <w:bottom w:val="single" w:sz="8" w:space="0" w:color="auto"/>
              <w:right w:val="single" w:sz="8" w:space="0" w:color="000000"/>
            </w:tcBorders>
            <w:vAlign w:val="center"/>
            <w:hideMark/>
          </w:tcPr>
          <w:p w14:paraId="6347ADD6" w14:textId="77777777" w:rsidR="00591E02" w:rsidRPr="00A33AE8" w:rsidRDefault="00591E02"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2023-2030</w:t>
            </w:r>
          </w:p>
        </w:tc>
      </w:tr>
      <w:tr w:rsidR="00591E02" w:rsidRPr="00A33AE8" w14:paraId="1B6FDA1B" w14:textId="77777777" w:rsidTr="0083689C">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6509A10"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Type of measure</w:t>
            </w:r>
          </w:p>
        </w:tc>
        <w:tc>
          <w:tcPr>
            <w:tcW w:w="6146" w:type="dxa"/>
            <w:gridSpan w:val="3"/>
            <w:tcBorders>
              <w:top w:val="single" w:sz="8" w:space="0" w:color="auto"/>
              <w:left w:val="nil"/>
              <w:bottom w:val="single" w:sz="8" w:space="0" w:color="auto"/>
              <w:right w:val="single" w:sz="8" w:space="0" w:color="000000"/>
            </w:tcBorders>
            <w:vAlign w:val="center"/>
            <w:hideMark/>
          </w:tcPr>
          <w:p w14:paraId="2D331315" w14:textId="77777777" w:rsidR="00591E02" w:rsidRPr="00A33AE8" w:rsidRDefault="00F1295D"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591E02" w:rsidRPr="00A33AE8" w14:paraId="4022CA7D" w14:textId="77777777" w:rsidTr="0083689C">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2D0F109B"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Sectors covered/affected</w:t>
            </w:r>
          </w:p>
        </w:tc>
        <w:tc>
          <w:tcPr>
            <w:tcW w:w="6146" w:type="dxa"/>
            <w:gridSpan w:val="3"/>
            <w:tcBorders>
              <w:top w:val="single" w:sz="8" w:space="0" w:color="auto"/>
              <w:left w:val="nil"/>
              <w:bottom w:val="single" w:sz="8" w:space="0" w:color="auto"/>
              <w:right w:val="single" w:sz="8" w:space="0" w:color="000000"/>
            </w:tcBorders>
            <w:vAlign w:val="center"/>
            <w:hideMark/>
          </w:tcPr>
          <w:p w14:paraId="35FCD922" w14:textId="77777777" w:rsidR="00591E02" w:rsidRPr="00A33AE8" w:rsidRDefault="00591E02"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Coal</w:t>
            </w:r>
          </w:p>
        </w:tc>
      </w:tr>
      <w:tr w:rsidR="00591E02" w:rsidRPr="00A33AE8" w14:paraId="4CFA307A" w14:textId="77777777" w:rsidTr="0083689C">
        <w:trPr>
          <w:gridAfter w:val="1"/>
          <w:wAfter w:w="1212" w:type="dxa"/>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11BEEEC9"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64DB5289" w14:textId="77777777" w:rsidR="00591E02" w:rsidRPr="00A33AE8" w:rsidRDefault="005567E3"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EPS</w:t>
            </w:r>
          </w:p>
        </w:tc>
      </w:tr>
      <w:tr w:rsidR="00591E02" w:rsidRPr="00A33AE8" w14:paraId="30745C0B" w14:textId="77777777" w:rsidTr="0083689C">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3522A8F0"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Monitoring Entity</w:t>
            </w:r>
          </w:p>
        </w:tc>
        <w:tc>
          <w:tcPr>
            <w:tcW w:w="6146" w:type="dxa"/>
            <w:gridSpan w:val="3"/>
            <w:tcBorders>
              <w:top w:val="single" w:sz="8" w:space="0" w:color="auto"/>
              <w:left w:val="nil"/>
              <w:bottom w:val="single" w:sz="8" w:space="0" w:color="auto"/>
              <w:right w:val="single" w:sz="8" w:space="0" w:color="000000"/>
            </w:tcBorders>
            <w:vAlign w:val="center"/>
            <w:hideMark/>
          </w:tcPr>
          <w:p w14:paraId="0DB7D941" w14:textId="77777777" w:rsidR="00591E02" w:rsidRPr="00A33AE8" w:rsidRDefault="00591E02"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Reserves Directorate</w:t>
            </w:r>
          </w:p>
          <w:p w14:paraId="611652D3" w14:textId="77777777" w:rsidR="00591E02" w:rsidRPr="00A33AE8" w:rsidRDefault="00591E02"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591E02" w:rsidRPr="00A33AE8" w14:paraId="36E5CD5B" w14:textId="77777777" w:rsidTr="0083689C">
        <w:trPr>
          <w:gridAfter w:val="1"/>
          <w:wAfter w:w="1212" w:type="dxa"/>
          <w:trHeight w:val="315"/>
        </w:trPr>
        <w:tc>
          <w:tcPr>
            <w:tcW w:w="3342" w:type="dxa"/>
            <w:tcBorders>
              <w:top w:val="nil"/>
              <w:left w:val="single" w:sz="8" w:space="0" w:color="auto"/>
              <w:bottom w:val="single" w:sz="8" w:space="0" w:color="auto"/>
              <w:right w:val="nil"/>
            </w:tcBorders>
            <w:shd w:val="clear" w:color="auto" w:fill="244062"/>
            <w:vAlign w:val="center"/>
            <w:hideMark/>
          </w:tcPr>
          <w:p w14:paraId="7AFBE158"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Progress indicators</w:t>
            </w:r>
          </w:p>
        </w:tc>
        <w:tc>
          <w:tcPr>
            <w:tcW w:w="6146" w:type="dxa"/>
            <w:gridSpan w:val="3"/>
            <w:tcBorders>
              <w:top w:val="single" w:sz="8" w:space="0" w:color="auto"/>
              <w:left w:val="nil"/>
              <w:bottom w:val="single" w:sz="8" w:space="0" w:color="auto"/>
              <w:right w:val="single" w:sz="8" w:space="0" w:color="000000"/>
            </w:tcBorders>
            <w:vAlign w:val="center"/>
            <w:hideMark/>
          </w:tcPr>
          <w:p w14:paraId="2C00D485" w14:textId="77777777" w:rsidR="00591E02" w:rsidRPr="005B2C66" w:rsidRDefault="00591E02" w:rsidP="00272460">
            <w:pPr>
              <w:spacing w:after="0" w:line="240" w:lineRule="auto"/>
              <w:jc w:val="both"/>
              <w:rPr>
                <w:rFonts w:asciiTheme="majorHAnsi" w:eastAsia="Times New Roman" w:hAnsiTheme="majorHAnsi" w:cstheme="majorHAnsi"/>
                <w:color w:val="000000"/>
                <w:sz w:val="20"/>
                <w:szCs w:val="20"/>
                <w:lang w:eastAsia="en-GB"/>
              </w:rPr>
            </w:pPr>
            <w:r w:rsidRPr="005B2C66">
              <w:rPr>
                <w:rFonts w:asciiTheme="majorHAnsi" w:eastAsia="Times New Roman" w:hAnsiTheme="majorHAnsi" w:cstheme="majorHAnsi"/>
                <w:color w:val="000000"/>
                <w:sz w:val="20"/>
                <w:szCs w:val="20"/>
                <w:lang w:eastAsia="en-GB"/>
              </w:rPr>
              <w:t>Volume of energy product in stock</w:t>
            </w:r>
          </w:p>
        </w:tc>
      </w:tr>
      <w:tr w:rsidR="00591E02" w:rsidRPr="00A33AE8" w14:paraId="49E67BA0" w14:textId="77777777" w:rsidTr="0083689C">
        <w:trPr>
          <w:gridAfter w:val="1"/>
          <w:wAfter w:w="1212" w:type="dxa"/>
          <w:trHeight w:val="491"/>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2903EA23"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46" w:type="dxa"/>
            <w:gridSpan w:val="3"/>
            <w:tcBorders>
              <w:top w:val="single" w:sz="8" w:space="0" w:color="auto"/>
              <w:left w:val="nil"/>
              <w:bottom w:val="single" w:sz="8" w:space="0" w:color="auto"/>
              <w:right w:val="single" w:sz="8" w:space="0" w:color="000000"/>
            </w:tcBorders>
            <w:vAlign w:val="center"/>
            <w:hideMark/>
          </w:tcPr>
          <w:p w14:paraId="1639FE89" w14:textId="77777777" w:rsidR="00591E02" w:rsidRPr="00A33AE8" w:rsidRDefault="00272460"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272460">
              <w:rPr>
                <w:rFonts w:asciiTheme="majorHAnsi" w:eastAsia="Times New Roman" w:hAnsiTheme="majorHAnsi" w:cstheme="majorHAnsi"/>
                <w:color w:val="000000"/>
                <w:sz w:val="20"/>
                <w:szCs w:val="20"/>
                <w:lang w:eastAsia="en-GB"/>
              </w:rPr>
              <w:t>Decarbonisation</w:t>
            </w:r>
          </w:p>
        </w:tc>
      </w:tr>
      <w:tr w:rsidR="00591E02" w:rsidRPr="00A33AE8" w14:paraId="60387A9F" w14:textId="77777777" w:rsidTr="0083689C">
        <w:trPr>
          <w:gridAfter w:val="1"/>
          <w:wAfter w:w="1212" w:type="dxa"/>
          <w:trHeight w:val="450"/>
        </w:trPr>
        <w:tc>
          <w:tcPr>
            <w:tcW w:w="3342" w:type="dxa"/>
            <w:vMerge w:val="restart"/>
            <w:tcBorders>
              <w:top w:val="nil"/>
              <w:left w:val="single" w:sz="8" w:space="0" w:color="auto"/>
              <w:bottom w:val="single" w:sz="8" w:space="0" w:color="000000"/>
              <w:right w:val="single" w:sz="8" w:space="0" w:color="auto"/>
            </w:tcBorders>
            <w:shd w:val="clear" w:color="auto" w:fill="244062"/>
            <w:vAlign w:val="center"/>
            <w:hideMark/>
          </w:tcPr>
          <w:p w14:paraId="2A218942"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Union policy which resulted in the implementation of the PaM</w:t>
            </w:r>
          </w:p>
        </w:tc>
        <w:tc>
          <w:tcPr>
            <w:tcW w:w="6146"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639B8489" w14:textId="77777777" w:rsidR="00591E02" w:rsidRPr="00A33AE8" w:rsidRDefault="00591E02" w:rsidP="00884F3B">
            <w:pPr>
              <w:pStyle w:val="ListParagraph"/>
              <w:numPr>
                <w:ilvl w:val="0"/>
                <w:numId w:val="4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Prevention and crisis plan (Government Regulation)</w:t>
            </w:r>
          </w:p>
        </w:tc>
      </w:tr>
      <w:tr w:rsidR="00591E02" w:rsidRPr="00A33AE8" w14:paraId="44A66F36" w14:textId="77777777" w:rsidTr="0083689C">
        <w:trPr>
          <w:trHeight w:val="300"/>
        </w:trPr>
        <w:tc>
          <w:tcPr>
            <w:tcW w:w="0" w:type="auto"/>
            <w:vMerge/>
            <w:tcBorders>
              <w:top w:val="nil"/>
              <w:left w:val="single" w:sz="8" w:space="0" w:color="auto"/>
              <w:bottom w:val="single" w:sz="8" w:space="0" w:color="000000"/>
              <w:right w:val="single" w:sz="8" w:space="0" w:color="auto"/>
            </w:tcBorders>
            <w:vAlign w:val="center"/>
            <w:hideMark/>
          </w:tcPr>
          <w:p w14:paraId="71C51374" w14:textId="77777777" w:rsidR="00591E02" w:rsidRPr="00A33AE8" w:rsidRDefault="00591E02" w:rsidP="0083689C">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30884659" w14:textId="77777777" w:rsidR="00591E02" w:rsidRPr="00A33AE8" w:rsidRDefault="00591E02" w:rsidP="0083689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6FF8BE3" w14:textId="77777777" w:rsidR="00591E02" w:rsidRPr="00A33AE8" w:rsidRDefault="00591E02" w:rsidP="0083689C"/>
        </w:tc>
      </w:tr>
      <w:tr w:rsidR="00591E02" w:rsidRPr="00A33AE8" w14:paraId="73328EF8" w14:textId="77777777" w:rsidTr="0083689C">
        <w:trPr>
          <w:trHeight w:val="315"/>
        </w:trPr>
        <w:tc>
          <w:tcPr>
            <w:tcW w:w="0" w:type="auto"/>
            <w:vMerge/>
            <w:tcBorders>
              <w:top w:val="nil"/>
              <w:left w:val="single" w:sz="8" w:space="0" w:color="auto"/>
              <w:bottom w:val="single" w:sz="8" w:space="0" w:color="000000"/>
              <w:right w:val="single" w:sz="8" w:space="0" w:color="auto"/>
            </w:tcBorders>
            <w:vAlign w:val="center"/>
            <w:hideMark/>
          </w:tcPr>
          <w:p w14:paraId="40054C40" w14:textId="77777777" w:rsidR="00591E02" w:rsidRPr="00A33AE8" w:rsidRDefault="00591E02" w:rsidP="0083689C">
            <w:pPr>
              <w:spacing w:after="0" w:line="256" w:lineRule="auto"/>
              <w:rPr>
                <w:rFonts w:asciiTheme="majorHAnsi" w:eastAsia="Times New Roman" w:hAnsiTheme="majorHAnsi" w:cstheme="majorHAnsi"/>
                <w:b/>
                <w:bCs/>
                <w:color w:val="FFFFFF"/>
                <w:sz w:val="20"/>
                <w:szCs w:val="20"/>
                <w:lang w:eastAsia="en-GB"/>
              </w:rPr>
            </w:pPr>
          </w:p>
        </w:tc>
        <w:tc>
          <w:tcPr>
            <w:tcW w:w="6146" w:type="dxa"/>
            <w:gridSpan w:val="3"/>
            <w:vMerge/>
            <w:tcBorders>
              <w:top w:val="single" w:sz="8" w:space="0" w:color="auto"/>
              <w:left w:val="single" w:sz="8" w:space="0" w:color="auto"/>
              <w:bottom w:val="single" w:sz="8" w:space="0" w:color="000000"/>
              <w:right w:val="single" w:sz="8" w:space="0" w:color="000000"/>
            </w:tcBorders>
            <w:vAlign w:val="center"/>
            <w:hideMark/>
          </w:tcPr>
          <w:p w14:paraId="264B00BA" w14:textId="77777777" w:rsidR="00591E02" w:rsidRPr="00A33AE8" w:rsidRDefault="00591E02" w:rsidP="0083689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667B25E" w14:textId="77777777" w:rsidR="00591E02" w:rsidRPr="00A33AE8" w:rsidRDefault="00591E02" w:rsidP="0083689C">
            <w:pPr>
              <w:spacing w:after="0" w:line="256" w:lineRule="auto"/>
              <w:rPr>
                <w:sz w:val="20"/>
                <w:szCs w:val="20"/>
                <w:lang w:eastAsia="en-GB"/>
              </w:rPr>
            </w:pPr>
          </w:p>
        </w:tc>
      </w:tr>
      <w:tr w:rsidR="00591E02" w:rsidRPr="00A33AE8" w14:paraId="1EA66FC5" w14:textId="77777777" w:rsidTr="0083689C">
        <w:trPr>
          <w:trHeight w:val="311"/>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5A3C397"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Relevant National Planning Document (Legal, Regulatory Acts etc)</w:t>
            </w:r>
          </w:p>
        </w:tc>
        <w:tc>
          <w:tcPr>
            <w:tcW w:w="6146" w:type="dxa"/>
            <w:gridSpan w:val="3"/>
            <w:tcBorders>
              <w:top w:val="single" w:sz="8" w:space="0" w:color="auto"/>
              <w:left w:val="nil"/>
              <w:bottom w:val="single" w:sz="8" w:space="0" w:color="auto"/>
              <w:right w:val="single" w:sz="8" w:space="0" w:color="000000"/>
            </w:tcBorders>
            <w:vAlign w:val="center"/>
            <w:hideMark/>
          </w:tcPr>
          <w:p w14:paraId="26936FAB" w14:textId="77777777" w:rsidR="00591E02" w:rsidRPr="00A33AE8" w:rsidRDefault="00591E02" w:rsidP="00884F3B">
            <w:pPr>
              <w:pStyle w:val="ListParagraph"/>
              <w:numPr>
                <w:ilvl w:val="0"/>
                <w:numId w:val="4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c>
          <w:tcPr>
            <w:tcW w:w="1212" w:type="dxa"/>
            <w:vAlign w:val="center"/>
            <w:hideMark/>
          </w:tcPr>
          <w:p w14:paraId="012FB7AF" w14:textId="77777777" w:rsidR="00591E02" w:rsidRPr="00A33AE8" w:rsidRDefault="00591E02" w:rsidP="0083689C">
            <w:pPr>
              <w:rPr>
                <w:rFonts w:asciiTheme="majorHAnsi" w:eastAsia="Times New Roman" w:hAnsiTheme="majorHAnsi" w:cstheme="majorHAnsi"/>
                <w:color w:val="000000"/>
                <w:sz w:val="20"/>
                <w:szCs w:val="20"/>
                <w:lang w:eastAsia="en-GB"/>
              </w:rPr>
            </w:pPr>
          </w:p>
        </w:tc>
      </w:tr>
      <w:tr w:rsidR="00591E02" w:rsidRPr="00A33AE8" w14:paraId="241D1179" w14:textId="77777777" w:rsidTr="0083689C">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721A9F13"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Implementation cost</w:t>
            </w:r>
          </w:p>
        </w:tc>
        <w:tc>
          <w:tcPr>
            <w:tcW w:w="6146" w:type="dxa"/>
            <w:gridSpan w:val="3"/>
            <w:tcBorders>
              <w:top w:val="single" w:sz="8" w:space="0" w:color="auto"/>
              <w:left w:val="nil"/>
              <w:bottom w:val="single" w:sz="8" w:space="0" w:color="auto"/>
              <w:right w:val="single" w:sz="8" w:space="0" w:color="000000"/>
            </w:tcBorders>
            <w:vAlign w:val="center"/>
            <w:hideMark/>
          </w:tcPr>
          <w:p w14:paraId="02557E53" w14:textId="77777777" w:rsidR="00591E02" w:rsidRPr="00A33AE8" w:rsidRDefault="00591E02" w:rsidP="0083689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w:t>
            </w:r>
            <w:r w:rsidR="00F1295D"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 xml:space="preserve"> B</w:t>
            </w:r>
            <w:r w:rsidRPr="00A33AE8">
              <w:rPr>
                <w:rFonts w:ascii="Calibri" w:eastAsia="Times New Roman" w:hAnsi="Calibri" w:cs="Calibri"/>
                <w:color w:val="000000"/>
                <w:sz w:val="20"/>
                <w:szCs w:val="20"/>
                <w:lang w:eastAsia="en-GB"/>
              </w:rPr>
              <w:t>€</w:t>
            </w:r>
          </w:p>
        </w:tc>
        <w:tc>
          <w:tcPr>
            <w:tcW w:w="1212" w:type="dxa"/>
            <w:vAlign w:val="center"/>
            <w:hideMark/>
          </w:tcPr>
          <w:p w14:paraId="24DBECED" w14:textId="77777777" w:rsidR="00591E02" w:rsidRPr="00A33AE8" w:rsidRDefault="00591E02" w:rsidP="0083689C">
            <w:pPr>
              <w:rPr>
                <w:rFonts w:asciiTheme="majorHAnsi" w:eastAsia="Times New Roman" w:hAnsiTheme="majorHAnsi" w:cstheme="majorHAnsi"/>
                <w:color w:val="000000"/>
                <w:sz w:val="20"/>
                <w:szCs w:val="20"/>
                <w:lang w:eastAsia="en-GB"/>
              </w:rPr>
            </w:pPr>
          </w:p>
        </w:tc>
      </w:tr>
      <w:tr w:rsidR="00591E02" w:rsidRPr="00A33AE8" w14:paraId="0F0B2931" w14:textId="77777777" w:rsidTr="0083689C">
        <w:trPr>
          <w:trHeight w:val="315"/>
        </w:trPr>
        <w:tc>
          <w:tcPr>
            <w:tcW w:w="3342" w:type="dxa"/>
            <w:tcBorders>
              <w:top w:val="nil"/>
              <w:left w:val="single" w:sz="8" w:space="0" w:color="auto"/>
              <w:bottom w:val="single" w:sz="8" w:space="0" w:color="auto"/>
              <w:right w:val="single" w:sz="8" w:space="0" w:color="auto"/>
            </w:tcBorders>
            <w:shd w:val="clear" w:color="auto" w:fill="244062"/>
            <w:vAlign w:val="center"/>
            <w:hideMark/>
          </w:tcPr>
          <w:p w14:paraId="0A34237B" w14:textId="77777777" w:rsidR="00591E02" w:rsidRPr="00A33AE8" w:rsidRDefault="00591E02" w:rsidP="0083689C">
            <w:pPr>
              <w:spacing w:after="0" w:line="240" w:lineRule="auto"/>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Financing source(s)</w:t>
            </w:r>
          </w:p>
        </w:tc>
        <w:tc>
          <w:tcPr>
            <w:tcW w:w="6146" w:type="dxa"/>
            <w:gridSpan w:val="3"/>
            <w:tcBorders>
              <w:top w:val="single" w:sz="8" w:space="0" w:color="auto"/>
              <w:left w:val="nil"/>
              <w:bottom w:val="single" w:sz="8" w:space="0" w:color="auto"/>
              <w:right w:val="single" w:sz="8" w:space="0" w:color="000000"/>
            </w:tcBorders>
            <w:vAlign w:val="center"/>
            <w:hideMark/>
          </w:tcPr>
          <w:p w14:paraId="0D41D4F7" w14:textId="77777777" w:rsidR="00591E02" w:rsidRPr="00A33AE8" w:rsidRDefault="000F0A3A" w:rsidP="0083689C">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Own funds</w:t>
            </w:r>
          </w:p>
        </w:tc>
        <w:tc>
          <w:tcPr>
            <w:tcW w:w="1212" w:type="dxa"/>
            <w:vAlign w:val="center"/>
            <w:hideMark/>
          </w:tcPr>
          <w:p w14:paraId="3193D2CF" w14:textId="77777777" w:rsidR="00591E02" w:rsidRPr="00A33AE8" w:rsidRDefault="00591E02" w:rsidP="0083689C">
            <w:pPr>
              <w:rPr>
                <w:rFonts w:asciiTheme="majorHAnsi" w:eastAsia="Times New Roman" w:hAnsiTheme="majorHAnsi" w:cstheme="majorHAnsi"/>
                <w:color w:val="000000"/>
                <w:sz w:val="20"/>
                <w:szCs w:val="20"/>
                <w:lang w:eastAsia="en-GB"/>
              </w:rPr>
            </w:pPr>
          </w:p>
        </w:tc>
      </w:tr>
    </w:tbl>
    <w:p w14:paraId="3A37F60C" w14:textId="77777777" w:rsidR="005A33E0" w:rsidRPr="00A33AE8" w:rsidRDefault="005A33E0" w:rsidP="00751097">
      <w:pPr>
        <w:pStyle w:val="LDKbody"/>
        <w:rPr>
          <w:rFonts w:asciiTheme="majorHAnsi" w:hAnsiTheme="majorHAnsi" w:cstheme="majorHAnsi"/>
          <w:sz w:val="20"/>
          <w:szCs w:val="20"/>
          <w:lang w:val="en-GB"/>
        </w:rPr>
      </w:pPr>
    </w:p>
    <w:p w14:paraId="0FE6FB83" w14:textId="77777777" w:rsidR="00641E50" w:rsidRPr="00A33AE8" w:rsidRDefault="00641E50" w:rsidP="00641E50">
      <w:pPr>
        <w:pStyle w:val="LDKbody"/>
        <w:rPr>
          <w:rFonts w:asciiTheme="majorHAnsi" w:hAnsiTheme="majorHAnsi" w:cstheme="majorHAnsi"/>
          <w:lang w:val="en-GB"/>
        </w:rPr>
      </w:pPr>
      <w:r w:rsidRPr="00A33AE8">
        <w:rPr>
          <w:rFonts w:asciiTheme="majorHAnsi" w:hAnsiTheme="majorHAnsi" w:cstheme="majorHAnsi"/>
          <w:lang w:val="en-GB"/>
        </w:rPr>
        <w:t>Except the measures presented in the previous tables, the following measures related to the other dimensions also affect the energy security dimension and contribute to the achievement of the energy security targets:</w:t>
      </w:r>
    </w:p>
    <w:p w14:paraId="2B4B7934" w14:textId="77777777" w:rsidR="00641E50" w:rsidRPr="00A33AE8" w:rsidRDefault="00641E50" w:rsidP="00641E50">
      <w:pPr>
        <w:pStyle w:val="LDKBullets-main"/>
        <w:rPr>
          <w:rFonts w:asciiTheme="majorHAnsi" w:hAnsiTheme="majorHAnsi" w:cstheme="majorHAnsi"/>
        </w:rPr>
      </w:pPr>
      <w:r w:rsidRPr="00A33AE8">
        <w:rPr>
          <w:rFonts w:asciiTheme="majorHAnsi" w:hAnsiTheme="majorHAnsi" w:cstheme="majorHAnsi"/>
        </w:rPr>
        <w:t xml:space="preserve">Dimension internal energy market: </w:t>
      </w:r>
      <w:r w:rsidRPr="00A33AE8">
        <w:rPr>
          <w:rFonts w:asciiTheme="majorHAnsi" w:hAnsiTheme="majorHAnsi" w:cstheme="majorHAnsi"/>
          <w:b/>
          <w:bCs/>
        </w:rPr>
        <w:t>PM_IEM</w:t>
      </w:r>
      <w:r w:rsidR="00441169">
        <w:rPr>
          <w:rFonts w:asciiTheme="majorHAnsi" w:hAnsiTheme="majorHAnsi" w:cstheme="majorHAnsi"/>
          <w:b/>
          <w:bCs/>
        </w:rPr>
        <w:t>2</w:t>
      </w:r>
      <w:r w:rsidRPr="00A33AE8">
        <w:rPr>
          <w:rFonts w:asciiTheme="majorHAnsi" w:hAnsiTheme="majorHAnsi" w:cstheme="majorHAnsi"/>
          <w:b/>
          <w:bCs/>
        </w:rPr>
        <w:t xml:space="preserve"> - PM_IEM7, PM_IEM8 (PM_IEM8.1 –PM_IEM8.8)</w:t>
      </w:r>
      <w:r w:rsidRPr="00A33AE8">
        <w:rPr>
          <w:rFonts w:asciiTheme="majorHAnsi" w:hAnsiTheme="majorHAnsi" w:cstheme="majorHAnsi"/>
        </w:rPr>
        <w:t xml:space="preserve">, </w:t>
      </w:r>
      <w:r w:rsidRPr="00A33AE8">
        <w:rPr>
          <w:rFonts w:asciiTheme="majorHAnsi" w:hAnsiTheme="majorHAnsi" w:cstheme="majorHAnsi"/>
          <w:b/>
          <w:bCs/>
        </w:rPr>
        <w:t>PM_IEM9 - PM_IEM14</w:t>
      </w:r>
      <w:r w:rsidRPr="00A33AE8">
        <w:rPr>
          <w:rFonts w:asciiTheme="majorHAnsi" w:hAnsiTheme="majorHAnsi" w:cstheme="majorHAnsi"/>
        </w:rPr>
        <w:t xml:space="preserve">, </w:t>
      </w:r>
      <w:r w:rsidRPr="00A33AE8">
        <w:rPr>
          <w:rFonts w:asciiTheme="majorHAnsi" w:hAnsiTheme="majorHAnsi" w:cstheme="majorHAnsi"/>
          <w:b/>
          <w:bCs/>
        </w:rPr>
        <w:t>PM_IEM16</w:t>
      </w:r>
      <w:r w:rsidRPr="00A33AE8">
        <w:rPr>
          <w:rFonts w:asciiTheme="majorHAnsi" w:hAnsiTheme="majorHAnsi" w:cstheme="majorHAnsi"/>
        </w:rPr>
        <w:t xml:space="preserve">, </w:t>
      </w:r>
      <w:r w:rsidRPr="00A33AE8">
        <w:rPr>
          <w:rFonts w:asciiTheme="majorHAnsi" w:hAnsiTheme="majorHAnsi" w:cstheme="majorHAnsi"/>
          <w:b/>
          <w:bCs/>
        </w:rPr>
        <w:t>PM_IEM18</w:t>
      </w:r>
      <w:r w:rsidRPr="00A33AE8">
        <w:rPr>
          <w:rFonts w:asciiTheme="majorHAnsi" w:hAnsiTheme="majorHAnsi" w:cstheme="majorHAnsi"/>
        </w:rPr>
        <w:t xml:space="preserve">, </w:t>
      </w:r>
      <w:r w:rsidRPr="00A33AE8">
        <w:rPr>
          <w:rFonts w:asciiTheme="majorHAnsi" w:hAnsiTheme="majorHAnsi" w:cstheme="majorHAnsi"/>
          <w:b/>
          <w:bCs/>
        </w:rPr>
        <w:t>PM_IEM20, PM_IEM21, PM_</w:t>
      </w:r>
      <w:r w:rsidR="00A603F1" w:rsidRPr="00A33AE8">
        <w:rPr>
          <w:rFonts w:asciiTheme="majorHAnsi" w:hAnsiTheme="majorHAnsi" w:cstheme="majorHAnsi"/>
          <w:b/>
          <w:bCs/>
        </w:rPr>
        <w:t>IEM3</w:t>
      </w:r>
      <w:r w:rsidR="00A603F1">
        <w:rPr>
          <w:rFonts w:asciiTheme="majorHAnsi" w:hAnsiTheme="majorHAnsi" w:cstheme="majorHAnsi"/>
          <w:b/>
          <w:bCs/>
        </w:rPr>
        <w:t>1</w:t>
      </w:r>
      <w:r w:rsidR="00A603F1" w:rsidRPr="00A33AE8">
        <w:rPr>
          <w:rFonts w:asciiTheme="majorHAnsi" w:hAnsiTheme="majorHAnsi" w:cstheme="majorHAnsi"/>
        </w:rPr>
        <w:t xml:space="preserve"> </w:t>
      </w:r>
      <w:r w:rsidRPr="00A33AE8">
        <w:rPr>
          <w:rFonts w:asciiTheme="majorHAnsi" w:hAnsiTheme="majorHAnsi" w:cstheme="majorHAnsi"/>
        </w:rPr>
        <w:t xml:space="preserve">and </w:t>
      </w:r>
      <w:r w:rsidRPr="00A33AE8">
        <w:rPr>
          <w:rFonts w:asciiTheme="majorHAnsi" w:hAnsiTheme="majorHAnsi" w:cstheme="majorHAnsi"/>
          <w:b/>
          <w:bCs/>
        </w:rPr>
        <w:t>PM_</w:t>
      </w:r>
      <w:r w:rsidR="00A603F1" w:rsidRPr="00A33AE8">
        <w:rPr>
          <w:rFonts w:asciiTheme="majorHAnsi" w:hAnsiTheme="majorHAnsi" w:cstheme="majorHAnsi"/>
          <w:b/>
          <w:bCs/>
        </w:rPr>
        <w:t>IEM3</w:t>
      </w:r>
      <w:r w:rsidR="00A603F1">
        <w:rPr>
          <w:rFonts w:asciiTheme="majorHAnsi" w:hAnsiTheme="majorHAnsi" w:cstheme="majorHAnsi"/>
          <w:b/>
          <w:bCs/>
        </w:rPr>
        <w:t>2</w:t>
      </w:r>
    </w:p>
    <w:p w14:paraId="0975849B" w14:textId="77777777" w:rsidR="0024260E" w:rsidRPr="00A33AE8" w:rsidRDefault="0024260E" w:rsidP="00641E50">
      <w:pPr>
        <w:pStyle w:val="LDKBullets-main"/>
        <w:rPr>
          <w:rFonts w:asciiTheme="majorHAnsi" w:hAnsiTheme="majorHAnsi" w:cstheme="majorHAnsi"/>
        </w:rPr>
      </w:pPr>
      <w:r w:rsidRPr="00A33AE8">
        <w:rPr>
          <w:rFonts w:asciiTheme="majorHAnsi" w:hAnsiTheme="majorHAnsi" w:cstheme="majorHAnsi"/>
        </w:rPr>
        <w:t xml:space="preserve">Dimension research, innovation and competitiveness: </w:t>
      </w:r>
      <w:r w:rsidRPr="00A33AE8">
        <w:rPr>
          <w:rFonts w:asciiTheme="majorHAnsi" w:hAnsiTheme="majorHAnsi" w:cstheme="majorHAnsi"/>
          <w:b/>
          <w:bCs/>
        </w:rPr>
        <w:t>PM_RIC10 – PM_RIC14</w:t>
      </w:r>
    </w:p>
    <w:p w14:paraId="7C6CD112" w14:textId="77777777" w:rsidR="00B6107E" w:rsidRPr="00A33AE8" w:rsidRDefault="00B6107E" w:rsidP="00751097">
      <w:pPr>
        <w:pStyle w:val="LDKbody"/>
        <w:rPr>
          <w:rFonts w:asciiTheme="majorHAnsi" w:hAnsiTheme="majorHAnsi" w:cstheme="majorHAnsi"/>
          <w:sz w:val="20"/>
          <w:szCs w:val="20"/>
          <w:lang w:val="en-GB"/>
        </w:rPr>
      </w:pPr>
    </w:p>
    <w:p w14:paraId="759DAA87" w14:textId="77777777" w:rsidR="00351DC9" w:rsidRPr="00A33AE8" w:rsidRDefault="00351DC9" w:rsidP="00351DC9">
      <w:pPr>
        <w:pStyle w:val="Heading2"/>
      </w:pPr>
      <w:bookmarkStart w:id="170" w:name="_Toc79772556"/>
      <w:bookmarkStart w:id="171" w:name="_Toc118991776"/>
      <w:bookmarkStart w:id="172" w:name="_Toc153545048"/>
      <w:r w:rsidRPr="00A33AE8">
        <w:lastRenderedPageBreak/>
        <w:t>Dimension Internal Energy Market</w:t>
      </w:r>
      <w:bookmarkEnd w:id="170"/>
      <w:bookmarkEnd w:id="171"/>
      <w:bookmarkEnd w:id="172"/>
    </w:p>
    <w:p w14:paraId="3CA3FB26" w14:textId="77777777" w:rsidR="00351DC9" w:rsidRPr="00A33AE8" w:rsidRDefault="00351DC9" w:rsidP="007D341E">
      <w:pPr>
        <w:pStyle w:val="Heading3"/>
      </w:pPr>
      <w:r w:rsidRPr="00A33AE8">
        <w:t>Electricity interconnectivity</w:t>
      </w:r>
    </w:p>
    <w:p w14:paraId="21DE3146" w14:textId="77777777" w:rsidR="00FD2B5A" w:rsidRPr="00A33AE8" w:rsidRDefault="00FD2B5A" w:rsidP="001D1BB0">
      <w:pPr>
        <w:pStyle w:val="LDKbody"/>
        <w:rPr>
          <w:lang w:val="en-GB"/>
        </w:rPr>
      </w:pPr>
    </w:p>
    <w:tbl>
      <w:tblPr>
        <w:tblW w:w="10700" w:type="dxa"/>
        <w:tblLook w:val="04A0" w:firstRow="1" w:lastRow="0" w:firstColumn="1" w:lastColumn="0" w:noHBand="0" w:noVBand="1"/>
      </w:tblPr>
      <w:tblGrid>
        <w:gridCol w:w="3290"/>
        <w:gridCol w:w="1106"/>
        <w:gridCol w:w="934"/>
        <w:gridCol w:w="4158"/>
        <w:gridCol w:w="1212"/>
      </w:tblGrid>
      <w:tr w:rsidR="00FD2B5A" w:rsidRPr="00A33AE8" w14:paraId="77A9E99E" w14:textId="77777777" w:rsidTr="00FF03FA">
        <w:trPr>
          <w:gridAfter w:val="1"/>
          <w:wAfter w:w="1212" w:type="dxa"/>
          <w:trHeight w:val="780"/>
        </w:trPr>
        <w:tc>
          <w:tcPr>
            <w:tcW w:w="3290"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4150A31" w14:textId="77777777" w:rsidR="00FD2B5A" w:rsidRPr="00A33AE8" w:rsidRDefault="00FD2B5A"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634E9BF" w14:textId="77777777" w:rsidR="00FD2B5A" w:rsidRPr="00A33AE8" w:rsidRDefault="00FD2B5A"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IEM2</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06F8061A" w14:textId="77777777" w:rsidR="00FD2B5A" w:rsidRPr="00A33AE8" w:rsidRDefault="00FD2B5A"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740ED262" w14:textId="77777777" w:rsidR="00FD2B5A" w:rsidRPr="00A33AE8" w:rsidRDefault="00FD2B5A" w:rsidP="00FF03FA">
            <w:pPr>
              <w:spacing w:after="0" w:line="240" w:lineRule="auto"/>
              <w:jc w:val="both"/>
              <w:rPr>
                <w:rFonts w:asciiTheme="majorHAnsi" w:eastAsia="Times New Roman" w:hAnsiTheme="majorHAnsi" w:cstheme="majorHAnsi"/>
                <w:b/>
                <w:bCs/>
                <w:color w:val="000000"/>
                <w:sz w:val="20"/>
                <w:szCs w:val="20"/>
                <w:lang w:eastAsia="en-GB"/>
              </w:rPr>
            </w:pPr>
            <w:bookmarkStart w:id="173" w:name="_Hlk113476490"/>
            <w:r w:rsidRPr="00A33AE8">
              <w:rPr>
                <w:rFonts w:asciiTheme="majorHAnsi" w:eastAsia="Times New Roman" w:hAnsiTheme="majorHAnsi" w:cstheme="majorHAnsi"/>
                <w:b/>
                <w:bCs/>
                <w:color w:val="000000"/>
                <w:sz w:val="20"/>
                <w:szCs w:val="20"/>
                <w:lang w:eastAsia="en-GB"/>
              </w:rPr>
              <w:t>Implementation of Transbalkan Corridor: OHL Obrenovac (RS) - Bajina Basta (RS)</w:t>
            </w:r>
            <w:bookmarkEnd w:id="173"/>
          </w:p>
        </w:tc>
      </w:tr>
      <w:tr w:rsidR="00FD2B5A" w:rsidRPr="00A33AE8" w14:paraId="2A57AA97" w14:textId="77777777" w:rsidTr="00FF03FA">
        <w:trPr>
          <w:gridAfter w:val="1"/>
          <w:wAfter w:w="1212" w:type="dxa"/>
          <w:trHeight w:val="960"/>
        </w:trPr>
        <w:tc>
          <w:tcPr>
            <w:tcW w:w="3290" w:type="dxa"/>
            <w:tcBorders>
              <w:top w:val="nil"/>
              <w:left w:val="single" w:sz="8" w:space="0" w:color="auto"/>
              <w:bottom w:val="single" w:sz="8" w:space="0" w:color="auto"/>
              <w:right w:val="nil"/>
            </w:tcBorders>
            <w:shd w:val="clear" w:color="auto" w:fill="244062"/>
            <w:vAlign w:val="center"/>
            <w:hideMark/>
          </w:tcPr>
          <w:p w14:paraId="4C744184" w14:textId="77777777" w:rsidR="00FD2B5A" w:rsidRPr="00A33AE8" w:rsidRDefault="00FD2B5A"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8" w:type="dxa"/>
            <w:gridSpan w:val="3"/>
            <w:tcBorders>
              <w:top w:val="single" w:sz="8" w:space="0" w:color="auto"/>
              <w:left w:val="nil"/>
              <w:bottom w:val="single" w:sz="8" w:space="0" w:color="auto"/>
              <w:right w:val="single" w:sz="8" w:space="0" w:color="000000"/>
            </w:tcBorders>
            <w:vAlign w:val="center"/>
          </w:tcPr>
          <w:p w14:paraId="23024D2E" w14:textId="77777777" w:rsidR="00FD2B5A" w:rsidRPr="00A33AE8" w:rsidRDefault="00612D01"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Maintaining and achieving the interconnectivity targets; planning and implementation of electricity and gas transmission infrastructure projects (and, where relevant, modernization projects); ensuring the reliability of the customers’ power supply; creation of conditions for further industrial development of the areas where the project is located; integration of the desired level of RES; providing the necessary level of flexibility of the power system; which are necessary for the achievement of objectives and targets under the five dimensions of the Energy Union.</w:t>
            </w:r>
          </w:p>
        </w:tc>
      </w:tr>
      <w:tr w:rsidR="00FD2B5A" w:rsidRPr="00A33AE8" w14:paraId="5BEEC647" w14:textId="77777777" w:rsidTr="00FF03FA">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00382446" w14:textId="77777777" w:rsidR="00FD2B5A" w:rsidRPr="00A33AE8" w:rsidRDefault="00FD2B5A"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8" w:type="dxa"/>
            <w:gridSpan w:val="3"/>
            <w:tcBorders>
              <w:top w:val="single" w:sz="8" w:space="0" w:color="auto"/>
              <w:left w:val="nil"/>
              <w:bottom w:val="single" w:sz="8" w:space="0" w:color="auto"/>
              <w:right w:val="single" w:sz="8" w:space="0" w:color="000000"/>
            </w:tcBorders>
            <w:vAlign w:val="center"/>
          </w:tcPr>
          <w:p w14:paraId="04D43480" w14:textId="77777777" w:rsidR="00FD2B5A" w:rsidRPr="00A33AE8" w:rsidRDefault="0024690E"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sz w:val="20"/>
                <w:szCs w:val="20"/>
                <w:lang w:eastAsia="en-GB"/>
              </w:rPr>
              <w:t>Interconnectivity targets maintained as they are foreseen until 2030, N-1 security criterion, other CBA indicators</w:t>
            </w:r>
          </w:p>
        </w:tc>
      </w:tr>
      <w:tr w:rsidR="00B71215" w:rsidRPr="00A33AE8" w14:paraId="3EE52364" w14:textId="77777777" w:rsidTr="00FF03FA">
        <w:trPr>
          <w:gridAfter w:val="1"/>
          <w:wAfter w:w="1212" w:type="dxa"/>
          <w:trHeight w:val="1393"/>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72396758"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8" w:type="dxa"/>
            <w:gridSpan w:val="3"/>
            <w:tcBorders>
              <w:top w:val="single" w:sz="8" w:space="0" w:color="auto"/>
              <w:left w:val="nil"/>
              <w:bottom w:val="single" w:sz="8" w:space="0" w:color="auto"/>
              <w:right w:val="single" w:sz="8" w:space="0" w:color="000000"/>
            </w:tcBorders>
            <w:vAlign w:val="center"/>
            <w:hideMark/>
          </w:tcPr>
          <w:p w14:paraId="1F3E94F4" w14:textId="77777777" w:rsidR="00B71215" w:rsidRPr="00A33AE8" w:rsidRDefault="00B71215"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PM_IEM2</w:t>
            </w:r>
            <w:r w:rsidRPr="00A33AE8">
              <w:rPr>
                <w:rFonts w:asciiTheme="majorHAnsi" w:eastAsia="Times New Roman" w:hAnsiTheme="majorHAnsi" w:cstheme="majorHAnsi"/>
                <w:color w:val="000000"/>
                <w:sz w:val="20"/>
                <w:szCs w:val="20"/>
                <w:lang w:eastAsia="en-GB"/>
              </w:rPr>
              <w:t xml:space="preserve"> corresponds to a set of infrastructure measures comprising the Transbalkan Corridor -Phase I as it its included in the Serbian TYNDP 2021-2030. The overall project cost is estimated at 58,24 million (EUR 40 million) and donations (EUR 13.1 million) were signed at the end of 2020 and the beginning of 2021.</w:t>
            </w:r>
          </w:p>
        </w:tc>
      </w:tr>
      <w:tr w:rsidR="00B71215" w:rsidRPr="00A33AE8" w14:paraId="4839DE11" w14:textId="77777777" w:rsidTr="00FF03FA">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778B897E"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98" w:type="dxa"/>
            <w:gridSpan w:val="3"/>
            <w:tcBorders>
              <w:top w:val="single" w:sz="8" w:space="0" w:color="auto"/>
              <w:left w:val="nil"/>
              <w:bottom w:val="single" w:sz="8" w:space="0" w:color="auto"/>
              <w:right w:val="single" w:sz="8" w:space="0" w:color="000000"/>
            </w:tcBorders>
            <w:vAlign w:val="center"/>
            <w:hideMark/>
          </w:tcPr>
          <w:p w14:paraId="3F26A2A1" w14:textId="77777777" w:rsidR="00B71215" w:rsidRPr="00A33AE8" w:rsidRDefault="00B71215"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w:t>
            </w:r>
            <w:r w:rsidR="00661071" w:rsidRPr="0056323A">
              <w:rPr>
                <w:rFonts w:asciiTheme="majorHAnsi" w:eastAsia="Times New Roman" w:hAnsiTheme="majorHAnsi" w:cstheme="majorHAnsi"/>
                <w:color w:val="000000"/>
                <w:sz w:val="20"/>
                <w:szCs w:val="20"/>
                <w:lang w:eastAsia="en-GB"/>
              </w:rPr>
              <w:t>2026</w:t>
            </w:r>
          </w:p>
        </w:tc>
      </w:tr>
      <w:tr w:rsidR="00B71215" w:rsidRPr="00A33AE8" w14:paraId="0B2CBBAE" w14:textId="77777777" w:rsidTr="00FF03FA">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6F091B5F"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8" w:type="dxa"/>
            <w:gridSpan w:val="3"/>
            <w:tcBorders>
              <w:top w:val="single" w:sz="8" w:space="0" w:color="auto"/>
              <w:left w:val="nil"/>
              <w:bottom w:val="single" w:sz="8" w:space="0" w:color="auto"/>
              <w:right w:val="single" w:sz="8" w:space="0" w:color="000000"/>
            </w:tcBorders>
            <w:vAlign w:val="center"/>
            <w:hideMark/>
          </w:tcPr>
          <w:p w14:paraId="4B6C0C9D" w14:textId="77777777" w:rsidR="00B71215" w:rsidRPr="00A33AE8" w:rsidRDefault="00AD7880"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B71215" w:rsidRPr="00A33AE8" w14:paraId="7976E8BA" w14:textId="77777777" w:rsidTr="00FF03FA">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4E28B11E"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8" w:type="dxa"/>
            <w:gridSpan w:val="3"/>
            <w:tcBorders>
              <w:top w:val="single" w:sz="8" w:space="0" w:color="auto"/>
              <w:left w:val="nil"/>
              <w:bottom w:val="single" w:sz="8" w:space="0" w:color="auto"/>
              <w:right w:val="single" w:sz="8" w:space="0" w:color="000000"/>
            </w:tcBorders>
            <w:vAlign w:val="center"/>
            <w:hideMark/>
          </w:tcPr>
          <w:p w14:paraId="0A1F9A80" w14:textId="77777777" w:rsidR="00B71215" w:rsidRPr="00A33AE8" w:rsidRDefault="00B71215"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B71215" w:rsidRPr="00A33AE8" w14:paraId="203066E7" w14:textId="77777777" w:rsidTr="00FF03FA">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61CB2BAB"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8" w:type="dxa"/>
            <w:gridSpan w:val="3"/>
            <w:tcBorders>
              <w:top w:val="single" w:sz="8" w:space="0" w:color="auto"/>
              <w:left w:val="nil"/>
              <w:bottom w:val="single" w:sz="8" w:space="0" w:color="auto"/>
              <w:right w:val="single" w:sz="8" w:space="0" w:color="000000"/>
            </w:tcBorders>
            <w:vAlign w:val="center"/>
            <w:hideMark/>
          </w:tcPr>
          <w:p w14:paraId="4A5721F4" w14:textId="77777777" w:rsidR="00245A42" w:rsidRPr="00A33AE8" w:rsidRDefault="00245A42"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0BBE5786" w14:textId="77777777" w:rsidR="00B71215" w:rsidRPr="00A33AE8" w:rsidRDefault="00500B07"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bCs/>
              </w:rPr>
              <w:t>“Elektromreža Srbije“ - EMS</w:t>
            </w:r>
          </w:p>
        </w:tc>
      </w:tr>
      <w:tr w:rsidR="00B71215" w:rsidRPr="00A33AE8" w14:paraId="03761599" w14:textId="77777777" w:rsidTr="00FF03FA">
        <w:trPr>
          <w:gridAfter w:val="1"/>
          <w:wAfter w:w="1212" w:type="dxa"/>
          <w:trHeight w:val="315"/>
        </w:trPr>
        <w:tc>
          <w:tcPr>
            <w:tcW w:w="3290" w:type="dxa"/>
            <w:tcBorders>
              <w:top w:val="nil"/>
              <w:left w:val="single" w:sz="8" w:space="0" w:color="auto"/>
              <w:bottom w:val="single" w:sz="8" w:space="0" w:color="auto"/>
              <w:right w:val="nil"/>
            </w:tcBorders>
            <w:shd w:val="clear" w:color="auto" w:fill="244062"/>
            <w:vAlign w:val="center"/>
            <w:hideMark/>
          </w:tcPr>
          <w:p w14:paraId="7BE880BC"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8" w:type="dxa"/>
            <w:gridSpan w:val="3"/>
            <w:tcBorders>
              <w:top w:val="single" w:sz="8" w:space="0" w:color="auto"/>
              <w:left w:val="nil"/>
              <w:bottom w:val="single" w:sz="8" w:space="0" w:color="auto"/>
              <w:right w:val="single" w:sz="8" w:space="0" w:color="000000"/>
            </w:tcBorders>
            <w:vAlign w:val="center"/>
            <w:hideMark/>
          </w:tcPr>
          <w:p w14:paraId="219F9DD1"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500B07" w:rsidRPr="00A33AE8">
              <w:rPr>
                <w:rFonts w:asciiTheme="majorHAnsi" w:hAnsiTheme="majorHAnsi" w:cstheme="majorHAnsi"/>
                <w:bCs/>
              </w:rPr>
              <w:t>“Elektromreža Srbije“ - EMS</w:t>
            </w:r>
          </w:p>
        </w:tc>
      </w:tr>
      <w:tr w:rsidR="00B71215" w:rsidRPr="00A33AE8" w14:paraId="18324537" w14:textId="77777777" w:rsidTr="00FF03FA">
        <w:trPr>
          <w:gridAfter w:val="1"/>
          <w:wAfter w:w="1212" w:type="dxa"/>
          <w:trHeight w:val="315"/>
        </w:trPr>
        <w:tc>
          <w:tcPr>
            <w:tcW w:w="3290" w:type="dxa"/>
            <w:tcBorders>
              <w:top w:val="nil"/>
              <w:left w:val="single" w:sz="8" w:space="0" w:color="auto"/>
              <w:bottom w:val="single" w:sz="8" w:space="0" w:color="auto"/>
              <w:right w:val="nil"/>
            </w:tcBorders>
            <w:shd w:val="clear" w:color="auto" w:fill="244062"/>
            <w:vAlign w:val="center"/>
            <w:hideMark/>
          </w:tcPr>
          <w:p w14:paraId="64274AAC"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8" w:type="dxa"/>
            <w:gridSpan w:val="3"/>
            <w:tcBorders>
              <w:top w:val="single" w:sz="8" w:space="0" w:color="auto"/>
              <w:left w:val="nil"/>
              <w:bottom w:val="single" w:sz="8" w:space="0" w:color="auto"/>
              <w:right w:val="single" w:sz="8" w:space="0" w:color="000000"/>
            </w:tcBorders>
            <w:vAlign w:val="center"/>
            <w:hideMark/>
          </w:tcPr>
          <w:p w14:paraId="52689C3F" w14:textId="77777777" w:rsidR="00B71215" w:rsidRPr="00A33AE8" w:rsidRDefault="0024690E"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Interconnectivity targets</w:t>
            </w:r>
          </w:p>
          <w:p w14:paraId="123F0F15" w14:textId="77777777" w:rsidR="00612D01" w:rsidRPr="00A33AE8" w:rsidRDefault="00612D01"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possibility of connecting additional RES capacities</w:t>
            </w:r>
          </w:p>
        </w:tc>
      </w:tr>
      <w:tr w:rsidR="00A0226E" w:rsidRPr="00A33AE8" w14:paraId="5515E7CB" w14:textId="77777777" w:rsidTr="00FF03FA">
        <w:trPr>
          <w:gridAfter w:val="1"/>
          <w:wAfter w:w="1212" w:type="dxa"/>
          <w:trHeight w:val="677"/>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5B960561"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8" w:type="dxa"/>
            <w:gridSpan w:val="3"/>
            <w:tcBorders>
              <w:top w:val="single" w:sz="8" w:space="0" w:color="auto"/>
              <w:left w:val="nil"/>
              <w:bottom w:val="single" w:sz="8" w:space="0" w:color="auto"/>
              <w:right w:val="single" w:sz="8" w:space="0" w:color="000000"/>
            </w:tcBorders>
            <w:vAlign w:val="center"/>
            <w:hideMark/>
          </w:tcPr>
          <w:p w14:paraId="25592F22" w14:textId="77777777" w:rsidR="00A0226E" w:rsidRDefault="00A0226E"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6971FD79" w14:textId="77777777" w:rsidR="0055728F" w:rsidRPr="00A33AE8" w:rsidRDefault="0055728F"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55728F">
              <w:rPr>
                <w:rFonts w:asciiTheme="majorHAnsi" w:eastAsia="Times New Roman" w:hAnsiTheme="majorHAnsi" w:cstheme="majorHAnsi"/>
                <w:color w:val="000000"/>
                <w:sz w:val="20"/>
                <w:szCs w:val="20"/>
                <w:lang w:eastAsia="en-GB"/>
              </w:rPr>
              <w:t>Decarbonisation</w:t>
            </w:r>
          </w:p>
        </w:tc>
      </w:tr>
      <w:tr w:rsidR="00B71215" w:rsidRPr="00A33AE8" w14:paraId="0EE3D402" w14:textId="77777777" w:rsidTr="00FF03FA">
        <w:trPr>
          <w:gridAfter w:val="1"/>
          <w:wAfter w:w="1212" w:type="dxa"/>
          <w:trHeight w:val="450"/>
        </w:trPr>
        <w:tc>
          <w:tcPr>
            <w:tcW w:w="3290" w:type="dxa"/>
            <w:vMerge w:val="restart"/>
            <w:tcBorders>
              <w:top w:val="nil"/>
              <w:left w:val="single" w:sz="8" w:space="0" w:color="auto"/>
              <w:bottom w:val="single" w:sz="8" w:space="0" w:color="000000"/>
              <w:right w:val="single" w:sz="8" w:space="0" w:color="auto"/>
            </w:tcBorders>
            <w:shd w:val="clear" w:color="auto" w:fill="244062"/>
            <w:vAlign w:val="center"/>
            <w:hideMark/>
          </w:tcPr>
          <w:p w14:paraId="446A329C"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392458AC"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426A9BB2"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B71215" w:rsidRPr="00A33AE8" w14:paraId="774BB0A2" w14:textId="77777777" w:rsidTr="00FF03F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5490A1F" w14:textId="77777777" w:rsidR="00B71215" w:rsidRPr="00A33AE8" w:rsidRDefault="00B71215" w:rsidP="00B71215">
            <w:pPr>
              <w:spacing w:after="0" w:line="256" w:lineRule="auto"/>
              <w:rPr>
                <w:rFonts w:ascii="Calibri Light" w:eastAsia="Times New Roman" w:hAnsi="Calibri Light" w:cs="Calibri Light"/>
                <w:b/>
                <w:bCs/>
                <w:color w:val="FFFFFF"/>
                <w:sz w:val="20"/>
                <w:szCs w:val="20"/>
                <w:lang w:eastAsia="en-GB"/>
              </w:rPr>
            </w:pPr>
          </w:p>
        </w:tc>
        <w:tc>
          <w:tcPr>
            <w:tcW w:w="6198" w:type="dxa"/>
            <w:gridSpan w:val="3"/>
            <w:vMerge/>
            <w:tcBorders>
              <w:top w:val="single" w:sz="8" w:space="0" w:color="auto"/>
              <w:left w:val="single" w:sz="8" w:space="0" w:color="auto"/>
              <w:bottom w:val="single" w:sz="8" w:space="0" w:color="000000"/>
              <w:right w:val="single" w:sz="8" w:space="0" w:color="000000"/>
            </w:tcBorders>
            <w:vAlign w:val="center"/>
            <w:hideMark/>
          </w:tcPr>
          <w:p w14:paraId="6E162658" w14:textId="77777777" w:rsidR="00B71215" w:rsidRPr="00A33AE8" w:rsidRDefault="00B71215" w:rsidP="00B7121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2C9EB10" w14:textId="77777777" w:rsidR="00B71215" w:rsidRPr="00A33AE8" w:rsidRDefault="00B71215" w:rsidP="00B71215"/>
        </w:tc>
      </w:tr>
      <w:tr w:rsidR="00B71215" w:rsidRPr="00A33AE8" w14:paraId="559CC261" w14:textId="77777777" w:rsidTr="00FF03FA">
        <w:trPr>
          <w:trHeight w:val="315"/>
        </w:trPr>
        <w:tc>
          <w:tcPr>
            <w:tcW w:w="0" w:type="auto"/>
            <w:vMerge/>
            <w:tcBorders>
              <w:top w:val="nil"/>
              <w:left w:val="single" w:sz="8" w:space="0" w:color="auto"/>
              <w:bottom w:val="single" w:sz="8" w:space="0" w:color="000000"/>
              <w:right w:val="single" w:sz="8" w:space="0" w:color="auto"/>
            </w:tcBorders>
            <w:vAlign w:val="center"/>
            <w:hideMark/>
          </w:tcPr>
          <w:p w14:paraId="2DC41F4E" w14:textId="77777777" w:rsidR="00B71215" w:rsidRPr="00A33AE8" w:rsidRDefault="00B71215" w:rsidP="00B71215">
            <w:pPr>
              <w:spacing w:after="0" w:line="256" w:lineRule="auto"/>
              <w:rPr>
                <w:rFonts w:ascii="Calibri Light" w:eastAsia="Times New Roman" w:hAnsi="Calibri Light" w:cs="Calibri Light"/>
                <w:b/>
                <w:bCs/>
                <w:color w:val="FFFFFF"/>
                <w:sz w:val="20"/>
                <w:szCs w:val="20"/>
                <w:lang w:eastAsia="en-GB"/>
              </w:rPr>
            </w:pPr>
          </w:p>
        </w:tc>
        <w:tc>
          <w:tcPr>
            <w:tcW w:w="6198" w:type="dxa"/>
            <w:gridSpan w:val="3"/>
            <w:vMerge/>
            <w:tcBorders>
              <w:top w:val="single" w:sz="8" w:space="0" w:color="auto"/>
              <w:left w:val="single" w:sz="8" w:space="0" w:color="auto"/>
              <w:bottom w:val="single" w:sz="8" w:space="0" w:color="000000"/>
              <w:right w:val="single" w:sz="8" w:space="0" w:color="000000"/>
            </w:tcBorders>
            <w:vAlign w:val="center"/>
            <w:hideMark/>
          </w:tcPr>
          <w:p w14:paraId="57F1AEE7" w14:textId="77777777" w:rsidR="00B71215" w:rsidRPr="00A33AE8" w:rsidRDefault="00B71215" w:rsidP="00B7121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DCFBD44" w14:textId="77777777" w:rsidR="00B71215" w:rsidRPr="00A33AE8" w:rsidRDefault="00B71215" w:rsidP="00B71215">
            <w:pPr>
              <w:spacing w:after="0" w:line="256" w:lineRule="auto"/>
              <w:rPr>
                <w:sz w:val="20"/>
                <w:szCs w:val="20"/>
                <w:lang w:eastAsia="en-GB"/>
              </w:rPr>
            </w:pPr>
          </w:p>
        </w:tc>
      </w:tr>
      <w:tr w:rsidR="00B71215" w:rsidRPr="00A33AE8" w14:paraId="7412B370" w14:textId="77777777" w:rsidTr="00FF03FA">
        <w:trPr>
          <w:trHeight w:val="780"/>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79D9D3A2"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8" w:type="dxa"/>
            <w:gridSpan w:val="3"/>
            <w:tcBorders>
              <w:top w:val="single" w:sz="8" w:space="0" w:color="auto"/>
              <w:left w:val="nil"/>
              <w:bottom w:val="single" w:sz="8" w:space="0" w:color="auto"/>
              <w:right w:val="single" w:sz="8" w:space="0" w:color="000000"/>
            </w:tcBorders>
            <w:vAlign w:val="center"/>
            <w:hideMark/>
          </w:tcPr>
          <w:p w14:paraId="3498EA3C" w14:textId="77777777" w:rsidR="00B71215" w:rsidRPr="00A33AE8" w:rsidRDefault="00B71215" w:rsidP="00884F3B">
            <w:pPr>
              <w:pStyle w:val="ListParagraph"/>
              <w:numPr>
                <w:ilvl w:val="0"/>
                <w:numId w:val="5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TYNDP 2021-2030</w:t>
            </w:r>
          </w:p>
        </w:tc>
        <w:tc>
          <w:tcPr>
            <w:tcW w:w="1212" w:type="dxa"/>
            <w:vAlign w:val="center"/>
            <w:hideMark/>
          </w:tcPr>
          <w:p w14:paraId="695EC75A" w14:textId="77777777" w:rsidR="00B71215" w:rsidRPr="00A33AE8" w:rsidRDefault="00B71215" w:rsidP="00B71215">
            <w:pPr>
              <w:rPr>
                <w:rFonts w:asciiTheme="majorHAnsi" w:eastAsia="Times New Roman" w:hAnsiTheme="majorHAnsi" w:cstheme="majorHAnsi"/>
                <w:color w:val="000000"/>
                <w:sz w:val="20"/>
                <w:szCs w:val="20"/>
                <w:lang w:eastAsia="en-GB"/>
              </w:rPr>
            </w:pPr>
          </w:p>
        </w:tc>
      </w:tr>
      <w:tr w:rsidR="00B71215" w:rsidRPr="00A33AE8" w14:paraId="4E97C9A0" w14:textId="77777777" w:rsidTr="00FF03FA">
        <w:trPr>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0C7AD789"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8" w:type="dxa"/>
            <w:gridSpan w:val="3"/>
            <w:tcBorders>
              <w:top w:val="single" w:sz="8" w:space="0" w:color="auto"/>
              <w:left w:val="nil"/>
              <w:bottom w:val="single" w:sz="8" w:space="0" w:color="auto"/>
              <w:right w:val="single" w:sz="8" w:space="0" w:color="000000"/>
            </w:tcBorders>
            <w:vAlign w:val="center"/>
            <w:hideMark/>
          </w:tcPr>
          <w:p w14:paraId="5FAB6262" w14:textId="77777777" w:rsidR="00B71215" w:rsidRPr="00A33AE8" w:rsidRDefault="0014166C"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89,68</w:t>
            </w:r>
            <w:r w:rsidR="00B71215" w:rsidRPr="00A33AE8">
              <w:rPr>
                <w:rFonts w:asciiTheme="majorHAnsi" w:eastAsia="Times New Roman" w:hAnsiTheme="majorHAnsi" w:cstheme="majorHAnsi"/>
                <w:color w:val="000000"/>
                <w:sz w:val="20"/>
                <w:szCs w:val="20"/>
                <w:lang w:eastAsia="en-GB"/>
              </w:rPr>
              <w:t xml:space="preserve"> </w:t>
            </w:r>
            <w:r w:rsidR="00AD7880" w:rsidRPr="00A33AE8">
              <w:rPr>
                <w:rFonts w:asciiTheme="majorHAnsi" w:eastAsia="Times New Roman" w:hAnsiTheme="majorHAnsi" w:cstheme="majorHAnsi"/>
                <w:color w:val="000000"/>
                <w:sz w:val="20"/>
                <w:szCs w:val="20"/>
                <w:lang w:eastAsia="en-GB"/>
              </w:rPr>
              <w:t>M</w:t>
            </w:r>
            <w:r w:rsidR="00AD7880" w:rsidRPr="00A33AE8">
              <w:rPr>
                <w:rFonts w:ascii="Calibri" w:eastAsia="Times New Roman" w:hAnsi="Calibri" w:cs="Calibri"/>
                <w:color w:val="000000"/>
                <w:sz w:val="20"/>
                <w:szCs w:val="20"/>
                <w:lang w:eastAsia="en-GB"/>
              </w:rPr>
              <w:t>€</w:t>
            </w:r>
          </w:p>
        </w:tc>
        <w:tc>
          <w:tcPr>
            <w:tcW w:w="1212" w:type="dxa"/>
            <w:vAlign w:val="center"/>
            <w:hideMark/>
          </w:tcPr>
          <w:p w14:paraId="4CEA2B9B" w14:textId="77777777" w:rsidR="00B71215" w:rsidRPr="00A33AE8" w:rsidRDefault="00B71215" w:rsidP="00B71215">
            <w:pPr>
              <w:rPr>
                <w:rFonts w:asciiTheme="majorHAnsi" w:eastAsia="Times New Roman" w:hAnsiTheme="majorHAnsi" w:cstheme="majorHAnsi"/>
                <w:color w:val="000000"/>
                <w:sz w:val="20"/>
                <w:szCs w:val="20"/>
                <w:lang w:eastAsia="en-GB"/>
              </w:rPr>
            </w:pPr>
          </w:p>
        </w:tc>
      </w:tr>
      <w:tr w:rsidR="00B92935" w:rsidRPr="00A33AE8" w14:paraId="1F7E3D6C" w14:textId="77777777" w:rsidTr="00FF03FA">
        <w:trPr>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301EE3AE"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8" w:type="dxa"/>
            <w:gridSpan w:val="3"/>
            <w:tcBorders>
              <w:top w:val="single" w:sz="8" w:space="0" w:color="auto"/>
              <w:left w:val="nil"/>
              <w:bottom w:val="single" w:sz="8" w:space="0" w:color="auto"/>
              <w:right w:val="single" w:sz="8" w:space="0" w:color="000000"/>
            </w:tcBorders>
            <w:vAlign w:val="center"/>
            <w:hideMark/>
          </w:tcPr>
          <w:p w14:paraId="2C115AE9" w14:textId="77777777" w:rsidR="00B92935" w:rsidRPr="00A33AE8" w:rsidRDefault="00B92935" w:rsidP="00B9293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30D9682C"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49071F1E" w14:textId="77777777" w:rsidR="00FD2B5A" w:rsidRPr="00A33AE8" w:rsidRDefault="00FD2B5A" w:rsidP="001D1BB0">
      <w:pPr>
        <w:pStyle w:val="LDKbody"/>
        <w:rPr>
          <w:lang w:val="en-GB"/>
        </w:rPr>
      </w:pPr>
    </w:p>
    <w:tbl>
      <w:tblPr>
        <w:tblW w:w="10700" w:type="dxa"/>
        <w:tblLook w:val="04A0" w:firstRow="1" w:lastRow="0" w:firstColumn="1" w:lastColumn="0" w:noHBand="0" w:noVBand="1"/>
      </w:tblPr>
      <w:tblGrid>
        <w:gridCol w:w="3254"/>
        <w:gridCol w:w="1207"/>
        <w:gridCol w:w="927"/>
        <w:gridCol w:w="4100"/>
        <w:gridCol w:w="1212"/>
      </w:tblGrid>
      <w:tr w:rsidR="00690C0D" w:rsidRPr="00A33AE8" w14:paraId="10A52545" w14:textId="77777777" w:rsidTr="00B71215">
        <w:trPr>
          <w:gridAfter w:val="1"/>
          <w:wAfter w:w="1212" w:type="dxa"/>
          <w:trHeight w:val="780"/>
        </w:trPr>
        <w:tc>
          <w:tcPr>
            <w:tcW w:w="325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141954B"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3C093E74"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706DDD" w:rsidRPr="00A33AE8">
              <w:rPr>
                <w:rFonts w:asciiTheme="majorHAnsi" w:eastAsia="Times New Roman" w:hAnsiTheme="majorHAnsi" w:cstheme="majorHAnsi"/>
                <w:b/>
                <w:bCs/>
                <w:color w:val="000000"/>
                <w:sz w:val="20"/>
                <w:szCs w:val="20"/>
                <w:lang w:eastAsia="en-GB"/>
              </w:rPr>
              <w:t>3</w:t>
            </w:r>
          </w:p>
        </w:tc>
        <w:tc>
          <w:tcPr>
            <w:tcW w:w="927" w:type="dxa"/>
            <w:tcBorders>
              <w:top w:val="single" w:sz="8" w:space="0" w:color="auto"/>
              <w:left w:val="nil"/>
              <w:bottom w:val="single" w:sz="8" w:space="0" w:color="auto"/>
              <w:right w:val="single" w:sz="8" w:space="0" w:color="auto"/>
            </w:tcBorders>
            <w:shd w:val="clear" w:color="auto" w:fill="244062"/>
            <w:vAlign w:val="center"/>
            <w:hideMark/>
          </w:tcPr>
          <w:p w14:paraId="49ADCAAC"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00" w:type="dxa"/>
            <w:tcBorders>
              <w:top w:val="single" w:sz="8" w:space="0" w:color="auto"/>
              <w:left w:val="nil"/>
              <w:bottom w:val="single" w:sz="8" w:space="0" w:color="auto"/>
              <w:right w:val="single" w:sz="8" w:space="0" w:color="auto"/>
            </w:tcBorders>
            <w:shd w:val="clear" w:color="auto" w:fill="E7E6E6" w:themeFill="background2"/>
            <w:vAlign w:val="center"/>
            <w:hideMark/>
          </w:tcPr>
          <w:p w14:paraId="2B44FCDB"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Implementation of Transbalkan Corridor: OHL B.Basta (RS) – Visegrad (BA) – Pljevlja (ME)</w:t>
            </w:r>
          </w:p>
        </w:tc>
      </w:tr>
      <w:tr w:rsidR="00690C0D" w:rsidRPr="00A33AE8" w14:paraId="0F9D2F87" w14:textId="77777777" w:rsidTr="00B71215">
        <w:trPr>
          <w:gridAfter w:val="1"/>
          <w:wAfter w:w="1212" w:type="dxa"/>
          <w:trHeight w:val="960"/>
        </w:trPr>
        <w:tc>
          <w:tcPr>
            <w:tcW w:w="3254" w:type="dxa"/>
            <w:tcBorders>
              <w:top w:val="nil"/>
              <w:left w:val="single" w:sz="8" w:space="0" w:color="auto"/>
              <w:bottom w:val="single" w:sz="8" w:space="0" w:color="auto"/>
              <w:right w:val="nil"/>
            </w:tcBorders>
            <w:shd w:val="clear" w:color="auto" w:fill="244062"/>
            <w:vAlign w:val="center"/>
            <w:hideMark/>
          </w:tcPr>
          <w:p w14:paraId="2A937506"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34" w:type="dxa"/>
            <w:gridSpan w:val="3"/>
            <w:tcBorders>
              <w:top w:val="single" w:sz="8" w:space="0" w:color="auto"/>
              <w:left w:val="nil"/>
              <w:bottom w:val="single" w:sz="8" w:space="0" w:color="auto"/>
              <w:right w:val="single" w:sz="8" w:space="0" w:color="000000"/>
            </w:tcBorders>
            <w:vAlign w:val="center"/>
          </w:tcPr>
          <w:p w14:paraId="75FD406B" w14:textId="77777777" w:rsidR="00690C0D" w:rsidRPr="00A33AE8" w:rsidRDefault="00612D01"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Maintaining and achieving the interconnectivity targets; planning and implementation of electricity and gas transmission infrastructure projects (and, where relevant, modernization projects); ensuring the reliability of the customers’ power supply; creation of conditions for further industrial development of the areas where the project is located; integration of the </w:t>
            </w:r>
            <w:r w:rsidRPr="00A33AE8">
              <w:rPr>
                <w:rFonts w:asciiTheme="majorHAnsi" w:eastAsia="Times New Roman" w:hAnsiTheme="majorHAnsi" w:cstheme="majorHAnsi"/>
                <w:color w:val="000000"/>
                <w:sz w:val="20"/>
                <w:szCs w:val="20"/>
                <w:lang w:eastAsia="en-GB"/>
              </w:rPr>
              <w:lastRenderedPageBreak/>
              <w:t>desired level of RES; providing the necessary level of flexibility of the power system; which are necessary for the achievement of objectives and targets under the five dimensions of the Energy Union.</w:t>
            </w:r>
          </w:p>
        </w:tc>
      </w:tr>
      <w:tr w:rsidR="00690C0D" w:rsidRPr="00A33AE8" w14:paraId="1BE57F9D"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1C34FBD4"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234" w:type="dxa"/>
            <w:gridSpan w:val="3"/>
            <w:tcBorders>
              <w:top w:val="single" w:sz="8" w:space="0" w:color="auto"/>
              <w:left w:val="nil"/>
              <w:bottom w:val="single" w:sz="8" w:space="0" w:color="auto"/>
              <w:right w:val="single" w:sz="8" w:space="0" w:color="000000"/>
            </w:tcBorders>
            <w:vAlign w:val="center"/>
          </w:tcPr>
          <w:p w14:paraId="37ADA6D1" w14:textId="77777777" w:rsidR="00690C0D" w:rsidRPr="00A33AE8" w:rsidRDefault="00226878"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sz w:val="20"/>
                <w:szCs w:val="20"/>
                <w:lang w:eastAsia="en-GB"/>
              </w:rPr>
              <w:t>Interconnectivity targets maintained as they are foreseen until 2030, N-1 security criterion, other CBA indicators</w:t>
            </w:r>
          </w:p>
        </w:tc>
      </w:tr>
      <w:tr w:rsidR="00B71215" w:rsidRPr="00A33AE8" w14:paraId="36962C3F" w14:textId="77777777" w:rsidTr="00B71215">
        <w:trPr>
          <w:gridAfter w:val="1"/>
          <w:wAfter w:w="1212" w:type="dxa"/>
          <w:trHeight w:val="1383"/>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4E5D5BC9"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34" w:type="dxa"/>
            <w:gridSpan w:val="3"/>
            <w:tcBorders>
              <w:top w:val="single" w:sz="8" w:space="0" w:color="auto"/>
              <w:left w:val="nil"/>
              <w:bottom w:val="single" w:sz="8" w:space="0" w:color="auto"/>
              <w:right w:val="single" w:sz="8" w:space="0" w:color="000000"/>
            </w:tcBorders>
            <w:vAlign w:val="center"/>
            <w:hideMark/>
          </w:tcPr>
          <w:p w14:paraId="6E971F3C" w14:textId="77777777" w:rsidR="00B71215" w:rsidRPr="00A33AE8" w:rsidRDefault="00B71215"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PM_IEM3</w:t>
            </w:r>
            <w:r w:rsidRPr="00A33AE8">
              <w:rPr>
                <w:rFonts w:asciiTheme="majorHAnsi" w:eastAsia="Times New Roman" w:hAnsiTheme="majorHAnsi" w:cstheme="majorHAnsi"/>
                <w:color w:val="000000"/>
                <w:sz w:val="20"/>
                <w:szCs w:val="20"/>
                <w:lang w:eastAsia="en-GB"/>
              </w:rPr>
              <w:t xml:space="preserve"> corresponds to a set of infrastructure measures comprising the Transbalkan Corridor -Phase I as it its included in the Serbian TYNDP 2021-2030. The overall project cost is estimated at 40,8 million. There is still no firm grant and loan agreement for the project. It is expected to be fully operational </w:t>
            </w:r>
            <w:r w:rsidR="00612D01" w:rsidRPr="00A33AE8">
              <w:rPr>
                <w:rFonts w:asciiTheme="majorHAnsi" w:eastAsia="Times New Roman" w:hAnsiTheme="majorHAnsi" w:cstheme="majorHAnsi"/>
                <w:color w:val="000000"/>
                <w:sz w:val="20"/>
                <w:szCs w:val="20"/>
                <w:lang w:eastAsia="en-GB"/>
              </w:rPr>
              <w:t>by 2027 (according to the current planning documents).</w:t>
            </w:r>
          </w:p>
        </w:tc>
      </w:tr>
      <w:tr w:rsidR="00B71215" w:rsidRPr="00A33AE8" w14:paraId="27DE8C38"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3A2C32A5"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34" w:type="dxa"/>
            <w:gridSpan w:val="3"/>
            <w:tcBorders>
              <w:top w:val="single" w:sz="8" w:space="0" w:color="auto"/>
              <w:left w:val="nil"/>
              <w:bottom w:val="single" w:sz="8" w:space="0" w:color="auto"/>
              <w:right w:val="single" w:sz="8" w:space="0" w:color="000000"/>
            </w:tcBorders>
            <w:vAlign w:val="center"/>
            <w:hideMark/>
          </w:tcPr>
          <w:p w14:paraId="4C9FC1E7" w14:textId="77777777" w:rsidR="00B71215" w:rsidRPr="00A33AE8" w:rsidRDefault="00B71215"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B71215" w:rsidRPr="00A33AE8" w14:paraId="3DA7FC46"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1FB5F6E5"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34" w:type="dxa"/>
            <w:gridSpan w:val="3"/>
            <w:tcBorders>
              <w:top w:val="single" w:sz="8" w:space="0" w:color="auto"/>
              <w:left w:val="nil"/>
              <w:bottom w:val="single" w:sz="8" w:space="0" w:color="auto"/>
              <w:right w:val="single" w:sz="8" w:space="0" w:color="000000"/>
            </w:tcBorders>
            <w:vAlign w:val="center"/>
            <w:hideMark/>
          </w:tcPr>
          <w:p w14:paraId="22CD6BA9" w14:textId="77777777" w:rsidR="00B71215" w:rsidRPr="00A33AE8" w:rsidRDefault="00AD7880"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B71215" w:rsidRPr="00A33AE8" w14:paraId="7AF99D94"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7085E703"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34" w:type="dxa"/>
            <w:gridSpan w:val="3"/>
            <w:tcBorders>
              <w:top w:val="single" w:sz="8" w:space="0" w:color="auto"/>
              <w:left w:val="nil"/>
              <w:bottom w:val="single" w:sz="8" w:space="0" w:color="auto"/>
              <w:right w:val="single" w:sz="8" w:space="0" w:color="000000"/>
            </w:tcBorders>
            <w:vAlign w:val="center"/>
            <w:hideMark/>
          </w:tcPr>
          <w:p w14:paraId="5BFC5945" w14:textId="77777777" w:rsidR="00B71215" w:rsidRPr="00A33AE8" w:rsidRDefault="00B71215"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B71215" w:rsidRPr="00A33AE8" w14:paraId="6701A57C"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551F3E16"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34" w:type="dxa"/>
            <w:gridSpan w:val="3"/>
            <w:tcBorders>
              <w:top w:val="single" w:sz="8" w:space="0" w:color="auto"/>
              <w:left w:val="nil"/>
              <w:bottom w:val="single" w:sz="8" w:space="0" w:color="auto"/>
              <w:right w:val="single" w:sz="8" w:space="0" w:color="000000"/>
            </w:tcBorders>
            <w:vAlign w:val="center"/>
            <w:hideMark/>
          </w:tcPr>
          <w:p w14:paraId="2A9DADA2" w14:textId="77777777" w:rsidR="00245A42" w:rsidRPr="00A33AE8" w:rsidRDefault="00245A42"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E1AD8F2" w14:textId="77777777" w:rsidR="00B71215" w:rsidRPr="00A33AE8" w:rsidRDefault="00500B07"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bCs/>
              </w:rPr>
              <w:t>“Elektromreža Srbije“ - EMS</w:t>
            </w:r>
          </w:p>
        </w:tc>
      </w:tr>
      <w:tr w:rsidR="00B71215" w:rsidRPr="00A33AE8" w14:paraId="332724D8" w14:textId="77777777" w:rsidTr="00B71215">
        <w:trPr>
          <w:gridAfter w:val="1"/>
          <w:wAfter w:w="1212" w:type="dxa"/>
          <w:trHeight w:val="315"/>
        </w:trPr>
        <w:tc>
          <w:tcPr>
            <w:tcW w:w="3254" w:type="dxa"/>
            <w:tcBorders>
              <w:top w:val="nil"/>
              <w:left w:val="single" w:sz="8" w:space="0" w:color="auto"/>
              <w:bottom w:val="single" w:sz="8" w:space="0" w:color="auto"/>
              <w:right w:val="nil"/>
            </w:tcBorders>
            <w:shd w:val="clear" w:color="auto" w:fill="244062"/>
            <w:vAlign w:val="center"/>
            <w:hideMark/>
          </w:tcPr>
          <w:p w14:paraId="453683B4"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34" w:type="dxa"/>
            <w:gridSpan w:val="3"/>
            <w:tcBorders>
              <w:top w:val="single" w:sz="8" w:space="0" w:color="auto"/>
              <w:left w:val="nil"/>
              <w:bottom w:val="single" w:sz="8" w:space="0" w:color="auto"/>
              <w:right w:val="single" w:sz="8" w:space="0" w:color="000000"/>
            </w:tcBorders>
            <w:vAlign w:val="center"/>
            <w:hideMark/>
          </w:tcPr>
          <w:p w14:paraId="57675B51"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500B07" w:rsidRPr="00A33AE8">
              <w:rPr>
                <w:rFonts w:asciiTheme="majorHAnsi" w:hAnsiTheme="majorHAnsi" w:cstheme="majorHAnsi"/>
                <w:bCs/>
              </w:rPr>
              <w:t>“Elektromreža Srbije“ - EMS</w:t>
            </w:r>
          </w:p>
        </w:tc>
      </w:tr>
      <w:tr w:rsidR="00B71215" w:rsidRPr="00A33AE8" w14:paraId="21BB7F1E" w14:textId="77777777" w:rsidTr="00B71215">
        <w:trPr>
          <w:gridAfter w:val="1"/>
          <w:wAfter w:w="1212" w:type="dxa"/>
          <w:trHeight w:val="315"/>
        </w:trPr>
        <w:tc>
          <w:tcPr>
            <w:tcW w:w="3254" w:type="dxa"/>
            <w:tcBorders>
              <w:top w:val="nil"/>
              <w:left w:val="single" w:sz="8" w:space="0" w:color="auto"/>
              <w:bottom w:val="single" w:sz="8" w:space="0" w:color="auto"/>
              <w:right w:val="nil"/>
            </w:tcBorders>
            <w:shd w:val="clear" w:color="auto" w:fill="244062"/>
            <w:vAlign w:val="center"/>
            <w:hideMark/>
          </w:tcPr>
          <w:p w14:paraId="7FBD33F4"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34" w:type="dxa"/>
            <w:gridSpan w:val="3"/>
            <w:tcBorders>
              <w:top w:val="single" w:sz="8" w:space="0" w:color="auto"/>
              <w:left w:val="nil"/>
              <w:bottom w:val="single" w:sz="8" w:space="0" w:color="auto"/>
              <w:right w:val="single" w:sz="8" w:space="0" w:color="000000"/>
            </w:tcBorders>
            <w:vAlign w:val="center"/>
            <w:hideMark/>
          </w:tcPr>
          <w:p w14:paraId="187F0E68" w14:textId="77777777" w:rsidR="00B71215" w:rsidRPr="00A33AE8" w:rsidRDefault="00226878"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Interconnectivity targets</w:t>
            </w:r>
          </w:p>
          <w:p w14:paraId="5D585B82" w14:textId="77777777" w:rsidR="00612D01" w:rsidRPr="00A33AE8" w:rsidRDefault="00612D01"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possibility of connecting additional RES capacities</w:t>
            </w:r>
          </w:p>
        </w:tc>
      </w:tr>
      <w:tr w:rsidR="00A0226E" w:rsidRPr="00A33AE8" w14:paraId="0B038BCA" w14:textId="77777777" w:rsidTr="00B71215">
        <w:trPr>
          <w:gridAfter w:val="1"/>
          <w:wAfter w:w="1212" w:type="dxa"/>
          <w:trHeight w:val="518"/>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3108632A"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34" w:type="dxa"/>
            <w:gridSpan w:val="3"/>
            <w:tcBorders>
              <w:top w:val="single" w:sz="8" w:space="0" w:color="auto"/>
              <w:left w:val="nil"/>
              <w:bottom w:val="single" w:sz="8" w:space="0" w:color="auto"/>
              <w:right w:val="single" w:sz="8" w:space="0" w:color="000000"/>
            </w:tcBorders>
            <w:vAlign w:val="center"/>
            <w:hideMark/>
          </w:tcPr>
          <w:p w14:paraId="29D0FDC1" w14:textId="77777777" w:rsidR="00A0226E" w:rsidRDefault="00A0226E"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51A39121" w14:textId="77777777" w:rsidR="0055728F" w:rsidRPr="00A33AE8" w:rsidRDefault="0055728F"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55728F">
              <w:rPr>
                <w:rFonts w:asciiTheme="majorHAnsi" w:eastAsia="Times New Roman" w:hAnsiTheme="majorHAnsi" w:cstheme="majorHAnsi"/>
                <w:color w:val="000000"/>
                <w:sz w:val="20"/>
                <w:szCs w:val="20"/>
                <w:lang w:eastAsia="en-GB"/>
              </w:rPr>
              <w:t>Decarbonisation</w:t>
            </w:r>
          </w:p>
        </w:tc>
      </w:tr>
      <w:tr w:rsidR="00B71215" w:rsidRPr="00A33AE8" w14:paraId="753C1821" w14:textId="77777777" w:rsidTr="00B71215">
        <w:trPr>
          <w:gridAfter w:val="1"/>
          <w:wAfter w:w="1212" w:type="dxa"/>
          <w:trHeight w:val="450"/>
        </w:trPr>
        <w:tc>
          <w:tcPr>
            <w:tcW w:w="3254" w:type="dxa"/>
            <w:vMerge w:val="restart"/>
            <w:tcBorders>
              <w:top w:val="nil"/>
              <w:left w:val="single" w:sz="8" w:space="0" w:color="auto"/>
              <w:bottom w:val="single" w:sz="8" w:space="0" w:color="000000"/>
              <w:right w:val="single" w:sz="8" w:space="0" w:color="auto"/>
            </w:tcBorders>
            <w:shd w:val="clear" w:color="auto" w:fill="244062"/>
            <w:vAlign w:val="center"/>
            <w:hideMark/>
          </w:tcPr>
          <w:p w14:paraId="22166DF8"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3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18595AA"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0CCB7B0B"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B71215" w:rsidRPr="00A33AE8" w14:paraId="78F626A4" w14:textId="77777777" w:rsidTr="00B71215">
        <w:trPr>
          <w:trHeight w:val="300"/>
        </w:trPr>
        <w:tc>
          <w:tcPr>
            <w:tcW w:w="0" w:type="auto"/>
            <w:vMerge/>
            <w:tcBorders>
              <w:top w:val="nil"/>
              <w:left w:val="single" w:sz="8" w:space="0" w:color="auto"/>
              <w:bottom w:val="single" w:sz="8" w:space="0" w:color="000000"/>
              <w:right w:val="single" w:sz="8" w:space="0" w:color="auto"/>
            </w:tcBorders>
            <w:vAlign w:val="center"/>
            <w:hideMark/>
          </w:tcPr>
          <w:p w14:paraId="1D76A09A" w14:textId="77777777" w:rsidR="00B71215" w:rsidRPr="00A33AE8" w:rsidRDefault="00B71215" w:rsidP="00B71215">
            <w:pPr>
              <w:spacing w:after="0" w:line="256" w:lineRule="auto"/>
              <w:rPr>
                <w:rFonts w:ascii="Calibri Light" w:eastAsia="Times New Roman" w:hAnsi="Calibri Light" w:cs="Calibri Light"/>
                <w:b/>
                <w:bCs/>
                <w:color w:val="FFFFFF"/>
                <w:sz w:val="20"/>
                <w:szCs w:val="20"/>
                <w:lang w:eastAsia="en-GB"/>
              </w:rPr>
            </w:pPr>
          </w:p>
        </w:tc>
        <w:tc>
          <w:tcPr>
            <w:tcW w:w="6234" w:type="dxa"/>
            <w:gridSpan w:val="3"/>
            <w:vMerge/>
            <w:tcBorders>
              <w:top w:val="single" w:sz="8" w:space="0" w:color="auto"/>
              <w:left w:val="single" w:sz="8" w:space="0" w:color="auto"/>
              <w:bottom w:val="single" w:sz="8" w:space="0" w:color="000000"/>
              <w:right w:val="single" w:sz="8" w:space="0" w:color="000000"/>
            </w:tcBorders>
            <w:vAlign w:val="center"/>
            <w:hideMark/>
          </w:tcPr>
          <w:p w14:paraId="6AFBFC19" w14:textId="77777777" w:rsidR="00B71215" w:rsidRPr="00A33AE8" w:rsidRDefault="00B71215" w:rsidP="00B7121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0034836" w14:textId="77777777" w:rsidR="00B71215" w:rsidRPr="00A33AE8" w:rsidRDefault="00B71215" w:rsidP="00B71215"/>
        </w:tc>
      </w:tr>
      <w:tr w:rsidR="00B71215" w:rsidRPr="00A33AE8" w14:paraId="31BE0EF1"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1635586B" w14:textId="77777777" w:rsidR="00B71215" w:rsidRPr="00A33AE8" w:rsidRDefault="00B71215" w:rsidP="00B71215">
            <w:pPr>
              <w:spacing w:after="0" w:line="256" w:lineRule="auto"/>
              <w:rPr>
                <w:rFonts w:ascii="Calibri Light" w:eastAsia="Times New Roman" w:hAnsi="Calibri Light" w:cs="Calibri Light"/>
                <w:b/>
                <w:bCs/>
                <w:color w:val="FFFFFF"/>
                <w:sz w:val="20"/>
                <w:szCs w:val="20"/>
                <w:lang w:eastAsia="en-GB"/>
              </w:rPr>
            </w:pPr>
          </w:p>
        </w:tc>
        <w:tc>
          <w:tcPr>
            <w:tcW w:w="6234" w:type="dxa"/>
            <w:gridSpan w:val="3"/>
            <w:vMerge/>
            <w:tcBorders>
              <w:top w:val="single" w:sz="8" w:space="0" w:color="auto"/>
              <w:left w:val="single" w:sz="8" w:space="0" w:color="auto"/>
              <w:bottom w:val="single" w:sz="8" w:space="0" w:color="000000"/>
              <w:right w:val="single" w:sz="8" w:space="0" w:color="000000"/>
            </w:tcBorders>
            <w:vAlign w:val="center"/>
            <w:hideMark/>
          </w:tcPr>
          <w:p w14:paraId="178DB7A5" w14:textId="77777777" w:rsidR="00B71215" w:rsidRPr="00A33AE8" w:rsidRDefault="00B71215" w:rsidP="00B7121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2CB0651" w14:textId="77777777" w:rsidR="00B71215" w:rsidRPr="00A33AE8" w:rsidRDefault="00B71215" w:rsidP="00B71215">
            <w:pPr>
              <w:spacing w:after="0" w:line="256" w:lineRule="auto"/>
              <w:rPr>
                <w:sz w:val="20"/>
                <w:szCs w:val="20"/>
                <w:lang w:eastAsia="en-GB"/>
              </w:rPr>
            </w:pPr>
          </w:p>
        </w:tc>
      </w:tr>
      <w:tr w:rsidR="00B71215" w:rsidRPr="00A33AE8" w14:paraId="60FFFBBB" w14:textId="77777777" w:rsidTr="00B71215">
        <w:trPr>
          <w:trHeight w:val="780"/>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63501242"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34" w:type="dxa"/>
            <w:gridSpan w:val="3"/>
            <w:tcBorders>
              <w:top w:val="single" w:sz="8" w:space="0" w:color="auto"/>
              <w:left w:val="nil"/>
              <w:bottom w:val="single" w:sz="8" w:space="0" w:color="auto"/>
              <w:right w:val="single" w:sz="8" w:space="0" w:color="000000"/>
            </w:tcBorders>
            <w:vAlign w:val="center"/>
            <w:hideMark/>
          </w:tcPr>
          <w:p w14:paraId="11D95E99" w14:textId="77777777" w:rsidR="00B71215" w:rsidRPr="00A33AE8" w:rsidRDefault="00B71215" w:rsidP="00884F3B">
            <w:pPr>
              <w:pStyle w:val="ListParagraph"/>
              <w:numPr>
                <w:ilvl w:val="0"/>
                <w:numId w:val="5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TYNDP 2021-2030</w:t>
            </w:r>
          </w:p>
        </w:tc>
        <w:tc>
          <w:tcPr>
            <w:tcW w:w="1212" w:type="dxa"/>
            <w:vAlign w:val="center"/>
            <w:hideMark/>
          </w:tcPr>
          <w:p w14:paraId="5B0EC748" w14:textId="77777777" w:rsidR="00B71215" w:rsidRPr="00A33AE8" w:rsidRDefault="00B71215" w:rsidP="00B71215">
            <w:pPr>
              <w:rPr>
                <w:rFonts w:asciiTheme="majorHAnsi" w:eastAsia="Times New Roman" w:hAnsiTheme="majorHAnsi" w:cstheme="majorHAnsi"/>
                <w:color w:val="000000"/>
                <w:sz w:val="20"/>
                <w:szCs w:val="20"/>
                <w:lang w:eastAsia="en-GB"/>
              </w:rPr>
            </w:pPr>
          </w:p>
        </w:tc>
      </w:tr>
      <w:tr w:rsidR="00B71215" w:rsidRPr="00A33AE8" w14:paraId="789E0AC2" w14:textId="77777777" w:rsidTr="00B71215">
        <w:trPr>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57692852"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34" w:type="dxa"/>
            <w:gridSpan w:val="3"/>
            <w:tcBorders>
              <w:top w:val="single" w:sz="8" w:space="0" w:color="auto"/>
              <w:left w:val="nil"/>
              <w:bottom w:val="single" w:sz="8" w:space="0" w:color="auto"/>
              <w:right w:val="single" w:sz="8" w:space="0" w:color="000000"/>
            </w:tcBorders>
            <w:vAlign w:val="center"/>
            <w:hideMark/>
          </w:tcPr>
          <w:p w14:paraId="783CC780" w14:textId="77777777" w:rsidR="00B71215" w:rsidRPr="00A33AE8" w:rsidRDefault="0014166C" w:rsidP="00B71215">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52,32</w:t>
            </w:r>
            <w:r w:rsidR="00B71215" w:rsidRPr="00A33AE8">
              <w:rPr>
                <w:rFonts w:asciiTheme="majorHAnsi" w:eastAsia="Times New Roman" w:hAnsiTheme="majorHAnsi" w:cstheme="majorHAnsi"/>
                <w:color w:val="000000"/>
                <w:sz w:val="20"/>
                <w:szCs w:val="20"/>
                <w:lang w:eastAsia="en-GB"/>
              </w:rPr>
              <w:t xml:space="preserve"> </w:t>
            </w:r>
            <w:r w:rsidR="00AD7880" w:rsidRPr="00A33AE8">
              <w:rPr>
                <w:rFonts w:asciiTheme="majorHAnsi" w:eastAsia="Times New Roman" w:hAnsiTheme="majorHAnsi" w:cstheme="majorHAnsi"/>
                <w:color w:val="000000"/>
                <w:sz w:val="20"/>
                <w:szCs w:val="20"/>
                <w:lang w:eastAsia="en-GB"/>
              </w:rPr>
              <w:t>M</w:t>
            </w:r>
            <w:r w:rsidR="00AD7880" w:rsidRPr="00A33AE8">
              <w:rPr>
                <w:rFonts w:ascii="Calibri" w:eastAsia="Times New Roman" w:hAnsi="Calibri" w:cs="Calibri"/>
                <w:color w:val="000000"/>
                <w:sz w:val="20"/>
                <w:szCs w:val="20"/>
                <w:lang w:eastAsia="en-GB"/>
              </w:rPr>
              <w:t>€</w:t>
            </w:r>
          </w:p>
        </w:tc>
        <w:tc>
          <w:tcPr>
            <w:tcW w:w="1212" w:type="dxa"/>
            <w:vAlign w:val="center"/>
            <w:hideMark/>
          </w:tcPr>
          <w:p w14:paraId="4EBE610D" w14:textId="77777777" w:rsidR="00B71215" w:rsidRPr="00A33AE8" w:rsidRDefault="00B71215" w:rsidP="00B71215">
            <w:pPr>
              <w:rPr>
                <w:rFonts w:asciiTheme="majorHAnsi" w:eastAsia="Times New Roman" w:hAnsiTheme="majorHAnsi" w:cstheme="majorHAnsi"/>
                <w:color w:val="000000"/>
                <w:sz w:val="20"/>
                <w:szCs w:val="20"/>
                <w:lang w:eastAsia="en-GB"/>
              </w:rPr>
            </w:pPr>
          </w:p>
        </w:tc>
      </w:tr>
      <w:tr w:rsidR="00B92935" w:rsidRPr="00A33AE8" w14:paraId="6FCD56F1" w14:textId="77777777" w:rsidTr="00B71215">
        <w:trPr>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620FA8EA"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34" w:type="dxa"/>
            <w:gridSpan w:val="3"/>
            <w:tcBorders>
              <w:top w:val="single" w:sz="8" w:space="0" w:color="auto"/>
              <w:left w:val="nil"/>
              <w:bottom w:val="single" w:sz="8" w:space="0" w:color="auto"/>
              <w:right w:val="single" w:sz="8" w:space="0" w:color="000000"/>
            </w:tcBorders>
            <w:vAlign w:val="center"/>
            <w:hideMark/>
          </w:tcPr>
          <w:p w14:paraId="0DCFFD57" w14:textId="77777777" w:rsidR="00B92935" w:rsidRPr="00A33AE8" w:rsidRDefault="00B92935" w:rsidP="00B9293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7F36AE65"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338D5E4D" w14:textId="77777777" w:rsidR="00FD2B5A" w:rsidRPr="00A33AE8" w:rsidRDefault="00FD2B5A" w:rsidP="001D1BB0">
      <w:pPr>
        <w:pStyle w:val="LDKbody"/>
        <w:rPr>
          <w:lang w:val="en-GB"/>
        </w:rPr>
      </w:pPr>
    </w:p>
    <w:tbl>
      <w:tblPr>
        <w:tblW w:w="10700" w:type="dxa"/>
        <w:tblLook w:val="04A0" w:firstRow="1" w:lastRow="0" w:firstColumn="1" w:lastColumn="0" w:noHBand="0" w:noVBand="1"/>
      </w:tblPr>
      <w:tblGrid>
        <w:gridCol w:w="3254"/>
        <w:gridCol w:w="1207"/>
        <w:gridCol w:w="927"/>
        <w:gridCol w:w="4100"/>
        <w:gridCol w:w="1212"/>
      </w:tblGrid>
      <w:tr w:rsidR="00690C0D" w:rsidRPr="00A33AE8" w14:paraId="68FF5CDE" w14:textId="77777777" w:rsidTr="00B71215">
        <w:trPr>
          <w:gridAfter w:val="1"/>
          <w:wAfter w:w="1212" w:type="dxa"/>
          <w:trHeight w:val="780"/>
        </w:trPr>
        <w:tc>
          <w:tcPr>
            <w:tcW w:w="325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51678876"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0BEB0491"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706DDD" w:rsidRPr="00A33AE8">
              <w:rPr>
                <w:rFonts w:asciiTheme="majorHAnsi" w:eastAsia="Times New Roman" w:hAnsiTheme="majorHAnsi" w:cstheme="majorHAnsi"/>
                <w:b/>
                <w:bCs/>
                <w:color w:val="000000"/>
                <w:sz w:val="20"/>
                <w:szCs w:val="20"/>
                <w:lang w:eastAsia="en-GB"/>
              </w:rPr>
              <w:t>4</w:t>
            </w:r>
          </w:p>
        </w:tc>
        <w:tc>
          <w:tcPr>
            <w:tcW w:w="927" w:type="dxa"/>
            <w:tcBorders>
              <w:top w:val="single" w:sz="8" w:space="0" w:color="auto"/>
              <w:left w:val="nil"/>
              <w:bottom w:val="single" w:sz="8" w:space="0" w:color="auto"/>
              <w:right w:val="single" w:sz="8" w:space="0" w:color="auto"/>
            </w:tcBorders>
            <w:shd w:val="clear" w:color="auto" w:fill="244062"/>
            <w:vAlign w:val="center"/>
            <w:hideMark/>
          </w:tcPr>
          <w:p w14:paraId="521ADF27"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0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BEFC903"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Interconnection between Resita (RO) and Pancevo (RS) (PCI 3.22.1)</w:t>
            </w:r>
          </w:p>
        </w:tc>
      </w:tr>
      <w:tr w:rsidR="00690C0D" w:rsidRPr="00A33AE8" w14:paraId="5A21ECBE" w14:textId="77777777" w:rsidTr="00B71215">
        <w:trPr>
          <w:gridAfter w:val="1"/>
          <w:wAfter w:w="1212" w:type="dxa"/>
          <w:trHeight w:val="960"/>
        </w:trPr>
        <w:tc>
          <w:tcPr>
            <w:tcW w:w="3254" w:type="dxa"/>
            <w:tcBorders>
              <w:top w:val="nil"/>
              <w:left w:val="single" w:sz="8" w:space="0" w:color="auto"/>
              <w:bottom w:val="single" w:sz="8" w:space="0" w:color="auto"/>
              <w:right w:val="nil"/>
            </w:tcBorders>
            <w:shd w:val="clear" w:color="auto" w:fill="244062"/>
            <w:vAlign w:val="center"/>
            <w:hideMark/>
          </w:tcPr>
          <w:p w14:paraId="279A9654"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34" w:type="dxa"/>
            <w:gridSpan w:val="3"/>
            <w:tcBorders>
              <w:top w:val="single" w:sz="8" w:space="0" w:color="auto"/>
              <w:left w:val="nil"/>
              <w:bottom w:val="single" w:sz="8" w:space="0" w:color="auto"/>
              <w:right w:val="single" w:sz="8" w:space="0" w:color="000000"/>
            </w:tcBorders>
            <w:vAlign w:val="center"/>
          </w:tcPr>
          <w:p w14:paraId="7085DAA5" w14:textId="77777777" w:rsidR="00690C0D" w:rsidRPr="00A33AE8" w:rsidRDefault="003E736B"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Maintaining and achieving the interconnectivity targets; planning and implementation of electricity and gas transmission infrastructure projects (and, where relevant, modernization projects); ensuring the reliability of the customers’ power supply; creation of conditions for further industrial development of the areas where the project is located; integration of the desired level of RES; providing the necessary level of flexibility of the power system; which are necessary for the achievement of objectives and targets under the five dimensions of the Energy Union.</w:t>
            </w:r>
          </w:p>
        </w:tc>
      </w:tr>
      <w:tr w:rsidR="00690C0D" w:rsidRPr="00A33AE8" w14:paraId="007BABD7"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62841827"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34" w:type="dxa"/>
            <w:gridSpan w:val="3"/>
            <w:tcBorders>
              <w:top w:val="single" w:sz="8" w:space="0" w:color="auto"/>
              <w:left w:val="nil"/>
              <w:bottom w:val="single" w:sz="8" w:space="0" w:color="auto"/>
              <w:right w:val="single" w:sz="8" w:space="0" w:color="000000"/>
            </w:tcBorders>
            <w:vAlign w:val="center"/>
          </w:tcPr>
          <w:p w14:paraId="009F75ED" w14:textId="77777777" w:rsidR="00690C0D" w:rsidRPr="00A33AE8" w:rsidRDefault="00226878"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sz w:val="20"/>
                <w:szCs w:val="20"/>
                <w:lang w:eastAsia="en-GB"/>
              </w:rPr>
              <w:t>Interconnectivity targets maintained as they are foreseen until 2030, N-1 security criterion, other CBA indicators</w:t>
            </w:r>
          </w:p>
        </w:tc>
      </w:tr>
      <w:tr w:rsidR="00690C0D" w:rsidRPr="00A33AE8" w14:paraId="56FF9125" w14:textId="77777777" w:rsidTr="00B71215">
        <w:trPr>
          <w:gridAfter w:val="1"/>
          <w:wAfter w:w="1212" w:type="dxa"/>
          <w:trHeight w:val="139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237C0710"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34" w:type="dxa"/>
            <w:gridSpan w:val="3"/>
            <w:tcBorders>
              <w:top w:val="single" w:sz="8" w:space="0" w:color="auto"/>
              <w:left w:val="nil"/>
              <w:bottom w:val="single" w:sz="8" w:space="0" w:color="auto"/>
              <w:right w:val="single" w:sz="8" w:space="0" w:color="000000"/>
            </w:tcBorders>
            <w:vAlign w:val="center"/>
            <w:hideMark/>
          </w:tcPr>
          <w:p w14:paraId="6827B960" w14:textId="3A903A45" w:rsidR="00690C0D" w:rsidRPr="00A33AE8" w:rsidRDefault="00690C0D"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PM_IEM</w:t>
            </w:r>
            <w:r w:rsidR="00B71215" w:rsidRPr="00A33AE8">
              <w:rPr>
                <w:rFonts w:ascii="Calibri Light" w:eastAsia="Times New Roman" w:hAnsi="Calibri Light" w:cs="Calibri Light"/>
                <w:color w:val="000000"/>
                <w:sz w:val="20"/>
                <w:szCs w:val="20"/>
                <w:lang w:eastAsia="en-GB"/>
              </w:rPr>
              <w:t>4</w:t>
            </w:r>
            <w:r w:rsidRPr="00A33AE8">
              <w:rPr>
                <w:rFonts w:asciiTheme="majorHAnsi" w:eastAsia="Times New Roman" w:hAnsiTheme="majorHAnsi" w:cstheme="majorHAnsi"/>
                <w:color w:val="000000"/>
                <w:sz w:val="20"/>
                <w:szCs w:val="20"/>
                <w:lang w:eastAsia="en-GB"/>
              </w:rPr>
              <w:t xml:space="preserve"> corresponds to a set of infrastructure measures comprising the Serbian - Romanian Interconnection as it its included in the Serbian TYNDP 2021-2030. The project has been completed on the Serbian side up to the Romanian border. Completion on the Romanian side still underway. It is necessary for the Romanian transmission system operator Transele</w:t>
            </w:r>
            <w:r w:rsidR="00BE2D13" w:rsidRPr="00A33AE8">
              <w:rPr>
                <w:rFonts w:asciiTheme="majorHAnsi" w:eastAsia="Times New Roman" w:hAnsiTheme="majorHAnsi" w:cstheme="majorHAnsi"/>
                <w:color w:val="000000"/>
                <w:sz w:val="20"/>
                <w:szCs w:val="20"/>
                <w:lang w:eastAsia="en-GB"/>
              </w:rPr>
              <w:t>c</w:t>
            </w:r>
            <w:r w:rsidRPr="00A33AE8">
              <w:rPr>
                <w:rFonts w:asciiTheme="majorHAnsi" w:eastAsia="Times New Roman" w:hAnsiTheme="majorHAnsi" w:cstheme="majorHAnsi"/>
                <w:color w:val="000000"/>
                <w:sz w:val="20"/>
                <w:szCs w:val="20"/>
                <w:lang w:eastAsia="en-GB"/>
              </w:rPr>
              <w:t xml:space="preserve">trica to implement </w:t>
            </w:r>
            <w:r w:rsidR="00A92421" w:rsidRPr="00A33AE8">
              <w:rPr>
                <w:rFonts w:asciiTheme="majorHAnsi" w:eastAsia="Times New Roman" w:hAnsiTheme="majorHAnsi" w:cstheme="majorHAnsi"/>
                <w:color w:val="000000"/>
                <w:sz w:val="20"/>
                <w:szCs w:val="20"/>
                <w:lang w:eastAsia="en-GB"/>
              </w:rPr>
              <w:t>the 400</w:t>
            </w:r>
            <w:r w:rsidRPr="00A33AE8">
              <w:rPr>
                <w:rFonts w:asciiTheme="majorHAnsi" w:eastAsia="Times New Roman" w:hAnsiTheme="majorHAnsi" w:cstheme="majorHAnsi"/>
                <w:color w:val="000000"/>
                <w:sz w:val="20"/>
                <w:szCs w:val="20"/>
                <w:lang w:eastAsia="en-GB"/>
              </w:rPr>
              <w:t xml:space="preserve"> kV TS Resica as well as a 400 kV OHL from TS Portile de Fier to TS Resica section from the border to TS Resita. The section of the 400 kV transmission line from the Romanian border to TS Resica has been completed.</w:t>
            </w:r>
          </w:p>
        </w:tc>
      </w:tr>
      <w:tr w:rsidR="00690C0D" w:rsidRPr="00A33AE8" w14:paraId="4637D97F"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257024F1"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234" w:type="dxa"/>
            <w:gridSpan w:val="3"/>
            <w:tcBorders>
              <w:top w:val="single" w:sz="8" w:space="0" w:color="auto"/>
              <w:left w:val="nil"/>
              <w:bottom w:val="single" w:sz="8" w:space="0" w:color="auto"/>
              <w:right w:val="single" w:sz="8" w:space="0" w:color="000000"/>
            </w:tcBorders>
            <w:vAlign w:val="center"/>
            <w:hideMark/>
          </w:tcPr>
          <w:p w14:paraId="5A45E5A0" w14:textId="77777777" w:rsidR="00612D01" w:rsidRPr="00A33AE8" w:rsidRDefault="00612D01"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Completed in 2017 (for the Serbian side)</w:t>
            </w:r>
          </w:p>
          <w:p w14:paraId="46870E2E" w14:textId="77777777" w:rsidR="00690C0D" w:rsidRPr="00A33AE8" w:rsidRDefault="00690C0D"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2026-2030</w:t>
            </w:r>
            <w:r w:rsidR="00612D01" w:rsidRPr="00A33AE8">
              <w:rPr>
                <w:rFonts w:asciiTheme="majorHAnsi" w:eastAsia="Times New Roman" w:hAnsiTheme="majorHAnsi" w:cstheme="majorHAnsi"/>
                <w:color w:val="000000"/>
                <w:sz w:val="20"/>
                <w:szCs w:val="20"/>
                <w:lang w:eastAsia="en-GB"/>
              </w:rPr>
              <w:t xml:space="preserve"> (for the Romanian side)</w:t>
            </w:r>
          </w:p>
        </w:tc>
      </w:tr>
      <w:tr w:rsidR="00690C0D" w:rsidRPr="00A33AE8" w14:paraId="793637BC"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679FAE5B"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34" w:type="dxa"/>
            <w:gridSpan w:val="3"/>
            <w:tcBorders>
              <w:top w:val="single" w:sz="8" w:space="0" w:color="auto"/>
              <w:left w:val="nil"/>
              <w:bottom w:val="single" w:sz="8" w:space="0" w:color="auto"/>
              <w:right w:val="single" w:sz="8" w:space="0" w:color="000000"/>
            </w:tcBorders>
            <w:vAlign w:val="center"/>
            <w:hideMark/>
          </w:tcPr>
          <w:p w14:paraId="73F0D55D" w14:textId="77777777" w:rsidR="00690C0D" w:rsidRPr="00A33AE8" w:rsidRDefault="00AD7880"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690C0D" w:rsidRPr="00A33AE8" w14:paraId="452397DC"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30051751"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34" w:type="dxa"/>
            <w:gridSpan w:val="3"/>
            <w:tcBorders>
              <w:top w:val="single" w:sz="8" w:space="0" w:color="auto"/>
              <w:left w:val="nil"/>
              <w:bottom w:val="single" w:sz="8" w:space="0" w:color="auto"/>
              <w:right w:val="single" w:sz="8" w:space="0" w:color="000000"/>
            </w:tcBorders>
            <w:vAlign w:val="center"/>
            <w:hideMark/>
          </w:tcPr>
          <w:p w14:paraId="4E5C472E" w14:textId="77777777" w:rsidR="00690C0D" w:rsidRPr="00A33AE8" w:rsidRDefault="00690C0D"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690C0D" w:rsidRPr="00A33AE8" w14:paraId="00D010CB" w14:textId="77777777" w:rsidTr="00B71215">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0185BF33"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34" w:type="dxa"/>
            <w:gridSpan w:val="3"/>
            <w:tcBorders>
              <w:top w:val="single" w:sz="8" w:space="0" w:color="auto"/>
              <w:left w:val="nil"/>
              <w:bottom w:val="single" w:sz="8" w:space="0" w:color="auto"/>
              <w:right w:val="single" w:sz="8" w:space="0" w:color="000000"/>
            </w:tcBorders>
            <w:vAlign w:val="center"/>
            <w:hideMark/>
          </w:tcPr>
          <w:p w14:paraId="0304A6B4" w14:textId="77777777" w:rsidR="00245A42" w:rsidRPr="00A33AE8" w:rsidRDefault="00245A42"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47BEA15" w14:textId="77777777" w:rsidR="00690C0D" w:rsidRPr="00A33AE8" w:rsidRDefault="00500B07"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hAnsiTheme="majorHAnsi" w:cstheme="majorHAnsi"/>
                <w:bCs/>
              </w:rPr>
              <w:t>“Elektromreža Srbije“ - EMS</w:t>
            </w:r>
          </w:p>
        </w:tc>
      </w:tr>
      <w:tr w:rsidR="00690C0D" w:rsidRPr="00A33AE8" w14:paraId="0C735864" w14:textId="77777777" w:rsidTr="00B71215">
        <w:trPr>
          <w:gridAfter w:val="1"/>
          <w:wAfter w:w="1212" w:type="dxa"/>
          <w:trHeight w:val="315"/>
        </w:trPr>
        <w:tc>
          <w:tcPr>
            <w:tcW w:w="3254" w:type="dxa"/>
            <w:tcBorders>
              <w:top w:val="nil"/>
              <w:left w:val="single" w:sz="8" w:space="0" w:color="auto"/>
              <w:bottom w:val="single" w:sz="8" w:space="0" w:color="auto"/>
              <w:right w:val="nil"/>
            </w:tcBorders>
            <w:shd w:val="clear" w:color="auto" w:fill="244062"/>
            <w:vAlign w:val="center"/>
            <w:hideMark/>
          </w:tcPr>
          <w:p w14:paraId="4920E8DA"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34" w:type="dxa"/>
            <w:gridSpan w:val="3"/>
            <w:tcBorders>
              <w:top w:val="single" w:sz="8" w:space="0" w:color="auto"/>
              <w:left w:val="nil"/>
              <w:bottom w:val="single" w:sz="8" w:space="0" w:color="auto"/>
              <w:right w:val="single" w:sz="8" w:space="0" w:color="000000"/>
            </w:tcBorders>
            <w:vAlign w:val="center"/>
            <w:hideMark/>
          </w:tcPr>
          <w:p w14:paraId="0E91DA60" w14:textId="77777777" w:rsidR="00690C0D" w:rsidRPr="00A33AE8" w:rsidRDefault="00690C0D"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500B07" w:rsidRPr="00A33AE8">
              <w:rPr>
                <w:rFonts w:asciiTheme="majorHAnsi" w:hAnsiTheme="majorHAnsi" w:cstheme="majorHAnsi"/>
                <w:bCs/>
              </w:rPr>
              <w:t>“Elektromreža Srbije“ - EMS</w:t>
            </w:r>
          </w:p>
        </w:tc>
      </w:tr>
      <w:tr w:rsidR="00690C0D" w:rsidRPr="00A33AE8" w14:paraId="40ED00C0" w14:textId="77777777" w:rsidTr="00B71215">
        <w:trPr>
          <w:gridAfter w:val="1"/>
          <w:wAfter w:w="1212" w:type="dxa"/>
          <w:trHeight w:val="315"/>
        </w:trPr>
        <w:tc>
          <w:tcPr>
            <w:tcW w:w="3254" w:type="dxa"/>
            <w:tcBorders>
              <w:top w:val="nil"/>
              <w:left w:val="single" w:sz="8" w:space="0" w:color="auto"/>
              <w:bottom w:val="single" w:sz="8" w:space="0" w:color="auto"/>
              <w:right w:val="nil"/>
            </w:tcBorders>
            <w:shd w:val="clear" w:color="auto" w:fill="244062"/>
            <w:vAlign w:val="center"/>
            <w:hideMark/>
          </w:tcPr>
          <w:p w14:paraId="40129AB1"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34" w:type="dxa"/>
            <w:gridSpan w:val="3"/>
            <w:tcBorders>
              <w:top w:val="single" w:sz="8" w:space="0" w:color="auto"/>
              <w:left w:val="nil"/>
              <w:bottom w:val="single" w:sz="8" w:space="0" w:color="auto"/>
              <w:right w:val="single" w:sz="8" w:space="0" w:color="000000"/>
            </w:tcBorders>
            <w:vAlign w:val="center"/>
            <w:hideMark/>
          </w:tcPr>
          <w:p w14:paraId="24C55224" w14:textId="77777777" w:rsidR="00690C0D" w:rsidRPr="00A33AE8" w:rsidRDefault="00BE2D13"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Interconnectivity targets</w:t>
            </w:r>
          </w:p>
        </w:tc>
      </w:tr>
      <w:tr w:rsidR="00A0226E" w:rsidRPr="00A33AE8" w14:paraId="48D37055" w14:textId="77777777" w:rsidTr="00B71215">
        <w:trPr>
          <w:gridAfter w:val="1"/>
          <w:wAfter w:w="1212" w:type="dxa"/>
          <w:trHeight w:val="453"/>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5F429F23"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34" w:type="dxa"/>
            <w:gridSpan w:val="3"/>
            <w:tcBorders>
              <w:top w:val="single" w:sz="8" w:space="0" w:color="auto"/>
              <w:left w:val="nil"/>
              <w:bottom w:val="single" w:sz="8" w:space="0" w:color="auto"/>
              <w:right w:val="single" w:sz="8" w:space="0" w:color="000000"/>
            </w:tcBorders>
            <w:vAlign w:val="center"/>
            <w:hideMark/>
          </w:tcPr>
          <w:p w14:paraId="19DFF64E" w14:textId="77777777" w:rsidR="00A0226E" w:rsidRDefault="00A0226E" w:rsidP="00884F3B">
            <w:pPr>
              <w:pStyle w:val="ListParagraph"/>
              <w:numPr>
                <w:ilvl w:val="0"/>
                <w:numId w:val="5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3FF8DA17" w14:textId="77777777" w:rsidR="0055728F" w:rsidRPr="00A33AE8" w:rsidRDefault="0055728F" w:rsidP="00884F3B">
            <w:pPr>
              <w:pStyle w:val="ListParagraph"/>
              <w:numPr>
                <w:ilvl w:val="0"/>
                <w:numId w:val="51"/>
              </w:numPr>
              <w:spacing w:after="0" w:line="240" w:lineRule="auto"/>
              <w:jc w:val="both"/>
              <w:rPr>
                <w:rFonts w:asciiTheme="majorHAnsi" w:eastAsia="Times New Roman" w:hAnsiTheme="majorHAnsi" w:cstheme="majorHAnsi"/>
                <w:color w:val="000000"/>
                <w:sz w:val="20"/>
                <w:szCs w:val="20"/>
                <w:lang w:eastAsia="en-GB"/>
              </w:rPr>
            </w:pPr>
            <w:r w:rsidRPr="0055728F">
              <w:rPr>
                <w:rFonts w:asciiTheme="majorHAnsi" w:eastAsia="Times New Roman" w:hAnsiTheme="majorHAnsi" w:cstheme="majorHAnsi"/>
                <w:color w:val="000000"/>
                <w:sz w:val="20"/>
                <w:szCs w:val="20"/>
                <w:lang w:eastAsia="en-GB"/>
              </w:rPr>
              <w:t>Decarbonisation</w:t>
            </w:r>
          </w:p>
        </w:tc>
      </w:tr>
      <w:tr w:rsidR="00B71215" w:rsidRPr="00A33AE8" w14:paraId="71C8D040" w14:textId="77777777" w:rsidTr="00B71215">
        <w:trPr>
          <w:gridAfter w:val="1"/>
          <w:wAfter w:w="1212" w:type="dxa"/>
          <w:trHeight w:val="450"/>
        </w:trPr>
        <w:tc>
          <w:tcPr>
            <w:tcW w:w="3254" w:type="dxa"/>
            <w:vMerge w:val="restart"/>
            <w:tcBorders>
              <w:top w:val="nil"/>
              <w:left w:val="single" w:sz="8" w:space="0" w:color="auto"/>
              <w:bottom w:val="single" w:sz="8" w:space="0" w:color="000000"/>
              <w:right w:val="single" w:sz="8" w:space="0" w:color="auto"/>
            </w:tcBorders>
            <w:shd w:val="clear" w:color="auto" w:fill="244062"/>
            <w:vAlign w:val="center"/>
            <w:hideMark/>
          </w:tcPr>
          <w:p w14:paraId="72894DC2"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3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1879065D"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75F5CD10" w14:textId="77777777" w:rsidR="00B71215" w:rsidRPr="00A33AE8" w:rsidRDefault="00B71215"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B71215" w:rsidRPr="00A33AE8" w14:paraId="74A64B91" w14:textId="77777777" w:rsidTr="00B71215">
        <w:trPr>
          <w:trHeight w:val="300"/>
        </w:trPr>
        <w:tc>
          <w:tcPr>
            <w:tcW w:w="0" w:type="auto"/>
            <w:vMerge/>
            <w:tcBorders>
              <w:top w:val="nil"/>
              <w:left w:val="single" w:sz="8" w:space="0" w:color="auto"/>
              <w:bottom w:val="single" w:sz="8" w:space="0" w:color="000000"/>
              <w:right w:val="single" w:sz="8" w:space="0" w:color="auto"/>
            </w:tcBorders>
            <w:vAlign w:val="center"/>
            <w:hideMark/>
          </w:tcPr>
          <w:p w14:paraId="3FEA27C1" w14:textId="77777777" w:rsidR="00B71215" w:rsidRPr="00A33AE8" w:rsidRDefault="00B71215" w:rsidP="00B71215">
            <w:pPr>
              <w:spacing w:after="0" w:line="256" w:lineRule="auto"/>
              <w:rPr>
                <w:rFonts w:ascii="Calibri Light" w:eastAsia="Times New Roman" w:hAnsi="Calibri Light" w:cs="Calibri Light"/>
                <w:b/>
                <w:bCs/>
                <w:color w:val="FFFFFF"/>
                <w:sz w:val="20"/>
                <w:szCs w:val="20"/>
                <w:lang w:eastAsia="en-GB"/>
              </w:rPr>
            </w:pPr>
          </w:p>
        </w:tc>
        <w:tc>
          <w:tcPr>
            <w:tcW w:w="6234" w:type="dxa"/>
            <w:gridSpan w:val="3"/>
            <w:vMerge/>
            <w:tcBorders>
              <w:top w:val="single" w:sz="8" w:space="0" w:color="auto"/>
              <w:left w:val="single" w:sz="8" w:space="0" w:color="auto"/>
              <w:bottom w:val="single" w:sz="8" w:space="0" w:color="000000"/>
              <w:right w:val="single" w:sz="8" w:space="0" w:color="000000"/>
            </w:tcBorders>
            <w:vAlign w:val="center"/>
            <w:hideMark/>
          </w:tcPr>
          <w:p w14:paraId="1503DE5F" w14:textId="77777777" w:rsidR="00B71215" w:rsidRPr="00A33AE8" w:rsidRDefault="00B71215" w:rsidP="00B7121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076B262" w14:textId="77777777" w:rsidR="00B71215" w:rsidRPr="00A33AE8" w:rsidRDefault="00B71215" w:rsidP="00B71215"/>
        </w:tc>
      </w:tr>
      <w:tr w:rsidR="00B71215" w:rsidRPr="00A33AE8" w14:paraId="4FA5A9EB"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2AADDE15" w14:textId="77777777" w:rsidR="00B71215" w:rsidRPr="00A33AE8" w:rsidRDefault="00B71215" w:rsidP="00B71215">
            <w:pPr>
              <w:spacing w:after="0" w:line="256" w:lineRule="auto"/>
              <w:rPr>
                <w:rFonts w:ascii="Calibri Light" w:eastAsia="Times New Roman" w:hAnsi="Calibri Light" w:cs="Calibri Light"/>
                <w:b/>
                <w:bCs/>
                <w:color w:val="FFFFFF"/>
                <w:sz w:val="20"/>
                <w:szCs w:val="20"/>
                <w:lang w:eastAsia="en-GB"/>
              </w:rPr>
            </w:pPr>
          </w:p>
        </w:tc>
        <w:tc>
          <w:tcPr>
            <w:tcW w:w="6234" w:type="dxa"/>
            <w:gridSpan w:val="3"/>
            <w:vMerge/>
            <w:tcBorders>
              <w:top w:val="single" w:sz="8" w:space="0" w:color="auto"/>
              <w:left w:val="single" w:sz="8" w:space="0" w:color="auto"/>
              <w:bottom w:val="single" w:sz="8" w:space="0" w:color="000000"/>
              <w:right w:val="single" w:sz="8" w:space="0" w:color="000000"/>
            </w:tcBorders>
            <w:vAlign w:val="center"/>
            <w:hideMark/>
          </w:tcPr>
          <w:p w14:paraId="6B2D8E63" w14:textId="77777777" w:rsidR="00B71215" w:rsidRPr="00A33AE8" w:rsidRDefault="00B71215" w:rsidP="00B71215">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DBC6619" w14:textId="77777777" w:rsidR="00B71215" w:rsidRPr="00A33AE8" w:rsidRDefault="00B71215" w:rsidP="00B71215">
            <w:pPr>
              <w:spacing w:after="0" w:line="256" w:lineRule="auto"/>
              <w:rPr>
                <w:sz w:val="20"/>
                <w:szCs w:val="20"/>
                <w:lang w:eastAsia="en-GB"/>
              </w:rPr>
            </w:pPr>
          </w:p>
        </w:tc>
      </w:tr>
      <w:tr w:rsidR="00B71215" w:rsidRPr="00A33AE8" w14:paraId="495C3021" w14:textId="77777777" w:rsidTr="00B71215">
        <w:trPr>
          <w:trHeight w:val="780"/>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2174783C" w14:textId="77777777" w:rsidR="00B71215" w:rsidRPr="00A33AE8" w:rsidRDefault="00B71215" w:rsidP="00B7121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34" w:type="dxa"/>
            <w:gridSpan w:val="3"/>
            <w:tcBorders>
              <w:top w:val="single" w:sz="8" w:space="0" w:color="auto"/>
              <w:left w:val="nil"/>
              <w:bottom w:val="single" w:sz="8" w:space="0" w:color="auto"/>
              <w:right w:val="single" w:sz="8" w:space="0" w:color="000000"/>
            </w:tcBorders>
            <w:vAlign w:val="center"/>
            <w:hideMark/>
          </w:tcPr>
          <w:p w14:paraId="0C3563CD" w14:textId="77777777" w:rsidR="00B71215" w:rsidRPr="00A33AE8" w:rsidRDefault="00B71215"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TYNDP 2021-2030</w:t>
            </w:r>
          </w:p>
        </w:tc>
        <w:tc>
          <w:tcPr>
            <w:tcW w:w="1212" w:type="dxa"/>
            <w:vAlign w:val="center"/>
            <w:hideMark/>
          </w:tcPr>
          <w:p w14:paraId="77426651" w14:textId="77777777" w:rsidR="00B71215" w:rsidRPr="00A33AE8" w:rsidRDefault="00B71215" w:rsidP="00B71215">
            <w:pPr>
              <w:rPr>
                <w:rFonts w:asciiTheme="majorHAnsi" w:eastAsia="Times New Roman" w:hAnsiTheme="majorHAnsi" w:cstheme="majorHAnsi"/>
                <w:color w:val="000000"/>
                <w:sz w:val="20"/>
                <w:szCs w:val="20"/>
                <w:lang w:eastAsia="en-GB"/>
              </w:rPr>
            </w:pPr>
          </w:p>
        </w:tc>
      </w:tr>
      <w:tr w:rsidR="00690C0D" w:rsidRPr="00A33AE8" w14:paraId="37F1D6B4" w14:textId="77777777" w:rsidTr="00B71215">
        <w:trPr>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70AF41D2"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34" w:type="dxa"/>
            <w:gridSpan w:val="3"/>
            <w:tcBorders>
              <w:top w:val="single" w:sz="8" w:space="0" w:color="auto"/>
              <w:left w:val="nil"/>
              <w:bottom w:val="single" w:sz="8" w:space="0" w:color="auto"/>
              <w:right w:val="single" w:sz="8" w:space="0" w:color="000000"/>
            </w:tcBorders>
            <w:vAlign w:val="center"/>
            <w:hideMark/>
          </w:tcPr>
          <w:p w14:paraId="0E7CFB58" w14:textId="77777777" w:rsidR="00690C0D" w:rsidRPr="00A33AE8" w:rsidRDefault="00B92935"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w:t>
            </w:r>
            <w:r w:rsidR="00690C0D" w:rsidRPr="00A33AE8">
              <w:rPr>
                <w:rFonts w:asciiTheme="majorHAnsi" w:eastAsia="Times New Roman" w:hAnsiTheme="majorHAnsi" w:cstheme="majorHAnsi"/>
                <w:color w:val="000000"/>
                <w:sz w:val="20"/>
                <w:szCs w:val="20"/>
                <w:lang w:eastAsia="en-GB"/>
              </w:rPr>
              <w:t>roject completed</w:t>
            </w:r>
            <w:r w:rsidR="00BE2D13" w:rsidRPr="00A33AE8">
              <w:rPr>
                <w:rFonts w:asciiTheme="majorHAnsi" w:eastAsia="Times New Roman" w:hAnsiTheme="majorHAnsi" w:cstheme="majorHAnsi"/>
                <w:color w:val="000000"/>
                <w:sz w:val="20"/>
                <w:szCs w:val="20"/>
                <w:lang w:eastAsia="en-GB"/>
              </w:rPr>
              <w:t xml:space="preserve"> from the Serbian end</w:t>
            </w:r>
          </w:p>
        </w:tc>
        <w:tc>
          <w:tcPr>
            <w:tcW w:w="1212" w:type="dxa"/>
            <w:vAlign w:val="center"/>
            <w:hideMark/>
          </w:tcPr>
          <w:p w14:paraId="6BC321BA" w14:textId="77777777" w:rsidR="00690C0D" w:rsidRPr="00A33AE8" w:rsidRDefault="00690C0D" w:rsidP="00FF03FA">
            <w:pPr>
              <w:rPr>
                <w:rFonts w:asciiTheme="majorHAnsi" w:eastAsia="Times New Roman" w:hAnsiTheme="majorHAnsi" w:cstheme="majorHAnsi"/>
                <w:color w:val="000000"/>
                <w:sz w:val="20"/>
                <w:szCs w:val="20"/>
                <w:lang w:eastAsia="en-GB"/>
              </w:rPr>
            </w:pPr>
          </w:p>
        </w:tc>
      </w:tr>
      <w:tr w:rsidR="00690C0D" w:rsidRPr="00A33AE8" w14:paraId="1611B1DE" w14:textId="77777777" w:rsidTr="00B71215">
        <w:trPr>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53C6943A"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34" w:type="dxa"/>
            <w:gridSpan w:val="3"/>
            <w:tcBorders>
              <w:top w:val="single" w:sz="8" w:space="0" w:color="auto"/>
              <w:left w:val="nil"/>
              <w:bottom w:val="single" w:sz="8" w:space="0" w:color="auto"/>
              <w:right w:val="single" w:sz="8" w:space="0" w:color="000000"/>
            </w:tcBorders>
            <w:vAlign w:val="center"/>
            <w:hideMark/>
          </w:tcPr>
          <w:p w14:paraId="043150F0" w14:textId="77777777" w:rsidR="00690C0D" w:rsidRPr="00A33AE8" w:rsidRDefault="00690C0D" w:rsidP="00FF03FA">
            <w:pPr>
              <w:spacing w:after="0" w:line="240" w:lineRule="auto"/>
              <w:rPr>
                <w:rFonts w:ascii="Calibri" w:eastAsia="Times New Roman" w:hAnsi="Calibri" w:cs="Calibri"/>
                <w:color w:val="000000"/>
                <w:lang w:eastAsia="en-GB"/>
              </w:rPr>
            </w:pPr>
            <w:r w:rsidRPr="00A33AE8">
              <w:rPr>
                <w:rFonts w:ascii="Calibri" w:eastAsia="Times New Roman" w:hAnsi="Calibri" w:cs="Calibri"/>
                <w:color w:val="000000"/>
                <w:lang w:eastAsia="en-GB"/>
              </w:rPr>
              <w:t> </w:t>
            </w:r>
            <w:r w:rsidR="00BE2D13" w:rsidRPr="00A33AE8">
              <w:rPr>
                <w:rFonts w:asciiTheme="majorHAnsi" w:eastAsia="Times New Roman" w:hAnsiTheme="majorHAnsi" w:cstheme="majorHAnsi"/>
                <w:color w:val="000000"/>
                <w:sz w:val="20"/>
                <w:szCs w:val="20"/>
                <w:lang w:eastAsia="en-GB"/>
              </w:rPr>
              <w:t>None required</w:t>
            </w:r>
          </w:p>
        </w:tc>
        <w:tc>
          <w:tcPr>
            <w:tcW w:w="1212" w:type="dxa"/>
            <w:vAlign w:val="center"/>
            <w:hideMark/>
          </w:tcPr>
          <w:p w14:paraId="72FAAED2" w14:textId="77777777" w:rsidR="00690C0D" w:rsidRPr="00A33AE8" w:rsidRDefault="00690C0D" w:rsidP="00FF03FA">
            <w:pPr>
              <w:rPr>
                <w:rFonts w:ascii="Calibri" w:eastAsia="Times New Roman" w:hAnsi="Calibri" w:cs="Calibri"/>
                <w:color w:val="000000"/>
                <w:lang w:eastAsia="en-GB"/>
              </w:rPr>
            </w:pPr>
          </w:p>
        </w:tc>
      </w:tr>
    </w:tbl>
    <w:p w14:paraId="3FE143A0" w14:textId="77777777" w:rsidR="00690C0D" w:rsidRPr="00A33AE8" w:rsidRDefault="00690C0D" w:rsidP="001D1BB0">
      <w:pPr>
        <w:pStyle w:val="LDKbody"/>
        <w:rPr>
          <w:lang w:val="en-GB"/>
        </w:rPr>
      </w:pPr>
    </w:p>
    <w:tbl>
      <w:tblPr>
        <w:tblW w:w="10700" w:type="dxa"/>
        <w:tblLook w:val="04A0" w:firstRow="1" w:lastRow="0" w:firstColumn="1" w:lastColumn="0" w:noHBand="0" w:noVBand="1"/>
      </w:tblPr>
      <w:tblGrid>
        <w:gridCol w:w="3277"/>
        <w:gridCol w:w="1140"/>
        <w:gridCol w:w="932"/>
        <w:gridCol w:w="4139"/>
        <w:gridCol w:w="1212"/>
      </w:tblGrid>
      <w:tr w:rsidR="00690C0D" w:rsidRPr="00A33AE8" w14:paraId="636F3980" w14:textId="77777777" w:rsidTr="005A758D">
        <w:trPr>
          <w:gridAfter w:val="1"/>
          <w:wAfter w:w="1212" w:type="dxa"/>
          <w:trHeight w:val="780"/>
        </w:trPr>
        <w:tc>
          <w:tcPr>
            <w:tcW w:w="327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FEC30E2"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40" w:type="dxa"/>
            <w:tcBorders>
              <w:top w:val="single" w:sz="8" w:space="0" w:color="auto"/>
              <w:left w:val="nil"/>
              <w:bottom w:val="single" w:sz="8" w:space="0" w:color="auto"/>
              <w:right w:val="single" w:sz="8" w:space="0" w:color="auto"/>
            </w:tcBorders>
            <w:shd w:val="clear" w:color="auto" w:fill="E7E6E6" w:themeFill="background2"/>
            <w:vAlign w:val="center"/>
            <w:hideMark/>
          </w:tcPr>
          <w:p w14:paraId="631C2D2F" w14:textId="77777777" w:rsidR="00690C0D" w:rsidRPr="00A33AE8" w:rsidRDefault="005D69C8"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PM_IEM5</w:t>
            </w:r>
          </w:p>
        </w:tc>
        <w:tc>
          <w:tcPr>
            <w:tcW w:w="932" w:type="dxa"/>
            <w:tcBorders>
              <w:top w:val="single" w:sz="8" w:space="0" w:color="auto"/>
              <w:left w:val="nil"/>
              <w:bottom w:val="single" w:sz="8" w:space="0" w:color="auto"/>
              <w:right w:val="single" w:sz="8" w:space="0" w:color="auto"/>
            </w:tcBorders>
            <w:shd w:val="clear" w:color="auto" w:fill="244062"/>
            <w:vAlign w:val="center"/>
            <w:hideMark/>
          </w:tcPr>
          <w:p w14:paraId="4AFE512B"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139" w:type="dxa"/>
            <w:tcBorders>
              <w:top w:val="single" w:sz="8" w:space="0" w:color="auto"/>
              <w:left w:val="nil"/>
              <w:bottom w:val="single" w:sz="8" w:space="0" w:color="auto"/>
              <w:right w:val="single" w:sz="8" w:space="0" w:color="auto"/>
            </w:tcBorders>
            <w:shd w:val="clear" w:color="auto" w:fill="E7E6E6" w:themeFill="background2"/>
            <w:vAlign w:val="center"/>
            <w:hideMark/>
          </w:tcPr>
          <w:p w14:paraId="197CCA72" w14:textId="4A1839FD"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Pannonian corridor</w:t>
            </w:r>
          </w:p>
        </w:tc>
      </w:tr>
      <w:tr w:rsidR="00690C0D" w:rsidRPr="00A33AE8" w14:paraId="2DE84998" w14:textId="77777777" w:rsidTr="005A758D">
        <w:trPr>
          <w:gridAfter w:val="1"/>
          <w:wAfter w:w="1212" w:type="dxa"/>
          <w:trHeight w:val="960"/>
        </w:trPr>
        <w:tc>
          <w:tcPr>
            <w:tcW w:w="3277" w:type="dxa"/>
            <w:tcBorders>
              <w:top w:val="nil"/>
              <w:left w:val="single" w:sz="8" w:space="0" w:color="auto"/>
              <w:bottom w:val="single" w:sz="8" w:space="0" w:color="auto"/>
              <w:right w:val="nil"/>
            </w:tcBorders>
            <w:shd w:val="clear" w:color="auto" w:fill="244062"/>
            <w:vAlign w:val="center"/>
            <w:hideMark/>
          </w:tcPr>
          <w:p w14:paraId="3CFDC548"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11" w:type="dxa"/>
            <w:gridSpan w:val="3"/>
            <w:tcBorders>
              <w:top w:val="single" w:sz="8" w:space="0" w:color="auto"/>
              <w:left w:val="nil"/>
              <w:bottom w:val="single" w:sz="8" w:space="0" w:color="auto"/>
              <w:right w:val="single" w:sz="8" w:space="0" w:color="000000"/>
            </w:tcBorders>
            <w:vAlign w:val="center"/>
          </w:tcPr>
          <w:p w14:paraId="6E863691" w14:textId="77777777" w:rsidR="00690C0D" w:rsidRPr="00A33AE8" w:rsidRDefault="00D52C44"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Maintaining and achieving the interconnectivity targets; planning and implementation of electricity and gas transmission infrastructure projects (and, where relevant, modernization projects); ensuring the reliability of the customers’ power supply; creation of conditions for further industrial development of the areas where the project is located; integration of the desired level of RES; providing the necessary level of flexibility of the power system; which are necessary for the achievement of objectives and targets under the five dimensions of the Energy Union.</w:t>
            </w:r>
          </w:p>
        </w:tc>
      </w:tr>
      <w:tr w:rsidR="00690C0D" w:rsidRPr="00A33AE8" w14:paraId="5C104085" w14:textId="77777777" w:rsidTr="005A758D">
        <w:trPr>
          <w:gridAfter w:val="1"/>
          <w:wAfter w:w="1212" w:type="dxa"/>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435C1BDE"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11" w:type="dxa"/>
            <w:gridSpan w:val="3"/>
            <w:tcBorders>
              <w:top w:val="single" w:sz="8" w:space="0" w:color="auto"/>
              <w:left w:val="nil"/>
              <w:bottom w:val="single" w:sz="8" w:space="0" w:color="auto"/>
              <w:right w:val="single" w:sz="8" w:space="0" w:color="000000"/>
            </w:tcBorders>
            <w:vAlign w:val="center"/>
          </w:tcPr>
          <w:p w14:paraId="3FA5F0B6" w14:textId="77777777" w:rsidR="00690C0D" w:rsidRPr="00A33AE8" w:rsidRDefault="00BE2D13"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sz w:val="20"/>
                <w:szCs w:val="20"/>
                <w:lang w:eastAsia="en-GB"/>
              </w:rPr>
              <w:t>Interconnectivity targets maintained as they are foreseen until 2030, N-1 security criterion, other CBA indicators</w:t>
            </w:r>
          </w:p>
        </w:tc>
      </w:tr>
      <w:tr w:rsidR="005A758D" w:rsidRPr="00A33AE8" w14:paraId="1C7CA9B1" w14:textId="77777777" w:rsidTr="005A758D">
        <w:trPr>
          <w:gridAfter w:val="1"/>
          <w:wAfter w:w="1212" w:type="dxa"/>
          <w:trHeight w:val="1090"/>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76881650"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11" w:type="dxa"/>
            <w:gridSpan w:val="3"/>
            <w:tcBorders>
              <w:top w:val="single" w:sz="8" w:space="0" w:color="auto"/>
              <w:left w:val="nil"/>
              <w:bottom w:val="single" w:sz="8" w:space="0" w:color="auto"/>
              <w:right w:val="single" w:sz="8" w:space="0" w:color="000000"/>
            </w:tcBorders>
            <w:vAlign w:val="center"/>
          </w:tcPr>
          <w:p w14:paraId="5DCCFFC2" w14:textId="77777777" w:rsidR="005A758D" w:rsidRPr="00A33AE8" w:rsidRDefault="005A758D"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It corresponds to a set of infrastructural 400 kV transmission lines in the area of Vojvodina, which will further enable the integration of electricity from renewable sources, as well as increase the cross-border transmission capacity between Serbia and Hungary.</w:t>
            </w:r>
          </w:p>
        </w:tc>
      </w:tr>
      <w:tr w:rsidR="005A758D" w:rsidRPr="00A33AE8" w14:paraId="294497A2" w14:textId="77777777" w:rsidTr="005A758D">
        <w:trPr>
          <w:gridAfter w:val="1"/>
          <w:wAfter w:w="1212" w:type="dxa"/>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7586BA92"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11" w:type="dxa"/>
            <w:gridSpan w:val="3"/>
            <w:tcBorders>
              <w:top w:val="single" w:sz="8" w:space="0" w:color="auto"/>
              <w:left w:val="nil"/>
              <w:bottom w:val="single" w:sz="8" w:space="0" w:color="auto"/>
              <w:right w:val="single" w:sz="8" w:space="0" w:color="000000"/>
            </w:tcBorders>
            <w:vAlign w:val="center"/>
          </w:tcPr>
          <w:p w14:paraId="4CB079FC" w14:textId="77777777" w:rsidR="005A758D" w:rsidRPr="000007D2" w:rsidRDefault="00661071" w:rsidP="005A758D">
            <w:pPr>
              <w:spacing w:after="0" w:line="240" w:lineRule="auto"/>
              <w:jc w:val="both"/>
              <w:rPr>
                <w:rFonts w:asciiTheme="majorHAnsi" w:hAnsiTheme="majorHAnsi"/>
                <w:color w:val="000000"/>
                <w:sz w:val="20"/>
              </w:rPr>
            </w:pPr>
            <w:r w:rsidRPr="0056323A">
              <w:rPr>
                <w:rFonts w:asciiTheme="majorHAnsi" w:eastAsia="Times New Roman" w:hAnsiTheme="majorHAnsi" w:cstheme="majorHAnsi"/>
                <w:color w:val="000000"/>
                <w:sz w:val="20"/>
                <w:szCs w:val="20"/>
                <w:lang w:eastAsia="en-GB"/>
              </w:rPr>
              <w:t xml:space="preserve">2025 </w:t>
            </w:r>
            <w:r w:rsidR="005A758D" w:rsidRPr="0056323A">
              <w:rPr>
                <w:rFonts w:asciiTheme="majorHAnsi" w:eastAsia="Times New Roman" w:hAnsiTheme="majorHAnsi" w:cstheme="majorHAnsi"/>
                <w:color w:val="000000"/>
                <w:sz w:val="20"/>
                <w:szCs w:val="20"/>
                <w:lang w:eastAsia="en-GB"/>
              </w:rPr>
              <w:t>- 2030</w:t>
            </w:r>
          </w:p>
        </w:tc>
      </w:tr>
      <w:tr w:rsidR="005A758D" w:rsidRPr="00A33AE8" w14:paraId="69585DBA" w14:textId="77777777" w:rsidTr="005A758D">
        <w:trPr>
          <w:gridAfter w:val="1"/>
          <w:wAfter w:w="1212" w:type="dxa"/>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4779E895"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11" w:type="dxa"/>
            <w:gridSpan w:val="3"/>
            <w:tcBorders>
              <w:top w:val="single" w:sz="8" w:space="0" w:color="auto"/>
              <w:left w:val="nil"/>
              <w:bottom w:val="single" w:sz="8" w:space="0" w:color="auto"/>
              <w:right w:val="single" w:sz="8" w:space="0" w:color="000000"/>
            </w:tcBorders>
            <w:vAlign w:val="center"/>
          </w:tcPr>
          <w:p w14:paraId="2ADC87F4" w14:textId="77777777" w:rsidR="005A758D" w:rsidRPr="00A33AE8" w:rsidRDefault="00B0341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A758D" w:rsidRPr="00A33AE8" w14:paraId="03914EBB" w14:textId="77777777" w:rsidTr="005A758D">
        <w:trPr>
          <w:gridAfter w:val="1"/>
          <w:wAfter w:w="1212" w:type="dxa"/>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7E108A59"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11" w:type="dxa"/>
            <w:gridSpan w:val="3"/>
            <w:tcBorders>
              <w:top w:val="single" w:sz="8" w:space="0" w:color="auto"/>
              <w:left w:val="nil"/>
              <w:bottom w:val="single" w:sz="8" w:space="0" w:color="auto"/>
              <w:right w:val="single" w:sz="8" w:space="0" w:color="000000"/>
            </w:tcBorders>
            <w:vAlign w:val="center"/>
          </w:tcPr>
          <w:p w14:paraId="5B987A1B" w14:textId="77777777" w:rsidR="005A758D" w:rsidRPr="00A33AE8" w:rsidRDefault="005A758D"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5A758D" w:rsidRPr="00A33AE8" w14:paraId="488C84BE" w14:textId="77777777" w:rsidTr="005A758D">
        <w:trPr>
          <w:gridAfter w:val="1"/>
          <w:wAfter w:w="1212" w:type="dxa"/>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78860524"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11" w:type="dxa"/>
            <w:gridSpan w:val="3"/>
            <w:tcBorders>
              <w:top w:val="single" w:sz="8" w:space="0" w:color="auto"/>
              <w:left w:val="nil"/>
              <w:bottom w:val="single" w:sz="8" w:space="0" w:color="auto"/>
              <w:right w:val="single" w:sz="8" w:space="0" w:color="000000"/>
            </w:tcBorders>
            <w:vAlign w:val="center"/>
          </w:tcPr>
          <w:p w14:paraId="48803289" w14:textId="77777777" w:rsidR="00245A42" w:rsidRPr="00A33AE8" w:rsidRDefault="00245A42"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91F805E" w14:textId="77777777" w:rsidR="005A758D" w:rsidRPr="00A33AE8" w:rsidRDefault="005A758D"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5A758D" w:rsidRPr="00A33AE8" w14:paraId="3382DBB5" w14:textId="77777777" w:rsidTr="005A758D">
        <w:trPr>
          <w:gridAfter w:val="1"/>
          <w:wAfter w:w="1212" w:type="dxa"/>
          <w:trHeight w:val="315"/>
        </w:trPr>
        <w:tc>
          <w:tcPr>
            <w:tcW w:w="3277" w:type="dxa"/>
            <w:tcBorders>
              <w:top w:val="nil"/>
              <w:left w:val="single" w:sz="8" w:space="0" w:color="auto"/>
              <w:bottom w:val="single" w:sz="8" w:space="0" w:color="auto"/>
              <w:right w:val="nil"/>
            </w:tcBorders>
            <w:shd w:val="clear" w:color="auto" w:fill="244062"/>
            <w:vAlign w:val="center"/>
            <w:hideMark/>
          </w:tcPr>
          <w:p w14:paraId="51CD4AC2"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11" w:type="dxa"/>
            <w:gridSpan w:val="3"/>
            <w:tcBorders>
              <w:top w:val="single" w:sz="8" w:space="0" w:color="auto"/>
              <w:left w:val="nil"/>
              <w:bottom w:val="single" w:sz="8" w:space="0" w:color="auto"/>
              <w:right w:val="single" w:sz="8" w:space="0" w:color="000000"/>
            </w:tcBorders>
            <w:vAlign w:val="center"/>
          </w:tcPr>
          <w:p w14:paraId="4BB9D73B" w14:textId="77777777" w:rsidR="005A758D" w:rsidRPr="00A33AE8" w:rsidRDefault="00BE2D13"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5A758D" w:rsidRPr="00A33AE8" w14:paraId="5F7A8BDC" w14:textId="77777777" w:rsidTr="005A758D">
        <w:trPr>
          <w:gridAfter w:val="1"/>
          <w:wAfter w:w="1212" w:type="dxa"/>
          <w:trHeight w:val="315"/>
        </w:trPr>
        <w:tc>
          <w:tcPr>
            <w:tcW w:w="3277" w:type="dxa"/>
            <w:tcBorders>
              <w:top w:val="nil"/>
              <w:left w:val="single" w:sz="8" w:space="0" w:color="auto"/>
              <w:bottom w:val="single" w:sz="8" w:space="0" w:color="auto"/>
              <w:right w:val="nil"/>
            </w:tcBorders>
            <w:shd w:val="clear" w:color="auto" w:fill="244062"/>
            <w:vAlign w:val="center"/>
            <w:hideMark/>
          </w:tcPr>
          <w:p w14:paraId="3E339076"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11" w:type="dxa"/>
            <w:gridSpan w:val="3"/>
            <w:tcBorders>
              <w:top w:val="single" w:sz="8" w:space="0" w:color="auto"/>
              <w:left w:val="nil"/>
              <w:bottom w:val="single" w:sz="8" w:space="0" w:color="auto"/>
              <w:right w:val="single" w:sz="8" w:space="0" w:color="000000"/>
            </w:tcBorders>
            <w:vAlign w:val="center"/>
          </w:tcPr>
          <w:p w14:paraId="5B39D34F" w14:textId="77777777" w:rsidR="00D52C44" w:rsidRPr="00A33AE8" w:rsidRDefault="00BE2D1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Interconnectivity targets</w:t>
            </w:r>
          </w:p>
          <w:p w14:paraId="546C72BC" w14:textId="77777777" w:rsidR="005A758D" w:rsidRPr="00A33AE8" w:rsidRDefault="00D52C44"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possibility of connecting additional RES capacities</w:t>
            </w:r>
            <w:r w:rsidR="00BE2D13" w:rsidRPr="00A33AE8">
              <w:rPr>
                <w:rFonts w:asciiTheme="majorHAnsi" w:eastAsia="Times New Roman" w:hAnsiTheme="majorHAnsi" w:cstheme="majorHAnsi"/>
                <w:color w:val="000000"/>
                <w:sz w:val="20"/>
                <w:szCs w:val="20"/>
                <w:lang w:eastAsia="en-GB"/>
              </w:rPr>
              <w:t xml:space="preserve"> </w:t>
            </w:r>
          </w:p>
        </w:tc>
      </w:tr>
      <w:tr w:rsidR="00A0226E" w:rsidRPr="00A33AE8" w14:paraId="48C216BF" w14:textId="77777777" w:rsidTr="005A758D">
        <w:trPr>
          <w:gridAfter w:val="1"/>
          <w:wAfter w:w="1212" w:type="dxa"/>
          <w:trHeight w:val="52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7B545088"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11" w:type="dxa"/>
            <w:gridSpan w:val="3"/>
            <w:tcBorders>
              <w:top w:val="single" w:sz="8" w:space="0" w:color="auto"/>
              <w:left w:val="nil"/>
              <w:bottom w:val="single" w:sz="8" w:space="0" w:color="auto"/>
              <w:right w:val="single" w:sz="8" w:space="0" w:color="000000"/>
            </w:tcBorders>
            <w:vAlign w:val="center"/>
          </w:tcPr>
          <w:p w14:paraId="6CA27AE6" w14:textId="77777777" w:rsidR="00A0226E" w:rsidRDefault="00A0226E"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3051AF62" w14:textId="77777777" w:rsidR="0055728F" w:rsidRPr="00A33AE8" w:rsidRDefault="0055728F"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55728F">
              <w:rPr>
                <w:rFonts w:asciiTheme="majorHAnsi" w:eastAsia="Times New Roman" w:hAnsiTheme="majorHAnsi" w:cstheme="majorHAnsi"/>
                <w:color w:val="000000"/>
                <w:sz w:val="20"/>
                <w:szCs w:val="20"/>
                <w:lang w:eastAsia="en-GB"/>
              </w:rPr>
              <w:t>Decarbonisation</w:t>
            </w:r>
          </w:p>
        </w:tc>
      </w:tr>
      <w:tr w:rsidR="005A758D" w:rsidRPr="00A33AE8" w14:paraId="071F0DE9" w14:textId="77777777" w:rsidTr="005A758D">
        <w:trPr>
          <w:gridAfter w:val="1"/>
          <w:wAfter w:w="1212" w:type="dxa"/>
          <w:trHeight w:val="450"/>
        </w:trPr>
        <w:tc>
          <w:tcPr>
            <w:tcW w:w="3277" w:type="dxa"/>
            <w:vMerge w:val="restart"/>
            <w:tcBorders>
              <w:top w:val="nil"/>
              <w:left w:val="single" w:sz="8" w:space="0" w:color="auto"/>
              <w:bottom w:val="single" w:sz="8" w:space="0" w:color="000000"/>
              <w:right w:val="single" w:sz="8" w:space="0" w:color="auto"/>
            </w:tcBorders>
            <w:shd w:val="clear" w:color="auto" w:fill="244062"/>
            <w:vAlign w:val="center"/>
            <w:hideMark/>
          </w:tcPr>
          <w:p w14:paraId="58EF768D"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11" w:type="dxa"/>
            <w:gridSpan w:val="3"/>
            <w:vMerge w:val="restart"/>
            <w:tcBorders>
              <w:top w:val="single" w:sz="8" w:space="0" w:color="auto"/>
              <w:left w:val="single" w:sz="8" w:space="0" w:color="auto"/>
              <w:bottom w:val="single" w:sz="8" w:space="0" w:color="000000"/>
              <w:right w:val="single" w:sz="8" w:space="0" w:color="000000"/>
            </w:tcBorders>
            <w:vAlign w:val="center"/>
          </w:tcPr>
          <w:p w14:paraId="75A3DEE7" w14:textId="77777777" w:rsidR="00A0226E" w:rsidRPr="00A33AE8" w:rsidRDefault="00BE2D13"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2AAB4266" w14:textId="77777777" w:rsidR="005A758D" w:rsidRPr="00A33AE8" w:rsidRDefault="00BE2D13"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5A758D" w:rsidRPr="00A33AE8" w14:paraId="4ED2C6DB" w14:textId="77777777" w:rsidTr="005A758D">
        <w:trPr>
          <w:trHeight w:val="300"/>
        </w:trPr>
        <w:tc>
          <w:tcPr>
            <w:tcW w:w="0" w:type="auto"/>
            <w:vMerge/>
            <w:tcBorders>
              <w:top w:val="nil"/>
              <w:left w:val="single" w:sz="8" w:space="0" w:color="auto"/>
              <w:bottom w:val="single" w:sz="8" w:space="0" w:color="000000"/>
              <w:right w:val="single" w:sz="8" w:space="0" w:color="auto"/>
            </w:tcBorders>
            <w:vAlign w:val="center"/>
            <w:hideMark/>
          </w:tcPr>
          <w:p w14:paraId="4D6568BA" w14:textId="77777777" w:rsidR="005A758D" w:rsidRPr="00A33AE8" w:rsidRDefault="005A758D" w:rsidP="005A758D">
            <w:pPr>
              <w:spacing w:after="0" w:line="256" w:lineRule="auto"/>
              <w:rPr>
                <w:rFonts w:ascii="Calibri Light" w:eastAsia="Times New Roman" w:hAnsi="Calibri Light" w:cs="Calibri Light"/>
                <w:b/>
                <w:bCs/>
                <w:color w:val="FFFFFF"/>
                <w:sz w:val="20"/>
                <w:szCs w:val="20"/>
                <w:lang w:eastAsia="en-GB"/>
              </w:rPr>
            </w:pPr>
          </w:p>
        </w:tc>
        <w:tc>
          <w:tcPr>
            <w:tcW w:w="6211" w:type="dxa"/>
            <w:gridSpan w:val="3"/>
            <w:vMerge/>
            <w:tcBorders>
              <w:top w:val="single" w:sz="8" w:space="0" w:color="auto"/>
              <w:left w:val="single" w:sz="8" w:space="0" w:color="auto"/>
              <w:bottom w:val="single" w:sz="8" w:space="0" w:color="000000"/>
              <w:right w:val="single" w:sz="8" w:space="0" w:color="000000"/>
            </w:tcBorders>
            <w:vAlign w:val="center"/>
          </w:tcPr>
          <w:p w14:paraId="466F938B" w14:textId="77777777" w:rsidR="005A758D" w:rsidRPr="00A33AE8" w:rsidRDefault="005A758D" w:rsidP="005A758D">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17C0B85" w14:textId="77777777" w:rsidR="005A758D" w:rsidRPr="00A33AE8" w:rsidRDefault="005A758D" w:rsidP="005A758D"/>
        </w:tc>
      </w:tr>
      <w:tr w:rsidR="005A758D" w:rsidRPr="00A33AE8" w14:paraId="6706A0E0" w14:textId="77777777" w:rsidTr="005A758D">
        <w:trPr>
          <w:trHeight w:val="113"/>
        </w:trPr>
        <w:tc>
          <w:tcPr>
            <w:tcW w:w="0" w:type="auto"/>
            <w:vMerge/>
            <w:tcBorders>
              <w:top w:val="nil"/>
              <w:left w:val="single" w:sz="8" w:space="0" w:color="auto"/>
              <w:bottom w:val="single" w:sz="8" w:space="0" w:color="000000"/>
              <w:right w:val="single" w:sz="8" w:space="0" w:color="auto"/>
            </w:tcBorders>
            <w:vAlign w:val="center"/>
            <w:hideMark/>
          </w:tcPr>
          <w:p w14:paraId="07239BB9" w14:textId="77777777" w:rsidR="005A758D" w:rsidRPr="00A33AE8" w:rsidRDefault="005A758D" w:rsidP="005A758D">
            <w:pPr>
              <w:spacing w:after="0" w:line="256" w:lineRule="auto"/>
              <w:rPr>
                <w:rFonts w:ascii="Calibri Light" w:eastAsia="Times New Roman" w:hAnsi="Calibri Light" w:cs="Calibri Light"/>
                <w:b/>
                <w:bCs/>
                <w:color w:val="FFFFFF"/>
                <w:sz w:val="20"/>
                <w:szCs w:val="20"/>
                <w:lang w:eastAsia="en-GB"/>
              </w:rPr>
            </w:pPr>
          </w:p>
        </w:tc>
        <w:tc>
          <w:tcPr>
            <w:tcW w:w="6211" w:type="dxa"/>
            <w:gridSpan w:val="3"/>
            <w:vMerge/>
            <w:tcBorders>
              <w:top w:val="single" w:sz="8" w:space="0" w:color="auto"/>
              <w:left w:val="single" w:sz="8" w:space="0" w:color="auto"/>
              <w:bottom w:val="single" w:sz="8" w:space="0" w:color="000000"/>
              <w:right w:val="single" w:sz="8" w:space="0" w:color="000000"/>
            </w:tcBorders>
            <w:vAlign w:val="center"/>
          </w:tcPr>
          <w:p w14:paraId="7C19CBB7" w14:textId="77777777" w:rsidR="005A758D" w:rsidRPr="00A33AE8" w:rsidRDefault="005A758D" w:rsidP="005A758D">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4A91E93" w14:textId="77777777" w:rsidR="005A758D" w:rsidRPr="00A33AE8" w:rsidRDefault="005A758D" w:rsidP="005A758D">
            <w:pPr>
              <w:spacing w:after="0" w:line="256" w:lineRule="auto"/>
              <w:rPr>
                <w:sz w:val="20"/>
                <w:szCs w:val="20"/>
                <w:lang w:eastAsia="en-GB"/>
              </w:rPr>
            </w:pPr>
          </w:p>
        </w:tc>
      </w:tr>
      <w:tr w:rsidR="005A758D" w:rsidRPr="00A33AE8" w14:paraId="0C182D65" w14:textId="77777777" w:rsidTr="005A758D">
        <w:trPr>
          <w:trHeight w:val="780"/>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0456A96A"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211" w:type="dxa"/>
            <w:gridSpan w:val="3"/>
            <w:tcBorders>
              <w:top w:val="single" w:sz="8" w:space="0" w:color="auto"/>
              <w:left w:val="nil"/>
              <w:bottom w:val="single" w:sz="8" w:space="0" w:color="auto"/>
              <w:right w:val="single" w:sz="8" w:space="0" w:color="000000"/>
            </w:tcBorders>
            <w:vAlign w:val="center"/>
          </w:tcPr>
          <w:p w14:paraId="0BADFA8A" w14:textId="77777777" w:rsidR="005A758D" w:rsidRPr="00A33AE8" w:rsidRDefault="00BE2D1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TYNDP 2021-2030</w:t>
            </w:r>
          </w:p>
        </w:tc>
        <w:tc>
          <w:tcPr>
            <w:tcW w:w="1212" w:type="dxa"/>
            <w:vAlign w:val="center"/>
            <w:hideMark/>
          </w:tcPr>
          <w:p w14:paraId="2C7127FF" w14:textId="77777777" w:rsidR="005A758D" w:rsidRPr="00A33AE8" w:rsidRDefault="005A758D" w:rsidP="005A758D">
            <w:pPr>
              <w:rPr>
                <w:rFonts w:asciiTheme="majorHAnsi" w:eastAsia="Times New Roman" w:hAnsiTheme="majorHAnsi" w:cstheme="majorHAnsi"/>
                <w:color w:val="000000"/>
                <w:sz w:val="20"/>
                <w:szCs w:val="20"/>
                <w:lang w:eastAsia="en-GB"/>
              </w:rPr>
            </w:pPr>
          </w:p>
        </w:tc>
      </w:tr>
      <w:tr w:rsidR="005A758D" w:rsidRPr="00A33AE8" w14:paraId="7E2CC9ED" w14:textId="77777777" w:rsidTr="005A758D">
        <w:trPr>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1692214F"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11" w:type="dxa"/>
            <w:gridSpan w:val="3"/>
            <w:tcBorders>
              <w:top w:val="single" w:sz="8" w:space="0" w:color="auto"/>
              <w:left w:val="nil"/>
              <w:bottom w:val="single" w:sz="8" w:space="0" w:color="auto"/>
              <w:right w:val="single" w:sz="8" w:space="0" w:color="000000"/>
            </w:tcBorders>
            <w:vAlign w:val="center"/>
          </w:tcPr>
          <w:p w14:paraId="7F148E37" w14:textId="77777777" w:rsidR="005A758D" w:rsidRPr="000007D2" w:rsidRDefault="00F5436D" w:rsidP="005A758D">
            <w:pPr>
              <w:spacing w:after="0" w:line="240" w:lineRule="auto"/>
              <w:jc w:val="both"/>
              <w:rPr>
                <w:rFonts w:asciiTheme="majorHAnsi" w:hAnsiTheme="majorHAnsi"/>
                <w:color w:val="000000"/>
                <w:sz w:val="20"/>
              </w:rPr>
            </w:pPr>
            <w:r w:rsidRPr="00A33AE8">
              <w:rPr>
                <w:rFonts w:asciiTheme="majorHAnsi" w:eastAsia="Times New Roman" w:hAnsiTheme="majorHAnsi" w:cstheme="majorHAnsi"/>
                <w:color w:val="000000"/>
                <w:sz w:val="20"/>
                <w:szCs w:val="20"/>
                <w:lang w:eastAsia="en-GB"/>
              </w:rPr>
              <w:t xml:space="preserve">108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52A0CEDD" w14:textId="77777777" w:rsidR="005A758D" w:rsidRPr="00A33AE8" w:rsidRDefault="005A758D" w:rsidP="005A758D">
            <w:pPr>
              <w:rPr>
                <w:rFonts w:asciiTheme="majorHAnsi" w:eastAsia="Times New Roman" w:hAnsiTheme="majorHAnsi" w:cstheme="majorHAnsi"/>
                <w:color w:val="000000"/>
                <w:sz w:val="20"/>
                <w:szCs w:val="20"/>
                <w:lang w:eastAsia="en-GB"/>
              </w:rPr>
            </w:pPr>
          </w:p>
        </w:tc>
      </w:tr>
      <w:tr w:rsidR="00B92935" w:rsidRPr="00A33AE8" w14:paraId="67352DF0" w14:textId="77777777" w:rsidTr="005A758D">
        <w:trPr>
          <w:trHeight w:val="315"/>
        </w:trPr>
        <w:tc>
          <w:tcPr>
            <w:tcW w:w="3277" w:type="dxa"/>
            <w:tcBorders>
              <w:top w:val="nil"/>
              <w:left w:val="single" w:sz="8" w:space="0" w:color="auto"/>
              <w:bottom w:val="single" w:sz="8" w:space="0" w:color="auto"/>
              <w:right w:val="single" w:sz="8" w:space="0" w:color="auto"/>
            </w:tcBorders>
            <w:shd w:val="clear" w:color="auto" w:fill="244062"/>
            <w:vAlign w:val="center"/>
            <w:hideMark/>
          </w:tcPr>
          <w:p w14:paraId="174B7A8B"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11" w:type="dxa"/>
            <w:gridSpan w:val="3"/>
            <w:tcBorders>
              <w:top w:val="single" w:sz="8" w:space="0" w:color="auto"/>
              <w:left w:val="nil"/>
              <w:bottom w:val="single" w:sz="8" w:space="0" w:color="auto"/>
              <w:right w:val="single" w:sz="8" w:space="0" w:color="000000"/>
            </w:tcBorders>
            <w:vAlign w:val="center"/>
          </w:tcPr>
          <w:p w14:paraId="45A8DA46" w14:textId="77777777" w:rsidR="00B92935" w:rsidRPr="00A33AE8" w:rsidRDefault="00B92935" w:rsidP="00B9293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79CA769C"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7E304659" w14:textId="77777777" w:rsidR="00690C0D" w:rsidRPr="00A33AE8" w:rsidRDefault="00690C0D" w:rsidP="001D1BB0">
      <w:pPr>
        <w:pStyle w:val="LDKbody"/>
        <w:rPr>
          <w:lang w:val="en-GB"/>
        </w:rPr>
      </w:pPr>
    </w:p>
    <w:tbl>
      <w:tblPr>
        <w:tblW w:w="10700" w:type="dxa"/>
        <w:tblLook w:val="04A0" w:firstRow="1" w:lastRow="0" w:firstColumn="1" w:lastColumn="0" w:noHBand="0" w:noVBand="1"/>
      </w:tblPr>
      <w:tblGrid>
        <w:gridCol w:w="3322"/>
        <w:gridCol w:w="1004"/>
        <w:gridCol w:w="941"/>
        <w:gridCol w:w="4221"/>
        <w:gridCol w:w="1212"/>
      </w:tblGrid>
      <w:tr w:rsidR="00690C0D" w:rsidRPr="00A33AE8" w14:paraId="4D90CC1F" w14:textId="77777777" w:rsidTr="005A758D">
        <w:trPr>
          <w:gridAfter w:val="1"/>
          <w:wAfter w:w="1212" w:type="dxa"/>
          <w:trHeight w:val="780"/>
        </w:trPr>
        <w:tc>
          <w:tcPr>
            <w:tcW w:w="3322"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D07AF55"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04" w:type="dxa"/>
            <w:tcBorders>
              <w:top w:val="single" w:sz="8" w:space="0" w:color="auto"/>
              <w:left w:val="nil"/>
              <w:bottom w:val="single" w:sz="8" w:space="0" w:color="auto"/>
              <w:right w:val="single" w:sz="8" w:space="0" w:color="auto"/>
            </w:tcBorders>
            <w:shd w:val="clear" w:color="auto" w:fill="E7E6E6" w:themeFill="background2"/>
            <w:vAlign w:val="center"/>
            <w:hideMark/>
          </w:tcPr>
          <w:p w14:paraId="4ADE120A" w14:textId="77777777" w:rsidR="00690C0D" w:rsidRPr="00A33AE8" w:rsidRDefault="005D69C8"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PM_IEM6</w:t>
            </w:r>
          </w:p>
        </w:tc>
        <w:tc>
          <w:tcPr>
            <w:tcW w:w="941" w:type="dxa"/>
            <w:tcBorders>
              <w:top w:val="single" w:sz="8" w:space="0" w:color="auto"/>
              <w:left w:val="nil"/>
              <w:bottom w:val="single" w:sz="8" w:space="0" w:color="auto"/>
              <w:right w:val="single" w:sz="8" w:space="0" w:color="auto"/>
            </w:tcBorders>
            <w:shd w:val="clear" w:color="auto" w:fill="244062"/>
            <w:vAlign w:val="center"/>
            <w:hideMark/>
          </w:tcPr>
          <w:p w14:paraId="4466F262"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221" w:type="dxa"/>
            <w:tcBorders>
              <w:top w:val="single" w:sz="8" w:space="0" w:color="auto"/>
              <w:left w:val="nil"/>
              <w:bottom w:val="single" w:sz="8" w:space="0" w:color="auto"/>
              <w:right w:val="single" w:sz="8" w:space="0" w:color="auto"/>
            </w:tcBorders>
            <w:shd w:val="clear" w:color="auto" w:fill="E7E6E6" w:themeFill="background2"/>
            <w:vAlign w:val="center"/>
            <w:hideMark/>
          </w:tcPr>
          <w:p w14:paraId="3C6D70E5" w14:textId="1E757F58"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Central Balkan Corridor</w:t>
            </w:r>
          </w:p>
        </w:tc>
      </w:tr>
      <w:tr w:rsidR="00690C0D" w:rsidRPr="00A33AE8" w14:paraId="5C656A68" w14:textId="77777777" w:rsidTr="005A758D">
        <w:trPr>
          <w:gridAfter w:val="1"/>
          <w:wAfter w:w="1212" w:type="dxa"/>
          <w:trHeight w:val="960"/>
        </w:trPr>
        <w:tc>
          <w:tcPr>
            <w:tcW w:w="3322" w:type="dxa"/>
            <w:tcBorders>
              <w:top w:val="nil"/>
              <w:left w:val="single" w:sz="8" w:space="0" w:color="auto"/>
              <w:bottom w:val="single" w:sz="8" w:space="0" w:color="auto"/>
              <w:right w:val="nil"/>
            </w:tcBorders>
            <w:shd w:val="clear" w:color="auto" w:fill="244062"/>
            <w:vAlign w:val="center"/>
            <w:hideMark/>
          </w:tcPr>
          <w:p w14:paraId="46F38D50"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66" w:type="dxa"/>
            <w:gridSpan w:val="3"/>
            <w:tcBorders>
              <w:top w:val="single" w:sz="8" w:space="0" w:color="auto"/>
              <w:left w:val="nil"/>
              <w:bottom w:val="single" w:sz="8" w:space="0" w:color="auto"/>
              <w:right w:val="single" w:sz="8" w:space="0" w:color="000000"/>
            </w:tcBorders>
            <w:vAlign w:val="center"/>
          </w:tcPr>
          <w:p w14:paraId="08811DEB" w14:textId="77777777" w:rsidR="00690C0D" w:rsidRPr="00A33AE8" w:rsidRDefault="00D52C44"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Maintaining and achieving the interconnectivity targets; planning and implementation of electricity and gas transmission infrastructure projects (and, where relevant, modernization projects); ensuring the reliability of the customers’ power supply; creation of conditions for further industrial development of the areas where the project is located; integration of the desired level of RES; providing the necessary level of flexibility of the power system; which are necessary for the achievement of objectives and targets under the five dimensions of the Energy Union.</w:t>
            </w:r>
          </w:p>
        </w:tc>
      </w:tr>
      <w:tr w:rsidR="00690C0D" w:rsidRPr="00A33AE8" w14:paraId="6EF58D4A" w14:textId="77777777" w:rsidTr="005A758D">
        <w:trPr>
          <w:gridAfter w:val="1"/>
          <w:wAfter w:w="1212" w:type="dxa"/>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39AFEDCD"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66" w:type="dxa"/>
            <w:gridSpan w:val="3"/>
            <w:tcBorders>
              <w:top w:val="single" w:sz="8" w:space="0" w:color="auto"/>
              <w:left w:val="nil"/>
              <w:bottom w:val="single" w:sz="8" w:space="0" w:color="auto"/>
              <w:right w:val="single" w:sz="8" w:space="0" w:color="000000"/>
            </w:tcBorders>
            <w:vAlign w:val="center"/>
          </w:tcPr>
          <w:p w14:paraId="2D429908" w14:textId="77777777" w:rsidR="00690C0D" w:rsidRPr="00A33AE8" w:rsidRDefault="00487CA1"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sz w:val="20"/>
                <w:szCs w:val="20"/>
                <w:lang w:eastAsia="en-GB"/>
              </w:rPr>
              <w:t>Interconnectivity targets maintained as they are foreseen until 2030, N-1 security criterion, other CBA indicators</w:t>
            </w:r>
          </w:p>
        </w:tc>
      </w:tr>
      <w:tr w:rsidR="005A758D" w:rsidRPr="00A33AE8" w14:paraId="6711F2C9" w14:textId="77777777" w:rsidTr="005A758D">
        <w:trPr>
          <w:gridAfter w:val="1"/>
          <w:wAfter w:w="1212" w:type="dxa"/>
          <w:trHeight w:val="1090"/>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5D3A315D"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66" w:type="dxa"/>
            <w:gridSpan w:val="3"/>
            <w:tcBorders>
              <w:top w:val="single" w:sz="8" w:space="0" w:color="auto"/>
              <w:left w:val="nil"/>
              <w:bottom w:val="single" w:sz="8" w:space="0" w:color="auto"/>
              <w:right w:val="single" w:sz="8" w:space="0" w:color="000000"/>
            </w:tcBorders>
            <w:vAlign w:val="center"/>
          </w:tcPr>
          <w:p w14:paraId="1C84A2C4" w14:textId="77777777" w:rsidR="00A71173" w:rsidRPr="00A33AE8" w:rsidRDefault="00D76E37" w:rsidP="000007D2">
            <w:pPr>
              <w:spacing w:after="20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The </w:t>
            </w:r>
            <w:r w:rsidR="00A92421" w:rsidRPr="00A33AE8">
              <w:rPr>
                <w:rFonts w:asciiTheme="majorHAnsi" w:eastAsia="Times New Roman" w:hAnsiTheme="majorHAnsi" w:cstheme="majorHAnsi"/>
                <w:color w:val="000000"/>
                <w:sz w:val="20"/>
                <w:szCs w:val="20"/>
                <w:lang w:eastAsia="en-GB"/>
              </w:rPr>
              <w:t>measure</w:t>
            </w:r>
            <w:r w:rsidR="005A758D" w:rsidRPr="00A33AE8">
              <w:rPr>
                <w:rFonts w:asciiTheme="majorHAnsi" w:eastAsia="Times New Roman" w:hAnsiTheme="majorHAnsi" w:cstheme="majorHAnsi"/>
                <w:color w:val="000000"/>
                <w:sz w:val="20"/>
                <w:szCs w:val="20"/>
                <w:lang w:eastAsia="en-GB"/>
              </w:rPr>
              <w:t xml:space="preserve"> corresponds to a set of infrastructural 400 kV transmission lines in the area of central Serbia, which will enable the further integration of electricity from renewable sources, increase the reliability of supply and increase cross-border transmission capacity between Serbia, Bulgaria, Montenegro and Bosnia and Herzegovina.</w:t>
            </w:r>
          </w:p>
          <w:p w14:paraId="2764F4D9" w14:textId="77777777" w:rsidR="00A71173" w:rsidRPr="00A33AE8" w:rsidRDefault="00A7117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It should be emphasized that the first section of this project is expected to be completed by 2030. This refers to the OHL 2x400kV SS Jagodina 4 – SS Požarevac 3, with building of SS 400kV Požarevac 3, which will represent the first phase of building of the new SS 400/110kV Požarevac 3.</w:t>
            </w:r>
          </w:p>
        </w:tc>
      </w:tr>
      <w:tr w:rsidR="005A758D" w:rsidRPr="00A33AE8" w14:paraId="742F3DF8" w14:textId="77777777" w:rsidTr="005A758D">
        <w:trPr>
          <w:gridAfter w:val="1"/>
          <w:wAfter w:w="1212" w:type="dxa"/>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369BED93"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66" w:type="dxa"/>
            <w:gridSpan w:val="3"/>
            <w:tcBorders>
              <w:top w:val="single" w:sz="8" w:space="0" w:color="auto"/>
              <w:left w:val="nil"/>
              <w:bottom w:val="single" w:sz="8" w:space="0" w:color="auto"/>
              <w:right w:val="single" w:sz="8" w:space="0" w:color="000000"/>
            </w:tcBorders>
            <w:vAlign w:val="center"/>
          </w:tcPr>
          <w:p w14:paraId="16F5F11A" w14:textId="77777777" w:rsidR="005A758D" w:rsidRPr="000007D2" w:rsidRDefault="009062EA" w:rsidP="005A758D">
            <w:pPr>
              <w:spacing w:after="0" w:line="240" w:lineRule="auto"/>
              <w:jc w:val="both"/>
              <w:rPr>
                <w:rFonts w:asciiTheme="majorHAnsi" w:hAnsiTheme="majorHAnsi"/>
                <w:color w:val="000000"/>
                <w:sz w:val="20"/>
              </w:rPr>
            </w:pPr>
            <w:r w:rsidRPr="0056323A">
              <w:rPr>
                <w:rFonts w:asciiTheme="majorHAnsi" w:eastAsia="Times New Roman" w:hAnsiTheme="majorHAnsi" w:cstheme="majorHAnsi"/>
                <w:color w:val="000000"/>
                <w:sz w:val="20"/>
                <w:szCs w:val="20"/>
                <w:lang w:eastAsia="en-GB"/>
              </w:rPr>
              <w:t xml:space="preserve">2023 </w:t>
            </w:r>
            <w:r w:rsidR="005A758D" w:rsidRPr="0056323A">
              <w:rPr>
                <w:rFonts w:asciiTheme="majorHAnsi" w:eastAsia="Times New Roman" w:hAnsiTheme="majorHAnsi" w:cstheme="majorHAnsi"/>
                <w:color w:val="000000"/>
                <w:sz w:val="20"/>
                <w:szCs w:val="20"/>
                <w:lang w:eastAsia="en-GB"/>
              </w:rPr>
              <w:t xml:space="preserve">- </w:t>
            </w:r>
            <w:r w:rsidR="00DB34B1" w:rsidRPr="0056323A">
              <w:rPr>
                <w:rFonts w:asciiTheme="majorHAnsi" w:hAnsiTheme="majorHAnsi"/>
                <w:color w:val="000000"/>
                <w:sz w:val="20"/>
              </w:rPr>
              <w:t>203</w:t>
            </w:r>
            <w:r w:rsidR="00F5436D" w:rsidRPr="0056323A">
              <w:rPr>
                <w:rFonts w:asciiTheme="majorHAnsi" w:hAnsiTheme="majorHAnsi"/>
                <w:color w:val="000000"/>
                <w:sz w:val="20"/>
              </w:rPr>
              <w:t>0</w:t>
            </w:r>
          </w:p>
        </w:tc>
      </w:tr>
      <w:tr w:rsidR="005A758D" w:rsidRPr="00A33AE8" w14:paraId="64F0CA2B" w14:textId="77777777" w:rsidTr="005A758D">
        <w:trPr>
          <w:gridAfter w:val="1"/>
          <w:wAfter w:w="1212" w:type="dxa"/>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536956E4"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66" w:type="dxa"/>
            <w:gridSpan w:val="3"/>
            <w:tcBorders>
              <w:top w:val="single" w:sz="8" w:space="0" w:color="auto"/>
              <w:left w:val="nil"/>
              <w:bottom w:val="single" w:sz="8" w:space="0" w:color="auto"/>
              <w:right w:val="single" w:sz="8" w:space="0" w:color="000000"/>
            </w:tcBorders>
            <w:vAlign w:val="center"/>
          </w:tcPr>
          <w:p w14:paraId="0B375627" w14:textId="77777777" w:rsidR="005A758D" w:rsidRPr="00A33AE8" w:rsidRDefault="00B0341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A758D" w:rsidRPr="00A33AE8" w14:paraId="727F453D" w14:textId="77777777" w:rsidTr="005A758D">
        <w:trPr>
          <w:gridAfter w:val="1"/>
          <w:wAfter w:w="1212" w:type="dxa"/>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0488AFB6"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66" w:type="dxa"/>
            <w:gridSpan w:val="3"/>
            <w:tcBorders>
              <w:top w:val="single" w:sz="8" w:space="0" w:color="auto"/>
              <w:left w:val="nil"/>
              <w:bottom w:val="single" w:sz="8" w:space="0" w:color="auto"/>
              <w:right w:val="single" w:sz="8" w:space="0" w:color="000000"/>
            </w:tcBorders>
            <w:vAlign w:val="center"/>
          </w:tcPr>
          <w:p w14:paraId="0AC995AA" w14:textId="77777777" w:rsidR="005A758D" w:rsidRPr="00A33AE8" w:rsidRDefault="005A758D"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5A758D" w:rsidRPr="00A33AE8" w14:paraId="19653130" w14:textId="77777777" w:rsidTr="005A758D">
        <w:trPr>
          <w:gridAfter w:val="1"/>
          <w:wAfter w:w="1212" w:type="dxa"/>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179034FE"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66" w:type="dxa"/>
            <w:gridSpan w:val="3"/>
            <w:tcBorders>
              <w:top w:val="single" w:sz="8" w:space="0" w:color="auto"/>
              <w:left w:val="nil"/>
              <w:bottom w:val="single" w:sz="8" w:space="0" w:color="auto"/>
              <w:right w:val="single" w:sz="8" w:space="0" w:color="000000"/>
            </w:tcBorders>
            <w:vAlign w:val="center"/>
          </w:tcPr>
          <w:p w14:paraId="124DA342" w14:textId="77777777" w:rsidR="00245A42" w:rsidRPr="00A33AE8" w:rsidRDefault="00245A42"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77CCA2E" w14:textId="77777777" w:rsidR="005A758D" w:rsidRPr="00A33AE8" w:rsidRDefault="005A758D"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5A758D" w:rsidRPr="00A33AE8" w14:paraId="22F9935F" w14:textId="77777777" w:rsidTr="005A758D">
        <w:trPr>
          <w:gridAfter w:val="1"/>
          <w:wAfter w:w="1212" w:type="dxa"/>
          <w:trHeight w:val="315"/>
        </w:trPr>
        <w:tc>
          <w:tcPr>
            <w:tcW w:w="3322" w:type="dxa"/>
            <w:tcBorders>
              <w:top w:val="nil"/>
              <w:left w:val="single" w:sz="8" w:space="0" w:color="auto"/>
              <w:bottom w:val="single" w:sz="8" w:space="0" w:color="auto"/>
              <w:right w:val="nil"/>
            </w:tcBorders>
            <w:shd w:val="clear" w:color="auto" w:fill="244062"/>
            <w:vAlign w:val="center"/>
            <w:hideMark/>
          </w:tcPr>
          <w:p w14:paraId="5A1CB62F"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66" w:type="dxa"/>
            <w:gridSpan w:val="3"/>
            <w:tcBorders>
              <w:top w:val="single" w:sz="8" w:space="0" w:color="auto"/>
              <w:left w:val="nil"/>
              <w:bottom w:val="single" w:sz="8" w:space="0" w:color="auto"/>
              <w:right w:val="single" w:sz="8" w:space="0" w:color="000000"/>
            </w:tcBorders>
            <w:vAlign w:val="center"/>
          </w:tcPr>
          <w:p w14:paraId="1A860850" w14:textId="77777777" w:rsidR="005A758D" w:rsidRPr="00A33AE8" w:rsidRDefault="00487CA1"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5A758D" w:rsidRPr="00A33AE8" w14:paraId="175F50E7" w14:textId="77777777" w:rsidTr="005A758D">
        <w:trPr>
          <w:gridAfter w:val="1"/>
          <w:wAfter w:w="1212" w:type="dxa"/>
          <w:trHeight w:val="315"/>
        </w:trPr>
        <w:tc>
          <w:tcPr>
            <w:tcW w:w="3322" w:type="dxa"/>
            <w:tcBorders>
              <w:top w:val="nil"/>
              <w:left w:val="single" w:sz="8" w:space="0" w:color="auto"/>
              <w:bottom w:val="single" w:sz="8" w:space="0" w:color="auto"/>
              <w:right w:val="nil"/>
            </w:tcBorders>
            <w:shd w:val="clear" w:color="auto" w:fill="244062"/>
            <w:vAlign w:val="center"/>
            <w:hideMark/>
          </w:tcPr>
          <w:p w14:paraId="5B9760BA"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66" w:type="dxa"/>
            <w:gridSpan w:val="3"/>
            <w:tcBorders>
              <w:top w:val="single" w:sz="8" w:space="0" w:color="auto"/>
              <w:left w:val="nil"/>
              <w:bottom w:val="single" w:sz="8" w:space="0" w:color="auto"/>
              <w:right w:val="single" w:sz="8" w:space="0" w:color="000000"/>
            </w:tcBorders>
            <w:vAlign w:val="center"/>
          </w:tcPr>
          <w:p w14:paraId="5966A8C5" w14:textId="77777777" w:rsidR="00A71173" w:rsidRPr="00A33AE8" w:rsidRDefault="00487CA1"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Interconnectivity targets</w:t>
            </w:r>
          </w:p>
          <w:p w14:paraId="5265684E" w14:textId="77777777" w:rsidR="005A758D" w:rsidRPr="00A33AE8" w:rsidRDefault="00A7117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possibility of connecting additional RES capacities</w:t>
            </w:r>
            <w:r w:rsidR="00487CA1" w:rsidRPr="00A33AE8">
              <w:rPr>
                <w:rFonts w:asciiTheme="majorHAnsi" w:eastAsia="Times New Roman" w:hAnsiTheme="majorHAnsi" w:cstheme="majorHAnsi"/>
                <w:color w:val="000000"/>
                <w:sz w:val="20"/>
                <w:szCs w:val="20"/>
                <w:lang w:eastAsia="en-GB"/>
              </w:rPr>
              <w:t xml:space="preserve"> </w:t>
            </w:r>
          </w:p>
        </w:tc>
      </w:tr>
      <w:tr w:rsidR="00A0226E" w:rsidRPr="00A33AE8" w14:paraId="32A8333D" w14:textId="77777777" w:rsidTr="005A758D">
        <w:trPr>
          <w:gridAfter w:val="1"/>
          <w:wAfter w:w="1212" w:type="dxa"/>
          <w:trHeight w:val="52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3EAF7C38"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66" w:type="dxa"/>
            <w:gridSpan w:val="3"/>
            <w:tcBorders>
              <w:top w:val="single" w:sz="8" w:space="0" w:color="auto"/>
              <w:left w:val="nil"/>
              <w:bottom w:val="single" w:sz="8" w:space="0" w:color="auto"/>
              <w:right w:val="single" w:sz="8" w:space="0" w:color="000000"/>
            </w:tcBorders>
            <w:vAlign w:val="center"/>
          </w:tcPr>
          <w:p w14:paraId="6D3D4310" w14:textId="77777777" w:rsidR="00A0226E" w:rsidRDefault="00A0226E"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6242AB08" w14:textId="77777777" w:rsidR="0055728F" w:rsidRPr="00A33AE8" w:rsidRDefault="0055728F"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55728F">
              <w:rPr>
                <w:rFonts w:asciiTheme="majorHAnsi" w:eastAsia="Times New Roman" w:hAnsiTheme="majorHAnsi" w:cstheme="majorHAnsi"/>
                <w:color w:val="000000"/>
                <w:sz w:val="20"/>
                <w:szCs w:val="20"/>
                <w:lang w:eastAsia="en-GB"/>
              </w:rPr>
              <w:t>Decarbonisation</w:t>
            </w:r>
          </w:p>
        </w:tc>
      </w:tr>
      <w:tr w:rsidR="005A758D" w:rsidRPr="00A33AE8" w14:paraId="7B70DF66" w14:textId="77777777" w:rsidTr="005A758D">
        <w:trPr>
          <w:gridAfter w:val="1"/>
          <w:wAfter w:w="1212" w:type="dxa"/>
          <w:trHeight w:val="450"/>
        </w:trPr>
        <w:tc>
          <w:tcPr>
            <w:tcW w:w="3322" w:type="dxa"/>
            <w:vMerge w:val="restart"/>
            <w:tcBorders>
              <w:top w:val="nil"/>
              <w:left w:val="single" w:sz="8" w:space="0" w:color="auto"/>
              <w:bottom w:val="single" w:sz="8" w:space="0" w:color="000000"/>
              <w:right w:val="single" w:sz="8" w:space="0" w:color="auto"/>
            </w:tcBorders>
            <w:shd w:val="clear" w:color="auto" w:fill="244062"/>
            <w:vAlign w:val="center"/>
            <w:hideMark/>
          </w:tcPr>
          <w:p w14:paraId="79C2831F"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66" w:type="dxa"/>
            <w:gridSpan w:val="3"/>
            <w:vMerge w:val="restart"/>
            <w:tcBorders>
              <w:top w:val="single" w:sz="8" w:space="0" w:color="auto"/>
              <w:left w:val="single" w:sz="8" w:space="0" w:color="auto"/>
              <w:bottom w:val="single" w:sz="8" w:space="0" w:color="000000"/>
              <w:right w:val="single" w:sz="8" w:space="0" w:color="000000"/>
            </w:tcBorders>
            <w:vAlign w:val="center"/>
          </w:tcPr>
          <w:p w14:paraId="362D45E8" w14:textId="77777777" w:rsidR="005068B2" w:rsidRPr="00A33AE8" w:rsidRDefault="00487CA1"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01DFA2B0" w14:textId="77777777" w:rsidR="005A758D" w:rsidRPr="00A33AE8" w:rsidRDefault="00487CA1" w:rsidP="00884F3B">
            <w:pPr>
              <w:pStyle w:val="ListParagraph"/>
              <w:numPr>
                <w:ilvl w:val="0"/>
                <w:numId w:val="5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5A758D" w:rsidRPr="00A33AE8" w14:paraId="103F72AC" w14:textId="77777777" w:rsidTr="005A758D">
        <w:trPr>
          <w:trHeight w:val="300"/>
        </w:trPr>
        <w:tc>
          <w:tcPr>
            <w:tcW w:w="0" w:type="auto"/>
            <w:vMerge/>
            <w:tcBorders>
              <w:top w:val="nil"/>
              <w:left w:val="single" w:sz="8" w:space="0" w:color="auto"/>
              <w:bottom w:val="single" w:sz="8" w:space="0" w:color="000000"/>
              <w:right w:val="single" w:sz="8" w:space="0" w:color="auto"/>
            </w:tcBorders>
            <w:vAlign w:val="center"/>
            <w:hideMark/>
          </w:tcPr>
          <w:p w14:paraId="3437455E" w14:textId="77777777" w:rsidR="005A758D" w:rsidRPr="00A33AE8" w:rsidRDefault="005A758D" w:rsidP="005A758D">
            <w:pPr>
              <w:spacing w:after="0" w:line="256" w:lineRule="auto"/>
              <w:rPr>
                <w:rFonts w:ascii="Calibri Light" w:eastAsia="Times New Roman" w:hAnsi="Calibri Light" w:cs="Calibri Light"/>
                <w:b/>
                <w:bCs/>
                <w:color w:val="FFFFFF"/>
                <w:sz w:val="20"/>
                <w:szCs w:val="20"/>
                <w:lang w:eastAsia="en-GB"/>
              </w:rPr>
            </w:pPr>
          </w:p>
        </w:tc>
        <w:tc>
          <w:tcPr>
            <w:tcW w:w="6166" w:type="dxa"/>
            <w:gridSpan w:val="3"/>
            <w:vMerge/>
            <w:tcBorders>
              <w:top w:val="single" w:sz="8" w:space="0" w:color="auto"/>
              <w:left w:val="single" w:sz="8" w:space="0" w:color="auto"/>
              <w:bottom w:val="single" w:sz="8" w:space="0" w:color="000000"/>
              <w:right w:val="single" w:sz="8" w:space="0" w:color="000000"/>
            </w:tcBorders>
            <w:vAlign w:val="center"/>
          </w:tcPr>
          <w:p w14:paraId="476CF48D" w14:textId="77777777" w:rsidR="005A758D" w:rsidRPr="00A33AE8" w:rsidRDefault="005A758D" w:rsidP="005A758D">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9EE910D" w14:textId="77777777" w:rsidR="005A758D" w:rsidRPr="00A33AE8" w:rsidRDefault="005A758D" w:rsidP="005A758D"/>
        </w:tc>
      </w:tr>
      <w:tr w:rsidR="005A758D" w:rsidRPr="00A33AE8" w14:paraId="0644F730" w14:textId="77777777" w:rsidTr="005A758D">
        <w:trPr>
          <w:trHeight w:val="113"/>
        </w:trPr>
        <w:tc>
          <w:tcPr>
            <w:tcW w:w="0" w:type="auto"/>
            <w:vMerge/>
            <w:tcBorders>
              <w:top w:val="nil"/>
              <w:left w:val="single" w:sz="8" w:space="0" w:color="auto"/>
              <w:bottom w:val="single" w:sz="8" w:space="0" w:color="000000"/>
              <w:right w:val="single" w:sz="8" w:space="0" w:color="auto"/>
            </w:tcBorders>
            <w:vAlign w:val="center"/>
            <w:hideMark/>
          </w:tcPr>
          <w:p w14:paraId="6D1EE6E1" w14:textId="77777777" w:rsidR="005A758D" w:rsidRPr="00A33AE8" w:rsidRDefault="005A758D" w:rsidP="005A758D">
            <w:pPr>
              <w:spacing w:after="0" w:line="256" w:lineRule="auto"/>
              <w:rPr>
                <w:rFonts w:ascii="Calibri Light" w:eastAsia="Times New Roman" w:hAnsi="Calibri Light" w:cs="Calibri Light"/>
                <w:b/>
                <w:bCs/>
                <w:color w:val="FFFFFF"/>
                <w:sz w:val="20"/>
                <w:szCs w:val="20"/>
                <w:lang w:eastAsia="en-GB"/>
              </w:rPr>
            </w:pPr>
          </w:p>
        </w:tc>
        <w:tc>
          <w:tcPr>
            <w:tcW w:w="6166" w:type="dxa"/>
            <w:gridSpan w:val="3"/>
            <w:vMerge/>
            <w:tcBorders>
              <w:top w:val="single" w:sz="8" w:space="0" w:color="auto"/>
              <w:left w:val="single" w:sz="8" w:space="0" w:color="auto"/>
              <w:bottom w:val="single" w:sz="8" w:space="0" w:color="000000"/>
              <w:right w:val="single" w:sz="8" w:space="0" w:color="000000"/>
            </w:tcBorders>
            <w:vAlign w:val="center"/>
          </w:tcPr>
          <w:p w14:paraId="558C40FF" w14:textId="77777777" w:rsidR="005A758D" w:rsidRPr="00A33AE8" w:rsidRDefault="005A758D" w:rsidP="005A758D">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0A648D6" w14:textId="77777777" w:rsidR="005A758D" w:rsidRPr="00A33AE8" w:rsidRDefault="005A758D" w:rsidP="005A758D">
            <w:pPr>
              <w:spacing w:after="0" w:line="256" w:lineRule="auto"/>
              <w:rPr>
                <w:sz w:val="20"/>
                <w:szCs w:val="20"/>
                <w:lang w:eastAsia="en-GB"/>
              </w:rPr>
            </w:pPr>
          </w:p>
        </w:tc>
      </w:tr>
      <w:tr w:rsidR="005A758D" w:rsidRPr="00A33AE8" w14:paraId="06EEF31F" w14:textId="77777777" w:rsidTr="005A758D">
        <w:trPr>
          <w:trHeight w:val="780"/>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1ECB9DD2"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66" w:type="dxa"/>
            <w:gridSpan w:val="3"/>
            <w:tcBorders>
              <w:top w:val="single" w:sz="8" w:space="0" w:color="auto"/>
              <w:left w:val="nil"/>
              <w:bottom w:val="single" w:sz="8" w:space="0" w:color="auto"/>
              <w:right w:val="single" w:sz="8" w:space="0" w:color="000000"/>
            </w:tcBorders>
            <w:vAlign w:val="center"/>
          </w:tcPr>
          <w:p w14:paraId="047234CD" w14:textId="77777777" w:rsidR="005A758D" w:rsidRPr="00A33AE8" w:rsidRDefault="00487CA1"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TYNDP 2021-2030</w:t>
            </w:r>
          </w:p>
        </w:tc>
        <w:tc>
          <w:tcPr>
            <w:tcW w:w="1212" w:type="dxa"/>
            <w:vAlign w:val="center"/>
            <w:hideMark/>
          </w:tcPr>
          <w:p w14:paraId="2C6056CE" w14:textId="77777777" w:rsidR="005A758D" w:rsidRPr="00A33AE8" w:rsidRDefault="005A758D" w:rsidP="005A758D">
            <w:pPr>
              <w:rPr>
                <w:rFonts w:asciiTheme="majorHAnsi" w:eastAsia="Times New Roman" w:hAnsiTheme="majorHAnsi" w:cstheme="majorHAnsi"/>
                <w:color w:val="000000"/>
                <w:sz w:val="20"/>
                <w:szCs w:val="20"/>
                <w:lang w:eastAsia="en-GB"/>
              </w:rPr>
            </w:pPr>
          </w:p>
        </w:tc>
      </w:tr>
      <w:tr w:rsidR="005A758D" w:rsidRPr="00A33AE8" w14:paraId="17F356E9" w14:textId="77777777" w:rsidTr="005A758D">
        <w:trPr>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17F192AA"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66" w:type="dxa"/>
            <w:gridSpan w:val="3"/>
            <w:tcBorders>
              <w:top w:val="single" w:sz="8" w:space="0" w:color="auto"/>
              <w:left w:val="nil"/>
              <w:bottom w:val="single" w:sz="8" w:space="0" w:color="auto"/>
              <w:right w:val="single" w:sz="8" w:space="0" w:color="000000"/>
            </w:tcBorders>
            <w:vAlign w:val="center"/>
          </w:tcPr>
          <w:p w14:paraId="29944DE7" w14:textId="77777777" w:rsidR="005A758D" w:rsidRPr="00A33AE8" w:rsidRDefault="00F5436D"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214,07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397D5359" w14:textId="77777777" w:rsidR="005A758D" w:rsidRPr="00A33AE8" w:rsidRDefault="005A758D" w:rsidP="005A758D">
            <w:pPr>
              <w:rPr>
                <w:rFonts w:asciiTheme="majorHAnsi" w:eastAsia="Times New Roman" w:hAnsiTheme="majorHAnsi" w:cstheme="majorHAnsi"/>
                <w:color w:val="000000"/>
                <w:sz w:val="20"/>
                <w:szCs w:val="20"/>
                <w:lang w:eastAsia="en-GB"/>
              </w:rPr>
            </w:pPr>
          </w:p>
        </w:tc>
      </w:tr>
      <w:tr w:rsidR="00B92935" w:rsidRPr="00A33AE8" w14:paraId="58BAF399" w14:textId="77777777" w:rsidTr="005A758D">
        <w:trPr>
          <w:trHeight w:val="315"/>
        </w:trPr>
        <w:tc>
          <w:tcPr>
            <w:tcW w:w="3322" w:type="dxa"/>
            <w:tcBorders>
              <w:top w:val="nil"/>
              <w:left w:val="single" w:sz="8" w:space="0" w:color="auto"/>
              <w:bottom w:val="single" w:sz="8" w:space="0" w:color="auto"/>
              <w:right w:val="single" w:sz="8" w:space="0" w:color="auto"/>
            </w:tcBorders>
            <w:shd w:val="clear" w:color="auto" w:fill="244062"/>
            <w:vAlign w:val="center"/>
            <w:hideMark/>
          </w:tcPr>
          <w:p w14:paraId="6D59F512"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66" w:type="dxa"/>
            <w:gridSpan w:val="3"/>
            <w:tcBorders>
              <w:top w:val="single" w:sz="8" w:space="0" w:color="auto"/>
              <w:left w:val="nil"/>
              <w:bottom w:val="single" w:sz="8" w:space="0" w:color="auto"/>
              <w:right w:val="single" w:sz="8" w:space="0" w:color="000000"/>
            </w:tcBorders>
            <w:vAlign w:val="center"/>
          </w:tcPr>
          <w:p w14:paraId="2F1B97DF" w14:textId="77777777" w:rsidR="00B92935" w:rsidRPr="00A33AE8" w:rsidRDefault="00B92935" w:rsidP="00B9293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509E01E1"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17200CC7" w14:textId="77777777" w:rsidR="00690C0D" w:rsidRPr="00A33AE8" w:rsidRDefault="00690C0D" w:rsidP="001D1BB0">
      <w:pPr>
        <w:pStyle w:val="LDKbody"/>
        <w:rPr>
          <w:lang w:val="en-GB"/>
        </w:rPr>
      </w:pPr>
    </w:p>
    <w:tbl>
      <w:tblPr>
        <w:tblW w:w="10700" w:type="dxa"/>
        <w:tblLook w:val="04A0" w:firstRow="1" w:lastRow="0" w:firstColumn="1" w:lastColumn="0" w:noHBand="0" w:noVBand="1"/>
      </w:tblPr>
      <w:tblGrid>
        <w:gridCol w:w="3257"/>
        <w:gridCol w:w="1207"/>
        <w:gridCol w:w="928"/>
        <w:gridCol w:w="4096"/>
        <w:gridCol w:w="1212"/>
      </w:tblGrid>
      <w:tr w:rsidR="00690C0D" w:rsidRPr="00A33AE8" w14:paraId="513EDF1F" w14:textId="77777777" w:rsidTr="005A758D">
        <w:trPr>
          <w:gridAfter w:val="1"/>
          <w:wAfter w:w="1212" w:type="dxa"/>
          <w:trHeight w:val="780"/>
        </w:trPr>
        <w:tc>
          <w:tcPr>
            <w:tcW w:w="325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396D9C0"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0D2C8214"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7</w:t>
            </w:r>
          </w:p>
        </w:tc>
        <w:tc>
          <w:tcPr>
            <w:tcW w:w="928" w:type="dxa"/>
            <w:tcBorders>
              <w:top w:val="single" w:sz="8" w:space="0" w:color="auto"/>
              <w:left w:val="nil"/>
              <w:bottom w:val="single" w:sz="8" w:space="0" w:color="auto"/>
              <w:right w:val="single" w:sz="8" w:space="0" w:color="auto"/>
            </w:tcBorders>
            <w:shd w:val="clear" w:color="auto" w:fill="244062"/>
            <w:vAlign w:val="center"/>
            <w:hideMark/>
          </w:tcPr>
          <w:p w14:paraId="7F86FF3F"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9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8FB06C0" w14:textId="77777777" w:rsidR="00690C0D" w:rsidRPr="00A33AE8" w:rsidRDefault="00690C0D" w:rsidP="00FF03FA">
            <w:pPr>
              <w:spacing w:after="0" w:line="240" w:lineRule="auto"/>
              <w:jc w:val="both"/>
              <w:rPr>
                <w:rFonts w:asciiTheme="majorHAnsi" w:eastAsia="Times New Roman" w:hAnsiTheme="majorHAnsi" w:cstheme="majorHAnsi"/>
                <w:b/>
                <w:bCs/>
                <w:sz w:val="20"/>
                <w:szCs w:val="20"/>
                <w:lang w:eastAsia="en-GB"/>
              </w:rPr>
            </w:pPr>
            <w:r w:rsidRPr="00A33AE8">
              <w:rPr>
                <w:rFonts w:asciiTheme="majorHAnsi" w:eastAsia="Times New Roman" w:hAnsiTheme="majorHAnsi" w:cstheme="majorHAnsi"/>
                <w:b/>
                <w:bCs/>
                <w:sz w:val="20"/>
                <w:szCs w:val="20"/>
                <w:lang w:eastAsia="en-GB"/>
              </w:rPr>
              <w:t xml:space="preserve">RES integration cluster of projects </w:t>
            </w:r>
            <w:r w:rsidR="004A4C8E" w:rsidRPr="00A33AE8">
              <w:rPr>
                <w:rFonts w:asciiTheme="majorHAnsi" w:eastAsia="Times New Roman" w:hAnsiTheme="majorHAnsi" w:cstheme="majorHAnsi"/>
                <w:b/>
                <w:bCs/>
                <w:sz w:val="20"/>
                <w:szCs w:val="20"/>
                <w:lang w:eastAsia="en-GB"/>
              </w:rPr>
              <w:t>–</w:t>
            </w:r>
            <w:r w:rsidRPr="00A33AE8">
              <w:rPr>
                <w:rFonts w:asciiTheme="majorHAnsi" w:eastAsia="Times New Roman" w:hAnsiTheme="majorHAnsi" w:cstheme="majorHAnsi"/>
                <w:b/>
                <w:bCs/>
                <w:sz w:val="20"/>
                <w:szCs w:val="20"/>
                <w:lang w:eastAsia="en-GB"/>
              </w:rPr>
              <w:t xml:space="preserve"> North</w:t>
            </w:r>
            <w:r w:rsidR="004A4C8E" w:rsidRPr="000007D2">
              <w:rPr>
                <w:rFonts w:asciiTheme="majorHAnsi" w:eastAsia="Times New Roman" w:hAnsiTheme="majorHAnsi" w:cstheme="majorHAnsi"/>
                <w:b/>
                <w:bCs/>
                <w:sz w:val="20"/>
                <w:szCs w:val="20"/>
                <w:lang w:eastAsia="en-GB"/>
              </w:rPr>
              <w:t xml:space="preserve"> </w:t>
            </w:r>
            <w:r w:rsidRPr="00A33AE8">
              <w:rPr>
                <w:rFonts w:asciiTheme="majorHAnsi" w:eastAsia="Times New Roman" w:hAnsiTheme="majorHAnsi" w:cstheme="majorHAnsi"/>
                <w:b/>
                <w:bCs/>
                <w:sz w:val="20"/>
                <w:szCs w:val="20"/>
                <w:lang w:eastAsia="en-GB"/>
              </w:rPr>
              <w:t>Corridor</w:t>
            </w:r>
            <w:r w:rsidR="0049798B" w:rsidRPr="00A33AE8">
              <w:rPr>
                <w:rFonts w:asciiTheme="majorHAnsi" w:eastAsia="Times New Roman" w:hAnsiTheme="majorHAnsi" w:cstheme="majorHAnsi"/>
                <w:b/>
                <w:bCs/>
                <w:sz w:val="20"/>
                <w:szCs w:val="20"/>
                <w:lang w:eastAsia="en-GB"/>
              </w:rPr>
              <w:t xml:space="preserve"> </w:t>
            </w:r>
          </w:p>
        </w:tc>
      </w:tr>
      <w:tr w:rsidR="00690C0D" w:rsidRPr="00A33AE8" w14:paraId="7681F0E2" w14:textId="77777777" w:rsidTr="005A758D">
        <w:trPr>
          <w:gridAfter w:val="1"/>
          <w:wAfter w:w="1212" w:type="dxa"/>
          <w:trHeight w:val="960"/>
        </w:trPr>
        <w:tc>
          <w:tcPr>
            <w:tcW w:w="3257" w:type="dxa"/>
            <w:tcBorders>
              <w:top w:val="nil"/>
              <w:left w:val="single" w:sz="8" w:space="0" w:color="auto"/>
              <w:bottom w:val="single" w:sz="8" w:space="0" w:color="auto"/>
              <w:right w:val="nil"/>
            </w:tcBorders>
            <w:shd w:val="clear" w:color="auto" w:fill="244062"/>
            <w:vAlign w:val="center"/>
            <w:hideMark/>
          </w:tcPr>
          <w:p w14:paraId="74028D56"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231" w:type="dxa"/>
            <w:gridSpan w:val="3"/>
            <w:tcBorders>
              <w:top w:val="single" w:sz="8" w:space="0" w:color="auto"/>
              <w:left w:val="nil"/>
              <w:bottom w:val="single" w:sz="8" w:space="0" w:color="auto"/>
              <w:right w:val="single" w:sz="8" w:space="0" w:color="000000"/>
            </w:tcBorders>
            <w:vAlign w:val="center"/>
          </w:tcPr>
          <w:p w14:paraId="20F51DB8" w14:textId="77777777" w:rsidR="00690C0D" w:rsidRPr="00A33AE8" w:rsidRDefault="00A71173"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Maintaining and achieving the interconnectivity targets; planning and implementation of electricity and gas transmission infrastructure projects (and, where relevant, modernization projects); ensuring the reliability of the customers’ power supply; creation of conditions for further industrial development of the areas where the project is located; integration of the desired level of RES; providing the necessary level of flexibility of the power system; which are necessary for the achievement of objectives and targets under the five dimensions of the Energy Union.</w:t>
            </w:r>
          </w:p>
        </w:tc>
      </w:tr>
      <w:tr w:rsidR="00690C0D" w:rsidRPr="00A33AE8" w14:paraId="0ED672DC" w14:textId="77777777" w:rsidTr="005A758D">
        <w:trPr>
          <w:gridAfter w:val="1"/>
          <w:wAfter w:w="1212" w:type="dxa"/>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72031485"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31" w:type="dxa"/>
            <w:gridSpan w:val="3"/>
            <w:tcBorders>
              <w:top w:val="single" w:sz="8" w:space="0" w:color="auto"/>
              <w:left w:val="nil"/>
              <w:bottom w:val="single" w:sz="8" w:space="0" w:color="auto"/>
              <w:right w:val="single" w:sz="8" w:space="0" w:color="000000"/>
            </w:tcBorders>
            <w:vAlign w:val="center"/>
          </w:tcPr>
          <w:p w14:paraId="7B372D6C" w14:textId="77777777" w:rsidR="00690C0D" w:rsidRPr="00A33AE8" w:rsidRDefault="0075685C"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sz w:val="20"/>
                <w:szCs w:val="20"/>
                <w:lang w:eastAsia="en-GB"/>
              </w:rPr>
              <w:t>Interconnectivity targets maintained as they are foreseen until 2030, N-1 security criterion, other CBA indicators</w:t>
            </w:r>
          </w:p>
        </w:tc>
      </w:tr>
      <w:tr w:rsidR="005A758D" w:rsidRPr="00A33AE8" w14:paraId="65E01701" w14:textId="77777777" w:rsidTr="005A758D">
        <w:trPr>
          <w:gridAfter w:val="1"/>
          <w:wAfter w:w="1212" w:type="dxa"/>
          <w:trHeight w:val="1708"/>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540127AE"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31" w:type="dxa"/>
            <w:gridSpan w:val="3"/>
            <w:tcBorders>
              <w:top w:val="single" w:sz="8" w:space="0" w:color="auto"/>
              <w:left w:val="nil"/>
              <w:bottom w:val="single" w:sz="8" w:space="0" w:color="auto"/>
              <w:right w:val="single" w:sz="8" w:space="0" w:color="000000"/>
            </w:tcBorders>
            <w:vAlign w:val="center"/>
            <w:hideMark/>
          </w:tcPr>
          <w:p w14:paraId="4B5C1C2C" w14:textId="77777777" w:rsidR="00A71173" w:rsidRPr="00A33AE8" w:rsidRDefault="005A758D" w:rsidP="000007D2">
            <w:pPr>
              <w:spacing w:after="20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PM_IEM7</w:t>
            </w:r>
            <w:r w:rsidRPr="00A33AE8">
              <w:rPr>
                <w:rFonts w:asciiTheme="majorHAnsi" w:eastAsia="Times New Roman" w:hAnsiTheme="majorHAnsi" w:cstheme="majorHAnsi"/>
                <w:color w:val="000000"/>
                <w:sz w:val="20"/>
                <w:szCs w:val="20"/>
                <w:lang w:eastAsia="en-GB"/>
              </w:rPr>
              <w:t xml:space="preserve"> corresponds to a set of infrastructure measures complementing the BEOGRID cluster and together with the Serbian - Romanian Interconnection </w:t>
            </w:r>
            <w:r w:rsidR="001C22F6" w:rsidRPr="00A33AE8">
              <w:rPr>
                <w:rFonts w:asciiTheme="majorHAnsi" w:eastAsia="Times New Roman" w:hAnsiTheme="majorHAnsi" w:cstheme="majorHAnsi"/>
                <w:color w:val="000000"/>
                <w:sz w:val="20"/>
                <w:szCs w:val="20"/>
                <w:lang w:eastAsia="en-GB"/>
              </w:rPr>
              <w:t xml:space="preserve">(expected to be ready by 2029) </w:t>
            </w:r>
            <w:r w:rsidRPr="00A33AE8">
              <w:rPr>
                <w:rFonts w:asciiTheme="majorHAnsi" w:eastAsia="Times New Roman" w:hAnsiTheme="majorHAnsi" w:cstheme="majorHAnsi"/>
                <w:color w:val="000000"/>
                <w:sz w:val="20"/>
                <w:szCs w:val="20"/>
                <w:lang w:eastAsia="en-GB"/>
              </w:rPr>
              <w:t>are collectively referred to as North Corridor in the Serbian TYNDP 2021-2030.</w:t>
            </w:r>
          </w:p>
          <w:p w14:paraId="27B19549" w14:textId="77777777" w:rsidR="00A71173" w:rsidRPr="00A33AE8" w:rsidRDefault="00A71173" w:rsidP="00A71173">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BEOGRID cluster involves a set of infrastructure measures as they are included in the Serbian TYNDP 2021-2030</w:t>
            </w:r>
            <w:r w:rsidR="001C22F6" w:rsidRPr="00A33AE8">
              <w:rPr>
                <w:rFonts w:asciiTheme="majorHAnsi" w:eastAsia="Times New Roman" w:hAnsiTheme="majorHAnsi" w:cstheme="majorHAnsi"/>
                <w:color w:val="000000"/>
                <w:sz w:val="20"/>
                <w:szCs w:val="20"/>
                <w:lang w:eastAsia="en-GB"/>
              </w:rPr>
              <w:t xml:space="preserve"> and is expected to be completed by 2028</w:t>
            </w:r>
            <w:r w:rsidRPr="00A33AE8">
              <w:rPr>
                <w:rFonts w:asciiTheme="majorHAnsi" w:eastAsia="Times New Roman" w:hAnsiTheme="majorHAnsi" w:cstheme="majorHAnsi"/>
                <w:color w:val="000000"/>
                <w:sz w:val="20"/>
                <w:szCs w:val="20"/>
                <w:lang w:eastAsia="en-GB"/>
              </w:rPr>
              <w:t>. The overall project comprises the Belgrade 50 substation 400/110 kV with associated 400 kV and 110 kV outlets and the overhead double line 400 kV TS from Belgrade 50 substation to the region of southern Banat (close to wind farm Cibuk).</w:t>
            </w:r>
          </w:p>
          <w:p w14:paraId="62B8C811" w14:textId="77777777" w:rsidR="00A71173" w:rsidRPr="00A33AE8" w:rsidRDefault="00A71173" w:rsidP="00A71173">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Overall, the infrastructure works correspond to an overall investment of ca. 84 million EUR are expected to be fully in operation by 2030.</w:t>
            </w:r>
          </w:p>
        </w:tc>
      </w:tr>
      <w:tr w:rsidR="005A758D" w:rsidRPr="00A33AE8" w14:paraId="27923A03" w14:textId="77777777" w:rsidTr="005A758D">
        <w:trPr>
          <w:gridAfter w:val="1"/>
          <w:wAfter w:w="1212" w:type="dxa"/>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60DF719B"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31" w:type="dxa"/>
            <w:gridSpan w:val="3"/>
            <w:tcBorders>
              <w:top w:val="single" w:sz="8" w:space="0" w:color="auto"/>
              <w:left w:val="nil"/>
              <w:bottom w:val="single" w:sz="8" w:space="0" w:color="auto"/>
              <w:right w:val="single" w:sz="8" w:space="0" w:color="000000"/>
            </w:tcBorders>
            <w:vAlign w:val="center"/>
            <w:hideMark/>
          </w:tcPr>
          <w:p w14:paraId="771624E4" w14:textId="77777777" w:rsidR="005A758D" w:rsidRPr="00A33AE8" w:rsidRDefault="005A758D" w:rsidP="005A758D">
            <w:pPr>
              <w:spacing w:after="0" w:line="240" w:lineRule="auto"/>
              <w:jc w:val="both"/>
              <w:rPr>
                <w:rFonts w:asciiTheme="majorHAnsi" w:eastAsia="Times New Roman" w:hAnsiTheme="majorHAnsi" w:cstheme="majorHAnsi"/>
                <w:color w:val="000000"/>
                <w:sz w:val="20"/>
                <w:szCs w:val="20"/>
                <w:lang w:eastAsia="en-GB"/>
              </w:rPr>
            </w:pPr>
            <w:r w:rsidRPr="0056323A">
              <w:rPr>
                <w:rFonts w:asciiTheme="majorHAnsi" w:eastAsia="Times New Roman" w:hAnsiTheme="majorHAnsi" w:cstheme="majorHAnsi"/>
                <w:color w:val="000000"/>
                <w:sz w:val="20"/>
                <w:szCs w:val="20"/>
                <w:lang w:eastAsia="en-GB"/>
              </w:rPr>
              <w:t>2021-</w:t>
            </w:r>
            <w:r w:rsidR="001C22F6" w:rsidRPr="0056323A">
              <w:rPr>
                <w:rFonts w:asciiTheme="majorHAnsi" w:eastAsia="Times New Roman" w:hAnsiTheme="majorHAnsi" w:cstheme="majorHAnsi"/>
                <w:color w:val="000000"/>
                <w:sz w:val="20"/>
                <w:szCs w:val="20"/>
                <w:lang w:eastAsia="en-GB"/>
              </w:rPr>
              <w:t>2029</w:t>
            </w:r>
          </w:p>
        </w:tc>
      </w:tr>
      <w:tr w:rsidR="005A758D" w:rsidRPr="00A33AE8" w14:paraId="53E5B92C" w14:textId="77777777" w:rsidTr="005A758D">
        <w:trPr>
          <w:gridAfter w:val="1"/>
          <w:wAfter w:w="1212" w:type="dxa"/>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2FC8503F"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31" w:type="dxa"/>
            <w:gridSpan w:val="3"/>
            <w:tcBorders>
              <w:top w:val="single" w:sz="8" w:space="0" w:color="auto"/>
              <w:left w:val="nil"/>
              <w:bottom w:val="single" w:sz="8" w:space="0" w:color="auto"/>
              <w:right w:val="single" w:sz="8" w:space="0" w:color="000000"/>
            </w:tcBorders>
            <w:vAlign w:val="center"/>
            <w:hideMark/>
          </w:tcPr>
          <w:p w14:paraId="32BB3B7B" w14:textId="77777777" w:rsidR="005A758D" w:rsidRPr="00A33AE8" w:rsidRDefault="00B0341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5A758D" w:rsidRPr="00A33AE8" w14:paraId="450B65AE" w14:textId="77777777" w:rsidTr="005A758D">
        <w:trPr>
          <w:gridAfter w:val="1"/>
          <w:wAfter w:w="1212" w:type="dxa"/>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2EFD9E82"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31" w:type="dxa"/>
            <w:gridSpan w:val="3"/>
            <w:tcBorders>
              <w:top w:val="single" w:sz="8" w:space="0" w:color="auto"/>
              <w:left w:val="nil"/>
              <w:bottom w:val="single" w:sz="8" w:space="0" w:color="auto"/>
              <w:right w:val="single" w:sz="8" w:space="0" w:color="000000"/>
            </w:tcBorders>
            <w:vAlign w:val="center"/>
            <w:hideMark/>
          </w:tcPr>
          <w:p w14:paraId="52B6ACAE" w14:textId="77777777" w:rsidR="005A758D" w:rsidRPr="00A33AE8" w:rsidRDefault="005A758D"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5A758D" w:rsidRPr="00A33AE8" w14:paraId="4BC371B5" w14:textId="77777777" w:rsidTr="005A758D">
        <w:trPr>
          <w:gridAfter w:val="1"/>
          <w:wAfter w:w="1212" w:type="dxa"/>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61488F36"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31" w:type="dxa"/>
            <w:gridSpan w:val="3"/>
            <w:tcBorders>
              <w:top w:val="single" w:sz="8" w:space="0" w:color="auto"/>
              <w:left w:val="nil"/>
              <w:bottom w:val="single" w:sz="8" w:space="0" w:color="auto"/>
              <w:right w:val="single" w:sz="8" w:space="0" w:color="000000"/>
            </w:tcBorders>
            <w:vAlign w:val="center"/>
            <w:hideMark/>
          </w:tcPr>
          <w:p w14:paraId="37AB0400" w14:textId="77777777" w:rsidR="00245A42" w:rsidRPr="00A33AE8" w:rsidRDefault="00245A42"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36C557BB" w14:textId="77777777" w:rsidR="005A758D" w:rsidRPr="00A33AE8" w:rsidRDefault="005A758D"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5A758D" w:rsidRPr="00A33AE8" w14:paraId="730968EE" w14:textId="77777777" w:rsidTr="005A758D">
        <w:trPr>
          <w:gridAfter w:val="1"/>
          <w:wAfter w:w="1212" w:type="dxa"/>
          <w:trHeight w:val="315"/>
        </w:trPr>
        <w:tc>
          <w:tcPr>
            <w:tcW w:w="3257" w:type="dxa"/>
            <w:tcBorders>
              <w:top w:val="nil"/>
              <w:left w:val="single" w:sz="8" w:space="0" w:color="auto"/>
              <w:bottom w:val="single" w:sz="8" w:space="0" w:color="auto"/>
              <w:right w:val="nil"/>
            </w:tcBorders>
            <w:shd w:val="clear" w:color="auto" w:fill="244062"/>
            <w:vAlign w:val="center"/>
            <w:hideMark/>
          </w:tcPr>
          <w:p w14:paraId="23EDFF41"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31" w:type="dxa"/>
            <w:gridSpan w:val="3"/>
            <w:tcBorders>
              <w:top w:val="single" w:sz="8" w:space="0" w:color="auto"/>
              <w:left w:val="nil"/>
              <w:bottom w:val="single" w:sz="8" w:space="0" w:color="auto"/>
              <w:right w:val="single" w:sz="8" w:space="0" w:color="000000"/>
            </w:tcBorders>
            <w:vAlign w:val="center"/>
            <w:hideMark/>
          </w:tcPr>
          <w:p w14:paraId="7C661390" w14:textId="77777777" w:rsidR="005A758D" w:rsidRPr="00A33AE8" w:rsidRDefault="0075685C"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tc>
      </w:tr>
      <w:tr w:rsidR="005A758D" w:rsidRPr="00A33AE8" w14:paraId="7406580B" w14:textId="77777777" w:rsidTr="005A758D">
        <w:trPr>
          <w:gridAfter w:val="1"/>
          <w:wAfter w:w="1212" w:type="dxa"/>
          <w:trHeight w:val="315"/>
        </w:trPr>
        <w:tc>
          <w:tcPr>
            <w:tcW w:w="3257" w:type="dxa"/>
            <w:tcBorders>
              <w:top w:val="nil"/>
              <w:left w:val="single" w:sz="8" w:space="0" w:color="auto"/>
              <w:bottom w:val="single" w:sz="8" w:space="0" w:color="auto"/>
              <w:right w:val="nil"/>
            </w:tcBorders>
            <w:shd w:val="clear" w:color="auto" w:fill="244062"/>
            <w:vAlign w:val="center"/>
            <w:hideMark/>
          </w:tcPr>
          <w:p w14:paraId="4B0B68C6"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31" w:type="dxa"/>
            <w:gridSpan w:val="3"/>
            <w:tcBorders>
              <w:top w:val="single" w:sz="8" w:space="0" w:color="auto"/>
              <w:left w:val="nil"/>
              <w:bottom w:val="single" w:sz="8" w:space="0" w:color="auto"/>
              <w:right w:val="single" w:sz="8" w:space="0" w:color="000000"/>
            </w:tcBorders>
            <w:vAlign w:val="center"/>
            <w:hideMark/>
          </w:tcPr>
          <w:p w14:paraId="0FBF4694" w14:textId="77777777" w:rsidR="00A71173" w:rsidRPr="00A33AE8" w:rsidRDefault="0075685C"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Interconnectivity targets</w:t>
            </w:r>
          </w:p>
          <w:p w14:paraId="38035CA8" w14:textId="77777777" w:rsidR="005A758D" w:rsidRPr="00A33AE8" w:rsidRDefault="00A71173" w:rsidP="005A758D">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possibility of connecting additional RES capacities</w:t>
            </w:r>
            <w:r w:rsidR="0075685C" w:rsidRPr="00A33AE8">
              <w:rPr>
                <w:rFonts w:asciiTheme="majorHAnsi" w:eastAsia="Times New Roman" w:hAnsiTheme="majorHAnsi" w:cstheme="majorHAnsi"/>
                <w:color w:val="000000"/>
                <w:sz w:val="20"/>
                <w:szCs w:val="20"/>
                <w:lang w:eastAsia="en-GB"/>
              </w:rPr>
              <w:t xml:space="preserve"> </w:t>
            </w:r>
          </w:p>
        </w:tc>
      </w:tr>
      <w:tr w:rsidR="00A0226E" w:rsidRPr="00A33AE8" w14:paraId="6042A1A8" w14:textId="77777777" w:rsidTr="005A758D">
        <w:trPr>
          <w:gridAfter w:val="1"/>
          <w:wAfter w:w="1212" w:type="dxa"/>
          <w:trHeight w:val="52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326C94FC"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31" w:type="dxa"/>
            <w:gridSpan w:val="3"/>
            <w:tcBorders>
              <w:top w:val="single" w:sz="8" w:space="0" w:color="auto"/>
              <w:left w:val="nil"/>
              <w:bottom w:val="single" w:sz="8" w:space="0" w:color="auto"/>
              <w:right w:val="single" w:sz="8" w:space="0" w:color="000000"/>
            </w:tcBorders>
            <w:vAlign w:val="center"/>
            <w:hideMark/>
          </w:tcPr>
          <w:p w14:paraId="0A9C4C1C" w14:textId="77777777" w:rsidR="00A0226E" w:rsidRDefault="00A0226E"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2920895E" w14:textId="77777777" w:rsidR="0055728F" w:rsidRPr="00A33AE8" w:rsidRDefault="0055728F" w:rsidP="00884F3B">
            <w:pPr>
              <w:pStyle w:val="ListParagraph"/>
              <w:numPr>
                <w:ilvl w:val="0"/>
                <w:numId w:val="52"/>
              </w:numPr>
              <w:spacing w:after="0" w:line="240" w:lineRule="auto"/>
              <w:jc w:val="both"/>
              <w:rPr>
                <w:rFonts w:asciiTheme="majorHAnsi" w:eastAsia="Times New Roman" w:hAnsiTheme="majorHAnsi" w:cstheme="majorHAnsi"/>
                <w:color w:val="000000"/>
                <w:sz w:val="20"/>
                <w:szCs w:val="20"/>
                <w:lang w:eastAsia="en-GB"/>
              </w:rPr>
            </w:pPr>
            <w:r w:rsidRPr="0055728F">
              <w:rPr>
                <w:rFonts w:asciiTheme="majorHAnsi" w:eastAsia="Times New Roman" w:hAnsiTheme="majorHAnsi" w:cstheme="majorHAnsi"/>
                <w:color w:val="000000"/>
                <w:sz w:val="20"/>
                <w:szCs w:val="20"/>
                <w:lang w:eastAsia="en-GB"/>
              </w:rPr>
              <w:t>Decarbonisation</w:t>
            </w:r>
          </w:p>
        </w:tc>
      </w:tr>
      <w:tr w:rsidR="005A758D" w:rsidRPr="00A33AE8" w14:paraId="35A5AEEC" w14:textId="77777777" w:rsidTr="005A758D">
        <w:trPr>
          <w:gridAfter w:val="1"/>
          <w:wAfter w:w="1212" w:type="dxa"/>
          <w:trHeight w:val="450"/>
        </w:trPr>
        <w:tc>
          <w:tcPr>
            <w:tcW w:w="3257" w:type="dxa"/>
            <w:vMerge w:val="restart"/>
            <w:tcBorders>
              <w:top w:val="nil"/>
              <w:left w:val="single" w:sz="8" w:space="0" w:color="auto"/>
              <w:bottom w:val="single" w:sz="8" w:space="0" w:color="000000"/>
              <w:right w:val="single" w:sz="8" w:space="0" w:color="auto"/>
            </w:tcBorders>
            <w:shd w:val="clear" w:color="auto" w:fill="244062"/>
            <w:vAlign w:val="center"/>
            <w:hideMark/>
          </w:tcPr>
          <w:p w14:paraId="774080F2"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3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09FB8BB" w14:textId="77777777" w:rsidR="005A758D" w:rsidRPr="00A33AE8" w:rsidRDefault="005A758D" w:rsidP="00884F3B">
            <w:pPr>
              <w:pStyle w:val="ListParagraph"/>
              <w:numPr>
                <w:ilvl w:val="0"/>
                <w:numId w:val="5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0A7E984E" w14:textId="77777777" w:rsidR="005A758D" w:rsidRPr="00A33AE8" w:rsidRDefault="005A758D" w:rsidP="00884F3B">
            <w:pPr>
              <w:pStyle w:val="ListParagraph"/>
              <w:numPr>
                <w:ilvl w:val="0"/>
                <w:numId w:val="5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5A758D" w:rsidRPr="00A33AE8" w14:paraId="7BD506AC" w14:textId="77777777" w:rsidTr="005A758D">
        <w:trPr>
          <w:trHeight w:val="300"/>
        </w:trPr>
        <w:tc>
          <w:tcPr>
            <w:tcW w:w="0" w:type="auto"/>
            <w:vMerge/>
            <w:tcBorders>
              <w:top w:val="nil"/>
              <w:left w:val="single" w:sz="8" w:space="0" w:color="auto"/>
              <w:bottom w:val="single" w:sz="8" w:space="0" w:color="000000"/>
              <w:right w:val="single" w:sz="8" w:space="0" w:color="auto"/>
            </w:tcBorders>
            <w:vAlign w:val="center"/>
            <w:hideMark/>
          </w:tcPr>
          <w:p w14:paraId="303456C2" w14:textId="77777777" w:rsidR="005A758D" w:rsidRPr="00A33AE8" w:rsidRDefault="005A758D" w:rsidP="005A758D">
            <w:pPr>
              <w:spacing w:after="0" w:line="256" w:lineRule="auto"/>
              <w:rPr>
                <w:rFonts w:ascii="Calibri Light" w:eastAsia="Times New Roman" w:hAnsi="Calibri Light" w:cs="Calibri Light"/>
                <w:b/>
                <w:bCs/>
                <w:color w:val="FFFFFF"/>
                <w:sz w:val="20"/>
                <w:szCs w:val="20"/>
                <w:lang w:eastAsia="en-GB"/>
              </w:rPr>
            </w:pPr>
          </w:p>
        </w:tc>
        <w:tc>
          <w:tcPr>
            <w:tcW w:w="6231" w:type="dxa"/>
            <w:gridSpan w:val="3"/>
            <w:vMerge/>
            <w:tcBorders>
              <w:top w:val="single" w:sz="8" w:space="0" w:color="auto"/>
              <w:left w:val="single" w:sz="8" w:space="0" w:color="auto"/>
              <w:bottom w:val="single" w:sz="8" w:space="0" w:color="000000"/>
              <w:right w:val="single" w:sz="8" w:space="0" w:color="000000"/>
            </w:tcBorders>
            <w:vAlign w:val="center"/>
            <w:hideMark/>
          </w:tcPr>
          <w:p w14:paraId="62F1297D" w14:textId="77777777" w:rsidR="005A758D" w:rsidRPr="00A33AE8" w:rsidRDefault="005A758D" w:rsidP="005A758D">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8D19885" w14:textId="77777777" w:rsidR="005A758D" w:rsidRPr="00A33AE8" w:rsidRDefault="005A758D" w:rsidP="005A758D"/>
        </w:tc>
      </w:tr>
      <w:tr w:rsidR="005A758D" w:rsidRPr="00A33AE8" w14:paraId="74392258" w14:textId="77777777" w:rsidTr="005A758D">
        <w:trPr>
          <w:trHeight w:val="113"/>
        </w:trPr>
        <w:tc>
          <w:tcPr>
            <w:tcW w:w="0" w:type="auto"/>
            <w:vMerge/>
            <w:tcBorders>
              <w:top w:val="nil"/>
              <w:left w:val="single" w:sz="8" w:space="0" w:color="auto"/>
              <w:bottom w:val="single" w:sz="8" w:space="0" w:color="000000"/>
              <w:right w:val="single" w:sz="8" w:space="0" w:color="auto"/>
            </w:tcBorders>
            <w:vAlign w:val="center"/>
            <w:hideMark/>
          </w:tcPr>
          <w:p w14:paraId="366DE4F4" w14:textId="77777777" w:rsidR="005A758D" w:rsidRPr="00A33AE8" w:rsidRDefault="005A758D" w:rsidP="005A758D">
            <w:pPr>
              <w:spacing w:after="0" w:line="256" w:lineRule="auto"/>
              <w:rPr>
                <w:rFonts w:ascii="Calibri Light" w:eastAsia="Times New Roman" w:hAnsi="Calibri Light" w:cs="Calibri Light"/>
                <w:b/>
                <w:bCs/>
                <w:color w:val="FFFFFF"/>
                <w:sz w:val="20"/>
                <w:szCs w:val="20"/>
                <w:lang w:eastAsia="en-GB"/>
              </w:rPr>
            </w:pPr>
          </w:p>
        </w:tc>
        <w:tc>
          <w:tcPr>
            <w:tcW w:w="6231" w:type="dxa"/>
            <w:gridSpan w:val="3"/>
            <w:vMerge/>
            <w:tcBorders>
              <w:top w:val="single" w:sz="8" w:space="0" w:color="auto"/>
              <w:left w:val="single" w:sz="8" w:space="0" w:color="auto"/>
              <w:bottom w:val="single" w:sz="8" w:space="0" w:color="000000"/>
              <w:right w:val="single" w:sz="8" w:space="0" w:color="000000"/>
            </w:tcBorders>
            <w:vAlign w:val="center"/>
            <w:hideMark/>
          </w:tcPr>
          <w:p w14:paraId="30F530D8" w14:textId="77777777" w:rsidR="005A758D" w:rsidRPr="00A33AE8" w:rsidRDefault="005A758D" w:rsidP="005A758D">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95F9DE4" w14:textId="77777777" w:rsidR="005A758D" w:rsidRPr="00A33AE8" w:rsidRDefault="005A758D" w:rsidP="005A758D">
            <w:pPr>
              <w:spacing w:after="0" w:line="256" w:lineRule="auto"/>
              <w:rPr>
                <w:sz w:val="20"/>
                <w:szCs w:val="20"/>
                <w:lang w:eastAsia="en-GB"/>
              </w:rPr>
            </w:pPr>
          </w:p>
        </w:tc>
      </w:tr>
      <w:tr w:rsidR="005A758D" w:rsidRPr="00A33AE8" w14:paraId="0C3D49EE" w14:textId="77777777" w:rsidTr="005A758D">
        <w:trPr>
          <w:trHeight w:val="780"/>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4EE78719" w14:textId="77777777" w:rsidR="005A758D" w:rsidRPr="00A33AE8" w:rsidRDefault="005A758D" w:rsidP="005A758D">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31" w:type="dxa"/>
            <w:gridSpan w:val="3"/>
            <w:tcBorders>
              <w:top w:val="single" w:sz="8" w:space="0" w:color="auto"/>
              <w:left w:val="nil"/>
              <w:bottom w:val="single" w:sz="8" w:space="0" w:color="auto"/>
              <w:right w:val="single" w:sz="8" w:space="0" w:color="000000"/>
            </w:tcBorders>
            <w:vAlign w:val="center"/>
            <w:hideMark/>
          </w:tcPr>
          <w:p w14:paraId="2336B11C" w14:textId="77777777" w:rsidR="005A758D" w:rsidRPr="00A33AE8" w:rsidRDefault="005A758D" w:rsidP="00884F3B">
            <w:pPr>
              <w:pStyle w:val="ListParagraph"/>
              <w:numPr>
                <w:ilvl w:val="0"/>
                <w:numId w:val="5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TYNDP 2021-2030</w:t>
            </w:r>
          </w:p>
        </w:tc>
        <w:tc>
          <w:tcPr>
            <w:tcW w:w="1212" w:type="dxa"/>
            <w:vAlign w:val="center"/>
            <w:hideMark/>
          </w:tcPr>
          <w:p w14:paraId="04354FA6" w14:textId="77777777" w:rsidR="005A758D" w:rsidRPr="00A33AE8" w:rsidRDefault="005A758D" w:rsidP="005A758D">
            <w:pPr>
              <w:rPr>
                <w:rFonts w:asciiTheme="majorHAnsi" w:eastAsia="Times New Roman" w:hAnsiTheme="majorHAnsi" w:cstheme="majorHAnsi"/>
                <w:color w:val="000000"/>
                <w:sz w:val="20"/>
                <w:szCs w:val="20"/>
                <w:lang w:eastAsia="en-GB"/>
              </w:rPr>
            </w:pPr>
          </w:p>
        </w:tc>
      </w:tr>
      <w:tr w:rsidR="00690C0D" w:rsidRPr="00A33AE8" w14:paraId="5938E5A0" w14:textId="77777777" w:rsidTr="005A758D">
        <w:trPr>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2649F2E6"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31" w:type="dxa"/>
            <w:gridSpan w:val="3"/>
            <w:tcBorders>
              <w:top w:val="single" w:sz="8" w:space="0" w:color="auto"/>
              <w:left w:val="nil"/>
              <w:bottom w:val="single" w:sz="8" w:space="0" w:color="auto"/>
              <w:right w:val="single" w:sz="8" w:space="0" w:color="000000"/>
            </w:tcBorders>
            <w:vAlign w:val="center"/>
            <w:hideMark/>
          </w:tcPr>
          <w:p w14:paraId="7DF8274F" w14:textId="77777777" w:rsidR="00690C0D" w:rsidRPr="00A33AE8" w:rsidRDefault="00A71173"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84 </w:t>
            </w:r>
            <w:r w:rsidR="00B92935" w:rsidRPr="00A33AE8">
              <w:rPr>
                <w:rFonts w:asciiTheme="majorHAnsi" w:eastAsia="Times New Roman" w:hAnsiTheme="majorHAnsi" w:cstheme="majorHAnsi"/>
                <w:color w:val="000000"/>
                <w:sz w:val="20"/>
                <w:szCs w:val="20"/>
                <w:lang w:eastAsia="en-GB"/>
              </w:rPr>
              <w:t>M</w:t>
            </w:r>
            <w:r w:rsidR="00B92935" w:rsidRPr="00A33AE8">
              <w:rPr>
                <w:rFonts w:ascii="Calibri" w:eastAsia="Times New Roman" w:hAnsi="Calibri" w:cs="Calibri"/>
                <w:color w:val="000000"/>
                <w:sz w:val="20"/>
                <w:szCs w:val="20"/>
                <w:lang w:eastAsia="en-GB"/>
              </w:rPr>
              <w:t>€</w:t>
            </w:r>
          </w:p>
        </w:tc>
        <w:tc>
          <w:tcPr>
            <w:tcW w:w="1212" w:type="dxa"/>
            <w:vAlign w:val="center"/>
            <w:hideMark/>
          </w:tcPr>
          <w:p w14:paraId="34090606" w14:textId="77777777" w:rsidR="00690C0D" w:rsidRPr="00A33AE8" w:rsidRDefault="00690C0D" w:rsidP="00FF03FA">
            <w:pPr>
              <w:rPr>
                <w:rFonts w:asciiTheme="majorHAnsi" w:eastAsia="Times New Roman" w:hAnsiTheme="majorHAnsi" w:cstheme="majorHAnsi"/>
                <w:color w:val="000000"/>
                <w:sz w:val="20"/>
                <w:szCs w:val="20"/>
                <w:lang w:eastAsia="en-GB"/>
              </w:rPr>
            </w:pPr>
          </w:p>
        </w:tc>
      </w:tr>
      <w:tr w:rsidR="00B92935" w:rsidRPr="00A33AE8" w14:paraId="34574A53" w14:textId="77777777" w:rsidTr="005A758D">
        <w:trPr>
          <w:trHeight w:val="315"/>
        </w:trPr>
        <w:tc>
          <w:tcPr>
            <w:tcW w:w="3257" w:type="dxa"/>
            <w:tcBorders>
              <w:top w:val="nil"/>
              <w:left w:val="single" w:sz="8" w:space="0" w:color="auto"/>
              <w:bottom w:val="single" w:sz="8" w:space="0" w:color="auto"/>
              <w:right w:val="single" w:sz="8" w:space="0" w:color="auto"/>
            </w:tcBorders>
            <w:shd w:val="clear" w:color="auto" w:fill="244062"/>
            <w:vAlign w:val="center"/>
            <w:hideMark/>
          </w:tcPr>
          <w:p w14:paraId="76CE15F8"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31" w:type="dxa"/>
            <w:gridSpan w:val="3"/>
            <w:tcBorders>
              <w:top w:val="single" w:sz="8" w:space="0" w:color="auto"/>
              <w:left w:val="nil"/>
              <w:bottom w:val="single" w:sz="8" w:space="0" w:color="auto"/>
              <w:right w:val="single" w:sz="8" w:space="0" w:color="000000"/>
            </w:tcBorders>
            <w:vAlign w:val="center"/>
            <w:hideMark/>
          </w:tcPr>
          <w:p w14:paraId="5B2DCC0B" w14:textId="77777777" w:rsidR="00B92935" w:rsidRPr="00A33AE8" w:rsidRDefault="00B92935" w:rsidP="00B9293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06F9B311"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13CB2002" w14:textId="77777777" w:rsidR="00690C0D" w:rsidRPr="00A33AE8" w:rsidRDefault="00690C0D" w:rsidP="001D1BB0">
      <w:pPr>
        <w:pStyle w:val="LDKbody"/>
        <w:rPr>
          <w:lang w:val="en-GB"/>
        </w:rPr>
      </w:pPr>
    </w:p>
    <w:p w14:paraId="729795A2" w14:textId="77777777" w:rsidR="00351DC9" w:rsidRPr="00A33AE8" w:rsidRDefault="00351DC9" w:rsidP="007D341E">
      <w:pPr>
        <w:pStyle w:val="Heading3"/>
      </w:pPr>
      <w:r w:rsidRPr="00A33AE8">
        <w:t>Energy transmission infrastructure</w:t>
      </w:r>
    </w:p>
    <w:p w14:paraId="3C546ECC" w14:textId="77777777" w:rsidR="007D341E" w:rsidRPr="00A33AE8" w:rsidRDefault="007D341E" w:rsidP="001D1BB0">
      <w:pPr>
        <w:pStyle w:val="LDKbody"/>
        <w:rPr>
          <w:lang w:val="en-GB"/>
        </w:rPr>
      </w:pPr>
    </w:p>
    <w:tbl>
      <w:tblPr>
        <w:tblW w:w="10700" w:type="dxa"/>
        <w:tblLook w:val="04A0" w:firstRow="1" w:lastRow="0" w:firstColumn="1" w:lastColumn="0" w:noHBand="0" w:noVBand="1"/>
      </w:tblPr>
      <w:tblGrid>
        <w:gridCol w:w="3254"/>
        <w:gridCol w:w="1207"/>
        <w:gridCol w:w="927"/>
        <w:gridCol w:w="4100"/>
        <w:gridCol w:w="1212"/>
      </w:tblGrid>
      <w:tr w:rsidR="00690C0D" w:rsidRPr="00A33AE8" w14:paraId="7602EF10" w14:textId="77777777" w:rsidTr="004B0D7C">
        <w:trPr>
          <w:gridAfter w:val="1"/>
          <w:wAfter w:w="1212" w:type="dxa"/>
          <w:trHeight w:val="780"/>
        </w:trPr>
        <w:tc>
          <w:tcPr>
            <w:tcW w:w="325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E2B6732"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3222AFE6" w14:textId="77777777" w:rsidR="00690C0D" w:rsidRPr="00A33AE8" w:rsidRDefault="00690C0D" w:rsidP="00FF03F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PM_IEM</w:t>
            </w:r>
            <w:r w:rsidR="005D69C8" w:rsidRPr="00A33AE8">
              <w:rPr>
                <w:rFonts w:ascii="Calibri Light" w:eastAsia="Times New Roman" w:hAnsi="Calibri Light" w:cs="Calibri Light"/>
                <w:b/>
                <w:bCs/>
                <w:color w:val="000000"/>
                <w:sz w:val="20"/>
                <w:szCs w:val="20"/>
                <w:lang w:eastAsia="en-GB"/>
              </w:rPr>
              <w:t>8</w:t>
            </w:r>
          </w:p>
        </w:tc>
        <w:tc>
          <w:tcPr>
            <w:tcW w:w="927" w:type="dxa"/>
            <w:tcBorders>
              <w:top w:val="single" w:sz="8" w:space="0" w:color="auto"/>
              <w:left w:val="nil"/>
              <w:bottom w:val="single" w:sz="8" w:space="0" w:color="auto"/>
              <w:right w:val="single" w:sz="8" w:space="0" w:color="auto"/>
            </w:tcBorders>
            <w:shd w:val="clear" w:color="auto" w:fill="244062"/>
            <w:vAlign w:val="center"/>
            <w:hideMark/>
          </w:tcPr>
          <w:p w14:paraId="77C2D003"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00" w:type="dxa"/>
            <w:tcBorders>
              <w:top w:val="single" w:sz="8" w:space="0" w:color="auto"/>
              <w:left w:val="nil"/>
              <w:bottom w:val="single" w:sz="8" w:space="0" w:color="auto"/>
              <w:right w:val="single" w:sz="8" w:space="0" w:color="auto"/>
            </w:tcBorders>
            <w:shd w:val="clear" w:color="auto" w:fill="E7E6E6" w:themeFill="background2"/>
            <w:vAlign w:val="center"/>
            <w:hideMark/>
          </w:tcPr>
          <w:p w14:paraId="07B2EB8B" w14:textId="77777777" w:rsidR="00690C0D" w:rsidRPr="00A33AE8" w:rsidRDefault="00690C0D" w:rsidP="00FF03F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Regional </w:t>
            </w:r>
            <w:r w:rsidR="004E0E07" w:rsidRPr="00A33AE8">
              <w:rPr>
                <w:rFonts w:ascii="Calibri Light" w:eastAsia="Times New Roman" w:hAnsi="Calibri Light" w:cs="Calibri Light"/>
                <w:b/>
                <w:bCs/>
                <w:color w:val="000000"/>
                <w:sz w:val="20"/>
                <w:szCs w:val="20"/>
                <w:lang w:eastAsia="en-GB"/>
              </w:rPr>
              <w:t xml:space="preserve">gas </w:t>
            </w:r>
            <w:r w:rsidRPr="00A33AE8">
              <w:rPr>
                <w:rFonts w:ascii="Calibri Light" w:eastAsia="Times New Roman" w:hAnsi="Calibri Light" w:cs="Calibri Light"/>
                <w:b/>
                <w:bCs/>
                <w:color w:val="000000"/>
                <w:sz w:val="20"/>
                <w:szCs w:val="20"/>
                <w:lang w:eastAsia="en-GB"/>
              </w:rPr>
              <w:t>connection through the implementation of interconnection projects</w:t>
            </w:r>
          </w:p>
        </w:tc>
      </w:tr>
      <w:tr w:rsidR="004B0D7C" w:rsidRPr="00A33AE8" w14:paraId="5820DC1A" w14:textId="77777777" w:rsidTr="004B0D7C">
        <w:trPr>
          <w:gridAfter w:val="1"/>
          <w:wAfter w:w="1212" w:type="dxa"/>
          <w:trHeight w:val="584"/>
        </w:trPr>
        <w:tc>
          <w:tcPr>
            <w:tcW w:w="3254" w:type="dxa"/>
            <w:tcBorders>
              <w:top w:val="nil"/>
              <w:left w:val="single" w:sz="8" w:space="0" w:color="auto"/>
              <w:bottom w:val="single" w:sz="8" w:space="0" w:color="auto"/>
              <w:right w:val="nil"/>
            </w:tcBorders>
            <w:shd w:val="clear" w:color="auto" w:fill="244062"/>
            <w:vAlign w:val="center"/>
            <w:hideMark/>
          </w:tcPr>
          <w:p w14:paraId="699A222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34" w:type="dxa"/>
            <w:gridSpan w:val="3"/>
            <w:tcBorders>
              <w:top w:val="single" w:sz="8" w:space="0" w:color="auto"/>
              <w:left w:val="nil"/>
              <w:bottom w:val="single" w:sz="8" w:space="0" w:color="auto"/>
              <w:right w:val="single" w:sz="8" w:space="0" w:color="000000"/>
            </w:tcBorders>
            <w:vAlign w:val="center"/>
          </w:tcPr>
          <w:p w14:paraId="591D67B8"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7325A5FB" w14:textId="77777777" w:rsidTr="004B0D7C">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7FA8BE9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34" w:type="dxa"/>
            <w:gridSpan w:val="3"/>
            <w:tcBorders>
              <w:top w:val="single" w:sz="8" w:space="0" w:color="auto"/>
              <w:left w:val="nil"/>
              <w:bottom w:val="single" w:sz="8" w:space="0" w:color="auto"/>
              <w:right w:val="single" w:sz="8" w:space="0" w:color="000000"/>
            </w:tcBorders>
            <w:vAlign w:val="center"/>
          </w:tcPr>
          <w:p w14:paraId="07A57FD4" w14:textId="77777777" w:rsidR="004B0D7C" w:rsidRPr="00A33AE8" w:rsidRDefault="004B0D7C" w:rsidP="004B0D7C">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Increased interconnection capacity</w:t>
            </w:r>
          </w:p>
        </w:tc>
      </w:tr>
      <w:tr w:rsidR="004B0D7C" w:rsidRPr="00A33AE8" w14:paraId="55FF5130" w14:textId="77777777" w:rsidTr="004B0D7C">
        <w:trPr>
          <w:gridAfter w:val="1"/>
          <w:wAfter w:w="1212" w:type="dxa"/>
          <w:trHeight w:val="152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065D7058"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234" w:type="dxa"/>
            <w:gridSpan w:val="3"/>
            <w:tcBorders>
              <w:top w:val="single" w:sz="8" w:space="0" w:color="auto"/>
              <w:left w:val="nil"/>
              <w:bottom w:val="single" w:sz="8" w:space="0" w:color="auto"/>
              <w:right w:val="single" w:sz="8" w:space="0" w:color="000000"/>
            </w:tcBorders>
            <w:vAlign w:val="center"/>
            <w:hideMark/>
          </w:tcPr>
          <w:p w14:paraId="49AB91A5" w14:textId="4174495E"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bookmarkStart w:id="174" w:name="_Hlk113476536"/>
            <w:r w:rsidRPr="00A33AE8">
              <w:rPr>
                <w:rFonts w:ascii="Calibri Light" w:eastAsia="Times New Roman" w:hAnsi="Calibri Light" w:cs="Calibri Light"/>
                <w:color w:val="000000"/>
                <w:sz w:val="20"/>
                <w:szCs w:val="20"/>
                <w:lang w:eastAsia="en-GB"/>
              </w:rPr>
              <w:t>This includes the following interconnections: for gas includes the following interconnections may be considered as stemming from PLIMA and relevant to gas interconnections: Gas_10 (TRA-N-70) Interconnector Serbia-Croatia, Gas_11 (TRA-N-965) Interconnector Serbia-North Macedonia, G08 Serbia-Romania (not included in ENTSOG TYNDP 2020, TRA-N-1268 in TYNDP 2018) and Gastrans</w:t>
            </w:r>
            <w:bookmarkEnd w:id="174"/>
            <w:r w:rsidR="002636E0">
              <w:rPr>
                <w:rFonts w:ascii="Calibri Light" w:eastAsia="Times New Roman" w:hAnsi="Calibri Light" w:cs="Calibri Light"/>
                <w:color w:val="000000"/>
                <w:sz w:val="20"/>
                <w:szCs w:val="20"/>
                <w:lang w:eastAsia="en-GB"/>
              </w:rPr>
              <w:t>.</w:t>
            </w:r>
          </w:p>
        </w:tc>
      </w:tr>
      <w:tr w:rsidR="004B0D7C" w:rsidRPr="00A33AE8" w14:paraId="05E65BEB" w14:textId="77777777" w:rsidTr="004B0D7C">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3EDA8E0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34" w:type="dxa"/>
            <w:gridSpan w:val="3"/>
            <w:tcBorders>
              <w:top w:val="single" w:sz="8" w:space="0" w:color="auto"/>
              <w:left w:val="nil"/>
              <w:bottom w:val="single" w:sz="8" w:space="0" w:color="auto"/>
              <w:right w:val="single" w:sz="8" w:space="0" w:color="000000"/>
            </w:tcBorders>
            <w:vAlign w:val="center"/>
            <w:hideMark/>
          </w:tcPr>
          <w:p w14:paraId="6186A7F5"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2026-2030</w:t>
            </w:r>
          </w:p>
        </w:tc>
      </w:tr>
      <w:tr w:rsidR="004B0D7C" w:rsidRPr="00A33AE8" w14:paraId="490B3DAD" w14:textId="77777777" w:rsidTr="004B0D7C">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7160E7C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34" w:type="dxa"/>
            <w:gridSpan w:val="3"/>
            <w:tcBorders>
              <w:top w:val="single" w:sz="8" w:space="0" w:color="auto"/>
              <w:left w:val="nil"/>
              <w:bottom w:val="single" w:sz="8" w:space="0" w:color="auto"/>
              <w:right w:val="single" w:sz="8" w:space="0" w:color="000000"/>
            </w:tcBorders>
            <w:vAlign w:val="center"/>
            <w:hideMark/>
          </w:tcPr>
          <w:p w14:paraId="2DA90AAC" w14:textId="77777777" w:rsidR="004B0D7C" w:rsidRPr="00A33AE8" w:rsidRDefault="00B03413"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5123F2A6" w14:textId="77777777" w:rsidTr="004B0D7C">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4F4A03D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34" w:type="dxa"/>
            <w:gridSpan w:val="3"/>
            <w:tcBorders>
              <w:top w:val="single" w:sz="8" w:space="0" w:color="auto"/>
              <w:left w:val="nil"/>
              <w:bottom w:val="single" w:sz="8" w:space="0" w:color="auto"/>
              <w:right w:val="single" w:sz="8" w:space="0" w:color="000000"/>
            </w:tcBorders>
            <w:vAlign w:val="center"/>
            <w:hideMark/>
          </w:tcPr>
          <w:p w14:paraId="658241D2"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4B0D7C" w:rsidRPr="00A33AE8" w14:paraId="3DE868C6" w14:textId="77777777" w:rsidTr="004B0D7C">
        <w:trPr>
          <w:gridAfter w:val="1"/>
          <w:wAfter w:w="1212" w:type="dxa"/>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6B20B09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34" w:type="dxa"/>
            <w:gridSpan w:val="3"/>
            <w:tcBorders>
              <w:top w:val="single" w:sz="8" w:space="0" w:color="auto"/>
              <w:left w:val="nil"/>
              <w:bottom w:val="single" w:sz="8" w:space="0" w:color="auto"/>
              <w:right w:val="single" w:sz="8" w:space="0" w:color="000000"/>
            </w:tcBorders>
            <w:vAlign w:val="center"/>
            <w:hideMark/>
          </w:tcPr>
          <w:p w14:paraId="60231BA5" w14:textId="77777777" w:rsidR="004B0D7C" w:rsidRPr="00A33AE8" w:rsidRDefault="004B0D7C"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Transportgas</w:t>
            </w:r>
          </w:p>
        </w:tc>
      </w:tr>
      <w:tr w:rsidR="004B0D7C" w:rsidRPr="00A33AE8" w14:paraId="302E1A01" w14:textId="77777777" w:rsidTr="004B0D7C">
        <w:trPr>
          <w:gridAfter w:val="1"/>
          <w:wAfter w:w="1212" w:type="dxa"/>
          <w:trHeight w:val="315"/>
        </w:trPr>
        <w:tc>
          <w:tcPr>
            <w:tcW w:w="3254" w:type="dxa"/>
            <w:tcBorders>
              <w:top w:val="nil"/>
              <w:left w:val="single" w:sz="8" w:space="0" w:color="auto"/>
              <w:bottom w:val="single" w:sz="8" w:space="0" w:color="auto"/>
              <w:right w:val="nil"/>
            </w:tcBorders>
            <w:shd w:val="clear" w:color="auto" w:fill="244062"/>
            <w:vAlign w:val="center"/>
            <w:hideMark/>
          </w:tcPr>
          <w:p w14:paraId="180859F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34" w:type="dxa"/>
            <w:gridSpan w:val="3"/>
            <w:tcBorders>
              <w:top w:val="single" w:sz="8" w:space="0" w:color="auto"/>
              <w:left w:val="nil"/>
              <w:bottom w:val="single" w:sz="8" w:space="0" w:color="auto"/>
              <w:right w:val="single" w:sz="8" w:space="0" w:color="000000"/>
            </w:tcBorders>
            <w:vAlign w:val="center"/>
            <w:hideMark/>
          </w:tcPr>
          <w:p w14:paraId="1370DB29"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6B9479BA" w14:textId="77777777" w:rsidR="00DF5835" w:rsidRPr="00A33AE8" w:rsidRDefault="00081D7A"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Ministy of Construction, Transport and Infrastructure</w:t>
            </w:r>
          </w:p>
          <w:p w14:paraId="3A0EB980"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61EF30C0" w14:textId="77777777" w:rsidR="004B0D7C" w:rsidRPr="000007D2"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7B260DBB" w14:textId="77777777" w:rsidTr="004B0D7C">
        <w:trPr>
          <w:gridAfter w:val="1"/>
          <w:wAfter w:w="1212" w:type="dxa"/>
          <w:trHeight w:val="315"/>
        </w:trPr>
        <w:tc>
          <w:tcPr>
            <w:tcW w:w="3254" w:type="dxa"/>
            <w:tcBorders>
              <w:top w:val="nil"/>
              <w:left w:val="single" w:sz="8" w:space="0" w:color="auto"/>
              <w:bottom w:val="single" w:sz="8" w:space="0" w:color="auto"/>
              <w:right w:val="nil"/>
            </w:tcBorders>
            <w:shd w:val="clear" w:color="auto" w:fill="244062"/>
            <w:vAlign w:val="center"/>
            <w:hideMark/>
          </w:tcPr>
          <w:p w14:paraId="73A8738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34" w:type="dxa"/>
            <w:gridSpan w:val="3"/>
            <w:tcBorders>
              <w:top w:val="single" w:sz="8" w:space="0" w:color="auto"/>
              <w:left w:val="nil"/>
              <w:bottom w:val="single" w:sz="8" w:space="0" w:color="auto"/>
              <w:right w:val="single" w:sz="8" w:space="0" w:color="000000"/>
            </w:tcBorders>
            <w:vAlign w:val="center"/>
            <w:hideMark/>
          </w:tcPr>
          <w:p w14:paraId="2065C43D"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1D19A5C2" w14:textId="77777777" w:rsidTr="004B0D7C">
        <w:trPr>
          <w:gridAfter w:val="1"/>
          <w:wAfter w:w="1212" w:type="dxa"/>
          <w:trHeight w:val="668"/>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7DE9BA43"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34" w:type="dxa"/>
            <w:gridSpan w:val="3"/>
            <w:tcBorders>
              <w:top w:val="single" w:sz="8" w:space="0" w:color="auto"/>
              <w:left w:val="nil"/>
              <w:bottom w:val="single" w:sz="8" w:space="0" w:color="auto"/>
              <w:right w:val="single" w:sz="8" w:space="0" w:color="000000"/>
            </w:tcBorders>
            <w:vAlign w:val="center"/>
            <w:hideMark/>
          </w:tcPr>
          <w:p w14:paraId="0A9B9BF2" w14:textId="77777777" w:rsidR="00A0226E" w:rsidRPr="00A33AE8" w:rsidRDefault="00A0226E"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p w14:paraId="0EBA5348" w14:textId="77777777" w:rsidR="00A0226E" w:rsidRPr="00A33AE8" w:rsidRDefault="00A0226E"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p>
        </w:tc>
      </w:tr>
      <w:tr w:rsidR="004B0D7C" w:rsidRPr="00A33AE8" w14:paraId="6B4AB5CE" w14:textId="77777777" w:rsidTr="004B0D7C">
        <w:trPr>
          <w:gridAfter w:val="1"/>
          <w:wAfter w:w="1212" w:type="dxa"/>
          <w:trHeight w:val="450"/>
        </w:trPr>
        <w:tc>
          <w:tcPr>
            <w:tcW w:w="3254" w:type="dxa"/>
            <w:vMerge w:val="restart"/>
            <w:tcBorders>
              <w:top w:val="nil"/>
              <w:left w:val="single" w:sz="8" w:space="0" w:color="auto"/>
              <w:bottom w:val="single" w:sz="8" w:space="0" w:color="000000"/>
              <w:right w:val="single" w:sz="8" w:space="0" w:color="auto"/>
            </w:tcBorders>
            <w:shd w:val="clear" w:color="auto" w:fill="244062"/>
            <w:vAlign w:val="center"/>
            <w:hideMark/>
          </w:tcPr>
          <w:p w14:paraId="7BF8CA9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3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12809E6F" w14:textId="77777777" w:rsidR="004B0D7C" w:rsidRPr="00A33AE8" w:rsidRDefault="004B0D7C"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2013/347</w:t>
            </w:r>
          </w:p>
        </w:tc>
      </w:tr>
      <w:tr w:rsidR="004B0D7C" w:rsidRPr="00A33AE8" w14:paraId="2C50A253"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2D837E"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34" w:type="dxa"/>
            <w:gridSpan w:val="3"/>
            <w:vMerge/>
            <w:tcBorders>
              <w:top w:val="single" w:sz="8" w:space="0" w:color="auto"/>
              <w:left w:val="single" w:sz="8" w:space="0" w:color="auto"/>
              <w:bottom w:val="single" w:sz="8" w:space="0" w:color="000000"/>
              <w:right w:val="single" w:sz="8" w:space="0" w:color="000000"/>
            </w:tcBorders>
            <w:vAlign w:val="center"/>
            <w:hideMark/>
          </w:tcPr>
          <w:p w14:paraId="691A42BA" w14:textId="77777777" w:rsidR="004B0D7C" w:rsidRPr="00A33AE8" w:rsidRDefault="004B0D7C" w:rsidP="00884F3B">
            <w:pPr>
              <w:pStyle w:val="ListParagraph"/>
              <w:numPr>
                <w:ilvl w:val="0"/>
                <w:numId w:val="54"/>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F7EBE20" w14:textId="77777777" w:rsidR="004B0D7C" w:rsidRPr="00A33AE8" w:rsidRDefault="004B0D7C" w:rsidP="004B0D7C"/>
        </w:tc>
      </w:tr>
      <w:tr w:rsidR="004B0D7C" w:rsidRPr="00A33AE8" w14:paraId="6CE688D5" w14:textId="77777777" w:rsidTr="004B0D7C">
        <w:trPr>
          <w:trHeight w:val="60"/>
        </w:trPr>
        <w:tc>
          <w:tcPr>
            <w:tcW w:w="0" w:type="auto"/>
            <w:vMerge/>
            <w:tcBorders>
              <w:top w:val="nil"/>
              <w:left w:val="single" w:sz="8" w:space="0" w:color="auto"/>
              <w:bottom w:val="single" w:sz="8" w:space="0" w:color="000000"/>
              <w:right w:val="single" w:sz="8" w:space="0" w:color="auto"/>
            </w:tcBorders>
            <w:vAlign w:val="center"/>
            <w:hideMark/>
          </w:tcPr>
          <w:p w14:paraId="2C7015AE"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34" w:type="dxa"/>
            <w:gridSpan w:val="3"/>
            <w:vMerge/>
            <w:tcBorders>
              <w:top w:val="single" w:sz="8" w:space="0" w:color="auto"/>
              <w:left w:val="single" w:sz="8" w:space="0" w:color="auto"/>
              <w:bottom w:val="single" w:sz="8" w:space="0" w:color="000000"/>
              <w:right w:val="single" w:sz="8" w:space="0" w:color="000000"/>
            </w:tcBorders>
            <w:vAlign w:val="center"/>
            <w:hideMark/>
          </w:tcPr>
          <w:p w14:paraId="62FC91A5" w14:textId="77777777" w:rsidR="004B0D7C" w:rsidRPr="00A33AE8" w:rsidRDefault="004B0D7C" w:rsidP="00884F3B">
            <w:pPr>
              <w:pStyle w:val="ListParagraph"/>
              <w:numPr>
                <w:ilvl w:val="0"/>
                <w:numId w:val="54"/>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0E6C5431" w14:textId="77777777" w:rsidR="004B0D7C" w:rsidRPr="00A33AE8" w:rsidRDefault="004B0D7C" w:rsidP="004B0D7C">
            <w:pPr>
              <w:spacing w:after="0" w:line="256" w:lineRule="auto"/>
              <w:rPr>
                <w:sz w:val="20"/>
                <w:szCs w:val="20"/>
                <w:lang w:eastAsia="en-GB"/>
              </w:rPr>
            </w:pPr>
          </w:p>
        </w:tc>
      </w:tr>
      <w:tr w:rsidR="004B0D7C" w:rsidRPr="00A33AE8" w14:paraId="468C7EEE" w14:textId="77777777" w:rsidTr="004B0D7C">
        <w:trPr>
          <w:trHeight w:val="780"/>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631C339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34" w:type="dxa"/>
            <w:gridSpan w:val="3"/>
            <w:tcBorders>
              <w:top w:val="single" w:sz="8" w:space="0" w:color="auto"/>
              <w:left w:val="nil"/>
              <w:bottom w:val="single" w:sz="8" w:space="0" w:color="auto"/>
              <w:right w:val="single" w:sz="8" w:space="0" w:color="000000"/>
            </w:tcBorders>
            <w:vAlign w:val="center"/>
            <w:hideMark/>
          </w:tcPr>
          <w:p w14:paraId="4BF3E406" w14:textId="77777777" w:rsidR="004B0D7C" w:rsidRPr="00A33AE8" w:rsidRDefault="004B0D7C"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tc>
        <w:tc>
          <w:tcPr>
            <w:tcW w:w="1212" w:type="dxa"/>
            <w:vAlign w:val="center"/>
            <w:hideMark/>
          </w:tcPr>
          <w:p w14:paraId="667F8E8C" w14:textId="77777777" w:rsidR="004B0D7C" w:rsidRPr="00A33AE8" w:rsidRDefault="004B0D7C" w:rsidP="004B0D7C">
            <w:pPr>
              <w:rPr>
                <w:rFonts w:ascii="Calibri Light" w:eastAsia="Times New Roman" w:hAnsi="Calibri Light" w:cs="Calibri Light"/>
                <w:color w:val="000000"/>
                <w:sz w:val="20"/>
                <w:szCs w:val="20"/>
                <w:lang w:eastAsia="en-GB"/>
              </w:rPr>
            </w:pPr>
          </w:p>
        </w:tc>
      </w:tr>
      <w:tr w:rsidR="004B0D7C" w:rsidRPr="00A33AE8" w14:paraId="2D689577" w14:textId="77777777" w:rsidTr="004B0D7C">
        <w:trPr>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16EE43C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34" w:type="dxa"/>
            <w:gridSpan w:val="3"/>
            <w:tcBorders>
              <w:top w:val="single" w:sz="8" w:space="0" w:color="auto"/>
              <w:left w:val="nil"/>
              <w:bottom w:val="single" w:sz="8" w:space="0" w:color="auto"/>
              <w:right w:val="single" w:sz="8" w:space="0" w:color="000000"/>
            </w:tcBorders>
            <w:vAlign w:val="center"/>
            <w:hideMark/>
          </w:tcPr>
          <w:p w14:paraId="4DAB28E5"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224 M</w:t>
            </w:r>
            <w:r w:rsidRPr="00A33AE8">
              <w:rPr>
                <w:rFonts w:ascii="Calibri" w:eastAsia="Times New Roman" w:hAnsi="Calibri" w:cs="Calibri"/>
                <w:color w:val="000000"/>
                <w:sz w:val="20"/>
                <w:szCs w:val="20"/>
                <w:lang w:eastAsia="en-GB"/>
              </w:rPr>
              <w:t>€</w:t>
            </w:r>
          </w:p>
        </w:tc>
        <w:tc>
          <w:tcPr>
            <w:tcW w:w="1212" w:type="dxa"/>
            <w:vAlign w:val="center"/>
            <w:hideMark/>
          </w:tcPr>
          <w:p w14:paraId="3A4CBFD8" w14:textId="77777777" w:rsidR="004B0D7C" w:rsidRPr="00A33AE8" w:rsidRDefault="004B0D7C" w:rsidP="004B0D7C">
            <w:pPr>
              <w:rPr>
                <w:rFonts w:ascii="Calibri" w:eastAsia="Times New Roman" w:hAnsi="Calibri" w:cs="Calibri"/>
                <w:color w:val="000000"/>
                <w:lang w:eastAsia="en-GB"/>
              </w:rPr>
            </w:pPr>
          </w:p>
        </w:tc>
      </w:tr>
      <w:tr w:rsidR="00B92935" w:rsidRPr="00A33AE8" w14:paraId="3D96446A" w14:textId="77777777" w:rsidTr="004B0D7C">
        <w:trPr>
          <w:trHeight w:val="315"/>
        </w:trPr>
        <w:tc>
          <w:tcPr>
            <w:tcW w:w="3254" w:type="dxa"/>
            <w:tcBorders>
              <w:top w:val="nil"/>
              <w:left w:val="single" w:sz="8" w:space="0" w:color="auto"/>
              <w:bottom w:val="single" w:sz="8" w:space="0" w:color="auto"/>
              <w:right w:val="single" w:sz="8" w:space="0" w:color="auto"/>
            </w:tcBorders>
            <w:shd w:val="clear" w:color="auto" w:fill="244062"/>
            <w:vAlign w:val="center"/>
            <w:hideMark/>
          </w:tcPr>
          <w:p w14:paraId="203AC176"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34" w:type="dxa"/>
            <w:gridSpan w:val="3"/>
            <w:tcBorders>
              <w:top w:val="single" w:sz="8" w:space="0" w:color="auto"/>
              <w:left w:val="nil"/>
              <w:bottom w:val="single" w:sz="8" w:space="0" w:color="auto"/>
              <w:right w:val="single" w:sz="8" w:space="0" w:color="000000"/>
            </w:tcBorders>
            <w:vAlign w:val="center"/>
            <w:hideMark/>
          </w:tcPr>
          <w:p w14:paraId="091C8D6F" w14:textId="77777777" w:rsidR="00B92935" w:rsidRPr="00A33AE8" w:rsidRDefault="00B92935" w:rsidP="00B92935">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276A8C54" w14:textId="77777777" w:rsidR="00B92935" w:rsidRPr="00A33AE8" w:rsidRDefault="00B92935" w:rsidP="00B92935">
            <w:pPr>
              <w:rPr>
                <w:rFonts w:ascii="Calibri" w:eastAsia="Times New Roman" w:hAnsi="Calibri" w:cs="Calibri"/>
                <w:color w:val="000000"/>
                <w:lang w:eastAsia="en-GB"/>
              </w:rPr>
            </w:pPr>
          </w:p>
        </w:tc>
      </w:tr>
    </w:tbl>
    <w:p w14:paraId="3CF2D6EA"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08"/>
        <w:gridCol w:w="1358"/>
        <w:gridCol w:w="919"/>
        <w:gridCol w:w="4003"/>
        <w:gridCol w:w="1212"/>
      </w:tblGrid>
      <w:tr w:rsidR="00690C0D" w:rsidRPr="00A33AE8" w14:paraId="74D6EC05" w14:textId="77777777" w:rsidTr="004B0D7C">
        <w:trPr>
          <w:gridAfter w:val="1"/>
          <w:wAfter w:w="1212" w:type="dxa"/>
          <w:trHeight w:val="780"/>
        </w:trPr>
        <w:tc>
          <w:tcPr>
            <w:tcW w:w="320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B2B9BE2"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630814E0" w14:textId="77777777" w:rsidR="00690C0D" w:rsidRPr="00A33AE8" w:rsidRDefault="00690C0D" w:rsidP="00FF03F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PM_IEM</w:t>
            </w:r>
            <w:r w:rsidR="005D69C8" w:rsidRPr="00A33AE8">
              <w:rPr>
                <w:rFonts w:ascii="Calibri Light" w:eastAsia="Times New Roman" w:hAnsi="Calibri Light" w:cs="Calibri Light"/>
                <w:b/>
                <w:bCs/>
                <w:color w:val="000000"/>
                <w:sz w:val="20"/>
                <w:szCs w:val="20"/>
                <w:lang w:eastAsia="en-GB"/>
              </w:rPr>
              <w:t>8</w:t>
            </w:r>
            <w:r w:rsidRPr="00A33AE8">
              <w:rPr>
                <w:rFonts w:ascii="Calibri Light" w:eastAsia="Times New Roman" w:hAnsi="Calibri Light" w:cs="Calibri Light"/>
                <w:b/>
                <w:bCs/>
                <w:color w:val="000000"/>
                <w:sz w:val="20"/>
                <w:szCs w:val="20"/>
                <w:lang w:eastAsia="en-GB"/>
              </w:rPr>
              <w:t>.2</w:t>
            </w:r>
          </w:p>
        </w:tc>
        <w:tc>
          <w:tcPr>
            <w:tcW w:w="919" w:type="dxa"/>
            <w:tcBorders>
              <w:top w:val="single" w:sz="8" w:space="0" w:color="auto"/>
              <w:left w:val="nil"/>
              <w:bottom w:val="single" w:sz="8" w:space="0" w:color="auto"/>
              <w:right w:val="single" w:sz="8" w:space="0" w:color="auto"/>
            </w:tcBorders>
            <w:shd w:val="clear" w:color="auto" w:fill="244062"/>
            <w:vAlign w:val="center"/>
            <w:hideMark/>
          </w:tcPr>
          <w:p w14:paraId="4815C52B"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03" w:type="dxa"/>
            <w:tcBorders>
              <w:top w:val="single" w:sz="8" w:space="0" w:color="auto"/>
              <w:left w:val="nil"/>
              <w:bottom w:val="single" w:sz="8" w:space="0" w:color="auto"/>
              <w:right w:val="single" w:sz="8" w:space="0" w:color="auto"/>
            </w:tcBorders>
            <w:shd w:val="clear" w:color="auto" w:fill="E7E6E6" w:themeFill="background2"/>
            <w:vAlign w:val="center"/>
            <w:hideMark/>
          </w:tcPr>
          <w:p w14:paraId="0639DCC4" w14:textId="77777777" w:rsidR="00690C0D" w:rsidRPr="00A33AE8" w:rsidRDefault="00690C0D" w:rsidP="00FF03FA">
            <w:pPr>
              <w:spacing w:after="0" w:line="240" w:lineRule="auto"/>
              <w:jc w:val="both"/>
              <w:rPr>
                <w:rFonts w:ascii="Calibri Light" w:eastAsia="Times New Roman" w:hAnsi="Calibri Light" w:cs="Calibri Light"/>
                <w:b/>
                <w:bCs/>
                <w:color w:val="000000"/>
                <w:sz w:val="20"/>
                <w:szCs w:val="20"/>
                <w:lang w:eastAsia="en-GB"/>
              </w:rPr>
            </w:pPr>
            <w:bookmarkStart w:id="175" w:name="_Hlk113476554"/>
            <w:r w:rsidRPr="00A33AE8">
              <w:rPr>
                <w:rFonts w:ascii="Calibri Light" w:eastAsia="Times New Roman" w:hAnsi="Calibri Light" w:cs="Calibri Light"/>
                <w:b/>
                <w:bCs/>
                <w:color w:val="000000"/>
                <w:sz w:val="20"/>
                <w:szCs w:val="20"/>
                <w:lang w:eastAsia="en-GB"/>
              </w:rPr>
              <w:t>Project for Serbia-Romania gas interconnection 85.5 km (out of which 12.8 km is on the territory of the Republic of Serbia), with a capacity of 1.2 billion m3/year</w:t>
            </w:r>
            <w:bookmarkEnd w:id="175"/>
          </w:p>
        </w:tc>
      </w:tr>
      <w:tr w:rsidR="004B0D7C" w:rsidRPr="00A33AE8" w14:paraId="718B0274" w14:textId="77777777" w:rsidTr="004B0D7C">
        <w:trPr>
          <w:gridAfter w:val="1"/>
          <w:wAfter w:w="1212" w:type="dxa"/>
          <w:trHeight w:val="576"/>
        </w:trPr>
        <w:tc>
          <w:tcPr>
            <w:tcW w:w="3208" w:type="dxa"/>
            <w:tcBorders>
              <w:top w:val="nil"/>
              <w:left w:val="single" w:sz="8" w:space="0" w:color="auto"/>
              <w:bottom w:val="single" w:sz="8" w:space="0" w:color="auto"/>
              <w:right w:val="nil"/>
            </w:tcBorders>
            <w:shd w:val="clear" w:color="auto" w:fill="244062"/>
            <w:vAlign w:val="center"/>
            <w:hideMark/>
          </w:tcPr>
          <w:p w14:paraId="74296B1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80" w:type="dxa"/>
            <w:gridSpan w:val="3"/>
            <w:tcBorders>
              <w:top w:val="single" w:sz="8" w:space="0" w:color="auto"/>
              <w:left w:val="nil"/>
              <w:bottom w:val="single" w:sz="8" w:space="0" w:color="auto"/>
              <w:right w:val="single" w:sz="8" w:space="0" w:color="000000"/>
            </w:tcBorders>
            <w:vAlign w:val="center"/>
          </w:tcPr>
          <w:p w14:paraId="73FDFACA"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7D2CD22F"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CEA0BB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80" w:type="dxa"/>
            <w:gridSpan w:val="3"/>
            <w:tcBorders>
              <w:top w:val="single" w:sz="8" w:space="0" w:color="auto"/>
              <w:left w:val="nil"/>
              <w:bottom w:val="single" w:sz="8" w:space="0" w:color="auto"/>
              <w:right w:val="single" w:sz="8" w:space="0" w:color="000000"/>
            </w:tcBorders>
            <w:vAlign w:val="center"/>
          </w:tcPr>
          <w:p w14:paraId="39D00A6D" w14:textId="77777777" w:rsidR="004B0D7C" w:rsidRPr="00A33AE8" w:rsidRDefault="004B0D7C" w:rsidP="004B0D7C">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Increased interconnection capacity</w:t>
            </w:r>
          </w:p>
        </w:tc>
      </w:tr>
      <w:tr w:rsidR="004B0D7C" w:rsidRPr="00A33AE8" w14:paraId="4BF7F4D1" w14:textId="77777777" w:rsidTr="004B0D7C">
        <w:trPr>
          <w:gridAfter w:val="1"/>
          <w:wAfter w:w="1212" w:type="dxa"/>
          <w:trHeight w:val="774"/>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3B884611"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80" w:type="dxa"/>
            <w:gridSpan w:val="3"/>
            <w:tcBorders>
              <w:top w:val="single" w:sz="8" w:space="0" w:color="auto"/>
              <w:left w:val="nil"/>
              <w:bottom w:val="single" w:sz="8" w:space="0" w:color="auto"/>
              <w:right w:val="single" w:sz="8" w:space="0" w:color="000000"/>
            </w:tcBorders>
            <w:vAlign w:val="center"/>
            <w:hideMark/>
          </w:tcPr>
          <w:p w14:paraId="75F4D0B7" w14:textId="1CA3240B"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As descried in the policy measure. This for G08 Serbia-Romania proposed project in the PLIMA Database (not included in ENTSOG TYNDP 2020, TRA-N-1268 in TYNDP 2018)</w:t>
            </w:r>
            <w:r w:rsidR="002636E0">
              <w:rPr>
                <w:rFonts w:ascii="Calibri Light" w:eastAsia="Times New Roman" w:hAnsi="Calibri Light" w:cs="Calibri Light"/>
                <w:color w:val="000000"/>
                <w:sz w:val="20"/>
                <w:szCs w:val="20"/>
                <w:lang w:eastAsia="en-GB"/>
              </w:rPr>
              <w:t>.</w:t>
            </w:r>
          </w:p>
        </w:tc>
      </w:tr>
      <w:tr w:rsidR="004B0D7C" w:rsidRPr="00A33AE8" w14:paraId="09EAD184"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0277C4F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80" w:type="dxa"/>
            <w:gridSpan w:val="3"/>
            <w:tcBorders>
              <w:top w:val="single" w:sz="8" w:space="0" w:color="auto"/>
              <w:left w:val="nil"/>
              <w:bottom w:val="single" w:sz="8" w:space="0" w:color="auto"/>
              <w:right w:val="single" w:sz="8" w:space="0" w:color="000000"/>
            </w:tcBorders>
            <w:vAlign w:val="center"/>
            <w:hideMark/>
          </w:tcPr>
          <w:p w14:paraId="47CC767F"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2026-2030</w:t>
            </w:r>
          </w:p>
        </w:tc>
      </w:tr>
      <w:tr w:rsidR="004B0D7C" w:rsidRPr="00A33AE8" w14:paraId="22FE975E"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074643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80" w:type="dxa"/>
            <w:gridSpan w:val="3"/>
            <w:tcBorders>
              <w:top w:val="single" w:sz="8" w:space="0" w:color="auto"/>
              <w:left w:val="nil"/>
              <w:bottom w:val="single" w:sz="8" w:space="0" w:color="auto"/>
              <w:right w:val="single" w:sz="8" w:space="0" w:color="000000"/>
            </w:tcBorders>
            <w:vAlign w:val="center"/>
            <w:hideMark/>
          </w:tcPr>
          <w:p w14:paraId="5C361CE0" w14:textId="77777777" w:rsidR="004B0D7C" w:rsidRPr="00A33AE8" w:rsidRDefault="00B03413"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2836C815"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C01AA6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80" w:type="dxa"/>
            <w:gridSpan w:val="3"/>
            <w:tcBorders>
              <w:top w:val="single" w:sz="8" w:space="0" w:color="auto"/>
              <w:left w:val="nil"/>
              <w:bottom w:val="single" w:sz="8" w:space="0" w:color="auto"/>
              <w:right w:val="single" w:sz="8" w:space="0" w:color="000000"/>
            </w:tcBorders>
            <w:vAlign w:val="center"/>
            <w:hideMark/>
          </w:tcPr>
          <w:p w14:paraId="06F2B5D8"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4B0D7C" w:rsidRPr="00A33AE8" w14:paraId="4B48FCED"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8A6925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0948DCBD" w14:textId="77777777" w:rsidR="004B0D7C" w:rsidRPr="00A33AE8" w:rsidRDefault="004B0D7C" w:rsidP="00884F3B">
            <w:pPr>
              <w:pStyle w:val="ListParagraph"/>
              <w:numPr>
                <w:ilvl w:val="0"/>
                <w:numId w:val="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Transportgas</w:t>
            </w:r>
          </w:p>
        </w:tc>
      </w:tr>
      <w:tr w:rsidR="004B0D7C" w:rsidRPr="00A33AE8" w14:paraId="368A33E8"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4A1BE7C3"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2B97119D"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5D8B6B7B" w14:textId="77777777" w:rsidR="00DF5835" w:rsidRPr="00A33AE8" w:rsidRDefault="00081D7A"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Ministy of Construction, Transport and Infrastructure</w:t>
            </w:r>
          </w:p>
          <w:p w14:paraId="48A73768"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520575EF" w14:textId="77777777" w:rsidR="004B0D7C" w:rsidRPr="000007D2"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38E55C4D"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6EF61C3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80" w:type="dxa"/>
            <w:gridSpan w:val="3"/>
            <w:tcBorders>
              <w:top w:val="single" w:sz="8" w:space="0" w:color="auto"/>
              <w:left w:val="nil"/>
              <w:bottom w:val="single" w:sz="8" w:space="0" w:color="auto"/>
              <w:right w:val="single" w:sz="8" w:space="0" w:color="000000"/>
            </w:tcBorders>
            <w:vAlign w:val="center"/>
            <w:hideMark/>
          </w:tcPr>
          <w:p w14:paraId="72A4D752" w14:textId="77777777" w:rsidR="004B0D7C" w:rsidRPr="00A33AE8" w:rsidRDefault="004B0D7C" w:rsidP="005068B2">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5068AD77" w14:textId="77777777" w:rsidTr="00BD43DF">
        <w:trPr>
          <w:gridAfter w:val="1"/>
          <w:wAfter w:w="1212" w:type="dxa"/>
          <w:trHeight w:val="659"/>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212C505"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80" w:type="dxa"/>
            <w:gridSpan w:val="3"/>
            <w:tcBorders>
              <w:top w:val="single" w:sz="8" w:space="0" w:color="auto"/>
              <w:left w:val="nil"/>
              <w:bottom w:val="single" w:sz="8" w:space="0" w:color="auto"/>
              <w:right w:val="single" w:sz="8" w:space="0" w:color="000000"/>
            </w:tcBorders>
            <w:vAlign w:val="center"/>
            <w:hideMark/>
          </w:tcPr>
          <w:p w14:paraId="351D42DC" w14:textId="77777777" w:rsidR="00A0226E" w:rsidRPr="00A33AE8" w:rsidRDefault="00A0226E" w:rsidP="00884F3B">
            <w:pPr>
              <w:pStyle w:val="ListParagraph"/>
              <w:numPr>
                <w:ilvl w:val="0"/>
                <w:numId w:val="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p w14:paraId="3E9AB6EE" w14:textId="77777777" w:rsidR="00A0226E" w:rsidRPr="00A33AE8" w:rsidRDefault="00A0226E" w:rsidP="00884F3B">
            <w:pPr>
              <w:pStyle w:val="ListParagraph"/>
              <w:numPr>
                <w:ilvl w:val="0"/>
                <w:numId w:val="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p>
        </w:tc>
      </w:tr>
      <w:tr w:rsidR="004B0D7C" w:rsidRPr="00A33AE8" w14:paraId="62CB249D" w14:textId="77777777" w:rsidTr="004B0D7C">
        <w:trPr>
          <w:gridAfter w:val="1"/>
          <w:wAfter w:w="1212" w:type="dxa"/>
          <w:trHeight w:val="450"/>
        </w:trPr>
        <w:tc>
          <w:tcPr>
            <w:tcW w:w="3208" w:type="dxa"/>
            <w:vMerge w:val="restart"/>
            <w:tcBorders>
              <w:top w:val="nil"/>
              <w:left w:val="single" w:sz="8" w:space="0" w:color="auto"/>
              <w:bottom w:val="single" w:sz="8" w:space="0" w:color="000000"/>
              <w:right w:val="single" w:sz="8" w:space="0" w:color="auto"/>
            </w:tcBorders>
            <w:shd w:val="clear" w:color="auto" w:fill="244062"/>
            <w:vAlign w:val="center"/>
            <w:hideMark/>
          </w:tcPr>
          <w:p w14:paraId="5AD3826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28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7F3D7609" w14:textId="77777777" w:rsidR="004B0D7C" w:rsidRPr="00A33AE8" w:rsidRDefault="004B0D7C" w:rsidP="00884F3B">
            <w:pPr>
              <w:pStyle w:val="ListParagraph"/>
              <w:numPr>
                <w:ilvl w:val="0"/>
                <w:numId w:val="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2009/73/EC</w:t>
            </w:r>
          </w:p>
          <w:p w14:paraId="73E63D50" w14:textId="77777777" w:rsidR="004B0D7C" w:rsidRPr="00A33AE8" w:rsidRDefault="004B0D7C" w:rsidP="00884F3B">
            <w:pPr>
              <w:pStyle w:val="ListParagraph"/>
              <w:numPr>
                <w:ilvl w:val="0"/>
                <w:numId w:val="54"/>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Regulation (EU) No 347/2013 </w:t>
            </w:r>
          </w:p>
        </w:tc>
      </w:tr>
      <w:tr w:rsidR="004B0D7C" w:rsidRPr="00A33AE8" w14:paraId="408DB64C"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48934C"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4947928A" w14:textId="77777777" w:rsidR="004B0D7C" w:rsidRPr="00A33AE8" w:rsidRDefault="004B0D7C" w:rsidP="004B0D7C">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59CDA05B" w14:textId="77777777" w:rsidR="004B0D7C" w:rsidRPr="00A33AE8" w:rsidRDefault="004B0D7C" w:rsidP="004B0D7C"/>
        </w:tc>
      </w:tr>
      <w:tr w:rsidR="004B0D7C" w:rsidRPr="00A33AE8" w14:paraId="34CF2290" w14:textId="77777777" w:rsidTr="00BD43DF">
        <w:trPr>
          <w:trHeight w:val="60"/>
        </w:trPr>
        <w:tc>
          <w:tcPr>
            <w:tcW w:w="0" w:type="auto"/>
            <w:vMerge/>
            <w:tcBorders>
              <w:top w:val="nil"/>
              <w:left w:val="single" w:sz="8" w:space="0" w:color="auto"/>
              <w:bottom w:val="single" w:sz="8" w:space="0" w:color="000000"/>
              <w:right w:val="single" w:sz="8" w:space="0" w:color="auto"/>
            </w:tcBorders>
            <w:vAlign w:val="center"/>
            <w:hideMark/>
          </w:tcPr>
          <w:p w14:paraId="17976963"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26B2C465" w14:textId="77777777" w:rsidR="004B0D7C" w:rsidRPr="00A33AE8" w:rsidRDefault="004B0D7C" w:rsidP="004B0D7C">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332530D5" w14:textId="77777777" w:rsidR="004B0D7C" w:rsidRPr="00A33AE8" w:rsidRDefault="004B0D7C" w:rsidP="004B0D7C">
            <w:pPr>
              <w:spacing w:after="0" w:line="256" w:lineRule="auto"/>
              <w:rPr>
                <w:sz w:val="20"/>
                <w:szCs w:val="20"/>
                <w:lang w:eastAsia="en-GB"/>
              </w:rPr>
            </w:pPr>
          </w:p>
        </w:tc>
      </w:tr>
      <w:tr w:rsidR="004B0D7C" w:rsidRPr="00A33AE8" w14:paraId="2C76CE8A" w14:textId="77777777" w:rsidTr="004B0D7C">
        <w:trPr>
          <w:trHeight w:val="780"/>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096DB73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80" w:type="dxa"/>
            <w:gridSpan w:val="3"/>
            <w:tcBorders>
              <w:top w:val="single" w:sz="8" w:space="0" w:color="auto"/>
              <w:left w:val="nil"/>
              <w:bottom w:val="single" w:sz="8" w:space="0" w:color="auto"/>
              <w:right w:val="single" w:sz="8" w:space="0" w:color="000000"/>
            </w:tcBorders>
            <w:vAlign w:val="center"/>
            <w:hideMark/>
          </w:tcPr>
          <w:p w14:paraId="511AAF11" w14:textId="77777777" w:rsidR="004B0D7C" w:rsidRPr="00A33AE8" w:rsidRDefault="004B0D7C" w:rsidP="00884F3B">
            <w:pPr>
              <w:pStyle w:val="ListParagraph"/>
              <w:numPr>
                <w:ilvl w:val="0"/>
                <w:numId w:val="5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tc>
        <w:tc>
          <w:tcPr>
            <w:tcW w:w="1212" w:type="dxa"/>
            <w:vAlign w:val="center"/>
            <w:hideMark/>
          </w:tcPr>
          <w:p w14:paraId="07BB0335" w14:textId="77777777" w:rsidR="004B0D7C" w:rsidRPr="00A33AE8" w:rsidRDefault="004B0D7C" w:rsidP="004B0D7C">
            <w:pPr>
              <w:rPr>
                <w:rFonts w:ascii="Calibri Light" w:eastAsia="Times New Roman" w:hAnsi="Calibri Light" w:cs="Calibri Light"/>
                <w:color w:val="000000"/>
                <w:sz w:val="20"/>
                <w:szCs w:val="20"/>
                <w:lang w:eastAsia="en-GB"/>
              </w:rPr>
            </w:pPr>
          </w:p>
        </w:tc>
      </w:tr>
      <w:tr w:rsidR="004B0D7C" w:rsidRPr="00A33AE8" w14:paraId="0F5EF8FD"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64DE462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80" w:type="dxa"/>
            <w:gridSpan w:val="3"/>
            <w:tcBorders>
              <w:top w:val="single" w:sz="8" w:space="0" w:color="auto"/>
              <w:left w:val="nil"/>
              <w:bottom w:val="single" w:sz="8" w:space="0" w:color="auto"/>
              <w:right w:val="single" w:sz="8" w:space="0" w:color="000000"/>
            </w:tcBorders>
            <w:vAlign w:val="center"/>
            <w:hideMark/>
          </w:tcPr>
          <w:p w14:paraId="3E35D441" w14:textId="77777777" w:rsidR="004B0D7C" w:rsidRPr="00A33AE8" w:rsidRDefault="00B03413" w:rsidP="004B0D7C">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16 M</w:t>
            </w:r>
            <w:r w:rsidRPr="00A33AE8">
              <w:rPr>
                <w:rFonts w:ascii="Calibri" w:eastAsia="Times New Roman" w:hAnsi="Calibri" w:cs="Calibri"/>
                <w:color w:val="000000"/>
                <w:sz w:val="20"/>
                <w:szCs w:val="20"/>
                <w:lang w:eastAsia="en-GB"/>
              </w:rPr>
              <w:t>€</w:t>
            </w:r>
          </w:p>
        </w:tc>
        <w:tc>
          <w:tcPr>
            <w:tcW w:w="1212" w:type="dxa"/>
            <w:vAlign w:val="center"/>
            <w:hideMark/>
          </w:tcPr>
          <w:p w14:paraId="321CA126" w14:textId="77777777" w:rsidR="004B0D7C" w:rsidRPr="00A33AE8" w:rsidRDefault="004B0D7C" w:rsidP="004B0D7C">
            <w:pPr>
              <w:rPr>
                <w:rFonts w:ascii="Calibri" w:eastAsia="Times New Roman" w:hAnsi="Calibri" w:cs="Calibri"/>
                <w:color w:val="000000"/>
                <w:lang w:eastAsia="en-GB"/>
              </w:rPr>
            </w:pPr>
          </w:p>
        </w:tc>
      </w:tr>
      <w:tr w:rsidR="00B92935" w:rsidRPr="00A33AE8" w14:paraId="60E91013" w14:textId="77777777" w:rsidTr="00BD43DF">
        <w:trPr>
          <w:trHeight w:val="38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4982AEA4"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80" w:type="dxa"/>
            <w:gridSpan w:val="3"/>
            <w:tcBorders>
              <w:top w:val="single" w:sz="8" w:space="0" w:color="auto"/>
              <w:left w:val="nil"/>
              <w:bottom w:val="single" w:sz="8" w:space="0" w:color="auto"/>
              <w:right w:val="single" w:sz="8" w:space="0" w:color="000000"/>
            </w:tcBorders>
            <w:vAlign w:val="center"/>
            <w:hideMark/>
          </w:tcPr>
          <w:p w14:paraId="3572B447" w14:textId="77777777" w:rsidR="00B92935" w:rsidRPr="000007D2" w:rsidRDefault="00B92935" w:rsidP="00EE18F2">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own</w:t>
            </w:r>
            <w:r w:rsidRPr="00A33AE8">
              <w:rPr>
                <w:rFonts w:ascii="Calibri Light" w:eastAsia="Times New Roman" w:hAnsi="Calibri Light" w:cs="Calibri Light"/>
                <w:color w:val="000000"/>
                <w:sz w:val="20"/>
                <w:szCs w:val="20"/>
                <w:lang w:eastAsia="en-GB"/>
              </w:rPr>
              <w:t xml:space="preserve"> funds</w:t>
            </w:r>
          </w:p>
        </w:tc>
        <w:tc>
          <w:tcPr>
            <w:tcW w:w="1212" w:type="dxa"/>
            <w:vAlign w:val="center"/>
          </w:tcPr>
          <w:p w14:paraId="0C7AD473" w14:textId="77777777" w:rsidR="00B92935" w:rsidRPr="00A33AE8" w:rsidRDefault="00B92935" w:rsidP="00B92935">
            <w:pPr>
              <w:spacing w:after="0" w:line="240" w:lineRule="auto"/>
              <w:rPr>
                <w:rFonts w:ascii="Times New Roman" w:eastAsia="Times New Roman" w:hAnsi="Times New Roman" w:cs="Times New Roman"/>
                <w:sz w:val="20"/>
                <w:szCs w:val="20"/>
                <w:lang w:eastAsia="en-GB"/>
              </w:rPr>
            </w:pPr>
          </w:p>
          <w:p w14:paraId="5F34EC48" w14:textId="77777777" w:rsidR="00B92935" w:rsidRPr="00A33AE8" w:rsidRDefault="00B92935" w:rsidP="00B92935">
            <w:pPr>
              <w:spacing w:after="0" w:line="240" w:lineRule="auto"/>
              <w:rPr>
                <w:rFonts w:ascii="Times New Roman" w:eastAsia="Times New Roman" w:hAnsi="Times New Roman" w:cs="Times New Roman"/>
                <w:sz w:val="20"/>
                <w:szCs w:val="20"/>
                <w:lang w:eastAsia="en-GB"/>
              </w:rPr>
            </w:pPr>
          </w:p>
          <w:p w14:paraId="0C598251" w14:textId="77777777" w:rsidR="00B92935" w:rsidRPr="00A33AE8" w:rsidRDefault="00B92935" w:rsidP="00B92935">
            <w:pPr>
              <w:spacing w:after="0" w:line="240" w:lineRule="auto"/>
              <w:rPr>
                <w:rFonts w:ascii="Times New Roman" w:eastAsia="Times New Roman" w:hAnsi="Times New Roman" w:cs="Times New Roman"/>
                <w:sz w:val="20"/>
                <w:szCs w:val="20"/>
                <w:lang w:eastAsia="en-GB"/>
              </w:rPr>
            </w:pPr>
          </w:p>
        </w:tc>
      </w:tr>
    </w:tbl>
    <w:p w14:paraId="681AA103" w14:textId="77777777" w:rsidR="00690C0D" w:rsidRPr="00A33AE8" w:rsidRDefault="00690C0D" w:rsidP="00690C0D"/>
    <w:tbl>
      <w:tblPr>
        <w:tblW w:w="10700" w:type="dxa"/>
        <w:tblInd w:w="10" w:type="dxa"/>
        <w:tblLook w:val="04A0" w:firstRow="1" w:lastRow="0" w:firstColumn="1" w:lastColumn="0" w:noHBand="0" w:noVBand="1"/>
      </w:tblPr>
      <w:tblGrid>
        <w:gridCol w:w="222"/>
        <w:gridCol w:w="2986"/>
        <w:gridCol w:w="1358"/>
        <w:gridCol w:w="919"/>
        <w:gridCol w:w="4003"/>
        <w:gridCol w:w="1212"/>
      </w:tblGrid>
      <w:tr w:rsidR="00690C0D" w:rsidRPr="00A33AE8" w14:paraId="6E0C95E1" w14:textId="77777777" w:rsidTr="00FF03FA">
        <w:trPr>
          <w:gridAfter w:val="5"/>
          <w:wAfter w:w="10478" w:type="dxa"/>
          <w:trHeight w:val="315"/>
        </w:trPr>
        <w:tc>
          <w:tcPr>
            <w:tcW w:w="222" w:type="dxa"/>
            <w:vAlign w:val="center"/>
          </w:tcPr>
          <w:p w14:paraId="609FD072" w14:textId="77777777" w:rsidR="00690C0D" w:rsidRPr="00A33AE8" w:rsidRDefault="00690C0D" w:rsidP="00FF03FA">
            <w:pPr>
              <w:spacing w:after="0" w:line="240" w:lineRule="auto"/>
              <w:rPr>
                <w:rFonts w:ascii="Times New Roman" w:eastAsia="Times New Roman" w:hAnsi="Times New Roman" w:cs="Times New Roman"/>
                <w:sz w:val="20"/>
                <w:szCs w:val="20"/>
                <w:lang w:eastAsia="en-GB"/>
              </w:rPr>
            </w:pPr>
          </w:p>
        </w:tc>
      </w:tr>
      <w:tr w:rsidR="00690C0D" w:rsidRPr="00A33AE8" w14:paraId="4278D7D1" w14:textId="77777777" w:rsidTr="004B0D7C">
        <w:trPr>
          <w:gridAfter w:val="1"/>
          <w:wAfter w:w="1212" w:type="dxa"/>
          <w:trHeight w:val="780"/>
        </w:trPr>
        <w:tc>
          <w:tcPr>
            <w:tcW w:w="3208" w:type="dxa"/>
            <w:gridSpan w:val="2"/>
            <w:tcBorders>
              <w:top w:val="single" w:sz="8" w:space="0" w:color="auto"/>
              <w:left w:val="single" w:sz="8" w:space="0" w:color="auto"/>
              <w:bottom w:val="single" w:sz="8" w:space="0" w:color="auto"/>
              <w:right w:val="single" w:sz="8" w:space="0" w:color="auto"/>
            </w:tcBorders>
            <w:shd w:val="clear" w:color="auto" w:fill="244062"/>
            <w:vAlign w:val="center"/>
            <w:hideMark/>
          </w:tcPr>
          <w:p w14:paraId="73DECB3A"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bookmarkStart w:id="176" w:name="_Hlk113476563"/>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45275EE4"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8</w:t>
            </w:r>
            <w:r w:rsidRPr="00A33AE8">
              <w:rPr>
                <w:rFonts w:asciiTheme="majorHAnsi" w:eastAsia="Times New Roman" w:hAnsiTheme="majorHAnsi" w:cstheme="majorHAnsi"/>
                <w:b/>
                <w:bCs/>
                <w:color w:val="000000"/>
                <w:sz w:val="20"/>
                <w:szCs w:val="20"/>
                <w:lang w:eastAsia="en-GB"/>
              </w:rPr>
              <w:t>.3</w:t>
            </w:r>
          </w:p>
        </w:tc>
        <w:tc>
          <w:tcPr>
            <w:tcW w:w="919" w:type="dxa"/>
            <w:tcBorders>
              <w:top w:val="single" w:sz="8" w:space="0" w:color="auto"/>
              <w:left w:val="nil"/>
              <w:bottom w:val="single" w:sz="8" w:space="0" w:color="auto"/>
              <w:right w:val="single" w:sz="8" w:space="0" w:color="auto"/>
            </w:tcBorders>
            <w:shd w:val="clear" w:color="auto" w:fill="244062"/>
            <w:vAlign w:val="center"/>
            <w:hideMark/>
          </w:tcPr>
          <w:p w14:paraId="12701D2F"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03" w:type="dxa"/>
            <w:tcBorders>
              <w:top w:val="single" w:sz="8" w:space="0" w:color="auto"/>
              <w:left w:val="nil"/>
              <w:bottom w:val="single" w:sz="8" w:space="0" w:color="auto"/>
              <w:right w:val="single" w:sz="8" w:space="0" w:color="auto"/>
            </w:tcBorders>
            <w:shd w:val="clear" w:color="auto" w:fill="E7E6E6" w:themeFill="background2"/>
            <w:vAlign w:val="center"/>
            <w:hideMark/>
          </w:tcPr>
          <w:p w14:paraId="721C4B12"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Project for Serbia-Croatia gas interconnection (95 km, with a capacity of 1.5 billion m3/year)</w:t>
            </w:r>
          </w:p>
        </w:tc>
      </w:tr>
      <w:bookmarkEnd w:id="176"/>
      <w:tr w:rsidR="004B0D7C" w:rsidRPr="00A33AE8" w14:paraId="4022680B" w14:textId="77777777" w:rsidTr="004B0D7C">
        <w:trPr>
          <w:gridAfter w:val="1"/>
          <w:wAfter w:w="1212" w:type="dxa"/>
          <w:trHeight w:val="562"/>
        </w:trPr>
        <w:tc>
          <w:tcPr>
            <w:tcW w:w="3208" w:type="dxa"/>
            <w:gridSpan w:val="2"/>
            <w:tcBorders>
              <w:top w:val="nil"/>
              <w:left w:val="single" w:sz="8" w:space="0" w:color="auto"/>
              <w:bottom w:val="single" w:sz="8" w:space="0" w:color="auto"/>
              <w:right w:val="nil"/>
            </w:tcBorders>
            <w:shd w:val="clear" w:color="auto" w:fill="244062"/>
            <w:vAlign w:val="center"/>
            <w:hideMark/>
          </w:tcPr>
          <w:p w14:paraId="30FC448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80" w:type="dxa"/>
            <w:gridSpan w:val="3"/>
            <w:tcBorders>
              <w:top w:val="single" w:sz="8" w:space="0" w:color="auto"/>
              <w:left w:val="nil"/>
              <w:bottom w:val="single" w:sz="8" w:space="0" w:color="auto"/>
              <w:right w:val="single" w:sz="8" w:space="0" w:color="000000"/>
            </w:tcBorders>
            <w:vAlign w:val="center"/>
          </w:tcPr>
          <w:p w14:paraId="58DD62C1"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5C1D9144" w14:textId="77777777" w:rsidTr="004B0D7C">
        <w:trPr>
          <w:gridAfter w:val="1"/>
          <w:wAfter w:w="1212" w:type="dxa"/>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02FE575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80" w:type="dxa"/>
            <w:gridSpan w:val="3"/>
            <w:tcBorders>
              <w:top w:val="single" w:sz="8" w:space="0" w:color="auto"/>
              <w:left w:val="nil"/>
              <w:bottom w:val="single" w:sz="8" w:space="0" w:color="auto"/>
              <w:right w:val="single" w:sz="8" w:space="0" w:color="000000"/>
            </w:tcBorders>
            <w:vAlign w:val="center"/>
          </w:tcPr>
          <w:p w14:paraId="7269B3A4"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Increased interconnection capacity</w:t>
            </w:r>
          </w:p>
        </w:tc>
      </w:tr>
      <w:tr w:rsidR="00690C0D" w:rsidRPr="00A33AE8" w14:paraId="40611E3B" w14:textId="77777777" w:rsidTr="004B0D7C">
        <w:trPr>
          <w:gridAfter w:val="1"/>
          <w:wAfter w:w="1212" w:type="dxa"/>
          <w:trHeight w:val="666"/>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755AC3D4"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80" w:type="dxa"/>
            <w:gridSpan w:val="3"/>
            <w:tcBorders>
              <w:top w:val="single" w:sz="8" w:space="0" w:color="auto"/>
              <w:left w:val="nil"/>
              <w:bottom w:val="single" w:sz="8" w:space="0" w:color="auto"/>
              <w:right w:val="single" w:sz="8" w:space="0" w:color="000000"/>
            </w:tcBorders>
            <w:vAlign w:val="center"/>
            <w:hideMark/>
          </w:tcPr>
          <w:p w14:paraId="36178BF6" w14:textId="410095FD" w:rsidR="00690C0D" w:rsidRPr="00A33AE8" w:rsidRDefault="00690C0D"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This is Gas_10 Interconnector Serbia-Croatia in the PLIMA database, ENTSOG TRA-N-70</w:t>
            </w:r>
            <w:r w:rsidR="002636E0">
              <w:rPr>
                <w:rFonts w:asciiTheme="majorHAnsi" w:eastAsia="Times New Roman" w:hAnsiTheme="majorHAnsi" w:cstheme="majorHAnsi"/>
                <w:color w:val="000000"/>
                <w:sz w:val="20"/>
                <w:szCs w:val="20"/>
                <w:lang w:eastAsia="en-GB"/>
              </w:rPr>
              <w:t>.</w:t>
            </w:r>
          </w:p>
        </w:tc>
      </w:tr>
      <w:tr w:rsidR="00690C0D" w:rsidRPr="00A33AE8" w14:paraId="14B771C1" w14:textId="77777777" w:rsidTr="004B0D7C">
        <w:trPr>
          <w:gridAfter w:val="1"/>
          <w:wAfter w:w="1212" w:type="dxa"/>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68D18A4F"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80" w:type="dxa"/>
            <w:gridSpan w:val="3"/>
            <w:tcBorders>
              <w:top w:val="single" w:sz="8" w:space="0" w:color="auto"/>
              <w:left w:val="nil"/>
              <w:bottom w:val="single" w:sz="8" w:space="0" w:color="auto"/>
              <w:right w:val="single" w:sz="8" w:space="0" w:color="000000"/>
            </w:tcBorders>
            <w:vAlign w:val="center"/>
            <w:hideMark/>
          </w:tcPr>
          <w:p w14:paraId="49B3E07A" w14:textId="77777777" w:rsidR="00690C0D" w:rsidRPr="00A33AE8" w:rsidRDefault="00690C0D" w:rsidP="00FF03FA">
            <w:pPr>
              <w:spacing w:after="0" w:line="240" w:lineRule="auto"/>
              <w:jc w:val="both"/>
              <w:rPr>
                <w:rFonts w:asciiTheme="majorHAnsi" w:eastAsia="Times New Roman" w:hAnsiTheme="majorHAnsi" w:cstheme="majorHAnsi"/>
                <w:color w:val="000000"/>
                <w:sz w:val="20"/>
                <w:szCs w:val="20"/>
                <w:lang w:eastAsia="en-GB"/>
              </w:rPr>
            </w:pPr>
            <w:r w:rsidRPr="0056323A">
              <w:rPr>
                <w:rFonts w:asciiTheme="majorHAnsi" w:eastAsia="Times New Roman" w:hAnsiTheme="majorHAnsi" w:cstheme="majorHAnsi"/>
                <w:color w:val="000000"/>
                <w:sz w:val="20"/>
                <w:szCs w:val="20"/>
                <w:lang w:eastAsia="en-GB"/>
              </w:rPr>
              <w:t>202</w:t>
            </w:r>
            <w:r w:rsidR="00BB58E1" w:rsidRPr="005B2C66">
              <w:rPr>
                <w:rFonts w:asciiTheme="majorHAnsi" w:eastAsia="Times New Roman" w:hAnsiTheme="majorHAnsi" w:cstheme="majorHAnsi"/>
                <w:color w:val="000000"/>
                <w:sz w:val="20"/>
                <w:szCs w:val="20"/>
                <w:lang w:eastAsia="en-GB"/>
              </w:rPr>
              <w:t>4</w:t>
            </w:r>
            <w:r w:rsidRPr="0056323A">
              <w:rPr>
                <w:rFonts w:asciiTheme="majorHAnsi" w:eastAsia="Times New Roman" w:hAnsiTheme="majorHAnsi" w:cstheme="majorHAnsi"/>
                <w:color w:val="000000"/>
                <w:sz w:val="20"/>
                <w:szCs w:val="20"/>
                <w:lang w:eastAsia="en-GB"/>
              </w:rPr>
              <w:t>-</w:t>
            </w:r>
            <w:r w:rsidR="00661071" w:rsidRPr="0056323A">
              <w:rPr>
                <w:rFonts w:asciiTheme="majorHAnsi" w:eastAsia="Times New Roman" w:hAnsiTheme="majorHAnsi" w:cstheme="majorHAnsi"/>
                <w:color w:val="000000"/>
                <w:sz w:val="20"/>
                <w:szCs w:val="20"/>
                <w:lang w:eastAsia="en-GB"/>
              </w:rPr>
              <w:t>2029</w:t>
            </w:r>
          </w:p>
        </w:tc>
      </w:tr>
      <w:tr w:rsidR="00690C0D" w:rsidRPr="00A33AE8" w14:paraId="7CF531FE" w14:textId="77777777" w:rsidTr="004B0D7C">
        <w:trPr>
          <w:gridAfter w:val="1"/>
          <w:wAfter w:w="1212" w:type="dxa"/>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5C93ACE3"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80" w:type="dxa"/>
            <w:gridSpan w:val="3"/>
            <w:tcBorders>
              <w:top w:val="single" w:sz="8" w:space="0" w:color="auto"/>
              <w:left w:val="nil"/>
              <w:bottom w:val="single" w:sz="8" w:space="0" w:color="auto"/>
              <w:right w:val="single" w:sz="8" w:space="0" w:color="000000"/>
            </w:tcBorders>
            <w:vAlign w:val="center"/>
            <w:hideMark/>
          </w:tcPr>
          <w:p w14:paraId="285C6E03" w14:textId="77777777" w:rsidR="00690C0D" w:rsidRPr="00A33AE8" w:rsidRDefault="00B03413"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690C0D" w:rsidRPr="00A33AE8" w14:paraId="4C0CAC6C" w14:textId="77777777" w:rsidTr="004B0D7C">
        <w:trPr>
          <w:gridAfter w:val="1"/>
          <w:wAfter w:w="1212" w:type="dxa"/>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658BD35C"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80" w:type="dxa"/>
            <w:gridSpan w:val="3"/>
            <w:tcBorders>
              <w:top w:val="single" w:sz="8" w:space="0" w:color="auto"/>
              <w:left w:val="nil"/>
              <w:bottom w:val="single" w:sz="8" w:space="0" w:color="auto"/>
              <w:right w:val="single" w:sz="8" w:space="0" w:color="000000"/>
            </w:tcBorders>
            <w:vAlign w:val="center"/>
            <w:hideMark/>
          </w:tcPr>
          <w:p w14:paraId="40385474" w14:textId="77777777" w:rsidR="00690C0D" w:rsidRPr="00A33AE8" w:rsidRDefault="00690C0D"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0D7C" w:rsidRPr="00A33AE8" w14:paraId="6B7C4E94" w14:textId="77777777" w:rsidTr="004B0D7C">
        <w:trPr>
          <w:gridAfter w:val="1"/>
          <w:wAfter w:w="1212" w:type="dxa"/>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1D3F939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2B0EA27D"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p>
        </w:tc>
      </w:tr>
      <w:tr w:rsidR="004B0D7C" w:rsidRPr="00A33AE8" w14:paraId="7F8850E3" w14:textId="77777777" w:rsidTr="004B0D7C">
        <w:trPr>
          <w:gridAfter w:val="1"/>
          <w:wAfter w:w="1212" w:type="dxa"/>
          <w:trHeight w:val="315"/>
        </w:trPr>
        <w:tc>
          <w:tcPr>
            <w:tcW w:w="3208" w:type="dxa"/>
            <w:gridSpan w:val="2"/>
            <w:tcBorders>
              <w:top w:val="nil"/>
              <w:left w:val="single" w:sz="8" w:space="0" w:color="auto"/>
              <w:bottom w:val="single" w:sz="8" w:space="0" w:color="auto"/>
              <w:right w:val="nil"/>
            </w:tcBorders>
            <w:shd w:val="clear" w:color="auto" w:fill="244062"/>
            <w:vAlign w:val="center"/>
            <w:hideMark/>
          </w:tcPr>
          <w:p w14:paraId="1ADF744F"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097DCDF3"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A528F30" w14:textId="77777777" w:rsidR="00DF5835" w:rsidRPr="00A33AE8" w:rsidRDefault="00081D7A"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w:t>
            </w:r>
            <w:r w:rsidR="00F3647A">
              <w:rPr>
                <w:rFonts w:ascii="Calibri Light" w:eastAsia="Times New Roman" w:hAnsi="Calibri Light" w:cs="Calibri Light"/>
                <w:color w:val="000000"/>
                <w:sz w:val="20"/>
                <w:szCs w:val="20"/>
                <w:lang w:eastAsia="en-GB"/>
              </w:rPr>
              <w:t>r</w:t>
            </w:r>
            <w:r w:rsidRPr="00A33AE8">
              <w:rPr>
                <w:rFonts w:ascii="Calibri Light" w:eastAsia="Times New Roman" w:hAnsi="Calibri Light" w:cs="Calibri Light"/>
                <w:color w:val="000000"/>
                <w:sz w:val="20"/>
                <w:szCs w:val="20"/>
                <w:lang w:eastAsia="en-GB"/>
              </w:rPr>
              <w:t>y of Construction, Transport and Infrastructure</w:t>
            </w:r>
          </w:p>
          <w:p w14:paraId="0C4BE8DA"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5730A073" w14:textId="77777777" w:rsidR="004B0D7C" w:rsidRPr="000007D2" w:rsidRDefault="00DF5835"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077B813D" w14:textId="77777777" w:rsidTr="004B0D7C">
        <w:trPr>
          <w:gridAfter w:val="1"/>
          <w:wAfter w:w="1212" w:type="dxa"/>
          <w:trHeight w:val="315"/>
        </w:trPr>
        <w:tc>
          <w:tcPr>
            <w:tcW w:w="3208" w:type="dxa"/>
            <w:gridSpan w:val="2"/>
            <w:tcBorders>
              <w:top w:val="nil"/>
              <w:left w:val="single" w:sz="8" w:space="0" w:color="auto"/>
              <w:bottom w:val="single" w:sz="8" w:space="0" w:color="auto"/>
              <w:right w:val="nil"/>
            </w:tcBorders>
            <w:shd w:val="clear" w:color="auto" w:fill="244062"/>
            <w:vAlign w:val="center"/>
            <w:hideMark/>
          </w:tcPr>
          <w:p w14:paraId="2B9410FF"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80" w:type="dxa"/>
            <w:gridSpan w:val="3"/>
            <w:tcBorders>
              <w:top w:val="single" w:sz="8" w:space="0" w:color="auto"/>
              <w:left w:val="nil"/>
              <w:bottom w:val="single" w:sz="8" w:space="0" w:color="auto"/>
              <w:right w:val="single" w:sz="8" w:space="0" w:color="000000"/>
            </w:tcBorders>
            <w:vAlign w:val="center"/>
            <w:hideMark/>
          </w:tcPr>
          <w:p w14:paraId="6A5CDC47"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40BEBB44" w14:textId="77777777" w:rsidTr="00A0226E">
        <w:trPr>
          <w:gridAfter w:val="1"/>
          <w:wAfter w:w="1212" w:type="dxa"/>
          <w:trHeight w:val="577"/>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2819B4CA"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80" w:type="dxa"/>
            <w:gridSpan w:val="3"/>
            <w:tcBorders>
              <w:top w:val="single" w:sz="8" w:space="0" w:color="auto"/>
              <w:left w:val="nil"/>
              <w:bottom w:val="single" w:sz="8" w:space="0" w:color="auto"/>
              <w:right w:val="single" w:sz="8" w:space="0" w:color="000000"/>
            </w:tcBorders>
            <w:vAlign w:val="center"/>
            <w:hideMark/>
          </w:tcPr>
          <w:p w14:paraId="7D3962A0"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1D898BA3"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0D7C" w:rsidRPr="00A33AE8" w14:paraId="1C0D5CDE" w14:textId="77777777" w:rsidTr="004B0D7C">
        <w:trPr>
          <w:gridAfter w:val="1"/>
          <w:wAfter w:w="1212" w:type="dxa"/>
          <w:trHeight w:val="450"/>
        </w:trPr>
        <w:tc>
          <w:tcPr>
            <w:tcW w:w="3208" w:type="dxa"/>
            <w:gridSpan w:val="2"/>
            <w:vMerge w:val="restart"/>
            <w:tcBorders>
              <w:top w:val="nil"/>
              <w:left w:val="single" w:sz="8" w:space="0" w:color="auto"/>
              <w:bottom w:val="single" w:sz="8" w:space="0" w:color="000000"/>
              <w:right w:val="single" w:sz="8" w:space="0" w:color="auto"/>
            </w:tcBorders>
            <w:shd w:val="clear" w:color="auto" w:fill="244062"/>
            <w:vAlign w:val="center"/>
            <w:hideMark/>
          </w:tcPr>
          <w:p w14:paraId="7022EB61"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8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6ACD39D"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2F3EECC0"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No 347/2013 </w:t>
            </w:r>
          </w:p>
        </w:tc>
      </w:tr>
      <w:tr w:rsidR="004B0D7C" w:rsidRPr="00A33AE8" w14:paraId="3E242340" w14:textId="77777777" w:rsidTr="004B0D7C">
        <w:trPr>
          <w:trHeight w:val="300"/>
        </w:trPr>
        <w:tc>
          <w:tcPr>
            <w:tcW w:w="0" w:type="auto"/>
            <w:gridSpan w:val="2"/>
            <w:vMerge/>
            <w:tcBorders>
              <w:top w:val="nil"/>
              <w:left w:val="single" w:sz="8" w:space="0" w:color="auto"/>
              <w:bottom w:val="single" w:sz="8" w:space="0" w:color="000000"/>
              <w:right w:val="single" w:sz="8" w:space="0" w:color="auto"/>
            </w:tcBorders>
            <w:vAlign w:val="center"/>
            <w:hideMark/>
          </w:tcPr>
          <w:p w14:paraId="47B05F54"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5445F993"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B845100" w14:textId="77777777" w:rsidR="004B0D7C" w:rsidRPr="00A33AE8" w:rsidRDefault="004B0D7C" w:rsidP="004B0D7C"/>
        </w:tc>
      </w:tr>
      <w:tr w:rsidR="004B0D7C" w:rsidRPr="00A33AE8" w14:paraId="166308F5" w14:textId="77777777" w:rsidTr="00A0226E">
        <w:trPr>
          <w:trHeight w:val="60"/>
        </w:trPr>
        <w:tc>
          <w:tcPr>
            <w:tcW w:w="0" w:type="auto"/>
            <w:gridSpan w:val="2"/>
            <w:vMerge/>
            <w:tcBorders>
              <w:top w:val="nil"/>
              <w:left w:val="single" w:sz="8" w:space="0" w:color="auto"/>
              <w:bottom w:val="single" w:sz="8" w:space="0" w:color="000000"/>
              <w:right w:val="single" w:sz="8" w:space="0" w:color="auto"/>
            </w:tcBorders>
            <w:vAlign w:val="center"/>
            <w:hideMark/>
          </w:tcPr>
          <w:p w14:paraId="0B691536"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595F6C9E"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CD6C57C" w14:textId="77777777" w:rsidR="004B0D7C" w:rsidRPr="00A33AE8" w:rsidRDefault="004B0D7C" w:rsidP="004B0D7C">
            <w:pPr>
              <w:spacing w:after="0" w:line="256" w:lineRule="auto"/>
              <w:rPr>
                <w:sz w:val="20"/>
                <w:szCs w:val="20"/>
                <w:lang w:eastAsia="en-GB"/>
              </w:rPr>
            </w:pPr>
          </w:p>
        </w:tc>
      </w:tr>
      <w:tr w:rsidR="004B0D7C" w:rsidRPr="00A33AE8" w14:paraId="1407177D" w14:textId="77777777" w:rsidTr="004B0D7C">
        <w:trPr>
          <w:trHeight w:val="780"/>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705B497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80" w:type="dxa"/>
            <w:gridSpan w:val="3"/>
            <w:tcBorders>
              <w:top w:val="single" w:sz="8" w:space="0" w:color="auto"/>
              <w:left w:val="nil"/>
              <w:bottom w:val="single" w:sz="8" w:space="0" w:color="auto"/>
              <w:right w:val="single" w:sz="8" w:space="0" w:color="000000"/>
            </w:tcBorders>
            <w:vAlign w:val="center"/>
            <w:hideMark/>
          </w:tcPr>
          <w:p w14:paraId="791F19DF" w14:textId="77777777" w:rsidR="004B0D7C" w:rsidRPr="00A33AE8" w:rsidRDefault="004B0D7C" w:rsidP="00884F3B">
            <w:pPr>
              <w:pStyle w:val="ListParagraph"/>
              <w:numPr>
                <w:ilvl w:val="0"/>
                <w:numId w:val="5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39307BB8"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187914C7" w14:textId="77777777" w:rsidTr="004B0D7C">
        <w:trPr>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6F1CE17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80" w:type="dxa"/>
            <w:gridSpan w:val="3"/>
            <w:tcBorders>
              <w:top w:val="single" w:sz="8" w:space="0" w:color="auto"/>
              <w:left w:val="nil"/>
              <w:bottom w:val="single" w:sz="8" w:space="0" w:color="auto"/>
              <w:right w:val="single" w:sz="8" w:space="0" w:color="000000"/>
            </w:tcBorders>
            <w:vAlign w:val="center"/>
            <w:hideMark/>
          </w:tcPr>
          <w:p w14:paraId="42035266"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144 M</w:t>
            </w:r>
            <w:r w:rsidRPr="00A33AE8">
              <w:rPr>
                <w:rFonts w:ascii="Calibri" w:eastAsia="Times New Roman" w:hAnsi="Calibri" w:cs="Calibri"/>
                <w:color w:val="000000"/>
                <w:sz w:val="20"/>
                <w:szCs w:val="20"/>
                <w:lang w:eastAsia="en-GB"/>
              </w:rPr>
              <w:t>€</w:t>
            </w:r>
          </w:p>
        </w:tc>
        <w:tc>
          <w:tcPr>
            <w:tcW w:w="1212" w:type="dxa"/>
            <w:vAlign w:val="center"/>
            <w:hideMark/>
          </w:tcPr>
          <w:p w14:paraId="147CF2BE"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4ACF9374" w14:textId="77777777" w:rsidTr="004B0D7C">
        <w:trPr>
          <w:trHeight w:val="315"/>
        </w:trPr>
        <w:tc>
          <w:tcPr>
            <w:tcW w:w="3208" w:type="dxa"/>
            <w:gridSpan w:val="2"/>
            <w:tcBorders>
              <w:top w:val="nil"/>
              <w:left w:val="single" w:sz="8" w:space="0" w:color="auto"/>
              <w:bottom w:val="single" w:sz="8" w:space="0" w:color="auto"/>
              <w:right w:val="single" w:sz="8" w:space="0" w:color="auto"/>
            </w:tcBorders>
            <w:shd w:val="clear" w:color="auto" w:fill="244062"/>
            <w:vAlign w:val="center"/>
            <w:hideMark/>
          </w:tcPr>
          <w:p w14:paraId="781EE125"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80" w:type="dxa"/>
            <w:gridSpan w:val="3"/>
            <w:tcBorders>
              <w:top w:val="single" w:sz="8" w:space="0" w:color="auto"/>
              <w:left w:val="nil"/>
              <w:bottom w:val="single" w:sz="8" w:space="0" w:color="auto"/>
              <w:right w:val="single" w:sz="8" w:space="0" w:color="000000"/>
            </w:tcBorders>
            <w:vAlign w:val="center"/>
            <w:hideMark/>
          </w:tcPr>
          <w:p w14:paraId="53B033E3" w14:textId="77777777" w:rsidR="00B92935" w:rsidRPr="00A33AE8" w:rsidRDefault="00B92935" w:rsidP="00B92935">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29C37797" w14:textId="77777777" w:rsidR="00B92935" w:rsidRPr="00A33AE8" w:rsidRDefault="00B92935" w:rsidP="00B92935">
            <w:pPr>
              <w:rPr>
                <w:rFonts w:ascii="Calibri" w:eastAsia="Times New Roman" w:hAnsi="Calibri" w:cs="Calibri"/>
                <w:color w:val="000000"/>
                <w:lang w:eastAsia="en-GB"/>
              </w:rPr>
            </w:pPr>
          </w:p>
        </w:tc>
      </w:tr>
    </w:tbl>
    <w:p w14:paraId="18589A71"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08"/>
        <w:gridCol w:w="1358"/>
        <w:gridCol w:w="919"/>
        <w:gridCol w:w="4003"/>
        <w:gridCol w:w="1212"/>
      </w:tblGrid>
      <w:tr w:rsidR="00690C0D" w:rsidRPr="00A33AE8" w14:paraId="432B600B" w14:textId="77777777" w:rsidTr="004B0D7C">
        <w:trPr>
          <w:gridAfter w:val="1"/>
          <w:wAfter w:w="1212" w:type="dxa"/>
          <w:trHeight w:val="780"/>
        </w:trPr>
        <w:tc>
          <w:tcPr>
            <w:tcW w:w="320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A29979A"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48A9AB6A"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8</w:t>
            </w:r>
            <w:r w:rsidRPr="00A33AE8">
              <w:rPr>
                <w:rFonts w:asciiTheme="majorHAnsi" w:eastAsia="Times New Roman" w:hAnsiTheme="majorHAnsi" w:cstheme="majorHAnsi"/>
                <w:b/>
                <w:bCs/>
                <w:color w:val="000000"/>
                <w:sz w:val="20"/>
                <w:szCs w:val="20"/>
                <w:lang w:eastAsia="en-GB"/>
              </w:rPr>
              <w:t>.4</w:t>
            </w:r>
          </w:p>
        </w:tc>
        <w:tc>
          <w:tcPr>
            <w:tcW w:w="919" w:type="dxa"/>
            <w:tcBorders>
              <w:top w:val="single" w:sz="8" w:space="0" w:color="auto"/>
              <w:left w:val="nil"/>
              <w:bottom w:val="single" w:sz="8" w:space="0" w:color="auto"/>
              <w:right w:val="single" w:sz="8" w:space="0" w:color="auto"/>
            </w:tcBorders>
            <w:shd w:val="clear" w:color="auto" w:fill="244062"/>
            <w:vAlign w:val="center"/>
            <w:hideMark/>
          </w:tcPr>
          <w:p w14:paraId="3021CB63"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03" w:type="dxa"/>
            <w:tcBorders>
              <w:top w:val="single" w:sz="8" w:space="0" w:color="auto"/>
              <w:left w:val="nil"/>
              <w:bottom w:val="single" w:sz="8" w:space="0" w:color="auto"/>
              <w:right w:val="single" w:sz="8" w:space="0" w:color="auto"/>
            </w:tcBorders>
            <w:shd w:val="clear" w:color="auto" w:fill="E7E6E6" w:themeFill="background2"/>
            <w:vAlign w:val="center"/>
            <w:hideMark/>
          </w:tcPr>
          <w:p w14:paraId="1B84728E"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bookmarkStart w:id="177" w:name="_Hlk113476570"/>
            <w:r w:rsidRPr="00A33AE8">
              <w:rPr>
                <w:rFonts w:asciiTheme="majorHAnsi" w:eastAsia="Times New Roman" w:hAnsiTheme="majorHAnsi" w:cstheme="majorHAnsi"/>
                <w:b/>
                <w:bCs/>
                <w:color w:val="000000"/>
                <w:sz w:val="20"/>
                <w:szCs w:val="20"/>
                <w:lang w:eastAsia="en-GB"/>
              </w:rPr>
              <w:t>Project for Serbia-BiH gas interconnection 90 km, with a capacity of 1.2 billion m3/year</w:t>
            </w:r>
            <w:bookmarkEnd w:id="177"/>
          </w:p>
        </w:tc>
      </w:tr>
      <w:tr w:rsidR="004B0D7C" w:rsidRPr="00A33AE8" w14:paraId="3C31B77A" w14:textId="77777777" w:rsidTr="004B0D7C">
        <w:trPr>
          <w:gridAfter w:val="1"/>
          <w:wAfter w:w="1212" w:type="dxa"/>
          <w:trHeight w:val="960"/>
        </w:trPr>
        <w:tc>
          <w:tcPr>
            <w:tcW w:w="3208" w:type="dxa"/>
            <w:tcBorders>
              <w:top w:val="nil"/>
              <w:left w:val="single" w:sz="8" w:space="0" w:color="auto"/>
              <w:bottom w:val="single" w:sz="8" w:space="0" w:color="auto"/>
              <w:right w:val="nil"/>
            </w:tcBorders>
            <w:shd w:val="clear" w:color="auto" w:fill="244062"/>
            <w:vAlign w:val="center"/>
            <w:hideMark/>
          </w:tcPr>
          <w:p w14:paraId="7210512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80" w:type="dxa"/>
            <w:gridSpan w:val="3"/>
            <w:tcBorders>
              <w:top w:val="single" w:sz="8" w:space="0" w:color="auto"/>
              <w:left w:val="nil"/>
              <w:bottom w:val="single" w:sz="8" w:space="0" w:color="auto"/>
              <w:right w:val="single" w:sz="8" w:space="0" w:color="000000"/>
            </w:tcBorders>
            <w:vAlign w:val="center"/>
          </w:tcPr>
          <w:p w14:paraId="7705FFC2"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7CEDA6C1"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A58A2DA"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280" w:type="dxa"/>
            <w:gridSpan w:val="3"/>
            <w:tcBorders>
              <w:top w:val="single" w:sz="8" w:space="0" w:color="auto"/>
              <w:left w:val="nil"/>
              <w:bottom w:val="single" w:sz="8" w:space="0" w:color="auto"/>
              <w:right w:val="single" w:sz="8" w:space="0" w:color="000000"/>
            </w:tcBorders>
            <w:vAlign w:val="center"/>
          </w:tcPr>
          <w:p w14:paraId="156C75BE"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Increased interconnection capacity</w:t>
            </w:r>
          </w:p>
        </w:tc>
      </w:tr>
      <w:tr w:rsidR="004B0D7C" w:rsidRPr="00A33AE8" w14:paraId="5AA1BCFD" w14:textId="77777777" w:rsidTr="004B0D7C">
        <w:trPr>
          <w:gridAfter w:val="1"/>
          <w:wAfter w:w="1212" w:type="dxa"/>
          <w:trHeight w:val="726"/>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442324D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80" w:type="dxa"/>
            <w:gridSpan w:val="3"/>
            <w:tcBorders>
              <w:top w:val="single" w:sz="8" w:space="0" w:color="auto"/>
              <w:left w:val="nil"/>
              <w:bottom w:val="single" w:sz="8" w:space="0" w:color="auto"/>
              <w:right w:val="single" w:sz="8" w:space="0" w:color="000000"/>
            </w:tcBorders>
            <w:vAlign w:val="center"/>
            <w:hideMark/>
          </w:tcPr>
          <w:p w14:paraId="4E096CDA" w14:textId="39AA8201"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The construction of </w:t>
            </w:r>
            <w:r w:rsidR="00343B13" w:rsidRPr="00A33AE8">
              <w:rPr>
                <w:rFonts w:asciiTheme="majorHAnsi" w:eastAsia="Times New Roman" w:hAnsiTheme="majorHAnsi" w:cstheme="majorHAnsi"/>
                <w:color w:val="000000"/>
                <w:sz w:val="20"/>
                <w:szCs w:val="20"/>
                <w:lang w:eastAsia="en-GB"/>
              </w:rPr>
              <w:t xml:space="preserve">a new </w:t>
            </w:r>
            <w:r w:rsidRPr="00A33AE8">
              <w:rPr>
                <w:rFonts w:asciiTheme="majorHAnsi" w:eastAsia="Times New Roman" w:hAnsiTheme="majorHAnsi" w:cstheme="majorHAnsi"/>
                <w:color w:val="000000"/>
                <w:sz w:val="20"/>
                <w:szCs w:val="20"/>
                <w:lang w:eastAsia="en-GB"/>
              </w:rPr>
              <w:t xml:space="preserve">gas pipeline Indjija - Macvanski Prnjavor (Serbia-BiH interconnection) </w:t>
            </w:r>
            <w:r w:rsidR="00343B13" w:rsidRPr="00A33AE8">
              <w:rPr>
                <w:rFonts w:asciiTheme="majorHAnsi" w:eastAsia="Times New Roman" w:hAnsiTheme="majorHAnsi" w:cstheme="majorHAnsi"/>
                <w:color w:val="000000"/>
                <w:sz w:val="20"/>
                <w:szCs w:val="20"/>
                <w:lang w:eastAsia="en-GB"/>
              </w:rPr>
              <w:t xml:space="preserve">that will </w:t>
            </w:r>
            <w:r w:rsidRPr="00A33AE8">
              <w:rPr>
                <w:rFonts w:asciiTheme="majorHAnsi" w:eastAsia="Times New Roman" w:hAnsiTheme="majorHAnsi" w:cstheme="majorHAnsi"/>
                <w:color w:val="000000"/>
                <w:sz w:val="20"/>
                <w:szCs w:val="20"/>
                <w:lang w:eastAsia="en-GB"/>
              </w:rPr>
              <w:t xml:space="preserve">enable the continuation of gasification of the Macva district and strategic companies, considering that </w:t>
            </w:r>
            <w:r w:rsidR="00343B13" w:rsidRPr="00A33AE8">
              <w:rPr>
                <w:rFonts w:asciiTheme="majorHAnsi" w:eastAsia="Times New Roman" w:hAnsiTheme="majorHAnsi" w:cstheme="majorHAnsi"/>
                <w:color w:val="000000"/>
                <w:sz w:val="20"/>
                <w:szCs w:val="20"/>
                <w:lang w:eastAsia="en-GB"/>
              </w:rPr>
              <w:t>the old pipeline constructed in 1979 needs heavy rehabilitation.</w:t>
            </w:r>
          </w:p>
        </w:tc>
      </w:tr>
      <w:tr w:rsidR="004B0D7C" w:rsidRPr="00A33AE8" w14:paraId="4E771DD3"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09DC0EE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80" w:type="dxa"/>
            <w:gridSpan w:val="3"/>
            <w:tcBorders>
              <w:top w:val="single" w:sz="8" w:space="0" w:color="auto"/>
              <w:left w:val="nil"/>
              <w:bottom w:val="single" w:sz="8" w:space="0" w:color="auto"/>
              <w:right w:val="single" w:sz="8" w:space="0" w:color="000000"/>
            </w:tcBorders>
            <w:vAlign w:val="center"/>
            <w:hideMark/>
          </w:tcPr>
          <w:p w14:paraId="5A356BD8" w14:textId="77777777" w:rsidR="004B0D7C" w:rsidRPr="00A33AE8" w:rsidRDefault="00343B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2023</w:t>
            </w:r>
            <w:r w:rsidR="004B0D7C" w:rsidRPr="00A33AE8">
              <w:rPr>
                <w:rFonts w:asciiTheme="majorHAnsi" w:eastAsia="Times New Roman" w:hAnsiTheme="majorHAnsi" w:cstheme="majorHAnsi"/>
                <w:color w:val="000000"/>
                <w:sz w:val="20"/>
                <w:szCs w:val="20"/>
                <w:lang w:eastAsia="en-GB"/>
              </w:rPr>
              <w:t>-2030</w:t>
            </w:r>
          </w:p>
        </w:tc>
      </w:tr>
      <w:tr w:rsidR="004B0D7C" w:rsidRPr="00A33AE8" w14:paraId="71C2A9C8"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4AC0181F"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80" w:type="dxa"/>
            <w:gridSpan w:val="3"/>
            <w:tcBorders>
              <w:top w:val="single" w:sz="8" w:space="0" w:color="auto"/>
              <w:left w:val="nil"/>
              <w:bottom w:val="single" w:sz="8" w:space="0" w:color="auto"/>
              <w:right w:val="single" w:sz="8" w:space="0" w:color="000000"/>
            </w:tcBorders>
            <w:vAlign w:val="center"/>
            <w:hideMark/>
          </w:tcPr>
          <w:p w14:paraId="466A2964"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7C828C23"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3F8504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80" w:type="dxa"/>
            <w:gridSpan w:val="3"/>
            <w:tcBorders>
              <w:top w:val="single" w:sz="8" w:space="0" w:color="auto"/>
              <w:left w:val="nil"/>
              <w:bottom w:val="single" w:sz="8" w:space="0" w:color="auto"/>
              <w:right w:val="single" w:sz="8" w:space="0" w:color="000000"/>
            </w:tcBorders>
            <w:vAlign w:val="center"/>
            <w:hideMark/>
          </w:tcPr>
          <w:p w14:paraId="782D4A26"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0D7C" w:rsidRPr="00A33AE8" w14:paraId="60447E00"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37471021"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3C428DBE"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p>
        </w:tc>
      </w:tr>
      <w:tr w:rsidR="004B0D7C" w:rsidRPr="00A33AE8" w14:paraId="19B37266"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3EA2A6E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00E900A0"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5C9A969" w14:textId="77777777" w:rsidR="00DF5835" w:rsidRPr="00A33AE8" w:rsidRDefault="00081D7A"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Ministy of Construction, Transport and Infrastructure</w:t>
            </w:r>
          </w:p>
          <w:p w14:paraId="2474C5DD"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2ED76E69" w14:textId="77777777" w:rsidR="004B0D7C" w:rsidRPr="000007D2" w:rsidRDefault="00DF5835"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2672DA47"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14387063"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80" w:type="dxa"/>
            <w:gridSpan w:val="3"/>
            <w:tcBorders>
              <w:top w:val="single" w:sz="8" w:space="0" w:color="auto"/>
              <w:left w:val="nil"/>
              <w:bottom w:val="single" w:sz="8" w:space="0" w:color="auto"/>
              <w:right w:val="single" w:sz="8" w:space="0" w:color="000000"/>
            </w:tcBorders>
            <w:vAlign w:val="center"/>
            <w:hideMark/>
          </w:tcPr>
          <w:p w14:paraId="543C4012"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181A67F1" w14:textId="77777777" w:rsidTr="004B0D7C">
        <w:trPr>
          <w:gridAfter w:val="1"/>
          <w:wAfter w:w="1212" w:type="dxa"/>
          <w:trHeight w:val="652"/>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F2CAEF6"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80" w:type="dxa"/>
            <w:gridSpan w:val="3"/>
            <w:tcBorders>
              <w:top w:val="single" w:sz="8" w:space="0" w:color="auto"/>
              <w:left w:val="nil"/>
              <w:bottom w:val="single" w:sz="8" w:space="0" w:color="auto"/>
              <w:right w:val="single" w:sz="8" w:space="0" w:color="000000"/>
            </w:tcBorders>
            <w:vAlign w:val="center"/>
            <w:hideMark/>
          </w:tcPr>
          <w:p w14:paraId="1040CCB1"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20F9540E"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0D7C" w:rsidRPr="00A33AE8" w14:paraId="52407F63" w14:textId="77777777" w:rsidTr="004B0D7C">
        <w:trPr>
          <w:gridAfter w:val="1"/>
          <w:wAfter w:w="1212" w:type="dxa"/>
          <w:trHeight w:val="450"/>
        </w:trPr>
        <w:tc>
          <w:tcPr>
            <w:tcW w:w="3208" w:type="dxa"/>
            <w:vMerge w:val="restart"/>
            <w:tcBorders>
              <w:top w:val="nil"/>
              <w:left w:val="single" w:sz="8" w:space="0" w:color="auto"/>
              <w:bottom w:val="single" w:sz="8" w:space="0" w:color="000000"/>
              <w:right w:val="single" w:sz="8" w:space="0" w:color="auto"/>
            </w:tcBorders>
            <w:shd w:val="clear" w:color="auto" w:fill="244062"/>
            <w:vAlign w:val="center"/>
            <w:hideMark/>
          </w:tcPr>
          <w:p w14:paraId="48124DA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8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1392BD4"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09530DAE"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No 347/2013 </w:t>
            </w:r>
          </w:p>
        </w:tc>
      </w:tr>
      <w:tr w:rsidR="004B0D7C" w:rsidRPr="00A33AE8" w14:paraId="70F7E216"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0F63E0A2"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05AD529D"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5470782" w14:textId="77777777" w:rsidR="004B0D7C" w:rsidRPr="00A33AE8" w:rsidRDefault="004B0D7C" w:rsidP="004B0D7C"/>
        </w:tc>
      </w:tr>
      <w:tr w:rsidR="004B0D7C" w:rsidRPr="00A33AE8" w14:paraId="59B9144D" w14:textId="77777777" w:rsidTr="004B0D7C">
        <w:trPr>
          <w:trHeight w:val="60"/>
        </w:trPr>
        <w:tc>
          <w:tcPr>
            <w:tcW w:w="0" w:type="auto"/>
            <w:vMerge/>
            <w:tcBorders>
              <w:top w:val="nil"/>
              <w:left w:val="single" w:sz="8" w:space="0" w:color="auto"/>
              <w:bottom w:val="single" w:sz="8" w:space="0" w:color="000000"/>
              <w:right w:val="single" w:sz="8" w:space="0" w:color="auto"/>
            </w:tcBorders>
            <w:vAlign w:val="center"/>
            <w:hideMark/>
          </w:tcPr>
          <w:p w14:paraId="70A95A5A"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2BFC3259"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524395B" w14:textId="77777777" w:rsidR="004B0D7C" w:rsidRPr="00A33AE8" w:rsidRDefault="004B0D7C" w:rsidP="004B0D7C">
            <w:pPr>
              <w:spacing w:after="0" w:line="256" w:lineRule="auto"/>
              <w:rPr>
                <w:sz w:val="20"/>
                <w:szCs w:val="20"/>
                <w:lang w:eastAsia="en-GB"/>
              </w:rPr>
            </w:pPr>
          </w:p>
        </w:tc>
      </w:tr>
      <w:tr w:rsidR="004B0D7C" w:rsidRPr="00A33AE8" w14:paraId="692D46B7" w14:textId="77777777" w:rsidTr="004B0D7C">
        <w:trPr>
          <w:trHeight w:val="780"/>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2C4CA95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80" w:type="dxa"/>
            <w:gridSpan w:val="3"/>
            <w:tcBorders>
              <w:top w:val="single" w:sz="8" w:space="0" w:color="auto"/>
              <w:left w:val="nil"/>
              <w:bottom w:val="single" w:sz="8" w:space="0" w:color="auto"/>
              <w:right w:val="single" w:sz="8" w:space="0" w:color="000000"/>
            </w:tcBorders>
            <w:vAlign w:val="center"/>
            <w:hideMark/>
          </w:tcPr>
          <w:p w14:paraId="140825A7" w14:textId="77777777" w:rsidR="004B0D7C" w:rsidRPr="00A33AE8" w:rsidRDefault="004B0D7C" w:rsidP="00884F3B">
            <w:pPr>
              <w:pStyle w:val="ListParagraph"/>
              <w:numPr>
                <w:ilvl w:val="0"/>
                <w:numId w:val="5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17992501"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393CA3EE"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08FED2E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80" w:type="dxa"/>
            <w:gridSpan w:val="3"/>
            <w:tcBorders>
              <w:top w:val="single" w:sz="8" w:space="0" w:color="auto"/>
              <w:left w:val="nil"/>
              <w:bottom w:val="single" w:sz="8" w:space="0" w:color="auto"/>
              <w:right w:val="single" w:sz="8" w:space="0" w:color="000000"/>
            </w:tcBorders>
            <w:vAlign w:val="center"/>
            <w:hideMark/>
          </w:tcPr>
          <w:p w14:paraId="32ED4AB2"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47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54576EA5"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1C75DEC3"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6669C231"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80" w:type="dxa"/>
            <w:gridSpan w:val="3"/>
            <w:tcBorders>
              <w:top w:val="single" w:sz="8" w:space="0" w:color="auto"/>
              <w:left w:val="nil"/>
              <w:bottom w:val="single" w:sz="8" w:space="0" w:color="auto"/>
              <w:right w:val="single" w:sz="8" w:space="0" w:color="000000"/>
            </w:tcBorders>
            <w:vAlign w:val="center"/>
            <w:hideMark/>
          </w:tcPr>
          <w:p w14:paraId="024BBEC0" w14:textId="77777777" w:rsidR="00B92935" w:rsidRPr="00A33AE8" w:rsidRDefault="00B92935" w:rsidP="00B92935">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2EE18346" w14:textId="77777777" w:rsidR="00B92935" w:rsidRPr="00A33AE8" w:rsidRDefault="00B92935" w:rsidP="00B92935">
            <w:pPr>
              <w:rPr>
                <w:rFonts w:ascii="Calibri" w:eastAsia="Times New Roman" w:hAnsi="Calibri" w:cs="Calibri"/>
                <w:color w:val="000000"/>
                <w:lang w:eastAsia="en-GB"/>
              </w:rPr>
            </w:pPr>
          </w:p>
        </w:tc>
      </w:tr>
    </w:tbl>
    <w:p w14:paraId="70EFB082"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23"/>
        <w:gridCol w:w="1358"/>
        <w:gridCol w:w="922"/>
        <w:gridCol w:w="3985"/>
        <w:gridCol w:w="1212"/>
      </w:tblGrid>
      <w:tr w:rsidR="00690C0D" w:rsidRPr="00A33AE8" w14:paraId="5AEF897D" w14:textId="77777777" w:rsidTr="004B0D7C">
        <w:trPr>
          <w:gridAfter w:val="1"/>
          <w:wAfter w:w="1212" w:type="dxa"/>
          <w:trHeight w:val="780"/>
        </w:trPr>
        <w:tc>
          <w:tcPr>
            <w:tcW w:w="322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6536AFB"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393BED7C"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8</w:t>
            </w:r>
            <w:r w:rsidRPr="00A33AE8">
              <w:rPr>
                <w:rFonts w:asciiTheme="majorHAnsi" w:eastAsia="Times New Roman" w:hAnsiTheme="majorHAnsi" w:cstheme="majorHAnsi"/>
                <w:b/>
                <w:bCs/>
                <w:color w:val="000000"/>
                <w:sz w:val="20"/>
                <w:szCs w:val="20"/>
                <w:lang w:eastAsia="en-GB"/>
              </w:rPr>
              <w:t>.5</w:t>
            </w:r>
          </w:p>
        </w:tc>
        <w:tc>
          <w:tcPr>
            <w:tcW w:w="922" w:type="dxa"/>
            <w:tcBorders>
              <w:top w:val="single" w:sz="8" w:space="0" w:color="auto"/>
              <w:left w:val="nil"/>
              <w:bottom w:val="single" w:sz="8" w:space="0" w:color="auto"/>
              <w:right w:val="single" w:sz="8" w:space="0" w:color="auto"/>
            </w:tcBorders>
            <w:shd w:val="clear" w:color="auto" w:fill="244062"/>
            <w:vAlign w:val="center"/>
            <w:hideMark/>
          </w:tcPr>
          <w:p w14:paraId="4B1280C4"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3985" w:type="dxa"/>
            <w:tcBorders>
              <w:top w:val="single" w:sz="8" w:space="0" w:color="auto"/>
              <w:left w:val="nil"/>
              <w:bottom w:val="single" w:sz="8" w:space="0" w:color="auto"/>
              <w:right w:val="single" w:sz="8" w:space="0" w:color="auto"/>
            </w:tcBorders>
            <w:shd w:val="clear" w:color="auto" w:fill="E7E6E6" w:themeFill="background2"/>
            <w:vAlign w:val="center"/>
            <w:hideMark/>
          </w:tcPr>
          <w:p w14:paraId="1FE2CD6D" w14:textId="77777777" w:rsidR="00690C0D" w:rsidRPr="00A33AE8" w:rsidRDefault="00F633B4" w:rsidP="00FF03FA">
            <w:pPr>
              <w:spacing w:after="0" w:line="240" w:lineRule="auto"/>
              <w:jc w:val="both"/>
              <w:rPr>
                <w:rFonts w:asciiTheme="majorHAnsi" w:eastAsia="Times New Roman" w:hAnsiTheme="majorHAnsi" w:cstheme="majorHAnsi"/>
                <w:b/>
                <w:bCs/>
                <w:color w:val="000000"/>
                <w:sz w:val="20"/>
                <w:szCs w:val="20"/>
                <w:lang w:eastAsia="en-GB"/>
              </w:rPr>
            </w:pPr>
            <w:bookmarkStart w:id="178" w:name="_Hlk113476583"/>
            <w:r w:rsidRPr="00A33AE8">
              <w:rPr>
                <w:rFonts w:asciiTheme="majorHAnsi" w:eastAsia="Times New Roman" w:hAnsiTheme="majorHAnsi" w:cstheme="majorHAnsi"/>
                <w:b/>
                <w:bCs/>
                <w:color w:val="000000"/>
                <w:sz w:val="20"/>
                <w:szCs w:val="20"/>
                <w:lang w:eastAsia="en-GB"/>
              </w:rPr>
              <w:t xml:space="preserve">Distribution </w:t>
            </w:r>
            <w:r w:rsidR="00690C0D" w:rsidRPr="00A33AE8">
              <w:rPr>
                <w:rFonts w:asciiTheme="majorHAnsi" w:eastAsia="Times New Roman" w:hAnsiTheme="majorHAnsi" w:cstheme="majorHAnsi"/>
                <w:b/>
                <w:bCs/>
                <w:color w:val="000000"/>
                <w:sz w:val="20"/>
                <w:szCs w:val="20"/>
                <w:lang w:eastAsia="en-GB"/>
              </w:rPr>
              <w:t>gas pipeline RG 11-02 Leskovac-Vladi</w:t>
            </w:r>
            <w:r w:rsidR="00C96A78" w:rsidRPr="00A33AE8">
              <w:rPr>
                <w:rFonts w:asciiTheme="majorHAnsi" w:eastAsia="Times New Roman" w:hAnsiTheme="majorHAnsi" w:cstheme="majorHAnsi"/>
                <w:b/>
                <w:bCs/>
                <w:color w:val="000000"/>
                <w:sz w:val="20"/>
                <w:szCs w:val="20"/>
                <w:lang w:eastAsia="en-GB"/>
              </w:rPr>
              <w:t>c</w:t>
            </w:r>
            <w:r w:rsidR="00690C0D" w:rsidRPr="00A33AE8">
              <w:rPr>
                <w:rFonts w:asciiTheme="majorHAnsi" w:eastAsia="Times New Roman" w:hAnsiTheme="majorHAnsi" w:cstheme="majorHAnsi"/>
                <w:b/>
                <w:bCs/>
                <w:color w:val="000000"/>
                <w:sz w:val="20"/>
                <w:szCs w:val="20"/>
                <w:lang w:eastAsia="en-GB"/>
              </w:rPr>
              <w:t>in Han-Vranje 71 km</w:t>
            </w:r>
            <w:bookmarkEnd w:id="178"/>
          </w:p>
        </w:tc>
      </w:tr>
      <w:tr w:rsidR="004B0D7C" w:rsidRPr="00A33AE8" w14:paraId="1AA5A20C" w14:textId="77777777" w:rsidTr="004B0D7C">
        <w:trPr>
          <w:gridAfter w:val="1"/>
          <w:wAfter w:w="1212" w:type="dxa"/>
          <w:trHeight w:val="573"/>
        </w:trPr>
        <w:tc>
          <w:tcPr>
            <w:tcW w:w="3223" w:type="dxa"/>
            <w:tcBorders>
              <w:top w:val="nil"/>
              <w:left w:val="single" w:sz="8" w:space="0" w:color="auto"/>
              <w:bottom w:val="single" w:sz="8" w:space="0" w:color="auto"/>
              <w:right w:val="nil"/>
            </w:tcBorders>
            <w:shd w:val="clear" w:color="auto" w:fill="244062"/>
            <w:vAlign w:val="center"/>
            <w:hideMark/>
          </w:tcPr>
          <w:p w14:paraId="327A77C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5" w:type="dxa"/>
            <w:gridSpan w:val="3"/>
            <w:tcBorders>
              <w:top w:val="single" w:sz="8" w:space="0" w:color="auto"/>
              <w:left w:val="nil"/>
              <w:bottom w:val="single" w:sz="8" w:space="0" w:color="auto"/>
              <w:right w:val="single" w:sz="8" w:space="0" w:color="000000"/>
            </w:tcBorders>
            <w:vAlign w:val="center"/>
          </w:tcPr>
          <w:p w14:paraId="1F51A7F8"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Infrastructure, market integration aimed at increasing the tradeable capacity, consumer protection and </w:t>
            </w:r>
            <w:r w:rsidR="00343B13" w:rsidRPr="00A33AE8">
              <w:rPr>
                <w:rFonts w:ascii="Calibri Light" w:eastAsia="Times New Roman" w:hAnsi="Calibri Light" w:cs="Calibri Light"/>
                <w:color w:val="000000"/>
                <w:sz w:val="20"/>
                <w:szCs w:val="20"/>
                <w:lang w:eastAsia="en-GB"/>
              </w:rPr>
              <w:t>gasification of South Serbia</w:t>
            </w:r>
          </w:p>
        </w:tc>
      </w:tr>
      <w:tr w:rsidR="004B0D7C" w:rsidRPr="00A33AE8" w14:paraId="77CB7B64" w14:textId="77777777" w:rsidTr="004B0D7C">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5F466EB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5" w:type="dxa"/>
            <w:gridSpan w:val="3"/>
            <w:tcBorders>
              <w:top w:val="single" w:sz="8" w:space="0" w:color="auto"/>
              <w:left w:val="nil"/>
              <w:bottom w:val="single" w:sz="8" w:space="0" w:color="auto"/>
              <w:right w:val="single" w:sz="8" w:space="0" w:color="000000"/>
            </w:tcBorders>
            <w:vAlign w:val="center"/>
          </w:tcPr>
          <w:p w14:paraId="2C133455"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Increased interconnection capacity </w:t>
            </w:r>
          </w:p>
        </w:tc>
      </w:tr>
      <w:tr w:rsidR="004B0D7C" w:rsidRPr="00A33AE8" w14:paraId="086012E5" w14:textId="77777777" w:rsidTr="004B0D7C">
        <w:trPr>
          <w:gridAfter w:val="1"/>
          <w:wAfter w:w="1212" w:type="dxa"/>
          <w:trHeight w:val="677"/>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5449955A"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5" w:type="dxa"/>
            <w:gridSpan w:val="3"/>
            <w:tcBorders>
              <w:top w:val="single" w:sz="8" w:space="0" w:color="auto"/>
              <w:left w:val="nil"/>
              <w:bottom w:val="single" w:sz="8" w:space="0" w:color="auto"/>
              <w:right w:val="single" w:sz="8" w:space="0" w:color="000000"/>
            </w:tcBorders>
            <w:vAlign w:val="center"/>
            <w:hideMark/>
          </w:tcPr>
          <w:p w14:paraId="25F3786F" w14:textId="1626399A"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Development of the transport gas pipeline network</w:t>
            </w:r>
            <w:r w:rsidR="00343B13" w:rsidRPr="00A33AE8">
              <w:rPr>
                <w:rFonts w:asciiTheme="majorHAnsi" w:eastAsia="Times New Roman" w:hAnsiTheme="majorHAnsi" w:cstheme="majorHAnsi"/>
                <w:color w:val="000000"/>
                <w:sz w:val="20"/>
                <w:szCs w:val="20"/>
                <w:lang w:eastAsia="en-GB"/>
              </w:rPr>
              <w:t xml:space="preserve"> of 71km length</w:t>
            </w:r>
            <w:r w:rsidRPr="00A33AE8">
              <w:rPr>
                <w:rFonts w:asciiTheme="majorHAnsi" w:eastAsia="Times New Roman" w:hAnsiTheme="majorHAnsi" w:cstheme="majorHAnsi"/>
                <w:color w:val="000000"/>
                <w:sz w:val="20"/>
                <w:szCs w:val="20"/>
                <w:lang w:eastAsia="en-GB"/>
              </w:rPr>
              <w:t xml:space="preserve">, diameter DN </w:t>
            </w:r>
            <w:r w:rsidR="00343B13" w:rsidRPr="00A33AE8">
              <w:rPr>
                <w:rFonts w:asciiTheme="majorHAnsi" w:eastAsia="Times New Roman" w:hAnsiTheme="majorHAnsi" w:cstheme="majorHAnsi"/>
                <w:color w:val="000000"/>
                <w:sz w:val="20"/>
                <w:szCs w:val="20"/>
                <w:lang w:eastAsia="en-GB"/>
              </w:rPr>
              <w:t xml:space="preserve">500 </w:t>
            </w:r>
            <w:r w:rsidRPr="00A33AE8">
              <w:rPr>
                <w:rFonts w:asciiTheme="majorHAnsi" w:eastAsia="Times New Roman" w:hAnsiTheme="majorHAnsi" w:cstheme="majorHAnsi"/>
                <w:color w:val="000000"/>
                <w:sz w:val="20"/>
                <w:szCs w:val="20"/>
                <w:lang w:eastAsia="en-GB"/>
              </w:rPr>
              <w:t>mm</w:t>
            </w:r>
            <w:r w:rsidR="002636E0">
              <w:rPr>
                <w:rFonts w:asciiTheme="majorHAnsi" w:eastAsia="Times New Roman" w:hAnsiTheme="majorHAnsi" w:cstheme="majorHAnsi"/>
                <w:color w:val="000000"/>
                <w:sz w:val="20"/>
                <w:szCs w:val="20"/>
                <w:lang w:eastAsia="en-GB"/>
              </w:rPr>
              <w:t>.</w:t>
            </w:r>
          </w:p>
        </w:tc>
      </w:tr>
      <w:tr w:rsidR="004B0D7C" w:rsidRPr="00A33AE8" w14:paraId="6E5B1CF9" w14:textId="77777777" w:rsidTr="004B0D7C">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68C1832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5" w:type="dxa"/>
            <w:gridSpan w:val="3"/>
            <w:tcBorders>
              <w:top w:val="single" w:sz="8" w:space="0" w:color="auto"/>
              <w:left w:val="nil"/>
              <w:bottom w:val="single" w:sz="8" w:space="0" w:color="auto"/>
              <w:right w:val="single" w:sz="8" w:space="0" w:color="000000"/>
            </w:tcBorders>
            <w:vAlign w:val="center"/>
            <w:hideMark/>
          </w:tcPr>
          <w:p w14:paraId="62D05BB5"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w:t>
            </w:r>
            <w:r w:rsidR="00DA0DB3" w:rsidRPr="00A33AE8">
              <w:rPr>
                <w:rFonts w:asciiTheme="majorHAnsi" w:eastAsia="Times New Roman" w:hAnsiTheme="majorHAnsi" w:cstheme="majorHAnsi"/>
                <w:color w:val="000000"/>
                <w:sz w:val="20"/>
                <w:szCs w:val="20"/>
                <w:lang w:eastAsia="en-GB"/>
              </w:rPr>
              <w:t>20</w:t>
            </w:r>
            <w:r w:rsidR="00DA0DB3">
              <w:rPr>
                <w:rFonts w:asciiTheme="majorHAnsi" w:eastAsia="Times New Roman" w:hAnsiTheme="majorHAnsi" w:cstheme="majorHAnsi"/>
                <w:color w:val="000000"/>
                <w:sz w:val="20"/>
                <w:szCs w:val="20"/>
                <w:lang w:eastAsia="en-GB"/>
              </w:rPr>
              <w:t>26</w:t>
            </w:r>
          </w:p>
        </w:tc>
      </w:tr>
      <w:tr w:rsidR="004B0D7C" w:rsidRPr="00A33AE8" w14:paraId="530E1D76" w14:textId="77777777" w:rsidTr="004B0D7C">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38735DB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5" w:type="dxa"/>
            <w:gridSpan w:val="3"/>
            <w:tcBorders>
              <w:top w:val="single" w:sz="8" w:space="0" w:color="auto"/>
              <w:left w:val="nil"/>
              <w:bottom w:val="single" w:sz="8" w:space="0" w:color="auto"/>
              <w:right w:val="single" w:sz="8" w:space="0" w:color="000000"/>
            </w:tcBorders>
            <w:vAlign w:val="center"/>
            <w:hideMark/>
          </w:tcPr>
          <w:p w14:paraId="3CDF06A1"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53F837D7" w14:textId="77777777" w:rsidTr="004B0D7C">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5F8D22F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5" w:type="dxa"/>
            <w:gridSpan w:val="3"/>
            <w:tcBorders>
              <w:top w:val="single" w:sz="8" w:space="0" w:color="auto"/>
              <w:left w:val="nil"/>
              <w:bottom w:val="single" w:sz="8" w:space="0" w:color="auto"/>
              <w:right w:val="single" w:sz="8" w:space="0" w:color="000000"/>
            </w:tcBorders>
            <w:vAlign w:val="center"/>
            <w:hideMark/>
          </w:tcPr>
          <w:p w14:paraId="448240AE"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0D7C" w:rsidRPr="00A33AE8" w14:paraId="75DC6220" w14:textId="77777777" w:rsidTr="004B0D7C">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74830AC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5" w:type="dxa"/>
            <w:gridSpan w:val="3"/>
            <w:tcBorders>
              <w:top w:val="single" w:sz="8" w:space="0" w:color="auto"/>
              <w:left w:val="nil"/>
              <w:bottom w:val="single" w:sz="8" w:space="0" w:color="auto"/>
              <w:right w:val="single" w:sz="8" w:space="0" w:color="000000"/>
            </w:tcBorders>
            <w:vAlign w:val="center"/>
            <w:hideMark/>
          </w:tcPr>
          <w:p w14:paraId="62411556"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r w:rsidR="00343B13" w:rsidRPr="00A33AE8">
              <w:rPr>
                <w:rFonts w:asciiTheme="majorHAnsi" w:eastAsia="Times New Roman" w:hAnsiTheme="majorHAnsi" w:cstheme="majorHAnsi"/>
                <w:color w:val="000000"/>
                <w:sz w:val="20"/>
                <w:szCs w:val="20"/>
                <w:lang w:eastAsia="en-GB"/>
              </w:rPr>
              <w:t>, Jugorosgaz Transport</w:t>
            </w:r>
          </w:p>
        </w:tc>
      </w:tr>
      <w:tr w:rsidR="004B0D7C" w:rsidRPr="00A33AE8" w14:paraId="2A9FA46C" w14:textId="77777777" w:rsidTr="004B0D7C">
        <w:trPr>
          <w:gridAfter w:val="1"/>
          <w:wAfter w:w="1212" w:type="dxa"/>
          <w:trHeight w:val="315"/>
        </w:trPr>
        <w:tc>
          <w:tcPr>
            <w:tcW w:w="3223" w:type="dxa"/>
            <w:tcBorders>
              <w:top w:val="nil"/>
              <w:left w:val="single" w:sz="8" w:space="0" w:color="auto"/>
              <w:bottom w:val="single" w:sz="8" w:space="0" w:color="auto"/>
              <w:right w:val="nil"/>
            </w:tcBorders>
            <w:shd w:val="clear" w:color="auto" w:fill="244062"/>
            <w:vAlign w:val="center"/>
            <w:hideMark/>
          </w:tcPr>
          <w:p w14:paraId="22AD565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5" w:type="dxa"/>
            <w:gridSpan w:val="3"/>
            <w:tcBorders>
              <w:top w:val="single" w:sz="8" w:space="0" w:color="auto"/>
              <w:left w:val="nil"/>
              <w:bottom w:val="single" w:sz="8" w:space="0" w:color="auto"/>
              <w:right w:val="single" w:sz="8" w:space="0" w:color="000000"/>
            </w:tcBorders>
            <w:vAlign w:val="center"/>
            <w:hideMark/>
          </w:tcPr>
          <w:p w14:paraId="6ED54275"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66364F7"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Ministry of </w:t>
            </w:r>
            <w:r w:rsidR="00081D7A" w:rsidRPr="00A33AE8">
              <w:rPr>
                <w:rFonts w:ascii="Calibri Light" w:eastAsia="Times New Roman" w:hAnsi="Calibri Light" w:cs="Calibri Light"/>
                <w:color w:val="000000"/>
                <w:sz w:val="20"/>
                <w:szCs w:val="20"/>
                <w:lang w:eastAsia="en-GB"/>
              </w:rPr>
              <w:t xml:space="preserve">Construction, Transport and </w:t>
            </w:r>
            <w:r w:rsidRPr="00A33AE8">
              <w:rPr>
                <w:rFonts w:ascii="Calibri Light" w:eastAsia="Times New Roman" w:hAnsi="Calibri Light" w:cs="Calibri Light"/>
                <w:color w:val="000000"/>
                <w:sz w:val="20"/>
                <w:szCs w:val="20"/>
                <w:lang w:eastAsia="en-GB"/>
              </w:rPr>
              <w:t>Infrastructure</w:t>
            </w:r>
          </w:p>
          <w:p w14:paraId="2E24FEEB"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5C545722" w14:textId="77777777" w:rsidR="004B0D7C" w:rsidRPr="000007D2" w:rsidRDefault="00DF5835"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7B656469" w14:textId="77777777" w:rsidTr="004B0D7C">
        <w:trPr>
          <w:gridAfter w:val="1"/>
          <w:wAfter w:w="1212" w:type="dxa"/>
          <w:trHeight w:val="315"/>
        </w:trPr>
        <w:tc>
          <w:tcPr>
            <w:tcW w:w="3223" w:type="dxa"/>
            <w:tcBorders>
              <w:top w:val="nil"/>
              <w:left w:val="single" w:sz="8" w:space="0" w:color="auto"/>
              <w:bottom w:val="single" w:sz="8" w:space="0" w:color="auto"/>
              <w:right w:val="nil"/>
            </w:tcBorders>
            <w:shd w:val="clear" w:color="auto" w:fill="244062"/>
            <w:vAlign w:val="center"/>
            <w:hideMark/>
          </w:tcPr>
          <w:p w14:paraId="49737A6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5" w:type="dxa"/>
            <w:gridSpan w:val="3"/>
            <w:tcBorders>
              <w:top w:val="single" w:sz="8" w:space="0" w:color="auto"/>
              <w:left w:val="nil"/>
              <w:bottom w:val="single" w:sz="8" w:space="0" w:color="auto"/>
              <w:right w:val="single" w:sz="8" w:space="0" w:color="000000"/>
            </w:tcBorders>
            <w:vAlign w:val="center"/>
            <w:hideMark/>
          </w:tcPr>
          <w:p w14:paraId="6E2ACF73"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60F631C1" w14:textId="77777777" w:rsidTr="004B0D7C">
        <w:trPr>
          <w:gridAfter w:val="1"/>
          <w:wAfter w:w="1212" w:type="dxa"/>
          <w:trHeight w:val="469"/>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7BCA173D"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5" w:type="dxa"/>
            <w:gridSpan w:val="3"/>
            <w:tcBorders>
              <w:top w:val="single" w:sz="8" w:space="0" w:color="auto"/>
              <w:left w:val="nil"/>
              <w:bottom w:val="single" w:sz="8" w:space="0" w:color="auto"/>
              <w:right w:val="single" w:sz="8" w:space="0" w:color="000000"/>
            </w:tcBorders>
            <w:vAlign w:val="center"/>
            <w:hideMark/>
          </w:tcPr>
          <w:p w14:paraId="12EA6C2F" w14:textId="77777777" w:rsidR="005068B2" w:rsidRPr="00A33AE8" w:rsidRDefault="005068B2" w:rsidP="00884F3B">
            <w:pPr>
              <w:pStyle w:val="ListParagraph"/>
              <w:numPr>
                <w:ilvl w:val="0"/>
                <w:numId w:val="5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464505A4" w14:textId="77777777" w:rsidR="00A0226E" w:rsidRPr="00A33AE8" w:rsidRDefault="00A0226E" w:rsidP="00884F3B">
            <w:pPr>
              <w:pStyle w:val="ListParagraph"/>
              <w:numPr>
                <w:ilvl w:val="0"/>
                <w:numId w:val="5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0D7C" w:rsidRPr="00A33AE8" w14:paraId="072C23B2" w14:textId="77777777" w:rsidTr="004B0D7C">
        <w:trPr>
          <w:gridAfter w:val="1"/>
          <w:wAfter w:w="1212" w:type="dxa"/>
          <w:trHeight w:val="450"/>
        </w:trPr>
        <w:tc>
          <w:tcPr>
            <w:tcW w:w="3223" w:type="dxa"/>
            <w:vMerge w:val="restart"/>
            <w:tcBorders>
              <w:top w:val="nil"/>
              <w:left w:val="single" w:sz="8" w:space="0" w:color="auto"/>
              <w:bottom w:val="single" w:sz="8" w:space="0" w:color="000000"/>
              <w:right w:val="single" w:sz="8" w:space="0" w:color="auto"/>
            </w:tcBorders>
            <w:shd w:val="clear" w:color="auto" w:fill="244062"/>
            <w:vAlign w:val="center"/>
            <w:hideMark/>
          </w:tcPr>
          <w:p w14:paraId="5FDF966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5"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1F99A65E"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6490196C"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No 347/2013 </w:t>
            </w:r>
          </w:p>
        </w:tc>
      </w:tr>
      <w:tr w:rsidR="004B0D7C" w:rsidRPr="00A33AE8" w14:paraId="407199E2"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436226E0"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65" w:type="dxa"/>
            <w:gridSpan w:val="3"/>
            <w:vMerge/>
            <w:tcBorders>
              <w:top w:val="single" w:sz="8" w:space="0" w:color="auto"/>
              <w:left w:val="single" w:sz="8" w:space="0" w:color="auto"/>
              <w:bottom w:val="single" w:sz="8" w:space="0" w:color="000000"/>
              <w:right w:val="single" w:sz="8" w:space="0" w:color="000000"/>
            </w:tcBorders>
            <w:vAlign w:val="center"/>
            <w:hideMark/>
          </w:tcPr>
          <w:p w14:paraId="277A3698"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68D292E" w14:textId="77777777" w:rsidR="004B0D7C" w:rsidRPr="00A33AE8" w:rsidRDefault="004B0D7C" w:rsidP="004B0D7C"/>
        </w:tc>
      </w:tr>
      <w:tr w:rsidR="004B0D7C" w:rsidRPr="00A33AE8" w14:paraId="0EFC0937" w14:textId="77777777" w:rsidTr="004B0D7C">
        <w:trPr>
          <w:trHeight w:val="315"/>
        </w:trPr>
        <w:tc>
          <w:tcPr>
            <w:tcW w:w="0" w:type="auto"/>
            <w:vMerge/>
            <w:tcBorders>
              <w:top w:val="nil"/>
              <w:left w:val="single" w:sz="8" w:space="0" w:color="auto"/>
              <w:bottom w:val="single" w:sz="8" w:space="0" w:color="000000"/>
              <w:right w:val="single" w:sz="8" w:space="0" w:color="auto"/>
            </w:tcBorders>
            <w:vAlign w:val="center"/>
            <w:hideMark/>
          </w:tcPr>
          <w:p w14:paraId="61295A93"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65" w:type="dxa"/>
            <w:gridSpan w:val="3"/>
            <w:vMerge/>
            <w:tcBorders>
              <w:top w:val="single" w:sz="8" w:space="0" w:color="auto"/>
              <w:left w:val="single" w:sz="8" w:space="0" w:color="auto"/>
              <w:bottom w:val="single" w:sz="8" w:space="0" w:color="000000"/>
              <w:right w:val="single" w:sz="8" w:space="0" w:color="000000"/>
            </w:tcBorders>
            <w:vAlign w:val="center"/>
            <w:hideMark/>
          </w:tcPr>
          <w:p w14:paraId="0A84B3B0"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FEE2B33" w14:textId="77777777" w:rsidR="004B0D7C" w:rsidRPr="00A33AE8" w:rsidRDefault="004B0D7C" w:rsidP="004B0D7C">
            <w:pPr>
              <w:spacing w:after="0" w:line="256" w:lineRule="auto"/>
              <w:rPr>
                <w:sz w:val="20"/>
                <w:szCs w:val="20"/>
                <w:lang w:eastAsia="en-GB"/>
              </w:rPr>
            </w:pPr>
          </w:p>
        </w:tc>
      </w:tr>
      <w:tr w:rsidR="004B0D7C" w:rsidRPr="00A33AE8" w14:paraId="7FB6CC2D" w14:textId="77777777" w:rsidTr="004B0D7C">
        <w:trPr>
          <w:trHeight w:val="780"/>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75FA339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5" w:type="dxa"/>
            <w:gridSpan w:val="3"/>
            <w:tcBorders>
              <w:top w:val="single" w:sz="8" w:space="0" w:color="auto"/>
              <w:left w:val="nil"/>
              <w:bottom w:val="single" w:sz="8" w:space="0" w:color="auto"/>
              <w:right w:val="single" w:sz="8" w:space="0" w:color="000000"/>
            </w:tcBorders>
            <w:vAlign w:val="center"/>
            <w:hideMark/>
          </w:tcPr>
          <w:p w14:paraId="1A9ABD18" w14:textId="77777777" w:rsidR="004B0D7C" w:rsidRPr="00A33AE8" w:rsidRDefault="004B0D7C" w:rsidP="00884F3B">
            <w:pPr>
              <w:pStyle w:val="ListParagraph"/>
              <w:numPr>
                <w:ilvl w:val="0"/>
                <w:numId w:val="5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3D54F7E4"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7FB77ED0" w14:textId="77777777" w:rsidTr="004B0D7C">
        <w:trPr>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22C3DF33"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5" w:type="dxa"/>
            <w:gridSpan w:val="3"/>
            <w:tcBorders>
              <w:top w:val="single" w:sz="8" w:space="0" w:color="auto"/>
              <w:left w:val="nil"/>
              <w:bottom w:val="single" w:sz="8" w:space="0" w:color="auto"/>
              <w:right w:val="single" w:sz="8" w:space="0" w:color="000000"/>
            </w:tcBorders>
            <w:vAlign w:val="center"/>
            <w:hideMark/>
          </w:tcPr>
          <w:p w14:paraId="4F565CF3" w14:textId="77777777" w:rsidR="004B0D7C" w:rsidRPr="00A33AE8" w:rsidRDefault="004B0D7C" w:rsidP="004B0D7C">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50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3F38C3AC"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05601325" w14:textId="77777777" w:rsidTr="004B0D7C">
        <w:trPr>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3D88EFE4"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5" w:type="dxa"/>
            <w:gridSpan w:val="3"/>
            <w:tcBorders>
              <w:top w:val="single" w:sz="8" w:space="0" w:color="auto"/>
              <w:left w:val="nil"/>
              <w:bottom w:val="single" w:sz="8" w:space="0" w:color="auto"/>
              <w:right w:val="single" w:sz="8" w:space="0" w:color="000000"/>
            </w:tcBorders>
            <w:vAlign w:val="center"/>
            <w:hideMark/>
          </w:tcPr>
          <w:p w14:paraId="4967E142" w14:textId="77777777" w:rsidR="00B92935" w:rsidRPr="00A33AE8" w:rsidRDefault="00B92935" w:rsidP="00B92935">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own</w:t>
            </w:r>
            <w:r w:rsidRPr="00A33AE8">
              <w:rPr>
                <w:rFonts w:ascii="Calibri Light" w:eastAsia="Times New Roman" w:hAnsi="Calibri Light" w:cs="Calibri Light"/>
                <w:color w:val="000000"/>
                <w:sz w:val="20"/>
                <w:szCs w:val="20"/>
                <w:lang w:eastAsia="en-GB"/>
              </w:rPr>
              <w:t xml:space="preserve"> funds</w:t>
            </w:r>
          </w:p>
        </w:tc>
        <w:tc>
          <w:tcPr>
            <w:tcW w:w="1212" w:type="dxa"/>
            <w:vAlign w:val="center"/>
            <w:hideMark/>
          </w:tcPr>
          <w:p w14:paraId="31397C3E"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51CB23E5"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08"/>
        <w:gridCol w:w="1358"/>
        <w:gridCol w:w="919"/>
        <w:gridCol w:w="4003"/>
        <w:gridCol w:w="1212"/>
      </w:tblGrid>
      <w:tr w:rsidR="00690C0D" w:rsidRPr="00A33AE8" w14:paraId="70C468DE" w14:textId="77777777" w:rsidTr="004B0D7C">
        <w:trPr>
          <w:gridAfter w:val="1"/>
          <w:wAfter w:w="1212" w:type="dxa"/>
          <w:trHeight w:val="780"/>
        </w:trPr>
        <w:tc>
          <w:tcPr>
            <w:tcW w:w="320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92CDD88"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493BA656"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8</w:t>
            </w:r>
            <w:r w:rsidRPr="00A33AE8">
              <w:rPr>
                <w:rFonts w:asciiTheme="majorHAnsi" w:eastAsia="Times New Roman" w:hAnsiTheme="majorHAnsi" w:cstheme="majorHAnsi"/>
                <w:b/>
                <w:bCs/>
                <w:color w:val="000000"/>
                <w:sz w:val="20"/>
                <w:szCs w:val="20"/>
                <w:lang w:eastAsia="en-GB"/>
              </w:rPr>
              <w:t>.6</w:t>
            </w:r>
          </w:p>
        </w:tc>
        <w:tc>
          <w:tcPr>
            <w:tcW w:w="919" w:type="dxa"/>
            <w:tcBorders>
              <w:top w:val="single" w:sz="8" w:space="0" w:color="auto"/>
              <w:left w:val="nil"/>
              <w:bottom w:val="single" w:sz="8" w:space="0" w:color="auto"/>
              <w:right w:val="single" w:sz="8" w:space="0" w:color="auto"/>
            </w:tcBorders>
            <w:shd w:val="clear" w:color="auto" w:fill="244062"/>
            <w:vAlign w:val="center"/>
            <w:hideMark/>
          </w:tcPr>
          <w:p w14:paraId="10691BDE"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03" w:type="dxa"/>
            <w:tcBorders>
              <w:top w:val="single" w:sz="8" w:space="0" w:color="auto"/>
              <w:left w:val="nil"/>
              <w:bottom w:val="single" w:sz="8" w:space="0" w:color="auto"/>
              <w:right w:val="single" w:sz="8" w:space="0" w:color="auto"/>
            </w:tcBorders>
            <w:shd w:val="clear" w:color="auto" w:fill="E7E6E6" w:themeFill="background2"/>
            <w:vAlign w:val="center"/>
            <w:hideMark/>
          </w:tcPr>
          <w:p w14:paraId="2B5ED955"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bookmarkStart w:id="179" w:name="_Hlk113476599"/>
            <w:r w:rsidRPr="00A33AE8">
              <w:rPr>
                <w:rFonts w:asciiTheme="majorHAnsi" w:eastAsia="Times New Roman" w:hAnsiTheme="majorHAnsi" w:cstheme="majorHAnsi"/>
                <w:b/>
                <w:bCs/>
                <w:color w:val="000000"/>
                <w:sz w:val="20"/>
                <w:szCs w:val="20"/>
                <w:lang w:eastAsia="en-GB"/>
              </w:rPr>
              <w:t>Gas pipeline - interconnection with Montenegro</w:t>
            </w:r>
            <w:bookmarkEnd w:id="179"/>
          </w:p>
        </w:tc>
      </w:tr>
      <w:tr w:rsidR="004B0D7C" w:rsidRPr="00A33AE8" w14:paraId="697F2E7D" w14:textId="77777777" w:rsidTr="004B0D7C">
        <w:trPr>
          <w:gridAfter w:val="1"/>
          <w:wAfter w:w="1212" w:type="dxa"/>
          <w:trHeight w:val="623"/>
        </w:trPr>
        <w:tc>
          <w:tcPr>
            <w:tcW w:w="3208" w:type="dxa"/>
            <w:tcBorders>
              <w:top w:val="nil"/>
              <w:left w:val="single" w:sz="8" w:space="0" w:color="auto"/>
              <w:bottom w:val="single" w:sz="8" w:space="0" w:color="auto"/>
              <w:right w:val="nil"/>
            </w:tcBorders>
            <w:shd w:val="clear" w:color="auto" w:fill="244062"/>
            <w:vAlign w:val="center"/>
            <w:hideMark/>
          </w:tcPr>
          <w:p w14:paraId="39F8086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80" w:type="dxa"/>
            <w:gridSpan w:val="3"/>
            <w:tcBorders>
              <w:top w:val="single" w:sz="8" w:space="0" w:color="auto"/>
              <w:left w:val="nil"/>
              <w:bottom w:val="single" w:sz="8" w:space="0" w:color="auto"/>
              <w:right w:val="single" w:sz="8" w:space="0" w:color="000000"/>
            </w:tcBorders>
            <w:vAlign w:val="center"/>
          </w:tcPr>
          <w:p w14:paraId="7B68407E"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74975B20"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4F27500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80" w:type="dxa"/>
            <w:gridSpan w:val="3"/>
            <w:tcBorders>
              <w:top w:val="single" w:sz="8" w:space="0" w:color="auto"/>
              <w:left w:val="nil"/>
              <w:bottom w:val="single" w:sz="8" w:space="0" w:color="auto"/>
              <w:right w:val="single" w:sz="8" w:space="0" w:color="000000"/>
            </w:tcBorders>
            <w:vAlign w:val="center"/>
          </w:tcPr>
          <w:p w14:paraId="32369FA5"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Increased interconnection capacity</w:t>
            </w:r>
          </w:p>
        </w:tc>
      </w:tr>
      <w:tr w:rsidR="004B0D7C" w:rsidRPr="00A33AE8" w14:paraId="0A93BEC7" w14:textId="77777777" w:rsidTr="004B0D7C">
        <w:trPr>
          <w:gridAfter w:val="1"/>
          <w:wAfter w:w="1212" w:type="dxa"/>
          <w:trHeight w:val="623"/>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6D8FC0D3"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80" w:type="dxa"/>
            <w:gridSpan w:val="3"/>
            <w:tcBorders>
              <w:top w:val="single" w:sz="8" w:space="0" w:color="auto"/>
              <w:left w:val="nil"/>
              <w:bottom w:val="single" w:sz="8" w:space="0" w:color="auto"/>
              <w:right w:val="single" w:sz="8" w:space="0" w:color="000000"/>
            </w:tcBorders>
            <w:vAlign w:val="center"/>
            <w:hideMark/>
          </w:tcPr>
          <w:p w14:paraId="3EE55590"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Capacity 1.5 billion m3 / year. Construction of the gas pipeline - interconnection with Montenegro will contribute to the diversification of gas supply routes and will enable connection through another national gas system with the IAP gas pipeline.</w:t>
            </w:r>
          </w:p>
          <w:p w14:paraId="7F105957"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project contributes to increasing security of supply, market development and increasing competition in the natural gas market.</w:t>
            </w:r>
          </w:p>
          <w:p w14:paraId="31404B41"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Diversification of natural gas supply sources in accordance with European rules; section length-114 km, diameter DN 500 mm, maximum inlet pressure 50 bar, minimum inlet pressure 16 bar, year of investment start 2024, planned year of commissioning 2028, planned annual quantity 1000 million Sm³ / year, max. daily (technical) capacity 2.7 million Sm³ / day</w:t>
            </w:r>
          </w:p>
        </w:tc>
      </w:tr>
      <w:tr w:rsidR="004B0D7C" w:rsidRPr="00A33AE8" w14:paraId="2A040BCB"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610A9AA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80" w:type="dxa"/>
            <w:gridSpan w:val="3"/>
            <w:tcBorders>
              <w:top w:val="single" w:sz="8" w:space="0" w:color="auto"/>
              <w:left w:val="nil"/>
              <w:bottom w:val="single" w:sz="8" w:space="0" w:color="auto"/>
              <w:right w:val="single" w:sz="8" w:space="0" w:color="000000"/>
            </w:tcBorders>
            <w:vAlign w:val="center"/>
            <w:hideMark/>
          </w:tcPr>
          <w:p w14:paraId="6EDCDC80"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2026-2030</w:t>
            </w:r>
          </w:p>
        </w:tc>
      </w:tr>
      <w:tr w:rsidR="004B0D7C" w:rsidRPr="00A33AE8" w14:paraId="3F2808EA"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84536CC"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80" w:type="dxa"/>
            <w:gridSpan w:val="3"/>
            <w:tcBorders>
              <w:top w:val="single" w:sz="8" w:space="0" w:color="auto"/>
              <w:left w:val="nil"/>
              <w:bottom w:val="single" w:sz="8" w:space="0" w:color="auto"/>
              <w:right w:val="single" w:sz="8" w:space="0" w:color="000000"/>
            </w:tcBorders>
            <w:vAlign w:val="center"/>
            <w:hideMark/>
          </w:tcPr>
          <w:p w14:paraId="125417F7"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44E72591"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DEADCF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80" w:type="dxa"/>
            <w:gridSpan w:val="3"/>
            <w:tcBorders>
              <w:top w:val="single" w:sz="8" w:space="0" w:color="auto"/>
              <w:left w:val="nil"/>
              <w:bottom w:val="single" w:sz="8" w:space="0" w:color="auto"/>
              <w:right w:val="single" w:sz="8" w:space="0" w:color="000000"/>
            </w:tcBorders>
            <w:vAlign w:val="center"/>
            <w:hideMark/>
          </w:tcPr>
          <w:p w14:paraId="362BAF0C"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0D7C" w:rsidRPr="00A33AE8" w14:paraId="7C501C8B"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2990D1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7497BD8F"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p>
        </w:tc>
      </w:tr>
      <w:tr w:rsidR="004B0D7C" w:rsidRPr="00A33AE8" w14:paraId="6A952073"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2863FB9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1EB82D92"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1AB8FFBA"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Ministry of </w:t>
            </w:r>
            <w:r w:rsidR="00081D7A" w:rsidRPr="00A33AE8">
              <w:rPr>
                <w:rFonts w:ascii="Calibri Light" w:eastAsia="Times New Roman" w:hAnsi="Calibri Light" w:cs="Calibri Light"/>
                <w:color w:val="000000"/>
                <w:sz w:val="20"/>
                <w:szCs w:val="20"/>
                <w:lang w:eastAsia="en-GB"/>
              </w:rPr>
              <w:t xml:space="preserve">Construction, Transport and </w:t>
            </w:r>
            <w:r w:rsidRPr="00A33AE8">
              <w:rPr>
                <w:rFonts w:ascii="Calibri Light" w:eastAsia="Times New Roman" w:hAnsi="Calibri Light" w:cs="Calibri Light"/>
                <w:color w:val="000000"/>
                <w:sz w:val="20"/>
                <w:szCs w:val="20"/>
                <w:lang w:eastAsia="en-GB"/>
              </w:rPr>
              <w:t>Infrastructure</w:t>
            </w:r>
          </w:p>
          <w:p w14:paraId="46373333"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4EB400F2" w14:textId="77777777" w:rsidR="004B0D7C" w:rsidRPr="000007D2" w:rsidRDefault="00DF5835"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7323DFBE"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760AC22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80" w:type="dxa"/>
            <w:gridSpan w:val="3"/>
            <w:tcBorders>
              <w:top w:val="single" w:sz="8" w:space="0" w:color="auto"/>
              <w:left w:val="nil"/>
              <w:bottom w:val="single" w:sz="8" w:space="0" w:color="auto"/>
              <w:right w:val="single" w:sz="8" w:space="0" w:color="000000"/>
            </w:tcBorders>
            <w:vAlign w:val="center"/>
            <w:hideMark/>
          </w:tcPr>
          <w:p w14:paraId="15C64A7A"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7AAF55D6" w14:textId="77777777" w:rsidTr="00A0226E">
        <w:trPr>
          <w:gridAfter w:val="1"/>
          <w:wAfter w:w="1212" w:type="dxa"/>
          <w:trHeight w:val="58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424B696B"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80" w:type="dxa"/>
            <w:gridSpan w:val="3"/>
            <w:tcBorders>
              <w:top w:val="single" w:sz="8" w:space="0" w:color="auto"/>
              <w:left w:val="nil"/>
              <w:bottom w:val="single" w:sz="8" w:space="0" w:color="auto"/>
              <w:right w:val="single" w:sz="8" w:space="0" w:color="000000"/>
            </w:tcBorders>
            <w:vAlign w:val="center"/>
            <w:hideMark/>
          </w:tcPr>
          <w:p w14:paraId="62180F34"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500C15DB"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0D7C" w:rsidRPr="00A33AE8" w14:paraId="6418B876" w14:textId="77777777" w:rsidTr="004B0D7C">
        <w:trPr>
          <w:gridAfter w:val="1"/>
          <w:wAfter w:w="1212" w:type="dxa"/>
          <w:trHeight w:val="450"/>
        </w:trPr>
        <w:tc>
          <w:tcPr>
            <w:tcW w:w="3208" w:type="dxa"/>
            <w:vMerge w:val="restart"/>
            <w:tcBorders>
              <w:top w:val="nil"/>
              <w:left w:val="single" w:sz="8" w:space="0" w:color="auto"/>
              <w:bottom w:val="single" w:sz="8" w:space="0" w:color="000000"/>
              <w:right w:val="single" w:sz="8" w:space="0" w:color="auto"/>
            </w:tcBorders>
            <w:shd w:val="clear" w:color="auto" w:fill="244062"/>
            <w:vAlign w:val="center"/>
            <w:hideMark/>
          </w:tcPr>
          <w:p w14:paraId="337CE66F"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8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9A0F52F"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0EEAE325"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No 347/2013 </w:t>
            </w:r>
          </w:p>
        </w:tc>
      </w:tr>
      <w:tr w:rsidR="004B0D7C" w:rsidRPr="00A33AE8" w14:paraId="65EEFB19"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36985A6"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2238F1AC"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D9C0815" w14:textId="77777777" w:rsidR="004B0D7C" w:rsidRPr="00A33AE8" w:rsidRDefault="004B0D7C" w:rsidP="004B0D7C"/>
        </w:tc>
      </w:tr>
      <w:tr w:rsidR="004B0D7C" w:rsidRPr="00A33AE8" w14:paraId="2E694A8C"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1C23D676"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25E72152"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EF5FFF6" w14:textId="77777777" w:rsidR="004B0D7C" w:rsidRPr="00A33AE8" w:rsidRDefault="004B0D7C" w:rsidP="004B0D7C">
            <w:pPr>
              <w:spacing w:after="0" w:line="256" w:lineRule="auto"/>
              <w:rPr>
                <w:sz w:val="20"/>
                <w:szCs w:val="20"/>
                <w:lang w:eastAsia="en-GB"/>
              </w:rPr>
            </w:pPr>
          </w:p>
        </w:tc>
      </w:tr>
      <w:tr w:rsidR="004B0D7C" w:rsidRPr="00A33AE8" w14:paraId="577272D9" w14:textId="77777777" w:rsidTr="004B0D7C">
        <w:trPr>
          <w:trHeight w:val="780"/>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85DAFF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80" w:type="dxa"/>
            <w:gridSpan w:val="3"/>
            <w:tcBorders>
              <w:top w:val="single" w:sz="8" w:space="0" w:color="auto"/>
              <w:left w:val="nil"/>
              <w:bottom w:val="single" w:sz="8" w:space="0" w:color="auto"/>
              <w:right w:val="single" w:sz="8" w:space="0" w:color="000000"/>
            </w:tcBorders>
            <w:vAlign w:val="center"/>
            <w:hideMark/>
          </w:tcPr>
          <w:p w14:paraId="5D340E56" w14:textId="77777777" w:rsidR="004B0D7C" w:rsidRPr="00A33AE8" w:rsidRDefault="004B0D7C" w:rsidP="00884F3B">
            <w:pPr>
              <w:pStyle w:val="ListParagraph"/>
              <w:numPr>
                <w:ilvl w:val="0"/>
                <w:numId w:val="5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3116EC42"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65FE9C15"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CACC4A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80" w:type="dxa"/>
            <w:gridSpan w:val="3"/>
            <w:tcBorders>
              <w:top w:val="single" w:sz="8" w:space="0" w:color="auto"/>
              <w:left w:val="nil"/>
              <w:bottom w:val="single" w:sz="8" w:space="0" w:color="auto"/>
              <w:right w:val="single" w:sz="8" w:space="0" w:color="000000"/>
            </w:tcBorders>
            <w:vAlign w:val="center"/>
            <w:hideMark/>
          </w:tcPr>
          <w:p w14:paraId="6B000723"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60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7B1EC1D2"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5CAE24FB"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3B6C923"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80" w:type="dxa"/>
            <w:gridSpan w:val="3"/>
            <w:tcBorders>
              <w:top w:val="single" w:sz="8" w:space="0" w:color="auto"/>
              <w:left w:val="nil"/>
              <w:bottom w:val="single" w:sz="8" w:space="0" w:color="auto"/>
              <w:right w:val="single" w:sz="8" w:space="0" w:color="000000"/>
            </w:tcBorders>
            <w:vAlign w:val="center"/>
            <w:hideMark/>
          </w:tcPr>
          <w:p w14:paraId="464F390D" w14:textId="77777777" w:rsidR="00B92935" w:rsidRPr="00A33AE8" w:rsidRDefault="00B92935" w:rsidP="00B92935">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684C92F1" w14:textId="77777777" w:rsidR="00B92935" w:rsidRPr="00A33AE8" w:rsidRDefault="00B92935" w:rsidP="00B92935">
            <w:pPr>
              <w:rPr>
                <w:rFonts w:ascii="Calibri" w:eastAsia="Times New Roman" w:hAnsi="Calibri" w:cs="Calibri"/>
                <w:color w:val="000000"/>
                <w:lang w:eastAsia="en-GB"/>
              </w:rPr>
            </w:pPr>
          </w:p>
        </w:tc>
      </w:tr>
    </w:tbl>
    <w:p w14:paraId="1FCD8D93"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08"/>
        <w:gridCol w:w="1358"/>
        <w:gridCol w:w="919"/>
        <w:gridCol w:w="4003"/>
        <w:gridCol w:w="1212"/>
      </w:tblGrid>
      <w:tr w:rsidR="00690C0D" w:rsidRPr="00A33AE8" w14:paraId="6266F460" w14:textId="77777777" w:rsidTr="004B0D7C">
        <w:trPr>
          <w:gridAfter w:val="1"/>
          <w:wAfter w:w="1212" w:type="dxa"/>
          <w:trHeight w:val="780"/>
        </w:trPr>
        <w:tc>
          <w:tcPr>
            <w:tcW w:w="320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BBCF275"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0AAE32DF"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8</w:t>
            </w:r>
            <w:r w:rsidRPr="00A33AE8">
              <w:rPr>
                <w:rFonts w:asciiTheme="majorHAnsi" w:eastAsia="Times New Roman" w:hAnsiTheme="majorHAnsi" w:cstheme="majorHAnsi"/>
                <w:b/>
                <w:bCs/>
                <w:color w:val="000000"/>
                <w:sz w:val="20"/>
                <w:szCs w:val="20"/>
                <w:lang w:eastAsia="en-GB"/>
              </w:rPr>
              <w:t>.7</w:t>
            </w:r>
          </w:p>
        </w:tc>
        <w:tc>
          <w:tcPr>
            <w:tcW w:w="919" w:type="dxa"/>
            <w:tcBorders>
              <w:top w:val="single" w:sz="8" w:space="0" w:color="auto"/>
              <w:left w:val="nil"/>
              <w:bottom w:val="single" w:sz="8" w:space="0" w:color="auto"/>
              <w:right w:val="single" w:sz="8" w:space="0" w:color="auto"/>
            </w:tcBorders>
            <w:shd w:val="clear" w:color="auto" w:fill="244062"/>
            <w:vAlign w:val="center"/>
            <w:hideMark/>
          </w:tcPr>
          <w:p w14:paraId="57E2499C"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03" w:type="dxa"/>
            <w:tcBorders>
              <w:top w:val="single" w:sz="8" w:space="0" w:color="auto"/>
              <w:left w:val="nil"/>
              <w:bottom w:val="single" w:sz="8" w:space="0" w:color="auto"/>
              <w:right w:val="single" w:sz="8" w:space="0" w:color="auto"/>
            </w:tcBorders>
            <w:shd w:val="clear" w:color="auto" w:fill="E7E6E6" w:themeFill="background2"/>
            <w:vAlign w:val="center"/>
            <w:hideMark/>
          </w:tcPr>
          <w:p w14:paraId="1F2ED325"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bookmarkStart w:id="180" w:name="_Hlk113476607"/>
            <w:r w:rsidRPr="00A33AE8">
              <w:rPr>
                <w:rFonts w:asciiTheme="majorHAnsi" w:eastAsia="Times New Roman" w:hAnsiTheme="majorHAnsi" w:cstheme="majorHAnsi"/>
                <w:b/>
                <w:bCs/>
                <w:color w:val="000000"/>
                <w:sz w:val="20"/>
                <w:szCs w:val="20"/>
                <w:lang w:eastAsia="en-GB"/>
              </w:rPr>
              <w:t>Project for Serbia-Macedonia gas interconnection 70.7 km, with a capacity of 0.8 billion m3/year</w:t>
            </w:r>
            <w:bookmarkEnd w:id="180"/>
          </w:p>
        </w:tc>
      </w:tr>
      <w:tr w:rsidR="004B0D7C" w:rsidRPr="00A33AE8" w14:paraId="2708C853" w14:textId="77777777" w:rsidTr="004B0D7C">
        <w:trPr>
          <w:gridAfter w:val="1"/>
          <w:wAfter w:w="1212" w:type="dxa"/>
          <w:trHeight w:val="730"/>
        </w:trPr>
        <w:tc>
          <w:tcPr>
            <w:tcW w:w="3208" w:type="dxa"/>
            <w:tcBorders>
              <w:top w:val="nil"/>
              <w:left w:val="single" w:sz="8" w:space="0" w:color="auto"/>
              <w:bottom w:val="single" w:sz="8" w:space="0" w:color="auto"/>
              <w:right w:val="nil"/>
            </w:tcBorders>
            <w:shd w:val="clear" w:color="auto" w:fill="244062"/>
            <w:vAlign w:val="center"/>
            <w:hideMark/>
          </w:tcPr>
          <w:p w14:paraId="22BA011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280" w:type="dxa"/>
            <w:gridSpan w:val="3"/>
            <w:tcBorders>
              <w:top w:val="single" w:sz="8" w:space="0" w:color="auto"/>
              <w:left w:val="nil"/>
              <w:bottom w:val="single" w:sz="8" w:space="0" w:color="auto"/>
              <w:right w:val="single" w:sz="8" w:space="0" w:color="000000"/>
            </w:tcBorders>
            <w:vAlign w:val="center"/>
          </w:tcPr>
          <w:p w14:paraId="54C86648"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646A4A01" w14:textId="77777777" w:rsidTr="004B0D7C">
        <w:trPr>
          <w:gridAfter w:val="1"/>
          <w:wAfter w:w="1212" w:type="dxa"/>
          <w:trHeight w:val="542"/>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6F9EEC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80" w:type="dxa"/>
            <w:gridSpan w:val="3"/>
            <w:tcBorders>
              <w:top w:val="single" w:sz="8" w:space="0" w:color="auto"/>
              <w:left w:val="nil"/>
              <w:bottom w:val="single" w:sz="8" w:space="0" w:color="auto"/>
              <w:right w:val="single" w:sz="8" w:space="0" w:color="000000"/>
            </w:tcBorders>
            <w:vAlign w:val="center"/>
          </w:tcPr>
          <w:p w14:paraId="0D49D482"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Increased interconnection capacity</w:t>
            </w:r>
          </w:p>
        </w:tc>
      </w:tr>
      <w:tr w:rsidR="004B0D7C" w:rsidRPr="00A33AE8" w14:paraId="7FEE482C" w14:textId="77777777" w:rsidTr="004B0D7C">
        <w:trPr>
          <w:gridAfter w:val="1"/>
          <w:wAfter w:w="1212" w:type="dxa"/>
          <w:trHeight w:val="7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CA5ECD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80" w:type="dxa"/>
            <w:gridSpan w:val="3"/>
            <w:tcBorders>
              <w:top w:val="single" w:sz="8" w:space="0" w:color="auto"/>
              <w:left w:val="nil"/>
              <w:bottom w:val="single" w:sz="8" w:space="0" w:color="auto"/>
              <w:right w:val="single" w:sz="8" w:space="0" w:color="000000"/>
            </w:tcBorders>
            <w:vAlign w:val="center"/>
            <w:hideMark/>
          </w:tcPr>
          <w:p w14:paraId="647BE432"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This is </w:t>
            </w:r>
            <w:r w:rsidR="00DF5835" w:rsidRPr="00A33AE8">
              <w:rPr>
                <w:rFonts w:asciiTheme="majorHAnsi" w:eastAsia="Times New Roman" w:hAnsiTheme="majorHAnsi" w:cstheme="majorHAnsi"/>
                <w:color w:val="000000"/>
                <w:sz w:val="20"/>
                <w:szCs w:val="20"/>
                <w:lang w:eastAsia="en-GB"/>
              </w:rPr>
              <w:t>Gas_11 Serbia-Macedonia</w:t>
            </w:r>
            <w:r w:rsidRPr="00A33AE8">
              <w:rPr>
                <w:rFonts w:asciiTheme="majorHAnsi" w:eastAsia="Times New Roman" w:hAnsiTheme="majorHAnsi" w:cstheme="majorHAnsi"/>
                <w:color w:val="000000"/>
                <w:sz w:val="20"/>
                <w:szCs w:val="20"/>
                <w:lang w:eastAsia="en-GB"/>
              </w:rPr>
              <w:t>.</w:t>
            </w:r>
          </w:p>
        </w:tc>
      </w:tr>
      <w:tr w:rsidR="004B0D7C" w:rsidRPr="00A33AE8" w14:paraId="11236BAE"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353C368"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80" w:type="dxa"/>
            <w:gridSpan w:val="3"/>
            <w:tcBorders>
              <w:top w:val="single" w:sz="8" w:space="0" w:color="auto"/>
              <w:left w:val="nil"/>
              <w:bottom w:val="single" w:sz="8" w:space="0" w:color="auto"/>
              <w:right w:val="single" w:sz="8" w:space="0" w:color="000000"/>
            </w:tcBorders>
            <w:vAlign w:val="center"/>
            <w:hideMark/>
          </w:tcPr>
          <w:p w14:paraId="6F7C5DB2"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4B0D7C" w:rsidRPr="00A33AE8" w14:paraId="1BA9C741"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6E6A8F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80" w:type="dxa"/>
            <w:gridSpan w:val="3"/>
            <w:tcBorders>
              <w:top w:val="single" w:sz="8" w:space="0" w:color="auto"/>
              <w:left w:val="nil"/>
              <w:bottom w:val="single" w:sz="8" w:space="0" w:color="auto"/>
              <w:right w:val="single" w:sz="8" w:space="0" w:color="000000"/>
            </w:tcBorders>
            <w:vAlign w:val="center"/>
            <w:hideMark/>
          </w:tcPr>
          <w:p w14:paraId="29ED9CEC"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31C418D4"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5B4DC0F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80" w:type="dxa"/>
            <w:gridSpan w:val="3"/>
            <w:tcBorders>
              <w:top w:val="single" w:sz="8" w:space="0" w:color="auto"/>
              <w:left w:val="nil"/>
              <w:bottom w:val="single" w:sz="8" w:space="0" w:color="auto"/>
              <w:right w:val="single" w:sz="8" w:space="0" w:color="000000"/>
            </w:tcBorders>
            <w:vAlign w:val="center"/>
            <w:hideMark/>
          </w:tcPr>
          <w:p w14:paraId="50F0679F"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0D7C" w:rsidRPr="00A33AE8" w14:paraId="0B0CF738" w14:textId="77777777" w:rsidTr="004B0D7C">
        <w:trPr>
          <w:gridAfter w:val="1"/>
          <w:wAfter w:w="1212" w:type="dxa"/>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4AF93D3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56AECD75"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p>
        </w:tc>
      </w:tr>
      <w:tr w:rsidR="004B0D7C" w:rsidRPr="00A33AE8" w14:paraId="212B2D4D"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0B74E08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80" w:type="dxa"/>
            <w:gridSpan w:val="3"/>
            <w:tcBorders>
              <w:top w:val="single" w:sz="8" w:space="0" w:color="auto"/>
              <w:left w:val="nil"/>
              <w:bottom w:val="single" w:sz="8" w:space="0" w:color="auto"/>
              <w:right w:val="single" w:sz="8" w:space="0" w:color="000000"/>
            </w:tcBorders>
            <w:vAlign w:val="center"/>
            <w:hideMark/>
          </w:tcPr>
          <w:p w14:paraId="1DD69C4C" w14:textId="77777777" w:rsidR="00343B13" w:rsidRPr="00A33AE8" w:rsidRDefault="00343B13"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D36CFBF" w14:textId="77777777" w:rsidR="00343B13" w:rsidRPr="00A33AE8" w:rsidRDefault="00343B13"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4ACCBECF" w14:textId="77777777" w:rsidR="00343B13" w:rsidRPr="00A33AE8" w:rsidRDefault="00343B13"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w:t>
            </w:r>
            <w:r w:rsidR="00081D7A" w:rsidRPr="00A33AE8">
              <w:rPr>
                <w:rFonts w:asciiTheme="majorHAnsi" w:eastAsia="Times New Roman" w:hAnsiTheme="majorHAnsi" w:cstheme="majorHAnsi"/>
                <w:color w:val="000000"/>
                <w:sz w:val="20"/>
                <w:szCs w:val="20"/>
                <w:lang w:eastAsia="en-GB"/>
              </w:rPr>
              <w:t xml:space="preserve">Construction, Transport and </w:t>
            </w:r>
            <w:r w:rsidRPr="00A33AE8">
              <w:rPr>
                <w:rFonts w:asciiTheme="majorHAnsi" w:eastAsia="Times New Roman" w:hAnsiTheme="majorHAnsi" w:cstheme="majorHAnsi"/>
                <w:color w:val="000000"/>
                <w:sz w:val="20"/>
                <w:szCs w:val="20"/>
                <w:lang w:eastAsia="en-GB"/>
              </w:rPr>
              <w:t>Infrastructure</w:t>
            </w:r>
          </w:p>
          <w:p w14:paraId="2BC0DEAC" w14:textId="77777777" w:rsidR="00254B09" w:rsidRPr="000007D2" w:rsidRDefault="00254B09" w:rsidP="000007D2">
            <w:pPr>
              <w:pStyle w:val="ListParagraph"/>
              <w:spacing w:after="0" w:line="240" w:lineRule="auto"/>
              <w:jc w:val="both"/>
              <w:rPr>
                <w:rFonts w:asciiTheme="majorHAnsi" w:eastAsia="Times New Roman" w:hAnsiTheme="majorHAnsi" w:cstheme="majorHAnsi"/>
                <w:color w:val="000000"/>
                <w:sz w:val="20"/>
                <w:szCs w:val="20"/>
                <w:lang w:eastAsia="en-GB"/>
              </w:rPr>
            </w:pPr>
          </w:p>
        </w:tc>
      </w:tr>
      <w:tr w:rsidR="004B0D7C" w:rsidRPr="00A33AE8" w14:paraId="57CECF7F" w14:textId="77777777" w:rsidTr="004B0D7C">
        <w:trPr>
          <w:gridAfter w:val="1"/>
          <w:wAfter w:w="1212" w:type="dxa"/>
          <w:trHeight w:val="315"/>
        </w:trPr>
        <w:tc>
          <w:tcPr>
            <w:tcW w:w="3208" w:type="dxa"/>
            <w:tcBorders>
              <w:top w:val="nil"/>
              <w:left w:val="single" w:sz="8" w:space="0" w:color="auto"/>
              <w:bottom w:val="single" w:sz="8" w:space="0" w:color="auto"/>
              <w:right w:val="nil"/>
            </w:tcBorders>
            <w:shd w:val="clear" w:color="auto" w:fill="244062"/>
            <w:vAlign w:val="center"/>
            <w:hideMark/>
          </w:tcPr>
          <w:p w14:paraId="10759B0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80" w:type="dxa"/>
            <w:gridSpan w:val="3"/>
            <w:tcBorders>
              <w:top w:val="single" w:sz="8" w:space="0" w:color="auto"/>
              <w:left w:val="nil"/>
              <w:bottom w:val="single" w:sz="8" w:space="0" w:color="auto"/>
              <w:right w:val="single" w:sz="8" w:space="0" w:color="000000"/>
            </w:tcBorders>
            <w:vAlign w:val="center"/>
            <w:hideMark/>
          </w:tcPr>
          <w:p w14:paraId="0AC8E390"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733CF2E5" w14:textId="77777777" w:rsidTr="004B0D7C">
        <w:trPr>
          <w:gridAfter w:val="1"/>
          <w:wAfter w:w="1212" w:type="dxa"/>
          <w:trHeight w:val="750"/>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33FB2037"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80" w:type="dxa"/>
            <w:gridSpan w:val="3"/>
            <w:tcBorders>
              <w:top w:val="single" w:sz="8" w:space="0" w:color="auto"/>
              <w:left w:val="nil"/>
              <w:bottom w:val="single" w:sz="8" w:space="0" w:color="auto"/>
              <w:right w:val="single" w:sz="8" w:space="0" w:color="000000"/>
            </w:tcBorders>
            <w:vAlign w:val="center"/>
            <w:hideMark/>
          </w:tcPr>
          <w:p w14:paraId="440FB918"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2A3CA2C4"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0D7C" w:rsidRPr="00A33AE8" w14:paraId="0977C846" w14:textId="77777777" w:rsidTr="004B0D7C">
        <w:trPr>
          <w:gridAfter w:val="1"/>
          <w:wAfter w:w="1212" w:type="dxa"/>
          <w:trHeight w:val="450"/>
        </w:trPr>
        <w:tc>
          <w:tcPr>
            <w:tcW w:w="3208" w:type="dxa"/>
            <w:vMerge w:val="restart"/>
            <w:tcBorders>
              <w:top w:val="nil"/>
              <w:left w:val="single" w:sz="8" w:space="0" w:color="auto"/>
              <w:bottom w:val="single" w:sz="8" w:space="0" w:color="000000"/>
              <w:right w:val="single" w:sz="8" w:space="0" w:color="auto"/>
            </w:tcBorders>
            <w:shd w:val="clear" w:color="auto" w:fill="244062"/>
            <w:vAlign w:val="center"/>
            <w:hideMark/>
          </w:tcPr>
          <w:p w14:paraId="043F362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8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80D2C7F"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7C70ABB2"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No 347/2013 </w:t>
            </w:r>
          </w:p>
        </w:tc>
      </w:tr>
      <w:tr w:rsidR="004B0D7C" w:rsidRPr="00A33AE8" w14:paraId="0E0BFF82"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534ADB9A"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79D7894B"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CBB0718" w14:textId="77777777" w:rsidR="004B0D7C" w:rsidRPr="00A33AE8" w:rsidRDefault="004B0D7C" w:rsidP="004B0D7C"/>
        </w:tc>
      </w:tr>
      <w:tr w:rsidR="004B0D7C" w:rsidRPr="00A33AE8" w14:paraId="78DB98E8"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7D55E541"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80" w:type="dxa"/>
            <w:gridSpan w:val="3"/>
            <w:vMerge/>
            <w:tcBorders>
              <w:top w:val="single" w:sz="8" w:space="0" w:color="auto"/>
              <w:left w:val="single" w:sz="8" w:space="0" w:color="auto"/>
              <w:bottom w:val="single" w:sz="8" w:space="0" w:color="000000"/>
              <w:right w:val="single" w:sz="8" w:space="0" w:color="000000"/>
            </w:tcBorders>
            <w:vAlign w:val="center"/>
            <w:hideMark/>
          </w:tcPr>
          <w:p w14:paraId="6348F64E"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11E0CBE" w14:textId="77777777" w:rsidR="004B0D7C" w:rsidRPr="00A33AE8" w:rsidRDefault="004B0D7C" w:rsidP="004B0D7C">
            <w:pPr>
              <w:spacing w:after="0" w:line="256" w:lineRule="auto"/>
              <w:rPr>
                <w:sz w:val="20"/>
                <w:szCs w:val="20"/>
                <w:lang w:eastAsia="en-GB"/>
              </w:rPr>
            </w:pPr>
          </w:p>
        </w:tc>
      </w:tr>
      <w:tr w:rsidR="004B0D7C" w:rsidRPr="00A33AE8" w14:paraId="5FB49A35" w14:textId="77777777" w:rsidTr="004B0D7C">
        <w:trPr>
          <w:trHeight w:val="780"/>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1B85EBDA"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80" w:type="dxa"/>
            <w:gridSpan w:val="3"/>
            <w:tcBorders>
              <w:top w:val="single" w:sz="8" w:space="0" w:color="auto"/>
              <w:left w:val="nil"/>
              <w:bottom w:val="single" w:sz="8" w:space="0" w:color="auto"/>
              <w:right w:val="single" w:sz="8" w:space="0" w:color="000000"/>
            </w:tcBorders>
            <w:vAlign w:val="center"/>
            <w:hideMark/>
          </w:tcPr>
          <w:p w14:paraId="7BB5DB0A"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0AA10E77"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0A123955"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2E8CDF3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80" w:type="dxa"/>
            <w:gridSpan w:val="3"/>
            <w:tcBorders>
              <w:top w:val="single" w:sz="8" w:space="0" w:color="auto"/>
              <w:left w:val="nil"/>
              <w:bottom w:val="single" w:sz="8" w:space="0" w:color="auto"/>
              <w:right w:val="single" w:sz="8" w:space="0" w:color="000000"/>
            </w:tcBorders>
            <w:vAlign w:val="center"/>
            <w:hideMark/>
          </w:tcPr>
          <w:p w14:paraId="6D5AF88B"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20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55FDF0F8"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66B55041" w14:textId="77777777" w:rsidTr="004B0D7C">
        <w:trPr>
          <w:trHeight w:val="315"/>
        </w:trPr>
        <w:tc>
          <w:tcPr>
            <w:tcW w:w="3208" w:type="dxa"/>
            <w:tcBorders>
              <w:top w:val="nil"/>
              <w:left w:val="single" w:sz="8" w:space="0" w:color="auto"/>
              <w:bottom w:val="single" w:sz="8" w:space="0" w:color="auto"/>
              <w:right w:val="single" w:sz="8" w:space="0" w:color="auto"/>
            </w:tcBorders>
            <w:shd w:val="clear" w:color="auto" w:fill="244062"/>
            <w:vAlign w:val="center"/>
            <w:hideMark/>
          </w:tcPr>
          <w:p w14:paraId="782E202E"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80" w:type="dxa"/>
            <w:gridSpan w:val="3"/>
            <w:tcBorders>
              <w:top w:val="single" w:sz="8" w:space="0" w:color="auto"/>
              <w:left w:val="nil"/>
              <w:bottom w:val="single" w:sz="8" w:space="0" w:color="auto"/>
              <w:right w:val="single" w:sz="8" w:space="0" w:color="000000"/>
            </w:tcBorders>
            <w:vAlign w:val="center"/>
            <w:hideMark/>
          </w:tcPr>
          <w:p w14:paraId="1C958EA8" w14:textId="77777777" w:rsidR="00B92935" w:rsidRPr="00A33AE8" w:rsidRDefault="00B92935" w:rsidP="00B92935">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308E85F2"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54D4C86B"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16"/>
        <w:gridCol w:w="1358"/>
        <w:gridCol w:w="920"/>
        <w:gridCol w:w="3994"/>
        <w:gridCol w:w="1212"/>
      </w:tblGrid>
      <w:tr w:rsidR="00690C0D" w:rsidRPr="00A33AE8" w14:paraId="4941A287" w14:textId="77777777" w:rsidTr="004B0D7C">
        <w:trPr>
          <w:gridAfter w:val="1"/>
          <w:wAfter w:w="1212" w:type="dxa"/>
          <w:trHeight w:val="780"/>
        </w:trPr>
        <w:tc>
          <w:tcPr>
            <w:tcW w:w="321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219A5EA"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2CFEAAD8"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8</w:t>
            </w:r>
            <w:r w:rsidRPr="00A33AE8">
              <w:rPr>
                <w:rFonts w:asciiTheme="majorHAnsi" w:eastAsia="Times New Roman" w:hAnsiTheme="majorHAnsi" w:cstheme="majorHAnsi"/>
                <w:b/>
                <w:bCs/>
                <w:color w:val="000000"/>
                <w:sz w:val="20"/>
                <w:szCs w:val="20"/>
                <w:lang w:eastAsia="en-GB"/>
              </w:rPr>
              <w:t>.8</w:t>
            </w:r>
          </w:p>
        </w:tc>
        <w:tc>
          <w:tcPr>
            <w:tcW w:w="920" w:type="dxa"/>
            <w:tcBorders>
              <w:top w:val="single" w:sz="8" w:space="0" w:color="auto"/>
              <w:left w:val="nil"/>
              <w:bottom w:val="single" w:sz="8" w:space="0" w:color="auto"/>
              <w:right w:val="single" w:sz="8" w:space="0" w:color="auto"/>
            </w:tcBorders>
            <w:shd w:val="clear" w:color="auto" w:fill="244062"/>
            <w:vAlign w:val="center"/>
            <w:hideMark/>
          </w:tcPr>
          <w:p w14:paraId="40ECFA16"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3994" w:type="dxa"/>
            <w:tcBorders>
              <w:top w:val="single" w:sz="8" w:space="0" w:color="auto"/>
              <w:left w:val="nil"/>
              <w:bottom w:val="single" w:sz="8" w:space="0" w:color="auto"/>
              <w:right w:val="single" w:sz="8" w:space="0" w:color="auto"/>
            </w:tcBorders>
            <w:shd w:val="clear" w:color="auto" w:fill="E7E6E6" w:themeFill="background2"/>
            <w:vAlign w:val="center"/>
            <w:hideMark/>
          </w:tcPr>
          <w:p w14:paraId="5E42F1C3"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bookmarkStart w:id="181" w:name="_Hlk113476616"/>
            <w:r w:rsidRPr="00A33AE8">
              <w:rPr>
                <w:rFonts w:asciiTheme="majorHAnsi" w:eastAsia="Times New Roman" w:hAnsiTheme="majorHAnsi" w:cstheme="majorHAnsi"/>
                <w:b/>
                <w:bCs/>
                <w:color w:val="000000"/>
                <w:sz w:val="20"/>
                <w:szCs w:val="20"/>
                <w:lang w:eastAsia="en-GB"/>
              </w:rPr>
              <w:t>Project for Ni</w:t>
            </w:r>
            <w:r w:rsidR="00C96A78" w:rsidRPr="00A33AE8">
              <w:rPr>
                <w:rFonts w:asciiTheme="majorHAnsi" w:eastAsia="Times New Roman" w:hAnsiTheme="majorHAnsi" w:cstheme="majorHAnsi"/>
                <w:b/>
                <w:bCs/>
                <w:color w:val="000000"/>
                <w:sz w:val="20"/>
                <w:szCs w:val="20"/>
                <w:lang w:eastAsia="en-GB"/>
              </w:rPr>
              <w:t>s</w:t>
            </w:r>
            <w:r w:rsidRPr="00A33AE8">
              <w:rPr>
                <w:rFonts w:asciiTheme="majorHAnsi" w:eastAsia="Times New Roman" w:hAnsiTheme="majorHAnsi" w:cstheme="majorHAnsi"/>
                <w:b/>
                <w:bCs/>
                <w:color w:val="000000"/>
                <w:sz w:val="20"/>
                <w:szCs w:val="20"/>
                <w:lang w:eastAsia="en-GB"/>
              </w:rPr>
              <w:t>-Pri</w:t>
            </w:r>
            <w:r w:rsidR="00C96A78" w:rsidRPr="00A33AE8">
              <w:rPr>
                <w:rFonts w:asciiTheme="majorHAnsi" w:eastAsia="Times New Roman" w:hAnsiTheme="majorHAnsi" w:cstheme="majorHAnsi"/>
                <w:b/>
                <w:bCs/>
                <w:color w:val="000000"/>
                <w:sz w:val="20"/>
                <w:szCs w:val="20"/>
                <w:lang w:eastAsia="en-GB"/>
              </w:rPr>
              <w:t>s</w:t>
            </w:r>
            <w:r w:rsidRPr="00A33AE8">
              <w:rPr>
                <w:rFonts w:asciiTheme="majorHAnsi" w:eastAsia="Times New Roman" w:hAnsiTheme="majorHAnsi" w:cstheme="majorHAnsi"/>
                <w:b/>
                <w:bCs/>
                <w:color w:val="000000"/>
                <w:sz w:val="20"/>
                <w:szCs w:val="20"/>
                <w:lang w:eastAsia="en-GB"/>
              </w:rPr>
              <w:t>tina gas pipeline construction 65 km, with a capacity of 0.8 billion m3/year</w:t>
            </w:r>
            <w:bookmarkEnd w:id="181"/>
          </w:p>
        </w:tc>
      </w:tr>
      <w:tr w:rsidR="004B0D7C" w:rsidRPr="00A33AE8" w14:paraId="4AF331C7" w14:textId="77777777" w:rsidTr="004B0D7C">
        <w:trPr>
          <w:gridAfter w:val="1"/>
          <w:wAfter w:w="1212" w:type="dxa"/>
          <w:trHeight w:val="604"/>
        </w:trPr>
        <w:tc>
          <w:tcPr>
            <w:tcW w:w="3216" w:type="dxa"/>
            <w:tcBorders>
              <w:top w:val="nil"/>
              <w:left w:val="single" w:sz="8" w:space="0" w:color="auto"/>
              <w:bottom w:val="single" w:sz="8" w:space="0" w:color="auto"/>
              <w:right w:val="nil"/>
            </w:tcBorders>
            <w:shd w:val="clear" w:color="auto" w:fill="244062"/>
            <w:vAlign w:val="center"/>
            <w:hideMark/>
          </w:tcPr>
          <w:p w14:paraId="7604E2F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72" w:type="dxa"/>
            <w:gridSpan w:val="3"/>
            <w:tcBorders>
              <w:top w:val="single" w:sz="8" w:space="0" w:color="auto"/>
              <w:left w:val="nil"/>
              <w:bottom w:val="single" w:sz="8" w:space="0" w:color="auto"/>
              <w:right w:val="single" w:sz="8" w:space="0" w:color="000000"/>
            </w:tcBorders>
            <w:vAlign w:val="center"/>
          </w:tcPr>
          <w:p w14:paraId="34841A56"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Infrastructure, market integration aimed at increasing the tradeable capacity, consumer protection and improvement of competition, regional integration</w:t>
            </w:r>
          </w:p>
        </w:tc>
      </w:tr>
      <w:tr w:rsidR="004B0D7C" w:rsidRPr="00A33AE8" w14:paraId="0ABFD663" w14:textId="77777777" w:rsidTr="004B0D7C">
        <w:trPr>
          <w:gridAfter w:val="1"/>
          <w:wAfter w:w="1212" w:type="dxa"/>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6EC985A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72" w:type="dxa"/>
            <w:gridSpan w:val="3"/>
            <w:tcBorders>
              <w:top w:val="single" w:sz="8" w:space="0" w:color="auto"/>
              <w:left w:val="nil"/>
              <w:bottom w:val="single" w:sz="8" w:space="0" w:color="auto"/>
              <w:right w:val="single" w:sz="8" w:space="0" w:color="000000"/>
            </w:tcBorders>
            <w:vAlign w:val="center"/>
          </w:tcPr>
          <w:p w14:paraId="4418E96D"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Increased interconnection capacity, decrease in the use of other fuels in the southern part of the Republic of Serbia</w:t>
            </w:r>
          </w:p>
        </w:tc>
      </w:tr>
      <w:tr w:rsidR="004B0D7C" w:rsidRPr="00A33AE8" w14:paraId="07C28D9B" w14:textId="77777777" w:rsidTr="004B0D7C">
        <w:trPr>
          <w:gridAfter w:val="1"/>
          <w:wAfter w:w="1212" w:type="dxa"/>
          <w:trHeight w:val="553"/>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7C905AF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72" w:type="dxa"/>
            <w:gridSpan w:val="3"/>
            <w:tcBorders>
              <w:top w:val="single" w:sz="8" w:space="0" w:color="auto"/>
              <w:left w:val="nil"/>
              <w:bottom w:val="single" w:sz="8" w:space="0" w:color="auto"/>
              <w:right w:val="single" w:sz="8" w:space="0" w:color="000000"/>
            </w:tcBorders>
            <w:vAlign w:val="center"/>
            <w:hideMark/>
          </w:tcPr>
          <w:p w14:paraId="48FFC9F8"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construction of this gas pipeline will create conditions for the construction of distribution gas pipelines in the southern part of the Republic of Serbia and the Autonomous Province of Kosovo</w:t>
            </w:r>
            <w:r w:rsidR="0083689C" w:rsidRPr="00A33AE8">
              <w:rPr>
                <w:rFonts w:asciiTheme="majorHAnsi" w:eastAsia="Times New Roman" w:hAnsiTheme="majorHAnsi" w:cstheme="majorHAnsi"/>
                <w:color w:val="000000"/>
                <w:sz w:val="20"/>
                <w:szCs w:val="20"/>
                <w:lang w:eastAsia="en-GB"/>
              </w:rPr>
              <w:t>*</w:t>
            </w:r>
            <w:r w:rsidR="008750E1"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and Metohija and the connection of industrial, communal and individual consumers to the gas pipeline system. This will enable the use of natural gas as an environmentally friendly energy source,</w:t>
            </w:r>
            <w:r w:rsidR="00A71173"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and will significantly relieve the electricity capacity.</w:t>
            </w:r>
          </w:p>
          <w:p w14:paraId="17F40723"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 interconnection Serbia-Montenegro- Section Nis (Doljevac) - Pristina, development plan 2021-2030</w:t>
            </w:r>
          </w:p>
        </w:tc>
      </w:tr>
      <w:tr w:rsidR="004B0D7C" w:rsidRPr="00A33AE8" w14:paraId="3C7391F7" w14:textId="77777777" w:rsidTr="004B0D7C">
        <w:trPr>
          <w:gridAfter w:val="1"/>
          <w:wAfter w:w="1212" w:type="dxa"/>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4DBF162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72" w:type="dxa"/>
            <w:gridSpan w:val="3"/>
            <w:tcBorders>
              <w:top w:val="single" w:sz="8" w:space="0" w:color="auto"/>
              <w:left w:val="nil"/>
              <w:bottom w:val="single" w:sz="8" w:space="0" w:color="auto"/>
              <w:right w:val="single" w:sz="8" w:space="0" w:color="000000"/>
            </w:tcBorders>
            <w:vAlign w:val="center"/>
            <w:hideMark/>
          </w:tcPr>
          <w:p w14:paraId="36C19B67"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4B0D7C" w:rsidRPr="00A33AE8" w14:paraId="54BE73DB" w14:textId="77777777" w:rsidTr="004B0D7C">
        <w:trPr>
          <w:gridAfter w:val="1"/>
          <w:wAfter w:w="1212" w:type="dxa"/>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38B37883"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72" w:type="dxa"/>
            <w:gridSpan w:val="3"/>
            <w:tcBorders>
              <w:top w:val="single" w:sz="8" w:space="0" w:color="auto"/>
              <w:left w:val="nil"/>
              <w:bottom w:val="single" w:sz="8" w:space="0" w:color="auto"/>
              <w:right w:val="single" w:sz="8" w:space="0" w:color="000000"/>
            </w:tcBorders>
            <w:vAlign w:val="center"/>
            <w:hideMark/>
          </w:tcPr>
          <w:p w14:paraId="582313E1"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4E4D79B7" w14:textId="77777777" w:rsidTr="004B0D7C">
        <w:trPr>
          <w:gridAfter w:val="1"/>
          <w:wAfter w:w="1212" w:type="dxa"/>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296F7F9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72" w:type="dxa"/>
            <w:gridSpan w:val="3"/>
            <w:tcBorders>
              <w:top w:val="single" w:sz="8" w:space="0" w:color="auto"/>
              <w:left w:val="nil"/>
              <w:bottom w:val="single" w:sz="8" w:space="0" w:color="auto"/>
              <w:right w:val="single" w:sz="8" w:space="0" w:color="000000"/>
            </w:tcBorders>
            <w:vAlign w:val="center"/>
            <w:hideMark/>
          </w:tcPr>
          <w:p w14:paraId="357E6DF7"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4B0D7C" w:rsidRPr="00A33AE8" w14:paraId="7F2DC4F7" w14:textId="77777777" w:rsidTr="004B0D7C">
        <w:trPr>
          <w:gridAfter w:val="1"/>
          <w:wAfter w:w="1212" w:type="dxa"/>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0D434B48"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72" w:type="dxa"/>
            <w:gridSpan w:val="3"/>
            <w:tcBorders>
              <w:top w:val="single" w:sz="8" w:space="0" w:color="auto"/>
              <w:left w:val="nil"/>
              <w:bottom w:val="single" w:sz="8" w:space="0" w:color="auto"/>
              <w:right w:val="single" w:sz="8" w:space="0" w:color="000000"/>
            </w:tcBorders>
            <w:vAlign w:val="center"/>
            <w:hideMark/>
          </w:tcPr>
          <w:p w14:paraId="69ABCEEA" w14:textId="77777777" w:rsidR="004B0D7C" w:rsidRPr="00A33AE8" w:rsidRDefault="004B0D7C"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p>
        </w:tc>
      </w:tr>
      <w:tr w:rsidR="004B0D7C" w:rsidRPr="00A33AE8" w14:paraId="58CE4D4D" w14:textId="77777777" w:rsidTr="004B0D7C">
        <w:trPr>
          <w:gridAfter w:val="1"/>
          <w:wAfter w:w="1212" w:type="dxa"/>
          <w:trHeight w:val="315"/>
        </w:trPr>
        <w:tc>
          <w:tcPr>
            <w:tcW w:w="3216" w:type="dxa"/>
            <w:tcBorders>
              <w:top w:val="nil"/>
              <w:left w:val="single" w:sz="8" w:space="0" w:color="auto"/>
              <w:bottom w:val="single" w:sz="8" w:space="0" w:color="auto"/>
              <w:right w:val="nil"/>
            </w:tcBorders>
            <w:shd w:val="clear" w:color="auto" w:fill="244062"/>
            <w:vAlign w:val="center"/>
            <w:hideMark/>
          </w:tcPr>
          <w:p w14:paraId="19EA2F6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Monitoring Entity</w:t>
            </w:r>
          </w:p>
        </w:tc>
        <w:tc>
          <w:tcPr>
            <w:tcW w:w="6272" w:type="dxa"/>
            <w:gridSpan w:val="3"/>
            <w:tcBorders>
              <w:top w:val="single" w:sz="8" w:space="0" w:color="auto"/>
              <w:left w:val="nil"/>
              <w:bottom w:val="single" w:sz="8" w:space="0" w:color="auto"/>
              <w:right w:val="single" w:sz="8" w:space="0" w:color="000000"/>
            </w:tcBorders>
            <w:vAlign w:val="center"/>
            <w:hideMark/>
          </w:tcPr>
          <w:p w14:paraId="4828EC50"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64FEA2DC"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Ministry of </w:t>
            </w:r>
            <w:r w:rsidR="00081D7A" w:rsidRPr="00A33AE8">
              <w:rPr>
                <w:rFonts w:ascii="Calibri Light" w:eastAsia="Times New Roman" w:hAnsi="Calibri Light" w:cs="Calibri Light"/>
                <w:color w:val="000000"/>
                <w:sz w:val="20"/>
                <w:szCs w:val="20"/>
                <w:lang w:eastAsia="en-GB"/>
              </w:rPr>
              <w:t xml:space="preserve">Construction, Transport and </w:t>
            </w:r>
            <w:r w:rsidRPr="00A33AE8">
              <w:rPr>
                <w:rFonts w:ascii="Calibri Light" w:eastAsia="Times New Roman" w:hAnsi="Calibri Light" w:cs="Calibri Light"/>
                <w:color w:val="000000"/>
                <w:sz w:val="20"/>
                <w:szCs w:val="20"/>
                <w:lang w:eastAsia="en-GB"/>
              </w:rPr>
              <w:t>Infrastructure</w:t>
            </w:r>
          </w:p>
          <w:p w14:paraId="17BABE0C" w14:textId="77777777" w:rsidR="00DF5835" w:rsidRPr="00A33AE8" w:rsidRDefault="00DF5835" w:rsidP="00884F3B">
            <w:pPr>
              <w:pStyle w:val="ListParagraph"/>
              <w:numPr>
                <w:ilvl w:val="0"/>
                <w:numId w:val="5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721989F4" w14:textId="77777777" w:rsidR="004B0D7C" w:rsidRPr="000007D2" w:rsidRDefault="00DF5835"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Government of Serbia</w:t>
            </w:r>
          </w:p>
        </w:tc>
      </w:tr>
      <w:tr w:rsidR="004B0D7C" w:rsidRPr="00A33AE8" w14:paraId="1C985B99" w14:textId="77777777" w:rsidTr="004B0D7C">
        <w:trPr>
          <w:gridAfter w:val="1"/>
          <w:wAfter w:w="1212" w:type="dxa"/>
          <w:trHeight w:val="315"/>
        </w:trPr>
        <w:tc>
          <w:tcPr>
            <w:tcW w:w="3216" w:type="dxa"/>
            <w:tcBorders>
              <w:top w:val="nil"/>
              <w:left w:val="single" w:sz="8" w:space="0" w:color="auto"/>
              <w:bottom w:val="single" w:sz="8" w:space="0" w:color="auto"/>
              <w:right w:val="nil"/>
            </w:tcBorders>
            <w:shd w:val="clear" w:color="auto" w:fill="244062"/>
            <w:vAlign w:val="center"/>
            <w:hideMark/>
          </w:tcPr>
          <w:p w14:paraId="7D785FF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72" w:type="dxa"/>
            <w:gridSpan w:val="3"/>
            <w:tcBorders>
              <w:top w:val="single" w:sz="8" w:space="0" w:color="auto"/>
              <w:left w:val="nil"/>
              <w:bottom w:val="single" w:sz="8" w:space="0" w:color="auto"/>
              <w:right w:val="single" w:sz="8" w:space="0" w:color="000000"/>
            </w:tcBorders>
            <w:vAlign w:val="center"/>
            <w:hideMark/>
          </w:tcPr>
          <w:p w14:paraId="0E0623CE"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Final Investment Decision, building permit, commissioning date, commercial operation date</w:t>
            </w:r>
          </w:p>
        </w:tc>
      </w:tr>
      <w:tr w:rsidR="00A0226E" w:rsidRPr="00A33AE8" w14:paraId="61749F0B" w14:textId="77777777" w:rsidTr="004B0D7C">
        <w:trPr>
          <w:gridAfter w:val="1"/>
          <w:wAfter w:w="1212" w:type="dxa"/>
          <w:trHeight w:val="740"/>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1BFEB42E"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72" w:type="dxa"/>
            <w:gridSpan w:val="3"/>
            <w:tcBorders>
              <w:top w:val="single" w:sz="8" w:space="0" w:color="auto"/>
              <w:left w:val="nil"/>
              <w:bottom w:val="single" w:sz="8" w:space="0" w:color="auto"/>
              <w:right w:val="single" w:sz="8" w:space="0" w:color="000000"/>
            </w:tcBorders>
            <w:vAlign w:val="center"/>
            <w:hideMark/>
          </w:tcPr>
          <w:p w14:paraId="15531A03" w14:textId="77777777" w:rsidR="005068B2" w:rsidRPr="00A33AE8" w:rsidRDefault="005068B2"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30199BA4" w14:textId="77777777" w:rsidR="00A0226E" w:rsidRPr="00A33AE8" w:rsidRDefault="00A0226E" w:rsidP="00884F3B">
            <w:pPr>
              <w:pStyle w:val="ListParagraph"/>
              <w:numPr>
                <w:ilvl w:val="0"/>
                <w:numId w:val="5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4B0D7C" w:rsidRPr="00A33AE8" w14:paraId="4D076668" w14:textId="77777777" w:rsidTr="004B0D7C">
        <w:trPr>
          <w:gridAfter w:val="1"/>
          <w:wAfter w:w="1212" w:type="dxa"/>
          <w:trHeight w:val="450"/>
        </w:trPr>
        <w:tc>
          <w:tcPr>
            <w:tcW w:w="3216" w:type="dxa"/>
            <w:vMerge w:val="restart"/>
            <w:tcBorders>
              <w:top w:val="nil"/>
              <w:left w:val="single" w:sz="8" w:space="0" w:color="auto"/>
              <w:bottom w:val="single" w:sz="8" w:space="0" w:color="000000"/>
              <w:right w:val="single" w:sz="8" w:space="0" w:color="auto"/>
            </w:tcBorders>
            <w:shd w:val="clear" w:color="auto" w:fill="244062"/>
            <w:vAlign w:val="center"/>
            <w:hideMark/>
          </w:tcPr>
          <w:p w14:paraId="5206593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72"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89A56BF" w14:textId="77777777" w:rsidR="004B0D7C" w:rsidRPr="00A33AE8" w:rsidRDefault="004B0D7C"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p w14:paraId="33FEB235" w14:textId="77777777" w:rsidR="004B0D7C" w:rsidRPr="00A33AE8" w:rsidRDefault="004B0D7C"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Regulation (EU) No 347/2013 </w:t>
            </w:r>
          </w:p>
        </w:tc>
      </w:tr>
      <w:tr w:rsidR="004B0D7C" w:rsidRPr="00A33AE8" w14:paraId="5F62AAF8"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2FF084BD"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72" w:type="dxa"/>
            <w:gridSpan w:val="3"/>
            <w:vMerge/>
            <w:tcBorders>
              <w:top w:val="single" w:sz="8" w:space="0" w:color="auto"/>
              <w:left w:val="single" w:sz="8" w:space="0" w:color="auto"/>
              <w:bottom w:val="single" w:sz="8" w:space="0" w:color="000000"/>
              <w:right w:val="single" w:sz="8" w:space="0" w:color="000000"/>
            </w:tcBorders>
            <w:vAlign w:val="center"/>
            <w:hideMark/>
          </w:tcPr>
          <w:p w14:paraId="39212226"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727DD54" w14:textId="77777777" w:rsidR="004B0D7C" w:rsidRPr="00A33AE8" w:rsidRDefault="004B0D7C" w:rsidP="004B0D7C"/>
        </w:tc>
      </w:tr>
      <w:tr w:rsidR="004B0D7C" w:rsidRPr="00A33AE8" w14:paraId="20BFB825" w14:textId="77777777" w:rsidTr="004B0D7C">
        <w:trPr>
          <w:trHeight w:val="60"/>
        </w:trPr>
        <w:tc>
          <w:tcPr>
            <w:tcW w:w="0" w:type="auto"/>
            <w:vMerge/>
            <w:tcBorders>
              <w:top w:val="nil"/>
              <w:left w:val="single" w:sz="8" w:space="0" w:color="auto"/>
              <w:bottom w:val="single" w:sz="8" w:space="0" w:color="000000"/>
              <w:right w:val="single" w:sz="8" w:space="0" w:color="auto"/>
            </w:tcBorders>
            <w:vAlign w:val="center"/>
            <w:hideMark/>
          </w:tcPr>
          <w:p w14:paraId="6745C28F"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72" w:type="dxa"/>
            <w:gridSpan w:val="3"/>
            <w:vMerge/>
            <w:tcBorders>
              <w:top w:val="single" w:sz="8" w:space="0" w:color="auto"/>
              <w:left w:val="single" w:sz="8" w:space="0" w:color="auto"/>
              <w:bottom w:val="single" w:sz="8" w:space="0" w:color="000000"/>
              <w:right w:val="single" w:sz="8" w:space="0" w:color="000000"/>
            </w:tcBorders>
            <w:vAlign w:val="center"/>
            <w:hideMark/>
          </w:tcPr>
          <w:p w14:paraId="7A45D950"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4AECB72" w14:textId="77777777" w:rsidR="004B0D7C" w:rsidRPr="00A33AE8" w:rsidRDefault="004B0D7C" w:rsidP="004B0D7C">
            <w:pPr>
              <w:spacing w:after="0" w:line="256" w:lineRule="auto"/>
              <w:rPr>
                <w:sz w:val="20"/>
                <w:szCs w:val="20"/>
                <w:lang w:eastAsia="en-GB"/>
              </w:rPr>
            </w:pPr>
          </w:p>
        </w:tc>
      </w:tr>
      <w:tr w:rsidR="004B0D7C" w:rsidRPr="00A33AE8" w14:paraId="677FA557" w14:textId="77777777" w:rsidTr="004B0D7C">
        <w:trPr>
          <w:trHeight w:val="780"/>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76083436" w14:textId="77777777" w:rsidR="004B0D7C" w:rsidRPr="00A33AE8" w:rsidRDefault="004B0D7C"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72" w:type="dxa"/>
            <w:gridSpan w:val="3"/>
            <w:tcBorders>
              <w:top w:val="single" w:sz="8" w:space="0" w:color="auto"/>
              <w:left w:val="nil"/>
              <w:bottom w:val="single" w:sz="8" w:space="0" w:color="auto"/>
              <w:right w:val="single" w:sz="8" w:space="0" w:color="000000"/>
            </w:tcBorders>
            <w:vAlign w:val="center"/>
            <w:hideMark/>
          </w:tcPr>
          <w:p w14:paraId="33C7F47A" w14:textId="77777777" w:rsidR="004B0D7C" w:rsidRPr="00A33AE8" w:rsidRDefault="004B0D7C"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18FAC5B6"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0D83F387" w14:textId="77777777" w:rsidTr="004B0D7C">
        <w:trPr>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26F6ECB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72" w:type="dxa"/>
            <w:gridSpan w:val="3"/>
            <w:tcBorders>
              <w:top w:val="single" w:sz="8" w:space="0" w:color="auto"/>
              <w:left w:val="nil"/>
              <w:bottom w:val="single" w:sz="8" w:space="0" w:color="auto"/>
              <w:right w:val="single" w:sz="8" w:space="0" w:color="000000"/>
            </w:tcBorders>
            <w:vAlign w:val="center"/>
            <w:hideMark/>
          </w:tcPr>
          <w:p w14:paraId="69E4412F"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30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74A588F4"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3295A3D8" w14:textId="77777777" w:rsidTr="004B0D7C">
        <w:trPr>
          <w:trHeight w:val="315"/>
        </w:trPr>
        <w:tc>
          <w:tcPr>
            <w:tcW w:w="3216" w:type="dxa"/>
            <w:tcBorders>
              <w:top w:val="nil"/>
              <w:left w:val="single" w:sz="8" w:space="0" w:color="auto"/>
              <w:bottom w:val="single" w:sz="8" w:space="0" w:color="auto"/>
              <w:right w:val="single" w:sz="8" w:space="0" w:color="auto"/>
            </w:tcBorders>
            <w:shd w:val="clear" w:color="auto" w:fill="244062"/>
            <w:vAlign w:val="center"/>
            <w:hideMark/>
          </w:tcPr>
          <w:p w14:paraId="1A223153"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72" w:type="dxa"/>
            <w:gridSpan w:val="3"/>
            <w:tcBorders>
              <w:top w:val="single" w:sz="8" w:space="0" w:color="auto"/>
              <w:left w:val="nil"/>
              <w:bottom w:val="single" w:sz="8" w:space="0" w:color="auto"/>
              <w:right w:val="single" w:sz="8" w:space="0" w:color="000000"/>
            </w:tcBorders>
            <w:vAlign w:val="center"/>
            <w:hideMark/>
          </w:tcPr>
          <w:p w14:paraId="2CCB083B" w14:textId="77777777" w:rsidR="00B92935" w:rsidRPr="00A33AE8" w:rsidRDefault="00B92935" w:rsidP="00B92935">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0407996D"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31BB669E" w14:textId="77777777" w:rsidR="00690C0D" w:rsidRPr="00A33AE8" w:rsidRDefault="00690C0D" w:rsidP="00690C0D">
      <w:pPr>
        <w:pStyle w:val="LDKbody"/>
        <w:rPr>
          <w:lang w:val="en-GB"/>
        </w:rPr>
      </w:pPr>
    </w:p>
    <w:tbl>
      <w:tblPr>
        <w:tblW w:w="10700" w:type="dxa"/>
        <w:tblLook w:val="04A0" w:firstRow="1" w:lastRow="0" w:firstColumn="1" w:lastColumn="0" w:noHBand="0" w:noVBand="1"/>
      </w:tblPr>
      <w:tblGrid>
        <w:gridCol w:w="3258"/>
        <w:gridCol w:w="1207"/>
        <w:gridCol w:w="927"/>
        <w:gridCol w:w="4096"/>
        <w:gridCol w:w="1212"/>
      </w:tblGrid>
      <w:tr w:rsidR="00690C0D" w:rsidRPr="00A33AE8" w14:paraId="64421DE2" w14:textId="77777777" w:rsidTr="004B0D7C">
        <w:trPr>
          <w:gridAfter w:val="1"/>
          <w:wAfter w:w="1212" w:type="dxa"/>
          <w:trHeight w:val="780"/>
        </w:trPr>
        <w:tc>
          <w:tcPr>
            <w:tcW w:w="325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D5C8A5F"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62354995"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Pr="00A33AE8">
              <w:rPr>
                <w:rFonts w:asciiTheme="majorHAnsi" w:eastAsia="Times New Roman" w:hAnsiTheme="majorHAnsi" w:cstheme="majorHAnsi"/>
                <w:b/>
                <w:bCs/>
                <w:color w:val="000000"/>
                <w:sz w:val="20"/>
                <w:szCs w:val="20"/>
                <w:lang w:eastAsia="en-GB"/>
              </w:rPr>
              <w:t>IEM</w:t>
            </w:r>
            <w:r w:rsidR="005D69C8" w:rsidRPr="00A33AE8">
              <w:rPr>
                <w:rFonts w:asciiTheme="majorHAnsi" w:eastAsia="Times New Roman" w:hAnsiTheme="majorHAnsi" w:cstheme="majorHAnsi"/>
                <w:b/>
                <w:bCs/>
                <w:color w:val="000000"/>
                <w:sz w:val="20"/>
                <w:szCs w:val="20"/>
                <w:lang w:eastAsia="en-GB"/>
              </w:rPr>
              <w:t>9</w:t>
            </w:r>
          </w:p>
        </w:tc>
        <w:tc>
          <w:tcPr>
            <w:tcW w:w="927" w:type="dxa"/>
            <w:tcBorders>
              <w:top w:val="single" w:sz="8" w:space="0" w:color="auto"/>
              <w:left w:val="nil"/>
              <w:bottom w:val="single" w:sz="8" w:space="0" w:color="auto"/>
              <w:right w:val="single" w:sz="8" w:space="0" w:color="auto"/>
            </w:tcBorders>
            <w:shd w:val="clear" w:color="auto" w:fill="244062"/>
            <w:vAlign w:val="center"/>
            <w:hideMark/>
          </w:tcPr>
          <w:p w14:paraId="3154C8B3" w14:textId="77777777" w:rsidR="00690C0D" w:rsidRPr="00A33AE8" w:rsidRDefault="00690C0D" w:rsidP="00FF03F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9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CA44043" w14:textId="77777777" w:rsidR="00690C0D" w:rsidRPr="00A33AE8" w:rsidRDefault="00690C0D" w:rsidP="00FF03F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Investments related to the digitalisation of the networks aiming at increasing RES integration and improvement of quality of supply</w:t>
            </w:r>
          </w:p>
        </w:tc>
      </w:tr>
      <w:tr w:rsidR="00690C0D" w:rsidRPr="00A33AE8" w14:paraId="5C9B8F77" w14:textId="77777777" w:rsidTr="004B0D7C">
        <w:trPr>
          <w:gridAfter w:val="1"/>
          <w:wAfter w:w="1212" w:type="dxa"/>
          <w:trHeight w:val="960"/>
        </w:trPr>
        <w:tc>
          <w:tcPr>
            <w:tcW w:w="3258" w:type="dxa"/>
            <w:tcBorders>
              <w:top w:val="nil"/>
              <w:left w:val="single" w:sz="8" w:space="0" w:color="auto"/>
              <w:bottom w:val="single" w:sz="8" w:space="0" w:color="auto"/>
              <w:right w:val="nil"/>
            </w:tcBorders>
            <w:shd w:val="clear" w:color="auto" w:fill="244062"/>
            <w:vAlign w:val="center"/>
            <w:hideMark/>
          </w:tcPr>
          <w:p w14:paraId="5781553F"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30" w:type="dxa"/>
            <w:gridSpan w:val="3"/>
            <w:tcBorders>
              <w:top w:val="single" w:sz="8" w:space="0" w:color="auto"/>
              <w:left w:val="nil"/>
              <w:bottom w:val="single" w:sz="8" w:space="0" w:color="auto"/>
              <w:right w:val="single" w:sz="8" w:space="0" w:color="000000"/>
            </w:tcBorders>
            <w:vAlign w:val="center"/>
          </w:tcPr>
          <w:p w14:paraId="17B02C2E" w14:textId="77777777" w:rsidR="00690C0D" w:rsidRPr="00A33AE8" w:rsidRDefault="00AC6465"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w:t>
            </w:r>
            <w:r w:rsidR="002D1A6B" w:rsidRPr="00A33AE8">
              <w:rPr>
                <w:rFonts w:asciiTheme="majorHAnsi" w:eastAsia="Times New Roman" w:hAnsiTheme="majorHAnsi" w:cstheme="majorHAnsi"/>
                <w:color w:val="000000"/>
                <w:sz w:val="20"/>
                <w:szCs w:val="20"/>
                <w:lang w:eastAsia="en-GB"/>
              </w:rPr>
              <w:t>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A71173" w:rsidRPr="00A33AE8">
              <w:rPr>
                <w:rFonts w:asciiTheme="majorHAnsi" w:eastAsia="Times New Roman" w:hAnsiTheme="majorHAnsi" w:cstheme="majorHAnsi"/>
                <w:color w:val="000000"/>
                <w:sz w:val="20"/>
                <w:szCs w:val="20"/>
                <w:lang w:eastAsia="en-GB"/>
              </w:rPr>
              <w:t>. This also includes the improvement of cybersecurity and resilience in the energy sector.</w:t>
            </w:r>
          </w:p>
        </w:tc>
      </w:tr>
      <w:tr w:rsidR="00690C0D" w:rsidRPr="00A33AE8" w14:paraId="44C4E3C3" w14:textId="77777777" w:rsidTr="004B0D7C">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56DBAF41"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30" w:type="dxa"/>
            <w:gridSpan w:val="3"/>
            <w:tcBorders>
              <w:top w:val="single" w:sz="8" w:space="0" w:color="auto"/>
              <w:left w:val="nil"/>
              <w:bottom w:val="single" w:sz="8" w:space="0" w:color="auto"/>
              <w:right w:val="single" w:sz="8" w:space="0" w:color="000000"/>
            </w:tcBorders>
            <w:vAlign w:val="center"/>
          </w:tcPr>
          <w:p w14:paraId="44DF4773" w14:textId="77777777" w:rsidR="00690C0D" w:rsidRPr="00A33AE8" w:rsidRDefault="002D1A6B" w:rsidP="00FF03F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Increased quality of supply indicators, reduction of RES forecasting errors</w:t>
            </w:r>
            <w:r w:rsidR="00A71173" w:rsidRPr="00A33AE8">
              <w:rPr>
                <w:rFonts w:asciiTheme="majorHAnsi" w:eastAsia="Times New Roman" w:hAnsiTheme="majorHAnsi" w:cstheme="majorHAnsi"/>
                <w:color w:val="000000"/>
                <w:sz w:val="20"/>
                <w:szCs w:val="20"/>
                <w:lang w:eastAsia="en-GB"/>
              </w:rPr>
              <w:t>, improved cybersecurity indicators and KPIs</w:t>
            </w:r>
          </w:p>
        </w:tc>
      </w:tr>
      <w:tr w:rsidR="004B0D7C" w:rsidRPr="00A33AE8" w14:paraId="44929756" w14:textId="77777777" w:rsidTr="009E094C">
        <w:trPr>
          <w:gridAfter w:val="1"/>
          <w:wAfter w:w="1212" w:type="dxa"/>
          <w:trHeight w:val="301"/>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506299A3"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30" w:type="dxa"/>
            <w:gridSpan w:val="3"/>
            <w:tcBorders>
              <w:top w:val="single" w:sz="8" w:space="0" w:color="auto"/>
              <w:left w:val="nil"/>
              <w:bottom w:val="single" w:sz="8" w:space="0" w:color="auto"/>
              <w:right w:val="single" w:sz="8" w:space="0" w:color="000000"/>
            </w:tcBorders>
            <w:vAlign w:val="center"/>
            <w:hideMark/>
          </w:tcPr>
          <w:p w14:paraId="71ACEE55" w14:textId="77777777" w:rsidR="004B0D7C" w:rsidRPr="00A33AE8" w:rsidRDefault="004B0D7C" w:rsidP="000007D2">
            <w:pPr>
              <w:spacing w:after="20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PM_IEM9</w:t>
            </w:r>
            <w:r w:rsidRPr="00A33AE8">
              <w:rPr>
                <w:rFonts w:asciiTheme="majorHAnsi" w:eastAsia="Times New Roman" w:hAnsiTheme="majorHAnsi" w:cstheme="majorHAnsi"/>
                <w:color w:val="000000"/>
                <w:sz w:val="20"/>
                <w:szCs w:val="20"/>
                <w:lang w:eastAsia="en-GB"/>
              </w:rPr>
              <w:t xml:space="preserve"> refers to a policy and financially-backed programme which should aim at the promotion of smart grids and in particular prioritise the application of IEC 61850, the designation of sensing points and forecasting tools for demand and RES forecasting at mid and short-term time scales, the monitoring of quality of supply parameters (sags, swells, etc), as well as, the dynamic line rating for lines and cabling at important nodes to the system. These measures are expected to improve observability of dynamic phenomena and improve the forecasting accuracy by the network operators. In addition, the measure envisages the installation of DLR and FACTS devices on the transmission network in parts that are considered to allow greater flexibility in the integration of renewable sources.</w:t>
            </w:r>
          </w:p>
          <w:p w14:paraId="12403735" w14:textId="77777777" w:rsidR="00A71173" w:rsidRPr="00A33AE8" w:rsidRDefault="00A7117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above should also consider the improvement of cybersecurity and resilience in the energy sector, by establishing specific monitoring indicators and KPIs.</w:t>
            </w:r>
          </w:p>
        </w:tc>
      </w:tr>
      <w:tr w:rsidR="004B0D7C" w:rsidRPr="00A33AE8" w14:paraId="33925B8B" w14:textId="77777777" w:rsidTr="004B0D7C">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46C4A91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30" w:type="dxa"/>
            <w:gridSpan w:val="3"/>
            <w:tcBorders>
              <w:top w:val="single" w:sz="8" w:space="0" w:color="auto"/>
              <w:left w:val="nil"/>
              <w:bottom w:val="single" w:sz="8" w:space="0" w:color="auto"/>
              <w:right w:val="single" w:sz="8" w:space="0" w:color="000000"/>
            </w:tcBorders>
            <w:vAlign w:val="center"/>
            <w:hideMark/>
          </w:tcPr>
          <w:p w14:paraId="0197B1F3"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2026-2030</w:t>
            </w:r>
          </w:p>
        </w:tc>
      </w:tr>
      <w:tr w:rsidR="004B0D7C" w:rsidRPr="00A33AE8" w14:paraId="28B8BC5C" w14:textId="77777777" w:rsidTr="004B0D7C">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10CEBA0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30" w:type="dxa"/>
            <w:gridSpan w:val="3"/>
            <w:tcBorders>
              <w:top w:val="single" w:sz="8" w:space="0" w:color="auto"/>
              <w:left w:val="nil"/>
              <w:bottom w:val="single" w:sz="8" w:space="0" w:color="auto"/>
              <w:right w:val="single" w:sz="8" w:space="0" w:color="000000"/>
            </w:tcBorders>
            <w:vAlign w:val="center"/>
            <w:hideMark/>
          </w:tcPr>
          <w:p w14:paraId="65C3EF1B"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05413DD4" w14:textId="77777777" w:rsidTr="004B0D7C">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521ED39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30" w:type="dxa"/>
            <w:gridSpan w:val="3"/>
            <w:tcBorders>
              <w:top w:val="single" w:sz="8" w:space="0" w:color="auto"/>
              <w:left w:val="nil"/>
              <w:bottom w:val="single" w:sz="8" w:space="0" w:color="auto"/>
              <w:right w:val="single" w:sz="8" w:space="0" w:color="000000"/>
            </w:tcBorders>
            <w:vAlign w:val="center"/>
            <w:hideMark/>
          </w:tcPr>
          <w:p w14:paraId="03A8FEBD"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4B0D7C" w:rsidRPr="00567DAD" w14:paraId="4D373A47" w14:textId="77777777" w:rsidTr="004B0D7C">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32EDA51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30" w:type="dxa"/>
            <w:gridSpan w:val="3"/>
            <w:tcBorders>
              <w:top w:val="single" w:sz="8" w:space="0" w:color="auto"/>
              <w:left w:val="nil"/>
              <w:bottom w:val="single" w:sz="8" w:space="0" w:color="auto"/>
              <w:right w:val="single" w:sz="8" w:space="0" w:color="000000"/>
            </w:tcBorders>
            <w:vAlign w:val="center"/>
            <w:hideMark/>
          </w:tcPr>
          <w:p w14:paraId="61E32A3C" w14:textId="77777777" w:rsidR="00B0163D" w:rsidRPr="00A33AE8" w:rsidRDefault="00B0163D"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2D8398E" w14:textId="77777777" w:rsidR="00B0163D" w:rsidRPr="00A33AE8" w:rsidRDefault="004B0D7C"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EMS</w:t>
            </w:r>
          </w:p>
          <w:p w14:paraId="1C24DCCC" w14:textId="77777777" w:rsidR="004B0D7C" w:rsidRPr="005B2C66" w:rsidRDefault="00500B07"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val="pt-PT" w:eastAsia="en-GB"/>
              </w:rPr>
            </w:pPr>
            <w:r w:rsidRPr="005B2C66">
              <w:rPr>
                <w:rStyle w:val="cf01"/>
                <w:lang w:val="pt-PT"/>
              </w:rPr>
              <w:t>Elektrodistribucija Srbije d.o.o. Beograd EPS</w:t>
            </w:r>
          </w:p>
        </w:tc>
      </w:tr>
      <w:tr w:rsidR="004B0D7C" w:rsidRPr="00567DAD" w14:paraId="6DF8BAF6" w14:textId="77777777" w:rsidTr="004B0D7C">
        <w:trPr>
          <w:gridAfter w:val="1"/>
          <w:wAfter w:w="1212" w:type="dxa"/>
          <w:trHeight w:val="315"/>
        </w:trPr>
        <w:tc>
          <w:tcPr>
            <w:tcW w:w="3258" w:type="dxa"/>
            <w:tcBorders>
              <w:top w:val="nil"/>
              <w:left w:val="single" w:sz="8" w:space="0" w:color="auto"/>
              <w:bottom w:val="single" w:sz="8" w:space="0" w:color="auto"/>
              <w:right w:val="nil"/>
            </w:tcBorders>
            <w:shd w:val="clear" w:color="auto" w:fill="244062"/>
            <w:vAlign w:val="center"/>
            <w:hideMark/>
          </w:tcPr>
          <w:p w14:paraId="5AC38A29"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30" w:type="dxa"/>
            <w:gridSpan w:val="3"/>
            <w:tcBorders>
              <w:top w:val="single" w:sz="8" w:space="0" w:color="auto"/>
              <w:left w:val="nil"/>
              <w:bottom w:val="single" w:sz="8" w:space="0" w:color="auto"/>
              <w:right w:val="single" w:sz="8" w:space="0" w:color="000000"/>
            </w:tcBorders>
            <w:vAlign w:val="center"/>
            <w:hideMark/>
          </w:tcPr>
          <w:p w14:paraId="1A9834F8" w14:textId="77777777" w:rsidR="00B0163D" w:rsidRPr="00A33AE8" w:rsidRDefault="00E45957"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EM</w:t>
            </w:r>
            <w:r w:rsidR="00B0163D" w:rsidRPr="00A33AE8">
              <w:rPr>
                <w:rFonts w:asciiTheme="majorHAnsi" w:eastAsia="Times New Roman" w:hAnsiTheme="majorHAnsi" w:cstheme="majorHAnsi"/>
                <w:color w:val="000000"/>
                <w:sz w:val="20"/>
                <w:szCs w:val="20"/>
                <w:lang w:eastAsia="en-GB"/>
              </w:rPr>
              <w:t>S</w:t>
            </w:r>
          </w:p>
          <w:p w14:paraId="5C34BB0D" w14:textId="77777777" w:rsidR="004B0D7C" w:rsidRPr="005B2C66" w:rsidRDefault="00500B07"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val="pt-PT" w:eastAsia="en-GB"/>
              </w:rPr>
            </w:pPr>
            <w:r w:rsidRPr="005B2C66">
              <w:rPr>
                <w:rStyle w:val="cf01"/>
                <w:lang w:val="pt-PT"/>
              </w:rPr>
              <w:t>Elektrodistribucija Srbije d.o.o. Beograd EPS</w:t>
            </w:r>
          </w:p>
        </w:tc>
      </w:tr>
      <w:tr w:rsidR="004B0D7C" w:rsidRPr="00A33AE8" w14:paraId="0BE4A39C" w14:textId="77777777" w:rsidTr="004B0D7C">
        <w:trPr>
          <w:gridAfter w:val="1"/>
          <w:wAfter w:w="1212" w:type="dxa"/>
          <w:trHeight w:val="315"/>
        </w:trPr>
        <w:tc>
          <w:tcPr>
            <w:tcW w:w="3258" w:type="dxa"/>
            <w:tcBorders>
              <w:top w:val="nil"/>
              <w:left w:val="single" w:sz="8" w:space="0" w:color="auto"/>
              <w:bottom w:val="single" w:sz="8" w:space="0" w:color="auto"/>
              <w:right w:val="nil"/>
            </w:tcBorders>
            <w:shd w:val="clear" w:color="auto" w:fill="244062"/>
            <w:vAlign w:val="center"/>
            <w:hideMark/>
          </w:tcPr>
          <w:p w14:paraId="7A29560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Progress indicators</w:t>
            </w:r>
          </w:p>
        </w:tc>
        <w:tc>
          <w:tcPr>
            <w:tcW w:w="6230" w:type="dxa"/>
            <w:gridSpan w:val="3"/>
            <w:tcBorders>
              <w:top w:val="single" w:sz="8" w:space="0" w:color="auto"/>
              <w:left w:val="nil"/>
              <w:bottom w:val="single" w:sz="8" w:space="0" w:color="auto"/>
              <w:right w:val="single" w:sz="8" w:space="0" w:color="000000"/>
            </w:tcBorders>
            <w:vAlign w:val="center"/>
            <w:hideMark/>
          </w:tcPr>
          <w:p w14:paraId="1ED5D1F7" w14:textId="77777777" w:rsidR="004B0D7C" w:rsidRPr="00A33AE8" w:rsidRDefault="002D1A6B"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Quality of supply</w:t>
            </w:r>
            <w:r w:rsidR="00E45957" w:rsidRPr="00A33AE8">
              <w:rPr>
                <w:rFonts w:asciiTheme="majorHAnsi" w:eastAsia="Times New Roman" w:hAnsiTheme="majorHAnsi" w:cstheme="majorHAnsi"/>
                <w:color w:val="000000"/>
                <w:sz w:val="20"/>
                <w:szCs w:val="20"/>
                <w:lang w:eastAsia="en-GB"/>
              </w:rPr>
              <w:t xml:space="preserve"> indicators (</w:t>
            </w:r>
            <w:r w:rsidRPr="00A33AE8">
              <w:rPr>
                <w:rFonts w:asciiTheme="majorHAnsi" w:eastAsia="Times New Roman" w:hAnsiTheme="majorHAnsi" w:cstheme="majorHAnsi"/>
                <w:color w:val="000000"/>
                <w:sz w:val="20"/>
                <w:szCs w:val="20"/>
                <w:lang w:eastAsia="en-GB"/>
              </w:rPr>
              <w:t xml:space="preserve">e.g. SAIDI, SAIFI, ENS) </w:t>
            </w:r>
          </w:p>
        </w:tc>
      </w:tr>
      <w:tr w:rsidR="00A0226E" w:rsidRPr="00A33AE8" w14:paraId="1672CEE6" w14:textId="77777777" w:rsidTr="004B0D7C">
        <w:trPr>
          <w:gridAfter w:val="1"/>
          <w:wAfter w:w="1212" w:type="dxa"/>
          <w:trHeight w:val="813"/>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5D6557F5"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30" w:type="dxa"/>
            <w:gridSpan w:val="3"/>
            <w:tcBorders>
              <w:top w:val="single" w:sz="8" w:space="0" w:color="auto"/>
              <w:left w:val="nil"/>
              <w:bottom w:val="single" w:sz="8" w:space="0" w:color="auto"/>
              <w:right w:val="single" w:sz="8" w:space="0" w:color="000000"/>
            </w:tcBorders>
            <w:vAlign w:val="center"/>
            <w:hideMark/>
          </w:tcPr>
          <w:p w14:paraId="13EC4C5D" w14:textId="77777777" w:rsidR="0070467B" w:rsidRPr="005B2C66" w:rsidRDefault="00A0226E"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6B3A5703" w14:textId="77777777" w:rsidR="0070467B" w:rsidRPr="0070467B" w:rsidRDefault="0070467B"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70467B">
              <w:rPr>
                <w:rFonts w:asciiTheme="majorHAnsi" w:eastAsia="Times New Roman" w:hAnsiTheme="majorHAnsi" w:cstheme="majorHAnsi"/>
                <w:color w:val="000000"/>
                <w:sz w:val="20"/>
                <w:szCs w:val="20"/>
                <w:lang w:eastAsia="en-GB"/>
              </w:rPr>
              <w:t>Decarbonisation</w:t>
            </w:r>
          </w:p>
          <w:p w14:paraId="3828F604" w14:textId="77777777" w:rsidR="0070467B" w:rsidRPr="00A33AE8" w:rsidRDefault="0070467B" w:rsidP="00884F3B">
            <w:pPr>
              <w:pStyle w:val="ListParagraph"/>
              <w:numPr>
                <w:ilvl w:val="0"/>
                <w:numId w:val="60"/>
              </w:numPr>
              <w:spacing w:after="0" w:line="240" w:lineRule="auto"/>
              <w:jc w:val="both"/>
              <w:rPr>
                <w:rFonts w:asciiTheme="majorHAnsi" w:eastAsia="Times New Roman" w:hAnsiTheme="majorHAnsi" w:cstheme="majorHAnsi"/>
                <w:color w:val="000000"/>
                <w:sz w:val="20"/>
                <w:szCs w:val="20"/>
                <w:lang w:eastAsia="en-GB"/>
              </w:rPr>
            </w:pPr>
            <w:r w:rsidRPr="0070467B">
              <w:rPr>
                <w:rFonts w:asciiTheme="majorHAnsi" w:eastAsia="Times New Roman" w:hAnsiTheme="majorHAnsi" w:cstheme="majorHAnsi"/>
                <w:color w:val="000000"/>
                <w:sz w:val="20"/>
                <w:szCs w:val="20"/>
                <w:lang w:eastAsia="en-GB"/>
              </w:rPr>
              <w:t>Energy Efficiency</w:t>
            </w:r>
          </w:p>
        </w:tc>
      </w:tr>
      <w:tr w:rsidR="004B0D7C" w:rsidRPr="00A33AE8" w14:paraId="290B6E1F" w14:textId="77777777" w:rsidTr="004B0D7C">
        <w:trPr>
          <w:gridAfter w:val="1"/>
          <w:wAfter w:w="1212" w:type="dxa"/>
          <w:trHeight w:val="450"/>
        </w:trPr>
        <w:tc>
          <w:tcPr>
            <w:tcW w:w="3258" w:type="dxa"/>
            <w:vMerge w:val="restart"/>
            <w:tcBorders>
              <w:top w:val="nil"/>
              <w:left w:val="single" w:sz="8" w:space="0" w:color="auto"/>
              <w:bottom w:val="single" w:sz="8" w:space="0" w:color="000000"/>
              <w:right w:val="single" w:sz="8" w:space="0" w:color="auto"/>
            </w:tcBorders>
            <w:shd w:val="clear" w:color="auto" w:fill="244062"/>
            <w:vAlign w:val="center"/>
            <w:hideMark/>
          </w:tcPr>
          <w:p w14:paraId="4D78000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3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FA70343" w14:textId="77777777" w:rsidR="004B0D7C" w:rsidRPr="00A33AE8" w:rsidRDefault="004B0D7C" w:rsidP="00884F3B">
            <w:pPr>
              <w:pStyle w:val="ListParagraph"/>
              <w:numPr>
                <w:ilvl w:val="0"/>
                <w:numId w:val="6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1534E394" w14:textId="77777777" w:rsidR="004B0D7C" w:rsidRPr="00A33AE8" w:rsidRDefault="004B0D7C" w:rsidP="00884F3B">
            <w:pPr>
              <w:pStyle w:val="ListParagraph"/>
              <w:numPr>
                <w:ilvl w:val="0"/>
                <w:numId w:val="6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347/2013</w:t>
            </w:r>
          </w:p>
        </w:tc>
      </w:tr>
      <w:tr w:rsidR="004B0D7C" w:rsidRPr="00A33AE8" w14:paraId="394DF310" w14:textId="77777777" w:rsidTr="004B0D7C">
        <w:trPr>
          <w:trHeight w:val="300"/>
        </w:trPr>
        <w:tc>
          <w:tcPr>
            <w:tcW w:w="3258" w:type="dxa"/>
            <w:vMerge/>
            <w:tcBorders>
              <w:top w:val="nil"/>
              <w:left w:val="single" w:sz="8" w:space="0" w:color="auto"/>
              <w:bottom w:val="single" w:sz="8" w:space="0" w:color="000000"/>
              <w:right w:val="single" w:sz="8" w:space="0" w:color="auto"/>
            </w:tcBorders>
            <w:vAlign w:val="center"/>
            <w:hideMark/>
          </w:tcPr>
          <w:p w14:paraId="368C6E6F"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30" w:type="dxa"/>
            <w:gridSpan w:val="3"/>
            <w:vMerge/>
            <w:tcBorders>
              <w:top w:val="single" w:sz="8" w:space="0" w:color="auto"/>
              <w:left w:val="single" w:sz="8" w:space="0" w:color="auto"/>
              <w:bottom w:val="single" w:sz="8" w:space="0" w:color="000000"/>
              <w:right w:val="single" w:sz="8" w:space="0" w:color="000000"/>
            </w:tcBorders>
            <w:vAlign w:val="center"/>
            <w:hideMark/>
          </w:tcPr>
          <w:p w14:paraId="447563A1"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67BE004" w14:textId="77777777" w:rsidR="004B0D7C" w:rsidRPr="00A33AE8" w:rsidRDefault="004B0D7C" w:rsidP="004B0D7C"/>
        </w:tc>
      </w:tr>
      <w:tr w:rsidR="004B0D7C" w:rsidRPr="00A33AE8" w14:paraId="4A289041" w14:textId="77777777" w:rsidTr="004B0D7C">
        <w:trPr>
          <w:trHeight w:val="60"/>
        </w:trPr>
        <w:tc>
          <w:tcPr>
            <w:tcW w:w="3258" w:type="dxa"/>
            <w:vMerge/>
            <w:tcBorders>
              <w:top w:val="nil"/>
              <w:left w:val="single" w:sz="8" w:space="0" w:color="auto"/>
              <w:bottom w:val="single" w:sz="8" w:space="0" w:color="000000"/>
              <w:right w:val="single" w:sz="8" w:space="0" w:color="auto"/>
            </w:tcBorders>
            <w:vAlign w:val="center"/>
            <w:hideMark/>
          </w:tcPr>
          <w:p w14:paraId="7E727F15"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230" w:type="dxa"/>
            <w:gridSpan w:val="3"/>
            <w:vMerge/>
            <w:tcBorders>
              <w:top w:val="single" w:sz="8" w:space="0" w:color="auto"/>
              <w:left w:val="single" w:sz="8" w:space="0" w:color="auto"/>
              <w:bottom w:val="single" w:sz="8" w:space="0" w:color="000000"/>
              <w:right w:val="single" w:sz="8" w:space="0" w:color="000000"/>
            </w:tcBorders>
            <w:vAlign w:val="center"/>
            <w:hideMark/>
          </w:tcPr>
          <w:p w14:paraId="09823368" w14:textId="77777777" w:rsidR="004B0D7C" w:rsidRPr="00A33AE8" w:rsidRDefault="004B0D7C" w:rsidP="004B0D7C">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2FACA1C" w14:textId="77777777" w:rsidR="004B0D7C" w:rsidRPr="00A33AE8" w:rsidRDefault="004B0D7C" w:rsidP="004B0D7C">
            <w:pPr>
              <w:spacing w:after="0" w:line="256" w:lineRule="auto"/>
              <w:rPr>
                <w:sz w:val="20"/>
                <w:szCs w:val="20"/>
                <w:lang w:eastAsia="en-GB"/>
              </w:rPr>
            </w:pPr>
          </w:p>
        </w:tc>
      </w:tr>
      <w:tr w:rsidR="004B0D7C" w:rsidRPr="00A33AE8" w14:paraId="7D2B7206" w14:textId="77777777" w:rsidTr="004B0D7C">
        <w:trPr>
          <w:trHeight w:val="780"/>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1132DFAA"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30" w:type="dxa"/>
            <w:gridSpan w:val="3"/>
            <w:tcBorders>
              <w:top w:val="single" w:sz="8" w:space="0" w:color="auto"/>
              <w:left w:val="nil"/>
              <w:bottom w:val="single" w:sz="8" w:space="0" w:color="auto"/>
              <w:right w:val="single" w:sz="8" w:space="0" w:color="000000"/>
            </w:tcBorders>
            <w:vAlign w:val="center"/>
            <w:hideMark/>
          </w:tcPr>
          <w:p w14:paraId="67BB2C43" w14:textId="77777777" w:rsidR="004B0D7C" w:rsidRPr="00A33AE8" w:rsidRDefault="004B0D7C" w:rsidP="00884F3B">
            <w:pPr>
              <w:pStyle w:val="ListParagraph"/>
              <w:numPr>
                <w:ilvl w:val="0"/>
                <w:numId w:val="6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p w14:paraId="129DE653" w14:textId="77777777" w:rsidR="009B19E2" w:rsidRPr="00A33AE8" w:rsidRDefault="009B19E2" w:rsidP="00884F3B">
            <w:pPr>
              <w:pStyle w:val="ListParagraph"/>
              <w:numPr>
                <w:ilvl w:val="0"/>
                <w:numId w:val="6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RES</w:t>
            </w:r>
          </w:p>
        </w:tc>
        <w:tc>
          <w:tcPr>
            <w:tcW w:w="1212" w:type="dxa"/>
            <w:vAlign w:val="center"/>
            <w:hideMark/>
          </w:tcPr>
          <w:p w14:paraId="4E99CBC7"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4B0D7C" w:rsidRPr="00A33AE8" w14:paraId="2C7BAD30" w14:textId="77777777" w:rsidTr="004B0D7C">
        <w:trPr>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06C23D21"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30" w:type="dxa"/>
            <w:gridSpan w:val="3"/>
            <w:tcBorders>
              <w:top w:val="single" w:sz="8" w:space="0" w:color="auto"/>
              <w:left w:val="nil"/>
              <w:bottom w:val="single" w:sz="8" w:space="0" w:color="auto"/>
              <w:right w:val="single" w:sz="8" w:space="0" w:color="000000"/>
            </w:tcBorders>
            <w:vAlign w:val="center"/>
            <w:hideMark/>
          </w:tcPr>
          <w:p w14:paraId="64AFD2A8" w14:textId="77777777" w:rsidR="004B0D7C" w:rsidRPr="00A33AE8" w:rsidRDefault="004B0D7C"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10 </w:t>
            </w:r>
            <w:r w:rsidR="00B03413" w:rsidRPr="00A33AE8">
              <w:rPr>
                <w:rFonts w:asciiTheme="majorHAnsi" w:eastAsia="Times New Roman" w:hAnsiTheme="majorHAnsi" w:cstheme="majorHAnsi"/>
                <w:color w:val="000000"/>
                <w:sz w:val="20"/>
                <w:szCs w:val="20"/>
                <w:lang w:eastAsia="en-GB"/>
              </w:rPr>
              <w:t>M</w:t>
            </w:r>
            <w:r w:rsidR="00B03413" w:rsidRPr="00A33AE8">
              <w:rPr>
                <w:rFonts w:ascii="Calibri" w:eastAsia="Times New Roman" w:hAnsi="Calibri" w:cs="Calibri"/>
                <w:color w:val="000000"/>
                <w:sz w:val="20"/>
                <w:szCs w:val="20"/>
                <w:lang w:eastAsia="en-GB"/>
              </w:rPr>
              <w:t>€</w:t>
            </w:r>
          </w:p>
        </w:tc>
        <w:tc>
          <w:tcPr>
            <w:tcW w:w="1212" w:type="dxa"/>
            <w:vAlign w:val="center"/>
            <w:hideMark/>
          </w:tcPr>
          <w:p w14:paraId="483175A9" w14:textId="77777777" w:rsidR="004B0D7C" w:rsidRPr="00A33AE8" w:rsidRDefault="004B0D7C" w:rsidP="004B0D7C">
            <w:pPr>
              <w:rPr>
                <w:rFonts w:asciiTheme="majorHAnsi" w:eastAsia="Times New Roman" w:hAnsiTheme="majorHAnsi" w:cstheme="majorHAnsi"/>
                <w:color w:val="000000"/>
                <w:sz w:val="20"/>
                <w:szCs w:val="20"/>
                <w:lang w:eastAsia="en-GB"/>
              </w:rPr>
            </w:pPr>
          </w:p>
        </w:tc>
      </w:tr>
      <w:tr w:rsidR="00B92935" w:rsidRPr="00A33AE8" w14:paraId="5D1BEA84" w14:textId="77777777" w:rsidTr="004B0D7C">
        <w:trPr>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1FAFC748"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30" w:type="dxa"/>
            <w:gridSpan w:val="3"/>
            <w:tcBorders>
              <w:top w:val="single" w:sz="8" w:space="0" w:color="auto"/>
              <w:left w:val="nil"/>
              <w:bottom w:val="single" w:sz="8" w:space="0" w:color="auto"/>
              <w:right w:val="single" w:sz="8" w:space="0" w:color="000000"/>
            </w:tcBorders>
            <w:vAlign w:val="center"/>
            <w:hideMark/>
          </w:tcPr>
          <w:p w14:paraId="357CDB84" w14:textId="77777777" w:rsidR="00B92935" w:rsidRPr="00A33AE8" w:rsidRDefault="00B92935" w:rsidP="00B92935">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 xml:space="preserve">EU and other funds, public funds and </w:t>
            </w:r>
            <w:r w:rsidR="00295188" w:rsidRPr="00A33AE8">
              <w:rPr>
                <w:rFonts w:ascii="Calibri Light" w:eastAsia="Times New Roman" w:hAnsi="Calibri Light" w:cs="Calibri Light"/>
                <w:color w:val="000000"/>
                <w:sz w:val="20"/>
                <w:szCs w:val="20"/>
                <w:lang w:eastAsia="en-GB"/>
              </w:rPr>
              <w:t xml:space="preserve">own </w:t>
            </w:r>
            <w:r w:rsidRPr="00A33AE8">
              <w:rPr>
                <w:rFonts w:ascii="Calibri Light" w:eastAsia="Times New Roman" w:hAnsi="Calibri Light" w:cs="Calibri Light"/>
                <w:color w:val="000000"/>
                <w:sz w:val="20"/>
                <w:szCs w:val="20"/>
                <w:lang w:eastAsia="en-GB"/>
              </w:rPr>
              <w:t>funds</w:t>
            </w:r>
          </w:p>
        </w:tc>
        <w:tc>
          <w:tcPr>
            <w:tcW w:w="1212" w:type="dxa"/>
            <w:vAlign w:val="center"/>
            <w:hideMark/>
          </w:tcPr>
          <w:p w14:paraId="11FE1FF0" w14:textId="77777777" w:rsidR="00B92935" w:rsidRPr="00A33AE8" w:rsidRDefault="00B92935" w:rsidP="00B92935">
            <w:pPr>
              <w:rPr>
                <w:rFonts w:asciiTheme="majorHAnsi" w:eastAsia="Times New Roman" w:hAnsiTheme="majorHAnsi" w:cstheme="majorHAnsi"/>
                <w:color w:val="000000"/>
                <w:sz w:val="20"/>
                <w:szCs w:val="20"/>
                <w:lang w:eastAsia="en-GB"/>
              </w:rPr>
            </w:pPr>
          </w:p>
        </w:tc>
      </w:tr>
    </w:tbl>
    <w:p w14:paraId="1300A9DD" w14:textId="77777777" w:rsidR="00690C0D" w:rsidRPr="00A33AE8" w:rsidRDefault="00690C0D" w:rsidP="001D1BB0">
      <w:pPr>
        <w:pStyle w:val="LDKbody"/>
        <w:rPr>
          <w:lang w:val="en-GB"/>
        </w:rPr>
      </w:pPr>
    </w:p>
    <w:p w14:paraId="1B8149F2" w14:textId="77777777" w:rsidR="00351DC9" w:rsidRPr="00A33AE8" w:rsidRDefault="00351DC9" w:rsidP="007D341E">
      <w:pPr>
        <w:pStyle w:val="Heading3"/>
      </w:pPr>
      <w:r w:rsidRPr="00A33AE8">
        <w:t>Market integration</w:t>
      </w:r>
    </w:p>
    <w:p w14:paraId="49FE8767" w14:textId="77777777" w:rsidR="00AE377B" w:rsidRPr="00A33AE8" w:rsidRDefault="00AE377B" w:rsidP="00AE377B">
      <w:pPr>
        <w:rPr>
          <w:lang w:eastAsia="tr-TR"/>
        </w:rPr>
      </w:pPr>
    </w:p>
    <w:tbl>
      <w:tblPr>
        <w:tblW w:w="10700" w:type="dxa"/>
        <w:tblLook w:val="04A0" w:firstRow="1" w:lastRow="0" w:firstColumn="1" w:lastColumn="0" w:noHBand="0" w:noVBand="1"/>
      </w:tblPr>
      <w:tblGrid>
        <w:gridCol w:w="3137"/>
        <w:gridCol w:w="1666"/>
        <w:gridCol w:w="906"/>
        <w:gridCol w:w="3779"/>
        <w:gridCol w:w="1212"/>
      </w:tblGrid>
      <w:tr w:rsidR="00AE377B" w:rsidRPr="00A33AE8" w14:paraId="43FEF8D4" w14:textId="77777777" w:rsidTr="004B0D7C">
        <w:trPr>
          <w:gridAfter w:val="1"/>
          <w:wAfter w:w="1212" w:type="dxa"/>
          <w:trHeight w:val="780"/>
        </w:trPr>
        <w:tc>
          <w:tcPr>
            <w:tcW w:w="313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49D66FD"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66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584D951"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IEM1</w:t>
            </w:r>
            <w:r w:rsidR="005D69C8" w:rsidRPr="00A33AE8">
              <w:rPr>
                <w:rFonts w:ascii="Calibri Light" w:eastAsia="Times New Roman" w:hAnsi="Calibri Light" w:cs="Calibri Light"/>
                <w:b/>
                <w:bCs/>
                <w:color w:val="000000"/>
                <w:sz w:val="20"/>
                <w:szCs w:val="20"/>
                <w:lang w:eastAsia="en-GB"/>
              </w:rPr>
              <w:t>1</w:t>
            </w:r>
          </w:p>
        </w:tc>
        <w:tc>
          <w:tcPr>
            <w:tcW w:w="906" w:type="dxa"/>
            <w:tcBorders>
              <w:top w:val="single" w:sz="8" w:space="0" w:color="auto"/>
              <w:left w:val="nil"/>
              <w:bottom w:val="single" w:sz="8" w:space="0" w:color="auto"/>
              <w:right w:val="single" w:sz="8" w:space="0" w:color="auto"/>
            </w:tcBorders>
            <w:shd w:val="clear" w:color="auto" w:fill="244062"/>
            <w:vAlign w:val="center"/>
            <w:hideMark/>
          </w:tcPr>
          <w:p w14:paraId="3491D75C"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3779" w:type="dxa"/>
            <w:tcBorders>
              <w:top w:val="single" w:sz="8" w:space="0" w:color="auto"/>
              <w:left w:val="nil"/>
              <w:bottom w:val="single" w:sz="8" w:space="0" w:color="auto"/>
              <w:right w:val="single" w:sz="8" w:space="0" w:color="auto"/>
            </w:tcBorders>
            <w:shd w:val="clear" w:color="auto" w:fill="E7E6E6" w:themeFill="background2"/>
            <w:vAlign w:val="center"/>
            <w:hideMark/>
          </w:tcPr>
          <w:p w14:paraId="59FFC394"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Smart meters roll out in electricity </w:t>
            </w:r>
            <w:r w:rsidR="00500B07" w:rsidRPr="00A33AE8">
              <w:rPr>
                <w:rStyle w:val="cf01"/>
              </w:rPr>
              <w:t>Elektrodistribucija Srbije d.o.o. Beograd EPS</w:t>
            </w:r>
          </w:p>
        </w:tc>
      </w:tr>
      <w:tr w:rsidR="00AE377B" w:rsidRPr="00A33AE8" w14:paraId="08275399" w14:textId="77777777" w:rsidTr="004B0D7C">
        <w:trPr>
          <w:gridAfter w:val="1"/>
          <w:wAfter w:w="1212" w:type="dxa"/>
          <w:trHeight w:val="381"/>
        </w:trPr>
        <w:tc>
          <w:tcPr>
            <w:tcW w:w="3137" w:type="dxa"/>
            <w:tcBorders>
              <w:top w:val="nil"/>
              <w:left w:val="single" w:sz="8" w:space="0" w:color="auto"/>
              <w:bottom w:val="single" w:sz="8" w:space="0" w:color="auto"/>
              <w:right w:val="nil"/>
            </w:tcBorders>
            <w:shd w:val="clear" w:color="auto" w:fill="244062"/>
            <w:vAlign w:val="center"/>
            <w:hideMark/>
          </w:tcPr>
          <w:p w14:paraId="279CC4B8"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351" w:type="dxa"/>
            <w:gridSpan w:val="3"/>
            <w:tcBorders>
              <w:top w:val="single" w:sz="8" w:space="0" w:color="auto"/>
              <w:left w:val="nil"/>
              <w:bottom w:val="single" w:sz="8" w:space="0" w:color="auto"/>
              <w:right w:val="single" w:sz="8" w:space="0" w:color="000000"/>
            </w:tcBorders>
            <w:vAlign w:val="center"/>
            <w:hideMark/>
          </w:tcPr>
          <w:p w14:paraId="4433894E" w14:textId="5D4A2931" w:rsidR="00AE377B" w:rsidRPr="00A33AE8" w:rsidRDefault="00AC6465">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D809E2">
              <w:rPr>
                <w:rFonts w:asciiTheme="majorHAnsi" w:eastAsia="Times New Roman" w:hAnsiTheme="majorHAnsi" w:cstheme="majorHAnsi"/>
                <w:color w:val="000000"/>
                <w:sz w:val="20"/>
                <w:szCs w:val="20"/>
                <w:lang w:eastAsia="en-GB"/>
              </w:rPr>
              <w:t>.</w:t>
            </w:r>
          </w:p>
        </w:tc>
      </w:tr>
      <w:tr w:rsidR="00AE377B" w:rsidRPr="00A33AE8" w14:paraId="557A6B71" w14:textId="77777777" w:rsidTr="004B0D7C">
        <w:trPr>
          <w:gridAfter w:val="1"/>
          <w:wAfter w:w="1212" w:type="dxa"/>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67BEDB63"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351" w:type="dxa"/>
            <w:gridSpan w:val="3"/>
            <w:tcBorders>
              <w:top w:val="single" w:sz="8" w:space="0" w:color="auto"/>
              <w:left w:val="nil"/>
              <w:bottom w:val="single" w:sz="8" w:space="0" w:color="auto"/>
              <w:right w:val="single" w:sz="8" w:space="0" w:color="000000"/>
            </w:tcBorders>
            <w:vAlign w:val="center"/>
          </w:tcPr>
          <w:p w14:paraId="1FF357C2" w14:textId="77777777" w:rsidR="00AE377B" w:rsidRPr="00A33AE8" w:rsidRDefault="00AC6465">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 xml:space="preserve">Increased quality of supply indicators, </w:t>
            </w:r>
            <w:r w:rsidR="00D27AB0" w:rsidRPr="00A33AE8">
              <w:rPr>
                <w:rFonts w:asciiTheme="majorHAnsi" w:eastAsia="Times New Roman" w:hAnsiTheme="majorHAnsi" w:cstheme="majorHAnsi"/>
                <w:color w:val="000000"/>
                <w:sz w:val="20"/>
                <w:szCs w:val="20"/>
                <w:lang w:eastAsia="en-GB"/>
              </w:rPr>
              <w:t xml:space="preserve">deployment </w:t>
            </w:r>
            <w:r w:rsidRPr="00A33AE8">
              <w:rPr>
                <w:rFonts w:asciiTheme="majorHAnsi" w:eastAsia="Times New Roman" w:hAnsiTheme="majorHAnsi" w:cstheme="majorHAnsi"/>
                <w:color w:val="000000"/>
                <w:sz w:val="20"/>
                <w:szCs w:val="20"/>
                <w:lang w:eastAsia="en-GB"/>
              </w:rPr>
              <w:t>smart grids, aggregation, demand response</w:t>
            </w:r>
            <w:r w:rsidR="00D27AB0" w:rsidRPr="00A33AE8">
              <w:rPr>
                <w:rFonts w:asciiTheme="majorHAnsi" w:eastAsia="Times New Roman" w:hAnsiTheme="majorHAnsi" w:cstheme="majorHAnsi"/>
                <w:color w:val="000000"/>
                <w:sz w:val="20"/>
                <w:szCs w:val="20"/>
                <w:lang w:eastAsia="en-GB"/>
              </w:rPr>
              <w:t xml:space="preserve"> services as well as</w:t>
            </w:r>
            <w:r w:rsidRPr="00A33AE8">
              <w:rPr>
                <w:rFonts w:asciiTheme="majorHAnsi" w:eastAsia="Times New Roman" w:hAnsiTheme="majorHAnsi" w:cstheme="majorHAnsi"/>
                <w:color w:val="000000"/>
                <w:sz w:val="20"/>
                <w:szCs w:val="20"/>
                <w:lang w:eastAsia="en-GB"/>
              </w:rPr>
              <w:t xml:space="preserve"> storage</w:t>
            </w:r>
            <w:r w:rsidR="00D27AB0" w:rsidRPr="00A33AE8">
              <w:rPr>
                <w:rFonts w:asciiTheme="majorHAnsi" w:eastAsia="Times New Roman" w:hAnsiTheme="majorHAnsi" w:cstheme="majorHAnsi"/>
                <w:color w:val="000000"/>
                <w:sz w:val="20"/>
                <w:szCs w:val="20"/>
                <w:lang w:eastAsia="en-GB"/>
              </w:rPr>
              <w:t xml:space="preserve"> and</w:t>
            </w:r>
            <w:r w:rsidRPr="00A33AE8">
              <w:rPr>
                <w:rFonts w:asciiTheme="majorHAnsi" w:eastAsia="Times New Roman" w:hAnsiTheme="majorHAnsi" w:cstheme="majorHAnsi"/>
                <w:color w:val="000000"/>
                <w:sz w:val="20"/>
                <w:szCs w:val="20"/>
                <w:lang w:eastAsia="en-GB"/>
              </w:rPr>
              <w:t xml:space="preserve"> distributed generation</w:t>
            </w:r>
          </w:p>
        </w:tc>
      </w:tr>
      <w:tr w:rsidR="004B0D7C" w:rsidRPr="00A33AE8" w14:paraId="44279CC1" w14:textId="77777777" w:rsidTr="004B0D7C">
        <w:trPr>
          <w:gridAfter w:val="1"/>
          <w:wAfter w:w="1212" w:type="dxa"/>
          <w:trHeight w:val="1293"/>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5478B03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351" w:type="dxa"/>
            <w:gridSpan w:val="3"/>
            <w:tcBorders>
              <w:top w:val="single" w:sz="8" w:space="0" w:color="auto"/>
              <w:left w:val="nil"/>
              <w:bottom w:val="single" w:sz="8" w:space="0" w:color="auto"/>
              <w:right w:val="single" w:sz="8" w:space="0" w:color="000000"/>
            </w:tcBorders>
            <w:vAlign w:val="center"/>
            <w:hideMark/>
          </w:tcPr>
          <w:p w14:paraId="350CB925" w14:textId="77777777" w:rsidR="004B0D7C" w:rsidRPr="00A33AE8" w:rsidRDefault="004B0D7C" w:rsidP="00CF58E3">
            <w:pPr>
              <w:spacing w:after="0" w:line="240" w:lineRule="auto"/>
              <w:jc w:val="both"/>
              <w:rPr>
                <w:rFonts w:ascii="Times New Roman" w:hAnsi="Times New Roman" w:cs="Times New Roman"/>
                <w:sz w:val="24"/>
                <w:szCs w:val="24"/>
                <w:lang w:eastAsia="en-GB"/>
              </w:rPr>
            </w:pPr>
            <w:r w:rsidRPr="00A33AE8">
              <w:rPr>
                <w:rFonts w:ascii="Calibri Light" w:eastAsia="Times New Roman" w:hAnsi="Calibri Light" w:cs="Calibri Light"/>
                <w:color w:val="000000"/>
                <w:sz w:val="20"/>
                <w:szCs w:val="20"/>
                <w:lang w:eastAsia="en-GB"/>
              </w:rPr>
              <w:t xml:space="preserve">PM_IEM11 concerns the roll-out of electricity smart meters in Serbia covering at least 80% of consumption (the target refers to electricity </w:t>
            </w:r>
            <w:r w:rsidR="00CF58E3" w:rsidRPr="00A33AE8">
              <w:rPr>
                <w:rFonts w:ascii="Calibri Light" w:eastAsia="Times New Roman" w:hAnsi="Calibri Light" w:cs="Calibri Light"/>
                <w:color w:val="000000"/>
                <w:sz w:val="20"/>
                <w:szCs w:val="20"/>
                <w:lang w:eastAsia="en-GB"/>
              </w:rPr>
              <w:t xml:space="preserve">transmission and distribution networks </w:t>
            </w:r>
            <w:r w:rsidRPr="00A33AE8">
              <w:rPr>
                <w:rFonts w:ascii="Calibri Light" w:eastAsia="Times New Roman" w:hAnsi="Calibri Light" w:cs="Calibri Light"/>
                <w:color w:val="000000"/>
                <w:sz w:val="20"/>
                <w:szCs w:val="20"/>
                <w:lang w:eastAsia="en-GB"/>
              </w:rPr>
              <w:t xml:space="preserve">where transmission roll-out has already been fully covered). The roll-out is expected to be implement following the preparation of a cost-benefit analysis (CBA) study. </w:t>
            </w:r>
            <w:r w:rsidR="00F92C66" w:rsidRPr="00A33AE8">
              <w:rPr>
                <w:rFonts w:ascii="Calibri Light" w:eastAsia="Times New Roman" w:hAnsi="Calibri Light" w:cs="Calibri Light"/>
                <w:color w:val="000000"/>
                <w:sz w:val="20"/>
                <w:szCs w:val="20"/>
                <w:lang w:eastAsia="en-GB"/>
              </w:rPr>
              <w:t>The roll-out is expected to bring benefits in both the energy market and energy efficiency dimensions</w:t>
            </w:r>
            <w:r w:rsidR="00AF7CDA" w:rsidRPr="00A33AE8">
              <w:rPr>
                <w:rFonts w:ascii="Calibri Light" w:eastAsia="Times New Roman" w:hAnsi="Calibri Light" w:cs="Calibri Light"/>
                <w:color w:val="000000"/>
                <w:sz w:val="20"/>
                <w:szCs w:val="20"/>
                <w:lang w:eastAsia="en-GB"/>
              </w:rPr>
              <w:t>.</w:t>
            </w:r>
          </w:p>
        </w:tc>
      </w:tr>
      <w:tr w:rsidR="004B0D7C" w:rsidRPr="00A33AE8" w14:paraId="11A9D5B3" w14:textId="77777777" w:rsidTr="004B0D7C">
        <w:trPr>
          <w:gridAfter w:val="1"/>
          <w:wAfter w:w="1212" w:type="dxa"/>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3EB5699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351" w:type="dxa"/>
            <w:gridSpan w:val="3"/>
            <w:tcBorders>
              <w:top w:val="single" w:sz="8" w:space="0" w:color="auto"/>
              <w:left w:val="nil"/>
              <w:bottom w:val="single" w:sz="8" w:space="0" w:color="auto"/>
              <w:right w:val="single" w:sz="8" w:space="0" w:color="000000"/>
            </w:tcBorders>
            <w:vAlign w:val="center"/>
            <w:hideMark/>
          </w:tcPr>
          <w:p w14:paraId="509F7DCC" w14:textId="77777777" w:rsidR="004B0D7C" w:rsidRPr="000007D2" w:rsidRDefault="004B0D7C" w:rsidP="004B0D7C">
            <w:pPr>
              <w:spacing w:after="0" w:line="240" w:lineRule="auto"/>
              <w:jc w:val="both"/>
              <w:rPr>
                <w:rFonts w:ascii="Calibri Light" w:hAnsi="Calibri Light"/>
                <w:color w:val="000000"/>
                <w:sz w:val="20"/>
              </w:rPr>
            </w:pPr>
            <w:r w:rsidRPr="00A33AE8">
              <w:rPr>
                <w:rFonts w:ascii="Calibri Light" w:eastAsia="Times New Roman" w:hAnsi="Calibri Light" w:cs="Calibri Light"/>
                <w:color w:val="000000"/>
                <w:sz w:val="20"/>
                <w:szCs w:val="20"/>
                <w:lang w:eastAsia="en-GB"/>
              </w:rPr>
              <w:t>2021-2030</w:t>
            </w:r>
          </w:p>
        </w:tc>
      </w:tr>
      <w:tr w:rsidR="004B0D7C" w:rsidRPr="00A33AE8" w14:paraId="66205E5F" w14:textId="77777777" w:rsidTr="004B0D7C">
        <w:trPr>
          <w:gridAfter w:val="1"/>
          <w:wAfter w:w="1212" w:type="dxa"/>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3B77FEA8"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351" w:type="dxa"/>
            <w:gridSpan w:val="3"/>
            <w:tcBorders>
              <w:top w:val="single" w:sz="8" w:space="0" w:color="auto"/>
              <w:left w:val="nil"/>
              <w:bottom w:val="single" w:sz="8" w:space="0" w:color="auto"/>
              <w:right w:val="single" w:sz="8" w:space="0" w:color="000000"/>
            </w:tcBorders>
            <w:vAlign w:val="center"/>
            <w:hideMark/>
          </w:tcPr>
          <w:p w14:paraId="05714994" w14:textId="77777777" w:rsidR="004B0D7C" w:rsidRPr="00A33AE8" w:rsidRDefault="00B03413"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4B0D7C" w:rsidRPr="00A33AE8" w14:paraId="777CC585" w14:textId="77777777" w:rsidTr="004B0D7C">
        <w:trPr>
          <w:gridAfter w:val="1"/>
          <w:wAfter w:w="1212" w:type="dxa"/>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02D157C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351" w:type="dxa"/>
            <w:gridSpan w:val="3"/>
            <w:tcBorders>
              <w:top w:val="single" w:sz="8" w:space="0" w:color="auto"/>
              <w:left w:val="nil"/>
              <w:bottom w:val="single" w:sz="8" w:space="0" w:color="auto"/>
              <w:right w:val="single" w:sz="8" w:space="0" w:color="000000"/>
            </w:tcBorders>
            <w:vAlign w:val="center"/>
            <w:hideMark/>
          </w:tcPr>
          <w:p w14:paraId="34212B09"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 industrial</w:t>
            </w:r>
          </w:p>
        </w:tc>
      </w:tr>
      <w:tr w:rsidR="004B0D7C" w:rsidRPr="00A33AE8" w14:paraId="60825DB4" w14:textId="77777777" w:rsidTr="004B0D7C">
        <w:trPr>
          <w:gridAfter w:val="1"/>
          <w:wAfter w:w="1212" w:type="dxa"/>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08B27A9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351" w:type="dxa"/>
            <w:gridSpan w:val="3"/>
            <w:tcBorders>
              <w:top w:val="single" w:sz="8" w:space="0" w:color="auto"/>
              <w:left w:val="nil"/>
              <w:bottom w:val="single" w:sz="8" w:space="0" w:color="auto"/>
              <w:right w:val="single" w:sz="8" w:space="0" w:color="000000"/>
            </w:tcBorders>
            <w:vAlign w:val="center"/>
            <w:hideMark/>
          </w:tcPr>
          <w:p w14:paraId="42152B99" w14:textId="77777777" w:rsidR="00C2534C" w:rsidRPr="005B2C66" w:rsidRDefault="00B3653E" w:rsidP="00884F3B">
            <w:pPr>
              <w:pStyle w:val="ListParagraph"/>
              <w:numPr>
                <w:ilvl w:val="0"/>
                <w:numId w:val="60"/>
              </w:numPr>
              <w:spacing w:after="0" w:line="240" w:lineRule="auto"/>
              <w:jc w:val="both"/>
              <w:rPr>
                <w:rFonts w:ascii="Calibri Light" w:hAnsi="Calibri Light"/>
                <w:color w:val="000000"/>
                <w:sz w:val="20"/>
                <w:lang w:val="pt-PT"/>
              </w:rPr>
            </w:pPr>
            <w:r w:rsidRPr="005B2C66">
              <w:rPr>
                <w:rStyle w:val="cf01"/>
                <w:lang w:val="pt-PT"/>
              </w:rPr>
              <w:t>Elektrodistribucija Srbije doo Beograd (EDS)</w:t>
            </w:r>
          </w:p>
          <w:p w14:paraId="41367063" w14:textId="77777777" w:rsidR="004B0D7C" w:rsidRPr="00A33AE8" w:rsidRDefault="00C2534C" w:rsidP="00884F3B">
            <w:pPr>
              <w:pStyle w:val="ListParagraph"/>
              <w:numPr>
                <w:ilvl w:val="0"/>
                <w:numId w:val="6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4B0D7C" w:rsidRPr="00A33AE8" w14:paraId="5678D98B" w14:textId="77777777" w:rsidTr="004B0D7C">
        <w:trPr>
          <w:gridAfter w:val="1"/>
          <w:wAfter w:w="1212" w:type="dxa"/>
          <w:trHeight w:val="315"/>
        </w:trPr>
        <w:tc>
          <w:tcPr>
            <w:tcW w:w="3137" w:type="dxa"/>
            <w:tcBorders>
              <w:top w:val="nil"/>
              <w:left w:val="single" w:sz="8" w:space="0" w:color="auto"/>
              <w:bottom w:val="single" w:sz="8" w:space="0" w:color="auto"/>
              <w:right w:val="nil"/>
            </w:tcBorders>
            <w:shd w:val="clear" w:color="auto" w:fill="244062"/>
            <w:vAlign w:val="center"/>
            <w:hideMark/>
          </w:tcPr>
          <w:p w14:paraId="0451B72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351" w:type="dxa"/>
            <w:gridSpan w:val="3"/>
            <w:tcBorders>
              <w:top w:val="single" w:sz="8" w:space="0" w:color="auto"/>
              <w:left w:val="nil"/>
              <w:bottom w:val="single" w:sz="8" w:space="0" w:color="auto"/>
              <w:right w:val="single" w:sz="8" w:space="0" w:color="000000"/>
            </w:tcBorders>
            <w:vAlign w:val="center"/>
            <w:hideMark/>
          </w:tcPr>
          <w:p w14:paraId="4DEB46AD" w14:textId="77777777" w:rsidR="00254B09" w:rsidRPr="00A33AE8" w:rsidRDefault="004B0D7C" w:rsidP="00884F3B">
            <w:pPr>
              <w:pStyle w:val="ListParagraph"/>
              <w:numPr>
                <w:ilvl w:val="0"/>
                <w:numId w:val="6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D27AB0" w:rsidRPr="00A33AE8">
              <w:rPr>
                <w:rFonts w:ascii="Calibri Light" w:eastAsia="Times New Roman" w:hAnsi="Calibri Light" w:cs="Calibri Light"/>
                <w:color w:val="000000"/>
                <w:sz w:val="20"/>
                <w:szCs w:val="20"/>
                <w:lang w:eastAsia="en-GB"/>
              </w:rPr>
              <w:t>AERS</w:t>
            </w:r>
          </w:p>
          <w:p w14:paraId="560344F2" w14:textId="77777777" w:rsidR="00D668F0" w:rsidRPr="00A33AE8" w:rsidRDefault="00D668F0" w:rsidP="00884F3B">
            <w:pPr>
              <w:pStyle w:val="ListParagraph"/>
              <w:numPr>
                <w:ilvl w:val="0"/>
                <w:numId w:val="6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4B0D7C" w:rsidRPr="00A33AE8" w14:paraId="2F7BB189" w14:textId="77777777" w:rsidTr="004B0D7C">
        <w:trPr>
          <w:gridAfter w:val="1"/>
          <w:wAfter w:w="1212" w:type="dxa"/>
          <w:trHeight w:val="315"/>
        </w:trPr>
        <w:tc>
          <w:tcPr>
            <w:tcW w:w="3137" w:type="dxa"/>
            <w:tcBorders>
              <w:top w:val="nil"/>
              <w:left w:val="single" w:sz="8" w:space="0" w:color="auto"/>
              <w:bottom w:val="single" w:sz="8" w:space="0" w:color="auto"/>
              <w:right w:val="nil"/>
            </w:tcBorders>
            <w:shd w:val="clear" w:color="auto" w:fill="244062"/>
            <w:vAlign w:val="center"/>
            <w:hideMark/>
          </w:tcPr>
          <w:p w14:paraId="753E9D55"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351" w:type="dxa"/>
            <w:gridSpan w:val="3"/>
            <w:tcBorders>
              <w:top w:val="single" w:sz="8" w:space="0" w:color="auto"/>
              <w:left w:val="nil"/>
              <w:bottom w:val="single" w:sz="8" w:space="0" w:color="auto"/>
              <w:right w:val="single" w:sz="8" w:space="0" w:color="000000"/>
            </w:tcBorders>
            <w:vAlign w:val="center"/>
            <w:hideMark/>
          </w:tcPr>
          <w:p w14:paraId="7E26BF09"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D27AB0" w:rsidRPr="00A33AE8">
              <w:rPr>
                <w:rFonts w:ascii="Calibri Light" w:eastAsia="Times New Roman" w:hAnsi="Calibri Light" w:cs="Calibri Light"/>
                <w:color w:val="000000"/>
                <w:sz w:val="20"/>
                <w:szCs w:val="20"/>
                <w:lang w:eastAsia="en-GB"/>
              </w:rPr>
              <w:t>Number of distribution network connect</w:t>
            </w:r>
            <w:r w:rsidR="00C6316F" w:rsidRPr="00A33AE8">
              <w:rPr>
                <w:rFonts w:ascii="Calibri Light" w:eastAsia="Times New Roman" w:hAnsi="Calibri Light" w:cs="Calibri Light"/>
                <w:color w:val="000000"/>
                <w:sz w:val="20"/>
                <w:szCs w:val="20"/>
                <w:lang w:eastAsia="en-GB"/>
              </w:rPr>
              <w:t>ions</w:t>
            </w:r>
            <w:r w:rsidR="00D27AB0" w:rsidRPr="00A33AE8">
              <w:rPr>
                <w:rFonts w:ascii="Calibri Light" w:eastAsia="Times New Roman" w:hAnsi="Calibri Light" w:cs="Calibri Light"/>
                <w:color w:val="000000"/>
                <w:sz w:val="20"/>
                <w:szCs w:val="20"/>
                <w:lang w:eastAsia="en-GB"/>
              </w:rPr>
              <w:t xml:space="preserve"> with a smart meter</w:t>
            </w:r>
          </w:p>
        </w:tc>
      </w:tr>
      <w:tr w:rsidR="00A0226E" w:rsidRPr="00A33AE8" w14:paraId="0C5F58D1" w14:textId="77777777" w:rsidTr="004B0D7C">
        <w:trPr>
          <w:gridAfter w:val="1"/>
          <w:wAfter w:w="1212" w:type="dxa"/>
          <w:trHeight w:val="501"/>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37569296"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351" w:type="dxa"/>
            <w:gridSpan w:val="3"/>
            <w:tcBorders>
              <w:top w:val="single" w:sz="8" w:space="0" w:color="auto"/>
              <w:left w:val="nil"/>
              <w:bottom w:val="single" w:sz="8" w:space="0" w:color="auto"/>
              <w:right w:val="single" w:sz="8" w:space="0" w:color="000000"/>
            </w:tcBorders>
            <w:vAlign w:val="center"/>
            <w:hideMark/>
          </w:tcPr>
          <w:p w14:paraId="0F4258B7" w14:textId="77777777" w:rsidR="00A0226E" w:rsidRPr="00A33AE8" w:rsidRDefault="00A0226E" w:rsidP="00884F3B">
            <w:pPr>
              <w:pStyle w:val="ListParagraph"/>
              <w:numPr>
                <w:ilvl w:val="0"/>
                <w:numId w:val="6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p>
          <w:p w14:paraId="7F521E3F" w14:textId="77777777" w:rsidR="00A0226E" w:rsidRPr="00A33AE8" w:rsidRDefault="00A0226E" w:rsidP="00884F3B">
            <w:pPr>
              <w:pStyle w:val="ListParagraph"/>
              <w:numPr>
                <w:ilvl w:val="0"/>
                <w:numId w:val="6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tc>
      </w:tr>
      <w:tr w:rsidR="004B0D7C" w:rsidRPr="00A33AE8" w14:paraId="6CA82AE2" w14:textId="77777777" w:rsidTr="004B0D7C">
        <w:trPr>
          <w:gridAfter w:val="1"/>
          <w:wAfter w:w="1212" w:type="dxa"/>
          <w:trHeight w:val="450"/>
        </w:trPr>
        <w:tc>
          <w:tcPr>
            <w:tcW w:w="3137" w:type="dxa"/>
            <w:vMerge w:val="restart"/>
            <w:tcBorders>
              <w:top w:val="nil"/>
              <w:left w:val="single" w:sz="8" w:space="0" w:color="auto"/>
              <w:bottom w:val="single" w:sz="8" w:space="0" w:color="000000"/>
              <w:right w:val="single" w:sz="8" w:space="0" w:color="auto"/>
            </w:tcBorders>
            <w:shd w:val="clear" w:color="auto" w:fill="244062"/>
            <w:vAlign w:val="center"/>
            <w:hideMark/>
          </w:tcPr>
          <w:p w14:paraId="40DEFC34"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35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457E2C29" w14:textId="77777777" w:rsidR="004B0D7C" w:rsidRPr="00A33AE8" w:rsidRDefault="004B0D7C" w:rsidP="00884F3B">
            <w:pPr>
              <w:pStyle w:val="ListParagraph"/>
              <w:numPr>
                <w:ilvl w:val="0"/>
                <w:numId w:val="2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1470EF7F" w14:textId="77777777" w:rsidR="004B0D7C" w:rsidRPr="00A33AE8" w:rsidRDefault="004B0D7C" w:rsidP="00884F3B">
            <w:pPr>
              <w:pStyle w:val="ListParagraph"/>
              <w:numPr>
                <w:ilvl w:val="0"/>
                <w:numId w:val="2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4BA0A35E" w14:textId="77777777" w:rsidR="004B0D7C" w:rsidRPr="00A33AE8" w:rsidRDefault="004B0D7C" w:rsidP="00884F3B">
            <w:pPr>
              <w:pStyle w:val="ListParagraph"/>
              <w:numPr>
                <w:ilvl w:val="0"/>
                <w:numId w:val="2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4B0D7C" w:rsidRPr="00A33AE8" w14:paraId="48A48138"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0A8202DC"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351" w:type="dxa"/>
            <w:gridSpan w:val="3"/>
            <w:vMerge/>
            <w:tcBorders>
              <w:top w:val="single" w:sz="8" w:space="0" w:color="auto"/>
              <w:left w:val="single" w:sz="8" w:space="0" w:color="auto"/>
              <w:bottom w:val="single" w:sz="8" w:space="0" w:color="000000"/>
              <w:right w:val="single" w:sz="8" w:space="0" w:color="000000"/>
            </w:tcBorders>
            <w:vAlign w:val="center"/>
            <w:hideMark/>
          </w:tcPr>
          <w:p w14:paraId="38B474FC" w14:textId="77777777" w:rsidR="004B0D7C" w:rsidRPr="00A33AE8" w:rsidRDefault="004B0D7C" w:rsidP="004B0D7C">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7DF8B0D3" w14:textId="77777777" w:rsidR="004B0D7C" w:rsidRPr="00A33AE8" w:rsidRDefault="004B0D7C" w:rsidP="004B0D7C"/>
        </w:tc>
      </w:tr>
      <w:tr w:rsidR="004B0D7C" w:rsidRPr="00A33AE8" w14:paraId="41FA3F89" w14:textId="77777777" w:rsidTr="004B0D7C">
        <w:trPr>
          <w:trHeight w:val="60"/>
        </w:trPr>
        <w:tc>
          <w:tcPr>
            <w:tcW w:w="0" w:type="auto"/>
            <w:vMerge/>
            <w:tcBorders>
              <w:top w:val="nil"/>
              <w:left w:val="single" w:sz="8" w:space="0" w:color="auto"/>
              <w:bottom w:val="single" w:sz="8" w:space="0" w:color="000000"/>
              <w:right w:val="single" w:sz="8" w:space="0" w:color="auto"/>
            </w:tcBorders>
            <w:vAlign w:val="center"/>
            <w:hideMark/>
          </w:tcPr>
          <w:p w14:paraId="69FE10D7"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351" w:type="dxa"/>
            <w:gridSpan w:val="3"/>
            <w:vMerge/>
            <w:tcBorders>
              <w:top w:val="single" w:sz="8" w:space="0" w:color="auto"/>
              <w:left w:val="single" w:sz="8" w:space="0" w:color="auto"/>
              <w:bottom w:val="single" w:sz="8" w:space="0" w:color="000000"/>
              <w:right w:val="single" w:sz="8" w:space="0" w:color="000000"/>
            </w:tcBorders>
            <w:vAlign w:val="center"/>
            <w:hideMark/>
          </w:tcPr>
          <w:p w14:paraId="52D8FD98" w14:textId="77777777" w:rsidR="004B0D7C" w:rsidRPr="00A33AE8" w:rsidRDefault="004B0D7C" w:rsidP="004B0D7C">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98582DD" w14:textId="77777777" w:rsidR="004B0D7C" w:rsidRPr="00A33AE8" w:rsidRDefault="004B0D7C" w:rsidP="004B0D7C">
            <w:pPr>
              <w:spacing w:after="0" w:line="256" w:lineRule="auto"/>
              <w:rPr>
                <w:sz w:val="20"/>
                <w:szCs w:val="20"/>
                <w:lang w:eastAsia="en-GB"/>
              </w:rPr>
            </w:pPr>
          </w:p>
        </w:tc>
      </w:tr>
      <w:tr w:rsidR="004B0D7C" w:rsidRPr="00A33AE8" w14:paraId="1E38B1F3" w14:textId="77777777" w:rsidTr="004B0D7C">
        <w:trPr>
          <w:trHeight w:val="411"/>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3864502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351" w:type="dxa"/>
            <w:gridSpan w:val="3"/>
            <w:tcBorders>
              <w:top w:val="single" w:sz="8" w:space="0" w:color="auto"/>
              <w:left w:val="nil"/>
              <w:bottom w:val="single" w:sz="8" w:space="0" w:color="auto"/>
              <w:right w:val="single" w:sz="8" w:space="0" w:color="000000"/>
            </w:tcBorders>
            <w:vAlign w:val="center"/>
            <w:hideMark/>
          </w:tcPr>
          <w:p w14:paraId="7B63926D" w14:textId="77777777" w:rsidR="004B0D7C" w:rsidRPr="00A33AE8" w:rsidRDefault="004B0D7C" w:rsidP="00884F3B">
            <w:pPr>
              <w:pStyle w:val="ListParagraph"/>
              <w:numPr>
                <w:ilvl w:val="0"/>
                <w:numId w:val="62"/>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1212" w:type="dxa"/>
            <w:vAlign w:val="center"/>
            <w:hideMark/>
          </w:tcPr>
          <w:p w14:paraId="35F54A85" w14:textId="77777777" w:rsidR="004B0D7C" w:rsidRPr="00A33AE8" w:rsidRDefault="004B0D7C" w:rsidP="004B0D7C">
            <w:pPr>
              <w:rPr>
                <w:rFonts w:ascii="Calibri Light" w:eastAsia="Times New Roman" w:hAnsi="Calibri Light" w:cs="Calibri Light"/>
                <w:color w:val="000000"/>
                <w:sz w:val="20"/>
                <w:szCs w:val="20"/>
                <w:lang w:eastAsia="en-GB"/>
              </w:rPr>
            </w:pPr>
          </w:p>
        </w:tc>
      </w:tr>
      <w:tr w:rsidR="004B0D7C" w:rsidRPr="00A33AE8" w14:paraId="6364DD84" w14:textId="77777777" w:rsidTr="004B0D7C">
        <w:trPr>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000F84C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351" w:type="dxa"/>
            <w:gridSpan w:val="3"/>
            <w:tcBorders>
              <w:top w:val="single" w:sz="8" w:space="0" w:color="auto"/>
              <w:left w:val="nil"/>
              <w:bottom w:val="single" w:sz="8" w:space="0" w:color="auto"/>
              <w:right w:val="single" w:sz="8" w:space="0" w:color="000000"/>
            </w:tcBorders>
            <w:vAlign w:val="center"/>
            <w:hideMark/>
          </w:tcPr>
          <w:p w14:paraId="6E64B2E8" w14:textId="77777777" w:rsidR="004B0D7C" w:rsidRPr="00A33AE8" w:rsidRDefault="00B03413" w:rsidP="004B0D7C">
            <w:pPr>
              <w:spacing w:after="0" w:line="240" w:lineRule="auto"/>
              <w:jc w:val="both"/>
              <w:rPr>
                <w:rFonts w:ascii="Calibri" w:eastAsia="Times New Roman" w:hAnsi="Calibri" w:cs="Calibri"/>
                <w:color w:val="000000"/>
                <w:sz w:val="20"/>
                <w:szCs w:val="20"/>
                <w:lang w:eastAsia="en-GB"/>
              </w:rPr>
            </w:pPr>
            <w:r w:rsidRPr="00A33AE8">
              <w:rPr>
                <w:rFonts w:asciiTheme="majorHAnsi" w:eastAsia="Times New Roman" w:hAnsiTheme="majorHAnsi" w:cstheme="majorHAnsi"/>
                <w:color w:val="000000"/>
                <w:sz w:val="20"/>
                <w:szCs w:val="20"/>
                <w:lang w:eastAsia="en-GB"/>
              </w:rPr>
              <w:t>32.2 M</w:t>
            </w:r>
            <w:r w:rsidRPr="00A33AE8">
              <w:rPr>
                <w:rFonts w:ascii="Calibri" w:eastAsia="Times New Roman" w:hAnsi="Calibri" w:cs="Calibri"/>
                <w:color w:val="000000"/>
                <w:sz w:val="20"/>
                <w:szCs w:val="20"/>
                <w:lang w:eastAsia="en-GB"/>
              </w:rPr>
              <w:t>€</w:t>
            </w:r>
          </w:p>
        </w:tc>
        <w:tc>
          <w:tcPr>
            <w:tcW w:w="1212" w:type="dxa"/>
            <w:vAlign w:val="center"/>
            <w:hideMark/>
          </w:tcPr>
          <w:p w14:paraId="28306379" w14:textId="77777777" w:rsidR="004B0D7C" w:rsidRPr="00A33AE8" w:rsidRDefault="004B0D7C" w:rsidP="004B0D7C">
            <w:pPr>
              <w:rPr>
                <w:rFonts w:ascii="Calibri" w:eastAsia="Times New Roman" w:hAnsi="Calibri" w:cs="Calibri"/>
                <w:color w:val="000000"/>
                <w:lang w:eastAsia="en-GB"/>
              </w:rPr>
            </w:pPr>
          </w:p>
        </w:tc>
      </w:tr>
      <w:tr w:rsidR="00B92935" w:rsidRPr="00A33AE8" w14:paraId="687FAE73" w14:textId="77777777" w:rsidTr="004B0D7C">
        <w:trPr>
          <w:trHeight w:val="315"/>
        </w:trPr>
        <w:tc>
          <w:tcPr>
            <w:tcW w:w="3137" w:type="dxa"/>
            <w:tcBorders>
              <w:top w:val="nil"/>
              <w:left w:val="single" w:sz="8" w:space="0" w:color="auto"/>
              <w:bottom w:val="single" w:sz="8" w:space="0" w:color="auto"/>
              <w:right w:val="single" w:sz="8" w:space="0" w:color="auto"/>
            </w:tcBorders>
            <w:shd w:val="clear" w:color="auto" w:fill="244062"/>
            <w:vAlign w:val="center"/>
            <w:hideMark/>
          </w:tcPr>
          <w:p w14:paraId="2F92F283"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Financing source(s)</w:t>
            </w:r>
          </w:p>
        </w:tc>
        <w:tc>
          <w:tcPr>
            <w:tcW w:w="6351" w:type="dxa"/>
            <w:gridSpan w:val="3"/>
            <w:tcBorders>
              <w:top w:val="single" w:sz="8" w:space="0" w:color="auto"/>
              <w:left w:val="nil"/>
              <w:bottom w:val="single" w:sz="8" w:space="0" w:color="auto"/>
              <w:right w:val="single" w:sz="8" w:space="0" w:color="000000"/>
            </w:tcBorders>
            <w:vAlign w:val="center"/>
            <w:hideMark/>
          </w:tcPr>
          <w:p w14:paraId="336E5219" w14:textId="77777777" w:rsidR="00B92935" w:rsidRPr="00A33AE8" w:rsidRDefault="00295188" w:rsidP="00B92935">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FF0000"/>
                <w:sz w:val="20"/>
                <w:szCs w:val="20"/>
                <w:lang w:eastAsia="en-GB"/>
              </w:rPr>
              <w:t xml:space="preserve"> </w:t>
            </w:r>
            <w:r w:rsidR="00B92935" w:rsidRPr="00A33AE8">
              <w:rPr>
                <w:rFonts w:ascii="Calibri Light" w:eastAsia="Times New Roman" w:hAnsi="Calibri Light" w:cs="Calibri Light"/>
                <w:color w:val="000000"/>
                <w:sz w:val="20"/>
                <w:szCs w:val="20"/>
                <w:lang w:eastAsia="en-GB"/>
              </w:rPr>
              <w:t>funds</w:t>
            </w:r>
            <w:r w:rsidR="0085327F">
              <w:rPr>
                <w:rFonts w:ascii="Calibri Light" w:eastAsia="Times New Roman" w:hAnsi="Calibri Light" w:cs="Calibri Light"/>
                <w:color w:val="000000"/>
                <w:sz w:val="20"/>
                <w:szCs w:val="20"/>
                <w:lang w:eastAsia="en-GB"/>
              </w:rPr>
              <w:t xml:space="preserve"> from own source</w:t>
            </w:r>
          </w:p>
        </w:tc>
        <w:tc>
          <w:tcPr>
            <w:tcW w:w="1212" w:type="dxa"/>
            <w:vAlign w:val="center"/>
            <w:hideMark/>
          </w:tcPr>
          <w:p w14:paraId="2A506000" w14:textId="77777777" w:rsidR="00B92935" w:rsidRPr="00A33AE8" w:rsidRDefault="00B92935" w:rsidP="00B92935">
            <w:pPr>
              <w:rPr>
                <w:rFonts w:ascii="Calibri" w:eastAsia="Times New Roman" w:hAnsi="Calibri" w:cs="Calibri"/>
                <w:color w:val="000000"/>
                <w:lang w:eastAsia="en-GB"/>
              </w:rPr>
            </w:pPr>
          </w:p>
        </w:tc>
      </w:tr>
    </w:tbl>
    <w:p w14:paraId="05545270"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94"/>
        <w:gridCol w:w="1106"/>
        <w:gridCol w:w="936"/>
        <w:gridCol w:w="4152"/>
        <w:gridCol w:w="1212"/>
      </w:tblGrid>
      <w:tr w:rsidR="00AE377B" w:rsidRPr="00A33AE8" w14:paraId="73AEA6A2" w14:textId="77777777" w:rsidTr="004B0D7C">
        <w:trPr>
          <w:gridAfter w:val="1"/>
          <w:wAfter w:w="1212" w:type="dxa"/>
          <w:trHeight w:val="780"/>
        </w:trPr>
        <w:tc>
          <w:tcPr>
            <w:tcW w:w="329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EEB524E"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4C135FA"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2</w:t>
            </w:r>
          </w:p>
        </w:tc>
        <w:tc>
          <w:tcPr>
            <w:tcW w:w="936" w:type="dxa"/>
            <w:tcBorders>
              <w:top w:val="single" w:sz="8" w:space="0" w:color="auto"/>
              <w:left w:val="nil"/>
              <w:bottom w:val="single" w:sz="8" w:space="0" w:color="auto"/>
              <w:right w:val="single" w:sz="8" w:space="0" w:color="auto"/>
            </w:tcBorders>
            <w:shd w:val="clear" w:color="auto" w:fill="244062"/>
            <w:vAlign w:val="center"/>
            <w:hideMark/>
          </w:tcPr>
          <w:p w14:paraId="3340A824"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527F2B58" w14:textId="77777777" w:rsidR="00AE377B" w:rsidRPr="00A33AE8" w:rsidRDefault="0070467B">
            <w:pPr>
              <w:spacing w:after="0" w:line="240" w:lineRule="auto"/>
              <w:rPr>
                <w:rFonts w:ascii="Calibri Light" w:eastAsia="Times New Roman" w:hAnsi="Calibri Light" w:cs="Calibri Light"/>
                <w:b/>
                <w:bCs/>
                <w:color w:val="000000"/>
                <w:sz w:val="20"/>
                <w:szCs w:val="20"/>
                <w:lang w:eastAsia="en-GB"/>
              </w:rPr>
            </w:pPr>
            <w:r w:rsidRPr="0070467B">
              <w:rPr>
                <w:rFonts w:ascii="Calibri Light" w:eastAsia="Times New Roman" w:hAnsi="Calibri Light" w:cs="Calibri Light"/>
                <w:b/>
                <w:bCs/>
                <w:color w:val="000000"/>
                <w:sz w:val="20"/>
                <w:szCs w:val="20"/>
                <w:lang w:eastAsia="en-GB"/>
              </w:rPr>
              <w:t xml:space="preserve">Feasibility </w:t>
            </w:r>
            <w:r>
              <w:rPr>
                <w:rFonts w:ascii="Calibri Light" w:eastAsia="Times New Roman" w:hAnsi="Calibri Light" w:cs="Calibri Light"/>
                <w:b/>
                <w:bCs/>
                <w:color w:val="000000"/>
                <w:sz w:val="20"/>
                <w:szCs w:val="20"/>
                <w:lang w:eastAsia="en-GB"/>
              </w:rPr>
              <w:t>s</w:t>
            </w:r>
            <w:r w:rsidRPr="00A33AE8">
              <w:rPr>
                <w:rFonts w:ascii="Calibri Light" w:eastAsia="Times New Roman" w:hAnsi="Calibri Light" w:cs="Calibri Light"/>
                <w:b/>
                <w:bCs/>
                <w:color w:val="000000"/>
                <w:sz w:val="20"/>
                <w:szCs w:val="20"/>
                <w:lang w:eastAsia="en-GB"/>
              </w:rPr>
              <w:t xml:space="preserve">tudies </w:t>
            </w:r>
            <w:r w:rsidR="00DF5835" w:rsidRPr="00A33AE8">
              <w:rPr>
                <w:rFonts w:ascii="Calibri Light" w:eastAsia="Times New Roman" w:hAnsi="Calibri Light" w:cs="Calibri Light"/>
                <w:b/>
                <w:bCs/>
                <w:color w:val="000000"/>
                <w:sz w:val="20"/>
                <w:szCs w:val="20"/>
                <w:lang w:eastAsia="en-GB"/>
              </w:rPr>
              <w:t>for s</w:t>
            </w:r>
            <w:r w:rsidR="00AE377B" w:rsidRPr="00A33AE8">
              <w:rPr>
                <w:rFonts w:ascii="Calibri Light" w:eastAsia="Times New Roman" w:hAnsi="Calibri Light" w:cs="Calibri Light"/>
                <w:b/>
                <w:bCs/>
                <w:color w:val="000000"/>
                <w:sz w:val="20"/>
                <w:szCs w:val="20"/>
                <w:lang w:eastAsia="en-GB"/>
              </w:rPr>
              <w:t xml:space="preserve">mart meters roll out in natural gas </w:t>
            </w:r>
            <w:r w:rsidR="00DF5835" w:rsidRPr="00A33AE8">
              <w:rPr>
                <w:rFonts w:ascii="Calibri Light" w:eastAsia="Times New Roman" w:hAnsi="Calibri Light" w:cs="Calibri Light"/>
                <w:b/>
                <w:bCs/>
                <w:color w:val="000000"/>
                <w:sz w:val="20"/>
                <w:szCs w:val="20"/>
                <w:lang w:eastAsia="en-GB"/>
              </w:rPr>
              <w:t>distribution</w:t>
            </w:r>
          </w:p>
        </w:tc>
      </w:tr>
      <w:tr w:rsidR="004B0D7C" w:rsidRPr="00A33AE8" w14:paraId="037309A3" w14:textId="77777777" w:rsidTr="004B0D7C">
        <w:trPr>
          <w:gridAfter w:val="1"/>
          <w:wAfter w:w="1212" w:type="dxa"/>
          <w:trHeight w:val="592"/>
        </w:trPr>
        <w:tc>
          <w:tcPr>
            <w:tcW w:w="3294" w:type="dxa"/>
            <w:tcBorders>
              <w:top w:val="nil"/>
              <w:left w:val="single" w:sz="8" w:space="0" w:color="auto"/>
              <w:bottom w:val="single" w:sz="8" w:space="0" w:color="auto"/>
              <w:right w:val="nil"/>
            </w:tcBorders>
            <w:shd w:val="clear" w:color="auto" w:fill="244062"/>
            <w:vAlign w:val="center"/>
            <w:hideMark/>
          </w:tcPr>
          <w:p w14:paraId="0E3B82A0"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4" w:type="dxa"/>
            <w:gridSpan w:val="3"/>
            <w:tcBorders>
              <w:top w:val="single" w:sz="8" w:space="0" w:color="auto"/>
              <w:left w:val="nil"/>
              <w:bottom w:val="single" w:sz="8" w:space="0" w:color="auto"/>
              <w:right w:val="single" w:sz="8" w:space="0" w:color="000000"/>
            </w:tcBorders>
            <w:vAlign w:val="center"/>
          </w:tcPr>
          <w:p w14:paraId="1C0EEBA6"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Gas </w:t>
            </w:r>
            <w:r w:rsidR="00DF5835" w:rsidRPr="00A33AE8">
              <w:rPr>
                <w:rFonts w:ascii="Calibri Light" w:eastAsia="Times New Roman" w:hAnsi="Calibri Light" w:cs="Calibri Light"/>
                <w:color w:val="000000"/>
                <w:sz w:val="20"/>
                <w:szCs w:val="20"/>
                <w:lang w:eastAsia="en-GB"/>
              </w:rPr>
              <w:t xml:space="preserve">distribution </w:t>
            </w:r>
            <w:r w:rsidRPr="00A33AE8">
              <w:rPr>
                <w:rFonts w:ascii="Calibri Light" w:eastAsia="Times New Roman" w:hAnsi="Calibri Light" w:cs="Calibri Light"/>
                <w:color w:val="000000"/>
                <w:sz w:val="20"/>
                <w:szCs w:val="20"/>
                <w:lang w:eastAsia="en-GB"/>
              </w:rPr>
              <w:t>infrastructure, consumer protection and improvement of competition, enable EE at the supply side (i.e. through the reduction of losses)</w:t>
            </w:r>
          </w:p>
        </w:tc>
      </w:tr>
      <w:tr w:rsidR="004B0D7C" w:rsidRPr="00A33AE8" w14:paraId="1DDBC781" w14:textId="77777777" w:rsidTr="004B0D7C">
        <w:trPr>
          <w:gridAfter w:val="1"/>
          <w:wAfter w:w="1212" w:type="dxa"/>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6F456CE2"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4" w:type="dxa"/>
            <w:gridSpan w:val="3"/>
            <w:tcBorders>
              <w:top w:val="single" w:sz="8" w:space="0" w:color="auto"/>
              <w:left w:val="nil"/>
              <w:bottom w:val="single" w:sz="8" w:space="0" w:color="auto"/>
              <w:right w:val="single" w:sz="8" w:space="0" w:color="000000"/>
            </w:tcBorders>
            <w:vAlign w:val="center"/>
          </w:tcPr>
          <w:p w14:paraId="556EFC8E" w14:textId="77777777" w:rsidR="004B0D7C" w:rsidRPr="00A33AE8" w:rsidRDefault="00DF5835" w:rsidP="004B0D7C">
            <w:pPr>
              <w:spacing w:after="0" w:line="240" w:lineRule="auto"/>
              <w:jc w:val="both"/>
              <w:rPr>
                <w:rFonts w:ascii="Calibri" w:eastAsia="Times New Roman" w:hAnsi="Calibri" w:cs="Calibri"/>
                <w:color w:val="000000"/>
                <w:lang w:eastAsia="en-GB"/>
              </w:rPr>
            </w:pPr>
            <w:r w:rsidRPr="000007D2">
              <w:rPr>
                <w:rFonts w:ascii="Calibri Light" w:eastAsia="Times New Roman" w:hAnsi="Calibri Light" w:cs="Calibri Light"/>
                <w:color w:val="000000"/>
                <w:sz w:val="20"/>
                <w:szCs w:val="20"/>
                <w:lang w:eastAsia="en-GB"/>
              </w:rPr>
              <w:t xml:space="preserve">Decision to proceed with gas smart meters deployment </w:t>
            </w:r>
            <w:r w:rsidRPr="00A33AE8">
              <w:rPr>
                <w:rFonts w:ascii="Calibri Light" w:eastAsia="Times New Roman" w:hAnsi="Calibri Light" w:cs="Calibri Light"/>
                <w:color w:val="000000"/>
                <w:sz w:val="20"/>
                <w:szCs w:val="20"/>
                <w:lang w:eastAsia="en-GB"/>
              </w:rPr>
              <w:t>at distribution level</w:t>
            </w:r>
            <w:r w:rsidR="0070467B">
              <w:t xml:space="preserve"> </w:t>
            </w:r>
            <w:r w:rsidR="0070467B" w:rsidRPr="0070467B">
              <w:rPr>
                <w:rFonts w:ascii="Calibri Light" w:eastAsia="Times New Roman" w:hAnsi="Calibri Light" w:cs="Calibri Light"/>
                <w:color w:val="000000"/>
                <w:sz w:val="20"/>
                <w:szCs w:val="20"/>
                <w:lang w:eastAsia="en-GB"/>
              </w:rPr>
              <w:t>with an installation target for at least 85% of consumers</w:t>
            </w:r>
          </w:p>
        </w:tc>
      </w:tr>
      <w:tr w:rsidR="00DF5835" w:rsidRPr="00A33AE8" w14:paraId="1388CD4B" w14:textId="77777777" w:rsidTr="004B0D7C">
        <w:trPr>
          <w:gridAfter w:val="1"/>
          <w:wAfter w:w="1212" w:type="dxa"/>
          <w:trHeight w:val="554"/>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13815344" w14:textId="77777777" w:rsidR="00DF5835" w:rsidRPr="00A33AE8" w:rsidRDefault="00DF5835" w:rsidP="00DF58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4" w:type="dxa"/>
            <w:gridSpan w:val="3"/>
            <w:tcBorders>
              <w:top w:val="single" w:sz="8" w:space="0" w:color="auto"/>
              <w:left w:val="nil"/>
              <w:bottom w:val="single" w:sz="8" w:space="0" w:color="auto"/>
              <w:right w:val="single" w:sz="8" w:space="0" w:color="000000"/>
            </w:tcBorders>
            <w:vAlign w:val="center"/>
          </w:tcPr>
          <w:p w14:paraId="63642268" w14:textId="011B2BEC" w:rsidR="00DF5835" w:rsidRPr="00A33AE8" w:rsidRDefault="00DF5835" w:rsidP="00DF583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PM_IEM12 concerns the assessment (via all applicable studies to be conducted from the DSOs and onwards approved by AERS) regarding the economic feasibility of the roll-out of gas smart meters in Serbia aiming at a target of at least 85% of consumption (the target refers to gas distribution networks </w:t>
            </w:r>
            <w:r w:rsidR="00740A50" w:rsidRPr="000007D2">
              <w:rPr>
                <w:rFonts w:ascii="Calibri Light" w:eastAsia="Times New Roman" w:hAnsi="Calibri Light" w:cs="Calibri Light"/>
                <w:color w:val="000000"/>
                <w:sz w:val="20"/>
                <w:szCs w:val="20"/>
                <w:lang w:eastAsia="en-GB"/>
              </w:rPr>
              <w:t xml:space="preserve">because smart </w:t>
            </w:r>
            <w:r w:rsidR="00DF30B9" w:rsidRPr="00A33AE8">
              <w:rPr>
                <w:rFonts w:ascii="Calibri Light" w:eastAsia="Times New Roman" w:hAnsi="Calibri Light" w:cs="Calibri Light"/>
                <w:color w:val="000000"/>
                <w:sz w:val="20"/>
                <w:szCs w:val="20"/>
                <w:lang w:eastAsia="en-GB"/>
              </w:rPr>
              <w:t>meters</w:t>
            </w:r>
            <w:r w:rsidR="00740A50" w:rsidRPr="000007D2">
              <w:rPr>
                <w:rFonts w:ascii="Calibri Light" w:eastAsia="Times New Roman" w:hAnsi="Calibri Light" w:cs="Calibri Light"/>
                <w:color w:val="000000"/>
                <w:sz w:val="20"/>
                <w:szCs w:val="20"/>
                <w:lang w:eastAsia="en-GB"/>
              </w:rPr>
              <w:t xml:space="preserve"> were</w:t>
            </w:r>
            <w:r w:rsidRPr="000007D2">
              <w:rPr>
                <w:rFonts w:ascii="Calibri Light" w:hAnsi="Calibri Light"/>
                <w:color w:val="000000"/>
                <w:sz w:val="20"/>
              </w:rPr>
              <w:t xml:space="preserve"> already </w:t>
            </w:r>
            <w:r w:rsidR="00740A50" w:rsidRPr="000007D2">
              <w:rPr>
                <w:rFonts w:ascii="Calibri Light" w:eastAsia="Times New Roman" w:hAnsi="Calibri Light" w:cs="Calibri Light"/>
                <w:color w:val="000000"/>
                <w:sz w:val="20"/>
                <w:szCs w:val="20"/>
                <w:lang w:eastAsia="en-GB"/>
              </w:rPr>
              <w:t>installed at the gas transport systems).</w:t>
            </w:r>
          </w:p>
        </w:tc>
      </w:tr>
      <w:tr w:rsidR="004B0D7C" w:rsidRPr="00A33AE8" w14:paraId="5905BDA4" w14:textId="77777777" w:rsidTr="00B03413">
        <w:trPr>
          <w:gridAfter w:val="1"/>
          <w:wAfter w:w="1212" w:type="dxa"/>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0238841A"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94" w:type="dxa"/>
            <w:gridSpan w:val="3"/>
            <w:tcBorders>
              <w:top w:val="single" w:sz="8" w:space="0" w:color="auto"/>
              <w:left w:val="nil"/>
              <w:bottom w:val="single" w:sz="8" w:space="0" w:color="auto"/>
              <w:right w:val="single" w:sz="8" w:space="0" w:color="000000"/>
            </w:tcBorders>
            <w:vAlign w:val="center"/>
            <w:hideMark/>
          </w:tcPr>
          <w:p w14:paraId="4D30825B" w14:textId="77777777" w:rsidR="004B0D7C" w:rsidRPr="00A33AE8" w:rsidRDefault="004B0D7C" w:rsidP="00B03413">
            <w:pPr>
              <w:spacing w:after="0"/>
              <w:rPr>
                <w:rFonts w:ascii="Calibri Light" w:eastAsia="Times New Roman" w:hAnsi="Calibri Light" w:cs="Calibri Light"/>
                <w:sz w:val="20"/>
                <w:szCs w:val="20"/>
                <w:lang w:eastAsia="en-GB"/>
              </w:rPr>
            </w:pPr>
            <w:r w:rsidRPr="00A33AE8">
              <w:rPr>
                <w:rFonts w:ascii="Calibri Light" w:eastAsia="Times New Roman" w:hAnsi="Calibri Light" w:cs="Calibri Light"/>
                <w:sz w:val="20"/>
                <w:szCs w:val="20"/>
                <w:lang w:eastAsia="en-GB"/>
              </w:rPr>
              <w:t>2021-2025</w:t>
            </w:r>
          </w:p>
        </w:tc>
      </w:tr>
      <w:tr w:rsidR="004B0D7C" w:rsidRPr="00A33AE8" w14:paraId="7904ACC6" w14:textId="77777777" w:rsidTr="004B0D7C">
        <w:trPr>
          <w:gridAfter w:val="1"/>
          <w:wAfter w:w="1212" w:type="dxa"/>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4C493297"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4" w:type="dxa"/>
            <w:gridSpan w:val="3"/>
            <w:tcBorders>
              <w:top w:val="single" w:sz="8" w:space="0" w:color="auto"/>
              <w:left w:val="nil"/>
              <w:bottom w:val="single" w:sz="8" w:space="0" w:color="auto"/>
              <w:right w:val="single" w:sz="8" w:space="0" w:color="000000"/>
            </w:tcBorders>
            <w:vAlign w:val="center"/>
            <w:hideMark/>
          </w:tcPr>
          <w:p w14:paraId="2F26A7EB" w14:textId="77777777" w:rsidR="004B0D7C" w:rsidRPr="00A33AE8" w:rsidRDefault="00DF5835"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4B0D7C" w:rsidRPr="00A33AE8" w14:paraId="67688EE2" w14:textId="77777777" w:rsidTr="004B0D7C">
        <w:trPr>
          <w:gridAfter w:val="1"/>
          <w:wAfter w:w="1212" w:type="dxa"/>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43650FE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4" w:type="dxa"/>
            <w:gridSpan w:val="3"/>
            <w:tcBorders>
              <w:top w:val="single" w:sz="8" w:space="0" w:color="auto"/>
              <w:left w:val="nil"/>
              <w:bottom w:val="single" w:sz="8" w:space="0" w:color="auto"/>
              <w:right w:val="single" w:sz="8" w:space="0" w:color="000000"/>
            </w:tcBorders>
            <w:vAlign w:val="center"/>
            <w:hideMark/>
          </w:tcPr>
          <w:p w14:paraId="1720FBCC"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4B0D7C" w:rsidRPr="00A33AE8" w14:paraId="1B90A9B4" w14:textId="77777777" w:rsidTr="004B0D7C">
        <w:trPr>
          <w:gridAfter w:val="1"/>
          <w:wAfter w:w="1212" w:type="dxa"/>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313E62C6"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4" w:type="dxa"/>
            <w:gridSpan w:val="3"/>
            <w:tcBorders>
              <w:top w:val="single" w:sz="8" w:space="0" w:color="auto"/>
              <w:left w:val="nil"/>
              <w:bottom w:val="single" w:sz="8" w:space="0" w:color="auto"/>
              <w:right w:val="single" w:sz="8" w:space="0" w:color="000000"/>
            </w:tcBorders>
            <w:vAlign w:val="center"/>
            <w:hideMark/>
          </w:tcPr>
          <w:p w14:paraId="41600445" w14:textId="77777777" w:rsidR="004B0D7C" w:rsidRPr="00A33AE8" w:rsidRDefault="00DF5835" w:rsidP="00884F3B">
            <w:pPr>
              <w:pStyle w:val="ListParagraph"/>
              <w:numPr>
                <w:ilvl w:val="0"/>
                <w:numId w:val="62"/>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Distribution </w:t>
            </w:r>
            <w:r w:rsidR="004B0D7C" w:rsidRPr="00A33AE8">
              <w:rPr>
                <w:rFonts w:ascii="Calibri Light" w:eastAsia="Times New Roman" w:hAnsi="Calibri Light" w:cs="Calibri Light"/>
                <w:color w:val="000000"/>
                <w:sz w:val="20"/>
                <w:szCs w:val="20"/>
                <w:lang w:eastAsia="en-GB"/>
              </w:rPr>
              <w:t>system operators</w:t>
            </w:r>
          </w:p>
        </w:tc>
      </w:tr>
      <w:tr w:rsidR="004B0D7C" w:rsidRPr="00A33AE8" w14:paraId="7F21C11B" w14:textId="77777777" w:rsidTr="004B0D7C">
        <w:trPr>
          <w:gridAfter w:val="1"/>
          <w:wAfter w:w="1212" w:type="dxa"/>
          <w:trHeight w:val="315"/>
        </w:trPr>
        <w:tc>
          <w:tcPr>
            <w:tcW w:w="3294" w:type="dxa"/>
            <w:tcBorders>
              <w:top w:val="nil"/>
              <w:left w:val="single" w:sz="8" w:space="0" w:color="auto"/>
              <w:bottom w:val="single" w:sz="8" w:space="0" w:color="auto"/>
              <w:right w:val="nil"/>
            </w:tcBorders>
            <w:shd w:val="clear" w:color="auto" w:fill="244062"/>
            <w:vAlign w:val="center"/>
            <w:hideMark/>
          </w:tcPr>
          <w:p w14:paraId="17CB21A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4" w:type="dxa"/>
            <w:gridSpan w:val="3"/>
            <w:tcBorders>
              <w:top w:val="single" w:sz="8" w:space="0" w:color="auto"/>
              <w:left w:val="nil"/>
              <w:bottom w:val="single" w:sz="8" w:space="0" w:color="auto"/>
              <w:right w:val="single" w:sz="8" w:space="0" w:color="000000"/>
            </w:tcBorders>
            <w:vAlign w:val="center"/>
            <w:hideMark/>
          </w:tcPr>
          <w:p w14:paraId="66D7C808" w14:textId="77777777" w:rsidR="004B0D7C" w:rsidRPr="00A33AE8" w:rsidRDefault="004B0D7C" w:rsidP="00884F3B">
            <w:pPr>
              <w:pStyle w:val="ListParagraph"/>
              <w:numPr>
                <w:ilvl w:val="0"/>
                <w:numId w:val="62"/>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4B0D7C" w:rsidRPr="00A33AE8" w14:paraId="34AA8CA9" w14:textId="77777777" w:rsidTr="004B0D7C">
        <w:trPr>
          <w:gridAfter w:val="1"/>
          <w:wAfter w:w="1212" w:type="dxa"/>
          <w:trHeight w:val="315"/>
        </w:trPr>
        <w:tc>
          <w:tcPr>
            <w:tcW w:w="3294" w:type="dxa"/>
            <w:tcBorders>
              <w:top w:val="nil"/>
              <w:left w:val="single" w:sz="8" w:space="0" w:color="auto"/>
              <w:bottom w:val="single" w:sz="8" w:space="0" w:color="auto"/>
              <w:right w:val="nil"/>
            </w:tcBorders>
            <w:shd w:val="clear" w:color="auto" w:fill="244062"/>
            <w:vAlign w:val="center"/>
            <w:hideMark/>
          </w:tcPr>
          <w:p w14:paraId="4CFA1FB8"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4" w:type="dxa"/>
            <w:gridSpan w:val="3"/>
            <w:tcBorders>
              <w:top w:val="single" w:sz="8" w:space="0" w:color="auto"/>
              <w:left w:val="nil"/>
              <w:bottom w:val="single" w:sz="8" w:space="0" w:color="auto"/>
              <w:right w:val="single" w:sz="8" w:space="0" w:color="000000"/>
            </w:tcBorders>
            <w:vAlign w:val="center"/>
            <w:hideMark/>
          </w:tcPr>
          <w:p w14:paraId="329FB9E0" w14:textId="77777777" w:rsidR="004B0D7C" w:rsidRPr="00A33AE8" w:rsidRDefault="004B0D7C" w:rsidP="004B0D7C">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Number of Smart Meters on </w:t>
            </w:r>
            <w:r w:rsidR="00DF5835" w:rsidRPr="00A33AE8">
              <w:rPr>
                <w:rFonts w:ascii="Calibri Light" w:eastAsia="Times New Roman" w:hAnsi="Calibri Light" w:cs="Calibri Light"/>
                <w:color w:val="000000"/>
                <w:sz w:val="20"/>
                <w:szCs w:val="20"/>
                <w:lang w:eastAsia="en-GB"/>
              </w:rPr>
              <w:t>distribution</w:t>
            </w:r>
          </w:p>
        </w:tc>
      </w:tr>
      <w:tr w:rsidR="00A0226E" w:rsidRPr="00A33AE8" w14:paraId="4E7BA94B" w14:textId="77777777" w:rsidTr="00A0226E">
        <w:trPr>
          <w:gridAfter w:val="1"/>
          <w:wAfter w:w="1212" w:type="dxa"/>
          <w:trHeight w:val="32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0DE2F169"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4" w:type="dxa"/>
            <w:gridSpan w:val="3"/>
            <w:tcBorders>
              <w:top w:val="single" w:sz="8" w:space="0" w:color="auto"/>
              <w:left w:val="nil"/>
              <w:bottom w:val="single" w:sz="8" w:space="0" w:color="auto"/>
              <w:right w:val="single" w:sz="8" w:space="0" w:color="000000"/>
            </w:tcBorders>
            <w:vAlign w:val="center"/>
            <w:hideMark/>
          </w:tcPr>
          <w:p w14:paraId="5653FD98" w14:textId="77777777" w:rsidR="0070467B" w:rsidRPr="0070467B" w:rsidRDefault="0070467B" w:rsidP="00884F3B">
            <w:pPr>
              <w:pStyle w:val="ListParagraph"/>
              <w:numPr>
                <w:ilvl w:val="0"/>
                <w:numId w:val="62"/>
              </w:numPr>
              <w:rPr>
                <w:rFonts w:ascii="Calibri Light" w:eastAsia="Times New Roman" w:hAnsi="Calibri Light" w:cs="Calibri Light"/>
                <w:color w:val="000000"/>
                <w:sz w:val="20"/>
                <w:szCs w:val="20"/>
                <w:lang w:eastAsia="en-GB"/>
              </w:rPr>
            </w:pPr>
            <w:r w:rsidRPr="0070467B">
              <w:rPr>
                <w:rFonts w:ascii="Calibri Light" w:eastAsia="Times New Roman" w:hAnsi="Calibri Light" w:cs="Calibri Light"/>
                <w:color w:val="000000"/>
                <w:sz w:val="20"/>
                <w:szCs w:val="20"/>
                <w:lang w:eastAsia="en-GB"/>
              </w:rPr>
              <w:t>Energy Efficiency</w:t>
            </w:r>
          </w:p>
          <w:p w14:paraId="6F348FC0" w14:textId="77777777" w:rsidR="00A0226E" w:rsidRPr="00A33AE8" w:rsidRDefault="00A0226E" w:rsidP="00884F3B">
            <w:pPr>
              <w:pStyle w:val="ListParagraph"/>
              <w:numPr>
                <w:ilvl w:val="0"/>
                <w:numId w:val="62"/>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tc>
      </w:tr>
      <w:tr w:rsidR="004B0D7C" w:rsidRPr="00A33AE8" w14:paraId="1371D1EC" w14:textId="77777777" w:rsidTr="004B0D7C">
        <w:trPr>
          <w:gridAfter w:val="1"/>
          <w:wAfter w:w="1212" w:type="dxa"/>
          <w:trHeight w:val="450"/>
        </w:trPr>
        <w:tc>
          <w:tcPr>
            <w:tcW w:w="3294" w:type="dxa"/>
            <w:vMerge w:val="restart"/>
            <w:tcBorders>
              <w:top w:val="nil"/>
              <w:left w:val="single" w:sz="8" w:space="0" w:color="auto"/>
              <w:bottom w:val="single" w:sz="8" w:space="0" w:color="000000"/>
              <w:right w:val="single" w:sz="8" w:space="0" w:color="auto"/>
            </w:tcBorders>
            <w:shd w:val="clear" w:color="auto" w:fill="244062"/>
            <w:vAlign w:val="center"/>
            <w:hideMark/>
          </w:tcPr>
          <w:p w14:paraId="791A757D"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71A350C" w14:textId="77777777" w:rsidR="004B0D7C" w:rsidRPr="00A33AE8" w:rsidRDefault="004B0D7C" w:rsidP="00884F3B">
            <w:pPr>
              <w:pStyle w:val="ListParagraph"/>
              <w:numPr>
                <w:ilvl w:val="0"/>
                <w:numId w:val="62"/>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tc>
      </w:tr>
      <w:tr w:rsidR="004B0D7C" w:rsidRPr="00A33AE8" w14:paraId="41C8A78A" w14:textId="77777777" w:rsidTr="004B0D7C">
        <w:trPr>
          <w:trHeight w:val="300"/>
        </w:trPr>
        <w:tc>
          <w:tcPr>
            <w:tcW w:w="0" w:type="auto"/>
            <w:vMerge/>
            <w:tcBorders>
              <w:top w:val="nil"/>
              <w:left w:val="single" w:sz="8" w:space="0" w:color="auto"/>
              <w:bottom w:val="single" w:sz="8" w:space="0" w:color="000000"/>
              <w:right w:val="single" w:sz="8" w:space="0" w:color="auto"/>
            </w:tcBorders>
            <w:vAlign w:val="center"/>
            <w:hideMark/>
          </w:tcPr>
          <w:p w14:paraId="108F05EE"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194" w:type="dxa"/>
            <w:gridSpan w:val="3"/>
            <w:vMerge/>
            <w:tcBorders>
              <w:top w:val="single" w:sz="8" w:space="0" w:color="auto"/>
              <w:left w:val="single" w:sz="8" w:space="0" w:color="auto"/>
              <w:bottom w:val="single" w:sz="8" w:space="0" w:color="000000"/>
              <w:right w:val="single" w:sz="8" w:space="0" w:color="000000"/>
            </w:tcBorders>
            <w:vAlign w:val="center"/>
            <w:hideMark/>
          </w:tcPr>
          <w:p w14:paraId="59E341F8" w14:textId="77777777" w:rsidR="004B0D7C" w:rsidRPr="00A33AE8" w:rsidRDefault="004B0D7C" w:rsidP="00884F3B">
            <w:pPr>
              <w:pStyle w:val="ListParagraph"/>
              <w:numPr>
                <w:ilvl w:val="0"/>
                <w:numId w:val="62"/>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7E669E02" w14:textId="77777777" w:rsidR="004B0D7C" w:rsidRPr="00A33AE8" w:rsidRDefault="004B0D7C" w:rsidP="004B0D7C"/>
        </w:tc>
      </w:tr>
      <w:tr w:rsidR="004B0D7C" w:rsidRPr="00A33AE8" w14:paraId="4DB8951E"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49D039DD" w14:textId="77777777" w:rsidR="004B0D7C" w:rsidRPr="00A33AE8" w:rsidRDefault="004B0D7C" w:rsidP="004B0D7C">
            <w:pPr>
              <w:spacing w:after="0" w:line="256" w:lineRule="auto"/>
              <w:rPr>
                <w:rFonts w:ascii="Calibri Light" w:eastAsia="Times New Roman" w:hAnsi="Calibri Light" w:cs="Calibri Light"/>
                <w:b/>
                <w:bCs/>
                <w:color w:val="FFFFFF"/>
                <w:sz w:val="20"/>
                <w:szCs w:val="20"/>
                <w:lang w:eastAsia="en-GB"/>
              </w:rPr>
            </w:pPr>
          </w:p>
        </w:tc>
        <w:tc>
          <w:tcPr>
            <w:tcW w:w="6194" w:type="dxa"/>
            <w:gridSpan w:val="3"/>
            <w:vMerge/>
            <w:tcBorders>
              <w:top w:val="single" w:sz="8" w:space="0" w:color="auto"/>
              <w:left w:val="single" w:sz="8" w:space="0" w:color="auto"/>
              <w:bottom w:val="single" w:sz="8" w:space="0" w:color="000000"/>
              <w:right w:val="single" w:sz="8" w:space="0" w:color="000000"/>
            </w:tcBorders>
            <w:vAlign w:val="center"/>
            <w:hideMark/>
          </w:tcPr>
          <w:p w14:paraId="5448C03B" w14:textId="77777777" w:rsidR="004B0D7C" w:rsidRPr="00A33AE8" w:rsidRDefault="004B0D7C" w:rsidP="00884F3B">
            <w:pPr>
              <w:pStyle w:val="ListParagraph"/>
              <w:numPr>
                <w:ilvl w:val="0"/>
                <w:numId w:val="62"/>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06037553" w14:textId="77777777" w:rsidR="004B0D7C" w:rsidRPr="00A33AE8" w:rsidRDefault="004B0D7C" w:rsidP="004B0D7C">
            <w:pPr>
              <w:spacing w:after="0" w:line="256" w:lineRule="auto"/>
              <w:rPr>
                <w:sz w:val="20"/>
                <w:szCs w:val="20"/>
                <w:lang w:eastAsia="en-GB"/>
              </w:rPr>
            </w:pPr>
          </w:p>
        </w:tc>
      </w:tr>
      <w:tr w:rsidR="004B0D7C" w:rsidRPr="00A33AE8" w14:paraId="7EE157D4" w14:textId="77777777" w:rsidTr="004B0D7C">
        <w:trPr>
          <w:trHeight w:val="381"/>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3D3D80EE"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4" w:type="dxa"/>
            <w:gridSpan w:val="3"/>
            <w:tcBorders>
              <w:top w:val="single" w:sz="8" w:space="0" w:color="auto"/>
              <w:left w:val="nil"/>
              <w:bottom w:val="single" w:sz="8" w:space="0" w:color="auto"/>
              <w:right w:val="single" w:sz="8" w:space="0" w:color="000000"/>
            </w:tcBorders>
            <w:vAlign w:val="center"/>
            <w:hideMark/>
          </w:tcPr>
          <w:p w14:paraId="7B880CEA" w14:textId="77777777" w:rsidR="004B0D7C" w:rsidRPr="00A33AE8" w:rsidRDefault="004B0D7C" w:rsidP="00884F3B">
            <w:pPr>
              <w:pStyle w:val="ListParagraph"/>
              <w:numPr>
                <w:ilvl w:val="0"/>
                <w:numId w:val="62"/>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1212" w:type="dxa"/>
            <w:vAlign w:val="center"/>
            <w:hideMark/>
          </w:tcPr>
          <w:p w14:paraId="2D6460C6" w14:textId="77777777" w:rsidR="004B0D7C" w:rsidRPr="00A33AE8" w:rsidRDefault="004B0D7C" w:rsidP="004B0D7C">
            <w:pPr>
              <w:rPr>
                <w:rFonts w:ascii="Calibri Light" w:eastAsia="Times New Roman" w:hAnsi="Calibri Light" w:cs="Calibri Light"/>
                <w:color w:val="000000"/>
                <w:sz w:val="20"/>
                <w:szCs w:val="20"/>
                <w:lang w:eastAsia="en-GB"/>
              </w:rPr>
            </w:pPr>
          </w:p>
        </w:tc>
      </w:tr>
      <w:tr w:rsidR="004B0D7C" w:rsidRPr="00A33AE8" w14:paraId="288E2CE6" w14:textId="77777777" w:rsidTr="004B0D7C">
        <w:trPr>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25F3604B" w14:textId="77777777" w:rsidR="004B0D7C" w:rsidRPr="00A33AE8" w:rsidRDefault="004B0D7C" w:rsidP="004B0D7C">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4" w:type="dxa"/>
            <w:gridSpan w:val="3"/>
            <w:tcBorders>
              <w:top w:val="single" w:sz="8" w:space="0" w:color="auto"/>
              <w:left w:val="nil"/>
              <w:bottom w:val="single" w:sz="8" w:space="0" w:color="auto"/>
              <w:right w:val="single" w:sz="8" w:space="0" w:color="000000"/>
            </w:tcBorders>
            <w:vAlign w:val="center"/>
          </w:tcPr>
          <w:p w14:paraId="04C1F5E4" w14:textId="77777777" w:rsidR="004B0D7C" w:rsidRPr="00A33AE8" w:rsidRDefault="00B03413" w:rsidP="004B0D7C">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 M€</w:t>
            </w:r>
          </w:p>
        </w:tc>
        <w:tc>
          <w:tcPr>
            <w:tcW w:w="1212" w:type="dxa"/>
            <w:vAlign w:val="center"/>
            <w:hideMark/>
          </w:tcPr>
          <w:p w14:paraId="2002DABC" w14:textId="77777777" w:rsidR="004B0D7C" w:rsidRPr="00A33AE8" w:rsidRDefault="004B0D7C" w:rsidP="004B0D7C">
            <w:pPr>
              <w:rPr>
                <w:rFonts w:ascii="Calibri" w:eastAsia="Times New Roman" w:hAnsi="Calibri" w:cs="Calibri"/>
                <w:color w:val="000000"/>
                <w:lang w:eastAsia="en-GB"/>
              </w:rPr>
            </w:pPr>
          </w:p>
        </w:tc>
      </w:tr>
      <w:tr w:rsidR="00B92935" w:rsidRPr="00A33AE8" w14:paraId="70AAE6CA" w14:textId="77777777" w:rsidTr="004B0D7C">
        <w:trPr>
          <w:trHeight w:val="315"/>
        </w:trPr>
        <w:tc>
          <w:tcPr>
            <w:tcW w:w="3294" w:type="dxa"/>
            <w:tcBorders>
              <w:top w:val="nil"/>
              <w:left w:val="single" w:sz="8" w:space="0" w:color="auto"/>
              <w:bottom w:val="single" w:sz="8" w:space="0" w:color="auto"/>
              <w:right w:val="single" w:sz="8" w:space="0" w:color="auto"/>
            </w:tcBorders>
            <w:shd w:val="clear" w:color="auto" w:fill="244062"/>
            <w:vAlign w:val="center"/>
            <w:hideMark/>
          </w:tcPr>
          <w:p w14:paraId="715D3BC8"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4" w:type="dxa"/>
            <w:gridSpan w:val="3"/>
            <w:tcBorders>
              <w:top w:val="single" w:sz="8" w:space="0" w:color="auto"/>
              <w:left w:val="nil"/>
              <w:bottom w:val="single" w:sz="8" w:space="0" w:color="auto"/>
              <w:right w:val="single" w:sz="8" w:space="0" w:color="000000"/>
            </w:tcBorders>
            <w:vAlign w:val="center"/>
          </w:tcPr>
          <w:p w14:paraId="20CB6BC2" w14:textId="77777777" w:rsidR="00B92935" w:rsidRPr="00A33AE8" w:rsidRDefault="00AB0203" w:rsidP="00B92935">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 xml:space="preserve">own </w:t>
            </w:r>
            <w:r w:rsidR="00B92935" w:rsidRPr="00A33AE8">
              <w:rPr>
                <w:rFonts w:ascii="Calibri Light" w:eastAsia="Times New Roman" w:hAnsi="Calibri Light" w:cs="Calibri Light"/>
                <w:color w:val="000000"/>
                <w:sz w:val="20"/>
                <w:szCs w:val="20"/>
                <w:lang w:eastAsia="en-GB"/>
              </w:rPr>
              <w:t>funds</w:t>
            </w:r>
          </w:p>
        </w:tc>
        <w:tc>
          <w:tcPr>
            <w:tcW w:w="1212" w:type="dxa"/>
            <w:vAlign w:val="center"/>
            <w:hideMark/>
          </w:tcPr>
          <w:p w14:paraId="36F1ADF2" w14:textId="77777777" w:rsidR="00B92935" w:rsidRPr="00A33AE8" w:rsidRDefault="00B92935" w:rsidP="00B92935">
            <w:pPr>
              <w:rPr>
                <w:rFonts w:ascii="Calibri" w:eastAsia="Times New Roman" w:hAnsi="Calibri" w:cs="Calibri"/>
                <w:color w:val="000000"/>
                <w:lang w:eastAsia="en-GB"/>
              </w:rPr>
            </w:pPr>
          </w:p>
        </w:tc>
      </w:tr>
    </w:tbl>
    <w:p w14:paraId="6764D754"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87"/>
        <w:gridCol w:w="1106"/>
        <w:gridCol w:w="934"/>
        <w:gridCol w:w="4161"/>
        <w:gridCol w:w="1212"/>
      </w:tblGrid>
      <w:tr w:rsidR="00AE377B" w:rsidRPr="00A33AE8" w14:paraId="31A3E790" w14:textId="77777777" w:rsidTr="008E25B0">
        <w:trPr>
          <w:gridAfter w:val="1"/>
          <w:wAfter w:w="1212" w:type="dxa"/>
          <w:trHeight w:val="780"/>
        </w:trPr>
        <w:tc>
          <w:tcPr>
            <w:tcW w:w="328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2A5ACC6"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8E1FA0D"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3</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2042A190"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373CC6D0"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Design and implement market and network data management model</w:t>
            </w:r>
          </w:p>
        </w:tc>
      </w:tr>
      <w:tr w:rsidR="00AE377B" w:rsidRPr="00A33AE8" w14:paraId="4D54F4A6" w14:textId="77777777" w:rsidTr="008E25B0">
        <w:trPr>
          <w:gridAfter w:val="1"/>
          <w:wAfter w:w="1212" w:type="dxa"/>
          <w:trHeight w:val="627"/>
        </w:trPr>
        <w:tc>
          <w:tcPr>
            <w:tcW w:w="3287" w:type="dxa"/>
            <w:tcBorders>
              <w:top w:val="nil"/>
              <w:left w:val="single" w:sz="8" w:space="0" w:color="auto"/>
              <w:bottom w:val="single" w:sz="8" w:space="0" w:color="auto"/>
              <w:right w:val="nil"/>
            </w:tcBorders>
            <w:shd w:val="clear" w:color="auto" w:fill="244062"/>
            <w:vAlign w:val="center"/>
            <w:hideMark/>
          </w:tcPr>
          <w:p w14:paraId="77F75C85"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1" w:type="dxa"/>
            <w:gridSpan w:val="3"/>
            <w:tcBorders>
              <w:top w:val="single" w:sz="8" w:space="0" w:color="auto"/>
              <w:left w:val="nil"/>
              <w:bottom w:val="single" w:sz="8" w:space="0" w:color="auto"/>
              <w:right w:val="single" w:sz="8" w:space="0" w:color="000000"/>
            </w:tcBorders>
            <w:vAlign w:val="center"/>
          </w:tcPr>
          <w:p w14:paraId="67A55905" w14:textId="0A70BE86" w:rsidR="00AE377B" w:rsidRPr="00A33AE8" w:rsidRDefault="008D6148">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D809E2">
              <w:rPr>
                <w:rFonts w:asciiTheme="majorHAnsi" w:eastAsia="Times New Roman" w:hAnsiTheme="majorHAnsi" w:cstheme="majorHAnsi"/>
                <w:color w:val="000000"/>
                <w:sz w:val="20"/>
                <w:szCs w:val="20"/>
                <w:lang w:eastAsia="en-GB"/>
              </w:rPr>
              <w:t>.</w:t>
            </w:r>
          </w:p>
        </w:tc>
      </w:tr>
      <w:tr w:rsidR="00AE377B" w:rsidRPr="00A33AE8" w14:paraId="4F9A351A"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4F3A6A5B"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1" w:type="dxa"/>
            <w:gridSpan w:val="3"/>
            <w:tcBorders>
              <w:top w:val="single" w:sz="8" w:space="0" w:color="auto"/>
              <w:left w:val="nil"/>
              <w:bottom w:val="single" w:sz="8" w:space="0" w:color="auto"/>
              <w:right w:val="single" w:sz="8" w:space="0" w:color="000000"/>
            </w:tcBorders>
            <w:vAlign w:val="center"/>
          </w:tcPr>
          <w:p w14:paraId="0F0F0E09" w14:textId="77777777" w:rsidR="00AE377B" w:rsidRPr="00A33AE8" w:rsidRDefault="008D6148">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Increased quality of supply indicators, deployment smart grids, aggregation, demand response services as well as storage and distributed generation</w:t>
            </w:r>
          </w:p>
        </w:tc>
      </w:tr>
      <w:tr w:rsidR="008E25B0" w:rsidRPr="00A33AE8" w14:paraId="0ECAE303" w14:textId="77777777" w:rsidTr="009E094C">
        <w:trPr>
          <w:gridAfter w:val="1"/>
          <w:wAfter w:w="1212" w:type="dxa"/>
          <w:trHeight w:val="443"/>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9F40B5F"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1" w:type="dxa"/>
            <w:gridSpan w:val="3"/>
            <w:tcBorders>
              <w:top w:val="single" w:sz="8" w:space="0" w:color="auto"/>
              <w:left w:val="nil"/>
              <w:bottom w:val="single" w:sz="8" w:space="0" w:color="auto"/>
              <w:right w:val="single" w:sz="8" w:space="0" w:color="000000"/>
            </w:tcBorders>
            <w:vAlign w:val="center"/>
            <w:hideMark/>
          </w:tcPr>
          <w:p w14:paraId="52652F0D" w14:textId="2249E09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PM_IEM13 concerns the design and implementation of a data management model which is necessary for the operationalisation and improvement of energy services (e.g. energy efficiency, demand response, supplier switching). A centralized data hub aggregating energy data (market data, network data, other data) from both transmission and distribution would be preferable. Data operations within the energy data hub would </w:t>
            </w:r>
            <w:r w:rsidRPr="00A33AE8">
              <w:rPr>
                <w:rFonts w:ascii="Calibri Light" w:eastAsia="Times New Roman" w:hAnsi="Calibri Light" w:cs="Calibri Light"/>
                <w:color w:val="000000"/>
                <w:sz w:val="20"/>
                <w:szCs w:val="20"/>
                <w:lang w:eastAsia="en-GB"/>
              </w:rPr>
              <w:lastRenderedPageBreak/>
              <w:t>include reading, validation, storage and exchange of relevant data between stakeholders.</w:t>
            </w:r>
          </w:p>
        </w:tc>
      </w:tr>
      <w:tr w:rsidR="008E25B0" w:rsidRPr="00A33AE8" w14:paraId="3A3282BE"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873A30A"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201" w:type="dxa"/>
            <w:gridSpan w:val="3"/>
            <w:tcBorders>
              <w:top w:val="single" w:sz="8" w:space="0" w:color="auto"/>
              <w:left w:val="nil"/>
              <w:bottom w:val="single" w:sz="8" w:space="0" w:color="auto"/>
              <w:right w:val="single" w:sz="8" w:space="0" w:color="000000"/>
            </w:tcBorders>
            <w:vAlign w:val="center"/>
            <w:hideMark/>
          </w:tcPr>
          <w:p w14:paraId="27426BE9"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8E25B0" w:rsidRPr="00A33AE8" w14:paraId="76D26469"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3ECE763C"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1" w:type="dxa"/>
            <w:gridSpan w:val="3"/>
            <w:tcBorders>
              <w:top w:val="single" w:sz="8" w:space="0" w:color="auto"/>
              <w:left w:val="nil"/>
              <w:bottom w:val="single" w:sz="8" w:space="0" w:color="auto"/>
              <w:right w:val="single" w:sz="8" w:space="0" w:color="000000"/>
            </w:tcBorders>
            <w:vAlign w:val="center"/>
            <w:hideMark/>
          </w:tcPr>
          <w:p w14:paraId="119AB304" w14:textId="77777777" w:rsidR="008E25B0" w:rsidRPr="00A33AE8" w:rsidRDefault="00B03413"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8E25B0" w:rsidRPr="00A33AE8" w14:paraId="249F7B9A"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06306AF"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1" w:type="dxa"/>
            <w:gridSpan w:val="3"/>
            <w:tcBorders>
              <w:top w:val="single" w:sz="8" w:space="0" w:color="auto"/>
              <w:left w:val="nil"/>
              <w:bottom w:val="single" w:sz="8" w:space="0" w:color="auto"/>
              <w:right w:val="single" w:sz="8" w:space="0" w:color="000000"/>
            </w:tcBorders>
            <w:vAlign w:val="center"/>
            <w:hideMark/>
          </w:tcPr>
          <w:p w14:paraId="720428D6"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w:t>
            </w:r>
          </w:p>
        </w:tc>
      </w:tr>
      <w:tr w:rsidR="008E25B0" w:rsidRPr="00A33AE8" w14:paraId="751AD636"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5558D5A"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0E1C7756" w14:textId="77777777" w:rsidR="008E25B0" w:rsidRPr="00A33AE8" w:rsidRDefault="008E25B0" w:rsidP="00884F3B">
            <w:pPr>
              <w:pStyle w:val="ListParagraph"/>
              <w:numPr>
                <w:ilvl w:val="0"/>
                <w:numId w:val="63"/>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E25B0" w:rsidRPr="00A33AE8" w14:paraId="541BA01A" w14:textId="77777777" w:rsidTr="008E25B0">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2198C9C2"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7D80DFEE" w14:textId="77777777" w:rsidR="008E25B0" w:rsidRPr="00A33AE8" w:rsidRDefault="00B3313F" w:rsidP="00884F3B">
            <w:pPr>
              <w:pStyle w:val="ListParagraph"/>
              <w:numPr>
                <w:ilvl w:val="0"/>
                <w:numId w:val="63"/>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E25B0" w:rsidRPr="00A33AE8" w14:paraId="3D1A8F00" w14:textId="77777777" w:rsidTr="008E25B0">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42D9DBFD"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1" w:type="dxa"/>
            <w:gridSpan w:val="3"/>
            <w:tcBorders>
              <w:top w:val="single" w:sz="8" w:space="0" w:color="auto"/>
              <w:left w:val="nil"/>
              <w:bottom w:val="single" w:sz="8" w:space="0" w:color="auto"/>
              <w:right w:val="single" w:sz="8" w:space="0" w:color="000000"/>
            </w:tcBorders>
            <w:vAlign w:val="center"/>
            <w:hideMark/>
          </w:tcPr>
          <w:p w14:paraId="3AD94AE2" w14:textId="0739D1E5" w:rsidR="008E25B0" w:rsidRPr="00A33AE8" w:rsidRDefault="008D6148"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Level (%) of energy metering data integration from both the TSO and DSO, number of supplier switches executed within the given timeframe</w:t>
            </w:r>
          </w:p>
        </w:tc>
      </w:tr>
      <w:tr w:rsidR="00A0226E" w:rsidRPr="00A33AE8" w14:paraId="3DE11F94" w14:textId="77777777" w:rsidTr="008E25B0">
        <w:trPr>
          <w:gridAfter w:val="1"/>
          <w:wAfter w:w="1212" w:type="dxa"/>
          <w:trHeight w:val="1170"/>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3EECD71B"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1" w:type="dxa"/>
            <w:gridSpan w:val="3"/>
            <w:tcBorders>
              <w:top w:val="single" w:sz="8" w:space="0" w:color="auto"/>
              <w:left w:val="nil"/>
              <w:bottom w:val="single" w:sz="8" w:space="0" w:color="auto"/>
              <w:right w:val="single" w:sz="8" w:space="0" w:color="000000"/>
            </w:tcBorders>
            <w:vAlign w:val="center"/>
            <w:hideMark/>
          </w:tcPr>
          <w:p w14:paraId="1F04F410" w14:textId="77777777" w:rsidR="00A0226E" w:rsidRPr="00A33AE8" w:rsidRDefault="00A0226E" w:rsidP="00884F3B">
            <w:pPr>
              <w:pStyle w:val="ListParagraph"/>
              <w:numPr>
                <w:ilvl w:val="0"/>
                <w:numId w:val="63"/>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p>
          <w:p w14:paraId="1C13C7B5" w14:textId="77777777" w:rsidR="00A0226E" w:rsidRPr="00A33AE8" w:rsidRDefault="00A0226E" w:rsidP="00884F3B">
            <w:pPr>
              <w:pStyle w:val="ListParagraph"/>
              <w:numPr>
                <w:ilvl w:val="0"/>
                <w:numId w:val="63"/>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tc>
      </w:tr>
      <w:tr w:rsidR="008E25B0" w:rsidRPr="00A33AE8" w14:paraId="18FC3621" w14:textId="77777777" w:rsidTr="008E25B0">
        <w:trPr>
          <w:gridAfter w:val="1"/>
          <w:wAfter w:w="1212" w:type="dxa"/>
          <w:trHeight w:val="450"/>
        </w:trPr>
        <w:tc>
          <w:tcPr>
            <w:tcW w:w="3287" w:type="dxa"/>
            <w:vMerge w:val="restart"/>
            <w:tcBorders>
              <w:top w:val="nil"/>
              <w:left w:val="single" w:sz="8" w:space="0" w:color="auto"/>
              <w:bottom w:val="single" w:sz="8" w:space="0" w:color="000000"/>
              <w:right w:val="single" w:sz="8" w:space="0" w:color="auto"/>
            </w:tcBorders>
            <w:shd w:val="clear" w:color="auto" w:fill="244062"/>
            <w:vAlign w:val="center"/>
            <w:hideMark/>
          </w:tcPr>
          <w:p w14:paraId="00854CC8"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14DF4A3C" w14:textId="77777777" w:rsidR="008E25B0" w:rsidRPr="00A33AE8" w:rsidRDefault="008E25B0" w:rsidP="00884F3B">
            <w:pPr>
              <w:pStyle w:val="ListParagraph"/>
              <w:numPr>
                <w:ilvl w:val="0"/>
                <w:numId w:val="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552F8E67" w14:textId="77777777" w:rsidR="008E25B0" w:rsidRPr="00A33AE8" w:rsidRDefault="008E25B0" w:rsidP="00884F3B">
            <w:pPr>
              <w:pStyle w:val="ListParagraph"/>
              <w:numPr>
                <w:ilvl w:val="0"/>
                <w:numId w:val="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1C76EA03" w14:textId="77777777" w:rsidR="008E25B0" w:rsidRPr="00A33AE8" w:rsidRDefault="008E25B0" w:rsidP="00884F3B">
            <w:pPr>
              <w:pStyle w:val="ListParagraph"/>
              <w:numPr>
                <w:ilvl w:val="0"/>
                <w:numId w:val="6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8E25B0" w:rsidRPr="00A33AE8" w14:paraId="1CDC09DE" w14:textId="77777777" w:rsidTr="008E25B0">
        <w:trPr>
          <w:trHeight w:val="300"/>
        </w:trPr>
        <w:tc>
          <w:tcPr>
            <w:tcW w:w="0" w:type="auto"/>
            <w:vMerge/>
            <w:tcBorders>
              <w:top w:val="nil"/>
              <w:left w:val="single" w:sz="8" w:space="0" w:color="auto"/>
              <w:bottom w:val="single" w:sz="8" w:space="0" w:color="000000"/>
              <w:right w:val="single" w:sz="8" w:space="0" w:color="auto"/>
            </w:tcBorders>
            <w:vAlign w:val="center"/>
            <w:hideMark/>
          </w:tcPr>
          <w:p w14:paraId="1EB55CF1" w14:textId="77777777" w:rsidR="008E25B0" w:rsidRPr="00A33AE8" w:rsidRDefault="008E25B0" w:rsidP="008E25B0">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2EBB51EF" w14:textId="77777777" w:rsidR="008E25B0" w:rsidRPr="00A33AE8" w:rsidRDefault="008E25B0" w:rsidP="008E25B0">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3430322" w14:textId="77777777" w:rsidR="008E25B0" w:rsidRPr="00A33AE8" w:rsidRDefault="008E25B0" w:rsidP="008E25B0"/>
        </w:tc>
      </w:tr>
      <w:tr w:rsidR="008E25B0" w:rsidRPr="00A33AE8" w14:paraId="49F21906" w14:textId="77777777" w:rsidTr="008E25B0">
        <w:trPr>
          <w:trHeight w:val="315"/>
        </w:trPr>
        <w:tc>
          <w:tcPr>
            <w:tcW w:w="0" w:type="auto"/>
            <w:vMerge/>
            <w:tcBorders>
              <w:top w:val="nil"/>
              <w:left w:val="single" w:sz="8" w:space="0" w:color="auto"/>
              <w:bottom w:val="single" w:sz="8" w:space="0" w:color="000000"/>
              <w:right w:val="single" w:sz="8" w:space="0" w:color="auto"/>
            </w:tcBorders>
            <w:vAlign w:val="center"/>
            <w:hideMark/>
          </w:tcPr>
          <w:p w14:paraId="40734D4F" w14:textId="77777777" w:rsidR="008E25B0" w:rsidRPr="00A33AE8" w:rsidRDefault="008E25B0" w:rsidP="008E25B0">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2269AA5D" w14:textId="77777777" w:rsidR="008E25B0" w:rsidRPr="00A33AE8" w:rsidRDefault="008E25B0" w:rsidP="008E25B0">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AB98362" w14:textId="77777777" w:rsidR="008E25B0" w:rsidRPr="00A33AE8" w:rsidRDefault="008E25B0" w:rsidP="008E25B0">
            <w:pPr>
              <w:spacing w:after="0" w:line="256" w:lineRule="auto"/>
              <w:rPr>
                <w:sz w:val="20"/>
                <w:szCs w:val="20"/>
                <w:lang w:eastAsia="en-GB"/>
              </w:rPr>
            </w:pPr>
          </w:p>
        </w:tc>
      </w:tr>
      <w:tr w:rsidR="008E25B0" w:rsidRPr="00A33AE8" w14:paraId="387AF87F" w14:textId="77777777" w:rsidTr="008E25B0">
        <w:trPr>
          <w:trHeight w:val="780"/>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7B6CD86"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1" w:type="dxa"/>
            <w:gridSpan w:val="3"/>
            <w:tcBorders>
              <w:top w:val="single" w:sz="8" w:space="0" w:color="auto"/>
              <w:left w:val="nil"/>
              <w:bottom w:val="single" w:sz="8" w:space="0" w:color="auto"/>
              <w:right w:val="single" w:sz="8" w:space="0" w:color="000000"/>
            </w:tcBorders>
            <w:vAlign w:val="center"/>
            <w:hideMark/>
          </w:tcPr>
          <w:p w14:paraId="6AF77F6B" w14:textId="77777777" w:rsidR="008E25B0" w:rsidRPr="00A33AE8" w:rsidRDefault="008E25B0" w:rsidP="00884F3B">
            <w:pPr>
              <w:pStyle w:val="ListParagraph"/>
              <w:numPr>
                <w:ilvl w:val="0"/>
                <w:numId w:val="6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1212" w:type="dxa"/>
            <w:vAlign w:val="center"/>
            <w:hideMark/>
          </w:tcPr>
          <w:p w14:paraId="33E021BC" w14:textId="77777777" w:rsidR="008E25B0" w:rsidRPr="00A33AE8" w:rsidRDefault="008E25B0" w:rsidP="008E25B0">
            <w:pPr>
              <w:rPr>
                <w:rFonts w:ascii="Calibri Light" w:eastAsia="Times New Roman" w:hAnsi="Calibri Light" w:cs="Calibri Light"/>
                <w:color w:val="000000"/>
                <w:sz w:val="20"/>
                <w:szCs w:val="20"/>
                <w:lang w:eastAsia="en-GB"/>
              </w:rPr>
            </w:pPr>
          </w:p>
        </w:tc>
      </w:tr>
      <w:tr w:rsidR="008E25B0" w:rsidRPr="00A33AE8" w14:paraId="4BAD7CE0" w14:textId="77777777" w:rsidTr="008E25B0">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09BF9C0"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1" w:type="dxa"/>
            <w:gridSpan w:val="3"/>
            <w:tcBorders>
              <w:top w:val="single" w:sz="8" w:space="0" w:color="auto"/>
              <w:left w:val="nil"/>
              <w:bottom w:val="single" w:sz="8" w:space="0" w:color="auto"/>
              <w:right w:val="single" w:sz="8" w:space="0" w:color="000000"/>
            </w:tcBorders>
            <w:vAlign w:val="center"/>
            <w:hideMark/>
          </w:tcPr>
          <w:p w14:paraId="5AC91DE1" w14:textId="77777777" w:rsidR="008E25B0" w:rsidRPr="00A33AE8" w:rsidRDefault="00B03413" w:rsidP="008E25B0">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0.4 M</w:t>
            </w:r>
            <w:r w:rsidRPr="00A33AE8">
              <w:rPr>
                <w:rFonts w:ascii="Calibri" w:eastAsia="Times New Roman" w:hAnsi="Calibri" w:cs="Calibri"/>
                <w:color w:val="000000"/>
                <w:sz w:val="20"/>
                <w:szCs w:val="20"/>
                <w:lang w:eastAsia="en-GB"/>
              </w:rPr>
              <w:t>€</w:t>
            </w:r>
          </w:p>
        </w:tc>
        <w:tc>
          <w:tcPr>
            <w:tcW w:w="1212" w:type="dxa"/>
            <w:vAlign w:val="center"/>
            <w:hideMark/>
          </w:tcPr>
          <w:p w14:paraId="708C267D" w14:textId="77777777" w:rsidR="008E25B0" w:rsidRPr="00A33AE8" w:rsidRDefault="008E25B0" w:rsidP="008E25B0">
            <w:pPr>
              <w:rPr>
                <w:rFonts w:ascii="Calibri" w:eastAsia="Times New Roman" w:hAnsi="Calibri" w:cs="Calibri"/>
                <w:color w:val="000000"/>
                <w:lang w:eastAsia="en-GB"/>
              </w:rPr>
            </w:pPr>
          </w:p>
        </w:tc>
      </w:tr>
      <w:tr w:rsidR="00B92935" w:rsidRPr="00A33AE8" w14:paraId="11FD1E5A" w14:textId="77777777" w:rsidTr="008E25B0">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599C73C4"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1" w:type="dxa"/>
            <w:gridSpan w:val="3"/>
            <w:tcBorders>
              <w:top w:val="single" w:sz="8" w:space="0" w:color="auto"/>
              <w:left w:val="nil"/>
              <w:bottom w:val="single" w:sz="8" w:space="0" w:color="auto"/>
              <w:right w:val="single" w:sz="8" w:space="0" w:color="000000"/>
            </w:tcBorders>
            <w:vAlign w:val="center"/>
            <w:hideMark/>
          </w:tcPr>
          <w:p w14:paraId="62121099" w14:textId="77777777" w:rsidR="00B92935" w:rsidRPr="00A33AE8" w:rsidRDefault="00B92935" w:rsidP="00B92935">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6A13BB16" w14:textId="77777777" w:rsidR="00B92935" w:rsidRPr="00A33AE8" w:rsidRDefault="00B92935" w:rsidP="00B92935">
            <w:pPr>
              <w:rPr>
                <w:rFonts w:ascii="Calibri" w:eastAsia="Times New Roman" w:hAnsi="Calibri" w:cs="Calibri"/>
                <w:color w:val="000000"/>
                <w:lang w:eastAsia="en-GB"/>
              </w:rPr>
            </w:pPr>
          </w:p>
        </w:tc>
      </w:tr>
    </w:tbl>
    <w:p w14:paraId="368210A1"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90"/>
        <w:gridCol w:w="1106"/>
        <w:gridCol w:w="935"/>
        <w:gridCol w:w="4157"/>
        <w:gridCol w:w="1212"/>
      </w:tblGrid>
      <w:tr w:rsidR="00AE377B" w:rsidRPr="00A33AE8" w14:paraId="2C6B74AA" w14:textId="77777777" w:rsidTr="008E25B0">
        <w:trPr>
          <w:gridAfter w:val="1"/>
          <w:wAfter w:w="1212" w:type="dxa"/>
          <w:trHeight w:val="780"/>
        </w:trPr>
        <w:tc>
          <w:tcPr>
            <w:tcW w:w="3290"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6C4B13A"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2CFD583"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4</w:t>
            </w:r>
          </w:p>
        </w:tc>
        <w:tc>
          <w:tcPr>
            <w:tcW w:w="935" w:type="dxa"/>
            <w:tcBorders>
              <w:top w:val="single" w:sz="8" w:space="0" w:color="auto"/>
              <w:left w:val="nil"/>
              <w:bottom w:val="single" w:sz="8" w:space="0" w:color="auto"/>
              <w:right w:val="single" w:sz="8" w:space="0" w:color="auto"/>
            </w:tcBorders>
            <w:shd w:val="clear" w:color="auto" w:fill="244062"/>
            <w:vAlign w:val="center"/>
            <w:hideMark/>
          </w:tcPr>
          <w:p w14:paraId="6A3EDB74"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7" w:type="dxa"/>
            <w:tcBorders>
              <w:top w:val="single" w:sz="8" w:space="0" w:color="auto"/>
              <w:left w:val="nil"/>
              <w:bottom w:val="single" w:sz="8" w:space="0" w:color="auto"/>
              <w:right w:val="single" w:sz="8" w:space="0" w:color="auto"/>
            </w:tcBorders>
            <w:shd w:val="clear" w:color="auto" w:fill="E7E6E6" w:themeFill="background2"/>
            <w:vAlign w:val="center"/>
            <w:hideMark/>
          </w:tcPr>
          <w:p w14:paraId="0875DB51"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Promotion of demand response for the end-users by use of the dynamic tariff system</w:t>
            </w:r>
          </w:p>
        </w:tc>
      </w:tr>
      <w:tr w:rsidR="00AE377B" w:rsidRPr="00A33AE8" w14:paraId="7701690E" w14:textId="77777777" w:rsidTr="008E25B0">
        <w:trPr>
          <w:gridAfter w:val="1"/>
          <w:wAfter w:w="1212" w:type="dxa"/>
          <w:trHeight w:val="960"/>
        </w:trPr>
        <w:tc>
          <w:tcPr>
            <w:tcW w:w="3290" w:type="dxa"/>
            <w:tcBorders>
              <w:top w:val="nil"/>
              <w:left w:val="single" w:sz="8" w:space="0" w:color="auto"/>
              <w:bottom w:val="single" w:sz="8" w:space="0" w:color="auto"/>
              <w:right w:val="nil"/>
            </w:tcBorders>
            <w:shd w:val="clear" w:color="auto" w:fill="244062"/>
            <w:vAlign w:val="center"/>
            <w:hideMark/>
          </w:tcPr>
          <w:p w14:paraId="3167671D"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8" w:type="dxa"/>
            <w:gridSpan w:val="3"/>
            <w:tcBorders>
              <w:top w:val="single" w:sz="8" w:space="0" w:color="auto"/>
              <w:left w:val="nil"/>
              <w:bottom w:val="single" w:sz="8" w:space="0" w:color="auto"/>
              <w:right w:val="single" w:sz="8" w:space="0" w:color="000000"/>
            </w:tcBorders>
            <w:vAlign w:val="center"/>
          </w:tcPr>
          <w:p w14:paraId="66EB96B4" w14:textId="5035EF88" w:rsidR="00AE377B" w:rsidRPr="00A33AE8" w:rsidRDefault="00FF121C">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D809E2">
              <w:rPr>
                <w:rFonts w:asciiTheme="majorHAnsi" w:eastAsia="Times New Roman" w:hAnsiTheme="majorHAnsi" w:cstheme="majorHAnsi"/>
                <w:color w:val="000000"/>
                <w:sz w:val="20"/>
                <w:szCs w:val="20"/>
                <w:lang w:eastAsia="en-GB"/>
              </w:rPr>
              <w:t>.</w:t>
            </w:r>
          </w:p>
        </w:tc>
      </w:tr>
      <w:tr w:rsidR="00AE377B" w:rsidRPr="00A33AE8" w14:paraId="01168A3D" w14:textId="77777777" w:rsidTr="008E25B0">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0C282CFC"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8" w:type="dxa"/>
            <w:gridSpan w:val="3"/>
            <w:tcBorders>
              <w:top w:val="single" w:sz="8" w:space="0" w:color="auto"/>
              <w:left w:val="nil"/>
              <w:bottom w:val="single" w:sz="8" w:space="0" w:color="auto"/>
              <w:right w:val="single" w:sz="8" w:space="0" w:color="000000"/>
            </w:tcBorders>
            <w:vAlign w:val="center"/>
          </w:tcPr>
          <w:p w14:paraId="7C526C6D" w14:textId="77777777" w:rsidR="00AE377B" w:rsidRPr="00A33AE8" w:rsidRDefault="00FF121C">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Increased quality of supply indicators, deployment smart grids, aggregation, demand response services as well as storage and distributed generation</w:t>
            </w:r>
          </w:p>
        </w:tc>
      </w:tr>
      <w:tr w:rsidR="008E25B0" w:rsidRPr="00A33AE8" w14:paraId="54EE775E" w14:textId="77777777" w:rsidTr="00CE1C4B">
        <w:trPr>
          <w:gridAfter w:val="1"/>
          <w:wAfter w:w="1212" w:type="dxa"/>
          <w:trHeight w:val="443"/>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58C1E45B"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8" w:type="dxa"/>
            <w:gridSpan w:val="3"/>
            <w:tcBorders>
              <w:top w:val="single" w:sz="8" w:space="0" w:color="auto"/>
              <w:left w:val="nil"/>
              <w:bottom w:val="single" w:sz="8" w:space="0" w:color="auto"/>
              <w:right w:val="single" w:sz="8" w:space="0" w:color="000000"/>
            </w:tcBorders>
            <w:vAlign w:val="center"/>
            <w:hideMark/>
          </w:tcPr>
          <w:p w14:paraId="2162589E"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PM_IEM14 comprises a policy measure aiming to align consumption patterns of electricity end-users in order to enable wider flexibility and optimal use of the electricity system. This measure (policy) is tightly associated and with the use of smart-meters and IoT as these are necessary in order to send real-time (or close to real-time) price signals and incentives end-users for demand response.</w:t>
            </w:r>
          </w:p>
        </w:tc>
      </w:tr>
      <w:tr w:rsidR="008E25B0" w:rsidRPr="00A33AE8" w14:paraId="33377A81" w14:textId="77777777" w:rsidTr="008E25B0">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5B664669"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98" w:type="dxa"/>
            <w:gridSpan w:val="3"/>
            <w:tcBorders>
              <w:top w:val="single" w:sz="8" w:space="0" w:color="auto"/>
              <w:left w:val="nil"/>
              <w:bottom w:val="single" w:sz="8" w:space="0" w:color="auto"/>
              <w:right w:val="single" w:sz="8" w:space="0" w:color="000000"/>
            </w:tcBorders>
            <w:vAlign w:val="center"/>
            <w:hideMark/>
          </w:tcPr>
          <w:p w14:paraId="7DA80E3F" w14:textId="77777777" w:rsidR="008E25B0" w:rsidRPr="000007D2"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8E25B0" w:rsidRPr="00A33AE8" w14:paraId="67F39F06" w14:textId="77777777" w:rsidTr="008E25B0">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726364D4"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8" w:type="dxa"/>
            <w:gridSpan w:val="3"/>
            <w:tcBorders>
              <w:top w:val="single" w:sz="8" w:space="0" w:color="auto"/>
              <w:left w:val="nil"/>
              <w:bottom w:val="single" w:sz="8" w:space="0" w:color="auto"/>
              <w:right w:val="single" w:sz="8" w:space="0" w:color="000000"/>
            </w:tcBorders>
            <w:vAlign w:val="center"/>
            <w:hideMark/>
          </w:tcPr>
          <w:p w14:paraId="6A1FFB2B" w14:textId="77777777" w:rsidR="008E25B0" w:rsidRPr="00A33AE8" w:rsidRDefault="00B03413"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8E25B0" w:rsidRPr="00A33AE8" w14:paraId="5655B2DB" w14:textId="77777777" w:rsidTr="008E25B0">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0828936F"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8" w:type="dxa"/>
            <w:gridSpan w:val="3"/>
            <w:tcBorders>
              <w:top w:val="single" w:sz="8" w:space="0" w:color="auto"/>
              <w:left w:val="nil"/>
              <w:bottom w:val="single" w:sz="8" w:space="0" w:color="auto"/>
              <w:right w:val="single" w:sz="8" w:space="0" w:color="000000"/>
            </w:tcBorders>
            <w:vAlign w:val="center"/>
            <w:hideMark/>
          </w:tcPr>
          <w:p w14:paraId="17ACAC2B"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w:t>
            </w:r>
          </w:p>
        </w:tc>
      </w:tr>
      <w:tr w:rsidR="008E25B0" w:rsidRPr="00A33AE8" w14:paraId="6CF62924" w14:textId="77777777" w:rsidTr="008E25B0">
        <w:trPr>
          <w:gridAfter w:val="1"/>
          <w:wAfter w:w="1212" w:type="dxa"/>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30BB4F1B"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8" w:type="dxa"/>
            <w:gridSpan w:val="3"/>
            <w:tcBorders>
              <w:top w:val="single" w:sz="8" w:space="0" w:color="auto"/>
              <w:left w:val="nil"/>
              <w:bottom w:val="single" w:sz="8" w:space="0" w:color="auto"/>
              <w:right w:val="single" w:sz="8" w:space="0" w:color="000000"/>
            </w:tcBorders>
            <w:vAlign w:val="center"/>
            <w:hideMark/>
          </w:tcPr>
          <w:p w14:paraId="1CD68698" w14:textId="77777777" w:rsidR="008E25B0" w:rsidRPr="00A33AE8" w:rsidRDefault="00B3313F" w:rsidP="00884F3B">
            <w:pPr>
              <w:pStyle w:val="ListParagraph"/>
              <w:numPr>
                <w:ilvl w:val="0"/>
                <w:numId w:val="6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E25B0" w:rsidRPr="00A33AE8" w14:paraId="3D46F84B" w14:textId="77777777" w:rsidTr="008E25B0">
        <w:trPr>
          <w:gridAfter w:val="1"/>
          <w:wAfter w:w="1212" w:type="dxa"/>
          <w:trHeight w:val="315"/>
        </w:trPr>
        <w:tc>
          <w:tcPr>
            <w:tcW w:w="3290" w:type="dxa"/>
            <w:tcBorders>
              <w:top w:val="nil"/>
              <w:left w:val="single" w:sz="8" w:space="0" w:color="auto"/>
              <w:bottom w:val="single" w:sz="8" w:space="0" w:color="auto"/>
              <w:right w:val="nil"/>
            </w:tcBorders>
            <w:shd w:val="clear" w:color="auto" w:fill="244062"/>
            <w:vAlign w:val="center"/>
            <w:hideMark/>
          </w:tcPr>
          <w:p w14:paraId="3A954590"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8" w:type="dxa"/>
            <w:gridSpan w:val="3"/>
            <w:tcBorders>
              <w:top w:val="single" w:sz="8" w:space="0" w:color="auto"/>
              <w:left w:val="nil"/>
              <w:bottom w:val="single" w:sz="8" w:space="0" w:color="auto"/>
              <w:right w:val="single" w:sz="8" w:space="0" w:color="000000"/>
            </w:tcBorders>
            <w:vAlign w:val="center"/>
            <w:hideMark/>
          </w:tcPr>
          <w:p w14:paraId="0B9A65FB" w14:textId="77777777" w:rsidR="008E25B0" w:rsidRPr="00A33AE8" w:rsidRDefault="00B3313F" w:rsidP="00884F3B">
            <w:pPr>
              <w:pStyle w:val="ListParagraph"/>
              <w:numPr>
                <w:ilvl w:val="0"/>
                <w:numId w:val="6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8E25B0" w:rsidRPr="00A33AE8" w14:paraId="2FE4228E" w14:textId="77777777" w:rsidTr="008E25B0">
        <w:trPr>
          <w:gridAfter w:val="1"/>
          <w:wAfter w:w="1212" w:type="dxa"/>
          <w:trHeight w:val="315"/>
        </w:trPr>
        <w:tc>
          <w:tcPr>
            <w:tcW w:w="3290" w:type="dxa"/>
            <w:tcBorders>
              <w:top w:val="nil"/>
              <w:left w:val="single" w:sz="8" w:space="0" w:color="auto"/>
              <w:bottom w:val="single" w:sz="8" w:space="0" w:color="auto"/>
              <w:right w:val="nil"/>
            </w:tcBorders>
            <w:shd w:val="clear" w:color="auto" w:fill="244062"/>
            <w:vAlign w:val="center"/>
            <w:hideMark/>
          </w:tcPr>
          <w:p w14:paraId="66B0323B"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8" w:type="dxa"/>
            <w:gridSpan w:val="3"/>
            <w:tcBorders>
              <w:top w:val="single" w:sz="8" w:space="0" w:color="auto"/>
              <w:left w:val="nil"/>
              <w:bottom w:val="single" w:sz="8" w:space="0" w:color="auto"/>
              <w:right w:val="single" w:sz="8" w:space="0" w:color="000000"/>
            </w:tcBorders>
            <w:vAlign w:val="center"/>
            <w:hideMark/>
          </w:tcPr>
          <w:p w14:paraId="1083EB3C"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FF121C" w:rsidRPr="00A33AE8">
              <w:rPr>
                <w:rFonts w:ascii="Calibri Light" w:eastAsia="Times New Roman" w:hAnsi="Calibri Light" w:cs="Calibri Light"/>
                <w:color w:val="000000"/>
                <w:sz w:val="20"/>
                <w:szCs w:val="20"/>
                <w:lang w:eastAsia="en-GB"/>
              </w:rPr>
              <w:t>Percentage (%) of annual peak demand shifted to off-peak hours</w:t>
            </w:r>
          </w:p>
        </w:tc>
      </w:tr>
      <w:tr w:rsidR="00A0226E" w:rsidRPr="00A33AE8" w14:paraId="091F07E3" w14:textId="77777777" w:rsidTr="00CE1C4B">
        <w:trPr>
          <w:gridAfter w:val="1"/>
          <w:wAfter w:w="1212" w:type="dxa"/>
          <w:trHeight w:val="748"/>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5E0E7F8B"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98" w:type="dxa"/>
            <w:gridSpan w:val="3"/>
            <w:tcBorders>
              <w:top w:val="single" w:sz="8" w:space="0" w:color="auto"/>
              <w:left w:val="nil"/>
              <w:bottom w:val="single" w:sz="8" w:space="0" w:color="auto"/>
              <w:right w:val="single" w:sz="8" w:space="0" w:color="000000"/>
            </w:tcBorders>
            <w:vAlign w:val="center"/>
            <w:hideMark/>
          </w:tcPr>
          <w:p w14:paraId="6D3FEF27" w14:textId="77777777" w:rsidR="0070467B" w:rsidRPr="0070467B" w:rsidRDefault="0070467B" w:rsidP="00884F3B">
            <w:pPr>
              <w:pStyle w:val="ListParagraph"/>
              <w:numPr>
                <w:ilvl w:val="0"/>
                <w:numId w:val="64"/>
              </w:numPr>
              <w:rPr>
                <w:rFonts w:ascii="Calibri Light" w:eastAsia="Times New Roman" w:hAnsi="Calibri Light" w:cs="Calibri Light"/>
                <w:color w:val="000000"/>
                <w:sz w:val="20"/>
                <w:szCs w:val="20"/>
                <w:lang w:eastAsia="en-GB"/>
              </w:rPr>
            </w:pPr>
            <w:r w:rsidRPr="0070467B">
              <w:rPr>
                <w:rFonts w:ascii="Calibri Light" w:eastAsia="Times New Roman" w:hAnsi="Calibri Light" w:cs="Calibri Light"/>
                <w:color w:val="000000"/>
                <w:sz w:val="20"/>
                <w:szCs w:val="20"/>
                <w:lang w:eastAsia="en-GB"/>
              </w:rPr>
              <w:t>Energy Efficiency</w:t>
            </w:r>
          </w:p>
          <w:p w14:paraId="48C6AE71" w14:textId="77777777" w:rsidR="00A0226E" w:rsidRPr="00A33AE8" w:rsidRDefault="00A0226E" w:rsidP="00884F3B">
            <w:pPr>
              <w:pStyle w:val="ListParagraph"/>
              <w:numPr>
                <w:ilvl w:val="0"/>
                <w:numId w:val="6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tc>
      </w:tr>
      <w:tr w:rsidR="008E25B0" w:rsidRPr="00A33AE8" w14:paraId="2524BADC" w14:textId="77777777" w:rsidTr="008E25B0">
        <w:trPr>
          <w:gridAfter w:val="1"/>
          <w:wAfter w:w="1212" w:type="dxa"/>
          <w:trHeight w:val="450"/>
        </w:trPr>
        <w:tc>
          <w:tcPr>
            <w:tcW w:w="3290" w:type="dxa"/>
            <w:vMerge w:val="restart"/>
            <w:tcBorders>
              <w:top w:val="nil"/>
              <w:left w:val="single" w:sz="8" w:space="0" w:color="auto"/>
              <w:bottom w:val="single" w:sz="8" w:space="0" w:color="000000"/>
              <w:right w:val="single" w:sz="8" w:space="0" w:color="auto"/>
            </w:tcBorders>
            <w:shd w:val="clear" w:color="auto" w:fill="244062"/>
            <w:vAlign w:val="center"/>
            <w:hideMark/>
          </w:tcPr>
          <w:p w14:paraId="067E32FC"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3276A4C5" w14:textId="77777777" w:rsidR="008E25B0" w:rsidRPr="00A33AE8" w:rsidRDefault="008E25B0"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0C9BEE64" w14:textId="77777777" w:rsidR="008E25B0" w:rsidRPr="00A33AE8" w:rsidRDefault="008E25B0"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5515171E" w14:textId="77777777" w:rsidR="008E25B0" w:rsidRPr="00A33AE8" w:rsidRDefault="008E25B0"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8E25B0" w:rsidRPr="00A33AE8" w14:paraId="3B6C030E" w14:textId="77777777" w:rsidTr="008E25B0">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213F0D" w14:textId="77777777" w:rsidR="008E25B0" w:rsidRPr="00A33AE8" w:rsidRDefault="008E25B0" w:rsidP="008E25B0">
            <w:pPr>
              <w:spacing w:after="0" w:line="256" w:lineRule="auto"/>
              <w:rPr>
                <w:rFonts w:ascii="Calibri Light" w:eastAsia="Times New Roman" w:hAnsi="Calibri Light" w:cs="Calibri Light"/>
                <w:b/>
                <w:bCs/>
                <w:color w:val="FFFFFF"/>
                <w:sz w:val="20"/>
                <w:szCs w:val="20"/>
                <w:lang w:eastAsia="en-GB"/>
              </w:rPr>
            </w:pPr>
          </w:p>
        </w:tc>
        <w:tc>
          <w:tcPr>
            <w:tcW w:w="6198" w:type="dxa"/>
            <w:gridSpan w:val="3"/>
            <w:vMerge/>
            <w:tcBorders>
              <w:top w:val="single" w:sz="8" w:space="0" w:color="auto"/>
              <w:left w:val="single" w:sz="8" w:space="0" w:color="auto"/>
              <w:bottom w:val="single" w:sz="8" w:space="0" w:color="000000"/>
              <w:right w:val="single" w:sz="8" w:space="0" w:color="000000"/>
            </w:tcBorders>
            <w:vAlign w:val="center"/>
            <w:hideMark/>
          </w:tcPr>
          <w:p w14:paraId="4F7C80E1" w14:textId="77777777" w:rsidR="008E25B0" w:rsidRPr="00A33AE8" w:rsidRDefault="008E25B0" w:rsidP="008E25B0">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7669298D" w14:textId="77777777" w:rsidR="008E25B0" w:rsidRPr="00A33AE8" w:rsidRDefault="008E25B0" w:rsidP="008E25B0"/>
        </w:tc>
      </w:tr>
      <w:tr w:rsidR="008E25B0" w:rsidRPr="00A33AE8" w14:paraId="328E2D7D" w14:textId="77777777" w:rsidTr="008E25B0">
        <w:trPr>
          <w:trHeight w:val="315"/>
        </w:trPr>
        <w:tc>
          <w:tcPr>
            <w:tcW w:w="0" w:type="auto"/>
            <w:vMerge/>
            <w:tcBorders>
              <w:top w:val="nil"/>
              <w:left w:val="single" w:sz="8" w:space="0" w:color="auto"/>
              <w:bottom w:val="single" w:sz="8" w:space="0" w:color="000000"/>
              <w:right w:val="single" w:sz="8" w:space="0" w:color="auto"/>
            </w:tcBorders>
            <w:vAlign w:val="center"/>
            <w:hideMark/>
          </w:tcPr>
          <w:p w14:paraId="39BDFB3D" w14:textId="77777777" w:rsidR="008E25B0" w:rsidRPr="00A33AE8" w:rsidRDefault="008E25B0" w:rsidP="008E25B0">
            <w:pPr>
              <w:spacing w:after="0" w:line="256" w:lineRule="auto"/>
              <w:rPr>
                <w:rFonts w:ascii="Calibri Light" w:eastAsia="Times New Roman" w:hAnsi="Calibri Light" w:cs="Calibri Light"/>
                <w:b/>
                <w:bCs/>
                <w:color w:val="FFFFFF"/>
                <w:sz w:val="20"/>
                <w:szCs w:val="20"/>
                <w:lang w:eastAsia="en-GB"/>
              </w:rPr>
            </w:pPr>
          </w:p>
        </w:tc>
        <w:tc>
          <w:tcPr>
            <w:tcW w:w="6198" w:type="dxa"/>
            <w:gridSpan w:val="3"/>
            <w:vMerge/>
            <w:tcBorders>
              <w:top w:val="single" w:sz="8" w:space="0" w:color="auto"/>
              <w:left w:val="single" w:sz="8" w:space="0" w:color="auto"/>
              <w:bottom w:val="single" w:sz="8" w:space="0" w:color="000000"/>
              <w:right w:val="single" w:sz="8" w:space="0" w:color="000000"/>
            </w:tcBorders>
            <w:vAlign w:val="center"/>
            <w:hideMark/>
          </w:tcPr>
          <w:p w14:paraId="485C341E" w14:textId="77777777" w:rsidR="008E25B0" w:rsidRPr="00A33AE8" w:rsidRDefault="008E25B0" w:rsidP="008E25B0">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14483E64" w14:textId="77777777" w:rsidR="008E25B0" w:rsidRPr="00A33AE8" w:rsidRDefault="008E25B0" w:rsidP="008E25B0">
            <w:pPr>
              <w:spacing w:after="0" w:line="256" w:lineRule="auto"/>
              <w:rPr>
                <w:sz w:val="20"/>
                <w:szCs w:val="20"/>
                <w:lang w:eastAsia="en-GB"/>
              </w:rPr>
            </w:pPr>
          </w:p>
        </w:tc>
      </w:tr>
      <w:tr w:rsidR="008E25B0" w:rsidRPr="00A33AE8" w14:paraId="2F16BBEC" w14:textId="77777777" w:rsidTr="008E25B0">
        <w:trPr>
          <w:trHeight w:val="780"/>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1373DFDE"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8" w:type="dxa"/>
            <w:gridSpan w:val="3"/>
            <w:tcBorders>
              <w:top w:val="single" w:sz="8" w:space="0" w:color="auto"/>
              <w:left w:val="nil"/>
              <w:bottom w:val="single" w:sz="8" w:space="0" w:color="auto"/>
              <w:right w:val="single" w:sz="8" w:space="0" w:color="000000"/>
            </w:tcBorders>
            <w:vAlign w:val="center"/>
            <w:hideMark/>
          </w:tcPr>
          <w:p w14:paraId="5F5FF7C0" w14:textId="77777777" w:rsidR="008E25B0" w:rsidRPr="00A33AE8" w:rsidRDefault="008E25B0"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1212" w:type="dxa"/>
            <w:vAlign w:val="center"/>
            <w:hideMark/>
          </w:tcPr>
          <w:p w14:paraId="7FB0721D" w14:textId="77777777" w:rsidR="008E25B0" w:rsidRPr="00A33AE8" w:rsidRDefault="008E25B0" w:rsidP="008E25B0">
            <w:pPr>
              <w:rPr>
                <w:rFonts w:ascii="Calibri Light" w:eastAsia="Times New Roman" w:hAnsi="Calibri Light" w:cs="Calibri Light"/>
                <w:color w:val="000000"/>
                <w:sz w:val="20"/>
                <w:szCs w:val="20"/>
                <w:lang w:eastAsia="en-GB"/>
              </w:rPr>
            </w:pPr>
          </w:p>
        </w:tc>
      </w:tr>
      <w:tr w:rsidR="008E25B0" w:rsidRPr="00A33AE8" w14:paraId="4D36C76B" w14:textId="77777777" w:rsidTr="008E25B0">
        <w:trPr>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16340A1B"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8" w:type="dxa"/>
            <w:gridSpan w:val="3"/>
            <w:tcBorders>
              <w:top w:val="single" w:sz="8" w:space="0" w:color="auto"/>
              <w:left w:val="nil"/>
              <w:bottom w:val="single" w:sz="8" w:space="0" w:color="auto"/>
              <w:right w:val="single" w:sz="8" w:space="0" w:color="000000"/>
            </w:tcBorders>
            <w:vAlign w:val="center"/>
            <w:hideMark/>
          </w:tcPr>
          <w:p w14:paraId="65745837" w14:textId="77777777" w:rsidR="008E25B0" w:rsidRPr="00A33AE8" w:rsidRDefault="00B03413" w:rsidP="008E25B0">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3B692ED7" w14:textId="77777777" w:rsidR="008E25B0" w:rsidRPr="00A33AE8" w:rsidRDefault="008E25B0" w:rsidP="008E25B0">
            <w:pPr>
              <w:rPr>
                <w:rFonts w:ascii="Calibri" w:eastAsia="Times New Roman" w:hAnsi="Calibri" w:cs="Calibri"/>
                <w:color w:val="000000"/>
                <w:lang w:eastAsia="en-GB"/>
              </w:rPr>
            </w:pPr>
          </w:p>
        </w:tc>
      </w:tr>
      <w:tr w:rsidR="00B92935" w:rsidRPr="00A33AE8" w14:paraId="2D5A05B0" w14:textId="77777777" w:rsidTr="008E25B0">
        <w:trPr>
          <w:trHeight w:val="315"/>
        </w:trPr>
        <w:tc>
          <w:tcPr>
            <w:tcW w:w="3290" w:type="dxa"/>
            <w:tcBorders>
              <w:top w:val="nil"/>
              <w:left w:val="single" w:sz="8" w:space="0" w:color="auto"/>
              <w:bottom w:val="single" w:sz="8" w:space="0" w:color="auto"/>
              <w:right w:val="single" w:sz="8" w:space="0" w:color="auto"/>
            </w:tcBorders>
            <w:shd w:val="clear" w:color="auto" w:fill="244062"/>
            <w:vAlign w:val="center"/>
            <w:hideMark/>
          </w:tcPr>
          <w:p w14:paraId="498D417E" w14:textId="77777777" w:rsidR="00B92935" w:rsidRPr="00A33AE8" w:rsidRDefault="00B92935" w:rsidP="00B9293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8" w:type="dxa"/>
            <w:gridSpan w:val="3"/>
            <w:tcBorders>
              <w:top w:val="single" w:sz="8" w:space="0" w:color="auto"/>
              <w:left w:val="nil"/>
              <w:bottom w:val="single" w:sz="8" w:space="0" w:color="auto"/>
              <w:right w:val="single" w:sz="8" w:space="0" w:color="000000"/>
            </w:tcBorders>
            <w:vAlign w:val="center"/>
            <w:hideMark/>
          </w:tcPr>
          <w:p w14:paraId="4B164EA6" w14:textId="77777777" w:rsidR="00B92935" w:rsidRPr="00A33AE8" w:rsidRDefault="00B92935" w:rsidP="00B92935">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31D401E9" w14:textId="77777777" w:rsidR="00B92935" w:rsidRPr="00A33AE8" w:rsidRDefault="00B92935" w:rsidP="00B92935">
            <w:pPr>
              <w:rPr>
                <w:rFonts w:ascii="Calibri" w:eastAsia="Times New Roman" w:hAnsi="Calibri" w:cs="Calibri"/>
                <w:color w:val="000000"/>
                <w:lang w:eastAsia="en-GB"/>
              </w:rPr>
            </w:pPr>
          </w:p>
        </w:tc>
      </w:tr>
    </w:tbl>
    <w:p w14:paraId="7198F3B2"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87"/>
        <w:gridCol w:w="1106"/>
        <w:gridCol w:w="934"/>
        <w:gridCol w:w="4161"/>
        <w:gridCol w:w="1212"/>
      </w:tblGrid>
      <w:tr w:rsidR="00AE377B" w:rsidRPr="00A33AE8" w14:paraId="31C73475" w14:textId="77777777" w:rsidTr="008E25B0">
        <w:trPr>
          <w:gridAfter w:val="1"/>
          <w:wAfter w:w="1212" w:type="dxa"/>
          <w:trHeight w:val="780"/>
        </w:trPr>
        <w:tc>
          <w:tcPr>
            <w:tcW w:w="328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3C9EDCD"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4B487F2"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5</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5CD02AC6"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3905E24B"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Equipping gas distribution systems with metering and data collection devices (measuring equipment, measuring and operational platform, SCADA) necessary for the functioning and development of the gas market</w:t>
            </w:r>
          </w:p>
        </w:tc>
      </w:tr>
      <w:tr w:rsidR="008E25B0" w:rsidRPr="00A33AE8" w14:paraId="7EF67A27" w14:textId="77777777" w:rsidTr="00931CE1">
        <w:trPr>
          <w:gridAfter w:val="1"/>
          <w:wAfter w:w="1212" w:type="dxa"/>
          <w:trHeight w:val="493"/>
        </w:trPr>
        <w:tc>
          <w:tcPr>
            <w:tcW w:w="3287" w:type="dxa"/>
            <w:tcBorders>
              <w:top w:val="nil"/>
              <w:left w:val="single" w:sz="8" w:space="0" w:color="auto"/>
              <w:bottom w:val="single" w:sz="8" w:space="0" w:color="auto"/>
              <w:right w:val="nil"/>
            </w:tcBorders>
            <w:shd w:val="clear" w:color="auto" w:fill="244062"/>
            <w:vAlign w:val="center"/>
            <w:hideMark/>
          </w:tcPr>
          <w:p w14:paraId="423444D8"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1" w:type="dxa"/>
            <w:gridSpan w:val="3"/>
            <w:tcBorders>
              <w:top w:val="single" w:sz="8" w:space="0" w:color="auto"/>
              <w:left w:val="nil"/>
              <w:bottom w:val="single" w:sz="8" w:space="0" w:color="auto"/>
              <w:right w:val="single" w:sz="8" w:space="0" w:color="000000"/>
            </w:tcBorders>
            <w:vAlign w:val="center"/>
          </w:tcPr>
          <w:p w14:paraId="6A41F23A"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Consumer protection and improvement of competition, Enable EE at the supply side (i.e. through the reduction of losses)</w:t>
            </w:r>
          </w:p>
        </w:tc>
      </w:tr>
      <w:tr w:rsidR="008E25B0" w:rsidRPr="00A33AE8" w14:paraId="0B3C7A59"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50B91743"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1" w:type="dxa"/>
            <w:gridSpan w:val="3"/>
            <w:tcBorders>
              <w:top w:val="single" w:sz="8" w:space="0" w:color="auto"/>
              <w:left w:val="nil"/>
              <w:bottom w:val="single" w:sz="8" w:space="0" w:color="auto"/>
              <w:right w:val="single" w:sz="8" w:space="0" w:color="000000"/>
            </w:tcBorders>
            <w:vAlign w:val="center"/>
          </w:tcPr>
          <w:p w14:paraId="67BE5129" w14:textId="77777777" w:rsidR="008E25B0" w:rsidRPr="00A33AE8" w:rsidRDefault="008E25B0" w:rsidP="008E25B0">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Number of smart meters at distribution level</w:t>
            </w:r>
          </w:p>
        </w:tc>
      </w:tr>
      <w:tr w:rsidR="008E25B0" w:rsidRPr="00A33AE8" w14:paraId="619B4DCF" w14:textId="77777777" w:rsidTr="008E25B0">
        <w:trPr>
          <w:gridAfter w:val="1"/>
          <w:wAfter w:w="1212" w:type="dxa"/>
          <w:trHeight w:val="726"/>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2A2E63C0"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1" w:type="dxa"/>
            <w:gridSpan w:val="3"/>
            <w:tcBorders>
              <w:top w:val="single" w:sz="8" w:space="0" w:color="auto"/>
              <w:left w:val="nil"/>
              <w:bottom w:val="single" w:sz="8" w:space="0" w:color="auto"/>
              <w:right w:val="single" w:sz="8" w:space="0" w:color="000000"/>
            </w:tcBorders>
            <w:vAlign w:val="center"/>
            <w:hideMark/>
          </w:tcPr>
          <w:p w14:paraId="50B59829"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Prior to the decision on introduction of smart meters at gas distribution, a cost-benefit analysis will be conducted to show whether the introduction of smart meters is economically sound especially for households. The analysis to be done should be economic, not financial, that is, to provide data on benefits and costs for the whole society, and not only for the system operator. If the analysis shows that the introduction of smart meters is worthwhile, only than the plan for the introduction of smart meters should be made. This is in accordance with Directive 2009/73/EC</w:t>
            </w:r>
          </w:p>
        </w:tc>
      </w:tr>
      <w:tr w:rsidR="00AE377B" w:rsidRPr="00A33AE8" w14:paraId="65BCABB9"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E04F424"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1" w:type="dxa"/>
            <w:gridSpan w:val="3"/>
            <w:tcBorders>
              <w:top w:val="single" w:sz="8" w:space="0" w:color="auto"/>
              <w:left w:val="nil"/>
              <w:bottom w:val="single" w:sz="8" w:space="0" w:color="auto"/>
              <w:right w:val="single" w:sz="8" w:space="0" w:color="000000"/>
            </w:tcBorders>
            <w:vAlign w:val="center"/>
            <w:hideMark/>
          </w:tcPr>
          <w:p w14:paraId="3F16B8CF" w14:textId="77777777" w:rsidR="00AE377B" w:rsidRPr="00A33AE8" w:rsidRDefault="00AE377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2024-2030</w:t>
            </w:r>
          </w:p>
        </w:tc>
      </w:tr>
      <w:tr w:rsidR="00AE377B" w:rsidRPr="00A33AE8" w14:paraId="2517502E"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214BFD6"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1" w:type="dxa"/>
            <w:gridSpan w:val="3"/>
            <w:tcBorders>
              <w:top w:val="single" w:sz="8" w:space="0" w:color="auto"/>
              <w:left w:val="nil"/>
              <w:bottom w:val="single" w:sz="8" w:space="0" w:color="auto"/>
              <w:right w:val="single" w:sz="8" w:space="0" w:color="000000"/>
            </w:tcBorders>
            <w:vAlign w:val="center"/>
            <w:hideMark/>
          </w:tcPr>
          <w:p w14:paraId="4110303C" w14:textId="77777777" w:rsidR="00AE377B" w:rsidRPr="00A33AE8" w:rsidRDefault="00B03413">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AE377B" w:rsidRPr="00A33AE8" w14:paraId="66EDB0E6"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A6BBB26"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1" w:type="dxa"/>
            <w:gridSpan w:val="3"/>
            <w:tcBorders>
              <w:top w:val="single" w:sz="8" w:space="0" w:color="auto"/>
              <w:left w:val="nil"/>
              <w:bottom w:val="single" w:sz="8" w:space="0" w:color="auto"/>
              <w:right w:val="single" w:sz="8" w:space="0" w:color="000000"/>
            </w:tcBorders>
            <w:vAlign w:val="center"/>
            <w:hideMark/>
          </w:tcPr>
          <w:p w14:paraId="61F74A63" w14:textId="77777777" w:rsidR="00AE377B" w:rsidRPr="00A33AE8" w:rsidRDefault="00AE377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AE377B" w:rsidRPr="00A33AE8" w14:paraId="203A08C6" w14:textId="77777777" w:rsidTr="008E25B0">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47A847D6"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1DD8C63E" w14:textId="77777777" w:rsidR="00AE377B" w:rsidRPr="00A33AE8" w:rsidRDefault="00AE377B"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 distribution system operator</w:t>
            </w:r>
          </w:p>
        </w:tc>
      </w:tr>
      <w:tr w:rsidR="008E25B0" w:rsidRPr="00A33AE8" w14:paraId="2E27258A" w14:textId="77777777" w:rsidTr="008E25B0">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6D6F5C02"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6429AEE3" w14:textId="77777777" w:rsidR="008E25B0" w:rsidRPr="00A33AE8" w:rsidRDefault="008E25B0"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AERS</w:t>
            </w:r>
          </w:p>
        </w:tc>
      </w:tr>
      <w:tr w:rsidR="008E25B0" w:rsidRPr="00A33AE8" w14:paraId="1FA79FC3" w14:textId="77777777" w:rsidTr="008E25B0">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2ED7E844"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1" w:type="dxa"/>
            <w:gridSpan w:val="3"/>
            <w:tcBorders>
              <w:top w:val="single" w:sz="8" w:space="0" w:color="auto"/>
              <w:left w:val="nil"/>
              <w:bottom w:val="single" w:sz="8" w:space="0" w:color="auto"/>
              <w:right w:val="single" w:sz="8" w:space="0" w:color="000000"/>
            </w:tcBorders>
            <w:vAlign w:val="center"/>
            <w:hideMark/>
          </w:tcPr>
          <w:p w14:paraId="2BF636F8" w14:textId="77777777" w:rsidR="008E25B0" w:rsidRPr="00A33AE8" w:rsidRDefault="008E25B0" w:rsidP="008E25B0">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Number of smart meters installed subject to a positive CBA</w:t>
            </w:r>
          </w:p>
        </w:tc>
      </w:tr>
      <w:tr w:rsidR="00A0226E" w:rsidRPr="00A33AE8" w14:paraId="477E4631" w14:textId="77777777" w:rsidTr="001B47D8">
        <w:trPr>
          <w:gridAfter w:val="1"/>
          <w:wAfter w:w="1212" w:type="dxa"/>
          <w:trHeight w:val="467"/>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7CA8C33E"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1" w:type="dxa"/>
            <w:gridSpan w:val="3"/>
            <w:tcBorders>
              <w:top w:val="single" w:sz="8" w:space="0" w:color="auto"/>
              <w:left w:val="nil"/>
              <w:bottom w:val="single" w:sz="8" w:space="0" w:color="auto"/>
              <w:right w:val="single" w:sz="8" w:space="0" w:color="000000"/>
            </w:tcBorders>
            <w:vAlign w:val="center"/>
          </w:tcPr>
          <w:p w14:paraId="715725B2" w14:textId="77777777" w:rsidR="0070467B" w:rsidRPr="0070467B" w:rsidRDefault="0070467B"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70467B">
              <w:rPr>
                <w:rFonts w:ascii="Calibri Light" w:eastAsia="Times New Roman" w:hAnsi="Calibri Light" w:cs="Calibri Light"/>
                <w:color w:val="000000"/>
                <w:sz w:val="20"/>
                <w:szCs w:val="20"/>
                <w:lang w:eastAsia="en-GB"/>
              </w:rPr>
              <w:t>Energy Efficiency</w:t>
            </w:r>
          </w:p>
          <w:p w14:paraId="374E0764" w14:textId="77777777" w:rsidR="00A0226E" w:rsidRPr="00A33AE8" w:rsidRDefault="0070467B"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70467B">
              <w:rPr>
                <w:rFonts w:ascii="Calibri Light" w:eastAsia="Times New Roman" w:hAnsi="Calibri Light" w:cs="Calibri Light"/>
                <w:color w:val="000000"/>
                <w:sz w:val="20"/>
                <w:szCs w:val="20"/>
                <w:lang w:eastAsia="en-GB"/>
              </w:rPr>
              <w:t>Energy Security</w:t>
            </w:r>
          </w:p>
        </w:tc>
      </w:tr>
      <w:tr w:rsidR="008E25B0" w:rsidRPr="00A33AE8" w14:paraId="6EAEF071" w14:textId="77777777" w:rsidTr="008E25B0">
        <w:trPr>
          <w:gridAfter w:val="1"/>
          <w:wAfter w:w="1212" w:type="dxa"/>
          <w:trHeight w:val="450"/>
        </w:trPr>
        <w:tc>
          <w:tcPr>
            <w:tcW w:w="3287" w:type="dxa"/>
            <w:vMerge w:val="restart"/>
            <w:tcBorders>
              <w:top w:val="nil"/>
              <w:left w:val="single" w:sz="8" w:space="0" w:color="auto"/>
              <w:bottom w:val="single" w:sz="8" w:space="0" w:color="000000"/>
              <w:right w:val="single" w:sz="8" w:space="0" w:color="auto"/>
            </w:tcBorders>
            <w:shd w:val="clear" w:color="auto" w:fill="244062"/>
            <w:vAlign w:val="center"/>
            <w:hideMark/>
          </w:tcPr>
          <w:p w14:paraId="5257AED9"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8DBAE00" w14:textId="77777777" w:rsidR="008E25B0" w:rsidRPr="00A33AE8" w:rsidRDefault="008E25B0"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2009/73/EC</w:t>
            </w:r>
          </w:p>
        </w:tc>
      </w:tr>
      <w:tr w:rsidR="008E25B0" w:rsidRPr="00A33AE8" w14:paraId="1005A883" w14:textId="77777777" w:rsidTr="008E25B0">
        <w:trPr>
          <w:trHeight w:val="300"/>
        </w:trPr>
        <w:tc>
          <w:tcPr>
            <w:tcW w:w="0" w:type="auto"/>
            <w:vMerge/>
            <w:tcBorders>
              <w:top w:val="nil"/>
              <w:left w:val="single" w:sz="8" w:space="0" w:color="auto"/>
              <w:bottom w:val="single" w:sz="8" w:space="0" w:color="000000"/>
              <w:right w:val="single" w:sz="8" w:space="0" w:color="auto"/>
            </w:tcBorders>
            <w:vAlign w:val="center"/>
            <w:hideMark/>
          </w:tcPr>
          <w:p w14:paraId="484B12F7" w14:textId="77777777" w:rsidR="008E25B0" w:rsidRPr="00A33AE8" w:rsidRDefault="008E25B0" w:rsidP="008E25B0">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03236793" w14:textId="77777777" w:rsidR="008E25B0" w:rsidRPr="00A33AE8" w:rsidRDefault="008E25B0" w:rsidP="00884F3B">
            <w:pPr>
              <w:pStyle w:val="ListParagraph"/>
              <w:numPr>
                <w:ilvl w:val="0"/>
                <w:numId w:val="66"/>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00491DB7" w14:textId="77777777" w:rsidR="008E25B0" w:rsidRPr="00A33AE8" w:rsidRDefault="008E25B0" w:rsidP="008E25B0"/>
        </w:tc>
      </w:tr>
      <w:tr w:rsidR="008E25B0" w:rsidRPr="00A33AE8" w14:paraId="53496975" w14:textId="77777777" w:rsidTr="008E25B0">
        <w:trPr>
          <w:trHeight w:val="60"/>
        </w:trPr>
        <w:tc>
          <w:tcPr>
            <w:tcW w:w="0" w:type="auto"/>
            <w:vMerge/>
            <w:tcBorders>
              <w:top w:val="nil"/>
              <w:left w:val="single" w:sz="8" w:space="0" w:color="auto"/>
              <w:bottom w:val="single" w:sz="8" w:space="0" w:color="000000"/>
              <w:right w:val="single" w:sz="8" w:space="0" w:color="auto"/>
            </w:tcBorders>
            <w:vAlign w:val="center"/>
            <w:hideMark/>
          </w:tcPr>
          <w:p w14:paraId="441E6873" w14:textId="77777777" w:rsidR="008E25B0" w:rsidRPr="00A33AE8" w:rsidRDefault="008E25B0" w:rsidP="008E25B0">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5D99DC91" w14:textId="77777777" w:rsidR="008E25B0" w:rsidRPr="00A33AE8" w:rsidRDefault="008E25B0" w:rsidP="00884F3B">
            <w:pPr>
              <w:pStyle w:val="ListParagraph"/>
              <w:numPr>
                <w:ilvl w:val="0"/>
                <w:numId w:val="66"/>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72AF89E1" w14:textId="77777777" w:rsidR="008E25B0" w:rsidRPr="00A33AE8" w:rsidRDefault="008E25B0" w:rsidP="008E25B0">
            <w:pPr>
              <w:spacing w:after="0" w:line="256" w:lineRule="auto"/>
              <w:rPr>
                <w:sz w:val="20"/>
                <w:szCs w:val="20"/>
                <w:lang w:eastAsia="en-GB"/>
              </w:rPr>
            </w:pPr>
          </w:p>
        </w:tc>
      </w:tr>
      <w:tr w:rsidR="008E25B0" w:rsidRPr="00A33AE8" w14:paraId="2729DAB8" w14:textId="77777777" w:rsidTr="008E25B0">
        <w:trPr>
          <w:trHeight w:val="359"/>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425F9CEC" w14:textId="77777777" w:rsidR="008E25B0" w:rsidRPr="00A33AE8" w:rsidRDefault="008E25B0" w:rsidP="008E25B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1" w:type="dxa"/>
            <w:gridSpan w:val="3"/>
            <w:tcBorders>
              <w:top w:val="single" w:sz="8" w:space="0" w:color="auto"/>
              <w:left w:val="nil"/>
              <w:bottom w:val="single" w:sz="8" w:space="0" w:color="auto"/>
              <w:right w:val="single" w:sz="8" w:space="0" w:color="000000"/>
            </w:tcBorders>
            <w:vAlign w:val="center"/>
            <w:hideMark/>
          </w:tcPr>
          <w:p w14:paraId="6913E764" w14:textId="77777777" w:rsidR="008E25B0" w:rsidRPr="00A33AE8" w:rsidRDefault="008E25B0" w:rsidP="00884F3B">
            <w:pPr>
              <w:pStyle w:val="ListParagraph"/>
              <w:numPr>
                <w:ilvl w:val="0"/>
                <w:numId w:val="66"/>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tc>
        <w:tc>
          <w:tcPr>
            <w:tcW w:w="1212" w:type="dxa"/>
            <w:vAlign w:val="center"/>
            <w:hideMark/>
          </w:tcPr>
          <w:p w14:paraId="3BA0E97B" w14:textId="77777777" w:rsidR="008E25B0" w:rsidRPr="00A33AE8" w:rsidRDefault="008E25B0" w:rsidP="008E25B0">
            <w:pPr>
              <w:rPr>
                <w:rFonts w:ascii="Calibri Light" w:eastAsia="Times New Roman" w:hAnsi="Calibri Light" w:cs="Calibri Light"/>
                <w:color w:val="000000"/>
                <w:sz w:val="20"/>
                <w:szCs w:val="20"/>
                <w:lang w:eastAsia="en-GB"/>
              </w:rPr>
            </w:pPr>
          </w:p>
        </w:tc>
      </w:tr>
      <w:tr w:rsidR="00FD2B5A" w:rsidRPr="00A33AE8" w14:paraId="7C2CF97A" w14:textId="77777777" w:rsidTr="008E25B0">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BB87FD1" w14:textId="77777777" w:rsidR="00FD2B5A" w:rsidRPr="00A33AE8" w:rsidRDefault="00FD2B5A" w:rsidP="00FD2B5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1" w:type="dxa"/>
            <w:gridSpan w:val="3"/>
            <w:tcBorders>
              <w:top w:val="single" w:sz="8" w:space="0" w:color="auto"/>
              <w:left w:val="nil"/>
              <w:bottom w:val="single" w:sz="8" w:space="0" w:color="auto"/>
              <w:right w:val="single" w:sz="8" w:space="0" w:color="000000"/>
            </w:tcBorders>
            <w:vAlign w:val="center"/>
            <w:hideMark/>
          </w:tcPr>
          <w:p w14:paraId="400C2687" w14:textId="77777777" w:rsidR="00FD2B5A" w:rsidRPr="00A33AE8" w:rsidRDefault="00B03413" w:rsidP="00FD2B5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3.5 M€</w:t>
            </w:r>
          </w:p>
        </w:tc>
        <w:tc>
          <w:tcPr>
            <w:tcW w:w="1212" w:type="dxa"/>
            <w:vAlign w:val="center"/>
            <w:hideMark/>
          </w:tcPr>
          <w:p w14:paraId="2D2EEC53" w14:textId="77777777" w:rsidR="00FD2B5A" w:rsidRPr="00A33AE8" w:rsidRDefault="00FD2B5A" w:rsidP="00FD2B5A">
            <w:pPr>
              <w:rPr>
                <w:rFonts w:ascii="Calibri" w:eastAsia="Times New Roman" w:hAnsi="Calibri" w:cs="Calibri"/>
                <w:color w:val="000000"/>
                <w:lang w:eastAsia="en-GB"/>
              </w:rPr>
            </w:pPr>
          </w:p>
        </w:tc>
      </w:tr>
      <w:tr w:rsidR="00A54749" w:rsidRPr="00A33AE8" w14:paraId="48995055" w14:textId="77777777" w:rsidTr="008E25B0">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46BA88A" w14:textId="77777777" w:rsidR="00A54749" w:rsidRPr="00A33AE8" w:rsidRDefault="00A54749" w:rsidP="00A54749">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1" w:type="dxa"/>
            <w:gridSpan w:val="3"/>
            <w:tcBorders>
              <w:top w:val="single" w:sz="8" w:space="0" w:color="auto"/>
              <w:left w:val="nil"/>
              <w:bottom w:val="single" w:sz="8" w:space="0" w:color="auto"/>
              <w:right w:val="single" w:sz="8" w:space="0" w:color="000000"/>
            </w:tcBorders>
            <w:vAlign w:val="center"/>
            <w:hideMark/>
          </w:tcPr>
          <w:p w14:paraId="112DB3A4" w14:textId="77777777" w:rsidR="00A54749" w:rsidRPr="00A33AE8" w:rsidRDefault="00AB0203" w:rsidP="00A54749">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 xml:space="preserve">own </w:t>
            </w:r>
            <w:r w:rsidR="00A54749" w:rsidRPr="00A33AE8">
              <w:rPr>
                <w:rFonts w:ascii="Calibri Light" w:eastAsia="Times New Roman" w:hAnsi="Calibri Light" w:cs="Calibri Light"/>
                <w:color w:val="000000"/>
                <w:sz w:val="20"/>
                <w:szCs w:val="20"/>
                <w:lang w:eastAsia="en-GB"/>
              </w:rPr>
              <w:t>funds</w:t>
            </w:r>
          </w:p>
        </w:tc>
        <w:tc>
          <w:tcPr>
            <w:tcW w:w="1212" w:type="dxa"/>
            <w:vAlign w:val="center"/>
            <w:hideMark/>
          </w:tcPr>
          <w:p w14:paraId="21515792" w14:textId="77777777" w:rsidR="00A54749" w:rsidRPr="00A33AE8" w:rsidRDefault="00A54749" w:rsidP="00A54749">
            <w:pPr>
              <w:rPr>
                <w:rFonts w:ascii="Calibri" w:eastAsia="Times New Roman" w:hAnsi="Calibri" w:cs="Calibri"/>
                <w:color w:val="000000"/>
                <w:lang w:eastAsia="en-GB"/>
              </w:rPr>
            </w:pPr>
          </w:p>
        </w:tc>
      </w:tr>
    </w:tbl>
    <w:p w14:paraId="40C05B4E" w14:textId="77777777" w:rsidR="0056323A" w:rsidRPr="00A33AE8" w:rsidRDefault="0056323A" w:rsidP="00AE377B">
      <w:pPr>
        <w:pStyle w:val="LDKbody"/>
        <w:rPr>
          <w:lang w:val="en-GB"/>
        </w:rPr>
      </w:pPr>
    </w:p>
    <w:tbl>
      <w:tblPr>
        <w:tblW w:w="10700" w:type="dxa"/>
        <w:tblLook w:val="04A0" w:firstRow="1" w:lastRow="0" w:firstColumn="1" w:lastColumn="0" w:noHBand="0" w:noVBand="1"/>
      </w:tblPr>
      <w:tblGrid>
        <w:gridCol w:w="3287"/>
        <w:gridCol w:w="1106"/>
        <w:gridCol w:w="934"/>
        <w:gridCol w:w="4161"/>
        <w:gridCol w:w="1212"/>
      </w:tblGrid>
      <w:tr w:rsidR="00AE377B" w:rsidRPr="00A33AE8" w14:paraId="7ED37717" w14:textId="77777777" w:rsidTr="003169F5">
        <w:trPr>
          <w:gridAfter w:val="1"/>
          <w:wAfter w:w="1212" w:type="dxa"/>
          <w:trHeight w:val="780"/>
        </w:trPr>
        <w:tc>
          <w:tcPr>
            <w:tcW w:w="328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E7B8FBC"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5545F550"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7</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77E0EBFB"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0AC9E7EF"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the regulatory framework for the operation of the “producer-consumer” (prosumer) (Article 169 in accordance to the amendments of the Energy Law and Article 58 to 61 of the Law on the use of RES)</w:t>
            </w:r>
          </w:p>
        </w:tc>
      </w:tr>
      <w:tr w:rsidR="00AE377B" w:rsidRPr="00A33AE8" w14:paraId="2EBFE4EF" w14:textId="77777777" w:rsidTr="003169F5">
        <w:trPr>
          <w:gridAfter w:val="1"/>
          <w:wAfter w:w="1212" w:type="dxa"/>
          <w:trHeight w:val="501"/>
        </w:trPr>
        <w:tc>
          <w:tcPr>
            <w:tcW w:w="3287" w:type="dxa"/>
            <w:tcBorders>
              <w:top w:val="nil"/>
              <w:left w:val="single" w:sz="8" w:space="0" w:color="auto"/>
              <w:bottom w:val="single" w:sz="8" w:space="0" w:color="auto"/>
              <w:right w:val="nil"/>
            </w:tcBorders>
            <w:shd w:val="clear" w:color="auto" w:fill="244062"/>
            <w:vAlign w:val="center"/>
            <w:hideMark/>
          </w:tcPr>
          <w:p w14:paraId="118CA133"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201" w:type="dxa"/>
            <w:gridSpan w:val="3"/>
            <w:tcBorders>
              <w:top w:val="single" w:sz="8" w:space="0" w:color="auto"/>
              <w:left w:val="nil"/>
              <w:bottom w:val="single" w:sz="8" w:space="0" w:color="auto"/>
              <w:right w:val="single" w:sz="8" w:space="0" w:color="000000"/>
            </w:tcBorders>
            <w:vAlign w:val="center"/>
          </w:tcPr>
          <w:p w14:paraId="5B10CE1C" w14:textId="4033127B" w:rsidR="00AE377B" w:rsidRPr="00A33AE8" w:rsidRDefault="00953BAB">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D809E2">
              <w:rPr>
                <w:rFonts w:asciiTheme="majorHAnsi" w:eastAsia="Times New Roman" w:hAnsiTheme="majorHAnsi" w:cstheme="majorHAnsi"/>
                <w:color w:val="000000"/>
                <w:sz w:val="20"/>
                <w:szCs w:val="20"/>
                <w:lang w:eastAsia="en-GB"/>
              </w:rPr>
              <w:t>.</w:t>
            </w:r>
          </w:p>
        </w:tc>
      </w:tr>
      <w:tr w:rsidR="00AE377B" w:rsidRPr="00A33AE8" w14:paraId="15983592"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2BE79B9"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1" w:type="dxa"/>
            <w:gridSpan w:val="3"/>
            <w:tcBorders>
              <w:top w:val="single" w:sz="8" w:space="0" w:color="auto"/>
              <w:left w:val="nil"/>
              <w:bottom w:val="single" w:sz="8" w:space="0" w:color="auto"/>
              <w:right w:val="single" w:sz="8" w:space="0" w:color="000000"/>
            </w:tcBorders>
            <w:vAlign w:val="center"/>
          </w:tcPr>
          <w:p w14:paraId="305059F7" w14:textId="77777777" w:rsidR="00AE377B" w:rsidRPr="00A33AE8" w:rsidRDefault="00953BAB">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Increased quality of supply indicators, deployment smart grids, aggregation, demand response services as well as storage and distributed generation</w:t>
            </w:r>
          </w:p>
        </w:tc>
      </w:tr>
      <w:tr w:rsidR="003169F5" w:rsidRPr="00A33AE8" w14:paraId="33EAD090" w14:textId="77777777" w:rsidTr="003169F5">
        <w:trPr>
          <w:gridAfter w:val="1"/>
          <w:wAfter w:w="1212" w:type="dxa"/>
          <w:trHeight w:val="133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B4BD78B"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1" w:type="dxa"/>
            <w:gridSpan w:val="3"/>
            <w:tcBorders>
              <w:top w:val="single" w:sz="8" w:space="0" w:color="auto"/>
              <w:left w:val="nil"/>
              <w:bottom w:val="single" w:sz="8" w:space="0" w:color="auto"/>
              <w:right w:val="single" w:sz="8" w:space="0" w:color="000000"/>
            </w:tcBorders>
            <w:vAlign w:val="center"/>
            <w:hideMark/>
          </w:tcPr>
          <w:p w14:paraId="77989721" w14:textId="77777777" w:rsidR="003169F5" w:rsidRPr="00A33AE8" w:rsidRDefault="003169F5" w:rsidP="003169F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PM_IEM17 concerns acting on regulatory, financial, technical and policy barriers that currently prevent the market update of self-consumption in Serbia. In light of changes introduced by new legislation bylaws need to be produced in order to implement the recent legal authorisation on prosumers. These shall include technical/quality standards, network connection conditions, tax regime, permitting process and complement and b</w:t>
            </w:r>
            <w:r w:rsidR="00BC2BFF" w:rsidRPr="00A33AE8">
              <w:rPr>
                <w:rFonts w:ascii="Calibri Light" w:eastAsia="Times New Roman" w:hAnsi="Calibri Light" w:cs="Calibri Light"/>
                <w:color w:val="000000"/>
                <w:sz w:val="20"/>
                <w:szCs w:val="20"/>
                <w:lang w:eastAsia="en-GB"/>
              </w:rPr>
              <w:t>a</w:t>
            </w:r>
            <w:r w:rsidRPr="00A33AE8">
              <w:rPr>
                <w:rFonts w:ascii="Calibri Light" w:eastAsia="Times New Roman" w:hAnsi="Calibri Light" w:cs="Calibri Light"/>
                <w:color w:val="000000"/>
                <w:sz w:val="20"/>
                <w:szCs w:val="20"/>
                <w:lang w:eastAsia="en-GB"/>
              </w:rPr>
              <w:t>tt</w:t>
            </w:r>
            <w:r w:rsidR="003C6A5E" w:rsidRPr="00A33AE8">
              <w:rPr>
                <w:rFonts w:ascii="Calibri Light" w:eastAsia="Times New Roman" w:hAnsi="Calibri Light" w:cs="Calibri Light"/>
                <w:color w:val="000000"/>
                <w:sz w:val="20"/>
                <w:szCs w:val="20"/>
                <w:lang w:eastAsia="en-GB"/>
              </w:rPr>
              <w:t>e</w:t>
            </w:r>
            <w:r w:rsidRPr="00A33AE8">
              <w:rPr>
                <w:rFonts w:ascii="Calibri Light" w:eastAsia="Times New Roman" w:hAnsi="Calibri Light" w:cs="Calibri Light"/>
                <w:color w:val="000000"/>
                <w:sz w:val="20"/>
                <w:szCs w:val="20"/>
                <w:lang w:eastAsia="en-GB"/>
              </w:rPr>
              <w:t>r</w:t>
            </w:r>
            <w:r w:rsidR="003C6A5E" w:rsidRPr="00A33AE8">
              <w:rPr>
                <w:rFonts w:ascii="Calibri Light" w:eastAsia="Times New Roman" w:hAnsi="Calibri Light" w:cs="Calibri Light"/>
                <w:color w:val="000000"/>
                <w:sz w:val="20"/>
                <w:szCs w:val="20"/>
                <w:lang w:eastAsia="en-GB"/>
              </w:rPr>
              <w:t>i</w:t>
            </w:r>
            <w:r w:rsidRPr="00A33AE8">
              <w:rPr>
                <w:rFonts w:ascii="Calibri Light" w:eastAsia="Times New Roman" w:hAnsi="Calibri Light" w:cs="Calibri Light"/>
                <w:color w:val="000000"/>
                <w:sz w:val="20"/>
                <w:szCs w:val="20"/>
                <w:lang w:eastAsia="en-GB"/>
              </w:rPr>
              <w:t>es implementation of the net-metering bylaws</w:t>
            </w:r>
            <w:r w:rsidR="00324270">
              <w:rPr>
                <w:rFonts w:ascii="Calibri Light" w:eastAsia="Times New Roman" w:hAnsi="Calibri Light" w:cs="Calibri Light"/>
                <w:color w:val="000000"/>
                <w:sz w:val="20"/>
                <w:szCs w:val="20"/>
                <w:lang w:eastAsia="en-GB"/>
              </w:rPr>
              <w:t>.</w:t>
            </w:r>
            <w:r w:rsidR="00324270" w:rsidRPr="00324270">
              <w:rPr>
                <w:rFonts w:ascii="Calibri Light" w:eastAsia="Times New Roman" w:hAnsi="Calibri Light" w:cs="Calibri Light"/>
                <w:color w:val="000000"/>
                <w:sz w:val="20"/>
                <w:szCs w:val="20"/>
                <w:lang w:eastAsia="en-GB"/>
              </w:rPr>
              <w:t xml:space="preserve"> The introduction of the bylaws for net-metering is already underway.</w:t>
            </w:r>
          </w:p>
        </w:tc>
      </w:tr>
      <w:tr w:rsidR="00AE377B" w:rsidRPr="00A33AE8" w14:paraId="49DE9EAE"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524FFCA7"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1" w:type="dxa"/>
            <w:gridSpan w:val="3"/>
            <w:tcBorders>
              <w:top w:val="single" w:sz="8" w:space="0" w:color="auto"/>
              <w:left w:val="nil"/>
              <w:bottom w:val="single" w:sz="8" w:space="0" w:color="auto"/>
              <w:right w:val="single" w:sz="8" w:space="0" w:color="000000"/>
            </w:tcBorders>
            <w:vAlign w:val="center"/>
            <w:hideMark/>
          </w:tcPr>
          <w:p w14:paraId="619C726D" w14:textId="77777777" w:rsidR="00AE377B" w:rsidRPr="00A33AE8" w:rsidRDefault="00AE377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w:t>
            </w:r>
            <w:r w:rsidR="00324270" w:rsidRPr="00A33AE8">
              <w:rPr>
                <w:rFonts w:ascii="Calibri Light" w:eastAsia="Times New Roman" w:hAnsi="Calibri Light" w:cs="Calibri Light"/>
                <w:color w:val="000000"/>
                <w:sz w:val="20"/>
                <w:szCs w:val="20"/>
                <w:lang w:eastAsia="en-GB"/>
              </w:rPr>
              <w:t>20</w:t>
            </w:r>
            <w:r w:rsidR="00324270">
              <w:rPr>
                <w:rFonts w:ascii="Calibri Light" w:eastAsia="Times New Roman" w:hAnsi="Calibri Light" w:cs="Calibri Light"/>
                <w:color w:val="000000"/>
                <w:sz w:val="20"/>
                <w:szCs w:val="20"/>
                <w:lang w:eastAsia="en-GB"/>
              </w:rPr>
              <w:t>26</w:t>
            </w:r>
          </w:p>
        </w:tc>
      </w:tr>
      <w:tr w:rsidR="00AE377B" w:rsidRPr="00A33AE8" w14:paraId="4D93A90E"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7C7A664E"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1" w:type="dxa"/>
            <w:gridSpan w:val="3"/>
            <w:tcBorders>
              <w:top w:val="single" w:sz="8" w:space="0" w:color="auto"/>
              <w:left w:val="nil"/>
              <w:bottom w:val="single" w:sz="8" w:space="0" w:color="auto"/>
              <w:right w:val="single" w:sz="8" w:space="0" w:color="000000"/>
            </w:tcBorders>
            <w:vAlign w:val="center"/>
            <w:hideMark/>
          </w:tcPr>
          <w:p w14:paraId="7EB3AA27" w14:textId="77777777" w:rsidR="00AE377B" w:rsidRPr="00A33AE8" w:rsidRDefault="009C0323">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AE377B" w:rsidRPr="00A33AE8" w14:paraId="4FAA4916"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34C966E9"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1" w:type="dxa"/>
            <w:gridSpan w:val="3"/>
            <w:tcBorders>
              <w:top w:val="single" w:sz="8" w:space="0" w:color="auto"/>
              <w:left w:val="nil"/>
              <w:bottom w:val="single" w:sz="8" w:space="0" w:color="auto"/>
              <w:right w:val="single" w:sz="8" w:space="0" w:color="000000"/>
            </w:tcBorders>
            <w:vAlign w:val="center"/>
            <w:hideMark/>
          </w:tcPr>
          <w:p w14:paraId="2D7DD6E8" w14:textId="77777777" w:rsidR="00AE377B" w:rsidRPr="00A33AE8" w:rsidRDefault="00AE377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 industrial</w:t>
            </w:r>
          </w:p>
        </w:tc>
      </w:tr>
      <w:tr w:rsidR="003D4955" w:rsidRPr="00A33AE8" w14:paraId="4FD3900A"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52C2C3C8" w14:textId="77777777" w:rsidR="003D4955" w:rsidRPr="00A33AE8" w:rsidRDefault="003D4955" w:rsidP="003D495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14DDB3FD" w14:textId="77777777" w:rsidR="00C2534C" w:rsidRPr="00A33AE8" w:rsidRDefault="003D4955" w:rsidP="00884F3B">
            <w:pPr>
              <w:pStyle w:val="ListParagraph"/>
              <w:numPr>
                <w:ilvl w:val="0"/>
                <w:numId w:val="6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184EACB5" w14:textId="77777777" w:rsidR="00547A88" w:rsidRPr="005B2C66" w:rsidRDefault="00922B09" w:rsidP="00884F3B">
            <w:pPr>
              <w:pStyle w:val="ListParagraph"/>
              <w:numPr>
                <w:ilvl w:val="0"/>
                <w:numId w:val="65"/>
              </w:numPr>
              <w:spacing w:after="0" w:line="240" w:lineRule="auto"/>
              <w:jc w:val="both"/>
              <w:rPr>
                <w:rStyle w:val="cf01"/>
                <w:rFonts w:ascii="Calibri Light" w:eastAsia="Times New Roman" w:hAnsi="Calibri Light" w:cs="Calibri Light"/>
                <w:color w:val="000000"/>
                <w:sz w:val="20"/>
                <w:szCs w:val="20"/>
                <w:lang w:val="pt-PT" w:eastAsia="en-GB"/>
              </w:rPr>
            </w:pPr>
            <w:r w:rsidRPr="005B2C66">
              <w:rPr>
                <w:rStyle w:val="cf01"/>
                <w:lang w:val="pt-PT"/>
              </w:rPr>
              <w:t>Elektrodistribucija Srbije d.o.o. Beograd</w:t>
            </w:r>
          </w:p>
          <w:p w14:paraId="1D444D49" w14:textId="77777777" w:rsidR="003D4955" w:rsidRPr="00A33AE8" w:rsidRDefault="003D4955" w:rsidP="00884F3B">
            <w:pPr>
              <w:pStyle w:val="ListParagraph"/>
              <w:numPr>
                <w:ilvl w:val="0"/>
                <w:numId w:val="6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EMS</w:t>
            </w:r>
          </w:p>
          <w:p w14:paraId="60559F77" w14:textId="77777777" w:rsidR="00925E0A" w:rsidRPr="00A33AE8" w:rsidRDefault="00925E0A" w:rsidP="00884F3B">
            <w:pPr>
              <w:pStyle w:val="ListParagraph"/>
              <w:numPr>
                <w:ilvl w:val="0"/>
                <w:numId w:val="6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EPS</w:t>
            </w:r>
          </w:p>
        </w:tc>
      </w:tr>
      <w:tr w:rsidR="00AE377B" w:rsidRPr="00A33AE8" w14:paraId="1A7FD710" w14:textId="77777777" w:rsidTr="003169F5">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0249BA7C"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6183DB45" w14:textId="77777777" w:rsidR="00AE377B" w:rsidRPr="000007D2" w:rsidRDefault="00AE377B" w:rsidP="00884F3B">
            <w:pPr>
              <w:pStyle w:val="ListParagraph"/>
              <w:numPr>
                <w:ilvl w:val="0"/>
                <w:numId w:val="65"/>
              </w:numPr>
              <w:spacing w:after="0"/>
              <w:ind w:left="714" w:hanging="357"/>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634F6C" w:rsidRPr="00A33AE8">
              <w:rPr>
                <w:rFonts w:ascii="Calibri Light" w:eastAsia="Times New Roman" w:hAnsi="Calibri Light" w:cs="Calibri Light"/>
                <w:color w:val="000000"/>
                <w:sz w:val="20"/>
                <w:szCs w:val="20"/>
                <w:lang w:eastAsia="en-GB"/>
              </w:rPr>
              <w:t>Ministry of Mining and Energy</w:t>
            </w:r>
          </w:p>
        </w:tc>
      </w:tr>
      <w:tr w:rsidR="00AE377B" w:rsidRPr="00A33AE8" w14:paraId="6E5F0638" w14:textId="77777777" w:rsidTr="003169F5">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356A47FF"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1" w:type="dxa"/>
            <w:gridSpan w:val="3"/>
            <w:tcBorders>
              <w:top w:val="single" w:sz="8" w:space="0" w:color="auto"/>
              <w:left w:val="nil"/>
              <w:bottom w:val="single" w:sz="8" w:space="0" w:color="auto"/>
              <w:right w:val="single" w:sz="8" w:space="0" w:color="000000"/>
            </w:tcBorders>
            <w:vAlign w:val="center"/>
            <w:hideMark/>
          </w:tcPr>
          <w:p w14:paraId="4958CA8B" w14:textId="77777777" w:rsidR="00AE377B" w:rsidRPr="00A33AE8" w:rsidRDefault="00953BA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Number of connection applications by “producer-consumer” (prosumer) to the </w:t>
            </w:r>
            <w:r w:rsidR="00922B09" w:rsidRPr="00A33AE8">
              <w:rPr>
                <w:rStyle w:val="cf01"/>
              </w:rPr>
              <w:t>Elektrodistribucija Srbije d.o.o. Beograd EPS</w:t>
            </w:r>
            <w:r w:rsidRPr="00A33AE8">
              <w:rPr>
                <w:rFonts w:ascii="Calibri Light" w:eastAsia="Times New Roman" w:hAnsi="Calibri Light" w:cs="Calibri Light"/>
                <w:color w:val="000000"/>
                <w:sz w:val="20"/>
                <w:szCs w:val="20"/>
                <w:lang w:eastAsia="en-GB"/>
              </w:rPr>
              <w:t xml:space="preserve"> </w:t>
            </w:r>
          </w:p>
        </w:tc>
      </w:tr>
      <w:tr w:rsidR="00A0226E" w:rsidRPr="00A33AE8" w14:paraId="21304475" w14:textId="77777777" w:rsidTr="003169F5">
        <w:trPr>
          <w:gridAfter w:val="1"/>
          <w:wAfter w:w="1212" w:type="dxa"/>
          <w:trHeight w:val="443"/>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4E7E765F"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1" w:type="dxa"/>
            <w:gridSpan w:val="3"/>
            <w:tcBorders>
              <w:top w:val="single" w:sz="8" w:space="0" w:color="auto"/>
              <w:left w:val="nil"/>
              <w:bottom w:val="single" w:sz="8" w:space="0" w:color="auto"/>
              <w:right w:val="single" w:sz="8" w:space="0" w:color="000000"/>
            </w:tcBorders>
            <w:vAlign w:val="center"/>
            <w:hideMark/>
          </w:tcPr>
          <w:p w14:paraId="6490073B" w14:textId="77777777" w:rsidR="00A0226E" w:rsidRPr="00A33AE8" w:rsidRDefault="00A0226E" w:rsidP="00884F3B">
            <w:pPr>
              <w:pStyle w:val="ListParagraph"/>
              <w:numPr>
                <w:ilvl w:val="0"/>
                <w:numId w:val="6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p>
          <w:p w14:paraId="047251C8" w14:textId="77777777" w:rsidR="00324270" w:rsidRDefault="00A0226E" w:rsidP="00884F3B">
            <w:pPr>
              <w:pStyle w:val="ListParagraph"/>
              <w:numPr>
                <w:ilvl w:val="0"/>
                <w:numId w:val="6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Decarbonization</w:t>
            </w:r>
          </w:p>
          <w:p w14:paraId="30B815FC" w14:textId="77777777" w:rsidR="00A0226E" w:rsidRPr="00A33AE8" w:rsidRDefault="00324270" w:rsidP="00884F3B">
            <w:pPr>
              <w:pStyle w:val="ListParagraph"/>
              <w:numPr>
                <w:ilvl w:val="0"/>
                <w:numId w:val="65"/>
              </w:numPr>
              <w:spacing w:after="0" w:line="240" w:lineRule="auto"/>
              <w:jc w:val="both"/>
              <w:rPr>
                <w:rFonts w:ascii="Calibri Light" w:eastAsia="Times New Roman" w:hAnsi="Calibri Light" w:cs="Calibri Light"/>
                <w:color w:val="000000"/>
                <w:sz w:val="20"/>
                <w:szCs w:val="20"/>
                <w:lang w:eastAsia="en-GB"/>
              </w:rPr>
            </w:pPr>
            <w:r w:rsidRPr="00324270">
              <w:rPr>
                <w:rFonts w:ascii="Calibri Light" w:eastAsia="Times New Roman" w:hAnsi="Calibri Light" w:cs="Calibri Light"/>
                <w:color w:val="000000"/>
                <w:sz w:val="20"/>
                <w:szCs w:val="20"/>
                <w:lang w:eastAsia="en-GB"/>
              </w:rPr>
              <w:t>Energy Security</w:t>
            </w:r>
          </w:p>
        </w:tc>
      </w:tr>
      <w:tr w:rsidR="003169F5" w:rsidRPr="00A33AE8" w14:paraId="777B9613" w14:textId="77777777" w:rsidTr="003169F5">
        <w:trPr>
          <w:gridAfter w:val="1"/>
          <w:wAfter w:w="1212" w:type="dxa"/>
          <w:trHeight w:val="450"/>
        </w:trPr>
        <w:tc>
          <w:tcPr>
            <w:tcW w:w="3287" w:type="dxa"/>
            <w:vMerge w:val="restart"/>
            <w:tcBorders>
              <w:top w:val="nil"/>
              <w:left w:val="single" w:sz="8" w:space="0" w:color="auto"/>
              <w:bottom w:val="single" w:sz="8" w:space="0" w:color="000000"/>
              <w:right w:val="single" w:sz="8" w:space="0" w:color="auto"/>
            </w:tcBorders>
            <w:shd w:val="clear" w:color="auto" w:fill="244062"/>
            <w:vAlign w:val="center"/>
            <w:hideMark/>
          </w:tcPr>
          <w:p w14:paraId="53BF0329"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61E920BF" w14:textId="77777777" w:rsidR="003169F5" w:rsidRPr="00A33AE8" w:rsidRDefault="003169F5"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479A2BF5" w14:textId="77777777" w:rsidR="003169F5" w:rsidRPr="00A33AE8" w:rsidRDefault="003169F5"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0095376A" w14:textId="77777777" w:rsidR="003169F5" w:rsidRPr="00A33AE8" w:rsidRDefault="003169F5"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3169F5" w:rsidRPr="00A33AE8" w14:paraId="3A1FF8B0" w14:textId="77777777" w:rsidTr="003169F5">
        <w:trPr>
          <w:trHeight w:val="300"/>
        </w:trPr>
        <w:tc>
          <w:tcPr>
            <w:tcW w:w="0" w:type="auto"/>
            <w:vMerge/>
            <w:tcBorders>
              <w:top w:val="nil"/>
              <w:left w:val="single" w:sz="8" w:space="0" w:color="auto"/>
              <w:bottom w:val="single" w:sz="8" w:space="0" w:color="000000"/>
              <w:right w:val="single" w:sz="8" w:space="0" w:color="auto"/>
            </w:tcBorders>
            <w:vAlign w:val="center"/>
            <w:hideMark/>
          </w:tcPr>
          <w:p w14:paraId="5B395C6D" w14:textId="77777777" w:rsidR="003169F5" w:rsidRPr="00A33AE8" w:rsidRDefault="003169F5" w:rsidP="003169F5">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429B9AD6" w14:textId="77777777" w:rsidR="003169F5" w:rsidRPr="00A33AE8" w:rsidRDefault="003169F5" w:rsidP="003169F5">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68FEA64" w14:textId="77777777" w:rsidR="003169F5" w:rsidRPr="00A33AE8" w:rsidRDefault="003169F5" w:rsidP="003169F5"/>
        </w:tc>
      </w:tr>
      <w:tr w:rsidR="003169F5" w:rsidRPr="00A33AE8" w14:paraId="43DD14D1" w14:textId="77777777" w:rsidTr="003169F5">
        <w:trPr>
          <w:trHeight w:val="315"/>
        </w:trPr>
        <w:tc>
          <w:tcPr>
            <w:tcW w:w="0" w:type="auto"/>
            <w:vMerge/>
            <w:tcBorders>
              <w:top w:val="nil"/>
              <w:left w:val="single" w:sz="8" w:space="0" w:color="auto"/>
              <w:bottom w:val="single" w:sz="8" w:space="0" w:color="000000"/>
              <w:right w:val="single" w:sz="8" w:space="0" w:color="auto"/>
            </w:tcBorders>
            <w:vAlign w:val="center"/>
            <w:hideMark/>
          </w:tcPr>
          <w:p w14:paraId="7794432A" w14:textId="77777777" w:rsidR="003169F5" w:rsidRPr="00A33AE8" w:rsidRDefault="003169F5" w:rsidP="003169F5">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0DE18A30" w14:textId="77777777" w:rsidR="003169F5" w:rsidRPr="00A33AE8" w:rsidRDefault="003169F5" w:rsidP="003169F5">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07F0485" w14:textId="77777777" w:rsidR="003169F5" w:rsidRPr="00A33AE8" w:rsidRDefault="003169F5" w:rsidP="003169F5">
            <w:pPr>
              <w:spacing w:after="0" w:line="256" w:lineRule="auto"/>
              <w:rPr>
                <w:sz w:val="20"/>
                <w:szCs w:val="20"/>
                <w:lang w:eastAsia="en-GB"/>
              </w:rPr>
            </w:pPr>
          </w:p>
        </w:tc>
      </w:tr>
      <w:tr w:rsidR="003169F5" w:rsidRPr="00A33AE8" w14:paraId="18F4ED18" w14:textId="77777777" w:rsidTr="003169F5">
        <w:trPr>
          <w:trHeight w:val="780"/>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374801A"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1" w:type="dxa"/>
            <w:gridSpan w:val="3"/>
            <w:tcBorders>
              <w:top w:val="single" w:sz="8" w:space="0" w:color="auto"/>
              <w:left w:val="nil"/>
              <w:bottom w:val="single" w:sz="8" w:space="0" w:color="auto"/>
              <w:right w:val="single" w:sz="8" w:space="0" w:color="000000"/>
            </w:tcBorders>
            <w:vAlign w:val="center"/>
            <w:hideMark/>
          </w:tcPr>
          <w:p w14:paraId="776327AE" w14:textId="77777777" w:rsidR="003169F5" w:rsidRPr="00A33AE8" w:rsidRDefault="003169F5"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p w14:paraId="31F62DEE" w14:textId="77777777" w:rsidR="003169F5" w:rsidRPr="00A33AE8" w:rsidRDefault="003169F5"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RES</w:t>
            </w:r>
          </w:p>
          <w:p w14:paraId="4C4CD6B5" w14:textId="77777777" w:rsidR="00892C41" w:rsidRPr="00A33AE8" w:rsidRDefault="00892C41"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Decree on criteria, conditions and manner of calculation of receivables and liabilities between prosumers and suppliers</w:t>
            </w:r>
            <w:r w:rsidRPr="00A33AE8">
              <w:rPr>
                <w:rStyle w:val="FootnoteReference"/>
                <w:rFonts w:ascii="Calibri Light" w:eastAsia="Times New Roman" w:hAnsi="Calibri Light" w:cs="Calibri Light"/>
                <w:color w:val="000000"/>
                <w:sz w:val="20"/>
                <w:szCs w:val="20"/>
                <w:lang w:eastAsia="en-GB"/>
              </w:rPr>
              <w:footnoteReference w:id="118"/>
            </w:r>
          </w:p>
          <w:p w14:paraId="3AD5B007" w14:textId="77777777" w:rsidR="00892C41" w:rsidRPr="00A33AE8" w:rsidRDefault="00892C41"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calculation of the RES share</w:t>
            </w:r>
            <w:r w:rsidRPr="00A33AE8">
              <w:rPr>
                <w:rStyle w:val="FootnoteReference"/>
                <w:rFonts w:ascii="Calibri Light" w:eastAsia="Times New Roman" w:hAnsi="Calibri Light" w:cs="Calibri Light"/>
                <w:color w:val="000000"/>
                <w:sz w:val="20"/>
                <w:szCs w:val="20"/>
                <w:lang w:eastAsia="en-GB"/>
              </w:rPr>
              <w:footnoteReference w:id="119"/>
            </w:r>
          </w:p>
          <w:p w14:paraId="32CEC0F4" w14:textId="77777777" w:rsidR="00892C41" w:rsidRPr="00A33AE8" w:rsidRDefault="00892C41" w:rsidP="00884F3B">
            <w:pPr>
              <w:pStyle w:val="ListParagraph"/>
              <w:numPr>
                <w:ilvl w:val="0"/>
                <w:numId w:val="6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Rulebook on the Method of Calculation and Showing all shares of energy sources in sold electricity</w:t>
            </w:r>
            <w:r w:rsidRPr="00A33AE8">
              <w:rPr>
                <w:rStyle w:val="FootnoteReference"/>
                <w:rFonts w:ascii="Calibri Light" w:eastAsia="Times New Roman" w:hAnsi="Calibri Light" w:cs="Calibri Light"/>
                <w:color w:val="000000"/>
                <w:sz w:val="20"/>
                <w:szCs w:val="20"/>
                <w:lang w:eastAsia="en-GB"/>
              </w:rPr>
              <w:footnoteReference w:id="120"/>
            </w:r>
          </w:p>
        </w:tc>
        <w:tc>
          <w:tcPr>
            <w:tcW w:w="1212" w:type="dxa"/>
            <w:vAlign w:val="center"/>
            <w:hideMark/>
          </w:tcPr>
          <w:p w14:paraId="40CD2443" w14:textId="77777777" w:rsidR="003169F5" w:rsidRPr="00A33AE8" w:rsidRDefault="003169F5" w:rsidP="003169F5">
            <w:pPr>
              <w:rPr>
                <w:rFonts w:ascii="Calibri Light" w:eastAsia="Times New Roman" w:hAnsi="Calibri Light" w:cs="Calibri Light"/>
                <w:color w:val="000000"/>
                <w:sz w:val="20"/>
                <w:szCs w:val="20"/>
                <w:lang w:eastAsia="en-GB"/>
              </w:rPr>
            </w:pPr>
          </w:p>
        </w:tc>
      </w:tr>
      <w:tr w:rsidR="009C0323" w:rsidRPr="00A33AE8" w14:paraId="27F0EBA5" w14:textId="77777777" w:rsidTr="003169F5">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7386187" w14:textId="77777777" w:rsidR="009C0323" w:rsidRPr="00A33AE8" w:rsidRDefault="009C0323" w:rsidP="009C0323">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1" w:type="dxa"/>
            <w:gridSpan w:val="3"/>
            <w:tcBorders>
              <w:top w:val="single" w:sz="8" w:space="0" w:color="auto"/>
              <w:left w:val="nil"/>
              <w:bottom w:val="single" w:sz="8" w:space="0" w:color="auto"/>
              <w:right w:val="single" w:sz="8" w:space="0" w:color="000000"/>
            </w:tcBorders>
            <w:vAlign w:val="center"/>
            <w:hideMark/>
          </w:tcPr>
          <w:p w14:paraId="1902272D" w14:textId="77777777" w:rsidR="009C0323" w:rsidRPr="00A33AE8" w:rsidRDefault="009C0323" w:rsidP="009C0323">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02A5A67E" w14:textId="77777777" w:rsidR="009C0323" w:rsidRPr="00A33AE8" w:rsidRDefault="009C0323" w:rsidP="009C0323">
            <w:pPr>
              <w:rPr>
                <w:rFonts w:ascii="Calibri" w:eastAsia="Times New Roman" w:hAnsi="Calibri" w:cs="Calibri"/>
                <w:color w:val="000000"/>
                <w:lang w:eastAsia="en-GB"/>
              </w:rPr>
            </w:pPr>
          </w:p>
        </w:tc>
      </w:tr>
      <w:tr w:rsidR="004F1D9E" w:rsidRPr="00A33AE8" w14:paraId="543BCBB5" w14:textId="77777777" w:rsidTr="003169F5">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08CD170"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1" w:type="dxa"/>
            <w:gridSpan w:val="3"/>
            <w:tcBorders>
              <w:top w:val="single" w:sz="8" w:space="0" w:color="auto"/>
              <w:left w:val="nil"/>
              <w:bottom w:val="single" w:sz="8" w:space="0" w:color="auto"/>
              <w:right w:val="single" w:sz="8" w:space="0" w:color="000000"/>
            </w:tcBorders>
            <w:vAlign w:val="center"/>
            <w:hideMark/>
          </w:tcPr>
          <w:p w14:paraId="154BA4E2"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12013ADC" w14:textId="77777777" w:rsidR="004F1D9E" w:rsidRPr="00A33AE8" w:rsidRDefault="004F1D9E" w:rsidP="004F1D9E">
            <w:pPr>
              <w:rPr>
                <w:rFonts w:ascii="Calibri" w:eastAsia="Times New Roman" w:hAnsi="Calibri" w:cs="Calibri"/>
                <w:color w:val="000000"/>
                <w:lang w:eastAsia="en-GB"/>
              </w:rPr>
            </w:pPr>
          </w:p>
        </w:tc>
      </w:tr>
    </w:tbl>
    <w:p w14:paraId="1502CB07"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87"/>
        <w:gridCol w:w="1106"/>
        <w:gridCol w:w="934"/>
        <w:gridCol w:w="4161"/>
        <w:gridCol w:w="1212"/>
      </w:tblGrid>
      <w:tr w:rsidR="00AE377B" w:rsidRPr="00A33AE8" w14:paraId="7204D317" w14:textId="77777777" w:rsidTr="003169F5">
        <w:trPr>
          <w:gridAfter w:val="1"/>
          <w:wAfter w:w="1212" w:type="dxa"/>
          <w:trHeight w:val="780"/>
        </w:trPr>
        <w:tc>
          <w:tcPr>
            <w:tcW w:w="328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7339114"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00517553"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8</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500EA873"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D611F91"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Development of the regulatory framework for the operation of the “electricity storage” (Article 169 </w:t>
            </w:r>
            <w:r w:rsidRPr="00A33AE8">
              <w:rPr>
                <w:rFonts w:ascii="Calibri Light" w:eastAsia="Times New Roman" w:hAnsi="Calibri Light" w:cs="Calibri Light"/>
                <w:b/>
                <w:bCs/>
                <w:color w:val="000000"/>
                <w:sz w:val="20"/>
                <w:szCs w:val="20"/>
                <w:lang w:eastAsia="en-GB"/>
              </w:rPr>
              <w:lastRenderedPageBreak/>
              <w:t>in accordance to the amendments of the Energy Law)</w:t>
            </w:r>
          </w:p>
        </w:tc>
      </w:tr>
      <w:tr w:rsidR="00AE377B" w:rsidRPr="00A33AE8" w14:paraId="67DCF515" w14:textId="77777777" w:rsidTr="003169F5">
        <w:trPr>
          <w:gridAfter w:val="1"/>
          <w:wAfter w:w="1212" w:type="dxa"/>
          <w:trHeight w:val="960"/>
        </w:trPr>
        <w:tc>
          <w:tcPr>
            <w:tcW w:w="3287" w:type="dxa"/>
            <w:tcBorders>
              <w:top w:val="nil"/>
              <w:left w:val="single" w:sz="8" w:space="0" w:color="auto"/>
              <w:bottom w:val="single" w:sz="8" w:space="0" w:color="auto"/>
              <w:right w:val="nil"/>
            </w:tcBorders>
            <w:shd w:val="clear" w:color="auto" w:fill="244062"/>
            <w:vAlign w:val="center"/>
            <w:hideMark/>
          </w:tcPr>
          <w:p w14:paraId="3E231C41"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201" w:type="dxa"/>
            <w:gridSpan w:val="3"/>
            <w:tcBorders>
              <w:top w:val="single" w:sz="8" w:space="0" w:color="auto"/>
              <w:left w:val="nil"/>
              <w:bottom w:val="single" w:sz="8" w:space="0" w:color="auto"/>
              <w:right w:val="single" w:sz="8" w:space="0" w:color="000000"/>
            </w:tcBorders>
            <w:vAlign w:val="center"/>
          </w:tcPr>
          <w:p w14:paraId="63FFD00A" w14:textId="0258C138" w:rsidR="00AE377B" w:rsidRPr="00A33AE8" w:rsidRDefault="00953BAB">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D809E2">
              <w:rPr>
                <w:rFonts w:asciiTheme="majorHAnsi" w:eastAsia="Times New Roman" w:hAnsiTheme="majorHAnsi" w:cstheme="majorHAnsi"/>
                <w:color w:val="000000"/>
                <w:sz w:val="20"/>
                <w:szCs w:val="20"/>
                <w:lang w:eastAsia="en-GB"/>
              </w:rPr>
              <w:t>.</w:t>
            </w:r>
          </w:p>
        </w:tc>
      </w:tr>
      <w:tr w:rsidR="00AE377B" w:rsidRPr="00A33AE8" w14:paraId="0DD3E265"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22B32496"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1" w:type="dxa"/>
            <w:gridSpan w:val="3"/>
            <w:tcBorders>
              <w:top w:val="single" w:sz="8" w:space="0" w:color="auto"/>
              <w:left w:val="nil"/>
              <w:bottom w:val="single" w:sz="8" w:space="0" w:color="auto"/>
              <w:right w:val="single" w:sz="8" w:space="0" w:color="000000"/>
            </w:tcBorders>
            <w:vAlign w:val="center"/>
          </w:tcPr>
          <w:p w14:paraId="4D8F4EEE" w14:textId="77777777" w:rsidR="00AE377B" w:rsidRPr="00A33AE8" w:rsidRDefault="00953BAB">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Increased quality of supply indicators, deployment smart grids, aggregation, demand response services as well as storage and distributed generation</w:t>
            </w:r>
          </w:p>
        </w:tc>
      </w:tr>
      <w:tr w:rsidR="003169F5" w:rsidRPr="00A33AE8" w14:paraId="0B857D02" w14:textId="77777777" w:rsidTr="001B47D8">
        <w:trPr>
          <w:gridAfter w:val="1"/>
          <w:wAfter w:w="1212" w:type="dxa"/>
          <w:trHeight w:val="443"/>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4A0FFAE"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1" w:type="dxa"/>
            <w:gridSpan w:val="3"/>
            <w:tcBorders>
              <w:top w:val="single" w:sz="8" w:space="0" w:color="auto"/>
              <w:left w:val="nil"/>
              <w:bottom w:val="single" w:sz="8" w:space="0" w:color="auto"/>
              <w:right w:val="single" w:sz="8" w:space="0" w:color="000000"/>
            </w:tcBorders>
            <w:vAlign w:val="center"/>
            <w:hideMark/>
          </w:tcPr>
          <w:p w14:paraId="7F7D7885" w14:textId="77777777" w:rsidR="003169F5" w:rsidRPr="00A33AE8" w:rsidRDefault="003169F5" w:rsidP="003169F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PM_IEM18 regards the regulatory framework of electricity storage as a whole. The European CEP, approved in May 2019, allows transmission and distribution operators to own and operate storage only under exceptional circumstances, which have yet to be codified in national legislation. Electricity storage can provide services to electricity grids, including transmission and distribution deferral, together with flexibility and energy and capacity services in balancing markets.</w:t>
            </w:r>
          </w:p>
        </w:tc>
      </w:tr>
      <w:tr w:rsidR="003169F5" w:rsidRPr="00A33AE8" w14:paraId="59A3FA72"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B195E6A"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1" w:type="dxa"/>
            <w:gridSpan w:val="3"/>
            <w:tcBorders>
              <w:top w:val="single" w:sz="8" w:space="0" w:color="auto"/>
              <w:left w:val="nil"/>
              <w:bottom w:val="single" w:sz="8" w:space="0" w:color="auto"/>
              <w:right w:val="single" w:sz="8" w:space="0" w:color="000000"/>
            </w:tcBorders>
            <w:vAlign w:val="center"/>
            <w:hideMark/>
          </w:tcPr>
          <w:p w14:paraId="3747D430" w14:textId="77777777" w:rsidR="003169F5" w:rsidRPr="00A33AE8" w:rsidRDefault="003169F5" w:rsidP="003169F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9F5" w:rsidRPr="00A33AE8" w14:paraId="18F6E79F"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2CBCC6C"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1" w:type="dxa"/>
            <w:gridSpan w:val="3"/>
            <w:tcBorders>
              <w:top w:val="single" w:sz="8" w:space="0" w:color="auto"/>
              <w:left w:val="nil"/>
              <w:bottom w:val="single" w:sz="8" w:space="0" w:color="auto"/>
              <w:right w:val="single" w:sz="8" w:space="0" w:color="000000"/>
            </w:tcBorders>
            <w:vAlign w:val="center"/>
            <w:hideMark/>
          </w:tcPr>
          <w:p w14:paraId="5F6DF904" w14:textId="77777777" w:rsidR="003169F5" w:rsidRPr="00A33AE8" w:rsidRDefault="00910552" w:rsidP="003169F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169F5" w:rsidRPr="00A33AE8" w14:paraId="530D87AC"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53208F16"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1" w:type="dxa"/>
            <w:gridSpan w:val="3"/>
            <w:tcBorders>
              <w:top w:val="single" w:sz="8" w:space="0" w:color="auto"/>
              <w:left w:val="nil"/>
              <w:bottom w:val="single" w:sz="8" w:space="0" w:color="auto"/>
              <w:right w:val="single" w:sz="8" w:space="0" w:color="000000"/>
            </w:tcBorders>
            <w:vAlign w:val="center"/>
            <w:hideMark/>
          </w:tcPr>
          <w:p w14:paraId="231E0E0B" w14:textId="77777777" w:rsidR="003169F5" w:rsidRPr="00A33AE8" w:rsidRDefault="003169F5" w:rsidP="003169F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 industrial</w:t>
            </w:r>
          </w:p>
        </w:tc>
      </w:tr>
      <w:tr w:rsidR="003169F5" w:rsidRPr="00A33AE8" w14:paraId="21B7D77F" w14:textId="77777777" w:rsidTr="003169F5">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491ABCDB"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21CC0290" w14:textId="77777777" w:rsidR="00C2534C" w:rsidRPr="00A33AE8" w:rsidRDefault="003169F5"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p w14:paraId="2A8B2275" w14:textId="77777777" w:rsidR="00C2534C" w:rsidRPr="00A33AE8" w:rsidRDefault="003169F5"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6B5BBAB" w14:textId="77777777" w:rsidR="00C2534C" w:rsidRPr="00A33AE8" w:rsidRDefault="003169F5"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ЕMS</w:t>
            </w:r>
          </w:p>
          <w:p w14:paraId="74ED6ECD" w14:textId="77777777" w:rsidR="00C2534C" w:rsidRPr="00A33AE8" w:rsidRDefault="003169F5"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Distribution System Operator</w:t>
            </w:r>
            <w:r w:rsidR="002E4735" w:rsidRPr="00A33AE8">
              <w:rPr>
                <w:rFonts w:ascii="Calibri Light" w:eastAsia="Times New Roman" w:hAnsi="Calibri Light" w:cs="Calibri Light"/>
                <w:color w:val="000000"/>
                <w:sz w:val="20"/>
                <w:szCs w:val="20"/>
                <w:lang w:eastAsia="en-GB"/>
              </w:rPr>
              <w:t xml:space="preserve"> EDS</w:t>
            </w:r>
          </w:p>
          <w:p w14:paraId="53C0ACF3" w14:textId="21F92E3A" w:rsidR="003169F5" w:rsidRPr="00A33AE8" w:rsidRDefault="003169F5"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EPS</w:t>
            </w:r>
          </w:p>
        </w:tc>
      </w:tr>
      <w:tr w:rsidR="003169F5" w:rsidRPr="00A33AE8" w14:paraId="52972B73" w14:textId="77777777" w:rsidTr="003169F5">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24D2E839"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4A239851" w14:textId="77777777" w:rsidR="003169F5" w:rsidRPr="000007D2" w:rsidRDefault="003169F5" w:rsidP="00884F3B">
            <w:pPr>
              <w:pStyle w:val="ListParagraph"/>
              <w:numPr>
                <w:ilvl w:val="0"/>
                <w:numId w:val="68"/>
              </w:numPr>
              <w:spacing w:after="0"/>
              <w:ind w:left="714" w:hanging="357"/>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EB09C5" w:rsidRPr="00A33AE8">
              <w:rPr>
                <w:rFonts w:ascii="Calibri Light" w:eastAsia="Times New Roman" w:hAnsi="Calibri Light" w:cs="Calibri Light"/>
                <w:color w:val="000000"/>
                <w:sz w:val="20"/>
                <w:szCs w:val="20"/>
                <w:lang w:eastAsia="en-GB"/>
              </w:rPr>
              <w:t>Ministry of Mining and Energy</w:t>
            </w:r>
          </w:p>
        </w:tc>
      </w:tr>
      <w:tr w:rsidR="003169F5" w:rsidRPr="00A33AE8" w14:paraId="7BBD5B5D" w14:textId="77777777" w:rsidTr="003169F5">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0C6AB452"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1" w:type="dxa"/>
            <w:gridSpan w:val="3"/>
            <w:tcBorders>
              <w:top w:val="single" w:sz="8" w:space="0" w:color="auto"/>
              <w:left w:val="nil"/>
              <w:bottom w:val="single" w:sz="8" w:space="0" w:color="auto"/>
              <w:right w:val="single" w:sz="8" w:space="0" w:color="000000"/>
            </w:tcBorders>
            <w:vAlign w:val="center"/>
            <w:hideMark/>
          </w:tcPr>
          <w:p w14:paraId="74946396" w14:textId="77777777" w:rsidR="003169F5" w:rsidRPr="00A33AE8" w:rsidRDefault="00953BAB" w:rsidP="003169F5">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Storage capacity (MWh) added at both the transmission </w:t>
            </w:r>
            <w:r w:rsidR="00C96A78" w:rsidRPr="00A33AE8">
              <w:rPr>
                <w:rFonts w:ascii="Calibri Light" w:eastAsia="Times New Roman" w:hAnsi="Calibri Light" w:cs="Calibri Light"/>
                <w:color w:val="000000"/>
                <w:sz w:val="20"/>
                <w:szCs w:val="20"/>
                <w:lang w:eastAsia="en-GB"/>
              </w:rPr>
              <w:t>and distribution</w:t>
            </w:r>
            <w:r w:rsidR="00F17CD3" w:rsidRPr="00A33AE8">
              <w:rPr>
                <w:rFonts w:ascii="Calibri Light" w:eastAsia="Times New Roman" w:hAnsi="Calibri Light" w:cs="Calibri Light"/>
                <w:color w:val="000000"/>
                <w:sz w:val="20"/>
                <w:szCs w:val="20"/>
                <w:lang w:eastAsia="en-GB"/>
              </w:rPr>
              <w:t xml:space="preserve"> grids as well as behind the meter.</w:t>
            </w:r>
          </w:p>
        </w:tc>
      </w:tr>
      <w:tr w:rsidR="00A0226E" w:rsidRPr="00A33AE8" w14:paraId="471C343F" w14:textId="77777777" w:rsidTr="003169F5">
        <w:trPr>
          <w:gridAfter w:val="1"/>
          <w:wAfter w:w="1212" w:type="dxa"/>
          <w:trHeight w:val="482"/>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2A66F1F4"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1" w:type="dxa"/>
            <w:gridSpan w:val="3"/>
            <w:tcBorders>
              <w:top w:val="single" w:sz="8" w:space="0" w:color="auto"/>
              <w:left w:val="nil"/>
              <w:bottom w:val="single" w:sz="8" w:space="0" w:color="auto"/>
              <w:right w:val="single" w:sz="8" w:space="0" w:color="000000"/>
            </w:tcBorders>
            <w:vAlign w:val="center"/>
            <w:hideMark/>
          </w:tcPr>
          <w:p w14:paraId="4A5CD829" w14:textId="77777777" w:rsidR="00324270" w:rsidRPr="00324270" w:rsidRDefault="00A0226E"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p w14:paraId="66DD7169" w14:textId="77777777" w:rsidR="00324270" w:rsidRPr="00324270" w:rsidRDefault="00324270"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324270">
              <w:rPr>
                <w:rFonts w:ascii="Calibri Light" w:eastAsia="Times New Roman" w:hAnsi="Calibri Light" w:cs="Calibri Light"/>
                <w:color w:val="000000"/>
                <w:sz w:val="20"/>
                <w:szCs w:val="20"/>
                <w:lang w:eastAsia="en-GB"/>
              </w:rPr>
              <w:t>Decarbonisation</w:t>
            </w:r>
          </w:p>
          <w:p w14:paraId="5854C526" w14:textId="77777777" w:rsidR="00A0226E" w:rsidRPr="00A33AE8" w:rsidRDefault="00324270" w:rsidP="00884F3B">
            <w:pPr>
              <w:pStyle w:val="ListParagraph"/>
              <w:numPr>
                <w:ilvl w:val="0"/>
                <w:numId w:val="68"/>
              </w:numPr>
              <w:spacing w:after="0" w:line="240" w:lineRule="auto"/>
              <w:jc w:val="both"/>
              <w:rPr>
                <w:rFonts w:ascii="Calibri Light" w:eastAsia="Times New Roman" w:hAnsi="Calibri Light" w:cs="Calibri Light"/>
                <w:color w:val="000000"/>
                <w:sz w:val="20"/>
                <w:szCs w:val="20"/>
                <w:lang w:eastAsia="en-GB"/>
              </w:rPr>
            </w:pPr>
            <w:r w:rsidRPr="00324270">
              <w:rPr>
                <w:rFonts w:ascii="Calibri Light" w:eastAsia="Times New Roman" w:hAnsi="Calibri Light" w:cs="Calibri Light"/>
                <w:color w:val="000000"/>
                <w:sz w:val="20"/>
                <w:szCs w:val="20"/>
                <w:lang w:eastAsia="en-GB"/>
              </w:rPr>
              <w:t>Energy Efficiency</w:t>
            </w:r>
          </w:p>
        </w:tc>
      </w:tr>
      <w:tr w:rsidR="003169F5" w:rsidRPr="00A33AE8" w14:paraId="4A65F949" w14:textId="77777777" w:rsidTr="003169F5">
        <w:trPr>
          <w:gridAfter w:val="1"/>
          <w:wAfter w:w="1212" w:type="dxa"/>
          <w:trHeight w:val="450"/>
        </w:trPr>
        <w:tc>
          <w:tcPr>
            <w:tcW w:w="3287" w:type="dxa"/>
            <w:vMerge w:val="restart"/>
            <w:tcBorders>
              <w:top w:val="nil"/>
              <w:left w:val="single" w:sz="8" w:space="0" w:color="auto"/>
              <w:bottom w:val="single" w:sz="8" w:space="0" w:color="000000"/>
              <w:right w:val="single" w:sz="8" w:space="0" w:color="auto"/>
            </w:tcBorders>
            <w:shd w:val="clear" w:color="auto" w:fill="244062"/>
            <w:vAlign w:val="center"/>
            <w:hideMark/>
          </w:tcPr>
          <w:p w14:paraId="200D2EE1"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34CC26FC" w14:textId="77777777" w:rsidR="003169F5" w:rsidRPr="00A33AE8" w:rsidRDefault="003169F5"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170062B2" w14:textId="77777777" w:rsidR="003169F5" w:rsidRPr="00A33AE8" w:rsidRDefault="003169F5"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04D715A4" w14:textId="77777777" w:rsidR="003169F5" w:rsidRPr="00A33AE8" w:rsidRDefault="003169F5"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3169F5" w:rsidRPr="00A33AE8" w14:paraId="2B25E326" w14:textId="77777777" w:rsidTr="003169F5">
        <w:trPr>
          <w:trHeight w:val="300"/>
        </w:trPr>
        <w:tc>
          <w:tcPr>
            <w:tcW w:w="0" w:type="auto"/>
            <w:vMerge/>
            <w:tcBorders>
              <w:top w:val="nil"/>
              <w:left w:val="single" w:sz="8" w:space="0" w:color="auto"/>
              <w:bottom w:val="single" w:sz="8" w:space="0" w:color="000000"/>
              <w:right w:val="single" w:sz="8" w:space="0" w:color="auto"/>
            </w:tcBorders>
            <w:vAlign w:val="center"/>
            <w:hideMark/>
          </w:tcPr>
          <w:p w14:paraId="45195503" w14:textId="77777777" w:rsidR="003169F5" w:rsidRPr="00A33AE8" w:rsidRDefault="003169F5" w:rsidP="003169F5">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77DF38B7" w14:textId="77777777" w:rsidR="003169F5" w:rsidRPr="00A33AE8" w:rsidRDefault="003169F5" w:rsidP="003169F5">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98FC282" w14:textId="77777777" w:rsidR="003169F5" w:rsidRPr="00A33AE8" w:rsidRDefault="003169F5" w:rsidP="003169F5"/>
        </w:tc>
      </w:tr>
      <w:tr w:rsidR="003169F5" w:rsidRPr="00A33AE8" w14:paraId="0383A979" w14:textId="77777777" w:rsidTr="003169F5">
        <w:trPr>
          <w:trHeight w:val="315"/>
        </w:trPr>
        <w:tc>
          <w:tcPr>
            <w:tcW w:w="0" w:type="auto"/>
            <w:vMerge/>
            <w:tcBorders>
              <w:top w:val="nil"/>
              <w:left w:val="single" w:sz="8" w:space="0" w:color="auto"/>
              <w:bottom w:val="single" w:sz="8" w:space="0" w:color="000000"/>
              <w:right w:val="single" w:sz="8" w:space="0" w:color="auto"/>
            </w:tcBorders>
            <w:vAlign w:val="center"/>
            <w:hideMark/>
          </w:tcPr>
          <w:p w14:paraId="6787EE30" w14:textId="77777777" w:rsidR="003169F5" w:rsidRPr="00A33AE8" w:rsidRDefault="003169F5" w:rsidP="003169F5">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64C988EB" w14:textId="77777777" w:rsidR="003169F5" w:rsidRPr="00A33AE8" w:rsidRDefault="003169F5" w:rsidP="003169F5">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2968547" w14:textId="77777777" w:rsidR="003169F5" w:rsidRPr="00A33AE8" w:rsidRDefault="003169F5" w:rsidP="003169F5">
            <w:pPr>
              <w:spacing w:after="0" w:line="256" w:lineRule="auto"/>
              <w:rPr>
                <w:sz w:val="20"/>
                <w:szCs w:val="20"/>
                <w:lang w:eastAsia="en-GB"/>
              </w:rPr>
            </w:pPr>
          </w:p>
        </w:tc>
      </w:tr>
      <w:tr w:rsidR="003169F5" w:rsidRPr="00A33AE8" w14:paraId="04B4C7CF" w14:textId="77777777" w:rsidTr="003169F5">
        <w:trPr>
          <w:trHeight w:val="548"/>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D092EAB" w14:textId="77777777" w:rsidR="003169F5" w:rsidRPr="00A33AE8" w:rsidRDefault="003169F5" w:rsidP="003169F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1" w:type="dxa"/>
            <w:gridSpan w:val="3"/>
            <w:tcBorders>
              <w:top w:val="single" w:sz="8" w:space="0" w:color="auto"/>
              <w:left w:val="nil"/>
              <w:bottom w:val="single" w:sz="8" w:space="0" w:color="auto"/>
              <w:right w:val="single" w:sz="8" w:space="0" w:color="000000"/>
            </w:tcBorders>
            <w:vAlign w:val="center"/>
            <w:hideMark/>
          </w:tcPr>
          <w:p w14:paraId="14503A4E" w14:textId="77777777" w:rsidR="003169F5" w:rsidRPr="00A33AE8" w:rsidRDefault="003169F5" w:rsidP="00884F3B">
            <w:pPr>
              <w:pStyle w:val="ListParagraph"/>
              <w:numPr>
                <w:ilvl w:val="0"/>
                <w:numId w:val="6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1212" w:type="dxa"/>
            <w:vAlign w:val="center"/>
            <w:hideMark/>
          </w:tcPr>
          <w:p w14:paraId="64D97044" w14:textId="77777777" w:rsidR="003169F5" w:rsidRPr="00A33AE8" w:rsidRDefault="003169F5" w:rsidP="003169F5">
            <w:pPr>
              <w:rPr>
                <w:rFonts w:ascii="Calibri Light" w:eastAsia="Times New Roman" w:hAnsi="Calibri Light" w:cs="Calibri Light"/>
                <w:color w:val="000000"/>
                <w:sz w:val="20"/>
                <w:szCs w:val="20"/>
                <w:lang w:eastAsia="en-GB"/>
              </w:rPr>
            </w:pPr>
          </w:p>
        </w:tc>
      </w:tr>
      <w:tr w:rsidR="00910552" w:rsidRPr="00A33AE8" w14:paraId="63036F7D" w14:textId="77777777" w:rsidTr="003169F5">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26620147"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1" w:type="dxa"/>
            <w:gridSpan w:val="3"/>
            <w:tcBorders>
              <w:top w:val="single" w:sz="8" w:space="0" w:color="auto"/>
              <w:left w:val="nil"/>
              <w:bottom w:val="single" w:sz="8" w:space="0" w:color="auto"/>
              <w:right w:val="single" w:sz="8" w:space="0" w:color="000000"/>
            </w:tcBorders>
            <w:vAlign w:val="center"/>
            <w:hideMark/>
          </w:tcPr>
          <w:p w14:paraId="18D7D9A9"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2BC5EC35" w14:textId="77777777" w:rsidR="00910552" w:rsidRPr="00A33AE8" w:rsidRDefault="00910552" w:rsidP="00910552">
            <w:pPr>
              <w:rPr>
                <w:rFonts w:ascii="Calibri" w:eastAsia="Times New Roman" w:hAnsi="Calibri" w:cs="Calibri"/>
                <w:color w:val="000000"/>
                <w:lang w:eastAsia="en-GB"/>
              </w:rPr>
            </w:pPr>
          </w:p>
        </w:tc>
      </w:tr>
      <w:tr w:rsidR="004F1D9E" w:rsidRPr="00A33AE8" w14:paraId="68A7400E" w14:textId="77777777" w:rsidTr="003169F5">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5D8FE22"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1" w:type="dxa"/>
            <w:gridSpan w:val="3"/>
            <w:tcBorders>
              <w:top w:val="single" w:sz="8" w:space="0" w:color="auto"/>
              <w:left w:val="nil"/>
              <w:bottom w:val="single" w:sz="8" w:space="0" w:color="auto"/>
              <w:right w:val="single" w:sz="8" w:space="0" w:color="000000"/>
            </w:tcBorders>
            <w:vAlign w:val="center"/>
            <w:hideMark/>
          </w:tcPr>
          <w:p w14:paraId="409A0B29"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70AAEF32" w14:textId="77777777" w:rsidR="004F1D9E" w:rsidRPr="00A33AE8" w:rsidRDefault="004F1D9E" w:rsidP="004F1D9E">
            <w:pPr>
              <w:rPr>
                <w:rFonts w:ascii="Calibri" w:eastAsia="Times New Roman" w:hAnsi="Calibri" w:cs="Calibri"/>
                <w:color w:val="000000"/>
                <w:lang w:eastAsia="en-GB"/>
              </w:rPr>
            </w:pPr>
          </w:p>
        </w:tc>
      </w:tr>
    </w:tbl>
    <w:p w14:paraId="735152B1"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87"/>
        <w:gridCol w:w="1106"/>
        <w:gridCol w:w="934"/>
        <w:gridCol w:w="4161"/>
        <w:gridCol w:w="1212"/>
      </w:tblGrid>
      <w:tr w:rsidR="00AE377B" w:rsidRPr="00A33AE8" w14:paraId="7AFB9726" w14:textId="77777777" w:rsidTr="004E1008">
        <w:trPr>
          <w:gridAfter w:val="1"/>
          <w:wAfter w:w="1212" w:type="dxa"/>
          <w:trHeight w:val="780"/>
        </w:trPr>
        <w:tc>
          <w:tcPr>
            <w:tcW w:w="328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1DE48F0"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7A0E3C0"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1</w:t>
            </w:r>
            <w:r w:rsidR="00AE377B" w:rsidRPr="00A33AE8">
              <w:rPr>
                <w:rFonts w:ascii="Calibri Light" w:eastAsia="Times New Roman" w:hAnsi="Calibri Light" w:cs="Calibri Light"/>
                <w:b/>
                <w:bCs/>
                <w:color w:val="000000"/>
                <w:sz w:val="20"/>
                <w:szCs w:val="20"/>
                <w:lang w:eastAsia="en-GB"/>
              </w:rPr>
              <w:t>9</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124DF7F2"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6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42DC56C"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the regulatory framework for the operation of the “aggregator” (Article 169 in accordance to the amendments of the Energy Law)</w:t>
            </w:r>
          </w:p>
        </w:tc>
      </w:tr>
      <w:tr w:rsidR="00AE377B" w:rsidRPr="00A33AE8" w14:paraId="2E81BDEF" w14:textId="77777777" w:rsidTr="004E1008">
        <w:trPr>
          <w:gridAfter w:val="1"/>
          <w:wAfter w:w="1212" w:type="dxa"/>
          <w:trHeight w:val="960"/>
        </w:trPr>
        <w:tc>
          <w:tcPr>
            <w:tcW w:w="3287" w:type="dxa"/>
            <w:tcBorders>
              <w:top w:val="nil"/>
              <w:left w:val="single" w:sz="8" w:space="0" w:color="auto"/>
              <w:bottom w:val="single" w:sz="8" w:space="0" w:color="auto"/>
              <w:right w:val="nil"/>
            </w:tcBorders>
            <w:shd w:val="clear" w:color="auto" w:fill="244062"/>
            <w:vAlign w:val="center"/>
            <w:hideMark/>
          </w:tcPr>
          <w:p w14:paraId="20E2819F"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1" w:type="dxa"/>
            <w:gridSpan w:val="3"/>
            <w:tcBorders>
              <w:top w:val="single" w:sz="8" w:space="0" w:color="auto"/>
              <w:left w:val="nil"/>
              <w:bottom w:val="single" w:sz="8" w:space="0" w:color="auto"/>
              <w:right w:val="single" w:sz="8" w:space="0" w:color="000000"/>
            </w:tcBorders>
            <w:vAlign w:val="center"/>
          </w:tcPr>
          <w:p w14:paraId="2C936B22" w14:textId="77777777" w:rsidR="00AE377B" w:rsidRPr="00A33AE8" w:rsidRDefault="00F17CD3">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w:t>
            </w:r>
            <w:r w:rsidRPr="00A33AE8">
              <w:rPr>
                <w:rFonts w:asciiTheme="majorHAnsi" w:eastAsia="Times New Roman" w:hAnsiTheme="majorHAnsi" w:cstheme="majorHAnsi"/>
                <w:color w:val="000000"/>
                <w:sz w:val="20"/>
                <w:szCs w:val="20"/>
                <w:lang w:eastAsia="en-GB"/>
              </w:rPr>
              <w:lastRenderedPageBreak/>
              <w:t>mechanisms for dispatching, re-dispatching and curtailment and real-time price signals</w:t>
            </w:r>
          </w:p>
        </w:tc>
      </w:tr>
      <w:tr w:rsidR="00AE377B" w:rsidRPr="00A33AE8" w14:paraId="11EB1573" w14:textId="77777777" w:rsidTr="004E1008">
        <w:trPr>
          <w:gridAfter w:val="1"/>
          <w:wAfter w:w="1212" w:type="dxa"/>
          <w:trHeight w:val="443"/>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426057B6"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201" w:type="dxa"/>
            <w:gridSpan w:val="3"/>
            <w:tcBorders>
              <w:top w:val="single" w:sz="8" w:space="0" w:color="auto"/>
              <w:left w:val="nil"/>
              <w:bottom w:val="single" w:sz="8" w:space="0" w:color="auto"/>
              <w:right w:val="single" w:sz="8" w:space="0" w:color="000000"/>
            </w:tcBorders>
            <w:vAlign w:val="center"/>
          </w:tcPr>
          <w:p w14:paraId="0511AB73" w14:textId="77777777" w:rsidR="00AE377B" w:rsidRPr="00A33AE8" w:rsidRDefault="00F17CD3">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Increased quality of supply indicators, deployment smart grids, aggregation, demand response services as well as storage and distributed generation</w:t>
            </w:r>
          </w:p>
        </w:tc>
      </w:tr>
      <w:tr w:rsidR="004E1008" w:rsidRPr="00A33AE8" w14:paraId="5B185E56" w14:textId="77777777" w:rsidTr="00910552">
        <w:trPr>
          <w:gridAfter w:val="1"/>
          <w:wAfter w:w="1212" w:type="dxa"/>
          <w:trHeight w:val="584"/>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2A298E0"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1" w:type="dxa"/>
            <w:gridSpan w:val="3"/>
            <w:tcBorders>
              <w:top w:val="single" w:sz="8" w:space="0" w:color="auto"/>
              <w:left w:val="nil"/>
              <w:bottom w:val="single" w:sz="8" w:space="0" w:color="auto"/>
              <w:right w:val="single" w:sz="8" w:space="0" w:color="000000"/>
            </w:tcBorders>
            <w:vAlign w:val="center"/>
            <w:hideMark/>
          </w:tcPr>
          <w:p w14:paraId="32CF706A"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PM_IEM19 the new Electricity Directive in the Clean Energy Package requires that all Member States (and Serbia once the Energy Community Treaty adopts the CP) should make sure that Independent Aggregators, which in turn comprise Market Participants with balance responsibility, operate in fair and equitable terms in the electricity market. This necessarily leads to the implementation of a balancing and settlement mechanism that involves two BRPs in one connection point. To role and function of the aggregator needs to be appropriately reflected in the market rules and network codes pursuant to the evolving EU experience and practices in regard of this aspect.</w:t>
            </w:r>
          </w:p>
        </w:tc>
      </w:tr>
      <w:tr w:rsidR="004E1008" w:rsidRPr="00A33AE8" w14:paraId="015A47DC" w14:textId="77777777" w:rsidTr="004E1008">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50E7F331"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1" w:type="dxa"/>
            <w:gridSpan w:val="3"/>
            <w:tcBorders>
              <w:top w:val="single" w:sz="8" w:space="0" w:color="auto"/>
              <w:left w:val="nil"/>
              <w:bottom w:val="single" w:sz="8" w:space="0" w:color="auto"/>
              <w:right w:val="single" w:sz="8" w:space="0" w:color="000000"/>
            </w:tcBorders>
            <w:vAlign w:val="center"/>
            <w:hideMark/>
          </w:tcPr>
          <w:p w14:paraId="6D69727E"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4E1008" w:rsidRPr="00A33AE8" w14:paraId="09F4D7E0" w14:textId="77777777" w:rsidTr="004E1008">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7F836E9A"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1" w:type="dxa"/>
            <w:gridSpan w:val="3"/>
            <w:tcBorders>
              <w:top w:val="single" w:sz="8" w:space="0" w:color="auto"/>
              <w:left w:val="nil"/>
              <w:bottom w:val="single" w:sz="8" w:space="0" w:color="auto"/>
              <w:right w:val="single" w:sz="8" w:space="0" w:color="000000"/>
            </w:tcBorders>
            <w:vAlign w:val="center"/>
            <w:hideMark/>
          </w:tcPr>
          <w:p w14:paraId="7037062D" w14:textId="77777777" w:rsidR="004E1008" w:rsidRPr="00A33AE8" w:rsidRDefault="00910552"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4E1008" w:rsidRPr="00A33AE8" w14:paraId="54FAF448" w14:textId="77777777" w:rsidTr="004E1008">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10A52AB"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1" w:type="dxa"/>
            <w:gridSpan w:val="3"/>
            <w:tcBorders>
              <w:top w:val="single" w:sz="8" w:space="0" w:color="auto"/>
              <w:left w:val="nil"/>
              <w:bottom w:val="single" w:sz="8" w:space="0" w:color="auto"/>
              <w:right w:val="single" w:sz="8" w:space="0" w:color="000000"/>
            </w:tcBorders>
            <w:vAlign w:val="center"/>
            <w:hideMark/>
          </w:tcPr>
          <w:p w14:paraId="541216A1"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commercial</w:t>
            </w:r>
          </w:p>
        </w:tc>
      </w:tr>
      <w:tr w:rsidR="004E1008" w:rsidRPr="00A33AE8" w14:paraId="616B0871" w14:textId="77777777" w:rsidTr="004E1008">
        <w:trPr>
          <w:gridAfter w:val="1"/>
          <w:wAfter w:w="1212" w:type="dxa"/>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3A7A472C"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000934BC" w14:textId="77777777" w:rsidR="00C2534C"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7C38CA4A" w14:textId="77777777" w:rsidR="00C2534C" w:rsidRPr="00A33AE8" w:rsidRDefault="00C2534C"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29B5695A" w14:textId="77777777" w:rsidR="00C2534C"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EMS</w:t>
            </w:r>
          </w:p>
          <w:p w14:paraId="2F977B89"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Distribution System Operator</w:t>
            </w:r>
            <w:r w:rsidR="0085578B" w:rsidRPr="00A33AE8">
              <w:rPr>
                <w:rFonts w:ascii="Calibri Light" w:eastAsia="Times New Roman" w:hAnsi="Calibri Light" w:cs="Calibri Light"/>
                <w:color w:val="000000"/>
                <w:sz w:val="20"/>
                <w:szCs w:val="20"/>
                <w:lang w:eastAsia="en-GB"/>
              </w:rPr>
              <w:t xml:space="preserve"> EDS</w:t>
            </w:r>
          </w:p>
        </w:tc>
      </w:tr>
      <w:tr w:rsidR="004E1008" w:rsidRPr="00A33AE8" w14:paraId="7B54488B" w14:textId="77777777" w:rsidTr="004E1008">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622FB070"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1" w:type="dxa"/>
            <w:gridSpan w:val="3"/>
            <w:tcBorders>
              <w:top w:val="single" w:sz="8" w:space="0" w:color="auto"/>
              <w:left w:val="nil"/>
              <w:bottom w:val="single" w:sz="8" w:space="0" w:color="auto"/>
              <w:right w:val="single" w:sz="8" w:space="0" w:color="000000"/>
            </w:tcBorders>
            <w:vAlign w:val="center"/>
            <w:hideMark/>
          </w:tcPr>
          <w:p w14:paraId="5A90AD46"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F17CD3" w:rsidRPr="00A33AE8">
              <w:rPr>
                <w:rFonts w:ascii="Calibri Light" w:eastAsia="Times New Roman" w:hAnsi="Calibri Light" w:cs="Calibri Light"/>
                <w:color w:val="000000"/>
                <w:sz w:val="20"/>
                <w:szCs w:val="20"/>
                <w:lang w:eastAsia="en-GB"/>
              </w:rPr>
              <w:t>AERS</w:t>
            </w:r>
          </w:p>
        </w:tc>
      </w:tr>
      <w:tr w:rsidR="004E1008" w:rsidRPr="00A33AE8" w14:paraId="36025676" w14:textId="77777777" w:rsidTr="004E1008">
        <w:trPr>
          <w:gridAfter w:val="1"/>
          <w:wAfter w:w="1212" w:type="dxa"/>
          <w:trHeight w:val="315"/>
        </w:trPr>
        <w:tc>
          <w:tcPr>
            <w:tcW w:w="3287" w:type="dxa"/>
            <w:tcBorders>
              <w:top w:val="nil"/>
              <w:left w:val="single" w:sz="8" w:space="0" w:color="auto"/>
              <w:bottom w:val="single" w:sz="8" w:space="0" w:color="auto"/>
              <w:right w:val="nil"/>
            </w:tcBorders>
            <w:shd w:val="clear" w:color="auto" w:fill="244062"/>
            <w:vAlign w:val="center"/>
            <w:hideMark/>
          </w:tcPr>
          <w:p w14:paraId="6B6FEED6"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1" w:type="dxa"/>
            <w:gridSpan w:val="3"/>
            <w:tcBorders>
              <w:top w:val="single" w:sz="8" w:space="0" w:color="auto"/>
              <w:left w:val="nil"/>
              <w:bottom w:val="single" w:sz="8" w:space="0" w:color="auto"/>
              <w:right w:val="single" w:sz="8" w:space="0" w:color="000000"/>
            </w:tcBorders>
            <w:vAlign w:val="center"/>
            <w:hideMark/>
          </w:tcPr>
          <w:p w14:paraId="402A68C6" w14:textId="77777777" w:rsidR="004E1008" w:rsidRPr="00A33AE8" w:rsidRDefault="00F17CD3"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Number of licensed (or commercially active) aggregators </w:t>
            </w:r>
            <w:r w:rsidR="008C6BDC" w:rsidRPr="00A33AE8">
              <w:rPr>
                <w:rFonts w:ascii="Calibri Light" w:eastAsia="Times New Roman" w:hAnsi="Calibri Light" w:cs="Calibri Light"/>
                <w:color w:val="000000"/>
                <w:sz w:val="20"/>
                <w:szCs w:val="20"/>
                <w:lang w:eastAsia="en-GB"/>
              </w:rPr>
              <w:t xml:space="preserve">and </w:t>
            </w:r>
            <w:r w:rsidRPr="00A33AE8">
              <w:rPr>
                <w:rFonts w:ascii="Calibri Light" w:eastAsia="Times New Roman" w:hAnsi="Calibri Light" w:cs="Calibri Light"/>
                <w:color w:val="000000"/>
                <w:sz w:val="20"/>
                <w:szCs w:val="20"/>
                <w:lang w:eastAsia="en-GB"/>
              </w:rPr>
              <w:t>percentage of consumption and RES production (MWh) they represent in the electricity market</w:t>
            </w:r>
          </w:p>
        </w:tc>
      </w:tr>
      <w:tr w:rsidR="00A0226E" w:rsidRPr="00A33AE8" w14:paraId="04EDFFF9" w14:textId="77777777" w:rsidTr="00910552">
        <w:trPr>
          <w:gridAfter w:val="1"/>
          <w:wAfter w:w="1212" w:type="dxa"/>
          <w:trHeight w:val="193"/>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12BBC13D"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1" w:type="dxa"/>
            <w:gridSpan w:val="3"/>
            <w:tcBorders>
              <w:top w:val="single" w:sz="8" w:space="0" w:color="auto"/>
              <w:left w:val="nil"/>
              <w:bottom w:val="single" w:sz="8" w:space="0" w:color="auto"/>
              <w:right w:val="single" w:sz="8" w:space="0" w:color="000000"/>
            </w:tcBorders>
            <w:vAlign w:val="center"/>
            <w:hideMark/>
          </w:tcPr>
          <w:p w14:paraId="47F108DE" w14:textId="77777777" w:rsidR="00A0226E" w:rsidRPr="00A33AE8" w:rsidRDefault="00CC5B72"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Energy Security</w:t>
            </w:r>
          </w:p>
        </w:tc>
      </w:tr>
      <w:tr w:rsidR="00A0226E" w:rsidRPr="00A33AE8" w14:paraId="45B105DE" w14:textId="77777777" w:rsidTr="004E1008">
        <w:trPr>
          <w:gridAfter w:val="1"/>
          <w:wAfter w:w="1212" w:type="dxa"/>
          <w:trHeight w:val="450"/>
        </w:trPr>
        <w:tc>
          <w:tcPr>
            <w:tcW w:w="3287" w:type="dxa"/>
            <w:vMerge w:val="restart"/>
            <w:tcBorders>
              <w:top w:val="nil"/>
              <w:left w:val="single" w:sz="8" w:space="0" w:color="auto"/>
              <w:bottom w:val="single" w:sz="8" w:space="0" w:color="000000"/>
              <w:right w:val="single" w:sz="8" w:space="0" w:color="auto"/>
            </w:tcBorders>
            <w:shd w:val="clear" w:color="auto" w:fill="244062"/>
            <w:vAlign w:val="center"/>
            <w:hideMark/>
          </w:tcPr>
          <w:p w14:paraId="3981A656"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3DD6F188" w14:textId="77777777" w:rsidR="00A0226E" w:rsidRPr="00A33AE8" w:rsidRDefault="00A0226E"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79FCC266" w14:textId="77777777" w:rsidR="00A0226E" w:rsidRPr="00A33AE8" w:rsidRDefault="00A0226E"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70BAB4A5" w14:textId="77777777" w:rsidR="00A0226E" w:rsidRPr="00A33AE8" w:rsidRDefault="00A0226E"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A0226E" w:rsidRPr="00A33AE8" w14:paraId="37EA8AA1" w14:textId="77777777" w:rsidTr="004E1008">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3AED17" w14:textId="77777777" w:rsidR="00A0226E" w:rsidRPr="00A33AE8" w:rsidRDefault="00A0226E" w:rsidP="00A0226E">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76A66438" w14:textId="77777777" w:rsidR="00A0226E" w:rsidRPr="00A33AE8" w:rsidRDefault="00A0226E" w:rsidP="00A0226E">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85FA284" w14:textId="77777777" w:rsidR="00A0226E" w:rsidRPr="00A33AE8" w:rsidRDefault="00A0226E" w:rsidP="00A0226E"/>
        </w:tc>
      </w:tr>
      <w:tr w:rsidR="00A0226E" w:rsidRPr="00A33AE8" w14:paraId="25D89FA4" w14:textId="77777777" w:rsidTr="004E1008">
        <w:trPr>
          <w:trHeight w:val="315"/>
        </w:trPr>
        <w:tc>
          <w:tcPr>
            <w:tcW w:w="0" w:type="auto"/>
            <w:vMerge/>
            <w:tcBorders>
              <w:top w:val="nil"/>
              <w:left w:val="single" w:sz="8" w:space="0" w:color="auto"/>
              <w:bottom w:val="single" w:sz="8" w:space="0" w:color="000000"/>
              <w:right w:val="single" w:sz="8" w:space="0" w:color="auto"/>
            </w:tcBorders>
            <w:vAlign w:val="center"/>
            <w:hideMark/>
          </w:tcPr>
          <w:p w14:paraId="3BD512D0" w14:textId="77777777" w:rsidR="00A0226E" w:rsidRPr="00A33AE8" w:rsidRDefault="00A0226E" w:rsidP="00A0226E">
            <w:pPr>
              <w:spacing w:after="0" w:line="256" w:lineRule="auto"/>
              <w:rPr>
                <w:rFonts w:ascii="Calibri Light" w:eastAsia="Times New Roman" w:hAnsi="Calibri Light" w:cs="Calibri Light"/>
                <w:b/>
                <w:bCs/>
                <w:color w:val="FFFFFF"/>
                <w:sz w:val="20"/>
                <w:szCs w:val="20"/>
                <w:lang w:eastAsia="en-GB"/>
              </w:rPr>
            </w:pPr>
          </w:p>
        </w:tc>
        <w:tc>
          <w:tcPr>
            <w:tcW w:w="6201" w:type="dxa"/>
            <w:gridSpan w:val="3"/>
            <w:vMerge/>
            <w:tcBorders>
              <w:top w:val="single" w:sz="8" w:space="0" w:color="auto"/>
              <w:left w:val="single" w:sz="8" w:space="0" w:color="auto"/>
              <w:bottom w:val="single" w:sz="8" w:space="0" w:color="000000"/>
              <w:right w:val="single" w:sz="8" w:space="0" w:color="000000"/>
            </w:tcBorders>
            <w:vAlign w:val="center"/>
            <w:hideMark/>
          </w:tcPr>
          <w:p w14:paraId="783F849C" w14:textId="77777777" w:rsidR="00A0226E" w:rsidRPr="00A33AE8" w:rsidRDefault="00A0226E" w:rsidP="00A0226E">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37CF46B7" w14:textId="77777777" w:rsidR="00A0226E" w:rsidRPr="00A33AE8" w:rsidRDefault="00A0226E" w:rsidP="00A0226E">
            <w:pPr>
              <w:spacing w:after="0" w:line="256" w:lineRule="auto"/>
              <w:rPr>
                <w:sz w:val="20"/>
                <w:szCs w:val="20"/>
                <w:lang w:eastAsia="en-GB"/>
              </w:rPr>
            </w:pPr>
          </w:p>
        </w:tc>
      </w:tr>
      <w:tr w:rsidR="00A0226E" w:rsidRPr="00A33AE8" w14:paraId="74A468CD" w14:textId="77777777" w:rsidTr="004E1008">
        <w:trPr>
          <w:trHeight w:val="780"/>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02712329"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1" w:type="dxa"/>
            <w:gridSpan w:val="3"/>
            <w:tcBorders>
              <w:top w:val="single" w:sz="8" w:space="0" w:color="auto"/>
              <w:left w:val="nil"/>
              <w:bottom w:val="single" w:sz="8" w:space="0" w:color="auto"/>
              <w:right w:val="single" w:sz="8" w:space="0" w:color="000000"/>
            </w:tcBorders>
            <w:vAlign w:val="center"/>
            <w:hideMark/>
          </w:tcPr>
          <w:p w14:paraId="495E816F" w14:textId="77777777" w:rsidR="00A0226E" w:rsidRPr="00A33AE8" w:rsidRDefault="00A0226E" w:rsidP="00884F3B">
            <w:pPr>
              <w:pStyle w:val="ListParagraph"/>
              <w:numPr>
                <w:ilvl w:val="0"/>
                <w:numId w:val="7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1212" w:type="dxa"/>
            <w:vAlign w:val="center"/>
            <w:hideMark/>
          </w:tcPr>
          <w:p w14:paraId="4998593E" w14:textId="77777777" w:rsidR="00A0226E" w:rsidRPr="00A33AE8" w:rsidRDefault="00A0226E" w:rsidP="00A0226E">
            <w:pPr>
              <w:rPr>
                <w:rFonts w:ascii="Calibri Light" w:eastAsia="Times New Roman" w:hAnsi="Calibri Light" w:cs="Calibri Light"/>
                <w:color w:val="000000"/>
                <w:sz w:val="20"/>
                <w:szCs w:val="20"/>
                <w:lang w:eastAsia="en-GB"/>
              </w:rPr>
            </w:pPr>
          </w:p>
        </w:tc>
      </w:tr>
      <w:tr w:rsidR="00A0226E" w:rsidRPr="00A33AE8" w14:paraId="4EFC4BF8" w14:textId="77777777" w:rsidTr="004E1008">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62557309"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1" w:type="dxa"/>
            <w:gridSpan w:val="3"/>
            <w:tcBorders>
              <w:top w:val="single" w:sz="8" w:space="0" w:color="auto"/>
              <w:left w:val="nil"/>
              <w:bottom w:val="single" w:sz="8" w:space="0" w:color="auto"/>
              <w:right w:val="single" w:sz="8" w:space="0" w:color="000000"/>
            </w:tcBorders>
            <w:vAlign w:val="center"/>
            <w:hideMark/>
          </w:tcPr>
          <w:p w14:paraId="032B1623" w14:textId="77777777" w:rsidR="00A0226E" w:rsidRPr="00A33AE8" w:rsidRDefault="00A0226E" w:rsidP="00A0226E">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26FCE57A" w14:textId="77777777" w:rsidR="00A0226E" w:rsidRPr="00A33AE8" w:rsidRDefault="00A0226E" w:rsidP="00A0226E">
            <w:pPr>
              <w:rPr>
                <w:rFonts w:ascii="Calibri" w:eastAsia="Times New Roman" w:hAnsi="Calibri" w:cs="Calibri"/>
                <w:color w:val="000000"/>
                <w:lang w:eastAsia="en-GB"/>
              </w:rPr>
            </w:pPr>
          </w:p>
        </w:tc>
      </w:tr>
      <w:tr w:rsidR="00A0226E" w:rsidRPr="00A33AE8" w14:paraId="6B9D1CFE" w14:textId="77777777" w:rsidTr="004E1008">
        <w:trPr>
          <w:trHeight w:val="315"/>
        </w:trPr>
        <w:tc>
          <w:tcPr>
            <w:tcW w:w="3287" w:type="dxa"/>
            <w:tcBorders>
              <w:top w:val="nil"/>
              <w:left w:val="single" w:sz="8" w:space="0" w:color="auto"/>
              <w:bottom w:val="single" w:sz="8" w:space="0" w:color="auto"/>
              <w:right w:val="single" w:sz="8" w:space="0" w:color="auto"/>
            </w:tcBorders>
            <w:shd w:val="clear" w:color="auto" w:fill="244062"/>
            <w:vAlign w:val="center"/>
            <w:hideMark/>
          </w:tcPr>
          <w:p w14:paraId="3FFB40FC"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1" w:type="dxa"/>
            <w:gridSpan w:val="3"/>
            <w:tcBorders>
              <w:top w:val="single" w:sz="8" w:space="0" w:color="auto"/>
              <w:left w:val="nil"/>
              <w:bottom w:val="single" w:sz="8" w:space="0" w:color="auto"/>
              <w:right w:val="single" w:sz="8" w:space="0" w:color="000000"/>
            </w:tcBorders>
            <w:vAlign w:val="center"/>
            <w:hideMark/>
          </w:tcPr>
          <w:p w14:paraId="24F8DFDC" w14:textId="77777777" w:rsidR="00A0226E" w:rsidRPr="00A33AE8" w:rsidRDefault="00A0226E" w:rsidP="00A0226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7AB0CC5E" w14:textId="77777777" w:rsidR="00A0226E" w:rsidRPr="00A33AE8" w:rsidRDefault="00A0226E" w:rsidP="00A0226E">
            <w:pPr>
              <w:rPr>
                <w:rFonts w:ascii="Calibri" w:eastAsia="Times New Roman" w:hAnsi="Calibri" w:cs="Calibri"/>
                <w:color w:val="000000"/>
                <w:lang w:eastAsia="en-GB"/>
              </w:rPr>
            </w:pPr>
          </w:p>
        </w:tc>
      </w:tr>
    </w:tbl>
    <w:p w14:paraId="056E3D61"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58"/>
        <w:gridCol w:w="1207"/>
        <w:gridCol w:w="927"/>
        <w:gridCol w:w="4096"/>
        <w:gridCol w:w="1212"/>
      </w:tblGrid>
      <w:tr w:rsidR="00AE377B" w:rsidRPr="00A33AE8" w14:paraId="35B857FB" w14:textId="77777777" w:rsidTr="004E1008">
        <w:trPr>
          <w:gridAfter w:val="1"/>
          <w:wAfter w:w="1212" w:type="dxa"/>
          <w:trHeight w:val="780"/>
        </w:trPr>
        <w:tc>
          <w:tcPr>
            <w:tcW w:w="325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1356483"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285DF139"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w:t>
            </w:r>
            <w:r w:rsidR="00AE377B" w:rsidRPr="00A33AE8">
              <w:rPr>
                <w:rFonts w:ascii="Calibri Light" w:eastAsia="Times New Roman" w:hAnsi="Calibri Light" w:cs="Calibri Light"/>
                <w:b/>
                <w:bCs/>
                <w:color w:val="000000"/>
                <w:sz w:val="20"/>
                <w:szCs w:val="20"/>
                <w:lang w:eastAsia="en-GB"/>
              </w:rPr>
              <w:t>0</w:t>
            </w:r>
          </w:p>
        </w:tc>
        <w:tc>
          <w:tcPr>
            <w:tcW w:w="927" w:type="dxa"/>
            <w:tcBorders>
              <w:top w:val="single" w:sz="8" w:space="0" w:color="auto"/>
              <w:left w:val="nil"/>
              <w:bottom w:val="single" w:sz="8" w:space="0" w:color="auto"/>
              <w:right w:val="single" w:sz="8" w:space="0" w:color="auto"/>
            </w:tcBorders>
            <w:shd w:val="clear" w:color="auto" w:fill="244062"/>
            <w:vAlign w:val="center"/>
            <w:hideMark/>
          </w:tcPr>
          <w:p w14:paraId="36FBE675"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9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8C4ECAB"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Development of the regulatory framework for the operation of the Renewable Energy Communities (RECs) and Citizen Energy Communities (CECs) (Article 62 to 66 </w:t>
            </w:r>
            <w:r w:rsidR="00403496" w:rsidRPr="00A33AE8">
              <w:rPr>
                <w:rFonts w:ascii="Calibri Light" w:eastAsia="Times New Roman" w:hAnsi="Calibri Light" w:cs="Calibri Light"/>
                <w:b/>
                <w:bCs/>
                <w:color w:val="000000"/>
                <w:sz w:val="20"/>
                <w:szCs w:val="20"/>
                <w:lang w:eastAsia="en-GB"/>
              </w:rPr>
              <w:t>and Article 77</w:t>
            </w:r>
            <w:r w:rsidRPr="00A33AE8">
              <w:rPr>
                <w:rFonts w:ascii="Calibri Light" w:eastAsia="Times New Roman" w:hAnsi="Calibri Light" w:cs="Calibri Light"/>
                <w:b/>
                <w:bCs/>
                <w:color w:val="000000"/>
                <w:sz w:val="20"/>
                <w:szCs w:val="20"/>
                <w:lang w:eastAsia="en-GB"/>
              </w:rPr>
              <w:t xml:space="preserve"> of the Law on the use of RES)</w:t>
            </w:r>
          </w:p>
        </w:tc>
      </w:tr>
      <w:tr w:rsidR="00AE377B" w:rsidRPr="00A33AE8" w14:paraId="164D1F5B" w14:textId="77777777" w:rsidTr="004E1008">
        <w:trPr>
          <w:gridAfter w:val="1"/>
          <w:wAfter w:w="1212" w:type="dxa"/>
          <w:trHeight w:val="519"/>
        </w:trPr>
        <w:tc>
          <w:tcPr>
            <w:tcW w:w="3258" w:type="dxa"/>
            <w:tcBorders>
              <w:top w:val="nil"/>
              <w:left w:val="single" w:sz="8" w:space="0" w:color="auto"/>
              <w:bottom w:val="single" w:sz="8" w:space="0" w:color="auto"/>
              <w:right w:val="nil"/>
            </w:tcBorders>
            <w:shd w:val="clear" w:color="auto" w:fill="244062"/>
            <w:vAlign w:val="center"/>
            <w:hideMark/>
          </w:tcPr>
          <w:p w14:paraId="7C13F566"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30" w:type="dxa"/>
            <w:gridSpan w:val="3"/>
            <w:tcBorders>
              <w:top w:val="single" w:sz="8" w:space="0" w:color="auto"/>
              <w:left w:val="nil"/>
              <w:bottom w:val="single" w:sz="8" w:space="0" w:color="auto"/>
              <w:right w:val="single" w:sz="8" w:space="0" w:color="000000"/>
            </w:tcBorders>
            <w:vAlign w:val="center"/>
            <w:hideMark/>
          </w:tcPr>
          <w:p w14:paraId="24BA3342" w14:textId="77777777" w:rsidR="00AE377B" w:rsidRPr="00A33AE8" w:rsidRDefault="00F17CD3">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p>
        </w:tc>
      </w:tr>
      <w:tr w:rsidR="00AE377B" w:rsidRPr="00A33AE8" w14:paraId="36A9364D" w14:textId="77777777" w:rsidTr="004E1008">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27B89843"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30" w:type="dxa"/>
            <w:gridSpan w:val="3"/>
            <w:tcBorders>
              <w:top w:val="single" w:sz="8" w:space="0" w:color="auto"/>
              <w:left w:val="nil"/>
              <w:bottom w:val="single" w:sz="8" w:space="0" w:color="auto"/>
              <w:right w:val="single" w:sz="8" w:space="0" w:color="000000"/>
            </w:tcBorders>
            <w:vAlign w:val="center"/>
            <w:hideMark/>
          </w:tcPr>
          <w:p w14:paraId="6FB610A3" w14:textId="77777777" w:rsidR="00AE377B" w:rsidRPr="00A33AE8" w:rsidRDefault="00F17CD3">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Increased quality of supply indicators, deployment smart grids, aggregation, demand response services as well as storage and distributed generation</w:t>
            </w:r>
          </w:p>
        </w:tc>
      </w:tr>
      <w:tr w:rsidR="004E1008" w:rsidRPr="00A33AE8" w14:paraId="0956436E" w14:textId="77777777" w:rsidTr="00910552">
        <w:trPr>
          <w:gridAfter w:val="1"/>
          <w:wAfter w:w="1212" w:type="dxa"/>
          <w:trHeight w:val="443"/>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1494EFD5"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230" w:type="dxa"/>
            <w:gridSpan w:val="3"/>
            <w:tcBorders>
              <w:top w:val="single" w:sz="8" w:space="0" w:color="auto"/>
              <w:left w:val="nil"/>
              <w:bottom w:val="single" w:sz="8" w:space="0" w:color="auto"/>
              <w:right w:val="single" w:sz="8" w:space="0" w:color="000000"/>
            </w:tcBorders>
            <w:vAlign w:val="center"/>
            <w:hideMark/>
          </w:tcPr>
          <w:p w14:paraId="30C17946" w14:textId="6F6F395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PM_IEM20 concerns the preparation of the relevant framework should unlock the collective participation and share of energy and financial benefits of consumer categories at a community level where energy carrie</w:t>
            </w:r>
            <w:r w:rsidR="00C43937" w:rsidRPr="00A33AE8">
              <w:rPr>
                <w:rFonts w:ascii="Calibri Light" w:eastAsia="Times New Roman" w:hAnsi="Calibri Light" w:cs="Calibri Light"/>
                <w:color w:val="000000"/>
                <w:sz w:val="20"/>
                <w:szCs w:val="20"/>
                <w:lang w:eastAsia="en-GB"/>
              </w:rPr>
              <w:t>r</w:t>
            </w:r>
            <w:r w:rsidRPr="00A33AE8">
              <w:rPr>
                <w:rFonts w:ascii="Calibri Light" w:eastAsia="Times New Roman" w:hAnsi="Calibri Light" w:cs="Calibri Light"/>
                <w:color w:val="000000"/>
                <w:sz w:val="20"/>
                <w:szCs w:val="20"/>
                <w:lang w:eastAsia="en-GB"/>
              </w:rPr>
              <w:t xml:space="preserve">s and services may be locally optimized and the excess or surplus is exchanged on a market-based framework with the wholesale and/or retail electricity markets. Under the current framework, the community may acquire the status of a temporary </w:t>
            </w:r>
            <w:r w:rsidR="00403496" w:rsidRPr="00A33AE8">
              <w:rPr>
                <w:rFonts w:ascii="Calibri Light" w:eastAsia="Times New Roman" w:hAnsi="Calibri Light" w:cs="Calibri Light"/>
                <w:color w:val="000000"/>
                <w:sz w:val="20"/>
                <w:szCs w:val="20"/>
                <w:lang w:eastAsia="en-GB"/>
              </w:rPr>
              <w:t>privil</w:t>
            </w:r>
            <w:r w:rsidR="00497867" w:rsidRPr="00A33AE8">
              <w:rPr>
                <w:rFonts w:ascii="Calibri Light" w:eastAsia="Times New Roman" w:hAnsi="Calibri Light" w:cs="Calibri Light"/>
                <w:color w:val="000000"/>
                <w:sz w:val="20"/>
                <w:szCs w:val="20"/>
                <w:lang w:eastAsia="en-GB"/>
              </w:rPr>
              <w:t>e</w:t>
            </w:r>
            <w:r w:rsidR="00403496" w:rsidRPr="00A33AE8">
              <w:rPr>
                <w:rFonts w:ascii="Calibri Light" w:eastAsia="Times New Roman" w:hAnsi="Calibri Light" w:cs="Calibri Light"/>
                <w:color w:val="000000"/>
                <w:sz w:val="20"/>
                <w:szCs w:val="20"/>
                <w:lang w:eastAsia="en-GB"/>
              </w:rPr>
              <w:t>ged</w:t>
            </w:r>
            <w:r w:rsidRPr="00A33AE8">
              <w:rPr>
                <w:rFonts w:ascii="Calibri Light" w:eastAsia="Times New Roman" w:hAnsi="Calibri Light" w:cs="Calibri Light"/>
                <w:color w:val="000000"/>
                <w:sz w:val="20"/>
                <w:szCs w:val="20"/>
                <w:lang w:eastAsia="en-GB"/>
              </w:rPr>
              <w:t xml:space="preserve"> producer, </w:t>
            </w:r>
            <w:r w:rsidR="00C96A78" w:rsidRPr="00A33AE8">
              <w:rPr>
                <w:rFonts w:ascii="Calibri Light" w:eastAsia="Times New Roman" w:hAnsi="Calibri Light" w:cs="Calibri Light"/>
                <w:color w:val="000000"/>
                <w:sz w:val="20"/>
                <w:szCs w:val="20"/>
                <w:lang w:eastAsia="en-GB"/>
              </w:rPr>
              <w:t>i.e.</w:t>
            </w:r>
            <w:r w:rsidRPr="00A33AE8">
              <w:rPr>
                <w:rFonts w:ascii="Calibri Light" w:eastAsia="Times New Roman" w:hAnsi="Calibri Light" w:cs="Calibri Light"/>
                <w:color w:val="000000"/>
                <w:sz w:val="20"/>
                <w:szCs w:val="20"/>
                <w:lang w:eastAsia="en-GB"/>
              </w:rPr>
              <w:t xml:space="preserve"> the status of </w:t>
            </w:r>
            <w:r w:rsidR="00403496" w:rsidRPr="00A33AE8">
              <w:rPr>
                <w:rFonts w:ascii="Calibri Light" w:eastAsia="Times New Roman" w:hAnsi="Calibri Light" w:cs="Calibri Light"/>
                <w:color w:val="000000"/>
                <w:sz w:val="20"/>
                <w:szCs w:val="20"/>
                <w:lang w:eastAsia="en-GB"/>
              </w:rPr>
              <w:t>privil</w:t>
            </w:r>
            <w:r w:rsidR="00120EB5" w:rsidRPr="00A33AE8">
              <w:rPr>
                <w:rFonts w:ascii="Calibri Light" w:eastAsia="Times New Roman" w:hAnsi="Calibri Light" w:cs="Calibri Light"/>
                <w:color w:val="000000"/>
                <w:sz w:val="20"/>
                <w:szCs w:val="20"/>
                <w:lang w:eastAsia="en-GB"/>
              </w:rPr>
              <w:t>e</w:t>
            </w:r>
            <w:r w:rsidR="00403496" w:rsidRPr="00A33AE8">
              <w:rPr>
                <w:rFonts w:ascii="Calibri Light" w:eastAsia="Times New Roman" w:hAnsi="Calibri Light" w:cs="Calibri Light"/>
                <w:color w:val="000000"/>
                <w:sz w:val="20"/>
                <w:szCs w:val="20"/>
                <w:lang w:eastAsia="en-GB"/>
              </w:rPr>
              <w:t>ged</w:t>
            </w:r>
            <w:r w:rsidRPr="00A33AE8">
              <w:rPr>
                <w:rFonts w:ascii="Calibri Light" w:eastAsia="Times New Roman" w:hAnsi="Calibri Light" w:cs="Calibri Light"/>
                <w:color w:val="000000"/>
                <w:sz w:val="20"/>
                <w:szCs w:val="20"/>
                <w:lang w:eastAsia="en-GB"/>
              </w:rPr>
              <w:t xml:space="preserve"> producer and the status of a producer of electricity from renewable energy sources and incentive measures in the field of heat energy. The community can be a participant in the electricity market as a producer of electricity from RES in the incentive system or within the role of prosumer. The challenges are related to the integration of RES into the system, in terms of expansion, network upgrades and modernisations. The above need to appropriately reflected in the market and network operation rules.</w:t>
            </w:r>
          </w:p>
        </w:tc>
      </w:tr>
      <w:tr w:rsidR="004E1008" w:rsidRPr="00A33AE8" w14:paraId="0424A906" w14:textId="77777777" w:rsidTr="004E1008">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4D659400"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30" w:type="dxa"/>
            <w:gridSpan w:val="3"/>
            <w:tcBorders>
              <w:top w:val="single" w:sz="8" w:space="0" w:color="auto"/>
              <w:left w:val="nil"/>
              <w:bottom w:val="single" w:sz="8" w:space="0" w:color="auto"/>
              <w:right w:val="single" w:sz="8" w:space="0" w:color="000000"/>
            </w:tcBorders>
            <w:vAlign w:val="center"/>
            <w:hideMark/>
          </w:tcPr>
          <w:p w14:paraId="4CEB90F3"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4E1008" w:rsidRPr="00A33AE8" w14:paraId="1380F8C3" w14:textId="77777777" w:rsidTr="004E1008">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0D75107E"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30" w:type="dxa"/>
            <w:gridSpan w:val="3"/>
            <w:tcBorders>
              <w:top w:val="single" w:sz="8" w:space="0" w:color="auto"/>
              <w:left w:val="nil"/>
              <w:bottom w:val="single" w:sz="8" w:space="0" w:color="auto"/>
              <w:right w:val="single" w:sz="8" w:space="0" w:color="000000"/>
            </w:tcBorders>
            <w:vAlign w:val="center"/>
            <w:hideMark/>
          </w:tcPr>
          <w:p w14:paraId="5F0665EC" w14:textId="77777777" w:rsidR="004E1008" w:rsidRPr="00A33AE8" w:rsidRDefault="00910552"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4E1008" w:rsidRPr="00A33AE8" w14:paraId="4AF14A45" w14:textId="77777777" w:rsidTr="004E1008">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55D40524"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30" w:type="dxa"/>
            <w:gridSpan w:val="3"/>
            <w:tcBorders>
              <w:top w:val="single" w:sz="8" w:space="0" w:color="auto"/>
              <w:left w:val="nil"/>
              <w:bottom w:val="single" w:sz="8" w:space="0" w:color="auto"/>
              <w:right w:val="single" w:sz="8" w:space="0" w:color="000000"/>
            </w:tcBorders>
            <w:vAlign w:val="center"/>
            <w:hideMark/>
          </w:tcPr>
          <w:p w14:paraId="41D607AD"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 public, commercial, industrial</w:t>
            </w:r>
          </w:p>
        </w:tc>
      </w:tr>
      <w:tr w:rsidR="004E1008" w:rsidRPr="00A33AE8" w14:paraId="22424FF7" w14:textId="77777777" w:rsidTr="004E1008">
        <w:trPr>
          <w:gridAfter w:val="1"/>
          <w:wAfter w:w="1212" w:type="dxa"/>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25BB0B6A"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30" w:type="dxa"/>
            <w:gridSpan w:val="3"/>
            <w:tcBorders>
              <w:top w:val="single" w:sz="8" w:space="0" w:color="auto"/>
              <w:left w:val="nil"/>
              <w:bottom w:val="single" w:sz="8" w:space="0" w:color="auto"/>
              <w:right w:val="single" w:sz="8" w:space="0" w:color="000000"/>
            </w:tcBorders>
            <w:vAlign w:val="center"/>
            <w:hideMark/>
          </w:tcPr>
          <w:p w14:paraId="13B1ACE4" w14:textId="77777777" w:rsidR="004E1008" w:rsidRPr="00A33AE8" w:rsidRDefault="004E1008" w:rsidP="00884F3B">
            <w:pPr>
              <w:pStyle w:val="ListParagraph"/>
              <w:numPr>
                <w:ilvl w:val="0"/>
                <w:numId w:val="7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4E1008" w:rsidRPr="00A33AE8" w14:paraId="272CB325" w14:textId="77777777" w:rsidTr="004E1008">
        <w:trPr>
          <w:gridAfter w:val="1"/>
          <w:wAfter w:w="1212" w:type="dxa"/>
          <w:trHeight w:val="315"/>
        </w:trPr>
        <w:tc>
          <w:tcPr>
            <w:tcW w:w="3258" w:type="dxa"/>
            <w:tcBorders>
              <w:top w:val="nil"/>
              <w:left w:val="single" w:sz="8" w:space="0" w:color="auto"/>
              <w:bottom w:val="single" w:sz="8" w:space="0" w:color="auto"/>
              <w:right w:val="nil"/>
            </w:tcBorders>
            <w:shd w:val="clear" w:color="auto" w:fill="244062"/>
            <w:vAlign w:val="center"/>
            <w:hideMark/>
          </w:tcPr>
          <w:p w14:paraId="650285DA"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30" w:type="dxa"/>
            <w:gridSpan w:val="3"/>
            <w:tcBorders>
              <w:top w:val="single" w:sz="8" w:space="0" w:color="auto"/>
              <w:left w:val="nil"/>
              <w:bottom w:val="single" w:sz="8" w:space="0" w:color="auto"/>
              <w:right w:val="single" w:sz="8" w:space="0" w:color="000000"/>
            </w:tcBorders>
            <w:vAlign w:val="center"/>
            <w:hideMark/>
          </w:tcPr>
          <w:p w14:paraId="2CD5F535" w14:textId="77777777" w:rsidR="004E1008" w:rsidRPr="00A33AE8" w:rsidRDefault="004E1008" w:rsidP="00884F3B">
            <w:pPr>
              <w:pStyle w:val="ListParagraph"/>
              <w:numPr>
                <w:ilvl w:val="0"/>
                <w:numId w:val="7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r w:rsidR="00F17CD3" w:rsidRPr="00A33AE8">
              <w:rPr>
                <w:rFonts w:ascii="Calibri Light" w:eastAsia="Times New Roman" w:hAnsi="Calibri Light" w:cs="Calibri Light"/>
                <w:color w:val="000000"/>
                <w:sz w:val="20"/>
                <w:szCs w:val="20"/>
                <w:lang w:eastAsia="en-GB"/>
              </w:rPr>
              <w:t>AERS</w:t>
            </w:r>
          </w:p>
        </w:tc>
      </w:tr>
      <w:tr w:rsidR="004E1008" w:rsidRPr="00A33AE8" w14:paraId="2703A48D" w14:textId="77777777" w:rsidTr="004E1008">
        <w:trPr>
          <w:gridAfter w:val="1"/>
          <w:wAfter w:w="1212" w:type="dxa"/>
          <w:trHeight w:val="315"/>
        </w:trPr>
        <w:tc>
          <w:tcPr>
            <w:tcW w:w="3258" w:type="dxa"/>
            <w:tcBorders>
              <w:top w:val="nil"/>
              <w:left w:val="single" w:sz="8" w:space="0" w:color="auto"/>
              <w:bottom w:val="single" w:sz="8" w:space="0" w:color="auto"/>
              <w:right w:val="nil"/>
            </w:tcBorders>
            <w:shd w:val="clear" w:color="auto" w:fill="244062"/>
            <w:vAlign w:val="center"/>
            <w:hideMark/>
          </w:tcPr>
          <w:p w14:paraId="78E15174"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30" w:type="dxa"/>
            <w:gridSpan w:val="3"/>
            <w:tcBorders>
              <w:top w:val="single" w:sz="8" w:space="0" w:color="auto"/>
              <w:left w:val="nil"/>
              <w:bottom w:val="single" w:sz="8" w:space="0" w:color="auto"/>
              <w:right w:val="single" w:sz="8" w:space="0" w:color="000000"/>
            </w:tcBorders>
            <w:vAlign w:val="center"/>
            <w:hideMark/>
          </w:tcPr>
          <w:p w14:paraId="76FEC620" w14:textId="77777777" w:rsidR="004E1008" w:rsidRPr="00A33AE8" w:rsidRDefault="00F17CD3"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Number of licensed (or commercially active) RECs and CECs </w:t>
            </w:r>
            <w:r w:rsidR="008C6BDC" w:rsidRPr="00A33AE8">
              <w:rPr>
                <w:rFonts w:ascii="Calibri Light" w:eastAsia="Times New Roman" w:hAnsi="Calibri Light" w:cs="Calibri Light"/>
                <w:color w:val="000000"/>
                <w:sz w:val="20"/>
                <w:szCs w:val="20"/>
                <w:lang w:eastAsia="en-GB"/>
              </w:rPr>
              <w:t xml:space="preserve">and </w:t>
            </w:r>
            <w:r w:rsidRPr="00A33AE8">
              <w:rPr>
                <w:rFonts w:ascii="Calibri Light" w:eastAsia="Times New Roman" w:hAnsi="Calibri Light" w:cs="Calibri Light"/>
                <w:color w:val="000000"/>
                <w:sz w:val="20"/>
                <w:szCs w:val="20"/>
                <w:lang w:eastAsia="en-GB"/>
              </w:rPr>
              <w:t>percentage of consumption and RES production (MWh) they represent in the electricity market</w:t>
            </w:r>
          </w:p>
        </w:tc>
      </w:tr>
      <w:tr w:rsidR="00A0226E" w:rsidRPr="00A33AE8" w14:paraId="0F8D4C37" w14:textId="77777777" w:rsidTr="004E1008">
        <w:trPr>
          <w:gridAfter w:val="1"/>
          <w:wAfter w:w="1212" w:type="dxa"/>
          <w:trHeight w:val="447"/>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51CC707D"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30" w:type="dxa"/>
            <w:gridSpan w:val="3"/>
            <w:tcBorders>
              <w:top w:val="single" w:sz="8" w:space="0" w:color="auto"/>
              <w:left w:val="nil"/>
              <w:bottom w:val="single" w:sz="8" w:space="0" w:color="auto"/>
              <w:right w:val="single" w:sz="8" w:space="0" w:color="000000"/>
            </w:tcBorders>
            <w:vAlign w:val="center"/>
            <w:hideMark/>
          </w:tcPr>
          <w:p w14:paraId="2B045F40" w14:textId="77777777" w:rsidR="00A0226E" w:rsidRPr="00A33AE8" w:rsidRDefault="00A0226E" w:rsidP="00884F3B">
            <w:pPr>
              <w:pStyle w:val="ListParagraph"/>
              <w:numPr>
                <w:ilvl w:val="0"/>
                <w:numId w:val="7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p>
          <w:p w14:paraId="61C6ED0B" w14:textId="77777777" w:rsidR="001B47D8" w:rsidRPr="00A33AE8" w:rsidRDefault="001B47D8" w:rsidP="00884F3B">
            <w:pPr>
              <w:pStyle w:val="ListParagraph"/>
              <w:numPr>
                <w:ilvl w:val="0"/>
                <w:numId w:val="7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Decarbonisation</w:t>
            </w:r>
          </w:p>
          <w:p w14:paraId="2780B430" w14:textId="77777777" w:rsidR="00A0226E" w:rsidRPr="00A33AE8" w:rsidRDefault="00A0226E" w:rsidP="00884F3B">
            <w:pPr>
              <w:pStyle w:val="ListParagraph"/>
              <w:numPr>
                <w:ilvl w:val="0"/>
                <w:numId w:val="7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tc>
      </w:tr>
      <w:tr w:rsidR="004E1008" w:rsidRPr="00A33AE8" w14:paraId="6F53CD85" w14:textId="77777777" w:rsidTr="004E1008">
        <w:trPr>
          <w:gridAfter w:val="1"/>
          <w:wAfter w:w="1212" w:type="dxa"/>
          <w:trHeight w:val="450"/>
        </w:trPr>
        <w:tc>
          <w:tcPr>
            <w:tcW w:w="3258" w:type="dxa"/>
            <w:vMerge w:val="restart"/>
            <w:tcBorders>
              <w:top w:val="nil"/>
              <w:left w:val="single" w:sz="8" w:space="0" w:color="auto"/>
              <w:bottom w:val="single" w:sz="8" w:space="0" w:color="000000"/>
              <w:right w:val="single" w:sz="8" w:space="0" w:color="auto"/>
            </w:tcBorders>
            <w:shd w:val="clear" w:color="auto" w:fill="244062"/>
            <w:vAlign w:val="center"/>
            <w:hideMark/>
          </w:tcPr>
          <w:p w14:paraId="3AB184FD"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3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4747C1CA" w14:textId="18F7C062"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26E24118"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2012/27/ΕU</w:t>
            </w:r>
          </w:p>
          <w:p w14:paraId="50E7FFF9"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2018/2002/</w:t>
            </w:r>
            <w:r w:rsidR="00F17CD3" w:rsidRPr="00A33AE8">
              <w:rPr>
                <w:rFonts w:ascii="Calibri Light" w:eastAsia="Times New Roman" w:hAnsi="Calibri Light" w:cs="Calibri Light"/>
                <w:color w:val="000000"/>
                <w:sz w:val="20"/>
                <w:szCs w:val="20"/>
                <w:lang w:eastAsia="en-GB"/>
              </w:rPr>
              <w:t>Ε</w:t>
            </w:r>
            <w:r w:rsidR="009A1530" w:rsidRPr="00A33AE8">
              <w:rPr>
                <w:rFonts w:ascii="Calibri Light" w:eastAsia="Times New Roman" w:hAnsi="Calibri Light" w:cs="Calibri Light"/>
                <w:color w:val="000000"/>
                <w:sz w:val="20"/>
                <w:szCs w:val="20"/>
                <w:lang w:eastAsia="en-GB"/>
              </w:rPr>
              <w:t>U</w:t>
            </w:r>
          </w:p>
        </w:tc>
      </w:tr>
      <w:tr w:rsidR="004E1008" w:rsidRPr="00A33AE8" w14:paraId="2D044D9D" w14:textId="77777777" w:rsidTr="004E1008">
        <w:trPr>
          <w:trHeight w:val="300"/>
        </w:trPr>
        <w:tc>
          <w:tcPr>
            <w:tcW w:w="0" w:type="auto"/>
            <w:vMerge/>
            <w:tcBorders>
              <w:top w:val="nil"/>
              <w:left w:val="single" w:sz="8" w:space="0" w:color="auto"/>
              <w:bottom w:val="single" w:sz="8" w:space="0" w:color="000000"/>
              <w:right w:val="single" w:sz="8" w:space="0" w:color="auto"/>
            </w:tcBorders>
            <w:vAlign w:val="center"/>
            <w:hideMark/>
          </w:tcPr>
          <w:p w14:paraId="7D004DE4" w14:textId="77777777" w:rsidR="004E1008" w:rsidRPr="00A33AE8" w:rsidRDefault="004E1008" w:rsidP="004E1008">
            <w:pPr>
              <w:spacing w:after="0" w:line="256" w:lineRule="auto"/>
              <w:rPr>
                <w:rFonts w:ascii="Calibri Light" w:eastAsia="Times New Roman" w:hAnsi="Calibri Light" w:cs="Calibri Light"/>
                <w:b/>
                <w:bCs/>
                <w:color w:val="FFFFFF"/>
                <w:sz w:val="20"/>
                <w:szCs w:val="20"/>
                <w:lang w:eastAsia="en-GB"/>
              </w:rPr>
            </w:pPr>
          </w:p>
        </w:tc>
        <w:tc>
          <w:tcPr>
            <w:tcW w:w="6230" w:type="dxa"/>
            <w:gridSpan w:val="3"/>
            <w:vMerge/>
            <w:tcBorders>
              <w:top w:val="single" w:sz="8" w:space="0" w:color="auto"/>
              <w:left w:val="single" w:sz="8" w:space="0" w:color="auto"/>
              <w:bottom w:val="single" w:sz="8" w:space="0" w:color="000000"/>
              <w:right w:val="single" w:sz="8" w:space="0" w:color="000000"/>
            </w:tcBorders>
            <w:vAlign w:val="center"/>
            <w:hideMark/>
          </w:tcPr>
          <w:p w14:paraId="0FB9174C" w14:textId="77777777" w:rsidR="004E1008" w:rsidRPr="00A33AE8" w:rsidRDefault="004E1008" w:rsidP="004E1008">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ABF6EA3" w14:textId="77777777" w:rsidR="004E1008" w:rsidRPr="00A33AE8" w:rsidRDefault="004E1008" w:rsidP="004E1008"/>
        </w:tc>
      </w:tr>
      <w:tr w:rsidR="004E1008" w:rsidRPr="00A33AE8" w14:paraId="46F4B5AD" w14:textId="77777777" w:rsidTr="004E1008">
        <w:trPr>
          <w:trHeight w:val="99"/>
        </w:trPr>
        <w:tc>
          <w:tcPr>
            <w:tcW w:w="0" w:type="auto"/>
            <w:vMerge/>
            <w:tcBorders>
              <w:top w:val="nil"/>
              <w:left w:val="single" w:sz="8" w:space="0" w:color="auto"/>
              <w:bottom w:val="single" w:sz="8" w:space="0" w:color="000000"/>
              <w:right w:val="single" w:sz="8" w:space="0" w:color="auto"/>
            </w:tcBorders>
            <w:vAlign w:val="center"/>
            <w:hideMark/>
          </w:tcPr>
          <w:p w14:paraId="1922572E" w14:textId="77777777" w:rsidR="004E1008" w:rsidRPr="00A33AE8" w:rsidRDefault="004E1008" w:rsidP="004E1008">
            <w:pPr>
              <w:spacing w:after="0" w:line="256" w:lineRule="auto"/>
              <w:rPr>
                <w:rFonts w:ascii="Calibri Light" w:eastAsia="Times New Roman" w:hAnsi="Calibri Light" w:cs="Calibri Light"/>
                <w:b/>
                <w:bCs/>
                <w:color w:val="FFFFFF"/>
                <w:sz w:val="20"/>
                <w:szCs w:val="20"/>
                <w:lang w:eastAsia="en-GB"/>
              </w:rPr>
            </w:pPr>
          </w:p>
        </w:tc>
        <w:tc>
          <w:tcPr>
            <w:tcW w:w="6230" w:type="dxa"/>
            <w:gridSpan w:val="3"/>
            <w:vMerge/>
            <w:tcBorders>
              <w:top w:val="single" w:sz="8" w:space="0" w:color="auto"/>
              <w:left w:val="single" w:sz="8" w:space="0" w:color="auto"/>
              <w:bottom w:val="single" w:sz="8" w:space="0" w:color="000000"/>
              <w:right w:val="single" w:sz="8" w:space="0" w:color="000000"/>
            </w:tcBorders>
            <w:vAlign w:val="center"/>
            <w:hideMark/>
          </w:tcPr>
          <w:p w14:paraId="55773CB4" w14:textId="77777777" w:rsidR="004E1008" w:rsidRPr="00A33AE8" w:rsidRDefault="004E1008" w:rsidP="004E1008">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5A6099AF" w14:textId="77777777" w:rsidR="004E1008" w:rsidRPr="00A33AE8" w:rsidRDefault="004E1008" w:rsidP="004E1008">
            <w:pPr>
              <w:spacing w:after="0" w:line="256" w:lineRule="auto"/>
              <w:rPr>
                <w:sz w:val="20"/>
                <w:szCs w:val="20"/>
                <w:lang w:eastAsia="en-GB"/>
              </w:rPr>
            </w:pPr>
          </w:p>
        </w:tc>
      </w:tr>
      <w:tr w:rsidR="004E1008" w:rsidRPr="00A33AE8" w14:paraId="2A49F994" w14:textId="77777777" w:rsidTr="004E1008">
        <w:trPr>
          <w:trHeight w:val="780"/>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34EA854A"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30" w:type="dxa"/>
            <w:gridSpan w:val="3"/>
            <w:tcBorders>
              <w:top w:val="single" w:sz="8" w:space="0" w:color="auto"/>
              <w:left w:val="nil"/>
              <w:bottom w:val="single" w:sz="8" w:space="0" w:color="auto"/>
              <w:right w:val="single" w:sz="8" w:space="0" w:color="000000"/>
            </w:tcBorders>
            <w:vAlign w:val="center"/>
            <w:hideMark/>
          </w:tcPr>
          <w:p w14:paraId="240840C0" w14:textId="77777777" w:rsidR="004E1008" w:rsidRPr="00A33AE8" w:rsidRDefault="004E1008" w:rsidP="00884F3B">
            <w:pPr>
              <w:pStyle w:val="ListParagraph"/>
              <w:numPr>
                <w:ilvl w:val="0"/>
                <w:numId w:val="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p w14:paraId="6BA8C98F" w14:textId="77777777" w:rsidR="004E1008" w:rsidRPr="00A33AE8" w:rsidRDefault="004E1008" w:rsidP="00884F3B">
            <w:pPr>
              <w:pStyle w:val="ListParagraph"/>
              <w:numPr>
                <w:ilvl w:val="0"/>
                <w:numId w:val="71"/>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RES</w:t>
            </w:r>
          </w:p>
        </w:tc>
        <w:tc>
          <w:tcPr>
            <w:tcW w:w="1212" w:type="dxa"/>
            <w:vAlign w:val="center"/>
            <w:hideMark/>
          </w:tcPr>
          <w:p w14:paraId="45495B8D" w14:textId="77777777" w:rsidR="004E1008" w:rsidRPr="00A33AE8" w:rsidRDefault="004E1008" w:rsidP="004E1008">
            <w:pPr>
              <w:rPr>
                <w:rFonts w:ascii="Calibri Light" w:eastAsia="Times New Roman" w:hAnsi="Calibri Light" w:cs="Calibri Light"/>
                <w:color w:val="000000"/>
                <w:sz w:val="20"/>
                <w:szCs w:val="20"/>
                <w:lang w:eastAsia="en-GB"/>
              </w:rPr>
            </w:pPr>
          </w:p>
        </w:tc>
      </w:tr>
      <w:tr w:rsidR="00910552" w:rsidRPr="00A33AE8" w14:paraId="089CC075" w14:textId="77777777" w:rsidTr="004E1008">
        <w:trPr>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72F875EF"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30" w:type="dxa"/>
            <w:gridSpan w:val="3"/>
            <w:tcBorders>
              <w:top w:val="single" w:sz="8" w:space="0" w:color="auto"/>
              <w:left w:val="nil"/>
              <w:bottom w:val="single" w:sz="8" w:space="0" w:color="auto"/>
              <w:right w:val="single" w:sz="8" w:space="0" w:color="000000"/>
            </w:tcBorders>
            <w:vAlign w:val="center"/>
            <w:hideMark/>
          </w:tcPr>
          <w:p w14:paraId="40D1437E" w14:textId="77777777" w:rsidR="00910552" w:rsidRPr="00A33AE8" w:rsidRDefault="00910552" w:rsidP="00910552">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37170161" w14:textId="77777777" w:rsidR="00910552" w:rsidRPr="00A33AE8" w:rsidRDefault="00910552" w:rsidP="00910552">
            <w:pPr>
              <w:rPr>
                <w:rFonts w:ascii="Calibri" w:eastAsia="Times New Roman" w:hAnsi="Calibri" w:cs="Calibri"/>
                <w:color w:val="000000"/>
                <w:lang w:eastAsia="en-GB"/>
              </w:rPr>
            </w:pPr>
          </w:p>
        </w:tc>
      </w:tr>
      <w:tr w:rsidR="004F1D9E" w:rsidRPr="00A33AE8" w14:paraId="47396B5F" w14:textId="77777777" w:rsidTr="004E1008">
        <w:trPr>
          <w:trHeight w:val="315"/>
        </w:trPr>
        <w:tc>
          <w:tcPr>
            <w:tcW w:w="3258" w:type="dxa"/>
            <w:tcBorders>
              <w:top w:val="nil"/>
              <w:left w:val="single" w:sz="8" w:space="0" w:color="auto"/>
              <w:bottom w:val="single" w:sz="8" w:space="0" w:color="auto"/>
              <w:right w:val="single" w:sz="8" w:space="0" w:color="auto"/>
            </w:tcBorders>
            <w:shd w:val="clear" w:color="auto" w:fill="244062"/>
            <w:vAlign w:val="center"/>
            <w:hideMark/>
          </w:tcPr>
          <w:p w14:paraId="008FF04C"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30" w:type="dxa"/>
            <w:gridSpan w:val="3"/>
            <w:tcBorders>
              <w:top w:val="single" w:sz="8" w:space="0" w:color="auto"/>
              <w:left w:val="nil"/>
              <w:bottom w:val="single" w:sz="8" w:space="0" w:color="auto"/>
              <w:right w:val="single" w:sz="8" w:space="0" w:color="000000"/>
            </w:tcBorders>
            <w:vAlign w:val="center"/>
            <w:hideMark/>
          </w:tcPr>
          <w:p w14:paraId="2D023208" w14:textId="77777777" w:rsidR="004F1D9E" w:rsidRPr="00A33AE8" w:rsidRDefault="004F1D9E" w:rsidP="004F1D9E">
            <w:pPr>
              <w:spacing w:after="0" w:line="240" w:lineRule="auto"/>
              <w:jc w:val="both"/>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48462D01" w14:textId="77777777" w:rsidR="004F1D9E" w:rsidRPr="00A33AE8" w:rsidRDefault="004F1D9E" w:rsidP="004F1D9E">
            <w:pPr>
              <w:rPr>
                <w:rFonts w:ascii="Calibri" w:eastAsia="Times New Roman" w:hAnsi="Calibri" w:cs="Calibri"/>
                <w:color w:val="000000"/>
                <w:lang w:eastAsia="en-GB"/>
              </w:rPr>
            </w:pPr>
          </w:p>
        </w:tc>
      </w:tr>
    </w:tbl>
    <w:p w14:paraId="00D9022B"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17"/>
        <w:gridCol w:w="1309"/>
        <w:gridCol w:w="920"/>
        <w:gridCol w:w="4042"/>
        <w:gridCol w:w="1212"/>
      </w:tblGrid>
      <w:tr w:rsidR="003D4955" w:rsidRPr="00A33AE8" w14:paraId="13186095" w14:textId="77777777" w:rsidTr="004E1008">
        <w:trPr>
          <w:gridAfter w:val="1"/>
          <w:wAfter w:w="1212" w:type="dxa"/>
          <w:trHeight w:val="780"/>
        </w:trPr>
        <w:tc>
          <w:tcPr>
            <w:tcW w:w="321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034D941" w14:textId="739C3A27" w:rsidR="003D4955" w:rsidRPr="00A33AE8" w:rsidRDefault="003D4955" w:rsidP="003D4955">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267F5DD8" w14:textId="77777777" w:rsidR="003D4955" w:rsidRPr="00A33AE8" w:rsidRDefault="003D4955" w:rsidP="003D4955">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PM_IEM</w:t>
            </w:r>
            <w:r w:rsidR="005D69C8" w:rsidRPr="00A33AE8">
              <w:rPr>
                <w:rFonts w:ascii="Calibri Light" w:eastAsia="Times New Roman" w:hAnsi="Calibri Light" w:cs="Calibri Light"/>
                <w:b/>
                <w:bCs/>
                <w:color w:val="000000"/>
                <w:sz w:val="20"/>
                <w:szCs w:val="20"/>
                <w:lang w:eastAsia="en-GB"/>
              </w:rPr>
              <w:t>21</w:t>
            </w:r>
          </w:p>
        </w:tc>
        <w:tc>
          <w:tcPr>
            <w:tcW w:w="920" w:type="dxa"/>
            <w:tcBorders>
              <w:top w:val="single" w:sz="8" w:space="0" w:color="auto"/>
              <w:left w:val="nil"/>
              <w:bottom w:val="single" w:sz="8" w:space="0" w:color="auto"/>
              <w:right w:val="single" w:sz="8" w:space="0" w:color="auto"/>
            </w:tcBorders>
            <w:shd w:val="clear" w:color="auto" w:fill="244062"/>
            <w:vAlign w:val="center"/>
            <w:hideMark/>
          </w:tcPr>
          <w:p w14:paraId="7F3FF487" w14:textId="77777777" w:rsidR="003D4955" w:rsidRPr="00A33AE8" w:rsidRDefault="003D4955" w:rsidP="003D4955">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5394EB6C" w14:textId="4B6FE01B" w:rsidR="003D4955" w:rsidRPr="00A33AE8" w:rsidRDefault="003D4955" w:rsidP="003D4955">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Implementation of EU Network Codes and Guidelines on electricity through appropriate amendments of the secondary legislation and adoption of additional rules, decisions and acts, where applicable.</w:t>
            </w:r>
          </w:p>
        </w:tc>
      </w:tr>
      <w:tr w:rsidR="00AE377B" w:rsidRPr="00A33AE8" w14:paraId="28CFC7B2" w14:textId="77777777" w:rsidTr="004E1008">
        <w:trPr>
          <w:gridAfter w:val="1"/>
          <w:wAfter w:w="1212" w:type="dxa"/>
          <w:trHeight w:val="529"/>
        </w:trPr>
        <w:tc>
          <w:tcPr>
            <w:tcW w:w="3217" w:type="dxa"/>
            <w:tcBorders>
              <w:top w:val="nil"/>
              <w:left w:val="single" w:sz="8" w:space="0" w:color="auto"/>
              <w:bottom w:val="single" w:sz="8" w:space="0" w:color="auto"/>
              <w:right w:val="nil"/>
            </w:tcBorders>
            <w:shd w:val="clear" w:color="auto" w:fill="244062"/>
            <w:vAlign w:val="center"/>
            <w:hideMark/>
          </w:tcPr>
          <w:p w14:paraId="293DFF82" w14:textId="1DF5420E"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271" w:type="dxa"/>
            <w:gridSpan w:val="3"/>
            <w:tcBorders>
              <w:top w:val="single" w:sz="8" w:space="0" w:color="auto"/>
              <w:left w:val="nil"/>
              <w:bottom w:val="single" w:sz="8" w:space="0" w:color="auto"/>
              <w:right w:val="single" w:sz="8" w:space="0" w:color="000000"/>
            </w:tcBorders>
            <w:vAlign w:val="center"/>
          </w:tcPr>
          <w:p w14:paraId="4A7FEDBA" w14:textId="77777777" w:rsidR="00AE377B" w:rsidRPr="00A33AE8" w:rsidRDefault="009A1530">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p>
        </w:tc>
      </w:tr>
      <w:tr w:rsidR="00AE377B" w:rsidRPr="00A33AE8" w14:paraId="7F8892A7" w14:textId="77777777" w:rsidTr="004E1008">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462CCA4F" w14:textId="64F3C92F"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271" w:type="dxa"/>
            <w:gridSpan w:val="3"/>
            <w:tcBorders>
              <w:top w:val="single" w:sz="8" w:space="0" w:color="auto"/>
              <w:left w:val="nil"/>
              <w:bottom w:val="single" w:sz="8" w:space="0" w:color="auto"/>
              <w:right w:val="single" w:sz="8" w:space="0" w:color="000000"/>
            </w:tcBorders>
            <w:vAlign w:val="center"/>
          </w:tcPr>
          <w:p w14:paraId="3F5A1FF3" w14:textId="77777777" w:rsidR="00AE377B" w:rsidRPr="00A33AE8" w:rsidRDefault="009A1530">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Implementation of Energy Community Acquis Communautaire</w:t>
            </w:r>
            <w:r w:rsidR="00CC5B72" w:rsidRPr="00CC5B72">
              <w:rPr>
                <w:rFonts w:asciiTheme="majorHAnsi" w:eastAsia="Times New Roman" w:hAnsiTheme="majorHAnsi" w:cstheme="majorHAnsi"/>
                <w:color w:val="000000"/>
                <w:sz w:val="20"/>
                <w:szCs w:val="20"/>
                <w:lang w:eastAsia="en-GB"/>
              </w:rPr>
              <w:t xml:space="preserve"> (including the Electricity Integration Package)</w:t>
            </w:r>
            <w:r w:rsidRPr="00A33AE8">
              <w:rPr>
                <w:rFonts w:asciiTheme="majorHAnsi" w:eastAsia="Times New Roman" w:hAnsiTheme="majorHAnsi" w:cstheme="majorHAnsi"/>
                <w:color w:val="000000"/>
                <w:sz w:val="20"/>
                <w:szCs w:val="20"/>
                <w:lang w:eastAsia="en-GB"/>
              </w:rPr>
              <w:t>, increased market use of the interconnectors, price convergence with the neighbouring bidding zone, increased market-based integration of RES in the electricity mix</w:t>
            </w:r>
            <w:r w:rsidR="00CC5B72" w:rsidRPr="00CC5B72">
              <w:rPr>
                <w:rFonts w:asciiTheme="majorHAnsi" w:eastAsia="Times New Roman" w:hAnsiTheme="majorHAnsi" w:cstheme="majorHAnsi"/>
                <w:color w:val="000000"/>
                <w:sz w:val="20"/>
                <w:szCs w:val="20"/>
                <w:lang w:eastAsia="en-GB"/>
              </w:rPr>
              <w:t>, fulfilment of the minimum cross-zonal capacity target of 70%, ability to exchange balancing resources</w:t>
            </w:r>
          </w:p>
        </w:tc>
      </w:tr>
      <w:tr w:rsidR="004E1008" w:rsidRPr="00A33AE8" w14:paraId="0207CDAE" w14:textId="77777777" w:rsidTr="006E21C2">
        <w:trPr>
          <w:gridAfter w:val="1"/>
          <w:wAfter w:w="1212" w:type="dxa"/>
          <w:trHeight w:val="443"/>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356F07A8"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271" w:type="dxa"/>
            <w:gridSpan w:val="3"/>
            <w:tcBorders>
              <w:top w:val="single" w:sz="8" w:space="0" w:color="auto"/>
              <w:left w:val="nil"/>
              <w:bottom w:val="single" w:sz="8" w:space="0" w:color="auto"/>
              <w:right w:val="single" w:sz="8" w:space="0" w:color="000000"/>
            </w:tcBorders>
            <w:vAlign w:val="center"/>
            <w:hideMark/>
          </w:tcPr>
          <w:p w14:paraId="7F857C96" w14:textId="77777777" w:rsidR="00CC5B72" w:rsidRPr="00CC5B72" w:rsidRDefault="004E1008" w:rsidP="005B2C66">
            <w:pPr>
              <w:spacing w:after="12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PM_IEM21 aims at continuation of work towards the implementation of EU network codes and guidelines which in turn comprise the EU framework conditions of ensuring competition, affordability and security. They aim at the improvement electricity security and quality of supply while harmonizing system operators to market mechanisms. The EU Network Codes and Guidelines in conjunction with the Electricity Directive and Regulation under the CEP aim to deliver on Europe's clean energy transition through better and market-based integration of renewables. The Energy Community and the amendments to the Energy Law have currently set forth the requirement of the </w:t>
            </w:r>
            <w:r w:rsidR="00CC5B72" w:rsidRPr="00CC5B72">
              <w:rPr>
                <w:rFonts w:ascii="Calibri Light" w:eastAsia="Times New Roman" w:hAnsi="Calibri Light" w:cs="Calibri Light"/>
                <w:color w:val="000000"/>
                <w:sz w:val="20"/>
                <w:szCs w:val="20"/>
                <w:lang w:eastAsia="en-GB"/>
              </w:rPr>
              <w:t>EU Regulation 2015/122</w:t>
            </w:r>
            <w:r w:rsidR="00CC5B72">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CACM, </w:t>
            </w:r>
            <w:r w:rsidR="00CC5B72">
              <w:rPr>
                <w:rFonts w:ascii="Calibri Light" w:eastAsia="Times New Roman" w:hAnsi="Calibri Light" w:cs="Calibri Light"/>
                <w:color w:val="000000"/>
                <w:sz w:val="20"/>
                <w:szCs w:val="20"/>
                <w:lang w:eastAsia="en-GB"/>
              </w:rPr>
              <w:t>and</w:t>
            </w:r>
            <w:r w:rsidR="00CC5B72"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it would also</w:t>
            </w:r>
            <w:r w:rsidR="00CC5B72">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be advisable to voluntarily adopt the </w:t>
            </w:r>
            <w:r w:rsidR="00CC5B72" w:rsidRPr="00CC5B72">
              <w:rPr>
                <w:rFonts w:ascii="Calibri Light" w:eastAsia="Times New Roman" w:hAnsi="Calibri Light" w:cs="Calibri Light"/>
                <w:color w:val="000000"/>
                <w:sz w:val="20"/>
                <w:szCs w:val="20"/>
                <w:lang w:eastAsia="en-GB"/>
              </w:rPr>
              <w:t xml:space="preserve">EU Regulation 2017/2195 </w:t>
            </w:r>
            <w:r w:rsidRPr="00A33AE8">
              <w:rPr>
                <w:rFonts w:ascii="Calibri Light" w:eastAsia="Times New Roman" w:hAnsi="Calibri Light" w:cs="Calibri Light"/>
                <w:color w:val="000000"/>
                <w:sz w:val="20"/>
                <w:szCs w:val="20"/>
                <w:lang w:eastAsia="en-GB"/>
              </w:rPr>
              <w:t>EBGL (Article 93a) in accordance to the amendments of the Energy Law</w:t>
            </w:r>
            <w:r w:rsidR="00C43937" w:rsidRPr="000007D2">
              <w:rPr>
                <w:rFonts w:ascii="Calibri Light" w:eastAsia="Times New Roman" w:hAnsi="Calibri Light" w:cs="Calibri Light"/>
                <w:color w:val="000000"/>
                <w:sz w:val="20"/>
                <w:szCs w:val="20"/>
                <w:lang w:eastAsia="en-GB"/>
              </w:rPr>
              <w:t>.</w:t>
            </w:r>
            <w:r w:rsidR="00CC5B72" w:rsidRPr="00CC5B72">
              <w:rPr>
                <w:rFonts w:ascii="Calibri Light" w:eastAsia="Times New Roman" w:hAnsi="Calibri Light" w:cs="Calibri Light"/>
                <w:color w:val="000000"/>
                <w:sz w:val="20"/>
                <w:szCs w:val="20"/>
                <w:lang w:eastAsia="en-GB"/>
              </w:rPr>
              <w:t xml:space="preserve"> This PM will also facilitate the implementation of the following EU regulations:</w:t>
            </w:r>
          </w:p>
          <w:p w14:paraId="3F098E6A" w14:textId="77777777" w:rsidR="00CC5B72" w:rsidRPr="00CC5B72"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2017/1485 (SO GL)</w:t>
            </w:r>
          </w:p>
          <w:p w14:paraId="6CA93F2A" w14:textId="77777777" w:rsidR="00CC5B72" w:rsidRPr="00CC5B72"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2017/2196 (EN RC)</w:t>
            </w:r>
          </w:p>
          <w:p w14:paraId="33E9131D" w14:textId="77777777" w:rsidR="00CC5B72" w:rsidRPr="00CC5B72"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2016/1719 (FCA GL)</w:t>
            </w:r>
          </w:p>
          <w:p w14:paraId="0F8F05E5" w14:textId="77777777" w:rsidR="00CC5B72" w:rsidRPr="00CC5B72"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2019/942 (ACER)</w:t>
            </w:r>
          </w:p>
          <w:p w14:paraId="7CE1EB2B" w14:textId="77777777" w:rsidR="004E1008" w:rsidRPr="00A33AE8"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2019/943 on the internal energy market for electricity</w:t>
            </w:r>
          </w:p>
        </w:tc>
      </w:tr>
      <w:tr w:rsidR="004E1008" w:rsidRPr="00A33AE8" w14:paraId="61238017" w14:textId="77777777" w:rsidTr="004E1008">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006A45D6"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71" w:type="dxa"/>
            <w:gridSpan w:val="3"/>
            <w:tcBorders>
              <w:top w:val="single" w:sz="8" w:space="0" w:color="auto"/>
              <w:left w:val="nil"/>
              <w:bottom w:val="single" w:sz="8" w:space="0" w:color="auto"/>
              <w:right w:val="single" w:sz="8" w:space="0" w:color="000000"/>
            </w:tcBorders>
            <w:vAlign w:val="center"/>
            <w:hideMark/>
          </w:tcPr>
          <w:p w14:paraId="0805CA03"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4E1008" w:rsidRPr="00A33AE8" w14:paraId="64DBA2E0" w14:textId="77777777" w:rsidTr="004E1008">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29F5E979"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71" w:type="dxa"/>
            <w:gridSpan w:val="3"/>
            <w:tcBorders>
              <w:top w:val="single" w:sz="8" w:space="0" w:color="auto"/>
              <w:left w:val="nil"/>
              <w:bottom w:val="single" w:sz="8" w:space="0" w:color="auto"/>
              <w:right w:val="single" w:sz="8" w:space="0" w:color="000000"/>
            </w:tcBorders>
            <w:vAlign w:val="center"/>
            <w:hideMark/>
          </w:tcPr>
          <w:p w14:paraId="5A0AA152" w14:textId="77777777" w:rsidR="004E1008" w:rsidRPr="00A33AE8" w:rsidRDefault="00910552"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4E1008" w:rsidRPr="00A33AE8" w14:paraId="37998CD4" w14:textId="77777777" w:rsidTr="004E1008">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9044E47"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71" w:type="dxa"/>
            <w:gridSpan w:val="3"/>
            <w:tcBorders>
              <w:top w:val="single" w:sz="8" w:space="0" w:color="auto"/>
              <w:left w:val="nil"/>
              <w:bottom w:val="single" w:sz="8" w:space="0" w:color="auto"/>
              <w:right w:val="single" w:sz="8" w:space="0" w:color="000000"/>
            </w:tcBorders>
            <w:vAlign w:val="center"/>
            <w:hideMark/>
          </w:tcPr>
          <w:p w14:paraId="153BF102" w14:textId="77777777" w:rsidR="004E1008" w:rsidRPr="00A33AE8" w:rsidRDefault="004E1008" w:rsidP="004E1008">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w:t>
            </w:r>
          </w:p>
        </w:tc>
      </w:tr>
      <w:tr w:rsidR="004E1008" w:rsidRPr="00A33AE8" w14:paraId="42CD6E0E" w14:textId="77777777" w:rsidTr="004E1008">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8BC7636"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110FBD40" w14:textId="77777777" w:rsidR="00820257" w:rsidRPr="00A33AE8" w:rsidRDefault="00820257"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23DC0C9B" w14:textId="77777777" w:rsidR="00820257" w:rsidRPr="00A33AE8" w:rsidRDefault="004E1008"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EMS</w:t>
            </w:r>
          </w:p>
          <w:p w14:paraId="4BDC4D4E" w14:textId="77777777" w:rsidR="00820257" w:rsidRPr="00A33AE8" w:rsidRDefault="00820257"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5D8E8F9D" w14:textId="77777777" w:rsidR="0010081F" w:rsidRPr="005B2C66" w:rsidRDefault="00922B09" w:rsidP="00884F3B">
            <w:pPr>
              <w:pStyle w:val="ListParagraph"/>
              <w:numPr>
                <w:ilvl w:val="0"/>
                <w:numId w:val="73"/>
              </w:numPr>
              <w:spacing w:after="0" w:line="240" w:lineRule="auto"/>
              <w:rPr>
                <w:rStyle w:val="cf01"/>
                <w:rFonts w:ascii="Calibri Light" w:eastAsia="Times New Roman" w:hAnsi="Calibri Light" w:cs="Calibri Light"/>
                <w:color w:val="000000"/>
                <w:sz w:val="20"/>
                <w:szCs w:val="20"/>
                <w:lang w:val="pt-PT" w:eastAsia="en-GB"/>
              </w:rPr>
            </w:pPr>
            <w:r w:rsidRPr="005B2C66">
              <w:rPr>
                <w:rStyle w:val="cf01"/>
                <w:lang w:val="pt-PT"/>
              </w:rPr>
              <w:t>Elektrodistribucija Srbije d.o.o. Beograd EPS</w:t>
            </w:r>
          </w:p>
          <w:p w14:paraId="4128518D" w14:textId="77777777" w:rsidR="004E1008" w:rsidRPr="00A33AE8" w:rsidRDefault="009A1530"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SEEPEX</w:t>
            </w:r>
          </w:p>
        </w:tc>
      </w:tr>
      <w:tr w:rsidR="004E1008" w:rsidRPr="00A33AE8" w14:paraId="2A85D423" w14:textId="77777777" w:rsidTr="004E1008">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5E03F523"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58E028B0" w14:textId="77777777" w:rsidR="004E1008" w:rsidRPr="00A33AE8" w:rsidRDefault="009A1530"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r w:rsidR="004E1008" w:rsidRPr="00A33AE8">
              <w:rPr>
                <w:rFonts w:ascii="Calibri Light" w:eastAsia="Times New Roman" w:hAnsi="Calibri Light" w:cs="Calibri Light"/>
                <w:color w:val="000000"/>
                <w:sz w:val="20"/>
                <w:szCs w:val="20"/>
                <w:lang w:eastAsia="en-GB"/>
              </w:rPr>
              <w:t> </w:t>
            </w:r>
          </w:p>
        </w:tc>
      </w:tr>
      <w:tr w:rsidR="004E1008" w:rsidRPr="00A33AE8" w14:paraId="5D3B3E50" w14:textId="77777777" w:rsidTr="004E1008">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6B280147"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71" w:type="dxa"/>
            <w:gridSpan w:val="3"/>
            <w:tcBorders>
              <w:top w:val="single" w:sz="8" w:space="0" w:color="auto"/>
              <w:left w:val="nil"/>
              <w:bottom w:val="single" w:sz="8" w:space="0" w:color="auto"/>
              <w:right w:val="single" w:sz="8" w:space="0" w:color="000000"/>
            </w:tcBorders>
            <w:vAlign w:val="center"/>
            <w:hideMark/>
          </w:tcPr>
          <w:p w14:paraId="78C5F454" w14:textId="77777777" w:rsidR="004E1008" w:rsidRPr="00A33AE8" w:rsidRDefault="007429B7" w:rsidP="004F1D9E">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New legal and regulatory framework adopted including through amendments to the existing network codes and market rules</w:t>
            </w:r>
            <w:r w:rsidR="004E1008" w:rsidRPr="00A33AE8">
              <w:rPr>
                <w:rFonts w:ascii="Calibri Light" w:eastAsia="Times New Roman" w:hAnsi="Calibri Light" w:cs="Calibri Light"/>
                <w:color w:val="000000"/>
                <w:sz w:val="20"/>
                <w:szCs w:val="20"/>
                <w:lang w:eastAsia="en-GB"/>
              </w:rPr>
              <w:t> </w:t>
            </w:r>
          </w:p>
        </w:tc>
      </w:tr>
      <w:tr w:rsidR="00A0226E" w:rsidRPr="00A33AE8" w14:paraId="672DD43A" w14:textId="77777777" w:rsidTr="00910552">
        <w:trPr>
          <w:gridAfter w:val="1"/>
          <w:wAfter w:w="1212" w:type="dxa"/>
          <w:trHeight w:val="401"/>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44D27062"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71" w:type="dxa"/>
            <w:gridSpan w:val="3"/>
            <w:tcBorders>
              <w:top w:val="single" w:sz="8" w:space="0" w:color="auto"/>
              <w:left w:val="nil"/>
              <w:bottom w:val="single" w:sz="8" w:space="0" w:color="auto"/>
              <w:right w:val="single" w:sz="8" w:space="0" w:color="000000"/>
            </w:tcBorders>
            <w:vAlign w:val="center"/>
            <w:hideMark/>
          </w:tcPr>
          <w:p w14:paraId="582E39F7" w14:textId="77777777" w:rsidR="00CC5B72" w:rsidRPr="00CC5B72" w:rsidRDefault="00A0226E"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p w14:paraId="007294D2" w14:textId="77777777" w:rsidR="00CC5B72" w:rsidRPr="00CC5B72"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Energy Efficiency</w:t>
            </w:r>
          </w:p>
          <w:p w14:paraId="46C3F8D5" w14:textId="77777777" w:rsidR="00A0226E" w:rsidRPr="00A33AE8" w:rsidRDefault="00CC5B72"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Decarbonisation</w:t>
            </w:r>
          </w:p>
        </w:tc>
      </w:tr>
      <w:tr w:rsidR="004E1008" w:rsidRPr="00A33AE8" w14:paraId="2B883C89" w14:textId="77777777" w:rsidTr="004E1008">
        <w:trPr>
          <w:gridAfter w:val="1"/>
          <w:wAfter w:w="1212" w:type="dxa"/>
          <w:trHeight w:val="450"/>
        </w:trPr>
        <w:tc>
          <w:tcPr>
            <w:tcW w:w="3217" w:type="dxa"/>
            <w:vMerge w:val="restart"/>
            <w:tcBorders>
              <w:top w:val="nil"/>
              <w:left w:val="single" w:sz="8" w:space="0" w:color="auto"/>
              <w:bottom w:val="single" w:sz="8" w:space="0" w:color="000000"/>
              <w:right w:val="single" w:sz="8" w:space="0" w:color="auto"/>
            </w:tcBorders>
            <w:shd w:val="clear" w:color="auto" w:fill="244062"/>
            <w:vAlign w:val="center"/>
            <w:hideMark/>
          </w:tcPr>
          <w:p w14:paraId="643399FF"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7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AA7BF2E"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005DFEA3"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30FE6C29" w14:textId="77777777" w:rsidR="004E1008" w:rsidRPr="00A33AE8" w:rsidRDefault="004E1008"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4E1008" w:rsidRPr="00A33AE8" w14:paraId="67FE3DF8" w14:textId="77777777" w:rsidTr="004E1008">
        <w:trPr>
          <w:trHeight w:val="300"/>
        </w:trPr>
        <w:tc>
          <w:tcPr>
            <w:tcW w:w="0" w:type="auto"/>
            <w:vMerge/>
            <w:tcBorders>
              <w:top w:val="nil"/>
              <w:left w:val="single" w:sz="8" w:space="0" w:color="auto"/>
              <w:bottom w:val="single" w:sz="8" w:space="0" w:color="000000"/>
              <w:right w:val="single" w:sz="8" w:space="0" w:color="auto"/>
            </w:tcBorders>
            <w:vAlign w:val="center"/>
            <w:hideMark/>
          </w:tcPr>
          <w:p w14:paraId="24871B41" w14:textId="77777777" w:rsidR="004E1008" w:rsidRPr="00A33AE8" w:rsidRDefault="004E1008" w:rsidP="004E1008">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6E2D4B07" w14:textId="77777777" w:rsidR="004E1008" w:rsidRPr="00A33AE8" w:rsidRDefault="004E1008" w:rsidP="004E1008">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5AA43125" w14:textId="77777777" w:rsidR="004E1008" w:rsidRPr="00A33AE8" w:rsidRDefault="004E1008" w:rsidP="004E1008"/>
        </w:tc>
      </w:tr>
      <w:tr w:rsidR="004E1008" w:rsidRPr="00A33AE8" w14:paraId="0419910C" w14:textId="77777777" w:rsidTr="00910552">
        <w:trPr>
          <w:trHeight w:val="60"/>
        </w:trPr>
        <w:tc>
          <w:tcPr>
            <w:tcW w:w="0" w:type="auto"/>
            <w:vMerge/>
            <w:tcBorders>
              <w:top w:val="nil"/>
              <w:left w:val="single" w:sz="8" w:space="0" w:color="auto"/>
              <w:bottom w:val="single" w:sz="8" w:space="0" w:color="000000"/>
              <w:right w:val="single" w:sz="8" w:space="0" w:color="auto"/>
            </w:tcBorders>
            <w:vAlign w:val="center"/>
            <w:hideMark/>
          </w:tcPr>
          <w:p w14:paraId="1F9C31A8" w14:textId="77777777" w:rsidR="004E1008" w:rsidRPr="00A33AE8" w:rsidRDefault="004E1008" w:rsidP="004E1008">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4629B659" w14:textId="77777777" w:rsidR="004E1008" w:rsidRPr="00A33AE8" w:rsidRDefault="004E1008" w:rsidP="004E1008">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94556A3" w14:textId="77777777" w:rsidR="004E1008" w:rsidRPr="00A33AE8" w:rsidRDefault="004E1008" w:rsidP="004E1008">
            <w:pPr>
              <w:spacing w:after="0" w:line="256" w:lineRule="auto"/>
              <w:rPr>
                <w:sz w:val="20"/>
                <w:szCs w:val="20"/>
                <w:lang w:eastAsia="en-GB"/>
              </w:rPr>
            </w:pPr>
          </w:p>
        </w:tc>
      </w:tr>
      <w:tr w:rsidR="004E1008" w:rsidRPr="00A33AE8" w14:paraId="3EE37D40" w14:textId="77777777" w:rsidTr="00910552">
        <w:trPr>
          <w:trHeight w:val="576"/>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63DE2710" w14:textId="77777777" w:rsidR="004E1008" w:rsidRPr="00A33AE8" w:rsidRDefault="004E1008" w:rsidP="004E1008">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71" w:type="dxa"/>
            <w:gridSpan w:val="3"/>
            <w:tcBorders>
              <w:top w:val="single" w:sz="8" w:space="0" w:color="auto"/>
              <w:left w:val="nil"/>
              <w:bottom w:val="single" w:sz="8" w:space="0" w:color="auto"/>
              <w:right w:val="single" w:sz="8" w:space="0" w:color="000000"/>
            </w:tcBorders>
            <w:vAlign w:val="center"/>
            <w:hideMark/>
          </w:tcPr>
          <w:p w14:paraId="5C8D895F" w14:textId="77777777" w:rsidR="004E1008" w:rsidRPr="00A33AE8" w:rsidRDefault="004E1008"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p w14:paraId="3CDBE551" w14:textId="77777777" w:rsidR="0010081F" w:rsidRPr="00A33AE8" w:rsidRDefault="0010081F"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on Network Code on High Voltage Direct Current connections (HVDC)</w:t>
            </w:r>
            <w:r w:rsidRPr="00A33AE8">
              <w:rPr>
                <w:rStyle w:val="FootnoteReference"/>
                <w:rFonts w:ascii="Calibri Light" w:eastAsia="Times New Roman" w:hAnsi="Calibri Light" w:cs="Calibri Light"/>
                <w:color w:val="000000"/>
                <w:sz w:val="20"/>
                <w:szCs w:val="20"/>
                <w:lang w:eastAsia="en-GB"/>
              </w:rPr>
              <w:footnoteReference w:id="121"/>
            </w:r>
          </w:p>
          <w:p w14:paraId="5AF92C2A" w14:textId="77777777" w:rsidR="0010081F" w:rsidRPr="00A33AE8" w:rsidRDefault="0010081F"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on Network Code on Customer connections</w:t>
            </w:r>
            <w:r w:rsidRPr="00A33AE8">
              <w:rPr>
                <w:rStyle w:val="FootnoteReference"/>
                <w:rFonts w:ascii="Calibri Light" w:eastAsia="Times New Roman" w:hAnsi="Calibri Light" w:cs="Calibri Light"/>
                <w:color w:val="000000"/>
                <w:sz w:val="20"/>
                <w:szCs w:val="20"/>
                <w:lang w:eastAsia="en-GB"/>
              </w:rPr>
              <w:footnoteReference w:id="122"/>
            </w:r>
          </w:p>
          <w:p w14:paraId="24203C00" w14:textId="77777777" w:rsidR="0010081F" w:rsidRPr="00A33AE8" w:rsidRDefault="0010081F"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on Network Code on production connections</w:t>
            </w:r>
            <w:r w:rsidRPr="00A33AE8">
              <w:rPr>
                <w:rStyle w:val="FootnoteReference"/>
                <w:rFonts w:ascii="Calibri Light" w:eastAsia="Times New Roman" w:hAnsi="Calibri Light" w:cs="Calibri Light"/>
                <w:color w:val="000000"/>
                <w:sz w:val="20"/>
                <w:szCs w:val="20"/>
                <w:lang w:eastAsia="en-GB"/>
              </w:rPr>
              <w:footnoteReference w:id="123"/>
            </w:r>
          </w:p>
        </w:tc>
        <w:tc>
          <w:tcPr>
            <w:tcW w:w="1212" w:type="dxa"/>
            <w:vAlign w:val="center"/>
            <w:hideMark/>
          </w:tcPr>
          <w:p w14:paraId="03AA7F54" w14:textId="77777777" w:rsidR="004E1008" w:rsidRPr="00A33AE8" w:rsidRDefault="004E1008" w:rsidP="004E1008">
            <w:pPr>
              <w:rPr>
                <w:rFonts w:ascii="Calibri Light" w:eastAsia="Times New Roman" w:hAnsi="Calibri Light" w:cs="Calibri Light"/>
                <w:color w:val="000000"/>
                <w:sz w:val="20"/>
                <w:szCs w:val="20"/>
                <w:lang w:eastAsia="en-GB"/>
              </w:rPr>
            </w:pPr>
          </w:p>
        </w:tc>
      </w:tr>
      <w:tr w:rsidR="00910552" w:rsidRPr="00A33AE8" w14:paraId="05F10B24" w14:textId="77777777" w:rsidTr="004E1008">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3848E1E2"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71" w:type="dxa"/>
            <w:gridSpan w:val="3"/>
            <w:tcBorders>
              <w:top w:val="single" w:sz="8" w:space="0" w:color="auto"/>
              <w:left w:val="nil"/>
              <w:bottom w:val="single" w:sz="8" w:space="0" w:color="auto"/>
              <w:right w:val="single" w:sz="8" w:space="0" w:color="000000"/>
            </w:tcBorders>
            <w:vAlign w:val="center"/>
            <w:hideMark/>
          </w:tcPr>
          <w:p w14:paraId="5F0E6893"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46CEC890" w14:textId="77777777" w:rsidR="00910552" w:rsidRPr="00A33AE8" w:rsidRDefault="00910552" w:rsidP="00910552">
            <w:pPr>
              <w:rPr>
                <w:rFonts w:ascii="Calibri" w:eastAsia="Times New Roman" w:hAnsi="Calibri" w:cs="Calibri"/>
                <w:color w:val="000000"/>
                <w:lang w:eastAsia="en-GB"/>
              </w:rPr>
            </w:pPr>
          </w:p>
        </w:tc>
      </w:tr>
      <w:tr w:rsidR="004F1D9E" w:rsidRPr="00A33AE8" w14:paraId="2C156A5F" w14:textId="77777777" w:rsidTr="004E1008">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0B451ADB"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71" w:type="dxa"/>
            <w:gridSpan w:val="3"/>
            <w:tcBorders>
              <w:top w:val="single" w:sz="8" w:space="0" w:color="auto"/>
              <w:left w:val="nil"/>
              <w:bottom w:val="single" w:sz="8" w:space="0" w:color="auto"/>
              <w:right w:val="single" w:sz="8" w:space="0" w:color="000000"/>
            </w:tcBorders>
            <w:vAlign w:val="center"/>
            <w:hideMark/>
          </w:tcPr>
          <w:p w14:paraId="7523EE91"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7E84148D" w14:textId="77777777" w:rsidR="004F1D9E" w:rsidRPr="00A33AE8" w:rsidRDefault="004F1D9E" w:rsidP="004F1D9E">
            <w:pPr>
              <w:rPr>
                <w:rFonts w:ascii="Calibri" w:eastAsia="Times New Roman" w:hAnsi="Calibri" w:cs="Calibri"/>
                <w:color w:val="000000"/>
                <w:lang w:eastAsia="en-GB"/>
              </w:rPr>
            </w:pPr>
          </w:p>
        </w:tc>
      </w:tr>
    </w:tbl>
    <w:p w14:paraId="4C9E8FCF"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24"/>
        <w:gridCol w:w="1309"/>
        <w:gridCol w:w="922"/>
        <w:gridCol w:w="4033"/>
        <w:gridCol w:w="1212"/>
      </w:tblGrid>
      <w:tr w:rsidR="00AE377B" w:rsidRPr="00A33AE8" w14:paraId="5BF9B6E1" w14:textId="77777777" w:rsidTr="002D3D34">
        <w:trPr>
          <w:gridAfter w:val="1"/>
          <w:wAfter w:w="1212" w:type="dxa"/>
          <w:trHeight w:val="555"/>
        </w:trPr>
        <w:tc>
          <w:tcPr>
            <w:tcW w:w="3224"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9FFD51B"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669F7600"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22</w:t>
            </w:r>
          </w:p>
        </w:tc>
        <w:tc>
          <w:tcPr>
            <w:tcW w:w="922" w:type="dxa"/>
            <w:tcBorders>
              <w:top w:val="single" w:sz="8" w:space="0" w:color="auto"/>
              <w:left w:val="nil"/>
              <w:bottom w:val="single" w:sz="8" w:space="0" w:color="auto"/>
              <w:right w:val="single" w:sz="8" w:space="0" w:color="auto"/>
            </w:tcBorders>
            <w:shd w:val="clear" w:color="auto" w:fill="244062"/>
            <w:vAlign w:val="center"/>
            <w:hideMark/>
          </w:tcPr>
          <w:p w14:paraId="0E7ECE52"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33" w:type="dxa"/>
            <w:tcBorders>
              <w:top w:val="single" w:sz="8" w:space="0" w:color="auto"/>
              <w:left w:val="nil"/>
              <w:bottom w:val="single" w:sz="8" w:space="0" w:color="auto"/>
              <w:right w:val="single" w:sz="8" w:space="0" w:color="auto"/>
            </w:tcBorders>
            <w:shd w:val="clear" w:color="auto" w:fill="E7E6E6" w:themeFill="background2"/>
            <w:vAlign w:val="center"/>
            <w:hideMark/>
          </w:tcPr>
          <w:p w14:paraId="31BDDDFB" w14:textId="7779EF74"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Unbundling and Certification of Transmission System Operators</w:t>
            </w:r>
          </w:p>
        </w:tc>
      </w:tr>
      <w:tr w:rsidR="002D3D34" w:rsidRPr="00A33AE8" w14:paraId="3AA672FB" w14:textId="77777777" w:rsidTr="002D3D34">
        <w:trPr>
          <w:gridAfter w:val="1"/>
          <w:wAfter w:w="1212" w:type="dxa"/>
          <w:trHeight w:val="421"/>
        </w:trPr>
        <w:tc>
          <w:tcPr>
            <w:tcW w:w="3224" w:type="dxa"/>
            <w:tcBorders>
              <w:top w:val="nil"/>
              <w:left w:val="single" w:sz="8" w:space="0" w:color="auto"/>
              <w:bottom w:val="single" w:sz="8" w:space="0" w:color="auto"/>
              <w:right w:val="nil"/>
            </w:tcBorders>
            <w:shd w:val="clear" w:color="auto" w:fill="244062"/>
            <w:vAlign w:val="center"/>
            <w:hideMark/>
          </w:tcPr>
          <w:p w14:paraId="15E9C7A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4" w:type="dxa"/>
            <w:gridSpan w:val="3"/>
            <w:tcBorders>
              <w:top w:val="single" w:sz="8" w:space="0" w:color="auto"/>
              <w:left w:val="nil"/>
              <w:bottom w:val="single" w:sz="8" w:space="0" w:color="auto"/>
              <w:right w:val="single" w:sz="8" w:space="0" w:color="000000"/>
            </w:tcBorders>
            <w:vAlign w:val="center"/>
          </w:tcPr>
          <w:p w14:paraId="449C48ED"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Infrastructure, policies and measures related to market-based price formation </w:t>
            </w:r>
          </w:p>
        </w:tc>
      </w:tr>
      <w:tr w:rsidR="002D3D34" w:rsidRPr="00A33AE8" w14:paraId="767615FC" w14:textId="77777777" w:rsidTr="002D3D34">
        <w:trPr>
          <w:gridAfter w:val="1"/>
          <w:wAfter w:w="1212" w:type="dxa"/>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1E95DA9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264" w:type="dxa"/>
            <w:gridSpan w:val="3"/>
            <w:tcBorders>
              <w:top w:val="single" w:sz="8" w:space="0" w:color="auto"/>
              <w:left w:val="nil"/>
              <w:bottom w:val="single" w:sz="8" w:space="0" w:color="auto"/>
              <w:right w:val="single" w:sz="8" w:space="0" w:color="000000"/>
            </w:tcBorders>
            <w:vAlign w:val="center"/>
          </w:tcPr>
          <w:p w14:paraId="75EF3FF8" w14:textId="77777777" w:rsidR="002D3D34" w:rsidRPr="00A33AE8" w:rsidRDefault="002D3D34" w:rsidP="002D3D3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Certification decisions issued</w:t>
            </w:r>
          </w:p>
        </w:tc>
      </w:tr>
      <w:tr w:rsidR="002D3D34" w:rsidRPr="00A33AE8" w14:paraId="53607F5E" w14:textId="77777777" w:rsidTr="002D3D34">
        <w:trPr>
          <w:gridAfter w:val="1"/>
          <w:wAfter w:w="1212" w:type="dxa"/>
          <w:trHeight w:val="1623"/>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2B365F5B"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4" w:type="dxa"/>
            <w:gridSpan w:val="3"/>
            <w:tcBorders>
              <w:top w:val="single" w:sz="8" w:space="0" w:color="auto"/>
              <w:left w:val="nil"/>
              <w:bottom w:val="single" w:sz="8" w:space="0" w:color="auto"/>
              <w:right w:val="single" w:sz="8" w:space="0" w:color="000000"/>
            </w:tcBorders>
            <w:vAlign w:val="center"/>
            <w:hideMark/>
          </w:tcPr>
          <w:p w14:paraId="5FF4F4CE" w14:textId="1E2F9383"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Transportgas Srbija, is unbundled from Srbijagas but not yet certified. Yugorosgaz Transport’s certification was revoked and its unbundling is still pending. Only Gastrans has been certified as an Independent Transmission Operator (ITO) with a 2020 decision of AERS. Overall, the unbundling and certifications of Srbijagas and Yugorosgaz are still pending while the Energy Community Secretariat challenges the certification of Gastrans. The issue of unbundling and certification shall need to be addressed</w:t>
            </w:r>
          </w:p>
        </w:tc>
      </w:tr>
      <w:tr w:rsidR="002D3D34" w:rsidRPr="00A33AE8" w14:paraId="351240DC" w14:textId="77777777" w:rsidTr="005B2C66">
        <w:trPr>
          <w:gridAfter w:val="1"/>
          <w:wAfter w:w="1212" w:type="dxa"/>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38030EA4" w14:textId="77777777" w:rsidR="002D3D34" w:rsidRPr="00A33AE8" w:rsidRDefault="002D3D34" w:rsidP="005B2C66">
            <w:pPr>
              <w:spacing w:after="0" w:line="240" w:lineRule="auto"/>
              <w:jc w:val="center"/>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4" w:type="dxa"/>
            <w:gridSpan w:val="3"/>
            <w:tcBorders>
              <w:top w:val="single" w:sz="8" w:space="0" w:color="auto"/>
              <w:left w:val="nil"/>
              <w:bottom w:val="single" w:sz="8" w:space="0" w:color="auto"/>
              <w:right w:val="single" w:sz="8" w:space="0" w:color="000000"/>
            </w:tcBorders>
            <w:vAlign w:val="center"/>
            <w:hideMark/>
          </w:tcPr>
          <w:p w14:paraId="68558D15"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w:t>
            </w:r>
            <w:r w:rsidR="00DA0DB3">
              <w:rPr>
                <w:rFonts w:ascii="Calibri Light" w:eastAsia="Times New Roman" w:hAnsi="Calibri Light" w:cs="Calibri Light"/>
                <w:color w:val="000000"/>
                <w:sz w:val="20"/>
                <w:szCs w:val="20"/>
                <w:lang w:eastAsia="en-GB"/>
              </w:rPr>
              <w:t>4</w:t>
            </w:r>
          </w:p>
        </w:tc>
      </w:tr>
      <w:tr w:rsidR="002D3D34" w:rsidRPr="00A33AE8" w14:paraId="37F12CA8" w14:textId="77777777" w:rsidTr="002D3D34">
        <w:trPr>
          <w:gridAfter w:val="1"/>
          <w:wAfter w:w="1212" w:type="dxa"/>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184F16C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4" w:type="dxa"/>
            <w:gridSpan w:val="3"/>
            <w:tcBorders>
              <w:top w:val="single" w:sz="8" w:space="0" w:color="auto"/>
              <w:left w:val="nil"/>
              <w:bottom w:val="single" w:sz="8" w:space="0" w:color="auto"/>
              <w:right w:val="single" w:sz="8" w:space="0" w:color="000000"/>
            </w:tcBorders>
            <w:vAlign w:val="center"/>
            <w:hideMark/>
          </w:tcPr>
          <w:p w14:paraId="2D29CED9" w14:textId="77777777" w:rsidR="002D3D34" w:rsidRPr="00A33AE8" w:rsidRDefault="00910552"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77E81D43" w14:textId="77777777" w:rsidTr="002D3D34">
        <w:trPr>
          <w:gridAfter w:val="1"/>
          <w:wAfter w:w="1212" w:type="dxa"/>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3A4AE9F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4" w:type="dxa"/>
            <w:gridSpan w:val="3"/>
            <w:tcBorders>
              <w:top w:val="single" w:sz="8" w:space="0" w:color="auto"/>
              <w:left w:val="nil"/>
              <w:bottom w:val="single" w:sz="8" w:space="0" w:color="auto"/>
              <w:right w:val="single" w:sz="8" w:space="0" w:color="000000"/>
            </w:tcBorders>
            <w:vAlign w:val="center"/>
            <w:hideMark/>
          </w:tcPr>
          <w:p w14:paraId="66FFA19E"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4B69F1E7" w14:textId="77777777" w:rsidTr="002D3D34">
        <w:trPr>
          <w:gridAfter w:val="1"/>
          <w:wAfter w:w="1212" w:type="dxa"/>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1EB77EA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4" w:type="dxa"/>
            <w:gridSpan w:val="3"/>
            <w:tcBorders>
              <w:top w:val="single" w:sz="8" w:space="0" w:color="auto"/>
              <w:left w:val="nil"/>
              <w:bottom w:val="single" w:sz="8" w:space="0" w:color="auto"/>
              <w:right w:val="single" w:sz="8" w:space="0" w:color="000000"/>
            </w:tcBorders>
            <w:vAlign w:val="center"/>
            <w:hideMark/>
          </w:tcPr>
          <w:p w14:paraId="00821141" w14:textId="77777777" w:rsidR="00060CFB" w:rsidRPr="00A33AE8" w:rsidRDefault="002D3D34"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Srbijagas</w:t>
            </w:r>
          </w:p>
          <w:p w14:paraId="18DC9C85" w14:textId="77777777" w:rsidR="00060CFB" w:rsidRPr="00A33AE8" w:rsidRDefault="002D3D34"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Transportgas</w:t>
            </w:r>
          </w:p>
          <w:p w14:paraId="626D4CBE" w14:textId="77777777" w:rsidR="00060CFB" w:rsidRPr="00A33AE8" w:rsidRDefault="002D3D34"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Jugorosgaz</w:t>
            </w:r>
          </w:p>
          <w:p w14:paraId="162603BC" w14:textId="77777777" w:rsidR="002D3D34" w:rsidRPr="00A33AE8" w:rsidRDefault="002D3D34"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7109C15C" w14:textId="77777777" w:rsidTr="002D3D34">
        <w:trPr>
          <w:gridAfter w:val="1"/>
          <w:wAfter w:w="1212" w:type="dxa"/>
          <w:trHeight w:val="315"/>
        </w:trPr>
        <w:tc>
          <w:tcPr>
            <w:tcW w:w="3224" w:type="dxa"/>
            <w:tcBorders>
              <w:top w:val="nil"/>
              <w:left w:val="single" w:sz="8" w:space="0" w:color="auto"/>
              <w:bottom w:val="single" w:sz="8" w:space="0" w:color="auto"/>
              <w:right w:val="nil"/>
            </w:tcBorders>
            <w:shd w:val="clear" w:color="auto" w:fill="244062"/>
            <w:vAlign w:val="center"/>
            <w:hideMark/>
          </w:tcPr>
          <w:p w14:paraId="3A72040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4" w:type="dxa"/>
            <w:gridSpan w:val="3"/>
            <w:tcBorders>
              <w:top w:val="single" w:sz="8" w:space="0" w:color="auto"/>
              <w:left w:val="nil"/>
              <w:bottom w:val="single" w:sz="8" w:space="0" w:color="auto"/>
              <w:right w:val="single" w:sz="8" w:space="0" w:color="000000"/>
            </w:tcBorders>
            <w:vAlign w:val="center"/>
            <w:hideMark/>
          </w:tcPr>
          <w:p w14:paraId="43109971" w14:textId="77777777" w:rsidR="00DF5835" w:rsidRPr="00A33AE8" w:rsidRDefault="00DF5835"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6EDB6049" w14:textId="77777777" w:rsidR="002D3D34" w:rsidRPr="00A33AE8" w:rsidRDefault="002D3D34"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235D514D" w14:textId="77777777" w:rsidTr="002D3D34">
        <w:trPr>
          <w:gridAfter w:val="1"/>
          <w:wAfter w:w="1212" w:type="dxa"/>
          <w:trHeight w:val="315"/>
        </w:trPr>
        <w:tc>
          <w:tcPr>
            <w:tcW w:w="3224" w:type="dxa"/>
            <w:tcBorders>
              <w:top w:val="nil"/>
              <w:left w:val="single" w:sz="8" w:space="0" w:color="auto"/>
              <w:bottom w:val="single" w:sz="8" w:space="0" w:color="auto"/>
              <w:right w:val="nil"/>
            </w:tcBorders>
            <w:shd w:val="clear" w:color="auto" w:fill="244062"/>
            <w:vAlign w:val="center"/>
            <w:hideMark/>
          </w:tcPr>
          <w:p w14:paraId="1E4BD58B"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4" w:type="dxa"/>
            <w:gridSpan w:val="3"/>
            <w:tcBorders>
              <w:top w:val="single" w:sz="8" w:space="0" w:color="auto"/>
              <w:left w:val="nil"/>
              <w:bottom w:val="single" w:sz="8" w:space="0" w:color="auto"/>
              <w:right w:val="single" w:sz="8" w:space="0" w:color="000000"/>
            </w:tcBorders>
            <w:vAlign w:val="center"/>
            <w:hideMark/>
          </w:tcPr>
          <w:p w14:paraId="5E4BF75B"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Certification decision</w:t>
            </w:r>
          </w:p>
        </w:tc>
      </w:tr>
      <w:tr w:rsidR="00A0226E" w:rsidRPr="00A33AE8" w14:paraId="134B37D5" w14:textId="77777777" w:rsidTr="002D3D34">
        <w:trPr>
          <w:gridAfter w:val="1"/>
          <w:wAfter w:w="1212" w:type="dxa"/>
          <w:trHeight w:val="796"/>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4E04B862"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4" w:type="dxa"/>
            <w:gridSpan w:val="3"/>
            <w:tcBorders>
              <w:top w:val="single" w:sz="8" w:space="0" w:color="auto"/>
              <w:left w:val="nil"/>
              <w:bottom w:val="single" w:sz="8" w:space="0" w:color="auto"/>
              <w:right w:val="single" w:sz="8" w:space="0" w:color="000000"/>
            </w:tcBorders>
            <w:vAlign w:val="center"/>
            <w:hideMark/>
          </w:tcPr>
          <w:p w14:paraId="26227765"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2C50D212" w14:textId="77777777" w:rsidTr="002D3D34">
        <w:trPr>
          <w:gridAfter w:val="1"/>
          <w:wAfter w:w="1212" w:type="dxa"/>
          <w:trHeight w:val="450"/>
        </w:trPr>
        <w:tc>
          <w:tcPr>
            <w:tcW w:w="3224" w:type="dxa"/>
            <w:vMerge w:val="restart"/>
            <w:tcBorders>
              <w:top w:val="nil"/>
              <w:left w:val="single" w:sz="8" w:space="0" w:color="auto"/>
              <w:bottom w:val="single" w:sz="8" w:space="0" w:color="000000"/>
              <w:right w:val="single" w:sz="8" w:space="0" w:color="auto"/>
            </w:tcBorders>
            <w:shd w:val="clear" w:color="auto" w:fill="244062"/>
            <w:vAlign w:val="center"/>
            <w:hideMark/>
          </w:tcPr>
          <w:p w14:paraId="47A9AD9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4"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3743638" w14:textId="77777777" w:rsidR="002D3D34" w:rsidRPr="00A33AE8" w:rsidRDefault="002D3D34" w:rsidP="00884F3B">
            <w:pPr>
              <w:pStyle w:val="ListParagraph"/>
              <w:numPr>
                <w:ilvl w:val="0"/>
                <w:numId w:val="72"/>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2009/73/EC</w:t>
            </w:r>
          </w:p>
        </w:tc>
      </w:tr>
      <w:tr w:rsidR="002D3D34" w:rsidRPr="00A33AE8" w14:paraId="5D7D6741"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3397BA35"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4" w:type="dxa"/>
            <w:gridSpan w:val="3"/>
            <w:vMerge/>
            <w:tcBorders>
              <w:top w:val="single" w:sz="8" w:space="0" w:color="auto"/>
              <w:left w:val="single" w:sz="8" w:space="0" w:color="auto"/>
              <w:bottom w:val="single" w:sz="8" w:space="0" w:color="000000"/>
              <w:right w:val="single" w:sz="8" w:space="0" w:color="000000"/>
            </w:tcBorders>
            <w:vAlign w:val="center"/>
            <w:hideMark/>
          </w:tcPr>
          <w:p w14:paraId="5ECF4989"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5144F525" w14:textId="77777777" w:rsidR="002D3D34" w:rsidRPr="00A33AE8" w:rsidRDefault="002D3D34" w:rsidP="002D3D34"/>
        </w:tc>
      </w:tr>
      <w:tr w:rsidR="002D3D34" w:rsidRPr="00A33AE8" w14:paraId="6B06B746" w14:textId="77777777" w:rsidTr="00910552">
        <w:trPr>
          <w:trHeight w:val="60"/>
        </w:trPr>
        <w:tc>
          <w:tcPr>
            <w:tcW w:w="0" w:type="auto"/>
            <w:vMerge/>
            <w:tcBorders>
              <w:top w:val="nil"/>
              <w:left w:val="single" w:sz="8" w:space="0" w:color="auto"/>
              <w:bottom w:val="single" w:sz="8" w:space="0" w:color="000000"/>
              <w:right w:val="single" w:sz="8" w:space="0" w:color="auto"/>
            </w:tcBorders>
            <w:vAlign w:val="center"/>
            <w:hideMark/>
          </w:tcPr>
          <w:p w14:paraId="2EEF0826"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4" w:type="dxa"/>
            <w:gridSpan w:val="3"/>
            <w:vMerge/>
            <w:tcBorders>
              <w:top w:val="single" w:sz="8" w:space="0" w:color="auto"/>
              <w:left w:val="single" w:sz="8" w:space="0" w:color="auto"/>
              <w:bottom w:val="single" w:sz="8" w:space="0" w:color="000000"/>
              <w:right w:val="single" w:sz="8" w:space="0" w:color="000000"/>
            </w:tcBorders>
            <w:vAlign w:val="center"/>
            <w:hideMark/>
          </w:tcPr>
          <w:p w14:paraId="231863FC"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79C08DA4" w14:textId="77777777" w:rsidR="002D3D34" w:rsidRPr="00A33AE8" w:rsidRDefault="002D3D34" w:rsidP="002D3D34">
            <w:pPr>
              <w:spacing w:after="0" w:line="256" w:lineRule="auto"/>
              <w:rPr>
                <w:sz w:val="20"/>
                <w:szCs w:val="20"/>
                <w:lang w:eastAsia="en-GB"/>
              </w:rPr>
            </w:pPr>
          </w:p>
        </w:tc>
      </w:tr>
      <w:tr w:rsidR="002D3D34" w:rsidRPr="00A33AE8" w14:paraId="2FEB01FA" w14:textId="77777777" w:rsidTr="002D3D34">
        <w:trPr>
          <w:trHeight w:val="780"/>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7BB1EB7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4" w:type="dxa"/>
            <w:gridSpan w:val="3"/>
            <w:tcBorders>
              <w:top w:val="single" w:sz="8" w:space="0" w:color="auto"/>
              <w:left w:val="nil"/>
              <w:bottom w:val="single" w:sz="8" w:space="0" w:color="auto"/>
              <w:right w:val="single" w:sz="8" w:space="0" w:color="000000"/>
            </w:tcBorders>
            <w:vAlign w:val="center"/>
            <w:hideMark/>
          </w:tcPr>
          <w:p w14:paraId="73A2475B" w14:textId="77777777" w:rsidR="002D3D34" w:rsidRPr="00A33AE8" w:rsidRDefault="002D3D34"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33987142" w14:textId="77777777" w:rsidR="002D3D34" w:rsidRPr="00A33AE8" w:rsidRDefault="002D3D34" w:rsidP="00884F3B">
            <w:pPr>
              <w:pStyle w:val="ListParagraph"/>
              <w:numPr>
                <w:ilvl w:val="0"/>
                <w:numId w:val="6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Action Plan for Implementation of Activities for the Restructuring of PE Srbijagas and Yugorosgaz Transport</w:t>
            </w:r>
          </w:p>
        </w:tc>
        <w:tc>
          <w:tcPr>
            <w:tcW w:w="1212" w:type="dxa"/>
            <w:vAlign w:val="center"/>
            <w:hideMark/>
          </w:tcPr>
          <w:p w14:paraId="7A3DCCE9"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46582647" w14:textId="77777777" w:rsidTr="002D3D34">
        <w:trPr>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65B7AD0F"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4" w:type="dxa"/>
            <w:gridSpan w:val="3"/>
            <w:tcBorders>
              <w:top w:val="single" w:sz="8" w:space="0" w:color="auto"/>
              <w:left w:val="nil"/>
              <w:bottom w:val="single" w:sz="8" w:space="0" w:color="auto"/>
              <w:right w:val="single" w:sz="8" w:space="0" w:color="000000"/>
            </w:tcBorders>
            <w:vAlign w:val="center"/>
            <w:hideMark/>
          </w:tcPr>
          <w:p w14:paraId="5276FF1A"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3A255C71" w14:textId="77777777" w:rsidR="00910552" w:rsidRPr="00A33AE8" w:rsidRDefault="00910552" w:rsidP="00910552">
            <w:pPr>
              <w:rPr>
                <w:rFonts w:ascii="Calibri" w:eastAsia="Times New Roman" w:hAnsi="Calibri" w:cs="Calibri"/>
                <w:color w:val="000000"/>
                <w:lang w:eastAsia="en-GB"/>
              </w:rPr>
            </w:pPr>
          </w:p>
        </w:tc>
      </w:tr>
      <w:tr w:rsidR="004F1D9E" w:rsidRPr="00A33AE8" w14:paraId="6D9B2BE2" w14:textId="77777777" w:rsidTr="002D3D34">
        <w:trPr>
          <w:trHeight w:val="315"/>
        </w:trPr>
        <w:tc>
          <w:tcPr>
            <w:tcW w:w="3224" w:type="dxa"/>
            <w:tcBorders>
              <w:top w:val="nil"/>
              <w:left w:val="single" w:sz="8" w:space="0" w:color="auto"/>
              <w:bottom w:val="single" w:sz="8" w:space="0" w:color="auto"/>
              <w:right w:val="single" w:sz="8" w:space="0" w:color="auto"/>
            </w:tcBorders>
            <w:shd w:val="clear" w:color="auto" w:fill="244062"/>
            <w:vAlign w:val="center"/>
            <w:hideMark/>
          </w:tcPr>
          <w:p w14:paraId="3EC159B8"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4" w:type="dxa"/>
            <w:gridSpan w:val="3"/>
            <w:tcBorders>
              <w:top w:val="single" w:sz="8" w:space="0" w:color="auto"/>
              <w:left w:val="nil"/>
              <w:bottom w:val="single" w:sz="8" w:space="0" w:color="auto"/>
              <w:right w:val="single" w:sz="8" w:space="0" w:color="000000"/>
            </w:tcBorders>
            <w:vAlign w:val="center"/>
            <w:hideMark/>
          </w:tcPr>
          <w:p w14:paraId="1A9BBF36"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64034C83" w14:textId="77777777" w:rsidR="004F1D9E" w:rsidRPr="00A33AE8" w:rsidRDefault="004F1D9E" w:rsidP="004F1D9E">
            <w:pPr>
              <w:rPr>
                <w:rFonts w:ascii="Calibri" w:eastAsia="Times New Roman" w:hAnsi="Calibri" w:cs="Calibri"/>
                <w:color w:val="000000"/>
                <w:lang w:eastAsia="en-GB"/>
              </w:rPr>
            </w:pPr>
          </w:p>
        </w:tc>
      </w:tr>
    </w:tbl>
    <w:p w14:paraId="74EF6553"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17"/>
        <w:gridCol w:w="1309"/>
        <w:gridCol w:w="920"/>
        <w:gridCol w:w="4042"/>
        <w:gridCol w:w="1212"/>
      </w:tblGrid>
      <w:tr w:rsidR="00AE377B" w:rsidRPr="00A33AE8" w14:paraId="0235C3CE" w14:textId="77777777" w:rsidTr="002D3D34">
        <w:trPr>
          <w:gridAfter w:val="1"/>
          <w:wAfter w:w="1212" w:type="dxa"/>
          <w:trHeight w:val="523"/>
        </w:trPr>
        <w:tc>
          <w:tcPr>
            <w:tcW w:w="321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F0F1478"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2091080D"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23</w:t>
            </w:r>
          </w:p>
        </w:tc>
        <w:tc>
          <w:tcPr>
            <w:tcW w:w="920" w:type="dxa"/>
            <w:tcBorders>
              <w:top w:val="single" w:sz="8" w:space="0" w:color="auto"/>
              <w:left w:val="nil"/>
              <w:bottom w:val="single" w:sz="8" w:space="0" w:color="auto"/>
              <w:right w:val="single" w:sz="8" w:space="0" w:color="auto"/>
            </w:tcBorders>
            <w:shd w:val="clear" w:color="auto" w:fill="244062"/>
            <w:vAlign w:val="center"/>
            <w:hideMark/>
          </w:tcPr>
          <w:p w14:paraId="76EEA6FF"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3C898165"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Implementation of Regulation (EU) 2017/459</w:t>
            </w:r>
          </w:p>
        </w:tc>
      </w:tr>
      <w:tr w:rsidR="002D3D34" w:rsidRPr="00A33AE8" w14:paraId="61D1F775" w14:textId="77777777" w:rsidTr="002D3D34">
        <w:trPr>
          <w:gridAfter w:val="1"/>
          <w:wAfter w:w="1212" w:type="dxa"/>
          <w:trHeight w:val="960"/>
        </w:trPr>
        <w:tc>
          <w:tcPr>
            <w:tcW w:w="3217" w:type="dxa"/>
            <w:tcBorders>
              <w:top w:val="nil"/>
              <w:left w:val="single" w:sz="8" w:space="0" w:color="auto"/>
              <w:bottom w:val="single" w:sz="8" w:space="0" w:color="auto"/>
              <w:right w:val="nil"/>
            </w:tcBorders>
            <w:shd w:val="clear" w:color="auto" w:fill="244062"/>
            <w:vAlign w:val="center"/>
            <w:hideMark/>
          </w:tcPr>
          <w:p w14:paraId="63A56D9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71" w:type="dxa"/>
            <w:gridSpan w:val="3"/>
            <w:tcBorders>
              <w:top w:val="single" w:sz="8" w:space="0" w:color="auto"/>
              <w:left w:val="nil"/>
              <w:bottom w:val="single" w:sz="8" w:space="0" w:color="auto"/>
              <w:right w:val="single" w:sz="8" w:space="0" w:color="000000"/>
            </w:tcBorders>
            <w:vAlign w:val="center"/>
          </w:tcPr>
          <w:p w14:paraId="5C69CC5D"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Infrastructure, policies and measures related to market-based price formation, market integration aimed at increasing the tradeable capacity, Consumer protection and improvement of competition, regional integration</w:t>
            </w:r>
          </w:p>
        </w:tc>
      </w:tr>
      <w:tr w:rsidR="002D3D34" w:rsidRPr="00A33AE8" w14:paraId="0E7E47FD"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4F0F1E0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71" w:type="dxa"/>
            <w:gridSpan w:val="3"/>
            <w:tcBorders>
              <w:top w:val="single" w:sz="8" w:space="0" w:color="auto"/>
              <w:left w:val="nil"/>
              <w:bottom w:val="single" w:sz="8" w:space="0" w:color="auto"/>
              <w:right w:val="single" w:sz="8" w:space="0" w:color="000000"/>
            </w:tcBorders>
            <w:vAlign w:val="center"/>
          </w:tcPr>
          <w:p w14:paraId="11FF697B" w14:textId="77777777" w:rsidR="002D3D34" w:rsidRPr="00A33AE8" w:rsidRDefault="002D3D34" w:rsidP="002D3D3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Adoption of Regulation</w:t>
            </w:r>
          </w:p>
        </w:tc>
      </w:tr>
      <w:tr w:rsidR="002D3D34" w:rsidRPr="00A33AE8" w14:paraId="7D4F19A1" w14:textId="77777777" w:rsidTr="002D3D34">
        <w:trPr>
          <w:gridAfter w:val="1"/>
          <w:wAfter w:w="1212" w:type="dxa"/>
          <w:trHeight w:val="726"/>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D9C602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71" w:type="dxa"/>
            <w:gridSpan w:val="3"/>
            <w:tcBorders>
              <w:top w:val="single" w:sz="8" w:space="0" w:color="auto"/>
              <w:left w:val="nil"/>
              <w:bottom w:val="single" w:sz="8" w:space="0" w:color="auto"/>
              <w:right w:val="single" w:sz="8" w:space="0" w:color="000000"/>
            </w:tcBorders>
            <w:vAlign w:val="center"/>
            <w:hideMark/>
          </w:tcPr>
          <w:p w14:paraId="13213DDE" w14:textId="559CB1B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As an Energy Community Contracting Party, Serbia was obliged to implement the Regulation by 28 February 2020. Implementation is still pending. The policy refers to the implementation of the regulation. Transposition and Implementation are still pending.</w:t>
            </w:r>
          </w:p>
        </w:tc>
      </w:tr>
      <w:tr w:rsidR="00AE377B" w:rsidRPr="00A33AE8" w14:paraId="1E304CB1"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E97273A"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71" w:type="dxa"/>
            <w:gridSpan w:val="3"/>
            <w:tcBorders>
              <w:top w:val="single" w:sz="8" w:space="0" w:color="auto"/>
              <w:left w:val="nil"/>
              <w:bottom w:val="single" w:sz="8" w:space="0" w:color="auto"/>
              <w:right w:val="single" w:sz="8" w:space="0" w:color="000000"/>
            </w:tcBorders>
            <w:vAlign w:val="center"/>
            <w:hideMark/>
          </w:tcPr>
          <w:p w14:paraId="67C8D215" w14:textId="77777777" w:rsidR="00AE377B" w:rsidRPr="00A33AE8" w:rsidRDefault="00A7468A">
            <w:pPr>
              <w:spacing w:after="0" w:line="240" w:lineRule="auto"/>
              <w:jc w:val="both"/>
              <w:rPr>
                <w:rFonts w:ascii="Calibri Light" w:eastAsia="Times New Roman" w:hAnsi="Calibri Light" w:cs="Calibri Light"/>
                <w:color w:val="000000"/>
                <w:sz w:val="20"/>
                <w:szCs w:val="20"/>
                <w:lang w:eastAsia="en-GB"/>
              </w:rPr>
            </w:pPr>
            <w:r>
              <w:rPr>
                <w:rFonts w:ascii="Calibri Light" w:eastAsia="Times New Roman" w:hAnsi="Calibri Light" w:cs="Calibri Light"/>
                <w:color w:val="000000"/>
                <w:sz w:val="20"/>
                <w:szCs w:val="20"/>
                <w:lang w:eastAsia="en-GB"/>
              </w:rPr>
              <w:t>2024</w:t>
            </w:r>
          </w:p>
        </w:tc>
      </w:tr>
      <w:tr w:rsidR="002D3D34" w:rsidRPr="00A33AE8" w14:paraId="623DE3A9"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3DFAECB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71" w:type="dxa"/>
            <w:gridSpan w:val="3"/>
            <w:tcBorders>
              <w:top w:val="single" w:sz="8" w:space="0" w:color="auto"/>
              <w:left w:val="nil"/>
              <w:bottom w:val="single" w:sz="8" w:space="0" w:color="auto"/>
              <w:right w:val="single" w:sz="8" w:space="0" w:color="000000"/>
            </w:tcBorders>
            <w:vAlign w:val="center"/>
            <w:hideMark/>
          </w:tcPr>
          <w:p w14:paraId="5E579D64" w14:textId="77777777" w:rsidR="002D3D34" w:rsidRPr="00A33AE8" w:rsidRDefault="00910552"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520FFBAE"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7B53BE88"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71" w:type="dxa"/>
            <w:gridSpan w:val="3"/>
            <w:tcBorders>
              <w:top w:val="single" w:sz="8" w:space="0" w:color="auto"/>
              <w:left w:val="nil"/>
              <w:bottom w:val="single" w:sz="8" w:space="0" w:color="auto"/>
              <w:right w:val="single" w:sz="8" w:space="0" w:color="000000"/>
            </w:tcBorders>
            <w:vAlign w:val="center"/>
            <w:hideMark/>
          </w:tcPr>
          <w:p w14:paraId="56C15613"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4F87815A"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4A3727D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40FF3C17" w14:textId="77777777" w:rsidR="00060CFB" w:rsidRPr="00A33AE8" w:rsidRDefault="002D3D34" w:rsidP="00884F3B">
            <w:pPr>
              <w:pStyle w:val="ListParagraph"/>
              <w:numPr>
                <w:ilvl w:val="0"/>
                <w:numId w:val="7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1AB11CEB" w14:textId="77777777" w:rsidR="00060CFB" w:rsidRPr="00A33AE8" w:rsidRDefault="002D3D34" w:rsidP="00884F3B">
            <w:pPr>
              <w:pStyle w:val="ListParagraph"/>
              <w:numPr>
                <w:ilvl w:val="0"/>
                <w:numId w:val="7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 system operators</w:t>
            </w:r>
          </w:p>
          <w:p w14:paraId="17AF1FB1" w14:textId="77777777" w:rsidR="00060CFB" w:rsidRPr="00A33AE8" w:rsidRDefault="00060CFB" w:rsidP="00884F3B">
            <w:pPr>
              <w:pStyle w:val="ListParagraph"/>
              <w:numPr>
                <w:ilvl w:val="0"/>
                <w:numId w:val="7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45F853F" w14:textId="77777777" w:rsidR="002D3D34" w:rsidRPr="00A33AE8" w:rsidRDefault="002D3D34" w:rsidP="00884F3B">
            <w:pPr>
              <w:pStyle w:val="ListParagraph"/>
              <w:numPr>
                <w:ilvl w:val="0"/>
                <w:numId w:val="7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2D3D34" w:rsidRPr="00A33AE8" w14:paraId="5EDC4EDC" w14:textId="77777777" w:rsidTr="002D3D34">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1C7A2DC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163A8A67" w14:textId="77777777" w:rsidR="002D3D34" w:rsidRPr="00A33AE8" w:rsidRDefault="002D3D34" w:rsidP="00884F3B">
            <w:pPr>
              <w:pStyle w:val="ListParagraph"/>
              <w:numPr>
                <w:ilvl w:val="0"/>
                <w:numId w:val="7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01B2270B" w14:textId="77777777" w:rsidTr="002D3D34">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44CA25A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71" w:type="dxa"/>
            <w:gridSpan w:val="3"/>
            <w:tcBorders>
              <w:top w:val="single" w:sz="8" w:space="0" w:color="auto"/>
              <w:left w:val="nil"/>
              <w:bottom w:val="single" w:sz="8" w:space="0" w:color="auto"/>
              <w:right w:val="single" w:sz="8" w:space="0" w:color="000000"/>
            </w:tcBorders>
            <w:vAlign w:val="center"/>
            <w:hideMark/>
          </w:tcPr>
          <w:p w14:paraId="1A13B923"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Transposition of Regulation, offer of capacity through auctions in a capacity booking platform</w:t>
            </w:r>
          </w:p>
        </w:tc>
      </w:tr>
      <w:tr w:rsidR="00A0226E" w:rsidRPr="00A33AE8" w14:paraId="2010BE28" w14:textId="77777777" w:rsidTr="002D3D34">
        <w:trPr>
          <w:gridAfter w:val="1"/>
          <w:wAfter w:w="1212" w:type="dxa"/>
          <w:trHeight w:val="840"/>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2A9094BC"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271" w:type="dxa"/>
            <w:gridSpan w:val="3"/>
            <w:tcBorders>
              <w:top w:val="single" w:sz="8" w:space="0" w:color="auto"/>
              <w:left w:val="nil"/>
              <w:bottom w:val="single" w:sz="8" w:space="0" w:color="auto"/>
              <w:right w:val="single" w:sz="8" w:space="0" w:color="000000"/>
            </w:tcBorders>
            <w:vAlign w:val="center"/>
            <w:hideMark/>
          </w:tcPr>
          <w:p w14:paraId="07A6AB92"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7CE059F8" w14:textId="77777777" w:rsidTr="002D3D34">
        <w:trPr>
          <w:gridAfter w:val="1"/>
          <w:wAfter w:w="1212" w:type="dxa"/>
          <w:trHeight w:val="450"/>
        </w:trPr>
        <w:tc>
          <w:tcPr>
            <w:tcW w:w="3217" w:type="dxa"/>
            <w:vMerge w:val="restart"/>
            <w:tcBorders>
              <w:top w:val="nil"/>
              <w:left w:val="single" w:sz="8" w:space="0" w:color="auto"/>
              <w:bottom w:val="single" w:sz="8" w:space="0" w:color="000000"/>
              <w:right w:val="single" w:sz="8" w:space="0" w:color="auto"/>
            </w:tcBorders>
            <w:shd w:val="clear" w:color="auto" w:fill="244062"/>
            <w:vAlign w:val="center"/>
            <w:hideMark/>
          </w:tcPr>
          <w:p w14:paraId="3D5BCE43"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7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604AFFE" w14:textId="77777777" w:rsidR="002D3D34" w:rsidRPr="00A33AE8" w:rsidRDefault="002D3D34" w:rsidP="00884F3B">
            <w:pPr>
              <w:pStyle w:val="ListParagraph"/>
              <w:numPr>
                <w:ilvl w:val="0"/>
                <w:numId w:val="75"/>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2017/459</w:t>
            </w:r>
          </w:p>
        </w:tc>
      </w:tr>
      <w:tr w:rsidR="002D3D34" w:rsidRPr="00A33AE8" w14:paraId="19ACF836"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45E86FDC"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01183300"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186945F1" w14:textId="77777777" w:rsidR="002D3D34" w:rsidRPr="00A33AE8" w:rsidRDefault="002D3D34" w:rsidP="002D3D34"/>
        </w:tc>
      </w:tr>
      <w:tr w:rsidR="002D3D34" w:rsidRPr="00A33AE8" w14:paraId="7604C3CB"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1BBADD70"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6ACDDB27"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765D57F8" w14:textId="77777777" w:rsidR="002D3D34" w:rsidRPr="00A33AE8" w:rsidRDefault="002D3D34" w:rsidP="002D3D34">
            <w:pPr>
              <w:spacing w:after="0" w:line="256" w:lineRule="auto"/>
              <w:rPr>
                <w:sz w:val="20"/>
                <w:szCs w:val="20"/>
                <w:lang w:eastAsia="en-GB"/>
              </w:rPr>
            </w:pPr>
          </w:p>
        </w:tc>
      </w:tr>
      <w:tr w:rsidR="002D3D34" w:rsidRPr="00A33AE8" w14:paraId="684259CE" w14:textId="77777777" w:rsidTr="002D3D34">
        <w:trPr>
          <w:trHeight w:val="780"/>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2FD848F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71" w:type="dxa"/>
            <w:gridSpan w:val="3"/>
            <w:tcBorders>
              <w:top w:val="single" w:sz="8" w:space="0" w:color="auto"/>
              <w:left w:val="nil"/>
              <w:bottom w:val="single" w:sz="8" w:space="0" w:color="auto"/>
              <w:right w:val="single" w:sz="8" w:space="0" w:color="000000"/>
            </w:tcBorders>
            <w:vAlign w:val="center"/>
            <w:hideMark/>
          </w:tcPr>
          <w:p w14:paraId="17732BAE" w14:textId="77777777" w:rsidR="002D3D34" w:rsidRPr="00A33AE8" w:rsidRDefault="002D3D34" w:rsidP="00884F3B">
            <w:pPr>
              <w:pStyle w:val="ListParagraph"/>
              <w:numPr>
                <w:ilvl w:val="0"/>
                <w:numId w:val="7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385F7BCB" w14:textId="77777777" w:rsidR="002D3D34" w:rsidRPr="00A33AE8" w:rsidRDefault="002D3D34" w:rsidP="00884F3B">
            <w:pPr>
              <w:pStyle w:val="ListParagraph"/>
              <w:numPr>
                <w:ilvl w:val="0"/>
                <w:numId w:val="74"/>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Action Plan for the Implementation of Activities aimed at Reorganizing PE Srbijagas</w:t>
            </w:r>
          </w:p>
        </w:tc>
        <w:tc>
          <w:tcPr>
            <w:tcW w:w="1212" w:type="dxa"/>
            <w:vAlign w:val="center"/>
            <w:hideMark/>
          </w:tcPr>
          <w:p w14:paraId="421CDC75"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191C6400" w14:textId="77777777" w:rsidTr="002D3D34">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47C23DA"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71" w:type="dxa"/>
            <w:gridSpan w:val="3"/>
            <w:tcBorders>
              <w:top w:val="single" w:sz="8" w:space="0" w:color="auto"/>
              <w:left w:val="nil"/>
              <w:bottom w:val="single" w:sz="8" w:space="0" w:color="auto"/>
              <w:right w:val="single" w:sz="8" w:space="0" w:color="000000"/>
            </w:tcBorders>
            <w:vAlign w:val="center"/>
            <w:hideMark/>
          </w:tcPr>
          <w:p w14:paraId="3978513D"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57D17257" w14:textId="77777777" w:rsidR="00910552" w:rsidRPr="00A33AE8" w:rsidRDefault="00910552" w:rsidP="00910552">
            <w:pPr>
              <w:rPr>
                <w:rFonts w:ascii="Calibri" w:eastAsia="Times New Roman" w:hAnsi="Calibri" w:cs="Calibri"/>
                <w:color w:val="000000"/>
                <w:lang w:eastAsia="en-GB"/>
              </w:rPr>
            </w:pPr>
          </w:p>
        </w:tc>
      </w:tr>
      <w:tr w:rsidR="004F1D9E" w:rsidRPr="00A33AE8" w14:paraId="65FB6093" w14:textId="77777777" w:rsidTr="002D3D34">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71351928"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71" w:type="dxa"/>
            <w:gridSpan w:val="3"/>
            <w:tcBorders>
              <w:top w:val="single" w:sz="8" w:space="0" w:color="auto"/>
              <w:left w:val="nil"/>
              <w:bottom w:val="single" w:sz="8" w:space="0" w:color="auto"/>
              <w:right w:val="single" w:sz="8" w:space="0" w:color="000000"/>
            </w:tcBorders>
            <w:vAlign w:val="center"/>
            <w:hideMark/>
          </w:tcPr>
          <w:p w14:paraId="1D130679"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7DEC1C01" w14:textId="77777777" w:rsidR="004F1D9E" w:rsidRPr="00A33AE8" w:rsidRDefault="004F1D9E" w:rsidP="004F1D9E">
            <w:pPr>
              <w:rPr>
                <w:rFonts w:ascii="Calibri" w:eastAsia="Times New Roman" w:hAnsi="Calibri" w:cs="Calibri"/>
                <w:color w:val="000000"/>
                <w:lang w:eastAsia="en-GB"/>
              </w:rPr>
            </w:pPr>
          </w:p>
        </w:tc>
      </w:tr>
    </w:tbl>
    <w:p w14:paraId="77B4DE4F"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17"/>
        <w:gridCol w:w="1309"/>
        <w:gridCol w:w="920"/>
        <w:gridCol w:w="4042"/>
        <w:gridCol w:w="1212"/>
      </w:tblGrid>
      <w:tr w:rsidR="00AE377B" w:rsidRPr="00A33AE8" w14:paraId="339CD566" w14:textId="77777777" w:rsidTr="002D3D34">
        <w:trPr>
          <w:gridAfter w:val="1"/>
          <w:wAfter w:w="1212" w:type="dxa"/>
          <w:trHeight w:val="780"/>
        </w:trPr>
        <w:tc>
          <w:tcPr>
            <w:tcW w:w="321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0C18704"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4B658A48"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24</w:t>
            </w:r>
          </w:p>
        </w:tc>
        <w:tc>
          <w:tcPr>
            <w:tcW w:w="920" w:type="dxa"/>
            <w:tcBorders>
              <w:top w:val="single" w:sz="8" w:space="0" w:color="auto"/>
              <w:left w:val="nil"/>
              <w:bottom w:val="single" w:sz="8" w:space="0" w:color="auto"/>
              <w:right w:val="single" w:sz="8" w:space="0" w:color="auto"/>
            </w:tcBorders>
            <w:shd w:val="clear" w:color="auto" w:fill="244062"/>
            <w:vAlign w:val="center"/>
            <w:hideMark/>
          </w:tcPr>
          <w:p w14:paraId="1176C04E"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3BC2324"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Implementation of Regulation (EU) 2017/460</w:t>
            </w:r>
          </w:p>
        </w:tc>
      </w:tr>
      <w:tr w:rsidR="002D3D34" w:rsidRPr="00A33AE8" w14:paraId="15AEA931" w14:textId="77777777" w:rsidTr="002D3D34">
        <w:trPr>
          <w:gridAfter w:val="1"/>
          <w:wAfter w:w="1212" w:type="dxa"/>
          <w:trHeight w:val="423"/>
        </w:trPr>
        <w:tc>
          <w:tcPr>
            <w:tcW w:w="3217" w:type="dxa"/>
            <w:tcBorders>
              <w:top w:val="nil"/>
              <w:left w:val="single" w:sz="8" w:space="0" w:color="auto"/>
              <w:bottom w:val="single" w:sz="8" w:space="0" w:color="auto"/>
              <w:right w:val="nil"/>
            </w:tcBorders>
            <w:shd w:val="clear" w:color="auto" w:fill="244062"/>
            <w:vAlign w:val="center"/>
            <w:hideMark/>
          </w:tcPr>
          <w:p w14:paraId="22B3822C"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71" w:type="dxa"/>
            <w:gridSpan w:val="3"/>
            <w:tcBorders>
              <w:top w:val="single" w:sz="8" w:space="0" w:color="auto"/>
              <w:left w:val="nil"/>
              <w:bottom w:val="single" w:sz="8" w:space="0" w:color="auto"/>
              <w:right w:val="single" w:sz="8" w:space="0" w:color="000000"/>
            </w:tcBorders>
            <w:vAlign w:val="center"/>
          </w:tcPr>
          <w:p w14:paraId="5B959CD6"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Infrastructure, policies and measures related to market-based price formation, market integration aimed at increasing the tradeable capacity, Consumer protection and improvement of competition, regional integration</w:t>
            </w:r>
          </w:p>
        </w:tc>
      </w:tr>
      <w:tr w:rsidR="002D3D34" w:rsidRPr="00A33AE8" w14:paraId="1BDF392A"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689D8268"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71" w:type="dxa"/>
            <w:gridSpan w:val="3"/>
            <w:tcBorders>
              <w:top w:val="single" w:sz="8" w:space="0" w:color="auto"/>
              <w:left w:val="nil"/>
              <w:bottom w:val="single" w:sz="8" w:space="0" w:color="auto"/>
              <w:right w:val="single" w:sz="8" w:space="0" w:color="000000"/>
            </w:tcBorders>
            <w:vAlign w:val="center"/>
          </w:tcPr>
          <w:p w14:paraId="7DA0C62A" w14:textId="77777777" w:rsidR="002D3D34" w:rsidRPr="00A33AE8" w:rsidRDefault="002D3D34" w:rsidP="002D3D3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Transposition of Regulation</w:t>
            </w:r>
          </w:p>
        </w:tc>
      </w:tr>
      <w:tr w:rsidR="002D3D34" w:rsidRPr="00A33AE8" w14:paraId="0BC4B3FD" w14:textId="77777777" w:rsidTr="002D3D34">
        <w:trPr>
          <w:gridAfter w:val="1"/>
          <w:wAfter w:w="1212" w:type="dxa"/>
          <w:trHeight w:val="632"/>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DA0B62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71" w:type="dxa"/>
            <w:gridSpan w:val="3"/>
            <w:tcBorders>
              <w:top w:val="single" w:sz="8" w:space="0" w:color="auto"/>
              <w:left w:val="nil"/>
              <w:bottom w:val="single" w:sz="8" w:space="0" w:color="auto"/>
              <w:right w:val="single" w:sz="8" w:space="0" w:color="000000"/>
            </w:tcBorders>
            <w:vAlign w:val="center"/>
            <w:hideMark/>
          </w:tcPr>
          <w:p w14:paraId="797800D4" w14:textId="67A78FE9"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As an Energy Community Contracting Party, Serbia was obliged to implement the Regulation by 28 February 2020. The policy refers to the implementation of the regulation. Transposition and Implementation are still pending. </w:t>
            </w:r>
            <w:r w:rsidR="00C43937" w:rsidRPr="000007D2">
              <w:rPr>
                <w:rFonts w:ascii="Calibri Light" w:eastAsia="Times New Roman" w:hAnsi="Calibri Light" w:cs="Calibri Light"/>
                <w:color w:val="000000"/>
                <w:sz w:val="20"/>
                <w:szCs w:val="20"/>
                <w:lang w:eastAsia="en-GB"/>
              </w:rPr>
              <w:t>I</w:t>
            </w:r>
            <w:r w:rsidRPr="00A33AE8">
              <w:rPr>
                <w:rFonts w:ascii="Calibri Light" w:eastAsia="Times New Roman" w:hAnsi="Calibri Light" w:cs="Calibri Light"/>
                <w:color w:val="000000"/>
                <w:sz w:val="20"/>
                <w:szCs w:val="20"/>
                <w:lang w:eastAsia="en-GB"/>
              </w:rPr>
              <w:t>t is necessary to continue work on the process of implementing grid codes implementation</w:t>
            </w:r>
            <w:r w:rsidR="00D809E2">
              <w:rPr>
                <w:rFonts w:ascii="Calibri Light" w:eastAsia="Times New Roman" w:hAnsi="Calibri Light" w:cs="Calibri Light"/>
                <w:color w:val="000000"/>
                <w:sz w:val="20"/>
                <w:szCs w:val="20"/>
                <w:lang w:eastAsia="en-GB"/>
              </w:rPr>
              <w:t>.</w:t>
            </w:r>
          </w:p>
        </w:tc>
      </w:tr>
      <w:tr w:rsidR="00AE377B" w:rsidRPr="00A33AE8" w14:paraId="6FF730F2"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439A4D7"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71" w:type="dxa"/>
            <w:gridSpan w:val="3"/>
            <w:tcBorders>
              <w:top w:val="single" w:sz="8" w:space="0" w:color="auto"/>
              <w:left w:val="nil"/>
              <w:bottom w:val="single" w:sz="8" w:space="0" w:color="auto"/>
              <w:right w:val="single" w:sz="8" w:space="0" w:color="000000"/>
            </w:tcBorders>
            <w:vAlign w:val="center"/>
            <w:hideMark/>
          </w:tcPr>
          <w:p w14:paraId="02757ADD" w14:textId="77777777" w:rsidR="00AE377B" w:rsidRPr="00A33AE8" w:rsidRDefault="00B731FA">
            <w:pPr>
              <w:spacing w:after="0" w:line="240" w:lineRule="auto"/>
              <w:jc w:val="both"/>
              <w:rPr>
                <w:rFonts w:ascii="Calibri Light" w:eastAsia="Times New Roman" w:hAnsi="Calibri Light" w:cs="Calibri Light"/>
                <w:color w:val="000000"/>
                <w:sz w:val="20"/>
                <w:szCs w:val="20"/>
                <w:lang w:eastAsia="en-GB"/>
              </w:rPr>
            </w:pPr>
            <w:r>
              <w:rPr>
                <w:rFonts w:ascii="Calibri Light" w:eastAsia="Times New Roman" w:hAnsi="Calibri Light" w:cs="Calibri Light"/>
                <w:color w:val="000000"/>
                <w:sz w:val="20"/>
                <w:szCs w:val="20"/>
                <w:lang w:eastAsia="en-GB"/>
              </w:rPr>
              <w:t>2024</w:t>
            </w:r>
          </w:p>
        </w:tc>
      </w:tr>
      <w:tr w:rsidR="002D3D34" w:rsidRPr="00A33AE8" w14:paraId="7F96C256"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791DAAC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71" w:type="dxa"/>
            <w:gridSpan w:val="3"/>
            <w:tcBorders>
              <w:top w:val="single" w:sz="8" w:space="0" w:color="auto"/>
              <w:left w:val="nil"/>
              <w:bottom w:val="single" w:sz="8" w:space="0" w:color="auto"/>
              <w:right w:val="single" w:sz="8" w:space="0" w:color="000000"/>
            </w:tcBorders>
            <w:vAlign w:val="center"/>
            <w:hideMark/>
          </w:tcPr>
          <w:p w14:paraId="022C7BD1" w14:textId="77777777" w:rsidR="002D3D34" w:rsidRPr="00A33AE8" w:rsidRDefault="00910552"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7EDBD77E"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5AA4D0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71" w:type="dxa"/>
            <w:gridSpan w:val="3"/>
            <w:tcBorders>
              <w:top w:val="single" w:sz="8" w:space="0" w:color="auto"/>
              <w:left w:val="nil"/>
              <w:bottom w:val="single" w:sz="8" w:space="0" w:color="auto"/>
              <w:right w:val="single" w:sz="8" w:space="0" w:color="000000"/>
            </w:tcBorders>
            <w:vAlign w:val="center"/>
            <w:hideMark/>
          </w:tcPr>
          <w:p w14:paraId="015A437E"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2EFC69D6"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2E6E8B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7F7BC305" w14:textId="77777777" w:rsidR="00060CFB" w:rsidRPr="00A33AE8" w:rsidRDefault="002D3D34" w:rsidP="00884F3B">
            <w:pPr>
              <w:pStyle w:val="ListParagraph"/>
              <w:numPr>
                <w:ilvl w:val="0"/>
                <w:numId w:val="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49F59CA3" w14:textId="77777777" w:rsidR="00060CFB" w:rsidRPr="00A33AE8" w:rsidRDefault="002D3D34" w:rsidP="00884F3B">
            <w:pPr>
              <w:pStyle w:val="ListParagraph"/>
              <w:numPr>
                <w:ilvl w:val="0"/>
                <w:numId w:val="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 system operators</w:t>
            </w:r>
          </w:p>
          <w:p w14:paraId="6E8702F0" w14:textId="77777777" w:rsidR="00060CFB" w:rsidRPr="00A33AE8" w:rsidRDefault="00060CFB" w:rsidP="00884F3B">
            <w:pPr>
              <w:pStyle w:val="ListParagraph"/>
              <w:numPr>
                <w:ilvl w:val="0"/>
                <w:numId w:val="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4C889657" w14:textId="77777777" w:rsidR="002D3D34" w:rsidRPr="00A33AE8" w:rsidRDefault="002D3D34" w:rsidP="00884F3B">
            <w:pPr>
              <w:pStyle w:val="ListParagraph"/>
              <w:numPr>
                <w:ilvl w:val="0"/>
                <w:numId w:val="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2D3D34" w:rsidRPr="00A33AE8" w14:paraId="0795498A" w14:textId="77777777" w:rsidTr="002D3D34">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2475159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3ACA8D23" w14:textId="77777777" w:rsidR="002D3D34" w:rsidRPr="00A33AE8" w:rsidRDefault="002D3D34" w:rsidP="00884F3B">
            <w:pPr>
              <w:pStyle w:val="ListParagraph"/>
              <w:numPr>
                <w:ilvl w:val="0"/>
                <w:numId w:val="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22F33DAE" w14:textId="77777777" w:rsidTr="002D3D34">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0532F41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71" w:type="dxa"/>
            <w:gridSpan w:val="3"/>
            <w:tcBorders>
              <w:top w:val="single" w:sz="8" w:space="0" w:color="auto"/>
              <w:left w:val="nil"/>
              <w:bottom w:val="single" w:sz="8" w:space="0" w:color="auto"/>
              <w:right w:val="single" w:sz="8" w:space="0" w:color="000000"/>
            </w:tcBorders>
            <w:vAlign w:val="center"/>
            <w:hideMark/>
          </w:tcPr>
          <w:p w14:paraId="0ECB2912"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Transposition of regulation, development and adoption of new tariff methodology, approval of tariffs based on new methodology</w:t>
            </w:r>
          </w:p>
        </w:tc>
      </w:tr>
      <w:tr w:rsidR="00A0226E" w:rsidRPr="00A33AE8" w14:paraId="50C50E96" w14:textId="77777777" w:rsidTr="002D3D34">
        <w:trPr>
          <w:gridAfter w:val="1"/>
          <w:wAfter w:w="1212" w:type="dxa"/>
          <w:trHeight w:val="634"/>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68920125"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71" w:type="dxa"/>
            <w:gridSpan w:val="3"/>
            <w:tcBorders>
              <w:top w:val="single" w:sz="8" w:space="0" w:color="auto"/>
              <w:left w:val="nil"/>
              <w:bottom w:val="single" w:sz="8" w:space="0" w:color="auto"/>
              <w:right w:val="single" w:sz="8" w:space="0" w:color="000000"/>
            </w:tcBorders>
            <w:vAlign w:val="center"/>
            <w:hideMark/>
          </w:tcPr>
          <w:p w14:paraId="4442C67A"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572F0024" w14:textId="77777777" w:rsidTr="002D3D34">
        <w:trPr>
          <w:gridAfter w:val="1"/>
          <w:wAfter w:w="1212" w:type="dxa"/>
          <w:trHeight w:val="450"/>
        </w:trPr>
        <w:tc>
          <w:tcPr>
            <w:tcW w:w="3217" w:type="dxa"/>
            <w:vMerge w:val="restart"/>
            <w:tcBorders>
              <w:top w:val="nil"/>
              <w:left w:val="single" w:sz="8" w:space="0" w:color="auto"/>
              <w:bottom w:val="single" w:sz="8" w:space="0" w:color="000000"/>
              <w:right w:val="single" w:sz="8" w:space="0" w:color="auto"/>
            </w:tcBorders>
            <w:shd w:val="clear" w:color="auto" w:fill="244062"/>
            <w:vAlign w:val="center"/>
            <w:hideMark/>
          </w:tcPr>
          <w:p w14:paraId="32CD694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7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D4CD25D" w14:textId="77777777" w:rsidR="002D3D34" w:rsidRPr="00A33AE8" w:rsidRDefault="002D3D34" w:rsidP="00884F3B">
            <w:pPr>
              <w:pStyle w:val="ListParagraph"/>
              <w:numPr>
                <w:ilvl w:val="0"/>
                <w:numId w:val="77"/>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2017/460</w:t>
            </w:r>
          </w:p>
        </w:tc>
      </w:tr>
      <w:tr w:rsidR="002D3D34" w:rsidRPr="00A33AE8" w14:paraId="474DF862"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4125546C"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502489ED"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4CC2902" w14:textId="77777777" w:rsidR="002D3D34" w:rsidRPr="00A33AE8" w:rsidRDefault="002D3D34" w:rsidP="002D3D34"/>
        </w:tc>
      </w:tr>
      <w:tr w:rsidR="002D3D34" w:rsidRPr="00A33AE8" w14:paraId="6F7BB89C" w14:textId="77777777" w:rsidTr="002D3D34">
        <w:trPr>
          <w:trHeight w:val="60"/>
        </w:trPr>
        <w:tc>
          <w:tcPr>
            <w:tcW w:w="0" w:type="auto"/>
            <w:vMerge/>
            <w:tcBorders>
              <w:top w:val="nil"/>
              <w:left w:val="single" w:sz="8" w:space="0" w:color="auto"/>
              <w:bottom w:val="single" w:sz="8" w:space="0" w:color="000000"/>
              <w:right w:val="single" w:sz="8" w:space="0" w:color="auto"/>
            </w:tcBorders>
            <w:vAlign w:val="center"/>
            <w:hideMark/>
          </w:tcPr>
          <w:p w14:paraId="153EAC75"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206ACAB7"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3BEF8986" w14:textId="77777777" w:rsidR="002D3D34" w:rsidRPr="00A33AE8" w:rsidRDefault="002D3D34" w:rsidP="002D3D34">
            <w:pPr>
              <w:spacing w:after="0" w:line="256" w:lineRule="auto"/>
              <w:rPr>
                <w:sz w:val="20"/>
                <w:szCs w:val="20"/>
                <w:lang w:eastAsia="en-GB"/>
              </w:rPr>
            </w:pPr>
          </w:p>
        </w:tc>
      </w:tr>
      <w:tr w:rsidR="002D3D34" w:rsidRPr="00A33AE8" w14:paraId="6425A311" w14:textId="77777777" w:rsidTr="002D3D34">
        <w:trPr>
          <w:trHeight w:val="780"/>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78663E3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71" w:type="dxa"/>
            <w:gridSpan w:val="3"/>
            <w:tcBorders>
              <w:top w:val="single" w:sz="8" w:space="0" w:color="auto"/>
              <w:left w:val="nil"/>
              <w:bottom w:val="single" w:sz="8" w:space="0" w:color="auto"/>
              <w:right w:val="single" w:sz="8" w:space="0" w:color="000000"/>
            </w:tcBorders>
            <w:vAlign w:val="center"/>
            <w:hideMark/>
          </w:tcPr>
          <w:p w14:paraId="056CD205" w14:textId="77777777" w:rsidR="002D3D34" w:rsidRPr="00A33AE8" w:rsidRDefault="002D3D34" w:rsidP="00884F3B">
            <w:pPr>
              <w:pStyle w:val="ListParagraph"/>
              <w:numPr>
                <w:ilvl w:val="0"/>
                <w:numId w:val="7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3AC1B2CE" w14:textId="77777777" w:rsidR="002D3D34" w:rsidRPr="00A33AE8" w:rsidRDefault="002D3D34" w:rsidP="00884F3B">
            <w:pPr>
              <w:pStyle w:val="ListParagraph"/>
              <w:numPr>
                <w:ilvl w:val="0"/>
                <w:numId w:val="76"/>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Action Plan for the Implementation of Activities aimed at Reorganizing PE Srbijagas</w:t>
            </w:r>
          </w:p>
        </w:tc>
        <w:tc>
          <w:tcPr>
            <w:tcW w:w="1212" w:type="dxa"/>
            <w:vAlign w:val="center"/>
            <w:hideMark/>
          </w:tcPr>
          <w:p w14:paraId="33F54A06"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1F295EF3" w14:textId="77777777" w:rsidTr="002D3D34">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2EDA9AE"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71" w:type="dxa"/>
            <w:gridSpan w:val="3"/>
            <w:tcBorders>
              <w:top w:val="single" w:sz="8" w:space="0" w:color="auto"/>
              <w:left w:val="nil"/>
              <w:bottom w:val="single" w:sz="8" w:space="0" w:color="auto"/>
              <w:right w:val="single" w:sz="8" w:space="0" w:color="000000"/>
            </w:tcBorders>
            <w:vAlign w:val="center"/>
            <w:hideMark/>
          </w:tcPr>
          <w:p w14:paraId="42933E45"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25C8B08A" w14:textId="77777777" w:rsidR="00910552" w:rsidRPr="00A33AE8" w:rsidRDefault="00910552" w:rsidP="00910552">
            <w:pPr>
              <w:rPr>
                <w:rFonts w:ascii="Calibri" w:eastAsia="Times New Roman" w:hAnsi="Calibri" w:cs="Calibri"/>
                <w:color w:val="000000"/>
                <w:lang w:eastAsia="en-GB"/>
              </w:rPr>
            </w:pPr>
          </w:p>
        </w:tc>
      </w:tr>
      <w:tr w:rsidR="004F1D9E" w:rsidRPr="00A33AE8" w14:paraId="6E3B72E3" w14:textId="77777777" w:rsidTr="002D3D34">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12C4854"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71" w:type="dxa"/>
            <w:gridSpan w:val="3"/>
            <w:tcBorders>
              <w:top w:val="single" w:sz="8" w:space="0" w:color="auto"/>
              <w:left w:val="nil"/>
              <w:bottom w:val="single" w:sz="8" w:space="0" w:color="auto"/>
              <w:right w:val="single" w:sz="8" w:space="0" w:color="000000"/>
            </w:tcBorders>
            <w:vAlign w:val="center"/>
            <w:hideMark/>
          </w:tcPr>
          <w:p w14:paraId="6ADF6CE5"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186177BE" w14:textId="77777777" w:rsidR="004F1D9E" w:rsidRPr="00A33AE8" w:rsidRDefault="004F1D9E" w:rsidP="004F1D9E">
            <w:pPr>
              <w:rPr>
                <w:rFonts w:ascii="Calibri" w:eastAsia="Times New Roman" w:hAnsi="Calibri" w:cs="Calibri"/>
                <w:color w:val="000000"/>
                <w:lang w:eastAsia="en-GB"/>
              </w:rPr>
            </w:pPr>
          </w:p>
        </w:tc>
      </w:tr>
    </w:tbl>
    <w:p w14:paraId="2A079FBD" w14:textId="77777777" w:rsidR="0056323A" w:rsidRPr="00A33AE8" w:rsidRDefault="0056323A" w:rsidP="00AE377B">
      <w:pPr>
        <w:pStyle w:val="LDKbody"/>
        <w:rPr>
          <w:lang w:val="en-GB"/>
        </w:rPr>
      </w:pPr>
    </w:p>
    <w:tbl>
      <w:tblPr>
        <w:tblW w:w="10700" w:type="dxa"/>
        <w:tblLook w:val="04A0" w:firstRow="1" w:lastRow="0" w:firstColumn="1" w:lastColumn="0" w:noHBand="0" w:noVBand="1"/>
      </w:tblPr>
      <w:tblGrid>
        <w:gridCol w:w="3217"/>
        <w:gridCol w:w="1309"/>
        <w:gridCol w:w="920"/>
        <w:gridCol w:w="4042"/>
        <w:gridCol w:w="1212"/>
      </w:tblGrid>
      <w:tr w:rsidR="00AE377B" w:rsidRPr="00A33AE8" w14:paraId="1A4BB3FF" w14:textId="77777777" w:rsidTr="002D3D34">
        <w:trPr>
          <w:gridAfter w:val="1"/>
          <w:wAfter w:w="1212" w:type="dxa"/>
          <w:trHeight w:val="780"/>
        </w:trPr>
        <w:tc>
          <w:tcPr>
            <w:tcW w:w="321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187E204"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54F66A73"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25</w:t>
            </w:r>
          </w:p>
        </w:tc>
        <w:tc>
          <w:tcPr>
            <w:tcW w:w="920" w:type="dxa"/>
            <w:tcBorders>
              <w:top w:val="single" w:sz="8" w:space="0" w:color="auto"/>
              <w:left w:val="nil"/>
              <w:bottom w:val="single" w:sz="8" w:space="0" w:color="auto"/>
              <w:right w:val="single" w:sz="8" w:space="0" w:color="auto"/>
            </w:tcBorders>
            <w:shd w:val="clear" w:color="auto" w:fill="244062"/>
            <w:vAlign w:val="center"/>
            <w:hideMark/>
          </w:tcPr>
          <w:p w14:paraId="0C5EA40F"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42" w:type="dxa"/>
            <w:tcBorders>
              <w:top w:val="single" w:sz="8" w:space="0" w:color="auto"/>
              <w:left w:val="nil"/>
              <w:bottom w:val="single" w:sz="8" w:space="0" w:color="auto"/>
              <w:right w:val="single" w:sz="8" w:space="0" w:color="auto"/>
            </w:tcBorders>
            <w:shd w:val="clear" w:color="auto" w:fill="E7E6E6" w:themeFill="background2"/>
            <w:vAlign w:val="center"/>
            <w:hideMark/>
          </w:tcPr>
          <w:p w14:paraId="25C89011"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Implementation of Regulation (EU) 2014/312</w:t>
            </w:r>
          </w:p>
        </w:tc>
      </w:tr>
      <w:tr w:rsidR="002D3D34" w:rsidRPr="00A33AE8" w14:paraId="5C1A7434" w14:textId="77777777" w:rsidTr="002D3D34">
        <w:trPr>
          <w:gridAfter w:val="1"/>
          <w:wAfter w:w="1212" w:type="dxa"/>
          <w:trHeight w:val="672"/>
        </w:trPr>
        <w:tc>
          <w:tcPr>
            <w:tcW w:w="3217" w:type="dxa"/>
            <w:tcBorders>
              <w:top w:val="nil"/>
              <w:left w:val="single" w:sz="8" w:space="0" w:color="auto"/>
              <w:bottom w:val="single" w:sz="8" w:space="0" w:color="auto"/>
              <w:right w:val="nil"/>
            </w:tcBorders>
            <w:shd w:val="clear" w:color="auto" w:fill="244062"/>
            <w:vAlign w:val="center"/>
            <w:hideMark/>
          </w:tcPr>
          <w:p w14:paraId="6544EC9D"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Main objective: </w:t>
            </w:r>
          </w:p>
        </w:tc>
        <w:tc>
          <w:tcPr>
            <w:tcW w:w="6271" w:type="dxa"/>
            <w:gridSpan w:val="3"/>
            <w:tcBorders>
              <w:top w:val="single" w:sz="8" w:space="0" w:color="auto"/>
              <w:left w:val="nil"/>
              <w:bottom w:val="single" w:sz="8" w:space="0" w:color="auto"/>
              <w:right w:val="single" w:sz="8" w:space="0" w:color="000000"/>
            </w:tcBorders>
            <w:vAlign w:val="center"/>
          </w:tcPr>
          <w:p w14:paraId="20363EF8"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Infrastructure, policies and measures related to market-based price formation, market integration aimed at increasing the tradeable capacity, Consumer protection and improvement of competition, regional integration</w:t>
            </w:r>
          </w:p>
        </w:tc>
      </w:tr>
      <w:tr w:rsidR="002D3D34" w:rsidRPr="00A33AE8" w14:paraId="05FECA8B"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7DE8CCF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71" w:type="dxa"/>
            <w:gridSpan w:val="3"/>
            <w:tcBorders>
              <w:top w:val="single" w:sz="8" w:space="0" w:color="auto"/>
              <w:left w:val="nil"/>
              <w:bottom w:val="single" w:sz="8" w:space="0" w:color="auto"/>
              <w:right w:val="single" w:sz="8" w:space="0" w:color="000000"/>
            </w:tcBorders>
            <w:vAlign w:val="center"/>
          </w:tcPr>
          <w:p w14:paraId="670D583B" w14:textId="77777777" w:rsidR="002D3D34" w:rsidRPr="00A33AE8" w:rsidRDefault="002D3D34" w:rsidP="002D3D3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Transposition of Regulation</w:t>
            </w:r>
          </w:p>
        </w:tc>
      </w:tr>
      <w:tr w:rsidR="002D3D34" w:rsidRPr="00A33AE8" w14:paraId="6D7253FE" w14:textId="77777777" w:rsidTr="002D3D34">
        <w:trPr>
          <w:gridAfter w:val="1"/>
          <w:wAfter w:w="1212" w:type="dxa"/>
          <w:trHeight w:val="1059"/>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AACFAA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71" w:type="dxa"/>
            <w:gridSpan w:val="3"/>
            <w:tcBorders>
              <w:top w:val="single" w:sz="8" w:space="0" w:color="auto"/>
              <w:left w:val="nil"/>
              <w:bottom w:val="single" w:sz="8" w:space="0" w:color="auto"/>
              <w:right w:val="single" w:sz="8" w:space="0" w:color="000000"/>
            </w:tcBorders>
            <w:vAlign w:val="center"/>
            <w:hideMark/>
          </w:tcPr>
          <w:p w14:paraId="7919CA49" w14:textId="5BA556DB"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As an Energy Community Contracting Party, Serbia was obliged to implement the Regulation by 12 December 2020. Implementation is still pending. The policy refers to the implementation of the regulation. Transposition and Implementation are still pending. It is necessary to continue work on the process of implementing grid codes implementation</w:t>
            </w:r>
            <w:r w:rsidR="00D809E2">
              <w:rPr>
                <w:rFonts w:ascii="Calibri Light" w:eastAsia="Times New Roman" w:hAnsi="Calibri Light" w:cs="Calibri Light"/>
                <w:color w:val="000000"/>
                <w:sz w:val="20"/>
                <w:szCs w:val="20"/>
                <w:lang w:eastAsia="en-GB"/>
              </w:rPr>
              <w:t>.</w:t>
            </w:r>
          </w:p>
        </w:tc>
      </w:tr>
      <w:tr w:rsidR="00AE377B" w:rsidRPr="00A33AE8" w14:paraId="5C989488"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60D32AE"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71" w:type="dxa"/>
            <w:gridSpan w:val="3"/>
            <w:tcBorders>
              <w:top w:val="single" w:sz="8" w:space="0" w:color="auto"/>
              <w:left w:val="nil"/>
              <w:bottom w:val="single" w:sz="8" w:space="0" w:color="auto"/>
              <w:right w:val="single" w:sz="8" w:space="0" w:color="000000"/>
            </w:tcBorders>
            <w:vAlign w:val="center"/>
            <w:hideMark/>
          </w:tcPr>
          <w:p w14:paraId="535E1D58" w14:textId="77777777" w:rsidR="00AE377B" w:rsidRPr="00A33AE8" w:rsidRDefault="00773054">
            <w:pPr>
              <w:spacing w:after="0" w:line="240" w:lineRule="auto"/>
              <w:jc w:val="both"/>
              <w:rPr>
                <w:rFonts w:ascii="Calibri Light" w:eastAsia="Times New Roman" w:hAnsi="Calibri Light" w:cs="Calibri Light"/>
                <w:color w:val="000000"/>
                <w:sz w:val="20"/>
                <w:szCs w:val="20"/>
                <w:lang w:eastAsia="en-GB"/>
              </w:rPr>
            </w:pPr>
            <w:r w:rsidRPr="0056323A">
              <w:rPr>
                <w:rFonts w:ascii="Calibri Light" w:eastAsia="Times New Roman" w:hAnsi="Calibri Light" w:cs="Calibri Light"/>
                <w:color w:val="000000"/>
                <w:sz w:val="20"/>
                <w:szCs w:val="20"/>
                <w:lang w:eastAsia="en-GB"/>
              </w:rPr>
              <w:t>202</w:t>
            </w:r>
            <w:r w:rsidR="00B731FA" w:rsidRPr="005B2C66">
              <w:rPr>
                <w:rFonts w:ascii="Calibri Light" w:eastAsia="Times New Roman" w:hAnsi="Calibri Light" w:cs="Calibri Light"/>
                <w:color w:val="000000"/>
                <w:sz w:val="20"/>
                <w:szCs w:val="20"/>
                <w:lang w:eastAsia="en-GB"/>
              </w:rPr>
              <w:t>4</w:t>
            </w:r>
          </w:p>
        </w:tc>
      </w:tr>
      <w:tr w:rsidR="00AE377B" w:rsidRPr="00A33AE8" w14:paraId="5852064E"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6486FDE5"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71" w:type="dxa"/>
            <w:gridSpan w:val="3"/>
            <w:tcBorders>
              <w:top w:val="single" w:sz="8" w:space="0" w:color="auto"/>
              <w:left w:val="nil"/>
              <w:bottom w:val="single" w:sz="8" w:space="0" w:color="auto"/>
              <w:right w:val="single" w:sz="8" w:space="0" w:color="000000"/>
            </w:tcBorders>
            <w:vAlign w:val="center"/>
            <w:hideMark/>
          </w:tcPr>
          <w:p w14:paraId="29C727E3" w14:textId="77777777" w:rsidR="00AE377B" w:rsidRPr="00A33AE8" w:rsidRDefault="00910552">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AE377B" w:rsidRPr="00A33AE8" w14:paraId="7669D203"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DC8CC2E"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71" w:type="dxa"/>
            <w:gridSpan w:val="3"/>
            <w:tcBorders>
              <w:top w:val="single" w:sz="8" w:space="0" w:color="auto"/>
              <w:left w:val="nil"/>
              <w:bottom w:val="single" w:sz="8" w:space="0" w:color="auto"/>
              <w:right w:val="single" w:sz="8" w:space="0" w:color="000000"/>
            </w:tcBorders>
            <w:vAlign w:val="center"/>
            <w:hideMark/>
          </w:tcPr>
          <w:p w14:paraId="7B4DE57C" w14:textId="77777777" w:rsidR="00AE377B" w:rsidRPr="00A33AE8" w:rsidRDefault="00AE377B">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2ED6141E" w14:textId="77777777" w:rsidTr="002D3D34">
        <w:trPr>
          <w:gridAfter w:val="1"/>
          <w:wAfter w:w="1212" w:type="dxa"/>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54AAA29E"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312D6609" w14:textId="77777777" w:rsidR="00060CFB" w:rsidRPr="00A33AE8" w:rsidRDefault="002D3D34" w:rsidP="00884F3B">
            <w:pPr>
              <w:pStyle w:val="ListParagraph"/>
              <w:numPr>
                <w:ilvl w:val="0"/>
                <w:numId w:val="7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35B02A8E" w14:textId="77777777" w:rsidR="00060CFB" w:rsidRPr="00A33AE8" w:rsidRDefault="002D3D34" w:rsidP="00884F3B">
            <w:pPr>
              <w:pStyle w:val="ListParagraph"/>
              <w:numPr>
                <w:ilvl w:val="0"/>
                <w:numId w:val="7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 system operators</w:t>
            </w:r>
          </w:p>
          <w:p w14:paraId="425D67C5" w14:textId="77777777" w:rsidR="00060CFB" w:rsidRPr="00A33AE8" w:rsidRDefault="00060CFB" w:rsidP="00884F3B">
            <w:pPr>
              <w:pStyle w:val="ListParagraph"/>
              <w:numPr>
                <w:ilvl w:val="0"/>
                <w:numId w:val="7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1462D6C6" w14:textId="77777777" w:rsidR="002D3D34" w:rsidRPr="00A33AE8" w:rsidRDefault="002D3D34" w:rsidP="00884F3B">
            <w:pPr>
              <w:pStyle w:val="ListParagraph"/>
              <w:numPr>
                <w:ilvl w:val="0"/>
                <w:numId w:val="7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2D3D34" w:rsidRPr="00A33AE8" w14:paraId="0B16357E" w14:textId="77777777" w:rsidTr="002D3D34">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65CE807D"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71" w:type="dxa"/>
            <w:gridSpan w:val="3"/>
            <w:tcBorders>
              <w:top w:val="single" w:sz="8" w:space="0" w:color="auto"/>
              <w:left w:val="nil"/>
              <w:bottom w:val="single" w:sz="8" w:space="0" w:color="auto"/>
              <w:right w:val="single" w:sz="8" w:space="0" w:color="000000"/>
            </w:tcBorders>
            <w:vAlign w:val="center"/>
            <w:hideMark/>
          </w:tcPr>
          <w:p w14:paraId="3E242117" w14:textId="77777777" w:rsidR="002D3D34" w:rsidRPr="00A33AE8" w:rsidRDefault="002D3D34" w:rsidP="00884F3B">
            <w:pPr>
              <w:pStyle w:val="ListParagraph"/>
              <w:numPr>
                <w:ilvl w:val="0"/>
                <w:numId w:val="7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3F9B5466" w14:textId="77777777" w:rsidTr="002D3D34">
        <w:trPr>
          <w:gridAfter w:val="1"/>
          <w:wAfter w:w="1212" w:type="dxa"/>
          <w:trHeight w:val="315"/>
        </w:trPr>
        <w:tc>
          <w:tcPr>
            <w:tcW w:w="3217" w:type="dxa"/>
            <w:tcBorders>
              <w:top w:val="nil"/>
              <w:left w:val="single" w:sz="8" w:space="0" w:color="auto"/>
              <w:bottom w:val="single" w:sz="8" w:space="0" w:color="auto"/>
              <w:right w:val="nil"/>
            </w:tcBorders>
            <w:shd w:val="clear" w:color="auto" w:fill="244062"/>
            <w:vAlign w:val="center"/>
            <w:hideMark/>
          </w:tcPr>
          <w:p w14:paraId="6E0ED6D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71" w:type="dxa"/>
            <w:gridSpan w:val="3"/>
            <w:tcBorders>
              <w:top w:val="single" w:sz="8" w:space="0" w:color="auto"/>
              <w:left w:val="nil"/>
              <w:bottom w:val="single" w:sz="8" w:space="0" w:color="auto"/>
              <w:right w:val="single" w:sz="8" w:space="0" w:color="000000"/>
            </w:tcBorders>
            <w:vAlign w:val="center"/>
            <w:hideMark/>
          </w:tcPr>
          <w:p w14:paraId="4A5525E3"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Transposition of regulation. Operation of a balancing platform (if interim measures are to be applied)</w:t>
            </w:r>
          </w:p>
        </w:tc>
      </w:tr>
      <w:tr w:rsidR="00A0226E" w:rsidRPr="00A33AE8" w14:paraId="4FBA05E9" w14:textId="77777777" w:rsidTr="002D3D34">
        <w:trPr>
          <w:gridAfter w:val="1"/>
          <w:wAfter w:w="1212" w:type="dxa"/>
          <w:trHeight w:val="802"/>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4501AC37"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71" w:type="dxa"/>
            <w:gridSpan w:val="3"/>
            <w:tcBorders>
              <w:top w:val="single" w:sz="8" w:space="0" w:color="auto"/>
              <w:left w:val="nil"/>
              <w:bottom w:val="single" w:sz="8" w:space="0" w:color="auto"/>
              <w:right w:val="single" w:sz="8" w:space="0" w:color="000000"/>
            </w:tcBorders>
            <w:vAlign w:val="center"/>
            <w:hideMark/>
          </w:tcPr>
          <w:p w14:paraId="6C3887AE"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1F76315E" w14:textId="77777777" w:rsidTr="002D3D34">
        <w:trPr>
          <w:gridAfter w:val="1"/>
          <w:wAfter w:w="1212" w:type="dxa"/>
          <w:trHeight w:val="450"/>
        </w:trPr>
        <w:tc>
          <w:tcPr>
            <w:tcW w:w="3217" w:type="dxa"/>
            <w:vMerge w:val="restart"/>
            <w:tcBorders>
              <w:top w:val="nil"/>
              <w:left w:val="single" w:sz="8" w:space="0" w:color="auto"/>
              <w:bottom w:val="single" w:sz="8" w:space="0" w:color="000000"/>
              <w:right w:val="single" w:sz="8" w:space="0" w:color="auto"/>
            </w:tcBorders>
            <w:shd w:val="clear" w:color="auto" w:fill="244062"/>
            <w:vAlign w:val="center"/>
            <w:hideMark/>
          </w:tcPr>
          <w:p w14:paraId="2E81A478"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7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3E8F6DDB" w14:textId="77777777" w:rsidR="002D3D34" w:rsidRPr="00A33AE8" w:rsidRDefault="002D3D34" w:rsidP="00884F3B">
            <w:pPr>
              <w:pStyle w:val="ListParagraph"/>
              <w:numPr>
                <w:ilvl w:val="0"/>
                <w:numId w:val="7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2014/312</w:t>
            </w:r>
          </w:p>
        </w:tc>
      </w:tr>
      <w:tr w:rsidR="002D3D34" w:rsidRPr="00A33AE8" w14:paraId="21918066"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1450AF94"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766C7EBA"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3B46AE17" w14:textId="77777777" w:rsidR="002D3D34" w:rsidRPr="00A33AE8" w:rsidRDefault="002D3D34" w:rsidP="002D3D34"/>
        </w:tc>
      </w:tr>
      <w:tr w:rsidR="002D3D34" w:rsidRPr="00A33AE8" w14:paraId="03AD86AB" w14:textId="77777777" w:rsidTr="002D3D34">
        <w:trPr>
          <w:trHeight w:val="60"/>
        </w:trPr>
        <w:tc>
          <w:tcPr>
            <w:tcW w:w="0" w:type="auto"/>
            <w:vMerge/>
            <w:tcBorders>
              <w:top w:val="nil"/>
              <w:left w:val="single" w:sz="8" w:space="0" w:color="auto"/>
              <w:bottom w:val="single" w:sz="8" w:space="0" w:color="000000"/>
              <w:right w:val="single" w:sz="8" w:space="0" w:color="auto"/>
            </w:tcBorders>
            <w:vAlign w:val="center"/>
            <w:hideMark/>
          </w:tcPr>
          <w:p w14:paraId="65F78CF0"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71" w:type="dxa"/>
            <w:gridSpan w:val="3"/>
            <w:vMerge/>
            <w:tcBorders>
              <w:top w:val="single" w:sz="8" w:space="0" w:color="auto"/>
              <w:left w:val="single" w:sz="8" w:space="0" w:color="auto"/>
              <w:bottom w:val="single" w:sz="8" w:space="0" w:color="000000"/>
              <w:right w:val="single" w:sz="8" w:space="0" w:color="000000"/>
            </w:tcBorders>
            <w:vAlign w:val="center"/>
            <w:hideMark/>
          </w:tcPr>
          <w:p w14:paraId="64E6C2C1"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03CA51B7" w14:textId="77777777" w:rsidR="002D3D34" w:rsidRPr="00A33AE8" w:rsidRDefault="002D3D34" w:rsidP="002D3D34">
            <w:pPr>
              <w:spacing w:after="0" w:line="256" w:lineRule="auto"/>
              <w:rPr>
                <w:sz w:val="20"/>
                <w:szCs w:val="20"/>
                <w:lang w:eastAsia="en-GB"/>
              </w:rPr>
            </w:pPr>
          </w:p>
        </w:tc>
      </w:tr>
      <w:tr w:rsidR="002D3D34" w:rsidRPr="00A33AE8" w14:paraId="7A836BAD" w14:textId="77777777" w:rsidTr="002D3D34">
        <w:trPr>
          <w:trHeight w:val="780"/>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3313EF8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71" w:type="dxa"/>
            <w:gridSpan w:val="3"/>
            <w:tcBorders>
              <w:top w:val="single" w:sz="8" w:space="0" w:color="auto"/>
              <w:left w:val="nil"/>
              <w:bottom w:val="single" w:sz="8" w:space="0" w:color="auto"/>
              <w:right w:val="single" w:sz="8" w:space="0" w:color="000000"/>
            </w:tcBorders>
            <w:vAlign w:val="center"/>
            <w:hideMark/>
          </w:tcPr>
          <w:p w14:paraId="1ED95B6C" w14:textId="77777777" w:rsidR="002D3D34" w:rsidRPr="00A33AE8" w:rsidRDefault="002D3D34" w:rsidP="00884F3B">
            <w:pPr>
              <w:pStyle w:val="ListParagraph"/>
              <w:numPr>
                <w:ilvl w:val="0"/>
                <w:numId w:val="7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1395135B" w14:textId="77777777" w:rsidR="002D3D34" w:rsidRPr="00A33AE8" w:rsidRDefault="002D3D34" w:rsidP="00884F3B">
            <w:pPr>
              <w:pStyle w:val="ListParagraph"/>
              <w:numPr>
                <w:ilvl w:val="0"/>
                <w:numId w:val="78"/>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Action Plan for the Implementation of Activities aimed at Reorganizing PE Srbijagas</w:t>
            </w:r>
          </w:p>
        </w:tc>
        <w:tc>
          <w:tcPr>
            <w:tcW w:w="1212" w:type="dxa"/>
            <w:vAlign w:val="center"/>
            <w:hideMark/>
          </w:tcPr>
          <w:p w14:paraId="59144AB8"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02FBF244" w14:textId="77777777" w:rsidTr="002D3D34">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EC6CF33"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71" w:type="dxa"/>
            <w:gridSpan w:val="3"/>
            <w:tcBorders>
              <w:top w:val="single" w:sz="8" w:space="0" w:color="auto"/>
              <w:left w:val="nil"/>
              <w:bottom w:val="single" w:sz="8" w:space="0" w:color="auto"/>
              <w:right w:val="single" w:sz="8" w:space="0" w:color="000000"/>
            </w:tcBorders>
            <w:vAlign w:val="center"/>
            <w:hideMark/>
          </w:tcPr>
          <w:p w14:paraId="4C079B0A"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5AD39B5C" w14:textId="77777777" w:rsidR="00910552" w:rsidRPr="00A33AE8" w:rsidRDefault="00910552" w:rsidP="00910552">
            <w:pPr>
              <w:rPr>
                <w:rFonts w:ascii="Calibri" w:eastAsia="Times New Roman" w:hAnsi="Calibri" w:cs="Calibri"/>
                <w:color w:val="000000"/>
                <w:lang w:eastAsia="en-GB"/>
              </w:rPr>
            </w:pPr>
          </w:p>
        </w:tc>
      </w:tr>
      <w:tr w:rsidR="004F1D9E" w:rsidRPr="00A33AE8" w14:paraId="23D084B2" w14:textId="77777777" w:rsidTr="002D3D34">
        <w:trPr>
          <w:trHeight w:val="315"/>
        </w:trPr>
        <w:tc>
          <w:tcPr>
            <w:tcW w:w="3217" w:type="dxa"/>
            <w:tcBorders>
              <w:top w:val="nil"/>
              <w:left w:val="single" w:sz="8" w:space="0" w:color="auto"/>
              <w:bottom w:val="single" w:sz="8" w:space="0" w:color="auto"/>
              <w:right w:val="single" w:sz="8" w:space="0" w:color="auto"/>
            </w:tcBorders>
            <w:shd w:val="clear" w:color="auto" w:fill="244062"/>
            <w:vAlign w:val="center"/>
            <w:hideMark/>
          </w:tcPr>
          <w:p w14:paraId="1689C604"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71" w:type="dxa"/>
            <w:gridSpan w:val="3"/>
            <w:tcBorders>
              <w:top w:val="single" w:sz="8" w:space="0" w:color="auto"/>
              <w:left w:val="nil"/>
              <w:bottom w:val="single" w:sz="8" w:space="0" w:color="auto"/>
              <w:right w:val="single" w:sz="8" w:space="0" w:color="000000"/>
            </w:tcBorders>
            <w:vAlign w:val="center"/>
            <w:hideMark/>
          </w:tcPr>
          <w:p w14:paraId="3E7E3A7B"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0B9665EA" w14:textId="77777777" w:rsidR="004F1D9E" w:rsidRPr="00A33AE8" w:rsidRDefault="004F1D9E" w:rsidP="004F1D9E">
            <w:pPr>
              <w:rPr>
                <w:rFonts w:ascii="Calibri" w:eastAsia="Times New Roman" w:hAnsi="Calibri" w:cs="Calibri"/>
                <w:color w:val="000000"/>
                <w:lang w:eastAsia="en-GB"/>
              </w:rPr>
            </w:pPr>
          </w:p>
        </w:tc>
      </w:tr>
    </w:tbl>
    <w:p w14:paraId="117F6D78"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25"/>
        <w:gridCol w:w="1309"/>
        <w:gridCol w:w="923"/>
        <w:gridCol w:w="4031"/>
        <w:gridCol w:w="1212"/>
      </w:tblGrid>
      <w:tr w:rsidR="00AE377B" w:rsidRPr="00A33AE8" w14:paraId="7D83A0B5" w14:textId="77777777" w:rsidTr="002D3D34">
        <w:trPr>
          <w:gridAfter w:val="1"/>
          <w:wAfter w:w="1212" w:type="dxa"/>
          <w:trHeight w:val="780"/>
        </w:trPr>
        <w:tc>
          <w:tcPr>
            <w:tcW w:w="3225"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0974F09"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27C0002F"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w:t>
            </w:r>
            <w:r w:rsidR="00591EE9" w:rsidRPr="00A33AE8">
              <w:rPr>
                <w:rFonts w:ascii="Calibri Light" w:eastAsia="Times New Roman" w:hAnsi="Calibri Light" w:cs="Calibri Light"/>
                <w:b/>
                <w:bCs/>
                <w:color w:val="000000"/>
                <w:sz w:val="20"/>
                <w:szCs w:val="20"/>
                <w:lang w:eastAsia="en-GB"/>
              </w:rPr>
              <w:t>6</w:t>
            </w:r>
          </w:p>
        </w:tc>
        <w:tc>
          <w:tcPr>
            <w:tcW w:w="923" w:type="dxa"/>
            <w:tcBorders>
              <w:top w:val="single" w:sz="8" w:space="0" w:color="auto"/>
              <w:left w:val="nil"/>
              <w:bottom w:val="single" w:sz="8" w:space="0" w:color="auto"/>
              <w:right w:val="single" w:sz="8" w:space="0" w:color="auto"/>
            </w:tcBorders>
            <w:shd w:val="clear" w:color="auto" w:fill="244062"/>
            <w:vAlign w:val="center"/>
            <w:hideMark/>
          </w:tcPr>
          <w:p w14:paraId="0BD3E4D8"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3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AFED6CF"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Reform of the Wholesale market to foster competition</w:t>
            </w:r>
          </w:p>
        </w:tc>
      </w:tr>
      <w:tr w:rsidR="002D3D34" w:rsidRPr="00A33AE8" w14:paraId="254B569B" w14:textId="77777777" w:rsidTr="002D3D34">
        <w:trPr>
          <w:gridAfter w:val="1"/>
          <w:wAfter w:w="1212" w:type="dxa"/>
          <w:trHeight w:val="573"/>
        </w:trPr>
        <w:tc>
          <w:tcPr>
            <w:tcW w:w="3225" w:type="dxa"/>
            <w:tcBorders>
              <w:top w:val="nil"/>
              <w:left w:val="single" w:sz="8" w:space="0" w:color="auto"/>
              <w:bottom w:val="single" w:sz="8" w:space="0" w:color="auto"/>
              <w:right w:val="nil"/>
            </w:tcBorders>
            <w:shd w:val="clear" w:color="auto" w:fill="244062"/>
            <w:vAlign w:val="center"/>
            <w:hideMark/>
          </w:tcPr>
          <w:p w14:paraId="3DB933F8"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3" w:type="dxa"/>
            <w:gridSpan w:val="3"/>
            <w:tcBorders>
              <w:top w:val="single" w:sz="8" w:space="0" w:color="auto"/>
              <w:left w:val="nil"/>
              <w:bottom w:val="single" w:sz="8" w:space="0" w:color="auto"/>
              <w:right w:val="single" w:sz="8" w:space="0" w:color="000000"/>
            </w:tcBorders>
            <w:vAlign w:val="center"/>
          </w:tcPr>
          <w:p w14:paraId="050B8072"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Policies and measures related to market-based price formation, Consumer protection and improvement of competition</w:t>
            </w:r>
          </w:p>
        </w:tc>
      </w:tr>
      <w:tr w:rsidR="002D3D34" w:rsidRPr="00A33AE8" w14:paraId="01111D2A" w14:textId="77777777" w:rsidTr="002D3D34">
        <w:trPr>
          <w:gridAfter w:val="1"/>
          <w:wAfter w:w="1212" w:type="dxa"/>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56462CD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3" w:type="dxa"/>
            <w:gridSpan w:val="3"/>
            <w:tcBorders>
              <w:top w:val="single" w:sz="8" w:space="0" w:color="auto"/>
              <w:left w:val="nil"/>
              <w:bottom w:val="single" w:sz="8" w:space="0" w:color="auto"/>
              <w:right w:val="single" w:sz="8" w:space="0" w:color="000000"/>
            </w:tcBorders>
            <w:vAlign w:val="center"/>
          </w:tcPr>
          <w:p w14:paraId="5D32CDE1" w14:textId="77777777" w:rsidR="002D3D34" w:rsidRPr="00A33AE8" w:rsidRDefault="002D3D34" w:rsidP="002D3D3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 in the spread between TTF and the import price of natural gas to Serbia</w:t>
            </w:r>
            <w:r w:rsidR="00940904" w:rsidRPr="00A33AE8">
              <w:rPr>
                <w:rFonts w:ascii="Calibri Light" w:eastAsia="Times New Roman" w:hAnsi="Calibri Light" w:cs="Calibri Light"/>
                <w:color w:val="000000"/>
                <w:sz w:val="20"/>
                <w:szCs w:val="20"/>
                <w:lang w:eastAsia="en-GB"/>
              </w:rPr>
              <w:t>, considering that import prices of natural gas not to be higher than TTF</w:t>
            </w:r>
          </w:p>
        </w:tc>
      </w:tr>
      <w:tr w:rsidR="002D3D34" w:rsidRPr="00A33AE8" w14:paraId="05AFCE48" w14:textId="77777777" w:rsidTr="0087794A">
        <w:trPr>
          <w:gridAfter w:val="1"/>
          <w:wAfter w:w="1212" w:type="dxa"/>
          <w:trHeight w:val="125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0898815E"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3" w:type="dxa"/>
            <w:gridSpan w:val="3"/>
            <w:tcBorders>
              <w:top w:val="single" w:sz="8" w:space="0" w:color="auto"/>
              <w:left w:val="nil"/>
              <w:bottom w:val="single" w:sz="8" w:space="0" w:color="auto"/>
              <w:right w:val="single" w:sz="8" w:space="0" w:color="000000"/>
            </w:tcBorders>
            <w:vAlign w:val="center"/>
            <w:hideMark/>
          </w:tcPr>
          <w:p w14:paraId="5DA7B3F6" w14:textId="59CBA9ED"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 virtual trading point exists in theory but is not operational. AERS reports that the greatest share of natural gas, i.e. 1,691 million m3 (81%) of total quantities was sold to customers by PE Srbijagas in 2019. The second greatest share was sold by DC Novi Sad Gas and Yugorosgaz JSC. Liquidity in the market shall need to be created to foster competition</w:t>
            </w:r>
            <w:r w:rsidR="00940904" w:rsidRPr="00A33AE8">
              <w:rPr>
                <w:rFonts w:ascii="Calibri Light" w:eastAsia="Times New Roman" w:hAnsi="Calibri Light" w:cs="Calibri Light"/>
                <w:color w:val="000000"/>
                <w:sz w:val="20"/>
                <w:szCs w:val="20"/>
                <w:lang w:eastAsia="en-GB"/>
              </w:rPr>
              <w:t>, and in order to encourage competition, access to the wholesale market in Serbia should be enabled for a greater number of traders</w:t>
            </w:r>
            <w:r w:rsidRPr="00A33AE8">
              <w:rPr>
                <w:rFonts w:ascii="Calibri Light" w:eastAsia="Times New Roman" w:hAnsi="Calibri Light" w:cs="Calibri Light"/>
                <w:color w:val="000000"/>
                <w:sz w:val="20"/>
                <w:szCs w:val="20"/>
                <w:lang w:eastAsia="en-GB"/>
              </w:rPr>
              <w:t xml:space="preserve">. Under this task, measures to enhance competition shall be explored and implemented. Implications from the implementation of </w:t>
            </w:r>
            <w:r w:rsidRPr="00A33AE8">
              <w:rPr>
                <w:rFonts w:ascii="Calibri Light" w:eastAsia="Times New Roman" w:hAnsi="Calibri Light" w:cs="Calibri Light"/>
                <w:b/>
                <w:bCs/>
                <w:color w:val="000000"/>
                <w:sz w:val="20"/>
                <w:szCs w:val="20"/>
                <w:lang w:eastAsia="en-GB"/>
              </w:rPr>
              <w:t xml:space="preserve">PM_IEM25 </w:t>
            </w:r>
            <w:r w:rsidRPr="00A33AE8">
              <w:rPr>
                <w:rFonts w:ascii="Calibri Light" w:eastAsia="Times New Roman" w:hAnsi="Calibri Light" w:cs="Calibri Light"/>
                <w:color w:val="000000"/>
                <w:sz w:val="20"/>
                <w:szCs w:val="20"/>
                <w:lang w:eastAsia="en-GB"/>
              </w:rPr>
              <w:t>on balancing and its impact on competition development shall be considered</w:t>
            </w:r>
            <w:r w:rsidR="00D809E2">
              <w:rPr>
                <w:rFonts w:ascii="Calibri Light" w:eastAsia="Times New Roman" w:hAnsi="Calibri Light" w:cs="Calibri Light"/>
                <w:color w:val="000000"/>
                <w:sz w:val="20"/>
                <w:szCs w:val="20"/>
                <w:lang w:eastAsia="en-GB"/>
              </w:rPr>
              <w:t>.</w:t>
            </w:r>
          </w:p>
        </w:tc>
      </w:tr>
      <w:tr w:rsidR="002D3D34" w:rsidRPr="00A33AE8" w14:paraId="4D32592F" w14:textId="77777777" w:rsidTr="002D3D34">
        <w:trPr>
          <w:gridAfter w:val="1"/>
          <w:wAfter w:w="1212" w:type="dxa"/>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44895D2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3" w:type="dxa"/>
            <w:gridSpan w:val="3"/>
            <w:tcBorders>
              <w:top w:val="single" w:sz="8" w:space="0" w:color="auto"/>
              <w:left w:val="nil"/>
              <w:bottom w:val="single" w:sz="8" w:space="0" w:color="auto"/>
              <w:right w:val="single" w:sz="8" w:space="0" w:color="000000"/>
            </w:tcBorders>
            <w:vAlign w:val="center"/>
            <w:hideMark/>
          </w:tcPr>
          <w:p w14:paraId="64C74F19"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2D3D34" w:rsidRPr="00A33AE8" w14:paraId="0EC08B1A" w14:textId="77777777" w:rsidTr="002D3D34">
        <w:trPr>
          <w:gridAfter w:val="1"/>
          <w:wAfter w:w="1212" w:type="dxa"/>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1F94378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3" w:type="dxa"/>
            <w:gridSpan w:val="3"/>
            <w:tcBorders>
              <w:top w:val="single" w:sz="8" w:space="0" w:color="auto"/>
              <w:left w:val="nil"/>
              <w:bottom w:val="single" w:sz="8" w:space="0" w:color="auto"/>
              <w:right w:val="single" w:sz="8" w:space="0" w:color="000000"/>
            </w:tcBorders>
            <w:vAlign w:val="center"/>
            <w:hideMark/>
          </w:tcPr>
          <w:p w14:paraId="14229BD2" w14:textId="77777777" w:rsidR="002D3D34" w:rsidRPr="00A33AE8" w:rsidRDefault="00910552"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2E610DA2" w14:textId="77777777" w:rsidTr="002D3D34">
        <w:trPr>
          <w:gridAfter w:val="1"/>
          <w:wAfter w:w="1212" w:type="dxa"/>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0BA526A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Sectors covered/affected</w:t>
            </w:r>
          </w:p>
        </w:tc>
        <w:tc>
          <w:tcPr>
            <w:tcW w:w="6263" w:type="dxa"/>
            <w:gridSpan w:val="3"/>
            <w:tcBorders>
              <w:top w:val="single" w:sz="8" w:space="0" w:color="auto"/>
              <w:left w:val="nil"/>
              <w:bottom w:val="single" w:sz="8" w:space="0" w:color="auto"/>
              <w:right w:val="single" w:sz="8" w:space="0" w:color="000000"/>
            </w:tcBorders>
            <w:vAlign w:val="center"/>
            <w:hideMark/>
          </w:tcPr>
          <w:p w14:paraId="59C9D0EE"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3196C605" w14:textId="77777777" w:rsidTr="002D3D34">
        <w:trPr>
          <w:gridAfter w:val="1"/>
          <w:wAfter w:w="1212" w:type="dxa"/>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5C54CB27"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3" w:type="dxa"/>
            <w:gridSpan w:val="3"/>
            <w:tcBorders>
              <w:top w:val="single" w:sz="8" w:space="0" w:color="auto"/>
              <w:left w:val="nil"/>
              <w:bottom w:val="single" w:sz="8" w:space="0" w:color="auto"/>
              <w:right w:val="single" w:sz="8" w:space="0" w:color="000000"/>
            </w:tcBorders>
            <w:vAlign w:val="center"/>
            <w:hideMark/>
          </w:tcPr>
          <w:p w14:paraId="3C028610" w14:textId="77777777" w:rsidR="00060CFB"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entities</w:t>
            </w:r>
          </w:p>
          <w:p w14:paraId="47DDE70F" w14:textId="77777777" w:rsidR="00060CFB"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26F5FCB9" w14:textId="77777777" w:rsidR="00060CFB" w:rsidRPr="00A33AE8" w:rsidRDefault="00060CFB"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45ED099E" w14:textId="77777777" w:rsidR="002D3D34"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2D3D34" w:rsidRPr="00A33AE8" w14:paraId="3E37DFF7" w14:textId="77777777" w:rsidTr="002D3D34">
        <w:trPr>
          <w:gridAfter w:val="1"/>
          <w:wAfter w:w="1212" w:type="dxa"/>
          <w:trHeight w:val="315"/>
        </w:trPr>
        <w:tc>
          <w:tcPr>
            <w:tcW w:w="3225" w:type="dxa"/>
            <w:tcBorders>
              <w:top w:val="nil"/>
              <w:left w:val="single" w:sz="8" w:space="0" w:color="auto"/>
              <w:bottom w:val="single" w:sz="8" w:space="0" w:color="auto"/>
              <w:right w:val="nil"/>
            </w:tcBorders>
            <w:shd w:val="clear" w:color="auto" w:fill="244062"/>
            <w:vAlign w:val="center"/>
            <w:hideMark/>
          </w:tcPr>
          <w:p w14:paraId="00377C9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3" w:type="dxa"/>
            <w:gridSpan w:val="3"/>
            <w:tcBorders>
              <w:top w:val="single" w:sz="8" w:space="0" w:color="auto"/>
              <w:left w:val="nil"/>
              <w:bottom w:val="single" w:sz="8" w:space="0" w:color="auto"/>
              <w:right w:val="single" w:sz="8" w:space="0" w:color="000000"/>
            </w:tcBorders>
            <w:vAlign w:val="center"/>
            <w:hideMark/>
          </w:tcPr>
          <w:p w14:paraId="6BB29CD7" w14:textId="77777777" w:rsidR="002D3D34"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7C8B1247" w14:textId="77777777" w:rsidTr="002D3D34">
        <w:trPr>
          <w:gridAfter w:val="1"/>
          <w:wAfter w:w="1212" w:type="dxa"/>
          <w:trHeight w:val="315"/>
        </w:trPr>
        <w:tc>
          <w:tcPr>
            <w:tcW w:w="3225" w:type="dxa"/>
            <w:tcBorders>
              <w:top w:val="nil"/>
              <w:left w:val="single" w:sz="8" w:space="0" w:color="auto"/>
              <w:bottom w:val="single" w:sz="8" w:space="0" w:color="auto"/>
              <w:right w:val="nil"/>
            </w:tcBorders>
            <w:shd w:val="clear" w:color="auto" w:fill="244062"/>
            <w:vAlign w:val="center"/>
            <w:hideMark/>
          </w:tcPr>
          <w:p w14:paraId="0097D25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3" w:type="dxa"/>
            <w:gridSpan w:val="3"/>
            <w:tcBorders>
              <w:top w:val="single" w:sz="8" w:space="0" w:color="auto"/>
              <w:left w:val="nil"/>
              <w:bottom w:val="single" w:sz="8" w:space="0" w:color="auto"/>
              <w:right w:val="single" w:sz="8" w:space="0" w:color="000000"/>
            </w:tcBorders>
            <w:vAlign w:val="center"/>
            <w:hideMark/>
          </w:tcPr>
          <w:p w14:paraId="5B6CEB48" w14:textId="7542D704"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and diversity of supply sources, concentration in supply (HHI), residual supply index</w:t>
            </w:r>
          </w:p>
        </w:tc>
      </w:tr>
      <w:tr w:rsidR="00A0226E" w:rsidRPr="00A33AE8" w14:paraId="54509529" w14:textId="77777777" w:rsidTr="001B47D8">
        <w:trPr>
          <w:gridAfter w:val="1"/>
          <w:wAfter w:w="1212" w:type="dxa"/>
          <w:trHeight w:val="313"/>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7E493363"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3" w:type="dxa"/>
            <w:gridSpan w:val="3"/>
            <w:tcBorders>
              <w:top w:val="single" w:sz="8" w:space="0" w:color="auto"/>
              <w:left w:val="nil"/>
              <w:bottom w:val="single" w:sz="8" w:space="0" w:color="auto"/>
              <w:right w:val="single" w:sz="8" w:space="0" w:color="000000"/>
            </w:tcBorders>
            <w:vAlign w:val="center"/>
            <w:hideMark/>
          </w:tcPr>
          <w:p w14:paraId="59455812"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6DE4C6E9" w14:textId="77777777" w:rsidTr="002D3D34">
        <w:trPr>
          <w:gridAfter w:val="1"/>
          <w:wAfter w:w="1212" w:type="dxa"/>
          <w:trHeight w:val="450"/>
        </w:trPr>
        <w:tc>
          <w:tcPr>
            <w:tcW w:w="3225" w:type="dxa"/>
            <w:vMerge w:val="restart"/>
            <w:tcBorders>
              <w:top w:val="nil"/>
              <w:left w:val="single" w:sz="8" w:space="0" w:color="auto"/>
              <w:bottom w:val="single" w:sz="8" w:space="0" w:color="000000"/>
              <w:right w:val="single" w:sz="8" w:space="0" w:color="auto"/>
            </w:tcBorders>
            <w:shd w:val="clear" w:color="auto" w:fill="244062"/>
            <w:vAlign w:val="center"/>
            <w:hideMark/>
          </w:tcPr>
          <w:p w14:paraId="327731F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3"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1C3C18B" w14:textId="77777777" w:rsidR="002D3D34"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2009/73/EC</w:t>
            </w:r>
          </w:p>
        </w:tc>
      </w:tr>
      <w:tr w:rsidR="002D3D34" w:rsidRPr="00A33AE8" w14:paraId="72E590E6"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7CAFDB8A"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3" w:type="dxa"/>
            <w:gridSpan w:val="3"/>
            <w:vMerge/>
            <w:tcBorders>
              <w:top w:val="single" w:sz="8" w:space="0" w:color="auto"/>
              <w:left w:val="single" w:sz="8" w:space="0" w:color="auto"/>
              <w:bottom w:val="single" w:sz="8" w:space="0" w:color="000000"/>
              <w:right w:val="single" w:sz="8" w:space="0" w:color="000000"/>
            </w:tcBorders>
            <w:vAlign w:val="center"/>
            <w:hideMark/>
          </w:tcPr>
          <w:p w14:paraId="018649ED" w14:textId="77777777" w:rsidR="002D3D34" w:rsidRPr="00A33AE8" w:rsidRDefault="002D3D34" w:rsidP="00884F3B">
            <w:pPr>
              <w:pStyle w:val="ListParagraph"/>
              <w:numPr>
                <w:ilvl w:val="0"/>
                <w:numId w:val="80"/>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17CEC844" w14:textId="77777777" w:rsidR="002D3D34" w:rsidRPr="00A33AE8" w:rsidRDefault="002D3D34" w:rsidP="002D3D34"/>
        </w:tc>
      </w:tr>
      <w:tr w:rsidR="002D3D34" w:rsidRPr="00A33AE8" w14:paraId="3725D855" w14:textId="77777777" w:rsidTr="001B47D8">
        <w:trPr>
          <w:trHeight w:val="60"/>
        </w:trPr>
        <w:tc>
          <w:tcPr>
            <w:tcW w:w="0" w:type="auto"/>
            <w:vMerge/>
            <w:tcBorders>
              <w:top w:val="nil"/>
              <w:left w:val="single" w:sz="8" w:space="0" w:color="auto"/>
              <w:bottom w:val="single" w:sz="8" w:space="0" w:color="000000"/>
              <w:right w:val="single" w:sz="8" w:space="0" w:color="auto"/>
            </w:tcBorders>
            <w:vAlign w:val="center"/>
            <w:hideMark/>
          </w:tcPr>
          <w:p w14:paraId="6BF4B5BC"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3" w:type="dxa"/>
            <w:gridSpan w:val="3"/>
            <w:vMerge/>
            <w:tcBorders>
              <w:top w:val="single" w:sz="8" w:space="0" w:color="auto"/>
              <w:left w:val="single" w:sz="8" w:space="0" w:color="auto"/>
              <w:bottom w:val="single" w:sz="8" w:space="0" w:color="000000"/>
              <w:right w:val="single" w:sz="8" w:space="0" w:color="000000"/>
            </w:tcBorders>
            <w:vAlign w:val="center"/>
            <w:hideMark/>
          </w:tcPr>
          <w:p w14:paraId="25ECDE5E" w14:textId="77777777" w:rsidR="002D3D34" w:rsidRPr="00A33AE8" w:rsidRDefault="002D3D34" w:rsidP="00884F3B">
            <w:pPr>
              <w:pStyle w:val="ListParagraph"/>
              <w:numPr>
                <w:ilvl w:val="0"/>
                <w:numId w:val="80"/>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0B1B7360" w14:textId="77777777" w:rsidR="002D3D34" w:rsidRPr="00A33AE8" w:rsidRDefault="002D3D34" w:rsidP="002D3D34">
            <w:pPr>
              <w:spacing w:after="0" w:line="256" w:lineRule="auto"/>
              <w:rPr>
                <w:sz w:val="20"/>
                <w:szCs w:val="20"/>
                <w:lang w:eastAsia="en-GB"/>
              </w:rPr>
            </w:pPr>
          </w:p>
        </w:tc>
      </w:tr>
      <w:tr w:rsidR="002D3D34" w:rsidRPr="00A33AE8" w14:paraId="6E74DD73" w14:textId="77777777" w:rsidTr="002D3D34">
        <w:trPr>
          <w:trHeight w:val="780"/>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41E90008"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3" w:type="dxa"/>
            <w:gridSpan w:val="3"/>
            <w:tcBorders>
              <w:top w:val="single" w:sz="8" w:space="0" w:color="auto"/>
              <w:left w:val="nil"/>
              <w:bottom w:val="single" w:sz="8" w:space="0" w:color="auto"/>
              <w:right w:val="single" w:sz="8" w:space="0" w:color="000000"/>
            </w:tcBorders>
            <w:vAlign w:val="center"/>
            <w:hideMark/>
          </w:tcPr>
          <w:p w14:paraId="22B313DE" w14:textId="77777777" w:rsidR="002D3D34" w:rsidRPr="00A33AE8" w:rsidRDefault="002D3D34" w:rsidP="00884F3B">
            <w:pPr>
              <w:pStyle w:val="ListParagraph"/>
              <w:numPr>
                <w:ilvl w:val="0"/>
                <w:numId w:val="8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tc>
        <w:tc>
          <w:tcPr>
            <w:tcW w:w="1212" w:type="dxa"/>
            <w:vAlign w:val="center"/>
            <w:hideMark/>
          </w:tcPr>
          <w:p w14:paraId="4B0DE0C6"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77DF2F75" w14:textId="77777777" w:rsidTr="002D3D34">
        <w:trPr>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14607699"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3" w:type="dxa"/>
            <w:gridSpan w:val="3"/>
            <w:tcBorders>
              <w:top w:val="single" w:sz="8" w:space="0" w:color="auto"/>
              <w:left w:val="nil"/>
              <w:bottom w:val="single" w:sz="8" w:space="0" w:color="auto"/>
              <w:right w:val="single" w:sz="8" w:space="0" w:color="000000"/>
            </w:tcBorders>
            <w:vAlign w:val="center"/>
            <w:hideMark/>
          </w:tcPr>
          <w:p w14:paraId="53B27BC3"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0142B9D1" w14:textId="77777777" w:rsidR="00910552" w:rsidRPr="00A33AE8" w:rsidRDefault="00910552" w:rsidP="00910552">
            <w:pPr>
              <w:rPr>
                <w:rFonts w:ascii="Calibri" w:eastAsia="Times New Roman" w:hAnsi="Calibri" w:cs="Calibri"/>
                <w:color w:val="000000"/>
                <w:lang w:eastAsia="en-GB"/>
              </w:rPr>
            </w:pPr>
          </w:p>
        </w:tc>
      </w:tr>
      <w:tr w:rsidR="004F1D9E" w:rsidRPr="00A33AE8" w14:paraId="05134D15" w14:textId="77777777" w:rsidTr="002D3D34">
        <w:trPr>
          <w:trHeight w:val="315"/>
        </w:trPr>
        <w:tc>
          <w:tcPr>
            <w:tcW w:w="3225" w:type="dxa"/>
            <w:tcBorders>
              <w:top w:val="nil"/>
              <w:left w:val="single" w:sz="8" w:space="0" w:color="auto"/>
              <w:bottom w:val="single" w:sz="8" w:space="0" w:color="auto"/>
              <w:right w:val="single" w:sz="8" w:space="0" w:color="auto"/>
            </w:tcBorders>
            <w:shd w:val="clear" w:color="auto" w:fill="244062"/>
            <w:vAlign w:val="center"/>
            <w:hideMark/>
          </w:tcPr>
          <w:p w14:paraId="482CA5F9"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3" w:type="dxa"/>
            <w:gridSpan w:val="3"/>
            <w:tcBorders>
              <w:top w:val="single" w:sz="8" w:space="0" w:color="auto"/>
              <w:left w:val="nil"/>
              <w:bottom w:val="single" w:sz="8" w:space="0" w:color="auto"/>
              <w:right w:val="single" w:sz="8" w:space="0" w:color="000000"/>
            </w:tcBorders>
            <w:vAlign w:val="center"/>
            <w:hideMark/>
          </w:tcPr>
          <w:p w14:paraId="73E81A3F"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2A43C618" w14:textId="77777777" w:rsidR="004F1D9E" w:rsidRPr="00A33AE8" w:rsidRDefault="004F1D9E" w:rsidP="004F1D9E">
            <w:pPr>
              <w:rPr>
                <w:rFonts w:ascii="Calibri" w:eastAsia="Times New Roman" w:hAnsi="Calibri" w:cs="Calibri"/>
                <w:color w:val="000000"/>
                <w:lang w:eastAsia="en-GB"/>
              </w:rPr>
            </w:pPr>
          </w:p>
        </w:tc>
      </w:tr>
    </w:tbl>
    <w:p w14:paraId="5080C13F"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23"/>
        <w:gridCol w:w="1309"/>
        <w:gridCol w:w="922"/>
        <w:gridCol w:w="4034"/>
        <w:gridCol w:w="1212"/>
      </w:tblGrid>
      <w:tr w:rsidR="00AE377B" w:rsidRPr="00A33AE8" w14:paraId="06637E0E" w14:textId="77777777" w:rsidTr="002D3D34">
        <w:trPr>
          <w:gridAfter w:val="1"/>
          <w:wAfter w:w="1212" w:type="dxa"/>
          <w:trHeight w:val="780"/>
        </w:trPr>
        <w:tc>
          <w:tcPr>
            <w:tcW w:w="322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6826493"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035961AE" w14:textId="77777777" w:rsidR="00AE377B" w:rsidRPr="00A33AE8" w:rsidRDefault="00E376FC">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AE377B" w:rsidRPr="00A33AE8">
              <w:rPr>
                <w:rFonts w:ascii="Calibri Light" w:eastAsia="Times New Roman" w:hAnsi="Calibri Light" w:cs="Calibri Light"/>
                <w:b/>
                <w:bCs/>
                <w:color w:val="000000"/>
                <w:sz w:val="20"/>
                <w:szCs w:val="20"/>
                <w:lang w:eastAsia="en-GB"/>
              </w:rPr>
              <w:t>IEM</w:t>
            </w:r>
            <w:r w:rsidR="005D69C8" w:rsidRPr="00A33AE8">
              <w:rPr>
                <w:rFonts w:ascii="Calibri Light" w:eastAsia="Times New Roman" w:hAnsi="Calibri Light" w:cs="Calibri Light"/>
                <w:b/>
                <w:bCs/>
                <w:color w:val="000000"/>
                <w:sz w:val="20"/>
                <w:szCs w:val="20"/>
                <w:lang w:eastAsia="en-GB"/>
              </w:rPr>
              <w:t>2</w:t>
            </w:r>
            <w:r w:rsidR="00591EE9" w:rsidRPr="00A33AE8">
              <w:rPr>
                <w:rFonts w:ascii="Calibri Light" w:eastAsia="Times New Roman" w:hAnsi="Calibri Light" w:cs="Calibri Light"/>
                <w:b/>
                <w:bCs/>
                <w:color w:val="000000"/>
                <w:sz w:val="20"/>
                <w:szCs w:val="20"/>
                <w:lang w:eastAsia="en-GB"/>
              </w:rPr>
              <w:t>7</w:t>
            </w:r>
          </w:p>
        </w:tc>
        <w:tc>
          <w:tcPr>
            <w:tcW w:w="922" w:type="dxa"/>
            <w:tcBorders>
              <w:top w:val="single" w:sz="8" w:space="0" w:color="auto"/>
              <w:left w:val="nil"/>
              <w:bottom w:val="single" w:sz="8" w:space="0" w:color="auto"/>
              <w:right w:val="single" w:sz="8" w:space="0" w:color="auto"/>
            </w:tcBorders>
            <w:shd w:val="clear" w:color="auto" w:fill="244062"/>
            <w:vAlign w:val="center"/>
            <w:hideMark/>
          </w:tcPr>
          <w:p w14:paraId="1704F082"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3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38B69B8" w14:textId="77777777" w:rsidR="00AE377B" w:rsidRPr="00A33AE8" w:rsidRDefault="00AE377B">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Further development of Retail market </w:t>
            </w:r>
            <w:r w:rsidR="002D3D34" w:rsidRPr="00A33AE8">
              <w:rPr>
                <w:rFonts w:ascii="Calibri Light" w:eastAsia="Times New Roman" w:hAnsi="Calibri Light" w:cs="Calibri Light"/>
                <w:b/>
                <w:bCs/>
                <w:color w:val="000000"/>
                <w:sz w:val="20"/>
                <w:szCs w:val="20"/>
                <w:lang w:eastAsia="en-GB"/>
              </w:rPr>
              <w:t>opening</w:t>
            </w:r>
          </w:p>
        </w:tc>
      </w:tr>
      <w:tr w:rsidR="002D3D34" w:rsidRPr="00A33AE8" w14:paraId="2712B6E5" w14:textId="77777777" w:rsidTr="002D3D34">
        <w:trPr>
          <w:gridAfter w:val="1"/>
          <w:wAfter w:w="1212" w:type="dxa"/>
          <w:trHeight w:val="496"/>
        </w:trPr>
        <w:tc>
          <w:tcPr>
            <w:tcW w:w="3223" w:type="dxa"/>
            <w:tcBorders>
              <w:top w:val="nil"/>
              <w:left w:val="single" w:sz="8" w:space="0" w:color="auto"/>
              <w:bottom w:val="single" w:sz="8" w:space="0" w:color="auto"/>
              <w:right w:val="nil"/>
            </w:tcBorders>
            <w:shd w:val="clear" w:color="auto" w:fill="244062"/>
            <w:vAlign w:val="center"/>
            <w:hideMark/>
          </w:tcPr>
          <w:p w14:paraId="31E79A2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5" w:type="dxa"/>
            <w:gridSpan w:val="3"/>
            <w:tcBorders>
              <w:top w:val="single" w:sz="8" w:space="0" w:color="auto"/>
              <w:left w:val="nil"/>
              <w:bottom w:val="single" w:sz="8" w:space="0" w:color="auto"/>
              <w:right w:val="single" w:sz="8" w:space="0" w:color="000000"/>
            </w:tcBorders>
            <w:vAlign w:val="center"/>
          </w:tcPr>
          <w:p w14:paraId="1D10C2ED"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Consumer protection and improvement of competition</w:t>
            </w:r>
          </w:p>
        </w:tc>
      </w:tr>
      <w:tr w:rsidR="002D3D34" w:rsidRPr="00A33AE8" w14:paraId="5E98C9DE" w14:textId="77777777" w:rsidTr="002D3D34">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13FF3CE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5" w:type="dxa"/>
            <w:gridSpan w:val="3"/>
            <w:tcBorders>
              <w:top w:val="single" w:sz="8" w:space="0" w:color="auto"/>
              <w:left w:val="nil"/>
              <w:bottom w:val="single" w:sz="8" w:space="0" w:color="auto"/>
              <w:right w:val="single" w:sz="8" w:space="0" w:color="000000"/>
            </w:tcBorders>
            <w:vAlign w:val="center"/>
          </w:tcPr>
          <w:p w14:paraId="41CFDE87" w14:textId="77777777" w:rsidR="002D3D34" w:rsidRPr="00A33AE8" w:rsidRDefault="002D3D34" w:rsidP="002D3D34">
            <w:pPr>
              <w:spacing w:after="0" w:line="240" w:lineRule="auto"/>
              <w:jc w:val="both"/>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Consumer switching rates are improved</w:t>
            </w:r>
          </w:p>
        </w:tc>
      </w:tr>
      <w:tr w:rsidR="002D3D34" w:rsidRPr="00A33AE8" w14:paraId="350E1A92" w14:textId="77777777" w:rsidTr="002D3D34">
        <w:trPr>
          <w:gridAfter w:val="1"/>
          <w:wAfter w:w="1212" w:type="dxa"/>
          <w:trHeight w:val="583"/>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268527E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5" w:type="dxa"/>
            <w:gridSpan w:val="3"/>
            <w:tcBorders>
              <w:top w:val="single" w:sz="8" w:space="0" w:color="auto"/>
              <w:left w:val="nil"/>
              <w:bottom w:val="single" w:sz="8" w:space="0" w:color="auto"/>
              <w:right w:val="single" w:sz="8" w:space="0" w:color="000000"/>
            </w:tcBorders>
            <w:vAlign w:val="center"/>
            <w:hideMark/>
          </w:tcPr>
          <w:p w14:paraId="5D58DC73"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The vast majority of the market is supplied at non-regulated prices. All customers are eligible, yet the retail market is dominated by Srbijagas as noted under item M27. Customer protection measures are implemented.</w:t>
            </w:r>
          </w:p>
        </w:tc>
      </w:tr>
      <w:tr w:rsidR="002D3D34" w:rsidRPr="00A33AE8" w14:paraId="5835075B" w14:textId="77777777" w:rsidTr="002D3D34">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791E110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5" w:type="dxa"/>
            <w:gridSpan w:val="3"/>
            <w:tcBorders>
              <w:top w:val="single" w:sz="8" w:space="0" w:color="auto"/>
              <w:left w:val="nil"/>
              <w:bottom w:val="single" w:sz="8" w:space="0" w:color="auto"/>
              <w:right w:val="single" w:sz="8" w:space="0" w:color="000000"/>
            </w:tcBorders>
            <w:vAlign w:val="center"/>
            <w:hideMark/>
          </w:tcPr>
          <w:p w14:paraId="117F3586"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2D3D34" w:rsidRPr="00A33AE8" w14:paraId="1B2E2484" w14:textId="77777777" w:rsidTr="002D3D34">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0568185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5" w:type="dxa"/>
            <w:gridSpan w:val="3"/>
            <w:tcBorders>
              <w:top w:val="single" w:sz="8" w:space="0" w:color="auto"/>
              <w:left w:val="nil"/>
              <w:bottom w:val="single" w:sz="8" w:space="0" w:color="auto"/>
              <w:right w:val="single" w:sz="8" w:space="0" w:color="000000"/>
            </w:tcBorders>
            <w:vAlign w:val="center"/>
            <w:hideMark/>
          </w:tcPr>
          <w:p w14:paraId="057957E8" w14:textId="77777777" w:rsidR="002D3D34" w:rsidRPr="00A33AE8" w:rsidRDefault="00910552"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78476971" w14:textId="77777777" w:rsidTr="002D3D34">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543BAF7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5" w:type="dxa"/>
            <w:gridSpan w:val="3"/>
            <w:tcBorders>
              <w:top w:val="single" w:sz="8" w:space="0" w:color="auto"/>
              <w:left w:val="nil"/>
              <w:bottom w:val="single" w:sz="8" w:space="0" w:color="auto"/>
              <w:right w:val="single" w:sz="8" w:space="0" w:color="000000"/>
            </w:tcBorders>
            <w:vAlign w:val="center"/>
            <w:hideMark/>
          </w:tcPr>
          <w:p w14:paraId="10C88949"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1312FA14" w14:textId="77777777" w:rsidTr="002D3D34">
        <w:trPr>
          <w:gridAfter w:val="1"/>
          <w:wAfter w:w="1212" w:type="dxa"/>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66A50F88"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5" w:type="dxa"/>
            <w:gridSpan w:val="3"/>
            <w:tcBorders>
              <w:top w:val="single" w:sz="8" w:space="0" w:color="auto"/>
              <w:left w:val="nil"/>
              <w:bottom w:val="single" w:sz="8" w:space="0" w:color="auto"/>
              <w:right w:val="single" w:sz="8" w:space="0" w:color="000000"/>
            </w:tcBorders>
            <w:vAlign w:val="center"/>
            <w:hideMark/>
          </w:tcPr>
          <w:p w14:paraId="6551BB6E" w14:textId="77777777" w:rsidR="00060CFB"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entities</w:t>
            </w:r>
          </w:p>
          <w:p w14:paraId="0B9061CD" w14:textId="77777777" w:rsidR="00060CFB"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p w14:paraId="3D04AC19" w14:textId="77777777" w:rsidR="00060CFB" w:rsidRPr="00A33AE8" w:rsidRDefault="00060CFB"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774AFE84" w14:textId="77777777" w:rsidR="002D3D34"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Government</w:t>
            </w:r>
          </w:p>
        </w:tc>
      </w:tr>
      <w:tr w:rsidR="002D3D34" w:rsidRPr="00A33AE8" w14:paraId="1DF635EF" w14:textId="77777777" w:rsidTr="002D3D34">
        <w:trPr>
          <w:gridAfter w:val="1"/>
          <w:wAfter w:w="1212" w:type="dxa"/>
          <w:trHeight w:val="315"/>
        </w:trPr>
        <w:tc>
          <w:tcPr>
            <w:tcW w:w="3223" w:type="dxa"/>
            <w:tcBorders>
              <w:top w:val="nil"/>
              <w:left w:val="single" w:sz="8" w:space="0" w:color="auto"/>
              <w:bottom w:val="single" w:sz="8" w:space="0" w:color="auto"/>
              <w:right w:val="nil"/>
            </w:tcBorders>
            <w:shd w:val="clear" w:color="auto" w:fill="244062"/>
            <w:vAlign w:val="center"/>
            <w:hideMark/>
          </w:tcPr>
          <w:p w14:paraId="5A1088F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5" w:type="dxa"/>
            <w:gridSpan w:val="3"/>
            <w:tcBorders>
              <w:top w:val="single" w:sz="8" w:space="0" w:color="auto"/>
              <w:left w:val="nil"/>
              <w:bottom w:val="single" w:sz="8" w:space="0" w:color="auto"/>
              <w:right w:val="single" w:sz="8" w:space="0" w:color="000000"/>
            </w:tcBorders>
            <w:vAlign w:val="center"/>
            <w:hideMark/>
          </w:tcPr>
          <w:p w14:paraId="47623774" w14:textId="77777777" w:rsidR="002D3D34"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2DA503AA" w14:textId="77777777" w:rsidTr="002D3D34">
        <w:trPr>
          <w:gridAfter w:val="1"/>
          <w:wAfter w:w="1212" w:type="dxa"/>
          <w:trHeight w:val="315"/>
        </w:trPr>
        <w:tc>
          <w:tcPr>
            <w:tcW w:w="3223" w:type="dxa"/>
            <w:tcBorders>
              <w:top w:val="nil"/>
              <w:left w:val="single" w:sz="8" w:space="0" w:color="auto"/>
              <w:bottom w:val="single" w:sz="8" w:space="0" w:color="auto"/>
              <w:right w:val="nil"/>
            </w:tcBorders>
            <w:shd w:val="clear" w:color="auto" w:fill="244062"/>
            <w:vAlign w:val="center"/>
            <w:hideMark/>
          </w:tcPr>
          <w:p w14:paraId="097FCEAB"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5" w:type="dxa"/>
            <w:gridSpan w:val="3"/>
            <w:tcBorders>
              <w:top w:val="single" w:sz="8" w:space="0" w:color="auto"/>
              <w:left w:val="nil"/>
              <w:bottom w:val="single" w:sz="8" w:space="0" w:color="auto"/>
              <w:right w:val="single" w:sz="8" w:space="0" w:color="000000"/>
            </w:tcBorders>
            <w:vAlign w:val="center"/>
            <w:hideMark/>
          </w:tcPr>
          <w:p w14:paraId="07283C7C"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Customer witching rates</w:t>
            </w:r>
          </w:p>
        </w:tc>
      </w:tr>
      <w:tr w:rsidR="00A0226E" w:rsidRPr="00A33AE8" w14:paraId="7ECED497" w14:textId="77777777" w:rsidTr="00A0226E">
        <w:trPr>
          <w:gridAfter w:val="1"/>
          <w:wAfter w:w="1212" w:type="dxa"/>
          <w:trHeight w:val="4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2E8A6774"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5" w:type="dxa"/>
            <w:gridSpan w:val="3"/>
            <w:tcBorders>
              <w:top w:val="single" w:sz="8" w:space="0" w:color="auto"/>
              <w:left w:val="nil"/>
              <w:bottom w:val="single" w:sz="8" w:space="0" w:color="auto"/>
              <w:right w:val="single" w:sz="8" w:space="0" w:color="000000"/>
            </w:tcBorders>
            <w:vAlign w:val="center"/>
            <w:hideMark/>
          </w:tcPr>
          <w:p w14:paraId="0EAF86B0"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0605C653" w14:textId="77777777" w:rsidTr="002D3D34">
        <w:trPr>
          <w:gridAfter w:val="1"/>
          <w:wAfter w:w="1212" w:type="dxa"/>
          <w:trHeight w:val="450"/>
        </w:trPr>
        <w:tc>
          <w:tcPr>
            <w:tcW w:w="3223" w:type="dxa"/>
            <w:vMerge w:val="restart"/>
            <w:tcBorders>
              <w:top w:val="nil"/>
              <w:left w:val="single" w:sz="8" w:space="0" w:color="auto"/>
              <w:bottom w:val="single" w:sz="8" w:space="0" w:color="000000"/>
              <w:right w:val="single" w:sz="8" w:space="0" w:color="auto"/>
            </w:tcBorders>
            <w:shd w:val="clear" w:color="auto" w:fill="244062"/>
            <w:vAlign w:val="center"/>
            <w:hideMark/>
          </w:tcPr>
          <w:p w14:paraId="5FBEB01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5"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31758F43" w14:textId="77777777" w:rsidR="002D3D34" w:rsidRPr="00A33AE8" w:rsidRDefault="002D3D34" w:rsidP="00884F3B">
            <w:pPr>
              <w:pStyle w:val="ListParagraph"/>
              <w:numPr>
                <w:ilvl w:val="0"/>
                <w:numId w:val="80"/>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2009/73/EC</w:t>
            </w:r>
          </w:p>
        </w:tc>
      </w:tr>
      <w:tr w:rsidR="002D3D34" w:rsidRPr="00A33AE8" w14:paraId="5E0F333A"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26960E7C"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5" w:type="dxa"/>
            <w:gridSpan w:val="3"/>
            <w:vMerge/>
            <w:tcBorders>
              <w:top w:val="single" w:sz="8" w:space="0" w:color="auto"/>
              <w:left w:val="single" w:sz="8" w:space="0" w:color="auto"/>
              <w:bottom w:val="single" w:sz="8" w:space="0" w:color="000000"/>
              <w:right w:val="single" w:sz="8" w:space="0" w:color="000000"/>
            </w:tcBorders>
            <w:vAlign w:val="center"/>
            <w:hideMark/>
          </w:tcPr>
          <w:p w14:paraId="65B66497" w14:textId="77777777" w:rsidR="002D3D34" w:rsidRPr="00A33AE8" w:rsidRDefault="002D3D34" w:rsidP="00884F3B">
            <w:pPr>
              <w:pStyle w:val="ListParagraph"/>
              <w:numPr>
                <w:ilvl w:val="0"/>
                <w:numId w:val="80"/>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13DE1E1" w14:textId="77777777" w:rsidR="002D3D34" w:rsidRPr="00A33AE8" w:rsidRDefault="002D3D34" w:rsidP="002D3D34"/>
        </w:tc>
      </w:tr>
      <w:tr w:rsidR="002D3D34" w:rsidRPr="00A33AE8" w14:paraId="1C9DEFD8" w14:textId="77777777" w:rsidTr="00A0226E">
        <w:trPr>
          <w:trHeight w:val="60"/>
        </w:trPr>
        <w:tc>
          <w:tcPr>
            <w:tcW w:w="0" w:type="auto"/>
            <w:vMerge/>
            <w:tcBorders>
              <w:top w:val="nil"/>
              <w:left w:val="single" w:sz="8" w:space="0" w:color="auto"/>
              <w:bottom w:val="single" w:sz="8" w:space="0" w:color="000000"/>
              <w:right w:val="single" w:sz="8" w:space="0" w:color="auto"/>
            </w:tcBorders>
            <w:vAlign w:val="center"/>
            <w:hideMark/>
          </w:tcPr>
          <w:p w14:paraId="082D24A5"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5" w:type="dxa"/>
            <w:gridSpan w:val="3"/>
            <w:vMerge/>
            <w:tcBorders>
              <w:top w:val="single" w:sz="8" w:space="0" w:color="auto"/>
              <w:left w:val="single" w:sz="8" w:space="0" w:color="auto"/>
              <w:bottom w:val="single" w:sz="8" w:space="0" w:color="000000"/>
              <w:right w:val="single" w:sz="8" w:space="0" w:color="000000"/>
            </w:tcBorders>
            <w:vAlign w:val="center"/>
            <w:hideMark/>
          </w:tcPr>
          <w:p w14:paraId="46E388FC" w14:textId="77777777" w:rsidR="002D3D34" w:rsidRPr="00A33AE8" w:rsidRDefault="002D3D34" w:rsidP="00884F3B">
            <w:pPr>
              <w:pStyle w:val="ListParagraph"/>
              <w:numPr>
                <w:ilvl w:val="0"/>
                <w:numId w:val="80"/>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20B0A7C" w14:textId="77777777" w:rsidR="002D3D34" w:rsidRPr="00A33AE8" w:rsidRDefault="002D3D34" w:rsidP="002D3D34">
            <w:pPr>
              <w:spacing w:after="0" w:line="256" w:lineRule="auto"/>
              <w:rPr>
                <w:sz w:val="20"/>
                <w:szCs w:val="20"/>
                <w:lang w:eastAsia="en-GB"/>
              </w:rPr>
            </w:pPr>
          </w:p>
        </w:tc>
      </w:tr>
      <w:tr w:rsidR="002D3D34" w:rsidRPr="00A33AE8" w14:paraId="00F86B4D" w14:textId="77777777" w:rsidTr="002D3D34">
        <w:trPr>
          <w:trHeight w:val="780"/>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7206FF2B"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5" w:type="dxa"/>
            <w:gridSpan w:val="3"/>
            <w:tcBorders>
              <w:top w:val="single" w:sz="8" w:space="0" w:color="auto"/>
              <w:left w:val="nil"/>
              <w:bottom w:val="single" w:sz="8" w:space="0" w:color="auto"/>
              <w:right w:val="single" w:sz="8" w:space="0" w:color="000000"/>
            </w:tcBorders>
            <w:vAlign w:val="center"/>
            <w:hideMark/>
          </w:tcPr>
          <w:p w14:paraId="1177FC53" w14:textId="77777777" w:rsidR="002D3D34" w:rsidRPr="00A33AE8" w:rsidRDefault="002D3D34" w:rsidP="00884F3B">
            <w:pPr>
              <w:pStyle w:val="ListParagraph"/>
              <w:numPr>
                <w:ilvl w:val="0"/>
                <w:numId w:val="80"/>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tc>
        <w:tc>
          <w:tcPr>
            <w:tcW w:w="1212" w:type="dxa"/>
            <w:vAlign w:val="center"/>
            <w:hideMark/>
          </w:tcPr>
          <w:p w14:paraId="4317BE9D"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314DDA8F" w14:textId="77777777" w:rsidTr="002D3D34">
        <w:trPr>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5539096A"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5" w:type="dxa"/>
            <w:gridSpan w:val="3"/>
            <w:tcBorders>
              <w:top w:val="single" w:sz="8" w:space="0" w:color="auto"/>
              <w:left w:val="nil"/>
              <w:bottom w:val="single" w:sz="8" w:space="0" w:color="auto"/>
              <w:right w:val="single" w:sz="8" w:space="0" w:color="000000"/>
            </w:tcBorders>
            <w:vAlign w:val="center"/>
            <w:hideMark/>
          </w:tcPr>
          <w:p w14:paraId="082B1A4E"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789CC566" w14:textId="77777777" w:rsidR="00910552" w:rsidRPr="00A33AE8" w:rsidRDefault="00910552" w:rsidP="00910552">
            <w:pPr>
              <w:rPr>
                <w:rFonts w:ascii="Calibri" w:eastAsia="Times New Roman" w:hAnsi="Calibri" w:cs="Calibri"/>
                <w:color w:val="000000"/>
                <w:lang w:eastAsia="en-GB"/>
              </w:rPr>
            </w:pPr>
          </w:p>
        </w:tc>
      </w:tr>
      <w:tr w:rsidR="004F1D9E" w:rsidRPr="00A33AE8" w14:paraId="6AC3BA42" w14:textId="77777777" w:rsidTr="002D3D34">
        <w:trPr>
          <w:trHeight w:val="315"/>
        </w:trPr>
        <w:tc>
          <w:tcPr>
            <w:tcW w:w="3223" w:type="dxa"/>
            <w:tcBorders>
              <w:top w:val="nil"/>
              <w:left w:val="single" w:sz="8" w:space="0" w:color="auto"/>
              <w:bottom w:val="single" w:sz="8" w:space="0" w:color="auto"/>
              <w:right w:val="single" w:sz="8" w:space="0" w:color="auto"/>
            </w:tcBorders>
            <w:shd w:val="clear" w:color="auto" w:fill="244062"/>
            <w:vAlign w:val="center"/>
            <w:hideMark/>
          </w:tcPr>
          <w:p w14:paraId="12C66736"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5" w:type="dxa"/>
            <w:gridSpan w:val="3"/>
            <w:tcBorders>
              <w:top w:val="single" w:sz="8" w:space="0" w:color="auto"/>
              <w:left w:val="nil"/>
              <w:bottom w:val="single" w:sz="8" w:space="0" w:color="auto"/>
              <w:right w:val="single" w:sz="8" w:space="0" w:color="000000"/>
            </w:tcBorders>
            <w:vAlign w:val="center"/>
            <w:hideMark/>
          </w:tcPr>
          <w:p w14:paraId="60722C20"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1713B998" w14:textId="77777777" w:rsidR="004F1D9E" w:rsidRPr="00A33AE8" w:rsidRDefault="004F1D9E" w:rsidP="004F1D9E">
            <w:pPr>
              <w:rPr>
                <w:rFonts w:ascii="Calibri" w:eastAsia="Times New Roman" w:hAnsi="Calibri" w:cs="Calibri"/>
                <w:color w:val="000000"/>
                <w:lang w:eastAsia="en-GB"/>
              </w:rPr>
            </w:pPr>
          </w:p>
        </w:tc>
      </w:tr>
    </w:tbl>
    <w:p w14:paraId="71CD5F19"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22"/>
        <w:gridCol w:w="1309"/>
        <w:gridCol w:w="921"/>
        <w:gridCol w:w="4036"/>
        <w:gridCol w:w="1212"/>
      </w:tblGrid>
      <w:tr w:rsidR="00DF5835" w:rsidRPr="00A33AE8" w14:paraId="7676B0B3" w14:textId="77777777" w:rsidTr="002D3D34">
        <w:trPr>
          <w:gridAfter w:val="1"/>
          <w:wAfter w:w="1212" w:type="dxa"/>
          <w:trHeight w:val="780"/>
        </w:trPr>
        <w:tc>
          <w:tcPr>
            <w:tcW w:w="3222"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EC63C36" w14:textId="77777777" w:rsidR="00DF5835" w:rsidRPr="00A33AE8" w:rsidRDefault="00DF5835" w:rsidP="00DF5835">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4600E6D1" w14:textId="77777777" w:rsidR="00DF5835" w:rsidRPr="00A33AE8" w:rsidRDefault="00DF5835" w:rsidP="00DF5835">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PM_IEM2</w:t>
            </w:r>
            <w:r w:rsidR="00591EE9" w:rsidRPr="00A33AE8">
              <w:rPr>
                <w:rFonts w:ascii="Calibri Light" w:eastAsia="Times New Roman" w:hAnsi="Calibri Light" w:cs="Calibri Light"/>
                <w:b/>
                <w:bCs/>
                <w:color w:val="000000"/>
                <w:sz w:val="20"/>
                <w:szCs w:val="20"/>
                <w:lang w:eastAsia="en-GB"/>
              </w:rPr>
              <w:t>8</w:t>
            </w:r>
          </w:p>
        </w:tc>
        <w:tc>
          <w:tcPr>
            <w:tcW w:w="921" w:type="dxa"/>
            <w:tcBorders>
              <w:top w:val="single" w:sz="8" w:space="0" w:color="auto"/>
              <w:left w:val="nil"/>
              <w:bottom w:val="single" w:sz="8" w:space="0" w:color="auto"/>
              <w:right w:val="single" w:sz="8" w:space="0" w:color="auto"/>
            </w:tcBorders>
            <w:shd w:val="clear" w:color="auto" w:fill="244062"/>
            <w:vAlign w:val="center"/>
            <w:hideMark/>
          </w:tcPr>
          <w:p w14:paraId="2BA3BBDD" w14:textId="77777777" w:rsidR="00DF5835" w:rsidRPr="00A33AE8" w:rsidRDefault="00DF5835" w:rsidP="00DF5835">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3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36AE241" w14:textId="77777777" w:rsidR="00DF5835" w:rsidRPr="00A33AE8" w:rsidRDefault="00403496" w:rsidP="00DF5835">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w:t>
            </w:r>
            <w:r w:rsidR="00DF5835" w:rsidRPr="00A33AE8">
              <w:rPr>
                <w:rFonts w:ascii="Calibri Light" w:eastAsia="Times New Roman" w:hAnsi="Calibri Light" w:cs="Calibri Light"/>
                <w:b/>
                <w:bCs/>
                <w:color w:val="000000"/>
                <w:sz w:val="20"/>
                <w:szCs w:val="20"/>
                <w:lang w:eastAsia="en-GB"/>
              </w:rPr>
              <w:t xml:space="preserve"> of the Grid Code of </w:t>
            </w:r>
            <w:r w:rsidR="00DF5835" w:rsidRPr="00A33AE8">
              <w:rPr>
                <w:rFonts w:ascii="Calibri Light" w:eastAsia="Times New Roman" w:hAnsi="Calibri Light" w:cs="Calibri Light"/>
                <w:b/>
                <w:color w:val="000000"/>
                <w:sz w:val="20"/>
                <w:szCs w:val="20"/>
                <w:lang w:eastAsia="en-GB"/>
              </w:rPr>
              <w:t>Transportgas Serbia</w:t>
            </w:r>
            <w:r w:rsidR="00DF5835" w:rsidRPr="00A33AE8">
              <w:rPr>
                <w:rFonts w:ascii="Calibri Light" w:eastAsia="Times New Roman" w:hAnsi="Calibri Light" w:cs="Calibri Light"/>
                <w:b/>
                <w:bCs/>
                <w:color w:val="000000"/>
                <w:sz w:val="20"/>
                <w:szCs w:val="20"/>
                <w:lang w:eastAsia="en-GB"/>
              </w:rPr>
              <w:t>. Development of a grid code for Yugorosgaz Transport</w:t>
            </w:r>
          </w:p>
        </w:tc>
      </w:tr>
      <w:tr w:rsidR="002D3D34" w:rsidRPr="00A33AE8" w14:paraId="72C230D6" w14:textId="77777777" w:rsidTr="002D3D34">
        <w:trPr>
          <w:gridAfter w:val="1"/>
          <w:wAfter w:w="1212" w:type="dxa"/>
          <w:trHeight w:val="512"/>
        </w:trPr>
        <w:tc>
          <w:tcPr>
            <w:tcW w:w="3222" w:type="dxa"/>
            <w:tcBorders>
              <w:top w:val="nil"/>
              <w:left w:val="single" w:sz="8" w:space="0" w:color="auto"/>
              <w:bottom w:val="single" w:sz="8" w:space="0" w:color="auto"/>
              <w:right w:val="nil"/>
            </w:tcBorders>
            <w:shd w:val="clear" w:color="auto" w:fill="244062"/>
            <w:vAlign w:val="center"/>
            <w:hideMark/>
          </w:tcPr>
          <w:p w14:paraId="4265C21B"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6" w:type="dxa"/>
            <w:gridSpan w:val="3"/>
            <w:tcBorders>
              <w:top w:val="single" w:sz="8" w:space="0" w:color="auto"/>
              <w:left w:val="nil"/>
              <w:bottom w:val="single" w:sz="8" w:space="0" w:color="auto"/>
              <w:right w:val="single" w:sz="8" w:space="0" w:color="000000"/>
            </w:tcBorders>
            <w:vAlign w:val="center"/>
          </w:tcPr>
          <w:p w14:paraId="54D4620B"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Consumer protection and improvement of competition, Enable EE at the supply side (i.e. through the reduction of losses</w:t>
            </w:r>
            <w:r w:rsidR="00C43333">
              <w:rPr>
                <w:rFonts w:ascii="Calibri Light" w:eastAsia="Times New Roman" w:hAnsi="Calibri Light" w:cs="Calibri Light"/>
                <w:color w:val="000000"/>
                <w:sz w:val="20"/>
                <w:szCs w:val="20"/>
                <w:lang w:eastAsia="en-GB"/>
              </w:rPr>
              <w:t>)</w:t>
            </w:r>
          </w:p>
        </w:tc>
      </w:tr>
      <w:tr w:rsidR="002D3D34" w:rsidRPr="00A33AE8" w14:paraId="000FFAE7" w14:textId="77777777" w:rsidTr="002D3D34">
        <w:trPr>
          <w:gridAfter w:val="1"/>
          <w:wAfter w:w="1212" w:type="dxa"/>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1ED870B7"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6" w:type="dxa"/>
            <w:gridSpan w:val="3"/>
            <w:tcBorders>
              <w:top w:val="single" w:sz="8" w:space="0" w:color="auto"/>
              <w:left w:val="nil"/>
              <w:bottom w:val="single" w:sz="8" w:space="0" w:color="auto"/>
              <w:right w:val="single" w:sz="8" w:space="0" w:color="000000"/>
            </w:tcBorders>
            <w:vAlign w:val="center"/>
          </w:tcPr>
          <w:p w14:paraId="7068D067" w14:textId="77777777" w:rsidR="002D3D34" w:rsidRPr="00A33AE8" w:rsidRDefault="002D3D34" w:rsidP="002D3D34">
            <w:pPr>
              <w:spacing w:after="0" w:line="240" w:lineRule="auto"/>
              <w:jc w:val="both"/>
              <w:rPr>
                <w:rFonts w:ascii="Calibri" w:eastAsia="Times New Roman" w:hAnsi="Calibri" w:cs="Calibri"/>
                <w:color w:val="000000"/>
                <w:lang w:eastAsia="en-GB"/>
              </w:rPr>
            </w:pPr>
          </w:p>
        </w:tc>
      </w:tr>
      <w:tr w:rsidR="002D3D34" w:rsidRPr="00A33AE8" w14:paraId="2A76C297" w14:textId="77777777" w:rsidTr="002D3D34">
        <w:trPr>
          <w:gridAfter w:val="1"/>
          <w:wAfter w:w="1212" w:type="dxa"/>
          <w:trHeight w:val="481"/>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0019309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6" w:type="dxa"/>
            <w:gridSpan w:val="3"/>
            <w:tcBorders>
              <w:top w:val="single" w:sz="8" w:space="0" w:color="auto"/>
              <w:left w:val="nil"/>
              <w:bottom w:val="single" w:sz="8" w:space="0" w:color="auto"/>
              <w:right w:val="single" w:sz="8" w:space="0" w:color="000000"/>
            </w:tcBorders>
            <w:vAlign w:val="center"/>
            <w:hideMark/>
          </w:tcPr>
          <w:p w14:paraId="6169949A" w14:textId="203FA034"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The Code of Transportgas </w:t>
            </w:r>
            <w:r w:rsidR="00C96A78" w:rsidRPr="00A33AE8">
              <w:rPr>
                <w:rFonts w:ascii="Calibri Light" w:eastAsia="Times New Roman" w:hAnsi="Calibri Light" w:cs="Calibri Light"/>
                <w:color w:val="000000"/>
                <w:sz w:val="20"/>
                <w:szCs w:val="20"/>
                <w:lang w:eastAsia="en-GB"/>
              </w:rPr>
              <w:t>Serbia needs</w:t>
            </w:r>
            <w:r w:rsidRPr="00A33AE8">
              <w:rPr>
                <w:rFonts w:ascii="Calibri Light" w:eastAsia="Times New Roman" w:hAnsi="Calibri Light" w:cs="Calibri Light"/>
                <w:color w:val="000000"/>
                <w:sz w:val="20"/>
                <w:szCs w:val="20"/>
                <w:lang w:eastAsia="en-GB"/>
              </w:rPr>
              <w:t xml:space="preserve"> to be developed and the code of Yugorosgaz Transport needs to be updates to align with all provisions of Regulation (EU) 715/2009 and also transpose Regulations (EU) 459/2017 and 312/2014.</w:t>
            </w:r>
          </w:p>
        </w:tc>
      </w:tr>
      <w:tr w:rsidR="002D3D34" w:rsidRPr="00A33AE8" w14:paraId="3468CFC2" w14:textId="77777777" w:rsidTr="002D3D34">
        <w:trPr>
          <w:gridAfter w:val="1"/>
          <w:wAfter w:w="1212" w:type="dxa"/>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2913D467"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6" w:type="dxa"/>
            <w:gridSpan w:val="3"/>
            <w:tcBorders>
              <w:top w:val="single" w:sz="8" w:space="0" w:color="auto"/>
              <w:left w:val="nil"/>
              <w:bottom w:val="single" w:sz="8" w:space="0" w:color="auto"/>
              <w:right w:val="single" w:sz="8" w:space="0" w:color="000000"/>
            </w:tcBorders>
            <w:vAlign w:val="center"/>
            <w:hideMark/>
          </w:tcPr>
          <w:p w14:paraId="78C83A12"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3421DC">
              <w:rPr>
                <w:rFonts w:ascii="Calibri Light" w:eastAsia="Times New Roman" w:hAnsi="Calibri Light" w:cs="Calibri Light"/>
                <w:color w:val="000000"/>
                <w:sz w:val="20"/>
                <w:szCs w:val="20"/>
                <w:lang w:eastAsia="en-GB"/>
              </w:rPr>
              <w:t>2021-</w:t>
            </w:r>
            <w:r w:rsidR="00B731FA" w:rsidRPr="003421DC">
              <w:rPr>
                <w:rFonts w:ascii="Calibri Light" w:eastAsia="Times New Roman" w:hAnsi="Calibri Light" w:cs="Calibri Light"/>
                <w:color w:val="000000"/>
                <w:sz w:val="20"/>
                <w:szCs w:val="20"/>
                <w:lang w:eastAsia="en-GB"/>
              </w:rPr>
              <w:t>2024</w:t>
            </w:r>
          </w:p>
        </w:tc>
      </w:tr>
      <w:tr w:rsidR="002D3D34" w:rsidRPr="00A33AE8" w14:paraId="07E664E7" w14:textId="77777777" w:rsidTr="002D3D34">
        <w:trPr>
          <w:gridAfter w:val="1"/>
          <w:wAfter w:w="1212" w:type="dxa"/>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33F70BD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6" w:type="dxa"/>
            <w:gridSpan w:val="3"/>
            <w:tcBorders>
              <w:top w:val="single" w:sz="8" w:space="0" w:color="auto"/>
              <w:left w:val="nil"/>
              <w:bottom w:val="single" w:sz="8" w:space="0" w:color="auto"/>
              <w:right w:val="single" w:sz="8" w:space="0" w:color="000000"/>
            </w:tcBorders>
            <w:vAlign w:val="center"/>
            <w:hideMark/>
          </w:tcPr>
          <w:p w14:paraId="278DD9B9" w14:textId="77777777" w:rsidR="002D3D34" w:rsidRPr="00A33AE8" w:rsidRDefault="00910552"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46557B51" w14:textId="77777777" w:rsidTr="002D3D34">
        <w:trPr>
          <w:gridAfter w:val="1"/>
          <w:wAfter w:w="1212" w:type="dxa"/>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2CB9AB77"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6" w:type="dxa"/>
            <w:gridSpan w:val="3"/>
            <w:tcBorders>
              <w:top w:val="single" w:sz="8" w:space="0" w:color="auto"/>
              <w:left w:val="nil"/>
              <w:bottom w:val="single" w:sz="8" w:space="0" w:color="auto"/>
              <w:right w:val="single" w:sz="8" w:space="0" w:color="000000"/>
            </w:tcBorders>
            <w:vAlign w:val="center"/>
            <w:hideMark/>
          </w:tcPr>
          <w:p w14:paraId="69F3BAE3"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Gas</w:t>
            </w:r>
          </w:p>
        </w:tc>
      </w:tr>
      <w:tr w:rsidR="002D3D34" w:rsidRPr="00A33AE8" w14:paraId="3B600B9F" w14:textId="77777777" w:rsidTr="002D3D34">
        <w:trPr>
          <w:gridAfter w:val="1"/>
          <w:wAfter w:w="1212" w:type="dxa"/>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5868BEF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6" w:type="dxa"/>
            <w:gridSpan w:val="3"/>
            <w:tcBorders>
              <w:top w:val="single" w:sz="8" w:space="0" w:color="auto"/>
              <w:left w:val="nil"/>
              <w:bottom w:val="single" w:sz="8" w:space="0" w:color="auto"/>
              <w:right w:val="single" w:sz="8" w:space="0" w:color="000000"/>
            </w:tcBorders>
            <w:vAlign w:val="center"/>
            <w:hideMark/>
          </w:tcPr>
          <w:p w14:paraId="45741E0B" w14:textId="77777777" w:rsidR="00060CFB"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Transportga</w:t>
            </w:r>
            <w:r w:rsidR="00060CFB" w:rsidRPr="00A33AE8">
              <w:rPr>
                <w:rFonts w:ascii="Calibri Light" w:eastAsia="Times New Roman" w:hAnsi="Calibri Light" w:cs="Calibri Light"/>
                <w:color w:val="000000"/>
                <w:sz w:val="20"/>
                <w:szCs w:val="20"/>
                <w:lang w:eastAsia="en-GB"/>
              </w:rPr>
              <w:t>s</w:t>
            </w:r>
          </w:p>
          <w:p w14:paraId="12B16AEF"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Jugorosgaz Transport</w:t>
            </w:r>
          </w:p>
        </w:tc>
      </w:tr>
      <w:tr w:rsidR="002D3D34" w:rsidRPr="00A33AE8" w14:paraId="3B9AC180" w14:textId="77777777" w:rsidTr="002D3D34">
        <w:trPr>
          <w:gridAfter w:val="1"/>
          <w:wAfter w:w="1212" w:type="dxa"/>
          <w:trHeight w:val="315"/>
        </w:trPr>
        <w:tc>
          <w:tcPr>
            <w:tcW w:w="3222" w:type="dxa"/>
            <w:tcBorders>
              <w:top w:val="nil"/>
              <w:left w:val="single" w:sz="8" w:space="0" w:color="auto"/>
              <w:bottom w:val="single" w:sz="8" w:space="0" w:color="auto"/>
              <w:right w:val="nil"/>
            </w:tcBorders>
            <w:shd w:val="clear" w:color="auto" w:fill="244062"/>
            <w:vAlign w:val="center"/>
            <w:hideMark/>
          </w:tcPr>
          <w:p w14:paraId="6EAAA07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6" w:type="dxa"/>
            <w:gridSpan w:val="3"/>
            <w:tcBorders>
              <w:top w:val="single" w:sz="8" w:space="0" w:color="auto"/>
              <w:left w:val="nil"/>
              <w:bottom w:val="single" w:sz="8" w:space="0" w:color="auto"/>
              <w:right w:val="single" w:sz="8" w:space="0" w:color="000000"/>
            </w:tcBorders>
            <w:vAlign w:val="center"/>
            <w:hideMark/>
          </w:tcPr>
          <w:p w14:paraId="22DAB692"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AERS</w:t>
            </w:r>
          </w:p>
        </w:tc>
      </w:tr>
      <w:tr w:rsidR="002D3D34" w:rsidRPr="00A33AE8" w14:paraId="421480BB" w14:textId="77777777" w:rsidTr="002D3D34">
        <w:trPr>
          <w:gridAfter w:val="1"/>
          <w:wAfter w:w="1212" w:type="dxa"/>
          <w:trHeight w:val="315"/>
        </w:trPr>
        <w:tc>
          <w:tcPr>
            <w:tcW w:w="3222" w:type="dxa"/>
            <w:tcBorders>
              <w:top w:val="nil"/>
              <w:left w:val="single" w:sz="8" w:space="0" w:color="auto"/>
              <w:bottom w:val="single" w:sz="8" w:space="0" w:color="auto"/>
              <w:right w:val="nil"/>
            </w:tcBorders>
            <w:shd w:val="clear" w:color="auto" w:fill="244062"/>
            <w:vAlign w:val="center"/>
            <w:hideMark/>
          </w:tcPr>
          <w:p w14:paraId="3AFE29C3"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6" w:type="dxa"/>
            <w:gridSpan w:val="3"/>
            <w:tcBorders>
              <w:top w:val="single" w:sz="8" w:space="0" w:color="auto"/>
              <w:left w:val="nil"/>
              <w:bottom w:val="single" w:sz="8" w:space="0" w:color="auto"/>
              <w:right w:val="single" w:sz="8" w:space="0" w:color="000000"/>
            </w:tcBorders>
            <w:vAlign w:val="center"/>
            <w:hideMark/>
          </w:tcPr>
          <w:p w14:paraId="4394E4A6" w14:textId="77777777" w:rsidR="002D3D34" w:rsidRPr="00A33AE8" w:rsidRDefault="002D3D34" w:rsidP="002D3D34">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xml:space="preserve">Adoption of a Code for Transportgas </w:t>
            </w:r>
            <w:r w:rsidR="00C96A78" w:rsidRPr="00A33AE8">
              <w:rPr>
                <w:rFonts w:ascii="Calibri Light" w:eastAsia="Times New Roman" w:hAnsi="Calibri Light" w:cs="Calibri Light"/>
                <w:color w:val="000000"/>
                <w:sz w:val="20"/>
                <w:szCs w:val="20"/>
                <w:lang w:eastAsia="en-GB"/>
              </w:rPr>
              <w:t>Serbia and</w:t>
            </w:r>
            <w:r w:rsidRPr="00A33AE8">
              <w:rPr>
                <w:rFonts w:ascii="Calibri Light" w:eastAsia="Times New Roman" w:hAnsi="Calibri Light" w:cs="Calibri Light"/>
                <w:color w:val="000000"/>
                <w:sz w:val="20"/>
                <w:szCs w:val="20"/>
                <w:lang w:eastAsia="en-GB"/>
              </w:rPr>
              <w:t xml:space="preserve"> an updated code for Yugorosgaz Transport</w:t>
            </w:r>
          </w:p>
        </w:tc>
      </w:tr>
      <w:tr w:rsidR="00A0226E" w:rsidRPr="00A33AE8" w14:paraId="45C3D607" w14:textId="77777777" w:rsidTr="002D3D34">
        <w:trPr>
          <w:gridAfter w:val="1"/>
          <w:wAfter w:w="1212" w:type="dxa"/>
          <w:trHeight w:val="726"/>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279B6A44"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6" w:type="dxa"/>
            <w:gridSpan w:val="3"/>
            <w:tcBorders>
              <w:top w:val="single" w:sz="8" w:space="0" w:color="auto"/>
              <w:left w:val="nil"/>
              <w:bottom w:val="single" w:sz="8" w:space="0" w:color="auto"/>
              <w:right w:val="single" w:sz="8" w:space="0" w:color="000000"/>
            </w:tcBorders>
            <w:vAlign w:val="center"/>
            <w:hideMark/>
          </w:tcPr>
          <w:p w14:paraId="10486E80" w14:textId="77777777" w:rsidR="00A0226E" w:rsidRPr="00A33AE8" w:rsidRDefault="00A0226E" w:rsidP="00A0226E">
            <w:pPr>
              <w:spacing w:after="0" w:line="240" w:lineRule="auto"/>
              <w:jc w:val="both"/>
              <w:rPr>
                <w:rFonts w:ascii="Calibri Light" w:eastAsia="Times New Roman" w:hAnsi="Calibri Light" w:cs="Calibri Light"/>
                <w:color w:val="000000"/>
                <w:sz w:val="20"/>
                <w:szCs w:val="20"/>
                <w:lang w:eastAsia="en-GB"/>
              </w:rPr>
            </w:pPr>
          </w:p>
        </w:tc>
      </w:tr>
      <w:tr w:rsidR="002D3D34" w:rsidRPr="00A33AE8" w14:paraId="31CFB3E2" w14:textId="77777777" w:rsidTr="002D3D34">
        <w:trPr>
          <w:gridAfter w:val="1"/>
          <w:wAfter w:w="1212" w:type="dxa"/>
          <w:trHeight w:val="450"/>
        </w:trPr>
        <w:tc>
          <w:tcPr>
            <w:tcW w:w="3222" w:type="dxa"/>
            <w:vMerge w:val="restart"/>
            <w:tcBorders>
              <w:top w:val="nil"/>
              <w:left w:val="single" w:sz="8" w:space="0" w:color="auto"/>
              <w:bottom w:val="single" w:sz="8" w:space="0" w:color="000000"/>
              <w:right w:val="single" w:sz="8" w:space="0" w:color="auto"/>
            </w:tcBorders>
            <w:shd w:val="clear" w:color="auto" w:fill="244062"/>
            <w:vAlign w:val="center"/>
            <w:hideMark/>
          </w:tcPr>
          <w:p w14:paraId="04F6A6DC"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6"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56BF102"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2009/715</w:t>
            </w:r>
          </w:p>
          <w:p w14:paraId="19099E37"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2017/459</w:t>
            </w:r>
          </w:p>
          <w:p w14:paraId="21075835"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2014/312</w:t>
            </w:r>
          </w:p>
        </w:tc>
      </w:tr>
      <w:tr w:rsidR="002D3D34" w:rsidRPr="00A33AE8" w14:paraId="4FE67563"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0834BBA6"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6" w:type="dxa"/>
            <w:gridSpan w:val="3"/>
            <w:vMerge/>
            <w:tcBorders>
              <w:top w:val="single" w:sz="8" w:space="0" w:color="auto"/>
              <w:left w:val="single" w:sz="8" w:space="0" w:color="auto"/>
              <w:bottom w:val="single" w:sz="8" w:space="0" w:color="000000"/>
              <w:right w:val="single" w:sz="8" w:space="0" w:color="000000"/>
            </w:tcBorders>
            <w:vAlign w:val="center"/>
            <w:hideMark/>
          </w:tcPr>
          <w:p w14:paraId="6A0F7AE9"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EEB31E8" w14:textId="77777777" w:rsidR="002D3D34" w:rsidRPr="00A33AE8" w:rsidRDefault="002D3D34" w:rsidP="002D3D34"/>
        </w:tc>
      </w:tr>
      <w:tr w:rsidR="002D3D34" w:rsidRPr="00A33AE8" w14:paraId="77FE7D8E" w14:textId="77777777" w:rsidTr="002D3D34">
        <w:trPr>
          <w:trHeight w:val="60"/>
        </w:trPr>
        <w:tc>
          <w:tcPr>
            <w:tcW w:w="0" w:type="auto"/>
            <w:vMerge/>
            <w:tcBorders>
              <w:top w:val="nil"/>
              <w:left w:val="single" w:sz="8" w:space="0" w:color="auto"/>
              <w:bottom w:val="single" w:sz="8" w:space="0" w:color="000000"/>
              <w:right w:val="single" w:sz="8" w:space="0" w:color="auto"/>
            </w:tcBorders>
            <w:vAlign w:val="center"/>
            <w:hideMark/>
          </w:tcPr>
          <w:p w14:paraId="57322437"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6" w:type="dxa"/>
            <w:gridSpan w:val="3"/>
            <w:vMerge/>
            <w:tcBorders>
              <w:top w:val="single" w:sz="8" w:space="0" w:color="auto"/>
              <w:left w:val="single" w:sz="8" w:space="0" w:color="auto"/>
              <w:bottom w:val="single" w:sz="8" w:space="0" w:color="000000"/>
              <w:right w:val="single" w:sz="8" w:space="0" w:color="000000"/>
            </w:tcBorders>
            <w:vAlign w:val="center"/>
            <w:hideMark/>
          </w:tcPr>
          <w:p w14:paraId="39A4363C"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BC176FB" w14:textId="77777777" w:rsidR="002D3D34" w:rsidRPr="00A33AE8" w:rsidRDefault="002D3D34" w:rsidP="002D3D34">
            <w:pPr>
              <w:spacing w:after="0" w:line="256" w:lineRule="auto"/>
              <w:rPr>
                <w:sz w:val="20"/>
                <w:szCs w:val="20"/>
                <w:lang w:eastAsia="en-GB"/>
              </w:rPr>
            </w:pPr>
          </w:p>
        </w:tc>
      </w:tr>
      <w:tr w:rsidR="002D3D34" w:rsidRPr="00A33AE8" w14:paraId="7C033209" w14:textId="77777777" w:rsidTr="002D3D34">
        <w:trPr>
          <w:trHeight w:val="780"/>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7923B2E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6" w:type="dxa"/>
            <w:gridSpan w:val="3"/>
            <w:tcBorders>
              <w:top w:val="single" w:sz="8" w:space="0" w:color="auto"/>
              <w:left w:val="nil"/>
              <w:bottom w:val="single" w:sz="8" w:space="0" w:color="auto"/>
              <w:right w:val="single" w:sz="8" w:space="0" w:color="000000"/>
            </w:tcBorders>
            <w:vAlign w:val="center"/>
            <w:hideMark/>
          </w:tcPr>
          <w:p w14:paraId="69928382"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Law</w:t>
            </w:r>
          </w:p>
          <w:p w14:paraId="34CBF25C" w14:textId="77777777" w:rsidR="002D3D34" w:rsidRPr="00A33AE8" w:rsidRDefault="002D3D34" w:rsidP="00884F3B">
            <w:pPr>
              <w:pStyle w:val="ListParagraph"/>
              <w:numPr>
                <w:ilvl w:val="0"/>
                <w:numId w:val="81"/>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Grid Code of Srbijagas</w:t>
            </w:r>
          </w:p>
        </w:tc>
        <w:tc>
          <w:tcPr>
            <w:tcW w:w="1212" w:type="dxa"/>
            <w:vAlign w:val="center"/>
            <w:hideMark/>
          </w:tcPr>
          <w:p w14:paraId="0F1D8EFD"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172EF2E2" w14:textId="77777777" w:rsidTr="002D3D34">
        <w:trPr>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21A370F7"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6" w:type="dxa"/>
            <w:gridSpan w:val="3"/>
            <w:tcBorders>
              <w:top w:val="single" w:sz="8" w:space="0" w:color="auto"/>
              <w:left w:val="nil"/>
              <w:bottom w:val="single" w:sz="8" w:space="0" w:color="auto"/>
              <w:right w:val="single" w:sz="8" w:space="0" w:color="000000"/>
            </w:tcBorders>
            <w:vAlign w:val="center"/>
            <w:hideMark/>
          </w:tcPr>
          <w:p w14:paraId="16318A93"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059DF0E3" w14:textId="77777777" w:rsidR="00910552" w:rsidRPr="00A33AE8" w:rsidRDefault="00910552" w:rsidP="00910552">
            <w:pPr>
              <w:rPr>
                <w:rFonts w:ascii="Calibri" w:eastAsia="Times New Roman" w:hAnsi="Calibri" w:cs="Calibri"/>
                <w:color w:val="000000"/>
                <w:lang w:eastAsia="en-GB"/>
              </w:rPr>
            </w:pPr>
          </w:p>
        </w:tc>
      </w:tr>
      <w:tr w:rsidR="004F1D9E" w:rsidRPr="00A33AE8" w14:paraId="434F5532" w14:textId="77777777" w:rsidTr="002D3D34">
        <w:trPr>
          <w:trHeight w:val="315"/>
        </w:trPr>
        <w:tc>
          <w:tcPr>
            <w:tcW w:w="3222" w:type="dxa"/>
            <w:tcBorders>
              <w:top w:val="nil"/>
              <w:left w:val="single" w:sz="8" w:space="0" w:color="auto"/>
              <w:bottom w:val="single" w:sz="8" w:space="0" w:color="auto"/>
              <w:right w:val="single" w:sz="8" w:space="0" w:color="auto"/>
            </w:tcBorders>
            <w:shd w:val="clear" w:color="auto" w:fill="244062"/>
            <w:vAlign w:val="center"/>
            <w:hideMark/>
          </w:tcPr>
          <w:p w14:paraId="7F288756"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6" w:type="dxa"/>
            <w:gridSpan w:val="3"/>
            <w:tcBorders>
              <w:top w:val="single" w:sz="8" w:space="0" w:color="auto"/>
              <w:left w:val="nil"/>
              <w:bottom w:val="single" w:sz="8" w:space="0" w:color="auto"/>
              <w:right w:val="single" w:sz="8" w:space="0" w:color="000000"/>
            </w:tcBorders>
            <w:vAlign w:val="center"/>
            <w:hideMark/>
          </w:tcPr>
          <w:p w14:paraId="50DCFA22"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4874C8FC" w14:textId="77777777" w:rsidR="004F1D9E" w:rsidRPr="00A33AE8" w:rsidRDefault="004F1D9E" w:rsidP="004F1D9E">
            <w:pPr>
              <w:rPr>
                <w:rFonts w:ascii="Calibri" w:eastAsia="Times New Roman" w:hAnsi="Calibri" w:cs="Calibri"/>
                <w:color w:val="000000"/>
                <w:lang w:eastAsia="en-GB"/>
              </w:rPr>
            </w:pPr>
          </w:p>
        </w:tc>
      </w:tr>
    </w:tbl>
    <w:p w14:paraId="55843D59"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27"/>
        <w:gridCol w:w="1309"/>
        <w:gridCol w:w="923"/>
        <w:gridCol w:w="4029"/>
        <w:gridCol w:w="1212"/>
      </w:tblGrid>
      <w:tr w:rsidR="00AE377B" w:rsidRPr="00A33AE8" w14:paraId="097A9F82" w14:textId="77777777" w:rsidTr="002D3D34">
        <w:trPr>
          <w:gridAfter w:val="1"/>
          <w:wAfter w:w="1212" w:type="dxa"/>
          <w:trHeight w:val="780"/>
        </w:trPr>
        <w:tc>
          <w:tcPr>
            <w:tcW w:w="322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D326589"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216E0952" w14:textId="77777777" w:rsidR="00AE377B" w:rsidRPr="00A33AE8" w:rsidRDefault="00E376FC">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Theme="majorHAnsi" w:eastAsia="Times New Roman" w:hAnsiTheme="majorHAnsi" w:cstheme="majorHAnsi"/>
                <w:b/>
                <w:bCs/>
                <w:color w:val="000000"/>
                <w:sz w:val="20"/>
                <w:szCs w:val="20"/>
                <w:lang w:eastAsia="en-GB"/>
              </w:rPr>
              <w:t>IEM</w:t>
            </w:r>
            <w:r w:rsidR="00154EBA">
              <w:rPr>
                <w:rFonts w:asciiTheme="majorHAnsi" w:eastAsia="Times New Roman" w:hAnsiTheme="majorHAnsi" w:cstheme="majorHAnsi"/>
                <w:b/>
                <w:bCs/>
                <w:color w:val="000000"/>
                <w:sz w:val="20"/>
                <w:szCs w:val="20"/>
                <w:lang w:eastAsia="en-GB"/>
              </w:rPr>
              <w:t>10</w:t>
            </w:r>
          </w:p>
        </w:tc>
        <w:tc>
          <w:tcPr>
            <w:tcW w:w="923" w:type="dxa"/>
            <w:tcBorders>
              <w:top w:val="single" w:sz="8" w:space="0" w:color="auto"/>
              <w:left w:val="nil"/>
              <w:bottom w:val="single" w:sz="8" w:space="0" w:color="auto"/>
              <w:right w:val="single" w:sz="8" w:space="0" w:color="auto"/>
            </w:tcBorders>
            <w:shd w:val="clear" w:color="auto" w:fill="244062"/>
            <w:vAlign w:val="center"/>
            <w:hideMark/>
          </w:tcPr>
          <w:p w14:paraId="15684C62" w14:textId="77777777" w:rsidR="00AE377B" w:rsidRPr="00A33AE8" w:rsidRDefault="00AE377B">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29" w:type="dxa"/>
            <w:tcBorders>
              <w:top w:val="single" w:sz="8" w:space="0" w:color="auto"/>
              <w:left w:val="nil"/>
              <w:bottom w:val="single" w:sz="8" w:space="0" w:color="auto"/>
              <w:right w:val="single" w:sz="8" w:space="0" w:color="auto"/>
            </w:tcBorders>
            <w:shd w:val="clear" w:color="auto" w:fill="E7E6E6" w:themeFill="background2"/>
            <w:vAlign w:val="center"/>
            <w:hideMark/>
          </w:tcPr>
          <w:p w14:paraId="5D470AEA" w14:textId="77777777" w:rsidR="00AE377B" w:rsidRPr="00A33AE8" w:rsidRDefault="00AE377B">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 xml:space="preserve">Intensify gasification efforts </w:t>
            </w:r>
            <w:r w:rsidR="00343B13" w:rsidRPr="00A33AE8">
              <w:rPr>
                <w:rFonts w:asciiTheme="majorHAnsi" w:eastAsia="Times New Roman" w:hAnsiTheme="majorHAnsi" w:cstheme="majorHAnsi"/>
                <w:b/>
                <w:bCs/>
                <w:color w:val="000000"/>
                <w:sz w:val="20"/>
                <w:szCs w:val="20"/>
                <w:lang w:eastAsia="en-GB"/>
              </w:rPr>
              <w:t>in Serbia</w:t>
            </w:r>
          </w:p>
        </w:tc>
      </w:tr>
      <w:tr w:rsidR="002D3D34" w:rsidRPr="00A33AE8" w14:paraId="3BB08654" w14:textId="77777777" w:rsidTr="002D3D34">
        <w:trPr>
          <w:gridAfter w:val="1"/>
          <w:wAfter w:w="1212" w:type="dxa"/>
          <w:trHeight w:val="563"/>
        </w:trPr>
        <w:tc>
          <w:tcPr>
            <w:tcW w:w="3227" w:type="dxa"/>
            <w:tcBorders>
              <w:top w:val="nil"/>
              <w:left w:val="single" w:sz="8" w:space="0" w:color="auto"/>
              <w:bottom w:val="single" w:sz="8" w:space="0" w:color="auto"/>
              <w:right w:val="nil"/>
            </w:tcBorders>
            <w:shd w:val="clear" w:color="auto" w:fill="244062"/>
            <w:vAlign w:val="center"/>
            <w:hideMark/>
          </w:tcPr>
          <w:p w14:paraId="4045F24D"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1" w:type="dxa"/>
            <w:gridSpan w:val="3"/>
            <w:tcBorders>
              <w:top w:val="single" w:sz="8" w:space="0" w:color="auto"/>
              <w:left w:val="nil"/>
              <w:bottom w:val="single" w:sz="8" w:space="0" w:color="auto"/>
              <w:right w:val="single" w:sz="8" w:space="0" w:color="000000"/>
            </w:tcBorders>
            <w:vAlign w:val="center"/>
          </w:tcPr>
          <w:p w14:paraId="566D5707"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Infrastructure at distribution level</w:t>
            </w:r>
          </w:p>
        </w:tc>
      </w:tr>
      <w:tr w:rsidR="002D3D34" w:rsidRPr="00A33AE8" w14:paraId="7B26FFF8" w14:textId="77777777" w:rsidTr="002D3D34">
        <w:trPr>
          <w:gridAfter w:val="1"/>
          <w:wAfter w:w="1212" w:type="dxa"/>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7E1E15BC"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1" w:type="dxa"/>
            <w:gridSpan w:val="3"/>
            <w:tcBorders>
              <w:top w:val="single" w:sz="8" w:space="0" w:color="auto"/>
              <w:left w:val="nil"/>
              <w:bottom w:val="single" w:sz="8" w:space="0" w:color="auto"/>
              <w:right w:val="single" w:sz="8" w:space="0" w:color="000000"/>
            </w:tcBorders>
            <w:vAlign w:val="center"/>
          </w:tcPr>
          <w:p w14:paraId="6334C99A"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Gasification at the south west part of Serbia</w:t>
            </w:r>
            <w:r w:rsidR="005768AA" w:rsidRPr="00A33AE8">
              <w:rPr>
                <w:rFonts w:asciiTheme="majorHAnsi" w:eastAsia="Times New Roman" w:hAnsiTheme="majorHAnsi" w:cstheme="majorHAnsi"/>
                <w:color w:val="000000"/>
                <w:sz w:val="20"/>
                <w:szCs w:val="20"/>
                <w:lang w:eastAsia="en-GB"/>
              </w:rPr>
              <w:t xml:space="preserve"> and the south east part of Serbia</w:t>
            </w:r>
            <w:r w:rsidRPr="00A33AE8">
              <w:rPr>
                <w:rFonts w:asciiTheme="majorHAnsi" w:eastAsia="Times New Roman" w:hAnsiTheme="majorHAnsi" w:cstheme="majorHAnsi"/>
                <w:color w:val="000000"/>
                <w:sz w:val="20"/>
                <w:szCs w:val="20"/>
                <w:lang w:eastAsia="en-GB"/>
              </w:rPr>
              <w:t xml:space="preserve">, decrease </w:t>
            </w:r>
            <w:r w:rsidR="00A97810" w:rsidRPr="00A33AE8">
              <w:rPr>
                <w:rFonts w:asciiTheme="majorHAnsi" w:eastAsia="Times New Roman" w:hAnsiTheme="majorHAnsi" w:cstheme="majorHAnsi"/>
                <w:color w:val="000000"/>
                <w:sz w:val="20"/>
                <w:szCs w:val="20"/>
                <w:lang w:eastAsia="en-GB"/>
              </w:rPr>
              <w:t xml:space="preserve">of </w:t>
            </w:r>
            <w:r w:rsidRPr="00A33AE8">
              <w:rPr>
                <w:rFonts w:asciiTheme="majorHAnsi" w:eastAsia="Times New Roman" w:hAnsiTheme="majorHAnsi" w:cstheme="majorHAnsi"/>
                <w:color w:val="000000"/>
                <w:sz w:val="20"/>
                <w:szCs w:val="20"/>
                <w:lang w:eastAsia="en-GB"/>
              </w:rPr>
              <w:t>the use of other fuels in the southern part of the republic of Serbia</w:t>
            </w:r>
          </w:p>
        </w:tc>
      </w:tr>
      <w:tr w:rsidR="002D3D34" w:rsidRPr="00A33AE8" w14:paraId="57904885" w14:textId="77777777" w:rsidTr="002D3D34">
        <w:trPr>
          <w:gridAfter w:val="1"/>
          <w:wAfter w:w="1212" w:type="dxa"/>
          <w:trHeight w:val="738"/>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2236C3EF"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1" w:type="dxa"/>
            <w:gridSpan w:val="3"/>
            <w:tcBorders>
              <w:top w:val="single" w:sz="8" w:space="0" w:color="auto"/>
              <w:left w:val="nil"/>
              <w:bottom w:val="single" w:sz="8" w:space="0" w:color="auto"/>
              <w:right w:val="single" w:sz="8" w:space="0" w:color="000000"/>
            </w:tcBorders>
            <w:vAlign w:val="center"/>
            <w:hideMark/>
          </w:tcPr>
          <w:p w14:paraId="2A075E99" w14:textId="43F1A629" w:rsidR="002D3D34"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Three IPs are foreseen along the Gastrans pipeline to provide gas to the south-east areas of Serbia which currently have no access to gas infrastructure. The purpose of this measure shall be to develop a gasification plan for these regions</w:t>
            </w:r>
            <w:r w:rsidR="000E7475">
              <w:rPr>
                <w:rFonts w:asciiTheme="majorHAnsi" w:eastAsia="Times New Roman" w:hAnsiTheme="majorHAnsi" w:cstheme="majorHAnsi"/>
                <w:color w:val="000000"/>
                <w:sz w:val="20"/>
                <w:szCs w:val="20"/>
                <w:lang w:eastAsia="en-GB"/>
              </w:rPr>
              <w:t>.</w:t>
            </w:r>
          </w:p>
          <w:p w14:paraId="77C4E4F3" w14:textId="77777777" w:rsidR="000E7475" w:rsidRPr="00A33AE8" w:rsidRDefault="000E7475" w:rsidP="002D3D34">
            <w:pPr>
              <w:spacing w:after="0" w:line="240" w:lineRule="auto"/>
              <w:jc w:val="both"/>
              <w:rPr>
                <w:rFonts w:asciiTheme="majorHAnsi" w:eastAsia="Times New Roman" w:hAnsiTheme="majorHAnsi" w:cstheme="majorHAnsi"/>
                <w:color w:val="000000"/>
                <w:sz w:val="20"/>
                <w:szCs w:val="20"/>
                <w:lang w:eastAsia="en-GB"/>
              </w:rPr>
            </w:pPr>
            <w:r w:rsidRPr="000E7475">
              <w:rPr>
                <w:rFonts w:asciiTheme="majorHAnsi" w:eastAsia="Times New Roman" w:hAnsiTheme="majorHAnsi" w:cstheme="majorHAnsi"/>
                <w:color w:val="000000"/>
                <w:sz w:val="20"/>
                <w:szCs w:val="20"/>
                <w:lang w:eastAsia="en-GB"/>
              </w:rPr>
              <w:t>Any additional investment costs essential for its implementation will be subjected to thorough scrutiny within the framework of comprehensive action plans.</w:t>
            </w:r>
          </w:p>
        </w:tc>
      </w:tr>
      <w:tr w:rsidR="00AE377B" w:rsidRPr="00A33AE8" w14:paraId="2867F111" w14:textId="77777777" w:rsidTr="002D3D34">
        <w:trPr>
          <w:gridAfter w:val="1"/>
          <w:wAfter w:w="1212" w:type="dxa"/>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553AF51A"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1" w:type="dxa"/>
            <w:gridSpan w:val="3"/>
            <w:tcBorders>
              <w:top w:val="single" w:sz="8" w:space="0" w:color="auto"/>
              <w:left w:val="nil"/>
              <w:bottom w:val="single" w:sz="8" w:space="0" w:color="auto"/>
              <w:right w:val="single" w:sz="8" w:space="0" w:color="000000"/>
            </w:tcBorders>
            <w:vAlign w:val="center"/>
            <w:hideMark/>
          </w:tcPr>
          <w:p w14:paraId="51D9B7AB" w14:textId="77777777" w:rsidR="00AE377B" w:rsidRPr="00A33AE8" w:rsidRDefault="00AE377B">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w:t>
            </w:r>
            <w:r w:rsidR="000E47E5" w:rsidRPr="00A33AE8">
              <w:rPr>
                <w:rFonts w:asciiTheme="majorHAnsi" w:eastAsia="Times New Roman" w:hAnsiTheme="majorHAnsi" w:cstheme="majorHAnsi"/>
                <w:color w:val="000000"/>
                <w:sz w:val="20"/>
                <w:szCs w:val="20"/>
                <w:lang w:eastAsia="en-GB"/>
              </w:rPr>
              <w:t>22</w:t>
            </w:r>
            <w:r w:rsidRPr="00A33AE8">
              <w:rPr>
                <w:rFonts w:asciiTheme="majorHAnsi" w:eastAsia="Times New Roman" w:hAnsiTheme="majorHAnsi" w:cstheme="majorHAnsi"/>
                <w:color w:val="000000"/>
                <w:sz w:val="20"/>
                <w:szCs w:val="20"/>
                <w:lang w:eastAsia="en-GB"/>
              </w:rPr>
              <w:t>-20</w:t>
            </w:r>
            <w:r w:rsidR="000E47E5" w:rsidRPr="00A33AE8">
              <w:rPr>
                <w:rFonts w:asciiTheme="majorHAnsi" w:eastAsia="Times New Roman" w:hAnsiTheme="majorHAnsi" w:cstheme="majorHAnsi"/>
                <w:color w:val="000000"/>
                <w:sz w:val="20"/>
                <w:szCs w:val="20"/>
                <w:lang w:eastAsia="en-GB"/>
              </w:rPr>
              <w:t>25</w:t>
            </w:r>
          </w:p>
        </w:tc>
      </w:tr>
      <w:tr w:rsidR="002D3D34" w:rsidRPr="00A33AE8" w14:paraId="1AD6E9DD" w14:textId="77777777" w:rsidTr="002D3D34">
        <w:trPr>
          <w:gridAfter w:val="1"/>
          <w:wAfter w:w="1212" w:type="dxa"/>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3697D9C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1" w:type="dxa"/>
            <w:gridSpan w:val="3"/>
            <w:tcBorders>
              <w:top w:val="single" w:sz="8" w:space="0" w:color="auto"/>
              <w:left w:val="nil"/>
              <w:bottom w:val="single" w:sz="8" w:space="0" w:color="auto"/>
              <w:right w:val="single" w:sz="8" w:space="0" w:color="000000"/>
            </w:tcBorders>
            <w:vAlign w:val="center"/>
            <w:hideMark/>
          </w:tcPr>
          <w:p w14:paraId="7A89FDB4" w14:textId="77777777" w:rsidR="002D3D34" w:rsidRPr="00A33AE8" w:rsidRDefault="00910552"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6098CC3C" w14:textId="77777777" w:rsidTr="002D3D34">
        <w:trPr>
          <w:gridAfter w:val="1"/>
          <w:wAfter w:w="1212" w:type="dxa"/>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41D6865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1" w:type="dxa"/>
            <w:gridSpan w:val="3"/>
            <w:tcBorders>
              <w:top w:val="single" w:sz="8" w:space="0" w:color="auto"/>
              <w:left w:val="nil"/>
              <w:bottom w:val="single" w:sz="8" w:space="0" w:color="auto"/>
              <w:right w:val="single" w:sz="8" w:space="0" w:color="000000"/>
            </w:tcBorders>
            <w:vAlign w:val="center"/>
            <w:hideMark/>
          </w:tcPr>
          <w:p w14:paraId="5DECCD9C"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2D3D34" w:rsidRPr="00A33AE8" w14:paraId="086A9869" w14:textId="77777777" w:rsidTr="002D3D34">
        <w:trPr>
          <w:gridAfter w:val="1"/>
          <w:wAfter w:w="1212" w:type="dxa"/>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60E00F95"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1" w:type="dxa"/>
            <w:gridSpan w:val="3"/>
            <w:tcBorders>
              <w:top w:val="single" w:sz="8" w:space="0" w:color="auto"/>
              <w:left w:val="nil"/>
              <w:bottom w:val="single" w:sz="8" w:space="0" w:color="auto"/>
              <w:right w:val="single" w:sz="8" w:space="0" w:color="000000"/>
            </w:tcBorders>
            <w:vAlign w:val="center"/>
            <w:hideMark/>
          </w:tcPr>
          <w:p w14:paraId="0EC2B5A7" w14:textId="77777777" w:rsidR="002D3D34" w:rsidRPr="00A33AE8" w:rsidRDefault="002D3D34"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Transportgas</w:t>
            </w:r>
          </w:p>
          <w:p w14:paraId="5EBF7812" w14:textId="77777777" w:rsidR="00343B13" w:rsidRPr="00A33AE8" w:rsidRDefault="00343B13" w:rsidP="00884F3B">
            <w:pPr>
              <w:pStyle w:val="ListParagraph"/>
              <w:numPr>
                <w:ilvl w:val="0"/>
                <w:numId w:val="83"/>
              </w:numPr>
              <w:spacing w:after="0" w:line="240" w:lineRule="auto"/>
              <w:jc w:val="both"/>
              <w:rPr>
                <w:rFonts w:asciiTheme="majorHAnsi"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PC Srbijagas</w:t>
            </w:r>
          </w:p>
          <w:p w14:paraId="726E316A" w14:textId="77777777" w:rsidR="00343B13" w:rsidRPr="00A33AE8" w:rsidRDefault="00343B13"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Jugorozgas</w:t>
            </w:r>
          </w:p>
        </w:tc>
      </w:tr>
      <w:tr w:rsidR="002D3D34" w:rsidRPr="00A33AE8" w14:paraId="0D2FD461" w14:textId="77777777" w:rsidTr="002D3D34">
        <w:trPr>
          <w:gridAfter w:val="1"/>
          <w:wAfter w:w="1212" w:type="dxa"/>
          <w:trHeight w:val="315"/>
        </w:trPr>
        <w:tc>
          <w:tcPr>
            <w:tcW w:w="3227" w:type="dxa"/>
            <w:tcBorders>
              <w:top w:val="nil"/>
              <w:left w:val="single" w:sz="8" w:space="0" w:color="auto"/>
              <w:bottom w:val="single" w:sz="8" w:space="0" w:color="auto"/>
              <w:right w:val="nil"/>
            </w:tcBorders>
            <w:shd w:val="clear" w:color="auto" w:fill="244062"/>
            <w:vAlign w:val="center"/>
            <w:hideMark/>
          </w:tcPr>
          <w:p w14:paraId="7C65B30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Monitoring Entity</w:t>
            </w:r>
          </w:p>
        </w:tc>
        <w:tc>
          <w:tcPr>
            <w:tcW w:w="6261" w:type="dxa"/>
            <w:gridSpan w:val="3"/>
            <w:tcBorders>
              <w:top w:val="single" w:sz="8" w:space="0" w:color="auto"/>
              <w:left w:val="nil"/>
              <w:bottom w:val="single" w:sz="8" w:space="0" w:color="auto"/>
              <w:right w:val="single" w:sz="8" w:space="0" w:color="000000"/>
            </w:tcBorders>
            <w:vAlign w:val="center"/>
            <w:hideMark/>
          </w:tcPr>
          <w:p w14:paraId="64913CC6" w14:textId="77777777" w:rsidR="00883C2A" w:rsidRPr="00A33AE8" w:rsidRDefault="00883C2A"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32D56B3F" w14:textId="77777777" w:rsidR="00883C2A" w:rsidRPr="00A33AE8" w:rsidRDefault="00883C2A"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Ministry of </w:t>
            </w:r>
            <w:r w:rsidR="00E92A71" w:rsidRPr="00A33AE8">
              <w:rPr>
                <w:rFonts w:asciiTheme="majorHAnsi" w:eastAsia="Times New Roman" w:hAnsiTheme="majorHAnsi" w:cstheme="majorHAnsi"/>
                <w:color w:val="000000"/>
                <w:sz w:val="20"/>
                <w:szCs w:val="20"/>
                <w:lang w:eastAsia="en-GB"/>
              </w:rPr>
              <w:t xml:space="preserve">Construction, Transport and </w:t>
            </w:r>
            <w:r w:rsidRPr="00A33AE8">
              <w:rPr>
                <w:rFonts w:asciiTheme="majorHAnsi" w:eastAsia="Times New Roman" w:hAnsiTheme="majorHAnsi" w:cstheme="majorHAnsi"/>
                <w:color w:val="000000"/>
                <w:sz w:val="20"/>
                <w:szCs w:val="20"/>
                <w:lang w:eastAsia="en-GB"/>
              </w:rPr>
              <w:t>Infrastructure</w:t>
            </w:r>
            <w:r w:rsidR="00E92A71"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/Local Self-Government</w:t>
            </w:r>
          </w:p>
          <w:p w14:paraId="40801845" w14:textId="77777777" w:rsidR="002D3D34" w:rsidRPr="00A33AE8" w:rsidRDefault="002D3D34"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AERS</w:t>
            </w:r>
          </w:p>
        </w:tc>
      </w:tr>
      <w:tr w:rsidR="002D3D34" w:rsidRPr="00A33AE8" w14:paraId="559C30A6" w14:textId="77777777" w:rsidTr="002D3D34">
        <w:trPr>
          <w:gridAfter w:val="1"/>
          <w:wAfter w:w="1212" w:type="dxa"/>
          <w:trHeight w:val="315"/>
        </w:trPr>
        <w:tc>
          <w:tcPr>
            <w:tcW w:w="3227" w:type="dxa"/>
            <w:tcBorders>
              <w:top w:val="nil"/>
              <w:left w:val="single" w:sz="8" w:space="0" w:color="auto"/>
              <w:bottom w:val="single" w:sz="8" w:space="0" w:color="auto"/>
              <w:right w:val="nil"/>
            </w:tcBorders>
            <w:shd w:val="clear" w:color="auto" w:fill="244062"/>
            <w:vAlign w:val="center"/>
            <w:hideMark/>
          </w:tcPr>
          <w:p w14:paraId="7EF34163"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1" w:type="dxa"/>
            <w:gridSpan w:val="3"/>
            <w:tcBorders>
              <w:top w:val="single" w:sz="8" w:space="0" w:color="auto"/>
              <w:left w:val="nil"/>
              <w:bottom w:val="single" w:sz="8" w:space="0" w:color="auto"/>
              <w:right w:val="single" w:sz="8" w:space="0" w:color="000000"/>
            </w:tcBorders>
            <w:vAlign w:val="center"/>
            <w:hideMark/>
          </w:tcPr>
          <w:p w14:paraId="55205CFD"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Building and distribution licenses in new areas</w:t>
            </w:r>
          </w:p>
        </w:tc>
      </w:tr>
      <w:tr w:rsidR="00A0226E" w:rsidRPr="00A33AE8" w14:paraId="0A5BECC9" w14:textId="77777777" w:rsidTr="001B47D8">
        <w:trPr>
          <w:gridAfter w:val="1"/>
          <w:wAfter w:w="1212" w:type="dxa"/>
          <w:trHeight w:val="586"/>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640328DE"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1" w:type="dxa"/>
            <w:gridSpan w:val="3"/>
            <w:tcBorders>
              <w:top w:val="single" w:sz="8" w:space="0" w:color="auto"/>
              <w:left w:val="nil"/>
              <w:bottom w:val="single" w:sz="8" w:space="0" w:color="auto"/>
              <w:right w:val="single" w:sz="8" w:space="0" w:color="000000"/>
            </w:tcBorders>
            <w:vAlign w:val="center"/>
            <w:hideMark/>
          </w:tcPr>
          <w:p w14:paraId="6843C14F" w14:textId="77777777" w:rsidR="00A0226E" w:rsidRPr="00A33AE8" w:rsidRDefault="00A0226E"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2D3D34" w:rsidRPr="00A33AE8" w14:paraId="0298B3DA" w14:textId="77777777" w:rsidTr="002D3D34">
        <w:trPr>
          <w:gridAfter w:val="1"/>
          <w:wAfter w:w="1212" w:type="dxa"/>
          <w:trHeight w:val="450"/>
        </w:trPr>
        <w:tc>
          <w:tcPr>
            <w:tcW w:w="3227" w:type="dxa"/>
            <w:vMerge w:val="restart"/>
            <w:tcBorders>
              <w:top w:val="nil"/>
              <w:left w:val="single" w:sz="8" w:space="0" w:color="auto"/>
              <w:bottom w:val="single" w:sz="8" w:space="0" w:color="000000"/>
              <w:right w:val="single" w:sz="8" w:space="0" w:color="auto"/>
            </w:tcBorders>
            <w:shd w:val="clear" w:color="auto" w:fill="244062"/>
            <w:vAlign w:val="center"/>
            <w:hideMark/>
          </w:tcPr>
          <w:p w14:paraId="0397A2E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1"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6B504CA1" w14:textId="77777777" w:rsidR="002D3D34" w:rsidRPr="00A33AE8" w:rsidRDefault="002D3D34" w:rsidP="00884F3B">
            <w:pPr>
              <w:pStyle w:val="ListParagraph"/>
              <w:numPr>
                <w:ilvl w:val="0"/>
                <w:numId w:val="83"/>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measure is generally aligned with all decarbonisation actions with natural gas being a transitional fuel</w:t>
            </w:r>
          </w:p>
        </w:tc>
      </w:tr>
      <w:tr w:rsidR="002D3D34" w:rsidRPr="00A33AE8" w14:paraId="322D1529"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3738734F"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1" w:type="dxa"/>
            <w:gridSpan w:val="3"/>
            <w:vMerge/>
            <w:tcBorders>
              <w:top w:val="single" w:sz="8" w:space="0" w:color="auto"/>
              <w:left w:val="single" w:sz="8" w:space="0" w:color="auto"/>
              <w:bottom w:val="single" w:sz="8" w:space="0" w:color="000000"/>
              <w:right w:val="single" w:sz="8" w:space="0" w:color="000000"/>
            </w:tcBorders>
            <w:vAlign w:val="center"/>
            <w:hideMark/>
          </w:tcPr>
          <w:p w14:paraId="0BAC71A0" w14:textId="77777777" w:rsidR="002D3D34" w:rsidRPr="00A33AE8" w:rsidRDefault="002D3D34" w:rsidP="002D3D34">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18FBC06" w14:textId="77777777" w:rsidR="002D3D34" w:rsidRPr="00A33AE8" w:rsidRDefault="002D3D34" w:rsidP="002D3D34"/>
        </w:tc>
      </w:tr>
      <w:tr w:rsidR="002D3D34" w:rsidRPr="00A33AE8" w14:paraId="5E041500" w14:textId="77777777" w:rsidTr="002D3D34">
        <w:trPr>
          <w:trHeight w:val="173"/>
        </w:trPr>
        <w:tc>
          <w:tcPr>
            <w:tcW w:w="0" w:type="auto"/>
            <w:vMerge/>
            <w:tcBorders>
              <w:top w:val="nil"/>
              <w:left w:val="single" w:sz="8" w:space="0" w:color="auto"/>
              <w:bottom w:val="single" w:sz="8" w:space="0" w:color="000000"/>
              <w:right w:val="single" w:sz="8" w:space="0" w:color="auto"/>
            </w:tcBorders>
            <w:vAlign w:val="center"/>
            <w:hideMark/>
          </w:tcPr>
          <w:p w14:paraId="06919DCA"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1" w:type="dxa"/>
            <w:gridSpan w:val="3"/>
            <w:vMerge/>
            <w:tcBorders>
              <w:top w:val="single" w:sz="8" w:space="0" w:color="auto"/>
              <w:left w:val="single" w:sz="8" w:space="0" w:color="auto"/>
              <w:bottom w:val="single" w:sz="8" w:space="0" w:color="000000"/>
              <w:right w:val="single" w:sz="8" w:space="0" w:color="000000"/>
            </w:tcBorders>
            <w:vAlign w:val="center"/>
            <w:hideMark/>
          </w:tcPr>
          <w:p w14:paraId="1B5F0455" w14:textId="77777777" w:rsidR="002D3D34" w:rsidRPr="00A33AE8" w:rsidRDefault="002D3D34" w:rsidP="002D3D34">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7360254" w14:textId="77777777" w:rsidR="002D3D34" w:rsidRPr="00A33AE8" w:rsidRDefault="002D3D34" w:rsidP="002D3D34">
            <w:pPr>
              <w:spacing w:after="0" w:line="256" w:lineRule="auto"/>
              <w:rPr>
                <w:sz w:val="20"/>
                <w:szCs w:val="20"/>
                <w:lang w:eastAsia="en-GB"/>
              </w:rPr>
            </w:pPr>
          </w:p>
        </w:tc>
      </w:tr>
      <w:tr w:rsidR="002D3D34" w:rsidRPr="00A33AE8" w14:paraId="41538311" w14:textId="77777777" w:rsidTr="002D3D34">
        <w:trPr>
          <w:trHeight w:val="780"/>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5DA67B9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1" w:type="dxa"/>
            <w:gridSpan w:val="3"/>
            <w:tcBorders>
              <w:top w:val="single" w:sz="8" w:space="0" w:color="auto"/>
              <w:left w:val="nil"/>
              <w:bottom w:val="single" w:sz="8" w:space="0" w:color="auto"/>
              <w:right w:val="single" w:sz="8" w:space="0" w:color="000000"/>
            </w:tcBorders>
            <w:vAlign w:val="center"/>
            <w:hideMark/>
          </w:tcPr>
          <w:p w14:paraId="56E01A7C" w14:textId="77777777" w:rsidR="002D3D34" w:rsidRPr="00A33AE8" w:rsidRDefault="002D3D34" w:rsidP="00884F3B">
            <w:pPr>
              <w:pStyle w:val="ListParagraph"/>
              <w:numPr>
                <w:ilvl w:val="0"/>
                <w:numId w:val="8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p w14:paraId="6E64DD96" w14:textId="77777777" w:rsidR="002D3D34" w:rsidRPr="00A33AE8" w:rsidRDefault="005768AA" w:rsidP="00884F3B">
            <w:pPr>
              <w:pStyle w:val="ListParagraph"/>
              <w:numPr>
                <w:ilvl w:val="0"/>
                <w:numId w:val="8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Spatial plan of the special-purpose area of the network of main and branch gas pipelines in eastern Serbia</w:t>
            </w:r>
            <w:r w:rsidRPr="00A33AE8">
              <w:rPr>
                <w:rStyle w:val="FootnoteReference"/>
                <w:rFonts w:asciiTheme="majorHAnsi" w:eastAsia="Times New Roman" w:hAnsiTheme="majorHAnsi" w:cstheme="majorHAnsi"/>
                <w:color w:val="000000"/>
                <w:sz w:val="20"/>
                <w:szCs w:val="20"/>
                <w:lang w:eastAsia="en-GB"/>
              </w:rPr>
              <w:footnoteReference w:id="124"/>
            </w:r>
          </w:p>
        </w:tc>
        <w:tc>
          <w:tcPr>
            <w:tcW w:w="1212" w:type="dxa"/>
            <w:vAlign w:val="center"/>
            <w:hideMark/>
          </w:tcPr>
          <w:p w14:paraId="2E95BBD4" w14:textId="77777777" w:rsidR="002D3D34" w:rsidRPr="00A33AE8" w:rsidRDefault="002D3D34" w:rsidP="002D3D34">
            <w:pPr>
              <w:rPr>
                <w:rFonts w:asciiTheme="majorHAnsi" w:eastAsia="Times New Roman" w:hAnsiTheme="majorHAnsi" w:cstheme="majorHAnsi"/>
                <w:color w:val="000000"/>
                <w:sz w:val="20"/>
                <w:szCs w:val="20"/>
                <w:lang w:eastAsia="en-GB"/>
              </w:rPr>
            </w:pPr>
          </w:p>
        </w:tc>
      </w:tr>
      <w:tr w:rsidR="00910552" w:rsidRPr="00A33AE8" w14:paraId="0A05165C" w14:textId="77777777" w:rsidTr="002D3D34">
        <w:trPr>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3BD7EEDB"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1" w:type="dxa"/>
            <w:gridSpan w:val="3"/>
            <w:tcBorders>
              <w:top w:val="single" w:sz="8" w:space="0" w:color="auto"/>
              <w:left w:val="nil"/>
              <w:bottom w:val="single" w:sz="8" w:space="0" w:color="auto"/>
              <w:right w:val="single" w:sz="8" w:space="0" w:color="000000"/>
            </w:tcBorders>
            <w:vAlign w:val="center"/>
            <w:hideMark/>
          </w:tcPr>
          <w:p w14:paraId="65F30C91" w14:textId="77777777" w:rsidR="00910552" w:rsidRPr="00A33AE8" w:rsidRDefault="00910552" w:rsidP="00910552">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3835FBAE" w14:textId="77777777" w:rsidR="00910552" w:rsidRPr="00A33AE8" w:rsidRDefault="00910552" w:rsidP="00910552">
            <w:pPr>
              <w:rPr>
                <w:rFonts w:asciiTheme="majorHAnsi" w:eastAsia="Times New Roman" w:hAnsiTheme="majorHAnsi" w:cstheme="majorHAnsi"/>
                <w:color w:val="000000"/>
                <w:sz w:val="20"/>
                <w:szCs w:val="20"/>
                <w:lang w:eastAsia="en-GB"/>
              </w:rPr>
            </w:pPr>
          </w:p>
        </w:tc>
      </w:tr>
      <w:tr w:rsidR="004F1D9E" w:rsidRPr="00A33AE8" w14:paraId="25298EA8" w14:textId="77777777" w:rsidTr="002D3D34">
        <w:trPr>
          <w:trHeight w:val="315"/>
        </w:trPr>
        <w:tc>
          <w:tcPr>
            <w:tcW w:w="3227" w:type="dxa"/>
            <w:tcBorders>
              <w:top w:val="nil"/>
              <w:left w:val="single" w:sz="8" w:space="0" w:color="auto"/>
              <w:bottom w:val="single" w:sz="8" w:space="0" w:color="auto"/>
              <w:right w:val="single" w:sz="8" w:space="0" w:color="auto"/>
            </w:tcBorders>
            <w:shd w:val="clear" w:color="auto" w:fill="244062"/>
            <w:vAlign w:val="center"/>
            <w:hideMark/>
          </w:tcPr>
          <w:p w14:paraId="00377A3A" w14:textId="77777777" w:rsidR="004F1D9E" w:rsidRPr="00A33AE8" w:rsidRDefault="004F1D9E" w:rsidP="004F1D9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1" w:type="dxa"/>
            <w:gridSpan w:val="3"/>
            <w:tcBorders>
              <w:top w:val="single" w:sz="8" w:space="0" w:color="auto"/>
              <w:left w:val="nil"/>
              <w:bottom w:val="single" w:sz="8" w:space="0" w:color="auto"/>
              <w:right w:val="single" w:sz="8" w:space="0" w:color="000000"/>
            </w:tcBorders>
            <w:vAlign w:val="center"/>
            <w:hideMark/>
          </w:tcPr>
          <w:p w14:paraId="6B58BC63" w14:textId="77777777" w:rsidR="004F1D9E" w:rsidRPr="00A33AE8" w:rsidRDefault="004F1D9E" w:rsidP="004F1D9E">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46402072" w14:textId="77777777" w:rsidR="004F1D9E" w:rsidRPr="00A33AE8" w:rsidRDefault="004F1D9E" w:rsidP="004F1D9E">
            <w:pPr>
              <w:rPr>
                <w:rFonts w:ascii="Calibri" w:eastAsia="Times New Roman" w:hAnsi="Calibri" w:cs="Calibri"/>
                <w:color w:val="000000"/>
                <w:lang w:eastAsia="en-GB"/>
              </w:rPr>
            </w:pPr>
          </w:p>
        </w:tc>
      </w:tr>
    </w:tbl>
    <w:p w14:paraId="46528352"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21"/>
        <w:gridCol w:w="1309"/>
        <w:gridCol w:w="921"/>
        <w:gridCol w:w="4037"/>
        <w:gridCol w:w="1212"/>
      </w:tblGrid>
      <w:tr w:rsidR="00883C2A" w:rsidRPr="00A33AE8" w14:paraId="7165D45B" w14:textId="77777777" w:rsidTr="002D3D34">
        <w:trPr>
          <w:gridAfter w:val="1"/>
          <w:wAfter w:w="1212" w:type="dxa"/>
          <w:trHeight w:val="780"/>
        </w:trPr>
        <w:tc>
          <w:tcPr>
            <w:tcW w:w="3221"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684B4C8" w14:textId="77777777" w:rsidR="00883C2A" w:rsidRPr="00A33AE8" w:rsidRDefault="00883C2A" w:rsidP="00883C2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309" w:type="dxa"/>
            <w:tcBorders>
              <w:top w:val="single" w:sz="8" w:space="0" w:color="auto"/>
              <w:left w:val="nil"/>
              <w:bottom w:val="single" w:sz="8" w:space="0" w:color="auto"/>
              <w:right w:val="single" w:sz="8" w:space="0" w:color="auto"/>
            </w:tcBorders>
            <w:shd w:val="clear" w:color="auto" w:fill="E7E6E6" w:themeFill="background2"/>
            <w:vAlign w:val="center"/>
            <w:hideMark/>
          </w:tcPr>
          <w:p w14:paraId="0C184E40" w14:textId="77777777" w:rsidR="00883C2A" w:rsidRPr="00A33AE8" w:rsidRDefault="00883C2A" w:rsidP="00883C2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Theme="majorHAnsi" w:eastAsia="Times New Roman" w:hAnsiTheme="majorHAnsi" w:cstheme="majorHAnsi"/>
                <w:b/>
                <w:bCs/>
                <w:color w:val="000000"/>
                <w:sz w:val="20"/>
                <w:szCs w:val="20"/>
                <w:lang w:eastAsia="en-GB"/>
              </w:rPr>
              <w:t>IEM</w:t>
            </w:r>
            <w:r w:rsidR="00154EBA">
              <w:rPr>
                <w:rFonts w:asciiTheme="majorHAnsi" w:eastAsia="Times New Roman" w:hAnsiTheme="majorHAnsi" w:cstheme="majorHAnsi"/>
                <w:b/>
                <w:bCs/>
                <w:color w:val="000000"/>
                <w:sz w:val="20"/>
                <w:szCs w:val="20"/>
                <w:lang w:eastAsia="en-GB"/>
              </w:rPr>
              <w:t>29</w:t>
            </w:r>
          </w:p>
        </w:tc>
        <w:tc>
          <w:tcPr>
            <w:tcW w:w="921" w:type="dxa"/>
            <w:tcBorders>
              <w:top w:val="single" w:sz="8" w:space="0" w:color="auto"/>
              <w:left w:val="nil"/>
              <w:bottom w:val="single" w:sz="8" w:space="0" w:color="auto"/>
              <w:right w:val="single" w:sz="8" w:space="0" w:color="auto"/>
            </w:tcBorders>
            <w:shd w:val="clear" w:color="auto" w:fill="244062"/>
            <w:vAlign w:val="center"/>
            <w:hideMark/>
          </w:tcPr>
          <w:p w14:paraId="1B7EAED1" w14:textId="77777777" w:rsidR="00883C2A" w:rsidRPr="00A33AE8" w:rsidRDefault="00883C2A" w:rsidP="00883C2A">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37" w:type="dxa"/>
            <w:tcBorders>
              <w:top w:val="single" w:sz="8" w:space="0" w:color="auto"/>
              <w:left w:val="nil"/>
              <w:bottom w:val="single" w:sz="8" w:space="0" w:color="auto"/>
              <w:right w:val="single" w:sz="8" w:space="0" w:color="auto"/>
            </w:tcBorders>
            <w:shd w:val="clear" w:color="auto" w:fill="E7E6E6" w:themeFill="background2"/>
            <w:vAlign w:val="center"/>
            <w:hideMark/>
          </w:tcPr>
          <w:p w14:paraId="660538ED" w14:textId="77777777" w:rsidR="00883C2A" w:rsidRPr="00A33AE8" w:rsidRDefault="00883C2A" w:rsidP="00883C2A">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Development of regulatory framework for biomethane</w:t>
            </w:r>
          </w:p>
        </w:tc>
      </w:tr>
      <w:tr w:rsidR="002D3D34" w:rsidRPr="00A33AE8" w14:paraId="73247B9C" w14:textId="77777777" w:rsidTr="001B47D8">
        <w:trPr>
          <w:gridAfter w:val="1"/>
          <w:wAfter w:w="1212" w:type="dxa"/>
          <w:trHeight w:val="469"/>
        </w:trPr>
        <w:tc>
          <w:tcPr>
            <w:tcW w:w="3221" w:type="dxa"/>
            <w:tcBorders>
              <w:top w:val="nil"/>
              <w:left w:val="single" w:sz="8" w:space="0" w:color="auto"/>
              <w:bottom w:val="single" w:sz="8" w:space="0" w:color="auto"/>
              <w:right w:val="nil"/>
            </w:tcBorders>
            <w:shd w:val="clear" w:color="auto" w:fill="244062"/>
            <w:vAlign w:val="center"/>
            <w:hideMark/>
          </w:tcPr>
          <w:p w14:paraId="6A90955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67" w:type="dxa"/>
            <w:gridSpan w:val="3"/>
            <w:tcBorders>
              <w:top w:val="single" w:sz="8" w:space="0" w:color="auto"/>
              <w:left w:val="nil"/>
              <w:bottom w:val="single" w:sz="8" w:space="0" w:color="auto"/>
              <w:right w:val="single" w:sz="8" w:space="0" w:color="000000"/>
            </w:tcBorders>
            <w:vAlign w:val="center"/>
          </w:tcPr>
          <w:p w14:paraId="47BE85EC"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Consumer protection and improvement of competition, reduction of carbon footprint</w:t>
            </w:r>
          </w:p>
        </w:tc>
      </w:tr>
      <w:tr w:rsidR="002D3D34" w:rsidRPr="00A33AE8" w14:paraId="5B306B43" w14:textId="77777777" w:rsidTr="002D3D34">
        <w:trPr>
          <w:gridAfter w:val="1"/>
          <w:wAfter w:w="1212" w:type="dxa"/>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59A6F77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67" w:type="dxa"/>
            <w:gridSpan w:val="3"/>
            <w:tcBorders>
              <w:top w:val="single" w:sz="8" w:space="0" w:color="auto"/>
              <w:left w:val="nil"/>
              <w:bottom w:val="single" w:sz="8" w:space="0" w:color="auto"/>
              <w:right w:val="single" w:sz="8" w:space="0" w:color="000000"/>
            </w:tcBorders>
            <w:vAlign w:val="center"/>
          </w:tcPr>
          <w:p w14:paraId="756FC047"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Production of biomethane and other gases of reduced carbon content</w:t>
            </w:r>
          </w:p>
        </w:tc>
      </w:tr>
      <w:tr w:rsidR="002D3D34" w:rsidRPr="00A33AE8" w14:paraId="0B55CB67" w14:textId="77777777" w:rsidTr="002D3D34">
        <w:trPr>
          <w:gridAfter w:val="1"/>
          <w:wAfter w:w="1212" w:type="dxa"/>
          <w:trHeight w:val="674"/>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6B8FD2C3"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67" w:type="dxa"/>
            <w:gridSpan w:val="3"/>
            <w:tcBorders>
              <w:top w:val="single" w:sz="8" w:space="0" w:color="auto"/>
              <w:left w:val="nil"/>
              <w:bottom w:val="single" w:sz="8" w:space="0" w:color="auto"/>
              <w:right w:val="single" w:sz="8" w:space="0" w:color="000000"/>
            </w:tcBorders>
            <w:vAlign w:val="center"/>
            <w:hideMark/>
          </w:tcPr>
          <w:p w14:paraId="0795727D" w14:textId="2880405F"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 preparation to address the challenges of energy transition, legal and regulatory options to promote the injection of biomethane and other gases of reduced carbon content shall be considered. Such options may indicatively include support schemes, simplification of connection rules and costs, priority at injection, simpler balancing rules</w:t>
            </w:r>
            <w:r w:rsidR="00B325D7">
              <w:rPr>
                <w:rFonts w:asciiTheme="majorHAnsi" w:eastAsia="Times New Roman" w:hAnsiTheme="majorHAnsi" w:cstheme="majorHAnsi"/>
                <w:color w:val="000000"/>
                <w:sz w:val="20"/>
                <w:szCs w:val="20"/>
                <w:lang w:eastAsia="en-GB"/>
              </w:rPr>
              <w:t>.</w:t>
            </w:r>
          </w:p>
        </w:tc>
      </w:tr>
      <w:tr w:rsidR="002D3D34" w:rsidRPr="00A33AE8" w14:paraId="35BC6B9D" w14:textId="77777777" w:rsidTr="002D3D34">
        <w:trPr>
          <w:gridAfter w:val="1"/>
          <w:wAfter w:w="1212" w:type="dxa"/>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7568E56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67" w:type="dxa"/>
            <w:gridSpan w:val="3"/>
            <w:tcBorders>
              <w:top w:val="single" w:sz="8" w:space="0" w:color="auto"/>
              <w:left w:val="nil"/>
              <w:bottom w:val="single" w:sz="8" w:space="0" w:color="auto"/>
              <w:right w:val="single" w:sz="8" w:space="0" w:color="000000"/>
            </w:tcBorders>
            <w:vAlign w:val="center"/>
            <w:hideMark/>
          </w:tcPr>
          <w:p w14:paraId="5435F9C9"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2D3D34" w:rsidRPr="00A33AE8" w14:paraId="1211DAD1" w14:textId="77777777" w:rsidTr="002D3D34">
        <w:trPr>
          <w:gridAfter w:val="1"/>
          <w:wAfter w:w="1212" w:type="dxa"/>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1879267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67" w:type="dxa"/>
            <w:gridSpan w:val="3"/>
            <w:tcBorders>
              <w:top w:val="single" w:sz="8" w:space="0" w:color="auto"/>
              <w:left w:val="nil"/>
              <w:bottom w:val="single" w:sz="8" w:space="0" w:color="auto"/>
              <w:right w:val="single" w:sz="8" w:space="0" w:color="000000"/>
            </w:tcBorders>
            <w:vAlign w:val="center"/>
            <w:hideMark/>
          </w:tcPr>
          <w:p w14:paraId="7AC5D1E3" w14:textId="77777777" w:rsidR="002D3D34" w:rsidRPr="00A33AE8" w:rsidRDefault="00910552"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57E6D1E0" w14:textId="77777777" w:rsidTr="002D3D34">
        <w:trPr>
          <w:gridAfter w:val="1"/>
          <w:wAfter w:w="1212" w:type="dxa"/>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52044663"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67" w:type="dxa"/>
            <w:gridSpan w:val="3"/>
            <w:tcBorders>
              <w:top w:val="single" w:sz="8" w:space="0" w:color="auto"/>
              <w:left w:val="nil"/>
              <w:bottom w:val="single" w:sz="8" w:space="0" w:color="auto"/>
              <w:right w:val="single" w:sz="8" w:space="0" w:color="000000"/>
            </w:tcBorders>
            <w:vAlign w:val="center"/>
            <w:hideMark/>
          </w:tcPr>
          <w:p w14:paraId="090D223A"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Gas</w:t>
            </w:r>
          </w:p>
        </w:tc>
      </w:tr>
      <w:tr w:rsidR="002D3D34" w:rsidRPr="00A33AE8" w14:paraId="42D928A6" w14:textId="77777777" w:rsidTr="002D3D34">
        <w:trPr>
          <w:gridAfter w:val="1"/>
          <w:wAfter w:w="1212" w:type="dxa"/>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4D0E712A"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67" w:type="dxa"/>
            <w:gridSpan w:val="3"/>
            <w:tcBorders>
              <w:top w:val="single" w:sz="8" w:space="0" w:color="auto"/>
              <w:left w:val="nil"/>
              <w:bottom w:val="single" w:sz="8" w:space="0" w:color="auto"/>
              <w:right w:val="single" w:sz="8" w:space="0" w:color="000000"/>
            </w:tcBorders>
            <w:vAlign w:val="center"/>
            <w:hideMark/>
          </w:tcPr>
          <w:p w14:paraId="3E183C96" w14:textId="77777777" w:rsidR="002D3D34" w:rsidRPr="00A33AE8" w:rsidRDefault="00060CFB" w:rsidP="00884F3B">
            <w:pPr>
              <w:pStyle w:val="ListParagraph"/>
              <w:numPr>
                <w:ilvl w:val="0"/>
                <w:numId w:val="73"/>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2D3D34" w:rsidRPr="00A33AE8" w14:paraId="55D30BC4" w14:textId="77777777" w:rsidTr="002D3D34">
        <w:trPr>
          <w:gridAfter w:val="1"/>
          <w:wAfter w:w="1212" w:type="dxa"/>
          <w:trHeight w:val="315"/>
        </w:trPr>
        <w:tc>
          <w:tcPr>
            <w:tcW w:w="3221" w:type="dxa"/>
            <w:tcBorders>
              <w:top w:val="nil"/>
              <w:left w:val="single" w:sz="8" w:space="0" w:color="auto"/>
              <w:bottom w:val="single" w:sz="8" w:space="0" w:color="auto"/>
              <w:right w:val="nil"/>
            </w:tcBorders>
            <w:shd w:val="clear" w:color="auto" w:fill="244062"/>
            <w:vAlign w:val="center"/>
            <w:hideMark/>
          </w:tcPr>
          <w:p w14:paraId="1FF94033"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67" w:type="dxa"/>
            <w:gridSpan w:val="3"/>
            <w:tcBorders>
              <w:top w:val="single" w:sz="8" w:space="0" w:color="auto"/>
              <w:left w:val="nil"/>
              <w:bottom w:val="single" w:sz="8" w:space="0" w:color="auto"/>
              <w:right w:val="single" w:sz="8" w:space="0" w:color="000000"/>
            </w:tcBorders>
            <w:vAlign w:val="center"/>
            <w:hideMark/>
          </w:tcPr>
          <w:p w14:paraId="38209A7A" w14:textId="77777777" w:rsidR="002D3D34" w:rsidRPr="00A33AE8" w:rsidRDefault="00343B13" w:rsidP="00884F3B">
            <w:pPr>
              <w:pStyle w:val="ListParagraph"/>
              <w:numPr>
                <w:ilvl w:val="0"/>
                <w:numId w:val="73"/>
              </w:num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tc>
      </w:tr>
      <w:tr w:rsidR="002D3D34" w:rsidRPr="00A33AE8" w14:paraId="037491B2" w14:textId="77777777" w:rsidTr="002D3D34">
        <w:trPr>
          <w:gridAfter w:val="1"/>
          <w:wAfter w:w="1212" w:type="dxa"/>
          <w:trHeight w:val="315"/>
        </w:trPr>
        <w:tc>
          <w:tcPr>
            <w:tcW w:w="3221" w:type="dxa"/>
            <w:tcBorders>
              <w:top w:val="nil"/>
              <w:left w:val="single" w:sz="8" w:space="0" w:color="auto"/>
              <w:bottom w:val="single" w:sz="8" w:space="0" w:color="auto"/>
              <w:right w:val="nil"/>
            </w:tcBorders>
            <w:shd w:val="clear" w:color="auto" w:fill="244062"/>
            <w:vAlign w:val="center"/>
            <w:hideMark/>
          </w:tcPr>
          <w:p w14:paraId="1C77490E"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67" w:type="dxa"/>
            <w:gridSpan w:val="3"/>
            <w:tcBorders>
              <w:top w:val="single" w:sz="8" w:space="0" w:color="auto"/>
              <w:left w:val="nil"/>
              <w:bottom w:val="single" w:sz="8" w:space="0" w:color="auto"/>
              <w:right w:val="single" w:sz="8" w:space="0" w:color="000000"/>
            </w:tcBorders>
            <w:vAlign w:val="center"/>
            <w:hideMark/>
          </w:tcPr>
          <w:p w14:paraId="273A5250"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Production of biomethane and other gases of reduced carbon content as a percentage of overall gas imports and national production</w:t>
            </w:r>
          </w:p>
        </w:tc>
      </w:tr>
      <w:tr w:rsidR="00A0226E" w:rsidRPr="00A33AE8" w14:paraId="5A0A3EF3" w14:textId="77777777" w:rsidTr="002D3D34">
        <w:trPr>
          <w:gridAfter w:val="1"/>
          <w:wAfter w:w="1212" w:type="dxa"/>
          <w:trHeight w:val="528"/>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2A0609D8"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67" w:type="dxa"/>
            <w:gridSpan w:val="3"/>
            <w:tcBorders>
              <w:top w:val="single" w:sz="8" w:space="0" w:color="auto"/>
              <w:left w:val="nil"/>
              <w:bottom w:val="single" w:sz="8" w:space="0" w:color="auto"/>
              <w:right w:val="single" w:sz="8" w:space="0" w:color="000000"/>
            </w:tcBorders>
            <w:vAlign w:val="center"/>
            <w:hideMark/>
          </w:tcPr>
          <w:p w14:paraId="44B47571" w14:textId="77777777" w:rsidR="00A0226E" w:rsidRPr="00A33AE8" w:rsidRDefault="00A0226E" w:rsidP="00884F3B">
            <w:pPr>
              <w:pStyle w:val="ListParagraph"/>
              <w:numPr>
                <w:ilvl w:val="0"/>
                <w:numId w:val="8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Decarbonisation</w:t>
            </w:r>
          </w:p>
        </w:tc>
      </w:tr>
      <w:tr w:rsidR="002D3D34" w:rsidRPr="00A33AE8" w14:paraId="57810F73" w14:textId="77777777" w:rsidTr="002D3D34">
        <w:trPr>
          <w:gridAfter w:val="1"/>
          <w:wAfter w:w="1212" w:type="dxa"/>
          <w:trHeight w:val="450"/>
        </w:trPr>
        <w:tc>
          <w:tcPr>
            <w:tcW w:w="3221" w:type="dxa"/>
            <w:vMerge w:val="restart"/>
            <w:tcBorders>
              <w:top w:val="nil"/>
              <w:left w:val="single" w:sz="8" w:space="0" w:color="auto"/>
              <w:bottom w:val="single" w:sz="8" w:space="0" w:color="000000"/>
              <w:right w:val="single" w:sz="8" w:space="0" w:color="auto"/>
            </w:tcBorders>
            <w:shd w:val="clear" w:color="auto" w:fill="244062"/>
            <w:vAlign w:val="center"/>
            <w:hideMark/>
          </w:tcPr>
          <w:p w14:paraId="561DD46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67"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16980DA" w14:textId="77777777" w:rsidR="002D3D34" w:rsidRPr="00A33AE8" w:rsidRDefault="002D3D34" w:rsidP="00884F3B">
            <w:pPr>
              <w:pStyle w:val="ListParagraph"/>
              <w:numPr>
                <w:ilvl w:val="0"/>
                <w:numId w:val="8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2009/73/EC</w:t>
            </w:r>
          </w:p>
        </w:tc>
      </w:tr>
      <w:tr w:rsidR="002D3D34" w:rsidRPr="00A33AE8" w14:paraId="10A4FA57" w14:textId="77777777" w:rsidTr="002D3D34">
        <w:trPr>
          <w:trHeight w:val="300"/>
        </w:trPr>
        <w:tc>
          <w:tcPr>
            <w:tcW w:w="0" w:type="auto"/>
            <w:vMerge/>
            <w:tcBorders>
              <w:top w:val="nil"/>
              <w:left w:val="single" w:sz="8" w:space="0" w:color="auto"/>
              <w:bottom w:val="single" w:sz="8" w:space="0" w:color="000000"/>
              <w:right w:val="single" w:sz="8" w:space="0" w:color="auto"/>
            </w:tcBorders>
            <w:vAlign w:val="center"/>
            <w:hideMark/>
          </w:tcPr>
          <w:p w14:paraId="0D3A89F8"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7" w:type="dxa"/>
            <w:gridSpan w:val="3"/>
            <w:vMerge/>
            <w:tcBorders>
              <w:top w:val="single" w:sz="8" w:space="0" w:color="auto"/>
              <w:left w:val="single" w:sz="8" w:space="0" w:color="auto"/>
              <w:bottom w:val="single" w:sz="8" w:space="0" w:color="000000"/>
              <w:right w:val="single" w:sz="8" w:space="0" w:color="000000"/>
            </w:tcBorders>
            <w:vAlign w:val="center"/>
            <w:hideMark/>
          </w:tcPr>
          <w:p w14:paraId="19CBA4BF" w14:textId="77777777" w:rsidR="002D3D34" w:rsidRPr="00A33AE8" w:rsidRDefault="002D3D34" w:rsidP="002D3D34">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47BE8F6" w14:textId="77777777" w:rsidR="002D3D34" w:rsidRPr="00A33AE8" w:rsidRDefault="002D3D34" w:rsidP="002D3D34"/>
        </w:tc>
      </w:tr>
      <w:tr w:rsidR="002D3D34" w:rsidRPr="00A33AE8" w14:paraId="64004CFB" w14:textId="77777777" w:rsidTr="002D3D34">
        <w:trPr>
          <w:trHeight w:val="60"/>
        </w:trPr>
        <w:tc>
          <w:tcPr>
            <w:tcW w:w="0" w:type="auto"/>
            <w:vMerge/>
            <w:tcBorders>
              <w:top w:val="nil"/>
              <w:left w:val="single" w:sz="8" w:space="0" w:color="auto"/>
              <w:bottom w:val="single" w:sz="8" w:space="0" w:color="000000"/>
              <w:right w:val="single" w:sz="8" w:space="0" w:color="auto"/>
            </w:tcBorders>
            <w:vAlign w:val="center"/>
            <w:hideMark/>
          </w:tcPr>
          <w:p w14:paraId="24248E55"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67" w:type="dxa"/>
            <w:gridSpan w:val="3"/>
            <w:vMerge/>
            <w:tcBorders>
              <w:top w:val="single" w:sz="8" w:space="0" w:color="auto"/>
              <w:left w:val="single" w:sz="8" w:space="0" w:color="auto"/>
              <w:bottom w:val="single" w:sz="8" w:space="0" w:color="000000"/>
              <w:right w:val="single" w:sz="8" w:space="0" w:color="000000"/>
            </w:tcBorders>
            <w:vAlign w:val="center"/>
            <w:hideMark/>
          </w:tcPr>
          <w:p w14:paraId="29752B99" w14:textId="77777777" w:rsidR="002D3D34" w:rsidRPr="00A33AE8" w:rsidRDefault="002D3D34" w:rsidP="002D3D34">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F164275" w14:textId="77777777" w:rsidR="002D3D34" w:rsidRPr="00A33AE8" w:rsidRDefault="002D3D34" w:rsidP="002D3D34">
            <w:pPr>
              <w:spacing w:after="0" w:line="256" w:lineRule="auto"/>
              <w:rPr>
                <w:sz w:val="20"/>
                <w:szCs w:val="20"/>
                <w:lang w:eastAsia="en-GB"/>
              </w:rPr>
            </w:pPr>
          </w:p>
        </w:tc>
      </w:tr>
      <w:tr w:rsidR="002D3D34" w:rsidRPr="00A33AE8" w14:paraId="11FAA3FA" w14:textId="77777777" w:rsidTr="002D3D34">
        <w:trPr>
          <w:trHeight w:val="780"/>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7A96282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67" w:type="dxa"/>
            <w:gridSpan w:val="3"/>
            <w:tcBorders>
              <w:top w:val="single" w:sz="8" w:space="0" w:color="auto"/>
              <w:left w:val="nil"/>
              <w:bottom w:val="single" w:sz="8" w:space="0" w:color="auto"/>
              <w:right w:val="single" w:sz="8" w:space="0" w:color="000000"/>
            </w:tcBorders>
            <w:vAlign w:val="center"/>
            <w:hideMark/>
          </w:tcPr>
          <w:p w14:paraId="6D8F3A61" w14:textId="77777777" w:rsidR="002D3D34" w:rsidRPr="00A33AE8" w:rsidRDefault="002D3D34"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Law</w:t>
            </w:r>
          </w:p>
        </w:tc>
        <w:tc>
          <w:tcPr>
            <w:tcW w:w="1212" w:type="dxa"/>
            <w:vAlign w:val="center"/>
            <w:hideMark/>
          </w:tcPr>
          <w:p w14:paraId="2ABF8FC1" w14:textId="77777777" w:rsidR="002D3D34" w:rsidRPr="00A33AE8" w:rsidRDefault="002D3D34" w:rsidP="002D3D34">
            <w:pPr>
              <w:rPr>
                <w:rFonts w:asciiTheme="majorHAnsi" w:eastAsia="Times New Roman" w:hAnsiTheme="majorHAnsi" w:cstheme="majorHAnsi"/>
                <w:color w:val="000000"/>
                <w:sz w:val="20"/>
                <w:szCs w:val="20"/>
                <w:lang w:eastAsia="en-GB"/>
              </w:rPr>
            </w:pPr>
          </w:p>
        </w:tc>
      </w:tr>
      <w:tr w:rsidR="00910552" w:rsidRPr="00A33AE8" w14:paraId="6703EA95" w14:textId="77777777" w:rsidTr="002D3D34">
        <w:trPr>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57715E86"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67" w:type="dxa"/>
            <w:gridSpan w:val="3"/>
            <w:tcBorders>
              <w:top w:val="single" w:sz="8" w:space="0" w:color="auto"/>
              <w:left w:val="nil"/>
              <w:bottom w:val="single" w:sz="8" w:space="0" w:color="auto"/>
              <w:right w:val="single" w:sz="8" w:space="0" w:color="000000"/>
            </w:tcBorders>
            <w:vAlign w:val="center"/>
            <w:hideMark/>
          </w:tcPr>
          <w:p w14:paraId="33441711" w14:textId="77777777" w:rsidR="00910552" w:rsidRPr="00A33AE8" w:rsidRDefault="00910552" w:rsidP="00910552">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5635BF97" w14:textId="77777777" w:rsidR="00910552" w:rsidRPr="00A33AE8" w:rsidRDefault="00910552" w:rsidP="00910552">
            <w:pPr>
              <w:rPr>
                <w:rFonts w:asciiTheme="majorHAnsi" w:eastAsia="Times New Roman" w:hAnsiTheme="majorHAnsi" w:cstheme="majorHAnsi"/>
                <w:color w:val="000000"/>
                <w:sz w:val="20"/>
                <w:szCs w:val="20"/>
                <w:lang w:eastAsia="en-GB"/>
              </w:rPr>
            </w:pPr>
          </w:p>
        </w:tc>
      </w:tr>
      <w:tr w:rsidR="00405990" w:rsidRPr="00A33AE8" w14:paraId="7BFF9E7B" w14:textId="77777777" w:rsidTr="002D3D34">
        <w:trPr>
          <w:trHeight w:val="315"/>
        </w:trPr>
        <w:tc>
          <w:tcPr>
            <w:tcW w:w="3221" w:type="dxa"/>
            <w:tcBorders>
              <w:top w:val="nil"/>
              <w:left w:val="single" w:sz="8" w:space="0" w:color="auto"/>
              <w:bottom w:val="single" w:sz="8" w:space="0" w:color="auto"/>
              <w:right w:val="single" w:sz="8" w:space="0" w:color="auto"/>
            </w:tcBorders>
            <w:shd w:val="clear" w:color="auto" w:fill="244062"/>
            <w:vAlign w:val="center"/>
            <w:hideMark/>
          </w:tcPr>
          <w:p w14:paraId="1C4B3118" w14:textId="77777777" w:rsidR="00405990" w:rsidRPr="00A33AE8" w:rsidRDefault="00405990" w:rsidP="0040599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67" w:type="dxa"/>
            <w:gridSpan w:val="3"/>
            <w:tcBorders>
              <w:top w:val="single" w:sz="8" w:space="0" w:color="auto"/>
              <w:left w:val="nil"/>
              <w:bottom w:val="single" w:sz="8" w:space="0" w:color="auto"/>
              <w:right w:val="single" w:sz="8" w:space="0" w:color="000000"/>
            </w:tcBorders>
            <w:vAlign w:val="center"/>
            <w:hideMark/>
          </w:tcPr>
          <w:p w14:paraId="0BA72CD4" w14:textId="77777777" w:rsidR="00405990" w:rsidRPr="00A33AE8" w:rsidRDefault="00405990" w:rsidP="00405990">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276F82F4" w14:textId="77777777" w:rsidR="00405990" w:rsidRPr="00A33AE8" w:rsidRDefault="00405990" w:rsidP="00405990">
            <w:pPr>
              <w:rPr>
                <w:rFonts w:ascii="Calibri" w:eastAsia="Times New Roman" w:hAnsi="Calibri" w:cs="Calibri"/>
                <w:color w:val="000000"/>
                <w:lang w:eastAsia="en-GB"/>
              </w:rPr>
            </w:pPr>
          </w:p>
        </w:tc>
      </w:tr>
    </w:tbl>
    <w:p w14:paraId="186FDEB4" w14:textId="77777777" w:rsidR="00AE377B" w:rsidRPr="00A33AE8" w:rsidRDefault="00AE377B" w:rsidP="00AE377B">
      <w:pPr>
        <w:pStyle w:val="LDKbody"/>
        <w:rPr>
          <w:lang w:val="en-GB"/>
        </w:rPr>
      </w:pPr>
    </w:p>
    <w:tbl>
      <w:tblPr>
        <w:tblW w:w="10700" w:type="dxa"/>
        <w:tblLook w:val="04A0" w:firstRow="1" w:lastRow="0" w:firstColumn="1" w:lastColumn="0" w:noHBand="0" w:noVBand="1"/>
      </w:tblPr>
      <w:tblGrid>
        <w:gridCol w:w="3265"/>
        <w:gridCol w:w="1207"/>
        <w:gridCol w:w="931"/>
        <w:gridCol w:w="4085"/>
        <w:gridCol w:w="1212"/>
      </w:tblGrid>
      <w:tr w:rsidR="00AE377B" w:rsidRPr="00A33AE8" w14:paraId="0C1AAAA4" w14:textId="77777777" w:rsidTr="002D3D34">
        <w:trPr>
          <w:gridAfter w:val="1"/>
          <w:wAfter w:w="1212" w:type="dxa"/>
          <w:trHeight w:val="780"/>
        </w:trPr>
        <w:tc>
          <w:tcPr>
            <w:tcW w:w="3265"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6BF6959" w14:textId="77777777" w:rsidR="00AE377B" w:rsidRPr="00A33AE8" w:rsidRDefault="00AE377B">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48393986" w14:textId="77777777" w:rsidR="00AE377B" w:rsidRPr="00A33AE8" w:rsidRDefault="00E376FC">
            <w:pPr>
              <w:spacing w:after="0" w:line="240" w:lineRule="auto"/>
              <w:jc w:val="both"/>
              <w:rPr>
                <w:rFonts w:asciiTheme="majorHAnsi" w:eastAsia="Times New Roman" w:hAnsiTheme="majorHAnsi" w:cstheme="majorHAnsi"/>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Theme="majorHAnsi" w:eastAsia="Times New Roman" w:hAnsiTheme="majorHAnsi" w:cstheme="majorHAnsi"/>
                <w:b/>
                <w:bCs/>
                <w:color w:val="000000"/>
                <w:sz w:val="20"/>
                <w:szCs w:val="20"/>
                <w:lang w:eastAsia="en-GB"/>
              </w:rPr>
              <w:t>IEM3</w:t>
            </w:r>
            <w:r w:rsidR="00154EBA">
              <w:rPr>
                <w:rFonts w:asciiTheme="majorHAnsi" w:eastAsia="Times New Roman" w:hAnsiTheme="majorHAnsi" w:cstheme="majorHAnsi"/>
                <w:b/>
                <w:bCs/>
                <w:color w:val="000000"/>
                <w:sz w:val="20"/>
                <w:szCs w:val="20"/>
                <w:lang w:eastAsia="en-GB"/>
              </w:rPr>
              <w:t>0</w:t>
            </w:r>
          </w:p>
        </w:tc>
        <w:tc>
          <w:tcPr>
            <w:tcW w:w="931" w:type="dxa"/>
            <w:tcBorders>
              <w:top w:val="single" w:sz="8" w:space="0" w:color="auto"/>
              <w:left w:val="nil"/>
              <w:bottom w:val="single" w:sz="8" w:space="0" w:color="auto"/>
              <w:right w:val="single" w:sz="8" w:space="0" w:color="auto"/>
            </w:tcBorders>
            <w:shd w:val="clear" w:color="auto" w:fill="244062"/>
            <w:vAlign w:val="center"/>
            <w:hideMark/>
          </w:tcPr>
          <w:p w14:paraId="56609A60" w14:textId="77777777" w:rsidR="00AE377B" w:rsidRPr="00A33AE8" w:rsidRDefault="00AE377B">
            <w:pPr>
              <w:spacing w:after="0" w:line="240" w:lineRule="auto"/>
              <w:jc w:val="both"/>
              <w:rPr>
                <w:rFonts w:asciiTheme="majorHAnsi" w:eastAsia="Times New Roman" w:hAnsiTheme="majorHAnsi" w:cstheme="majorHAnsi"/>
                <w:b/>
                <w:bCs/>
                <w:color w:val="FFFFFF"/>
                <w:sz w:val="20"/>
                <w:szCs w:val="20"/>
                <w:lang w:eastAsia="en-GB"/>
              </w:rPr>
            </w:pPr>
            <w:r w:rsidRPr="00A33AE8">
              <w:rPr>
                <w:rFonts w:asciiTheme="majorHAnsi" w:eastAsia="Times New Roman" w:hAnsiTheme="majorHAnsi" w:cstheme="majorHAnsi"/>
                <w:b/>
                <w:bCs/>
                <w:color w:val="FFFFFF"/>
                <w:sz w:val="20"/>
                <w:szCs w:val="20"/>
                <w:lang w:eastAsia="en-GB"/>
              </w:rPr>
              <w:t xml:space="preserve">Title: </w:t>
            </w:r>
          </w:p>
        </w:tc>
        <w:tc>
          <w:tcPr>
            <w:tcW w:w="4085" w:type="dxa"/>
            <w:tcBorders>
              <w:top w:val="single" w:sz="8" w:space="0" w:color="auto"/>
              <w:left w:val="nil"/>
              <w:bottom w:val="single" w:sz="8" w:space="0" w:color="auto"/>
              <w:right w:val="single" w:sz="8" w:space="0" w:color="auto"/>
            </w:tcBorders>
            <w:shd w:val="clear" w:color="auto" w:fill="E7E6E6" w:themeFill="background2"/>
            <w:vAlign w:val="center"/>
            <w:hideMark/>
          </w:tcPr>
          <w:p w14:paraId="530F46C4" w14:textId="77777777" w:rsidR="00AE377B" w:rsidRPr="00A33AE8" w:rsidRDefault="00AE377B">
            <w:pPr>
              <w:spacing w:after="0" w:line="240" w:lineRule="auto"/>
              <w:jc w:val="both"/>
              <w:rPr>
                <w:rFonts w:asciiTheme="majorHAnsi" w:eastAsia="Times New Roman" w:hAnsiTheme="majorHAnsi" w:cstheme="majorHAnsi"/>
                <w:b/>
                <w:bCs/>
                <w:color w:val="000000"/>
                <w:sz w:val="20"/>
                <w:szCs w:val="20"/>
                <w:lang w:eastAsia="en-GB"/>
              </w:rPr>
            </w:pPr>
            <w:r w:rsidRPr="00A33AE8">
              <w:rPr>
                <w:rFonts w:asciiTheme="majorHAnsi" w:eastAsia="Times New Roman" w:hAnsiTheme="majorHAnsi" w:cstheme="majorHAnsi"/>
                <w:b/>
                <w:bCs/>
                <w:color w:val="000000"/>
                <w:sz w:val="20"/>
                <w:szCs w:val="20"/>
                <w:lang w:eastAsia="en-GB"/>
              </w:rPr>
              <w:t xml:space="preserve">Market coupling to the Single Day Ahead Market (SDAC) </w:t>
            </w:r>
          </w:p>
        </w:tc>
      </w:tr>
      <w:tr w:rsidR="00AE377B" w:rsidRPr="00A33AE8" w14:paraId="359320A0" w14:textId="77777777" w:rsidTr="00A0226E">
        <w:trPr>
          <w:gridAfter w:val="1"/>
          <w:wAfter w:w="1212" w:type="dxa"/>
          <w:trHeight w:val="443"/>
        </w:trPr>
        <w:tc>
          <w:tcPr>
            <w:tcW w:w="3265" w:type="dxa"/>
            <w:tcBorders>
              <w:top w:val="nil"/>
              <w:left w:val="single" w:sz="8" w:space="0" w:color="auto"/>
              <w:bottom w:val="single" w:sz="8" w:space="0" w:color="auto"/>
              <w:right w:val="nil"/>
            </w:tcBorders>
            <w:shd w:val="clear" w:color="auto" w:fill="244062"/>
            <w:vAlign w:val="center"/>
            <w:hideMark/>
          </w:tcPr>
          <w:p w14:paraId="76111C75"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23" w:type="dxa"/>
            <w:gridSpan w:val="3"/>
            <w:tcBorders>
              <w:top w:val="single" w:sz="8" w:space="0" w:color="auto"/>
              <w:left w:val="nil"/>
              <w:bottom w:val="single" w:sz="8" w:space="0" w:color="auto"/>
              <w:right w:val="single" w:sz="8" w:space="0" w:color="000000"/>
            </w:tcBorders>
            <w:vAlign w:val="center"/>
          </w:tcPr>
          <w:p w14:paraId="097DAE44" w14:textId="5B324F4E" w:rsidR="00AE377B" w:rsidRPr="00A33AE8" w:rsidRDefault="00465C29">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Increased system flexibility and quality of electricity supply, in particular through policies and measures related to market-based price formation in 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B325D7">
              <w:rPr>
                <w:rFonts w:asciiTheme="majorHAnsi" w:eastAsia="Times New Roman" w:hAnsiTheme="majorHAnsi" w:cstheme="majorHAnsi"/>
                <w:color w:val="000000"/>
                <w:sz w:val="20"/>
                <w:szCs w:val="20"/>
                <w:lang w:eastAsia="en-GB"/>
              </w:rPr>
              <w:t>.</w:t>
            </w:r>
          </w:p>
        </w:tc>
      </w:tr>
      <w:tr w:rsidR="00AE377B" w:rsidRPr="00A33AE8" w14:paraId="260D9FF0" w14:textId="77777777" w:rsidTr="002D3D34">
        <w:trPr>
          <w:gridAfter w:val="1"/>
          <w:wAfter w:w="1212" w:type="dxa"/>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68575D42" w14:textId="77777777" w:rsidR="00AE377B" w:rsidRPr="00A33AE8" w:rsidRDefault="00AE377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23" w:type="dxa"/>
            <w:gridSpan w:val="3"/>
            <w:tcBorders>
              <w:top w:val="single" w:sz="8" w:space="0" w:color="auto"/>
              <w:left w:val="nil"/>
              <w:bottom w:val="single" w:sz="8" w:space="0" w:color="auto"/>
              <w:right w:val="single" w:sz="8" w:space="0" w:color="000000"/>
            </w:tcBorders>
            <w:vAlign w:val="center"/>
          </w:tcPr>
          <w:p w14:paraId="7AA1A396" w14:textId="77777777" w:rsidR="00AE377B" w:rsidRPr="00A33AE8" w:rsidRDefault="00465C29">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Implementation of Energy Community Acquis Communautaire, increased market use of the interconnectors, price convergence with the neighbouring bidding zone, increased market-based integration of RES in the electricity mix</w:t>
            </w:r>
          </w:p>
        </w:tc>
      </w:tr>
      <w:tr w:rsidR="002D3D34" w:rsidRPr="00A33AE8" w14:paraId="63E157F3" w14:textId="77777777" w:rsidTr="00CE1C4B">
        <w:trPr>
          <w:gridAfter w:val="1"/>
          <w:wAfter w:w="1212" w:type="dxa"/>
          <w:trHeight w:val="443"/>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73BD8A2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23" w:type="dxa"/>
            <w:gridSpan w:val="3"/>
            <w:tcBorders>
              <w:top w:val="single" w:sz="8" w:space="0" w:color="auto"/>
              <w:left w:val="nil"/>
              <w:bottom w:val="single" w:sz="8" w:space="0" w:color="auto"/>
              <w:right w:val="single" w:sz="8" w:space="0" w:color="000000"/>
            </w:tcBorders>
            <w:vAlign w:val="center"/>
            <w:hideMark/>
          </w:tcPr>
          <w:p w14:paraId="49693349"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0</w:t>
            </w:r>
            <w:r w:rsidR="00154EBA" w:rsidRPr="00A33AE8">
              <w:rPr>
                <w:rFonts w:asciiTheme="majorHAnsi" w:eastAsia="Times New Roman" w:hAnsiTheme="majorHAnsi" w:cstheme="majorHAnsi"/>
                <w:color w:val="000000"/>
                <w:sz w:val="20"/>
                <w:szCs w:val="20"/>
                <w:lang w:eastAsia="en-GB"/>
              </w:rPr>
              <w:t xml:space="preserve"> </w:t>
            </w:r>
            <w:r w:rsidRPr="00A33AE8">
              <w:rPr>
                <w:rFonts w:asciiTheme="majorHAnsi" w:eastAsia="Times New Roman" w:hAnsiTheme="majorHAnsi" w:cstheme="majorHAnsi"/>
                <w:color w:val="000000"/>
                <w:sz w:val="20"/>
                <w:szCs w:val="20"/>
                <w:lang w:eastAsia="en-GB"/>
              </w:rPr>
              <w:t>aims to further integrate the Serbian Day Ahead Market with the European Single Day-Ahead Coupling (</w:t>
            </w:r>
            <w:r w:rsidR="00C43937" w:rsidRPr="00A33AE8">
              <w:rPr>
                <w:rFonts w:asciiTheme="majorHAnsi" w:eastAsia="Times New Roman" w:hAnsiTheme="majorHAnsi" w:cstheme="majorHAnsi"/>
                <w:color w:val="000000"/>
                <w:sz w:val="20"/>
                <w:szCs w:val="20"/>
                <w:lang w:eastAsia="en-GB"/>
              </w:rPr>
              <w:t>S</w:t>
            </w:r>
            <w:r w:rsidR="00C43937" w:rsidRPr="000007D2">
              <w:rPr>
                <w:rFonts w:asciiTheme="majorHAnsi" w:eastAsia="Times New Roman" w:hAnsiTheme="majorHAnsi" w:cstheme="majorHAnsi"/>
                <w:color w:val="000000"/>
                <w:sz w:val="20"/>
                <w:szCs w:val="20"/>
                <w:lang w:eastAsia="en-GB"/>
              </w:rPr>
              <w:t>DA</w:t>
            </w:r>
            <w:r w:rsidR="00C43937" w:rsidRPr="00A33AE8">
              <w:rPr>
                <w:rFonts w:asciiTheme="majorHAnsi" w:eastAsia="Times New Roman" w:hAnsiTheme="majorHAnsi" w:cstheme="majorHAnsi"/>
                <w:color w:val="000000"/>
                <w:sz w:val="20"/>
                <w:szCs w:val="20"/>
                <w:lang w:eastAsia="en-GB"/>
              </w:rPr>
              <w:t>C</w:t>
            </w:r>
            <w:r w:rsidRPr="00A33AE8">
              <w:rPr>
                <w:rFonts w:asciiTheme="majorHAnsi" w:eastAsia="Times New Roman" w:hAnsiTheme="majorHAnsi" w:cstheme="majorHAnsi"/>
                <w:color w:val="000000"/>
                <w:sz w:val="20"/>
                <w:szCs w:val="20"/>
                <w:lang w:eastAsia="en-GB"/>
              </w:rPr>
              <w:t xml:space="preserve">). SDAC is to create a single pan European </w:t>
            </w:r>
            <w:r w:rsidR="007E3B52" w:rsidRPr="00A33AE8">
              <w:rPr>
                <w:rFonts w:asciiTheme="majorHAnsi" w:eastAsia="Times New Roman" w:hAnsiTheme="majorHAnsi" w:cstheme="majorHAnsi"/>
                <w:color w:val="000000"/>
                <w:sz w:val="20"/>
                <w:szCs w:val="20"/>
                <w:lang w:eastAsia="en-GB"/>
              </w:rPr>
              <w:t>regional</w:t>
            </w:r>
            <w:r w:rsidRPr="00A33AE8">
              <w:rPr>
                <w:rFonts w:asciiTheme="majorHAnsi" w:eastAsia="Times New Roman" w:hAnsiTheme="majorHAnsi" w:cstheme="majorHAnsi"/>
                <w:color w:val="000000"/>
                <w:sz w:val="20"/>
                <w:szCs w:val="20"/>
                <w:lang w:eastAsia="en-GB"/>
              </w:rPr>
              <w:t xml:space="preserve"> day-ahead electricity market. An integrated day-ahead market increases the overall efficiency of trading by promoting effective competition, increasing liquidity and enabling a more efficient utilisation of generation resources across Europe. Interim Coupling project aims to connect the 4M MC (Czech-Slovak-Hungarian-Romanian market coupling) with the Multi-Regional Coupling (MRC) by introducing Net Transmission Capacity (NTC) based implicit capacity allocation on six new borders: PL-DE, PL-CZ, PL-SK, CZ-DE, CZ-AT, HU-AT. The project represents an important step towards the extension of the European Single Day-Ahead Coupling foreseen by Regulation 2015/1222 (guideline on Capacity Allocation and Congestion Management/CACM). </w:t>
            </w:r>
          </w:p>
        </w:tc>
      </w:tr>
      <w:tr w:rsidR="002D3D34" w:rsidRPr="00A33AE8" w14:paraId="5233443D" w14:textId="77777777" w:rsidTr="002D3D34">
        <w:trPr>
          <w:gridAfter w:val="1"/>
          <w:wAfter w:w="1212" w:type="dxa"/>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56F7FCB6"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23" w:type="dxa"/>
            <w:gridSpan w:val="3"/>
            <w:tcBorders>
              <w:top w:val="single" w:sz="8" w:space="0" w:color="auto"/>
              <w:left w:val="nil"/>
              <w:bottom w:val="single" w:sz="8" w:space="0" w:color="auto"/>
              <w:right w:val="single" w:sz="8" w:space="0" w:color="000000"/>
            </w:tcBorders>
            <w:vAlign w:val="center"/>
            <w:hideMark/>
          </w:tcPr>
          <w:p w14:paraId="02A6C07E"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2021-2030</w:t>
            </w:r>
          </w:p>
        </w:tc>
      </w:tr>
      <w:tr w:rsidR="002D3D34" w:rsidRPr="00A33AE8" w14:paraId="664F401E" w14:textId="77777777" w:rsidTr="002D3D34">
        <w:trPr>
          <w:gridAfter w:val="1"/>
          <w:wAfter w:w="1212" w:type="dxa"/>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13CDC74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23" w:type="dxa"/>
            <w:gridSpan w:val="3"/>
            <w:tcBorders>
              <w:top w:val="single" w:sz="8" w:space="0" w:color="auto"/>
              <w:left w:val="nil"/>
              <w:bottom w:val="single" w:sz="8" w:space="0" w:color="auto"/>
              <w:right w:val="single" w:sz="8" w:space="0" w:color="000000"/>
            </w:tcBorders>
            <w:vAlign w:val="center"/>
            <w:hideMark/>
          </w:tcPr>
          <w:p w14:paraId="5862EDF2" w14:textId="77777777" w:rsidR="002D3D34" w:rsidRPr="00A33AE8" w:rsidRDefault="00910552"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01D63EB8" w14:textId="77777777" w:rsidTr="002D3D34">
        <w:trPr>
          <w:gridAfter w:val="1"/>
          <w:wAfter w:w="1212" w:type="dxa"/>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095BABA0"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23" w:type="dxa"/>
            <w:gridSpan w:val="3"/>
            <w:tcBorders>
              <w:top w:val="single" w:sz="8" w:space="0" w:color="auto"/>
              <w:left w:val="nil"/>
              <w:bottom w:val="single" w:sz="8" w:space="0" w:color="auto"/>
              <w:right w:val="single" w:sz="8" w:space="0" w:color="000000"/>
            </w:tcBorders>
            <w:vAlign w:val="center"/>
            <w:hideMark/>
          </w:tcPr>
          <w:p w14:paraId="1CD3BBBF" w14:textId="77777777" w:rsidR="002D3D34" w:rsidRPr="00A33AE8" w:rsidRDefault="002D3D34"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Electricity</w:t>
            </w:r>
          </w:p>
        </w:tc>
      </w:tr>
      <w:tr w:rsidR="002D3D34" w:rsidRPr="00A33AE8" w14:paraId="0630AE98" w14:textId="77777777" w:rsidTr="002D3D34">
        <w:trPr>
          <w:gridAfter w:val="1"/>
          <w:wAfter w:w="1212" w:type="dxa"/>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1330D26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23" w:type="dxa"/>
            <w:gridSpan w:val="3"/>
            <w:tcBorders>
              <w:top w:val="single" w:sz="8" w:space="0" w:color="auto"/>
              <w:left w:val="nil"/>
              <w:bottom w:val="single" w:sz="8" w:space="0" w:color="auto"/>
              <w:right w:val="single" w:sz="8" w:space="0" w:color="000000"/>
            </w:tcBorders>
            <w:vAlign w:val="center"/>
            <w:hideMark/>
          </w:tcPr>
          <w:p w14:paraId="53040CFD" w14:textId="77777777" w:rsidR="00060CFB" w:rsidRPr="00A33AE8" w:rsidRDefault="00060CFB"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SEEPEX</w:t>
            </w:r>
          </w:p>
          <w:p w14:paraId="5D731B67" w14:textId="77777777" w:rsidR="007E3B52" w:rsidRPr="00A33AE8" w:rsidRDefault="00500B07"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hAnsiTheme="majorHAnsi" w:cstheme="majorHAnsi"/>
                <w:bCs/>
              </w:rPr>
              <w:t xml:space="preserve">“Elektromreža Srbije“ </w:t>
            </w:r>
            <w:r w:rsidR="007E3B52" w:rsidRPr="00A33AE8">
              <w:rPr>
                <w:rFonts w:asciiTheme="majorHAnsi" w:hAnsiTheme="majorHAnsi" w:cstheme="majorHAnsi"/>
                <w:bCs/>
              </w:rPr>
              <w:t>–</w:t>
            </w:r>
            <w:r w:rsidRPr="00A33AE8">
              <w:rPr>
                <w:rFonts w:asciiTheme="majorHAnsi" w:hAnsiTheme="majorHAnsi" w:cstheme="majorHAnsi"/>
                <w:bCs/>
              </w:rPr>
              <w:t xml:space="preserve"> EMS</w:t>
            </w:r>
          </w:p>
          <w:p w14:paraId="23EF21ED" w14:textId="77777777" w:rsidR="00060CFB" w:rsidRPr="00A33AE8" w:rsidRDefault="002D3D34"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27F53CF8" w14:textId="77777777" w:rsidR="002D3D34" w:rsidRPr="00A33AE8" w:rsidRDefault="00D53483"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The </w:t>
            </w:r>
            <w:r w:rsidR="002D3D34" w:rsidRPr="00A33AE8">
              <w:rPr>
                <w:rFonts w:asciiTheme="majorHAnsi" w:eastAsia="Times New Roman" w:hAnsiTheme="majorHAnsi" w:cstheme="majorHAnsi"/>
                <w:color w:val="000000"/>
                <w:sz w:val="20"/>
                <w:szCs w:val="20"/>
                <w:lang w:eastAsia="en-GB"/>
              </w:rPr>
              <w:t xml:space="preserve">Government </w:t>
            </w:r>
            <w:r w:rsidRPr="00A33AE8">
              <w:rPr>
                <w:rFonts w:asciiTheme="majorHAnsi" w:eastAsia="Times New Roman" w:hAnsiTheme="majorHAnsi" w:cstheme="majorHAnsi"/>
                <w:color w:val="000000"/>
                <w:sz w:val="20"/>
                <w:szCs w:val="20"/>
                <w:lang w:eastAsia="en-GB"/>
              </w:rPr>
              <w:t>of the Republic of Serbia</w:t>
            </w:r>
          </w:p>
        </w:tc>
      </w:tr>
      <w:tr w:rsidR="002D3D34" w:rsidRPr="00A33AE8" w14:paraId="71E99909" w14:textId="77777777" w:rsidTr="002D3D34">
        <w:trPr>
          <w:gridAfter w:val="1"/>
          <w:wAfter w:w="1212" w:type="dxa"/>
          <w:trHeight w:val="315"/>
        </w:trPr>
        <w:tc>
          <w:tcPr>
            <w:tcW w:w="3265" w:type="dxa"/>
            <w:tcBorders>
              <w:top w:val="nil"/>
              <w:left w:val="single" w:sz="8" w:space="0" w:color="auto"/>
              <w:bottom w:val="single" w:sz="8" w:space="0" w:color="auto"/>
              <w:right w:val="nil"/>
            </w:tcBorders>
            <w:shd w:val="clear" w:color="auto" w:fill="244062"/>
            <w:vAlign w:val="center"/>
            <w:hideMark/>
          </w:tcPr>
          <w:p w14:paraId="14A6AF0D"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23" w:type="dxa"/>
            <w:gridSpan w:val="3"/>
            <w:tcBorders>
              <w:top w:val="single" w:sz="8" w:space="0" w:color="auto"/>
              <w:left w:val="nil"/>
              <w:bottom w:val="single" w:sz="8" w:space="0" w:color="auto"/>
              <w:right w:val="single" w:sz="8" w:space="0" w:color="000000"/>
            </w:tcBorders>
            <w:vAlign w:val="center"/>
            <w:hideMark/>
          </w:tcPr>
          <w:p w14:paraId="5996312E" w14:textId="77777777" w:rsidR="002D3D34" w:rsidRPr="000007D2" w:rsidRDefault="002D3D34" w:rsidP="00884F3B">
            <w:pPr>
              <w:pStyle w:val="ListParagraph"/>
              <w:numPr>
                <w:ilvl w:val="0"/>
                <w:numId w:val="86"/>
              </w:numPr>
              <w:spacing w:after="0"/>
              <w:ind w:left="714" w:hanging="357"/>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w:t>
            </w:r>
            <w:r w:rsidR="007E3B52" w:rsidRPr="00A33AE8">
              <w:rPr>
                <w:rFonts w:asciiTheme="majorHAnsi" w:eastAsia="Times New Roman" w:hAnsiTheme="majorHAnsi" w:cstheme="majorHAnsi"/>
                <w:color w:val="000000"/>
                <w:sz w:val="20"/>
                <w:szCs w:val="20"/>
                <w:lang w:eastAsia="en-GB"/>
              </w:rPr>
              <w:t>Ministry of Mining and Energy</w:t>
            </w:r>
          </w:p>
        </w:tc>
      </w:tr>
      <w:tr w:rsidR="002D3D34" w:rsidRPr="00A33AE8" w14:paraId="77A84197" w14:textId="77777777" w:rsidTr="002D3D34">
        <w:trPr>
          <w:gridAfter w:val="1"/>
          <w:wAfter w:w="1212" w:type="dxa"/>
          <w:trHeight w:val="315"/>
        </w:trPr>
        <w:tc>
          <w:tcPr>
            <w:tcW w:w="3265" w:type="dxa"/>
            <w:tcBorders>
              <w:top w:val="nil"/>
              <w:left w:val="single" w:sz="8" w:space="0" w:color="auto"/>
              <w:bottom w:val="single" w:sz="8" w:space="0" w:color="auto"/>
              <w:right w:val="nil"/>
            </w:tcBorders>
            <w:shd w:val="clear" w:color="auto" w:fill="244062"/>
            <w:vAlign w:val="center"/>
            <w:hideMark/>
          </w:tcPr>
          <w:p w14:paraId="29A0DA9E"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23" w:type="dxa"/>
            <w:gridSpan w:val="3"/>
            <w:tcBorders>
              <w:top w:val="single" w:sz="8" w:space="0" w:color="auto"/>
              <w:left w:val="nil"/>
              <w:bottom w:val="single" w:sz="8" w:space="0" w:color="auto"/>
              <w:right w:val="single" w:sz="8" w:space="0" w:color="000000"/>
            </w:tcBorders>
            <w:vAlign w:val="center"/>
            <w:hideMark/>
          </w:tcPr>
          <w:p w14:paraId="1AEFAC0D" w14:textId="77777777" w:rsidR="002D3D34" w:rsidRPr="00A33AE8" w:rsidRDefault="00465C29" w:rsidP="002D3D34">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Day ahead market coupling go-live date</w:t>
            </w:r>
          </w:p>
        </w:tc>
      </w:tr>
      <w:tr w:rsidR="00A0226E" w:rsidRPr="00A33AE8" w14:paraId="65C1A8D5" w14:textId="77777777" w:rsidTr="001B47D8">
        <w:trPr>
          <w:gridAfter w:val="1"/>
          <w:wAfter w:w="1212" w:type="dxa"/>
          <w:trHeight w:val="307"/>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0CE93A04"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23" w:type="dxa"/>
            <w:gridSpan w:val="3"/>
            <w:tcBorders>
              <w:top w:val="single" w:sz="8" w:space="0" w:color="auto"/>
              <w:left w:val="nil"/>
              <w:bottom w:val="single" w:sz="8" w:space="0" w:color="auto"/>
              <w:right w:val="single" w:sz="8" w:space="0" w:color="000000"/>
            </w:tcBorders>
            <w:vAlign w:val="center"/>
            <w:hideMark/>
          </w:tcPr>
          <w:p w14:paraId="6A635E2D" w14:textId="77777777" w:rsidR="00CC5B72" w:rsidRPr="00CC5B72" w:rsidRDefault="00A0226E"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p w14:paraId="0120E36E" w14:textId="77777777" w:rsidR="00A0226E" w:rsidRPr="00A33AE8" w:rsidRDefault="00CC5B72"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CC5B72">
              <w:rPr>
                <w:rFonts w:asciiTheme="majorHAnsi" w:eastAsia="Times New Roman" w:hAnsiTheme="majorHAnsi" w:cstheme="majorHAnsi"/>
                <w:color w:val="000000"/>
                <w:sz w:val="20"/>
                <w:szCs w:val="20"/>
                <w:lang w:eastAsia="en-GB"/>
              </w:rPr>
              <w:t>Decarbonisation</w:t>
            </w:r>
          </w:p>
        </w:tc>
      </w:tr>
      <w:tr w:rsidR="002D3D34" w:rsidRPr="00A33AE8" w14:paraId="5D6196B8" w14:textId="77777777" w:rsidTr="002D3D34">
        <w:trPr>
          <w:gridAfter w:val="1"/>
          <w:wAfter w:w="1212" w:type="dxa"/>
          <w:trHeight w:val="450"/>
        </w:trPr>
        <w:tc>
          <w:tcPr>
            <w:tcW w:w="3265" w:type="dxa"/>
            <w:vMerge w:val="restart"/>
            <w:tcBorders>
              <w:top w:val="nil"/>
              <w:left w:val="single" w:sz="8" w:space="0" w:color="auto"/>
              <w:bottom w:val="single" w:sz="8" w:space="0" w:color="000000"/>
              <w:right w:val="single" w:sz="8" w:space="0" w:color="auto"/>
            </w:tcBorders>
            <w:shd w:val="clear" w:color="auto" w:fill="244062"/>
            <w:vAlign w:val="center"/>
            <w:hideMark/>
          </w:tcPr>
          <w:p w14:paraId="5176E43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23"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91E32C6" w14:textId="77777777" w:rsidR="002D3D34" w:rsidRPr="00A33AE8" w:rsidRDefault="002D3D34" w:rsidP="00884F3B">
            <w:pPr>
              <w:pStyle w:val="ListParagraph"/>
              <w:numPr>
                <w:ilvl w:val="0"/>
                <w:numId w:val="8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2009/72/EC</w:t>
            </w:r>
          </w:p>
          <w:p w14:paraId="768ECE7C" w14:textId="77777777" w:rsidR="002D3D34" w:rsidRPr="00A33AE8" w:rsidRDefault="002D3D34" w:rsidP="00884F3B">
            <w:pPr>
              <w:pStyle w:val="ListParagraph"/>
              <w:numPr>
                <w:ilvl w:val="0"/>
                <w:numId w:val="8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Directive (EU) 2019/944</w:t>
            </w:r>
          </w:p>
          <w:p w14:paraId="5F947537" w14:textId="77777777" w:rsidR="002D3D34" w:rsidRPr="00A33AE8" w:rsidRDefault="002D3D34" w:rsidP="00884F3B">
            <w:pPr>
              <w:pStyle w:val="ListParagraph"/>
              <w:numPr>
                <w:ilvl w:val="0"/>
                <w:numId w:val="8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Regulation (EU) 2019/943</w:t>
            </w:r>
          </w:p>
        </w:tc>
      </w:tr>
      <w:tr w:rsidR="002D3D34" w:rsidRPr="00A33AE8" w14:paraId="1B2701D0" w14:textId="77777777" w:rsidTr="002D3D34">
        <w:trPr>
          <w:trHeight w:val="300"/>
        </w:trPr>
        <w:tc>
          <w:tcPr>
            <w:tcW w:w="3265" w:type="dxa"/>
            <w:vMerge/>
            <w:tcBorders>
              <w:top w:val="nil"/>
              <w:left w:val="single" w:sz="8" w:space="0" w:color="auto"/>
              <w:bottom w:val="single" w:sz="8" w:space="0" w:color="000000"/>
              <w:right w:val="single" w:sz="8" w:space="0" w:color="auto"/>
            </w:tcBorders>
            <w:vAlign w:val="center"/>
            <w:hideMark/>
          </w:tcPr>
          <w:p w14:paraId="03E00596"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23" w:type="dxa"/>
            <w:gridSpan w:val="3"/>
            <w:vMerge/>
            <w:tcBorders>
              <w:top w:val="single" w:sz="8" w:space="0" w:color="auto"/>
              <w:left w:val="single" w:sz="8" w:space="0" w:color="auto"/>
              <w:bottom w:val="single" w:sz="8" w:space="0" w:color="000000"/>
              <w:right w:val="single" w:sz="8" w:space="0" w:color="000000"/>
            </w:tcBorders>
            <w:vAlign w:val="center"/>
            <w:hideMark/>
          </w:tcPr>
          <w:p w14:paraId="4442FED1" w14:textId="77777777" w:rsidR="002D3D34" w:rsidRPr="00A33AE8" w:rsidRDefault="002D3D34" w:rsidP="002D3D34">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9368206" w14:textId="77777777" w:rsidR="002D3D34" w:rsidRPr="00A33AE8" w:rsidRDefault="002D3D34" w:rsidP="002D3D34"/>
        </w:tc>
      </w:tr>
      <w:tr w:rsidR="002D3D34" w:rsidRPr="00A33AE8" w14:paraId="6635EE27" w14:textId="77777777" w:rsidTr="002D3D34">
        <w:trPr>
          <w:trHeight w:val="315"/>
        </w:trPr>
        <w:tc>
          <w:tcPr>
            <w:tcW w:w="3265" w:type="dxa"/>
            <w:vMerge/>
            <w:tcBorders>
              <w:top w:val="nil"/>
              <w:left w:val="single" w:sz="8" w:space="0" w:color="auto"/>
              <w:bottom w:val="single" w:sz="8" w:space="0" w:color="000000"/>
              <w:right w:val="single" w:sz="8" w:space="0" w:color="auto"/>
            </w:tcBorders>
            <w:vAlign w:val="center"/>
            <w:hideMark/>
          </w:tcPr>
          <w:p w14:paraId="427D560A"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23" w:type="dxa"/>
            <w:gridSpan w:val="3"/>
            <w:vMerge/>
            <w:tcBorders>
              <w:top w:val="single" w:sz="8" w:space="0" w:color="auto"/>
              <w:left w:val="single" w:sz="8" w:space="0" w:color="auto"/>
              <w:bottom w:val="single" w:sz="8" w:space="0" w:color="000000"/>
              <w:right w:val="single" w:sz="8" w:space="0" w:color="000000"/>
            </w:tcBorders>
            <w:vAlign w:val="center"/>
            <w:hideMark/>
          </w:tcPr>
          <w:p w14:paraId="5D5A906D" w14:textId="77777777" w:rsidR="002D3D34" w:rsidRPr="00A33AE8" w:rsidRDefault="002D3D34" w:rsidP="002D3D34">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6639AC8" w14:textId="77777777" w:rsidR="002D3D34" w:rsidRPr="00A33AE8" w:rsidRDefault="002D3D34" w:rsidP="002D3D34">
            <w:pPr>
              <w:spacing w:after="0" w:line="256" w:lineRule="auto"/>
              <w:rPr>
                <w:sz w:val="20"/>
                <w:szCs w:val="20"/>
                <w:lang w:eastAsia="en-GB"/>
              </w:rPr>
            </w:pPr>
          </w:p>
        </w:tc>
      </w:tr>
      <w:tr w:rsidR="002D3D34" w:rsidRPr="00A33AE8" w14:paraId="5448E4BF" w14:textId="77777777" w:rsidTr="002D3D34">
        <w:trPr>
          <w:trHeight w:val="780"/>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3DFE45FB"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23" w:type="dxa"/>
            <w:gridSpan w:val="3"/>
            <w:tcBorders>
              <w:top w:val="single" w:sz="8" w:space="0" w:color="auto"/>
              <w:left w:val="nil"/>
              <w:bottom w:val="single" w:sz="8" w:space="0" w:color="auto"/>
              <w:right w:val="single" w:sz="8" w:space="0" w:color="000000"/>
            </w:tcBorders>
            <w:vAlign w:val="center"/>
            <w:hideMark/>
          </w:tcPr>
          <w:p w14:paraId="5ECF72AB" w14:textId="77777777" w:rsidR="002D3D34" w:rsidRPr="00A33AE8" w:rsidRDefault="002D3D34" w:rsidP="00884F3B">
            <w:pPr>
              <w:pStyle w:val="ListParagraph"/>
              <w:numPr>
                <w:ilvl w:val="0"/>
                <w:numId w:val="8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Energy</w:t>
            </w:r>
          </w:p>
        </w:tc>
        <w:tc>
          <w:tcPr>
            <w:tcW w:w="1212" w:type="dxa"/>
            <w:vAlign w:val="center"/>
            <w:hideMark/>
          </w:tcPr>
          <w:p w14:paraId="576EE4B5" w14:textId="77777777" w:rsidR="002D3D34" w:rsidRPr="00A33AE8" w:rsidRDefault="002D3D34" w:rsidP="002D3D34">
            <w:pPr>
              <w:rPr>
                <w:rFonts w:asciiTheme="majorHAnsi" w:eastAsia="Times New Roman" w:hAnsiTheme="majorHAnsi" w:cstheme="majorHAnsi"/>
                <w:color w:val="000000"/>
                <w:sz w:val="20"/>
                <w:szCs w:val="20"/>
                <w:lang w:eastAsia="en-GB"/>
              </w:rPr>
            </w:pPr>
          </w:p>
        </w:tc>
      </w:tr>
      <w:tr w:rsidR="00910552" w:rsidRPr="00A33AE8" w14:paraId="79A044CF" w14:textId="77777777" w:rsidTr="002D3D34">
        <w:trPr>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0B7C49EF"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23" w:type="dxa"/>
            <w:gridSpan w:val="3"/>
            <w:tcBorders>
              <w:top w:val="single" w:sz="8" w:space="0" w:color="auto"/>
              <w:left w:val="nil"/>
              <w:bottom w:val="single" w:sz="8" w:space="0" w:color="auto"/>
              <w:right w:val="single" w:sz="8" w:space="0" w:color="000000"/>
            </w:tcBorders>
            <w:vAlign w:val="center"/>
            <w:hideMark/>
          </w:tcPr>
          <w:p w14:paraId="3A2D016F" w14:textId="77777777" w:rsidR="00910552" w:rsidRPr="00A33AE8" w:rsidRDefault="00910552" w:rsidP="00910552">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6B9CCE39" w14:textId="77777777" w:rsidR="00910552" w:rsidRPr="00A33AE8" w:rsidRDefault="00910552" w:rsidP="00910552">
            <w:pPr>
              <w:rPr>
                <w:rFonts w:asciiTheme="majorHAnsi" w:eastAsia="Times New Roman" w:hAnsiTheme="majorHAnsi" w:cstheme="majorHAnsi"/>
                <w:color w:val="000000"/>
                <w:sz w:val="20"/>
                <w:szCs w:val="20"/>
                <w:lang w:eastAsia="en-GB"/>
              </w:rPr>
            </w:pPr>
          </w:p>
        </w:tc>
      </w:tr>
      <w:tr w:rsidR="00405990" w:rsidRPr="00A33AE8" w14:paraId="158C1A71" w14:textId="77777777" w:rsidTr="002D3D34">
        <w:trPr>
          <w:trHeight w:val="315"/>
        </w:trPr>
        <w:tc>
          <w:tcPr>
            <w:tcW w:w="3265" w:type="dxa"/>
            <w:tcBorders>
              <w:top w:val="nil"/>
              <w:left w:val="single" w:sz="8" w:space="0" w:color="auto"/>
              <w:bottom w:val="single" w:sz="8" w:space="0" w:color="auto"/>
              <w:right w:val="single" w:sz="8" w:space="0" w:color="auto"/>
            </w:tcBorders>
            <w:shd w:val="clear" w:color="auto" w:fill="244062"/>
            <w:vAlign w:val="center"/>
            <w:hideMark/>
          </w:tcPr>
          <w:p w14:paraId="147CACD1" w14:textId="77777777" w:rsidR="00405990" w:rsidRPr="00A33AE8" w:rsidRDefault="00405990" w:rsidP="0040599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23" w:type="dxa"/>
            <w:gridSpan w:val="3"/>
            <w:tcBorders>
              <w:top w:val="single" w:sz="8" w:space="0" w:color="auto"/>
              <w:left w:val="nil"/>
              <w:bottom w:val="single" w:sz="8" w:space="0" w:color="auto"/>
              <w:right w:val="single" w:sz="8" w:space="0" w:color="000000"/>
            </w:tcBorders>
            <w:vAlign w:val="center"/>
            <w:hideMark/>
          </w:tcPr>
          <w:p w14:paraId="0DFE8BE5" w14:textId="77777777" w:rsidR="00405990" w:rsidRPr="00A33AE8" w:rsidRDefault="00405990" w:rsidP="00405990">
            <w:pPr>
              <w:spacing w:after="0" w:line="240" w:lineRule="auto"/>
              <w:jc w:val="both"/>
              <w:rPr>
                <w:rFonts w:asciiTheme="majorHAnsi" w:eastAsia="Times New Roman" w:hAnsiTheme="majorHAnsi" w:cstheme="majorHAnsi"/>
                <w:color w:val="000000"/>
                <w:sz w:val="20"/>
                <w:szCs w:val="2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79498BFB" w14:textId="77777777" w:rsidR="00405990" w:rsidRPr="00A33AE8" w:rsidRDefault="00405990" w:rsidP="00405990">
            <w:pPr>
              <w:rPr>
                <w:rFonts w:asciiTheme="majorHAnsi" w:eastAsia="Times New Roman" w:hAnsiTheme="majorHAnsi" w:cstheme="majorHAnsi"/>
                <w:color w:val="000000"/>
                <w:sz w:val="20"/>
                <w:szCs w:val="20"/>
                <w:lang w:eastAsia="en-GB"/>
              </w:rPr>
            </w:pPr>
          </w:p>
        </w:tc>
      </w:tr>
    </w:tbl>
    <w:p w14:paraId="3ADF1713" w14:textId="77777777" w:rsidR="00AE377B" w:rsidRPr="00A33AE8" w:rsidRDefault="00AE377B" w:rsidP="00AE377B">
      <w:pPr>
        <w:pStyle w:val="LDKbody"/>
        <w:rPr>
          <w:lang w:val="en-GB"/>
        </w:rPr>
      </w:pPr>
    </w:p>
    <w:tbl>
      <w:tblPr>
        <w:tblW w:w="9724" w:type="dxa"/>
        <w:tblLook w:val="04A0" w:firstRow="1" w:lastRow="0" w:firstColumn="1" w:lastColumn="0" w:noHBand="0" w:noVBand="1"/>
      </w:tblPr>
      <w:tblGrid>
        <w:gridCol w:w="3266"/>
        <w:gridCol w:w="1207"/>
        <w:gridCol w:w="930"/>
        <w:gridCol w:w="4085"/>
        <w:gridCol w:w="236"/>
      </w:tblGrid>
      <w:tr w:rsidR="00690C0D" w:rsidRPr="00A33AE8" w14:paraId="094BFCE2" w14:textId="77777777" w:rsidTr="0087794A">
        <w:trPr>
          <w:gridAfter w:val="1"/>
          <w:wAfter w:w="236" w:type="dxa"/>
          <w:trHeight w:val="780"/>
        </w:trPr>
        <w:tc>
          <w:tcPr>
            <w:tcW w:w="326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B850C52" w14:textId="77777777" w:rsidR="00690C0D" w:rsidRPr="00A33AE8" w:rsidRDefault="00690C0D" w:rsidP="00FF03F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207" w:type="dxa"/>
            <w:tcBorders>
              <w:top w:val="single" w:sz="8" w:space="0" w:color="auto"/>
              <w:left w:val="nil"/>
              <w:bottom w:val="single" w:sz="8" w:space="0" w:color="auto"/>
              <w:right w:val="single" w:sz="8" w:space="0" w:color="auto"/>
            </w:tcBorders>
            <w:shd w:val="clear" w:color="auto" w:fill="E7E6E6" w:themeFill="background2"/>
            <w:vAlign w:val="center"/>
            <w:hideMark/>
          </w:tcPr>
          <w:p w14:paraId="5A366627" w14:textId="77777777" w:rsidR="00690C0D" w:rsidRPr="00A33AE8" w:rsidRDefault="00690C0D" w:rsidP="00FF03F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1</w:t>
            </w:r>
          </w:p>
        </w:tc>
        <w:tc>
          <w:tcPr>
            <w:tcW w:w="930" w:type="dxa"/>
            <w:tcBorders>
              <w:top w:val="single" w:sz="8" w:space="0" w:color="auto"/>
              <w:left w:val="nil"/>
              <w:bottom w:val="single" w:sz="8" w:space="0" w:color="auto"/>
              <w:right w:val="single" w:sz="8" w:space="0" w:color="auto"/>
            </w:tcBorders>
            <w:shd w:val="clear" w:color="auto" w:fill="244062"/>
            <w:vAlign w:val="center"/>
            <w:hideMark/>
          </w:tcPr>
          <w:p w14:paraId="73F9C121"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085" w:type="dxa"/>
            <w:tcBorders>
              <w:top w:val="single" w:sz="8" w:space="0" w:color="auto"/>
              <w:left w:val="nil"/>
              <w:bottom w:val="single" w:sz="8" w:space="0" w:color="auto"/>
              <w:right w:val="single" w:sz="8" w:space="0" w:color="auto"/>
            </w:tcBorders>
            <w:shd w:val="clear" w:color="auto" w:fill="E7E6E6" w:themeFill="background2"/>
            <w:vAlign w:val="center"/>
            <w:hideMark/>
          </w:tcPr>
          <w:p w14:paraId="4F72FC75" w14:textId="77777777" w:rsidR="00690C0D" w:rsidRPr="00A33AE8" w:rsidRDefault="00690C0D" w:rsidP="00FF03F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Market coupling to the </w:t>
            </w:r>
            <w:r w:rsidR="00EF3941" w:rsidRPr="00A33AE8">
              <w:rPr>
                <w:rFonts w:ascii="Calibri Light" w:eastAsia="Times New Roman" w:hAnsi="Calibri Light" w:cs="Calibri Light"/>
                <w:b/>
                <w:bCs/>
                <w:color w:val="000000"/>
                <w:sz w:val="20"/>
                <w:szCs w:val="20"/>
                <w:lang w:eastAsia="en-GB"/>
              </w:rPr>
              <w:t>Single</w:t>
            </w:r>
            <w:r w:rsidRPr="00A33AE8">
              <w:rPr>
                <w:rFonts w:ascii="Calibri Light" w:eastAsia="Times New Roman" w:hAnsi="Calibri Light" w:cs="Calibri Light"/>
                <w:b/>
                <w:bCs/>
                <w:color w:val="000000"/>
                <w:sz w:val="20"/>
                <w:szCs w:val="20"/>
                <w:lang w:eastAsia="en-GB"/>
              </w:rPr>
              <w:t xml:space="preserve"> Intra Day Market (SIDC) </w:t>
            </w:r>
          </w:p>
        </w:tc>
      </w:tr>
      <w:tr w:rsidR="00690C0D" w:rsidRPr="00A33AE8" w14:paraId="693A6AA7" w14:textId="77777777" w:rsidTr="0087794A">
        <w:trPr>
          <w:gridAfter w:val="1"/>
          <w:wAfter w:w="236" w:type="dxa"/>
          <w:trHeight w:val="315"/>
        </w:trPr>
        <w:tc>
          <w:tcPr>
            <w:tcW w:w="3266" w:type="dxa"/>
            <w:tcBorders>
              <w:top w:val="nil"/>
              <w:left w:val="single" w:sz="8" w:space="0" w:color="auto"/>
              <w:bottom w:val="single" w:sz="8" w:space="0" w:color="auto"/>
              <w:right w:val="nil"/>
            </w:tcBorders>
            <w:shd w:val="clear" w:color="auto" w:fill="244062"/>
            <w:vAlign w:val="center"/>
            <w:hideMark/>
          </w:tcPr>
          <w:p w14:paraId="43311E8D"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22" w:type="dxa"/>
            <w:gridSpan w:val="3"/>
            <w:tcBorders>
              <w:top w:val="single" w:sz="8" w:space="0" w:color="auto"/>
              <w:left w:val="nil"/>
              <w:bottom w:val="single" w:sz="8" w:space="0" w:color="auto"/>
              <w:right w:val="single" w:sz="8" w:space="0" w:color="000000"/>
            </w:tcBorders>
            <w:vAlign w:val="center"/>
          </w:tcPr>
          <w:p w14:paraId="4E6DE6C1" w14:textId="34195886" w:rsidR="00690C0D" w:rsidRPr="00A33AE8" w:rsidRDefault="001F4A27" w:rsidP="00910552">
            <w:p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Increased system flexibility and quality of electricity supply, in particular through policies and measures related to market-based price formation in </w:t>
            </w:r>
            <w:r w:rsidRPr="00A33AE8">
              <w:rPr>
                <w:rFonts w:asciiTheme="majorHAnsi" w:eastAsia="Times New Roman" w:hAnsiTheme="majorHAnsi" w:cstheme="majorHAnsi"/>
                <w:color w:val="000000"/>
                <w:sz w:val="20"/>
                <w:szCs w:val="20"/>
                <w:lang w:eastAsia="en-GB"/>
              </w:rPr>
              <w:lastRenderedPageBreak/>
              <w:t>compliance with applicable law; market integration and coupling, aiming to increase the tradeable capacity of existing interconnectors, smart grids, aggregation, demand response, storage, distributed generation, mechanisms for dispatching, re-dispatching and curtailment and real-time price signals</w:t>
            </w:r>
            <w:r w:rsidR="00B325D7">
              <w:rPr>
                <w:rFonts w:asciiTheme="majorHAnsi" w:eastAsia="Times New Roman" w:hAnsiTheme="majorHAnsi" w:cstheme="majorHAnsi"/>
                <w:color w:val="000000"/>
                <w:sz w:val="20"/>
                <w:szCs w:val="20"/>
                <w:lang w:eastAsia="en-GB"/>
              </w:rPr>
              <w:t>.</w:t>
            </w:r>
          </w:p>
        </w:tc>
      </w:tr>
      <w:tr w:rsidR="00690C0D" w:rsidRPr="00A33AE8" w14:paraId="7F566CCD" w14:textId="77777777" w:rsidTr="0087794A">
        <w:trPr>
          <w:gridAfter w:val="1"/>
          <w:wAfter w:w="236" w:type="dxa"/>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011A8222" w14:textId="77777777" w:rsidR="00690C0D" w:rsidRPr="00A33AE8" w:rsidRDefault="00690C0D" w:rsidP="00FF03F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Quantified objective: </w:t>
            </w:r>
          </w:p>
        </w:tc>
        <w:tc>
          <w:tcPr>
            <w:tcW w:w="6222" w:type="dxa"/>
            <w:gridSpan w:val="3"/>
            <w:tcBorders>
              <w:top w:val="single" w:sz="8" w:space="0" w:color="auto"/>
              <w:left w:val="nil"/>
              <w:bottom w:val="single" w:sz="8" w:space="0" w:color="auto"/>
              <w:right w:val="single" w:sz="8" w:space="0" w:color="000000"/>
            </w:tcBorders>
            <w:vAlign w:val="center"/>
          </w:tcPr>
          <w:p w14:paraId="70FEF052" w14:textId="77777777" w:rsidR="00690C0D" w:rsidRPr="00A33AE8" w:rsidRDefault="001F4A27" w:rsidP="00910552">
            <w:pPr>
              <w:spacing w:after="0" w:line="240" w:lineRule="auto"/>
              <w:jc w:val="both"/>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Implementation of Energy Community Acquis Communautaire, increased market use of the interconnectors, price convergence with the neighbouring bidding zone, increased market-based integration of RES in the electricity mix</w:t>
            </w:r>
          </w:p>
        </w:tc>
      </w:tr>
      <w:tr w:rsidR="002D3D34" w:rsidRPr="00A33AE8" w14:paraId="56B3E6CC" w14:textId="77777777" w:rsidTr="0087794A">
        <w:trPr>
          <w:gridAfter w:val="1"/>
          <w:wAfter w:w="236" w:type="dxa"/>
          <w:trHeight w:val="567"/>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3198F95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22" w:type="dxa"/>
            <w:gridSpan w:val="3"/>
            <w:tcBorders>
              <w:top w:val="single" w:sz="8" w:space="0" w:color="auto"/>
              <w:left w:val="nil"/>
              <w:bottom w:val="single" w:sz="8" w:space="0" w:color="auto"/>
              <w:right w:val="single" w:sz="8" w:space="0" w:color="000000"/>
            </w:tcBorders>
            <w:vAlign w:val="center"/>
            <w:hideMark/>
          </w:tcPr>
          <w:p w14:paraId="54A19A93" w14:textId="77777777" w:rsidR="002D3D34" w:rsidRPr="00A33AE8" w:rsidRDefault="002D3D34" w:rsidP="00910552">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1</w:t>
            </w:r>
            <w:r w:rsidR="00154EBA"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can be regarded as a continuation of </w:t>
            </w:r>
            <w:r w:rsidR="00CE1C4B" w:rsidRPr="00A33AE8">
              <w:rPr>
                <w:rFonts w:ascii="Calibri Light" w:eastAsia="Times New Roman" w:hAnsi="Calibri Light" w:cs="Calibri Light"/>
                <w:color w:val="000000"/>
                <w:sz w:val="20"/>
                <w:szCs w:val="20"/>
                <w:lang w:eastAsia="en-GB"/>
              </w:rPr>
              <w:t>PM_</w:t>
            </w:r>
            <w:r w:rsidR="005355C6"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0</w:t>
            </w:r>
            <w:r w:rsidR="00F92C66"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 xml:space="preserve">The Single Intraday Coupling (SIDC) creates a single EU </w:t>
            </w:r>
            <w:r w:rsidR="007E3B52" w:rsidRPr="00A33AE8">
              <w:rPr>
                <w:rFonts w:ascii="Calibri Light" w:eastAsia="Times New Roman" w:hAnsi="Calibri Light" w:cs="Calibri Light"/>
                <w:color w:val="000000"/>
                <w:sz w:val="20"/>
                <w:szCs w:val="20"/>
                <w:lang w:eastAsia="en-GB"/>
              </w:rPr>
              <w:t>regional</w:t>
            </w:r>
            <w:r w:rsidRPr="00A33AE8">
              <w:rPr>
                <w:rFonts w:ascii="Calibri Light" w:eastAsia="Times New Roman" w:hAnsi="Calibri Light" w:cs="Calibri Light"/>
                <w:color w:val="000000"/>
                <w:sz w:val="20"/>
                <w:szCs w:val="20"/>
                <w:lang w:eastAsia="en-GB"/>
              </w:rPr>
              <w:t xml:space="preserve"> intraday electricity market and complements the market coupling activities that may have been achieved under </w:t>
            </w:r>
            <w:r w:rsidR="005355C6" w:rsidRPr="00A33AE8">
              <w:rPr>
                <w:rFonts w:ascii="Calibri Light" w:eastAsia="Times New Roman" w:hAnsi="Calibri Light" w:cs="Calibri Light"/>
                <w:color w:val="000000"/>
                <w:sz w:val="20"/>
                <w:szCs w:val="20"/>
                <w:lang w:eastAsia="en-GB"/>
              </w:rPr>
              <w:t>SDAC</w:t>
            </w:r>
            <w:r w:rsidRPr="00A33AE8">
              <w:rPr>
                <w:rFonts w:ascii="Calibri Light" w:eastAsia="Times New Roman" w:hAnsi="Calibri Light" w:cs="Calibri Light"/>
                <w:color w:val="000000"/>
                <w:sz w:val="20"/>
                <w:szCs w:val="20"/>
                <w:lang w:eastAsia="en-GB"/>
              </w:rPr>
              <w:t xml:space="preserve">. The measure is dependent on </w:t>
            </w:r>
            <w:r w:rsidR="00CE1C4B" w:rsidRPr="00A33AE8">
              <w:rPr>
                <w:rFonts w:ascii="Calibri Light" w:eastAsia="Times New Roman" w:hAnsi="Calibri Light" w:cs="Calibri Light"/>
                <w:color w:val="000000"/>
                <w:sz w:val="20"/>
                <w:szCs w:val="20"/>
                <w:lang w:eastAsia="en-GB"/>
              </w:rPr>
              <w:t>PM_</w:t>
            </w:r>
            <w:r w:rsidRPr="00A33AE8">
              <w:rPr>
                <w:rFonts w:ascii="Calibri Light" w:eastAsia="Times New Roman" w:hAnsi="Calibri Light" w:cs="Calibri Light"/>
                <w:color w:val="000000"/>
                <w:sz w:val="20"/>
                <w:szCs w:val="20"/>
                <w:lang w:eastAsia="en-GB"/>
              </w:rPr>
              <w:t>IEM16 i.e. the appointment of the Nominated Electricity Market Operator (NEMO) in Serbia.</w:t>
            </w:r>
          </w:p>
        </w:tc>
      </w:tr>
      <w:tr w:rsidR="002D3D34" w:rsidRPr="00A33AE8" w14:paraId="65A090BB" w14:textId="77777777" w:rsidTr="0087794A">
        <w:trPr>
          <w:gridAfter w:val="1"/>
          <w:wAfter w:w="236" w:type="dxa"/>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4EAA017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22" w:type="dxa"/>
            <w:gridSpan w:val="3"/>
            <w:tcBorders>
              <w:top w:val="single" w:sz="8" w:space="0" w:color="auto"/>
              <w:left w:val="nil"/>
              <w:bottom w:val="single" w:sz="8" w:space="0" w:color="auto"/>
              <w:right w:val="single" w:sz="8" w:space="0" w:color="000000"/>
            </w:tcBorders>
            <w:vAlign w:val="center"/>
            <w:hideMark/>
          </w:tcPr>
          <w:p w14:paraId="6B062404" w14:textId="77777777" w:rsidR="002D3D34" w:rsidRPr="00A33AE8" w:rsidRDefault="002D3D34" w:rsidP="002D3D3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2D3D34" w:rsidRPr="00A33AE8" w14:paraId="50A95B81" w14:textId="77777777" w:rsidTr="0087794A">
        <w:trPr>
          <w:gridAfter w:val="1"/>
          <w:wAfter w:w="236" w:type="dxa"/>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5BDD49B2"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22" w:type="dxa"/>
            <w:gridSpan w:val="3"/>
            <w:tcBorders>
              <w:top w:val="single" w:sz="8" w:space="0" w:color="auto"/>
              <w:left w:val="nil"/>
              <w:bottom w:val="single" w:sz="8" w:space="0" w:color="auto"/>
              <w:right w:val="single" w:sz="8" w:space="0" w:color="000000"/>
            </w:tcBorders>
            <w:vAlign w:val="center"/>
            <w:hideMark/>
          </w:tcPr>
          <w:p w14:paraId="536123DB" w14:textId="77777777" w:rsidR="002D3D34" w:rsidRPr="00A33AE8" w:rsidRDefault="00910552" w:rsidP="002D3D3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2D3D34" w:rsidRPr="00A33AE8" w14:paraId="710104EF" w14:textId="77777777" w:rsidTr="0087794A">
        <w:trPr>
          <w:gridAfter w:val="1"/>
          <w:wAfter w:w="236" w:type="dxa"/>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0C2840A1"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22" w:type="dxa"/>
            <w:gridSpan w:val="3"/>
            <w:tcBorders>
              <w:top w:val="single" w:sz="8" w:space="0" w:color="auto"/>
              <w:left w:val="nil"/>
              <w:bottom w:val="single" w:sz="8" w:space="0" w:color="auto"/>
              <w:right w:val="single" w:sz="8" w:space="0" w:color="000000"/>
            </w:tcBorders>
            <w:vAlign w:val="center"/>
            <w:hideMark/>
          </w:tcPr>
          <w:p w14:paraId="7F440F04" w14:textId="77777777" w:rsidR="002D3D34" w:rsidRPr="00A33AE8" w:rsidRDefault="002D3D34" w:rsidP="002D3D3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Electricity</w:t>
            </w:r>
          </w:p>
        </w:tc>
      </w:tr>
      <w:tr w:rsidR="00060CFB" w:rsidRPr="00A33AE8" w14:paraId="03C54C1E" w14:textId="77777777" w:rsidTr="0087794A">
        <w:trPr>
          <w:gridAfter w:val="1"/>
          <w:wAfter w:w="236" w:type="dxa"/>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4F274806" w14:textId="77777777" w:rsidR="00060CFB" w:rsidRPr="00A33AE8" w:rsidRDefault="00060CFB" w:rsidP="00060CF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22" w:type="dxa"/>
            <w:gridSpan w:val="3"/>
            <w:tcBorders>
              <w:top w:val="single" w:sz="8" w:space="0" w:color="auto"/>
              <w:left w:val="nil"/>
              <w:bottom w:val="single" w:sz="8" w:space="0" w:color="auto"/>
              <w:right w:val="single" w:sz="8" w:space="0" w:color="000000"/>
            </w:tcBorders>
            <w:vAlign w:val="center"/>
            <w:hideMark/>
          </w:tcPr>
          <w:p w14:paraId="3102EA1E" w14:textId="77777777" w:rsidR="00060CFB" w:rsidRPr="00A33AE8" w:rsidRDefault="00060CFB" w:rsidP="00884F3B">
            <w:pPr>
              <w:pStyle w:val="ListParagraph"/>
              <w:numPr>
                <w:ilvl w:val="0"/>
                <w:numId w:val="8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SEEPEX</w:t>
            </w:r>
          </w:p>
          <w:p w14:paraId="57DC55DE" w14:textId="77777777" w:rsidR="007E3B52" w:rsidRPr="000007D2" w:rsidRDefault="00500B07" w:rsidP="00884F3B">
            <w:pPr>
              <w:pStyle w:val="ListParagraph"/>
              <w:numPr>
                <w:ilvl w:val="0"/>
                <w:numId w:val="86"/>
              </w:numPr>
              <w:spacing w:after="0" w:line="240" w:lineRule="auto"/>
              <w:jc w:val="both"/>
              <w:rPr>
                <w:rFonts w:ascii="Calibri Light" w:eastAsia="Times New Roman" w:hAnsi="Calibri Light" w:cs="Calibri Light"/>
                <w:color w:val="000000"/>
                <w:sz w:val="20"/>
                <w:szCs w:val="20"/>
                <w:lang w:eastAsia="en-GB"/>
              </w:rPr>
            </w:pPr>
            <w:r w:rsidRPr="00A33AE8">
              <w:rPr>
                <w:rFonts w:asciiTheme="majorHAnsi" w:hAnsiTheme="majorHAnsi" w:cstheme="majorHAnsi"/>
                <w:bCs/>
              </w:rPr>
              <w:t xml:space="preserve">“Elektromreža Srbije“ </w:t>
            </w:r>
            <w:r w:rsidR="007E3B52" w:rsidRPr="00A33AE8">
              <w:rPr>
                <w:rFonts w:asciiTheme="majorHAnsi" w:hAnsiTheme="majorHAnsi" w:cstheme="majorHAnsi"/>
                <w:bCs/>
              </w:rPr>
              <w:t>–</w:t>
            </w:r>
            <w:r w:rsidRPr="00A33AE8">
              <w:rPr>
                <w:rFonts w:asciiTheme="majorHAnsi" w:hAnsiTheme="majorHAnsi" w:cstheme="majorHAnsi"/>
                <w:bCs/>
              </w:rPr>
              <w:t xml:space="preserve"> EMS</w:t>
            </w:r>
          </w:p>
          <w:p w14:paraId="3AD6FEBD" w14:textId="77777777" w:rsidR="00060CFB" w:rsidRPr="00A33AE8" w:rsidRDefault="00060CFB" w:rsidP="00884F3B">
            <w:pPr>
              <w:pStyle w:val="ListParagraph"/>
              <w:numPr>
                <w:ilvl w:val="0"/>
                <w:numId w:val="86"/>
              </w:num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4F77160" w14:textId="77777777" w:rsidR="00060CFB" w:rsidRPr="00A33AE8" w:rsidRDefault="00D53483" w:rsidP="00884F3B">
            <w:pPr>
              <w:pStyle w:val="ListParagraph"/>
              <w:numPr>
                <w:ilvl w:val="0"/>
                <w:numId w:val="86"/>
              </w:numPr>
              <w:spacing w:after="0" w:line="240" w:lineRule="auto"/>
              <w:jc w:val="both"/>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The </w:t>
            </w:r>
            <w:r w:rsidR="00060CFB" w:rsidRPr="00A33AE8">
              <w:rPr>
                <w:rFonts w:asciiTheme="majorHAnsi" w:eastAsia="Times New Roman" w:hAnsiTheme="majorHAnsi" w:cstheme="majorHAnsi"/>
                <w:color w:val="000000"/>
                <w:sz w:val="20"/>
                <w:szCs w:val="20"/>
                <w:lang w:eastAsia="en-GB"/>
              </w:rPr>
              <w:t>Government</w:t>
            </w:r>
            <w:r w:rsidRPr="00A33AE8">
              <w:rPr>
                <w:rFonts w:asciiTheme="majorHAnsi" w:eastAsia="Times New Roman" w:hAnsiTheme="majorHAnsi" w:cstheme="majorHAnsi"/>
                <w:color w:val="000000"/>
                <w:sz w:val="20"/>
                <w:szCs w:val="20"/>
                <w:lang w:eastAsia="en-GB"/>
              </w:rPr>
              <w:t xml:space="preserve"> of the Republic of Serbia</w:t>
            </w:r>
            <w:r w:rsidR="00060CFB" w:rsidRPr="00A33AE8">
              <w:rPr>
                <w:rFonts w:asciiTheme="majorHAnsi" w:eastAsia="Times New Roman" w:hAnsiTheme="majorHAnsi" w:cstheme="majorHAnsi"/>
                <w:color w:val="000000"/>
                <w:sz w:val="20"/>
                <w:szCs w:val="20"/>
                <w:lang w:eastAsia="en-GB"/>
              </w:rPr>
              <w:t xml:space="preserve"> </w:t>
            </w:r>
          </w:p>
        </w:tc>
      </w:tr>
      <w:tr w:rsidR="00060CFB" w:rsidRPr="00A33AE8" w14:paraId="49FDAAAA" w14:textId="77777777" w:rsidTr="0087794A">
        <w:trPr>
          <w:gridAfter w:val="1"/>
          <w:wAfter w:w="236" w:type="dxa"/>
          <w:trHeight w:val="315"/>
        </w:trPr>
        <w:tc>
          <w:tcPr>
            <w:tcW w:w="3266" w:type="dxa"/>
            <w:tcBorders>
              <w:top w:val="nil"/>
              <w:left w:val="single" w:sz="8" w:space="0" w:color="auto"/>
              <w:bottom w:val="single" w:sz="8" w:space="0" w:color="auto"/>
              <w:right w:val="nil"/>
            </w:tcBorders>
            <w:shd w:val="clear" w:color="auto" w:fill="244062"/>
            <w:vAlign w:val="center"/>
            <w:hideMark/>
          </w:tcPr>
          <w:p w14:paraId="4305BF04" w14:textId="77777777" w:rsidR="00060CFB" w:rsidRPr="00A33AE8" w:rsidRDefault="00060CFB" w:rsidP="00060CFB">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22" w:type="dxa"/>
            <w:gridSpan w:val="3"/>
            <w:tcBorders>
              <w:top w:val="single" w:sz="8" w:space="0" w:color="auto"/>
              <w:left w:val="nil"/>
              <w:bottom w:val="single" w:sz="8" w:space="0" w:color="auto"/>
              <w:right w:val="single" w:sz="8" w:space="0" w:color="000000"/>
            </w:tcBorders>
            <w:vAlign w:val="center"/>
            <w:hideMark/>
          </w:tcPr>
          <w:p w14:paraId="4E7DC50F" w14:textId="77777777" w:rsidR="00060CFB" w:rsidRPr="000007D2" w:rsidRDefault="007E3B52" w:rsidP="00884F3B">
            <w:pPr>
              <w:pStyle w:val="ListParagraph"/>
              <w:numPr>
                <w:ilvl w:val="0"/>
                <w:numId w:val="267"/>
              </w:numPr>
              <w:spacing w:after="0" w:line="240" w:lineRule="auto"/>
              <w:rPr>
                <w:rFonts w:ascii="Calibri Light" w:eastAsia="Times New Roman" w:hAnsi="Calibri Light" w:cs="Calibri Light"/>
                <w:color w:val="000000"/>
                <w:sz w:val="20"/>
                <w:szCs w:val="20"/>
                <w:lang w:eastAsia="en-GB"/>
              </w:rPr>
            </w:pPr>
            <w:r w:rsidRPr="000007D2">
              <w:rPr>
                <w:rFonts w:asciiTheme="majorHAnsi" w:eastAsia="Times New Roman" w:hAnsiTheme="majorHAnsi" w:cstheme="majorHAnsi"/>
                <w:color w:val="000000"/>
                <w:sz w:val="20"/>
                <w:szCs w:val="20"/>
                <w:lang w:eastAsia="en-GB"/>
              </w:rPr>
              <w:t>Ministry of Mining and Energy</w:t>
            </w:r>
          </w:p>
        </w:tc>
      </w:tr>
      <w:tr w:rsidR="002D3D34" w:rsidRPr="00A33AE8" w14:paraId="58A6F00F" w14:textId="77777777" w:rsidTr="0087794A">
        <w:trPr>
          <w:gridAfter w:val="1"/>
          <w:wAfter w:w="236" w:type="dxa"/>
          <w:trHeight w:val="315"/>
        </w:trPr>
        <w:tc>
          <w:tcPr>
            <w:tcW w:w="3266" w:type="dxa"/>
            <w:tcBorders>
              <w:top w:val="nil"/>
              <w:left w:val="single" w:sz="8" w:space="0" w:color="auto"/>
              <w:bottom w:val="single" w:sz="8" w:space="0" w:color="auto"/>
              <w:right w:val="nil"/>
            </w:tcBorders>
            <w:shd w:val="clear" w:color="auto" w:fill="244062"/>
            <w:vAlign w:val="center"/>
            <w:hideMark/>
          </w:tcPr>
          <w:p w14:paraId="238909E9"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22" w:type="dxa"/>
            <w:gridSpan w:val="3"/>
            <w:tcBorders>
              <w:top w:val="single" w:sz="8" w:space="0" w:color="auto"/>
              <w:left w:val="nil"/>
              <w:bottom w:val="single" w:sz="8" w:space="0" w:color="auto"/>
              <w:right w:val="single" w:sz="8" w:space="0" w:color="000000"/>
            </w:tcBorders>
            <w:vAlign w:val="center"/>
            <w:hideMark/>
          </w:tcPr>
          <w:p w14:paraId="5B4DF46D" w14:textId="77777777" w:rsidR="002D3D34" w:rsidRPr="00A33AE8" w:rsidRDefault="001F4A27" w:rsidP="001B47D8">
            <w:pPr>
              <w:spacing w:after="0" w:line="240" w:lineRule="auto"/>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 Day ahead market coupling go-live date</w:t>
            </w:r>
          </w:p>
        </w:tc>
      </w:tr>
      <w:tr w:rsidR="00A0226E" w:rsidRPr="00A33AE8" w14:paraId="299A5C18" w14:textId="77777777" w:rsidTr="0087794A">
        <w:trPr>
          <w:gridAfter w:val="1"/>
          <w:wAfter w:w="236" w:type="dxa"/>
          <w:trHeight w:val="454"/>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17544FF6"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22" w:type="dxa"/>
            <w:gridSpan w:val="3"/>
            <w:tcBorders>
              <w:top w:val="single" w:sz="8" w:space="0" w:color="auto"/>
              <w:left w:val="nil"/>
              <w:bottom w:val="single" w:sz="8" w:space="0" w:color="auto"/>
              <w:right w:val="single" w:sz="8" w:space="0" w:color="000000"/>
            </w:tcBorders>
            <w:vAlign w:val="center"/>
            <w:hideMark/>
          </w:tcPr>
          <w:p w14:paraId="188C420C" w14:textId="77777777" w:rsidR="00CC5B72" w:rsidRPr="00CC5B72" w:rsidRDefault="00A0226E" w:rsidP="00884F3B">
            <w:pPr>
              <w:pStyle w:val="ListParagraph"/>
              <w:numPr>
                <w:ilvl w:val="0"/>
                <w:numId w:val="8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Security</w:t>
            </w:r>
          </w:p>
          <w:p w14:paraId="57CE8A3E" w14:textId="77777777" w:rsidR="00A0226E" w:rsidRPr="00A33AE8" w:rsidRDefault="00CC5B72" w:rsidP="00884F3B">
            <w:pPr>
              <w:pStyle w:val="ListParagraph"/>
              <w:numPr>
                <w:ilvl w:val="0"/>
                <w:numId w:val="88"/>
              </w:numPr>
              <w:spacing w:after="0" w:line="240" w:lineRule="auto"/>
              <w:rPr>
                <w:rFonts w:ascii="Calibri Light" w:eastAsia="Times New Roman" w:hAnsi="Calibri Light" w:cs="Calibri Light"/>
                <w:color w:val="000000"/>
                <w:sz w:val="20"/>
                <w:szCs w:val="20"/>
                <w:lang w:eastAsia="en-GB"/>
              </w:rPr>
            </w:pPr>
            <w:r w:rsidRPr="00CC5B72">
              <w:rPr>
                <w:rFonts w:ascii="Calibri Light" w:eastAsia="Times New Roman" w:hAnsi="Calibri Light" w:cs="Calibri Light"/>
                <w:color w:val="000000"/>
                <w:sz w:val="20"/>
                <w:szCs w:val="20"/>
                <w:lang w:eastAsia="en-GB"/>
              </w:rPr>
              <w:t>Decarbonisation</w:t>
            </w:r>
          </w:p>
        </w:tc>
      </w:tr>
      <w:tr w:rsidR="002D3D34" w:rsidRPr="00A33AE8" w14:paraId="20E92FF9" w14:textId="77777777" w:rsidTr="0087794A">
        <w:trPr>
          <w:gridAfter w:val="1"/>
          <w:wAfter w:w="236" w:type="dxa"/>
          <w:trHeight w:val="450"/>
        </w:trPr>
        <w:tc>
          <w:tcPr>
            <w:tcW w:w="3266" w:type="dxa"/>
            <w:vMerge w:val="restart"/>
            <w:tcBorders>
              <w:top w:val="nil"/>
              <w:left w:val="single" w:sz="8" w:space="0" w:color="auto"/>
              <w:bottom w:val="single" w:sz="8" w:space="0" w:color="000000"/>
              <w:right w:val="single" w:sz="8" w:space="0" w:color="auto"/>
            </w:tcBorders>
            <w:shd w:val="clear" w:color="auto" w:fill="244062"/>
            <w:vAlign w:val="center"/>
            <w:hideMark/>
          </w:tcPr>
          <w:p w14:paraId="21CBC9F4"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22"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20F6930" w14:textId="77777777" w:rsidR="002D3D34" w:rsidRPr="00A33AE8" w:rsidRDefault="002D3D34" w:rsidP="00884F3B">
            <w:pPr>
              <w:pStyle w:val="ListParagraph"/>
              <w:numPr>
                <w:ilvl w:val="0"/>
                <w:numId w:val="1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2009/72/EC</w:t>
            </w:r>
          </w:p>
          <w:p w14:paraId="44431E38" w14:textId="77777777" w:rsidR="002D3D34" w:rsidRPr="00A33AE8" w:rsidRDefault="002D3D34" w:rsidP="00884F3B">
            <w:pPr>
              <w:pStyle w:val="ListParagraph"/>
              <w:numPr>
                <w:ilvl w:val="0"/>
                <w:numId w:val="1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(EU) 2019/944</w:t>
            </w:r>
          </w:p>
          <w:p w14:paraId="5DEB24A1" w14:textId="77777777" w:rsidR="002D3D34" w:rsidRPr="00A33AE8" w:rsidRDefault="002D3D34" w:rsidP="00884F3B">
            <w:pPr>
              <w:pStyle w:val="ListParagraph"/>
              <w:numPr>
                <w:ilvl w:val="0"/>
                <w:numId w:val="15"/>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Regulation (EU) 2019/943</w:t>
            </w:r>
          </w:p>
        </w:tc>
      </w:tr>
      <w:tr w:rsidR="002D3D34" w:rsidRPr="00A33AE8" w14:paraId="37F68A08" w14:textId="77777777" w:rsidTr="0087794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CE2241F"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22" w:type="dxa"/>
            <w:gridSpan w:val="3"/>
            <w:vMerge/>
            <w:tcBorders>
              <w:top w:val="single" w:sz="8" w:space="0" w:color="auto"/>
              <w:left w:val="single" w:sz="8" w:space="0" w:color="auto"/>
              <w:bottom w:val="single" w:sz="8" w:space="0" w:color="000000"/>
              <w:right w:val="single" w:sz="8" w:space="0" w:color="000000"/>
            </w:tcBorders>
            <w:vAlign w:val="center"/>
            <w:hideMark/>
          </w:tcPr>
          <w:p w14:paraId="7A9089BB"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236" w:type="dxa"/>
            <w:noWrap/>
            <w:vAlign w:val="bottom"/>
            <w:hideMark/>
          </w:tcPr>
          <w:p w14:paraId="1600CE49" w14:textId="77777777" w:rsidR="002D3D34" w:rsidRPr="00A33AE8" w:rsidRDefault="002D3D34" w:rsidP="002D3D34"/>
        </w:tc>
      </w:tr>
      <w:tr w:rsidR="002D3D34" w:rsidRPr="00A33AE8" w14:paraId="2D7789FF" w14:textId="77777777" w:rsidTr="0087794A">
        <w:trPr>
          <w:trHeight w:val="60"/>
        </w:trPr>
        <w:tc>
          <w:tcPr>
            <w:tcW w:w="0" w:type="auto"/>
            <w:vMerge/>
            <w:tcBorders>
              <w:top w:val="nil"/>
              <w:left w:val="single" w:sz="8" w:space="0" w:color="auto"/>
              <w:bottom w:val="single" w:sz="8" w:space="0" w:color="000000"/>
              <w:right w:val="single" w:sz="8" w:space="0" w:color="auto"/>
            </w:tcBorders>
            <w:vAlign w:val="center"/>
            <w:hideMark/>
          </w:tcPr>
          <w:p w14:paraId="081A21A3" w14:textId="77777777" w:rsidR="002D3D34" w:rsidRPr="00A33AE8" w:rsidRDefault="002D3D34" w:rsidP="002D3D34">
            <w:pPr>
              <w:spacing w:after="0" w:line="256" w:lineRule="auto"/>
              <w:rPr>
                <w:rFonts w:ascii="Calibri Light" w:eastAsia="Times New Roman" w:hAnsi="Calibri Light" w:cs="Calibri Light"/>
                <w:b/>
                <w:bCs/>
                <w:color w:val="FFFFFF"/>
                <w:sz w:val="20"/>
                <w:szCs w:val="20"/>
                <w:lang w:eastAsia="en-GB"/>
              </w:rPr>
            </w:pPr>
          </w:p>
        </w:tc>
        <w:tc>
          <w:tcPr>
            <w:tcW w:w="6222" w:type="dxa"/>
            <w:gridSpan w:val="3"/>
            <w:vMerge/>
            <w:tcBorders>
              <w:top w:val="single" w:sz="8" w:space="0" w:color="auto"/>
              <w:left w:val="single" w:sz="8" w:space="0" w:color="auto"/>
              <w:bottom w:val="single" w:sz="8" w:space="0" w:color="000000"/>
              <w:right w:val="single" w:sz="8" w:space="0" w:color="000000"/>
            </w:tcBorders>
            <w:vAlign w:val="center"/>
            <w:hideMark/>
          </w:tcPr>
          <w:p w14:paraId="6D891DB0" w14:textId="77777777" w:rsidR="002D3D34" w:rsidRPr="00A33AE8" w:rsidRDefault="002D3D34" w:rsidP="002D3D34">
            <w:pPr>
              <w:spacing w:after="0" w:line="256" w:lineRule="auto"/>
              <w:rPr>
                <w:rFonts w:ascii="Calibri Light" w:eastAsia="Times New Roman" w:hAnsi="Calibri Light" w:cs="Calibri Light"/>
                <w:color w:val="000000"/>
                <w:sz w:val="20"/>
                <w:szCs w:val="20"/>
                <w:lang w:eastAsia="en-GB"/>
              </w:rPr>
            </w:pPr>
          </w:p>
        </w:tc>
        <w:tc>
          <w:tcPr>
            <w:tcW w:w="236" w:type="dxa"/>
            <w:noWrap/>
            <w:vAlign w:val="bottom"/>
            <w:hideMark/>
          </w:tcPr>
          <w:p w14:paraId="4044E0F9" w14:textId="77777777" w:rsidR="002D3D34" w:rsidRPr="00A33AE8" w:rsidRDefault="002D3D34" w:rsidP="002D3D34">
            <w:pPr>
              <w:spacing w:after="0" w:line="256" w:lineRule="auto"/>
              <w:rPr>
                <w:sz w:val="20"/>
                <w:szCs w:val="20"/>
                <w:lang w:eastAsia="en-GB"/>
              </w:rPr>
            </w:pPr>
          </w:p>
        </w:tc>
      </w:tr>
      <w:tr w:rsidR="002D3D34" w:rsidRPr="00A33AE8" w14:paraId="4C8D6D45" w14:textId="77777777" w:rsidTr="0087794A">
        <w:trPr>
          <w:trHeight w:val="489"/>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5DF5D7CC" w14:textId="77777777" w:rsidR="002D3D34" w:rsidRPr="00A33AE8" w:rsidRDefault="002D3D34" w:rsidP="002D3D3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22" w:type="dxa"/>
            <w:gridSpan w:val="3"/>
            <w:tcBorders>
              <w:top w:val="single" w:sz="8" w:space="0" w:color="auto"/>
              <w:left w:val="nil"/>
              <w:bottom w:val="single" w:sz="8" w:space="0" w:color="auto"/>
              <w:right w:val="single" w:sz="8" w:space="0" w:color="000000"/>
            </w:tcBorders>
            <w:vAlign w:val="center"/>
            <w:hideMark/>
          </w:tcPr>
          <w:p w14:paraId="3B6496FC" w14:textId="77777777" w:rsidR="002D3D34" w:rsidRPr="00A33AE8" w:rsidRDefault="002D3D34"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Energy</w:t>
            </w:r>
          </w:p>
        </w:tc>
        <w:tc>
          <w:tcPr>
            <w:tcW w:w="236" w:type="dxa"/>
            <w:vAlign w:val="center"/>
            <w:hideMark/>
          </w:tcPr>
          <w:p w14:paraId="1D010E47" w14:textId="77777777" w:rsidR="002D3D34" w:rsidRPr="00A33AE8" w:rsidRDefault="002D3D34" w:rsidP="002D3D34">
            <w:pPr>
              <w:rPr>
                <w:rFonts w:ascii="Calibri Light" w:eastAsia="Times New Roman" w:hAnsi="Calibri Light" w:cs="Calibri Light"/>
                <w:color w:val="000000"/>
                <w:sz w:val="20"/>
                <w:szCs w:val="20"/>
                <w:lang w:eastAsia="en-GB"/>
              </w:rPr>
            </w:pPr>
          </w:p>
        </w:tc>
      </w:tr>
      <w:tr w:rsidR="00910552" w:rsidRPr="00A33AE8" w14:paraId="49E14708" w14:textId="77777777" w:rsidTr="0087794A">
        <w:trPr>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68A5C1BC"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22" w:type="dxa"/>
            <w:gridSpan w:val="3"/>
            <w:tcBorders>
              <w:top w:val="single" w:sz="8" w:space="0" w:color="auto"/>
              <w:left w:val="nil"/>
              <w:bottom w:val="single" w:sz="8" w:space="0" w:color="auto"/>
              <w:right w:val="single" w:sz="8" w:space="0" w:color="000000"/>
            </w:tcBorders>
            <w:vAlign w:val="center"/>
            <w:hideMark/>
          </w:tcPr>
          <w:p w14:paraId="3A06490D" w14:textId="77777777" w:rsidR="00910552" w:rsidRPr="00A33AE8" w:rsidRDefault="00910552" w:rsidP="00910552">
            <w:pPr>
              <w:spacing w:after="0" w:line="240" w:lineRule="auto"/>
              <w:rPr>
                <w:rFonts w:ascii="Calibri" w:eastAsia="Times New Roman" w:hAnsi="Calibri" w:cs="Calibri"/>
                <w:color w:val="000000"/>
                <w:sz w:val="20"/>
                <w:szCs w:val="2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236" w:type="dxa"/>
            <w:vAlign w:val="center"/>
            <w:hideMark/>
          </w:tcPr>
          <w:p w14:paraId="1E2D45F3" w14:textId="77777777" w:rsidR="00910552" w:rsidRPr="00A33AE8" w:rsidRDefault="00910552" w:rsidP="00910552">
            <w:pPr>
              <w:rPr>
                <w:rFonts w:ascii="Calibri" w:eastAsia="Times New Roman" w:hAnsi="Calibri" w:cs="Calibri"/>
                <w:color w:val="000000"/>
                <w:lang w:eastAsia="en-GB"/>
              </w:rPr>
            </w:pPr>
          </w:p>
        </w:tc>
      </w:tr>
      <w:tr w:rsidR="00405990" w:rsidRPr="00A33AE8" w14:paraId="3F2BB4D2" w14:textId="77777777" w:rsidTr="0087794A">
        <w:trPr>
          <w:trHeight w:val="315"/>
        </w:trPr>
        <w:tc>
          <w:tcPr>
            <w:tcW w:w="3266" w:type="dxa"/>
            <w:tcBorders>
              <w:top w:val="nil"/>
              <w:left w:val="single" w:sz="8" w:space="0" w:color="auto"/>
              <w:bottom w:val="single" w:sz="8" w:space="0" w:color="auto"/>
              <w:right w:val="single" w:sz="8" w:space="0" w:color="auto"/>
            </w:tcBorders>
            <w:shd w:val="clear" w:color="auto" w:fill="244062"/>
            <w:vAlign w:val="center"/>
            <w:hideMark/>
          </w:tcPr>
          <w:p w14:paraId="626EC9E2" w14:textId="77777777" w:rsidR="00405990" w:rsidRPr="00A33AE8" w:rsidRDefault="00405990" w:rsidP="0040599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22" w:type="dxa"/>
            <w:gridSpan w:val="3"/>
            <w:tcBorders>
              <w:top w:val="single" w:sz="8" w:space="0" w:color="auto"/>
              <w:left w:val="nil"/>
              <w:bottom w:val="single" w:sz="8" w:space="0" w:color="auto"/>
              <w:right w:val="single" w:sz="8" w:space="0" w:color="000000"/>
            </w:tcBorders>
            <w:vAlign w:val="center"/>
            <w:hideMark/>
          </w:tcPr>
          <w:p w14:paraId="4F43C3FC" w14:textId="77777777" w:rsidR="00405990" w:rsidRPr="00A33AE8" w:rsidRDefault="00405990" w:rsidP="00405990">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236" w:type="dxa"/>
            <w:vAlign w:val="center"/>
            <w:hideMark/>
          </w:tcPr>
          <w:p w14:paraId="75C26F10" w14:textId="77777777" w:rsidR="00405990" w:rsidRPr="00A33AE8" w:rsidRDefault="00405990" w:rsidP="00405990">
            <w:pPr>
              <w:rPr>
                <w:rFonts w:ascii="Calibri" w:eastAsia="Times New Roman" w:hAnsi="Calibri" w:cs="Calibri"/>
                <w:color w:val="000000"/>
                <w:lang w:eastAsia="en-GB"/>
              </w:rPr>
            </w:pPr>
          </w:p>
        </w:tc>
      </w:tr>
    </w:tbl>
    <w:p w14:paraId="0AC4A772" w14:textId="77777777" w:rsidR="007D341E" w:rsidRPr="00A33AE8" w:rsidRDefault="007D341E" w:rsidP="001D1BB0">
      <w:pPr>
        <w:pStyle w:val="LDKbody"/>
        <w:rPr>
          <w:lang w:val="en-GB"/>
        </w:rPr>
      </w:pPr>
    </w:p>
    <w:p w14:paraId="35587B02" w14:textId="77777777" w:rsidR="00351DC9" w:rsidRPr="00A33AE8" w:rsidRDefault="00351DC9" w:rsidP="007D341E">
      <w:pPr>
        <w:pStyle w:val="Heading3"/>
      </w:pPr>
      <w:r w:rsidRPr="00A33AE8">
        <w:t>Energy poverty</w:t>
      </w:r>
    </w:p>
    <w:p w14:paraId="1E73D737" w14:textId="77777777" w:rsidR="00113485" w:rsidRPr="00A33AE8" w:rsidRDefault="00113485" w:rsidP="006E21C2">
      <w:pPr>
        <w:pStyle w:val="LDKbody"/>
        <w:spacing w:before="160" w:after="160"/>
        <w:rPr>
          <w:rFonts w:asciiTheme="majorHAnsi" w:hAnsiTheme="majorHAnsi" w:cstheme="majorHAnsi"/>
          <w:lang w:val="en-GB"/>
        </w:rPr>
      </w:pPr>
      <w:r w:rsidRPr="00A33AE8">
        <w:rPr>
          <w:rFonts w:asciiTheme="majorHAnsi" w:hAnsiTheme="majorHAnsi" w:cstheme="majorHAnsi"/>
          <w:lang w:val="en-GB"/>
        </w:rPr>
        <w:t xml:space="preserve">A well-balanced mixture of policies and measures will be introduced </w:t>
      </w:r>
      <w:r w:rsidR="009F19B8" w:rsidRPr="00A33AE8">
        <w:rPr>
          <w:rFonts w:asciiTheme="majorHAnsi" w:hAnsiTheme="majorHAnsi" w:cstheme="majorHAnsi"/>
          <w:lang w:val="en-GB"/>
        </w:rPr>
        <w:t xml:space="preserve">to improve </w:t>
      </w:r>
      <w:r w:rsidRPr="00A33AE8">
        <w:rPr>
          <w:rFonts w:asciiTheme="majorHAnsi" w:hAnsiTheme="majorHAnsi" w:cstheme="majorHAnsi"/>
          <w:lang w:val="en-GB"/>
        </w:rPr>
        <w:t xml:space="preserve">the alleviation of energy poverty. </w:t>
      </w:r>
      <w:r w:rsidR="00421024" w:rsidRPr="00A33AE8">
        <w:rPr>
          <w:rFonts w:asciiTheme="majorHAnsi" w:hAnsiTheme="majorHAnsi" w:cstheme="majorHAnsi"/>
          <w:lang w:val="en-GB"/>
        </w:rPr>
        <w:t xml:space="preserve">The </w:t>
      </w:r>
      <w:r w:rsidRPr="00A33AE8">
        <w:rPr>
          <w:rFonts w:asciiTheme="majorHAnsi" w:hAnsiTheme="majorHAnsi" w:cstheme="majorHAnsi"/>
          <w:lang w:val="en-GB"/>
        </w:rPr>
        <w:t xml:space="preserve">official definition adopted </w:t>
      </w:r>
      <w:r w:rsidR="00421024" w:rsidRPr="00A33AE8">
        <w:rPr>
          <w:rFonts w:asciiTheme="majorHAnsi" w:hAnsiTheme="majorHAnsi" w:cstheme="majorHAnsi"/>
          <w:lang w:val="en-GB"/>
        </w:rPr>
        <w:t xml:space="preserve">will be reviewed </w:t>
      </w:r>
      <w:r w:rsidR="00F22E80" w:rsidRPr="00A33AE8">
        <w:rPr>
          <w:rFonts w:asciiTheme="majorHAnsi" w:hAnsiTheme="majorHAnsi" w:cstheme="majorHAnsi"/>
          <w:lang w:val="en-GB"/>
        </w:rPr>
        <w:t xml:space="preserve">to ensure the enhanced protection of </w:t>
      </w:r>
      <w:r w:rsidRPr="00A33AE8">
        <w:rPr>
          <w:rFonts w:asciiTheme="majorHAnsi" w:hAnsiTheme="majorHAnsi" w:cstheme="majorHAnsi"/>
          <w:lang w:val="en-GB"/>
        </w:rPr>
        <w:t>the energy poor households, while an action plan will be prepared for the targeted and coordinated confrontation of energy poverty. The planned policies and measures will be specialised, while a holistic monitoring mechanism will be developed according to the adopted national definition including the required tools and indicators.</w:t>
      </w:r>
    </w:p>
    <w:p w14:paraId="5D142A80" w14:textId="77777777" w:rsidR="00113485" w:rsidRPr="00A33AE8" w:rsidRDefault="00113485" w:rsidP="006E21C2">
      <w:pPr>
        <w:pStyle w:val="LDKbody"/>
        <w:spacing w:before="160" w:after="160"/>
        <w:rPr>
          <w:rFonts w:asciiTheme="majorHAnsi" w:hAnsiTheme="majorHAnsi" w:cstheme="majorHAnsi"/>
          <w:lang w:val="en-GB"/>
        </w:rPr>
      </w:pPr>
      <w:r w:rsidRPr="00A33AE8">
        <w:rPr>
          <w:rFonts w:asciiTheme="majorHAnsi" w:hAnsiTheme="majorHAnsi" w:cstheme="majorHAnsi"/>
          <w:lang w:val="en-GB"/>
        </w:rPr>
        <w:t>Specific regulatory measures will be adopted in order to protect energy poor households from potential disconnections from electricity and natural gas grids aiming at the short-term alleviation of the energy poverty. Moreover, additional financial incentives will be provided to energy poor households for purchasing the energy carriers, which will be consumed in order to cover their actual energy needs.</w:t>
      </w:r>
    </w:p>
    <w:p w14:paraId="69AF6250" w14:textId="77777777" w:rsidR="00113485" w:rsidRPr="00A33AE8" w:rsidRDefault="00113485" w:rsidP="006E21C2">
      <w:pPr>
        <w:pStyle w:val="LDKbody"/>
        <w:spacing w:before="160" w:after="160"/>
        <w:rPr>
          <w:rFonts w:asciiTheme="majorHAnsi" w:hAnsiTheme="majorHAnsi" w:cstheme="majorHAnsi"/>
          <w:lang w:val="en-GB"/>
        </w:rPr>
      </w:pPr>
      <w:r w:rsidRPr="00A33AE8">
        <w:rPr>
          <w:rFonts w:asciiTheme="majorHAnsi" w:hAnsiTheme="majorHAnsi" w:cstheme="majorHAnsi"/>
          <w:lang w:val="en-GB"/>
        </w:rPr>
        <w:t>Targeted financial instruments will be designed so as to improve energy efficiency and foster the installation of RES in the buildings of the energy poor households contributing to the long-term alleviation of energy poverty. The access of energy poor households to alternative energy sources will be facilitated also for the considerable reduction of their energy expenses.</w:t>
      </w:r>
    </w:p>
    <w:p w14:paraId="085B93E6" w14:textId="77777777" w:rsidR="0031601F" w:rsidRPr="00A33AE8" w:rsidRDefault="00113485" w:rsidP="006E21C2">
      <w:pPr>
        <w:pStyle w:val="LDKbody"/>
        <w:spacing w:before="160" w:after="160"/>
        <w:rPr>
          <w:rFonts w:asciiTheme="majorHAnsi" w:hAnsiTheme="majorHAnsi" w:cstheme="majorHAnsi"/>
          <w:lang w:val="en-GB"/>
        </w:rPr>
      </w:pPr>
      <w:r w:rsidRPr="00A33AE8">
        <w:rPr>
          <w:rFonts w:asciiTheme="majorHAnsi" w:hAnsiTheme="majorHAnsi" w:cstheme="majorHAnsi"/>
          <w:lang w:val="en-GB"/>
        </w:rPr>
        <w:lastRenderedPageBreak/>
        <w:t>Finally, information, awareness-raising, guidance or training programmes will be carried out facilitating the implementation of the planned policies and measures and contributing to the effective alleviation of energy poverty. Emphasis will be given on the conduction of simplified energy audits, the deployment of smart meters and the provision of guidance and targeted energy advices to energy poor households.</w:t>
      </w:r>
    </w:p>
    <w:tbl>
      <w:tblPr>
        <w:tblW w:w="10700" w:type="dxa"/>
        <w:tblLook w:val="04A0" w:firstRow="1" w:lastRow="0" w:firstColumn="1" w:lastColumn="0" w:noHBand="0" w:noVBand="1"/>
      </w:tblPr>
      <w:tblGrid>
        <w:gridCol w:w="3288"/>
        <w:gridCol w:w="1106"/>
        <w:gridCol w:w="939"/>
        <w:gridCol w:w="4155"/>
        <w:gridCol w:w="1212"/>
      </w:tblGrid>
      <w:tr w:rsidR="0031601F" w:rsidRPr="00A33AE8" w14:paraId="377B2C2B" w14:textId="77777777" w:rsidTr="00FD2B5A">
        <w:trPr>
          <w:gridAfter w:val="1"/>
          <w:wAfter w:w="1212" w:type="dxa"/>
          <w:trHeight w:val="780"/>
        </w:trPr>
        <w:tc>
          <w:tcPr>
            <w:tcW w:w="328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C458332" w14:textId="77777777" w:rsidR="0031601F" w:rsidRPr="00A33AE8" w:rsidRDefault="0031601F">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51C6E82F" w14:textId="77777777" w:rsidR="0031601F" w:rsidRPr="00A33AE8" w:rsidRDefault="007311E2">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2</w:t>
            </w:r>
          </w:p>
        </w:tc>
        <w:tc>
          <w:tcPr>
            <w:tcW w:w="939" w:type="dxa"/>
            <w:tcBorders>
              <w:top w:val="single" w:sz="8" w:space="0" w:color="auto"/>
              <w:left w:val="nil"/>
              <w:bottom w:val="single" w:sz="8" w:space="0" w:color="auto"/>
              <w:right w:val="single" w:sz="8" w:space="0" w:color="auto"/>
            </w:tcBorders>
            <w:shd w:val="clear" w:color="auto" w:fill="244062"/>
            <w:vAlign w:val="center"/>
            <w:hideMark/>
          </w:tcPr>
          <w:p w14:paraId="56C636CD"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5" w:type="dxa"/>
            <w:tcBorders>
              <w:top w:val="single" w:sz="8" w:space="0" w:color="auto"/>
              <w:left w:val="nil"/>
              <w:bottom w:val="single" w:sz="8" w:space="0" w:color="auto"/>
              <w:right w:val="single" w:sz="8" w:space="0" w:color="auto"/>
            </w:tcBorders>
            <w:shd w:val="clear" w:color="auto" w:fill="E7E6E6" w:themeFill="background2"/>
            <w:vAlign w:val="center"/>
            <w:hideMark/>
          </w:tcPr>
          <w:p w14:paraId="0D314D9D" w14:textId="77777777" w:rsidR="0031601F" w:rsidRPr="00A33AE8" w:rsidRDefault="0031601F" w:rsidP="0031601F">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Preparation and adoption of an action plan to ensure achievement for energy poverty reduction</w:t>
            </w:r>
          </w:p>
        </w:tc>
      </w:tr>
      <w:tr w:rsidR="0031601F" w:rsidRPr="00A33AE8" w14:paraId="0195E14B" w14:textId="77777777" w:rsidTr="00FD2B5A">
        <w:trPr>
          <w:gridAfter w:val="1"/>
          <w:wAfter w:w="1212" w:type="dxa"/>
          <w:trHeight w:val="354"/>
        </w:trPr>
        <w:tc>
          <w:tcPr>
            <w:tcW w:w="3288" w:type="dxa"/>
            <w:tcBorders>
              <w:top w:val="nil"/>
              <w:left w:val="single" w:sz="8" w:space="0" w:color="auto"/>
              <w:bottom w:val="single" w:sz="8" w:space="0" w:color="auto"/>
              <w:right w:val="nil"/>
            </w:tcBorders>
            <w:shd w:val="clear" w:color="auto" w:fill="244062"/>
            <w:vAlign w:val="center"/>
            <w:hideMark/>
          </w:tcPr>
          <w:p w14:paraId="0B5A46F0"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0" w:type="dxa"/>
            <w:gridSpan w:val="3"/>
            <w:tcBorders>
              <w:top w:val="single" w:sz="8" w:space="0" w:color="auto"/>
              <w:left w:val="nil"/>
              <w:bottom w:val="single" w:sz="8" w:space="0" w:color="auto"/>
              <w:right w:val="single" w:sz="8" w:space="0" w:color="000000"/>
            </w:tcBorders>
            <w:vAlign w:val="center"/>
            <w:hideMark/>
          </w:tcPr>
          <w:p w14:paraId="21602C72"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Alleviation of energy poverty</w:t>
            </w:r>
          </w:p>
        </w:tc>
      </w:tr>
      <w:tr w:rsidR="0031601F" w:rsidRPr="00A33AE8" w14:paraId="39D2FC71"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6DF09F7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0" w:type="dxa"/>
            <w:gridSpan w:val="3"/>
            <w:tcBorders>
              <w:top w:val="single" w:sz="8" w:space="0" w:color="auto"/>
              <w:left w:val="nil"/>
              <w:bottom w:val="single" w:sz="8" w:space="0" w:color="auto"/>
              <w:right w:val="single" w:sz="8" w:space="0" w:color="000000"/>
            </w:tcBorders>
            <w:vAlign w:val="center"/>
            <w:hideMark/>
          </w:tcPr>
          <w:p w14:paraId="43233C74" w14:textId="77777777" w:rsidR="0031601F" w:rsidRPr="00A33AE8" w:rsidRDefault="0095329C"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 of energy poverty</w:t>
            </w:r>
          </w:p>
        </w:tc>
      </w:tr>
      <w:tr w:rsidR="0031601F" w:rsidRPr="00A33AE8" w14:paraId="31813C5A" w14:textId="77777777" w:rsidTr="00A0226E">
        <w:trPr>
          <w:gridAfter w:val="1"/>
          <w:wAfter w:w="1212" w:type="dxa"/>
          <w:trHeight w:val="726"/>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6E2B4DC5"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0" w:type="dxa"/>
            <w:gridSpan w:val="3"/>
            <w:tcBorders>
              <w:top w:val="single" w:sz="8" w:space="0" w:color="auto"/>
              <w:left w:val="nil"/>
              <w:bottom w:val="single" w:sz="8" w:space="0" w:color="auto"/>
              <w:right w:val="single" w:sz="8" w:space="0" w:color="000000"/>
            </w:tcBorders>
            <w:vAlign w:val="center"/>
            <w:hideMark/>
          </w:tcPr>
          <w:p w14:paraId="0E536CCA" w14:textId="77777777" w:rsidR="0031601F" w:rsidRPr="00A33AE8" w:rsidRDefault="000A2441" w:rsidP="0031601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2</w:t>
            </w:r>
            <w:r w:rsidR="00154EBA"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 xml:space="preserve">will lead to the preparation and adoption of the action plan for the confrontation of energy poverty. The action plan will specialize the policies and measures, which will be introduced until 2030 with quantified objectives and the expected impacts. Moreover, a holistic monitoring mechanism will be developed according to the national definition and the developed indicators within the framework of </w:t>
            </w:r>
            <w:r w:rsidR="00CE1C4B"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3</w:t>
            </w:r>
            <w:r w:rsidR="005355C6" w:rsidRPr="00A33AE8">
              <w:rPr>
                <w:rFonts w:ascii="Calibri Light" w:eastAsia="Times New Roman" w:hAnsi="Calibri Light" w:cs="Calibri Light"/>
                <w:color w:val="000000"/>
                <w:sz w:val="20"/>
                <w:szCs w:val="20"/>
                <w:lang w:eastAsia="en-GB"/>
              </w:rPr>
              <w:t>.</w:t>
            </w:r>
            <w:r w:rsidR="00F633B4"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Emphasis will be given on the continuous assessment of the planned policy measures so as to either improve them or to initiate new more effective. Finally, the responsible authorities will be appointed including detailed specification of their responsibilities and duties.</w:t>
            </w:r>
          </w:p>
        </w:tc>
      </w:tr>
      <w:tr w:rsidR="0031601F" w:rsidRPr="00A33AE8" w14:paraId="6A22782C"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45F520A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0" w:type="dxa"/>
            <w:gridSpan w:val="3"/>
            <w:tcBorders>
              <w:top w:val="single" w:sz="8" w:space="0" w:color="auto"/>
              <w:left w:val="nil"/>
              <w:bottom w:val="single" w:sz="8" w:space="0" w:color="auto"/>
              <w:right w:val="single" w:sz="8" w:space="0" w:color="000000"/>
            </w:tcBorders>
            <w:vAlign w:val="center"/>
            <w:hideMark/>
          </w:tcPr>
          <w:p w14:paraId="67F2D6AC"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01F" w:rsidRPr="00A33AE8" w14:paraId="56CB012D"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47691B35"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0" w:type="dxa"/>
            <w:gridSpan w:val="3"/>
            <w:tcBorders>
              <w:top w:val="single" w:sz="8" w:space="0" w:color="auto"/>
              <w:left w:val="nil"/>
              <w:bottom w:val="single" w:sz="8" w:space="0" w:color="auto"/>
              <w:right w:val="single" w:sz="8" w:space="0" w:color="000000"/>
            </w:tcBorders>
            <w:vAlign w:val="center"/>
            <w:hideMark/>
          </w:tcPr>
          <w:p w14:paraId="26459753" w14:textId="77777777" w:rsidR="0031601F" w:rsidRPr="00A33AE8" w:rsidRDefault="0091055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1601F" w:rsidRPr="00A33AE8" w14:paraId="79E7A3A3"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44F8F3C3"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0" w:type="dxa"/>
            <w:gridSpan w:val="3"/>
            <w:tcBorders>
              <w:top w:val="single" w:sz="8" w:space="0" w:color="auto"/>
              <w:left w:val="nil"/>
              <w:bottom w:val="single" w:sz="8" w:space="0" w:color="auto"/>
              <w:right w:val="single" w:sz="8" w:space="0" w:color="000000"/>
            </w:tcBorders>
            <w:vAlign w:val="center"/>
            <w:hideMark/>
          </w:tcPr>
          <w:p w14:paraId="1DAC6692"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31601F" w:rsidRPr="00A33AE8" w14:paraId="6CDB1B48"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467D91AF"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0" w:type="dxa"/>
            <w:gridSpan w:val="3"/>
            <w:tcBorders>
              <w:top w:val="single" w:sz="8" w:space="0" w:color="auto"/>
              <w:left w:val="nil"/>
              <w:bottom w:val="single" w:sz="8" w:space="0" w:color="auto"/>
              <w:right w:val="single" w:sz="8" w:space="0" w:color="000000"/>
            </w:tcBorders>
            <w:vAlign w:val="center"/>
            <w:hideMark/>
          </w:tcPr>
          <w:p w14:paraId="5A4ACEF3" w14:textId="77777777" w:rsidR="00065A13" w:rsidRPr="00A33AE8" w:rsidRDefault="00065A13"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02F21B18" w14:textId="77777777" w:rsidR="00CE0C61"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1D0620E4" w14:textId="77777777" w:rsidR="00CE0C61"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Health</w:t>
            </w:r>
          </w:p>
          <w:p w14:paraId="0F289503" w14:textId="77777777" w:rsidR="00CE0C61"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Labour</w:t>
            </w:r>
            <w:r w:rsidR="00E92A71" w:rsidRPr="00A33AE8">
              <w:rPr>
                <w:rFonts w:ascii="Calibri Light" w:eastAsia="Times New Roman" w:hAnsi="Calibri Light" w:cs="Calibri Light"/>
                <w:color w:val="000000"/>
                <w:sz w:val="20"/>
                <w:szCs w:val="20"/>
                <w:lang w:eastAsia="en-GB"/>
              </w:rPr>
              <w:t>, Employment, Veteran and Social Affairs</w:t>
            </w:r>
          </w:p>
          <w:p w14:paraId="22E957D4" w14:textId="77777777" w:rsidR="0031601F" w:rsidRPr="00A33AE8" w:rsidRDefault="0031601F" w:rsidP="00884F3B">
            <w:pPr>
              <w:pStyle w:val="ListParagraph"/>
              <w:numPr>
                <w:ilvl w:val="0"/>
                <w:numId w:val="19"/>
              </w:num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National coalition for reduction of energy poverty</w:t>
            </w:r>
          </w:p>
        </w:tc>
      </w:tr>
      <w:tr w:rsidR="0031601F" w:rsidRPr="00A33AE8" w14:paraId="6D8F61E3" w14:textId="77777777" w:rsidTr="00FD2B5A">
        <w:trPr>
          <w:gridAfter w:val="1"/>
          <w:wAfter w:w="1212" w:type="dxa"/>
          <w:trHeight w:val="315"/>
        </w:trPr>
        <w:tc>
          <w:tcPr>
            <w:tcW w:w="3288" w:type="dxa"/>
            <w:tcBorders>
              <w:top w:val="nil"/>
              <w:left w:val="single" w:sz="8" w:space="0" w:color="auto"/>
              <w:bottom w:val="single" w:sz="8" w:space="0" w:color="auto"/>
              <w:right w:val="nil"/>
            </w:tcBorders>
            <w:shd w:val="clear" w:color="auto" w:fill="244062"/>
            <w:vAlign w:val="center"/>
            <w:hideMark/>
          </w:tcPr>
          <w:p w14:paraId="2CB28CFF"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0" w:type="dxa"/>
            <w:gridSpan w:val="3"/>
            <w:tcBorders>
              <w:top w:val="single" w:sz="8" w:space="0" w:color="auto"/>
              <w:left w:val="nil"/>
              <w:bottom w:val="single" w:sz="8" w:space="0" w:color="auto"/>
              <w:right w:val="single" w:sz="8" w:space="0" w:color="000000"/>
            </w:tcBorders>
            <w:vAlign w:val="center"/>
            <w:hideMark/>
          </w:tcPr>
          <w:p w14:paraId="58D7E595" w14:textId="77777777" w:rsidR="0031601F" w:rsidRPr="00A33AE8" w:rsidRDefault="0031601F">
            <w:pPr>
              <w:spacing w:after="0" w:line="240" w:lineRule="auto"/>
              <w:jc w:val="cente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p>
        </w:tc>
      </w:tr>
      <w:tr w:rsidR="0031601F" w:rsidRPr="00A33AE8" w14:paraId="6336EE38" w14:textId="77777777" w:rsidTr="00FD2B5A">
        <w:trPr>
          <w:gridAfter w:val="1"/>
          <w:wAfter w:w="1212" w:type="dxa"/>
          <w:trHeight w:val="315"/>
        </w:trPr>
        <w:tc>
          <w:tcPr>
            <w:tcW w:w="3288" w:type="dxa"/>
            <w:tcBorders>
              <w:top w:val="nil"/>
              <w:left w:val="single" w:sz="8" w:space="0" w:color="auto"/>
              <w:bottom w:val="single" w:sz="8" w:space="0" w:color="auto"/>
              <w:right w:val="nil"/>
            </w:tcBorders>
            <w:shd w:val="clear" w:color="auto" w:fill="244062"/>
            <w:vAlign w:val="center"/>
            <w:hideMark/>
          </w:tcPr>
          <w:p w14:paraId="30AB3CB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0" w:type="dxa"/>
            <w:gridSpan w:val="3"/>
            <w:tcBorders>
              <w:top w:val="single" w:sz="8" w:space="0" w:color="auto"/>
              <w:left w:val="nil"/>
              <w:bottom w:val="single" w:sz="8" w:space="0" w:color="auto"/>
              <w:right w:val="single" w:sz="8" w:space="0" w:color="000000"/>
            </w:tcBorders>
            <w:vAlign w:val="center"/>
            <w:hideMark/>
          </w:tcPr>
          <w:p w14:paraId="34455768" w14:textId="77777777" w:rsidR="0031601F" w:rsidRPr="00A33AE8" w:rsidRDefault="0095329C" w:rsidP="0050795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Prepared action plan</w:t>
            </w:r>
          </w:p>
        </w:tc>
      </w:tr>
      <w:tr w:rsidR="00A0226E" w:rsidRPr="00A33AE8" w14:paraId="199EEBDC" w14:textId="77777777" w:rsidTr="007E2E34">
        <w:trPr>
          <w:gridAfter w:val="1"/>
          <w:wAfter w:w="1212" w:type="dxa"/>
          <w:trHeight w:val="343"/>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4D5DD873"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00" w:type="dxa"/>
            <w:gridSpan w:val="3"/>
            <w:tcBorders>
              <w:top w:val="single" w:sz="8" w:space="0" w:color="auto"/>
              <w:left w:val="nil"/>
              <w:bottom w:val="single" w:sz="8" w:space="0" w:color="auto"/>
              <w:right w:val="single" w:sz="8" w:space="0" w:color="000000"/>
            </w:tcBorders>
            <w:vAlign w:val="center"/>
          </w:tcPr>
          <w:p w14:paraId="24458228" w14:textId="77777777" w:rsidR="00A0226E" w:rsidRPr="00A33AE8" w:rsidRDefault="00A0226E" w:rsidP="00A0226E">
            <w:pPr>
              <w:spacing w:after="0" w:line="240" w:lineRule="auto"/>
              <w:rPr>
                <w:rFonts w:ascii="Calibri Light" w:eastAsia="Times New Roman" w:hAnsi="Calibri Light" w:cs="Calibri Light"/>
                <w:color w:val="000000"/>
                <w:sz w:val="20"/>
                <w:szCs w:val="20"/>
                <w:lang w:eastAsia="en-GB"/>
              </w:rPr>
            </w:pPr>
          </w:p>
        </w:tc>
      </w:tr>
      <w:tr w:rsidR="0031601F" w:rsidRPr="00A33AE8" w14:paraId="15B6C73D" w14:textId="77777777" w:rsidTr="00FD2B5A">
        <w:trPr>
          <w:gridAfter w:val="1"/>
          <w:wAfter w:w="1212" w:type="dxa"/>
          <w:trHeight w:val="450"/>
        </w:trPr>
        <w:tc>
          <w:tcPr>
            <w:tcW w:w="3288" w:type="dxa"/>
            <w:vMerge w:val="restart"/>
            <w:tcBorders>
              <w:top w:val="nil"/>
              <w:left w:val="single" w:sz="8" w:space="0" w:color="auto"/>
              <w:bottom w:val="single" w:sz="8" w:space="0" w:color="000000"/>
              <w:right w:val="single" w:sz="8" w:space="0" w:color="auto"/>
            </w:tcBorders>
            <w:shd w:val="clear" w:color="auto" w:fill="244062"/>
            <w:vAlign w:val="center"/>
            <w:hideMark/>
          </w:tcPr>
          <w:p w14:paraId="00CB1AA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0ACA80AB" w14:textId="77777777" w:rsidR="0095329C" w:rsidRPr="00A33AE8" w:rsidRDefault="0095329C"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2019/944/EU</w:t>
            </w:r>
          </w:p>
        </w:tc>
      </w:tr>
      <w:tr w:rsidR="0031601F" w:rsidRPr="00A33AE8" w14:paraId="75F0E4D8" w14:textId="77777777" w:rsidTr="00FD2B5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0062719"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200" w:type="dxa"/>
            <w:gridSpan w:val="3"/>
            <w:vMerge/>
            <w:tcBorders>
              <w:top w:val="single" w:sz="8" w:space="0" w:color="auto"/>
              <w:left w:val="single" w:sz="8" w:space="0" w:color="auto"/>
              <w:bottom w:val="single" w:sz="8" w:space="0" w:color="000000"/>
              <w:right w:val="single" w:sz="8" w:space="0" w:color="000000"/>
            </w:tcBorders>
            <w:vAlign w:val="center"/>
            <w:hideMark/>
          </w:tcPr>
          <w:p w14:paraId="2716A132"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A32B25A" w14:textId="77777777" w:rsidR="0031601F" w:rsidRPr="00A33AE8" w:rsidRDefault="0031601F"/>
        </w:tc>
      </w:tr>
      <w:tr w:rsidR="0031601F" w:rsidRPr="00A33AE8" w14:paraId="232FA18A" w14:textId="77777777" w:rsidTr="00FD2B5A">
        <w:trPr>
          <w:trHeight w:val="60"/>
        </w:trPr>
        <w:tc>
          <w:tcPr>
            <w:tcW w:w="0" w:type="auto"/>
            <w:vMerge/>
            <w:tcBorders>
              <w:top w:val="nil"/>
              <w:left w:val="single" w:sz="8" w:space="0" w:color="auto"/>
              <w:bottom w:val="single" w:sz="8" w:space="0" w:color="000000"/>
              <w:right w:val="single" w:sz="8" w:space="0" w:color="auto"/>
            </w:tcBorders>
            <w:vAlign w:val="center"/>
            <w:hideMark/>
          </w:tcPr>
          <w:p w14:paraId="3588393A"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200" w:type="dxa"/>
            <w:gridSpan w:val="3"/>
            <w:vMerge/>
            <w:tcBorders>
              <w:top w:val="single" w:sz="8" w:space="0" w:color="auto"/>
              <w:left w:val="single" w:sz="8" w:space="0" w:color="auto"/>
              <w:bottom w:val="single" w:sz="8" w:space="0" w:color="000000"/>
              <w:right w:val="single" w:sz="8" w:space="0" w:color="000000"/>
            </w:tcBorders>
            <w:vAlign w:val="center"/>
            <w:hideMark/>
          </w:tcPr>
          <w:p w14:paraId="460846F4"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696D329" w14:textId="77777777" w:rsidR="0031601F" w:rsidRPr="00A33AE8" w:rsidRDefault="0031601F">
            <w:pPr>
              <w:spacing w:after="0" w:line="256" w:lineRule="auto"/>
              <w:rPr>
                <w:sz w:val="20"/>
                <w:szCs w:val="20"/>
                <w:lang w:eastAsia="en-GB"/>
              </w:rPr>
            </w:pPr>
          </w:p>
        </w:tc>
      </w:tr>
      <w:tr w:rsidR="0031601F" w:rsidRPr="00A33AE8" w14:paraId="483D0464" w14:textId="77777777" w:rsidTr="00FD2B5A">
        <w:trPr>
          <w:trHeight w:val="377"/>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7554F635"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0" w:type="dxa"/>
            <w:gridSpan w:val="3"/>
            <w:tcBorders>
              <w:top w:val="single" w:sz="8" w:space="0" w:color="auto"/>
              <w:left w:val="nil"/>
              <w:bottom w:val="single" w:sz="8" w:space="0" w:color="auto"/>
              <w:right w:val="single" w:sz="8" w:space="0" w:color="000000"/>
            </w:tcBorders>
            <w:vAlign w:val="center"/>
          </w:tcPr>
          <w:p w14:paraId="57764F9B"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p>
        </w:tc>
        <w:tc>
          <w:tcPr>
            <w:tcW w:w="1212" w:type="dxa"/>
            <w:vAlign w:val="center"/>
            <w:hideMark/>
          </w:tcPr>
          <w:p w14:paraId="70D8CCFD" w14:textId="77777777" w:rsidR="0031601F" w:rsidRPr="00A33AE8" w:rsidRDefault="0031601F">
            <w:pPr>
              <w:rPr>
                <w:rFonts w:ascii="Calibri Light" w:eastAsia="Times New Roman" w:hAnsi="Calibri Light" w:cs="Calibri Light"/>
                <w:color w:val="000000"/>
                <w:sz w:val="20"/>
                <w:szCs w:val="20"/>
                <w:lang w:eastAsia="en-GB"/>
              </w:rPr>
            </w:pPr>
          </w:p>
        </w:tc>
      </w:tr>
      <w:tr w:rsidR="00910552" w:rsidRPr="00A33AE8" w14:paraId="19489DE4" w14:textId="77777777" w:rsidTr="00FD2B5A">
        <w:trPr>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67DE3B2E" w14:textId="77777777" w:rsidR="00910552" w:rsidRPr="00A33AE8" w:rsidRDefault="00910552" w:rsidP="00910552">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0" w:type="dxa"/>
            <w:gridSpan w:val="3"/>
            <w:tcBorders>
              <w:top w:val="single" w:sz="8" w:space="0" w:color="auto"/>
              <w:left w:val="nil"/>
              <w:bottom w:val="single" w:sz="8" w:space="0" w:color="auto"/>
              <w:right w:val="single" w:sz="8" w:space="0" w:color="000000"/>
            </w:tcBorders>
            <w:vAlign w:val="center"/>
          </w:tcPr>
          <w:p w14:paraId="53913F28" w14:textId="77777777" w:rsidR="00910552" w:rsidRPr="00A33AE8" w:rsidRDefault="00910552" w:rsidP="00910552">
            <w:pPr>
              <w:spacing w:after="0" w:line="240" w:lineRule="auto"/>
              <w:rPr>
                <w:rFonts w:ascii="Calibri" w:eastAsia="Times New Roman" w:hAnsi="Calibri" w:cs="Calibri"/>
                <w:color w:val="000000"/>
                <w:lang w:eastAsia="en-GB"/>
              </w:rPr>
            </w:pPr>
            <w:r w:rsidRPr="00A33AE8">
              <w:rPr>
                <w:rFonts w:asciiTheme="majorHAnsi" w:eastAsia="Times New Roman" w:hAnsiTheme="majorHAnsi" w:cstheme="majorHAnsi"/>
                <w:color w:val="000000"/>
                <w:sz w:val="20"/>
                <w:szCs w:val="20"/>
                <w:lang w:eastAsia="en-GB"/>
              </w:rPr>
              <w:t>0.2 M</w:t>
            </w:r>
            <w:r w:rsidRPr="00A33AE8">
              <w:rPr>
                <w:rFonts w:ascii="Calibri" w:eastAsia="Times New Roman" w:hAnsi="Calibri" w:cs="Calibri"/>
                <w:color w:val="000000"/>
                <w:sz w:val="20"/>
                <w:szCs w:val="20"/>
                <w:lang w:eastAsia="en-GB"/>
              </w:rPr>
              <w:t>€</w:t>
            </w:r>
          </w:p>
        </w:tc>
        <w:tc>
          <w:tcPr>
            <w:tcW w:w="1212" w:type="dxa"/>
            <w:vAlign w:val="center"/>
            <w:hideMark/>
          </w:tcPr>
          <w:p w14:paraId="0630CD82" w14:textId="77777777" w:rsidR="00910552" w:rsidRPr="00A33AE8" w:rsidRDefault="00910552" w:rsidP="00910552">
            <w:pPr>
              <w:rPr>
                <w:rFonts w:ascii="Calibri" w:eastAsia="Times New Roman" w:hAnsi="Calibri" w:cs="Calibri"/>
                <w:color w:val="000000"/>
                <w:lang w:eastAsia="en-GB"/>
              </w:rPr>
            </w:pPr>
          </w:p>
        </w:tc>
      </w:tr>
      <w:tr w:rsidR="00405990" w:rsidRPr="00A33AE8" w14:paraId="4C506F50" w14:textId="77777777" w:rsidTr="00FD2B5A">
        <w:trPr>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11DDE702" w14:textId="77777777" w:rsidR="00405990" w:rsidRPr="00A33AE8" w:rsidRDefault="00405990" w:rsidP="0040599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00" w:type="dxa"/>
            <w:gridSpan w:val="3"/>
            <w:tcBorders>
              <w:top w:val="single" w:sz="8" w:space="0" w:color="auto"/>
              <w:left w:val="nil"/>
              <w:bottom w:val="single" w:sz="8" w:space="0" w:color="auto"/>
              <w:right w:val="single" w:sz="8" w:space="0" w:color="000000"/>
            </w:tcBorders>
            <w:vAlign w:val="center"/>
            <w:hideMark/>
          </w:tcPr>
          <w:p w14:paraId="08F3ED87" w14:textId="77777777" w:rsidR="00405990" w:rsidRPr="00A33AE8" w:rsidRDefault="00405990" w:rsidP="00405990">
            <w:pPr>
              <w:spacing w:after="0" w:line="240" w:lineRule="auto"/>
              <w:rPr>
                <w:rFonts w:ascii="Calibri" w:eastAsia="Times New Roman" w:hAnsi="Calibri" w:cs="Calibri"/>
                <w:color w:val="000000"/>
                <w:highlight w:val="yellow"/>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10EC178E" w14:textId="77777777" w:rsidR="00405990" w:rsidRPr="00A33AE8" w:rsidRDefault="00405990" w:rsidP="00405990">
            <w:pPr>
              <w:rPr>
                <w:rFonts w:ascii="Calibri" w:eastAsia="Times New Roman" w:hAnsi="Calibri" w:cs="Calibri"/>
                <w:color w:val="000000"/>
                <w:lang w:eastAsia="en-GB"/>
              </w:rPr>
            </w:pPr>
          </w:p>
        </w:tc>
      </w:tr>
    </w:tbl>
    <w:p w14:paraId="44CB29E7" w14:textId="77777777" w:rsidR="0031601F" w:rsidRPr="00A33AE8" w:rsidRDefault="0031601F" w:rsidP="0031601F">
      <w:pPr>
        <w:pStyle w:val="LDKbody"/>
        <w:rPr>
          <w:lang w:val="en-GB"/>
        </w:rPr>
      </w:pPr>
    </w:p>
    <w:tbl>
      <w:tblPr>
        <w:tblW w:w="10700" w:type="dxa"/>
        <w:tblLook w:val="04A0" w:firstRow="1" w:lastRow="0" w:firstColumn="1" w:lastColumn="0" w:noHBand="0" w:noVBand="1"/>
      </w:tblPr>
      <w:tblGrid>
        <w:gridCol w:w="3295"/>
        <w:gridCol w:w="1106"/>
        <w:gridCol w:w="936"/>
        <w:gridCol w:w="4151"/>
        <w:gridCol w:w="1212"/>
      </w:tblGrid>
      <w:tr w:rsidR="0031601F" w:rsidRPr="00A33AE8" w14:paraId="623963DC" w14:textId="77777777" w:rsidTr="00FD2B5A">
        <w:trPr>
          <w:gridAfter w:val="1"/>
          <w:wAfter w:w="1212" w:type="dxa"/>
          <w:trHeight w:val="780"/>
        </w:trPr>
        <w:tc>
          <w:tcPr>
            <w:tcW w:w="3295"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1135497" w14:textId="77777777" w:rsidR="0031601F" w:rsidRPr="00A33AE8" w:rsidRDefault="0031601F">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DA0FE3F" w14:textId="77777777" w:rsidR="0031601F" w:rsidRPr="00A33AE8" w:rsidRDefault="007311E2">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3</w:t>
            </w:r>
          </w:p>
        </w:tc>
        <w:tc>
          <w:tcPr>
            <w:tcW w:w="936" w:type="dxa"/>
            <w:tcBorders>
              <w:top w:val="single" w:sz="8" w:space="0" w:color="auto"/>
              <w:left w:val="nil"/>
              <w:bottom w:val="single" w:sz="8" w:space="0" w:color="auto"/>
              <w:right w:val="single" w:sz="8" w:space="0" w:color="auto"/>
            </w:tcBorders>
            <w:shd w:val="clear" w:color="auto" w:fill="244062"/>
            <w:vAlign w:val="center"/>
            <w:hideMark/>
          </w:tcPr>
          <w:p w14:paraId="4446851D"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606D7549" w14:textId="77777777" w:rsidR="0031601F" w:rsidRPr="00A33AE8" w:rsidRDefault="0031601F" w:rsidP="0031601F">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Regulatory measures for the protection of energy poor households and provision of allowances for the short-term alleviation of the energy poverty (i.e. energy card or social tariff)</w:t>
            </w:r>
          </w:p>
        </w:tc>
      </w:tr>
      <w:tr w:rsidR="0031601F" w:rsidRPr="00A33AE8" w14:paraId="277A06B4" w14:textId="77777777" w:rsidTr="00FD2B5A">
        <w:trPr>
          <w:gridAfter w:val="1"/>
          <w:wAfter w:w="1212" w:type="dxa"/>
          <w:trHeight w:val="318"/>
        </w:trPr>
        <w:tc>
          <w:tcPr>
            <w:tcW w:w="3295" w:type="dxa"/>
            <w:tcBorders>
              <w:top w:val="nil"/>
              <w:left w:val="single" w:sz="8" w:space="0" w:color="auto"/>
              <w:bottom w:val="single" w:sz="8" w:space="0" w:color="auto"/>
              <w:right w:val="nil"/>
            </w:tcBorders>
            <w:shd w:val="clear" w:color="auto" w:fill="244062"/>
            <w:vAlign w:val="center"/>
            <w:hideMark/>
          </w:tcPr>
          <w:p w14:paraId="4EB8CFCE"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3" w:type="dxa"/>
            <w:gridSpan w:val="3"/>
            <w:tcBorders>
              <w:top w:val="single" w:sz="8" w:space="0" w:color="auto"/>
              <w:left w:val="nil"/>
              <w:bottom w:val="single" w:sz="8" w:space="0" w:color="auto"/>
              <w:right w:val="single" w:sz="8" w:space="0" w:color="000000"/>
            </w:tcBorders>
            <w:vAlign w:val="center"/>
            <w:hideMark/>
          </w:tcPr>
          <w:p w14:paraId="2308E65B"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Alleviation of energy poverty</w:t>
            </w:r>
          </w:p>
        </w:tc>
      </w:tr>
      <w:tr w:rsidR="0031601F" w:rsidRPr="00A33AE8" w14:paraId="7EF396BC"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0F5FF27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3" w:type="dxa"/>
            <w:gridSpan w:val="3"/>
            <w:tcBorders>
              <w:top w:val="single" w:sz="8" w:space="0" w:color="auto"/>
              <w:left w:val="nil"/>
              <w:bottom w:val="single" w:sz="8" w:space="0" w:color="auto"/>
              <w:right w:val="single" w:sz="8" w:space="0" w:color="000000"/>
            </w:tcBorders>
            <w:vAlign w:val="center"/>
          </w:tcPr>
          <w:p w14:paraId="6EE5BF95" w14:textId="77777777" w:rsidR="0031601F" w:rsidRPr="00A33AE8" w:rsidRDefault="0095329C"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 of energy poverty</w:t>
            </w:r>
          </w:p>
        </w:tc>
      </w:tr>
      <w:tr w:rsidR="0031601F" w:rsidRPr="00A33AE8" w14:paraId="348FCFEE" w14:textId="77777777" w:rsidTr="00507954">
        <w:trPr>
          <w:gridAfter w:val="1"/>
          <w:wAfter w:w="1212" w:type="dxa"/>
          <w:trHeight w:val="570"/>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61EAA1CE"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3" w:type="dxa"/>
            <w:gridSpan w:val="3"/>
            <w:tcBorders>
              <w:top w:val="single" w:sz="8" w:space="0" w:color="auto"/>
              <w:left w:val="nil"/>
              <w:bottom w:val="single" w:sz="8" w:space="0" w:color="auto"/>
              <w:right w:val="single" w:sz="8" w:space="0" w:color="000000"/>
            </w:tcBorders>
            <w:vAlign w:val="center"/>
            <w:hideMark/>
          </w:tcPr>
          <w:p w14:paraId="014E5141" w14:textId="4B65E9D1" w:rsidR="0031601F" w:rsidRPr="00A33AE8" w:rsidRDefault="000A2441" w:rsidP="0031601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3</w:t>
            </w:r>
            <w:r w:rsidR="00154EBA"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 xml:space="preserve">will foresee the adoption of regulatory measures for protecting the energy poor households from potential disconnections from electricity and natural gas grids Moreover, the reduction of the monthly obligation for certain quantities of electricity or natural gas will be examined in conjunction with additional financial incentives, such as the introduction of social tariff and the provision of energy cards providing the capability to </w:t>
            </w:r>
            <w:r w:rsidR="0031601F" w:rsidRPr="00A33AE8">
              <w:rPr>
                <w:rFonts w:ascii="Calibri Light" w:eastAsia="Times New Roman" w:hAnsi="Calibri Light" w:cs="Calibri Light"/>
                <w:color w:val="000000"/>
                <w:sz w:val="20"/>
                <w:szCs w:val="20"/>
                <w:lang w:eastAsia="en-GB"/>
              </w:rPr>
              <w:lastRenderedPageBreak/>
              <w:t>energy poor households about the energy carriers which will be consumed in order to cover their actual energy needs. It should be noted that the provisions of Article 5, paragraph 4 of the Directive 944/2019/EU will be taken in into consideration in regards to the public interventions in the price setting for the supply of electricity during the design of the social tariff scheme. Finally, the deployment of smart meters can allow the consumption of predefined quantities of energy carriers.</w:t>
            </w:r>
          </w:p>
        </w:tc>
      </w:tr>
      <w:tr w:rsidR="0031601F" w:rsidRPr="00A33AE8" w14:paraId="75D58FDF"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0C28A27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93" w:type="dxa"/>
            <w:gridSpan w:val="3"/>
            <w:tcBorders>
              <w:top w:val="single" w:sz="8" w:space="0" w:color="auto"/>
              <w:left w:val="nil"/>
              <w:bottom w:val="single" w:sz="8" w:space="0" w:color="auto"/>
              <w:right w:val="single" w:sz="8" w:space="0" w:color="000000"/>
            </w:tcBorders>
            <w:vAlign w:val="center"/>
            <w:hideMark/>
          </w:tcPr>
          <w:p w14:paraId="0DEDC61A"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01F" w:rsidRPr="00A33AE8" w14:paraId="03661E61"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1CFD5DF4"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3" w:type="dxa"/>
            <w:gridSpan w:val="3"/>
            <w:tcBorders>
              <w:top w:val="single" w:sz="8" w:space="0" w:color="auto"/>
              <w:left w:val="nil"/>
              <w:bottom w:val="single" w:sz="8" w:space="0" w:color="auto"/>
              <w:right w:val="single" w:sz="8" w:space="0" w:color="000000"/>
            </w:tcBorders>
            <w:vAlign w:val="center"/>
            <w:hideMark/>
          </w:tcPr>
          <w:p w14:paraId="3F0A2625" w14:textId="77777777" w:rsidR="0031601F" w:rsidRPr="00A33AE8" w:rsidRDefault="0091055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1601F" w:rsidRPr="00A33AE8" w14:paraId="4B691396"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7FA826E8"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3" w:type="dxa"/>
            <w:gridSpan w:val="3"/>
            <w:tcBorders>
              <w:top w:val="single" w:sz="8" w:space="0" w:color="auto"/>
              <w:left w:val="nil"/>
              <w:bottom w:val="single" w:sz="8" w:space="0" w:color="auto"/>
              <w:right w:val="single" w:sz="8" w:space="0" w:color="000000"/>
            </w:tcBorders>
            <w:vAlign w:val="center"/>
            <w:hideMark/>
          </w:tcPr>
          <w:p w14:paraId="70E990E8"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F92C66" w:rsidRPr="00A33AE8" w14:paraId="6022297A"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19212C59" w14:textId="77777777" w:rsidR="00F92C66" w:rsidRPr="00A33AE8" w:rsidRDefault="00F92C66" w:rsidP="00F92C66">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3" w:type="dxa"/>
            <w:gridSpan w:val="3"/>
            <w:tcBorders>
              <w:top w:val="single" w:sz="8" w:space="0" w:color="auto"/>
              <w:left w:val="nil"/>
              <w:bottom w:val="single" w:sz="8" w:space="0" w:color="auto"/>
              <w:right w:val="single" w:sz="8" w:space="0" w:color="000000"/>
            </w:tcBorders>
            <w:vAlign w:val="center"/>
          </w:tcPr>
          <w:p w14:paraId="28AF176B" w14:textId="77777777" w:rsidR="00F92C66" w:rsidRPr="000007D2" w:rsidRDefault="00EF3941" w:rsidP="00884F3B">
            <w:pPr>
              <w:pStyle w:val="ListParagraph"/>
              <w:numPr>
                <w:ilvl w:val="0"/>
                <w:numId w:val="268"/>
              </w:numPr>
              <w:spacing w:after="0" w:line="240" w:lineRule="auto"/>
              <w:rPr>
                <w:rFonts w:asciiTheme="majorHAnsi" w:eastAsia="Times New Roman" w:hAnsiTheme="majorHAnsi" w:cstheme="majorHAnsi"/>
                <w:color w:val="000000"/>
                <w:sz w:val="20"/>
                <w:szCs w:val="20"/>
                <w:lang w:eastAsia="en-GB"/>
              </w:rPr>
            </w:pPr>
            <w:r w:rsidRPr="000007D2">
              <w:rPr>
                <w:rFonts w:ascii="Calibri Light" w:eastAsia="Times New Roman" w:hAnsi="Calibri Light" w:cs="Calibri Light"/>
                <w:color w:val="000000"/>
                <w:sz w:val="20"/>
                <w:szCs w:val="20"/>
                <w:lang w:eastAsia="en-GB"/>
              </w:rPr>
              <w:t>Ministry of Mining and Energy</w:t>
            </w:r>
          </w:p>
        </w:tc>
      </w:tr>
      <w:tr w:rsidR="0031601F" w:rsidRPr="00A33AE8" w14:paraId="61940968" w14:textId="77777777" w:rsidTr="00FD2B5A">
        <w:trPr>
          <w:gridAfter w:val="1"/>
          <w:wAfter w:w="1212" w:type="dxa"/>
          <w:trHeight w:val="315"/>
        </w:trPr>
        <w:tc>
          <w:tcPr>
            <w:tcW w:w="3295" w:type="dxa"/>
            <w:tcBorders>
              <w:top w:val="nil"/>
              <w:left w:val="single" w:sz="8" w:space="0" w:color="auto"/>
              <w:bottom w:val="single" w:sz="8" w:space="0" w:color="auto"/>
              <w:right w:val="nil"/>
            </w:tcBorders>
            <w:shd w:val="clear" w:color="auto" w:fill="244062"/>
            <w:vAlign w:val="center"/>
            <w:hideMark/>
          </w:tcPr>
          <w:p w14:paraId="199E23B6"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3" w:type="dxa"/>
            <w:gridSpan w:val="3"/>
            <w:tcBorders>
              <w:top w:val="single" w:sz="8" w:space="0" w:color="auto"/>
              <w:left w:val="nil"/>
              <w:bottom w:val="single" w:sz="8" w:space="0" w:color="auto"/>
              <w:right w:val="single" w:sz="8" w:space="0" w:color="000000"/>
            </w:tcBorders>
            <w:vAlign w:val="center"/>
            <w:hideMark/>
          </w:tcPr>
          <w:p w14:paraId="62CCB04B" w14:textId="77777777" w:rsidR="0031601F" w:rsidRPr="00A33AE8" w:rsidRDefault="0031601F">
            <w:pPr>
              <w:spacing w:after="0" w:line="240" w:lineRule="auto"/>
              <w:jc w:val="cente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p>
        </w:tc>
      </w:tr>
      <w:tr w:rsidR="0031601F" w:rsidRPr="00A33AE8" w14:paraId="28FA4551" w14:textId="77777777" w:rsidTr="00FD2B5A">
        <w:trPr>
          <w:gridAfter w:val="1"/>
          <w:wAfter w:w="1212" w:type="dxa"/>
          <w:trHeight w:val="315"/>
        </w:trPr>
        <w:tc>
          <w:tcPr>
            <w:tcW w:w="3295" w:type="dxa"/>
            <w:tcBorders>
              <w:top w:val="nil"/>
              <w:left w:val="single" w:sz="8" w:space="0" w:color="auto"/>
              <w:bottom w:val="single" w:sz="8" w:space="0" w:color="auto"/>
              <w:right w:val="nil"/>
            </w:tcBorders>
            <w:shd w:val="clear" w:color="auto" w:fill="244062"/>
            <w:vAlign w:val="center"/>
            <w:hideMark/>
          </w:tcPr>
          <w:p w14:paraId="0739C4A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3" w:type="dxa"/>
            <w:gridSpan w:val="3"/>
            <w:tcBorders>
              <w:top w:val="single" w:sz="8" w:space="0" w:color="auto"/>
              <w:left w:val="nil"/>
              <w:bottom w:val="single" w:sz="8" w:space="0" w:color="auto"/>
              <w:right w:val="single" w:sz="8" w:space="0" w:color="000000"/>
            </w:tcBorders>
            <w:vAlign w:val="center"/>
            <w:hideMark/>
          </w:tcPr>
          <w:p w14:paraId="4E3A2DC2" w14:textId="77777777" w:rsidR="0031601F" w:rsidRPr="00A33AE8" w:rsidRDefault="0095329C" w:rsidP="0050795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energy poor households</w:t>
            </w:r>
          </w:p>
        </w:tc>
      </w:tr>
      <w:tr w:rsidR="00A0226E" w:rsidRPr="00A33AE8" w14:paraId="16FADE2F" w14:textId="77777777" w:rsidTr="007E2E34">
        <w:trPr>
          <w:gridAfter w:val="1"/>
          <w:wAfter w:w="1212" w:type="dxa"/>
          <w:trHeight w:val="429"/>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2442061A"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3" w:type="dxa"/>
            <w:gridSpan w:val="3"/>
            <w:tcBorders>
              <w:top w:val="single" w:sz="8" w:space="0" w:color="auto"/>
              <w:left w:val="nil"/>
              <w:bottom w:val="single" w:sz="8" w:space="0" w:color="auto"/>
              <w:right w:val="single" w:sz="8" w:space="0" w:color="000000"/>
            </w:tcBorders>
            <w:vAlign w:val="center"/>
          </w:tcPr>
          <w:p w14:paraId="13F0C679" w14:textId="77777777" w:rsidR="00A0226E" w:rsidRPr="00A33AE8" w:rsidRDefault="00A0226E" w:rsidP="00A0226E">
            <w:pPr>
              <w:spacing w:after="0" w:line="240" w:lineRule="auto"/>
              <w:rPr>
                <w:rFonts w:ascii="Calibri Light" w:eastAsia="Times New Roman" w:hAnsi="Calibri Light" w:cs="Calibri Light"/>
                <w:color w:val="000000"/>
                <w:sz w:val="20"/>
                <w:szCs w:val="20"/>
                <w:lang w:eastAsia="en-GB"/>
              </w:rPr>
            </w:pPr>
          </w:p>
        </w:tc>
      </w:tr>
      <w:tr w:rsidR="0031601F" w:rsidRPr="00A33AE8" w14:paraId="135BDC0E" w14:textId="77777777" w:rsidTr="00FD2B5A">
        <w:trPr>
          <w:gridAfter w:val="1"/>
          <w:wAfter w:w="1212" w:type="dxa"/>
          <w:trHeight w:val="450"/>
        </w:trPr>
        <w:tc>
          <w:tcPr>
            <w:tcW w:w="3295" w:type="dxa"/>
            <w:vMerge w:val="restart"/>
            <w:tcBorders>
              <w:top w:val="nil"/>
              <w:left w:val="single" w:sz="8" w:space="0" w:color="auto"/>
              <w:bottom w:val="single" w:sz="8" w:space="0" w:color="000000"/>
              <w:right w:val="single" w:sz="8" w:space="0" w:color="auto"/>
            </w:tcBorders>
            <w:shd w:val="clear" w:color="auto" w:fill="244062"/>
            <w:vAlign w:val="center"/>
            <w:hideMark/>
          </w:tcPr>
          <w:p w14:paraId="312A7CD4"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3"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46039CFE" w14:textId="77777777" w:rsidR="007E2E34"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2019/944/EU</w:t>
            </w:r>
          </w:p>
          <w:p w14:paraId="13AA9D29" w14:textId="77777777" w:rsidR="0031601F"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2019/692/EU</w:t>
            </w:r>
          </w:p>
        </w:tc>
      </w:tr>
      <w:tr w:rsidR="0031601F" w:rsidRPr="00A33AE8" w14:paraId="52C8CB0F" w14:textId="77777777" w:rsidTr="00FD2B5A">
        <w:trPr>
          <w:trHeight w:val="300"/>
        </w:trPr>
        <w:tc>
          <w:tcPr>
            <w:tcW w:w="0" w:type="auto"/>
            <w:vMerge/>
            <w:tcBorders>
              <w:top w:val="nil"/>
              <w:left w:val="single" w:sz="8" w:space="0" w:color="auto"/>
              <w:bottom w:val="single" w:sz="8" w:space="0" w:color="000000"/>
              <w:right w:val="single" w:sz="8" w:space="0" w:color="auto"/>
            </w:tcBorders>
            <w:vAlign w:val="center"/>
            <w:hideMark/>
          </w:tcPr>
          <w:p w14:paraId="4615B45E"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3" w:type="dxa"/>
            <w:gridSpan w:val="3"/>
            <w:vMerge/>
            <w:tcBorders>
              <w:top w:val="single" w:sz="8" w:space="0" w:color="auto"/>
              <w:left w:val="single" w:sz="8" w:space="0" w:color="auto"/>
              <w:bottom w:val="single" w:sz="8" w:space="0" w:color="000000"/>
              <w:right w:val="single" w:sz="8" w:space="0" w:color="000000"/>
            </w:tcBorders>
            <w:vAlign w:val="center"/>
            <w:hideMark/>
          </w:tcPr>
          <w:p w14:paraId="49B5453A" w14:textId="77777777" w:rsidR="0031601F" w:rsidRPr="00A33AE8" w:rsidRDefault="0031601F" w:rsidP="00884F3B">
            <w:pPr>
              <w:pStyle w:val="ListParagraph"/>
              <w:numPr>
                <w:ilvl w:val="0"/>
                <w:numId w:val="19"/>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A2D9C0F" w14:textId="77777777" w:rsidR="0031601F" w:rsidRPr="00A33AE8" w:rsidRDefault="0031601F"/>
        </w:tc>
      </w:tr>
      <w:tr w:rsidR="0031601F" w:rsidRPr="00A33AE8" w14:paraId="3A44AD44" w14:textId="77777777" w:rsidTr="00FD2B5A">
        <w:trPr>
          <w:trHeight w:val="60"/>
        </w:trPr>
        <w:tc>
          <w:tcPr>
            <w:tcW w:w="0" w:type="auto"/>
            <w:vMerge/>
            <w:tcBorders>
              <w:top w:val="nil"/>
              <w:left w:val="single" w:sz="8" w:space="0" w:color="auto"/>
              <w:bottom w:val="single" w:sz="8" w:space="0" w:color="000000"/>
              <w:right w:val="single" w:sz="8" w:space="0" w:color="auto"/>
            </w:tcBorders>
            <w:vAlign w:val="center"/>
            <w:hideMark/>
          </w:tcPr>
          <w:p w14:paraId="7C22CF98"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3" w:type="dxa"/>
            <w:gridSpan w:val="3"/>
            <w:vMerge/>
            <w:tcBorders>
              <w:top w:val="single" w:sz="8" w:space="0" w:color="auto"/>
              <w:left w:val="single" w:sz="8" w:space="0" w:color="auto"/>
              <w:bottom w:val="single" w:sz="8" w:space="0" w:color="000000"/>
              <w:right w:val="single" w:sz="8" w:space="0" w:color="000000"/>
            </w:tcBorders>
            <w:vAlign w:val="center"/>
            <w:hideMark/>
          </w:tcPr>
          <w:p w14:paraId="5E82EF8E" w14:textId="77777777" w:rsidR="0031601F" w:rsidRPr="00A33AE8" w:rsidRDefault="0031601F" w:rsidP="00884F3B">
            <w:pPr>
              <w:pStyle w:val="ListParagraph"/>
              <w:numPr>
                <w:ilvl w:val="0"/>
                <w:numId w:val="19"/>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02D05CF" w14:textId="77777777" w:rsidR="0031601F" w:rsidRPr="00A33AE8" w:rsidRDefault="0031601F">
            <w:pPr>
              <w:spacing w:after="0" w:line="256" w:lineRule="auto"/>
              <w:rPr>
                <w:sz w:val="20"/>
                <w:szCs w:val="20"/>
                <w:lang w:eastAsia="en-GB"/>
              </w:rPr>
            </w:pPr>
          </w:p>
        </w:tc>
      </w:tr>
      <w:tr w:rsidR="0031601F" w:rsidRPr="00A33AE8" w14:paraId="563CEC35" w14:textId="77777777" w:rsidTr="00FD2B5A">
        <w:trPr>
          <w:trHeight w:val="477"/>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77B7E616"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3" w:type="dxa"/>
            <w:gridSpan w:val="3"/>
            <w:tcBorders>
              <w:top w:val="single" w:sz="8" w:space="0" w:color="auto"/>
              <w:left w:val="nil"/>
              <w:bottom w:val="single" w:sz="8" w:space="0" w:color="auto"/>
              <w:right w:val="single" w:sz="8" w:space="0" w:color="000000"/>
            </w:tcBorders>
            <w:vAlign w:val="center"/>
            <w:hideMark/>
          </w:tcPr>
          <w:p w14:paraId="6502D8C5" w14:textId="77777777" w:rsidR="0031601F"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Degree on energy vulnerable customer</w:t>
            </w:r>
          </w:p>
        </w:tc>
        <w:tc>
          <w:tcPr>
            <w:tcW w:w="1212" w:type="dxa"/>
            <w:vAlign w:val="center"/>
            <w:hideMark/>
          </w:tcPr>
          <w:p w14:paraId="3942E44B" w14:textId="77777777" w:rsidR="0031601F" w:rsidRPr="00A33AE8" w:rsidRDefault="0031601F">
            <w:pPr>
              <w:rPr>
                <w:rFonts w:ascii="Calibri Light" w:eastAsia="Times New Roman" w:hAnsi="Calibri Light" w:cs="Calibri Light"/>
                <w:color w:val="000000"/>
                <w:sz w:val="20"/>
                <w:szCs w:val="20"/>
                <w:lang w:eastAsia="en-GB"/>
              </w:rPr>
            </w:pPr>
          </w:p>
        </w:tc>
      </w:tr>
      <w:tr w:rsidR="0031601F" w:rsidRPr="00A33AE8" w14:paraId="6BD2B431" w14:textId="77777777" w:rsidTr="00FD2B5A">
        <w:trPr>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7A3E9AB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3" w:type="dxa"/>
            <w:gridSpan w:val="3"/>
            <w:tcBorders>
              <w:top w:val="single" w:sz="8" w:space="0" w:color="auto"/>
              <w:left w:val="nil"/>
              <w:bottom w:val="single" w:sz="8" w:space="0" w:color="auto"/>
              <w:right w:val="single" w:sz="8" w:space="0" w:color="000000"/>
            </w:tcBorders>
            <w:vAlign w:val="center"/>
          </w:tcPr>
          <w:p w14:paraId="4EC29382" w14:textId="77777777" w:rsidR="0031601F" w:rsidRPr="00A33AE8" w:rsidRDefault="00113485"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c>
          <w:tcPr>
            <w:tcW w:w="1212" w:type="dxa"/>
            <w:vAlign w:val="center"/>
            <w:hideMark/>
          </w:tcPr>
          <w:p w14:paraId="19A1B613" w14:textId="77777777" w:rsidR="0031601F" w:rsidRPr="00A33AE8" w:rsidRDefault="0031601F">
            <w:pPr>
              <w:rPr>
                <w:rFonts w:ascii="Calibri" w:eastAsia="Times New Roman" w:hAnsi="Calibri" w:cs="Calibri"/>
                <w:color w:val="000000"/>
                <w:lang w:eastAsia="en-GB"/>
              </w:rPr>
            </w:pPr>
          </w:p>
        </w:tc>
      </w:tr>
      <w:tr w:rsidR="00405990" w:rsidRPr="00A33AE8" w14:paraId="51130E1E" w14:textId="77777777" w:rsidTr="00FD2B5A">
        <w:trPr>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0D57ABF9" w14:textId="77777777" w:rsidR="00405990" w:rsidRPr="00A33AE8" w:rsidRDefault="00405990" w:rsidP="00405990">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3" w:type="dxa"/>
            <w:gridSpan w:val="3"/>
            <w:tcBorders>
              <w:top w:val="single" w:sz="8" w:space="0" w:color="auto"/>
              <w:left w:val="nil"/>
              <w:bottom w:val="single" w:sz="8" w:space="0" w:color="auto"/>
              <w:right w:val="single" w:sz="8" w:space="0" w:color="000000"/>
            </w:tcBorders>
            <w:vAlign w:val="center"/>
            <w:hideMark/>
          </w:tcPr>
          <w:p w14:paraId="776D1FC8" w14:textId="77777777" w:rsidR="00405990" w:rsidRPr="00A33AE8" w:rsidRDefault="00405990" w:rsidP="00405990">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Under examination</w:t>
            </w:r>
          </w:p>
        </w:tc>
        <w:tc>
          <w:tcPr>
            <w:tcW w:w="1212" w:type="dxa"/>
            <w:vAlign w:val="center"/>
            <w:hideMark/>
          </w:tcPr>
          <w:p w14:paraId="306941EE" w14:textId="77777777" w:rsidR="00405990" w:rsidRPr="00A33AE8" w:rsidRDefault="00405990" w:rsidP="00405990">
            <w:pPr>
              <w:rPr>
                <w:rFonts w:ascii="Calibri" w:eastAsia="Times New Roman" w:hAnsi="Calibri" w:cs="Calibri"/>
                <w:color w:val="000000"/>
                <w:lang w:eastAsia="en-GB"/>
              </w:rPr>
            </w:pPr>
          </w:p>
        </w:tc>
      </w:tr>
    </w:tbl>
    <w:p w14:paraId="631179C0" w14:textId="77777777" w:rsidR="0031601F" w:rsidRPr="00A33AE8" w:rsidRDefault="0031601F" w:rsidP="0031601F">
      <w:pPr>
        <w:pStyle w:val="LDKbody"/>
        <w:rPr>
          <w:lang w:val="en-GB"/>
        </w:rPr>
      </w:pPr>
    </w:p>
    <w:tbl>
      <w:tblPr>
        <w:tblW w:w="10700" w:type="dxa"/>
        <w:tblLook w:val="04A0" w:firstRow="1" w:lastRow="0" w:firstColumn="1" w:lastColumn="0" w:noHBand="0" w:noVBand="1"/>
      </w:tblPr>
      <w:tblGrid>
        <w:gridCol w:w="3288"/>
        <w:gridCol w:w="1106"/>
        <w:gridCol w:w="938"/>
        <w:gridCol w:w="4156"/>
        <w:gridCol w:w="1212"/>
      </w:tblGrid>
      <w:tr w:rsidR="0031601F" w:rsidRPr="00A33AE8" w14:paraId="3600B13A" w14:textId="77777777" w:rsidTr="000007D2">
        <w:trPr>
          <w:gridAfter w:val="1"/>
          <w:wAfter w:w="1212" w:type="dxa"/>
          <w:trHeight w:val="567"/>
        </w:trPr>
        <w:tc>
          <w:tcPr>
            <w:tcW w:w="328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078A753" w14:textId="77777777" w:rsidR="0031601F" w:rsidRPr="00A33AE8" w:rsidRDefault="0031601F">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FB7D633" w14:textId="77777777" w:rsidR="0031601F" w:rsidRPr="00A33AE8" w:rsidRDefault="007311E2">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4</w:t>
            </w:r>
          </w:p>
        </w:tc>
        <w:tc>
          <w:tcPr>
            <w:tcW w:w="938" w:type="dxa"/>
            <w:tcBorders>
              <w:top w:val="single" w:sz="8" w:space="0" w:color="auto"/>
              <w:left w:val="nil"/>
              <w:bottom w:val="single" w:sz="8" w:space="0" w:color="auto"/>
              <w:right w:val="single" w:sz="8" w:space="0" w:color="auto"/>
            </w:tcBorders>
            <w:shd w:val="clear" w:color="auto" w:fill="244062"/>
            <w:vAlign w:val="center"/>
            <w:hideMark/>
          </w:tcPr>
          <w:p w14:paraId="6AA11B1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6" w:type="dxa"/>
            <w:tcBorders>
              <w:top w:val="single" w:sz="8" w:space="0" w:color="auto"/>
              <w:left w:val="nil"/>
              <w:bottom w:val="single" w:sz="8" w:space="0" w:color="auto"/>
              <w:right w:val="single" w:sz="8" w:space="0" w:color="auto"/>
            </w:tcBorders>
            <w:shd w:val="clear" w:color="auto" w:fill="E7E6E6" w:themeFill="background2"/>
            <w:vAlign w:val="center"/>
            <w:hideMark/>
          </w:tcPr>
          <w:p w14:paraId="41996D3E" w14:textId="77777777" w:rsidR="0031601F" w:rsidRPr="00A33AE8" w:rsidRDefault="0031601F" w:rsidP="0031601F">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Preparation of special programs for the application of energy efficiency measures and the promotion of RES among energy vulnerable customers for the long-term confrontation of the energy poverty</w:t>
            </w:r>
          </w:p>
        </w:tc>
      </w:tr>
      <w:tr w:rsidR="0031601F" w:rsidRPr="00A33AE8" w14:paraId="517DD591" w14:textId="77777777" w:rsidTr="00FD2B5A">
        <w:trPr>
          <w:gridAfter w:val="1"/>
          <w:wAfter w:w="1212" w:type="dxa"/>
          <w:trHeight w:val="377"/>
        </w:trPr>
        <w:tc>
          <w:tcPr>
            <w:tcW w:w="3288" w:type="dxa"/>
            <w:tcBorders>
              <w:top w:val="nil"/>
              <w:left w:val="single" w:sz="8" w:space="0" w:color="auto"/>
              <w:bottom w:val="single" w:sz="8" w:space="0" w:color="auto"/>
              <w:right w:val="nil"/>
            </w:tcBorders>
            <w:shd w:val="clear" w:color="auto" w:fill="244062"/>
            <w:vAlign w:val="center"/>
            <w:hideMark/>
          </w:tcPr>
          <w:p w14:paraId="539BBF68"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00" w:type="dxa"/>
            <w:gridSpan w:val="3"/>
            <w:tcBorders>
              <w:top w:val="single" w:sz="8" w:space="0" w:color="auto"/>
              <w:left w:val="nil"/>
              <w:bottom w:val="single" w:sz="8" w:space="0" w:color="auto"/>
              <w:right w:val="single" w:sz="8" w:space="0" w:color="000000"/>
            </w:tcBorders>
            <w:vAlign w:val="center"/>
            <w:hideMark/>
          </w:tcPr>
          <w:p w14:paraId="190AE19C"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Alleviation of energy poverty</w:t>
            </w:r>
          </w:p>
        </w:tc>
      </w:tr>
      <w:tr w:rsidR="0031601F" w:rsidRPr="00A33AE8" w14:paraId="25F07D4F"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637708D8"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00" w:type="dxa"/>
            <w:gridSpan w:val="3"/>
            <w:tcBorders>
              <w:top w:val="single" w:sz="8" w:space="0" w:color="auto"/>
              <w:left w:val="nil"/>
              <w:bottom w:val="single" w:sz="8" w:space="0" w:color="auto"/>
              <w:right w:val="single" w:sz="8" w:space="0" w:color="000000"/>
            </w:tcBorders>
            <w:vAlign w:val="center"/>
            <w:hideMark/>
          </w:tcPr>
          <w:p w14:paraId="689B3942" w14:textId="77777777" w:rsidR="0031601F" w:rsidRPr="00A33AE8" w:rsidRDefault="0095329C"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 of energy poverty</w:t>
            </w:r>
          </w:p>
        </w:tc>
      </w:tr>
      <w:tr w:rsidR="0031601F" w:rsidRPr="00A33AE8" w14:paraId="29919E12" w14:textId="77777777" w:rsidTr="000007D2">
        <w:trPr>
          <w:gridAfter w:val="1"/>
          <w:wAfter w:w="1212" w:type="dxa"/>
          <w:trHeight w:val="596"/>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1603FB7F"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00" w:type="dxa"/>
            <w:gridSpan w:val="3"/>
            <w:tcBorders>
              <w:top w:val="single" w:sz="8" w:space="0" w:color="auto"/>
              <w:left w:val="nil"/>
              <w:bottom w:val="single" w:sz="8" w:space="0" w:color="auto"/>
              <w:right w:val="single" w:sz="8" w:space="0" w:color="000000"/>
            </w:tcBorders>
            <w:vAlign w:val="center"/>
            <w:hideMark/>
          </w:tcPr>
          <w:p w14:paraId="31D3E8AA" w14:textId="77777777" w:rsidR="0031601F" w:rsidRPr="00A33AE8" w:rsidRDefault="000A2441" w:rsidP="0031601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4</w:t>
            </w:r>
            <w:r w:rsidR="00154EBA"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will provide subsides for improving the energy efficiency and fostering the installation of RES in the buildings of the energy poor households so as to combat the energy poverty on long-term basis. The energy efficiency measures includes both interventions in the building envelop and the installation of energy efficient systems (heating, cooling and domestic hot water) and equipment (i.e. lamps, electric appliances etc.). Regarding the selected types of RES, emphasis will be given in the installation of photovoltaic panels and solar thermal heaters. Finally, the measure will be designed appropriately in order to maximize the synergies with other policy measures in the field of energy efficiency and RES such as renewable and citizen energy communities.</w:t>
            </w:r>
          </w:p>
        </w:tc>
      </w:tr>
      <w:tr w:rsidR="0031601F" w:rsidRPr="00A33AE8" w14:paraId="3F862448"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5269E9F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00" w:type="dxa"/>
            <w:gridSpan w:val="3"/>
            <w:tcBorders>
              <w:top w:val="single" w:sz="8" w:space="0" w:color="auto"/>
              <w:left w:val="nil"/>
              <w:bottom w:val="single" w:sz="8" w:space="0" w:color="auto"/>
              <w:right w:val="single" w:sz="8" w:space="0" w:color="000000"/>
            </w:tcBorders>
            <w:vAlign w:val="center"/>
            <w:hideMark/>
          </w:tcPr>
          <w:p w14:paraId="44425365"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01F" w:rsidRPr="00A33AE8" w14:paraId="29A14F49"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182AA8CA"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00" w:type="dxa"/>
            <w:gridSpan w:val="3"/>
            <w:tcBorders>
              <w:top w:val="single" w:sz="8" w:space="0" w:color="auto"/>
              <w:left w:val="nil"/>
              <w:bottom w:val="single" w:sz="8" w:space="0" w:color="auto"/>
              <w:right w:val="single" w:sz="8" w:space="0" w:color="000000"/>
            </w:tcBorders>
            <w:vAlign w:val="center"/>
            <w:hideMark/>
          </w:tcPr>
          <w:p w14:paraId="3799FD90" w14:textId="77777777" w:rsidR="0031601F" w:rsidRPr="00A33AE8" w:rsidRDefault="0091055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1601F" w:rsidRPr="00A33AE8" w14:paraId="01428213"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2C6B726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00" w:type="dxa"/>
            <w:gridSpan w:val="3"/>
            <w:tcBorders>
              <w:top w:val="single" w:sz="8" w:space="0" w:color="auto"/>
              <w:left w:val="nil"/>
              <w:bottom w:val="single" w:sz="8" w:space="0" w:color="auto"/>
              <w:right w:val="single" w:sz="8" w:space="0" w:color="000000"/>
            </w:tcBorders>
            <w:vAlign w:val="center"/>
            <w:hideMark/>
          </w:tcPr>
          <w:p w14:paraId="311156FA"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31601F" w:rsidRPr="00A33AE8" w14:paraId="2504F362" w14:textId="77777777" w:rsidTr="00FD2B5A">
        <w:trPr>
          <w:gridAfter w:val="1"/>
          <w:wAfter w:w="1212" w:type="dxa"/>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6F84D0CA"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00" w:type="dxa"/>
            <w:gridSpan w:val="3"/>
            <w:tcBorders>
              <w:top w:val="single" w:sz="8" w:space="0" w:color="auto"/>
              <w:left w:val="nil"/>
              <w:bottom w:val="single" w:sz="8" w:space="0" w:color="auto"/>
              <w:right w:val="single" w:sz="8" w:space="0" w:color="000000"/>
            </w:tcBorders>
            <w:vAlign w:val="center"/>
            <w:hideMark/>
          </w:tcPr>
          <w:p w14:paraId="554AD6EF" w14:textId="77777777" w:rsidR="00CE0C61" w:rsidRPr="00A33AE8" w:rsidRDefault="00CE0C61"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Mining and Energy</w:t>
            </w:r>
          </w:p>
          <w:p w14:paraId="33247673" w14:textId="77777777" w:rsidR="00CE0C61"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18E0FBA3" w14:textId="77777777" w:rsidR="00CE0C61"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Health</w:t>
            </w:r>
          </w:p>
          <w:p w14:paraId="0A22583C" w14:textId="77777777" w:rsidR="00CE0C61"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Labour</w:t>
            </w:r>
            <w:r w:rsidR="00E92A71" w:rsidRPr="00A33AE8">
              <w:rPr>
                <w:rFonts w:ascii="Calibri Light" w:eastAsia="Times New Roman" w:hAnsi="Calibri Light" w:cs="Calibri Light"/>
                <w:color w:val="000000"/>
                <w:sz w:val="20"/>
                <w:szCs w:val="20"/>
                <w:lang w:eastAsia="en-GB"/>
              </w:rPr>
              <w:t>, Employment, Veteran and Social Affairs</w:t>
            </w:r>
          </w:p>
          <w:p w14:paraId="629FBC3A" w14:textId="77777777" w:rsidR="0031601F" w:rsidRPr="00A33AE8" w:rsidRDefault="00081D7A"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National coalition</w:t>
            </w:r>
            <w:r w:rsidR="0031601F" w:rsidRPr="00A33AE8">
              <w:rPr>
                <w:rFonts w:ascii="Calibri Light" w:eastAsia="Times New Roman" w:hAnsi="Calibri Light" w:cs="Calibri Light"/>
                <w:color w:val="000000"/>
                <w:sz w:val="20"/>
                <w:szCs w:val="20"/>
                <w:lang w:eastAsia="en-GB"/>
              </w:rPr>
              <w:t> for reduction of energy poverty</w:t>
            </w:r>
          </w:p>
        </w:tc>
      </w:tr>
      <w:tr w:rsidR="0031601F" w:rsidRPr="00A33AE8" w14:paraId="4A7D8334" w14:textId="77777777" w:rsidTr="00FD2B5A">
        <w:trPr>
          <w:gridAfter w:val="1"/>
          <w:wAfter w:w="1212" w:type="dxa"/>
          <w:trHeight w:val="315"/>
        </w:trPr>
        <w:tc>
          <w:tcPr>
            <w:tcW w:w="3288" w:type="dxa"/>
            <w:tcBorders>
              <w:top w:val="nil"/>
              <w:left w:val="single" w:sz="8" w:space="0" w:color="auto"/>
              <w:bottom w:val="single" w:sz="8" w:space="0" w:color="auto"/>
              <w:right w:val="nil"/>
            </w:tcBorders>
            <w:shd w:val="clear" w:color="auto" w:fill="244062"/>
            <w:vAlign w:val="center"/>
            <w:hideMark/>
          </w:tcPr>
          <w:p w14:paraId="49F9C92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00" w:type="dxa"/>
            <w:gridSpan w:val="3"/>
            <w:tcBorders>
              <w:top w:val="single" w:sz="8" w:space="0" w:color="auto"/>
              <w:left w:val="nil"/>
              <w:bottom w:val="single" w:sz="8" w:space="0" w:color="auto"/>
              <w:right w:val="single" w:sz="8" w:space="0" w:color="000000"/>
            </w:tcBorders>
            <w:vAlign w:val="center"/>
            <w:hideMark/>
          </w:tcPr>
          <w:p w14:paraId="0EA77D45" w14:textId="77777777" w:rsidR="0031601F" w:rsidRPr="00A33AE8" w:rsidRDefault="0031601F">
            <w:pPr>
              <w:spacing w:after="0" w:line="240" w:lineRule="auto"/>
              <w:jc w:val="cente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p>
        </w:tc>
      </w:tr>
      <w:tr w:rsidR="0031601F" w:rsidRPr="00A33AE8" w14:paraId="3DC38FB2" w14:textId="77777777" w:rsidTr="00FD2B5A">
        <w:trPr>
          <w:gridAfter w:val="1"/>
          <w:wAfter w:w="1212" w:type="dxa"/>
          <w:trHeight w:val="315"/>
        </w:trPr>
        <w:tc>
          <w:tcPr>
            <w:tcW w:w="3288" w:type="dxa"/>
            <w:tcBorders>
              <w:top w:val="nil"/>
              <w:left w:val="single" w:sz="8" w:space="0" w:color="auto"/>
              <w:bottom w:val="single" w:sz="8" w:space="0" w:color="auto"/>
              <w:right w:val="nil"/>
            </w:tcBorders>
            <w:shd w:val="clear" w:color="auto" w:fill="244062"/>
            <w:vAlign w:val="center"/>
            <w:hideMark/>
          </w:tcPr>
          <w:p w14:paraId="4C1F3223"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00" w:type="dxa"/>
            <w:gridSpan w:val="3"/>
            <w:tcBorders>
              <w:top w:val="single" w:sz="8" w:space="0" w:color="auto"/>
              <w:left w:val="nil"/>
              <w:bottom w:val="single" w:sz="8" w:space="0" w:color="auto"/>
              <w:right w:val="single" w:sz="8" w:space="0" w:color="000000"/>
            </w:tcBorders>
            <w:vAlign w:val="center"/>
            <w:hideMark/>
          </w:tcPr>
          <w:p w14:paraId="63D35728" w14:textId="77777777" w:rsidR="0031601F" w:rsidRPr="00A33AE8" w:rsidRDefault="0095329C" w:rsidP="0050795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energy poor households</w:t>
            </w:r>
            <w:r w:rsidR="0031601F" w:rsidRPr="00A33AE8">
              <w:rPr>
                <w:rFonts w:ascii="Calibri Light" w:eastAsia="Times New Roman" w:hAnsi="Calibri Light" w:cs="Calibri Light"/>
                <w:color w:val="000000"/>
                <w:sz w:val="20"/>
                <w:szCs w:val="20"/>
                <w:lang w:eastAsia="en-GB"/>
              </w:rPr>
              <w:t> </w:t>
            </w:r>
          </w:p>
        </w:tc>
      </w:tr>
      <w:tr w:rsidR="00A0226E" w:rsidRPr="00A33AE8" w14:paraId="7D2EB9BC" w14:textId="77777777" w:rsidTr="00A0226E">
        <w:trPr>
          <w:gridAfter w:val="1"/>
          <w:wAfter w:w="1212" w:type="dxa"/>
          <w:trHeight w:val="30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126C644D"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200" w:type="dxa"/>
            <w:gridSpan w:val="3"/>
            <w:tcBorders>
              <w:top w:val="single" w:sz="8" w:space="0" w:color="auto"/>
              <w:left w:val="nil"/>
              <w:bottom w:val="single" w:sz="8" w:space="0" w:color="auto"/>
              <w:right w:val="single" w:sz="8" w:space="0" w:color="000000"/>
            </w:tcBorders>
            <w:vAlign w:val="center"/>
            <w:hideMark/>
          </w:tcPr>
          <w:p w14:paraId="6350A022" w14:textId="77777777" w:rsidR="00A0226E" w:rsidRPr="00A33AE8" w:rsidRDefault="00A0226E"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Energy efficiency</w:t>
            </w:r>
          </w:p>
          <w:p w14:paraId="271C211A" w14:textId="77777777" w:rsidR="00A0226E" w:rsidRPr="00A33AE8" w:rsidRDefault="00A0226E"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Decarbonization</w:t>
            </w:r>
          </w:p>
        </w:tc>
      </w:tr>
      <w:tr w:rsidR="0031601F" w:rsidRPr="00A33AE8" w14:paraId="038D15FF" w14:textId="77777777" w:rsidTr="00FD2B5A">
        <w:trPr>
          <w:gridAfter w:val="1"/>
          <w:wAfter w:w="1212" w:type="dxa"/>
          <w:trHeight w:val="450"/>
        </w:trPr>
        <w:tc>
          <w:tcPr>
            <w:tcW w:w="3288" w:type="dxa"/>
            <w:vMerge w:val="restart"/>
            <w:tcBorders>
              <w:top w:val="nil"/>
              <w:left w:val="single" w:sz="8" w:space="0" w:color="auto"/>
              <w:bottom w:val="single" w:sz="8" w:space="0" w:color="000000"/>
              <w:right w:val="single" w:sz="8" w:space="0" w:color="auto"/>
            </w:tcBorders>
            <w:shd w:val="clear" w:color="auto" w:fill="244062"/>
            <w:vAlign w:val="center"/>
            <w:hideMark/>
          </w:tcPr>
          <w:p w14:paraId="04985298"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00"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62A536E8" w14:textId="77777777" w:rsidR="007E2E34"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2019/944</w:t>
            </w:r>
            <w:r w:rsidR="0095329C" w:rsidRPr="00A33AE8">
              <w:rPr>
                <w:rFonts w:ascii="Calibri Light" w:eastAsia="Times New Roman" w:hAnsi="Calibri Light" w:cs="Calibri Light"/>
                <w:color w:val="000000"/>
                <w:sz w:val="20"/>
                <w:szCs w:val="20"/>
                <w:lang w:eastAsia="en-GB"/>
              </w:rPr>
              <w:t>/EU</w:t>
            </w:r>
          </w:p>
          <w:p w14:paraId="77384A21" w14:textId="77777777" w:rsidR="007E2E34"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2012/27/ΕU</w:t>
            </w:r>
          </w:p>
          <w:p w14:paraId="4580CAC0" w14:textId="77777777" w:rsidR="007E2E34"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2018/2002/ΕU</w:t>
            </w:r>
          </w:p>
          <w:p w14:paraId="78EEFDD7" w14:textId="77777777" w:rsidR="0031601F" w:rsidRPr="00A33AE8" w:rsidRDefault="0031601F" w:rsidP="00884F3B">
            <w:pPr>
              <w:pStyle w:val="ListParagraph"/>
              <w:numPr>
                <w:ilvl w:val="0"/>
                <w:numId w:val="1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2018/2001/ΕU</w:t>
            </w:r>
          </w:p>
        </w:tc>
      </w:tr>
      <w:tr w:rsidR="0031601F" w:rsidRPr="00A33AE8" w14:paraId="1F74407A" w14:textId="77777777" w:rsidTr="00FD2B5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69198E6"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200" w:type="dxa"/>
            <w:gridSpan w:val="3"/>
            <w:vMerge/>
            <w:tcBorders>
              <w:top w:val="single" w:sz="8" w:space="0" w:color="auto"/>
              <w:left w:val="single" w:sz="8" w:space="0" w:color="auto"/>
              <w:bottom w:val="single" w:sz="8" w:space="0" w:color="000000"/>
              <w:right w:val="single" w:sz="8" w:space="0" w:color="000000"/>
            </w:tcBorders>
            <w:vAlign w:val="center"/>
            <w:hideMark/>
          </w:tcPr>
          <w:p w14:paraId="2AA3916A"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00E4B86" w14:textId="77777777" w:rsidR="0031601F" w:rsidRPr="00A33AE8" w:rsidRDefault="0031601F"/>
        </w:tc>
      </w:tr>
      <w:tr w:rsidR="0031601F" w:rsidRPr="00A33AE8" w14:paraId="0492D3A4" w14:textId="77777777" w:rsidTr="00FD2B5A">
        <w:trPr>
          <w:trHeight w:val="315"/>
        </w:trPr>
        <w:tc>
          <w:tcPr>
            <w:tcW w:w="0" w:type="auto"/>
            <w:vMerge/>
            <w:tcBorders>
              <w:top w:val="nil"/>
              <w:left w:val="single" w:sz="8" w:space="0" w:color="auto"/>
              <w:bottom w:val="single" w:sz="8" w:space="0" w:color="000000"/>
              <w:right w:val="single" w:sz="8" w:space="0" w:color="auto"/>
            </w:tcBorders>
            <w:vAlign w:val="center"/>
            <w:hideMark/>
          </w:tcPr>
          <w:p w14:paraId="49DA5845"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200" w:type="dxa"/>
            <w:gridSpan w:val="3"/>
            <w:vMerge/>
            <w:tcBorders>
              <w:top w:val="single" w:sz="8" w:space="0" w:color="auto"/>
              <w:left w:val="single" w:sz="8" w:space="0" w:color="auto"/>
              <w:bottom w:val="single" w:sz="8" w:space="0" w:color="000000"/>
              <w:right w:val="single" w:sz="8" w:space="0" w:color="000000"/>
            </w:tcBorders>
            <w:vAlign w:val="center"/>
            <w:hideMark/>
          </w:tcPr>
          <w:p w14:paraId="587921A3"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3A0C4A80" w14:textId="77777777" w:rsidR="0031601F" w:rsidRPr="00A33AE8" w:rsidRDefault="0031601F">
            <w:pPr>
              <w:spacing w:after="0" w:line="256" w:lineRule="auto"/>
              <w:rPr>
                <w:sz w:val="20"/>
                <w:szCs w:val="20"/>
                <w:lang w:eastAsia="en-GB"/>
              </w:rPr>
            </w:pPr>
          </w:p>
        </w:tc>
      </w:tr>
      <w:tr w:rsidR="0031601F" w:rsidRPr="00A33AE8" w14:paraId="3E8FB7EB" w14:textId="77777777" w:rsidTr="00FD2B5A">
        <w:trPr>
          <w:trHeight w:val="780"/>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0FCDE477"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00" w:type="dxa"/>
            <w:gridSpan w:val="3"/>
            <w:tcBorders>
              <w:top w:val="single" w:sz="8" w:space="0" w:color="auto"/>
              <w:left w:val="nil"/>
              <w:bottom w:val="single" w:sz="8" w:space="0" w:color="auto"/>
              <w:right w:val="single" w:sz="8" w:space="0" w:color="000000"/>
            </w:tcBorders>
            <w:vAlign w:val="center"/>
            <w:hideMark/>
          </w:tcPr>
          <w:p w14:paraId="68C2714F"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p>
        </w:tc>
        <w:tc>
          <w:tcPr>
            <w:tcW w:w="1212" w:type="dxa"/>
            <w:vAlign w:val="center"/>
            <w:hideMark/>
          </w:tcPr>
          <w:p w14:paraId="0681D9DD" w14:textId="77777777" w:rsidR="0031601F" w:rsidRPr="00A33AE8" w:rsidRDefault="0031601F">
            <w:pPr>
              <w:rPr>
                <w:rFonts w:ascii="Calibri Light" w:eastAsia="Times New Roman" w:hAnsi="Calibri Light" w:cs="Calibri Light"/>
                <w:color w:val="000000"/>
                <w:sz w:val="20"/>
                <w:szCs w:val="20"/>
                <w:lang w:eastAsia="en-GB"/>
              </w:rPr>
            </w:pPr>
          </w:p>
        </w:tc>
      </w:tr>
      <w:tr w:rsidR="00113485" w:rsidRPr="00A33AE8" w14:paraId="6F749065" w14:textId="77777777" w:rsidTr="005B2C66">
        <w:trPr>
          <w:trHeight w:val="457"/>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2A8F9AE6" w14:textId="77777777" w:rsidR="00113485" w:rsidRPr="00A33AE8" w:rsidRDefault="00113485" w:rsidP="0011348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00" w:type="dxa"/>
            <w:gridSpan w:val="3"/>
            <w:tcBorders>
              <w:top w:val="single" w:sz="8" w:space="0" w:color="auto"/>
              <w:left w:val="nil"/>
              <w:bottom w:val="single" w:sz="8" w:space="0" w:color="auto"/>
              <w:right w:val="single" w:sz="8" w:space="0" w:color="000000"/>
            </w:tcBorders>
            <w:vAlign w:val="center"/>
          </w:tcPr>
          <w:p w14:paraId="62362BF0" w14:textId="77777777" w:rsidR="00113485" w:rsidRPr="00A33AE8" w:rsidRDefault="0090778A" w:rsidP="00507954">
            <w:pPr>
              <w:spacing w:after="0" w:line="240" w:lineRule="auto"/>
              <w:rPr>
                <w:rFonts w:asciiTheme="majorHAnsi" w:eastAsia="Times New Roman" w:hAnsiTheme="majorHAnsi" w:cstheme="majorHAnsi"/>
                <w:color w:val="000000"/>
                <w:highlight w:val="yellow"/>
                <w:lang w:eastAsia="en-GB"/>
              </w:rPr>
            </w:pPr>
            <w:r w:rsidRPr="00A33AE8">
              <w:rPr>
                <w:rFonts w:asciiTheme="majorHAnsi" w:eastAsia="Times New Roman" w:hAnsiTheme="majorHAnsi" w:cstheme="majorHAnsi"/>
                <w:color w:val="000000"/>
                <w:lang w:eastAsia="en-GB"/>
              </w:rPr>
              <w:t>Under examination</w:t>
            </w:r>
          </w:p>
        </w:tc>
        <w:tc>
          <w:tcPr>
            <w:tcW w:w="1212" w:type="dxa"/>
            <w:vAlign w:val="center"/>
            <w:hideMark/>
          </w:tcPr>
          <w:p w14:paraId="534093D7" w14:textId="77777777" w:rsidR="00113485" w:rsidRPr="00A33AE8" w:rsidRDefault="00113485" w:rsidP="00113485">
            <w:pPr>
              <w:rPr>
                <w:rFonts w:ascii="Calibri" w:eastAsia="Times New Roman" w:hAnsi="Calibri" w:cs="Calibri"/>
                <w:color w:val="000000"/>
                <w:lang w:eastAsia="en-GB"/>
              </w:rPr>
            </w:pPr>
          </w:p>
        </w:tc>
      </w:tr>
      <w:tr w:rsidR="00113485" w:rsidRPr="00A33AE8" w14:paraId="4B4226A7" w14:textId="77777777" w:rsidTr="00405990">
        <w:trPr>
          <w:trHeight w:val="315"/>
        </w:trPr>
        <w:tc>
          <w:tcPr>
            <w:tcW w:w="3288" w:type="dxa"/>
            <w:tcBorders>
              <w:top w:val="nil"/>
              <w:left w:val="single" w:sz="8" w:space="0" w:color="auto"/>
              <w:bottom w:val="single" w:sz="8" w:space="0" w:color="auto"/>
              <w:right w:val="single" w:sz="8" w:space="0" w:color="auto"/>
            </w:tcBorders>
            <w:shd w:val="clear" w:color="auto" w:fill="244062"/>
            <w:vAlign w:val="center"/>
            <w:hideMark/>
          </w:tcPr>
          <w:p w14:paraId="65D4651B" w14:textId="77777777" w:rsidR="00113485" w:rsidRPr="000007D2" w:rsidRDefault="00113485" w:rsidP="00113485">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Financing source(s)</w:t>
            </w:r>
          </w:p>
        </w:tc>
        <w:tc>
          <w:tcPr>
            <w:tcW w:w="6200" w:type="dxa"/>
            <w:gridSpan w:val="3"/>
            <w:tcBorders>
              <w:top w:val="single" w:sz="8" w:space="0" w:color="auto"/>
              <w:left w:val="nil"/>
              <w:bottom w:val="single" w:sz="8" w:space="0" w:color="auto"/>
              <w:right w:val="single" w:sz="8" w:space="0" w:color="000000"/>
            </w:tcBorders>
            <w:vAlign w:val="center"/>
          </w:tcPr>
          <w:p w14:paraId="2037A4BD" w14:textId="77777777" w:rsidR="00113485" w:rsidRPr="00A33AE8" w:rsidRDefault="00052CAE" w:rsidP="00113485">
            <w:pPr>
              <w:spacing w:after="0" w:line="240" w:lineRule="auto"/>
              <w:rPr>
                <w:rFonts w:ascii="Calibri" w:eastAsia="Times New Roman" w:hAnsi="Calibri" w:cs="Calibri"/>
                <w:color w:val="000000"/>
                <w:lang w:eastAsia="en-GB"/>
              </w:rPr>
            </w:pPr>
            <w:r w:rsidRPr="00052CAE">
              <w:rPr>
                <w:rFonts w:ascii="Calibri" w:eastAsia="Times New Roman" w:hAnsi="Calibri" w:cs="Calibri"/>
                <w:color w:val="000000"/>
                <w:lang w:eastAsia="en-GB"/>
              </w:rPr>
              <w:t>Under examination</w:t>
            </w:r>
          </w:p>
        </w:tc>
        <w:tc>
          <w:tcPr>
            <w:tcW w:w="1212" w:type="dxa"/>
            <w:vAlign w:val="center"/>
            <w:hideMark/>
          </w:tcPr>
          <w:p w14:paraId="11B797AB" w14:textId="77777777" w:rsidR="00113485" w:rsidRPr="00A33AE8" w:rsidRDefault="00113485" w:rsidP="00113485">
            <w:pPr>
              <w:rPr>
                <w:rFonts w:ascii="Calibri" w:eastAsia="Times New Roman" w:hAnsi="Calibri" w:cs="Calibri"/>
                <w:color w:val="000000"/>
                <w:lang w:eastAsia="en-GB"/>
              </w:rPr>
            </w:pPr>
          </w:p>
        </w:tc>
      </w:tr>
    </w:tbl>
    <w:p w14:paraId="43D1C2F6" w14:textId="77777777" w:rsidR="0031601F" w:rsidRPr="00A33AE8" w:rsidRDefault="0031601F" w:rsidP="0031601F">
      <w:pPr>
        <w:pStyle w:val="LDKbody"/>
        <w:rPr>
          <w:lang w:val="en-GB"/>
        </w:rPr>
      </w:pPr>
    </w:p>
    <w:tbl>
      <w:tblPr>
        <w:tblW w:w="10700" w:type="dxa"/>
        <w:tblLook w:val="04A0" w:firstRow="1" w:lastRow="0" w:firstColumn="1" w:lastColumn="0" w:noHBand="0" w:noVBand="1"/>
      </w:tblPr>
      <w:tblGrid>
        <w:gridCol w:w="3296"/>
        <w:gridCol w:w="1106"/>
        <w:gridCol w:w="936"/>
        <w:gridCol w:w="4150"/>
        <w:gridCol w:w="1212"/>
      </w:tblGrid>
      <w:tr w:rsidR="0031601F" w:rsidRPr="00A33AE8" w14:paraId="760B54D0" w14:textId="77777777" w:rsidTr="00FD2B5A">
        <w:trPr>
          <w:gridAfter w:val="1"/>
          <w:wAfter w:w="1212" w:type="dxa"/>
          <w:trHeight w:val="780"/>
        </w:trPr>
        <w:tc>
          <w:tcPr>
            <w:tcW w:w="329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1313F97" w14:textId="77777777" w:rsidR="0031601F" w:rsidRPr="00A33AE8" w:rsidRDefault="0031601F">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9617719" w14:textId="77777777" w:rsidR="0031601F" w:rsidRPr="00A33AE8" w:rsidRDefault="007311E2">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5</w:t>
            </w:r>
          </w:p>
        </w:tc>
        <w:tc>
          <w:tcPr>
            <w:tcW w:w="936" w:type="dxa"/>
            <w:tcBorders>
              <w:top w:val="single" w:sz="8" w:space="0" w:color="auto"/>
              <w:left w:val="nil"/>
              <w:bottom w:val="single" w:sz="8" w:space="0" w:color="auto"/>
              <w:right w:val="single" w:sz="8" w:space="0" w:color="auto"/>
            </w:tcBorders>
            <w:shd w:val="clear" w:color="auto" w:fill="244062"/>
            <w:vAlign w:val="center"/>
            <w:hideMark/>
          </w:tcPr>
          <w:p w14:paraId="6B22BB7E"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0" w:type="dxa"/>
            <w:tcBorders>
              <w:top w:val="single" w:sz="8" w:space="0" w:color="auto"/>
              <w:left w:val="nil"/>
              <w:bottom w:val="single" w:sz="8" w:space="0" w:color="auto"/>
              <w:right w:val="single" w:sz="8" w:space="0" w:color="auto"/>
            </w:tcBorders>
            <w:shd w:val="clear" w:color="auto" w:fill="E7E6E6" w:themeFill="background2"/>
            <w:vAlign w:val="center"/>
            <w:hideMark/>
          </w:tcPr>
          <w:p w14:paraId="2E7FC091" w14:textId="77777777" w:rsidR="0031601F" w:rsidRPr="00A33AE8" w:rsidRDefault="0031601F" w:rsidP="0031601F">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Facilitate access to alternative energy sources among energy vulnerable and other customers in order to reduce energy poverty</w:t>
            </w:r>
          </w:p>
        </w:tc>
      </w:tr>
      <w:tr w:rsidR="0031601F" w:rsidRPr="00A33AE8" w14:paraId="647002BB" w14:textId="77777777" w:rsidTr="00FD2B5A">
        <w:trPr>
          <w:gridAfter w:val="1"/>
          <w:wAfter w:w="1212" w:type="dxa"/>
          <w:trHeight w:val="217"/>
        </w:trPr>
        <w:tc>
          <w:tcPr>
            <w:tcW w:w="3296" w:type="dxa"/>
            <w:tcBorders>
              <w:top w:val="nil"/>
              <w:left w:val="single" w:sz="8" w:space="0" w:color="auto"/>
              <w:bottom w:val="single" w:sz="8" w:space="0" w:color="auto"/>
              <w:right w:val="nil"/>
            </w:tcBorders>
            <w:shd w:val="clear" w:color="auto" w:fill="244062"/>
            <w:vAlign w:val="center"/>
            <w:hideMark/>
          </w:tcPr>
          <w:p w14:paraId="2BC19D1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2" w:type="dxa"/>
            <w:gridSpan w:val="3"/>
            <w:tcBorders>
              <w:top w:val="single" w:sz="8" w:space="0" w:color="auto"/>
              <w:left w:val="nil"/>
              <w:bottom w:val="single" w:sz="8" w:space="0" w:color="auto"/>
              <w:right w:val="single" w:sz="8" w:space="0" w:color="000000"/>
            </w:tcBorders>
            <w:vAlign w:val="center"/>
            <w:hideMark/>
          </w:tcPr>
          <w:p w14:paraId="3DB5043A"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Alleviation of energy poverty</w:t>
            </w:r>
          </w:p>
        </w:tc>
      </w:tr>
      <w:tr w:rsidR="0031601F" w:rsidRPr="00A33AE8" w14:paraId="79C2387D" w14:textId="77777777" w:rsidTr="00FD2B5A">
        <w:trPr>
          <w:gridAfter w:val="1"/>
          <w:wAfter w:w="1212" w:type="dxa"/>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38259BB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2" w:type="dxa"/>
            <w:gridSpan w:val="3"/>
            <w:tcBorders>
              <w:top w:val="single" w:sz="8" w:space="0" w:color="auto"/>
              <w:left w:val="nil"/>
              <w:bottom w:val="single" w:sz="8" w:space="0" w:color="auto"/>
              <w:right w:val="single" w:sz="8" w:space="0" w:color="000000"/>
            </w:tcBorders>
            <w:vAlign w:val="center"/>
          </w:tcPr>
          <w:p w14:paraId="15D3CF3E" w14:textId="77777777" w:rsidR="0031601F" w:rsidRPr="00A33AE8" w:rsidRDefault="0095329C"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 of energy poverty</w:t>
            </w:r>
          </w:p>
        </w:tc>
      </w:tr>
      <w:tr w:rsidR="0031601F" w:rsidRPr="00A33AE8" w14:paraId="1A15449F" w14:textId="77777777" w:rsidTr="00FD2B5A">
        <w:trPr>
          <w:gridAfter w:val="1"/>
          <w:wAfter w:w="1212" w:type="dxa"/>
          <w:trHeight w:val="1176"/>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2AFE11BE"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2" w:type="dxa"/>
            <w:gridSpan w:val="3"/>
            <w:tcBorders>
              <w:top w:val="single" w:sz="8" w:space="0" w:color="auto"/>
              <w:left w:val="nil"/>
              <w:bottom w:val="single" w:sz="8" w:space="0" w:color="auto"/>
              <w:right w:val="single" w:sz="8" w:space="0" w:color="000000"/>
            </w:tcBorders>
            <w:vAlign w:val="center"/>
            <w:hideMark/>
          </w:tcPr>
          <w:p w14:paraId="6FFB6316" w14:textId="77777777" w:rsidR="0031601F" w:rsidRPr="00A33AE8" w:rsidRDefault="000A2441" w:rsidP="0031601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5</w:t>
            </w:r>
            <w:r w:rsidR="00154EBA"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will facilitate the access of energy poor households to alternative energy sources so as to reduce considerably the related energy expenses and consequently to confront the energy poverty. The existing district heating and natural gas networks can be expanded providing the opportunity to energy poor households to consume cheaper energy carriers.</w:t>
            </w:r>
          </w:p>
        </w:tc>
      </w:tr>
      <w:tr w:rsidR="0031601F" w:rsidRPr="00A33AE8" w14:paraId="4A836336" w14:textId="77777777" w:rsidTr="00FD2B5A">
        <w:trPr>
          <w:gridAfter w:val="1"/>
          <w:wAfter w:w="1212" w:type="dxa"/>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3CF64487"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92" w:type="dxa"/>
            <w:gridSpan w:val="3"/>
            <w:tcBorders>
              <w:top w:val="single" w:sz="8" w:space="0" w:color="auto"/>
              <w:left w:val="nil"/>
              <w:bottom w:val="single" w:sz="8" w:space="0" w:color="auto"/>
              <w:right w:val="single" w:sz="8" w:space="0" w:color="000000"/>
            </w:tcBorders>
            <w:vAlign w:val="center"/>
            <w:hideMark/>
          </w:tcPr>
          <w:p w14:paraId="4EAFD4CC"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01F" w:rsidRPr="00A33AE8" w14:paraId="72D000E0" w14:textId="77777777" w:rsidTr="00FD2B5A">
        <w:trPr>
          <w:gridAfter w:val="1"/>
          <w:wAfter w:w="1212" w:type="dxa"/>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2D81E4F0"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2" w:type="dxa"/>
            <w:gridSpan w:val="3"/>
            <w:tcBorders>
              <w:top w:val="single" w:sz="8" w:space="0" w:color="auto"/>
              <w:left w:val="nil"/>
              <w:bottom w:val="single" w:sz="8" w:space="0" w:color="auto"/>
              <w:right w:val="single" w:sz="8" w:space="0" w:color="000000"/>
            </w:tcBorders>
            <w:vAlign w:val="center"/>
            <w:hideMark/>
          </w:tcPr>
          <w:p w14:paraId="6B388840" w14:textId="77777777" w:rsidR="0031601F" w:rsidRPr="00A33AE8" w:rsidRDefault="0091055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31601F" w:rsidRPr="00A33AE8" w14:paraId="2BA5805F" w14:textId="77777777" w:rsidTr="00FD2B5A">
        <w:trPr>
          <w:gridAfter w:val="1"/>
          <w:wAfter w:w="1212" w:type="dxa"/>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30BE7482"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2" w:type="dxa"/>
            <w:gridSpan w:val="3"/>
            <w:tcBorders>
              <w:top w:val="single" w:sz="8" w:space="0" w:color="auto"/>
              <w:left w:val="nil"/>
              <w:bottom w:val="single" w:sz="8" w:space="0" w:color="auto"/>
              <w:right w:val="single" w:sz="8" w:space="0" w:color="000000"/>
            </w:tcBorders>
            <w:vAlign w:val="center"/>
            <w:hideMark/>
          </w:tcPr>
          <w:p w14:paraId="15885EB2"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31601F" w:rsidRPr="00A33AE8" w14:paraId="42ECDAB1" w14:textId="77777777" w:rsidTr="00FD2B5A">
        <w:trPr>
          <w:gridAfter w:val="1"/>
          <w:wAfter w:w="1212" w:type="dxa"/>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073A8EB6" w14:textId="77777777" w:rsidR="0031601F" w:rsidRPr="000007D2" w:rsidRDefault="0031601F">
            <w:pPr>
              <w:spacing w:after="0" w:line="240" w:lineRule="auto"/>
              <w:rPr>
                <w:rFonts w:ascii="Calibri Light" w:hAnsi="Calibri Light"/>
                <w:b/>
                <w:color w:val="FFFFFF"/>
                <w:sz w:val="20"/>
              </w:rPr>
            </w:pPr>
            <w:r w:rsidRPr="00A33AE8">
              <w:rPr>
                <w:rFonts w:ascii="Calibri Light" w:eastAsia="Times New Roman" w:hAnsi="Calibri Light" w:cs="Calibri Light"/>
                <w:b/>
                <w:bCs/>
                <w:color w:val="FFFFFF"/>
                <w:sz w:val="20"/>
                <w:szCs w:val="20"/>
                <w:lang w:eastAsia="en-GB"/>
              </w:rPr>
              <w:t>Implementing Entity</w:t>
            </w:r>
          </w:p>
        </w:tc>
        <w:tc>
          <w:tcPr>
            <w:tcW w:w="6192" w:type="dxa"/>
            <w:gridSpan w:val="3"/>
            <w:tcBorders>
              <w:top w:val="single" w:sz="8" w:space="0" w:color="auto"/>
              <w:left w:val="nil"/>
              <w:bottom w:val="single" w:sz="8" w:space="0" w:color="auto"/>
              <w:right w:val="single" w:sz="8" w:space="0" w:color="000000"/>
            </w:tcBorders>
            <w:vAlign w:val="center"/>
          </w:tcPr>
          <w:p w14:paraId="6C81998E" w14:textId="77777777" w:rsidR="0031601F" w:rsidRPr="00A33AE8" w:rsidRDefault="003B76A4" w:rsidP="007A0028">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TBD with the Ministry of Mining and Energy</w:t>
            </w:r>
          </w:p>
        </w:tc>
      </w:tr>
      <w:tr w:rsidR="0031601F" w:rsidRPr="00A33AE8" w14:paraId="35B6FFC2" w14:textId="77777777" w:rsidTr="00FD2B5A">
        <w:trPr>
          <w:gridAfter w:val="1"/>
          <w:wAfter w:w="1212" w:type="dxa"/>
          <w:trHeight w:val="315"/>
        </w:trPr>
        <w:tc>
          <w:tcPr>
            <w:tcW w:w="3296" w:type="dxa"/>
            <w:tcBorders>
              <w:top w:val="nil"/>
              <w:left w:val="single" w:sz="8" w:space="0" w:color="auto"/>
              <w:bottom w:val="single" w:sz="8" w:space="0" w:color="auto"/>
              <w:right w:val="nil"/>
            </w:tcBorders>
            <w:shd w:val="clear" w:color="auto" w:fill="244062"/>
            <w:vAlign w:val="center"/>
            <w:hideMark/>
          </w:tcPr>
          <w:p w14:paraId="138E86C1"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2" w:type="dxa"/>
            <w:gridSpan w:val="3"/>
            <w:tcBorders>
              <w:top w:val="single" w:sz="8" w:space="0" w:color="auto"/>
              <w:left w:val="nil"/>
              <w:bottom w:val="single" w:sz="8" w:space="0" w:color="auto"/>
              <w:right w:val="single" w:sz="8" w:space="0" w:color="000000"/>
            </w:tcBorders>
            <w:vAlign w:val="center"/>
            <w:hideMark/>
          </w:tcPr>
          <w:p w14:paraId="5DD45468" w14:textId="77777777" w:rsidR="0031601F" w:rsidRPr="00A33AE8" w:rsidRDefault="0031601F">
            <w:pPr>
              <w:spacing w:after="0" w:line="240" w:lineRule="auto"/>
              <w:jc w:val="cente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p>
        </w:tc>
      </w:tr>
      <w:tr w:rsidR="0031601F" w:rsidRPr="00A33AE8" w14:paraId="276BF68E" w14:textId="77777777" w:rsidTr="00FD2B5A">
        <w:trPr>
          <w:gridAfter w:val="1"/>
          <w:wAfter w:w="1212" w:type="dxa"/>
          <w:trHeight w:val="315"/>
        </w:trPr>
        <w:tc>
          <w:tcPr>
            <w:tcW w:w="3296" w:type="dxa"/>
            <w:tcBorders>
              <w:top w:val="nil"/>
              <w:left w:val="single" w:sz="8" w:space="0" w:color="auto"/>
              <w:bottom w:val="single" w:sz="8" w:space="0" w:color="auto"/>
              <w:right w:val="nil"/>
            </w:tcBorders>
            <w:shd w:val="clear" w:color="auto" w:fill="244062"/>
            <w:vAlign w:val="center"/>
            <w:hideMark/>
          </w:tcPr>
          <w:p w14:paraId="487E977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2" w:type="dxa"/>
            <w:gridSpan w:val="3"/>
            <w:tcBorders>
              <w:top w:val="single" w:sz="8" w:space="0" w:color="auto"/>
              <w:left w:val="nil"/>
              <w:bottom w:val="single" w:sz="8" w:space="0" w:color="auto"/>
              <w:right w:val="single" w:sz="8" w:space="0" w:color="000000"/>
            </w:tcBorders>
            <w:vAlign w:val="center"/>
            <w:hideMark/>
          </w:tcPr>
          <w:p w14:paraId="3B863A00" w14:textId="77777777" w:rsidR="0031601F" w:rsidRPr="00A33AE8" w:rsidRDefault="0095329C" w:rsidP="0050795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energy poor households</w:t>
            </w:r>
          </w:p>
        </w:tc>
      </w:tr>
      <w:tr w:rsidR="00A0226E" w:rsidRPr="00A33AE8" w14:paraId="395E9BCC" w14:textId="77777777" w:rsidTr="007E2E34">
        <w:trPr>
          <w:gridAfter w:val="1"/>
          <w:wAfter w:w="1212" w:type="dxa"/>
          <w:trHeight w:val="4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73DE7648"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2" w:type="dxa"/>
            <w:gridSpan w:val="3"/>
            <w:tcBorders>
              <w:top w:val="single" w:sz="8" w:space="0" w:color="auto"/>
              <w:left w:val="nil"/>
              <w:bottom w:val="single" w:sz="8" w:space="0" w:color="auto"/>
              <w:right w:val="single" w:sz="8" w:space="0" w:color="000000"/>
            </w:tcBorders>
            <w:vAlign w:val="center"/>
          </w:tcPr>
          <w:p w14:paraId="386C9A0C" w14:textId="77777777" w:rsidR="00A0226E" w:rsidRPr="00A33AE8" w:rsidRDefault="00A0226E" w:rsidP="00A0226E">
            <w:pPr>
              <w:spacing w:after="0" w:line="240" w:lineRule="auto"/>
              <w:rPr>
                <w:rFonts w:ascii="Calibri Light" w:eastAsia="Times New Roman" w:hAnsi="Calibri Light" w:cs="Calibri Light"/>
                <w:color w:val="000000"/>
                <w:sz w:val="20"/>
                <w:szCs w:val="20"/>
                <w:lang w:eastAsia="en-GB"/>
              </w:rPr>
            </w:pPr>
          </w:p>
        </w:tc>
      </w:tr>
      <w:tr w:rsidR="0031601F" w:rsidRPr="00A33AE8" w14:paraId="2BD656FE" w14:textId="77777777" w:rsidTr="00FD2B5A">
        <w:trPr>
          <w:gridAfter w:val="1"/>
          <w:wAfter w:w="1212" w:type="dxa"/>
          <w:trHeight w:val="450"/>
        </w:trPr>
        <w:tc>
          <w:tcPr>
            <w:tcW w:w="3296" w:type="dxa"/>
            <w:vMerge w:val="restart"/>
            <w:tcBorders>
              <w:top w:val="nil"/>
              <w:left w:val="single" w:sz="8" w:space="0" w:color="auto"/>
              <w:bottom w:val="single" w:sz="8" w:space="0" w:color="000000"/>
              <w:right w:val="single" w:sz="8" w:space="0" w:color="auto"/>
            </w:tcBorders>
            <w:shd w:val="clear" w:color="auto" w:fill="244062"/>
            <w:vAlign w:val="center"/>
            <w:hideMark/>
          </w:tcPr>
          <w:p w14:paraId="7D8BA7FD"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2"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71B88EAA" w14:textId="77777777" w:rsidR="0095329C" w:rsidRPr="00A33AE8" w:rsidRDefault="0031601F" w:rsidP="00884F3B">
            <w:pPr>
              <w:pStyle w:val="ListParagraph"/>
              <w:numPr>
                <w:ilvl w:val="0"/>
                <w:numId w:val="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2019/944</w:t>
            </w:r>
            <w:r w:rsidR="0095329C" w:rsidRPr="00A33AE8">
              <w:rPr>
                <w:rFonts w:ascii="Calibri Light" w:eastAsia="Times New Roman" w:hAnsi="Calibri Light" w:cs="Calibri Light"/>
                <w:color w:val="000000"/>
                <w:sz w:val="20"/>
                <w:szCs w:val="20"/>
                <w:lang w:eastAsia="en-GB"/>
              </w:rPr>
              <w:t>/EU</w:t>
            </w:r>
          </w:p>
          <w:p w14:paraId="50461667" w14:textId="77777777" w:rsidR="0031601F" w:rsidRPr="00A33AE8" w:rsidRDefault="0095329C" w:rsidP="00884F3B">
            <w:pPr>
              <w:pStyle w:val="ListParagraph"/>
              <w:numPr>
                <w:ilvl w:val="0"/>
                <w:numId w:val="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2019/692/EU</w:t>
            </w:r>
          </w:p>
        </w:tc>
      </w:tr>
      <w:tr w:rsidR="0031601F" w:rsidRPr="00A33AE8" w14:paraId="4A20B512" w14:textId="77777777" w:rsidTr="00FD2B5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8D4257D"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2" w:type="dxa"/>
            <w:gridSpan w:val="3"/>
            <w:vMerge/>
            <w:tcBorders>
              <w:top w:val="single" w:sz="8" w:space="0" w:color="auto"/>
              <w:left w:val="single" w:sz="8" w:space="0" w:color="auto"/>
              <w:bottom w:val="single" w:sz="8" w:space="0" w:color="000000"/>
              <w:right w:val="single" w:sz="8" w:space="0" w:color="000000"/>
            </w:tcBorders>
            <w:vAlign w:val="center"/>
            <w:hideMark/>
          </w:tcPr>
          <w:p w14:paraId="5DAF16BB"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107FA79" w14:textId="77777777" w:rsidR="0031601F" w:rsidRPr="00A33AE8" w:rsidRDefault="0031601F"/>
        </w:tc>
      </w:tr>
      <w:tr w:rsidR="0031601F" w:rsidRPr="00A33AE8" w14:paraId="0C13C67B" w14:textId="77777777" w:rsidTr="00FD2B5A">
        <w:trPr>
          <w:trHeight w:val="60"/>
        </w:trPr>
        <w:tc>
          <w:tcPr>
            <w:tcW w:w="0" w:type="auto"/>
            <w:vMerge/>
            <w:tcBorders>
              <w:top w:val="nil"/>
              <w:left w:val="single" w:sz="8" w:space="0" w:color="auto"/>
              <w:bottom w:val="single" w:sz="8" w:space="0" w:color="000000"/>
              <w:right w:val="single" w:sz="8" w:space="0" w:color="auto"/>
            </w:tcBorders>
            <w:vAlign w:val="center"/>
            <w:hideMark/>
          </w:tcPr>
          <w:p w14:paraId="63CF4775"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2" w:type="dxa"/>
            <w:gridSpan w:val="3"/>
            <w:vMerge/>
            <w:tcBorders>
              <w:top w:val="single" w:sz="8" w:space="0" w:color="auto"/>
              <w:left w:val="single" w:sz="8" w:space="0" w:color="auto"/>
              <w:bottom w:val="single" w:sz="8" w:space="0" w:color="000000"/>
              <w:right w:val="single" w:sz="8" w:space="0" w:color="000000"/>
            </w:tcBorders>
            <w:vAlign w:val="center"/>
            <w:hideMark/>
          </w:tcPr>
          <w:p w14:paraId="21F53E21"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585D3DAC" w14:textId="77777777" w:rsidR="0031601F" w:rsidRPr="00A33AE8" w:rsidRDefault="0031601F">
            <w:pPr>
              <w:spacing w:after="0" w:line="256" w:lineRule="auto"/>
              <w:rPr>
                <w:sz w:val="20"/>
                <w:szCs w:val="20"/>
                <w:lang w:eastAsia="en-GB"/>
              </w:rPr>
            </w:pPr>
          </w:p>
        </w:tc>
      </w:tr>
      <w:tr w:rsidR="0031601F" w:rsidRPr="00A33AE8" w14:paraId="127EF850" w14:textId="77777777" w:rsidTr="00FD2B5A">
        <w:trPr>
          <w:trHeight w:val="16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6DB20BB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2" w:type="dxa"/>
            <w:gridSpan w:val="3"/>
            <w:tcBorders>
              <w:top w:val="single" w:sz="8" w:space="0" w:color="auto"/>
              <w:left w:val="nil"/>
              <w:bottom w:val="single" w:sz="8" w:space="0" w:color="auto"/>
              <w:right w:val="single" w:sz="8" w:space="0" w:color="000000"/>
            </w:tcBorders>
            <w:vAlign w:val="center"/>
          </w:tcPr>
          <w:p w14:paraId="62792E32"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p>
        </w:tc>
        <w:tc>
          <w:tcPr>
            <w:tcW w:w="1212" w:type="dxa"/>
            <w:vAlign w:val="center"/>
            <w:hideMark/>
          </w:tcPr>
          <w:p w14:paraId="5DEE1A97" w14:textId="77777777" w:rsidR="0031601F" w:rsidRPr="00A33AE8" w:rsidRDefault="0031601F">
            <w:pPr>
              <w:rPr>
                <w:rFonts w:ascii="Calibri Light" w:eastAsia="Times New Roman" w:hAnsi="Calibri Light" w:cs="Calibri Light"/>
                <w:color w:val="000000"/>
                <w:sz w:val="20"/>
                <w:szCs w:val="20"/>
                <w:lang w:eastAsia="en-GB"/>
              </w:rPr>
            </w:pPr>
          </w:p>
        </w:tc>
      </w:tr>
      <w:tr w:rsidR="0090778A" w:rsidRPr="00A33AE8" w14:paraId="6DD19036" w14:textId="77777777" w:rsidTr="00FD2B5A">
        <w:trPr>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2C08C64B" w14:textId="77777777" w:rsidR="0090778A" w:rsidRPr="00A33AE8" w:rsidRDefault="0090778A" w:rsidP="0090778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2" w:type="dxa"/>
            <w:gridSpan w:val="3"/>
            <w:tcBorders>
              <w:top w:val="single" w:sz="8" w:space="0" w:color="auto"/>
              <w:left w:val="nil"/>
              <w:bottom w:val="single" w:sz="8" w:space="0" w:color="auto"/>
              <w:right w:val="single" w:sz="8" w:space="0" w:color="000000"/>
            </w:tcBorders>
            <w:vAlign w:val="center"/>
          </w:tcPr>
          <w:p w14:paraId="67ABEBAF" w14:textId="77777777" w:rsidR="0090778A" w:rsidRPr="00A33AE8" w:rsidRDefault="0090778A" w:rsidP="0090778A">
            <w:pPr>
              <w:spacing w:after="0" w:line="240" w:lineRule="auto"/>
              <w:rPr>
                <w:rFonts w:ascii="Calibri Light" w:eastAsia="Times New Roman" w:hAnsi="Calibri Light" w:cs="Calibri Light"/>
                <w:color w:val="000000"/>
                <w:sz w:val="20"/>
                <w:szCs w:val="20"/>
                <w:lang w:eastAsia="en-GB"/>
              </w:rPr>
            </w:pPr>
            <w:r w:rsidRPr="0087794A">
              <w:rPr>
                <w:rFonts w:ascii="Calibri Light" w:eastAsia="Times New Roman" w:hAnsi="Calibri Light" w:cs="Calibri Light"/>
                <w:color w:val="000000"/>
                <w:sz w:val="20"/>
                <w:szCs w:val="20"/>
                <w:lang w:eastAsia="en-GB"/>
              </w:rPr>
              <w:t>Under examination</w:t>
            </w:r>
          </w:p>
        </w:tc>
        <w:tc>
          <w:tcPr>
            <w:tcW w:w="1212" w:type="dxa"/>
            <w:vAlign w:val="center"/>
            <w:hideMark/>
          </w:tcPr>
          <w:p w14:paraId="497D7A81" w14:textId="77777777" w:rsidR="0090778A" w:rsidRPr="00A33AE8" w:rsidRDefault="0090778A" w:rsidP="0090778A">
            <w:pPr>
              <w:rPr>
                <w:rFonts w:ascii="Calibri" w:eastAsia="Times New Roman" w:hAnsi="Calibri" w:cs="Calibri"/>
                <w:color w:val="000000"/>
                <w:lang w:eastAsia="en-GB"/>
              </w:rPr>
            </w:pPr>
          </w:p>
        </w:tc>
      </w:tr>
      <w:tr w:rsidR="0090778A" w:rsidRPr="00A33AE8" w14:paraId="2DFB5CED" w14:textId="77777777" w:rsidTr="00405990">
        <w:trPr>
          <w:trHeight w:val="315"/>
        </w:trPr>
        <w:tc>
          <w:tcPr>
            <w:tcW w:w="3296" w:type="dxa"/>
            <w:tcBorders>
              <w:top w:val="nil"/>
              <w:left w:val="single" w:sz="8" w:space="0" w:color="auto"/>
              <w:bottom w:val="single" w:sz="8" w:space="0" w:color="auto"/>
              <w:right w:val="single" w:sz="8" w:space="0" w:color="auto"/>
            </w:tcBorders>
            <w:shd w:val="clear" w:color="auto" w:fill="244062"/>
            <w:vAlign w:val="center"/>
            <w:hideMark/>
          </w:tcPr>
          <w:p w14:paraId="1B96504B" w14:textId="77777777" w:rsidR="0090778A" w:rsidRPr="00A33AE8" w:rsidRDefault="0090778A" w:rsidP="0090778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2" w:type="dxa"/>
            <w:gridSpan w:val="3"/>
            <w:tcBorders>
              <w:top w:val="single" w:sz="8" w:space="0" w:color="auto"/>
              <w:left w:val="nil"/>
              <w:bottom w:val="single" w:sz="8" w:space="0" w:color="auto"/>
              <w:right w:val="single" w:sz="8" w:space="0" w:color="000000"/>
            </w:tcBorders>
            <w:vAlign w:val="center"/>
          </w:tcPr>
          <w:p w14:paraId="70931DA4" w14:textId="77777777" w:rsidR="0090778A" w:rsidRPr="00A33AE8" w:rsidRDefault="0090778A" w:rsidP="0090778A">
            <w:pPr>
              <w:spacing w:after="0" w:line="240" w:lineRule="auto"/>
              <w:rPr>
                <w:rFonts w:ascii="Calibri Light" w:eastAsia="Times New Roman" w:hAnsi="Calibri Light" w:cs="Calibri Light"/>
                <w:color w:val="000000"/>
                <w:sz w:val="20"/>
                <w:szCs w:val="20"/>
                <w:lang w:eastAsia="en-GB"/>
              </w:rPr>
            </w:pPr>
          </w:p>
        </w:tc>
        <w:tc>
          <w:tcPr>
            <w:tcW w:w="1212" w:type="dxa"/>
            <w:vAlign w:val="center"/>
            <w:hideMark/>
          </w:tcPr>
          <w:p w14:paraId="56E518F5" w14:textId="77777777" w:rsidR="0090778A" w:rsidRPr="00A33AE8" w:rsidRDefault="0090778A" w:rsidP="0090778A">
            <w:pPr>
              <w:rPr>
                <w:rFonts w:ascii="Calibri" w:eastAsia="Times New Roman" w:hAnsi="Calibri" w:cs="Calibri"/>
                <w:color w:val="000000"/>
                <w:lang w:eastAsia="en-GB"/>
              </w:rPr>
            </w:pPr>
          </w:p>
        </w:tc>
      </w:tr>
    </w:tbl>
    <w:p w14:paraId="1F28B57C" w14:textId="77777777" w:rsidR="0031601F" w:rsidRPr="00A33AE8" w:rsidRDefault="0031601F" w:rsidP="0031601F">
      <w:pPr>
        <w:pStyle w:val="LDKbody"/>
        <w:rPr>
          <w:lang w:val="en-GB"/>
        </w:rPr>
      </w:pPr>
    </w:p>
    <w:tbl>
      <w:tblPr>
        <w:tblW w:w="10700" w:type="dxa"/>
        <w:tblLook w:val="04A0" w:firstRow="1" w:lastRow="0" w:firstColumn="1" w:lastColumn="0" w:noHBand="0" w:noVBand="1"/>
      </w:tblPr>
      <w:tblGrid>
        <w:gridCol w:w="3293"/>
        <w:gridCol w:w="1106"/>
        <w:gridCol w:w="934"/>
        <w:gridCol w:w="4155"/>
        <w:gridCol w:w="1212"/>
      </w:tblGrid>
      <w:tr w:rsidR="0031601F" w:rsidRPr="00A33AE8" w14:paraId="267DCEE3" w14:textId="77777777" w:rsidTr="00FD2B5A">
        <w:trPr>
          <w:gridAfter w:val="1"/>
          <w:wAfter w:w="1212" w:type="dxa"/>
          <w:trHeight w:val="780"/>
        </w:trPr>
        <w:tc>
          <w:tcPr>
            <w:tcW w:w="329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7C7112A" w14:textId="77777777" w:rsidR="0031601F" w:rsidRPr="00A33AE8" w:rsidRDefault="0031601F">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AEA5E29" w14:textId="77777777" w:rsidR="0031601F" w:rsidRPr="00A33AE8" w:rsidRDefault="007311E2">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6</w:t>
            </w:r>
          </w:p>
        </w:tc>
        <w:tc>
          <w:tcPr>
            <w:tcW w:w="934" w:type="dxa"/>
            <w:tcBorders>
              <w:top w:val="single" w:sz="8" w:space="0" w:color="auto"/>
              <w:left w:val="nil"/>
              <w:bottom w:val="single" w:sz="8" w:space="0" w:color="auto"/>
              <w:right w:val="single" w:sz="8" w:space="0" w:color="auto"/>
            </w:tcBorders>
            <w:shd w:val="clear" w:color="auto" w:fill="244062"/>
            <w:vAlign w:val="center"/>
            <w:hideMark/>
          </w:tcPr>
          <w:p w14:paraId="7C2B25EE"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5" w:type="dxa"/>
            <w:tcBorders>
              <w:top w:val="single" w:sz="8" w:space="0" w:color="auto"/>
              <w:left w:val="nil"/>
              <w:bottom w:val="single" w:sz="8" w:space="0" w:color="auto"/>
              <w:right w:val="single" w:sz="8" w:space="0" w:color="auto"/>
            </w:tcBorders>
            <w:shd w:val="clear" w:color="auto" w:fill="E7E6E6" w:themeFill="background2"/>
            <w:vAlign w:val="center"/>
            <w:hideMark/>
          </w:tcPr>
          <w:p w14:paraId="1E5B0FE7" w14:textId="77777777" w:rsidR="0031601F" w:rsidRPr="00A33AE8" w:rsidRDefault="0031601F">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Improvement of the tools and methodology for collecting data relevant to monitoring of energy poverty</w:t>
            </w:r>
          </w:p>
        </w:tc>
      </w:tr>
      <w:tr w:rsidR="0031601F" w:rsidRPr="00A33AE8" w14:paraId="410BD5F6" w14:textId="77777777" w:rsidTr="00FD2B5A">
        <w:trPr>
          <w:gridAfter w:val="1"/>
          <w:wAfter w:w="1212" w:type="dxa"/>
          <w:trHeight w:val="261"/>
        </w:trPr>
        <w:tc>
          <w:tcPr>
            <w:tcW w:w="3293" w:type="dxa"/>
            <w:tcBorders>
              <w:top w:val="nil"/>
              <w:left w:val="single" w:sz="8" w:space="0" w:color="auto"/>
              <w:bottom w:val="single" w:sz="8" w:space="0" w:color="auto"/>
              <w:right w:val="nil"/>
            </w:tcBorders>
            <w:shd w:val="clear" w:color="auto" w:fill="244062"/>
            <w:vAlign w:val="center"/>
            <w:hideMark/>
          </w:tcPr>
          <w:p w14:paraId="43769642"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5" w:type="dxa"/>
            <w:gridSpan w:val="3"/>
            <w:tcBorders>
              <w:top w:val="single" w:sz="8" w:space="0" w:color="auto"/>
              <w:left w:val="nil"/>
              <w:bottom w:val="single" w:sz="8" w:space="0" w:color="auto"/>
              <w:right w:val="single" w:sz="8" w:space="0" w:color="000000"/>
            </w:tcBorders>
            <w:vAlign w:val="center"/>
            <w:hideMark/>
          </w:tcPr>
          <w:p w14:paraId="376F39DE"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Alleviation of energy poverty</w:t>
            </w:r>
          </w:p>
        </w:tc>
      </w:tr>
      <w:tr w:rsidR="0031601F" w:rsidRPr="00A33AE8" w14:paraId="717F5BE1" w14:textId="77777777" w:rsidTr="00FD2B5A">
        <w:trPr>
          <w:gridAfter w:val="1"/>
          <w:wAfter w:w="1212" w:type="dxa"/>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7E1C0FD0"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5" w:type="dxa"/>
            <w:gridSpan w:val="3"/>
            <w:tcBorders>
              <w:top w:val="single" w:sz="8" w:space="0" w:color="auto"/>
              <w:left w:val="nil"/>
              <w:bottom w:val="single" w:sz="8" w:space="0" w:color="auto"/>
              <w:right w:val="single" w:sz="8" w:space="0" w:color="000000"/>
            </w:tcBorders>
            <w:vAlign w:val="center"/>
          </w:tcPr>
          <w:p w14:paraId="1597896A" w14:textId="77777777" w:rsidR="0031601F" w:rsidRPr="00A33AE8" w:rsidRDefault="0095329C"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Monitoring of energy poverty</w:t>
            </w:r>
          </w:p>
        </w:tc>
      </w:tr>
      <w:tr w:rsidR="0031601F" w:rsidRPr="00A33AE8" w14:paraId="020C64B3" w14:textId="77777777" w:rsidTr="00910552">
        <w:trPr>
          <w:gridAfter w:val="1"/>
          <w:wAfter w:w="1212" w:type="dxa"/>
          <w:trHeight w:val="301"/>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3DF4C5AB"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5" w:type="dxa"/>
            <w:gridSpan w:val="3"/>
            <w:tcBorders>
              <w:top w:val="single" w:sz="8" w:space="0" w:color="auto"/>
              <w:left w:val="nil"/>
              <w:bottom w:val="single" w:sz="8" w:space="0" w:color="auto"/>
              <w:right w:val="single" w:sz="8" w:space="0" w:color="000000"/>
            </w:tcBorders>
            <w:vAlign w:val="center"/>
            <w:hideMark/>
          </w:tcPr>
          <w:p w14:paraId="724FFF91" w14:textId="77777777" w:rsidR="0031601F" w:rsidRPr="00A33AE8" w:rsidRDefault="000A2441" w:rsidP="0031601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6</w:t>
            </w:r>
            <w:r w:rsidR="00154EBA"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 xml:space="preserve">will foresee the specification of the required data collection procedure in order to apply the developed monitoring procedure. Furthermore, specialized tool will be developed facilitating the monitoring of the energy poverty and the evaluation of the implemented policies and measures. Finally, progress reports will be prepared providing valuable </w:t>
            </w:r>
            <w:r w:rsidR="0031601F" w:rsidRPr="00A33AE8">
              <w:rPr>
                <w:rFonts w:ascii="Calibri Light" w:eastAsia="Times New Roman" w:hAnsi="Calibri Light" w:cs="Calibri Light"/>
                <w:color w:val="000000"/>
                <w:sz w:val="20"/>
                <w:szCs w:val="20"/>
                <w:lang w:eastAsia="en-GB"/>
              </w:rPr>
              <w:lastRenderedPageBreak/>
              <w:t>insights to all interested stakeholders in regards to the progress towards the alleviation of the energy poverty.</w:t>
            </w:r>
          </w:p>
        </w:tc>
      </w:tr>
      <w:tr w:rsidR="0031601F" w:rsidRPr="00A33AE8" w14:paraId="7EE3463A" w14:textId="77777777" w:rsidTr="00FD2B5A">
        <w:trPr>
          <w:gridAfter w:val="1"/>
          <w:wAfter w:w="1212" w:type="dxa"/>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307FE6CB"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95" w:type="dxa"/>
            <w:gridSpan w:val="3"/>
            <w:tcBorders>
              <w:top w:val="single" w:sz="8" w:space="0" w:color="auto"/>
              <w:left w:val="nil"/>
              <w:bottom w:val="single" w:sz="8" w:space="0" w:color="auto"/>
              <w:right w:val="single" w:sz="8" w:space="0" w:color="000000"/>
            </w:tcBorders>
            <w:vAlign w:val="center"/>
            <w:hideMark/>
          </w:tcPr>
          <w:p w14:paraId="35C5C354"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01F" w:rsidRPr="00A33AE8" w14:paraId="42E7E548" w14:textId="77777777" w:rsidTr="00FD2B5A">
        <w:trPr>
          <w:gridAfter w:val="1"/>
          <w:wAfter w:w="1212" w:type="dxa"/>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700A21AB"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5" w:type="dxa"/>
            <w:gridSpan w:val="3"/>
            <w:tcBorders>
              <w:top w:val="single" w:sz="8" w:space="0" w:color="auto"/>
              <w:left w:val="nil"/>
              <w:bottom w:val="single" w:sz="8" w:space="0" w:color="auto"/>
              <w:right w:val="single" w:sz="8" w:space="0" w:color="000000"/>
            </w:tcBorders>
            <w:vAlign w:val="center"/>
          </w:tcPr>
          <w:p w14:paraId="4FBA8E0A" w14:textId="77777777" w:rsidR="0031601F" w:rsidRPr="00A33AE8" w:rsidRDefault="00910552" w:rsidP="0091055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31601F" w:rsidRPr="00A33AE8" w14:paraId="23FBD564" w14:textId="77777777" w:rsidTr="00FD2B5A">
        <w:trPr>
          <w:gridAfter w:val="1"/>
          <w:wAfter w:w="1212" w:type="dxa"/>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5553D837"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5" w:type="dxa"/>
            <w:gridSpan w:val="3"/>
            <w:tcBorders>
              <w:top w:val="single" w:sz="8" w:space="0" w:color="auto"/>
              <w:left w:val="nil"/>
              <w:bottom w:val="single" w:sz="8" w:space="0" w:color="auto"/>
              <w:right w:val="single" w:sz="8" w:space="0" w:color="000000"/>
            </w:tcBorders>
            <w:vAlign w:val="center"/>
            <w:hideMark/>
          </w:tcPr>
          <w:p w14:paraId="0C9AA6C0"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31601F" w:rsidRPr="00A33AE8" w14:paraId="19E2A60F" w14:textId="77777777" w:rsidTr="00FD2B5A">
        <w:trPr>
          <w:gridAfter w:val="1"/>
          <w:wAfter w:w="1212" w:type="dxa"/>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0F36154E"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5" w:type="dxa"/>
            <w:gridSpan w:val="3"/>
            <w:tcBorders>
              <w:top w:val="single" w:sz="8" w:space="0" w:color="auto"/>
              <w:left w:val="nil"/>
              <w:bottom w:val="single" w:sz="8" w:space="0" w:color="auto"/>
              <w:right w:val="single" w:sz="8" w:space="0" w:color="000000"/>
            </w:tcBorders>
            <w:vAlign w:val="center"/>
            <w:hideMark/>
          </w:tcPr>
          <w:p w14:paraId="28DBF8C0" w14:textId="77777777" w:rsidR="0031601F" w:rsidRPr="00A33AE8" w:rsidRDefault="008E7BCF" w:rsidP="007A0028">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TBD with the Ministry of Mining and Energy</w:t>
            </w:r>
          </w:p>
        </w:tc>
      </w:tr>
      <w:tr w:rsidR="0031601F" w:rsidRPr="00A33AE8" w14:paraId="58BC7A1A" w14:textId="77777777" w:rsidTr="00FD2B5A">
        <w:trPr>
          <w:gridAfter w:val="1"/>
          <w:wAfter w:w="1212" w:type="dxa"/>
          <w:trHeight w:val="315"/>
        </w:trPr>
        <w:tc>
          <w:tcPr>
            <w:tcW w:w="3293" w:type="dxa"/>
            <w:tcBorders>
              <w:top w:val="nil"/>
              <w:left w:val="single" w:sz="8" w:space="0" w:color="auto"/>
              <w:bottom w:val="single" w:sz="8" w:space="0" w:color="auto"/>
              <w:right w:val="nil"/>
            </w:tcBorders>
            <w:shd w:val="clear" w:color="auto" w:fill="244062"/>
            <w:vAlign w:val="center"/>
            <w:hideMark/>
          </w:tcPr>
          <w:p w14:paraId="27094BCB"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5" w:type="dxa"/>
            <w:gridSpan w:val="3"/>
            <w:tcBorders>
              <w:top w:val="single" w:sz="8" w:space="0" w:color="auto"/>
              <w:left w:val="nil"/>
              <w:bottom w:val="single" w:sz="8" w:space="0" w:color="auto"/>
              <w:right w:val="single" w:sz="8" w:space="0" w:color="000000"/>
            </w:tcBorders>
            <w:vAlign w:val="center"/>
            <w:hideMark/>
          </w:tcPr>
          <w:p w14:paraId="2AAD6305" w14:textId="77777777" w:rsidR="0031601F" w:rsidRPr="00A33AE8" w:rsidRDefault="0031601F">
            <w:pPr>
              <w:spacing w:after="0" w:line="240" w:lineRule="auto"/>
              <w:jc w:val="center"/>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 </w:t>
            </w:r>
          </w:p>
        </w:tc>
      </w:tr>
      <w:tr w:rsidR="0031601F" w:rsidRPr="00A33AE8" w14:paraId="1C9D01DA" w14:textId="77777777" w:rsidTr="00FD2B5A">
        <w:trPr>
          <w:gridAfter w:val="1"/>
          <w:wAfter w:w="1212" w:type="dxa"/>
          <w:trHeight w:val="315"/>
        </w:trPr>
        <w:tc>
          <w:tcPr>
            <w:tcW w:w="3293" w:type="dxa"/>
            <w:tcBorders>
              <w:top w:val="nil"/>
              <w:left w:val="single" w:sz="8" w:space="0" w:color="auto"/>
              <w:bottom w:val="single" w:sz="8" w:space="0" w:color="auto"/>
              <w:right w:val="nil"/>
            </w:tcBorders>
            <w:shd w:val="clear" w:color="auto" w:fill="244062"/>
            <w:vAlign w:val="center"/>
            <w:hideMark/>
          </w:tcPr>
          <w:p w14:paraId="51A515A1"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5" w:type="dxa"/>
            <w:gridSpan w:val="3"/>
            <w:tcBorders>
              <w:top w:val="single" w:sz="8" w:space="0" w:color="auto"/>
              <w:left w:val="nil"/>
              <w:bottom w:val="single" w:sz="8" w:space="0" w:color="auto"/>
              <w:right w:val="single" w:sz="8" w:space="0" w:color="000000"/>
            </w:tcBorders>
            <w:vAlign w:val="center"/>
            <w:hideMark/>
          </w:tcPr>
          <w:p w14:paraId="453BA7B1" w14:textId="77777777" w:rsidR="0031601F" w:rsidRPr="00A33AE8" w:rsidRDefault="0095329C" w:rsidP="0050795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Developed tools and monitoring methodology</w:t>
            </w:r>
          </w:p>
        </w:tc>
      </w:tr>
      <w:tr w:rsidR="00A0226E" w:rsidRPr="00A33AE8" w14:paraId="5BA7BA29" w14:textId="77777777" w:rsidTr="007E2E34">
        <w:trPr>
          <w:gridAfter w:val="1"/>
          <w:wAfter w:w="1212" w:type="dxa"/>
          <w:trHeight w:val="40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4E5CC5C9"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5" w:type="dxa"/>
            <w:gridSpan w:val="3"/>
            <w:tcBorders>
              <w:top w:val="single" w:sz="8" w:space="0" w:color="auto"/>
              <w:left w:val="nil"/>
              <w:bottom w:val="single" w:sz="8" w:space="0" w:color="auto"/>
              <w:right w:val="single" w:sz="8" w:space="0" w:color="000000"/>
            </w:tcBorders>
            <w:vAlign w:val="center"/>
          </w:tcPr>
          <w:p w14:paraId="581C95B2" w14:textId="77777777" w:rsidR="00A0226E" w:rsidRPr="00A33AE8" w:rsidRDefault="00A0226E" w:rsidP="00A0226E">
            <w:pPr>
              <w:spacing w:after="0" w:line="240" w:lineRule="auto"/>
              <w:rPr>
                <w:rFonts w:ascii="Calibri Light" w:eastAsia="Times New Roman" w:hAnsi="Calibri Light" w:cs="Calibri Light"/>
                <w:color w:val="000000"/>
                <w:sz w:val="20"/>
                <w:szCs w:val="20"/>
                <w:lang w:eastAsia="en-GB"/>
              </w:rPr>
            </w:pPr>
          </w:p>
        </w:tc>
      </w:tr>
      <w:tr w:rsidR="0031601F" w:rsidRPr="00A33AE8" w14:paraId="6BDD4B9B" w14:textId="77777777" w:rsidTr="00FD2B5A">
        <w:trPr>
          <w:gridAfter w:val="1"/>
          <w:wAfter w:w="1212" w:type="dxa"/>
          <w:trHeight w:val="450"/>
        </w:trPr>
        <w:tc>
          <w:tcPr>
            <w:tcW w:w="3293" w:type="dxa"/>
            <w:vMerge w:val="restart"/>
            <w:tcBorders>
              <w:top w:val="nil"/>
              <w:left w:val="single" w:sz="8" w:space="0" w:color="auto"/>
              <w:bottom w:val="single" w:sz="8" w:space="0" w:color="000000"/>
              <w:right w:val="single" w:sz="8" w:space="0" w:color="auto"/>
            </w:tcBorders>
            <w:shd w:val="clear" w:color="auto" w:fill="244062"/>
            <w:vAlign w:val="center"/>
            <w:hideMark/>
          </w:tcPr>
          <w:p w14:paraId="4C9D9155"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5"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53DD4CEF" w14:textId="77777777" w:rsidR="0031601F" w:rsidRPr="00A33AE8" w:rsidRDefault="0031601F" w:rsidP="00884F3B">
            <w:pPr>
              <w:pStyle w:val="ListParagraph"/>
              <w:numPr>
                <w:ilvl w:val="0"/>
                <w:numId w:val="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2019/944</w:t>
            </w:r>
            <w:r w:rsidR="0095329C" w:rsidRPr="00A33AE8">
              <w:rPr>
                <w:rFonts w:ascii="Calibri Light" w:eastAsia="Times New Roman" w:hAnsi="Calibri Light" w:cs="Calibri Light"/>
                <w:color w:val="000000"/>
                <w:sz w:val="20"/>
                <w:szCs w:val="20"/>
                <w:lang w:eastAsia="en-GB"/>
              </w:rPr>
              <w:t>/EU</w:t>
            </w:r>
          </w:p>
        </w:tc>
      </w:tr>
      <w:tr w:rsidR="0031601F" w:rsidRPr="00A33AE8" w14:paraId="0720EBD8" w14:textId="77777777" w:rsidTr="00FD2B5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3AA70E5"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5" w:type="dxa"/>
            <w:gridSpan w:val="3"/>
            <w:vMerge/>
            <w:tcBorders>
              <w:top w:val="single" w:sz="8" w:space="0" w:color="auto"/>
              <w:left w:val="single" w:sz="8" w:space="0" w:color="auto"/>
              <w:bottom w:val="single" w:sz="8" w:space="0" w:color="000000"/>
              <w:right w:val="single" w:sz="8" w:space="0" w:color="000000"/>
            </w:tcBorders>
            <w:vAlign w:val="center"/>
            <w:hideMark/>
          </w:tcPr>
          <w:p w14:paraId="5CB9D722"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07F1A4D" w14:textId="77777777" w:rsidR="0031601F" w:rsidRPr="00A33AE8" w:rsidRDefault="0031601F"/>
        </w:tc>
      </w:tr>
      <w:tr w:rsidR="0031601F" w:rsidRPr="00A33AE8" w14:paraId="66E0E3FE" w14:textId="77777777" w:rsidTr="00FD2B5A">
        <w:trPr>
          <w:trHeight w:val="60"/>
        </w:trPr>
        <w:tc>
          <w:tcPr>
            <w:tcW w:w="0" w:type="auto"/>
            <w:vMerge/>
            <w:tcBorders>
              <w:top w:val="nil"/>
              <w:left w:val="single" w:sz="8" w:space="0" w:color="auto"/>
              <w:bottom w:val="single" w:sz="8" w:space="0" w:color="000000"/>
              <w:right w:val="single" w:sz="8" w:space="0" w:color="auto"/>
            </w:tcBorders>
            <w:vAlign w:val="center"/>
            <w:hideMark/>
          </w:tcPr>
          <w:p w14:paraId="15047837"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5" w:type="dxa"/>
            <w:gridSpan w:val="3"/>
            <w:vMerge/>
            <w:tcBorders>
              <w:top w:val="single" w:sz="8" w:space="0" w:color="auto"/>
              <w:left w:val="single" w:sz="8" w:space="0" w:color="auto"/>
              <w:bottom w:val="single" w:sz="8" w:space="0" w:color="000000"/>
              <w:right w:val="single" w:sz="8" w:space="0" w:color="000000"/>
            </w:tcBorders>
            <w:vAlign w:val="center"/>
            <w:hideMark/>
          </w:tcPr>
          <w:p w14:paraId="6784990A" w14:textId="77777777" w:rsidR="0031601F" w:rsidRPr="00A33AE8" w:rsidRDefault="0031601F">
            <w:p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4F00446" w14:textId="77777777" w:rsidR="0031601F" w:rsidRPr="00A33AE8" w:rsidRDefault="0031601F">
            <w:pPr>
              <w:spacing w:after="0" w:line="256" w:lineRule="auto"/>
              <w:rPr>
                <w:sz w:val="20"/>
                <w:szCs w:val="20"/>
                <w:lang w:eastAsia="en-GB"/>
              </w:rPr>
            </w:pPr>
          </w:p>
        </w:tc>
      </w:tr>
      <w:tr w:rsidR="0031601F" w:rsidRPr="00A33AE8" w14:paraId="1E18A4CD" w14:textId="77777777" w:rsidTr="00FD2B5A">
        <w:trPr>
          <w:trHeight w:val="271"/>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5C977D0F"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5" w:type="dxa"/>
            <w:gridSpan w:val="3"/>
            <w:tcBorders>
              <w:top w:val="single" w:sz="8" w:space="0" w:color="auto"/>
              <w:left w:val="nil"/>
              <w:bottom w:val="single" w:sz="8" w:space="0" w:color="auto"/>
              <w:right w:val="single" w:sz="8" w:space="0" w:color="000000"/>
            </w:tcBorders>
            <w:vAlign w:val="center"/>
          </w:tcPr>
          <w:p w14:paraId="3AA596F8"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p>
        </w:tc>
        <w:tc>
          <w:tcPr>
            <w:tcW w:w="1212" w:type="dxa"/>
            <w:vAlign w:val="center"/>
            <w:hideMark/>
          </w:tcPr>
          <w:p w14:paraId="7D9D7EDB" w14:textId="77777777" w:rsidR="0031601F" w:rsidRPr="00A33AE8" w:rsidRDefault="0031601F">
            <w:pPr>
              <w:rPr>
                <w:rFonts w:ascii="Calibri Light" w:eastAsia="Times New Roman" w:hAnsi="Calibri Light" w:cs="Calibri Light"/>
                <w:color w:val="000000"/>
                <w:sz w:val="20"/>
                <w:szCs w:val="20"/>
                <w:lang w:eastAsia="en-GB"/>
              </w:rPr>
            </w:pPr>
          </w:p>
        </w:tc>
      </w:tr>
      <w:tr w:rsidR="00113485" w:rsidRPr="00A33AE8" w14:paraId="3DF65C4E" w14:textId="77777777" w:rsidTr="00FD2B5A">
        <w:trPr>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32770F16" w14:textId="77777777" w:rsidR="00113485" w:rsidRPr="00A33AE8" w:rsidRDefault="00113485" w:rsidP="0011348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95" w:type="dxa"/>
            <w:gridSpan w:val="3"/>
            <w:tcBorders>
              <w:top w:val="single" w:sz="8" w:space="0" w:color="auto"/>
              <w:left w:val="nil"/>
              <w:bottom w:val="single" w:sz="8" w:space="0" w:color="auto"/>
              <w:right w:val="single" w:sz="8" w:space="0" w:color="000000"/>
            </w:tcBorders>
            <w:vAlign w:val="center"/>
          </w:tcPr>
          <w:p w14:paraId="1C8A84D4" w14:textId="77777777" w:rsidR="00113485" w:rsidRPr="00A33AE8" w:rsidRDefault="007C58F4"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1.5 M</w:t>
            </w:r>
            <w:r w:rsidRPr="00A33AE8">
              <w:rPr>
                <w:rFonts w:ascii="Calibri" w:eastAsia="Times New Roman" w:hAnsi="Calibri" w:cs="Calibri"/>
                <w:color w:val="000000"/>
                <w:sz w:val="20"/>
                <w:szCs w:val="20"/>
                <w:lang w:eastAsia="en-GB"/>
              </w:rPr>
              <w:t>€</w:t>
            </w:r>
          </w:p>
        </w:tc>
        <w:tc>
          <w:tcPr>
            <w:tcW w:w="1212" w:type="dxa"/>
            <w:vAlign w:val="center"/>
            <w:hideMark/>
          </w:tcPr>
          <w:p w14:paraId="09167796" w14:textId="77777777" w:rsidR="00113485" w:rsidRPr="00A33AE8" w:rsidRDefault="00113485" w:rsidP="00113485">
            <w:pPr>
              <w:rPr>
                <w:rFonts w:ascii="Calibri" w:eastAsia="Times New Roman" w:hAnsi="Calibri" w:cs="Calibri"/>
                <w:color w:val="000000"/>
                <w:lang w:eastAsia="en-GB"/>
              </w:rPr>
            </w:pPr>
          </w:p>
        </w:tc>
      </w:tr>
      <w:tr w:rsidR="007C58F4" w:rsidRPr="00A33AE8" w14:paraId="558D9BCE" w14:textId="77777777" w:rsidTr="00FD2B5A">
        <w:trPr>
          <w:trHeight w:val="315"/>
        </w:trPr>
        <w:tc>
          <w:tcPr>
            <w:tcW w:w="3293" w:type="dxa"/>
            <w:tcBorders>
              <w:top w:val="nil"/>
              <w:left w:val="single" w:sz="8" w:space="0" w:color="auto"/>
              <w:bottom w:val="single" w:sz="8" w:space="0" w:color="auto"/>
              <w:right w:val="single" w:sz="8" w:space="0" w:color="auto"/>
            </w:tcBorders>
            <w:shd w:val="clear" w:color="auto" w:fill="244062"/>
            <w:vAlign w:val="center"/>
            <w:hideMark/>
          </w:tcPr>
          <w:p w14:paraId="2F3FF99F" w14:textId="77777777" w:rsidR="007C58F4" w:rsidRPr="00A33AE8" w:rsidRDefault="007C58F4" w:rsidP="007C58F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5" w:type="dxa"/>
            <w:gridSpan w:val="3"/>
            <w:tcBorders>
              <w:top w:val="single" w:sz="8" w:space="0" w:color="auto"/>
              <w:left w:val="nil"/>
              <w:bottom w:val="single" w:sz="8" w:space="0" w:color="auto"/>
              <w:right w:val="single" w:sz="8" w:space="0" w:color="000000"/>
            </w:tcBorders>
            <w:vAlign w:val="center"/>
            <w:hideMark/>
          </w:tcPr>
          <w:p w14:paraId="44582812" w14:textId="77777777" w:rsidR="007C58F4" w:rsidRPr="00A33AE8" w:rsidRDefault="007C58F4" w:rsidP="007C58F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EU and other funds, public funds</w:t>
            </w:r>
          </w:p>
        </w:tc>
        <w:tc>
          <w:tcPr>
            <w:tcW w:w="1212" w:type="dxa"/>
            <w:vAlign w:val="center"/>
            <w:hideMark/>
          </w:tcPr>
          <w:p w14:paraId="0506162E" w14:textId="77777777" w:rsidR="007C58F4" w:rsidRPr="00A33AE8" w:rsidRDefault="007C58F4" w:rsidP="007C58F4">
            <w:pPr>
              <w:rPr>
                <w:rFonts w:ascii="Calibri" w:eastAsia="Times New Roman" w:hAnsi="Calibri" w:cs="Calibri"/>
                <w:color w:val="000000"/>
                <w:lang w:eastAsia="en-GB"/>
              </w:rPr>
            </w:pPr>
          </w:p>
        </w:tc>
      </w:tr>
    </w:tbl>
    <w:p w14:paraId="349F1769" w14:textId="77777777" w:rsidR="0031601F" w:rsidRPr="00A33AE8" w:rsidRDefault="0031601F" w:rsidP="0031601F">
      <w:pPr>
        <w:pStyle w:val="LDKbody"/>
        <w:rPr>
          <w:lang w:val="en-GB"/>
        </w:rPr>
      </w:pPr>
    </w:p>
    <w:tbl>
      <w:tblPr>
        <w:tblW w:w="10700" w:type="dxa"/>
        <w:tblLook w:val="04A0" w:firstRow="1" w:lastRow="0" w:firstColumn="1" w:lastColumn="0" w:noHBand="0" w:noVBand="1"/>
      </w:tblPr>
      <w:tblGrid>
        <w:gridCol w:w="3295"/>
        <w:gridCol w:w="1106"/>
        <w:gridCol w:w="936"/>
        <w:gridCol w:w="4151"/>
        <w:gridCol w:w="1212"/>
      </w:tblGrid>
      <w:tr w:rsidR="0031601F" w:rsidRPr="00A33AE8" w14:paraId="66B1FE84" w14:textId="77777777" w:rsidTr="00FD2B5A">
        <w:trPr>
          <w:gridAfter w:val="1"/>
          <w:wAfter w:w="1212" w:type="dxa"/>
          <w:trHeight w:val="780"/>
        </w:trPr>
        <w:tc>
          <w:tcPr>
            <w:tcW w:w="3295"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5651EE5C" w14:textId="77777777" w:rsidR="0031601F" w:rsidRPr="00A33AE8" w:rsidRDefault="0031601F">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106" w:type="dxa"/>
            <w:tcBorders>
              <w:top w:val="single" w:sz="8" w:space="0" w:color="auto"/>
              <w:left w:val="nil"/>
              <w:bottom w:val="single" w:sz="8" w:space="0" w:color="auto"/>
              <w:right w:val="single" w:sz="8" w:space="0" w:color="auto"/>
            </w:tcBorders>
            <w:shd w:val="clear" w:color="auto" w:fill="E7E6E6" w:themeFill="background2"/>
            <w:vAlign w:val="center"/>
            <w:hideMark/>
          </w:tcPr>
          <w:p w14:paraId="203229BF" w14:textId="77777777" w:rsidR="0031601F" w:rsidRPr="00A33AE8" w:rsidRDefault="007311E2">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w:t>
            </w:r>
            <w:r w:rsidR="00154EBA" w:rsidRPr="00A33AE8">
              <w:rPr>
                <w:rFonts w:ascii="Calibri Light" w:eastAsia="Times New Roman" w:hAnsi="Calibri Light" w:cs="Calibri Light"/>
                <w:b/>
                <w:bCs/>
                <w:color w:val="000000"/>
                <w:sz w:val="20"/>
                <w:szCs w:val="20"/>
                <w:lang w:eastAsia="en-GB"/>
              </w:rPr>
              <w:t>IEM3</w:t>
            </w:r>
            <w:r w:rsidR="00154EBA">
              <w:rPr>
                <w:rFonts w:ascii="Calibri Light" w:eastAsia="Times New Roman" w:hAnsi="Calibri Light" w:cs="Calibri Light"/>
                <w:b/>
                <w:bCs/>
                <w:color w:val="000000"/>
                <w:sz w:val="20"/>
                <w:szCs w:val="20"/>
                <w:lang w:eastAsia="en-GB"/>
              </w:rPr>
              <w:t>7</w:t>
            </w:r>
          </w:p>
        </w:tc>
        <w:tc>
          <w:tcPr>
            <w:tcW w:w="936" w:type="dxa"/>
            <w:tcBorders>
              <w:top w:val="single" w:sz="8" w:space="0" w:color="auto"/>
              <w:left w:val="nil"/>
              <w:bottom w:val="single" w:sz="8" w:space="0" w:color="auto"/>
              <w:right w:val="single" w:sz="8" w:space="0" w:color="auto"/>
            </w:tcBorders>
            <w:shd w:val="clear" w:color="auto" w:fill="244062"/>
            <w:vAlign w:val="center"/>
            <w:hideMark/>
          </w:tcPr>
          <w:p w14:paraId="3F78548F"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0650D96E" w14:textId="77777777" w:rsidR="0031601F" w:rsidRPr="00A33AE8" w:rsidRDefault="0031601F" w:rsidP="0031601F">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Awareness and information measures for the alleviation of energy poverty</w:t>
            </w:r>
          </w:p>
        </w:tc>
      </w:tr>
      <w:tr w:rsidR="0031601F" w:rsidRPr="00A33AE8" w14:paraId="4EE211C5" w14:textId="77777777" w:rsidTr="00FD2B5A">
        <w:trPr>
          <w:gridAfter w:val="1"/>
          <w:wAfter w:w="1212" w:type="dxa"/>
          <w:trHeight w:val="289"/>
        </w:trPr>
        <w:tc>
          <w:tcPr>
            <w:tcW w:w="3295" w:type="dxa"/>
            <w:tcBorders>
              <w:top w:val="nil"/>
              <w:left w:val="single" w:sz="8" w:space="0" w:color="auto"/>
              <w:bottom w:val="single" w:sz="8" w:space="0" w:color="auto"/>
              <w:right w:val="nil"/>
            </w:tcBorders>
            <w:shd w:val="clear" w:color="auto" w:fill="244062"/>
            <w:vAlign w:val="center"/>
            <w:hideMark/>
          </w:tcPr>
          <w:p w14:paraId="557DF893"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93" w:type="dxa"/>
            <w:gridSpan w:val="3"/>
            <w:tcBorders>
              <w:top w:val="single" w:sz="8" w:space="0" w:color="auto"/>
              <w:left w:val="nil"/>
              <w:bottom w:val="single" w:sz="8" w:space="0" w:color="auto"/>
              <w:right w:val="single" w:sz="8" w:space="0" w:color="000000"/>
            </w:tcBorders>
            <w:vAlign w:val="center"/>
            <w:hideMark/>
          </w:tcPr>
          <w:p w14:paraId="5CB60B73"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Alleviation of energy poverty</w:t>
            </w:r>
          </w:p>
        </w:tc>
      </w:tr>
      <w:tr w:rsidR="0031601F" w:rsidRPr="00A33AE8" w14:paraId="69992AFB"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51D087F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93" w:type="dxa"/>
            <w:gridSpan w:val="3"/>
            <w:tcBorders>
              <w:top w:val="single" w:sz="8" w:space="0" w:color="auto"/>
              <w:left w:val="nil"/>
              <w:bottom w:val="single" w:sz="8" w:space="0" w:color="auto"/>
              <w:right w:val="single" w:sz="8" w:space="0" w:color="000000"/>
            </w:tcBorders>
            <w:vAlign w:val="center"/>
          </w:tcPr>
          <w:p w14:paraId="47FDAB15" w14:textId="77777777" w:rsidR="0031601F" w:rsidRPr="00A33AE8" w:rsidRDefault="0095329C"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Reduction of energy poverty</w:t>
            </w:r>
          </w:p>
        </w:tc>
      </w:tr>
      <w:tr w:rsidR="0031601F" w:rsidRPr="00A33AE8" w14:paraId="69A8E5CE" w14:textId="77777777" w:rsidTr="007C1535">
        <w:trPr>
          <w:gridAfter w:val="1"/>
          <w:wAfter w:w="1212" w:type="dxa"/>
          <w:trHeight w:val="726"/>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3412BDAB"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93" w:type="dxa"/>
            <w:gridSpan w:val="3"/>
            <w:tcBorders>
              <w:top w:val="single" w:sz="8" w:space="0" w:color="auto"/>
              <w:left w:val="nil"/>
              <w:bottom w:val="single" w:sz="8" w:space="0" w:color="auto"/>
              <w:right w:val="single" w:sz="8" w:space="0" w:color="000000"/>
            </w:tcBorders>
            <w:vAlign w:val="center"/>
            <w:hideMark/>
          </w:tcPr>
          <w:p w14:paraId="4E0324D5" w14:textId="77777777" w:rsidR="0031601F" w:rsidRPr="00A33AE8" w:rsidRDefault="000A2441" w:rsidP="0031601F">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w:t>
            </w:r>
            <w:r w:rsidR="00154EBA" w:rsidRPr="00A33AE8">
              <w:rPr>
                <w:rFonts w:ascii="Calibri Light" w:eastAsia="Times New Roman" w:hAnsi="Calibri Light" w:cs="Calibri Light"/>
                <w:color w:val="000000"/>
                <w:sz w:val="20"/>
                <w:szCs w:val="20"/>
                <w:lang w:eastAsia="en-GB"/>
              </w:rPr>
              <w:t>IEM3</w:t>
            </w:r>
            <w:r w:rsidR="00154EBA">
              <w:rPr>
                <w:rFonts w:ascii="Calibri Light" w:eastAsia="Times New Roman" w:hAnsi="Calibri Light" w:cs="Calibri Light"/>
                <w:color w:val="000000"/>
                <w:sz w:val="20"/>
                <w:szCs w:val="20"/>
                <w:lang w:eastAsia="en-GB"/>
              </w:rPr>
              <w:t>7</w:t>
            </w:r>
            <w:r w:rsidR="00154EBA" w:rsidRPr="00A33AE8">
              <w:rPr>
                <w:rFonts w:ascii="Calibri Light" w:eastAsia="Times New Roman" w:hAnsi="Calibri Light" w:cs="Calibri Light"/>
                <w:color w:val="000000"/>
                <w:sz w:val="20"/>
                <w:szCs w:val="20"/>
                <w:lang w:eastAsia="en-GB"/>
              </w:rPr>
              <w:t xml:space="preserve"> </w:t>
            </w:r>
            <w:r w:rsidR="0031601F" w:rsidRPr="00A33AE8">
              <w:rPr>
                <w:rFonts w:ascii="Calibri Light" w:eastAsia="Times New Roman" w:hAnsi="Calibri Light" w:cs="Calibri Light"/>
                <w:color w:val="000000"/>
                <w:sz w:val="20"/>
                <w:szCs w:val="20"/>
                <w:lang w:eastAsia="en-GB"/>
              </w:rPr>
              <w:t>will foster the conduction of information, awareness-raising, guidance or training programmes in order to facilitate the implementation of the planned policies and measures and to contribute to the effective alleviation of energy poverty. The designed measures will not focus only on energy poor households allowing the participation of all the interested stakeholders. The conduction of simplified energy audits will constitute as the main instrument for dissemination resulting to specialized energy advices, while the most effective low-cost interventions can be financed by a targeted financial instrument. The deployment of smart meters will facilitate the provision of guidance and targeted energy advices to energy poor households. Finally, emphasis will be given on the training of the energy professionals about several issues such as the identification of the energy poor households, the avoidance of phenomena such as stigmatization, gender equality etc.</w:t>
            </w:r>
          </w:p>
        </w:tc>
      </w:tr>
      <w:tr w:rsidR="0031601F" w:rsidRPr="00A33AE8" w14:paraId="2369DBC3"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0F84F54B"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93" w:type="dxa"/>
            <w:gridSpan w:val="3"/>
            <w:tcBorders>
              <w:top w:val="single" w:sz="8" w:space="0" w:color="auto"/>
              <w:left w:val="nil"/>
              <w:bottom w:val="single" w:sz="8" w:space="0" w:color="auto"/>
              <w:right w:val="single" w:sz="8" w:space="0" w:color="000000"/>
            </w:tcBorders>
            <w:vAlign w:val="center"/>
            <w:hideMark/>
          </w:tcPr>
          <w:p w14:paraId="7AC2EF79"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2021-2030</w:t>
            </w:r>
          </w:p>
        </w:tc>
      </w:tr>
      <w:tr w:rsidR="0031601F" w:rsidRPr="00A33AE8" w14:paraId="6D83D8A9"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2F208369"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93" w:type="dxa"/>
            <w:gridSpan w:val="3"/>
            <w:tcBorders>
              <w:top w:val="single" w:sz="8" w:space="0" w:color="auto"/>
              <w:left w:val="nil"/>
              <w:bottom w:val="single" w:sz="8" w:space="0" w:color="auto"/>
              <w:right w:val="single" w:sz="8" w:space="0" w:color="000000"/>
            </w:tcBorders>
            <w:vAlign w:val="center"/>
            <w:hideMark/>
          </w:tcPr>
          <w:p w14:paraId="0D5E1622" w14:textId="77777777" w:rsidR="0031601F" w:rsidRPr="00A33AE8" w:rsidRDefault="00910552">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31601F" w:rsidRPr="00A33AE8" w14:paraId="462FD4F7"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761BC214"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93" w:type="dxa"/>
            <w:gridSpan w:val="3"/>
            <w:tcBorders>
              <w:top w:val="single" w:sz="8" w:space="0" w:color="auto"/>
              <w:left w:val="nil"/>
              <w:bottom w:val="single" w:sz="8" w:space="0" w:color="auto"/>
              <w:right w:val="single" w:sz="8" w:space="0" w:color="000000"/>
            </w:tcBorders>
            <w:vAlign w:val="center"/>
            <w:hideMark/>
          </w:tcPr>
          <w:p w14:paraId="21F16EAE" w14:textId="77777777" w:rsidR="0031601F" w:rsidRPr="00A33AE8" w:rsidRDefault="0031601F">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Residential</w:t>
            </w:r>
          </w:p>
        </w:tc>
      </w:tr>
      <w:tr w:rsidR="0031601F" w:rsidRPr="00A33AE8" w14:paraId="722AECBB" w14:textId="77777777" w:rsidTr="00FD2B5A">
        <w:trPr>
          <w:gridAfter w:val="1"/>
          <w:wAfter w:w="1212" w:type="dxa"/>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3409D3B5"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93" w:type="dxa"/>
            <w:gridSpan w:val="3"/>
            <w:tcBorders>
              <w:top w:val="single" w:sz="8" w:space="0" w:color="auto"/>
              <w:left w:val="nil"/>
              <w:bottom w:val="single" w:sz="8" w:space="0" w:color="auto"/>
              <w:right w:val="single" w:sz="8" w:space="0" w:color="000000"/>
            </w:tcBorders>
            <w:vAlign w:val="center"/>
          </w:tcPr>
          <w:p w14:paraId="780BA7A2" w14:textId="77777777" w:rsidR="0031601F" w:rsidRPr="00A33AE8" w:rsidRDefault="008E7BCF" w:rsidP="007A0028">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TBD with the Ministry of Mining and Energy</w:t>
            </w:r>
          </w:p>
        </w:tc>
      </w:tr>
      <w:tr w:rsidR="0031601F" w:rsidRPr="00A33AE8" w14:paraId="5D81876C" w14:textId="77777777" w:rsidTr="00FD2B5A">
        <w:trPr>
          <w:gridAfter w:val="1"/>
          <w:wAfter w:w="1212" w:type="dxa"/>
          <w:trHeight w:val="315"/>
        </w:trPr>
        <w:tc>
          <w:tcPr>
            <w:tcW w:w="3295" w:type="dxa"/>
            <w:tcBorders>
              <w:top w:val="nil"/>
              <w:left w:val="single" w:sz="8" w:space="0" w:color="auto"/>
              <w:bottom w:val="single" w:sz="8" w:space="0" w:color="auto"/>
              <w:right w:val="nil"/>
            </w:tcBorders>
            <w:shd w:val="clear" w:color="auto" w:fill="244062"/>
            <w:vAlign w:val="center"/>
            <w:hideMark/>
          </w:tcPr>
          <w:p w14:paraId="73C8BDF0"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93" w:type="dxa"/>
            <w:gridSpan w:val="3"/>
            <w:tcBorders>
              <w:top w:val="single" w:sz="8" w:space="0" w:color="auto"/>
              <w:left w:val="nil"/>
              <w:bottom w:val="single" w:sz="8" w:space="0" w:color="auto"/>
              <w:right w:val="single" w:sz="8" w:space="0" w:color="000000"/>
            </w:tcBorders>
            <w:vAlign w:val="center"/>
          </w:tcPr>
          <w:p w14:paraId="772B91B3" w14:textId="77777777" w:rsidR="0031601F" w:rsidRPr="00A33AE8" w:rsidRDefault="0031601F">
            <w:pPr>
              <w:spacing w:after="0" w:line="240" w:lineRule="auto"/>
              <w:jc w:val="center"/>
              <w:rPr>
                <w:rFonts w:ascii="Calibri Light" w:eastAsia="Times New Roman" w:hAnsi="Calibri Light" w:cs="Calibri Light"/>
                <w:color w:val="000000"/>
                <w:sz w:val="20"/>
                <w:szCs w:val="20"/>
                <w:lang w:eastAsia="en-GB"/>
              </w:rPr>
            </w:pPr>
          </w:p>
        </w:tc>
      </w:tr>
      <w:tr w:rsidR="0031601F" w:rsidRPr="00A33AE8" w14:paraId="7568521B" w14:textId="77777777" w:rsidTr="00FD2B5A">
        <w:trPr>
          <w:gridAfter w:val="1"/>
          <w:wAfter w:w="1212" w:type="dxa"/>
          <w:trHeight w:val="315"/>
        </w:trPr>
        <w:tc>
          <w:tcPr>
            <w:tcW w:w="3295" w:type="dxa"/>
            <w:tcBorders>
              <w:top w:val="nil"/>
              <w:left w:val="single" w:sz="8" w:space="0" w:color="auto"/>
              <w:bottom w:val="single" w:sz="8" w:space="0" w:color="auto"/>
              <w:right w:val="nil"/>
            </w:tcBorders>
            <w:shd w:val="clear" w:color="auto" w:fill="244062"/>
            <w:vAlign w:val="center"/>
            <w:hideMark/>
          </w:tcPr>
          <w:p w14:paraId="4D351CC4"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93" w:type="dxa"/>
            <w:gridSpan w:val="3"/>
            <w:tcBorders>
              <w:top w:val="single" w:sz="8" w:space="0" w:color="auto"/>
              <w:left w:val="nil"/>
              <w:bottom w:val="single" w:sz="8" w:space="0" w:color="auto"/>
              <w:right w:val="single" w:sz="8" w:space="0" w:color="000000"/>
            </w:tcBorders>
            <w:vAlign w:val="center"/>
            <w:hideMark/>
          </w:tcPr>
          <w:p w14:paraId="099D5F93" w14:textId="77777777" w:rsidR="0031601F" w:rsidRPr="00A33AE8" w:rsidRDefault="0095329C" w:rsidP="00507954">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affected energy poor households</w:t>
            </w:r>
          </w:p>
        </w:tc>
      </w:tr>
      <w:tr w:rsidR="00A0226E" w:rsidRPr="00A33AE8" w14:paraId="187DCFBF" w14:textId="77777777" w:rsidTr="007E2E34">
        <w:trPr>
          <w:gridAfter w:val="1"/>
          <w:wAfter w:w="1212" w:type="dxa"/>
          <w:trHeight w:val="341"/>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3E22CF7E" w14:textId="77777777" w:rsidR="00A0226E" w:rsidRPr="00A33AE8" w:rsidRDefault="00A0226E" w:rsidP="00A0226E">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93" w:type="dxa"/>
            <w:gridSpan w:val="3"/>
            <w:tcBorders>
              <w:top w:val="single" w:sz="8" w:space="0" w:color="auto"/>
              <w:left w:val="nil"/>
              <w:bottom w:val="single" w:sz="8" w:space="0" w:color="auto"/>
              <w:right w:val="single" w:sz="8" w:space="0" w:color="000000"/>
            </w:tcBorders>
            <w:vAlign w:val="center"/>
          </w:tcPr>
          <w:p w14:paraId="587EEE03" w14:textId="77777777" w:rsidR="00A0226E" w:rsidRPr="00A33AE8" w:rsidRDefault="00A0226E" w:rsidP="00A0226E">
            <w:pPr>
              <w:spacing w:after="0" w:line="240" w:lineRule="auto"/>
              <w:rPr>
                <w:rFonts w:ascii="Calibri Light" w:eastAsia="Times New Roman" w:hAnsi="Calibri Light" w:cs="Calibri Light"/>
                <w:color w:val="000000"/>
                <w:sz w:val="20"/>
                <w:szCs w:val="20"/>
                <w:lang w:eastAsia="en-GB"/>
              </w:rPr>
            </w:pPr>
          </w:p>
        </w:tc>
      </w:tr>
      <w:tr w:rsidR="0031601F" w:rsidRPr="00A33AE8" w14:paraId="170F8CED" w14:textId="77777777" w:rsidTr="00FD2B5A">
        <w:trPr>
          <w:gridAfter w:val="1"/>
          <w:wAfter w:w="1212" w:type="dxa"/>
          <w:trHeight w:val="450"/>
        </w:trPr>
        <w:tc>
          <w:tcPr>
            <w:tcW w:w="3295" w:type="dxa"/>
            <w:vMerge w:val="restart"/>
            <w:tcBorders>
              <w:top w:val="nil"/>
              <w:left w:val="single" w:sz="8" w:space="0" w:color="auto"/>
              <w:bottom w:val="single" w:sz="8" w:space="0" w:color="000000"/>
              <w:right w:val="single" w:sz="8" w:space="0" w:color="auto"/>
            </w:tcBorders>
            <w:shd w:val="clear" w:color="auto" w:fill="244062"/>
            <w:vAlign w:val="center"/>
            <w:hideMark/>
          </w:tcPr>
          <w:p w14:paraId="2D978005"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93"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170B0C" w14:textId="77777777" w:rsidR="0031601F" w:rsidRPr="00A33AE8" w:rsidRDefault="0031601F" w:rsidP="00884F3B">
            <w:pPr>
              <w:pStyle w:val="ListParagraph"/>
              <w:numPr>
                <w:ilvl w:val="0"/>
                <w:numId w:val="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Directive 2019/944</w:t>
            </w:r>
            <w:r w:rsidR="0095329C" w:rsidRPr="00A33AE8">
              <w:rPr>
                <w:rFonts w:ascii="Calibri Light" w:eastAsia="Times New Roman" w:hAnsi="Calibri Light" w:cs="Calibri Light"/>
                <w:color w:val="000000"/>
                <w:sz w:val="20"/>
                <w:szCs w:val="20"/>
                <w:lang w:eastAsia="en-GB"/>
              </w:rPr>
              <w:t>/EU</w:t>
            </w:r>
          </w:p>
        </w:tc>
      </w:tr>
      <w:tr w:rsidR="0031601F" w:rsidRPr="00A33AE8" w14:paraId="63E11EC7" w14:textId="77777777" w:rsidTr="00FD2B5A">
        <w:trPr>
          <w:trHeight w:val="300"/>
        </w:trPr>
        <w:tc>
          <w:tcPr>
            <w:tcW w:w="0" w:type="auto"/>
            <w:vMerge/>
            <w:tcBorders>
              <w:top w:val="nil"/>
              <w:left w:val="single" w:sz="8" w:space="0" w:color="auto"/>
              <w:bottom w:val="single" w:sz="8" w:space="0" w:color="000000"/>
              <w:right w:val="single" w:sz="8" w:space="0" w:color="auto"/>
            </w:tcBorders>
            <w:vAlign w:val="center"/>
            <w:hideMark/>
          </w:tcPr>
          <w:p w14:paraId="4A9E111A"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3" w:type="dxa"/>
            <w:gridSpan w:val="3"/>
            <w:vMerge/>
            <w:tcBorders>
              <w:top w:val="single" w:sz="8" w:space="0" w:color="auto"/>
              <w:left w:val="single" w:sz="8" w:space="0" w:color="auto"/>
              <w:bottom w:val="single" w:sz="8" w:space="0" w:color="000000"/>
              <w:right w:val="single" w:sz="8" w:space="0" w:color="000000"/>
            </w:tcBorders>
            <w:vAlign w:val="center"/>
            <w:hideMark/>
          </w:tcPr>
          <w:p w14:paraId="2D02E458" w14:textId="77777777" w:rsidR="0031601F" w:rsidRPr="00A33AE8" w:rsidRDefault="0031601F" w:rsidP="00884F3B">
            <w:pPr>
              <w:pStyle w:val="ListParagraph"/>
              <w:numPr>
                <w:ilvl w:val="0"/>
                <w:numId w:val="49"/>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62FECBE6" w14:textId="77777777" w:rsidR="0031601F" w:rsidRPr="00A33AE8" w:rsidRDefault="0031601F"/>
        </w:tc>
      </w:tr>
      <w:tr w:rsidR="0031601F" w:rsidRPr="00A33AE8" w14:paraId="686CDB00" w14:textId="77777777" w:rsidTr="00FD2B5A">
        <w:trPr>
          <w:trHeight w:val="60"/>
        </w:trPr>
        <w:tc>
          <w:tcPr>
            <w:tcW w:w="0" w:type="auto"/>
            <w:vMerge/>
            <w:tcBorders>
              <w:top w:val="nil"/>
              <w:left w:val="single" w:sz="8" w:space="0" w:color="auto"/>
              <w:bottom w:val="single" w:sz="8" w:space="0" w:color="000000"/>
              <w:right w:val="single" w:sz="8" w:space="0" w:color="auto"/>
            </w:tcBorders>
            <w:vAlign w:val="center"/>
            <w:hideMark/>
          </w:tcPr>
          <w:p w14:paraId="4E66AB88" w14:textId="77777777" w:rsidR="0031601F" w:rsidRPr="00A33AE8" w:rsidRDefault="0031601F">
            <w:pPr>
              <w:spacing w:after="0" w:line="256" w:lineRule="auto"/>
              <w:rPr>
                <w:rFonts w:ascii="Calibri Light" w:eastAsia="Times New Roman" w:hAnsi="Calibri Light" w:cs="Calibri Light"/>
                <w:b/>
                <w:bCs/>
                <w:color w:val="FFFFFF"/>
                <w:sz w:val="20"/>
                <w:szCs w:val="20"/>
                <w:lang w:eastAsia="en-GB"/>
              </w:rPr>
            </w:pPr>
          </w:p>
        </w:tc>
        <w:tc>
          <w:tcPr>
            <w:tcW w:w="6193" w:type="dxa"/>
            <w:gridSpan w:val="3"/>
            <w:vMerge/>
            <w:tcBorders>
              <w:top w:val="single" w:sz="8" w:space="0" w:color="auto"/>
              <w:left w:val="single" w:sz="8" w:space="0" w:color="auto"/>
              <w:bottom w:val="single" w:sz="8" w:space="0" w:color="000000"/>
              <w:right w:val="single" w:sz="8" w:space="0" w:color="000000"/>
            </w:tcBorders>
            <w:vAlign w:val="center"/>
            <w:hideMark/>
          </w:tcPr>
          <w:p w14:paraId="53CF682E" w14:textId="77777777" w:rsidR="0031601F" w:rsidRPr="00A33AE8" w:rsidRDefault="0031601F" w:rsidP="00884F3B">
            <w:pPr>
              <w:pStyle w:val="ListParagraph"/>
              <w:numPr>
                <w:ilvl w:val="0"/>
                <w:numId w:val="49"/>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56DC9C81" w14:textId="77777777" w:rsidR="0031601F" w:rsidRPr="00A33AE8" w:rsidRDefault="0031601F">
            <w:pPr>
              <w:spacing w:after="0" w:line="256" w:lineRule="auto"/>
              <w:rPr>
                <w:sz w:val="20"/>
                <w:szCs w:val="20"/>
                <w:lang w:eastAsia="en-GB"/>
              </w:rPr>
            </w:pPr>
          </w:p>
        </w:tc>
      </w:tr>
      <w:tr w:rsidR="0031601F" w:rsidRPr="00A33AE8" w14:paraId="5834A520" w14:textId="77777777" w:rsidTr="00FD2B5A">
        <w:trPr>
          <w:trHeight w:val="388"/>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331A7C8C" w14:textId="77777777" w:rsidR="0031601F" w:rsidRPr="00A33AE8" w:rsidRDefault="0031601F">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93" w:type="dxa"/>
            <w:gridSpan w:val="3"/>
            <w:tcBorders>
              <w:top w:val="single" w:sz="8" w:space="0" w:color="auto"/>
              <w:left w:val="nil"/>
              <w:bottom w:val="single" w:sz="8" w:space="0" w:color="auto"/>
              <w:right w:val="single" w:sz="8" w:space="0" w:color="000000"/>
            </w:tcBorders>
            <w:vAlign w:val="center"/>
            <w:hideMark/>
          </w:tcPr>
          <w:p w14:paraId="1A28CFC4" w14:textId="77777777" w:rsidR="0031601F" w:rsidRPr="00A33AE8" w:rsidRDefault="0031601F" w:rsidP="00884F3B">
            <w:pPr>
              <w:pStyle w:val="ListParagraph"/>
              <w:numPr>
                <w:ilvl w:val="0"/>
                <w:numId w:val="4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National Coalition for Energy Poverty Reduction</w:t>
            </w:r>
          </w:p>
        </w:tc>
        <w:tc>
          <w:tcPr>
            <w:tcW w:w="1212" w:type="dxa"/>
            <w:vAlign w:val="center"/>
            <w:hideMark/>
          </w:tcPr>
          <w:p w14:paraId="2AB761EE" w14:textId="77777777" w:rsidR="0031601F" w:rsidRPr="00A33AE8" w:rsidRDefault="0031601F">
            <w:pPr>
              <w:rPr>
                <w:rFonts w:ascii="Calibri Light" w:eastAsia="Times New Roman" w:hAnsi="Calibri Light" w:cs="Calibri Light"/>
                <w:color w:val="000000"/>
                <w:sz w:val="20"/>
                <w:szCs w:val="20"/>
                <w:lang w:eastAsia="en-GB"/>
              </w:rPr>
            </w:pPr>
          </w:p>
        </w:tc>
      </w:tr>
      <w:tr w:rsidR="00113485" w:rsidRPr="00A33AE8" w14:paraId="2912A6B1" w14:textId="77777777" w:rsidTr="00FD2B5A">
        <w:trPr>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76AFA945" w14:textId="77777777" w:rsidR="00113485" w:rsidRPr="00A33AE8" w:rsidRDefault="00113485" w:rsidP="0011348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cost</w:t>
            </w:r>
          </w:p>
        </w:tc>
        <w:tc>
          <w:tcPr>
            <w:tcW w:w="6193" w:type="dxa"/>
            <w:gridSpan w:val="3"/>
            <w:tcBorders>
              <w:top w:val="single" w:sz="8" w:space="0" w:color="auto"/>
              <w:left w:val="nil"/>
              <w:bottom w:val="single" w:sz="8" w:space="0" w:color="auto"/>
              <w:right w:val="single" w:sz="8" w:space="0" w:color="000000"/>
            </w:tcBorders>
            <w:vAlign w:val="center"/>
            <w:hideMark/>
          </w:tcPr>
          <w:p w14:paraId="4BFDA471" w14:textId="77777777" w:rsidR="00113485" w:rsidRPr="00A33AE8" w:rsidRDefault="007C58F4" w:rsidP="00507954">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0.7 M</w:t>
            </w:r>
            <w:r w:rsidRPr="00A33AE8">
              <w:rPr>
                <w:rFonts w:ascii="Calibri" w:eastAsia="Times New Roman" w:hAnsi="Calibri" w:cs="Calibri"/>
                <w:color w:val="000000"/>
                <w:sz w:val="20"/>
                <w:szCs w:val="20"/>
                <w:lang w:eastAsia="en-GB"/>
              </w:rPr>
              <w:t>€</w:t>
            </w:r>
          </w:p>
        </w:tc>
        <w:tc>
          <w:tcPr>
            <w:tcW w:w="1212" w:type="dxa"/>
            <w:vAlign w:val="center"/>
            <w:hideMark/>
          </w:tcPr>
          <w:p w14:paraId="5C9A5DF0" w14:textId="77777777" w:rsidR="00113485" w:rsidRPr="00A33AE8" w:rsidRDefault="00113485" w:rsidP="00113485">
            <w:pPr>
              <w:rPr>
                <w:rFonts w:ascii="Calibri" w:eastAsia="Times New Roman" w:hAnsi="Calibri" w:cs="Calibri"/>
                <w:color w:val="000000"/>
                <w:lang w:eastAsia="en-GB"/>
              </w:rPr>
            </w:pPr>
          </w:p>
        </w:tc>
      </w:tr>
      <w:tr w:rsidR="00113485" w:rsidRPr="00A33AE8" w14:paraId="710B0CC5" w14:textId="77777777" w:rsidTr="00FD2B5A">
        <w:trPr>
          <w:trHeight w:val="315"/>
        </w:trPr>
        <w:tc>
          <w:tcPr>
            <w:tcW w:w="3295" w:type="dxa"/>
            <w:tcBorders>
              <w:top w:val="nil"/>
              <w:left w:val="single" w:sz="8" w:space="0" w:color="auto"/>
              <w:bottom w:val="single" w:sz="8" w:space="0" w:color="auto"/>
              <w:right w:val="single" w:sz="8" w:space="0" w:color="auto"/>
            </w:tcBorders>
            <w:shd w:val="clear" w:color="auto" w:fill="244062"/>
            <w:vAlign w:val="center"/>
            <w:hideMark/>
          </w:tcPr>
          <w:p w14:paraId="4B919A5C" w14:textId="77777777" w:rsidR="00113485" w:rsidRPr="00A33AE8" w:rsidRDefault="00113485" w:rsidP="00113485">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93" w:type="dxa"/>
            <w:gridSpan w:val="3"/>
            <w:tcBorders>
              <w:top w:val="single" w:sz="8" w:space="0" w:color="auto"/>
              <w:left w:val="nil"/>
              <w:bottom w:val="single" w:sz="8" w:space="0" w:color="auto"/>
              <w:right w:val="single" w:sz="8" w:space="0" w:color="000000"/>
            </w:tcBorders>
            <w:vAlign w:val="center"/>
            <w:hideMark/>
          </w:tcPr>
          <w:p w14:paraId="2BDB8EE5" w14:textId="77777777" w:rsidR="00113485" w:rsidRPr="00A33AE8" w:rsidRDefault="00113485">
            <w:pPr>
              <w:spacing w:after="0" w:line="240" w:lineRule="auto"/>
              <w:rPr>
                <w:rFonts w:ascii="Calibri" w:eastAsia="Times New Roman" w:hAnsi="Calibri" w:cs="Calibri"/>
                <w:color w:val="000000"/>
                <w:lang w:eastAsia="en-GB"/>
              </w:rPr>
            </w:pPr>
            <w:r w:rsidRPr="00A33AE8">
              <w:rPr>
                <w:rFonts w:ascii="Calibri Light" w:eastAsia="Times New Roman" w:hAnsi="Calibri Light" w:cs="Calibri Light"/>
                <w:color w:val="000000"/>
                <w:sz w:val="20"/>
                <w:szCs w:val="20"/>
                <w:lang w:eastAsia="en-GB"/>
              </w:rPr>
              <w:t>EU and other funds</w:t>
            </w:r>
            <w:r w:rsidR="00910552" w:rsidRPr="00A33AE8">
              <w:rPr>
                <w:rFonts w:ascii="Calibri Light" w:eastAsia="Times New Roman" w:hAnsi="Calibri Light" w:cs="Calibri Light"/>
                <w:color w:val="000000"/>
                <w:sz w:val="20"/>
                <w:szCs w:val="20"/>
                <w:lang w:eastAsia="en-GB"/>
              </w:rPr>
              <w:t xml:space="preserve">, </w:t>
            </w:r>
            <w:r w:rsidRPr="00A33AE8">
              <w:rPr>
                <w:rFonts w:ascii="Calibri Light" w:eastAsia="Times New Roman" w:hAnsi="Calibri Light" w:cs="Calibri Light"/>
                <w:color w:val="000000"/>
                <w:sz w:val="20"/>
                <w:szCs w:val="20"/>
                <w:lang w:eastAsia="en-GB"/>
              </w:rPr>
              <w:t>public funds</w:t>
            </w:r>
          </w:p>
        </w:tc>
        <w:tc>
          <w:tcPr>
            <w:tcW w:w="1212" w:type="dxa"/>
            <w:vAlign w:val="center"/>
            <w:hideMark/>
          </w:tcPr>
          <w:p w14:paraId="2105A802" w14:textId="77777777" w:rsidR="00113485" w:rsidRPr="00A33AE8" w:rsidRDefault="00113485" w:rsidP="00113485">
            <w:pPr>
              <w:rPr>
                <w:rFonts w:ascii="Calibri" w:eastAsia="Times New Roman" w:hAnsi="Calibri" w:cs="Calibri"/>
                <w:color w:val="000000"/>
                <w:lang w:eastAsia="en-GB"/>
              </w:rPr>
            </w:pPr>
          </w:p>
        </w:tc>
      </w:tr>
    </w:tbl>
    <w:p w14:paraId="4FF5DCAC" w14:textId="77777777" w:rsidR="000A1EA4" w:rsidRPr="00A33AE8" w:rsidRDefault="000A1EA4" w:rsidP="007E2E34">
      <w:pPr>
        <w:pStyle w:val="LDKbody"/>
        <w:rPr>
          <w:lang w:val="en-GB"/>
        </w:rPr>
      </w:pPr>
    </w:p>
    <w:p w14:paraId="261F9D1C" w14:textId="77777777" w:rsidR="007E2E34" w:rsidRPr="00A33AE8" w:rsidRDefault="007E2E34" w:rsidP="007E2E34">
      <w:pPr>
        <w:pStyle w:val="LDKbody"/>
        <w:rPr>
          <w:rFonts w:asciiTheme="majorHAnsi" w:hAnsiTheme="majorHAnsi" w:cstheme="majorHAnsi"/>
          <w:lang w:val="en-GB"/>
        </w:rPr>
      </w:pPr>
      <w:r w:rsidRPr="00A33AE8">
        <w:rPr>
          <w:rFonts w:asciiTheme="majorHAnsi" w:hAnsiTheme="majorHAnsi" w:cstheme="majorHAnsi"/>
          <w:lang w:val="en-GB"/>
        </w:rPr>
        <w:t>Except the measures presented in the previous tables, the following measures related to the other dimensions also affect the internal energy market dimension and contribute to the achievement of the internal energy market targets:</w:t>
      </w:r>
    </w:p>
    <w:p w14:paraId="25DB00DB" w14:textId="77777777" w:rsidR="007E2E34" w:rsidRPr="00A33AE8" w:rsidRDefault="007E2E34" w:rsidP="007E2E34">
      <w:pPr>
        <w:pStyle w:val="LDKBullets-main"/>
        <w:rPr>
          <w:rFonts w:asciiTheme="majorHAnsi" w:hAnsiTheme="majorHAnsi" w:cstheme="majorHAnsi"/>
          <w:b/>
          <w:bCs/>
        </w:rPr>
      </w:pPr>
      <w:r w:rsidRPr="00A33AE8">
        <w:rPr>
          <w:rFonts w:asciiTheme="majorHAnsi" w:hAnsiTheme="majorHAnsi" w:cstheme="majorHAnsi"/>
        </w:rPr>
        <w:t xml:space="preserve">Dimension decarbonisation: </w:t>
      </w:r>
      <w:r w:rsidRPr="00A33AE8">
        <w:rPr>
          <w:rFonts w:asciiTheme="majorHAnsi" w:hAnsiTheme="majorHAnsi" w:cstheme="majorHAnsi"/>
          <w:b/>
          <w:bCs/>
        </w:rPr>
        <w:t>PM_D2</w:t>
      </w:r>
      <w:r w:rsidR="007A7521" w:rsidRPr="00A33AE8">
        <w:rPr>
          <w:rFonts w:asciiTheme="majorHAnsi" w:hAnsiTheme="majorHAnsi" w:cstheme="majorHAnsi"/>
          <w:b/>
          <w:bCs/>
        </w:rPr>
        <w:t>0</w:t>
      </w:r>
      <w:r w:rsidRPr="00A33AE8">
        <w:rPr>
          <w:rFonts w:asciiTheme="majorHAnsi" w:hAnsiTheme="majorHAnsi" w:cstheme="majorHAnsi"/>
        </w:rPr>
        <w:t xml:space="preserve">, </w:t>
      </w:r>
      <w:r w:rsidR="007A7521" w:rsidRPr="00A33AE8">
        <w:rPr>
          <w:rFonts w:asciiTheme="majorHAnsi" w:hAnsiTheme="majorHAnsi" w:cstheme="majorHAnsi"/>
          <w:b/>
          <w:bCs/>
        </w:rPr>
        <w:t>PM_D23</w:t>
      </w:r>
      <w:r w:rsidR="007A7521" w:rsidRPr="00A33AE8">
        <w:rPr>
          <w:rFonts w:asciiTheme="majorHAnsi" w:hAnsiTheme="majorHAnsi" w:cstheme="majorHAnsi"/>
        </w:rPr>
        <w:t xml:space="preserve">, </w:t>
      </w:r>
      <w:r w:rsidRPr="00A33AE8">
        <w:rPr>
          <w:rFonts w:asciiTheme="majorHAnsi" w:hAnsiTheme="majorHAnsi" w:cstheme="majorHAnsi"/>
          <w:b/>
          <w:bCs/>
        </w:rPr>
        <w:t>PM_</w:t>
      </w:r>
      <w:r w:rsidR="008C6BDC" w:rsidRPr="00A33AE8">
        <w:rPr>
          <w:rFonts w:asciiTheme="majorHAnsi" w:hAnsiTheme="majorHAnsi" w:cstheme="majorHAnsi"/>
          <w:b/>
          <w:bCs/>
        </w:rPr>
        <w:t>D36</w:t>
      </w:r>
      <w:r w:rsidR="008C6BDC" w:rsidRPr="00A33AE8">
        <w:rPr>
          <w:rFonts w:asciiTheme="majorHAnsi" w:hAnsiTheme="majorHAnsi" w:cstheme="majorHAnsi"/>
        </w:rPr>
        <w:t xml:space="preserve"> </w:t>
      </w:r>
      <w:r w:rsidRPr="00A33AE8">
        <w:rPr>
          <w:rFonts w:asciiTheme="majorHAnsi" w:hAnsiTheme="majorHAnsi" w:cstheme="majorHAnsi"/>
        </w:rPr>
        <w:t xml:space="preserve">and </w:t>
      </w:r>
      <w:r w:rsidRPr="00A33AE8">
        <w:rPr>
          <w:rFonts w:asciiTheme="majorHAnsi" w:hAnsiTheme="majorHAnsi" w:cstheme="majorHAnsi"/>
          <w:b/>
          <w:bCs/>
        </w:rPr>
        <w:t>PM_D</w:t>
      </w:r>
      <w:r w:rsidR="007A7521" w:rsidRPr="00A33AE8">
        <w:rPr>
          <w:rFonts w:asciiTheme="majorHAnsi" w:hAnsiTheme="majorHAnsi" w:cstheme="majorHAnsi"/>
          <w:b/>
          <w:bCs/>
        </w:rPr>
        <w:t>3</w:t>
      </w:r>
      <w:r w:rsidR="008C6BDC" w:rsidRPr="00A33AE8">
        <w:rPr>
          <w:rFonts w:asciiTheme="majorHAnsi" w:hAnsiTheme="majorHAnsi" w:cstheme="majorHAnsi"/>
          <w:b/>
          <w:bCs/>
        </w:rPr>
        <w:t>7</w:t>
      </w:r>
    </w:p>
    <w:p w14:paraId="5DBCA88D" w14:textId="77777777" w:rsidR="007E2E34" w:rsidRPr="00A33AE8" w:rsidRDefault="007E2E34" w:rsidP="007E2E34">
      <w:pPr>
        <w:pStyle w:val="LDKBullets-main"/>
        <w:rPr>
          <w:rFonts w:asciiTheme="majorHAnsi" w:hAnsiTheme="majorHAnsi" w:cstheme="majorHAnsi"/>
        </w:rPr>
      </w:pPr>
      <w:r w:rsidRPr="00A33AE8">
        <w:rPr>
          <w:rFonts w:asciiTheme="majorHAnsi" w:hAnsiTheme="majorHAnsi" w:cstheme="majorHAnsi"/>
        </w:rPr>
        <w:t xml:space="preserve">Dimension energy security: </w:t>
      </w:r>
      <w:r w:rsidRPr="00A33AE8">
        <w:rPr>
          <w:rFonts w:asciiTheme="majorHAnsi" w:hAnsiTheme="majorHAnsi" w:cstheme="majorHAnsi"/>
          <w:b/>
          <w:bCs/>
        </w:rPr>
        <w:t>PM_ES</w:t>
      </w:r>
      <w:r w:rsidR="00441169">
        <w:rPr>
          <w:rFonts w:asciiTheme="majorHAnsi" w:hAnsiTheme="majorHAnsi" w:cstheme="majorHAnsi"/>
          <w:b/>
          <w:bCs/>
        </w:rPr>
        <w:t>2</w:t>
      </w:r>
      <w:r w:rsidRPr="00A33AE8">
        <w:rPr>
          <w:rFonts w:asciiTheme="majorHAnsi" w:hAnsiTheme="majorHAnsi" w:cstheme="majorHAnsi"/>
          <w:b/>
          <w:bCs/>
        </w:rPr>
        <w:t xml:space="preserve"> – PM_ES3</w:t>
      </w:r>
      <w:r w:rsidR="002F1536" w:rsidRPr="00A33AE8">
        <w:rPr>
          <w:rFonts w:asciiTheme="majorHAnsi" w:hAnsiTheme="majorHAnsi" w:cstheme="majorHAnsi"/>
        </w:rPr>
        <w:t xml:space="preserve">, </w:t>
      </w:r>
      <w:r w:rsidRPr="00A33AE8">
        <w:rPr>
          <w:rFonts w:asciiTheme="majorHAnsi" w:hAnsiTheme="majorHAnsi" w:cstheme="majorHAnsi"/>
          <w:b/>
          <w:bCs/>
        </w:rPr>
        <w:t>PM_ES3.1</w:t>
      </w:r>
      <w:r w:rsidR="002F1536" w:rsidRPr="00A33AE8">
        <w:rPr>
          <w:rFonts w:asciiTheme="majorHAnsi" w:hAnsiTheme="majorHAnsi" w:cstheme="majorHAnsi"/>
        </w:rPr>
        <w:t>and</w:t>
      </w:r>
      <w:r w:rsidR="002F1536" w:rsidRPr="00A33AE8">
        <w:rPr>
          <w:rFonts w:asciiTheme="majorHAnsi" w:hAnsiTheme="majorHAnsi" w:cstheme="majorHAnsi"/>
          <w:b/>
          <w:bCs/>
        </w:rPr>
        <w:t xml:space="preserve"> PM_ES6</w:t>
      </w:r>
    </w:p>
    <w:p w14:paraId="299AFEA5" w14:textId="77777777" w:rsidR="0024260E" w:rsidRPr="00A33AE8" w:rsidRDefault="0024260E" w:rsidP="007E2E34">
      <w:pPr>
        <w:pStyle w:val="LDKBullets-main"/>
        <w:rPr>
          <w:rFonts w:asciiTheme="majorHAnsi" w:hAnsiTheme="majorHAnsi" w:cstheme="majorHAnsi"/>
        </w:rPr>
      </w:pPr>
      <w:r w:rsidRPr="00A33AE8">
        <w:rPr>
          <w:rFonts w:asciiTheme="majorHAnsi" w:hAnsiTheme="majorHAnsi" w:cstheme="majorHAnsi"/>
        </w:rPr>
        <w:t xml:space="preserve">Dimension research, innovation and competitiveness: </w:t>
      </w:r>
      <w:r w:rsidRPr="00A33AE8">
        <w:rPr>
          <w:rFonts w:asciiTheme="majorHAnsi" w:hAnsiTheme="majorHAnsi" w:cstheme="majorHAnsi"/>
          <w:b/>
          <w:bCs/>
        </w:rPr>
        <w:t>PM_RIC1 – PM_RIC20</w:t>
      </w:r>
    </w:p>
    <w:p w14:paraId="3A27B61E" w14:textId="77777777" w:rsidR="00113485" w:rsidRPr="00A33AE8" w:rsidRDefault="00113485" w:rsidP="00507954">
      <w:pPr>
        <w:pStyle w:val="LDKbody"/>
        <w:rPr>
          <w:lang w:val="en-GB"/>
        </w:rPr>
      </w:pPr>
    </w:p>
    <w:p w14:paraId="20825CE4" w14:textId="77777777" w:rsidR="00351DC9" w:rsidRPr="00A33AE8" w:rsidRDefault="00351DC9" w:rsidP="00351DC9">
      <w:pPr>
        <w:pStyle w:val="Heading2"/>
      </w:pPr>
      <w:bookmarkStart w:id="183" w:name="_Toc79772557"/>
      <w:bookmarkStart w:id="184" w:name="_Toc118991777"/>
      <w:bookmarkStart w:id="185" w:name="_Toc153545049"/>
      <w:r w:rsidRPr="00A33AE8">
        <w:t>Dimension Research, Innovation and Competitiveness</w:t>
      </w:r>
      <w:bookmarkEnd w:id="183"/>
      <w:bookmarkEnd w:id="184"/>
      <w:bookmarkEnd w:id="185"/>
    </w:p>
    <w:p w14:paraId="44324EF3" w14:textId="77777777" w:rsidR="008D1A97" w:rsidRPr="00A33AE8" w:rsidRDefault="005932CC" w:rsidP="00D57358">
      <w:pPr>
        <w:pStyle w:val="LDKbody"/>
        <w:rPr>
          <w:rFonts w:asciiTheme="majorHAnsi" w:hAnsiTheme="majorHAnsi" w:cstheme="majorHAnsi"/>
          <w:lang w:val="en-GB"/>
        </w:rPr>
      </w:pPr>
      <w:r w:rsidRPr="00A33AE8">
        <w:rPr>
          <w:rFonts w:asciiTheme="majorHAnsi" w:hAnsiTheme="majorHAnsi" w:cstheme="majorHAnsi"/>
          <w:lang w:val="en-GB"/>
        </w:rPr>
        <w:t xml:space="preserve">It must be noted </w:t>
      </w:r>
      <w:r w:rsidR="00C96A78" w:rsidRPr="00A33AE8">
        <w:rPr>
          <w:rFonts w:asciiTheme="majorHAnsi" w:hAnsiTheme="majorHAnsi" w:cstheme="majorHAnsi"/>
          <w:lang w:val="en-GB"/>
        </w:rPr>
        <w:t>that, based</w:t>
      </w:r>
      <w:r w:rsidR="00E96915" w:rsidRPr="00A33AE8">
        <w:rPr>
          <w:rFonts w:asciiTheme="majorHAnsi" w:hAnsiTheme="majorHAnsi" w:cstheme="majorHAnsi"/>
          <w:lang w:val="en-GB"/>
        </w:rPr>
        <w:t xml:space="preserve"> on the forecasts for the GDP of the years 2020, 2025 and 2030 referred to in the 4</w:t>
      </w:r>
      <w:r w:rsidR="00E96915" w:rsidRPr="00A33AE8">
        <w:rPr>
          <w:rFonts w:asciiTheme="majorHAnsi" w:hAnsiTheme="majorHAnsi" w:cstheme="majorHAnsi"/>
          <w:vertAlign w:val="superscript"/>
          <w:lang w:val="en-GB"/>
        </w:rPr>
        <w:t>th</w:t>
      </w:r>
      <w:r w:rsidR="005355C6" w:rsidRPr="00A33AE8">
        <w:rPr>
          <w:rFonts w:asciiTheme="majorHAnsi" w:hAnsiTheme="majorHAnsi" w:cstheme="majorHAnsi"/>
          <w:vertAlign w:val="superscript"/>
          <w:lang w:val="en-GB"/>
        </w:rPr>
        <w:t xml:space="preserve"> </w:t>
      </w:r>
      <w:r w:rsidR="00E96915" w:rsidRPr="00A33AE8">
        <w:rPr>
          <w:rFonts w:asciiTheme="majorHAnsi" w:hAnsiTheme="majorHAnsi" w:cstheme="majorHAnsi"/>
          <w:lang w:val="en-GB"/>
        </w:rPr>
        <w:t xml:space="preserve">Chapter of </w:t>
      </w:r>
      <w:r w:rsidR="00FE7CE5" w:rsidRPr="00A33AE8">
        <w:rPr>
          <w:rFonts w:asciiTheme="majorHAnsi" w:hAnsiTheme="majorHAnsi" w:cstheme="majorHAnsi"/>
          <w:lang w:val="en-GB"/>
        </w:rPr>
        <w:t xml:space="preserve">the </w:t>
      </w:r>
      <w:r w:rsidR="00723D73">
        <w:rPr>
          <w:rFonts w:asciiTheme="majorHAnsi" w:hAnsiTheme="majorHAnsi" w:cstheme="majorHAnsi"/>
          <w:lang w:val="en-GB"/>
        </w:rPr>
        <w:t>I</w:t>
      </w:r>
      <w:r w:rsidR="00FE7CE5" w:rsidRPr="00A33AE8">
        <w:rPr>
          <w:rFonts w:asciiTheme="majorHAnsi" w:hAnsiTheme="majorHAnsi" w:cstheme="majorHAnsi"/>
          <w:lang w:val="en-GB"/>
        </w:rPr>
        <w:t>NECP</w:t>
      </w:r>
      <w:r w:rsidR="00E96915" w:rsidRPr="00A33AE8">
        <w:rPr>
          <w:rFonts w:asciiTheme="majorHAnsi" w:hAnsiTheme="majorHAnsi" w:cstheme="majorHAnsi"/>
          <w:lang w:val="en-GB"/>
        </w:rPr>
        <w:t>, after relevant calculations for the Gross Domestic Expenditure for Research and Technological Development (</w:t>
      </w:r>
      <w:r w:rsidR="00FE7CE5" w:rsidRPr="00A33AE8">
        <w:rPr>
          <w:rFonts w:asciiTheme="majorHAnsi" w:hAnsiTheme="majorHAnsi" w:cstheme="majorHAnsi"/>
          <w:lang w:val="en-GB"/>
        </w:rPr>
        <w:t>GDERTD</w:t>
      </w:r>
      <w:r w:rsidR="00E96915" w:rsidRPr="00A33AE8">
        <w:rPr>
          <w:rFonts w:asciiTheme="majorHAnsi" w:hAnsiTheme="majorHAnsi" w:cstheme="majorHAnsi"/>
          <w:lang w:val="en-GB"/>
        </w:rPr>
        <w:t xml:space="preserve">) in the field "Energy - Environment" for the years 2020 , 2025 and 2030, and the assumption that </w:t>
      </w:r>
      <w:r w:rsidR="00FE7CE5" w:rsidRPr="00A33AE8">
        <w:rPr>
          <w:rFonts w:asciiTheme="majorHAnsi" w:hAnsiTheme="majorHAnsi" w:cstheme="majorHAnsi"/>
          <w:lang w:val="en-GB"/>
        </w:rPr>
        <w:t xml:space="preserve">GDERTD </w:t>
      </w:r>
      <w:r w:rsidR="00E96915" w:rsidRPr="00A33AE8">
        <w:rPr>
          <w:rFonts w:asciiTheme="majorHAnsi" w:hAnsiTheme="majorHAnsi" w:cstheme="majorHAnsi"/>
          <w:lang w:val="en-GB"/>
        </w:rPr>
        <w:t>in the "Energy - Environment" sector in 2030 will remain stable at 2020 levels, i</w:t>
      </w:r>
      <w:r w:rsidR="00FE7CE5" w:rsidRPr="00A33AE8">
        <w:rPr>
          <w:rFonts w:asciiTheme="majorHAnsi" w:hAnsiTheme="majorHAnsi" w:cstheme="majorHAnsi"/>
          <w:lang w:val="en-GB"/>
        </w:rPr>
        <w:t>.</w:t>
      </w:r>
      <w:r w:rsidR="00E96915" w:rsidRPr="00A33AE8">
        <w:rPr>
          <w:rFonts w:asciiTheme="majorHAnsi" w:hAnsiTheme="majorHAnsi" w:cstheme="majorHAnsi"/>
          <w:lang w:val="en-GB"/>
        </w:rPr>
        <w:t>e</w:t>
      </w:r>
      <w:r w:rsidR="00FE7CE5" w:rsidRPr="00A33AE8">
        <w:rPr>
          <w:rFonts w:asciiTheme="majorHAnsi" w:hAnsiTheme="majorHAnsi" w:cstheme="majorHAnsi"/>
          <w:lang w:val="en-GB"/>
        </w:rPr>
        <w:t>.</w:t>
      </w:r>
      <w:r w:rsidR="00E96915" w:rsidRPr="00A33AE8">
        <w:rPr>
          <w:rFonts w:asciiTheme="majorHAnsi" w:hAnsiTheme="majorHAnsi" w:cstheme="majorHAnsi"/>
          <w:lang w:val="en-GB"/>
        </w:rPr>
        <w:t xml:space="preserve"> will be of the order of 0.53% of GDP (source:</w:t>
      </w:r>
      <w:r w:rsidR="00FE7CE5" w:rsidRPr="00A33AE8">
        <w:rPr>
          <w:rFonts w:asciiTheme="majorHAnsi" w:hAnsiTheme="majorHAnsi" w:cstheme="majorHAnsi"/>
          <w:lang w:val="en-GB"/>
        </w:rPr>
        <w:t xml:space="preserve"> Statistical Office of the Republic of Serbia</w:t>
      </w:r>
      <w:r w:rsidR="00E96915" w:rsidRPr="00A33AE8">
        <w:rPr>
          <w:rFonts w:asciiTheme="majorHAnsi" w:hAnsiTheme="majorHAnsi" w:cstheme="majorHAnsi"/>
          <w:lang w:val="en-GB"/>
        </w:rPr>
        <w:t xml:space="preserve">), </w:t>
      </w:r>
      <w:r w:rsidR="00FE7CE5" w:rsidRPr="00A33AE8">
        <w:rPr>
          <w:rFonts w:asciiTheme="majorHAnsi" w:hAnsiTheme="majorHAnsi" w:cstheme="majorHAnsi"/>
          <w:lang w:val="en-GB"/>
        </w:rPr>
        <w:t>a</w:t>
      </w:r>
      <w:r w:rsidR="00E96915" w:rsidRPr="00A33AE8">
        <w:rPr>
          <w:rFonts w:asciiTheme="majorHAnsi" w:hAnsiTheme="majorHAnsi" w:cstheme="majorHAnsi"/>
          <w:lang w:val="en-GB"/>
        </w:rPr>
        <w:t xml:space="preserve"> total amount of 111.4 million Euros will be allocated for R&amp;</w:t>
      </w:r>
      <w:r w:rsidR="00FE7CE5" w:rsidRPr="00A33AE8">
        <w:rPr>
          <w:rFonts w:asciiTheme="majorHAnsi" w:hAnsiTheme="majorHAnsi" w:cstheme="majorHAnsi"/>
          <w:lang w:val="en-GB"/>
        </w:rPr>
        <w:t>I</w:t>
      </w:r>
      <w:r w:rsidR="00C96A78" w:rsidRPr="00A33AE8">
        <w:rPr>
          <w:rFonts w:asciiTheme="majorHAnsi" w:hAnsiTheme="majorHAnsi" w:cstheme="majorHAnsi"/>
          <w:lang w:val="en-GB"/>
        </w:rPr>
        <w:t xml:space="preserve"> </w:t>
      </w:r>
      <w:r w:rsidR="00FE7CE5" w:rsidRPr="00A33AE8">
        <w:rPr>
          <w:rFonts w:asciiTheme="majorHAnsi" w:hAnsiTheme="majorHAnsi" w:cstheme="majorHAnsi"/>
          <w:lang w:val="en-GB"/>
        </w:rPr>
        <w:t xml:space="preserve">activities / measures </w:t>
      </w:r>
      <w:r w:rsidR="00E96915" w:rsidRPr="00A33AE8">
        <w:rPr>
          <w:rFonts w:asciiTheme="majorHAnsi" w:hAnsiTheme="majorHAnsi" w:cstheme="majorHAnsi"/>
          <w:lang w:val="en-GB"/>
        </w:rPr>
        <w:t>in the period 2022-2030.</w:t>
      </w:r>
    </w:p>
    <w:p w14:paraId="590B9BFD" w14:textId="77777777" w:rsidR="000B465E" w:rsidRPr="00A33AE8" w:rsidRDefault="000B465E" w:rsidP="00884F3B">
      <w:pPr>
        <w:pStyle w:val="Heading4"/>
        <w:numPr>
          <w:ilvl w:val="0"/>
          <w:numId w:val="232"/>
        </w:numPr>
      </w:pPr>
      <w:r w:rsidRPr="00A33AE8">
        <w:t>Policies and measures including those to achieve the objectives set out in 2.</w:t>
      </w:r>
      <w:r w:rsidR="005355C6" w:rsidRPr="00A33AE8">
        <w:t>6</w:t>
      </w:r>
    </w:p>
    <w:p w14:paraId="2D6C1F57" w14:textId="77777777" w:rsidR="000B465E" w:rsidRPr="00A33AE8" w:rsidRDefault="000B465E" w:rsidP="006E21C2">
      <w:pPr>
        <w:spacing w:before="160"/>
        <w:jc w:val="both"/>
        <w:rPr>
          <w:rFonts w:asciiTheme="majorHAnsi" w:hAnsiTheme="majorHAnsi" w:cstheme="majorHAnsi"/>
          <w:b/>
          <w:bCs/>
          <w:i/>
          <w:iCs/>
          <w:color w:val="000000"/>
        </w:rPr>
      </w:pPr>
      <w:r w:rsidRPr="00A33AE8">
        <w:rPr>
          <w:rFonts w:asciiTheme="majorHAnsi" w:hAnsiTheme="majorHAnsi" w:cstheme="majorHAnsi"/>
          <w:b/>
          <w:bCs/>
          <w:i/>
          <w:iCs/>
          <w:color w:val="000000"/>
        </w:rPr>
        <w:t>Policies and measures to promote research and innovation</w:t>
      </w:r>
    </w:p>
    <w:p w14:paraId="27FB0BB2" w14:textId="1FC7C84D"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The current policy of the Republic of Serbia in the area of research and innovation aims to create incentives and support the adoption of new technologies with a view to achieving overall energy cost savings, introducing new energy efficiency standards and enabling the transition to lower and more sustainable energy consumption in the country.</w:t>
      </w:r>
    </w:p>
    <w:p w14:paraId="64FC8341" w14:textId="77777777"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The Republic of Serbia considers research and innovation as an opportunity to enhance the competitiveness of its national economy, transforming it into a driver for economic growth and job creation. The proposed policy on research and innovation in the field of energy aims to promote, among others, the deployment of highly efficient energy technologies, the deployment of smart grids and energy storage technologies as well as the research into the possibilities to deploy rechargeable batteries, hydrogen and fuel cell technologies.</w:t>
      </w:r>
    </w:p>
    <w:p w14:paraId="46443B6A" w14:textId="4E5BEF7D"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Regarding research and innovation, an indicative number of proposed policy measures is provided below in order to:</w:t>
      </w:r>
    </w:p>
    <w:p w14:paraId="42A83370" w14:textId="77777777" w:rsidR="000B465E" w:rsidRPr="00A33AE8" w:rsidRDefault="000B465E" w:rsidP="00884F3B">
      <w:pPr>
        <w:pStyle w:val="ListParagraph"/>
        <w:numPr>
          <w:ilvl w:val="0"/>
          <w:numId w:val="227"/>
        </w:numPr>
        <w:spacing w:before="160" w:line="240" w:lineRule="auto"/>
        <w:ind w:left="714" w:hanging="357"/>
        <w:contextualSpacing w:val="0"/>
        <w:jc w:val="both"/>
        <w:rPr>
          <w:rFonts w:asciiTheme="majorHAnsi" w:hAnsiTheme="majorHAnsi" w:cstheme="majorHAnsi"/>
          <w:color w:val="000000"/>
        </w:rPr>
      </w:pPr>
      <w:r w:rsidRPr="00A33AE8">
        <w:rPr>
          <w:rFonts w:asciiTheme="majorHAnsi" w:hAnsiTheme="majorHAnsi" w:cstheme="majorHAnsi"/>
          <w:color w:val="000000"/>
        </w:rPr>
        <w:t>increase the number of innovative start-ups, spin-offs/spin-outs, etc. in high-tech and intensive sectors in line with the Strategy for Smart Specialisation</w:t>
      </w:r>
    </w:p>
    <w:p w14:paraId="49CA3909" w14:textId="77777777" w:rsidR="000B465E" w:rsidRPr="00A33AE8" w:rsidRDefault="000B465E" w:rsidP="00884F3B">
      <w:pPr>
        <w:pStyle w:val="ListParagraph"/>
        <w:numPr>
          <w:ilvl w:val="0"/>
          <w:numId w:val="227"/>
        </w:numPr>
        <w:spacing w:before="160" w:line="240" w:lineRule="auto"/>
        <w:ind w:left="714" w:hanging="357"/>
        <w:contextualSpacing w:val="0"/>
        <w:jc w:val="both"/>
        <w:rPr>
          <w:rFonts w:asciiTheme="majorHAnsi" w:hAnsiTheme="majorHAnsi" w:cstheme="majorHAnsi"/>
          <w:color w:val="000000"/>
        </w:rPr>
      </w:pPr>
      <w:r w:rsidRPr="00A33AE8">
        <w:rPr>
          <w:rFonts w:asciiTheme="majorHAnsi" w:hAnsiTheme="majorHAnsi" w:cstheme="majorHAnsi"/>
          <w:color w:val="000000"/>
        </w:rPr>
        <w:t>increase the effectiveness of research by placing an emphasis on results and providing incentives (such as international cooperation and mobility, cooperation with businesses, etc.) with a view to attract high-skilled research teams</w:t>
      </w:r>
    </w:p>
    <w:p w14:paraId="6DFAF6F1" w14:textId="77777777" w:rsidR="000B465E" w:rsidRPr="00A33AE8" w:rsidRDefault="000B465E" w:rsidP="00884F3B">
      <w:pPr>
        <w:pStyle w:val="ListParagraph"/>
        <w:numPr>
          <w:ilvl w:val="0"/>
          <w:numId w:val="227"/>
        </w:numPr>
        <w:spacing w:before="160" w:line="240" w:lineRule="auto"/>
        <w:ind w:left="714" w:hanging="357"/>
        <w:contextualSpacing w:val="0"/>
        <w:jc w:val="both"/>
        <w:rPr>
          <w:rFonts w:asciiTheme="majorHAnsi" w:hAnsiTheme="majorHAnsi" w:cstheme="majorHAnsi"/>
          <w:color w:val="000000"/>
        </w:rPr>
      </w:pPr>
      <w:r w:rsidRPr="00A33AE8">
        <w:rPr>
          <w:rFonts w:asciiTheme="majorHAnsi" w:hAnsiTheme="majorHAnsi" w:cstheme="majorHAnsi"/>
          <w:color w:val="000000"/>
        </w:rPr>
        <w:t>develop skills at the level of universities and research institutions that boost the commercial viability and market importance of their research projects and ability to participate in research consortiums</w:t>
      </w:r>
    </w:p>
    <w:p w14:paraId="4FE0723D" w14:textId="77777777" w:rsidR="000B465E" w:rsidRPr="00A33AE8" w:rsidRDefault="000B465E" w:rsidP="00884F3B">
      <w:pPr>
        <w:pStyle w:val="ListParagraph"/>
        <w:numPr>
          <w:ilvl w:val="0"/>
          <w:numId w:val="227"/>
        </w:numPr>
        <w:spacing w:before="160" w:line="240" w:lineRule="auto"/>
        <w:ind w:left="714" w:hanging="357"/>
        <w:jc w:val="both"/>
        <w:rPr>
          <w:rFonts w:asciiTheme="majorHAnsi" w:hAnsiTheme="majorHAnsi" w:cstheme="majorHAnsi"/>
          <w:color w:val="000000"/>
        </w:rPr>
      </w:pPr>
      <w:r w:rsidRPr="00A33AE8">
        <w:rPr>
          <w:rFonts w:asciiTheme="majorHAnsi" w:hAnsiTheme="majorHAnsi" w:cstheme="majorHAnsi"/>
          <w:color w:val="000000"/>
        </w:rPr>
        <w:t>support the cooperation between research institutes and businesses in the technology transfer and exploitation of research results</w:t>
      </w:r>
    </w:p>
    <w:p w14:paraId="708B5D35" w14:textId="77777777"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In the coming years, the Republic of Serbia is expected to focus on the implementation of new energy saving technologies with a significant contribution to lowering carbon emissions in the air, combating the greenhouse </w:t>
      </w:r>
      <w:r w:rsidRPr="00A33AE8">
        <w:rPr>
          <w:rFonts w:asciiTheme="majorHAnsi" w:hAnsiTheme="majorHAnsi" w:cstheme="majorHAnsi"/>
          <w:color w:val="000000"/>
        </w:rPr>
        <w:lastRenderedPageBreak/>
        <w:t>effect and preventing buildings from overheating. The aim is to significantly reduce energy costs ensuring a relatively rapid return on investment with a view to improving the living and working environment for Serbian citizens.</w:t>
      </w:r>
    </w:p>
    <w:p w14:paraId="2D83AC4C" w14:textId="77777777"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One of the key priorities of research and innovation for the coming period in the field of energy networks are the challenges of </w:t>
      </w:r>
      <w:r w:rsidR="000578D5" w:rsidRPr="00A33AE8">
        <w:rPr>
          <w:rFonts w:asciiTheme="majorHAnsi" w:hAnsiTheme="majorHAnsi" w:cstheme="majorHAnsi"/>
          <w:color w:val="000000"/>
        </w:rPr>
        <w:t>digitalisation</w:t>
      </w:r>
      <w:r w:rsidRPr="00A33AE8">
        <w:rPr>
          <w:rFonts w:asciiTheme="majorHAnsi" w:hAnsiTheme="majorHAnsi" w:cstheme="majorHAnsi"/>
          <w:color w:val="000000"/>
        </w:rPr>
        <w:t xml:space="preserve"> and smart grids. In addition, innovative actions relating to electric vehicles and to the strategies for their recharging will be supported and emphasis will be placed on the fact that the electricity consumed should come from RES and hydrogen produced by various forms of energy.</w:t>
      </w:r>
    </w:p>
    <w:p w14:paraId="2F75A4C5" w14:textId="77777777"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Regarding energy storage, measures should be taken in order to strengthen the development of new or improved electricity or thermal energy storage technologies with higher efficiency, availability, durability and security, and at the lowest cost. Innovative applications will also contribute to mitigating the environmental impact of businesses and the impact of climate change on the urban environment, as well as promoting the circular economy, with an emphasis on the recycling of materials and the recovery and reuse of energy, and the innovative CO</w:t>
      </w:r>
      <w:r w:rsidRPr="00A33AE8">
        <w:rPr>
          <w:rFonts w:asciiTheme="majorHAnsi" w:hAnsiTheme="majorHAnsi" w:cstheme="majorHAnsi"/>
          <w:color w:val="000000"/>
          <w:vertAlign w:val="subscript"/>
        </w:rPr>
        <w:t>2</w:t>
      </w:r>
      <w:r w:rsidRPr="00A33AE8">
        <w:rPr>
          <w:rFonts w:asciiTheme="majorHAnsi" w:hAnsiTheme="majorHAnsi" w:cstheme="majorHAnsi"/>
          <w:color w:val="000000"/>
        </w:rPr>
        <w:t xml:space="preserve"> capture and/or reuse techniques.</w:t>
      </w:r>
    </w:p>
    <w:p w14:paraId="4F3EE624" w14:textId="77777777" w:rsidR="00C03883" w:rsidRPr="00A33AE8" w:rsidRDefault="000B465E" w:rsidP="006E21C2">
      <w:pPr>
        <w:spacing w:before="160"/>
        <w:jc w:val="both"/>
        <w:rPr>
          <w:rFonts w:asciiTheme="majorHAnsi" w:hAnsiTheme="majorHAnsi" w:cstheme="majorHAnsi"/>
        </w:rPr>
      </w:pPr>
      <w:r w:rsidRPr="00A33AE8">
        <w:rPr>
          <w:rFonts w:asciiTheme="majorHAnsi" w:hAnsiTheme="majorHAnsi" w:cstheme="majorHAnsi"/>
          <w:i/>
          <w:iCs/>
          <w:color w:val="000000"/>
          <w:u w:val="single"/>
        </w:rPr>
        <w:t>Tables for PM_RIC1 – PM_RIC16</w:t>
      </w:r>
    </w:p>
    <w:tbl>
      <w:tblPr>
        <w:tblW w:w="10700" w:type="dxa"/>
        <w:tblLook w:val="04A0" w:firstRow="1" w:lastRow="0" w:firstColumn="1" w:lastColumn="0" w:noHBand="0" w:noVBand="1"/>
      </w:tblPr>
      <w:tblGrid>
        <w:gridCol w:w="3337"/>
        <w:gridCol w:w="951"/>
        <w:gridCol w:w="944"/>
        <w:gridCol w:w="4256"/>
        <w:gridCol w:w="1212"/>
      </w:tblGrid>
      <w:tr w:rsidR="00C03883" w:rsidRPr="00A33AE8" w14:paraId="3F6249B8" w14:textId="77777777" w:rsidTr="006769DA">
        <w:trPr>
          <w:gridAfter w:val="1"/>
          <w:wAfter w:w="1212" w:type="dxa"/>
          <w:trHeight w:val="780"/>
        </w:trPr>
        <w:tc>
          <w:tcPr>
            <w:tcW w:w="333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B0FE558"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6BDE3AE1"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4785C8B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272F65D"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Enhancement of the legal framework to encourage Research and Innovation</w:t>
            </w:r>
          </w:p>
        </w:tc>
      </w:tr>
      <w:tr w:rsidR="00C03883" w:rsidRPr="00A33AE8" w14:paraId="241C61C4" w14:textId="77777777" w:rsidTr="006769DA">
        <w:trPr>
          <w:gridAfter w:val="1"/>
          <w:wAfter w:w="1212" w:type="dxa"/>
          <w:trHeight w:val="321"/>
        </w:trPr>
        <w:tc>
          <w:tcPr>
            <w:tcW w:w="3337" w:type="dxa"/>
            <w:tcBorders>
              <w:top w:val="nil"/>
              <w:left w:val="single" w:sz="8" w:space="0" w:color="auto"/>
              <w:bottom w:val="single" w:sz="8" w:space="0" w:color="auto"/>
              <w:right w:val="nil"/>
            </w:tcBorders>
            <w:shd w:val="clear" w:color="auto" w:fill="244062"/>
            <w:vAlign w:val="center"/>
            <w:hideMark/>
          </w:tcPr>
          <w:p w14:paraId="38B2DC1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1" w:type="dxa"/>
            <w:gridSpan w:val="3"/>
            <w:tcBorders>
              <w:top w:val="single" w:sz="8" w:space="0" w:color="auto"/>
              <w:left w:val="nil"/>
              <w:bottom w:val="single" w:sz="8" w:space="0" w:color="auto"/>
              <w:right w:val="single" w:sz="8" w:space="0" w:color="000000"/>
            </w:tcBorders>
            <w:vAlign w:val="center"/>
            <w:hideMark/>
          </w:tcPr>
          <w:p w14:paraId="40B2BD7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Regulatory amendment, promotion of research and innovation</w:t>
            </w:r>
          </w:p>
        </w:tc>
      </w:tr>
      <w:tr w:rsidR="00C03883" w:rsidRPr="00A33AE8" w14:paraId="0568F30A"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FDF719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1" w:type="dxa"/>
            <w:gridSpan w:val="3"/>
            <w:tcBorders>
              <w:top w:val="single" w:sz="8" w:space="0" w:color="auto"/>
              <w:left w:val="nil"/>
              <w:bottom w:val="single" w:sz="8" w:space="0" w:color="auto"/>
              <w:right w:val="single" w:sz="8" w:space="0" w:color="000000"/>
            </w:tcBorders>
            <w:vAlign w:val="center"/>
          </w:tcPr>
          <w:p w14:paraId="6A16BD4C" w14:textId="77777777" w:rsidR="00C03883" w:rsidRPr="00A33AE8" w:rsidRDefault="00C03883" w:rsidP="000C0536">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642135E9" w14:textId="77777777" w:rsidTr="006769DA">
        <w:trPr>
          <w:gridAfter w:val="1"/>
          <w:wAfter w:w="1212" w:type="dxa"/>
          <w:trHeight w:val="708"/>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264085B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1" w:type="dxa"/>
            <w:gridSpan w:val="3"/>
            <w:tcBorders>
              <w:top w:val="single" w:sz="8" w:space="0" w:color="auto"/>
              <w:left w:val="nil"/>
              <w:bottom w:val="single" w:sz="8" w:space="0" w:color="auto"/>
              <w:right w:val="single" w:sz="8" w:space="0" w:color="000000"/>
            </w:tcBorders>
            <w:vAlign w:val="center"/>
            <w:hideMark/>
          </w:tcPr>
          <w:p w14:paraId="1456E1CD"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PM_RIC1 will improve legal framework in order to further promote Research and Innovation by ensuring that the new legislation is designed in a way that creates the best possible conditions for research and innovation to flourish. </w:t>
            </w:r>
          </w:p>
        </w:tc>
      </w:tr>
      <w:tr w:rsidR="00C03883" w:rsidRPr="00A33AE8" w14:paraId="11AC136E"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91E0D9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1" w:type="dxa"/>
            <w:gridSpan w:val="3"/>
            <w:tcBorders>
              <w:top w:val="single" w:sz="8" w:space="0" w:color="auto"/>
              <w:left w:val="nil"/>
              <w:bottom w:val="single" w:sz="8" w:space="0" w:color="auto"/>
              <w:right w:val="single" w:sz="8" w:space="0" w:color="000000"/>
            </w:tcBorders>
            <w:vAlign w:val="center"/>
            <w:hideMark/>
          </w:tcPr>
          <w:p w14:paraId="40FBA9C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7B9A52B2"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11720CE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1" w:type="dxa"/>
            <w:gridSpan w:val="3"/>
            <w:tcBorders>
              <w:top w:val="single" w:sz="8" w:space="0" w:color="auto"/>
              <w:left w:val="nil"/>
              <w:bottom w:val="single" w:sz="8" w:space="0" w:color="auto"/>
              <w:right w:val="single" w:sz="8" w:space="0" w:color="000000"/>
            </w:tcBorders>
            <w:vAlign w:val="center"/>
            <w:hideMark/>
          </w:tcPr>
          <w:p w14:paraId="5F6688C8" w14:textId="77777777" w:rsidR="00C03883" w:rsidRPr="00A33AE8" w:rsidRDefault="00BD43DF" w:rsidP="006769DA">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C03883" w:rsidRPr="00A33AE8" w14:paraId="11DCA973"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A63620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1" w:type="dxa"/>
            <w:gridSpan w:val="3"/>
            <w:tcBorders>
              <w:top w:val="single" w:sz="8" w:space="0" w:color="auto"/>
              <w:left w:val="nil"/>
              <w:bottom w:val="single" w:sz="8" w:space="0" w:color="auto"/>
              <w:right w:val="single" w:sz="8" w:space="0" w:color="000000"/>
            </w:tcBorders>
            <w:vAlign w:val="center"/>
            <w:hideMark/>
          </w:tcPr>
          <w:p w14:paraId="01B4D85A"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67C29853"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595D4F7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1" w:type="dxa"/>
            <w:gridSpan w:val="3"/>
            <w:tcBorders>
              <w:top w:val="single" w:sz="8" w:space="0" w:color="auto"/>
              <w:left w:val="nil"/>
              <w:bottom w:val="single" w:sz="8" w:space="0" w:color="auto"/>
              <w:right w:val="single" w:sz="8" w:space="0" w:color="000000"/>
            </w:tcBorders>
            <w:vAlign w:val="center"/>
            <w:hideMark/>
          </w:tcPr>
          <w:p w14:paraId="6BBE3290" w14:textId="77777777" w:rsidR="00C03883" w:rsidRPr="00A33AE8" w:rsidRDefault="00C03883" w:rsidP="00884F3B">
            <w:pPr>
              <w:pStyle w:val="ListParagraph"/>
              <w:numPr>
                <w:ilvl w:val="0"/>
                <w:numId w:val="4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AA6B033" w14:textId="77777777" w:rsidR="00C03883" w:rsidRPr="00A33AE8" w:rsidRDefault="00C03883" w:rsidP="00884F3B">
            <w:pPr>
              <w:pStyle w:val="ListParagraph"/>
              <w:numPr>
                <w:ilvl w:val="0"/>
                <w:numId w:val="4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47E2AEE0" w14:textId="77777777" w:rsidTr="006769DA">
        <w:trPr>
          <w:gridAfter w:val="1"/>
          <w:wAfter w:w="1212" w:type="dxa"/>
          <w:trHeight w:val="315"/>
        </w:trPr>
        <w:tc>
          <w:tcPr>
            <w:tcW w:w="3337" w:type="dxa"/>
            <w:tcBorders>
              <w:top w:val="nil"/>
              <w:left w:val="single" w:sz="8" w:space="0" w:color="auto"/>
              <w:bottom w:val="single" w:sz="8" w:space="0" w:color="auto"/>
              <w:right w:val="nil"/>
            </w:tcBorders>
            <w:shd w:val="clear" w:color="auto" w:fill="244062"/>
            <w:vAlign w:val="center"/>
            <w:hideMark/>
          </w:tcPr>
          <w:p w14:paraId="2F5A957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1" w:type="dxa"/>
            <w:gridSpan w:val="3"/>
            <w:tcBorders>
              <w:top w:val="single" w:sz="8" w:space="0" w:color="auto"/>
              <w:left w:val="nil"/>
              <w:bottom w:val="single" w:sz="8" w:space="0" w:color="auto"/>
              <w:right w:val="single" w:sz="8" w:space="0" w:color="000000"/>
            </w:tcBorders>
            <w:vAlign w:val="center"/>
            <w:hideMark/>
          </w:tcPr>
          <w:p w14:paraId="41251D52" w14:textId="77777777" w:rsidR="00C03883" w:rsidRPr="00A33AE8" w:rsidRDefault="00C03883" w:rsidP="00884F3B">
            <w:pPr>
              <w:pStyle w:val="ListParagraph"/>
              <w:numPr>
                <w:ilvl w:val="0"/>
                <w:numId w:val="19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0C1CC8D5" w14:textId="77777777" w:rsidTr="006769DA">
        <w:trPr>
          <w:gridAfter w:val="1"/>
          <w:wAfter w:w="1212" w:type="dxa"/>
          <w:trHeight w:val="315"/>
        </w:trPr>
        <w:tc>
          <w:tcPr>
            <w:tcW w:w="3337" w:type="dxa"/>
            <w:tcBorders>
              <w:top w:val="nil"/>
              <w:left w:val="single" w:sz="8" w:space="0" w:color="auto"/>
              <w:bottom w:val="single" w:sz="8" w:space="0" w:color="auto"/>
              <w:right w:val="nil"/>
            </w:tcBorders>
            <w:shd w:val="clear" w:color="auto" w:fill="244062"/>
            <w:vAlign w:val="center"/>
            <w:hideMark/>
          </w:tcPr>
          <w:p w14:paraId="5E5BAA4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1" w:type="dxa"/>
            <w:gridSpan w:val="3"/>
            <w:tcBorders>
              <w:top w:val="single" w:sz="8" w:space="0" w:color="auto"/>
              <w:left w:val="nil"/>
              <w:bottom w:val="single" w:sz="8" w:space="0" w:color="auto"/>
              <w:right w:val="single" w:sz="8" w:space="0" w:color="000000"/>
            </w:tcBorders>
            <w:vAlign w:val="center"/>
            <w:hideMark/>
          </w:tcPr>
          <w:p w14:paraId="7DA05D0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New laws and amendments of existing</w:t>
            </w:r>
          </w:p>
        </w:tc>
      </w:tr>
      <w:tr w:rsidR="00213B57" w:rsidRPr="00A33AE8" w14:paraId="21D90C63" w14:textId="77777777" w:rsidTr="006769DA">
        <w:trPr>
          <w:gridAfter w:val="1"/>
          <w:wAfter w:w="1212" w:type="dxa"/>
          <w:trHeight w:val="427"/>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4751425C"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1" w:type="dxa"/>
            <w:gridSpan w:val="3"/>
            <w:tcBorders>
              <w:top w:val="single" w:sz="8" w:space="0" w:color="auto"/>
              <w:left w:val="nil"/>
              <w:bottom w:val="single" w:sz="8" w:space="0" w:color="auto"/>
              <w:right w:val="single" w:sz="8" w:space="0" w:color="000000"/>
            </w:tcBorders>
            <w:vAlign w:val="center"/>
            <w:hideMark/>
          </w:tcPr>
          <w:p w14:paraId="136B98FE" w14:textId="77777777" w:rsidR="00213B57" w:rsidRPr="00A33AE8" w:rsidRDefault="00213B57" w:rsidP="00884F3B">
            <w:pPr>
              <w:pStyle w:val="ListParagraph"/>
              <w:numPr>
                <w:ilvl w:val="0"/>
                <w:numId w:val="4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273EDA5E" w14:textId="77777777" w:rsidTr="006769DA">
        <w:trPr>
          <w:gridAfter w:val="1"/>
          <w:wAfter w:w="1212" w:type="dxa"/>
          <w:trHeight w:val="450"/>
        </w:trPr>
        <w:tc>
          <w:tcPr>
            <w:tcW w:w="3337" w:type="dxa"/>
            <w:vMerge w:val="restart"/>
            <w:tcBorders>
              <w:top w:val="nil"/>
              <w:left w:val="single" w:sz="8" w:space="0" w:color="auto"/>
              <w:bottom w:val="single" w:sz="8" w:space="0" w:color="000000"/>
              <w:right w:val="single" w:sz="8" w:space="0" w:color="auto"/>
            </w:tcBorders>
            <w:shd w:val="clear" w:color="auto" w:fill="244062"/>
            <w:vAlign w:val="center"/>
            <w:hideMark/>
          </w:tcPr>
          <w:p w14:paraId="1EBCE9B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1" w:type="dxa"/>
            <w:gridSpan w:val="3"/>
            <w:vMerge w:val="restart"/>
            <w:tcBorders>
              <w:top w:val="single" w:sz="8" w:space="0" w:color="auto"/>
              <w:left w:val="single" w:sz="8" w:space="0" w:color="auto"/>
              <w:bottom w:val="single" w:sz="8" w:space="0" w:color="000000"/>
              <w:right w:val="single" w:sz="8" w:space="0" w:color="000000"/>
            </w:tcBorders>
            <w:vAlign w:val="center"/>
          </w:tcPr>
          <w:p w14:paraId="505ECA5A" w14:textId="77777777" w:rsidR="00C03883" w:rsidRPr="00A33AE8" w:rsidRDefault="00C03883" w:rsidP="00884F3B">
            <w:pPr>
              <w:pStyle w:val="ListParagraph"/>
              <w:numPr>
                <w:ilvl w:val="0"/>
                <w:numId w:val="4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 acquis Communautaire</w:t>
            </w:r>
          </w:p>
          <w:p w14:paraId="5F85B35D" w14:textId="77777777" w:rsidR="00C03883" w:rsidRPr="00A33AE8" w:rsidRDefault="00C03883" w:rsidP="00884F3B">
            <w:pPr>
              <w:pStyle w:val="ListParagraph"/>
              <w:numPr>
                <w:ilvl w:val="0"/>
                <w:numId w:val="4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323A5F4B"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314C0AFC"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1" w:type="dxa"/>
            <w:gridSpan w:val="3"/>
            <w:vMerge/>
            <w:tcBorders>
              <w:top w:val="single" w:sz="8" w:space="0" w:color="auto"/>
              <w:left w:val="single" w:sz="8" w:space="0" w:color="auto"/>
              <w:bottom w:val="single" w:sz="8" w:space="0" w:color="000000"/>
              <w:right w:val="single" w:sz="8" w:space="0" w:color="000000"/>
            </w:tcBorders>
            <w:vAlign w:val="center"/>
          </w:tcPr>
          <w:p w14:paraId="4D4E4049" w14:textId="77777777" w:rsidR="00C03883" w:rsidRPr="00A33AE8" w:rsidRDefault="00C03883"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E050916" w14:textId="77777777" w:rsidR="00C03883" w:rsidRPr="00A33AE8" w:rsidRDefault="00C03883" w:rsidP="006769DA"/>
        </w:tc>
      </w:tr>
      <w:tr w:rsidR="00C03883" w:rsidRPr="00A33AE8" w14:paraId="635FAAEA"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046692F9"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1" w:type="dxa"/>
            <w:gridSpan w:val="3"/>
            <w:vMerge/>
            <w:tcBorders>
              <w:top w:val="single" w:sz="8" w:space="0" w:color="auto"/>
              <w:left w:val="single" w:sz="8" w:space="0" w:color="auto"/>
              <w:bottom w:val="single" w:sz="8" w:space="0" w:color="000000"/>
              <w:right w:val="single" w:sz="8" w:space="0" w:color="000000"/>
            </w:tcBorders>
            <w:vAlign w:val="center"/>
          </w:tcPr>
          <w:p w14:paraId="6E20FBF3" w14:textId="77777777" w:rsidR="00C03883" w:rsidRPr="00A33AE8" w:rsidRDefault="00C03883"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26E7A8A" w14:textId="77777777" w:rsidR="00C03883" w:rsidRPr="00A33AE8" w:rsidRDefault="00C03883" w:rsidP="006769DA">
            <w:pPr>
              <w:spacing w:after="0" w:line="256" w:lineRule="auto"/>
              <w:rPr>
                <w:sz w:val="20"/>
                <w:szCs w:val="20"/>
                <w:lang w:eastAsia="en-GB"/>
              </w:rPr>
            </w:pPr>
          </w:p>
        </w:tc>
      </w:tr>
      <w:tr w:rsidR="00C03883" w:rsidRPr="00A33AE8" w14:paraId="11CCA87B" w14:textId="77777777" w:rsidTr="006769DA">
        <w:trPr>
          <w:trHeight w:val="474"/>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82CC85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1" w:type="dxa"/>
            <w:gridSpan w:val="3"/>
            <w:tcBorders>
              <w:top w:val="single" w:sz="8" w:space="0" w:color="auto"/>
              <w:left w:val="nil"/>
              <w:bottom w:val="single" w:sz="8" w:space="0" w:color="auto"/>
              <w:right w:val="single" w:sz="8" w:space="0" w:color="000000"/>
            </w:tcBorders>
            <w:vAlign w:val="center"/>
          </w:tcPr>
          <w:p w14:paraId="190EDA0C" w14:textId="77777777" w:rsidR="00C03883" w:rsidRPr="00A33AE8" w:rsidRDefault="00C03883" w:rsidP="00884F3B">
            <w:pPr>
              <w:pStyle w:val="ListParagraph"/>
              <w:numPr>
                <w:ilvl w:val="0"/>
                <w:numId w:val="8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69CFBE6C" w14:textId="77777777" w:rsidR="00C03883" w:rsidRPr="00A33AE8" w:rsidRDefault="00C03883" w:rsidP="00884F3B">
            <w:pPr>
              <w:pStyle w:val="ListParagraph"/>
              <w:numPr>
                <w:ilvl w:val="0"/>
                <w:numId w:val="8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p w14:paraId="61C91AAF" w14:textId="77777777" w:rsidR="00C03883" w:rsidRPr="00A33AE8" w:rsidRDefault="00C03883" w:rsidP="00884F3B">
            <w:pPr>
              <w:pStyle w:val="ListParagraph"/>
              <w:numPr>
                <w:ilvl w:val="0"/>
                <w:numId w:val="8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Strategy of Scientific and Technological Development of the Republic of Serbia for the period from 2021 to 2025 "The power of knowledge"</w:t>
            </w:r>
          </w:p>
          <w:p w14:paraId="7B11A987" w14:textId="77777777" w:rsidR="00C03883" w:rsidRPr="00A33AE8" w:rsidRDefault="00C03883" w:rsidP="00884F3B">
            <w:pPr>
              <w:pStyle w:val="ListParagraph"/>
              <w:numPr>
                <w:ilvl w:val="0"/>
                <w:numId w:val="8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Smart Specialization Strategy of the Republic of Serbia (4S) for the period 2020-2027</w:t>
            </w:r>
          </w:p>
          <w:p w14:paraId="6FA186D8" w14:textId="77777777" w:rsidR="00C03883" w:rsidRPr="00A33AE8" w:rsidRDefault="00C03883" w:rsidP="00884F3B">
            <w:pPr>
              <w:pStyle w:val="ListParagraph"/>
              <w:numPr>
                <w:ilvl w:val="0"/>
                <w:numId w:val="8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Industrial Policy Strategy from 2021 to 2030 </w:t>
            </w:r>
          </w:p>
        </w:tc>
        <w:tc>
          <w:tcPr>
            <w:tcW w:w="1212" w:type="dxa"/>
            <w:vAlign w:val="center"/>
            <w:hideMark/>
          </w:tcPr>
          <w:p w14:paraId="22BEEE67"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63B32147" w14:textId="77777777" w:rsidTr="006769DA">
        <w:trPr>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73683FF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1" w:type="dxa"/>
            <w:gridSpan w:val="3"/>
            <w:tcBorders>
              <w:top w:val="single" w:sz="8" w:space="0" w:color="auto"/>
              <w:left w:val="nil"/>
              <w:bottom w:val="single" w:sz="8" w:space="0" w:color="auto"/>
              <w:right w:val="single" w:sz="8" w:space="0" w:color="000000"/>
            </w:tcBorders>
            <w:vAlign w:val="center"/>
          </w:tcPr>
          <w:p w14:paraId="016AB2F0" w14:textId="77777777" w:rsidR="00C03883" w:rsidRPr="00A33AE8" w:rsidRDefault="00BD43DF"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p>
        </w:tc>
        <w:tc>
          <w:tcPr>
            <w:tcW w:w="1212" w:type="dxa"/>
            <w:vAlign w:val="center"/>
            <w:hideMark/>
          </w:tcPr>
          <w:p w14:paraId="755F4A52" w14:textId="77777777" w:rsidR="00C03883" w:rsidRPr="00A33AE8" w:rsidRDefault="00C03883" w:rsidP="006769DA">
            <w:pPr>
              <w:rPr>
                <w:rFonts w:ascii="Calibri" w:eastAsia="Times New Roman" w:hAnsi="Calibri" w:cs="Calibri"/>
                <w:color w:val="000000"/>
                <w:lang w:eastAsia="en-GB"/>
              </w:rPr>
            </w:pPr>
          </w:p>
        </w:tc>
      </w:tr>
      <w:tr w:rsidR="00C03883" w:rsidRPr="00A33AE8" w14:paraId="331E5C87" w14:textId="77777777" w:rsidTr="006769DA">
        <w:trPr>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A107EF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1" w:type="dxa"/>
            <w:gridSpan w:val="3"/>
            <w:tcBorders>
              <w:top w:val="single" w:sz="8" w:space="0" w:color="auto"/>
              <w:left w:val="nil"/>
              <w:bottom w:val="single" w:sz="8" w:space="0" w:color="auto"/>
              <w:right w:val="single" w:sz="8" w:space="0" w:color="000000"/>
            </w:tcBorders>
            <w:shd w:val="clear" w:color="auto" w:fill="auto"/>
            <w:vAlign w:val="center"/>
          </w:tcPr>
          <w:p w14:paraId="15E42307" w14:textId="77777777" w:rsidR="00C03883" w:rsidRPr="00A33AE8" w:rsidRDefault="009D7D80" w:rsidP="006769DA">
            <w:pPr>
              <w:spacing w:after="0" w:line="240" w:lineRule="auto"/>
              <w:rPr>
                <w:rFonts w:asciiTheme="majorHAnsi" w:eastAsia="Times New Roman" w:hAnsiTheme="majorHAnsi" w:cstheme="majorHAnsi"/>
                <w:color w:val="000000"/>
                <w:lang w:eastAsia="en-GB"/>
              </w:rPr>
            </w:pPr>
            <w:r w:rsidRPr="009D7D80">
              <w:rPr>
                <w:rFonts w:asciiTheme="majorHAnsi" w:eastAsia="Times New Roman" w:hAnsiTheme="majorHAnsi" w:cstheme="majorHAnsi"/>
                <w:color w:val="000000"/>
                <w:sz w:val="20"/>
                <w:szCs w:val="20"/>
                <w:lang w:eastAsia="en-GB"/>
              </w:rPr>
              <w:t>Budget funds</w:t>
            </w:r>
          </w:p>
        </w:tc>
        <w:tc>
          <w:tcPr>
            <w:tcW w:w="1212" w:type="dxa"/>
            <w:vAlign w:val="center"/>
            <w:hideMark/>
          </w:tcPr>
          <w:p w14:paraId="6C206DBA" w14:textId="77777777" w:rsidR="00C03883" w:rsidRPr="00A33AE8" w:rsidRDefault="00C03883" w:rsidP="006769DA">
            <w:pPr>
              <w:rPr>
                <w:rFonts w:ascii="Calibri" w:eastAsia="Times New Roman" w:hAnsi="Calibri" w:cs="Calibri"/>
                <w:color w:val="000000"/>
                <w:lang w:eastAsia="en-GB"/>
              </w:rPr>
            </w:pPr>
          </w:p>
        </w:tc>
      </w:tr>
    </w:tbl>
    <w:p w14:paraId="2ED06682"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6"/>
        <w:gridCol w:w="951"/>
        <w:gridCol w:w="944"/>
        <w:gridCol w:w="4257"/>
        <w:gridCol w:w="1212"/>
      </w:tblGrid>
      <w:tr w:rsidR="00C03883" w:rsidRPr="00A33AE8" w14:paraId="42093F3D" w14:textId="77777777" w:rsidTr="006769DA">
        <w:trPr>
          <w:gridAfter w:val="1"/>
          <w:wAfter w:w="1212" w:type="dxa"/>
          <w:trHeight w:val="780"/>
        </w:trPr>
        <w:tc>
          <w:tcPr>
            <w:tcW w:w="333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0BF95D4D"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87CFECD"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PM_RIC2</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6E4808A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7" w:type="dxa"/>
            <w:tcBorders>
              <w:top w:val="single" w:sz="8" w:space="0" w:color="auto"/>
              <w:left w:val="nil"/>
              <w:bottom w:val="single" w:sz="8" w:space="0" w:color="auto"/>
              <w:right w:val="single" w:sz="8" w:space="0" w:color="auto"/>
            </w:tcBorders>
            <w:shd w:val="clear" w:color="auto" w:fill="E7E6E6" w:themeFill="background2"/>
            <w:vAlign w:val="center"/>
            <w:hideMark/>
          </w:tcPr>
          <w:p w14:paraId="5C805351"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Establishment of a Joint State Aid Action on Research and Innovation in the field of </w:t>
            </w:r>
            <w:r w:rsidR="00C96A78" w:rsidRPr="00A33AE8">
              <w:rPr>
                <w:rFonts w:ascii="Calibri Light" w:eastAsia="Times New Roman" w:hAnsi="Calibri Light" w:cs="Calibri Light"/>
                <w:b/>
                <w:bCs/>
                <w:color w:val="000000"/>
                <w:sz w:val="20"/>
                <w:szCs w:val="20"/>
                <w:lang w:eastAsia="en-GB"/>
              </w:rPr>
              <w:t>Energy</w:t>
            </w:r>
          </w:p>
        </w:tc>
      </w:tr>
      <w:tr w:rsidR="00C03883" w:rsidRPr="00A33AE8" w14:paraId="7C0CD9FF" w14:textId="77777777" w:rsidTr="006769DA">
        <w:trPr>
          <w:gridAfter w:val="1"/>
          <w:wAfter w:w="1212" w:type="dxa"/>
          <w:trHeight w:val="339"/>
        </w:trPr>
        <w:tc>
          <w:tcPr>
            <w:tcW w:w="3336" w:type="dxa"/>
            <w:tcBorders>
              <w:top w:val="nil"/>
              <w:left w:val="single" w:sz="8" w:space="0" w:color="auto"/>
              <w:bottom w:val="single" w:sz="8" w:space="0" w:color="auto"/>
              <w:right w:val="nil"/>
            </w:tcBorders>
            <w:shd w:val="clear" w:color="auto" w:fill="244062"/>
            <w:vAlign w:val="center"/>
            <w:hideMark/>
          </w:tcPr>
          <w:p w14:paraId="77CBE7D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2" w:type="dxa"/>
            <w:gridSpan w:val="3"/>
            <w:tcBorders>
              <w:top w:val="single" w:sz="8" w:space="0" w:color="auto"/>
              <w:left w:val="nil"/>
              <w:bottom w:val="single" w:sz="8" w:space="0" w:color="auto"/>
              <w:right w:val="single" w:sz="8" w:space="0" w:color="000000"/>
            </w:tcBorders>
            <w:vAlign w:val="center"/>
            <w:hideMark/>
          </w:tcPr>
          <w:p w14:paraId="648922E7"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Regulatory amendment, promotion of research and innovation</w:t>
            </w:r>
          </w:p>
        </w:tc>
      </w:tr>
      <w:tr w:rsidR="00C03883" w:rsidRPr="00A33AE8" w14:paraId="2BFD5AB2"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41402E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2" w:type="dxa"/>
            <w:gridSpan w:val="3"/>
            <w:tcBorders>
              <w:top w:val="single" w:sz="8" w:space="0" w:color="auto"/>
              <w:left w:val="nil"/>
              <w:bottom w:val="single" w:sz="8" w:space="0" w:color="auto"/>
              <w:right w:val="single" w:sz="8" w:space="0" w:color="000000"/>
            </w:tcBorders>
            <w:vAlign w:val="center"/>
          </w:tcPr>
          <w:p w14:paraId="5EC0F82A"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2835B52F" w14:textId="77777777" w:rsidTr="006769DA">
        <w:trPr>
          <w:gridAfter w:val="1"/>
          <w:wAfter w:w="1212" w:type="dxa"/>
          <w:trHeight w:val="229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18D26A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2" w:type="dxa"/>
            <w:gridSpan w:val="3"/>
            <w:tcBorders>
              <w:top w:val="single" w:sz="8" w:space="0" w:color="auto"/>
              <w:left w:val="nil"/>
              <w:bottom w:val="single" w:sz="8" w:space="0" w:color="auto"/>
              <w:right w:val="single" w:sz="8" w:space="0" w:color="000000"/>
            </w:tcBorders>
            <w:vAlign w:val="center"/>
            <w:hideMark/>
          </w:tcPr>
          <w:p w14:paraId="0F115D51"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PM_RIC2 will promote the establishment of a Joint State Aid Action on Research and Innovation that aims at connecting R&amp;I with entrepreneurship and strengthening the competitiveness, productivity and openness of enterprises towards international markets, with a view to transitioning to quality innovative entrepreneurship and increasing domestic added value. The more specific interventions of the Action include: (a) R&amp;D by SMEs, which support broad-based industrial research, innovation promotion and business networking, (b) Business partnerships with research organisations where collaboration on R&amp;I projects between businesses and research institutions is promoted and (c) Exploiting research results produced from previous research projects.</w:t>
            </w:r>
          </w:p>
        </w:tc>
      </w:tr>
      <w:tr w:rsidR="00C03883" w:rsidRPr="00A33AE8" w14:paraId="4C33CCB2"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F748DD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2" w:type="dxa"/>
            <w:gridSpan w:val="3"/>
            <w:tcBorders>
              <w:top w:val="single" w:sz="8" w:space="0" w:color="auto"/>
              <w:left w:val="nil"/>
              <w:bottom w:val="single" w:sz="8" w:space="0" w:color="auto"/>
              <w:right w:val="single" w:sz="8" w:space="0" w:color="000000"/>
            </w:tcBorders>
            <w:vAlign w:val="center"/>
            <w:hideMark/>
          </w:tcPr>
          <w:p w14:paraId="25731D32"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5D0381D2"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7A40B81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2" w:type="dxa"/>
            <w:gridSpan w:val="3"/>
            <w:tcBorders>
              <w:top w:val="single" w:sz="8" w:space="0" w:color="auto"/>
              <w:left w:val="nil"/>
              <w:bottom w:val="single" w:sz="8" w:space="0" w:color="auto"/>
              <w:right w:val="single" w:sz="8" w:space="0" w:color="000000"/>
            </w:tcBorders>
            <w:vAlign w:val="center"/>
            <w:hideMark/>
          </w:tcPr>
          <w:p w14:paraId="1FE2DB4B"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C03883" w:rsidRPr="00A33AE8" w14:paraId="30DB07E4"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6A982A4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2" w:type="dxa"/>
            <w:gridSpan w:val="3"/>
            <w:tcBorders>
              <w:top w:val="single" w:sz="8" w:space="0" w:color="auto"/>
              <w:left w:val="nil"/>
              <w:bottom w:val="single" w:sz="8" w:space="0" w:color="auto"/>
              <w:right w:val="single" w:sz="8" w:space="0" w:color="000000"/>
            </w:tcBorders>
            <w:vAlign w:val="center"/>
            <w:hideMark/>
          </w:tcPr>
          <w:p w14:paraId="6A99FF1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597C521C"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5DCA921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3F5260A8" w14:textId="77777777" w:rsidR="00C03883" w:rsidRPr="00A33AE8" w:rsidRDefault="00C03883" w:rsidP="00884F3B">
            <w:pPr>
              <w:pStyle w:val="ListParagraph"/>
              <w:numPr>
                <w:ilvl w:val="0"/>
                <w:numId w:val="19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5652D5A3" w14:textId="77777777" w:rsidR="00C03883" w:rsidRPr="00A33AE8" w:rsidRDefault="00C03883" w:rsidP="00884F3B">
            <w:pPr>
              <w:pStyle w:val="ListParagraph"/>
              <w:numPr>
                <w:ilvl w:val="0"/>
                <w:numId w:val="19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42DAA86E" w14:textId="77777777" w:rsidR="00C03883" w:rsidRPr="00A33AE8" w:rsidRDefault="00C03883" w:rsidP="00884F3B">
            <w:pPr>
              <w:pStyle w:val="ListParagraph"/>
              <w:numPr>
                <w:ilvl w:val="0"/>
                <w:numId w:val="19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285958F9"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1166E75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33C504E3" w14:textId="77777777" w:rsidR="00C03883" w:rsidRPr="00A33AE8" w:rsidRDefault="00C03883" w:rsidP="00884F3B">
            <w:pPr>
              <w:pStyle w:val="ListParagraph"/>
              <w:numPr>
                <w:ilvl w:val="0"/>
                <w:numId w:val="19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0C0AA92C"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06B7208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2" w:type="dxa"/>
            <w:gridSpan w:val="3"/>
            <w:tcBorders>
              <w:top w:val="single" w:sz="8" w:space="0" w:color="auto"/>
              <w:left w:val="nil"/>
              <w:bottom w:val="single" w:sz="8" w:space="0" w:color="auto"/>
              <w:right w:val="single" w:sz="8" w:space="0" w:color="000000"/>
            </w:tcBorders>
            <w:vAlign w:val="center"/>
            <w:hideMark/>
          </w:tcPr>
          <w:p w14:paraId="3A669263" w14:textId="77777777" w:rsidR="00C03883" w:rsidRPr="00A33AE8" w:rsidRDefault="00C03883" w:rsidP="000C0536">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New regulations and/or Normative Acts, establishment of the Joint State Aid Action, operation over the years</w:t>
            </w:r>
          </w:p>
        </w:tc>
      </w:tr>
      <w:tr w:rsidR="00213B57" w:rsidRPr="00A33AE8" w14:paraId="64283F9C" w14:textId="77777777" w:rsidTr="006769DA">
        <w:trPr>
          <w:gridAfter w:val="1"/>
          <w:wAfter w:w="1212" w:type="dxa"/>
          <w:trHeight w:val="377"/>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008C239"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2" w:type="dxa"/>
            <w:gridSpan w:val="3"/>
            <w:tcBorders>
              <w:top w:val="single" w:sz="8" w:space="0" w:color="auto"/>
              <w:left w:val="nil"/>
              <w:bottom w:val="single" w:sz="8" w:space="0" w:color="auto"/>
              <w:right w:val="single" w:sz="8" w:space="0" w:color="000000"/>
            </w:tcBorders>
            <w:vAlign w:val="center"/>
          </w:tcPr>
          <w:p w14:paraId="3B0FB1E4" w14:textId="77777777" w:rsidR="00213B57" w:rsidRPr="00A33AE8" w:rsidRDefault="00213B57" w:rsidP="00884F3B">
            <w:pPr>
              <w:pStyle w:val="ListParagraph"/>
              <w:numPr>
                <w:ilvl w:val="0"/>
                <w:numId w:val="18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7390085F" w14:textId="77777777" w:rsidTr="006769DA">
        <w:trPr>
          <w:gridAfter w:val="1"/>
          <w:wAfter w:w="1212" w:type="dxa"/>
          <w:trHeight w:val="450"/>
        </w:trPr>
        <w:tc>
          <w:tcPr>
            <w:tcW w:w="3336" w:type="dxa"/>
            <w:vMerge w:val="restart"/>
            <w:tcBorders>
              <w:top w:val="nil"/>
              <w:left w:val="single" w:sz="8" w:space="0" w:color="auto"/>
              <w:bottom w:val="single" w:sz="8" w:space="0" w:color="000000"/>
              <w:right w:val="single" w:sz="8" w:space="0" w:color="auto"/>
            </w:tcBorders>
            <w:shd w:val="clear" w:color="auto" w:fill="244062"/>
            <w:vAlign w:val="center"/>
            <w:hideMark/>
          </w:tcPr>
          <w:p w14:paraId="771D1DF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2" w:type="dxa"/>
            <w:gridSpan w:val="3"/>
            <w:vMerge w:val="restart"/>
            <w:tcBorders>
              <w:top w:val="single" w:sz="8" w:space="0" w:color="auto"/>
              <w:left w:val="single" w:sz="8" w:space="0" w:color="auto"/>
              <w:bottom w:val="single" w:sz="8" w:space="0" w:color="000000"/>
              <w:right w:val="single" w:sz="8" w:space="0" w:color="000000"/>
            </w:tcBorders>
            <w:vAlign w:val="center"/>
          </w:tcPr>
          <w:p w14:paraId="33133B7D" w14:textId="77777777" w:rsidR="00C03883" w:rsidRPr="00A33AE8" w:rsidRDefault="00C03883" w:rsidP="00884F3B">
            <w:pPr>
              <w:pStyle w:val="ListParagraph"/>
              <w:numPr>
                <w:ilvl w:val="0"/>
                <w:numId w:val="9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 acquis Communautaire</w:t>
            </w:r>
          </w:p>
          <w:p w14:paraId="03DDEB14" w14:textId="77777777" w:rsidR="00C03883" w:rsidRPr="00A33AE8" w:rsidRDefault="00C03883" w:rsidP="00884F3B">
            <w:pPr>
              <w:pStyle w:val="ListParagraph"/>
              <w:numPr>
                <w:ilvl w:val="0"/>
                <w:numId w:val="9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08965D75"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79E27DC"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096C0CCD" w14:textId="77777777" w:rsidR="00C03883" w:rsidRPr="00A33AE8" w:rsidRDefault="00C03883"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133BAEA" w14:textId="77777777" w:rsidR="00C03883" w:rsidRPr="00A33AE8" w:rsidRDefault="00C03883" w:rsidP="006769DA"/>
        </w:tc>
      </w:tr>
      <w:tr w:rsidR="00C03883" w:rsidRPr="00A33AE8" w14:paraId="35CB0B40"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0B8BF8B2"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13D07811" w14:textId="77777777" w:rsidR="00C03883" w:rsidRPr="00A33AE8" w:rsidRDefault="00C03883"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F9AEEE1" w14:textId="77777777" w:rsidR="00C03883" w:rsidRPr="00A33AE8" w:rsidRDefault="00C03883" w:rsidP="006769DA">
            <w:pPr>
              <w:spacing w:after="0" w:line="256" w:lineRule="auto"/>
              <w:rPr>
                <w:sz w:val="20"/>
                <w:szCs w:val="20"/>
                <w:lang w:eastAsia="en-GB"/>
              </w:rPr>
            </w:pPr>
          </w:p>
        </w:tc>
      </w:tr>
      <w:tr w:rsidR="00C03883" w:rsidRPr="00A33AE8" w14:paraId="5A0D776F" w14:textId="77777777" w:rsidTr="006769DA">
        <w:trPr>
          <w:trHeight w:val="44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497B641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2" w:type="dxa"/>
            <w:gridSpan w:val="3"/>
            <w:tcBorders>
              <w:top w:val="single" w:sz="8" w:space="0" w:color="auto"/>
              <w:left w:val="nil"/>
              <w:bottom w:val="single" w:sz="8" w:space="0" w:color="auto"/>
              <w:right w:val="single" w:sz="8" w:space="0" w:color="000000"/>
            </w:tcBorders>
            <w:vAlign w:val="center"/>
          </w:tcPr>
          <w:p w14:paraId="1DBC08B9" w14:textId="77777777" w:rsidR="00C03883" w:rsidRPr="00A33AE8" w:rsidRDefault="00C03883" w:rsidP="00884F3B">
            <w:pPr>
              <w:pStyle w:val="ListParagraph"/>
              <w:numPr>
                <w:ilvl w:val="0"/>
                <w:numId w:val="9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51A75B6D" w14:textId="77777777" w:rsidR="00C03883" w:rsidRPr="00A33AE8" w:rsidRDefault="00C03883" w:rsidP="00884F3B">
            <w:pPr>
              <w:pStyle w:val="ListParagraph"/>
              <w:numPr>
                <w:ilvl w:val="0"/>
                <w:numId w:val="9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1C6B439C"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522F0B3C"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51ABCD4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2" w:type="dxa"/>
            <w:gridSpan w:val="3"/>
            <w:tcBorders>
              <w:top w:val="single" w:sz="8" w:space="0" w:color="auto"/>
              <w:left w:val="nil"/>
              <w:bottom w:val="single" w:sz="8" w:space="0" w:color="auto"/>
              <w:right w:val="single" w:sz="8" w:space="0" w:color="000000"/>
            </w:tcBorders>
            <w:vAlign w:val="center"/>
          </w:tcPr>
          <w:p w14:paraId="46EE91C7"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2.7 M€</w:t>
            </w:r>
          </w:p>
        </w:tc>
        <w:tc>
          <w:tcPr>
            <w:tcW w:w="1212" w:type="dxa"/>
            <w:vAlign w:val="center"/>
            <w:hideMark/>
          </w:tcPr>
          <w:p w14:paraId="495B6499" w14:textId="77777777" w:rsidR="00C03883" w:rsidRPr="00A33AE8" w:rsidRDefault="00C03883" w:rsidP="006769DA">
            <w:pPr>
              <w:rPr>
                <w:rFonts w:ascii="Calibri" w:eastAsia="Times New Roman" w:hAnsi="Calibri" w:cs="Calibri"/>
                <w:color w:val="000000"/>
                <w:lang w:eastAsia="en-GB"/>
              </w:rPr>
            </w:pPr>
          </w:p>
        </w:tc>
      </w:tr>
      <w:tr w:rsidR="00C03883" w:rsidRPr="00A33AE8" w14:paraId="719AA4A1"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71CEEBD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2" w:type="dxa"/>
            <w:gridSpan w:val="3"/>
            <w:tcBorders>
              <w:top w:val="single" w:sz="8" w:space="0" w:color="auto"/>
              <w:left w:val="nil"/>
              <w:bottom w:val="single" w:sz="8" w:space="0" w:color="auto"/>
              <w:right w:val="single" w:sz="8" w:space="0" w:color="000000"/>
            </w:tcBorders>
            <w:shd w:val="clear" w:color="auto" w:fill="auto"/>
            <w:vAlign w:val="center"/>
          </w:tcPr>
          <w:p w14:paraId="2A3A784A" w14:textId="77777777" w:rsidR="009D7D80" w:rsidRPr="005B2C66" w:rsidRDefault="009D7D80" w:rsidP="00884F3B">
            <w:pPr>
              <w:pStyle w:val="ListParagraph"/>
              <w:numPr>
                <w:ilvl w:val="0"/>
                <w:numId w:val="281"/>
              </w:numPr>
              <w:spacing w:after="0" w:line="240" w:lineRule="auto"/>
              <w:rPr>
                <w:rFonts w:asciiTheme="majorHAnsi" w:eastAsia="Times New Roman" w:hAnsiTheme="majorHAnsi" w:cstheme="majorHAnsi"/>
                <w:color w:val="000000"/>
                <w:sz w:val="20"/>
                <w:szCs w:val="20"/>
                <w:lang w:eastAsia="en-GB"/>
              </w:rPr>
            </w:pPr>
            <w:r w:rsidRPr="005B2C66">
              <w:rPr>
                <w:rFonts w:asciiTheme="majorHAnsi" w:eastAsia="Times New Roman" w:hAnsiTheme="majorHAnsi" w:cstheme="majorHAnsi"/>
                <w:color w:val="000000"/>
                <w:sz w:val="20"/>
                <w:szCs w:val="20"/>
                <w:lang w:eastAsia="en-GB"/>
              </w:rPr>
              <w:t>Budget funds</w:t>
            </w:r>
          </w:p>
          <w:p w14:paraId="202578FD" w14:textId="77777777" w:rsidR="009D7D80" w:rsidRPr="005B2C66" w:rsidRDefault="009D7D80" w:rsidP="00884F3B">
            <w:pPr>
              <w:pStyle w:val="ListParagraph"/>
              <w:numPr>
                <w:ilvl w:val="0"/>
                <w:numId w:val="281"/>
              </w:numPr>
              <w:spacing w:after="0" w:line="240" w:lineRule="auto"/>
              <w:rPr>
                <w:rFonts w:asciiTheme="majorHAnsi" w:eastAsia="Times New Roman" w:hAnsiTheme="majorHAnsi" w:cstheme="majorHAnsi"/>
                <w:color w:val="000000"/>
                <w:sz w:val="20"/>
                <w:szCs w:val="20"/>
                <w:lang w:eastAsia="en-GB"/>
              </w:rPr>
            </w:pPr>
            <w:r w:rsidRPr="005B2C66">
              <w:rPr>
                <w:rFonts w:asciiTheme="majorHAnsi" w:eastAsia="Times New Roman" w:hAnsiTheme="majorHAnsi" w:cstheme="majorHAnsi"/>
                <w:color w:val="000000"/>
                <w:sz w:val="20"/>
                <w:szCs w:val="20"/>
                <w:lang w:eastAsia="en-GB"/>
              </w:rPr>
              <w:t>EU funds</w:t>
            </w:r>
          </w:p>
          <w:p w14:paraId="589F4E09" w14:textId="77777777" w:rsidR="00C03883" w:rsidRPr="005B2C66" w:rsidRDefault="009D7D80" w:rsidP="00884F3B">
            <w:pPr>
              <w:pStyle w:val="ListParagraph"/>
              <w:numPr>
                <w:ilvl w:val="0"/>
                <w:numId w:val="281"/>
              </w:numPr>
              <w:spacing w:after="0" w:line="240" w:lineRule="auto"/>
              <w:rPr>
                <w:rFonts w:asciiTheme="majorHAnsi" w:eastAsia="Times New Roman" w:hAnsiTheme="majorHAnsi" w:cstheme="majorHAnsi"/>
                <w:color w:val="000000"/>
                <w:lang w:eastAsia="en-GB"/>
              </w:rPr>
            </w:pPr>
            <w:r w:rsidRPr="005B2C66">
              <w:rPr>
                <w:rFonts w:asciiTheme="majorHAnsi" w:eastAsia="Times New Roman" w:hAnsiTheme="majorHAnsi" w:cstheme="majorHAnsi"/>
                <w:color w:val="000000"/>
                <w:sz w:val="20"/>
                <w:szCs w:val="20"/>
                <w:lang w:eastAsia="en-GB"/>
              </w:rPr>
              <w:t>Private and public funds</w:t>
            </w:r>
          </w:p>
        </w:tc>
        <w:tc>
          <w:tcPr>
            <w:tcW w:w="1212" w:type="dxa"/>
            <w:vAlign w:val="center"/>
            <w:hideMark/>
          </w:tcPr>
          <w:p w14:paraId="72819E16" w14:textId="77777777" w:rsidR="00C03883" w:rsidRPr="00A33AE8" w:rsidRDefault="00C03883" w:rsidP="006769DA">
            <w:pPr>
              <w:rPr>
                <w:rFonts w:ascii="Calibri" w:eastAsia="Times New Roman" w:hAnsi="Calibri" w:cs="Calibri"/>
                <w:color w:val="000000"/>
                <w:lang w:eastAsia="en-GB"/>
              </w:rPr>
            </w:pPr>
          </w:p>
        </w:tc>
      </w:tr>
    </w:tbl>
    <w:p w14:paraId="54AAB165"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6"/>
        <w:gridCol w:w="951"/>
        <w:gridCol w:w="944"/>
        <w:gridCol w:w="4257"/>
        <w:gridCol w:w="1212"/>
      </w:tblGrid>
      <w:tr w:rsidR="00C03883" w:rsidRPr="00A33AE8" w14:paraId="7272905A" w14:textId="77777777" w:rsidTr="006769DA">
        <w:trPr>
          <w:gridAfter w:val="1"/>
          <w:wAfter w:w="1212" w:type="dxa"/>
          <w:trHeight w:val="780"/>
        </w:trPr>
        <w:tc>
          <w:tcPr>
            <w:tcW w:w="333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36441BD"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283AC588"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PM_RIC3</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71B8AC0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7" w:type="dxa"/>
            <w:tcBorders>
              <w:top w:val="single" w:sz="8" w:space="0" w:color="auto"/>
              <w:left w:val="nil"/>
              <w:bottom w:val="single" w:sz="8" w:space="0" w:color="auto"/>
              <w:right w:val="single" w:sz="8" w:space="0" w:color="auto"/>
            </w:tcBorders>
            <w:shd w:val="clear" w:color="auto" w:fill="E7E6E6" w:themeFill="background2"/>
            <w:vAlign w:val="center"/>
            <w:hideMark/>
          </w:tcPr>
          <w:p w14:paraId="54AC562B"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Establishment of a Multiannual Investment Plan for the strengthening of R&amp;I infrastructures</w:t>
            </w:r>
          </w:p>
        </w:tc>
      </w:tr>
      <w:tr w:rsidR="00C03883" w:rsidRPr="00A33AE8" w14:paraId="1182AD4E" w14:textId="77777777" w:rsidTr="006769DA">
        <w:trPr>
          <w:gridAfter w:val="1"/>
          <w:wAfter w:w="1212" w:type="dxa"/>
          <w:trHeight w:val="353"/>
        </w:trPr>
        <w:tc>
          <w:tcPr>
            <w:tcW w:w="3336" w:type="dxa"/>
            <w:tcBorders>
              <w:top w:val="nil"/>
              <w:left w:val="single" w:sz="8" w:space="0" w:color="auto"/>
              <w:bottom w:val="single" w:sz="8" w:space="0" w:color="auto"/>
              <w:right w:val="nil"/>
            </w:tcBorders>
            <w:shd w:val="clear" w:color="auto" w:fill="244062"/>
            <w:vAlign w:val="center"/>
            <w:hideMark/>
          </w:tcPr>
          <w:p w14:paraId="3018B9A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2" w:type="dxa"/>
            <w:gridSpan w:val="3"/>
            <w:tcBorders>
              <w:top w:val="single" w:sz="8" w:space="0" w:color="auto"/>
              <w:left w:val="nil"/>
              <w:bottom w:val="single" w:sz="8" w:space="0" w:color="auto"/>
              <w:right w:val="single" w:sz="8" w:space="0" w:color="000000"/>
            </w:tcBorders>
            <w:vAlign w:val="center"/>
            <w:hideMark/>
          </w:tcPr>
          <w:p w14:paraId="3F96A69D"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Regulatory amendment, promotion of research and innovation</w:t>
            </w:r>
          </w:p>
        </w:tc>
      </w:tr>
      <w:tr w:rsidR="00C03883" w:rsidRPr="00A33AE8" w14:paraId="23B711B8"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5D3F3BC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2" w:type="dxa"/>
            <w:gridSpan w:val="3"/>
            <w:tcBorders>
              <w:top w:val="single" w:sz="8" w:space="0" w:color="auto"/>
              <w:left w:val="nil"/>
              <w:bottom w:val="single" w:sz="8" w:space="0" w:color="auto"/>
              <w:right w:val="single" w:sz="8" w:space="0" w:color="000000"/>
            </w:tcBorders>
            <w:vAlign w:val="center"/>
            <w:hideMark/>
          </w:tcPr>
          <w:p w14:paraId="5DE48B0B" w14:textId="77777777" w:rsidR="00C03883" w:rsidRPr="00A33AE8" w:rsidRDefault="00C03883" w:rsidP="000C0536">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515858E0" w14:textId="77777777" w:rsidTr="006769DA">
        <w:trPr>
          <w:gridAfter w:val="1"/>
          <w:wAfter w:w="1212" w:type="dxa"/>
          <w:trHeight w:val="429"/>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412F88D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2" w:type="dxa"/>
            <w:gridSpan w:val="3"/>
            <w:tcBorders>
              <w:top w:val="single" w:sz="8" w:space="0" w:color="auto"/>
              <w:left w:val="nil"/>
              <w:bottom w:val="single" w:sz="8" w:space="0" w:color="auto"/>
              <w:right w:val="single" w:sz="8" w:space="0" w:color="000000"/>
            </w:tcBorders>
            <w:vAlign w:val="center"/>
            <w:hideMark/>
          </w:tcPr>
          <w:p w14:paraId="57A0DD58"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PM_RIC3 will promote the creation of a Multiannual Investment Plan to support R&amp;I infrastructures, which aims at strengthening the strategic infrastructure in the field of energy R&amp;I.</w:t>
            </w:r>
          </w:p>
        </w:tc>
      </w:tr>
      <w:tr w:rsidR="00C03883" w:rsidRPr="00A33AE8" w14:paraId="6D5AF211"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4556766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2" w:type="dxa"/>
            <w:gridSpan w:val="3"/>
            <w:tcBorders>
              <w:top w:val="single" w:sz="8" w:space="0" w:color="auto"/>
              <w:left w:val="nil"/>
              <w:bottom w:val="single" w:sz="8" w:space="0" w:color="auto"/>
              <w:right w:val="single" w:sz="8" w:space="0" w:color="000000"/>
            </w:tcBorders>
            <w:vAlign w:val="center"/>
            <w:hideMark/>
          </w:tcPr>
          <w:p w14:paraId="2108E58C"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4BD71AF9"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5505579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2" w:type="dxa"/>
            <w:gridSpan w:val="3"/>
            <w:tcBorders>
              <w:top w:val="single" w:sz="8" w:space="0" w:color="auto"/>
              <w:left w:val="nil"/>
              <w:bottom w:val="single" w:sz="8" w:space="0" w:color="auto"/>
              <w:right w:val="single" w:sz="8" w:space="0" w:color="000000"/>
            </w:tcBorders>
            <w:vAlign w:val="center"/>
            <w:hideMark/>
          </w:tcPr>
          <w:p w14:paraId="48FDCE10"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C03883" w:rsidRPr="00A33AE8" w14:paraId="711A5E41"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632902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2" w:type="dxa"/>
            <w:gridSpan w:val="3"/>
            <w:tcBorders>
              <w:top w:val="single" w:sz="8" w:space="0" w:color="auto"/>
              <w:left w:val="nil"/>
              <w:bottom w:val="single" w:sz="8" w:space="0" w:color="auto"/>
              <w:right w:val="single" w:sz="8" w:space="0" w:color="000000"/>
            </w:tcBorders>
            <w:vAlign w:val="center"/>
            <w:hideMark/>
          </w:tcPr>
          <w:p w14:paraId="2CD1363C"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22FFA681"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B9EE83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3A40331E" w14:textId="77777777" w:rsidR="00C03883" w:rsidRPr="00A33AE8" w:rsidRDefault="00C03883" w:rsidP="00884F3B">
            <w:pPr>
              <w:pStyle w:val="ListParagraph"/>
              <w:numPr>
                <w:ilvl w:val="0"/>
                <w:numId w:val="1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BF5E043" w14:textId="77777777" w:rsidR="00C03883" w:rsidRPr="00A33AE8" w:rsidRDefault="00C03883" w:rsidP="00884F3B">
            <w:pPr>
              <w:pStyle w:val="ListParagraph"/>
              <w:numPr>
                <w:ilvl w:val="0"/>
                <w:numId w:val="1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lastRenderedPageBreak/>
              <w:t>Ministry of Finance</w:t>
            </w:r>
          </w:p>
          <w:p w14:paraId="32A9466E" w14:textId="77777777" w:rsidR="00C03883" w:rsidRPr="00A33AE8" w:rsidRDefault="00C03883" w:rsidP="00884F3B">
            <w:pPr>
              <w:pStyle w:val="ListParagraph"/>
              <w:numPr>
                <w:ilvl w:val="0"/>
                <w:numId w:val="1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4A8CB752"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44A373B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Monitoring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4D9AE695"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7EB33ADE"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1361B2C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2" w:type="dxa"/>
            <w:gridSpan w:val="3"/>
            <w:tcBorders>
              <w:top w:val="single" w:sz="8" w:space="0" w:color="auto"/>
              <w:left w:val="nil"/>
              <w:bottom w:val="single" w:sz="8" w:space="0" w:color="auto"/>
              <w:right w:val="single" w:sz="8" w:space="0" w:color="000000"/>
            </w:tcBorders>
            <w:vAlign w:val="center"/>
            <w:hideMark/>
          </w:tcPr>
          <w:p w14:paraId="2614956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New regulations and/or Normative Acts</w:t>
            </w:r>
          </w:p>
        </w:tc>
      </w:tr>
      <w:tr w:rsidR="00213B57" w:rsidRPr="00A33AE8" w14:paraId="451F39C2" w14:textId="77777777" w:rsidTr="006769DA">
        <w:trPr>
          <w:gridAfter w:val="1"/>
          <w:wAfter w:w="1212" w:type="dxa"/>
          <w:trHeight w:val="19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CE6634A"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2" w:type="dxa"/>
            <w:gridSpan w:val="3"/>
            <w:tcBorders>
              <w:top w:val="single" w:sz="8" w:space="0" w:color="auto"/>
              <w:left w:val="nil"/>
              <w:bottom w:val="single" w:sz="8" w:space="0" w:color="auto"/>
              <w:right w:val="single" w:sz="8" w:space="0" w:color="000000"/>
            </w:tcBorders>
            <w:vAlign w:val="center"/>
          </w:tcPr>
          <w:p w14:paraId="6D7BE579" w14:textId="77777777" w:rsidR="00213B57" w:rsidRPr="00A33AE8" w:rsidRDefault="00213B57" w:rsidP="00884F3B">
            <w:pPr>
              <w:pStyle w:val="ListParagraph"/>
              <w:numPr>
                <w:ilvl w:val="0"/>
                <w:numId w:val="18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33FF8015" w14:textId="77777777" w:rsidTr="006769DA">
        <w:trPr>
          <w:gridAfter w:val="1"/>
          <w:wAfter w:w="1212" w:type="dxa"/>
          <w:trHeight w:val="450"/>
        </w:trPr>
        <w:tc>
          <w:tcPr>
            <w:tcW w:w="3336" w:type="dxa"/>
            <w:vMerge w:val="restart"/>
            <w:tcBorders>
              <w:top w:val="nil"/>
              <w:left w:val="single" w:sz="8" w:space="0" w:color="auto"/>
              <w:bottom w:val="single" w:sz="8" w:space="0" w:color="000000"/>
              <w:right w:val="single" w:sz="8" w:space="0" w:color="auto"/>
            </w:tcBorders>
            <w:shd w:val="clear" w:color="auto" w:fill="244062"/>
            <w:vAlign w:val="center"/>
            <w:hideMark/>
          </w:tcPr>
          <w:p w14:paraId="59F7A96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2" w:type="dxa"/>
            <w:gridSpan w:val="3"/>
            <w:vMerge w:val="restart"/>
            <w:tcBorders>
              <w:top w:val="single" w:sz="8" w:space="0" w:color="auto"/>
              <w:left w:val="single" w:sz="8" w:space="0" w:color="auto"/>
              <w:bottom w:val="single" w:sz="8" w:space="0" w:color="000000"/>
              <w:right w:val="single" w:sz="8" w:space="0" w:color="000000"/>
            </w:tcBorders>
            <w:vAlign w:val="center"/>
          </w:tcPr>
          <w:p w14:paraId="0D2AE422" w14:textId="77777777" w:rsidR="00C03883" w:rsidRPr="00A33AE8" w:rsidRDefault="00C03883" w:rsidP="00884F3B">
            <w:pPr>
              <w:pStyle w:val="ListParagraph"/>
              <w:numPr>
                <w:ilvl w:val="0"/>
                <w:numId w:val="9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 acquis Communautaire</w:t>
            </w:r>
          </w:p>
          <w:p w14:paraId="417EAEAA" w14:textId="77777777" w:rsidR="00C03883" w:rsidRPr="00A33AE8" w:rsidRDefault="00C03883" w:rsidP="00884F3B">
            <w:pPr>
              <w:pStyle w:val="ListParagraph"/>
              <w:numPr>
                <w:ilvl w:val="0"/>
                <w:numId w:val="9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722B1B7C"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6BE174AD"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434602E3" w14:textId="77777777" w:rsidR="00C03883" w:rsidRPr="00A33AE8" w:rsidRDefault="00C03883" w:rsidP="00884F3B">
            <w:pPr>
              <w:pStyle w:val="ListParagraph"/>
              <w:numPr>
                <w:ilvl w:val="0"/>
                <w:numId w:val="92"/>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FE9A9FC" w14:textId="77777777" w:rsidR="00C03883" w:rsidRPr="00A33AE8" w:rsidRDefault="00C03883" w:rsidP="006769DA"/>
        </w:tc>
      </w:tr>
      <w:tr w:rsidR="00C03883" w:rsidRPr="00A33AE8" w14:paraId="0AA2D54E"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7ACA5676"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3F63D4CB" w14:textId="77777777" w:rsidR="00C03883" w:rsidRPr="00A33AE8" w:rsidRDefault="00C03883" w:rsidP="00884F3B">
            <w:pPr>
              <w:pStyle w:val="ListParagraph"/>
              <w:numPr>
                <w:ilvl w:val="0"/>
                <w:numId w:val="92"/>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3E7472F" w14:textId="77777777" w:rsidR="00C03883" w:rsidRPr="00A33AE8" w:rsidRDefault="00C03883" w:rsidP="006769DA">
            <w:pPr>
              <w:spacing w:after="0" w:line="256" w:lineRule="auto"/>
              <w:rPr>
                <w:sz w:val="20"/>
                <w:szCs w:val="20"/>
                <w:lang w:eastAsia="en-GB"/>
              </w:rPr>
            </w:pPr>
          </w:p>
        </w:tc>
      </w:tr>
      <w:tr w:rsidR="00C03883" w:rsidRPr="00A33AE8" w14:paraId="56CAC1B0" w14:textId="77777777" w:rsidTr="006769DA">
        <w:trPr>
          <w:trHeight w:val="301"/>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3DDD54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2" w:type="dxa"/>
            <w:gridSpan w:val="3"/>
            <w:tcBorders>
              <w:top w:val="single" w:sz="8" w:space="0" w:color="auto"/>
              <w:left w:val="nil"/>
              <w:bottom w:val="single" w:sz="8" w:space="0" w:color="auto"/>
              <w:right w:val="single" w:sz="8" w:space="0" w:color="000000"/>
            </w:tcBorders>
            <w:vAlign w:val="center"/>
          </w:tcPr>
          <w:p w14:paraId="104C94C9" w14:textId="77777777" w:rsidR="00C03883" w:rsidRPr="00A33AE8" w:rsidRDefault="00C03883" w:rsidP="00884F3B">
            <w:pPr>
              <w:pStyle w:val="ListParagraph"/>
              <w:numPr>
                <w:ilvl w:val="0"/>
                <w:numId w:val="9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64F4A421" w14:textId="77777777" w:rsidR="00C03883" w:rsidRPr="00A33AE8" w:rsidRDefault="00C03883" w:rsidP="00884F3B">
            <w:pPr>
              <w:pStyle w:val="ListParagraph"/>
              <w:numPr>
                <w:ilvl w:val="0"/>
                <w:numId w:val="9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18498046"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26B886C3"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B7568F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2" w:type="dxa"/>
            <w:gridSpan w:val="3"/>
            <w:tcBorders>
              <w:top w:val="single" w:sz="8" w:space="0" w:color="auto"/>
              <w:left w:val="nil"/>
              <w:bottom w:val="single" w:sz="8" w:space="0" w:color="auto"/>
              <w:right w:val="single" w:sz="8" w:space="0" w:color="000000"/>
            </w:tcBorders>
            <w:vAlign w:val="center"/>
          </w:tcPr>
          <w:p w14:paraId="2249628A"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r w:rsidRPr="00A33AE8">
              <w:rPr>
                <w:rFonts w:ascii="Calibri" w:eastAsia="Times New Roman" w:hAnsi="Calibri" w:cs="Calibri"/>
                <w:color w:val="000000"/>
                <w:sz w:val="20"/>
                <w:szCs w:val="20"/>
                <w:lang w:eastAsia="en-GB"/>
              </w:rPr>
              <w:t>€</w:t>
            </w:r>
          </w:p>
        </w:tc>
        <w:tc>
          <w:tcPr>
            <w:tcW w:w="1212" w:type="dxa"/>
            <w:vAlign w:val="center"/>
            <w:hideMark/>
          </w:tcPr>
          <w:p w14:paraId="74561D8C" w14:textId="77777777" w:rsidR="00C03883" w:rsidRPr="00A33AE8" w:rsidRDefault="00C03883" w:rsidP="006769DA">
            <w:pPr>
              <w:rPr>
                <w:rFonts w:ascii="Calibri" w:eastAsia="Times New Roman" w:hAnsi="Calibri" w:cs="Calibri"/>
                <w:color w:val="000000"/>
                <w:lang w:eastAsia="en-GB"/>
              </w:rPr>
            </w:pPr>
          </w:p>
        </w:tc>
      </w:tr>
      <w:tr w:rsidR="00C03883" w:rsidRPr="00A33AE8" w14:paraId="3F0C37D2"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016A6E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2" w:type="dxa"/>
            <w:gridSpan w:val="3"/>
            <w:tcBorders>
              <w:top w:val="single" w:sz="8" w:space="0" w:color="auto"/>
              <w:left w:val="nil"/>
              <w:bottom w:val="single" w:sz="8" w:space="0" w:color="auto"/>
              <w:right w:val="single" w:sz="8" w:space="0" w:color="000000"/>
            </w:tcBorders>
            <w:shd w:val="clear" w:color="auto" w:fill="auto"/>
            <w:vAlign w:val="center"/>
            <w:hideMark/>
          </w:tcPr>
          <w:p w14:paraId="500DD15F" w14:textId="77777777" w:rsidR="009D7D80" w:rsidRPr="005B2C66" w:rsidRDefault="009D7D80" w:rsidP="00884F3B">
            <w:pPr>
              <w:pStyle w:val="ListParagraph"/>
              <w:numPr>
                <w:ilvl w:val="0"/>
                <w:numId w:val="282"/>
              </w:numPr>
              <w:spacing w:after="0" w:line="240" w:lineRule="auto"/>
              <w:rPr>
                <w:rFonts w:asciiTheme="majorHAnsi" w:eastAsia="Times New Roman" w:hAnsiTheme="majorHAnsi" w:cstheme="majorHAnsi"/>
                <w:color w:val="000000"/>
                <w:sz w:val="20"/>
                <w:szCs w:val="20"/>
                <w:lang w:eastAsia="en-GB"/>
              </w:rPr>
            </w:pPr>
            <w:r w:rsidRPr="005B2C66">
              <w:rPr>
                <w:rFonts w:asciiTheme="majorHAnsi" w:eastAsia="Times New Roman" w:hAnsiTheme="majorHAnsi" w:cstheme="majorHAnsi"/>
                <w:color w:val="000000"/>
                <w:sz w:val="20"/>
                <w:szCs w:val="20"/>
                <w:lang w:eastAsia="en-GB"/>
              </w:rPr>
              <w:t>Budget funds</w:t>
            </w:r>
          </w:p>
          <w:p w14:paraId="3D26011A" w14:textId="77777777" w:rsidR="00C03883" w:rsidRPr="005B2C66" w:rsidRDefault="009D7D80" w:rsidP="00884F3B">
            <w:pPr>
              <w:pStyle w:val="ListParagraph"/>
              <w:numPr>
                <w:ilvl w:val="0"/>
                <w:numId w:val="282"/>
              </w:numPr>
              <w:spacing w:after="0" w:line="240" w:lineRule="auto"/>
              <w:rPr>
                <w:rFonts w:asciiTheme="majorHAnsi" w:eastAsia="Times New Roman" w:hAnsiTheme="majorHAnsi" w:cstheme="majorHAnsi"/>
                <w:color w:val="000000"/>
                <w:lang w:eastAsia="en-GB"/>
              </w:rPr>
            </w:pPr>
            <w:r w:rsidRPr="005B2C66">
              <w:rPr>
                <w:rFonts w:asciiTheme="majorHAnsi" w:eastAsia="Times New Roman" w:hAnsiTheme="majorHAnsi" w:cstheme="majorHAnsi"/>
                <w:color w:val="000000"/>
                <w:sz w:val="20"/>
                <w:szCs w:val="20"/>
                <w:lang w:eastAsia="en-GB"/>
              </w:rPr>
              <w:t>EU funds</w:t>
            </w:r>
          </w:p>
        </w:tc>
        <w:tc>
          <w:tcPr>
            <w:tcW w:w="1212" w:type="dxa"/>
            <w:vAlign w:val="center"/>
            <w:hideMark/>
          </w:tcPr>
          <w:p w14:paraId="7605293E" w14:textId="77777777" w:rsidR="00C03883" w:rsidRPr="00A33AE8" w:rsidRDefault="00C03883" w:rsidP="006769DA">
            <w:pPr>
              <w:rPr>
                <w:rFonts w:ascii="Calibri" w:eastAsia="Times New Roman" w:hAnsi="Calibri" w:cs="Calibri"/>
                <w:color w:val="000000"/>
                <w:lang w:eastAsia="en-GB"/>
              </w:rPr>
            </w:pPr>
          </w:p>
        </w:tc>
      </w:tr>
    </w:tbl>
    <w:p w14:paraId="52C63659"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8"/>
        <w:gridCol w:w="951"/>
        <w:gridCol w:w="944"/>
        <w:gridCol w:w="4255"/>
        <w:gridCol w:w="1212"/>
      </w:tblGrid>
      <w:tr w:rsidR="00C03883" w:rsidRPr="00A33AE8" w14:paraId="739424FF" w14:textId="77777777" w:rsidTr="006769DA">
        <w:trPr>
          <w:gridAfter w:val="1"/>
          <w:wAfter w:w="1212" w:type="dxa"/>
          <w:trHeight w:val="780"/>
        </w:trPr>
        <w:tc>
          <w:tcPr>
            <w:tcW w:w="333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91FE3FA"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7779BA05"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PM_RIC4</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13E2479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5" w:type="dxa"/>
            <w:tcBorders>
              <w:top w:val="single" w:sz="8" w:space="0" w:color="auto"/>
              <w:left w:val="nil"/>
              <w:bottom w:val="single" w:sz="8" w:space="0" w:color="auto"/>
              <w:right w:val="single" w:sz="8" w:space="0" w:color="auto"/>
            </w:tcBorders>
            <w:shd w:val="clear" w:color="auto" w:fill="E7E6E6" w:themeFill="background2"/>
            <w:vAlign w:val="center"/>
            <w:hideMark/>
          </w:tcPr>
          <w:p w14:paraId="6AE1CD76"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Integration of Serbia into the European Research Area and enhanced participation in EU’s funded Energy R&amp;I Programs </w:t>
            </w:r>
          </w:p>
        </w:tc>
      </w:tr>
      <w:tr w:rsidR="00C03883" w:rsidRPr="00A33AE8" w14:paraId="0B8CEF4B" w14:textId="77777777" w:rsidTr="006769DA">
        <w:trPr>
          <w:gridAfter w:val="1"/>
          <w:wAfter w:w="1212" w:type="dxa"/>
          <w:trHeight w:val="245"/>
        </w:trPr>
        <w:tc>
          <w:tcPr>
            <w:tcW w:w="3338" w:type="dxa"/>
            <w:tcBorders>
              <w:top w:val="nil"/>
              <w:left w:val="single" w:sz="8" w:space="0" w:color="auto"/>
              <w:bottom w:val="single" w:sz="8" w:space="0" w:color="auto"/>
              <w:right w:val="nil"/>
            </w:tcBorders>
            <w:shd w:val="clear" w:color="auto" w:fill="244062"/>
            <w:vAlign w:val="center"/>
            <w:hideMark/>
          </w:tcPr>
          <w:p w14:paraId="155C31A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0" w:type="dxa"/>
            <w:gridSpan w:val="3"/>
            <w:tcBorders>
              <w:top w:val="single" w:sz="8" w:space="0" w:color="auto"/>
              <w:left w:val="nil"/>
              <w:bottom w:val="single" w:sz="8" w:space="0" w:color="auto"/>
              <w:right w:val="single" w:sz="8" w:space="0" w:color="000000"/>
            </w:tcBorders>
            <w:vAlign w:val="center"/>
            <w:hideMark/>
          </w:tcPr>
          <w:p w14:paraId="0CEA174F"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604E28DA"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38C4CF9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0" w:type="dxa"/>
            <w:gridSpan w:val="3"/>
            <w:tcBorders>
              <w:top w:val="single" w:sz="8" w:space="0" w:color="auto"/>
              <w:left w:val="nil"/>
              <w:bottom w:val="single" w:sz="8" w:space="0" w:color="auto"/>
              <w:right w:val="single" w:sz="8" w:space="0" w:color="000000"/>
            </w:tcBorders>
            <w:vAlign w:val="center"/>
            <w:hideMark/>
          </w:tcPr>
          <w:p w14:paraId="715B8D71" w14:textId="77777777" w:rsidR="00C03883" w:rsidRPr="00A33AE8" w:rsidRDefault="00C03883" w:rsidP="000C0536">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0962B863" w14:textId="77777777" w:rsidTr="006769DA">
        <w:trPr>
          <w:gridAfter w:val="1"/>
          <w:wAfter w:w="1212" w:type="dxa"/>
          <w:trHeight w:val="1487"/>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3182165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0" w:type="dxa"/>
            <w:gridSpan w:val="3"/>
            <w:tcBorders>
              <w:top w:val="single" w:sz="8" w:space="0" w:color="auto"/>
              <w:left w:val="nil"/>
              <w:bottom w:val="single" w:sz="8" w:space="0" w:color="auto"/>
              <w:right w:val="single" w:sz="8" w:space="0" w:color="000000"/>
            </w:tcBorders>
            <w:vAlign w:val="center"/>
            <w:hideMark/>
          </w:tcPr>
          <w:p w14:paraId="669F53E7"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PM_RIC4 will ensure Serbia's better position in the area of European R&amp;I (e.g. in European Energy Research Alliance). For instance, in order to prepare for the country’s participation in the Horizon Europe Framework Research and Innovation Programme, a number of working groups have to set up, involving the authorities and research operators, among others. The aim of these working groups is to improve the participation of Serbia in the European framework research programmes so that it will be better integrated within the European dynamic and can improve its expertise and competitiveness, create synergies and gain access to wider markets.</w:t>
            </w:r>
          </w:p>
        </w:tc>
      </w:tr>
      <w:tr w:rsidR="00C03883" w:rsidRPr="00A33AE8" w14:paraId="6AFB0ABC"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2B485DE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0" w:type="dxa"/>
            <w:gridSpan w:val="3"/>
            <w:tcBorders>
              <w:top w:val="single" w:sz="8" w:space="0" w:color="auto"/>
              <w:left w:val="nil"/>
              <w:bottom w:val="single" w:sz="8" w:space="0" w:color="auto"/>
              <w:right w:val="single" w:sz="8" w:space="0" w:color="000000"/>
            </w:tcBorders>
            <w:vAlign w:val="center"/>
            <w:hideMark/>
          </w:tcPr>
          <w:p w14:paraId="1247E3C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37F7BDE3"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3BD7B14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0" w:type="dxa"/>
            <w:gridSpan w:val="3"/>
            <w:tcBorders>
              <w:top w:val="single" w:sz="8" w:space="0" w:color="auto"/>
              <w:left w:val="nil"/>
              <w:bottom w:val="single" w:sz="8" w:space="0" w:color="auto"/>
              <w:right w:val="single" w:sz="8" w:space="0" w:color="000000"/>
            </w:tcBorders>
            <w:vAlign w:val="center"/>
            <w:hideMark/>
          </w:tcPr>
          <w:p w14:paraId="5CB8C8AF"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Reform</w:t>
            </w:r>
          </w:p>
        </w:tc>
      </w:tr>
      <w:tr w:rsidR="00C03883" w:rsidRPr="00A33AE8" w14:paraId="55A30B5C"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363C7EE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0" w:type="dxa"/>
            <w:gridSpan w:val="3"/>
            <w:tcBorders>
              <w:top w:val="single" w:sz="8" w:space="0" w:color="auto"/>
              <w:left w:val="nil"/>
              <w:bottom w:val="single" w:sz="8" w:space="0" w:color="auto"/>
              <w:right w:val="single" w:sz="8" w:space="0" w:color="000000"/>
            </w:tcBorders>
            <w:vAlign w:val="center"/>
            <w:hideMark/>
          </w:tcPr>
          <w:p w14:paraId="49DD9B7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195417E3"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6AF7B96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0" w:type="dxa"/>
            <w:gridSpan w:val="3"/>
            <w:tcBorders>
              <w:top w:val="single" w:sz="8" w:space="0" w:color="auto"/>
              <w:left w:val="nil"/>
              <w:bottom w:val="single" w:sz="8" w:space="0" w:color="auto"/>
              <w:right w:val="single" w:sz="8" w:space="0" w:color="000000"/>
            </w:tcBorders>
            <w:vAlign w:val="center"/>
            <w:hideMark/>
          </w:tcPr>
          <w:p w14:paraId="3C90EE0D" w14:textId="77777777" w:rsidR="00C03883" w:rsidRPr="00A33AE8" w:rsidRDefault="00C03883" w:rsidP="00884F3B">
            <w:pPr>
              <w:pStyle w:val="ListParagraph"/>
              <w:numPr>
                <w:ilvl w:val="0"/>
                <w:numId w:val="19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1F093AC5" w14:textId="77777777" w:rsidR="00C03883" w:rsidRPr="00A33AE8" w:rsidRDefault="00C03883" w:rsidP="00884F3B">
            <w:pPr>
              <w:pStyle w:val="ListParagraph"/>
              <w:numPr>
                <w:ilvl w:val="0"/>
                <w:numId w:val="19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40206D6F" w14:textId="77777777" w:rsidR="00C03883" w:rsidRPr="00A33AE8" w:rsidRDefault="00C03883" w:rsidP="00884F3B">
            <w:pPr>
              <w:pStyle w:val="ListParagraph"/>
              <w:numPr>
                <w:ilvl w:val="0"/>
                <w:numId w:val="19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37131B4F" w14:textId="77777777" w:rsidR="00C03883" w:rsidRPr="00A33AE8" w:rsidRDefault="00C03883" w:rsidP="00884F3B">
            <w:pPr>
              <w:pStyle w:val="ListParagraph"/>
              <w:numPr>
                <w:ilvl w:val="0"/>
                <w:numId w:val="19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 of Serbia</w:t>
            </w:r>
          </w:p>
          <w:p w14:paraId="730B7352" w14:textId="77777777" w:rsidR="00C03883" w:rsidRPr="00A33AE8" w:rsidRDefault="00C03883" w:rsidP="00884F3B">
            <w:pPr>
              <w:pStyle w:val="ListParagraph"/>
              <w:numPr>
                <w:ilvl w:val="0"/>
                <w:numId w:val="19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C03883" w:rsidRPr="00A33AE8" w14:paraId="09253D1C" w14:textId="77777777" w:rsidTr="006769DA">
        <w:trPr>
          <w:gridAfter w:val="1"/>
          <w:wAfter w:w="1212" w:type="dxa"/>
          <w:trHeight w:val="315"/>
        </w:trPr>
        <w:tc>
          <w:tcPr>
            <w:tcW w:w="3338" w:type="dxa"/>
            <w:tcBorders>
              <w:top w:val="nil"/>
              <w:left w:val="single" w:sz="8" w:space="0" w:color="auto"/>
              <w:bottom w:val="single" w:sz="8" w:space="0" w:color="auto"/>
              <w:right w:val="nil"/>
            </w:tcBorders>
            <w:shd w:val="clear" w:color="auto" w:fill="244062"/>
            <w:vAlign w:val="center"/>
            <w:hideMark/>
          </w:tcPr>
          <w:p w14:paraId="4A25261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0" w:type="dxa"/>
            <w:gridSpan w:val="3"/>
            <w:tcBorders>
              <w:top w:val="single" w:sz="8" w:space="0" w:color="auto"/>
              <w:left w:val="nil"/>
              <w:bottom w:val="single" w:sz="8" w:space="0" w:color="auto"/>
              <w:right w:val="single" w:sz="8" w:space="0" w:color="000000"/>
            </w:tcBorders>
            <w:vAlign w:val="center"/>
            <w:hideMark/>
          </w:tcPr>
          <w:p w14:paraId="0E34581E" w14:textId="77777777" w:rsidR="00C03883" w:rsidRPr="00A33AE8" w:rsidRDefault="00C03883" w:rsidP="00884F3B">
            <w:pPr>
              <w:pStyle w:val="ListParagraph"/>
              <w:numPr>
                <w:ilvl w:val="0"/>
                <w:numId w:val="19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32A8623E" w14:textId="77777777" w:rsidTr="006769DA">
        <w:trPr>
          <w:gridAfter w:val="1"/>
          <w:wAfter w:w="1212" w:type="dxa"/>
          <w:trHeight w:val="315"/>
        </w:trPr>
        <w:tc>
          <w:tcPr>
            <w:tcW w:w="3338" w:type="dxa"/>
            <w:tcBorders>
              <w:top w:val="nil"/>
              <w:left w:val="single" w:sz="8" w:space="0" w:color="auto"/>
              <w:bottom w:val="single" w:sz="8" w:space="0" w:color="auto"/>
              <w:right w:val="nil"/>
            </w:tcBorders>
            <w:shd w:val="clear" w:color="auto" w:fill="244062"/>
            <w:vAlign w:val="center"/>
            <w:hideMark/>
          </w:tcPr>
          <w:p w14:paraId="74A6163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0" w:type="dxa"/>
            <w:gridSpan w:val="3"/>
            <w:tcBorders>
              <w:top w:val="single" w:sz="8" w:space="0" w:color="auto"/>
              <w:left w:val="nil"/>
              <w:bottom w:val="single" w:sz="8" w:space="0" w:color="auto"/>
              <w:right w:val="single" w:sz="8" w:space="0" w:color="000000"/>
            </w:tcBorders>
            <w:vAlign w:val="center"/>
            <w:hideMark/>
          </w:tcPr>
          <w:p w14:paraId="22AF1AEB" w14:textId="77777777" w:rsidR="00C03883" w:rsidRPr="00A33AE8" w:rsidRDefault="00C03883" w:rsidP="000C0536">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applications, projects, companies, consortia in Horizon Europe Program, involving teams from the Republic of Serbia on an annual basis</w:t>
            </w:r>
          </w:p>
        </w:tc>
      </w:tr>
      <w:tr w:rsidR="00213B57" w:rsidRPr="00A33AE8" w14:paraId="7C52226F" w14:textId="77777777" w:rsidTr="006769DA">
        <w:trPr>
          <w:gridAfter w:val="1"/>
          <w:wAfter w:w="1212" w:type="dxa"/>
          <w:trHeight w:val="37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00CDB932"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0" w:type="dxa"/>
            <w:gridSpan w:val="3"/>
            <w:tcBorders>
              <w:top w:val="single" w:sz="8" w:space="0" w:color="auto"/>
              <w:left w:val="nil"/>
              <w:bottom w:val="single" w:sz="8" w:space="0" w:color="auto"/>
              <w:right w:val="single" w:sz="8" w:space="0" w:color="000000"/>
            </w:tcBorders>
            <w:vAlign w:val="center"/>
          </w:tcPr>
          <w:p w14:paraId="6F467061" w14:textId="77777777" w:rsidR="00213B57" w:rsidRPr="00A33AE8" w:rsidRDefault="00213B57" w:rsidP="00884F3B">
            <w:pPr>
              <w:pStyle w:val="ListParagraph"/>
              <w:numPr>
                <w:ilvl w:val="0"/>
                <w:numId w:val="18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06A607AB" w14:textId="77777777" w:rsidTr="006769DA">
        <w:trPr>
          <w:gridAfter w:val="1"/>
          <w:wAfter w:w="1212" w:type="dxa"/>
          <w:trHeight w:val="450"/>
        </w:trPr>
        <w:tc>
          <w:tcPr>
            <w:tcW w:w="3338" w:type="dxa"/>
            <w:vMerge w:val="restart"/>
            <w:tcBorders>
              <w:top w:val="nil"/>
              <w:left w:val="single" w:sz="8" w:space="0" w:color="auto"/>
              <w:bottom w:val="single" w:sz="8" w:space="0" w:color="000000"/>
              <w:right w:val="single" w:sz="8" w:space="0" w:color="auto"/>
            </w:tcBorders>
            <w:shd w:val="clear" w:color="auto" w:fill="244062"/>
            <w:vAlign w:val="center"/>
            <w:hideMark/>
          </w:tcPr>
          <w:p w14:paraId="760008F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0" w:type="dxa"/>
            <w:gridSpan w:val="3"/>
            <w:vMerge w:val="restart"/>
            <w:tcBorders>
              <w:top w:val="single" w:sz="8" w:space="0" w:color="auto"/>
              <w:left w:val="single" w:sz="8" w:space="0" w:color="auto"/>
              <w:bottom w:val="single" w:sz="8" w:space="0" w:color="000000"/>
              <w:right w:val="single" w:sz="8" w:space="0" w:color="000000"/>
            </w:tcBorders>
            <w:vAlign w:val="center"/>
          </w:tcPr>
          <w:p w14:paraId="7A64C352" w14:textId="77777777" w:rsidR="00C03883" w:rsidRPr="00A33AE8" w:rsidRDefault="00C03883" w:rsidP="00884F3B">
            <w:pPr>
              <w:pStyle w:val="ListParagraph"/>
              <w:numPr>
                <w:ilvl w:val="0"/>
                <w:numId w:val="9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16EB658D"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A80EDBC"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tcPr>
          <w:p w14:paraId="2F2D0B22" w14:textId="77777777" w:rsidR="00C03883" w:rsidRPr="00A33AE8" w:rsidRDefault="00C03883" w:rsidP="00884F3B">
            <w:pPr>
              <w:pStyle w:val="ListParagraph"/>
              <w:numPr>
                <w:ilvl w:val="0"/>
                <w:numId w:val="93"/>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E10D5EA" w14:textId="77777777" w:rsidR="00C03883" w:rsidRPr="00A33AE8" w:rsidRDefault="00C03883" w:rsidP="006769DA"/>
        </w:tc>
      </w:tr>
      <w:tr w:rsidR="00C03883" w:rsidRPr="00A33AE8" w14:paraId="29AAB9D5"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5FA3894B"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tcPr>
          <w:p w14:paraId="1FD6EF7E" w14:textId="77777777" w:rsidR="00C03883" w:rsidRPr="00A33AE8" w:rsidRDefault="00C03883" w:rsidP="00884F3B">
            <w:pPr>
              <w:pStyle w:val="ListParagraph"/>
              <w:numPr>
                <w:ilvl w:val="0"/>
                <w:numId w:val="93"/>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3AE882C" w14:textId="77777777" w:rsidR="00C03883" w:rsidRPr="00A33AE8" w:rsidRDefault="00C03883" w:rsidP="006769DA">
            <w:pPr>
              <w:spacing w:after="0" w:line="256" w:lineRule="auto"/>
              <w:rPr>
                <w:sz w:val="20"/>
                <w:szCs w:val="20"/>
                <w:lang w:eastAsia="en-GB"/>
              </w:rPr>
            </w:pPr>
          </w:p>
        </w:tc>
      </w:tr>
      <w:tr w:rsidR="00C03883" w:rsidRPr="00A33AE8" w14:paraId="4656F84B" w14:textId="77777777" w:rsidTr="006769DA">
        <w:trPr>
          <w:trHeight w:val="306"/>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15A7DC8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0" w:type="dxa"/>
            <w:gridSpan w:val="3"/>
            <w:tcBorders>
              <w:top w:val="single" w:sz="8" w:space="0" w:color="auto"/>
              <w:left w:val="nil"/>
              <w:bottom w:val="single" w:sz="8" w:space="0" w:color="auto"/>
              <w:right w:val="single" w:sz="8" w:space="0" w:color="000000"/>
            </w:tcBorders>
            <w:vAlign w:val="center"/>
          </w:tcPr>
          <w:p w14:paraId="63C4BB3A" w14:textId="77777777" w:rsidR="00C03883" w:rsidRPr="00A33AE8" w:rsidRDefault="00C03883" w:rsidP="00884F3B">
            <w:pPr>
              <w:pStyle w:val="ListParagraph"/>
              <w:numPr>
                <w:ilvl w:val="0"/>
                <w:numId w:val="9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0D4F8E25" w14:textId="77777777" w:rsidR="00C03883" w:rsidRPr="00A33AE8" w:rsidRDefault="00C03883" w:rsidP="00884F3B">
            <w:pPr>
              <w:pStyle w:val="ListParagraph"/>
              <w:numPr>
                <w:ilvl w:val="0"/>
                <w:numId w:val="9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400CCE66"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5D92E9B4" w14:textId="77777777" w:rsidTr="006769DA">
        <w:trPr>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11803BE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0" w:type="dxa"/>
            <w:gridSpan w:val="3"/>
            <w:tcBorders>
              <w:top w:val="single" w:sz="8" w:space="0" w:color="auto"/>
              <w:left w:val="nil"/>
              <w:bottom w:val="single" w:sz="8" w:space="0" w:color="auto"/>
              <w:right w:val="single" w:sz="8" w:space="0" w:color="000000"/>
            </w:tcBorders>
            <w:vAlign w:val="center"/>
          </w:tcPr>
          <w:p w14:paraId="7F86BA8C"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p>
        </w:tc>
        <w:tc>
          <w:tcPr>
            <w:tcW w:w="1212" w:type="dxa"/>
            <w:vAlign w:val="center"/>
            <w:hideMark/>
          </w:tcPr>
          <w:p w14:paraId="6EAF7E73" w14:textId="77777777" w:rsidR="00C03883" w:rsidRPr="00A33AE8" w:rsidRDefault="00C03883" w:rsidP="006769DA">
            <w:pPr>
              <w:rPr>
                <w:rFonts w:ascii="Calibri" w:eastAsia="Times New Roman" w:hAnsi="Calibri" w:cs="Calibri"/>
                <w:color w:val="000000"/>
                <w:lang w:eastAsia="en-GB"/>
              </w:rPr>
            </w:pPr>
          </w:p>
        </w:tc>
      </w:tr>
      <w:tr w:rsidR="00C03883" w:rsidRPr="00A33AE8" w14:paraId="6CB7480E" w14:textId="77777777" w:rsidTr="006769DA">
        <w:trPr>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681C75D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26E1453F" w14:textId="77777777" w:rsidR="009D7D80" w:rsidRDefault="009D7D80" w:rsidP="00884F3B">
            <w:pPr>
              <w:numPr>
                <w:ilvl w:val="0"/>
                <w:numId w:val="282"/>
              </w:numPr>
              <w:spacing w:after="0" w:line="240" w:lineRule="auto"/>
              <w:ind w:left="797" w:hanging="425"/>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Budget funds</w:t>
            </w:r>
          </w:p>
          <w:p w14:paraId="2B2A45B3" w14:textId="77777777" w:rsidR="00C03883" w:rsidRPr="005B2C66" w:rsidRDefault="009D7D80" w:rsidP="00884F3B">
            <w:pPr>
              <w:numPr>
                <w:ilvl w:val="0"/>
                <w:numId w:val="282"/>
              </w:numPr>
              <w:spacing w:after="0" w:line="240" w:lineRule="auto"/>
              <w:ind w:left="797" w:hanging="425"/>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tc>
        <w:tc>
          <w:tcPr>
            <w:tcW w:w="1212" w:type="dxa"/>
            <w:vAlign w:val="center"/>
            <w:hideMark/>
          </w:tcPr>
          <w:p w14:paraId="0FC0A644" w14:textId="77777777" w:rsidR="00C03883" w:rsidRPr="00A33AE8" w:rsidRDefault="00C03883" w:rsidP="006769DA">
            <w:pPr>
              <w:rPr>
                <w:rFonts w:ascii="Calibri" w:eastAsia="Times New Roman" w:hAnsi="Calibri" w:cs="Calibri"/>
                <w:color w:val="000000"/>
                <w:lang w:eastAsia="en-GB"/>
              </w:rPr>
            </w:pPr>
          </w:p>
        </w:tc>
      </w:tr>
    </w:tbl>
    <w:p w14:paraId="4E543A9E"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7"/>
        <w:gridCol w:w="951"/>
        <w:gridCol w:w="944"/>
        <w:gridCol w:w="4256"/>
        <w:gridCol w:w="1212"/>
      </w:tblGrid>
      <w:tr w:rsidR="00C03883" w:rsidRPr="00A33AE8" w14:paraId="4D4F2A94" w14:textId="77777777" w:rsidTr="006769DA">
        <w:trPr>
          <w:gridAfter w:val="1"/>
          <w:wAfter w:w="1212" w:type="dxa"/>
          <w:trHeight w:val="780"/>
        </w:trPr>
        <w:tc>
          <w:tcPr>
            <w:tcW w:w="333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059B138"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BF06172"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PM_RIC5</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2FD743C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6" w:type="dxa"/>
            <w:tcBorders>
              <w:top w:val="single" w:sz="8" w:space="0" w:color="auto"/>
              <w:left w:val="nil"/>
              <w:bottom w:val="single" w:sz="8" w:space="0" w:color="auto"/>
              <w:right w:val="single" w:sz="8" w:space="0" w:color="auto"/>
            </w:tcBorders>
            <w:shd w:val="clear" w:color="auto" w:fill="E7E6E6" w:themeFill="background2"/>
            <w:vAlign w:val="center"/>
            <w:hideMark/>
          </w:tcPr>
          <w:p w14:paraId="705022AD"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Innovation Hubs / Clusters, Start-ups, Spin-offs/Spin-outs</w:t>
            </w:r>
          </w:p>
        </w:tc>
      </w:tr>
      <w:tr w:rsidR="00C03883" w:rsidRPr="00A33AE8" w14:paraId="7CF223D7" w14:textId="77777777" w:rsidTr="006769DA">
        <w:trPr>
          <w:gridAfter w:val="1"/>
          <w:wAfter w:w="1212" w:type="dxa"/>
          <w:trHeight w:val="377"/>
        </w:trPr>
        <w:tc>
          <w:tcPr>
            <w:tcW w:w="3337" w:type="dxa"/>
            <w:tcBorders>
              <w:top w:val="nil"/>
              <w:left w:val="single" w:sz="8" w:space="0" w:color="auto"/>
              <w:bottom w:val="single" w:sz="8" w:space="0" w:color="auto"/>
              <w:right w:val="nil"/>
            </w:tcBorders>
            <w:shd w:val="clear" w:color="auto" w:fill="244062"/>
            <w:vAlign w:val="center"/>
            <w:hideMark/>
          </w:tcPr>
          <w:p w14:paraId="7121409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1" w:type="dxa"/>
            <w:gridSpan w:val="3"/>
            <w:tcBorders>
              <w:top w:val="single" w:sz="8" w:space="0" w:color="auto"/>
              <w:left w:val="nil"/>
              <w:bottom w:val="single" w:sz="8" w:space="0" w:color="auto"/>
              <w:right w:val="single" w:sz="8" w:space="0" w:color="000000"/>
            </w:tcBorders>
            <w:vAlign w:val="center"/>
            <w:hideMark/>
          </w:tcPr>
          <w:p w14:paraId="23B8A08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0443F0F4"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7055EB0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1" w:type="dxa"/>
            <w:gridSpan w:val="3"/>
            <w:tcBorders>
              <w:top w:val="single" w:sz="8" w:space="0" w:color="auto"/>
              <w:left w:val="nil"/>
              <w:bottom w:val="single" w:sz="8" w:space="0" w:color="auto"/>
              <w:right w:val="single" w:sz="8" w:space="0" w:color="000000"/>
            </w:tcBorders>
            <w:vAlign w:val="center"/>
          </w:tcPr>
          <w:p w14:paraId="2B26A2E5" w14:textId="77777777" w:rsidR="00C03883" w:rsidRPr="00A33AE8" w:rsidRDefault="00C03883" w:rsidP="008316EE">
            <w:pPr>
              <w:spacing w:after="0" w:line="240" w:lineRule="auto"/>
              <w:jc w:val="both"/>
              <w:rPr>
                <w:rFonts w:asciiTheme="majorHAnsi" w:eastAsia="Times New Roman"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21239E6B" w14:textId="77777777" w:rsidTr="006769DA">
        <w:trPr>
          <w:gridAfter w:val="1"/>
          <w:wAfter w:w="1212" w:type="dxa"/>
          <w:trHeight w:val="1189"/>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3D7F783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1" w:type="dxa"/>
            <w:gridSpan w:val="3"/>
            <w:tcBorders>
              <w:top w:val="single" w:sz="8" w:space="0" w:color="auto"/>
              <w:left w:val="nil"/>
              <w:bottom w:val="single" w:sz="8" w:space="0" w:color="auto"/>
              <w:right w:val="single" w:sz="8" w:space="0" w:color="000000"/>
            </w:tcBorders>
            <w:vAlign w:val="center"/>
            <w:hideMark/>
          </w:tcPr>
          <w:p w14:paraId="5E348D75"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PM_RIC5 will promote the establishment and development of knowledge-intensive start-ups from universities, technological educational institutes, research centres, enterprises and independent researchers, Spin-offs/Spin-outs, Innovation Hubs as well as Clusters for trading/commercialising mature research results and innovative ideas.</w:t>
            </w:r>
          </w:p>
        </w:tc>
      </w:tr>
      <w:tr w:rsidR="00C03883" w:rsidRPr="00A33AE8" w14:paraId="7DFCDCC7"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E812B5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1" w:type="dxa"/>
            <w:gridSpan w:val="3"/>
            <w:tcBorders>
              <w:top w:val="single" w:sz="8" w:space="0" w:color="auto"/>
              <w:left w:val="nil"/>
              <w:bottom w:val="single" w:sz="8" w:space="0" w:color="auto"/>
              <w:right w:val="single" w:sz="8" w:space="0" w:color="000000"/>
            </w:tcBorders>
            <w:vAlign w:val="center"/>
            <w:hideMark/>
          </w:tcPr>
          <w:p w14:paraId="6C68727B"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56716456"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68AEC77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1" w:type="dxa"/>
            <w:gridSpan w:val="3"/>
            <w:tcBorders>
              <w:top w:val="single" w:sz="8" w:space="0" w:color="auto"/>
              <w:left w:val="nil"/>
              <w:bottom w:val="single" w:sz="8" w:space="0" w:color="auto"/>
              <w:right w:val="single" w:sz="8" w:space="0" w:color="000000"/>
            </w:tcBorders>
            <w:vAlign w:val="center"/>
            <w:hideMark/>
          </w:tcPr>
          <w:p w14:paraId="1427D05E"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4AE9C8B8"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57232E4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1" w:type="dxa"/>
            <w:gridSpan w:val="3"/>
            <w:tcBorders>
              <w:top w:val="single" w:sz="8" w:space="0" w:color="auto"/>
              <w:left w:val="nil"/>
              <w:bottom w:val="single" w:sz="8" w:space="0" w:color="auto"/>
              <w:right w:val="single" w:sz="8" w:space="0" w:color="000000"/>
            </w:tcBorders>
            <w:vAlign w:val="center"/>
            <w:hideMark/>
          </w:tcPr>
          <w:p w14:paraId="7BB431DC"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32BB92B1"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05C6282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1" w:type="dxa"/>
            <w:gridSpan w:val="3"/>
            <w:tcBorders>
              <w:top w:val="single" w:sz="8" w:space="0" w:color="auto"/>
              <w:left w:val="nil"/>
              <w:bottom w:val="single" w:sz="8" w:space="0" w:color="auto"/>
              <w:right w:val="single" w:sz="8" w:space="0" w:color="000000"/>
            </w:tcBorders>
            <w:vAlign w:val="center"/>
            <w:hideMark/>
          </w:tcPr>
          <w:p w14:paraId="1DFFADA0" w14:textId="77777777" w:rsidR="00C03883" w:rsidRPr="00A33AE8" w:rsidRDefault="00C03883" w:rsidP="00884F3B">
            <w:pPr>
              <w:pStyle w:val="ListParagraph"/>
              <w:numPr>
                <w:ilvl w:val="0"/>
                <w:numId w:val="20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4B488D8" w14:textId="77777777" w:rsidR="00C03883" w:rsidRPr="00A33AE8" w:rsidRDefault="00C03883" w:rsidP="00884F3B">
            <w:pPr>
              <w:pStyle w:val="ListParagraph"/>
              <w:numPr>
                <w:ilvl w:val="0"/>
                <w:numId w:val="20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4CF2CFBD" w14:textId="77777777" w:rsidR="00C03883" w:rsidRPr="00A33AE8" w:rsidRDefault="00C03883" w:rsidP="00884F3B">
            <w:pPr>
              <w:pStyle w:val="ListParagraph"/>
              <w:numPr>
                <w:ilvl w:val="0"/>
                <w:numId w:val="20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 of Serbia</w:t>
            </w:r>
          </w:p>
          <w:p w14:paraId="1A185683" w14:textId="77777777" w:rsidR="00C03883" w:rsidRPr="00A33AE8" w:rsidRDefault="00C03883" w:rsidP="00884F3B">
            <w:pPr>
              <w:pStyle w:val="ListParagraph"/>
              <w:numPr>
                <w:ilvl w:val="0"/>
                <w:numId w:val="20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C03883" w:rsidRPr="00A33AE8" w14:paraId="5141D1EB" w14:textId="77777777" w:rsidTr="006769DA">
        <w:trPr>
          <w:gridAfter w:val="1"/>
          <w:wAfter w:w="1212" w:type="dxa"/>
          <w:trHeight w:val="315"/>
        </w:trPr>
        <w:tc>
          <w:tcPr>
            <w:tcW w:w="3337" w:type="dxa"/>
            <w:tcBorders>
              <w:top w:val="nil"/>
              <w:left w:val="single" w:sz="8" w:space="0" w:color="auto"/>
              <w:bottom w:val="single" w:sz="8" w:space="0" w:color="auto"/>
              <w:right w:val="nil"/>
            </w:tcBorders>
            <w:shd w:val="clear" w:color="auto" w:fill="244062"/>
            <w:vAlign w:val="center"/>
            <w:hideMark/>
          </w:tcPr>
          <w:p w14:paraId="60F7657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1" w:type="dxa"/>
            <w:gridSpan w:val="3"/>
            <w:tcBorders>
              <w:top w:val="single" w:sz="8" w:space="0" w:color="auto"/>
              <w:left w:val="nil"/>
              <w:bottom w:val="single" w:sz="8" w:space="0" w:color="auto"/>
              <w:right w:val="single" w:sz="8" w:space="0" w:color="000000"/>
            </w:tcBorders>
            <w:vAlign w:val="center"/>
            <w:hideMark/>
          </w:tcPr>
          <w:p w14:paraId="0DFD80C6" w14:textId="77777777" w:rsidR="00C03883" w:rsidRPr="00A33AE8" w:rsidRDefault="00C03883" w:rsidP="00884F3B">
            <w:pPr>
              <w:pStyle w:val="ListParagraph"/>
              <w:numPr>
                <w:ilvl w:val="0"/>
                <w:numId w:val="20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140F7423" w14:textId="77777777" w:rsidTr="006769DA">
        <w:trPr>
          <w:gridAfter w:val="1"/>
          <w:wAfter w:w="1212" w:type="dxa"/>
          <w:trHeight w:val="315"/>
        </w:trPr>
        <w:tc>
          <w:tcPr>
            <w:tcW w:w="3337" w:type="dxa"/>
            <w:tcBorders>
              <w:top w:val="nil"/>
              <w:left w:val="single" w:sz="8" w:space="0" w:color="auto"/>
              <w:bottom w:val="single" w:sz="8" w:space="0" w:color="auto"/>
              <w:right w:val="nil"/>
            </w:tcBorders>
            <w:shd w:val="clear" w:color="auto" w:fill="244062"/>
            <w:vAlign w:val="center"/>
            <w:hideMark/>
          </w:tcPr>
          <w:p w14:paraId="651F01B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1" w:type="dxa"/>
            <w:gridSpan w:val="3"/>
            <w:tcBorders>
              <w:top w:val="single" w:sz="8" w:space="0" w:color="auto"/>
              <w:left w:val="nil"/>
              <w:bottom w:val="single" w:sz="8" w:space="0" w:color="auto"/>
              <w:right w:val="single" w:sz="8" w:space="0" w:color="000000"/>
            </w:tcBorders>
            <w:vAlign w:val="center"/>
            <w:hideMark/>
          </w:tcPr>
          <w:p w14:paraId="71924935" w14:textId="77777777" w:rsidR="00C03883" w:rsidRPr="00A33AE8" w:rsidRDefault="00C03883" w:rsidP="008316E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Innovation Hubs / Clusters, Start-ups, Spin-offs/Spin-outs on an annual basis</w:t>
            </w:r>
          </w:p>
        </w:tc>
      </w:tr>
      <w:tr w:rsidR="00213B57" w:rsidRPr="00A33AE8" w14:paraId="07373D9A" w14:textId="77777777" w:rsidTr="006769DA">
        <w:trPr>
          <w:gridAfter w:val="1"/>
          <w:wAfter w:w="1212" w:type="dxa"/>
          <w:trHeight w:val="443"/>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2FE71C30"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1" w:type="dxa"/>
            <w:gridSpan w:val="3"/>
            <w:tcBorders>
              <w:top w:val="single" w:sz="8" w:space="0" w:color="auto"/>
              <w:left w:val="nil"/>
              <w:bottom w:val="single" w:sz="8" w:space="0" w:color="auto"/>
              <w:right w:val="single" w:sz="8" w:space="0" w:color="000000"/>
            </w:tcBorders>
            <w:vAlign w:val="center"/>
          </w:tcPr>
          <w:p w14:paraId="50311D20" w14:textId="77777777" w:rsidR="00213B57" w:rsidRPr="00A33AE8" w:rsidRDefault="00213B57" w:rsidP="00884F3B">
            <w:pPr>
              <w:pStyle w:val="ListParagraph"/>
              <w:numPr>
                <w:ilvl w:val="0"/>
                <w:numId w:val="18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10DA64F6" w14:textId="77777777" w:rsidTr="006769DA">
        <w:trPr>
          <w:gridAfter w:val="1"/>
          <w:wAfter w:w="1212" w:type="dxa"/>
          <w:trHeight w:val="450"/>
        </w:trPr>
        <w:tc>
          <w:tcPr>
            <w:tcW w:w="3337" w:type="dxa"/>
            <w:vMerge w:val="restart"/>
            <w:tcBorders>
              <w:top w:val="nil"/>
              <w:left w:val="single" w:sz="8" w:space="0" w:color="auto"/>
              <w:bottom w:val="single" w:sz="8" w:space="0" w:color="000000"/>
              <w:right w:val="single" w:sz="8" w:space="0" w:color="auto"/>
            </w:tcBorders>
            <w:shd w:val="clear" w:color="auto" w:fill="244062"/>
            <w:vAlign w:val="center"/>
            <w:hideMark/>
          </w:tcPr>
          <w:p w14:paraId="6D4302C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1" w:type="dxa"/>
            <w:gridSpan w:val="3"/>
            <w:vMerge w:val="restart"/>
            <w:tcBorders>
              <w:top w:val="single" w:sz="8" w:space="0" w:color="auto"/>
              <w:left w:val="single" w:sz="8" w:space="0" w:color="auto"/>
              <w:bottom w:val="single" w:sz="8" w:space="0" w:color="000000"/>
              <w:right w:val="single" w:sz="8" w:space="0" w:color="000000"/>
            </w:tcBorders>
            <w:vAlign w:val="center"/>
          </w:tcPr>
          <w:p w14:paraId="3ECE7139" w14:textId="77777777" w:rsidR="00C03883" w:rsidRPr="00A33AE8" w:rsidRDefault="00C03883" w:rsidP="00884F3B">
            <w:pPr>
              <w:pStyle w:val="ListParagraph"/>
              <w:numPr>
                <w:ilvl w:val="0"/>
                <w:numId w:val="9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044D0002"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255FEF43"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1" w:type="dxa"/>
            <w:gridSpan w:val="3"/>
            <w:vMerge/>
            <w:tcBorders>
              <w:top w:val="single" w:sz="8" w:space="0" w:color="auto"/>
              <w:left w:val="single" w:sz="8" w:space="0" w:color="auto"/>
              <w:bottom w:val="single" w:sz="8" w:space="0" w:color="000000"/>
              <w:right w:val="single" w:sz="8" w:space="0" w:color="000000"/>
            </w:tcBorders>
            <w:vAlign w:val="center"/>
          </w:tcPr>
          <w:p w14:paraId="6C6A9229" w14:textId="77777777" w:rsidR="00C03883" w:rsidRPr="00A33AE8" w:rsidRDefault="00C03883" w:rsidP="00884F3B">
            <w:pPr>
              <w:pStyle w:val="ListParagraph"/>
              <w:numPr>
                <w:ilvl w:val="0"/>
                <w:numId w:val="94"/>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F763145" w14:textId="77777777" w:rsidR="00C03883" w:rsidRPr="00A33AE8" w:rsidRDefault="00C03883" w:rsidP="006769DA"/>
        </w:tc>
      </w:tr>
      <w:tr w:rsidR="00C03883" w:rsidRPr="00A33AE8" w14:paraId="47EF7F70"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1905FB56"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1" w:type="dxa"/>
            <w:gridSpan w:val="3"/>
            <w:vMerge/>
            <w:tcBorders>
              <w:top w:val="single" w:sz="8" w:space="0" w:color="auto"/>
              <w:left w:val="single" w:sz="8" w:space="0" w:color="auto"/>
              <w:bottom w:val="single" w:sz="8" w:space="0" w:color="000000"/>
              <w:right w:val="single" w:sz="8" w:space="0" w:color="000000"/>
            </w:tcBorders>
            <w:vAlign w:val="center"/>
          </w:tcPr>
          <w:p w14:paraId="1587C4F9" w14:textId="77777777" w:rsidR="00C03883" w:rsidRPr="00A33AE8" w:rsidRDefault="00C03883" w:rsidP="00884F3B">
            <w:pPr>
              <w:pStyle w:val="ListParagraph"/>
              <w:numPr>
                <w:ilvl w:val="0"/>
                <w:numId w:val="94"/>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49C36D0" w14:textId="77777777" w:rsidR="00C03883" w:rsidRPr="00A33AE8" w:rsidRDefault="00C03883" w:rsidP="006769DA">
            <w:pPr>
              <w:spacing w:after="0" w:line="256" w:lineRule="auto"/>
              <w:rPr>
                <w:sz w:val="20"/>
                <w:szCs w:val="20"/>
                <w:lang w:eastAsia="en-GB"/>
              </w:rPr>
            </w:pPr>
          </w:p>
        </w:tc>
      </w:tr>
      <w:tr w:rsidR="00C03883" w:rsidRPr="00A33AE8" w14:paraId="697A6C44" w14:textId="77777777" w:rsidTr="006769DA">
        <w:trPr>
          <w:trHeight w:val="413"/>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49F8B62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1" w:type="dxa"/>
            <w:gridSpan w:val="3"/>
            <w:tcBorders>
              <w:top w:val="single" w:sz="8" w:space="0" w:color="auto"/>
              <w:left w:val="nil"/>
              <w:bottom w:val="single" w:sz="8" w:space="0" w:color="auto"/>
              <w:right w:val="single" w:sz="8" w:space="0" w:color="000000"/>
            </w:tcBorders>
            <w:vAlign w:val="center"/>
          </w:tcPr>
          <w:p w14:paraId="6571583A" w14:textId="77777777" w:rsidR="00C03883" w:rsidRPr="00A33AE8" w:rsidRDefault="00C03883" w:rsidP="00884F3B">
            <w:pPr>
              <w:pStyle w:val="ListParagraph"/>
              <w:numPr>
                <w:ilvl w:val="0"/>
                <w:numId w:val="9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48528349" w14:textId="77777777" w:rsidR="00C03883" w:rsidRPr="00A33AE8" w:rsidRDefault="00C03883" w:rsidP="00884F3B">
            <w:pPr>
              <w:pStyle w:val="ListParagraph"/>
              <w:numPr>
                <w:ilvl w:val="0"/>
                <w:numId w:val="9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208355AC"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5CB3E1C5" w14:textId="77777777" w:rsidTr="006769DA">
        <w:trPr>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1898632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1" w:type="dxa"/>
            <w:gridSpan w:val="3"/>
            <w:tcBorders>
              <w:top w:val="single" w:sz="8" w:space="0" w:color="auto"/>
              <w:left w:val="nil"/>
              <w:bottom w:val="single" w:sz="8" w:space="0" w:color="auto"/>
              <w:right w:val="single" w:sz="8" w:space="0" w:color="000000"/>
            </w:tcBorders>
            <w:vAlign w:val="center"/>
          </w:tcPr>
          <w:p w14:paraId="292122C4"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5.4 M€</w:t>
            </w:r>
          </w:p>
        </w:tc>
        <w:tc>
          <w:tcPr>
            <w:tcW w:w="1212" w:type="dxa"/>
            <w:vAlign w:val="center"/>
            <w:hideMark/>
          </w:tcPr>
          <w:p w14:paraId="773F913E" w14:textId="77777777" w:rsidR="00C03883" w:rsidRPr="00A33AE8" w:rsidRDefault="00C03883" w:rsidP="006769DA">
            <w:pPr>
              <w:rPr>
                <w:rFonts w:ascii="Calibri" w:eastAsia="Times New Roman" w:hAnsi="Calibri" w:cs="Calibri"/>
                <w:color w:val="000000"/>
                <w:lang w:eastAsia="en-GB"/>
              </w:rPr>
            </w:pPr>
          </w:p>
        </w:tc>
      </w:tr>
      <w:tr w:rsidR="00C03883" w:rsidRPr="00A33AE8" w14:paraId="6CC7D2B0" w14:textId="77777777" w:rsidTr="006769DA">
        <w:trPr>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7BE9324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1" w:type="dxa"/>
            <w:gridSpan w:val="3"/>
            <w:tcBorders>
              <w:top w:val="single" w:sz="8" w:space="0" w:color="auto"/>
              <w:left w:val="nil"/>
              <w:bottom w:val="single" w:sz="8" w:space="0" w:color="auto"/>
              <w:right w:val="single" w:sz="8" w:space="0" w:color="000000"/>
            </w:tcBorders>
            <w:shd w:val="clear" w:color="auto" w:fill="auto"/>
            <w:vAlign w:val="center"/>
            <w:hideMark/>
          </w:tcPr>
          <w:p w14:paraId="3C3AEDB1" w14:textId="77777777" w:rsidR="009D7D80" w:rsidRPr="009D7D80" w:rsidRDefault="009D7D80" w:rsidP="00884F3B">
            <w:pPr>
              <w:numPr>
                <w:ilvl w:val="0"/>
                <w:numId w:val="283"/>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Grants</w:t>
            </w:r>
          </w:p>
          <w:p w14:paraId="3BBD6AC1" w14:textId="77777777" w:rsidR="009D7D80" w:rsidRPr="009D7D80" w:rsidRDefault="009D7D80" w:rsidP="00884F3B">
            <w:pPr>
              <w:numPr>
                <w:ilvl w:val="0"/>
                <w:numId w:val="283"/>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6CB54494" w14:textId="37FF6D1F" w:rsidR="009D7D80" w:rsidRPr="009D7D80" w:rsidRDefault="009D7D80" w:rsidP="00884F3B">
            <w:pPr>
              <w:numPr>
                <w:ilvl w:val="0"/>
                <w:numId w:val="283"/>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0114D323" w14:textId="77777777" w:rsidR="009D7D80" w:rsidRDefault="009D7D80" w:rsidP="00884F3B">
            <w:pPr>
              <w:numPr>
                <w:ilvl w:val="0"/>
                <w:numId w:val="283"/>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Favorable loans</w:t>
            </w:r>
          </w:p>
          <w:p w14:paraId="16F49273" w14:textId="77777777" w:rsidR="00C03883" w:rsidRPr="005B2C66" w:rsidRDefault="009D7D80" w:rsidP="00884F3B">
            <w:pPr>
              <w:numPr>
                <w:ilvl w:val="0"/>
                <w:numId w:val="283"/>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3FA30A1D" w14:textId="77777777" w:rsidR="00C03883" w:rsidRPr="00A33AE8" w:rsidRDefault="00C03883" w:rsidP="006769DA">
            <w:pPr>
              <w:rPr>
                <w:rFonts w:ascii="Calibri" w:eastAsia="Times New Roman" w:hAnsi="Calibri" w:cs="Calibri"/>
                <w:color w:val="000000"/>
                <w:lang w:eastAsia="en-GB"/>
              </w:rPr>
            </w:pPr>
          </w:p>
        </w:tc>
      </w:tr>
    </w:tbl>
    <w:p w14:paraId="48EA8B7E"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7"/>
        <w:gridCol w:w="951"/>
        <w:gridCol w:w="944"/>
        <w:gridCol w:w="4256"/>
        <w:gridCol w:w="1212"/>
      </w:tblGrid>
      <w:tr w:rsidR="00C03883" w:rsidRPr="00A33AE8" w14:paraId="5DE6B256" w14:textId="77777777" w:rsidTr="006769DA">
        <w:trPr>
          <w:gridAfter w:val="1"/>
          <w:wAfter w:w="1212" w:type="dxa"/>
          <w:trHeight w:val="780"/>
        </w:trPr>
        <w:tc>
          <w:tcPr>
            <w:tcW w:w="3337"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8F64DCB"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4C134999"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PM_RIC6</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1AFB5F2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6" w:type="dxa"/>
            <w:tcBorders>
              <w:top w:val="single" w:sz="8" w:space="0" w:color="auto"/>
              <w:left w:val="nil"/>
              <w:bottom w:val="single" w:sz="8" w:space="0" w:color="auto"/>
              <w:right w:val="single" w:sz="8" w:space="0" w:color="auto"/>
            </w:tcBorders>
            <w:shd w:val="clear" w:color="auto" w:fill="E7E6E6" w:themeFill="background2"/>
            <w:vAlign w:val="center"/>
            <w:hideMark/>
          </w:tcPr>
          <w:p w14:paraId="387E3C93"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Development of specialised Competence </w:t>
            </w:r>
            <w:r w:rsidR="000578D5" w:rsidRPr="00A33AE8">
              <w:rPr>
                <w:rFonts w:ascii="Calibri Light" w:eastAsia="Times New Roman" w:hAnsi="Calibri Light" w:cs="Calibri Light"/>
                <w:b/>
                <w:bCs/>
                <w:color w:val="000000"/>
                <w:sz w:val="20"/>
                <w:szCs w:val="20"/>
                <w:lang w:eastAsia="en-GB"/>
              </w:rPr>
              <w:t>Centres</w:t>
            </w:r>
          </w:p>
        </w:tc>
      </w:tr>
      <w:tr w:rsidR="00C03883" w:rsidRPr="00A33AE8" w14:paraId="75665BAC" w14:textId="77777777" w:rsidTr="006769DA">
        <w:trPr>
          <w:gridAfter w:val="1"/>
          <w:wAfter w:w="1212" w:type="dxa"/>
          <w:trHeight w:val="289"/>
        </w:trPr>
        <w:tc>
          <w:tcPr>
            <w:tcW w:w="3337" w:type="dxa"/>
            <w:tcBorders>
              <w:top w:val="nil"/>
              <w:left w:val="single" w:sz="8" w:space="0" w:color="auto"/>
              <w:bottom w:val="single" w:sz="8" w:space="0" w:color="auto"/>
              <w:right w:val="nil"/>
            </w:tcBorders>
            <w:shd w:val="clear" w:color="auto" w:fill="244062"/>
            <w:vAlign w:val="center"/>
            <w:hideMark/>
          </w:tcPr>
          <w:p w14:paraId="76546C6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1" w:type="dxa"/>
            <w:gridSpan w:val="3"/>
            <w:tcBorders>
              <w:top w:val="single" w:sz="8" w:space="0" w:color="auto"/>
              <w:left w:val="nil"/>
              <w:bottom w:val="single" w:sz="8" w:space="0" w:color="auto"/>
              <w:right w:val="single" w:sz="8" w:space="0" w:color="000000"/>
            </w:tcBorders>
            <w:vAlign w:val="center"/>
            <w:hideMark/>
          </w:tcPr>
          <w:p w14:paraId="1FCF791F"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6221AE14"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72D7C54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1" w:type="dxa"/>
            <w:gridSpan w:val="3"/>
            <w:tcBorders>
              <w:top w:val="single" w:sz="8" w:space="0" w:color="auto"/>
              <w:left w:val="nil"/>
              <w:bottom w:val="single" w:sz="8" w:space="0" w:color="auto"/>
              <w:right w:val="single" w:sz="8" w:space="0" w:color="000000"/>
            </w:tcBorders>
            <w:vAlign w:val="center"/>
            <w:hideMark/>
          </w:tcPr>
          <w:p w14:paraId="5AB80EEE" w14:textId="77777777" w:rsidR="00C03883" w:rsidRPr="00A33AE8" w:rsidRDefault="00C03883" w:rsidP="008316EE">
            <w:pPr>
              <w:spacing w:after="0" w:line="240" w:lineRule="auto"/>
              <w:jc w:val="both"/>
              <w:rPr>
                <w:rFonts w:asciiTheme="majorHAnsi" w:eastAsia="Times New Roman"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318B1CA3" w14:textId="77777777" w:rsidTr="006769DA">
        <w:trPr>
          <w:gridAfter w:val="1"/>
          <w:wAfter w:w="1212" w:type="dxa"/>
          <w:trHeight w:val="1512"/>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41202B8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1" w:type="dxa"/>
            <w:gridSpan w:val="3"/>
            <w:tcBorders>
              <w:top w:val="single" w:sz="8" w:space="0" w:color="auto"/>
              <w:left w:val="nil"/>
              <w:bottom w:val="single" w:sz="8" w:space="0" w:color="auto"/>
              <w:right w:val="single" w:sz="8" w:space="0" w:color="000000"/>
            </w:tcBorders>
            <w:vAlign w:val="center"/>
            <w:hideMark/>
          </w:tcPr>
          <w:p w14:paraId="0A31BF78"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PM_RIC6 will promote the establishment of specialised Competence Centres with the aim to improve the analytical tools that can be applied to any policy area, including energy and environment, bringing together in one place extensive expertise in this field. They will offer training courses in the use of the tools for policy-making as well as advice on the choice of tools. The Competence </w:t>
            </w:r>
            <w:r w:rsidR="000578D5" w:rsidRPr="00A33AE8">
              <w:rPr>
                <w:rFonts w:asciiTheme="majorHAnsi" w:eastAsia="Times New Roman" w:hAnsiTheme="majorHAnsi" w:cstheme="majorHAnsi"/>
                <w:color w:val="000000"/>
                <w:sz w:val="20"/>
                <w:szCs w:val="20"/>
                <w:lang w:eastAsia="en-GB"/>
              </w:rPr>
              <w:t>Centres</w:t>
            </w:r>
            <w:r w:rsidRPr="00A33AE8">
              <w:rPr>
                <w:rFonts w:asciiTheme="majorHAnsi" w:eastAsia="Times New Roman" w:hAnsiTheme="majorHAnsi" w:cstheme="majorHAnsi"/>
                <w:color w:val="000000"/>
                <w:sz w:val="20"/>
                <w:szCs w:val="20"/>
                <w:lang w:eastAsia="en-GB"/>
              </w:rPr>
              <w:t xml:space="preserve"> offer future clients, project planners and other interested parties comprehensive information about techniques, products, support and trends in the sector of R&amp;I interest.</w:t>
            </w:r>
          </w:p>
        </w:tc>
      </w:tr>
      <w:tr w:rsidR="00C03883" w:rsidRPr="00A33AE8" w14:paraId="01E0D28C"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40D65BF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1" w:type="dxa"/>
            <w:gridSpan w:val="3"/>
            <w:tcBorders>
              <w:top w:val="single" w:sz="8" w:space="0" w:color="auto"/>
              <w:left w:val="nil"/>
              <w:bottom w:val="single" w:sz="8" w:space="0" w:color="auto"/>
              <w:right w:val="single" w:sz="8" w:space="0" w:color="000000"/>
            </w:tcBorders>
            <w:vAlign w:val="center"/>
            <w:hideMark/>
          </w:tcPr>
          <w:p w14:paraId="7A935996"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7524C2AC"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28F9EC8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Type of measure</w:t>
            </w:r>
          </w:p>
        </w:tc>
        <w:tc>
          <w:tcPr>
            <w:tcW w:w="6151" w:type="dxa"/>
            <w:gridSpan w:val="3"/>
            <w:tcBorders>
              <w:top w:val="single" w:sz="8" w:space="0" w:color="auto"/>
              <w:left w:val="nil"/>
              <w:bottom w:val="single" w:sz="8" w:space="0" w:color="auto"/>
              <w:right w:val="single" w:sz="8" w:space="0" w:color="000000"/>
            </w:tcBorders>
            <w:vAlign w:val="center"/>
            <w:hideMark/>
          </w:tcPr>
          <w:p w14:paraId="16F2A15A"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4503C786"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1E4D3D8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1" w:type="dxa"/>
            <w:gridSpan w:val="3"/>
            <w:tcBorders>
              <w:top w:val="single" w:sz="8" w:space="0" w:color="auto"/>
              <w:left w:val="nil"/>
              <w:bottom w:val="single" w:sz="8" w:space="0" w:color="auto"/>
              <w:right w:val="single" w:sz="8" w:space="0" w:color="000000"/>
            </w:tcBorders>
            <w:vAlign w:val="center"/>
            <w:hideMark/>
          </w:tcPr>
          <w:p w14:paraId="143EB71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5FBF2D3A" w14:textId="77777777" w:rsidTr="006769DA">
        <w:trPr>
          <w:gridAfter w:val="1"/>
          <w:wAfter w:w="1212" w:type="dxa"/>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3D0A406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1" w:type="dxa"/>
            <w:gridSpan w:val="3"/>
            <w:tcBorders>
              <w:top w:val="single" w:sz="8" w:space="0" w:color="auto"/>
              <w:left w:val="nil"/>
              <w:bottom w:val="single" w:sz="8" w:space="0" w:color="auto"/>
              <w:right w:val="single" w:sz="8" w:space="0" w:color="000000"/>
            </w:tcBorders>
            <w:vAlign w:val="center"/>
            <w:hideMark/>
          </w:tcPr>
          <w:p w14:paraId="4D55E917" w14:textId="77777777" w:rsidR="00C03883" w:rsidRPr="00A33AE8" w:rsidRDefault="00C03883" w:rsidP="00884F3B">
            <w:pPr>
              <w:pStyle w:val="ListParagraph"/>
              <w:numPr>
                <w:ilvl w:val="0"/>
                <w:numId w:val="20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73DBF53D" w14:textId="77777777" w:rsidR="00C03883" w:rsidRPr="00A33AE8" w:rsidRDefault="00C03883" w:rsidP="00884F3B">
            <w:pPr>
              <w:pStyle w:val="ListParagraph"/>
              <w:numPr>
                <w:ilvl w:val="0"/>
                <w:numId w:val="20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585C15DA" w14:textId="77777777" w:rsidR="00C03883" w:rsidRPr="00A33AE8" w:rsidRDefault="00C03883" w:rsidP="00884F3B">
            <w:pPr>
              <w:pStyle w:val="ListParagraph"/>
              <w:numPr>
                <w:ilvl w:val="0"/>
                <w:numId w:val="202"/>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 of Serbia</w:t>
            </w:r>
          </w:p>
        </w:tc>
      </w:tr>
      <w:tr w:rsidR="00C03883" w:rsidRPr="00A33AE8" w14:paraId="0CA9153F" w14:textId="77777777" w:rsidTr="006769DA">
        <w:trPr>
          <w:gridAfter w:val="1"/>
          <w:wAfter w:w="1212" w:type="dxa"/>
          <w:trHeight w:val="315"/>
        </w:trPr>
        <w:tc>
          <w:tcPr>
            <w:tcW w:w="3337" w:type="dxa"/>
            <w:tcBorders>
              <w:top w:val="nil"/>
              <w:left w:val="single" w:sz="8" w:space="0" w:color="auto"/>
              <w:bottom w:val="single" w:sz="8" w:space="0" w:color="auto"/>
              <w:right w:val="nil"/>
            </w:tcBorders>
            <w:shd w:val="clear" w:color="auto" w:fill="244062"/>
            <w:vAlign w:val="center"/>
            <w:hideMark/>
          </w:tcPr>
          <w:p w14:paraId="4436EC8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1" w:type="dxa"/>
            <w:gridSpan w:val="3"/>
            <w:tcBorders>
              <w:top w:val="single" w:sz="8" w:space="0" w:color="auto"/>
              <w:left w:val="nil"/>
              <w:bottom w:val="single" w:sz="8" w:space="0" w:color="auto"/>
              <w:right w:val="single" w:sz="8" w:space="0" w:color="000000"/>
            </w:tcBorders>
            <w:vAlign w:val="center"/>
            <w:hideMark/>
          </w:tcPr>
          <w:p w14:paraId="0A1CC473" w14:textId="77777777" w:rsidR="00C03883" w:rsidRPr="00A33AE8" w:rsidRDefault="00C03883" w:rsidP="00884F3B">
            <w:pPr>
              <w:pStyle w:val="ListParagraph"/>
              <w:numPr>
                <w:ilvl w:val="0"/>
                <w:numId w:val="20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6ADA1DF3" w14:textId="77777777" w:rsidTr="006769DA">
        <w:trPr>
          <w:gridAfter w:val="1"/>
          <w:wAfter w:w="1212" w:type="dxa"/>
          <w:trHeight w:val="315"/>
        </w:trPr>
        <w:tc>
          <w:tcPr>
            <w:tcW w:w="3337" w:type="dxa"/>
            <w:tcBorders>
              <w:top w:val="nil"/>
              <w:left w:val="single" w:sz="8" w:space="0" w:color="auto"/>
              <w:bottom w:val="single" w:sz="8" w:space="0" w:color="auto"/>
              <w:right w:val="nil"/>
            </w:tcBorders>
            <w:shd w:val="clear" w:color="auto" w:fill="244062"/>
            <w:vAlign w:val="center"/>
            <w:hideMark/>
          </w:tcPr>
          <w:p w14:paraId="4DA0BE7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1" w:type="dxa"/>
            <w:gridSpan w:val="3"/>
            <w:tcBorders>
              <w:top w:val="single" w:sz="8" w:space="0" w:color="auto"/>
              <w:left w:val="nil"/>
              <w:bottom w:val="single" w:sz="8" w:space="0" w:color="auto"/>
              <w:right w:val="single" w:sz="8" w:space="0" w:color="000000"/>
            </w:tcBorders>
            <w:vAlign w:val="center"/>
            <w:hideMark/>
          </w:tcPr>
          <w:p w14:paraId="2AB7DE5B"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Number of specialised Competence </w:t>
            </w:r>
            <w:r w:rsidR="000578D5" w:rsidRPr="00A33AE8">
              <w:rPr>
                <w:rFonts w:asciiTheme="majorHAnsi" w:eastAsia="Times New Roman" w:hAnsiTheme="majorHAnsi" w:cstheme="majorHAnsi"/>
                <w:color w:val="000000"/>
                <w:sz w:val="20"/>
                <w:szCs w:val="20"/>
                <w:lang w:eastAsia="en-GB"/>
              </w:rPr>
              <w:t>Centres</w:t>
            </w:r>
            <w:r w:rsidRPr="00A33AE8">
              <w:rPr>
                <w:rFonts w:asciiTheme="majorHAnsi" w:eastAsia="Times New Roman" w:hAnsiTheme="majorHAnsi" w:cstheme="majorHAnsi"/>
                <w:color w:val="000000"/>
                <w:sz w:val="20"/>
                <w:szCs w:val="20"/>
                <w:lang w:eastAsia="en-GB"/>
              </w:rPr>
              <w:t xml:space="preserve"> on an annual basis</w:t>
            </w:r>
          </w:p>
        </w:tc>
      </w:tr>
      <w:tr w:rsidR="00213B57" w:rsidRPr="00A33AE8" w14:paraId="0998ECB7" w14:textId="77777777" w:rsidTr="006769DA">
        <w:trPr>
          <w:gridAfter w:val="1"/>
          <w:wAfter w:w="1212" w:type="dxa"/>
          <w:trHeight w:val="4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4CBBEBC3"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1" w:type="dxa"/>
            <w:gridSpan w:val="3"/>
            <w:tcBorders>
              <w:top w:val="single" w:sz="8" w:space="0" w:color="auto"/>
              <w:left w:val="nil"/>
              <w:bottom w:val="single" w:sz="8" w:space="0" w:color="auto"/>
              <w:right w:val="single" w:sz="8" w:space="0" w:color="000000"/>
            </w:tcBorders>
            <w:vAlign w:val="center"/>
          </w:tcPr>
          <w:p w14:paraId="605074AD" w14:textId="77777777" w:rsidR="00213B57" w:rsidRPr="00A33AE8" w:rsidRDefault="00213B57" w:rsidP="00884F3B">
            <w:pPr>
              <w:pStyle w:val="ListParagraph"/>
              <w:numPr>
                <w:ilvl w:val="0"/>
                <w:numId w:val="18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059FC684" w14:textId="77777777" w:rsidTr="006769DA">
        <w:trPr>
          <w:gridAfter w:val="1"/>
          <w:wAfter w:w="1212" w:type="dxa"/>
          <w:trHeight w:val="450"/>
        </w:trPr>
        <w:tc>
          <w:tcPr>
            <w:tcW w:w="3337" w:type="dxa"/>
            <w:vMerge w:val="restart"/>
            <w:tcBorders>
              <w:top w:val="nil"/>
              <w:left w:val="single" w:sz="8" w:space="0" w:color="auto"/>
              <w:bottom w:val="single" w:sz="8" w:space="0" w:color="000000"/>
              <w:right w:val="single" w:sz="8" w:space="0" w:color="auto"/>
            </w:tcBorders>
            <w:shd w:val="clear" w:color="auto" w:fill="244062"/>
            <w:vAlign w:val="center"/>
            <w:hideMark/>
          </w:tcPr>
          <w:p w14:paraId="4ABDD01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1" w:type="dxa"/>
            <w:gridSpan w:val="3"/>
            <w:vMerge w:val="restart"/>
            <w:tcBorders>
              <w:top w:val="single" w:sz="8" w:space="0" w:color="auto"/>
              <w:left w:val="single" w:sz="8" w:space="0" w:color="auto"/>
              <w:bottom w:val="single" w:sz="8" w:space="0" w:color="000000"/>
              <w:right w:val="single" w:sz="8" w:space="0" w:color="000000"/>
            </w:tcBorders>
            <w:vAlign w:val="center"/>
          </w:tcPr>
          <w:p w14:paraId="6EE5EC1B" w14:textId="77777777" w:rsidR="00C03883" w:rsidRPr="00A33AE8" w:rsidRDefault="00C03883" w:rsidP="00884F3B">
            <w:pPr>
              <w:pStyle w:val="ListParagraph"/>
              <w:numPr>
                <w:ilvl w:val="0"/>
                <w:numId w:val="9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49DB4AF8"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D8F6F6C"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1" w:type="dxa"/>
            <w:gridSpan w:val="3"/>
            <w:vMerge/>
            <w:tcBorders>
              <w:top w:val="single" w:sz="8" w:space="0" w:color="auto"/>
              <w:left w:val="single" w:sz="8" w:space="0" w:color="auto"/>
              <w:bottom w:val="single" w:sz="8" w:space="0" w:color="000000"/>
              <w:right w:val="single" w:sz="8" w:space="0" w:color="000000"/>
            </w:tcBorders>
            <w:vAlign w:val="center"/>
            <w:hideMark/>
          </w:tcPr>
          <w:p w14:paraId="62B26849" w14:textId="77777777" w:rsidR="00C03883" w:rsidRPr="00A33AE8" w:rsidRDefault="00C03883" w:rsidP="00884F3B">
            <w:pPr>
              <w:pStyle w:val="ListParagraph"/>
              <w:numPr>
                <w:ilvl w:val="0"/>
                <w:numId w:val="95"/>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157A17E" w14:textId="77777777" w:rsidR="00C03883" w:rsidRPr="00A33AE8" w:rsidRDefault="00C03883" w:rsidP="006769DA"/>
        </w:tc>
      </w:tr>
      <w:tr w:rsidR="00C03883" w:rsidRPr="00A33AE8" w14:paraId="12288F06"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7CD7F105"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1" w:type="dxa"/>
            <w:gridSpan w:val="3"/>
            <w:vMerge/>
            <w:tcBorders>
              <w:top w:val="single" w:sz="8" w:space="0" w:color="auto"/>
              <w:left w:val="single" w:sz="8" w:space="0" w:color="auto"/>
              <w:bottom w:val="single" w:sz="8" w:space="0" w:color="000000"/>
              <w:right w:val="single" w:sz="8" w:space="0" w:color="000000"/>
            </w:tcBorders>
            <w:vAlign w:val="center"/>
            <w:hideMark/>
          </w:tcPr>
          <w:p w14:paraId="0346405C" w14:textId="77777777" w:rsidR="00C03883" w:rsidRPr="00A33AE8" w:rsidRDefault="00C03883" w:rsidP="00884F3B">
            <w:pPr>
              <w:pStyle w:val="ListParagraph"/>
              <w:numPr>
                <w:ilvl w:val="0"/>
                <w:numId w:val="95"/>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91FC07F" w14:textId="77777777" w:rsidR="00C03883" w:rsidRPr="00A33AE8" w:rsidRDefault="00C03883" w:rsidP="006769DA">
            <w:pPr>
              <w:spacing w:after="0" w:line="256" w:lineRule="auto"/>
              <w:rPr>
                <w:sz w:val="20"/>
                <w:szCs w:val="20"/>
                <w:lang w:eastAsia="en-GB"/>
              </w:rPr>
            </w:pPr>
          </w:p>
        </w:tc>
      </w:tr>
      <w:tr w:rsidR="00C03883" w:rsidRPr="00A33AE8" w14:paraId="7BABA866" w14:textId="77777777" w:rsidTr="006769DA">
        <w:trPr>
          <w:trHeight w:val="60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39039D3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1" w:type="dxa"/>
            <w:gridSpan w:val="3"/>
            <w:tcBorders>
              <w:top w:val="single" w:sz="8" w:space="0" w:color="auto"/>
              <w:left w:val="nil"/>
              <w:bottom w:val="single" w:sz="8" w:space="0" w:color="auto"/>
              <w:right w:val="single" w:sz="8" w:space="0" w:color="000000"/>
            </w:tcBorders>
            <w:vAlign w:val="center"/>
          </w:tcPr>
          <w:p w14:paraId="5AB31E1F" w14:textId="77777777" w:rsidR="00C03883" w:rsidRPr="00A33AE8" w:rsidRDefault="00C03883" w:rsidP="00884F3B">
            <w:pPr>
              <w:pStyle w:val="ListParagraph"/>
              <w:numPr>
                <w:ilvl w:val="0"/>
                <w:numId w:val="9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24976E9E" w14:textId="77777777" w:rsidR="00C03883" w:rsidRPr="00A33AE8" w:rsidRDefault="00C03883" w:rsidP="00884F3B">
            <w:pPr>
              <w:pStyle w:val="ListParagraph"/>
              <w:numPr>
                <w:ilvl w:val="0"/>
                <w:numId w:val="9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607B77B1"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7CD4C54A" w14:textId="77777777" w:rsidTr="006769DA">
        <w:trPr>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03684ED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1" w:type="dxa"/>
            <w:gridSpan w:val="3"/>
            <w:tcBorders>
              <w:top w:val="single" w:sz="8" w:space="0" w:color="auto"/>
              <w:left w:val="nil"/>
              <w:bottom w:val="single" w:sz="8" w:space="0" w:color="auto"/>
              <w:right w:val="single" w:sz="8" w:space="0" w:color="000000"/>
            </w:tcBorders>
            <w:vAlign w:val="center"/>
          </w:tcPr>
          <w:p w14:paraId="53A626DC"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3.6 M€</w:t>
            </w:r>
          </w:p>
        </w:tc>
        <w:tc>
          <w:tcPr>
            <w:tcW w:w="1212" w:type="dxa"/>
            <w:vAlign w:val="center"/>
            <w:hideMark/>
          </w:tcPr>
          <w:p w14:paraId="282DB711" w14:textId="77777777" w:rsidR="00C03883" w:rsidRPr="00A33AE8" w:rsidRDefault="00C03883" w:rsidP="006769DA">
            <w:pPr>
              <w:rPr>
                <w:rFonts w:ascii="Calibri" w:eastAsia="Times New Roman" w:hAnsi="Calibri" w:cs="Calibri"/>
                <w:color w:val="000000"/>
                <w:lang w:eastAsia="en-GB"/>
              </w:rPr>
            </w:pPr>
          </w:p>
        </w:tc>
      </w:tr>
      <w:tr w:rsidR="00661664" w:rsidRPr="00A33AE8" w14:paraId="1133D6F3" w14:textId="77777777" w:rsidTr="006769DA">
        <w:trPr>
          <w:trHeight w:val="315"/>
        </w:trPr>
        <w:tc>
          <w:tcPr>
            <w:tcW w:w="3337" w:type="dxa"/>
            <w:tcBorders>
              <w:top w:val="nil"/>
              <w:left w:val="single" w:sz="8" w:space="0" w:color="auto"/>
              <w:bottom w:val="single" w:sz="8" w:space="0" w:color="auto"/>
              <w:right w:val="single" w:sz="8" w:space="0" w:color="auto"/>
            </w:tcBorders>
            <w:shd w:val="clear" w:color="auto" w:fill="244062"/>
            <w:vAlign w:val="center"/>
            <w:hideMark/>
          </w:tcPr>
          <w:p w14:paraId="09A197FB"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1" w:type="dxa"/>
            <w:gridSpan w:val="3"/>
            <w:tcBorders>
              <w:top w:val="single" w:sz="8" w:space="0" w:color="auto"/>
              <w:left w:val="nil"/>
              <w:bottom w:val="single" w:sz="8" w:space="0" w:color="auto"/>
              <w:right w:val="single" w:sz="8" w:space="0" w:color="000000"/>
            </w:tcBorders>
            <w:shd w:val="clear" w:color="auto" w:fill="auto"/>
            <w:vAlign w:val="center"/>
            <w:hideMark/>
          </w:tcPr>
          <w:p w14:paraId="17502179"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Grants</w:t>
            </w:r>
          </w:p>
          <w:p w14:paraId="7820D5A7"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1EB15870"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149A8267" w14:textId="77777777" w:rsid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p w14:paraId="0689685D" w14:textId="77777777" w:rsidR="00661664" w:rsidRPr="005B2C66"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Donors</w:t>
            </w:r>
          </w:p>
        </w:tc>
        <w:tc>
          <w:tcPr>
            <w:tcW w:w="1212" w:type="dxa"/>
            <w:vAlign w:val="center"/>
            <w:hideMark/>
          </w:tcPr>
          <w:p w14:paraId="60755B13" w14:textId="77777777" w:rsidR="00661664" w:rsidRPr="00A33AE8" w:rsidRDefault="00661664" w:rsidP="00661664">
            <w:pPr>
              <w:rPr>
                <w:rFonts w:ascii="Calibri" w:eastAsia="Times New Roman" w:hAnsi="Calibri" w:cs="Calibri"/>
                <w:color w:val="000000"/>
                <w:lang w:eastAsia="en-GB"/>
              </w:rPr>
            </w:pPr>
          </w:p>
        </w:tc>
      </w:tr>
    </w:tbl>
    <w:p w14:paraId="0CC9E319"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6"/>
        <w:gridCol w:w="951"/>
        <w:gridCol w:w="944"/>
        <w:gridCol w:w="4257"/>
        <w:gridCol w:w="1212"/>
      </w:tblGrid>
      <w:tr w:rsidR="00C03883" w:rsidRPr="00A33AE8" w14:paraId="06F1BF84" w14:textId="77777777" w:rsidTr="006769DA">
        <w:trPr>
          <w:gridAfter w:val="1"/>
          <w:wAfter w:w="1212" w:type="dxa"/>
          <w:trHeight w:val="780"/>
        </w:trPr>
        <w:tc>
          <w:tcPr>
            <w:tcW w:w="333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81A001D"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8831DB1"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PM_RIC7</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3917023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7" w:type="dxa"/>
            <w:tcBorders>
              <w:top w:val="single" w:sz="8" w:space="0" w:color="auto"/>
              <w:left w:val="nil"/>
              <w:bottom w:val="single" w:sz="8" w:space="0" w:color="auto"/>
              <w:right w:val="single" w:sz="8" w:space="0" w:color="auto"/>
            </w:tcBorders>
            <w:shd w:val="clear" w:color="auto" w:fill="E7E6E6" w:themeFill="background2"/>
            <w:vAlign w:val="center"/>
            <w:hideMark/>
          </w:tcPr>
          <w:p w14:paraId="42BDD06D"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Facilitation of the establishment of regional centres of research excellence</w:t>
            </w:r>
          </w:p>
        </w:tc>
      </w:tr>
      <w:tr w:rsidR="00C03883" w:rsidRPr="00A33AE8" w14:paraId="6311C8FE" w14:textId="77777777" w:rsidTr="006769DA">
        <w:trPr>
          <w:gridAfter w:val="1"/>
          <w:wAfter w:w="1212" w:type="dxa"/>
          <w:trHeight w:val="185"/>
        </w:trPr>
        <w:tc>
          <w:tcPr>
            <w:tcW w:w="3336" w:type="dxa"/>
            <w:tcBorders>
              <w:top w:val="nil"/>
              <w:left w:val="single" w:sz="8" w:space="0" w:color="auto"/>
              <w:bottom w:val="single" w:sz="8" w:space="0" w:color="auto"/>
              <w:right w:val="nil"/>
            </w:tcBorders>
            <w:shd w:val="clear" w:color="auto" w:fill="244062"/>
            <w:vAlign w:val="center"/>
            <w:hideMark/>
          </w:tcPr>
          <w:p w14:paraId="034CDD3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2" w:type="dxa"/>
            <w:gridSpan w:val="3"/>
            <w:tcBorders>
              <w:top w:val="single" w:sz="8" w:space="0" w:color="auto"/>
              <w:left w:val="nil"/>
              <w:bottom w:val="single" w:sz="8" w:space="0" w:color="auto"/>
              <w:right w:val="single" w:sz="8" w:space="0" w:color="000000"/>
            </w:tcBorders>
            <w:vAlign w:val="center"/>
            <w:hideMark/>
          </w:tcPr>
          <w:p w14:paraId="36CFF5B4"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33AF76C6"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C58978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2" w:type="dxa"/>
            <w:gridSpan w:val="3"/>
            <w:tcBorders>
              <w:top w:val="single" w:sz="8" w:space="0" w:color="auto"/>
              <w:left w:val="nil"/>
              <w:bottom w:val="single" w:sz="8" w:space="0" w:color="auto"/>
              <w:right w:val="single" w:sz="8" w:space="0" w:color="000000"/>
            </w:tcBorders>
            <w:vAlign w:val="center"/>
            <w:hideMark/>
          </w:tcPr>
          <w:p w14:paraId="2DB92AE6" w14:textId="77777777" w:rsidR="00C03883" w:rsidRPr="00A33AE8" w:rsidRDefault="00C03883" w:rsidP="008316EE">
            <w:pPr>
              <w:spacing w:after="0" w:line="240" w:lineRule="auto"/>
              <w:jc w:val="both"/>
              <w:rPr>
                <w:rFonts w:asciiTheme="majorHAnsi" w:eastAsia="Times New Roman"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50215731" w14:textId="77777777" w:rsidTr="006769DA">
        <w:trPr>
          <w:gridAfter w:val="1"/>
          <w:wAfter w:w="1212" w:type="dxa"/>
          <w:trHeight w:val="443"/>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6D6C4CC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2" w:type="dxa"/>
            <w:gridSpan w:val="3"/>
            <w:tcBorders>
              <w:top w:val="single" w:sz="8" w:space="0" w:color="auto"/>
              <w:left w:val="nil"/>
              <w:bottom w:val="single" w:sz="8" w:space="0" w:color="auto"/>
              <w:right w:val="single" w:sz="8" w:space="0" w:color="000000"/>
            </w:tcBorders>
            <w:vAlign w:val="center"/>
            <w:hideMark/>
          </w:tcPr>
          <w:p w14:paraId="6EC9D5F0"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PM_RIC7 will facilitate the establishment of research excellence centres. These centres are designed to encourage outstanding research by providing large-scale, long-term funding to designated research units. They provide funds for research and related measures, such as the improvement or extension of physical infrastructure, the recruitment of outstanding researchers from abroad, and researcher training.</w:t>
            </w:r>
          </w:p>
        </w:tc>
      </w:tr>
      <w:tr w:rsidR="00C03883" w:rsidRPr="00A33AE8" w14:paraId="37CF7C33"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A1AC82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2" w:type="dxa"/>
            <w:gridSpan w:val="3"/>
            <w:tcBorders>
              <w:top w:val="single" w:sz="8" w:space="0" w:color="auto"/>
              <w:left w:val="nil"/>
              <w:bottom w:val="single" w:sz="8" w:space="0" w:color="auto"/>
              <w:right w:val="single" w:sz="8" w:space="0" w:color="000000"/>
            </w:tcBorders>
            <w:vAlign w:val="center"/>
            <w:hideMark/>
          </w:tcPr>
          <w:p w14:paraId="607D0902"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49F42A72"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DDC8EA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2" w:type="dxa"/>
            <w:gridSpan w:val="3"/>
            <w:tcBorders>
              <w:top w:val="single" w:sz="8" w:space="0" w:color="auto"/>
              <w:left w:val="nil"/>
              <w:bottom w:val="single" w:sz="8" w:space="0" w:color="auto"/>
              <w:right w:val="single" w:sz="8" w:space="0" w:color="000000"/>
            </w:tcBorders>
            <w:vAlign w:val="center"/>
            <w:hideMark/>
          </w:tcPr>
          <w:p w14:paraId="0158E274"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5285C7E8"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70D3AF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2" w:type="dxa"/>
            <w:gridSpan w:val="3"/>
            <w:tcBorders>
              <w:top w:val="single" w:sz="8" w:space="0" w:color="auto"/>
              <w:left w:val="nil"/>
              <w:bottom w:val="single" w:sz="8" w:space="0" w:color="auto"/>
              <w:right w:val="single" w:sz="8" w:space="0" w:color="000000"/>
            </w:tcBorders>
            <w:vAlign w:val="center"/>
            <w:hideMark/>
          </w:tcPr>
          <w:p w14:paraId="119D16F1"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6FA241BC"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7152FD8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17D3F8C2" w14:textId="77777777" w:rsidR="00C03883" w:rsidRPr="00A33AE8" w:rsidRDefault="00C03883" w:rsidP="00884F3B">
            <w:pPr>
              <w:pStyle w:val="ListParagraph"/>
              <w:numPr>
                <w:ilvl w:val="0"/>
                <w:numId w:val="20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39FAFBA0" w14:textId="77777777" w:rsidR="00C03883" w:rsidRPr="00A33AE8" w:rsidRDefault="00C03883" w:rsidP="00884F3B">
            <w:pPr>
              <w:pStyle w:val="ListParagraph"/>
              <w:numPr>
                <w:ilvl w:val="0"/>
                <w:numId w:val="20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6C93F819" w14:textId="77777777" w:rsidR="00C03883" w:rsidRPr="00A33AE8" w:rsidRDefault="00C03883" w:rsidP="00884F3B">
            <w:pPr>
              <w:pStyle w:val="ListParagraph"/>
              <w:numPr>
                <w:ilvl w:val="0"/>
                <w:numId w:val="20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 of Serbia</w:t>
            </w:r>
          </w:p>
          <w:p w14:paraId="03A1C229" w14:textId="77777777" w:rsidR="00C03883" w:rsidRPr="00A33AE8" w:rsidRDefault="00C03883" w:rsidP="00884F3B">
            <w:pPr>
              <w:pStyle w:val="ListParagraph"/>
              <w:numPr>
                <w:ilvl w:val="0"/>
                <w:numId w:val="20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C03883" w:rsidRPr="00A33AE8" w14:paraId="50D28271"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3EC0B4E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01E888BE" w14:textId="77777777" w:rsidR="00C03883" w:rsidRPr="00A33AE8" w:rsidRDefault="00C03883" w:rsidP="00884F3B">
            <w:pPr>
              <w:pStyle w:val="ListParagraph"/>
              <w:numPr>
                <w:ilvl w:val="0"/>
                <w:numId w:val="20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3C691988"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36E3035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2" w:type="dxa"/>
            <w:gridSpan w:val="3"/>
            <w:tcBorders>
              <w:top w:val="single" w:sz="8" w:space="0" w:color="auto"/>
              <w:left w:val="nil"/>
              <w:bottom w:val="single" w:sz="8" w:space="0" w:color="auto"/>
              <w:right w:val="single" w:sz="8" w:space="0" w:color="000000"/>
            </w:tcBorders>
            <w:vAlign w:val="center"/>
            <w:hideMark/>
          </w:tcPr>
          <w:p w14:paraId="3E040CBA"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regional centres of research excellence on an annual basis</w:t>
            </w:r>
          </w:p>
        </w:tc>
      </w:tr>
      <w:tr w:rsidR="00213B57" w:rsidRPr="00A33AE8" w14:paraId="63E4E9CD" w14:textId="77777777" w:rsidTr="006769DA">
        <w:trPr>
          <w:gridAfter w:val="1"/>
          <w:wAfter w:w="1212" w:type="dxa"/>
          <w:trHeight w:val="467"/>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70547B5"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2" w:type="dxa"/>
            <w:gridSpan w:val="3"/>
            <w:tcBorders>
              <w:top w:val="single" w:sz="8" w:space="0" w:color="auto"/>
              <w:left w:val="nil"/>
              <w:bottom w:val="single" w:sz="8" w:space="0" w:color="auto"/>
              <w:right w:val="single" w:sz="8" w:space="0" w:color="000000"/>
            </w:tcBorders>
            <w:vAlign w:val="center"/>
          </w:tcPr>
          <w:p w14:paraId="109CA14E" w14:textId="77777777" w:rsidR="00213B57" w:rsidRPr="00A33AE8" w:rsidRDefault="00213B57" w:rsidP="00884F3B">
            <w:pPr>
              <w:pStyle w:val="ListParagraph"/>
              <w:numPr>
                <w:ilvl w:val="0"/>
                <w:numId w:val="18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307DB7FF" w14:textId="77777777" w:rsidTr="006769DA">
        <w:trPr>
          <w:gridAfter w:val="1"/>
          <w:wAfter w:w="1212" w:type="dxa"/>
          <w:trHeight w:val="450"/>
        </w:trPr>
        <w:tc>
          <w:tcPr>
            <w:tcW w:w="3336" w:type="dxa"/>
            <w:vMerge w:val="restart"/>
            <w:tcBorders>
              <w:top w:val="nil"/>
              <w:left w:val="single" w:sz="8" w:space="0" w:color="auto"/>
              <w:bottom w:val="single" w:sz="8" w:space="0" w:color="000000"/>
              <w:right w:val="single" w:sz="8" w:space="0" w:color="auto"/>
            </w:tcBorders>
            <w:shd w:val="clear" w:color="auto" w:fill="244062"/>
            <w:vAlign w:val="center"/>
            <w:hideMark/>
          </w:tcPr>
          <w:p w14:paraId="5FEA4DB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2" w:type="dxa"/>
            <w:gridSpan w:val="3"/>
            <w:vMerge w:val="restart"/>
            <w:tcBorders>
              <w:top w:val="single" w:sz="8" w:space="0" w:color="auto"/>
              <w:left w:val="single" w:sz="8" w:space="0" w:color="auto"/>
              <w:bottom w:val="single" w:sz="8" w:space="0" w:color="000000"/>
              <w:right w:val="single" w:sz="8" w:space="0" w:color="000000"/>
            </w:tcBorders>
            <w:vAlign w:val="center"/>
          </w:tcPr>
          <w:p w14:paraId="3AB44311" w14:textId="77777777" w:rsidR="00C03883" w:rsidRPr="00A33AE8" w:rsidRDefault="00C03883" w:rsidP="00884F3B">
            <w:pPr>
              <w:pStyle w:val="ListParagraph"/>
              <w:numPr>
                <w:ilvl w:val="0"/>
                <w:numId w:val="9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146FDD52"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62087CCA"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7AA83256" w14:textId="77777777" w:rsidR="00C03883" w:rsidRPr="00A33AE8" w:rsidRDefault="00C03883" w:rsidP="00884F3B">
            <w:pPr>
              <w:pStyle w:val="ListParagraph"/>
              <w:numPr>
                <w:ilvl w:val="0"/>
                <w:numId w:val="96"/>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1A00F18" w14:textId="77777777" w:rsidR="00C03883" w:rsidRPr="00A33AE8" w:rsidRDefault="00C03883" w:rsidP="006769DA"/>
        </w:tc>
      </w:tr>
      <w:tr w:rsidR="00C03883" w:rsidRPr="00A33AE8" w14:paraId="5D4EB6DA"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228A3ED9"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2C99DD2E" w14:textId="77777777" w:rsidR="00C03883" w:rsidRPr="00A33AE8" w:rsidRDefault="00C03883" w:rsidP="00884F3B">
            <w:pPr>
              <w:pStyle w:val="ListParagraph"/>
              <w:numPr>
                <w:ilvl w:val="0"/>
                <w:numId w:val="96"/>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5C6F917" w14:textId="77777777" w:rsidR="00C03883" w:rsidRPr="00A33AE8" w:rsidRDefault="00C03883" w:rsidP="006769DA">
            <w:pPr>
              <w:spacing w:after="0" w:line="256" w:lineRule="auto"/>
              <w:rPr>
                <w:sz w:val="20"/>
                <w:szCs w:val="20"/>
                <w:lang w:eastAsia="en-GB"/>
              </w:rPr>
            </w:pPr>
          </w:p>
        </w:tc>
      </w:tr>
      <w:tr w:rsidR="00C03883" w:rsidRPr="00A33AE8" w14:paraId="10017748" w14:textId="77777777" w:rsidTr="006769DA">
        <w:trPr>
          <w:trHeight w:val="556"/>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FC9BEA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2" w:type="dxa"/>
            <w:gridSpan w:val="3"/>
            <w:tcBorders>
              <w:top w:val="single" w:sz="8" w:space="0" w:color="auto"/>
              <w:left w:val="nil"/>
              <w:bottom w:val="single" w:sz="8" w:space="0" w:color="auto"/>
              <w:right w:val="single" w:sz="8" w:space="0" w:color="000000"/>
            </w:tcBorders>
            <w:vAlign w:val="center"/>
          </w:tcPr>
          <w:p w14:paraId="69A51238" w14:textId="77777777" w:rsidR="00C03883" w:rsidRPr="00A33AE8" w:rsidRDefault="00C03883" w:rsidP="00884F3B">
            <w:pPr>
              <w:pStyle w:val="ListParagraph"/>
              <w:numPr>
                <w:ilvl w:val="0"/>
                <w:numId w:val="9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7CB8D597" w14:textId="77777777" w:rsidR="00C03883" w:rsidRPr="00A33AE8" w:rsidRDefault="00C03883" w:rsidP="00884F3B">
            <w:pPr>
              <w:pStyle w:val="ListParagraph"/>
              <w:numPr>
                <w:ilvl w:val="0"/>
                <w:numId w:val="9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59E70D98"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0712F7DB"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2349D0B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2" w:type="dxa"/>
            <w:gridSpan w:val="3"/>
            <w:tcBorders>
              <w:top w:val="single" w:sz="8" w:space="0" w:color="auto"/>
              <w:left w:val="nil"/>
              <w:bottom w:val="single" w:sz="8" w:space="0" w:color="auto"/>
              <w:right w:val="single" w:sz="8" w:space="0" w:color="000000"/>
            </w:tcBorders>
            <w:vAlign w:val="center"/>
          </w:tcPr>
          <w:p w14:paraId="61D7A702"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3.4 M€</w:t>
            </w:r>
          </w:p>
        </w:tc>
        <w:tc>
          <w:tcPr>
            <w:tcW w:w="1212" w:type="dxa"/>
            <w:vAlign w:val="center"/>
            <w:hideMark/>
          </w:tcPr>
          <w:p w14:paraId="292EE4F9" w14:textId="77777777" w:rsidR="00C03883" w:rsidRPr="00A33AE8" w:rsidRDefault="00C03883" w:rsidP="006769DA">
            <w:pPr>
              <w:rPr>
                <w:rFonts w:ascii="Calibri" w:eastAsia="Times New Roman" w:hAnsi="Calibri" w:cs="Calibri"/>
                <w:color w:val="000000"/>
                <w:lang w:eastAsia="en-GB"/>
              </w:rPr>
            </w:pPr>
          </w:p>
        </w:tc>
      </w:tr>
      <w:tr w:rsidR="00661664" w:rsidRPr="00A33AE8" w14:paraId="1D29E284"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7DBB4666"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Financing source(s)</w:t>
            </w:r>
          </w:p>
        </w:tc>
        <w:tc>
          <w:tcPr>
            <w:tcW w:w="6152" w:type="dxa"/>
            <w:gridSpan w:val="3"/>
            <w:tcBorders>
              <w:top w:val="single" w:sz="8" w:space="0" w:color="auto"/>
              <w:left w:val="nil"/>
              <w:bottom w:val="single" w:sz="8" w:space="0" w:color="auto"/>
              <w:right w:val="single" w:sz="8" w:space="0" w:color="000000"/>
            </w:tcBorders>
            <w:shd w:val="clear" w:color="auto" w:fill="auto"/>
            <w:vAlign w:val="center"/>
            <w:hideMark/>
          </w:tcPr>
          <w:p w14:paraId="1488BFF4"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Grants</w:t>
            </w:r>
          </w:p>
          <w:p w14:paraId="5D38A1B8" w14:textId="5D0A0884"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60A104E1" w14:textId="64F58A04"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1C45214E" w14:textId="77777777" w:rsid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p w14:paraId="231B6097" w14:textId="77777777" w:rsidR="00661664" w:rsidRPr="005B2C66"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Donors</w:t>
            </w:r>
          </w:p>
        </w:tc>
        <w:tc>
          <w:tcPr>
            <w:tcW w:w="1212" w:type="dxa"/>
            <w:vAlign w:val="center"/>
            <w:hideMark/>
          </w:tcPr>
          <w:p w14:paraId="6C553D9F" w14:textId="77777777" w:rsidR="00661664" w:rsidRPr="00A33AE8" w:rsidRDefault="00661664" w:rsidP="00661664">
            <w:pPr>
              <w:rPr>
                <w:rFonts w:ascii="Calibri" w:eastAsia="Times New Roman" w:hAnsi="Calibri" w:cs="Calibri"/>
                <w:color w:val="000000"/>
                <w:lang w:eastAsia="en-GB"/>
              </w:rPr>
            </w:pPr>
          </w:p>
        </w:tc>
      </w:tr>
    </w:tbl>
    <w:p w14:paraId="6AE3AF34"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6"/>
        <w:gridCol w:w="951"/>
        <w:gridCol w:w="943"/>
        <w:gridCol w:w="4258"/>
        <w:gridCol w:w="1212"/>
      </w:tblGrid>
      <w:tr w:rsidR="00C03883" w:rsidRPr="00A33AE8" w14:paraId="42909C23" w14:textId="77777777" w:rsidTr="006769DA">
        <w:trPr>
          <w:gridAfter w:val="1"/>
          <w:wAfter w:w="1212" w:type="dxa"/>
          <w:trHeight w:val="780"/>
        </w:trPr>
        <w:tc>
          <w:tcPr>
            <w:tcW w:w="3336"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3BC54225"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198760C8"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PM_RIC8</w:t>
            </w:r>
          </w:p>
        </w:tc>
        <w:tc>
          <w:tcPr>
            <w:tcW w:w="943" w:type="dxa"/>
            <w:tcBorders>
              <w:top w:val="single" w:sz="8" w:space="0" w:color="auto"/>
              <w:left w:val="nil"/>
              <w:bottom w:val="single" w:sz="8" w:space="0" w:color="auto"/>
              <w:right w:val="single" w:sz="8" w:space="0" w:color="auto"/>
            </w:tcBorders>
            <w:shd w:val="clear" w:color="auto" w:fill="244062"/>
            <w:vAlign w:val="center"/>
            <w:hideMark/>
          </w:tcPr>
          <w:p w14:paraId="79989C3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8" w:type="dxa"/>
            <w:tcBorders>
              <w:top w:val="single" w:sz="8" w:space="0" w:color="auto"/>
              <w:left w:val="nil"/>
              <w:bottom w:val="single" w:sz="8" w:space="0" w:color="auto"/>
              <w:right w:val="single" w:sz="8" w:space="0" w:color="auto"/>
            </w:tcBorders>
            <w:shd w:val="clear" w:color="auto" w:fill="E7E6E6" w:themeFill="background2"/>
            <w:vAlign w:val="center"/>
            <w:hideMark/>
          </w:tcPr>
          <w:p w14:paraId="6EAECA37"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shd w:val="clear" w:color="auto" w:fill="E7E6E6" w:themeFill="background2"/>
                <w:lang w:eastAsia="en-GB"/>
              </w:rPr>
              <w:t>Establishment</w:t>
            </w:r>
            <w:r w:rsidRPr="00A33AE8">
              <w:rPr>
                <w:rFonts w:ascii="Calibri Light" w:eastAsia="Times New Roman" w:hAnsi="Calibri Light" w:cs="Calibri Light"/>
                <w:b/>
                <w:bCs/>
                <w:color w:val="000000"/>
                <w:sz w:val="20"/>
                <w:szCs w:val="20"/>
                <w:lang w:eastAsia="en-GB"/>
              </w:rPr>
              <w:t xml:space="preserve"> and networking of Technology Transfer Offices of research organisations / institutes and Science Technology Parks</w:t>
            </w:r>
          </w:p>
        </w:tc>
      </w:tr>
      <w:tr w:rsidR="00C03883" w:rsidRPr="00A33AE8" w14:paraId="170F9376" w14:textId="77777777" w:rsidTr="006769DA">
        <w:trPr>
          <w:gridAfter w:val="1"/>
          <w:wAfter w:w="1212" w:type="dxa"/>
          <w:trHeight w:val="355"/>
        </w:trPr>
        <w:tc>
          <w:tcPr>
            <w:tcW w:w="3336" w:type="dxa"/>
            <w:tcBorders>
              <w:top w:val="nil"/>
              <w:left w:val="single" w:sz="8" w:space="0" w:color="auto"/>
              <w:bottom w:val="single" w:sz="8" w:space="0" w:color="auto"/>
              <w:right w:val="nil"/>
            </w:tcBorders>
            <w:shd w:val="clear" w:color="auto" w:fill="244062"/>
            <w:vAlign w:val="center"/>
            <w:hideMark/>
          </w:tcPr>
          <w:p w14:paraId="40C2C3C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2" w:type="dxa"/>
            <w:gridSpan w:val="3"/>
            <w:tcBorders>
              <w:top w:val="single" w:sz="8" w:space="0" w:color="auto"/>
              <w:left w:val="nil"/>
              <w:bottom w:val="single" w:sz="8" w:space="0" w:color="auto"/>
              <w:right w:val="single" w:sz="8" w:space="0" w:color="000000"/>
            </w:tcBorders>
            <w:vAlign w:val="center"/>
            <w:hideMark/>
          </w:tcPr>
          <w:p w14:paraId="0ADE8E8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2C899767"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4B98E05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2" w:type="dxa"/>
            <w:gridSpan w:val="3"/>
            <w:tcBorders>
              <w:top w:val="single" w:sz="8" w:space="0" w:color="auto"/>
              <w:left w:val="nil"/>
              <w:bottom w:val="single" w:sz="8" w:space="0" w:color="auto"/>
              <w:right w:val="single" w:sz="8" w:space="0" w:color="000000"/>
            </w:tcBorders>
            <w:vAlign w:val="center"/>
          </w:tcPr>
          <w:p w14:paraId="42E37EF0" w14:textId="77777777" w:rsidR="00C03883" w:rsidRPr="00A33AE8" w:rsidRDefault="00C03883" w:rsidP="008316EE">
            <w:pPr>
              <w:spacing w:after="0" w:line="240" w:lineRule="auto"/>
              <w:jc w:val="both"/>
              <w:rPr>
                <w:rFonts w:asciiTheme="majorHAnsi" w:eastAsia="Times New Roman"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121D37C1" w14:textId="77777777" w:rsidTr="006769DA">
        <w:trPr>
          <w:gridAfter w:val="1"/>
          <w:wAfter w:w="1212" w:type="dxa"/>
          <w:trHeight w:val="1437"/>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582189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52" w:type="dxa"/>
            <w:gridSpan w:val="3"/>
            <w:tcBorders>
              <w:top w:val="single" w:sz="8" w:space="0" w:color="auto"/>
              <w:left w:val="nil"/>
              <w:bottom w:val="single" w:sz="8" w:space="0" w:color="auto"/>
              <w:right w:val="single" w:sz="8" w:space="0" w:color="000000"/>
            </w:tcBorders>
            <w:vAlign w:val="center"/>
            <w:hideMark/>
          </w:tcPr>
          <w:p w14:paraId="5AF55DD2"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PM_RIC8 will encourage the (further) establishment of Technological Transfer Offices and Science Technology Parks that will provide infrastructural and professional services to the subjects of the innovation activity, in terms of networking, as well as development, designing and fast utilization of new technologies. This could provide an opportunity to boost the competitiveness of the low-carbon technologies via technology transfer </w:t>
            </w:r>
            <w:r w:rsidR="000578D5" w:rsidRPr="00A33AE8">
              <w:rPr>
                <w:rFonts w:asciiTheme="majorHAnsi" w:eastAsia="Times New Roman" w:hAnsiTheme="majorHAnsi" w:cstheme="majorHAnsi"/>
                <w:color w:val="000000"/>
                <w:sz w:val="20"/>
                <w:szCs w:val="20"/>
                <w:lang w:eastAsia="en-GB"/>
              </w:rPr>
              <w:t>centres</w:t>
            </w:r>
            <w:r w:rsidRPr="00A33AE8">
              <w:rPr>
                <w:rFonts w:asciiTheme="majorHAnsi" w:eastAsia="Times New Roman" w:hAnsiTheme="majorHAnsi" w:cstheme="majorHAnsi"/>
                <w:color w:val="000000"/>
                <w:sz w:val="20"/>
                <w:szCs w:val="20"/>
                <w:lang w:eastAsia="en-GB"/>
              </w:rPr>
              <w:t>, which could enable networking and knowledge sharing between science, academia, and the business sector.</w:t>
            </w:r>
          </w:p>
        </w:tc>
      </w:tr>
      <w:tr w:rsidR="00C03883" w:rsidRPr="00A33AE8" w14:paraId="420338B4"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05F0A14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2" w:type="dxa"/>
            <w:gridSpan w:val="3"/>
            <w:tcBorders>
              <w:top w:val="single" w:sz="8" w:space="0" w:color="auto"/>
              <w:left w:val="nil"/>
              <w:bottom w:val="single" w:sz="8" w:space="0" w:color="auto"/>
              <w:right w:val="single" w:sz="8" w:space="0" w:color="000000"/>
            </w:tcBorders>
            <w:vAlign w:val="center"/>
            <w:hideMark/>
          </w:tcPr>
          <w:p w14:paraId="7B673904"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005E0D42"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0A31AC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2" w:type="dxa"/>
            <w:gridSpan w:val="3"/>
            <w:tcBorders>
              <w:top w:val="single" w:sz="8" w:space="0" w:color="auto"/>
              <w:left w:val="nil"/>
              <w:bottom w:val="single" w:sz="8" w:space="0" w:color="auto"/>
              <w:right w:val="single" w:sz="8" w:space="0" w:color="000000"/>
            </w:tcBorders>
            <w:vAlign w:val="center"/>
            <w:hideMark/>
          </w:tcPr>
          <w:p w14:paraId="5C45E48E"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3D62DD98"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332F3F2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2" w:type="dxa"/>
            <w:gridSpan w:val="3"/>
            <w:tcBorders>
              <w:top w:val="single" w:sz="8" w:space="0" w:color="auto"/>
              <w:left w:val="nil"/>
              <w:bottom w:val="single" w:sz="8" w:space="0" w:color="auto"/>
              <w:right w:val="single" w:sz="8" w:space="0" w:color="000000"/>
            </w:tcBorders>
            <w:vAlign w:val="center"/>
            <w:hideMark/>
          </w:tcPr>
          <w:p w14:paraId="369641B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C4954">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0632B7BA" w14:textId="77777777" w:rsidTr="006769DA">
        <w:trPr>
          <w:gridAfter w:val="1"/>
          <w:wAfter w:w="1212" w:type="dxa"/>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4DBF63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5580BE2B"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70C67F0"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41FC46BE"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 of Serbia</w:t>
            </w:r>
          </w:p>
        </w:tc>
      </w:tr>
      <w:tr w:rsidR="00C03883" w:rsidRPr="00A33AE8" w14:paraId="5BA06F2D"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62BEFFB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2" w:type="dxa"/>
            <w:gridSpan w:val="3"/>
            <w:tcBorders>
              <w:top w:val="single" w:sz="8" w:space="0" w:color="auto"/>
              <w:left w:val="nil"/>
              <w:bottom w:val="single" w:sz="8" w:space="0" w:color="auto"/>
              <w:right w:val="single" w:sz="8" w:space="0" w:color="000000"/>
            </w:tcBorders>
            <w:vAlign w:val="center"/>
            <w:hideMark/>
          </w:tcPr>
          <w:p w14:paraId="5465ACBB" w14:textId="77777777" w:rsidR="00C03883" w:rsidRPr="00A33AE8" w:rsidRDefault="00C03883" w:rsidP="00884F3B">
            <w:pPr>
              <w:pStyle w:val="ListParagraph"/>
              <w:numPr>
                <w:ilvl w:val="0"/>
                <w:numId w:val="20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2A68DAFC" w14:textId="77777777" w:rsidTr="006769DA">
        <w:trPr>
          <w:gridAfter w:val="1"/>
          <w:wAfter w:w="1212" w:type="dxa"/>
          <w:trHeight w:val="315"/>
        </w:trPr>
        <w:tc>
          <w:tcPr>
            <w:tcW w:w="3336" w:type="dxa"/>
            <w:tcBorders>
              <w:top w:val="nil"/>
              <w:left w:val="single" w:sz="8" w:space="0" w:color="auto"/>
              <w:bottom w:val="single" w:sz="8" w:space="0" w:color="auto"/>
              <w:right w:val="nil"/>
            </w:tcBorders>
            <w:shd w:val="clear" w:color="auto" w:fill="244062"/>
            <w:vAlign w:val="center"/>
            <w:hideMark/>
          </w:tcPr>
          <w:p w14:paraId="34D60B1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2" w:type="dxa"/>
            <w:gridSpan w:val="3"/>
            <w:tcBorders>
              <w:top w:val="single" w:sz="8" w:space="0" w:color="auto"/>
              <w:left w:val="nil"/>
              <w:bottom w:val="single" w:sz="8" w:space="0" w:color="auto"/>
              <w:right w:val="single" w:sz="8" w:space="0" w:color="000000"/>
            </w:tcBorders>
            <w:vAlign w:val="center"/>
            <w:hideMark/>
          </w:tcPr>
          <w:p w14:paraId="1274EB05"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new joint projects among Technology Transfer Offices of research organisations / institutes and Science Technology Parks on an annual basis</w:t>
            </w:r>
          </w:p>
        </w:tc>
      </w:tr>
      <w:tr w:rsidR="00213B57" w:rsidRPr="00A33AE8" w14:paraId="64E94695" w14:textId="77777777" w:rsidTr="006769DA">
        <w:trPr>
          <w:gridAfter w:val="1"/>
          <w:wAfter w:w="1212" w:type="dxa"/>
          <w:trHeight w:val="481"/>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13A5C9EB"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2" w:type="dxa"/>
            <w:gridSpan w:val="3"/>
            <w:tcBorders>
              <w:top w:val="single" w:sz="8" w:space="0" w:color="auto"/>
              <w:left w:val="nil"/>
              <w:bottom w:val="single" w:sz="8" w:space="0" w:color="auto"/>
              <w:right w:val="single" w:sz="8" w:space="0" w:color="000000"/>
            </w:tcBorders>
            <w:vAlign w:val="center"/>
          </w:tcPr>
          <w:p w14:paraId="5A400414" w14:textId="77777777" w:rsidR="00213B57" w:rsidRPr="00A33AE8" w:rsidRDefault="00213B57" w:rsidP="00884F3B">
            <w:pPr>
              <w:pStyle w:val="ListParagraph"/>
              <w:numPr>
                <w:ilvl w:val="0"/>
                <w:numId w:val="18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454A937D" w14:textId="77777777" w:rsidTr="006769DA">
        <w:trPr>
          <w:gridAfter w:val="1"/>
          <w:wAfter w:w="1212" w:type="dxa"/>
          <w:trHeight w:val="450"/>
        </w:trPr>
        <w:tc>
          <w:tcPr>
            <w:tcW w:w="3336" w:type="dxa"/>
            <w:vMerge w:val="restart"/>
            <w:tcBorders>
              <w:top w:val="nil"/>
              <w:left w:val="single" w:sz="8" w:space="0" w:color="auto"/>
              <w:bottom w:val="single" w:sz="8" w:space="0" w:color="000000"/>
              <w:right w:val="single" w:sz="8" w:space="0" w:color="auto"/>
            </w:tcBorders>
            <w:shd w:val="clear" w:color="auto" w:fill="244062"/>
            <w:vAlign w:val="center"/>
            <w:hideMark/>
          </w:tcPr>
          <w:p w14:paraId="6445C1B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2" w:type="dxa"/>
            <w:gridSpan w:val="3"/>
            <w:vMerge w:val="restart"/>
            <w:tcBorders>
              <w:top w:val="single" w:sz="8" w:space="0" w:color="auto"/>
              <w:left w:val="single" w:sz="8" w:space="0" w:color="auto"/>
              <w:bottom w:val="single" w:sz="8" w:space="0" w:color="000000"/>
              <w:right w:val="single" w:sz="8" w:space="0" w:color="000000"/>
            </w:tcBorders>
            <w:vAlign w:val="center"/>
          </w:tcPr>
          <w:p w14:paraId="63260995"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7E0B114F"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908EDA3"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46916E24" w14:textId="77777777" w:rsidR="00C03883" w:rsidRPr="00A33AE8" w:rsidRDefault="00C03883" w:rsidP="00884F3B">
            <w:pPr>
              <w:pStyle w:val="ListParagraph"/>
              <w:numPr>
                <w:ilvl w:val="0"/>
                <w:numId w:val="97"/>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43B3272" w14:textId="77777777" w:rsidR="00C03883" w:rsidRPr="00A33AE8" w:rsidRDefault="00C03883" w:rsidP="006769DA"/>
        </w:tc>
      </w:tr>
      <w:tr w:rsidR="00C03883" w:rsidRPr="00A33AE8" w14:paraId="2093E6CE"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09A3F1FF"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2" w:type="dxa"/>
            <w:gridSpan w:val="3"/>
            <w:vMerge/>
            <w:tcBorders>
              <w:top w:val="single" w:sz="8" w:space="0" w:color="auto"/>
              <w:left w:val="single" w:sz="8" w:space="0" w:color="auto"/>
              <w:bottom w:val="single" w:sz="8" w:space="0" w:color="000000"/>
              <w:right w:val="single" w:sz="8" w:space="0" w:color="000000"/>
            </w:tcBorders>
            <w:vAlign w:val="center"/>
          </w:tcPr>
          <w:p w14:paraId="7187857F" w14:textId="77777777" w:rsidR="00C03883" w:rsidRPr="00A33AE8" w:rsidRDefault="00C03883" w:rsidP="00884F3B">
            <w:pPr>
              <w:pStyle w:val="ListParagraph"/>
              <w:numPr>
                <w:ilvl w:val="0"/>
                <w:numId w:val="97"/>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7194C60" w14:textId="77777777" w:rsidR="00C03883" w:rsidRPr="00A33AE8" w:rsidRDefault="00C03883" w:rsidP="006769DA">
            <w:pPr>
              <w:spacing w:after="0" w:line="256" w:lineRule="auto"/>
              <w:rPr>
                <w:sz w:val="20"/>
                <w:szCs w:val="20"/>
                <w:lang w:eastAsia="en-GB"/>
              </w:rPr>
            </w:pPr>
          </w:p>
        </w:tc>
      </w:tr>
      <w:tr w:rsidR="00C03883" w:rsidRPr="00A33AE8" w14:paraId="310456AD" w14:textId="77777777" w:rsidTr="006769DA">
        <w:trPr>
          <w:trHeight w:val="411"/>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650A1DE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2" w:type="dxa"/>
            <w:gridSpan w:val="3"/>
            <w:tcBorders>
              <w:top w:val="single" w:sz="8" w:space="0" w:color="auto"/>
              <w:left w:val="nil"/>
              <w:bottom w:val="single" w:sz="8" w:space="0" w:color="auto"/>
              <w:right w:val="single" w:sz="8" w:space="0" w:color="000000"/>
            </w:tcBorders>
            <w:vAlign w:val="center"/>
          </w:tcPr>
          <w:p w14:paraId="502A72DF"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0785BF30"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59C7E66E"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0E7DF43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2" w:type="dxa"/>
            <w:gridSpan w:val="3"/>
            <w:tcBorders>
              <w:top w:val="single" w:sz="8" w:space="0" w:color="auto"/>
              <w:left w:val="nil"/>
              <w:bottom w:val="single" w:sz="8" w:space="0" w:color="auto"/>
              <w:right w:val="single" w:sz="8" w:space="0" w:color="000000"/>
            </w:tcBorders>
            <w:vAlign w:val="center"/>
          </w:tcPr>
          <w:p w14:paraId="110E421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15.3 M€</w:t>
            </w:r>
          </w:p>
        </w:tc>
        <w:tc>
          <w:tcPr>
            <w:tcW w:w="1212" w:type="dxa"/>
            <w:vAlign w:val="center"/>
            <w:hideMark/>
          </w:tcPr>
          <w:p w14:paraId="6B092B1D" w14:textId="77777777" w:rsidR="00C03883" w:rsidRPr="00A33AE8" w:rsidRDefault="00C03883" w:rsidP="006769DA">
            <w:pPr>
              <w:rPr>
                <w:rFonts w:ascii="Calibri" w:eastAsia="Times New Roman" w:hAnsi="Calibri" w:cs="Calibri"/>
                <w:color w:val="000000"/>
                <w:lang w:eastAsia="en-GB"/>
              </w:rPr>
            </w:pPr>
          </w:p>
        </w:tc>
      </w:tr>
      <w:tr w:rsidR="00661664" w:rsidRPr="00A33AE8" w14:paraId="2C57865C" w14:textId="77777777" w:rsidTr="006769DA">
        <w:trPr>
          <w:trHeight w:val="315"/>
        </w:trPr>
        <w:tc>
          <w:tcPr>
            <w:tcW w:w="3336" w:type="dxa"/>
            <w:tcBorders>
              <w:top w:val="nil"/>
              <w:left w:val="single" w:sz="8" w:space="0" w:color="auto"/>
              <w:bottom w:val="single" w:sz="8" w:space="0" w:color="auto"/>
              <w:right w:val="single" w:sz="8" w:space="0" w:color="auto"/>
            </w:tcBorders>
            <w:shd w:val="clear" w:color="auto" w:fill="244062"/>
            <w:vAlign w:val="center"/>
            <w:hideMark/>
          </w:tcPr>
          <w:p w14:paraId="64DFDD34"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2" w:type="dxa"/>
            <w:gridSpan w:val="3"/>
            <w:tcBorders>
              <w:top w:val="single" w:sz="8" w:space="0" w:color="auto"/>
              <w:left w:val="nil"/>
              <w:bottom w:val="single" w:sz="8" w:space="0" w:color="auto"/>
              <w:right w:val="single" w:sz="8" w:space="0" w:color="000000"/>
            </w:tcBorders>
            <w:shd w:val="clear" w:color="auto" w:fill="auto"/>
            <w:vAlign w:val="center"/>
            <w:hideMark/>
          </w:tcPr>
          <w:p w14:paraId="7B360C86"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Grants</w:t>
            </w:r>
          </w:p>
          <w:p w14:paraId="638B5B73"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744044D5" w14:textId="3ABCA208"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609D9B75" w14:textId="77777777" w:rsid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p w14:paraId="1961CFEB" w14:textId="77777777" w:rsidR="00661664" w:rsidRPr="005B2C66"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Donors</w:t>
            </w:r>
          </w:p>
        </w:tc>
        <w:tc>
          <w:tcPr>
            <w:tcW w:w="1212" w:type="dxa"/>
            <w:vAlign w:val="center"/>
            <w:hideMark/>
          </w:tcPr>
          <w:p w14:paraId="587219E0" w14:textId="77777777" w:rsidR="00661664" w:rsidRPr="00A33AE8" w:rsidRDefault="00661664" w:rsidP="00661664">
            <w:pPr>
              <w:rPr>
                <w:rFonts w:ascii="Calibri" w:eastAsia="Times New Roman" w:hAnsi="Calibri" w:cs="Calibri"/>
                <w:color w:val="000000"/>
                <w:lang w:eastAsia="en-GB"/>
              </w:rPr>
            </w:pPr>
          </w:p>
        </w:tc>
      </w:tr>
    </w:tbl>
    <w:p w14:paraId="34CA450C"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38"/>
        <w:gridCol w:w="951"/>
        <w:gridCol w:w="944"/>
        <w:gridCol w:w="4255"/>
        <w:gridCol w:w="1212"/>
      </w:tblGrid>
      <w:tr w:rsidR="00C03883" w:rsidRPr="00A33AE8" w14:paraId="75C3CA47" w14:textId="77777777" w:rsidTr="006769DA">
        <w:trPr>
          <w:gridAfter w:val="1"/>
          <w:wAfter w:w="1212" w:type="dxa"/>
          <w:trHeight w:val="780"/>
        </w:trPr>
        <w:tc>
          <w:tcPr>
            <w:tcW w:w="3338"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EC7BE17"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951" w:type="dxa"/>
            <w:tcBorders>
              <w:top w:val="single" w:sz="8" w:space="0" w:color="auto"/>
              <w:left w:val="nil"/>
              <w:bottom w:val="single" w:sz="8" w:space="0" w:color="auto"/>
              <w:right w:val="single" w:sz="8" w:space="0" w:color="auto"/>
            </w:tcBorders>
            <w:shd w:val="clear" w:color="auto" w:fill="E7E6E6" w:themeFill="background2"/>
            <w:vAlign w:val="center"/>
            <w:hideMark/>
          </w:tcPr>
          <w:p w14:paraId="5FD4654D"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PM_RIC9</w:t>
            </w:r>
          </w:p>
        </w:tc>
        <w:tc>
          <w:tcPr>
            <w:tcW w:w="944" w:type="dxa"/>
            <w:tcBorders>
              <w:top w:val="single" w:sz="8" w:space="0" w:color="auto"/>
              <w:left w:val="nil"/>
              <w:bottom w:val="single" w:sz="8" w:space="0" w:color="auto"/>
              <w:right w:val="single" w:sz="8" w:space="0" w:color="auto"/>
            </w:tcBorders>
            <w:shd w:val="clear" w:color="auto" w:fill="244062"/>
            <w:vAlign w:val="center"/>
            <w:hideMark/>
          </w:tcPr>
          <w:p w14:paraId="723F18D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55" w:type="dxa"/>
            <w:tcBorders>
              <w:top w:val="single" w:sz="8" w:space="0" w:color="auto"/>
              <w:left w:val="nil"/>
              <w:bottom w:val="single" w:sz="8" w:space="0" w:color="auto"/>
              <w:right w:val="single" w:sz="8" w:space="0" w:color="auto"/>
            </w:tcBorders>
            <w:shd w:val="clear" w:color="auto" w:fill="E7E6E6" w:themeFill="background2"/>
            <w:vAlign w:val="center"/>
            <w:hideMark/>
          </w:tcPr>
          <w:p w14:paraId="79A97A3F"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Support the cooperation between research institutes and businesses in the technology transfer and exploitation of research results</w:t>
            </w:r>
          </w:p>
        </w:tc>
      </w:tr>
      <w:tr w:rsidR="00C03883" w:rsidRPr="00A33AE8" w14:paraId="1E46605B" w14:textId="77777777" w:rsidTr="006769DA">
        <w:trPr>
          <w:gridAfter w:val="1"/>
          <w:wAfter w:w="1212" w:type="dxa"/>
          <w:trHeight w:val="327"/>
        </w:trPr>
        <w:tc>
          <w:tcPr>
            <w:tcW w:w="3338" w:type="dxa"/>
            <w:tcBorders>
              <w:top w:val="nil"/>
              <w:left w:val="single" w:sz="8" w:space="0" w:color="auto"/>
              <w:bottom w:val="single" w:sz="8" w:space="0" w:color="auto"/>
              <w:right w:val="nil"/>
            </w:tcBorders>
            <w:shd w:val="clear" w:color="auto" w:fill="244062"/>
            <w:vAlign w:val="center"/>
            <w:hideMark/>
          </w:tcPr>
          <w:p w14:paraId="73340EA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50" w:type="dxa"/>
            <w:gridSpan w:val="3"/>
            <w:tcBorders>
              <w:top w:val="single" w:sz="8" w:space="0" w:color="auto"/>
              <w:left w:val="nil"/>
              <w:bottom w:val="single" w:sz="8" w:space="0" w:color="auto"/>
              <w:right w:val="single" w:sz="8" w:space="0" w:color="000000"/>
            </w:tcBorders>
            <w:vAlign w:val="center"/>
            <w:hideMark/>
          </w:tcPr>
          <w:p w14:paraId="2F244A62"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63823ECC"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0CEB32D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50" w:type="dxa"/>
            <w:gridSpan w:val="3"/>
            <w:tcBorders>
              <w:top w:val="single" w:sz="8" w:space="0" w:color="auto"/>
              <w:left w:val="nil"/>
              <w:bottom w:val="single" w:sz="8" w:space="0" w:color="auto"/>
              <w:right w:val="single" w:sz="8" w:space="0" w:color="000000"/>
            </w:tcBorders>
            <w:vAlign w:val="center"/>
            <w:hideMark/>
          </w:tcPr>
          <w:p w14:paraId="360B1DC7" w14:textId="77777777" w:rsidR="00C03883" w:rsidRPr="00A33AE8" w:rsidRDefault="00C03883" w:rsidP="008316EE">
            <w:pPr>
              <w:spacing w:after="0" w:line="240" w:lineRule="auto"/>
              <w:jc w:val="both"/>
              <w:rPr>
                <w:rFonts w:asciiTheme="majorHAnsi" w:eastAsia="Times New Roman"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0DB53F6D" w14:textId="77777777" w:rsidTr="006769DA">
        <w:trPr>
          <w:gridAfter w:val="1"/>
          <w:wAfter w:w="1212" w:type="dxa"/>
          <w:trHeight w:val="1010"/>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16AFFA5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50" w:type="dxa"/>
            <w:gridSpan w:val="3"/>
            <w:tcBorders>
              <w:top w:val="single" w:sz="8" w:space="0" w:color="auto"/>
              <w:left w:val="nil"/>
              <w:bottom w:val="single" w:sz="8" w:space="0" w:color="auto"/>
              <w:right w:val="single" w:sz="8" w:space="0" w:color="000000"/>
            </w:tcBorders>
            <w:vAlign w:val="center"/>
            <w:hideMark/>
          </w:tcPr>
          <w:p w14:paraId="7823BA76"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PM_RIC9 will encourage the cooperation between research institutes and the industry in order to maximize the use of the research results. This requires specialist staff to identify and manage knowledge resources with business potential, i.e. how best to take a new idea to market, ensure appropriate resources (funding, support services, etc.) to make it happen, and to obtain adequate buy-in by all stakeholders.</w:t>
            </w:r>
          </w:p>
        </w:tc>
      </w:tr>
      <w:tr w:rsidR="00C03883" w:rsidRPr="00A33AE8" w14:paraId="551B1661"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7D4EE42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50" w:type="dxa"/>
            <w:gridSpan w:val="3"/>
            <w:tcBorders>
              <w:top w:val="single" w:sz="8" w:space="0" w:color="auto"/>
              <w:left w:val="nil"/>
              <w:bottom w:val="single" w:sz="8" w:space="0" w:color="auto"/>
              <w:right w:val="single" w:sz="8" w:space="0" w:color="000000"/>
            </w:tcBorders>
            <w:vAlign w:val="center"/>
            <w:hideMark/>
          </w:tcPr>
          <w:p w14:paraId="5692B448"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050A90"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225CC284"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0B367A7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50" w:type="dxa"/>
            <w:gridSpan w:val="3"/>
            <w:tcBorders>
              <w:top w:val="single" w:sz="8" w:space="0" w:color="auto"/>
              <w:left w:val="nil"/>
              <w:bottom w:val="single" w:sz="8" w:space="0" w:color="auto"/>
              <w:right w:val="single" w:sz="8" w:space="0" w:color="000000"/>
            </w:tcBorders>
            <w:vAlign w:val="center"/>
            <w:hideMark/>
          </w:tcPr>
          <w:p w14:paraId="44058219"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1D011DCE"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5B9EF5B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50" w:type="dxa"/>
            <w:gridSpan w:val="3"/>
            <w:tcBorders>
              <w:top w:val="single" w:sz="8" w:space="0" w:color="auto"/>
              <w:left w:val="nil"/>
              <w:bottom w:val="single" w:sz="8" w:space="0" w:color="auto"/>
              <w:right w:val="single" w:sz="8" w:space="0" w:color="000000"/>
            </w:tcBorders>
            <w:vAlign w:val="center"/>
            <w:hideMark/>
          </w:tcPr>
          <w:p w14:paraId="7C45CE1D"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7396CC7D" w14:textId="77777777" w:rsidTr="006769DA">
        <w:trPr>
          <w:gridAfter w:val="1"/>
          <w:wAfter w:w="1212" w:type="dxa"/>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4EE137A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50" w:type="dxa"/>
            <w:gridSpan w:val="3"/>
            <w:tcBorders>
              <w:top w:val="single" w:sz="8" w:space="0" w:color="auto"/>
              <w:left w:val="nil"/>
              <w:bottom w:val="single" w:sz="8" w:space="0" w:color="auto"/>
              <w:right w:val="single" w:sz="8" w:space="0" w:color="000000"/>
            </w:tcBorders>
            <w:vAlign w:val="center"/>
            <w:hideMark/>
          </w:tcPr>
          <w:p w14:paraId="31202CDA" w14:textId="77777777" w:rsidR="00C03883" w:rsidRPr="00A33AE8" w:rsidRDefault="00C03883" w:rsidP="00884F3B">
            <w:pPr>
              <w:pStyle w:val="ListParagraph"/>
              <w:numPr>
                <w:ilvl w:val="0"/>
                <w:numId w:val="9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3A65695C" w14:textId="77777777" w:rsidR="00C03883" w:rsidRPr="00A33AE8" w:rsidRDefault="00C03883" w:rsidP="00884F3B">
            <w:pPr>
              <w:pStyle w:val="ListParagraph"/>
              <w:numPr>
                <w:ilvl w:val="0"/>
                <w:numId w:val="9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5F87B0CF" w14:textId="77777777" w:rsidR="00C03883" w:rsidRPr="00A33AE8" w:rsidRDefault="00C03883" w:rsidP="00884F3B">
            <w:pPr>
              <w:pStyle w:val="ListParagraph"/>
              <w:numPr>
                <w:ilvl w:val="0"/>
                <w:numId w:val="9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Chamber of Commerce and Industry of Serbia</w:t>
            </w:r>
          </w:p>
        </w:tc>
      </w:tr>
      <w:tr w:rsidR="00C03883" w:rsidRPr="00A33AE8" w14:paraId="16FA6FFB" w14:textId="77777777" w:rsidTr="006769DA">
        <w:trPr>
          <w:gridAfter w:val="1"/>
          <w:wAfter w:w="1212" w:type="dxa"/>
          <w:trHeight w:val="315"/>
        </w:trPr>
        <w:tc>
          <w:tcPr>
            <w:tcW w:w="3338" w:type="dxa"/>
            <w:tcBorders>
              <w:top w:val="nil"/>
              <w:left w:val="single" w:sz="8" w:space="0" w:color="auto"/>
              <w:bottom w:val="single" w:sz="8" w:space="0" w:color="auto"/>
              <w:right w:val="nil"/>
            </w:tcBorders>
            <w:shd w:val="clear" w:color="auto" w:fill="244062"/>
            <w:vAlign w:val="center"/>
            <w:hideMark/>
          </w:tcPr>
          <w:p w14:paraId="7B2FC8B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50" w:type="dxa"/>
            <w:gridSpan w:val="3"/>
            <w:tcBorders>
              <w:top w:val="single" w:sz="8" w:space="0" w:color="auto"/>
              <w:left w:val="nil"/>
              <w:bottom w:val="single" w:sz="8" w:space="0" w:color="auto"/>
              <w:right w:val="single" w:sz="8" w:space="0" w:color="000000"/>
            </w:tcBorders>
            <w:vAlign w:val="center"/>
            <w:hideMark/>
          </w:tcPr>
          <w:p w14:paraId="73336D71"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1EC89511" w14:textId="77777777" w:rsidTr="006769DA">
        <w:trPr>
          <w:gridAfter w:val="1"/>
          <w:wAfter w:w="1212" w:type="dxa"/>
          <w:trHeight w:val="315"/>
        </w:trPr>
        <w:tc>
          <w:tcPr>
            <w:tcW w:w="3338" w:type="dxa"/>
            <w:tcBorders>
              <w:top w:val="nil"/>
              <w:left w:val="single" w:sz="8" w:space="0" w:color="auto"/>
              <w:bottom w:val="single" w:sz="8" w:space="0" w:color="auto"/>
              <w:right w:val="nil"/>
            </w:tcBorders>
            <w:shd w:val="clear" w:color="auto" w:fill="244062"/>
            <w:vAlign w:val="center"/>
            <w:hideMark/>
          </w:tcPr>
          <w:p w14:paraId="20A6A14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50" w:type="dxa"/>
            <w:gridSpan w:val="3"/>
            <w:tcBorders>
              <w:top w:val="single" w:sz="8" w:space="0" w:color="auto"/>
              <w:left w:val="nil"/>
              <w:bottom w:val="single" w:sz="8" w:space="0" w:color="auto"/>
              <w:right w:val="single" w:sz="8" w:space="0" w:color="000000"/>
            </w:tcBorders>
            <w:vAlign w:val="center"/>
            <w:hideMark/>
          </w:tcPr>
          <w:p w14:paraId="33856035"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The increase of annual revenue achieved through: the licensing of patents, technology transfer, agreements on the use or development of technology, advisory services, etc.</w:t>
            </w:r>
          </w:p>
        </w:tc>
      </w:tr>
      <w:tr w:rsidR="00213B57" w:rsidRPr="00A33AE8" w14:paraId="10E73775" w14:textId="77777777" w:rsidTr="006769DA">
        <w:trPr>
          <w:gridAfter w:val="1"/>
          <w:wAfter w:w="1212" w:type="dxa"/>
          <w:trHeight w:val="479"/>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100B6F6A"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50" w:type="dxa"/>
            <w:gridSpan w:val="3"/>
            <w:tcBorders>
              <w:top w:val="single" w:sz="8" w:space="0" w:color="auto"/>
              <w:left w:val="nil"/>
              <w:bottom w:val="single" w:sz="8" w:space="0" w:color="auto"/>
              <w:right w:val="single" w:sz="8" w:space="0" w:color="000000"/>
            </w:tcBorders>
            <w:vAlign w:val="center"/>
          </w:tcPr>
          <w:p w14:paraId="21BDFEDD"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6212902D" w14:textId="77777777" w:rsidTr="006769DA">
        <w:trPr>
          <w:gridAfter w:val="1"/>
          <w:wAfter w:w="1212" w:type="dxa"/>
          <w:trHeight w:val="450"/>
        </w:trPr>
        <w:tc>
          <w:tcPr>
            <w:tcW w:w="3338" w:type="dxa"/>
            <w:vMerge w:val="restart"/>
            <w:tcBorders>
              <w:top w:val="nil"/>
              <w:left w:val="single" w:sz="8" w:space="0" w:color="auto"/>
              <w:bottom w:val="single" w:sz="8" w:space="0" w:color="000000"/>
              <w:right w:val="single" w:sz="8" w:space="0" w:color="auto"/>
            </w:tcBorders>
            <w:shd w:val="clear" w:color="auto" w:fill="244062"/>
            <w:vAlign w:val="center"/>
            <w:hideMark/>
          </w:tcPr>
          <w:p w14:paraId="11474EC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50" w:type="dxa"/>
            <w:gridSpan w:val="3"/>
            <w:vMerge w:val="restart"/>
            <w:tcBorders>
              <w:top w:val="single" w:sz="8" w:space="0" w:color="auto"/>
              <w:left w:val="single" w:sz="8" w:space="0" w:color="auto"/>
              <w:bottom w:val="single" w:sz="8" w:space="0" w:color="000000"/>
              <w:right w:val="single" w:sz="8" w:space="0" w:color="000000"/>
            </w:tcBorders>
            <w:vAlign w:val="center"/>
          </w:tcPr>
          <w:p w14:paraId="77A723BA"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tc>
      </w:tr>
      <w:tr w:rsidR="00C03883" w:rsidRPr="00A33AE8" w14:paraId="33F317D2"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D32070E"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tcPr>
          <w:p w14:paraId="034595D5" w14:textId="77777777" w:rsidR="00C03883" w:rsidRPr="00A33AE8" w:rsidRDefault="00C03883" w:rsidP="00884F3B">
            <w:pPr>
              <w:pStyle w:val="ListParagraph"/>
              <w:numPr>
                <w:ilvl w:val="0"/>
                <w:numId w:val="97"/>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F91B5AB" w14:textId="77777777" w:rsidR="00C03883" w:rsidRPr="00A33AE8" w:rsidRDefault="00C03883" w:rsidP="006769DA"/>
        </w:tc>
      </w:tr>
      <w:tr w:rsidR="00C03883" w:rsidRPr="00A33AE8" w14:paraId="203A09E0" w14:textId="77777777" w:rsidTr="00037A9E">
        <w:trPr>
          <w:trHeight w:val="60"/>
        </w:trPr>
        <w:tc>
          <w:tcPr>
            <w:tcW w:w="0" w:type="auto"/>
            <w:vMerge/>
            <w:tcBorders>
              <w:top w:val="nil"/>
              <w:left w:val="single" w:sz="8" w:space="0" w:color="auto"/>
              <w:bottom w:val="single" w:sz="8" w:space="0" w:color="000000"/>
              <w:right w:val="single" w:sz="8" w:space="0" w:color="auto"/>
            </w:tcBorders>
            <w:vAlign w:val="center"/>
            <w:hideMark/>
          </w:tcPr>
          <w:p w14:paraId="0FE5B4B3"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50" w:type="dxa"/>
            <w:gridSpan w:val="3"/>
            <w:vMerge/>
            <w:tcBorders>
              <w:top w:val="single" w:sz="8" w:space="0" w:color="auto"/>
              <w:left w:val="single" w:sz="8" w:space="0" w:color="auto"/>
              <w:bottom w:val="single" w:sz="8" w:space="0" w:color="000000"/>
              <w:right w:val="single" w:sz="8" w:space="0" w:color="000000"/>
            </w:tcBorders>
            <w:vAlign w:val="center"/>
          </w:tcPr>
          <w:p w14:paraId="7A51EF98" w14:textId="77777777" w:rsidR="00C03883" w:rsidRPr="00A33AE8" w:rsidRDefault="00C03883" w:rsidP="00884F3B">
            <w:pPr>
              <w:pStyle w:val="ListParagraph"/>
              <w:numPr>
                <w:ilvl w:val="0"/>
                <w:numId w:val="97"/>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4619FBE" w14:textId="77777777" w:rsidR="00C03883" w:rsidRPr="00A33AE8" w:rsidRDefault="00C03883" w:rsidP="006769DA">
            <w:pPr>
              <w:spacing w:after="0" w:line="256" w:lineRule="auto"/>
              <w:rPr>
                <w:sz w:val="20"/>
                <w:szCs w:val="20"/>
                <w:lang w:eastAsia="en-GB"/>
              </w:rPr>
            </w:pPr>
          </w:p>
        </w:tc>
      </w:tr>
      <w:tr w:rsidR="00C03883" w:rsidRPr="00A33AE8" w14:paraId="0C2857F5" w14:textId="77777777" w:rsidTr="006769DA">
        <w:trPr>
          <w:trHeight w:val="371"/>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6D99A5A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50" w:type="dxa"/>
            <w:gridSpan w:val="3"/>
            <w:tcBorders>
              <w:top w:val="single" w:sz="8" w:space="0" w:color="auto"/>
              <w:left w:val="nil"/>
              <w:bottom w:val="single" w:sz="8" w:space="0" w:color="auto"/>
              <w:right w:val="single" w:sz="8" w:space="0" w:color="000000"/>
            </w:tcBorders>
            <w:vAlign w:val="center"/>
          </w:tcPr>
          <w:p w14:paraId="3A74B1E3"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29D9308D"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2030B6AC" w14:textId="77777777" w:rsidTr="006769DA">
        <w:trPr>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02C3177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50" w:type="dxa"/>
            <w:gridSpan w:val="3"/>
            <w:tcBorders>
              <w:top w:val="single" w:sz="8" w:space="0" w:color="auto"/>
              <w:left w:val="nil"/>
              <w:bottom w:val="single" w:sz="8" w:space="0" w:color="auto"/>
              <w:right w:val="single" w:sz="8" w:space="0" w:color="000000"/>
            </w:tcBorders>
            <w:vAlign w:val="center"/>
          </w:tcPr>
          <w:p w14:paraId="1167F252" w14:textId="77777777" w:rsidR="00C03883" w:rsidRPr="00A33AE8" w:rsidRDefault="00C03883" w:rsidP="006769DA">
            <w:pPr>
              <w:spacing w:after="0" w:line="240" w:lineRule="auto"/>
              <w:rPr>
                <w:rFonts w:asciiTheme="majorHAnsi" w:eastAsia="Times New Roman" w:hAnsiTheme="majorHAnsi" w:cstheme="majorHAnsi"/>
                <w:color w:val="000000"/>
                <w:lang w:eastAsia="en-GB"/>
              </w:rPr>
            </w:pPr>
            <w:r w:rsidRPr="00A33AE8">
              <w:rPr>
                <w:rFonts w:asciiTheme="majorHAnsi" w:eastAsia="Times New Roman" w:hAnsiTheme="majorHAnsi" w:cstheme="majorHAnsi"/>
                <w:color w:val="000000"/>
                <w:sz w:val="20"/>
                <w:szCs w:val="20"/>
                <w:lang w:eastAsia="en-GB"/>
              </w:rPr>
              <w:t>3.2 M€</w:t>
            </w:r>
          </w:p>
        </w:tc>
        <w:tc>
          <w:tcPr>
            <w:tcW w:w="1212" w:type="dxa"/>
            <w:vAlign w:val="center"/>
            <w:hideMark/>
          </w:tcPr>
          <w:p w14:paraId="5BC7EF35" w14:textId="77777777" w:rsidR="00C03883" w:rsidRPr="00A33AE8" w:rsidRDefault="00C03883" w:rsidP="006769DA">
            <w:pPr>
              <w:rPr>
                <w:rFonts w:ascii="Calibri" w:eastAsia="Times New Roman" w:hAnsi="Calibri" w:cs="Calibri"/>
                <w:color w:val="000000"/>
                <w:lang w:eastAsia="en-GB"/>
              </w:rPr>
            </w:pPr>
          </w:p>
        </w:tc>
      </w:tr>
      <w:tr w:rsidR="00C03883" w:rsidRPr="00A33AE8" w14:paraId="46142B40" w14:textId="77777777" w:rsidTr="006769DA">
        <w:trPr>
          <w:trHeight w:val="315"/>
        </w:trPr>
        <w:tc>
          <w:tcPr>
            <w:tcW w:w="3338" w:type="dxa"/>
            <w:tcBorders>
              <w:top w:val="nil"/>
              <w:left w:val="single" w:sz="8" w:space="0" w:color="auto"/>
              <w:bottom w:val="single" w:sz="8" w:space="0" w:color="auto"/>
              <w:right w:val="single" w:sz="8" w:space="0" w:color="auto"/>
            </w:tcBorders>
            <w:shd w:val="clear" w:color="auto" w:fill="244062"/>
            <w:vAlign w:val="center"/>
            <w:hideMark/>
          </w:tcPr>
          <w:p w14:paraId="07DCA5F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50" w:type="dxa"/>
            <w:gridSpan w:val="3"/>
            <w:tcBorders>
              <w:top w:val="single" w:sz="8" w:space="0" w:color="auto"/>
              <w:left w:val="nil"/>
              <w:bottom w:val="single" w:sz="8" w:space="0" w:color="auto"/>
              <w:right w:val="single" w:sz="8" w:space="0" w:color="000000"/>
            </w:tcBorders>
            <w:shd w:val="clear" w:color="auto" w:fill="auto"/>
            <w:vAlign w:val="center"/>
            <w:hideMark/>
          </w:tcPr>
          <w:p w14:paraId="36D811DB" w14:textId="77777777" w:rsidR="009D7D80" w:rsidRP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1A31D494" w14:textId="71A0D9EE" w:rsidR="009D7D80"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04B4F953" w14:textId="77777777" w:rsidR="00C03883" w:rsidRPr="005B2C66" w:rsidRDefault="009D7D80"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2DCDAA8A" w14:textId="77777777" w:rsidR="00C03883" w:rsidRPr="00A33AE8" w:rsidRDefault="00C03883" w:rsidP="006769DA">
            <w:pPr>
              <w:rPr>
                <w:rFonts w:ascii="Calibri" w:eastAsia="Times New Roman" w:hAnsi="Calibri" w:cs="Calibri"/>
                <w:color w:val="000000"/>
                <w:lang w:eastAsia="en-GB"/>
              </w:rPr>
            </w:pPr>
          </w:p>
        </w:tc>
      </w:tr>
    </w:tbl>
    <w:p w14:paraId="0ECC1C28"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09"/>
        <w:gridCol w:w="1052"/>
        <w:gridCol w:w="938"/>
        <w:gridCol w:w="4189"/>
        <w:gridCol w:w="1212"/>
      </w:tblGrid>
      <w:tr w:rsidR="00C03883" w:rsidRPr="00A33AE8" w14:paraId="3B09D23C" w14:textId="77777777" w:rsidTr="006769DA">
        <w:trPr>
          <w:gridAfter w:val="1"/>
          <w:wAfter w:w="1212" w:type="dxa"/>
          <w:trHeight w:val="780"/>
        </w:trPr>
        <w:tc>
          <w:tcPr>
            <w:tcW w:w="3309"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4760DF35"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6A5FC254"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PM_RIC10</w:t>
            </w:r>
          </w:p>
        </w:tc>
        <w:tc>
          <w:tcPr>
            <w:tcW w:w="938" w:type="dxa"/>
            <w:tcBorders>
              <w:top w:val="single" w:sz="8" w:space="0" w:color="auto"/>
              <w:left w:val="nil"/>
              <w:bottom w:val="single" w:sz="8" w:space="0" w:color="auto"/>
              <w:right w:val="single" w:sz="8" w:space="0" w:color="auto"/>
            </w:tcBorders>
            <w:shd w:val="clear" w:color="auto" w:fill="244062"/>
            <w:vAlign w:val="center"/>
            <w:hideMark/>
          </w:tcPr>
          <w:p w14:paraId="76AEF4B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89" w:type="dxa"/>
            <w:tcBorders>
              <w:top w:val="single" w:sz="8" w:space="0" w:color="auto"/>
              <w:left w:val="nil"/>
              <w:bottom w:val="single" w:sz="8" w:space="0" w:color="auto"/>
              <w:right w:val="single" w:sz="8" w:space="0" w:color="auto"/>
            </w:tcBorders>
            <w:shd w:val="clear" w:color="auto" w:fill="E7E6E6" w:themeFill="background2"/>
            <w:vAlign w:val="center"/>
            <w:hideMark/>
          </w:tcPr>
          <w:p w14:paraId="30EE24E2"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innovative energy-saving technologies</w:t>
            </w:r>
          </w:p>
        </w:tc>
      </w:tr>
      <w:tr w:rsidR="00C03883" w:rsidRPr="00A33AE8" w14:paraId="1D5FD058" w14:textId="77777777" w:rsidTr="006769DA">
        <w:trPr>
          <w:gridAfter w:val="1"/>
          <w:wAfter w:w="1212" w:type="dxa"/>
          <w:trHeight w:val="325"/>
        </w:trPr>
        <w:tc>
          <w:tcPr>
            <w:tcW w:w="3309" w:type="dxa"/>
            <w:tcBorders>
              <w:top w:val="nil"/>
              <w:left w:val="single" w:sz="8" w:space="0" w:color="auto"/>
              <w:bottom w:val="single" w:sz="8" w:space="0" w:color="auto"/>
              <w:right w:val="nil"/>
            </w:tcBorders>
            <w:shd w:val="clear" w:color="auto" w:fill="244062"/>
            <w:vAlign w:val="center"/>
            <w:hideMark/>
          </w:tcPr>
          <w:p w14:paraId="02D3235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9" w:type="dxa"/>
            <w:gridSpan w:val="3"/>
            <w:tcBorders>
              <w:top w:val="single" w:sz="8" w:space="0" w:color="auto"/>
              <w:left w:val="nil"/>
              <w:bottom w:val="single" w:sz="8" w:space="0" w:color="auto"/>
              <w:right w:val="single" w:sz="8" w:space="0" w:color="000000"/>
            </w:tcBorders>
            <w:vAlign w:val="center"/>
            <w:hideMark/>
          </w:tcPr>
          <w:p w14:paraId="790058E9"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7537363A"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7FC8878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9" w:type="dxa"/>
            <w:gridSpan w:val="3"/>
            <w:tcBorders>
              <w:top w:val="single" w:sz="8" w:space="0" w:color="auto"/>
              <w:left w:val="nil"/>
              <w:bottom w:val="single" w:sz="8" w:space="0" w:color="auto"/>
              <w:right w:val="single" w:sz="8" w:space="0" w:color="000000"/>
            </w:tcBorders>
            <w:vAlign w:val="center"/>
          </w:tcPr>
          <w:p w14:paraId="4B040B6D" w14:textId="77777777" w:rsidR="00C03883" w:rsidRPr="00A33AE8" w:rsidRDefault="00C03883" w:rsidP="008316EE">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per technology (Qualitative objective)</w:t>
            </w:r>
          </w:p>
        </w:tc>
      </w:tr>
      <w:tr w:rsidR="00C03883" w:rsidRPr="00A33AE8" w14:paraId="19DEF89F" w14:textId="77777777" w:rsidTr="006769DA">
        <w:trPr>
          <w:gridAfter w:val="1"/>
          <w:wAfter w:w="1212" w:type="dxa"/>
          <w:trHeight w:val="118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622842E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79" w:type="dxa"/>
            <w:gridSpan w:val="3"/>
            <w:tcBorders>
              <w:top w:val="single" w:sz="8" w:space="0" w:color="auto"/>
              <w:left w:val="nil"/>
              <w:bottom w:val="single" w:sz="8" w:space="0" w:color="auto"/>
              <w:right w:val="single" w:sz="8" w:space="0" w:color="000000"/>
            </w:tcBorders>
            <w:vAlign w:val="center"/>
            <w:hideMark/>
          </w:tcPr>
          <w:p w14:paraId="3D9BB797"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PM_RIC10 will strengthen R&amp;D activities in the field of buildings related to new materials, prefabricated active elements for facades &amp; roofs, cost-effective, intelligent, flexible heat pumps and heat pumps for high temperatures and digital programming and optimization of buildings. In the industrial sector, energy efficient heating and cooling technologies, heating and cooling recovery and systems integration will be supported.</w:t>
            </w:r>
          </w:p>
        </w:tc>
      </w:tr>
      <w:tr w:rsidR="00C03883" w:rsidRPr="00A33AE8" w14:paraId="61D14FFC"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19F49A4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79" w:type="dxa"/>
            <w:gridSpan w:val="3"/>
            <w:tcBorders>
              <w:top w:val="single" w:sz="8" w:space="0" w:color="auto"/>
              <w:left w:val="nil"/>
              <w:bottom w:val="single" w:sz="8" w:space="0" w:color="auto"/>
              <w:right w:val="single" w:sz="8" w:space="0" w:color="000000"/>
            </w:tcBorders>
            <w:vAlign w:val="center"/>
            <w:hideMark/>
          </w:tcPr>
          <w:p w14:paraId="57D0015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17DCECA8"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35F6526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9" w:type="dxa"/>
            <w:gridSpan w:val="3"/>
            <w:tcBorders>
              <w:top w:val="single" w:sz="8" w:space="0" w:color="auto"/>
              <w:left w:val="nil"/>
              <w:bottom w:val="single" w:sz="8" w:space="0" w:color="auto"/>
              <w:right w:val="single" w:sz="8" w:space="0" w:color="000000"/>
            </w:tcBorders>
            <w:vAlign w:val="center"/>
            <w:hideMark/>
          </w:tcPr>
          <w:p w14:paraId="45C45425"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1E802322"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116F9B0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9" w:type="dxa"/>
            <w:gridSpan w:val="3"/>
            <w:tcBorders>
              <w:top w:val="single" w:sz="8" w:space="0" w:color="auto"/>
              <w:left w:val="nil"/>
              <w:bottom w:val="single" w:sz="8" w:space="0" w:color="auto"/>
              <w:right w:val="single" w:sz="8" w:space="0" w:color="000000"/>
            </w:tcBorders>
            <w:vAlign w:val="center"/>
            <w:hideMark/>
          </w:tcPr>
          <w:p w14:paraId="019A7B7D"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efficiency, buildings, industry</w:t>
            </w:r>
          </w:p>
        </w:tc>
      </w:tr>
      <w:tr w:rsidR="00C03883" w:rsidRPr="00A33AE8" w14:paraId="296B46CD"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34D0961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9" w:type="dxa"/>
            <w:gridSpan w:val="3"/>
            <w:tcBorders>
              <w:top w:val="single" w:sz="8" w:space="0" w:color="auto"/>
              <w:left w:val="nil"/>
              <w:bottom w:val="single" w:sz="8" w:space="0" w:color="auto"/>
              <w:right w:val="single" w:sz="8" w:space="0" w:color="000000"/>
            </w:tcBorders>
            <w:vAlign w:val="center"/>
            <w:hideMark/>
          </w:tcPr>
          <w:p w14:paraId="411A9AF4" w14:textId="77777777" w:rsidR="00C03883" w:rsidRPr="00A33AE8" w:rsidRDefault="00C03883" w:rsidP="00884F3B">
            <w:pPr>
              <w:pStyle w:val="ListParagraph"/>
              <w:numPr>
                <w:ilvl w:val="0"/>
                <w:numId w:val="9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34B75360"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8066C07"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C03883" w:rsidRPr="00A33AE8" w14:paraId="5185FC3D" w14:textId="77777777" w:rsidTr="006769DA">
        <w:trPr>
          <w:gridAfter w:val="1"/>
          <w:wAfter w:w="1212" w:type="dxa"/>
          <w:trHeight w:val="315"/>
        </w:trPr>
        <w:tc>
          <w:tcPr>
            <w:tcW w:w="3309" w:type="dxa"/>
            <w:tcBorders>
              <w:top w:val="nil"/>
              <w:left w:val="single" w:sz="8" w:space="0" w:color="auto"/>
              <w:bottom w:val="single" w:sz="8" w:space="0" w:color="auto"/>
              <w:right w:val="nil"/>
            </w:tcBorders>
            <w:shd w:val="clear" w:color="auto" w:fill="244062"/>
            <w:vAlign w:val="center"/>
            <w:hideMark/>
          </w:tcPr>
          <w:p w14:paraId="1387DC8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9" w:type="dxa"/>
            <w:gridSpan w:val="3"/>
            <w:tcBorders>
              <w:top w:val="single" w:sz="8" w:space="0" w:color="auto"/>
              <w:left w:val="nil"/>
              <w:bottom w:val="single" w:sz="8" w:space="0" w:color="auto"/>
              <w:right w:val="single" w:sz="8" w:space="0" w:color="000000"/>
            </w:tcBorders>
            <w:vAlign w:val="center"/>
            <w:hideMark/>
          </w:tcPr>
          <w:p w14:paraId="5E22CC8D"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80E23F2"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09BA1A03" w14:textId="77777777" w:rsidTr="006769DA">
        <w:trPr>
          <w:gridAfter w:val="1"/>
          <w:wAfter w:w="1212" w:type="dxa"/>
          <w:trHeight w:val="315"/>
        </w:trPr>
        <w:tc>
          <w:tcPr>
            <w:tcW w:w="3309" w:type="dxa"/>
            <w:tcBorders>
              <w:top w:val="nil"/>
              <w:left w:val="single" w:sz="8" w:space="0" w:color="auto"/>
              <w:bottom w:val="single" w:sz="8" w:space="0" w:color="auto"/>
              <w:right w:val="nil"/>
            </w:tcBorders>
            <w:shd w:val="clear" w:color="auto" w:fill="244062"/>
            <w:vAlign w:val="center"/>
            <w:hideMark/>
          </w:tcPr>
          <w:p w14:paraId="1C2A9DC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9" w:type="dxa"/>
            <w:gridSpan w:val="3"/>
            <w:tcBorders>
              <w:top w:val="single" w:sz="8" w:space="0" w:color="auto"/>
              <w:left w:val="nil"/>
              <w:bottom w:val="single" w:sz="8" w:space="0" w:color="auto"/>
              <w:right w:val="single" w:sz="8" w:space="0" w:color="000000"/>
            </w:tcBorders>
            <w:vAlign w:val="center"/>
            <w:hideMark/>
          </w:tcPr>
          <w:p w14:paraId="29F3D188"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research projects development on innovative energy-saving technologies on an annual basis</w:t>
            </w:r>
          </w:p>
        </w:tc>
      </w:tr>
      <w:tr w:rsidR="00213B57" w:rsidRPr="00A33AE8" w14:paraId="1B80AB06" w14:textId="77777777" w:rsidTr="006769DA">
        <w:trPr>
          <w:gridAfter w:val="1"/>
          <w:wAfter w:w="1212" w:type="dxa"/>
          <w:trHeight w:val="609"/>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4384A321"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9" w:type="dxa"/>
            <w:gridSpan w:val="3"/>
            <w:tcBorders>
              <w:top w:val="single" w:sz="8" w:space="0" w:color="auto"/>
              <w:left w:val="nil"/>
              <w:bottom w:val="single" w:sz="8" w:space="0" w:color="auto"/>
              <w:right w:val="single" w:sz="8" w:space="0" w:color="000000"/>
            </w:tcBorders>
            <w:vAlign w:val="center"/>
          </w:tcPr>
          <w:p w14:paraId="5273121D"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238AB64F"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tc>
      </w:tr>
      <w:tr w:rsidR="00C03883" w:rsidRPr="00A33AE8" w14:paraId="2807AE76" w14:textId="77777777" w:rsidTr="006769DA">
        <w:trPr>
          <w:gridAfter w:val="1"/>
          <w:wAfter w:w="1212" w:type="dxa"/>
          <w:trHeight w:val="450"/>
        </w:trPr>
        <w:tc>
          <w:tcPr>
            <w:tcW w:w="3309" w:type="dxa"/>
            <w:vMerge w:val="restart"/>
            <w:tcBorders>
              <w:top w:val="nil"/>
              <w:left w:val="single" w:sz="8" w:space="0" w:color="auto"/>
              <w:bottom w:val="single" w:sz="8" w:space="0" w:color="000000"/>
              <w:right w:val="single" w:sz="8" w:space="0" w:color="auto"/>
            </w:tcBorders>
            <w:shd w:val="clear" w:color="auto" w:fill="244062"/>
            <w:vAlign w:val="center"/>
            <w:hideMark/>
          </w:tcPr>
          <w:p w14:paraId="322DD31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Union policy which resulted in the implementation of the PaM</w:t>
            </w:r>
          </w:p>
        </w:tc>
        <w:tc>
          <w:tcPr>
            <w:tcW w:w="6179" w:type="dxa"/>
            <w:gridSpan w:val="3"/>
            <w:vMerge w:val="restart"/>
            <w:tcBorders>
              <w:top w:val="single" w:sz="8" w:space="0" w:color="auto"/>
              <w:left w:val="single" w:sz="8" w:space="0" w:color="auto"/>
              <w:bottom w:val="single" w:sz="8" w:space="0" w:color="000000"/>
              <w:right w:val="single" w:sz="8" w:space="0" w:color="000000"/>
            </w:tcBorders>
            <w:vAlign w:val="center"/>
          </w:tcPr>
          <w:p w14:paraId="2308890E"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p w14:paraId="197E9430" w14:textId="77777777" w:rsidR="00C03883" w:rsidRPr="00A33AE8" w:rsidRDefault="00C03883" w:rsidP="00884F3B">
            <w:pPr>
              <w:pStyle w:val="ListParagraph"/>
              <w:numPr>
                <w:ilvl w:val="0"/>
                <w:numId w:val="9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and Innovation Strategies for Smart Specialisation (RIS 3)</w:t>
            </w:r>
          </w:p>
        </w:tc>
      </w:tr>
      <w:tr w:rsidR="00C03883" w:rsidRPr="00A33AE8" w14:paraId="50499D0B"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49BCA11C"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tcPr>
          <w:p w14:paraId="647D8A82" w14:textId="77777777" w:rsidR="00C03883" w:rsidRPr="00A33AE8" w:rsidRDefault="00C03883" w:rsidP="00884F3B">
            <w:pPr>
              <w:pStyle w:val="ListParagraph"/>
              <w:numPr>
                <w:ilvl w:val="0"/>
                <w:numId w:val="97"/>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F37872D" w14:textId="77777777" w:rsidR="00C03883" w:rsidRPr="00A33AE8" w:rsidRDefault="00C03883" w:rsidP="006769DA"/>
        </w:tc>
      </w:tr>
      <w:tr w:rsidR="00C03883" w:rsidRPr="00A33AE8" w14:paraId="2B95DCA1"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331A84B7"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tcPr>
          <w:p w14:paraId="1B623288" w14:textId="77777777" w:rsidR="00C03883" w:rsidRPr="00A33AE8" w:rsidRDefault="00C03883" w:rsidP="00884F3B">
            <w:pPr>
              <w:pStyle w:val="ListParagraph"/>
              <w:numPr>
                <w:ilvl w:val="0"/>
                <w:numId w:val="97"/>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1393AEA" w14:textId="77777777" w:rsidR="00C03883" w:rsidRPr="00A33AE8" w:rsidRDefault="00C03883" w:rsidP="006769DA">
            <w:pPr>
              <w:spacing w:after="0" w:line="256" w:lineRule="auto"/>
              <w:rPr>
                <w:sz w:val="20"/>
                <w:szCs w:val="20"/>
                <w:lang w:eastAsia="en-GB"/>
              </w:rPr>
            </w:pPr>
          </w:p>
        </w:tc>
      </w:tr>
      <w:tr w:rsidR="00C03883" w:rsidRPr="00A33AE8" w14:paraId="35A5C3DF" w14:textId="77777777" w:rsidTr="006769DA">
        <w:trPr>
          <w:trHeight w:val="517"/>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2F3DDA1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9" w:type="dxa"/>
            <w:gridSpan w:val="3"/>
            <w:tcBorders>
              <w:top w:val="single" w:sz="8" w:space="0" w:color="auto"/>
              <w:left w:val="nil"/>
              <w:bottom w:val="single" w:sz="8" w:space="0" w:color="auto"/>
              <w:right w:val="single" w:sz="8" w:space="0" w:color="000000"/>
            </w:tcBorders>
            <w:vAlign w:val="center"/>
          </w:tcPr>
          <w:p w14:paraId="72E56B44"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6650FCA6" w14:textId="77777777" w:rsidR="00C03883" w:rsidRPr="00A33AE8" w:rsidRDefault="00C03883"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4BF94A57"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2B29B405" w14:textId="77777777" w:rsidTr="006769DA">
        <w:trPr>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33581AC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9" w:type="dxa"/>
            <w:gridSpan w:val="3"/>
            <w:tcBorders>
              <w:top w:val="single" w:sz="8" w:space="0" w:color="auto"/>
              <w:left w:val="nil"/>
              <w:bottom w:val="single" w:sz="8" w:space="0" w:color="auto"/>
              <w:right w:val="single" w:sz="8" w:space="0" w:color="000000"/>
            </w:tcBorders>
            <w:vAlign w:val="center"/>
          </w:tcPr>
          <w:p w14:paraId="56090DAD"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7.2 M€</w:t>
            </w:r>
          </w:p>
        </w:tc>
        <w:tc>
          <w:tcPr>
            <w:tcW w:w="1212" w:type="dxa"/>
            <w:vAlign w:val="center"/>
            <w:hideMark/>
          </w:tcPr>
          <w:p w14:paraId="345E9292" w14:textId="77777777" w:rsidR="00C03883" w:rsidRPr="00A33AE8" w:rsidRDefault="00C03883" w:rsidP="006769DA">
            <w:pPr>
              <w:rPr>
                <w:rFonts w:ascii="Calibri" w:eastAsia="Times New Roman" w:hAnsi="Calibri" w:cs="Calibri"/>
                <w:color w:val="000000"/>
                <w:lang w:eastAsia="en-GB"/>
              </w:rPr>
            </w:pPr>
          </w:p>
        </w:tc>
      </w:tr>
      <w:tr w:rsidR="00661664" w:rsidRPr="00A33AE8" w14:paraId="28CC9982" w14:textId="77777777" w:rsidTr="006769DA">
        <w:trPr>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79EBFA81"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6CF62D22" w14:textId="42D5752C" w:rsidR="009D7D80"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3B2E5E5F" w14:textId="77777777" w:rsid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7CE74770" w14:textId="77777777" w:rsidR="00661664" w:rsidRPr="005B2C66"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4FAC873A" w14:textId="77777777" w:rsidR="00661664" w:rsidRPr="00A33AE8" w:rsidRDefault="00661664" w:rsidP="00661664">
            <w:pPr>
              <w:rPr>
                <w:rFonts w:ascii="Calibri" w:eastAsia="Times New Roman" w:hAnsi="Calibri" w:cs="Calibri"/>
                <w:color w:val="000000"/>
                <w:lang w:eastAsia="en-GB"/>
              </w:rPr>
            </w:pPr>
          </w:p>
        </w:tc>
      </w:tr>
    </w:tbl>
    <w:p w14:paraId="4C29D71C"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03"/>
        <w:gridCol w:w="1052"/>
        <w:gridCol w:w="939"/>
        <w:gridCol w:w="4194"/>
        <w:gridCol w:w="1212"/>
      </w:tblGrid>
      <w:tr w:rsidR="00C03883" w:rsidRPr="00A33AE8" w14:paraId="038C036B" w14:textId="77777777" w:rsidTr="006769DA">
        <w:trPr>
          <w:gridAfter w:val="1"/>
          <w:wAfter w:w="1212" w:type="dxa"/>
          <w:trHeight w:val="780"/>
        </w:trPr>
        <w:tc>
          <w:tcPr>
            <w:tcW w:w="330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C2E2090" w14:textId="11FD009D"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Policy measure code:</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0A43AE3"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PM_RIC11</w:t>
            </w:r>
          </w:p>
        </w:tc>
        <w:tc>
          <w:tcPr>
            <w:tcW w:w="939" w:type="dxa"/>
            <w:tcBorders>
              <w:top w:val="single" w:sz="8" w:space="0" w:color="auto"/>
              <w:left w:val="nil"/>
              <w:bottom w:val="single" w:sz="8" w:space="0" w:color="auto"/>
              <w:right w:val="single" w:sz="8" w:space="0" w:color="auto"/>
            </w:tcBorders>
            <w:shd w:val="clear" w:color="auto" w:fill="244062"/>
            <w:vAlign w:val="center"/>
            <w:hideMark/>
          </w:tcPr>
          <w:p w14:paraId="0773D2A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94" w:type="dxa"/>
            <w:tcBorders>
              <w:top w:val="single" w:sz="8" w:space="0" w:color="auto"/>
              <w:left w:val="nil"/>
              <w:bottom w:val="single" w:sz="8" w:space="0" w:color="auto"/>
              <w:right w:val="single" w:sz="8" w:space="0" w:color="auto"/>
            </w:tcBorders>
            <w:shd w:val="clear" w:color="auto" w:fill="E7E6E6" w:themeFill="background2"/>
            <w:vAlign w:val="center"/>
            <w:hideMark/>
          </w:tcPr>
          <w:p w14:paraId="0164653A"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Development of innovative decarbonisation technologies, with emphasis on RES for electricity, heating/cooling production, hydrogen production, </w:t>
            </w:r>
            <w:r w:rsidR="00F27238" w:rsidRPr="00A33AE8">
              <w:rPr>
                <w:rFonts w:ascii="Calibri Light" w:eastAsia="Times New Roman" w:hAnsi="Calibri Light" w:cs="Calibri Light"/>
                <w:b/>
                <w:bCs/>
                <w:color w:val="000000"/>
                <w:sz w:val="20"/>
                <w:szCs w:val="20"/>
                <w:lang w:eastAsia="en-GB"/>
              </w:rPr>
              <w:t xml:space="preserve">detection of emissions, </w:t>
            </w:r>
            <w:r w:rsidRPr="00A33AE8">
              <w:rPr>
                <w:rFonts w:ascii="Calibri Light" w:eastAsia="Times New Roman" w:hAnsi="Calibri Light" w:cs="Calibri Light"/>
                <w:b/>
                <w:bCs/>
                <w:color w:val="000000"/>
                <w:sz w:val="20"/>
                <w:szCs w:val="20"/>
                <w:lang w:eastAsia="en-GB"/>
              </w:rPr>
              <w:t>carbon capture, storage and utilisation (</w:t>
            </w:r>
            <w:r w:rsidR="00922B09" w:rsidRPr="00A33AE8">
              <w:rPr>
                <w:rFonts w:ascii="Calibri Light" w:eastAsia="Times New Roman" w:hAnsi="Calibri Light" w:cs="Calibri Light"/>
                <w:b/>
                <w:bCs/>
                <w:color w:val="000000"/>
                <w:sz w:val="20"/>
                <w:szCs w:val="20"/>
                <w:lang w:eastAsia="en-GB"/>
              </w:rPr>
              <w:t>CCUS</w:t>
            </w:r>
            <w:r w:rsidRPr="00A33AE8">
              <w:rPr>
                <w:rFonts w:ascii="Calibri Light" w:eastAsia="Times New Roman" w:hAnsi="Calibri Light" w:cs="Calibri Light"/>
                <w:b/>
                <w:bCs/>
                <w:color w:val="000000"/>
                <w:sz w:val="20"/>
                <w:szCs w:val="20"/>
                <w:lang w:eastAsia="en-GB"/>
              </w:rPr>
              <w:t>) technologies</w:t>
            </w:r>
          </w:p>
        </w:tc>
      </w:tr>
      <w:tr w:rsidR="00C03883" w:rsidRPr="00A33AE8" w14:paraId="0EB84469" w14:textId="77777777" w:rsidTr="006769DA">
        <w:trPr>
          <w:gridAfter w:val="1"/>
          <w:wAfter w:w="1212" w:type="dxa"/>
          <w:trHeight w:val="401"/>
        </w:trPr>
        <w:tc>
          <w:tcPr>
            <w:tcW w:w="3303" w:type="dxa"/>
            <w:tcBorders>
              <w:top w:val="nil"/>
              <w:left w:val="single" w:sz="8" w:space="0" w:color="auto"/>
              <w:bottom w:val="single" w:sz="8" w:space="0" w:color="auto"/>
              <w:right w:val="nil"/>
            </w:tcBorders>
            <w:shd w:val="clear" w:color="auto" w:fill="244062"/>
            <w:vAlign w:val="center"/>
            <w:hideMark/>
          </w:tcPr>
          <w:p w14:paraId="2D6BCCD5" w14:textId="320D4288"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Main objective:</w:t>
            </w:r>
          </w:p>
        </w:tc>
        <w:tc>
          <w:tcPr>
            <w:tcW w:w="6185" w:type="dxa"/>
            <w:gridSpan w:val="3"/>
            <w:tcBorders>
              <w:top w:val="single" w:sz="8" w:space="0" w:color="auto"/>
              <w:left w:val="nil"/>
              <w:bottom w:val="single" w:sz="8" w:space="0" w:color="auto"/>
              <w:right w:val="single" w:sz="8" w:space="0" w:color="000000"/>
            </w:tcBorders>
            <w:vAlign w:val="center"/>
            <w:hideMark/>
          </w:tcPr>
          <w:p w14:paraId="1B9DC5C1"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 Development of low carbon technologies</w:t>
            </w:r>
          </w:p>
        </w:tc>
      </w:tr>
      <w:tr w:rsidR="00C03883" w:rsidRPr="00A33AE8" w14:paraId="4E8A0425"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4E253052" w14:textId="41BE176D"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Quantified objective:</w:t>
            </w:r>
          </w:p>
        </w:tc>
        <w:tc>
          <w:tcPr>
            <w:tcW w:w="6185" w:type="dxa"/>
            <w:gridSpan w:val="3"/>
            <w:tcBorders>
              <w:top w:val="single" w:sz="8" w:space="0" w:color="auto"/>
              <w:left w:val="nil"/>
              <w:bottom w:val="single" w:sz="8" w:space="0" w:color="auto"/>
              <w:right w:val="single" w:sz="8" w:space="0" w:color="000000"/>
            </w:tcBorders>
            <w:vAlign w:val="center"/>
          </w:tcPr>
          <w:p w14:paraId="03BB9684"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per technology (Qualitative objective)</w:t>
            </w:r>
          </w:p>
        </w:tc>
      </w:tr>
      <w:tr w:rsidR="00C03883" w:rsidRPr="00A33AE8" w14:paraId="3F07D7BF" w14:textId="77777777" w:rsidTr="00037A9E">
        <w:trPr>
          <w:gridAfter w:val="1"/>
          <w:wAfter w:w="1212" w:type="dxa"/>
          <w:trHeight w:val="301"/>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1FCDD02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5" w:type="dxa"/>
            <w:gridSpan w:val="3"/>
            <w:tcBorders>
              <w:top w:val="single" w:sz="8" w:space="0" w:color="auto"/>
              <w:left w:val="nil"/>
              <w:bottom w:val="single" w:sz="8" w:space="0" w:color="auto"/>
              <w:right w:val="single" w:sz="8" w:space="0" w:color="000000"/>
            </w:tcBorders>
            <w:vAlign w:val="center"/>
            <w:hideMark/>
          </w:tcPr>
          <w:p w14:paraId="35B6C09B" w14:textId="65043DDA" w:rsidR="00C03883" w:rsidRPr="00301CD6"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301CD6">
              <w:rPr>
                <w:rFonts w:asciiTheme="majorHAnsi" w:eastAsia="Times New Roman" w:hAnsiTheme="majorHAnsi" w:cstheme="majorHAnsi"/>
                <w:color w:val="000000"/>
                <w:sz w:val="20"/>
                <w:szCs w:val="20"/>
                <w:lang w:eastAsia="en-GB"/>
              </w:rPr>
              <w:t xml:space="preserve">PM_RIC11 will strengthen R&amp;D in solar energy for both centralized solar thermal systems and heating-cooling applications. For wind energy, actions related to the electrical equipment of wind farms, operation and maintenance of wind farms, small wind turbines and other issues, such as methodologies and tools for integrated recording and assessment of the environmental footprint of wind farms, end-of-life management system of wind farms, etc., will be promoted. R&amp;D activities for solar PV concern the integration of PV systems in buildings and other infrastructure, the development of high-efficiency solar cells and systems for monitoring and operation of solar PV installations. R&amp;D actions for bioenergy concern the development of high-efficiency cogeneration of heat and power using biomass, as well as the development, demonstration and scaling up of solid, liquid and gaseous bioenergy/biochemical/chemical conversion from sustainable biomass. Actions related to geothermal heating in urban areas, materials, methods and equipment to improve its operation, improvement of the permeability of conventional geothermal reservoirs, improvement of conversion efficiency and direct use of heat, the development of new techniques for better identification of geothermal potential, the integration of geothermal heat and electricity in the system and the development of a zero-emission geothermal power plant, will be strengthened. R&amp;D actions on low-carbon hydrogen that creates little to no greenhouse gas emissions will also be promoted. Furthermore, targeted R&amp;D actions will be promoted in order to evaluate and implement carbon capture, utilisation and storage (CCUS) </w:t>
            </w:r>
            <w:r w:rsidR="00AA42C3" w:rsidRPr="00301CD6">
              <w:rPr>
                <w:rFonts w:asciiTheme="majorHAnsi" w:eastAsia="Times New Roman" w:hAnsiTheme="majorHAnsi" w:cstheme="majorHAnsi"/>
                <w:color w:val="000000"/>
                <w:sz w:val="20"/>
                <w:szCs w:val="20"/>
                <w:lang w:eastAsia="en-GB"/>
              </w:rPr>
              <w:t xml:space="preserve">and Direct Air Capture (DAC) </w:t>
            </w:r>
            <w:r w:rsidRPr="00301CD6">
              <w:rPr>
                <w:rFonts w:asciiTheme="majorHAnsi" w:eastAsia="Times New Roman" w:hAnsiTheme="majorHAnsi" w:cstheme="majorHAnsi"/>
                <w:color w:val="000000"/>
                <w:sz w:val="20"/>
                <w:szCs w:val="20"/>
                <w:lang w:eastAsia="en-GB"/>
              </w:rPr>
              <w:t xml:space="preserve">technologies, as well as ultra-supercritical technologies in thermal power plants that enhance their </w:t>
            </w:r>
            <w:r w:rsidR="00C96A78" w:rsidRPr="00301CD6">
              <w:rPr>
                <w:rFonts w:asciiTheme="majorHAnsi" w:eastAsia="Times New Roman" w:hAnsiTheme="majorHAnsi" w:cstheme="majorHAnsi"/>
                <w:color w:val="000000"/>
                <w:sz w:val="20"/>
                <w:szCs w:val="20"/>
                <w:lang w:eastAsia="en-GB"/>
              </w:rPr>
              <w:t>efficiency, while</w:t>
            </w:r>
            <w:r w:rsidRPr="00301CD6">
              <w:rPr>
                <w:rFonts w:asciiTheme="majorHAnsi" w:eastAsia="Times New Roman" w:hAnsiTheme="majorHAnsi" w:cstheme="majorHAnsi"/>
                <w:color w:val="000000"/>
                <w:sz w:val="20"/>
                <w:szCs w:val="20"/>
                <w:lang w:eastAsia="en-GB"/>
              </w:rPr>
              <w:t xml:space="preserve"> specific CO</w:t>
            </w:r>
            <w:r w:rsidRPr="00301CD6">
              <w:rPr>
                <w:rFonts w:asciiTheme="majorHAnsi" w:eastAsia="Times New Roman" w:hAnsiTheme="majorHAnsi" w:cstheme="majorHAnsi"/>
                <w:color w:val="000000"/>
                <w:sz w:val="20"/>
                <w:szCs w:val="20"/>
                <w:vertAlign w:val="subscript"/>
                <w:lang w:eastAsia="en-GB"/>
              </w:rPr>
              <w:t>2</w:t>
            </w:r>
            <w:r w:rsidRPr="00301CD6">
              <w:rPr>
                <w:rFonts w:asciiTheme="majorHAnsi" w:eastAsia="Times New Roman" w:hAnsiTheme="majorHAnsi" w:cstheme="majorHAnsi"/>
                <w:color w:val="000000"/>
                <w:sz w:val="20"/>
                <w:szCs w:val="20"/>
                <w:lang w:eastAsia="en-GB"/>
              </w:rPr>
              <w:t xml:space="preserve"> emissions are significantly reduced.</w:t>
            </w:r>
            <w:r w:rsidR="00AA42C3" w:rsidRPr="00301CD6">
              <w:rPr>
                <w:rFonts w:asciiTheme="majorHAnsi" w:eastAsia="Times New Roman" w:hAnsiTheme="majorHAnsi" w:cstheme="majorHAnsi"/>
                <w:color w:val="000000"/>
                <w:sz w:val="20"/>
                <w:szCs w:val="20"/>
                <w:lang w:eastAsia="en-GB"/>
              </w:rPr>
              <w:t xml:space="preserve"> Finally, new specific technologies for emission detection and others focusing on natural gas facilities will also be examined.</w:t>
            </w:r>
            <w:r w:rsidR="00301CD6" w:rsidRPr="001A3889">
              <w:rPr>
                <w:rFonts w:asciiTheme="majorHAnsi" w:eastAsia="Times New Roman" w:hAnsiTheme="majorHAnsi" w:cstheme="majorHAnsi"/>
                <w:color w:val="000000"/>
                <w:sz w:val="20"/>
                <w:szCs w:val="20"/>
                <w:lang w:eastAsia="en-GB"/>
              </w:rPr>
              <w:t xml:space="preserve"> For </w:t>
            </w:r>
            <w:r w:rsidR="00301CD6">
              <w:rPr>
                <w:rFonts w:asciiTheme="majorHAnsi" w:eastAsia="Times New Roman" w:hAnsiTheme="majorHAnsi" w:cstheme="majorHAnsi"/>
                <w:color w:val="000000"/>
                <w:sz w:val="20"/>
                <w:szCs w:val="20"/>
                <w:lang w:eastAsia="en-GB"/>
              </w:rPr>
              <w:t>t</w:t>
            </w:r>
            <w:r w:rsidR="00301CD6" w:rsidRPr="001A3889">
              <w:rPr>
                <w:rFonts w:asciiTheme="majorHAnsi" w:eastAsia="Times New Roman" w:hAnsiTheme="majorHAnsi" w:cstheme="majorHAnsi"/>
                <w:color w:val="000000"/>
                <w:sz w:val="20"/>
                <w:szCs w:val="20"/>
                <w:lang w:eastAsia="en-GB"/>
              </w:rPr>
              <w:t>he specific case of CCUS</w:t>
            </w:r>
            <w:r w:rsidR="00301CD6">
              <w:rPr>
                <w:rFonts w:asciiTheme="majorHAnsi" w:eastAsia="Times New Roman" w:hAnsiTheme="majorHAnsi" w:cstheme="majorHAnsi"/>
                <w:color w:val="000000"/>
                <w:sz w:val="20"/>
                <w:szCs w:val="20"/>
                <w:lang w:eastAsia="en-GB"/>
              </w:rPr>
              <w:t xml:space="preserve">, detailed studies for the storage potential of CO2 in Serbia </w:t>
            </w:r>
            <w:r w:rsidR="0084607C">
              <w:rPr>
                <w:rFonts w:asciiTheme="majorHAnsi" w:eastAsia="Times New Roman" w:hAnsiTheme="majorHAnsi" w:cstheme="majorHAnsi"/>
                <w:color w:val="000000"/>
                <w:sz w:val="20"/>
                <w:szCs w:val="20"/>
                <w:lang w:eastAsia="en-GB"/>
              </w:rPr>
              <w:t>should</w:t>
            </w:r>
            <w:r w:rsidR="00301CD6">
              <w:rPr>
                <w:rFonts w:asciiTheme="majorHAnsi" w:eastAsia="Times New Roman" w:hAnsiTheme="majorHAnsi" w:cstheme="majorHAnsi"/>
                <w:color w:val="000000"/>
                <w:sz w:val="20"/>
                <w:szCs w:val="20"/>
                <w:lang w:eastAsia="en-GB"/>
              </w:rPr>
              <w:t xml:space="preserve"> be developed, </w:t>
            </w:r>
            <w:r w:rsidR="0084607C">
              <w:rPr>
                <w:rFonts w:asciiTheme="majorHAnsi" w:eastAsia="Times New Roman" w:hAnsiTheme="majorHAnsi" w:cstheme="majorHAnsi"/>
                <w:color w:val="000000"/>
                <w:sz w:val="20"/>
                <w:szCs w:val="20"/>
                <w:lang w:eastAsia="en-GB"/>
              </w:rPr>
              <w:t xml:space="preserve">and innovative ways of utilisation of the captured CO2 in industrial and </w:t>
            </w:r>
            <w:r w:rsidR="0084607C">
              <w:rPr>
                <w:rFonts w:asciiTheme="majorHAnsi" w:eastAsia="Times New Roman" w:hAnsiTheme="majorHAnsi" w:cstheme="majorHAnsi"/>
                <w:color w:val="000000"/>
                <w:sz w:val="20"/>
                <w:szCs w:val="20"/>
                <w:lang w:eastAsia="en-GB"/>
              </w:rPr>
              <w:pgNum/>
            </w:r>
            <w:r w:rsidR="0084607C">
              <w:rPr>
                <w:rFonts w:asciiTheme="majorHAnsi" w:eastAsia="Times New Roman" w:hAnsiTheme="majorHAnsi" w:cstheme="majorHAnsi"/>
                <w:color w:val="000000"/>
                <w:sz w:val="20"/>
                <w:szCs w:val="20"/>
                <w:lang w:eastAsia="en-GB"/>
              </w:rPr>
              <w:t>chemical applications and in the production of synthetic fuels.</w:t>
            </w:r>
          </w:p>
        </w:tc>
      </w:tr>
      <w:tr w:rsidR="00C03883" w:rsidRPr="00A33AE8" w14:paraId="70B31A13"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2AEC814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5" w:type="dxa"/>
            <w:gridSpan w:val="3"/>
            <w:tcBorders>
              <w:top w:val="single" w:sz="8" w:space="0" w:color="auto"/>
              <w:left w:val="nil"/>
              <w:bottom w:val="single" w:sz="8" w:space="0" w:color="auto"/>
              <w:right w:val="single" w:sz="8" w:space="0" w:color="000000"/>
            </w:tcBorders>
            <w:vAlign w:val="center"/>
            <w:hideMark/>
          </w:tcPr>
          <w:p w14:paraId="4E280776" w14:textId="77777777" w:rsidR="00C03883" w:rsidRPr="00301CD6" w:rsidRDefault="00C03883" w:rsidP="006769DA">
            <w:pPr>
              <w:spacing w:after="0" w:line="240" w:lineRule="auto"/>
              <w:rPr>
                <w:rFonts w:asciiTheme="majorHAnsi" w:eastAsia="Times New Roman" w:hAnsiTheme="majorHAnsi" w:cstheme="majorHAnsi"/>
                <w:color w:val="000000"/>
                <w:sz w:val="20"/>
                <w:szCs w:val="20"/>
                <w:lang w:eastAsia="en-GB"/>
              </w:rPr>
            </w:pPr>
            <w:r w:rsidRPr="00301CD6">
              <w:rPr>
                <w:rFonts w:asciiTheme="majorHAnsi" w:eastAsia="Times New Roman" w:hAnsiTheme="majorHAnsi" w:cstheme="majorHAnsi"/>
                <w:color w:val="000000"/>
                <w:sz w:val="20"/>
                <w:szCs w:val="20"/>
                <w:lang w:eastAsia="en-GB"/>
              </w:rPr>
              <w:t>202</w:t>
            </w:r>
            <w:r w:rsidR="00D81631" w:rsidRPr="00301CD6">
              <w:rPr>
                <w:rFonts w:asciiTheme="majorHAnsi" w:eastAsia="Times New Roman" w:hAnsiTheme="majorHAnsi" w:cstheme="majorHAnsi"/>
                <w:color w:val="000000"/>
                <w:sz w:val="20"/>
                <w:szCs w:val="20"/>
                <w:lang w:eastAsia="en-GB"/>
              </w:rPr>
              <w:t>3</w:t>
            </w:r>
            <w:r w:rsidRPr="00301CD6">
              <w:rPr>
                <w:rFonts w:asciiTheme="majorHAnsi" w:eastAsia="Times New Roman" w:hAnsiTheme="majorHAnsi" w:cstheme="majorHAnsi"/>
                <w:color w:val="000000"/>
                <w:sz w:val="20"/>
                <w:szCs w:val="20"/>
                <w:lang w:eastAsia="en-GB"/>
              </w:rPr>
              <w:t>-2030</w:t>
            </w:r>
          </w:p>
        </w:tc>
      </w:tr>
      <w:tr w:rsidR="00C03883" w:rsidRPr="00A33AE8" w14:paraId="439A873E"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21FC2D6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5" w:type="dxa"/>
            <w:gridSpan w:val="3"/>
            <w:tcBorders>
              <w:top w:val="single" w:sz="8" w:space="0" w:color="auto"/>
              <w:left w:val="nil"/>
              <w:bottom w:val="single" w:sz="8" w:space="0" w:color="auto"/>
              <w:right w:val="single" w:sz="8" w:space="0" w:color="000000"/>
            </w:tcBorders>
            <w:vAlign w:val="center"/>
            <w:hideMark/>
          </w:tcPr>
          <w:p w14:paraId="6267CFC4"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0AE0A96C"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1A4324B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Sectors covered/affected</w:t>
            </w:r>
          </w:p>
        </w:tc>
        <w:tc>
          <w:tcPr>
            <w:tcW w:w="6185" w:type="dxa"/>
            <w:gridSpan w:val="3"/>
            <w:tcBorders>
              <w:top w:val="single" w:sz="8" w:space="0" w:color="auto"/>
              <w:left w:val="nil"/>
              <w:bottom w:val="single" w:sz="8" w:space="0" w:color="auto"/>
              <w:right w:val="single" w:sz="8" w:space="0" w:color="000000"/>
            </w:tcBorders>
            <w:vAlign w:val="center"/>
            <w:hideMark/>
          </w:tcPr>
          <w:p w14:paraId="1CE4A6D3"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RES, power generation by TPP, industrial processes (cement, chemical, iron and steel, pulp and paper, refineries, traffic, etc.), </w:t>
            </w:r>
          </w:p>
        </w:tc>
      </w:tr>
      <w:tr w:rsidR="00C03883" w:rsidRPr="00A33AE8" w14:paraId="2DDED7F5"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67D0539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5" w:type="dxa"/>
            <w:gridSpan w:val="3"/>
            <w:tcBorders>
              <w:top w:val="single" w:sz="8" w:space="0" w:color="auto"/>
              <w:left w:val="nil"/>
              <w:bottom w:val="single" w:sz="8" w:space="0" w:color="auto"/>
              <w:right w:val="single" w:sz="8" w:space="0" w:color="000000"/>
            </w:tcBorders>
            <w:vAlign w:val="center"/>
            <w:hideMark/>
          </w:tcPr>
          <w:p w14:paraId="3E24EE3A" w14:textId="77777777" w:rsidR="00C03883" w:rsidRPr="00A33AE8" w:rsidRDefault="00C03883" w:rsidP="00884F3B">
            <w:pPr>
              <w:pStyle w:val="ListParagraph"/>
              <w:numPr>
                <w:ilvl w:val="0"/>
                <w:numId w:val="20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29D3FD64" w14:textId="77777777" w:rsidR="00C03883" w:rsidRPr="00A33AE8" w:rsidRDefault="00C03883" w:rsidP="00884F3B">
            <w:pPr>
              <w:pStyle w:val="ListParagraph"/>
              <w:numPr>
                <w:ilvl w:val="0"/>
                <w:numId w:val="20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44ACA265" w14:textId="77777777" w:rsidR="00C03883" w:rsidRPr="00A33AE8" w:rsidRDefault="00C03883" w:rsidP="00884F3B">
            <w:pPr>
              <w:pStyle w:val="ListParagraph"/>
              <w:numPr>
                <w:ilvl w:val="0"/>
                <w:numId w:val="20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C03883" w:rsidRPr="00A33AE8" w14:paraId="0E8227BE" w14:textId="77777777" w:rsidTr="006769DA">
        <w:trPr>
          <w:gridAfter w:val="1"/>
          <w:wAfter w:w="1212" w:type="dxa"/>
          <w:trHeight w:val="315"/>
        </w:trPr>
        <w:tc>
          <w:tcPr>
            <w:tcW w:w="3303" w:type="dxa"/>
            <w:tcBorders>
              <w:top w:val="nil"/>
              <w:left w:val="single" w:sz="8" w:space="0" w:color="auto"/>
              <w:bottom w:val="single" w:sz="8" w:space="0" w:color="auto"/>
              <w:right w:val="nil"/>
            </w:tcBorders>
            <w:shd w:val="clear" w:color="auto" w:fill="244062"/>
            <w:vAlign w:val="center"/>
            <w:hideMark/>
          </w:tcPr>
          <w:p w14:paraId="590F8E9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5" w:type="dxa"/>
            <w:gridSpan w:val="3"/>
            <w:tcBorders>
              <w:top w:val="single" w:sz="8" w:space="0" w:color="auto"/>
              <w:left w:val="nil"/>
              <w:bottom w:val="single" w:sz="8" w:space="0" w:color="auto"/>
              <w:right w:val="single" w:sz="8" w:space="0" w:color="000000"/>
            </w:tcBorders>
            <w:vAlign w:val="center"/>
            <w:hideMark/>
          </w:tcPr>
          <w:p w14:paraId="44DF4194"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43E3A01C"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7F959419" w14:textId="77777777" w:rsidTr="006769DA">
        <w:trPr>
          <w:gridAfter w:val="1"/>
          <w:wAfter w:w="1212" w:type="dxa"/>
          <w:trHeight w:val="315"/>
        </w:trPr>
        <w:tc>
          <w:tcPr>
            <w:tcW w:w="3303" w:type="dxa"/>
            <w:tcBorders>
              <w:top w:val="nil"/>
              <w:left w:val="single" w:sz="8" w:space="0" w:color="auto"/>
              <w:bottom w:val="single" w:sz="8" w:space="0" w:color="auto"/>
              <w:right w:val="nil"/>
            </w:tcBorders>
            <w:shd w:val="clear" w:color="auto" w:fill="244062"/>
            <w:vAlign w:val="center"/>
            <w:hideMark/>
          </w:tcPr>
          <w:p w14:paraId="323B682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5" w:type="dxa"/>
            <w:gridSpan w:val="3"/>
            <w:tcBorders>
              <w:top w:val="single" w:sz="8" w:space="0" w:color="auto"/>
              <w:left w:val="nil"/>
              <w:bottom w:val="single" w:sz="8" w:space="0" w:color="auto"/>
              <w:right w:val="single" w:sz="8" w:space="0" w:color="000000"/>
            </w:tcBorders>
            <w:vAlign w:val="center"/>
            <w:hideMark/>
          </w:tcPr>
          <w:p w14:paraId="2C16BE77"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research projects development on innovative decarbonisation technologies on an annual basis</w:t>
            </w:r>
          </w:p>
        </w:tc>
      </w:tr>
      <w:tr w:rsidR="00213B57" w:rsidRPr="00A33AE8" w14:paraId="58C209F7" w14:textId="77777777" w:rsidTr="006769DA">
        <w:trPr>
          <w:gridAfter w:val="1"/>
          <w:wAfter w:w="1212" w:type="dxa"/>
          <w:trHeight w:val="4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285F7E1E"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5" w:type="dxa"/>
            <w:gridSpan w:val="3"/>
            <w:tcBorders>
              <w:top w:val="single" w:sz="8" w:space="0" w:color="auto"/>
              <w:left w:val="nil"/>
              <w:bottom w:val="single" w:sz="8" w:space="0" w:color="auto"/>
              <w:right w:val="single" w:sz="8" w:space="0" w:color="000000"/>
            </w:tcBorders>
            <w:vAlign w:val="center"/>
          </w:tcPr>
          <w:p w14:paraId="72760243"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3441BB7A"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tc>
      </w:tr>
      <w:tr w:rsidR="00C03883" w:rsidRPr="00A33AE8" w14:paraId="40FB0CBF" w14:textId="77777777" w:rsidTr="006769DA">
        <w:trPr>
          <w:gridAfter w:val="1"/>
          <w:wAfter w:w="1212" w:type="dxa"/>
          <w:trHeight w:val="450"/>
        </w:trPr>
        <w:tc>
          <w:tcPr>
            <w:tcW w:w="3303" w:type="dxa"/>
            <w:vMerge w:val="restart"/>
            <w:tcBorders>
              <w:top w:val="nil"/>
              <w:left w:val="single" w:sz="8" w:space="0" w:color="auto"/>
              <w:bottom w:val="single" w:sz="8" w:space="0" w:color="000000"/>
              <w:right w:val="single" w:sz="8" w:space="0" w:color="auto"/>
            </w:tcBorders>
            <w:shd w:val="clear" w:color="auto" w:fill="244062"/>
            <w:vAlign w:val="center"/>
            <w:hideMark/>
          </w:tcPr>
          <w:p w14:paraId="27052FF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5" w:type="dxa"/>
            <w:gridSpan w:val="3"/>
            <w:vMerge w:val="restart"/>
            <w:tcBorders>
              <w:top w:val="single" w:sz="8" w:space="0" w:color="auto"/>
              <w:left w:val="single" w:sz="8" w:space="0" w:color="auto"/>
              <w:bottom w:val="single" w:sz="8" w:space="0" w:color="000000"/>
              <w:right w:val="single" w:sz="8" w:space="0" w:color="000000"/>
            </w:tcBorders>
            <w:vAlign w:val="center"/>
          </w:tcPr>
          <w:p w14:paraId="0D0E9591" w14:textId="77777777" w:rsidR="00C03883" w:rsidRPr="00A33AE8" w:rsidRDefault="00C03883" w:rsidP="00884F3B">
            <w:pPr>
              <w:pStyle w:val="ListParagraph"/>
              <w:numPr>
                <w:ilvl w:val="0"/>
                <w:numId w:val="9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p w14:paraId="038C85F0" w14:textId="77777777" w:rsidR="00C03883" w:rsidRPr="00A33AE8" w:rsidRDefault="00C03883" w:rsidP="00884F3B">
            <w:pPr>
              <w:pStyle w:val="ListParagraph"/>
              <w:numPr>
                <w:ilvl w:val="0"/>
                <w:numId w:val="9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and Innovation Strategies for Smart Specialisation (RIS 3)</w:t>
            </w:r>
          </w:p>
        </w:tc>
      </w:tr>
      <w:tr w:rsidR="00C03883" w:rsidRPr="00A33AE8" w14:paraId="49FFDA90"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A24DCF1"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85" w:type="dxa"/>
            <w:gridSpan w:val="3"/>
            <w:vMerge/>
            <w:tcBorders>
              <w:top w:val="single" w:sz="8" w:space="0" w:color="auto"/>
              <w:left w:val="single" w:sz="8" w:space="0" w:color="auto"/>
              <w:bottom w:val="single" w:sz="8" w:space="0" w:color="000000"/>
              <w:right w:val="single" w:sz="8" w:space="0" w:color="000000"/>
            </w:tcBorders>
            <w:vAlign w:val="center"/>
          </w:tcPr>
          <w:p w14:paraId="733CF66B" w14:textId="77777777" w:rsidR="00C03883" w:rsidRPr="00A33AE8" w:rsidRDefault="00C03883" w:rsidP="00884F3B">
            <w:pPr>
              <w:pStyle w:val="ListParagraph"/>
              <w:numPr>
                <w:ilvl w:val="0"/>
                <w:numId w:val="98"/>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4C6643B" w14:textId="77777777" w:rsidR="00C03883" w:rsidRPr="00A33AE8" w:rsidRDefault="00C03883" w:rsidP="006769DA">
            <w:pPr>
              <w:rPr>
                <w:sz w:val="20"/>
                <w:szCs w:val="20"/>
              </w:rPr>
            </w:pPr>
          </w:p>
        </w:tc>
      </w:tr>
      <w:tr w:rsidR="00C03883" w:rsidRPr="00A33AE8" w14:paraId="261B1E64"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7770A9D0"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85" w:type="dxa"/>
            <w:gridSpan w:val="3"/>
            <w:vMerge/>
            <w:tcBorders>
              <w:top w:val="single" w:sz="8" w:space="0" w:color="auto"/>
              <w:left w:val="single" w:sz="8" w:space="0" w:color="auto"/>
              <w:bottom w:val="single" w:sz="8" w:space="0" w:color="000000"/>
              <w:right w:val="single" w:sz="8" w:space="0" w:color="000000"/>
            </w:tcBorders>
            <w:vAlign w:val="center"/>
          </w:tcPr>
          <w:p w14:paraId="382F9928" w14:textId="77777777" w:rsidR="00C03883" w:rsidRPr="00A33AE8" w:rsidRDefault="00C03883" w:rsidP="00884F3B">
            <w:pPr>
              <w:pStyle w:val="ListParagraph"/>
              <w:numPr>
                <w:ilvl w:val="0"/>
                <w:numId w:val="98"/>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5137278" w14:textId="77777777" w:rsidR="00C03883" w:rsidRPr="00A33AE8" w:rsidRDefault="00C03883" w:rsidP="006769DA">
            <w:pPr>
              <w:spacing w:after="0" w:line="256" w:lineRule="auto"/>
              <w:rPr>
                <w:sz w:val="20"/>
                <w:szCs w:val="20"/>
                <w:lang w:eastAsia="en-GB"/>
              </w:rPr>
            </w:pPr>
          </w:p>
        </w:tc>
      </w:tr>
      <w:tr w:rsidR="00C03883" w:rsidRPr="00A33AE8" w14:paraId="69F265F8" w14:textId="77777777" w:rsidTr="006769DA">
        <w:trPr>
          <w:trHeight w:val="307"/>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7969B00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5" w:type="dxa"/>
            <w:gridSpan w:val="3"/>
            <w:tcBorders>
              <w:top w:val="single" w:sz="8" w:space="0" w:color="auto"/>
              <w:left w:val="nil"/>
              <w:bottom w:val="single" w:sz="8" w:space="0" w:color="auto"/>
              <w:right w:val="single" w:sz="8" w:space="0" w:color="000000"/>
            </w:tcBorders>
            <w:vAlign w:val="center"/>
          </w:tcPr>
          <w:p w14:paraId="6692E43E" w14:textId="77777777" w:rsidR="00C03883" w:rsidRPr="00A33AE8" w:rsidRDefault="00C03883" w:rsidP="00884F3B">
            <w:pPr>
              <w:pStyle w:val="ListParagraph"/>
              <w:numPr>
                <w:ilvl w:val="0"/>
                <w:numId w:val="17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2C4B075A" w14:textId="77777777" w:rsidR="00C03883" w:rsidRPr="00A33AE8" w:rsidRDefault="00C03883" w:rsidP="00884F3B">
            <w:pPr>
              <w:pStyle w:val="ListParagraph"/>
              <w:numPr>
                <w:ilvl w:val="0"/>
                <w:numId w:val="17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p w14:paraId="5565BF97" w14:textId="77777777" w:rsidR="00C03883" w:rsidRPr="00A33AE8" w:rsidRDefault="00C03883" w:rsidP="00884F3B">
            <w:pPr>
              <w:pStyle w:val="ListParagraph"/>
              <w:numPr>
                <w:ilvl w:val="0"/>
                <w:numId w:val="9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Mining and Geological Research</w:t>
            </w:r>
          </w:p>
        </w:tc>
        <w:tc>
          <w:tcPr>
            <w:tcW w:w="1212" w:type="dxa"/>
            <w:vAlign w:val="center"/>
            <w:hideMark/>
          </w:tcPr>
          <w:p w14:paraId="3B73F107"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567A58A8" w14:textId="77777777" w:rsidTr="006769DA">
        <w:trPr>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133EBF6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5" w:type="dxa"/>
            <w:gridSpan w:val="3"/>
            <w:tcBorders>
              <w:top w:val="single" w:sz="8" w:space="0" w:color="auto"/>
              <w:left w:val="nil"/>
              <w:bottom w:val="single" w:sz="8" w:space="0" w:color="auto"/>
              <w:right w:val="single" w:sz="8" w:space="0" w:color="000000"/>
            </w:tcBorders>
            <w:vAlign w:val="center"/>
          </w:tcPr>
          <w:p w14:paraId="69427463"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25.2 M€</w:t>
            </w:r>
          </w:p>
        </w:tc>
        <w:tc>
          <w:tcPr>
            <w:tcW w:w="1212" w:type="dxa"/>
            <w:vAlign w:val="center"/>
            <w:hideMark/>
          </w:tcPr>
          <w:p w14:paraId="3577F838" w14:textId="77777777" w:rsidR="00C03883" w:rsidRPr="00A33AE8" w:rsidRDefault="00C03883" w:rsidP="006769DA">
            <w:pPr>
              <w:rPr>
                <w:rFonts w:ascii="Calibri" w:eastAsia="Times New Roman" w:hAnsi="Calibri" w:cs="Calibri"/>
                <w:color w:val="000000"/>
                <w:sz w:val="20"/>
                <w:szCs w:val="20"/>
                <w:lang w:eastAsia="en-GB"/>
              </w:rPr>
            </w:pPr>
          </w:p>
        </w:tc>
      </w:tr>
      <w:tr w:rsidR="00661664" w:rsidRPr="00A33AE8" w14:paraId="0A29D1D4" w14:textId="77777777" w:rsidTr="006769DA">
        <w:trPr>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2EA7F67B"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5" w:type="dxa"/>
            <w:gridSpan w:val="3"/>
            <w:tcBorders>
              <w:top w:val="single" w:sz="8" w:space="0" w:color="auto"/>
              <w:left w:val="nil"/>
              <w:bottom w:val="single" w:sz="8" w:space="0" w:color="auto"/>
              <w:right w:val="single" w:sz="8" w:space="0" w:color="000000"/>
            </w:tcBorders>
            <w:shd w:val="clear" w:color="auto" w:fill="auto"/>
            <w:vAlign w:val="center"/>
            <w:hideMark/>
          </w:tcPr>
          <w:p w14:paraId="7CA7912A" w14:textId="6EC5CD21" w:rsidR="009D7D80"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4378F936" w14:textId="77777777" w:rsid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12FD5753" w14:textId="77777777" w:rsidR="00661664"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1C0BC24D" w14:textId="77777777" w:rsidR="00661664" w:rsidRPr="00A33AE8" w:rsidRDefault="00661664" w:rsidP="00661664">
            <w:pPr>
              <w:rPr>
                <w:rFonts w:ascii="Calibri" w:eastAsia="Times New Roman" w:hAnsi="Calibri" w:cs="Calibri"/>
                <w:color w:val="000000"/>
                <w:sz w:val="20"/>
                <w:szCs w:val="20"/>
                <w:lang w:eastAsia="en-GB"/>
              </w:rPr>
            </w:pPr>
          </w:p>
        </w:tc>
      </w:tr>
    </w:tbl>
    <w:p w14:paraId="01635AEE"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09"/>
        <w:gridCol w:w="1052"/>
        <w:gridCol w:w="938"/>
        <w:gridCol w:w="4189"/>
        <w:gridCol w:w="1212"/>
      </w:tblGrid>
      <w:tr w:rsidR="00C03883" w:rsidRPr="00A33AE8" w14:paraId="264FE21E" w14:textId="77777777" w:rsidTr="006769DA">
        <w:trPr>
          <w:gridAfter w:val="1"/>
          <w:wAfter w:w="1212" w:type="dxa"/>
          <w:trHeight w:val="780"/>
        </w:trPr>
        <w:tc>
          <w:tcPr>
            <w:tcW w:w="3309"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5BA416AE"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4106F039"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PM_RIC12</w:t>
            </w:r>
          </w:p>
        </w:tc>
        <w:tc>
          <w:tcPr>
            <w:tcW w:w="938" w:type="dxa"/>
            <w:tcBorders>
              <w:top w:val="single" w:sz="8" w:space="0" w:color="auto"/>
              <w:left w:val="nil"/>
              <w:bottom w:val="single" w:sz="8" w:space="0" w:color="auto"/>
              <w:right w:val="single" w:sz="8" w:space="0" w:color="auto"/>
            </w:tcBorders>
            <w:shd w:val="clear" w:color="auto" w:fill="244062"/>
            <w:vAlign w:val="center"/>
            <w:hideMark/>
          </w:tcPr>
          <w:p w14:paraId="423A85E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89" w:type="dxa"/>
            <w:tcBorders>
              <w:top w:val="single" w:sz="8" w:space="0" w:color="auto"/>
              <w:left w:val="nil"/>
              <w:bottom w:val="single" w:sz="8" w:space="0" w:color="auto"/>
              <w:right w:val="single" w:sz="8" w:space="0" w:color="auto"/>
            </w:tcBorders>
            <w:shd w:val="clear" w:color="auto" w:fill="E7E6E6" w:themeFill="background2"/>
            <w:vAlign w:val="center"/>
            <w:hideMark/>
          </w:tcPr>
          <w:p w14:paraId="5A3109C0"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Research on the digitization of energy networks and the development of smart grids</w:t>
            </w:r>
          </w:p>
        </w:tc>
      </w:tr>
      <w:tr w:rsidR="00C03883" w:rsidRPr="00A33AE8" w14:paraId="0FF153DC" w14:textId="77777777" w:rsidTr="006769DA">
        <w:trPr>
          <w:gridAfter w:val="1"/>
          <w:wAfter w:w="1212" w:type="dxa"/>
          <w:trHeight w:val="262"/>
        </w:trPr>
        <w:tc>
          <w:tcPr>
            <w:tcW w:w="3309" w:type="dxa"/>
            <w:tcBorders>
              <w:top w:val="nil"/>
              <w:left w:val="single" w:sz="8" w:space="0" w:color="auto"/>
              <w:bottom w:val="single" w:sz="8" w:space="0" w:color="auto"/>
              <w:right w:val="nil"/>
            </w:tcBorders>
            <w:shd w:val="clear" w:color="auto" w:fill="244062"/>
            <w:vAlign w:val="center"/>
            <w:hideMark/>
          </w:tcPr>
          <w:p w14:paraId="61A26AC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9" w:type="dxa"/>
            <w:gridSpan w:val="3"/>
            <w:tcBorders>
              <w:top w:val="single" w:sz="8" w:space="0" w:color="auto"/>
              <w:left w:val="nil"/>
              <w:bottom w:val="single" w:sz="8" w:space="0" w:color="auto"/>
              <w:right w:val="single" w:sz="8" w:space="0" w:color="000000"/>
            </w:tcBorders>
            <w:vAlign w:val="center"/>
            <w:hideMark/>
          </w:tcPr>
          <w:p w14:paraId="2EE7DC0B" w14:textId="77777777" w:rsidR="00C03883" w:rsidRPr="00A33AE8" w:rsidRDefault="00C03883"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Promotion of Research and Innovation</w:t>
            </w:r>
          </w:p>
        </w:tc>
      </w:tr>
      <w:tr w:rsidR="00C03883" w:rsidRPr="00A33AE8" w14:paraId="0C2145E6"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382AEBC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9" w:type="dxa"/>
            <w:gridSpan w:val="3"/>
            <w:tcBorders>
              <w:top w:val="single" w:sz="8" w:space="0" w:color="auto"/>
              <w:left w:val="nil"/>
              <w:bottom w:val="single" w:sz="8" w:space="0" w:color="auto"/>
              <w:right w:val="single" w:sz="8" w:space="0" w:color="000000"/>
            </w:tcBorders>
            <w:vAlign w:val="center"/>
            <w:hideMark/>
          </w:tcPr>
          <w:p w14:paraId="61A4D8E2" w14:textId="77777777" w:rsidR="00C03883" w:rsidRPr="00A33AE8" w:rsidRDefault="00C03883" w:rsidP="006769DA">
            <w:pPr>
              <w:spacing w:after="0" w:line="240" w:lineRule="auto"/>
              <w:rPr>
                <w:rFonts w:ascii="Calibri" w:eastAsia="Times New Roman" w:hAnsi="Calibri" w:cs="Calibri"/>
                <w:color w:val="000000"/>
                <w:sz w:val="20"/>
                <w:szCs w:val="20"/>
                <w:lang w:eastAsia="en-GB"/>
              </w:rPr>
            </w:pPr>
            <w:r w:rsidRPr="00A33AE8">
              <w:rPr>
                <w:rFonts w:ascii="Calibri Light" w:eastAsia="Times New Roman" w:hAnsi="Calibri Light" w:cs="Calibri Light"/>
                <w:color w:val="000000"/>
                <w:sz w:val="20"/>
                <w:szCs w:val="20"/>
                <w:lang w:eastAsia="en-GB"/>
              </w:rPr>
              <w:t>Increase the level of technological readiness per technology (Qualitative objective)</w:t>
            </w:r>
          </w:p>
        </w:tc>
      </w:tr>
      <w:tr w:rsidR="00C03883" w:rsidRPr="00A33AE8" w14:paraId="16423EDF" w14:textId="77777777" w:rsidTr="006769DA">
        <w:trPr>
          <w:gridAfter w:val="1"/>
          <w:wAfter w:w="1212" w:type="dxa"/>
          <w:trHeight w:val="726"/>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73833C5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79" w:type="dxa"/>
            <w:gridSpan w:val="3"/>
            <w:tcBorders>
              <w:top w:val="single" w:sz="8" w:space="0" w:color="auto"/>
              <w:left w:val="nil"/>
              <w:bottom w:val="single" w:sz="8" w:space="0" w:color="auto"/>
              <w:right w:val="single" w:sz="8" w:space="0" w:color="000000"/>
            </w:tcBorders>
            <w:vAlign w:val="center"/>
            <w:hideMark/>
          </w:tcPr>
          <w:p w14:paraId="0CAE5010" w14:textId="77777777" w:rsidR="00C03883" w:rsidRPr="00A33AE8" w:rsidRDefault="00C03883" w:rsidP="006769DA">
            <w:pPr>
              <w:spacing w:after="0" w:line="240" w:lineRule="auto"/>
              <w:jc w:val="both"/>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PM_RIC12 will strengthen targeted research initiatives that aim at the digitization of energy networks and the development of smart grids and more specifically, (a) at the creation of an innovation environment for the development of smart services, (b) at the development of an optimized electricity grid through the implementation of solutions in order to increase the visibility and controllability of the energy system for the better management of load profile through demand response in order to increase the flexibility of all types of production and to reduce the cost of all energy storage solutions by minimizing the total cost of the system and (c) the development of integrated local and regional energy systems through the integration of RES at regional and local level, including different energy operators and creating an innovation environment for smart services in collaboration with providers of ICT platform solutions.</w:t>
            </w:r>
          </w:p>
        </w:tc>
      </w:tr>
      <w:tr w:rsidR="00C03883" w:rsidRPr="00A33AE8" w14:paraId="2B921472"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0672A85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79" w:type="dxa"/>
            <w:gridSpan w:val="3"/>
            <w:tcBorders>
              <w:top w:val="single" w:sz="8" w:space="0" w:color="auto"/>
              <w:left w:val="nil"/>
              <w:bottom w:val="single" w:sz="8" w:space="0" w:color="auto"/>
              <w:right w:val="single" w:sz="8" w:space="0" w:color="000000"/>
            </w:tcBorders>
            <w:vAlign w:val="center"/>
            <w:hideMark/>
          </w:tcPr>
          <w:p w14:paraId="77AFBA7C" w14:textId="77777777" w:rsidR="00C03883" w:rsidRPr="00A33AE8" w:rsidRDefault="00C03883"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202</w:t>
            </w:r>
            <w:r w:rsidR="00D81631" w:rsidRPr="00A33AE8">
              <w:rPr>
                <w:rFonts w:ascii="Calibri Light" w:eastAsia="Times New Roman" w:hAnsi="Calibri Light" w:cs="Calibri Light"/>
                <w:color w:val="000000"/>
                <w:sz w:val="20"/>
                <w:szCs w:val="20"/>
                <w:lang w:eastAsia="en-GB"/>
              </w:rPr>
              <w:t>3</w:t>
            </w:r>
            <w:r w:rsidRPr="00A33AE8">
              <w:rPr>
                <w:rFonts w:ascii="Calibri Light" w:eastAsia="Times New Roman" w:hAnsi="Calibri Light" w:cs="Calibri Light"/>
                <w:color w:val="000000"/>
                <w:sz w:val="20"/>
                <w:szCs w:val="20"/>
                <w:lang w:eastAsia="en-GB"/>
              </w:rPr>
              <w:t>-2030</w:t>
            </w:r>
          </w:p>
        </w:tc>
      </w:tr>
      <w:tr w:rsidR="00C03883" w:rsidRPr="00A33AE8" w14:paraId="7C9F5CF4"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1E27146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9" w:type="dxa"/>
            <w:gridSpan w:val="3"/>
            <w:tcBorders>
              <w:top w:val="single" w:sz="8" w:space="0" w:color="auto"/>
              <w:left w:val="nil"/>
              <w:bottom w:val="single" w:sz="8" w:space="0" w:color="auto"/>
              <w:right w:val="single" w:sz="8" w:space="0" w:color="000000"/>
            </w:tcBorders>
            <w:vAlign w:val="center"/>
            <w:hideMark/>
          </w:tcPr>
          <w:p w14:paraId="5C45CB91" w14:textId="77777777" w:rsidR="00C03883" w:rsidRPr="00A33AE8" w:rsidRDefault="00037A9E"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Investment</w:t>
            </w:r>
          </w:p>
        </w:tc>
      </w:tr>
      <w:tr w:rsidR="00C03883" w:rsidRPr="00A33AE8" w14:paraId="63E476BA"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08BDF05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9" w:type="dxa"/>
            <w:gridSpan w:val="3"/>
            <w:tcBorders>
              <w:top w:val="single" w:sz="8" w:space="0" w:color="auto"/>
              <w:left w:val="nil"/>
              <w:bottom w:val="single" w:sz="8" w:space="0" w:color="auto"/>
              <w:right w:val="single" w:sz="8" w:space="0" w:color="000000"/>
            </w:tcBorders>
            <w:vAlign w:val="center"/>
            <w:hideMark/>
          </w:tcPr>
          <w:p w14:paraId="79B9B1BC" w14:textId="77777777" w:rsidR="00C03883" w:rsidRPr="00A33AE8" w:rsidRDefault="00C03883"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Consumer-focused smart energy system</w:t>
            </w:r>
          </w:p>
        </w:tc>
      </w:tr>
      <w:tr w:rsidR="00C03883" w:rsidRPr="00A33AE8" w14:paraId="7627A5D7"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4EAB9A1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9" w:type="dxa"/>
            <w:gridSpan w:val="3"/>
            <w:tcBorders>
              <w:top w:val="single" w:sz="8" w:space="0" w:color="auto"/>
              <w:left w:val="nil"/>
              <w:bottom w:val="single" w:sz="8" w:space="0" w:color="auto"/>
              <w:right w:val="single" w:sz="8" w:space="0" w:color="000000"/>
            </w:tcBorders>
            <w:vAlign w:val="center"/>
            <w:hideMark/>
          </w:tcPr>
          <w:p w14:paraId="2843E42A" w14:textId="77777777" w:rsidR="00C03883" w:rsidRPr="00A33AE8" w:rsidRDefault="00C03883" w:rsidP="00884F3B">
            <w:pPr>
              <w:pStyle w:val="ListParagraph"/>
              <w:numPr>
                <w:ilvl w:val="0"/>
                <w:numId w:val="98"/>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4F94D761" w14:textId="77777777" w:rsidR="00C03883" w:rsidRPr="00A33AE8" w:rsidRDefault="00C03883" w:rsidP="00884F3B">
            <w:pPr>
              <w:pStyle w:val="ListParagraph"/>
              <w:numPr>
                <w:ilvl w:val="0"/>
                <w:numId w:val="9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Education, Science and Technological Development</w:t>
            </w:r>
          </w:p>
          <w:p w14:paraId="1C177FF4" w14:textId="77777777" w:rsidR="00C03883" w:rsidRPr="00A33AE8" w:rsidRDefault="00C03883" w:rsidP="00884F3B">
            <w:pPr>
              <w:pStyle w:val="ListParagraph"/>
              <w:numPr>
                <w:ilvl w:val="0"/>
                <w:numId w:val="98"/>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Ministry of Finance</w:t>
            </w:r>
          </w:p>
          <w:p w14:paraId="4C9473B4" w14:textId="77777777" w:rsidR="00C03883" w:rsidRPr="00A33AE8" w:rsidRDefault="00922B09" w:rsidP="00884F3B">
            <w:pPr>
              <w:pStyle w:val="ListParagraph"/>
              <w:numPr>
                <w:ilvl w:val="0"/>
                <w:numId w:val="98"/>
              </w:numPr>
              <w:spacing w:after="0" w:line="240" w:lineRule="auto"/>
              <w:rPr>
                <w:rFonts w:ascii="Calibri Light" w:eastAsia="Times New Roman" w:hAnsi="Calibri Light" w:cs="Calibri Light"/>
                <w:color w:val="000000"/>
                <w:sz w:val="20"/>
                <w:szCs w:val="20"/>
                <w:lang w:eastAsia="en-GB"/>
              </w:rPr>
            </w:pPr>
            <w:r w:rsidRPr="00A33AE8">
              <w:rPr>
                <w:rStyle w:val="cf01"/>
              </w:rPr>
              <w:t>Elektrodistribucija Srbije d.o.o. Beograd EPS</w:t>
            </w:r>
            <w:r w:rsidR="00500B07" w:rsidRPr="00A33AE8">
              <w:rPr>
                <w:rFonts w:asciiTheme="majorHAnsi" w:hAnsiTheme="majorHAnsi" w:cstheme="majorHAnsi"/>
                <w:bCs/>
              </w:rPr>
              <w:t>“Elektromreža Srbije“ - EMS</w:t>
            </w:r>
          </w:p>
        </w:tc>
      </w:tr>
      <w:tr w:rsidR="00C03883" w:rsidRPr="00A33AE8" w14:paraId="643FC5F3" w14:textId="77777777" w:rsidTr="006769DA">
        <w:trPr>
          <w:gridAfter w:val="1"/>
          <w:wAfter w:w="1212" w:type="dxa"/>
          <w:trHeight w:val="315"/>
        </w:trPr>
        <w:tc>
          <w:tcPr>
            <w:tcW w:w="3309" w:type="dxa"/>
            <w:tcBorders>
              <w:top w:val="nil"/>
              <w:left w:val="single" w:sz="8" w:space="0" w:color="auto"/>
              <w:bottom w:val="single" w:sz="8" w:space="0" w:color="auto"/>
              <w:right w:val="nil"/>
            </w:tcBorders>
            <w:shd w:val="clear" w:color="auto" w:fill="244062"/>
            <w:vAlign w:val="center"/>
            <w:hideMark/>
          </w:tcPr>
          <w:p w14:paraId="6A12270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9" w:type="dxa"/>
            <w:gridSpan w:val="3"/>
            <w:tcBorders>
              <w:top w:val="single" w:sz="8" w:space="0" w:color="auto"/>
              <w:left w:val="nil"/>
              <w:bottom w:val="single" w:sz="8" w:space="0" w:color="auto"/>
              <w:right w:val="single" w:sz="8" w:space="0" w:color="000000"/>
            </w:tcBorders>
            <w:vAlign w:val="center"/>
            <w:hideMark/>
          </w:tcPr>
          <w:p w14:paraId="55715153"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Calibri Light" w:eastAsia="Times New Roman" w:hAnsi="Calibri Light" w:cs="Calibri Light"/>
                <w:color w:val="000000"/>
                <w:sz w:val="20"/>
                <w:szCs w:val="20"/>
                <w:lang w:eastAsia="en-GB"/>
              </w:rPr>
              <w:t>Ministry of Education, Science and Technological Development</w:t>
            </w:r>
          </w:p>
          <w:p w14:paraId="7749C60D"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7D726945" w14:textId="77777777" w:rsidTr="006769DA">
        <w:trPr>
          <w:gridAfter w:val="1"/>
          <w:wAfter w:w="1212" w:type="dxa"/>
          <w:trHeight w:val="315"/>
        </w:trPr>
        <w:tc>
          <w:tcPr>
            <w:tcW w:w="3309" w:type="dxa"/>
            <w:tcBorders>
              <w:top w:val="nil"/>
              <w:left w:val="single" w:sz="8" w:space="0" w:color="auto"/>
              <w:bottom w:val="single" w:sz="8" w:space="0" w:color="auto"/>
              <w:right w:val="nil"/>
            </w:tcBorders>
            <w:shd w:val="clear" w:color="auto" w:fill="244062"/>
            <w:vAlign w:val="center"/>
            <w:hideMark/>
          </w:tcPr>
          <w:p w14:paraId="7D99E46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9" w:type="dxa"/>
            <w:gridSpan w:val="3"/>
            <w:tcBorders>
              <w:top w:val="single" w:sz="8" w:space="0" w:color="auto"/>
              <w:left w:val="nil"/>
              <w:bottom w:val="single" w:sz="8" w:space="0" w:color="auto"/>
              <w:right w:val="single" w:sz="8" w:space="0" w:color="000000"/>
            </w:tcBorders>
            <w:vAlign w:val="center"/>
            <w:hideMark/>
          </w:tcPr>
          <w:p w14:paraId="13DC1731" w14:textId="77777777" w:rsidR="00C03883" w:rsidRPr="00A33AE8" w:rsidRDefault="00C03883" w:rsidP="006769DA">
            <w:p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Number of research projects development on digitization technologies on an annual basis</w:t>
            </w:r>
          </w:p>
        </w:tc>
      </w:tr>
      <w:tr w:rsidR="00213B57" w:rsidRPr="00A33AE8" w14:paraId="0BEEDA35" w14:textId="77777777" w:rsidTr="006769DA">
        <w:trPr>
          <w:gridAfter w:val="1"/>
          <w:wAfter w:w="1212" w:type="dxa"/>
          <w:trHeight w:val="309"/>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293D7E4B"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Other relevant Energy Union dimension(s) affected</w:t>
            </w:r>
          </w:p>
        </w:tc>
        <w:tc>
          <w:tcPr>
            <w:tcW w:w="6179" w:type="dxa"/>
            <w:gridSpan w:val="3"/>
            <w:tcBorders>
              <w:top w:val="single" w:sz="8" w:space="0" w:color="auto"/>
              <w:left w:val="nil"/>
              <w:bottom w:val="single" w:sz="8" w:space="0" w:color="auto"/>
              <w:right w:val="single" w:sz="8" w:space="0" w:color="000000"/>
            </w:tcBorders>
            <w:vAlign w:val="center"/>
          </w:tcPr>
          <w:p w14:paraId="3722D166" w14:textId="77777777" w:rsidR="00213B57" w:rsidRPr="00A33AE8" w:rsidRDefault="00213B57" w:rsidP="00884F3B">
            <w:pPr>
              <w:pStyle w:val="ListParagraph"/>
              <w:numPr>
                <w:ilvl w:val="0"/>
                <w:numId w:val="97"/>
              </w:numPr>
              <w:spacing w:after="0" w:line="240" w:lineRule="auto"/>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4DC7FAD7" w14:textId="77777777" w:rsidR="00213B57" w:rsidRPr="00A33AE8" w:rsidRDefault="00213B57" w:rsidP="00884F3B">
            <w:pPr>
              <w:pStyle w:val="ListParagraph"/>
              <w:numPr>
                <w:ilvl w:val="0"/>
                <w:numId w:val="97"/>
              </w:numPr>
              <w:spacing w:after="0" w:line="240" w:lineRule="auto"/>
              <w:rPr>
                <w:rFonts w:ascii="Calibri Light" w:eastAsia="Times New Roman" w:hAnsi="Calibri Light" w:cs="Calibri Light"/>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tc>
      </w:tr>
      <w:tr w:rsidR="00C03883" w:rsidRPr="00A33AE8" w14:paraId="45A5674C" w14:textId="77777777" w:rsidTr="006769DA">
        <w:trPr>
          <w:gridAfter w:val="1"/>
          <w:wAfter w:w="1212" w:type="dxa"/>
          <w:trHeight w:val="450"/>
        </w:trPr>
        <w:tc>
          <w:tcPr>
            <w:tcW w:w="3309" w:type="dxa"/>
            <w:vMerge w:val="restart"/>
            <w:tcBorders>
              <w:top w:val="nil"/>
              <w:left w:val="single" w:sz="8" w:space="0" w:color="auto"/>
              <w:bottom w:val="single" w:sz="8" w:space="0" w:color="000000"/>
              <w:right w:val="single" w:sz="8" w:space="0" w:color="auto"/>
            </w:tcBorders>
            <w:shd w:val="clear" w:color="auto" w:fill="244062"/>
            <w:vAlign w:val="center"/>
            <w:hideMark/>
          </w:tcPr>
          <w:p w14:paraId="6535DD6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79" w:type="dxa"/>
            <w:gridSpan w:val="3"/>
            <w:vMerge w:val="restart"/>
            <w:tcBorders>
              <w:top w:val="single" w:sz="8" w:space="0" w:color="auto"/>
              <w:left w:val="single" w:sz="8" w:space="0" w:color="auto"/>
              <w:bottom w:val="single" w:sz="8" w:space="0" w:color="000000"/>
              <w:right w:val="single" w:sz="8" w:space="0" w:color="000000"/>
            </w:tcBorders>
            <w:vAlign w:val="center"/>
          </w:tcPr>
          <w:p w14:paraId="5E7B6A18" w14:textId="77777777" w:rsidR="00C03883" w:rsidRPr="00A33AE8" w:rsidRDefault="00C03883" w:rsidP="00884F3B">
            <w:pPr>
              <w:pStyle w:val="ListParagraph"/>
              <w:numPr>
                <w:ilvl w:val="0"/>
                <w:numId w:val="9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European Strategic Energy Technology Plan (SET Plan)</w:t>
            </w:r>
          </w:p>
          <w:p w14:paraId="3FA204F8" w14:textId="77777777" w:rsidR="00C03883" w:rsidRPr="00A33AE8" w:rsidRDefault="00C03883" w:rsidP="00884F3B">
            <w:pPr>
              <w:pStyle w:val="ListParagraph"/>
              <w:numPr>
                <w:ilvl w:val="0"/>
                <w:numId w:val="9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Research and Innovation Strategies for Smart Specialisation (RIS 3)</w:t>
            </w:r>
          </w:p>
        </w:tc>
      </w:tr>
      <w:tr w:rsidR="00C03883" w:rsidRPr="00A33AE8" w14:paraId="2D947DC6"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7578BA34"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tcPr>
          <w:p w14:paraId="338C56CD" w14:textId="77777777" w:rsidR="00C03883" w:rsidRPr="00A33AE8" w:rsidRDefault="00C03883" w:rsidP="00884F3B">
            <w:pPr>
              <w:pStyle w:val="ListParagraph"/>
              <w:numPr>
                <w:ilvl w:val="0"/>
                <w:numId w:val="99"/>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29EABE55" w14:textId="77777777" w:rsidR="00C03883" w:rsidRPr="00A33AE8" w:rsidRDefault="00C03883" w:rsidP="006769DA">
            <w:pPr>
              <w:rPr>
                <w:sz w:val="20"/>
                <w:szCs w:val="20"/>
              </w:rPr>
            </w:pPr>
          </w:p>
        </w:tc>
      </w:tr>
      <w:tr w:rsidR="00C03883" w:rsidRPr="00A33AE8" w14:paraId="233AD599" w14:textId="77777777" w:rsidTr="006769DA">
        <w:trPr>
          <w:trHeight w:val="122"/>
        </w:trPr>
        <w:tc>
          <w:tcPr>
            <w:tcW w:w="0" w:type="auto"/>
            <w:vMerge/>
            <w:tcBorders>
              <w:top w:val="nil"/>
              <w:left w:val="single" w:sz="8" w:space="0" w:color="auto"/>
              <w:bottom w:val="single" w:sz="8" w:space="0" w:color="000000"/>
              <w:right w:val="single" w:sz="8" w:space="0" w:color="auto"/>
            </w:tcBorders>
            <w:vAlign w:val="center"/>
            <w:hideMark/>
          </w:tcPr>
          <w:p w14:paraId="34A9E5EE"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tcPr>
          <w:p w14:paraId="74E69C7F" w14:textId="77777777" w:rsidR="00C03883" w:rsidRPr="00A33AE8" w:rsidRDefault="00C03883" w:rsidP="00884F3B">
            <w:pPr>
              <w:pStyle w:val="ListParagraph"/>
              <w:numPr>
                <w:ilvl w:val="0"/>
                <w:numId w:val="99"/>
              </w:numPr>
              <w:spacing w:after="0" w:line="256" w:lineRule="auto"/>
              <w:rPr>
                <w:rFonts w:ascii="Calibri Light" w:eastAsia="Times New Roman" w:hAnsi="Calibri Light" w:cs="Calibri Light"/>
                <w:color w:val="000000"/>
                <w:sz w:val="20"/>
                <w:szCs w:val="20"/>
                <w:lang w:eastAsia="en-GB"/>
              </w:rPr>
            </w:pPr>
          </w:p>
        </w:tc>
        <w:tc>
          <w:tcPr>
            <w:tcW w:w="1212" w:type="dxa"/>
            <w:noWrap/>
            <w:vAlign w:val="bottom"/>
            <w:hideMark/>
          </w:tcPr>
          <w:p w14:paraId="4E0EA773" w14:textId="77777777" w:rsidR="00C03883" w:rsidRPr="00A33AE8" w:rsidRDefault="00C03883" w:rsidP="006769DA">
            <w:pPr>
              <w:spacing w:after="0" w:line="256" w:lineRule="auto"/>
              <w:rPr>
                <w:sz w:val="20"/>
                <w:szCs w:val="20"/>
                <w:lang w:eastAsia="en-GB"/>
              </w:rPr>
            </w:pPr>
          </w:p>
        </w:tc>
      </w:tr>
      <w:tr w:rsidR="00C03883" w:rsidRPr="00A33AE8" w14:paraId="59717D15" w14:textId="77777777" w:rsidTr="006769DA">
        <w:trPr>
          <w:trHeight w:val="49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23211AD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9" w:type="dxa"/>
            <w:gridSpan w:val="3"/>
            <w:tcBorders>
              <w:top w:val="single" w:sz="8" w:space="0" w:color="auto"/>
              <w:left w:val="nil"/>
              <w:bottom w:val="single" w:sz="8" w:space="0" w:color="auto"/>
              <w:right w:val="single" w:sz="8" w:space="0" w:color="000000"/>
            </w:tcBorders>
            <w:vAlign w:val="center"/>
          </w:tcPr>
          <w:p w14:paraId="48104050" w14:textId="77777777" w:rsidR="00C03883" w:rsidRPr="00A33AE8" w:rsidRDefault="00C03883" w:rsidP="00884F3B">
            <w:pPr>
              <w:pStyle w:val="ListParagraph"/>
              <w:numPr>
                <w:ilvl w:val="0"/>
                <w:numId w:val="9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the Science Fund</w:t>
            </w:r>
          </w:p>
          <w:p w14:paraId="32802776" w14:textId="77777777" w:rsidR="00C03883" w:rsidRPr="00A33AE8" w:rsidRDefault="00C03883" w:rsidP="00884F3B">
            <w:pPr>
              <w:pStyle w:val="ListParagraph"/>
              <w:numPr>
                <w:ilvl w:val="0"/>
                <w:numId w:val="99"/>
              </w:numPr>
              <w:spacing w:after="0" w:line="240" w:lineRule="auto"/>
              <w:rPr>
                <w:rFonts w:ascii="Calibri Light" w:eastAsia="Times New Roman" w:hAnsi="Calibri Light" w:cs="Calibri Light"/>
                <w:color w:val="000000"/>
                <w:sz w:val="20"/>
                <w:szCs w:val="20"/>
                <w:lang w:eastAsia="en-GB"/>
              </w:rPr>
            </w:pPr>
            <w:r w:rsidRPr="00A33AE8">
              <w:rPr>
                <w:rFonts w:ascii="Calibri Light" w:eastAsia="Times New Roman" w:hAnsi="Calibri Light" w:cs="Calibri Light"/>
                <w:color w:val="000000"/>
                <w:sz w:val="20"/>
                <w:szCs w:val="20"/>
                <w:lang w:eastAsia="en-GB"/>
              </w:rPr>
              <w:t>Law on Science and Research</w:t>
            </w:r>
          </w:p>
        </w:tc>
        <w:tc>
          <w:tcPr>
            <w:tcW w:w="1212" w:type="dxa"/>
            <w:vAlign w:val="center"/>
            <w:hideMark/>
          </w:tcPr>
          <w:p w14:paraId="7976B101"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6E7C3715" w14:textId="77777777" w:rsidTr="006769DA">
        <w:trPr>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71D8631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9" w:type="dxa"/>
            <w:gridSpan w:val="3"/>
            <w:tcBorders>
              <w:top w:val="single" w:sz="8" w:space="0" w:color="auto"/>
              <w:left w:val="nil"/>
              <w:bottom w:val="single" w:sz="8" w:space="0" w:color="auto"/>
              <w:right w:val="single" w:sz="8" w:space="0" w:color="000000"/>
            </w:tcBorders>
            <w:vAlign w:val="center"/>
          </w:tcPr>
          <w:p w14:paraId="155D9E94"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9 M€</w:t>
            </w:r>
          </w:p>
        </w:tc>
        <w:tc>
          <w:tcPr>
            <w:tcW w:w="1212" w:type="dxa"/>
            <w:vAlign w:val="center"/>
            <w:hideMark/>
          </w:tcPr>
          <w:p w14:paraId="4399631D" w14:textId="77777777" w:rsidR="00C03883" w:rsidRPr="00A33AE8" w:rsidRDefault="00C03883" w:rsidP="006769DA">
            <w:pPr>
              <w:rPr>
                <w:rFonts w:ascii="Calibri" w:eastAsia="Times New Roman" w:hAnsi="Calibri" w:cs="Calibri"/>
                <w:color w:val="000000"/>
                <w:sz w:val="20"/>
                <w:szCs w:val="20"/>
                <w:lang w:eastAsia="en-GB"/>
              </w:rPr>
            </w:pPr>
          </w:p>
        </w:tc>
      </w:tr>
      <w:tr w:rsidR="00661664" w:rsidRPr="00A33AE8" w14:paraId="58EA2620" w14:textId="77777777" w:rsidTr="006769DA">
        <w:trPr>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2E5A21E2"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52D29B50" w14:textId="355B4B46" w:rsidR="009D7D80"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749D3F73" w14:textId="77777777" w:rsid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4F98147D" w14:textId="77777777" w:rsidR="00661664" w:rsidRPr="005B2C66"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1856E70A" w14:textId="77777777" w:rsidR="00661664" w:rsidRPr="00A33AE8" w:rsidRDefault="00661664" w:rsidP="00661664">
            <w:pPr>
              <w:rPr>
                <w:rFonts w:ascii="Calibri" w:eastAsia="Times New Roman" w:hAnsi="Calibri" w:cs="Calibri"/>
                <w:color w:val="000000"/>
                <w:sz w:val="20"/>
                <w:szCs w:val="20"/>
                <w:lang w:eastAsia="en-GB"/>
              </w:rPr>
            </w:pPr>
          </w:p>
        </w:tc>
      </w:tr>
    </w:tbl>
    <w:p w14:paraId="29C57C02"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271"/>
        <w:gridCol w:w="1052"/>
        <w:gridCol w:w="960"/>
        <w:gridCol w:w="4205"/>
        <w:gridCol w:w="1212"/>
      </w:tblGrid>
      <w:tr w:rsidR="00C03883" w:rsidRPr="00A33AE8" w14:paraId="7964C93F" w14:textId="77777777" w:rsidTr="006769DA">
        <w:trPr>
          <w:gridAfter w:val="1"/>
          <w:wAfter w:w="1212" w:type="dxa"/>
          <w:trHeight w:val="780"/>
        </w:trPr>
        <w:tc>
          <w:tcPr>
            <w:tcW w:w="3271"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8331F29"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7C3F37D7"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PM_RIC13</w:t>
            </w:r>
          </w:p>
        </w:tc>
        <w:tc>
          <w:tcPr>
            <w:tcW w:w="960" w:type="dxa"/>
            <w:tcBorders>
              <w:top w:val="single" w:sz="8" w:space="0" w:color="auto"/>
              <w:left w:val="nil"/>
              <w:bottom w:val="single" w:sz="8" w:space="0" w:color="auto"/>
              <w:right w:val="single" w:sz="8" w:space="0" w:color="auto"/>
            </w:tcBorders>
            <w:shd w:val="clear" w:color="auto" w:fill="244062"/>
            <w:vAlign w:val="center"/>
            <w:hideMark/>
          </w:tcPr>
          <w:p w14:paraId="204E2C0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205" w:type="dxa"/>
            <w:tcBorders>
              <w:top w:val="single" w:sz="8" w:space="0" w:color="auto"/>
              <w:left w:val="nil"/>
              <w:bottom w:val="single" w:sz="8" w:space="0" w:color="auto"/>
              <w:right w:val="single" w:sz="8" w:space="0" w:color="auto"/>
            </w:tcBorders>
            <w:shd w:val="clear" w:color="auto" w:fill="E7E6E6" w:themeFill="background2"/>
            <w:vAlign w:val="center"/>
            <w:hideMark/>
          </w:tcPr>
          <w:p w14:paraId="71FC5C10"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innovative technologies in transport and applications for micro-mobility</w:t>
            </w:r>
          </w:p>
        </w:tc>
      </w:tr>
      <w:tr w:rsidR="00C03883" w:rsidRPr="00A33AE8" w14:paraId="1D33819C" w14:textId="77777777" w:rsidTr="006769DA">
        <w:trPr>
          <w:gridAfter w:val="1"/>
          <w:wAfter w:w="1212" w:type="dxa"/>
          <w:trHeight w:val="289"/>
        </w:trPr>
        <w:tc>
          <w:tcPr>
            <w:tcW w:w="3271" w:type="dxa"/>
            <w:tcBorders>
              <w:top w:val="nil"/>
              <w:left w:val="single" w:sz="8" w:space="0" w:color="auto"/>
              <w:bottom w:val="single" w:sz="8" w:space="0" w:color="auto"/>
              <w:right w:val="nil"/>
            </w:tcBorders>
            <w:shd w:val="clear" w:color="auto" w:fill="244062"/>
            <w:vAlign w:val="center"/>
            <w:hideMark/>
          </w:tcPr>
          <w:p w14:paraId="2A89646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217" w:type="dxa"/>
            <w:gridSpan w:val="3"/>
            <w:tcBorders>
              <w:top w:val="single" w:sz="8" w:space="0" w:color="auto"/>
              <w:left w:val="nil"/>
              <w:bottom w:val="single" w:sz="8" w:space="0" w:color="auto"/>
              <w:right w:val="single" w:sz="8" w:space="0" w:color="000000"/>
            </w:tcBorders>
            <w:vAlign w:val="center"/>
            <w:hideMark/>
          </w:tcPr>
          <w:p w14:paraId="73DDC09F"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 Development of low carbon technologies</w:t>
            </w:r>
          </w:p>
        </w:tc>
      </w:tr>
      <w:tr w:rsidR="00C03883" w:rsidRPr="00A33AE8" w14:paraId="70E12986" w14:textId="77777777" w:rsidTr="006769DA">
        <w:trPr>
          <w:gridAfter w:val="1"/>
          <w:wAfter w:w="1212" w:type="dxa"/>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5BFFFC3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217" w:type="dxa"/>
            <w:gridSpan w:val="3"/>
            <w:tcBorders>
              <w:top w:val="single" w:sz="8" w:space="0" w:color="auto"/>
              <w:left w:val="nil"/>
              <w:bottom w:val="single" w:sz="8" w:space="0" w:color="auto"/>
              <w:right w:val="single" w:sz="8" w:space="0" w:color="000000"/>
            </w:tcBorders>
            <w:vAlign w:val="center"/>
            <w:hideMark/>
          </w:tcPr>
          <w:p w14:paraId="067C7D57"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per technology (Qualitative objective)</w:t>
            </w:r>
          </w:p>
        </w:tc>
      </w:tr>
      <w:tr w:rsidR="00C03883" w:rsidRPr="00A33AE8" w14:paraId="6758CB56" w14:textId="77777777" w:rsidTr="006769DA">
        <w:trPr>
          <w:gridAfter w:val="1"/>
          <w:wAfter w:w="1212" w:type="dxa"/>
          <w:trHeight w:val="301"/>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0902FF5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217" w:type="dxa"/>
            <w:gridSpan w:val="3"/>
            <w:tcBorders>
              <w:top w:val="single" w:sz="8" w:space="0" w:color="auto"/>
              <w:left w:val="nil"/>
              <w:bottom w:val="single" w:sz="8" w:space="0" w:color="auto"/>
              <w:right w:val="single" w:sz="8" w:space="0" w:color="000000"/>
            </w:tcBorders>
            <w:vAlign w:val="center"/>
            <w:hideMark/>
          </w:tcPr>
          <w:p w14:paraId="530AFB55" w14:textId="0A637FA5"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PM_RIC13 will support innovative actions concerning electric vehicles as well as their charging strategies, while emphasis will be placed on the electricity consumed coming from RES as well as for hydrogen produced from RES. Corresponding actions for the development of innovative technologies will be supported in the case of biofuels as renewable fuels for sustainable transport (fuels for road and air transport), namely: (1) development of advanced liquid and gaseous biofuels through biochemical or from autochthonous microorganisms and primary energy from RES, (2) demonstration of advanced liquid and gaseous biofuels through biochemical/thermochemical/chemical conversion from sustainable biomass and/or from autochthonous microorganisms and primary energy from RES, (3) development of other liquid and gaseous fuels (excluding hydrogen) through thermochemical / chemical / biochemical / electrochemical conversion of energy neutral carriers with RES, (4) demonstration of other liquid and gaseous fuels (excluding hydrogen) through thermochemical / chemical/ biochemical / electrochemical conversion of energy neutral carriers with RES, (5) Production of renewable hydrogen from electrolysis of water and electricity from RES. Actions for the design of efficient LNG storage facilities for ship refuelling will also be supported.</w:t>
            </w:r>
          </w:p>
        </w:tc>
      </w:tr>
      <w:tr w:rsidR="00C03883" w:rsidRPr="00A33AE8" w14:paraId="43645767" w14:textId="77777777" w:rsidTr="006769DA">
        <w:trPr>
          <w:gridAfter w:val="1"/>
          <w:wAfter w:w="1212" w:type="dxa"/>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547D8BD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217" w:type="dxa"/>
            <w:gridSpan w:val="3"/>
            <w:tcBorders>
              <w:top w:val="single" w:sz="8" w:space="0" w:color="auto"/>
              <w:left w:val="nil"/>
              <w:bottom w:val="single" w:sz="8" w:space="0" w:color="auto"/>
              <w:right w:val="single" w:sz="8" w:space="0" w:color="000000"/>
            </w:tcBorders>
            <w:vAlign w:val="center"/>
            <w:hideMark/>
          </w:tcPr>
          <w:p w14:paraId="6F69A824"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3A168CD7" w14:textId="77777777" w:rsidTr="006769DA">
        <w:trPr>
          <w:gridAfter w:val="1"/>
          <w:wAfter w:w="1212" w:type="dxa"/>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7B79DAA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217" w:type="dxa"/>
            <w:gridSpan w:val="3"/>
            <w:tcBorders>
              <w:top w:val="single" w:sz="8" w:space="0" w:color="auto"/>
              <w:left w:val="nil"/>
              <w:bottom w:val="single" w:sz="8" w:space="0" w:color="auto"/>
              <w:right w:val="single" w:sz="8" w:space="0" w:color="000000"/>
            </w:tcBorders>
            <w:vAlign w:val="center"/>
            <w:hideMark/>
          </w:tcPr>
          <w:p w14:paraId="0CC69A35"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6B27EA7C" w14:textId="77777777" w:rsidTr="006769DA">
        <w:trPr>
          <w:gridAfter w:val="1"/>
          <w:wAfter w:w="1212" w:type="dxa"/>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0E25E6A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217" w:type="dxa"/>
            <w:gridSpan w:val="3"/>
            <w:tcBorders>
              <w:top w:val="single" w:sz="8" w:space="0" w:color="auto"/>
              <w:left w:val="nil"/>
              <w:bottom w:val="single" w:sz="8" w:space="0" w:color="auto"/>
              <w:right w:val="single" w:sz="8" w:space="0" w:color="000000"/>
            </w:tcBorders>
            <w:vAlign w:val="center"/>
            <w:hideMark/>
          </w:tcPr>
          <w:p w14:paraId="5F0F5B21"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Sustainable transport</w:t>
            </w:r>
          </w:p>
        </w:tc>
      </w:tr>
      <w:tr w:rsidR="00C03883" w:rsidRPr="00A33AE8" w14:paraId="2A85AECE" w14:textId="77777777" w:rsidTr="006769DA">
        <w:trPr>
          <w:gridAfter w:val="1"/>
          <w:wAfter w:w="1212" w:type="dxa"/>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755B8DA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217" w:type="dxa"/>
            <w:gridSpan w:val="3"/>
            <w:tcBorders>
              <w:top w:val="single" w:sz="8" w:space="0" w:color="auto"/>
              <w:left w:val="nil"/>
              <w:bottom w:val="single" w:sz="8" w:space="0" w:color="auto"/>
              <w:right w:val="single" w:sz="8" w:space="0" w:color="000000"/>
            </w:tcBorders>
            <w:vAlign w:val="center"/>
            <w:hideMark/>
          </w:tcPr>
          <w:p w14:paraId="5456548D"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0EF67C11"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Construction, Transport and Infrastructure</w:t>
            </w:r>
          </w:p>
          <w:p w14:paraId="21025FA9"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31C94CF" w14:textId="77777777" w:rsidR="00C03883" w:rsidRPr="00A33AE8" w:rsidRDefault="00C03883" w:rsidP="00884F3B">
            <w:pPr>
              <w:pStyle w:val="ListParagraph"/>
              <w:numPr>
                <w:ilvl w:val="0"/>
                <w:numId w:val="205"/>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C03883" w:rsidRPr="00A33AE8" w14:paraId="02EB84CC" w14:textId="77777777" w:rsidTr="006769DA">
        <w:trPr>
          <w:gridAfter w:val="1"/>
          <w:wAfter w:w="1212" w:type="dxa"/>
          <w:trHeight w:val="315"/>
        </w:trPr>
        <w:tc>
          <w:tcPr>
            <w:tcW w:w="3271" w:type="dxa"/>
            <w:tcBorders>
              <w:top w:val="nil"/>
              <w:left w:val="single" w:sz="8" w:space="0" w:color="auto"/>
              <w:bottom w:val="single" w:sz="8" w:space="0" w:color="auto"/>
              <w:right w:val="nil"/>
            </w:tcBorders>
            <w:shd w:val="clear" w:color="auto" w:fill="244062"/>
            <w:vAlign w:val="center"/>
            <w:hideMark/>
          </w:tcPr>
          <w:p w14:paraId="658FD40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217" w:type="dxa"/>
            <w:gridSpan w:val="3"/>
            <w:tcBorders>
              <w:top w:val="single" w:sz="8" w:space="0" w:color="auto"/>
              <w:left w:val="nil"/>
              <w:bottom w:val="single" w:sz="8" w:space="0" w:color="auto"/>
              <w:right w:val="single" w:sz="8" w:space="0" w:color="000000"/>
            </w:tcBorders>
            <w:vAlign w:val="center"/>
            <w:hideMark/>
          </w:tcPr>
          <w:p w14:paraId="59C4E28F" w14:textId="77777777" w:rsidR="00C03883" w:rsidRPr="00A33AE8" w:rsidRDefault="00C03883" w:rsidP="00884F3B">
            <w:pPr>
              <w:pStyle w:val="ListParagraph"/>
              <w:numPr>
                <w:ilvl w:val="0"/>
                <w:numId w:val="20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1346AA1" w14:textId="77777777" w:rsidR="00C03883" w:rsidRPr="00A33AE8" w:rsidRDefault="00C03883" w:rsidP="00884F3B">
            <w:pPr>
              <w:pStyle w:val="ListParagraph"/>
              <w:numPr>
                <w:ilvl w:val="0"/>
                <w:numId w:val="207"/>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3BD3C728" w14:textId="77777777" w:rsidTr="006769DA">
        <w:trPr>
          <w:gridAfter w:val="1"/>
          <w:wAfter w:w="1212" w:type="dxa"/>
          <w:trHeight w:val="315"/>
        </w:trPr>
        <w:tc>
          <w:tcPr>
            <w:tcW w:w="3271" w:type="dxa"/>
            <w:tcBorders>
              <w:top w:val="nil"/>
              <w:left w:val="single" w:sz="8" w:space="0" w:color="auto"/>
              <w:bottom w:val="single" w:sz="8" w:space="0" w:color="auto"/>
              <w:right w:val="nil"/>
            </w:tcBorders>
            <w:shd w:val="clear" w:color="auto" w:fill="244062"/>
            <w:vAlign w:val="center"/>
            <w:hideMark/>
          </w:tcPr>
          <w:p w14:paraId="2052459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217" w:type="dxa"/>
            <w:gridSpan w:val="3"/>
            <w:tcBorders>
              <w:top w:val="single" w:sz="8" w:space="0" w:color="auto"/>
              <w:left w:val="nil"/>
              <w:bottom w:val="single" w:sz="8" w:space="0" w:color="auto"/>
              <w:right w:val="single" w:sz="8" w:space="0" w:color="000000"/>
            </w:tcBorders>
            <w:vAlign w:val="center"/>
            <w:hideMark/>
          </w:tcPr>
          <w:p w14:paraId="0F43EC7A"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Number of research projects development on transport </w:t>
            </w:r>
            <w:r w:rsidR="00C96A78" w:rsidRPr="00A33AE8">
              <w:rPr>
                <w:rFonts w:asciiTheme="majorHAnsi" w:eastAsia="Times New Roman" w:hAnsiTheme="majorHAnsi" w:cstheme="majorHAnsi"/>
                <w:color w:val="000000"/>
                <w:sz w:val="20"/>
                <w:szCs w:val="20"/>
                <w:lang w:eastAsia="en-GB"/>
              </w:rPr>
              <w:t>technologies and</w:t>
            </w:r>
            <w:r w:rsidRPr="00A33AE8">
              <w:rPr>
                <w:rFonts w:asciiTheme="majorHAnsi" w:eastAsia="Times New Roman" w:hAnsiTheme="majorHAnsi" w:cstheme="majorHAnsi"/>
                <w:color w:val="000000"/>
                <w:sz w:val="20"/>
                <w:szCs w:val="20"/>
                <w:lang w:eastAsia="en-GB"/>
              </w:rPr>
              <w:t xml:space="preserve"> applications for micro-mobility on an annual basis</w:t>
            </w:r>
          </w:p>
        </w:tc>
      </w:tr>
      <w:tr w:rsidR="00213B57" w:rsidRPr="00A33AE8" w14:paraId="756CE6E3" w14:textId="77777777" w:rsidTr="006769DA">
        <w:trPr>
          <w:gridAfter w:val="1"/>
          <w:wAfter w:w="1212" w:type="dxa"/>
          <w:trHeight w:val="443"/>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468C2445"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217" w:type="dxa"/>
            <w:gridSpan w:val="3"/>
            <w:tcBorders>
              <w:top w:val="single" w:sz="8" w:space="0" w:color="auto"/>
              <w:left w:val="nil"/>
              <w:bottom w:val="single" w:sz="8" w:space="0" w:color="auto"/>
              <w:right w:val="single" w:sz="8" w:space="0" w:color="000000"/>
            </w:tcBorders>
            <w:vAlign w:val="center"/>
          </w:tcPr>
          <w:p w14:paraId="095843A3"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1A276C27"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tc>
      </w:tr>
      <w:tr w:rsidR="00C03883" w:rsidRPr="00A33AE8" w14:paraId="3BDECA0A" w14:textId="77777777" w:rsidTr="006769DA">
        <w:trPr>
          <w:gridAfter w:val="1"/>
          <w:wAfter w:w="1212" w:type="dxa"/>
          <w:trHeight w:val="450"/>
        </w:trPr>
        <w:tc>
          <w:tcPr>
            <w:tcW w:w="3271" w:type="dxa"/>
            <w:vMerge w:val="restart"/>
            <w:tcBorders>
              <w:top w:val="nil"/>
              <w:left w:val="single" w:sz="8" w:space="0" w:color="auto"/>
              <w:bottom w:val="single" w:sz="8" w:space="0" w:color="000000"/>
              <w:right w:val="single" w:sz="8" w:space="0" w:color="auto"/>
            </w:tcBorders>
            <w:shd w:val="clear" w:color="auto" w:fill="244062"/>
            <w:vAlign w:val="center"/>
            <w:hideMark/>
          </w:tcPr>
          <w:p w14:paraId="6DE280A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217" w:type="dxa"/>
            <w:gridSpan w:val="3"/>
            <w:vMerge w:val="restart"/>
            <w:tcBorders>
              <w:top w:val="single" w:sz="8" w:space="0" w:color="auto"/>
              <w:left w:val="single" w:sz="8" w:space="0" w:color="auto"/>
              <w:bottom w:val="single" w:sz="8" w:space="0" w:color="000000"/>
              <w:right w:val="single" w:sz="8" w:space="0" w:color="000000"/>
            </w:tcBorders>
            <w:vAlign w:val="center"/>
          </w:tcPr>
          <w:p w14:paraId="256F9AE8" w14:textId="77777777" w:rsidR="00C03883" w:rsidRPr="00A33AE8" w:rsidRDefault="00C03883" w:rsidP="00884F3B">
            <w:pPr>
              <w:pStyle w:val="ListParagraph"/>
              <w:numPr>
                <w:ilvl w:val="0"/>
                <w:numId w:val="10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p w14:paraId="45968E52" w14:textId="77777777" w:rsidR="00C03883" w:rsidRPr="00A33AE8" w:rsidRDefault="00C03883" w:rsidP="00884F3B">
            <w:pPr>
              <w:pStyle w:val="ListParagraph"/>
              <w:numPr>
                <w:ilvl w:val="0"/>
                <w:numId w:val="10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lastRenderedPageBreak/>
              <w:t>Research and Innovation Strategies for Smart Specialisation (RIS 3)</w:t>
            </w:r>
          </w:p>
        </w:tc>
      </w:tr>
      <w:tr w:rsidR="00C03883" w:rsidRPr="00A33AE8" w14:paraId="6611DFF3"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6CF9AAD6"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217" w:type="dxa"/>
            <w:gridSpan w:val="3"/>
            <w:vMerge/>
            <w:tcBorders>
              <w:top w:val="single" w:sz="8" w:space="0" w:color="auto"/>
              <w:left w:val="single" w:sz="8" w:space="0" w:color="auto"/>
              <w:bottom w:val="single" w:sz="8" w:space="0" w:color="000000"/>
              <w:right w:val="single" w:sz="8" w:space="0" w:color="000000"/>
            </w:tcBorders>
            <w:vAlign w:val="center"/>
          </w:tcPr>
          <w:p w14:paraId="411BBF57" w14:textId="77777777" w:rsidR="00C03883" w:rsidRPr="00A33AE8" w:rsidRDefault="00C03883" w:rsidP="00884F3B">
            <w:pPr>
              <w:pStyle w:val="ListParagraph"/>
              <w:numPr>
                <w:ilvl w:val="0"/>
                <w:numId w:val="100"/>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0884026" w14:textId="77777777" w:rsidR="00C03883" w:rsidRPr="00A33AE8" w:rsidRDefault="00C03883" w:rsidP="006769DA">
            <w:pPr>
              <w:rPr>
                <w:sz w:val="20"/>
                <w:szCs w:val="20"/>
              </w:rPr>
            </w:pPr>
          </w:p>
        </w:tc>
      </w:tr>
      <w:tr w:rsidR="00C03883" w:rsidRPr="00A33AE8" w14:paraId="612EF067"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56C94791"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217" w:type="dxa"/>
            <w:gridSpan w:val="3"/>
            <w:vMerge/>
            <w:tcBorders>
              <w:top w:val="single" w:sz="8" w:space="0" w:color="auto"/>
              <w:left w:val="single" w:sz="8" w:space="0" w:color="auto"/>
              <w:bottom w:val="single" w:sz="8" w:space="0" w:color="000000"/>
              <w:right w:val="single" w:sz="8" w:space="0" w:color="000000"/>
            </w:tcBorders>
            <w:vAlign w:val="center"/>
          </w:tcPr>
          <w:p w14:paraId="02CB5ACC" w14:textId="77777777" w:rsidR="00C03883" w:rsidRPr="00A33AE8" w:rsidRDefault="00C03883" w:rsidP="00884F3B">
            <w:pPr>
              <w:pStyle w:val="ListParagraph"/>
              <w:numPr>
                <w:ilvl w:val="0"/>
                <w:numId w:val="100"/>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E6704C6" w14:textId="77777777" w:rsidR="00C03883" w:rsidRPr="00A33AE8" w:rsidRDefault="00C03883" w:rsidP="006769DA">
            <w:pPr>
              <w:spacing w:after="0" w:line="256" w:lineRule="auto"/>
              <w:rPr>
                <w:sz w:val="20"/>
                <w:szCs w:val="20"/>
                <w:lang w:eastAsia="en-GB"/>
              </w:rPr>
            </w:pPr>
          </w:p>
        </w:tc>
      </w:tr>
      <w:tr w:rsidR="00C03883" w:rsidRPr="00A33AE8" w14:paraId="371F775C" w14:textId="77777777" w:rsidTr="006769DA">
        <w:trPr>
          <w:trHeight w:val="5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60C99368"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217" w:type="dxa"/>
            <w:gridSpan w:val="3"/>
            <w:tcBorders>
              <w:top w:val="single" w:sz="8" w:space="0" w:color="auto"/>
              <w:left w:val="nil"/>
              <w:bottom w:val="single" w:sz="8" w:space="0" w:color="auto"/>
              <w:right w:val="single" w:sz="8" w:space="0" w:color="000000"/>
            </w:tcBorders>
            <w:vAlign w:val="center"/>
          </w:tcPr>
          <w:p w14:paraId="3028DD84" w14:textId="77777777" w:rsidR="00C03883" w:rsidRPr="00A33AE8" w:rsidRDefault="00C03883" w:rsidP="00884F3B">
            <w:pPr>
              <w:pStyle w:val="ListParagraph"/>
              <w:numPr>
                <w:ilvl w:val="0"/>
                <w:numId w:val="10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2AC6D78A" w14:textId="77777777" w:rsidR="00C03883" w:rsidRPr="00A33AE8" w:rsidRDefault="00C03883" w:rsidP="00884F3B">
            <w:pPr>
              <w:pStyle w:val="ListParagraph"/>
              <w:numPr>
                <w:ilvl w:val="0"/>
                <w:numId w:val="10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294780A8"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27A6FE60" w14:textId="77777777" w:rsidTr="006769DA">
        <w:trPr>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4D32E57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217" w:type="dxa"/>
            <w:gridSpan w:val="3"/>
            <w:tcBorders>
              <w:top w:val="single" w:sz="8" w:space="0" w:color="auto"/>
              <w:left w:val="nil"/>
              <w:bottom w:val="single" w:sz="8" w:space="0" w:color="auto"/>
              <w:right w:val="single" w:sz="8" w:space="0" w:color="000000"/>
            </w:tcBorders>
            <w:vAlign w:val="center"/>
          </w:tcPr>
          <w:p w14:paraId="34997599"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10.9 M€</w:t>
            </w:r>
          </w:p>
        </w:tc>
        <w:tc>
          <w:tcPr>
            <w:tcW w:w="1212" w:type="dxa"/>
            <w:vAlign w:val="center"/>
            <w:hideMark/>
          </w:tcPr>
          <w:p w14:paraId="7E413BFB" w14:textId="77777777" w:rsidR="00C03883" w:rsidRPr="00A33AE8" w:rsidRDefault="00C03883" w:rsidP="006769DA">
            <w:pPr>
              <w:rPr>
                <w:rFonts w:ascii="Calibri" w:eastAsia="Times New Roman" w:hAnsi="Calibri" w:cs="Calibri"/>
                <w:color w:val="000000"/>
                <w:sz w:val="20"/>
                <w:szCs w:val="20"/>
                <w:lang w:eastAsia="en-GB"/>
              </w:rPr>
            </w:pPr>
          </w:p>
        </w:tc>
      </w:tr>
      <w:tr w:rsidR="00661664" w:rsidRPr="00A33AE8" w14:paraId="1EC0BAEC" w14:textId="77777777" w:rsidTr="006769DA">
        <w:trPr>
          <w:trHeight w:val="315"/>
        </w:trPr>
        <w:tc>
          <w:tcPr>
            <w:tcW w:w="3271" w:type="dxa"/>
            <w:tcBorders>
              <w:top w:val="nil"/>
              <w:left w:val="single" w:sz="8" w:space="0" w:color="auto"/>
              <w:bottom w:val="single" w:sz="8" w:space="0" w:color="auto"/>
              <w:right w:val="single" w:sz="8" w:space="0" w:color="auto"/>
            </w:tcBorders>
            <w:shd w:val="clear" w:color="auto" w:fill="244062"/>
            <w:vAlign w:val="center"/>
            <w:hideMark/>
          </w:tcPr>
          <w:p w14:paraId="4C797BD2"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217" w:type="dxa"/>
            <w:gridSpan w:val="3"/>
            <w:tcBorders>
              <w:top w:val="single" w:sz="8" w:space="0" w:color="auto"/>
              <w:left w:val="nil"/>
              <w:bottom w:val="single" w:sz="8" w:space="0" w:color="auto"/>
              <w:right w:val="single" w:sz="8" w:space="0" w:color="000000"/>
            </w:tcBorders>
            <w:shd w:val="clear" w:color="auto" w:fill="auto"/>
            <w:vAlign w:val="center"/>
            <w:hideMark/>
          </w:tcPr>
          <w:p w14:paraId="6B90040C" w14:textId="26248DCC" w:rsidR="009D7D80"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0EF83B9F" w14:textId="77777777" w:rsid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6413EE98" w14:textId="77777777" w:rsidR="00661664"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6BB52105" w14:textId="77777777" w:rsidR="00661664" w:rsidRPr="00A33AE8" w:rsidRDefault="00661664" w:rsidP="00661664">
            <w:pPr>
              <w:rPr>
                <w:rFonts w:ascii="Calibri" w:eastAsia="Times New Roman" w:hAnsi="Calibri" w:cs="Calibri"/>
                <w:color w:val="000000"/>
                <w:sz w:val="20"/>
                <w:szCs w:val="20"/>
                <w:lang w:eastAsia="en-GB"/>
              </w:rPr>
            </w:pPr>
          </w:p>
        </w:tc>
      </w:tr>
    </w:tbl>
    <w:p w14:paraId="62CFBE2F"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09"/>
        <w:gridCol w:w="1052"/>
        <w:gridCol w:w="938"/>
        <w:gridCol w:w="4189"/>
        <w:gridCol w:w="1212"/>
      </w:tblGrid>
      <w:tr w:rsidR="00C03883" w:rsidRPr="00A33AE8" w14:paraId="47F3CC51" w14:textId="77777777" w:rsidTr="006769DA">
        <w:trPr>
          <w:gridAfter w:val="1"/>
          <w:wAfter w:w="1212" w:type="dxa"/>
          <w:trHeight w:val="780"/>
        </w:trPr>
        <w:tc>
          <w:tcPr>
            <w:tcW w:w="3309"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56BFF1BB"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CA978EA"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PM_RIC14</w:t>
            </w:r>
          </w:p>
        </w:tc>
        <w:tc>
          <w:tcPr>
            <w:tcW w:w="938" w:type="dxa"/>
            <w:tcBorders>
              <w:top w:val="single" w:sz="8" w:space="0" w:color="auto"/>
              <w:left w:val="nil"/>
              <w:bottom w:val="single" w:sz="8" w:space="0" w:color="auto"/>
              <w:right w:val="single" w:sz="8" w:space="0" w:color="auto"/>
            </w:tcBorders>
            <w:shd w:val="clear" w:color="auto" w:fill="244062"/>
            <w:vAlign w:val="center"/>
            <w:hideMark/>
          </w:tcPr>
          <w:p w14:paraId="2C9064A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89" w:type="dxa"/>
            <w:tcBorders>
              <w:top w:val="single" w:sz="8" w:space="0" w:color="auto"/>
              <w:left w:val="nil"/>
              <w:bottom w:val="single" w:sz="8" w:space="0" w:color="auto"/>
              <w:right w:val="single" w:sz="8" w:space="0" w:color="auto"/>
            </w:tcBorders>
            <w:shd w:val="clear" w:color="auto" w:fill="E7E6E6" w:themeFill="background2"/>
            <w:vAlign w:val="center"/>
            <w:hideMark/>
          </w:tcPr>
          <w:p w14:paraId="3A72249F" w14:textId="77777777" w:rsidR="00C03883" w:rsidRPr="00A33AE8" w:rsidRDefault="00C03883" w:rsidP="006769DA">
            <w:pPr>
              <w:spacing w:after="0" w:line="240" w:lineRule="auto"/>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Development of innovative energy storage applications</w:t>
            </w:r>
          </w:p>
        </w:tc>
      </w:tr>
      <w:tr w:rsidR="00C03883" w:rsidRPr="00A33AE8" w14:paraId="4EBF209A" w14:textId="77777777" w:rsidTr="006769DA">
        <w:trPr>
          <w:gridAfter w:val="1"/>
          <w:wAfter w:w="1212" w:type="dxa"/>
          <w:trHeight w:val="289"/>
        </w:trPr>
        <w:tc>
          <w:tcPr>
            <w:tcW w:w="3309" w:type="dxa"/>
            <w:tcBorders>
              <w:top w:val="nil"/>
              <w:left w:val="single" w:sz="8" w:space="0" w:color="auto"/>
              <w:bottom w:val="single" w:sz="8" w:space="0" w:color="auto"/>
              <w:right w:val="nil"/>
            </w:tcBorders>
            <w:shd w:val="clear" w:color="auto" w:fill="244062"/>
            <w:vAlign w:val="center"/>
            <w:hideMark/>
          </w:tcPr>
          <w:p w14:paraId="6EF2101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9" w:type="dxa"/>
            <w:gridSpan w:val="3"/>
            <w:tcBorders>
              <w:top w:val="single" w:sz="8" w:space="0" w:color="auto"/>
              <w:left w:val="nil"/>
              <w:bottom w:val="single" w:sz="8" w:space="0" w:color="auto"/>
              <w:right w:val="single" w:sz="8" w:space="0" w:color="000000"/>
            </w:tcBorders>
            <w:vAlign w:val="center"/>
            <w:hideMark/>
          </w:tcPr>
          <w:p w14:paraId="57616727"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 Development of low carbon technologies</w:t>
            </w:r>
          </w:p>
        </w:tc>
      </w:tr>
      <w:tr w:rsidR="00C03883" w:rsidRPr="00A33AE8" w14:paraId="4D87665F"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1552A13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9" w:type="dxa"/>
            <w:gridSpan w:val="3"/>
            <w:tcBorders>
              <w:top w:val="single" w:sz="8" w:space="0" w:color="auto"/>
              <w:left w:val="nil"/>
              <w:bottom w:val="single" w:sz="8" w:space="0" w:color="auto"/>
              <w:right w:val="single" w:sz="8" w:space="0" w:color="000000"/>
            </w:tcBorders>
            <w:vAlign w:val="center"/>
          </w:tcPr>
          <w:p w14:paraId="1DFEA833"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per technology (Qualitative objective)</w:t>
            </w:r>
          </w:p>
        </w:tc>
      </w:tr>
      <w:tr w:rsidR="00C03883" w:rsidRPr="00A33AE8" w14:paraId="61FC84DA" w14:textId="77777777" w:rsidTr="006769DA">
        <w:trPr>
          <w:gridAfter w:val="1"/>
          <w:wAfter w:w="1212" w:type="dxa"/>
          <w:trHeight w:val="1229"/>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5E6F2D0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79" w:type="dxa"/>
            <w:gridSpan w:val="3"/>
            <w:tcBorders>
              <w:top w:val="single" w:sz="8" w:space="0" w:color="auto"/>
              <w:left w:val="nil"/>
              <w:bottom w:val="single" w:sz="8" w:space="0" w:color="auto"/>
              <w:right w:val="single" w:sz="8" w:space="0" w:color="000000"/>
            </w:tcBorders>
            <w:vAlign w:val="center"/>
            <w:hideMark/>
          </w:tcPr>
          <w:p w14:paraId="6A1FD35D"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PM_RIC14 will aim at developing new or improving existing storage technologies with higher efficiency, availability, durability, safety and at the lowest possible cost. Electrochemical energy storage technologies will be supported, which will mainly concern RES applications for utilization in non-interconnected electricity grid or in remote parts of the electricity network.</w:t>
            </w:r>
          </w:p>
        </w:tc>
      </w:tr>
      <w:tr w:rsidR="00C03883" w:rsidRPr="00A33AE8" w14:paraId="46750579"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2F8198E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79" w:type="dxa"/>
            <w:gridSpan w:val="3"/>
            <w:tcBorders>
              <w:top w:val="single" w:sz="8" w:space="0" w:color="auto"/>
              <w:left w:val="nil"/>
              <w:bottom w:val="single" w:sz="8" w:space="0" w:color="auto"/>
              <w:right w:val="single" w:sz="8" w:space="0" w:color="000000"/>
            </w:tcBorders>
            <w:vAlign w:val="center"/>
            <w:hideMark/>
          </w:tcPr>
          <w:p w14:paraId="19D2C8FB"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2BFEB193"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125FC6F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9" w:type="dxa"/>
            <w:gridSpan w:val="3"/>
            <w:tcBorders>
              <w:top w:val="single" w:sz="8" w:space="0" w:color="auto"/>
              <w:left w:val="nil"/>
              <w:bottom w:val="single" w:sz="8" w:space="0" w:color="auto"/>
              <w:right w:val="single" w:sz="8" w:space="0" w:color="000000"/>
            </w:tcBorders>
            <w:vAlign w:val="center"/>
            <w:hideMark/>
          </w:tcPr>
          <w:p w14:paraId="7F6049DD"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1838650E"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64EF2BD7"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9" w:type="dxa"/>
            <w:gridSpan w:val="3"/>
            <w:tcBorders>
              <w:top w:val="single" w:sz="8" w:space="0" w:color="auto"/>
              <w:left w:val="nil"/>
              <w:bottom w:val="single" w:sz="8" w:space="0" w:color="auto"/>
              <w:right w:val="single" w:sz="8" w:space="0" w:color="000000"/>
            </w:tcBorders>
            <w:vAlign w:val="center"/>
            <w:hideMark/>
          </w:tcPr>
          <w:p w14:paraId="4671D655"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Sustainable transport, smart energy system, CCUS</w:t>
            </w:r>
          </w:p>
        </w:tc>
      </w:tr>
      <w:tr w:rsidR="00C03883" w:rsidRPr="00A33AE8" w14:paraId="1BDE7CF4" w14:textId="77777777" w:rsidTr="006769DA">
        <w:trPr>
          <w:gridAfter w:val="1"/>
          <w:wAfter w:w="1212" w:type="dxa"/>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46898C5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9" w:type="dxa"/>
            <w:gridSpan w:val="3"/>
            <w:tcBorders>
              <w:top w:val="single" w:sz="8" w:space="0" w:color="auto"/>
              <w:left w:val="nil"/>
              <w:bottom w:val="single" w:sz="8" w:space="0" w:color="auto"/>
              <w:right w:val="single" w:sz="8" w:space="0" w:color="000000"/>
            </w:tcBorders>
            <w:vAlign w:val="center"/>
            <w:hideMark/>
          </w:tcPr>
          <w:p w14:paraId="25D91582" w14:textId="77777777" w:rsidR="00C03883" w:rsidRPr="00A33AE8" w:rsidRDefault="00C03883" w:rsidP="00884F3B">
            <w:pPr>
              <w:pStyle w:val="ListParagraph"/>
              <w:numPr>
                <w:ilvl w:val="0"/>
                <w:numId w:val="20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141AEF66" w14:textId="77777777" w:rsidR="00C03883" w:rsidRPr="00A33AE8" w:rsidRDefault="00C03883" w:rsidP="00884F3B">
            <w:pPr>
              <w:pStyle w:val="ListParagraph"/>
              <w:numPr>
                <w:ilvl w:val="0"/>
                <w:numId w:val="20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685EE75B" w14:textId="77777777" w:rsidR="00C03883" w:rsidRPr="00A33AE8" w:rsidRDefault="00C03883" w:rsidP="00884F3B">
            <w:pPr>
              <w:pStyle w:val="ListParagraph"/>
              <w:numPr>
                <w:ilvl w:val="0"/>
                <w:numId w:val="20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C03883" w:rsidRPr="00A33AE8" w14:paraId="2301123C" w14:textId="77777777" w:rsidTr="006769DA">
        <w:trPr>
          <w:gridAfter w:val="1"/>
          <w:wAfter w:w="1212" w:type="dxa"/>
          <w:trHeight w:val="315"/>
        </w:trPr>
        <w:tc>
          <w:tcPr>
            <w:tcW w:w="3309" w:type="dxa"/>
            <w:tcBorders>
              <w:top w:val="nil"/>
              <w:left w:val="single" w:sz="8" w:space="0" w:color="auto"/>
              <w:bottom w:val="single" w:sz="8" w:space="0" w:color="auto"/>
              <w:right w:val="nil"/>
            </w:tcBorders>
            <w:shd w:val="clear" w:color="auto" w:fill="244062"/>
            <w:vAlign w:val="center"/>
            <w:hideMark/>
          </w:tcPr>
          <w:p w14:paraId="416C6FE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9" w:type="dxa"/>
            <w:gridSpan w:val="3"/>
            <w:tcBorders>
              <w:top w:val="single" w:sz="8" w:space="0" w:color="auto"/>
              <w:left w:val="nil"/>
              <w:bottom w:val="single" w:sz="8" w:space="0" w:color="auto"/>
              <w:right w:val="single" w:sz="8" w:space="0" w:color="000000"/>
            </w:tcBorders>
            <w:vAlign w:val="center"/>
            <w:hideMark/>
          </w:tcPr>
          <w:p w14:paraId="780D29BC" w14:textId="77777777" w:rsidR="00C03883" w:rsidRPr="00A33AE8" w:rsidRDefault="00C03883" w:rsidP="00884F3B">
            <w:pPr>
              <w:pStyle w:val="ListParagraph"/>
              <w:numPr>
                <w:ilvl w:val="0"/>
                <w:numId w:val="20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2C06FC12" w14:textId="77777777" w:rsidR="00C03883" w:rsidRPr="00A33AE8" w:rsidRDefault="00C03883" w:rsidP="00884F3B">
            <w:pPr>
              <w:pStyle w:val="ListParagraph"/>
              <w:numPr>
                <w:ilvl w:val="0"/>
                <w:numId w:val="20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75BFCCF1" w14:textId="77777777" w:rsidTr="006769DA">
        <w:trPr>
          <w:gridAfter w:val="1"/>
          <w:wAfter w:w="1212" w:type="dxa"/>
          <w:trHeight w:val="315"/>
        </w:trPr>
        <w:tc>
          <w:tcPr>
            <w:tcW w:w="3309" w:type="dxa"/>
            <w:tcBorders>
              <w:top w:val="nil"/>
              <w:left w:val="single" w:sz="8" w:space="0" w:color="auto"/>
              <w:bottom w:val="single" w:sz="8" w:space="0" w:color="auto"/>
              <w:right w:val="nil"/>
            </w:tcBorders>
            <w:shd w:val="clear" w:color="auto" w:fill="244062"/>
            <w:vAlign w:val="center"/>
            <w:hideMark/>
          </w:tcPr>
          <w:p w14:paraId="7B255D8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9" w:type="dxa"/>
            <w:gridSpan w:val="3"/>
            <w:tcBorders>
              <w:top w:val="single" w:sz="8" w:space="0" w:color="auto"/>
              <w:left w:val="nil"/>
              <w:bottom w:val="single" w:sz="8" w:space="0" w:color="auto"/>
              <w:right w:val="single" w:sz="8" w:space="0" w:color="000000"/>
            </w:tcBorders>
            <w:vAlign w:val="center"/>
            <w:hideMark/>
          </w:tcPr>
          <w:p w14:paraId="638162FF"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research projects development on energy storage applications on an annual basis</w:t>
            </w:r>
          </w:p>
        </w:tc>
      </w:tr>
      <w:tr w:rsidR="00213B57" w:rsidRPr="00A33AE8" w14:paraId="213563D2" w14:textId="77777777" w:rsidTr="006769DA">
        <w:trPr>
          <w:gridAfter w:val="1"/>
          <w:wAfter w:w="1212" w:type="dxa"/>
          <w:trHeight w:val="45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5A262080"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9" w:type="dxa"/>
            <w:gridSpan w:val="3"/>
            <w:tcBorders>
              <w:top w:val="single" w:sz="8" w:space="0" w:color="auto"/>
              <w:left w:val="nil"/>
              <w:bottom w:val="single" w:sz="8" w:space="0" w:color="auto"/>
              <w:right w:val="single" w:sz="8" w:space="0" w:color="000000"/>
            </w:tcBorders>
            <w:vAlign w:val="center"/>
          </w:tcPr>
          <w:p w14:paraId="03B9BE86"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p w14:paraId="07CEBD00" w14:textId="77777777" w:rsidR="00213B57" w:rsidRPr="00A33AE8" w:rsidRDefault="00213B57" w:rsidP="00884F3B">
            <w:pPr>
              <w:pStyle w:val="ListParagraph"/>
              <w:numPr>
                <w:ilvl w:val="0"/>
                <w:numId w:val="9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Energy Security</w:t>
            </w:r>
          </w:p>
        </w:tc>
      </w:tr>
      <w:tr w:rsidR="00C03883" w:rsidRPr="00A33AE8" w14:paraId="7AEC5675" w14:textId="77777777" w:rsidTr="006769DA">
        <w:trPr>
          <w:gridAfter w:val="1"/>
          <w:wAfter w:w="1212" w:type="dxa"/>
          <w:trHeight w:val="450"/>
        </w:trPr>
        <w:tc>
          <w:tcPr>
            <w:tcW w:w="3309" w:type="dxa"/>
            <w:vMerge w:val="restart"/>
            <w:tcBorders>
              <w:top w:val="nil"/>
              <w:left w:val="single" w:sz="8" w:space="0" w:color="auto"/>
              <w:bottom w:val="single" w:sz="8" w:space="0" w:color="000000"/>
              <w:right w:val="single" w:sz="8" w:space="0" w:color="auto"/>
            </w:tcBorders>
            <w:shd w:val="clear" w:color="auto" w:fill="244062"/>
            <w:vAlign w:val="center"/>
            <w:hideMark/>
          </w:tcPr>
          <w:p w14:paraId="18433952"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79" w:type="dxa"/>
            <w:gridSpan w:val="3"/>
            <w:vMerge w:val="restart"/>
            <w:tcBorders>
              <w:top w:val="single" w:sz="8" w:space="0" w:color="auto"/>
              <w:left w:val="single" w:sz="8" w:space="0" w:color="auto"/>
              <w:bottom w:val="single" w:sz="8" w:space="0" w:color="000000"/>
              <w:right w:val="single" w:sz="8" w:space="0" w:color="000000"/>
            </w:tcBorders>
            <w:vAlign w:val="center"/>
          </w:tcPr>
          <w:p w14:paraId="65FAC3F2" w14:textId="77777777" w:rsidR="00C03883" w:rsidRPr="00A33AE8" w:rsidRDefault="00C03883" w:rsidP="00884F3B">
            <w:pPr>
              <w:pStyle w:val="ListParagraph"/>
              <w:numPr>
                <w:ilvl w:val="0"/>
                <w:numId w:val="10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Strategic Energy Technology Plan (SET Plan)</w:t>
            </w:r>
          </w:p>
          <w:p w14:paraId="603C0DDA" w14:textId="77777777" w:rsidR="00C03883" w:rsidRPr="00A33AE8" w:rsidRDefault="00C03883" w:rsidP="00884F3B">
            <w:pPr>
              <w:pStyle w:val="ListParagraph"/>
              <w:numPr>
                <w:ilvl w:val="0"/>
                <w:numId w:val="10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Research and Innovation Strategies for Smart Specialisation (RIS 3)</w:t>
            </w:r>
          </w:p>
        </w:tc>
      </w:tr>
      <w:tr w:rsidR="00C03883" w:rsidRPr="00A33AE8" w14:paraId="169AD557"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57BDC6C8"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tcPr>
          <w:p w14:paraId="267FBF4C" w14:textId="77777777" w:rsidR="00C03883" w:rsidRPr="00A33AE8" w:rsidRDefault="00C03883" w:rsidP="00884F3B">
            <w:pPr>
              <w:pStyle w:val="ListParagraph"/>
              <w:numPr>
                <w:ilvl w:val="0"/>
                <w:numId w:val="101"/>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0DDA9BE2" w14:textId="77777777" w:rsidR="00C03883" w:rsidRPr="00A33AE8" w:rsidRDefault="00C03883" w:rsidP="006769DA">
            <w:pPr>
              <w:rPr>
                <w:sz w:val="20"/>
                <w:szCs w:val="20"/>
              </w:rPr>
            </w:pPr>
          </w:p>
        </w:tc>
      </w:tr>
      <w:tr w:rsidR="00C03883" w:rsidRPr="00A33AE8" w14:paraId="3F63022D" w14:textId="77777777" w:rsidTr="006769DA">
        <w:trPr>
          <w:trHeight w:val="60"/>
        </w:trPr>
        <w:tc>
          <w:tcPr>
            <w:tcW w:w="0" w:type="auto"/>
            <w:vMerge/>
            <w:tcBorders>
              <w:top w:val="nil"/>
              <w:left w:val="single" w:sz="8" w:space="0" w:color="auto"/>
              <w:bottom w:val="single" w:sz="8" w:space="0" w:color="000000"/>
              <w:right w:val="single" w:sz="8" w:space="0" w:color="auto"/>
            </w:tcBorders>
            <w:vAlign w:val="center"/>
            <w:hideMark/>
          </w:tcPr>
          <w:p w14:paraId="4CF732D6"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9" w:type="dxa"/>
            <w:gridSpan w:val="3"/>
            <w:vMerge/>
            <w:tcBorders>
              <w:top w:val="single" w:sz="8" w:space="0" w:color="auto"/>
              <w:left w:val="single" w:sz="8" w:space="0" w:color="auto"/>
              <w:bottom w:val="single" w:sz="8" w:space="0" w:color="000000"/>
              <w:right w:val="single" w:sz="8" w:space="0" w:color="000000"/>
            </w:tcBorders>
            <w:vAlign w:val="center"/>
          </w:tcPr>
          <w:p w14:paraId="4266197A" w14:textId="77777777" w:rsidR="00C03883" w:rsidRPr="00A33AE8" w:rsidRDefault="00C03883" w:rsidP="00884F3B">
            <w:pPr>
              <w:pStyle w:val="ListParagraph"/>
              <w:numPr>
                <w:ilvl w:val="0"/>
                <w:numId w:val="101"/>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61EC4013" w14:textId="77777777" w:rsidR="00C03883" w:rsidRPr="00A33AE8" w:rsidRDefault="00C03883" w:rsidP="006769DA">
            <w:pPr>
              <w:spacing w:after="0" w:line="256" w:lineRule="auto"/>
              <w:rPr>
                <w:sz w:val="20"/>
                <w:szCs w:val="20"/>
                <w:lang w:eastAsia="en-GB"/>
              </w:rPr>
            </w:pPr>
          </w:p>
        </w:tc>
      </w:tr>
      <w:tr w:rsidR="00C03883" w:rsidRPr="00A33AE8" w14:paraId="33A80DA2" w14:textId="77777777" w:rsidTr="006769DA">
        <w:trPr>
          <w:trHeight w:val="488"/>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54575A0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9" w:type="dxa"/>
            <w:gridSpan w:val="3"/>
            <w:tcBorders>
              <w:top w:val="single" w:sz="8" w:space="0" w:color="auto"/>
              <w:left w:val="nil"/>
              <w:bottom w:val="single" w:sz="8" w:space="0" w:color="auto"/>
              <w:right w:val="single" w:sz="8" w:space="0" w:color="000000"/>
            </w:tcBorders>
            <w:vAlign w:val="center"/>
          </w:tcPr>
          <w:p w14:paraId="36269F88" w14:textId="77777777" w:rsidR="00C03883" w:rsidRPr="00A33AE8" w:rsidRDefault="00C03883" w:rsidP="00884F3B">
            <w:pPr>
              <w:pStyle w:val="ListParagraph"/>
              <w:numPr>
                <w:ilvl w:val="0"/>
                <w:numId w:val="10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02C2F316" w14:textId="77777777" w:rsidR="00C03883" w:rsidRPr="00A33AE8" w:rsidRDefault="00C03883" w:rsidP="00884F3B">
            <w:pPr>
              <w:pStyle w:val="ListParagraph"/>
              <w:numPr>
                <w:ilvl w:val="0"/>
                <w:numId w:val="10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0BF43BD5"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38FA36E9" w14:textId="77777777" w:rsidTr="006769DA">
        <w:trPr>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511FD39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9" w:type="dxa"/>
            <w:gridSpan w:val="3"/>
            <w:tcBorders>
              <w:top w:val="single" w:sz="8" w:space="0" w:color="auto"/>
              <w:left w:val="nil"/>
              <w:bottom w:val="single" w:sz="8" w:space="0" w:color="auto"/>
              <w:right w:val="single" w:sz="8" w:space="0" w:color="000000"/>
            </w:tcBorders>
            <w:vAlign w:val="center"/>
          </w:tcPr>
          <w:p w14:paraId="4D05FB79"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9 M€</w:t>
            </w:r>
          </w:p>
        </w:tc>
        <w:tc>
          <w:tcPr>
            <w:tcW w:w="1212" w:type="dxa"/>
            <w:vAlign w:val="center"/>
            <w:hideMark/>
          </w:tcPr>
          <w:p w14:paraId="798D3369" w14:textId="77777777" w:rsidR="00C03883" w:rsidRPr="00A33AE8" w:rsidRDefault="00C03883" w:rsidP="006769DA">
            <w:pPr>
              <w:rPr>
                <w:rFonts w:ascii="Calibri" w:eastAsia="Times New Roman" w:hAnsi="Calibri" w:cs="Calibri"/>
                <w:color w:val="000000"/>
                <w:sz w:val="20"/>
                <w:szCs w:val="20"/>
                <w:lang w:eastAsia="en-GB"/>
              </w:rPr>
            </w:pPr>
          </w:p>
        </w:tc>
      </w:tr>
      <w:tr w:rsidR="00661664" w:rsidRPr="00A33AE8" w14:paraId="75305504" w14:textId="77777777" w:rsidTr="006769DA">
        <w:trPr>
          <w:trHeight w:val="315"/>
        </w:trPr>
        <w:tc>
          <w:tcPr>
            <w:tcW w:w="3309" w:type="dxa"/>
            <w:tcBorders>
              <w:top w:val="nil"/>
              <w:left w:val="single" w:sz="8" w:space="0" w:color="auto"/>
              <w:bottom w:val="single" w:sz="8" w:space="0" w:color="auto"/>
              <w:right w:val="single" w:sz="8" w:space="0" w:color="auto"/>
            </w:tcBorders>
            <w:shd w:val="clear" w:color="auto" w:fill="244062"/>
            <w:vAlign w:val="center"/>
            <w:hideMark/>
          </w:tcPr>
          <w:p w14:paraId="7219548B"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9" w:type="dxa"/>
            <w:gridSpan w:val="3"/>
            <w:tcBorders>
              <w:top w:val="single" w:sz="8" w:space="0" w:color="auto"/>
              <w:left w:val="nil"/>
              <w:bottom w:val="single" w:sz="8" w:space="0" w:color="auto"/>
              <w:right w:val="single" w:sz="8" w:space="0" w:color="000000"/>
            </w:tcBorders>
            <w:shd w:val="clear" w:color="auto" w:fill="auto"/>
            <w:vAlign w:val="center"/>
            <w:hideMark/>
          </w:tcPr>
          <w:p w14:paraId="50CD58C6" w14:textId="63608F11" w:rsidR="009D7D80"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EU funds</w:t>
            </w:r>
          </w:p>
          <w:p w14:paraId="70D37C91" w14:textId="77777777" w:rsid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Private and public funds</w:t>
            </w:r>
          </w:p>
          <w:p w14:paraId="7C5EC24E" w14:textId="77777777" w:rsidR="00661664" w:rsidRPr="009D7D80" w:rsidRDefault="009D7D80"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9D7D80">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5A511F73" w14:textId="77777777" w:rsidR="00661664" w:rsidRPr="00A33AE8" w:rsidRDefault="00661664" w:rsidP="00661664">
            <w:pPr>
              <w:rPr>
                <w:rFonts w:ascii="Calibri" w:eastAsia="Times New Roman" w:hAnsi="Calibri" w:cs="Calibri"/>
                <w:color w:val="000000"/>
                <w:sz w:val="20"/>
                <w:szCs w:val="20"/>
                <w:lang w:eastAsia="en-GB"/>
              </w:rPr>
            </w:pPr>
          </w:p>
        </w:tc>
      </w:tr>
    </w:tbl>
    <w:p w14:paraId="5A3A7D47"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10"/>
        <w:gridCol w:w="1052"/>
        <w:gridCol w:w="938"/>
        <w:gridCol w:w="4188"/>
        <w:gridCol w:w="1212"/>
      </w:tblGrid>
      <w:tr w:rsidR="00C03883" w:rsidRPr="00A33AE8" w14:paraId="50FFB700" w14:textId="77777777" w:rsidTr="006769DA">
        <w:trPr>
          <w:gridAfter w:val="1"/>
          <w:wAfter w:w="1212" w:type="dxa"/>
          <w:trHeight w:val="780"/>
        </w:trPr>
        <w:tc>
          <w:tcPr>
            <w:tcW w:w="3310"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10E4EC54"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394B1CB2"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PM_RIC15</w:t>
            </w:r>
          </w:p>
        </w:tc>
        <w:tc>
          <w:tcPr>
            <w:tcW w:w="938" w:type="dxa"/>
            <w:tcBorders>
              <w:top w:val="single" w:sz="8" w:space="0" w:color="auto"/>
              <w:left w:val="nil"/>
              <w:bottom w:val="single" w:sz="8" w:space="0" w:color="auto"/>
              <w:right w:val="single" w:sz="8" w:space="0" w:color="auto"/>
            </w:tcBorders>
            <w:shd w:val="clear" w:color="auto" w:fill="244062"/>
            <w:vAlign w:val="center"/>
            <w:hideMark/>
          </w:tcPr>
          <w:p w14:paraId="1198ABC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88" w:type="dxa"/>
            <w:tcBorders>
              <w:top w:val="single" w:sz="8" w:space="0" w:color="auto"/>
              <w:left w:val="nil"/>
              <w:bottom w:val="single" w:sz="8" w:space="0" w:color="auto"/>
              <w:right w:val="single" w:sz="8" w:space="0" w:color="auto"/>
            </w:tcBorders>
            <w:shd w:val="clear" w:color="auto" w:fill="E7E6E6" w:themeFill="background2"/>
            <w:vAlign w:val="center"/>
            <w:hideMark/>
          </w:tcPr>
          <w:p w14:paraId="29021C2D"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Promote the inter-sectoral and geographical mobility of researchers </w:t>
            </w:r>
          </w:p>
        </w:tc>
      </w:tr>
      <w:tr w:rsidR="00C03883" w:rsidRPr="00A33AE8" w14:paraId="6B8A6CEC" w14:textId="77777777" w:rsidTr="006769DA">
        <w:trPr>
          <w:gridAfter w:val="1"/>
          <w:wAfter w:w="1212" w:type="dxa"/>
          <w:trHeight w:val="327"/>
        </w:trPr>
        <w:tc>
          <w:tcPr>
            <w:tcW w:w="3310" w:type="dxa"/>
            <w:tcBorders>
              <w:top w:val="nil"/>
              <w:left w:val="single" w:sz="8" w:space="0" w:color="auto"/>
              <w:bottom w:val="single" w:sz="8" w:space="0" w:color="auto"/>
              <w:right w:val="nil"/>
            </w:tcBorders>
            <w:shd w:val="clear" w:color="auto" w:fill="244062"/>
            <w:vAlign w:val="center"/>
            <w:hideMark/>
          </w:tcPr>
          <w:p w14:paraId="7D1C4DD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8" w:type="dxa"/>
            <w:gridSpan w:val="3"/>
            <w:tcBorders>
              <w:top w:val="single" w:sz="8" w:space="0" w:color="auto"/>
              <w:left w:val="nil"/>
              <w:bottom w:val="single" w:sz="8" w:space="0" w:color="auto"/>
              <w:right w:val="single" w:sz="8" w:space="0" w:color="000000"/>
            </w:tcBorders>
            <w:vAlign w:val="center"/>
            <w:hideMark/>
          </w:tcPr>
          <w:p w14:paraId="41E439C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762C65F3" w14:textId="77777777" w:rsidTr="006769DA">
        <w:trPr>
          <w:gridAfter w:val="1"/>
          <w:wAfter w:w="1212" w:type="dxa"/>
          <w:trHeight w:val="551"/>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388198D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8" w:type="dxa"/>
            <w:gridSpan w:val="3"/>
            <w:tcBorders>
              <w:top w:val="single" w:sz="8" w:space="0" w:color="auto"/>
              <w:left w:val="nil"/>
              <w:bottom w:val="single" w:sz="8" w:space="0" w:color="auto"/>
              <w:right w:val="single" w:sz="8" w:space="0" w:color="000000"/>
            </w:tcBorders>
            <w:vAlign w:val="center"/>
          </w:tcPr>
          <w:p w14:paraId="5ED03FCC"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2D88AC78" w14:textId="77777777" w:rsidTr="006769DA">
        <w:trPr>
          <w:gridAfter w:val="1"/>
          <w:wAfter w:w="1212" w:type="dxa"/>
          <w:trHeight w:val="918"/>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20500A4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Description:</w:t>
            </w:r>
          </w:p>
        </w:tc>
        <w:tc>
          <w:tcPr>
            <w:tcW w:w="6178" w:type="dxa"/>
            <w:gridSpan w:val="3"/>
            <w:tcBorders>
              <w:top w:val="single" w:sz="8" w:space="0" w:color="auto"/>
              <w:left w:val="nil"/>
              <w:bottom w:val="single" w:sz="8" w:space="0" w:color="auto"/>
              <w:right w:val="single" w:sz="8" w:space="0" w:color="000000"/>
            </w:tcBorders>
            <w:vAlign w:val="center"/>
            <w:hideMark/>
          </w:tcPr>
          <w:p w14:paraId="39A5ED2D"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PM_RIC15 will facilitate the knowledge and experience transfer among researchers from industry and academia, as well as the incoming and outgoing mobility needed to build internal capacities. For instance, at highest educational level, industrial doctorates can be promoted as a tool to support industry driven science.</w:t>
            </w:r>
          </w:p>
        </w:tc>
      </w:tr>
      <w:tr w:rsidR="00C03883" w:rsidRPr="00A33AE8" w14:paraId="7F0E74E9" w14:textId="77777777" w:rsidTr="006769DA">
        <w:trPr>
          <w:gridAfter w:val="1"/>
          <w:wAfter w:w="1212" w:type="dxa"/>
          <w:trHeight w:val="31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6F4D384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78" w:type="dxa"/>
            <w:gridSpan w:val="3"/>
            <w:tcBorders>
              <w:top w:val="single" w:sz="8" w:space="0" w:color="auto"/>
              <w:left w:val="nil"/>
              <w:bottom w:val="single" w:sz="8" w:space="0" w:color="auto"/>
              <w:right w:val="single" w:sz="8" w:space="0" w:color="000000"/>
            </w:tcBorders>
            <w:vAlign w:val="center"/>
            <w:hideMark/>
          </w:tcPr>
          <w:p w14:paraId="00740C74"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3A4B58B1" w14:textId="77777777" w:rsidTr="006769DA">
        <w:trPr>
          <w:gridAfter w:val="1"/>
          <w:wAfter w:w="1212" w:type="dxa"/>
          <w:trHeight w:val="31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68A8066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8" w:type="dxa"/>
            <w:gridSpan w:val="3"/>
            <w:tcBorders>
              <w:top w:val="single" w:sz="8" w:space="0" w:color="auto"/>
              <w:left w:val="nil"/>
              <w:bottom w:val="single" w:sz="8" w:space="0" w:color="auto"/>
              <w:right w:val="single" w:sz="8" w:space="0" w:color="000000"/>
            </w:tcBorders>
            <w:vAlign w:val="center"/>
            <w:hideMark/>
          </w:tcPr>
          <w:p w14:paraId="1109A6A9"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63F5164B" w14:textId="77777777" w:rsidTr="006769DA">
        <w:trPr>
          <w:gridAfter w:val="1"/>
          <w:wAfter w:w="1212" w:type="dxa"/>
          <w:trHeight w:val="31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77965A1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8" w:type="dxa"/>
            <w:gridSpan w:val="3"/>
            <w:tcBorders>
              <w:top w:val="single" w:sz="8" w:space="0" w:color="auto"/>
              <w:left w:val="nil"/>
              <w:bottom w:val="single" w:sz="8" w:space="0" w:color="auto"/>
              <w:right w:val="single" w:sz="8" w:space="0" w:color="000000"/>
            </w:tcBorders>
            <w:vAlign w:val="center"/>
            <w:hideMark/>
          </w:tcPr>
          <w:p w14:paraId="5E0AEB63"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77E9E9F5" w14:textId="77777777" w:rsidTr="006769DA">
        <w:trPr>
          <w:gridAfter w:val="1"/>
          <w:wAfter w:w="1212" w:type="dxa"/>
          <w:trHeight w:val="31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4C65399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8" w:type="dxa"/>
            <w:gridSpan w:val="3"/>
            <w:tcBorders>
              <w:top w:val="single" w:sz="8" w:space="0" w:color="auto"/>
              <w:left w:val="nil"/>
              <w:bottom w:val="single" w:sz="8" w:space="0" w:color="auto"/>
              <w:right w:val="single" w:sz="8" w:space="0" w:color="000000"/>
            </w:tcBorders>
            <w:vAlign w:val="center"/>
            <w:hideMark/>
          </w:tcPr>
          <w:p w14:paraId="625E9FAE" w14:textId="77777777" w:rsidR="00C03883" w:rsidRPr="00A33AE8" w:rsidRDefault="00C03883" w:rsidP="00884F3B">
            <w:pPr>
              <w:pStyle w:val="ListParagraph"/>
              <w:numPr>
                <w:ilvl w:val="0"/>
                <w:numId w:val="20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6320C9E6" w14:textId="77777777" w:rsidR="00C03883" w:rsidRPr="00A33AE8" w:rsidRDefault="00C03883" w:rsidP="00884F3B">
            <w:pPr>
              <w:pStyle w:val="ListParagraph"/>
              <w:numPr>
                <w:ilvl w:val="0"/>
                <w:numId w:val="20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BEE67C6" w14:textId="77777777" w:rsidR="00C03883" w:rsidRPr="00A33AE8" w:rsidRDefault="00C03883" w:rsidP="00884F3B">
            <w:pPr>
              <w:pStyle w:val="ListParagraph"/>
              <w:numPr>
                <w:ilvl w:val="0"/>
                <w:numId w:val="20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Chamber of </w:t>
            </w:r>
            <w:r w:rsidR="00C96A78" w:rsidRPr="00A33AE8">
              <w:rPr>
                <w:rFonts w:asciiTheme="majorHAnsi" w:eastAsia="Times New Roman" w:hAnsiTheme="majorHAnsi" w:cstheme="majorHAnsi"/>
                <w:color w:val="000000"/>
                <w:sz w:val="20"/>
                <w:szCs w:val="20"/>
                <w:lang w:eastAsia="en-GB"/>
              </w:rPr>
              <w:t>Commerce</w:t>
            </w:r>
            <w:r w:rsidR="00C96A78" w:rsidRPr="00A33AE8">
              <w:rPr>
                <w:rFonts w:asciiTheme="majorHAnsi" w:hAnsiTheme="majorHAnsi" w:cstheme="majorHAnsi"/>
                <w:bCs/>
                <w:sz w:val="20"/>
                <w:szCs w:val="20"/>
              </w:rPr>
              <w:t xml:space="preserve"> and</w:t>
            </w:r>
            <w:r w:rsidRPr="00A33AE8">
              <w:rPr>
                <w:rFonts w:asciiTheme="majorHAnsi" w:hAnsiTheme="majorHAnsi" w:cstheme="majorHAnsi"/>
                <w:bCs/>
                <w:sz w:val="20"/>
                <w:szCs w:val="20"/>
              </w:rPr>
              <w:t xml:space="preserve"> Industry of Serbia</w:t>
            </w:r>
          </w:p>
          <w:p w14:paraId="0410145D" w14:textId="77777777" w:rsidR="00C03883" w:rsidRPr="00A33AE8" w:rsidRDefault="00C03883" w:rsidP="00884F3B">
            <w:pPr>
              <w:pStyle w:val="ListParagraph"/>
              <w:numPr>
                <w:ilvl w:val="0"/>
                <w:numId w:val="209"/>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C03883" w:rsidRPr="00A33AE8" w14:paraId="21651EF4" w14:textId="77777777" w:rsidTr="006769DA">
        <w:trPr>
          <w:gridAfter w:val="1"/>
          <w:wAfter w:w="1212" w:type="dxa"/>
          <w:trHeight w:val="315"/>
        </w:trPr>
        <w:tc>
          <w:tcPr>
            <w:tcW w:w="3310" w:type="dxa"/>
            <w:tcBorders>
              <w:top w:val="nil"/>
              <w:left w:val="single" w:sz="8" w:space="0" w:color="auto"/>
              <w:bottom w:val="single" w:sz="8" w:space="0" w:color="auto"/>
              <w:right w:val="nil"/>
            </w:tcBorders>
            <w:shd w:val="clear" w:color="auto" w:fill="244062"/>
            <w:vAlign w:val="center"/>
            <w:hideMark/>
          </w:tcPr>
          <w:p w14:paraId="63C1425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8" w:type="dxa"/>
            <w:gridSpan w:val="3"/>
            <w:tcBorders>
              <w:top w:val="single" w:sz="8" w:space="0" w:color="auto"/>
              <w:left w:val="nil"/>
              <w:bottom w:val="single" w:sz="8" w:space="0" w:color="auto"/>
              <w:right w:val="single" w:sz="8" w:space="0" w:color="000000"/>
            </w:tcBorders>
            <w:vAlign w:val="center"/>
            <w:hideMark/>
          </w:tcPr>
          <w:p w14:paraId="081B7BB2" w14:textId="77777777" w:rsidR="00C03883" w:rsidRPr="00A33AE8" w:rsidRDefault="00C03883" w:rsidP="00884F3B">
            <w:pPr>
              <w:pStyle w:val="ListParagraph"/>
              <w:numPr>
                <w:ilvl w:val="0"/>
                <w:numId w:val="20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tc>
      </w:tr>
      <w:tr w:rsidR="00C03883" w:rsidRPr="00A33AE8" w14:paraId="538CC216" w14:textId="77777777" w:rsidTr="006769DA">
        <w:trPr>
          <w:gridAfter w:val="1"/>
          <w:wAfter w:w="1212" w:type="dxa"/>
          <w:trHeight w:val="315"/>
        </w:trPr>
        <w:tc>
          <w:tcPr>
            <w:tcW w:w="3310" w:type="dxa"/>
            <w:tcBorders>
              <w:top w:val="nil"/>
              <w:left w:val="single" w:sz="8" w:space="0" w:color="auto"/>
              <w:bottom w:val="single" w:sz="8" w:space="0" w:color="auto"/>
              <w:right w:val="nil"/>
            </w:tcBorders>
            <w:shd w:val="clear" w:color="auto" w:fill="244062"/>
            <w:vAlign w:val="center"/>
            <w:hideMark/>
          </w:tcPr>
          <w:p w14:paraId="3F612E76"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8" w:type="dxa"/>
            <w:gridSpan w:val="3"/>
            <w:tcBorders>
              <w:top w:val="single" w:sz="8" w:space="0" w:color="auto"/>
              <w:left w:val="nil"/>
              <w:bottom w:val="single" w:sz="8" w:space="0" w:color="auto"/>
              <w:right w:val="single" w:sz="8" w:space="0" w:color="000000"/>
            </w:tcBorders>
            <w:vAlign w:val="center"/>
            <w:hideMark/>
          </w:tcPr>
          <w:p w14:paraId="0E404B13"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industrial doctorates on an annual basis</w:t>
            </w:r>
          </w:p>
        </w:tc>
      </w:tr>
      <w:tr w:rsidR="00213B57" w:rsidRPr="00A33AE8" w14:paraId="0ACD235B" w14:textId="77777777" w:rsidTr="006769DA">
        <w:trPr>
          <w:gridAfter w:val="1"/>
          <w:wAfter w:w="1212" w:type="dxa"/>
          <w:trHeight w:val="42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59FEA9F2"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8" w:type="dxa"/>
            <w:gridSpan w:val="3"/>
            <w:tcBorders>
              <w:top w:val="single" w:sz="8" w:space="0" w:color="auto"/>
              <w:left w:val="nil"/>
              <w:bottom w:val="single" w:sz="8" w:space="0" w:color="auto"/>
              <w:right w:val="single" w:sz="8" w:space="0" w:color="000000"/>
            </w:tcBorders>
            <w:vAlign w:val="center"/>
          </w:tcPr>
          <w:p w14:paraId="19CA8E98" w14:textId="77777777" w:rsidR="00213B57" w:rsidRPr="00A33AE8" w:rsidRDefault="00213B57" w:rsidP="00884F3B">
            <w:pPr>
              <w:pStyle w:val="ListParagraph"/>
              <w:numPr>
                <w:ilvl w:val="0"/>
                <w:numId w:val="18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1129A1B8" w14:textId="77777777" w:rsidTr="006769DA">
        <w:trPr>
          <w:gridAfter w:val="1"/>
          <w:wAfter w:w="1212" w:type="dxa"/>
          <w:trHeight w:val="450"/>
        </w:trPr>
        <w:tc>
          <w:tcPr>
            <w:tcW w:w="3310" w:type="dxa"/>
            <w:vMerge w:val="restart"/>
            <w:tcBorders>
              <w:top w:val="nil"/>
              <w:left w:val="single" w:sz="8" w:space="0" w:color="auto"/>
              <w:bottom w:val="single" w:sz="8" w:space="0" w:color="000000"/>
              <w:right w:val="single" w:sz="8" w:space="0" w:color="auto"/>
            </w:tcBorders>
            <w:shd w:val="clear" w:color="auto" w:fill="244062"/>
            <w:vAlign w:val="center"/>
            <w:hideMark/>
          </w:tcPr>
          <w:p w14:paraId="7AD20E2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78" w:type="dxa"/>
            <w:gridSpan w:val="3"/>
            <w:vMerge w:val="restart"/>
            <w:tcBorders>
              <w:top w:val="single" w:sz="8" w:space="0" w:color="auto"/>
              <w:left w:val="single" w:sz="8" w:space="0" w:color="auto"/>
              <w:bottom w:val="single" w:sz="8" w:space="0" w:color="000000"/>
              <w:right w:val="single" w:sz="8" w:space="0" w:color="000000"/>
            </w:tcBorders>
            <w:vAlign w:val="center"/>
          </w:tcPr>
          <w:p w14:paraId="67751168" w14:textId="77777777" w:rsidR="00C03883" w:rsidRPr="00A33AE8" w:rsidRDefault="00C03883" w:rsidP="00884F3B">
            <w:pPr>
              <w:pStyle w:val="ListParagraph"/>
              <w:numPr>
                <w:ilvl w:val="0"/>
                <w:numId w:val="10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legislation</w:t>
            </w:r>
          </w:p>
        </w:tc>
      </w:tr>
      <w:tr w:rsidR="00C03883" w:rsidRPr="00A33AE8" w14:paraId="6F6A5A98"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052DC8A5"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8" w:type="dxa"/>
            <w:gridSpan w:val="3"/>
            <w:vMerge/>
            <w:tcBorders>
              <w:top w:val="single" w:sz="8" w:space="0" w:color="auto"/>
              <w:left w:val="single" w:sz="8" w:space="0" w:color="auto"/>
              <w:bottom w:val="single" w:sz="8" w:space="0" w:color="000000"/>
              <w:right w:val="single" w:sz="8" w:space="0" w:color="000000"/>
            </w:tcBorders>
            <w:vAlign w:val="center"/>
          </w:tcPr>
          <w:p w14:paraId="48770947" w14:textId="77777777" w:rsidR="00C03883" w:rsidRPr="00A33AE8" w:rsidRDefault="00C03883" w:rsidP="00884F3B">
            <w:pPr>
              <w:pStyle w:val="ListParagraph"/>
              <w:numPr>
                <w:ilvl w:val="0"/>
                <w:numId w:val="102"/>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9ABD07F" w14:textId="77777777" w:rsidR="00C03883" w:rsidRPr="00A33AE8" w:rsidRDefault="00C03883" w:rsidP="006769DA">
            <w:pPr>
              <w:rPr>
                <w:sz w:val="20"/>
                <w:szCs w:val="20"/>
              </w:rPr>
            </w:pPr>
          </w:p>
        </w:tc>
      </w:tr>
      <w:tr w:rsidR="00C03883" w:rsidRPr="00A33AE8" w14:paraId="5EDD4A9A" w14:textId="77777777" w:rsidTr="006769DA">
        <w:trPr>
          <w:trHeight w:val="75"/>
        </w:trPr>
        <w:tc>
          <w:tcPr>
            <w:tcW w:w="0" w:type="auto"/>
            <w:vMerge/>
            <w:tcBorders>
              <w:top w:val="nil"/>
              <w:left w:val="single" w:sz="8" w:space="0" w:color="auto"/>
              <w:bottom w:val="single" w:sz="8" w:space="0" w:color="000000"/>
              <w:right w:val="single" w:sz="8" w:space="0" w:color="auto"/>
            </w:tcBorders>
            <w:vAlign w:val="center"/>
            <w:hideMark/>
          </w:tcPr>
          <w:p w14:paraId="5E227DD7"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8" w:type="dxa"/>
            <w:gridSpan w:val="3"/>
            <w:vMerge/>
            <w:tcBorders>
              <w:top w:val="single" w:sz="8" w:space="0" w:color="auto"/>
              <w:left w:val="single" w:sz="8" w:space="0" w:color="auto"/>
              <w:bottom w:val="single" w:sz="8" w:space="0" w:color="000000"/>
              <w:right w:val="single" w:sz="8" w:space="0" w:color="000000"/>
            </w:tcBorders>
            <w:vAlign w:val="center"/>
          </w:tcPr>
          <w:p w14:paraId="6C428E6C" w14:textId="77777777" w:rsidR="00C03883" w:rsidRPr="00A33AE8" w:rsidRDefault="00C03883" w:rsidP="00884F3B">
            <w:pPr>
              <w:pStyle w:val="ListParagraph"/>
              <w:numPr>
                <w:ilvl w:val="0"/>
                <w:numId w:val="102"/>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505EC5F6" w14:textId="77777777" w:rsidR="00C03883" w:rsidRPr="00A33AE8" w:rsidRDefault="00C03883" w:rsidP="006769DA">
            <w:pPr>
              <w:spacing w:after="0" w:line="256" w:lineRule="auto"/>
              <w:rPr>
                <w:sz w:val="20"/>
                <w:szCs w:val="20"/>
                <w:lang w:eastAsia="en-GB"/>
              </w:rPr>
            </w:pPr>
          </w:p>
        </w:tc>
      </w:tr>
      <w:tr w:rsidR="00C03883" w:rsidRPr="00A33AE8" w14:paraId="470D1727" w14:textId="77777777" w:rsidTr="006769DA">
        <w:trPr>
          <w:trHeight w:val="459"/>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6A83E6C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8" w:type="dxa"/>
            <w:gridSpan w:val="3"/>
            <w:tcBorders>
              <w:top w:val="single" w:sz="8" w:space="0" w:color="auto"/>
              <w:left w:val="nil"/>
              <w:bottom w:val="single" w:sz="8" w:space="0" w:color="auto"/>
              <w:right w:val="single" w:sz="8" w:space="0" w:color="000000"/>
            </w:tcBorders>
            <w:vAlign w:val="center"/>
          </w:tcPr>
          <w:p w14:paraId="61399BFD" w14:textId="77777777" w:rsidR="00C03883" w:rsidRPr="00A33AE8" w:rsidRDefault="00C03883" w:rsidP="00884F3B">
            <w:pPr>
              <w:pStyle w:val="ListParagraph"/>
              <w:numPr>
                <w:ilvl w:val="0"/>
                <w:numId w:val="10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7A22131F" w14:textId="77777777" w:rsidR="00C03883" w:rsidRPr="00A33AE8" w:rsidRDefault="00C03883" w:rsidP="00884F3B">
            <w:pPr>
              <w:pStyle w:val="ListParagraph"/>
              <w:numPr>
                <w:ilvl w:val="0"/>
                <w:numId w:val="10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084480C7"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742B7522" w14:textId="77777777" w:rsidTr="006769DA">
        <w:trPr>
          <w:trHeight w:val="31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5C3E0A3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8" w:type="dxa"/>
            <w:gridSpan w:val="3"/>
            <w:tcBorders>
              <w:top w:val="single" w:sz="8" w:space="0" w:color="auto"/>
              <w:left w:val="nil"/>
              <w:bottom w:val="single" w:sz="8" w:space="0" w:color="auto"/>
              <w:right w:val="single" w:sz="8" w:space="0" w:color="000000"/>
            </w:tcBorders>
            <w:vAlign w:val="center"/>
          </w:tcPr>
          <w:p w14:paraId="531B7C2F"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1.6 M€</w:t>
            </w:r>
          </w:p>
        </w:tc>
        <w:tc>
          <w:tcPr>
            <w:tcW w:w="1212" w:type="dxa"/>
            <w:vAlign w:val="center"/>
            <w:hideMark/>
          </w:tcPr>
          <w:p w14:paraId="6077EF7D" w14:textId="77777777" w:rsidR="00C03883" w:rsidRPr="00A33AE8" w:rsidRDefault="00C03883" w:rsidP="006769DA">
            <w:pPr>
              <w:rPr>
                <w:rFonts w:ascii="Calibri" w:eastAsia="Times New Roman" w:hAnsi="Calibri" w:cs="Calibri"/>
                <w:color w:val="000000"/>
                <w:sz w:val="20"/>
                <w:szCs w:val="20"/>
                <w:lang w:eastAsia="en-GB"/>
              </w:rPr>
            </w:pPr>
          </w:p>
        </w:tc>
      </w:tr>
      <w:tr w:rsidR="00C03883" w:rsidRPr="00A33AE8" w14:paraId="3136FFCD" w14:textId="77777777" w:rsidTr="006769DA">
        <w:trPr>
          <w:trHeight w:val="315"/>
        </w:trPr>
        <w:tc>
          <w:tcPr>
            <w:tcW w:w="3310" w:type="dxa"/>
            <w:tcBorders>
              <w:top w:val="nil"/>
              <w:left w:val="single" w:sz="8" w:space="0" w:color="auto"/>
              <w:bottom w:val="single" w:sz="8" w:space="0" w:color="auto"/>
              <w:right w:val="single" w:sz="8" w:space="0" w:color="auto"/>
            </w:tcBorders>
            <w:shd w:val="clear" w:color="auto" w:fill="244062"/>
            <w:vAlign w:val="center"/>
            <w:hideMark/>
          </w:tcPr>
          <w:p w14:paraId="42399AA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8" w:type="dxa"/>
            <w:gridSpan w:val="3"/>
            <w:tcBorders>
              <w:top w:val="single" w:sz="8" w:space="0" w:color="auto"/>
              <w:left w:val="nil"/>
              <w:bottom w:val="single" w:sz="8" w:space="0" w:color="auto"/>
              <w:right w:val="single" w:sz="8" w:space="0" w:color="000000"/>
            </w:tcBorders>
            <w:shd w:val="clear" w:color="auto" w:fill="auto"/>
            <w:vAlign w:val="center"/>
            <w:hideMark/>
          </w:tcPr>
          <w:p w14:paraId="36EFCC78" w14:textId="0A5D75B7" w:rsidR="00AB782B" w:rsidRPr="00AB782B" w:rsidRDefault="00AB782B"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AB782B">
              <w:rPr>
                <w:rFonts w:asciiTheme="majorHAnsi" w:eastAsia="Times New Roman" w:hAnsiTheme="majorHAnsi" w:cstheme="majorHAnsi"/>
                <w:color w:val="000000"/>
                <w:sz w:val="20"/>
                <w:szCs w:val="20"/>
                <w:lang w:eastAsia="en-GB"/>
              </w:rPr>
              <w:t>EU funds</w:t>
            </w:r>
          </w:p>
          <w:p w14:paraId="2883E778" w14:textId="77777777" w:rsidR="00AB782B" w:rsidRDefault="00AB782B"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AB782B">
              <w:rPr>
                <w:rFonts w:asciiTheme="majorHAnsi" w:eastAsia="Times New Roman" w:hAnsiTheme="majorHAnsi" w:cstheme="majorHAnsi"/>
                <w:color w:val="000000"/>
                <w:sz w:val="20"/>
                <w:szCs w:val="20"/>
                <w:lang w:eastAsia="en-GB"/>
              </w:rPr>
              <w:t>Private and public funds</w:t>
            </w:r>
          </w:p>
          <w:p w14:paraId="6753B232" w14:textId="77777777" w:rsidR="00C03883" w:rsidRPr="00AB782B" w:rsidRDefault="00AB782B"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AB782B">
              <w:rPr>
                <w:rFonts w:asciiTheme="majorHAnsi" w:eastAsia="Times New Roman" w:hAnsiTheme="majorHAnsi" w:cstheme="majorHAnsi"/>
                <w:color w:val="000000"/>
                <w:sz w:val="20"/>
                <w:szCs w:val="20"/>
                <w:lang w:eastAsia="en-GB"/>
              </w:rPr>
              <w:t>Programmes for research and development</w:t>
            </w:r>
          </w:p>
        </w:tc>
        <w:tc>
          <w:tcPr>
            <w:tcW w:w="1212" w:type="dxa"/>
            <w:vAlign w:val="center"/>
            <w:hideMark/>
          </w:tcPr>
          <w:p w14:paraId="10E80C92" w14:textId="77777777" w:rsidR="00C03883" w:rsidRPr="00A33AE8" w:rsidRDefault="00C03883" w:rsidP="006769DA">
            <w:pPr>
              <w:rPr>
                <w:rFonts w:ascii="Calibri" w:eastAsia="Times New Roman" w:hAnsi="Calibri" w:cs="Calibri"/>
                <w:color w:val="000000"/>
                <w:sz w:val="20"/>
                <w:szCs w:val="20"/>
                <w:lang w:eastAsia="en-GB"/>
              </w:rPr>
            </w:pPr>
          </w:p>
        </w:tc>
      </w:tr>
    </w:tbl>
    <w:p w14:paraId="26002F3F" w14:textId="77777777" w:rsidR="00C03883" w:rsidRPr="00A33AE8" w:rsidRDefault="00C03883" w:rsidP="00C03883">
      <w:pPr>
        <w:pStyle w:val="LDKbody"/>
        <w:jc w:val="left"/>
        <w:rPr>
          <w:highlight w:val="green"/>
          <w:lang w:val="en-GB"/>
        </w:rPr>
      </w:pPr>
    </w:p>
    <w:tbl>
      <w:tblPr>
        <w:tblW w:w="10700" w:type="dxa"/>
        <w:tblLook w:val="04A0" w:firstRow="1" w:lastRow="0" w:firstColumn="1" w:lastColumn="0" w:noHBand="0" w:noVBand="1"/>
      </w:tblPr>
      <w:tblGrid>
        <w:gridCol w:w="3313"/>
        <w:gridCol w:w="1052"/>
        <w:gridCol w:w="938"/>
        <w:gridCol w:w="4185"/>
        <w:gridCol w:w="1212"/>
      </w:tblGrid>
      <w:tr w:rsidR="00C03883" w:rsidRPr="00A33AE8" w14:paraId="56B8E4A5" w14:textId="77777777" w:rsidTr="006769DA">
        <w:trPr>
          <w:gridAfter w:val="1"/>
          <w:wAfter w:w="1212" w:type="dxa"/>
          <w:trHeight w:val="780"/>
        </w:trPr>
        <w:tc>
          <w:tcPr>
            <w:tcW w:w="331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70213A35" w14:textId="77777777" w:rsidR="00C03883" w:rsidRPr="00A33AE8" w:rsidRDefault="00C03883"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45C2F78B"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PM_RIC16</w:t>
            </w:r>
          </w:p>
        </w:tc>
        <w:tc>
          <w:tcPr>
            <w:tcW w:w="938" w:type="dxa"/>
            <w:tcBorders>
              <w:top w:val="single" w:sz="8" w:space="0" w:color="auto"/>
              <w:left w:val="nil"/>
              <w:bottom w:val="single" w:sz="8" w:space="0" w:color="auto"/>
              <w:right w:val="single" w:sz="8" w:space="0" w:color="auto"/>
            </w:tcBorders>
            <w:shd w:val="clear" w:color="auto" w:fill="244062"/>
            <w:vAlign w:val="center"/>
            <w:hideMark/>
          </w:tcPr>
          <w:p w14:paraId="639F65BD"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85" w:type="dxa"/>
            <w:tcBorders>
              <w:top w:val="single" w:sz="8" w:space="0" w:color="auto"/>
              <w:left w:val="nil"/>
              <w:bottom w:val="single" w:sz="8" w:space="0" w:color="auto"/>
              <w:right w:val="single" w:sz="8" w:space="0" w:color="auto"/>
            </w:tcBorders>
            <w:shd w:val="clear" w:color="auto" w:fill="E7E6E6" w:themeFill="background2"/>
            <w:vAlign w:val="center"/>
            <w:hideMark/>
          </w:tcPr>
          <w:p w14:paraId="750EE01E" w14:textId="77777777" w:rsidR="00C03883" w:rsidRPr="00A33AE8" w:rsidRDefault="00C03883"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Enhancing education / training to support the energy transition</w:t>
            </w:r>
          </w:p>
        </w:tc>
      </w:tr>
      <w:tr w:rsidR="00C03883" w:rsidRPr="00A33AE8" w14:paraId="72D98000" w14:textId="77777777" w:rsidTr="006769DA">
        <w:trPr>
          <w:gridAfter w:val="1"/>
          <w:wAfter w:w="1212" w:type="dxa"/>
          <w:trHeight w:val="354"/>
        </w:trPr>
        <w:tc>
          <w:tcPr>
            <w:tcW w:w="3313" w:type="dxa"/>
            <w:tcBorders>
              <w:top w:val="nil"/>
              <w:left w:val="single" w:sz="8" w:space="0" w:color="auto"/>
              <w:bottom w:val="single" w:sz="8" w:space="0" w:color="auto"/>
              <w:right w:val="nil"/>
            </w:tcBorders>
            <w:shd w:val="clear" w:color="auto" w:fill="244062"/>
            <w:vAlign w:val="center"/>
            <w:hideMark/>
          </w:tcPr>
          <w:p w14:paraId="0E2870A0"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75" w:type="dxa"/>
            <w:gridSpan w:val="3"/>
            <w:tcBorders>
              <w:top w:val="single" w:sz="8" w:space="0" w:color="auto"/>
              <w:left w:val="nil"/>
              <w:bottom w:val="single" w:sz="8" w:space="0" w:color="auto"/>
              <w:right w:val="single" w:sz="8" w:space="0" w:color="000000"/>
            </w:tcBorders>
            <w:vAlign w:val="center"/>
            <w:hideMark/>
          </w:tcPr>
          <w:p w14:paraId="40756611"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Promotion of Research and Innovation</w:t>
            </w:r>
          </w:p>
        </w:tc>
      </w:tr>
      <w:tr w:rsidR="00C03883" w:rsidRPr="00A33AE8" w14:paraId="56137FDC" w14:textId="77777777" w:rsidTr="006769DA">
        <w:trPr>
          <w:gridAfter w:val="1"/>
          <w:wAfter w:w="1212" w:type="dxa"/>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1D107A6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75" w:type="dxa"/>
            <w:gridSpan w:val="3"/>
            <w:tcBorders>
              <w:top w:val="single" w:sz="8" w:space="0" w:color="auto"/>
              <w:left w:val="nil"/>
              <w:bottom w:val="single" w:sz="8" w:space="0" w:color="auto"/>
              <w:right w:val="single" w:sz="8" w:space="0" w:color="000000"/>
            </w:tcBorders>
            <w:vAlign w:val="center"/>
            <w:hideMark/>
          </w:tcPr>
          <w:p w14:paraId="1C35C6AC" w14:textId="77777777" w:rsidR="00C03883" w:rsidRPr="00A33AE8" w:rsidRDefault="00C03883"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technological readiness in the field of energy (Qualitative objective)</w:t>
            </w:r>
          </w:p>
        </w:tc>
      </w:tr>
      <w:tr w:rsidR="00C03883" w:rsidRPr="00A33AE8" w14:paraId="01A06417" w14:textId="77777777" w:rsidTr="006769DA">
        <w:trPr>
          <w:gridAfter w:val="1"/>
          <w:wAfter w:w="1212" w:type="dxa"/>
          <w:trHeight w:val="443"/>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451D10C9"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75" w:type="dxa"/>
            <w:gridSpan w:val="3"/>
            <w:tcBorders>
              <w:top w:val="single" w:sz="8" w:space="0" w:color="auto"/>
              <w:left w:val="nil"/>
              <w:bottom w:val="single" w:sz="8" w:space="0" w:color="auto"/>
              <w:right w:val="single" w:sz="8" w:space="0" w:color="000000"/>
            </w:tcBorders>
            <w:vAlign w:val="center"/>
            <w:hideMark/>
          </w:tcPr>
          <w:p w14:paraId="0719BE26" w14:textId="77777777" w:rsidR="00C03883" w:rsidRPr="00A33AE8" w:rsidRDefault="00C03883"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PM_RIC16 will reinforce the promotion of the transition to a climate-neutral and circular economy by focusing on the necessary skills and quality jobs that create higher added value, significantly reduce adverse environmental impacts, provide adequate conditions for adequate pay and a quality working environment.</w:t>
            </w:r>
          </w:p>
        </w:tc>
      </w:tr>
      <w:tr w:rsidR="00C03883" w:rsidRPr="00A33AE8" w14:paraId="41D98C0A" w14:textId="77777777" w:rsidTr="006769DA">
        <w:trPr>
          <w:gridAfter w:val="1"/>
          <w:wAfter w:w="1212" w:type="dxa"/>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012C873F"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75" w:type="dxa"/>
            <w:gridSpan w:val="3"/>
            <w:tcBorders>
              <w:top w:val="single" w:sz="8" w:space="0" w:color="auto"/>
              <w:left w:val="nil"/>
              <w:bottom w:val="single" w:sz="8" w:space="0" w:color="auto"/>
              <w:right w:val="single" w:sz="8" w:space="0" w:color="000000"/>
            </w:tcBorders>
            <w:vAlign w:val="center"/>
            <w:hideMark/>
          </w:tcPr>
          <w:p w14:paraId="244D3AE8"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C03883" w:rsidRPr="00A33AE8" w14:paraId="1C179E35" w14:textId="77777777" w:rsidTr="006769DA">
        <w:trPr>
          <w:gridAfter w:val="1"/>
          <w:wAfter w:w="1212" w:type="dxa"/>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51DE3E33"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75" w:type="dxa"/>
            <w:gridSpan w:val="3"/>
            <w:tcBorders>
              <w:top w:val="single" w:sz="8" w:space="0" w:color="auto"/>
              <w:left w:val="nil"/>
              <w:bottom w:val="single" w:sz="8" w:space="0" w:color="auto"/>
              <w:right w:val="single" w:sz="8" w:space="0" w:color="000000"/>
            </w:tcBorders>
            <w:vAlign w:val="center"/>
            <w:hideMark/>
          </w:tcPr>
          <w:p w14:paraId="56051586" w14:textId="77777777" w:rsidR="00C03883"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C03883" w:rsidRPr="00A33AE8" w14:paraId="57CF58F0" w14:textId="77777777" w:rsidTr="006769DA">
        <w:trPr>
          <w:gridAfter w:val="1"/>
          <w:wAfter w:w="1212" w:type="dxa"/>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511D19A4"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75" w:type="dxa"/>
            <w:gridSpan w:val="3"/>
            <w:tcBorders>
              <w:top w:val="single" w:sz="8" w:space="0" w:color="auto"/>
              <w:left w:val="nil"/>
              <w:bottom w:val="single" w:sz="8" w:space="0" w:color="auto"/>
              <w:right w:val="single" w:sz="8" w:space="0" w:color="000000"/>
            </w:tcBorders>
            <w:vAlign w:val="center"/>
            <w:hideMark/>
          </w:tcPr>
          <w:p w14:paraId="646D7FD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C03883" w:rsidRPr="00A33AE8" w14:paraId="30DC57B1" w14:textId="77777777" w:rsidTr="006769DA">
        <w:trPr>
          <w:gridAfter w:val="1"/>
          <w:wAfter w:w="1212" w:type="dxa"/>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4893E19A"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75" w:type="dxa"/>
            <w:gridSpan w:val="3"/>
            <w:tcBorders>
              <w:top w:val="single" w:sz="8" w:space="0" w:color="auto"/>
              <w:left w:val="nil"/>
              <w:bottom w:val="single" w:sz="8" w:space="0" w:color="auto"/>
              <w:right w:val="single" w:sz="8" w:space="0" w:color="000000"/>
            </w:tcBorders>
            <w:vAlign w:val="center"/>
            <w:hideMark/>
          </w:tcPr>
          <w:p w14:paraId="6C42B8CB" w14:textId="77777777" w:rsidR="00C03883" w:rsidRPr="00A33AE8" w:rsidRDefault="00C03883" w:rsidP="00884F3B">
            <w:pPr>
              <w:pStyle w:val="ListParagraph"/>
              <w:numPr>
                <w:ilvl w:val="0"/>
                <w:numId w:val="2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p w14:paraId="56B83A82" w14:textId="77777777" w:rsidR="00C03883" w:rsidRPr="00A33AE8" w:rsidRDefault="00C03883" w:rsidP="00884F3B">
            <w:pPr>
              <w:pStyle w:val="ListParagraph"/>
              <w:numPr>
                <w:ilvl w:val="0"/>
                <w:numId w:val="2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74A96351" w14:textId="77777777" w:rsidR="00C03883" w:rsidRPr="00A33AE8" w:rsidRDefault="00C03883" w:rsidP="00884F3B">
            <w:pPr>
              <w:pStyle w:val="ListParagraph"/>
              <w:numPr>
                <w:ilvl w:val="0"/>
                <w:numId w:val="2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Chamber of </w:t>
            </w:r>
            <w:r w:rsidR="00C96A78" w:rsidRPr="00A33AE8">
              <w:rPr>
                <w:rFonts w:asciiTheme="majorHAnsi" w:eastAsia="Times New Roman" w:hAnsiTheme="majorHAnsi" w:cstheme="majorHAnsi"/>
                <w:color w:val="000000"/>
                <w:sz w:val="20"/>
                <w:szCs w:val="20"/>
                <w:lang w:eastAsia="en-GB"/>
              </w:rPr>
              <w:t>Commerce</w:t>
            </w:r>
            <w:r w:rsidR="00C96A78" w:rsidRPr="00A33AE8">
              <w:rPr>
                <w:rFonts w:asciiTheme="majorHAnsi" w:hAnsiTheme="majorHAnsi" w:cstheme="majorHAnsi"/>
                <w:bCs/>
                <w:sz w:val="20"/>
                <w:szCs w:val="20"/>
              </w:rPr>
              <w:t xml:space="preserve"> and</w:t>
            </w:r>
            <w:r w:rsidRPr="00A33AE8">
              <w:rPr>
                <w:rFonts w:asciiTheme="majorHAnsi" w:hAnsiTheme="majorHAnsi" w:cstheme="majorHAnsi"/>
                <w:bCs/>
                <w:sz w:val="20"/>
                <w:szCs w:val="20"/>
              </w:rPr>
              <w:t xml:space="preserve"> Industry of Serbia</w:t>
            </w:r>
          </w:p>
          <w:p w14:paraId="21540F51" w14:textId="77777777" w:rsidR="00C03883" w:rsidRPr="00A33AE8" w:rsidRDefault="00C03883" w:rsidP="00884F3B">
            <w:pPr>
              <w:pStyle w:val="ListParagraph"/>
              <w:numPr>
                <w:ilvl w:val="0"/>
                <w:numId w:val="210"/>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C03883" w:rsidRPr="00A33AE8" w14:paraId="41E3612F" w14:textId="77777777" w:rsidTr="006769DA">
        <w:trPr>
          <w:gridAfter w:val="1"/>
          <w:wAfter w:w="1212" w:type="dxa"/>
          <w:trHeight w:val="315"/>
        </w:trPr>
        <w:tc>
          <w:tcPr>
            <w:tcW w:w="3313" w:type="dxa"/>
            <w:tcBorders>
              <w:top w:val="nil"/>
              <w:left w:val="single" w:sz="8" w:space="0" w:color="auto"/>
              <w:bottom w:val="single" w:sz="8" w:space="0" w:color="auto"/>
              <w:right w:val="nil"/>
            </w:tcBorders>
            <w:shd w:val="clear" w:color="auto" w:fill="244062"/>
            <w:vAlign w:val="center"/>
            <w:hideMark/>
          </w:tcPr>
          <w:p w14:paraId="101CDCCC"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75" w:type="dxa"/>
            <w:gridSpan w:val="3"/>
            <w:tcBorders>
              <w:top w:val="single" w:sz="8" w:space="0" w:color="auto"/>
              <w:left w:val="nil"/>
              <w:bottom w:val="single" w:sz="8" w:space="0" w:color="auto"/>
              <w:right w:val="single" w:sz="8" w:space="0" w:color="000000"/>
            </w:tcBorders>
            <w:vAlign w:val="center"/>
            <w:hideMark/>
          </w:tcPr>
          <w:p w14:paraId="3E4F3A21" w14:textId="77777777" w:rsidR="00C03883" w:rsidRPr="00A33AE8" w:rsidRDefault="00C03883" w:rsidP="00884F3B">
            <w:pPr>
              <w:pStyle w:val="ListParagraph"/>
              <w:numPr>
                <w:ilvl w:val="0"/>
                <w:numId w:val="2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Education, Science and Technological Development</w:t>
            </w:r>
          </w:p>
          <w:p w14:paraId="0075CA6D" w14:textId="77777777" w:rsidR="00C03883" w:rsidRPr="00A33AE8" w:rsidRDefault="00C03883" w:rsidP="00884F3B">
            <w:pPr>
              <w:pStyle w:val="ListParagraph"/>
              <w:numPr>
                <w:ilvl w:val="0"/>
                <w:numId w:val="21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Mining and Energy</w:t>
            </w:r>
          </w:p>
        </w:tc>
      </w:tr>
      <w:tr w:rsidR="00C03883" w:rsidRPr="00A33AE8" w14:paraId="3E4C9C6B" w14:textId="77777777" w:rsidTr="006769DA">
        <w:trPr>
          <w:gridAfter w:val="1"/>
          <w:wAfter w:w="1212" w:type="dxa"/>
          <w:trHeight w:val="315"/>
        </w:trPr>
        <w:tc>
          <w:tcPr>
            <w:tcW w:w="3313" w:type="dxa"/>
            <w:tcBorders>
              <w:top w:val="nil"/>
              <w:left w:val="single" w:sz="8" w:space="0" w:color="auto"/>
              <w:bottom w:val="single" w:sz="8" w:space="0" w:color="auto"/>
              <w:right w:val="nil"/>
            </w:tcBorders>
            <w:shd w:val="clear" w:color="auto" w:fill="244062"/>
            <w:vAlign w:val="center"/>
            <w:hideMark/>
          </w:tcPr>
          <w:p w14:paraId="4B141AA5"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75" w:type="dxa"/>
            <w:gridSpan w:val="3"/>
            <w:tcBorders>
              <w:top w:val="single" w:sz="8" w:space="0" w:color="auto"/>
              <w:left w:val="nil"/>
              <w:bottom w:val="single" w:sz="8" w:space="0" w:color="auto"/>
              <w:right w:val="single" w:sz="8" w:space="0" w:color="000000"/>
            </w:tcBorders>
            <w:vAlign w:val="center"/>
          </w:tcPr>
          <w:p w14:paraId="5D4F17B0"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curricula for energy transition on an annual basis</w:t>
            </w:r>
          </w:p>
        </w:tc>
      </w:tr>
      <w:tr w:rsidR="00213B57" w:rsidRPr="00A33AE8" w14:paraId="2654902C" w14:textId="77777777" w:rsidTr="006769DA">
        <w:trPr>
          <w:gridAfter w:val="1"/>
          <w:wAfter w:w="1212" w:type="dxa"/>
          <w:trHeight w:val="566"/>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1C199AC7"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75" w:type="dxa"/>
            <w:gridSpan w:val="3"/>
            <w:tcBorders>
              <w:top w:val="single" w:sz="8" w:space="0" w:color="auto"/>
              <w:left w:val="nil"/>
              <w:bottom w:val="single" w:sz="8" w:space="0" w:color="auto"/>
              <w:right w:val="single" w:sz="8" w:space="0" w:color="000000"/>
            </w:tcBorders>
            <w:vAlign w:val="center"/>
          </w:tcPr>
          <w:p w14:paraId="1D5378F8" w14:textId="77777777" w:rsidR="00213B57" w:rsidRPr="00A33AE8" w:rsidRDefault="00213B57" w:rsidP="00884F3B">
            <w:pPr>
              <w:pStyle w:val="ListParagraph"/>
              <w:numPr>
                <w:ilvl w:val="0"/>
                <w:numId w:val="18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C03883" w:rsidRPr="00A33AE8" w14:paraId="63D6CF6F" w14:textId="77777777" w:rsidTr="006769DA">
        <w:trPr>
          <w:gridAfter w:val="1"/>
          <w:wAfter w:w="1212" w:type="dxa"/>
          <w:trHeight w:val="450"/>
        </w:trPr>
        <w:tc>
          <w:tcPr>
            <w:tcW w:w="3313" w:type="dxa"/>
            <w:vMerge w:val="restart"/>
            <w:tcBorders>
              <w:top w:val="nil"/>
              <w:left w:val="single" w:sz="8" w:space="0" w:color="auto"/>
              <w:bottom w:val="single" w:sz="8" w:space="0" w:color="000000"/>
              <w:right w:val="single" w:sz="8" w:space="0" w:color="auto"/>
            </w:tcBorders>
            <w:shd w:val="clear" w:color="auto" w:fill="244062"/>
            <w:vAlign w:val="center"/>
            <w:hideMark/>
          </w:tcPr>
          <w:p w14:paraId="152BA5CE"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75" w:type="dxa"/>
            <w:gridSpan w:val="3"/>
            <w:vMerge w:val="restart"/>
            <w:tcBorders>
              <w:top w:val="single" w:sz="8" w:space="0" w:color="auto"/>
              <w:left w:val="single" w:sz="8" w:space="0" w:color="auto"/>
              <w:bottom w:val="single" w:sz="8" w:space="0" w:color="000000"/>
              <w:right w:val="single" w:sz="8" w:space="0" w:color="000000"/>
            </w:tcBorders>
            <w:vAlign w:val="center"/>
          </w:tcPr>
          <w:p w14:paraId="46847DB1" w14:textId="77777777" w:rsidR="00C03883" w:rsidRPr="00A33AE8" w:rsidRDefault="00C03883" w:rsidP="00884F3B">
            <w:pPr>
              <w:pStyle w:val="ListParagraph"/>
              <w:numPr>
                <w:ilvl w:val="0"/>
                <w:numId w:val="10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legislation</w:t>
            </w:r>
          </w:p>
        </w:tc>
      </w:tr>
      <w:tr w:rsidR="00C03883" w:rsidRPr="00A33AE8" w14:paraId="50E2AC15"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42E0B0E3"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5" w:type="dxa"/>
            <w:gridSpan w:val="3"/>
            <w:vMerge/>
            <w:tcBorders>
              <w:top w:val="single" w:sz="8" w:space="0" w:color="auto"/>
              <w:left w:val="single" w:sz="8" w:space="0" w:color="auto"/>
              <w:bottom w:val="single" w:sz="8" w:space="0" w:color="000000"/>
              <w:right w:val="single" w:sz="8" w:space="0" w:color="000000"/>
            </w:tcBorders>
            <w:vAlign w:val="center"/>
          </w:tcPr>
          <w:p w14:paraId="40EECCF5" w14:textId="77777777" w:rsidR="00C03883" w:rsidRPr="00A33AE8" w:rsidRDefault="00C03883" w:rsidP="00884F3B">
            <w:pPr>
              <w:pStyle w:val="ListParagraph"/>
              <w:numPr>
                <w:ilvl w:val="0"/>
                <w:numId w:val="103"/>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4399A56" w14:textId="77777777" w:rsidR="00C03883" w:rsidRPr="00A33AE8" w:rsidRDefault="00C03883" w:rsidP="006769DA">
            <w:pPr>
              <w:rPr>
                <w:sz w:val="20"/>
                <w:szCs w:val="20"/>
              </w:rPr>
            </w:pPr>
          </w:p>
        </w:tc>
      </w:tr>
      <w:tr w:rsidR="00C03883" w:rsidRPr="00A33AE8" w14:paraId="39D50B16" w14:textId="77777777" w:rsidTr="006769DA">
        <w:trPr>
          <w:trHeight w:val="75"/>
        </w:trPr>
        <w:tc>
          <w:tcPr>
            <w:tcW w:w="0" w:type="auto"/>
            <w:vMerge/>
            <w:tcBorders>
              <w:top w:val="nil"/>
              <w:left w:val="single" w:sz="8" w:space="0" w:color="auto"/>
              <w:bottom w:val="single" w:sz="8" w:space="0" w:color="000000"/>
              <w:right w:val="single" w:sz="8" w:space="0" w:color="auto"/>
            </w:tcBorders>
            <w:vAlign w:val="center"/>
            <w:hideMark/>
          </w:tcPr>
          <w:p w14:paraId="22F08F7A" w14:textId="77777777" w:rsidR="00C03883" w:rsidRPr="00A33AE8" w:rsidRDefault="00C03883" w:rsidP="006769DA">
            <w:pPr>
              <w:spacing w:after="0" w:line="256" w:lineRule="auto"/>
              <w:rPr>
                <w:rFonts w:ascii="Calibri Light" w:eastAsia="Times New Roman" w:hAnsi="Calibri Light" w:cs="Calibri Light"/>
                <w:b/>
                <w:bCs/>
                <w:color w:val="FFFFFF"/>
                <w:sz w:val="20"/>
                <w:szCs w:val="20"/>
                <w:lang w:eastAsia="en-GB"/>
              </w:rPr>
            </w:pPr>
          </w:p>
        </w:tc>
        <w:tc>
          <w:tcPr>
            <w:tcW w:w="6175" w:type="dxa"/>
            <w:gridSpan w:val="3"/>
            <w:vMerge/>
            <w:tcBorders>
              <w:top w:val="single" w:sz="8" w:space="0" w:color="auto"/>
              <w:left w:val="single" w:sz="8" w:space="0" w:color="auto"/>
              <w:bottom w:val="single" w:sz="8" w:space="0" w:color="000000"/>
              <w:right w:val="single" w:sz="8" w:space="0" w:color="000000"/>
            </w:tcBorders>
            <w:vAlign w:val="center"/>
          </w:tcPr>
          <w:p w14:paraId="01BCF9BD" w14:textId="77777777" w:rsidR="00C03883" w:rsidRPr="00A33AE8" w:rsidRDefault="00C03883" w:rsidP="00884F3B">
            <w:pPr>
              <w:pStyle w:val="ListParagraph"/>
              <w:numPr>
                <w:ilvl w:val="0"/>
                <w:numId w:val="103"/>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9C586E6" w14:textId="77777777" w:rsidR="00C03883" w:rsidRPr="00A33AE8" w:rsidRDefault="00C03883" w:rsidP="006769DA">
            <w:pPr>
              <w:spacing w:after="0" w:line="256" w:lineRule="auto"/>
              <w:rPr>
                <w:sz w:val="20"/>
                <w:szCs w:val="20"/>
                <w:lang w:eastAsia="en-GB"/>
              </w:rPr>
            </w:pPr>
          </w:p>
        </w:tc>
      </w:tr>
      <w:tr w:rsidR="00C03883" w:rsidRPr="00A33AE8" w14:paraId="1FF39D32" w14:textId="77777777" w:rsidTr="006769DA">
        <w:trPr>
          <w:trHeight w:val="247"/>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3D171A31"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75" w:type="dxa"/>
            <w:gridSpan w:val="3"/>
            <w:tcBorders>
              <w:top w:val="single" w:sz="8" w:space="0" w:color="auto"/>
              <w:left w:val="nil"/>
              <w:bottom w:val="single" w:sz="8" w:space="0" w:color="auto"/>
              <w:right w:val="single" w:sz="8" w:space="0" w:color="000000"/>
            </w:tcBorders>
            <w:vAlign w:val="center"/>
          </w:tcPr>
          <w:p w14:paraId="3A54A36A" w14:textId="77777777" w:rsidR="00C03883" w:rsidRPr="00A33AE8" w:rsidRDefault="00C03883" w:rsidP="00884F3B">
            <w:pPr>
              <w:pStyle w:val="ListParagraph"/>
              <w:numPr>
                <w:ilvl w:val="0"/>
                <w:numId w:val="10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5C0DFCA3" w14:textId="77777777" w:rsidR="00C03883" w:rsidRPr="00A33AE8" w:rsidRDefault="00C03883" w:rsidP="00884F3B">
            <w:pPr>
              <w:pStyle w:val="ListParagraph"/>
              <w:numPr>
                <w:ilvl w:val="0"/>
                <w:numId w:val="10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tc>
        <w:tc>
          <w:tcPr>
            <w:tcW w:w="1212" w:type="dxa"/>
            <w:vAlign w:val="center"/>
            <w:hideMark/>
          </w:tcPr>
          <w:p w14:paraId="1FA1DEF8" w14:textId="77777777" w:rsidR="00C03883" w:rsidRPr="00A33AE8" w:rsidRDefault="00C03883" w:rsidP="006769DA">
            <w:pPr>
              <w:rPr>
                <w:rFonts w:ascii="Calibri Light" w:eastAsia="Times New Roman" w:hAnsi="Calibri Light" w:cs="Calibri Light"/>
                <w:color w:val="000000"/>
                <w:sz w:val="20"/>
                <w:szCs w:val="20"/>
                <w:lang w:eastAsia="en-GB"/>
              </w:rPr>
            </w:pPr>
          </w:p>
        </w:tc>
      </w:tr>
      <w:tr w:rsidR="00C03883" w:rsidRPr="00A33AE8" w14:paraId="76322F16" w14:textId="77777777" w:rsidTr="006769DA">
        <w:trPr>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5FE25D7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75" w:type="dxa"/>
            <w:gridSpan w:val="3"/>
            <w:tcBorders>
              <w:top w:val="single" w:sz="8" w:space="0" w:color="auto"/>
              <w:left w:val="nil"/>
              <w:bottom w:val="single" w:sz="8" w:space="0" w:color="auto"/>
              <w:right w:val="single" w:sz="8" w:space="0" w:color="000000"/>
            </w:tcBorders>
            <w:vAlign w:val="center"/>
          </w:tcPr>
          <w:p w14:paraId="0A291B1E" w14:textId="77777777" w:rsidR="00C03883" w:rsidRPr="00A33AE8" w:rsidRDefault="00C03883"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2.2 M€</w:t>
            </w:r>
          </w:p>
        </w:tc>
        <w:tc>
          <w:tcPr>
            <w:tcW w:w="1212" w:type="dxa"/>
            <w:vAlign w:val="center"/>
            <w:hideMark/>
          </w:tcPr>
          <w:p w14:paraId="660202CC" w14:textId="77777777" w:rsidR="00C03883" w:rsidRPr="00A33AE8" w:rsidRDefault="00C03883" w:rsidP="006769DA">
            <w:pPr>
              <w:rPr>
                <w:rFonts w:ascii="Calibri" w:eastAsia="Times New Roman" w:hAnsi="Calibri" w:cs="Calibri"/>
                <w:color w:val="000000"/>
                <w:sz w:val="20"/>
                <w:szCs w:val="20"/>
                <w:lang w:eastAsia="en-GB"/>
              </w:rPr>
            </w:pPr>
          </w:p>
        </w:tc>
      </w:tr>
      <w:tr w:rsidR="00C03883" w:rsidRPr="00A33AE8" w14:paraId="7BFD1018" w14:textId="77777777" w:rsidTr="006769DA">
        <w:trPr>
          <w:trHeight w:val="315"/>
        </w:trPr>
        <w:tc>
          <w:tcPr>
            <w:tcW w:w="3313" w:type="dxa"/>
            <w:tcBorders>
              <w:top w:val="nil"/>
              <w:left w:val="single" w:sz="8" w:space="0" w:color="auto"/>
              <w:bottom w:val="single" w:sz="8" w:space="0" w:color="auto"/>
              <w:right w:val="single" w:sz="8" w:space="0" w:color="auto"/>
            </w:tcBorders>
            <w:shd w:val="clear" w:color="auto" w:fill="244062"/>
            <w:vAlign w:val="center"/>
            <w:hideMark/>
          </w:tcPr>
          <w:p w14:paraId="7E455D2B" w14:textId="77777777" w:rsidR="00C03883" w:rsidRPr="00A33AE8" w:rsidRDefault="00C03883"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75" w:type="dxa"/>
            <w:gridSpan w:val="3"/>
            <w:tcBorders>
              <w:top w:val="single" w:sz="8" w:space="0" w:color="auto"/>
              <w:left w:val="nil"/>
              <w:bottom w:val="single" w:sz="8" w:space="0" w:color="auto"/>
              <w:right w:val="single" w:sz="8" w:space="0" w:color="000000"/>
            </w:tcBorders>
            <w:shd w:val="clear" w:color="auto" w:fill="auto"/>
            <w:vAlign w:val="center"/>
            <w:hideMark/>
          </w:tcPr>
          <w:p w14:paraId="46143654" w14:textId="77777777" w:rsidR="00AB782B" w:rsidRPr="00AB782B" w:rsidRDefault="00AB782B"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AB782B">
              <w:rPr>
                <w:rFonts w:asciiTheme="majorHAnsi" w:eastAsia="Times New Roman" w:hAnsiTheme="majorHAnsi" w:cstheme="majorHAnsi"/>
                <w:color w:val="000000"/>
                <w:sz w:val="20"/>
                <w:szCs w:val="20"/>
                <w:lang w:eastAsia="en-GB"/>
              </w:rPr>
              <w:t>Budget funds</w:t>
            </w:r>
          </w:p>
          <w:p w14:paraId="10750A29" w14:textId="77777777" w:rsidR="00AB782B" w:rsidRDefault="00AB782B"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AB782B">
              <w:rPr>
                <w:rFonts w:asciiTheme="majorHAnsi" w:eastAsia="Times New Roman" w:hAnsiTheme="majorHAnsi" w:cstheme="majorHAnsi"/>
                <w:color w:val="000000"/>
                <w:sz w:val="20"/>
                <w:szCs w:val="20"/>
                <w:lang w:eastAsia="en-GB"/>
              </w:rPr>
              <w:t>EU funds</w:t>
            </w:r>
          </w:p>
          <w:p w14:paraId="751391F8" w14:textId="77777777" w:rsidR="00C03883" w:rsidRPr="00AB782B" w:rsidRDefault="00AB782B"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AB782B">
              <w:rPr>
                <w:rFonts w:asciiTheme="majorHAnsi" w:eastAsia="Times New Roman" w:hAnsiTheme="majorHAnsi" w:cstheme="majorHAnsi"/>
                <w:color w:val="000000"/>
                <w:sz w:val="20"/>
                <w:szCs w:val="20"/>
                <w:lang w:eastAsia="en-GB"/>
              </w:rPr>
              <w:t>Private and public funds</w:t>
            </w:r>
          </w:p>
        </w:tc>
        <w:tc>
          <w:tcPr>
            <w:tcW w:w="1212" w:type="dxa"/>
            <w:vAlign w:val="center"/>
            <w:hideMark/>
          </w:tcPr>
          <w:p w14:paraId="0AD3D773" w14:textId="77777777" w:rsidR="00C03883" w:rsidRPr="00A33AE8" w:rsidRDefault="00C03883" w:rsidP="006769DA">
            <w:pPr>
              <w:rPr>
                <w:rFonts w:ascii="Calibri" w:eastAsia="Times New Roman" w:hAnsi="Calibri" w:cs="Calibri"/>
                <w:color w:val="000000"/>
                <w:sz w:val="20"/>
                <w:szCs w:val="20"/>
                <w:lang w:eastAsia="en-GB"/>
              </w:rPr>
            </w:pPr>
          </w:p>
        </w:tc>
      </w:tr>
    </w:tbl>
    <w:p w14:paraId="365F6733" w14:textId="77777777" w:rsidR="000B465E" w:rsidRPr="00A33AE8" w:rsidRDefault="000B465E" w:rsidP="006E21C2">
      <w:pPr>
        <w:spacing w:before="160"/>
        <w:jc w:val="both"/>
        <w:rPr>
          <w:rFonts w:asciiTheme="majorHAnsi" w:hAnsiTheme="majorHAnsi" w:cstheme="majorHAnsi"/>
          <w:b/>
          <w:bCs/>
          <w:i/>
          <w:iCs/>
          <w:color w:val="000000"/>
        </w:rPr>
      </w:pPr>
      <w:r w:rsidRPr="00A33AE8">
        <w:rPr>
          <w:rFonts w:asciiTheme="majorHAnsi" w:hAnsiTheme="majorHAnsi" w:cstheme="majorHAnsi"/>
          <w:b/>
          <w:bCs/>
          <w:i/>
          <w:iCs/>
          <w:color w:val="000000"/>
        </w:rPr>
        <w:t>Policies and measures to promote competitiveness</w:t>
      </w:r>
    </w:p>
    <w:p w14:paraId="0506DA62" w14:textId="3E79AE98"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Promoting entrepreneurship is a priority by directly contributing to the competitiveness component. In this context, it is planned:</w:t>
      </w:r>
    </w:p>
    <w:p w14:paraId="72F4A6AF" w14:textId="5D2BD123"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(a) to establish and operate special funds to promote research and innovation in SMEs, to co-operate with research centres and to ensure the conditions for successful investment, and</w:t>
      </w:r>
    </w:p>
    <w:p w14:paraId="2EAB738C" w14:textId="75031656"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(b) to exploit patent rights, licensing, etc.</w:t>
      </w:r>
    </w:p>
    <w:p w14:paraId="027C91F6" w14:textId="127CCD4B"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In addition, support should be provided to the creation of innovative clusters of companies and research entities to promote entrepreneurship and to the establishment of start-ups for the commercial exploitation of mature research results and innovative ideas, as well as for the development of entrepreneurship support structures, such as incubators, technology parks, co-working spaces, etc.</w:t>
      </w:r>
    </w:p>
    <w:p w14:paraId="7FF84482" w14:textId="58DC6706"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Enhancing competitiveness calls for improving the existing regulatory framework for the implementation of investments in industrial plants and in SMEs in order to create a stable and transparent framework of rules, procedures and administrative structures, with a view to completing smoothly large public and private projects. Moreover, in order to ensure additional private capital, the effectiveness of the existing private investment aid schemes will be assessed in order to continue implementing the most efficient among them and/or to attempt to implement new ones.</w:t>
      </w:r>
    </w:p>
    <w:p w14:paraId="72692DA1" w14:textId="1A69348A"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The role of special target funds will also be important for facilitating the provision of concessional financing to businesses (especially SMEs) and for undertaking part of the business risk, which is not undertaken by financing institutions, while providing the necessary guarantees.</w:t>
      </w:r>
    </w:p>
    <w:p w14:paraId="48087ABD" w14:textId="77777777"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The contribution of circular economy in order to improve competitiveness is considered as of high importance and it is, therefore, necessary to promote concrete actions focusing on the development of innovative technologies to achieve the objectives of the National Roadmap for Circular Economy.</w:t>
      </w:r>
    </w:p>
    <w:p w14:paraId="08598B3E" w14:textId="77777777" w:rsidR="00BB5945" w:rsidRPr="00A33AE8" w:rsidRDefault="000B465E" w:rsidP="006E21C2">
      <w:pPr>
        <w:spacing w:before="160"/>
        <w:jc w:val="both"/>
        <w:rPr>
          <w:rFonts w:asciiTheme="majorHAnsi" w:hAnsiTheme="majorHAnsi" w:cstheme="majorHAnsi"/>
          <w:i/>
          <w:iCs/>
          <w:color w:val="000000"/>
          <w:u w:val="single"/>
        </w:rPr>
      </w:pPr>
      <w:r w:rsidRPr="00A33AE8">
        <w:rPr>
          <w:rFonts w:asciiTheme="majorHAnsi" w:hAnsiTheme="majorHAnsi" w:cstheme="majorHAnsi"/>
          <w:i/>
          <w:iCs/>
          <w:color w:val="000000"/>
          <w:u w:val="single"/>
        </w:rPr>
        <w:t>Tables for PM_RIC17 – PM_RIC20</w:t>
      </w:r>
    </w:p>
    <w:tbl>
      <w:tblPr>
        <w:tblW w:w="10700" w:type="dxa"/>
        <w:tblLook w:val="04A0" w:firstRow="1" w:lastRow="0" w:firstColumn="1" w:lastColumn="0" w:noHBand="0" w:noVBand="1"/>
      </w:tblPr>
      <w:tblGrid>
        <w:gridCol w:w="3303"/>
        <w:gridCol w:w="1052"/>
        <w:gridCol w:w="937"/>
        <w:gridCol w:w="4196"/>
        <w:gridCol w:w="1212"/>
      </w:tblGrid>
      <w:tr w:rsidR="00BB5945" w:rsidRPr="00A33AE8" w14:paraId="4E4AE97D" w14:textId="77777777" w:rsidTr="006769DA">
        <w:trPr>
          <w:gridAfter w:val="1"/>
          <w:wAfter w:w="1212" w:type="dxa"/>
          <w:trHeight w:val="780"/>
        </w:trPr>
        <w:tc>
          <w:tcPr>
            <w:tcW w:w="330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E3F702F" w14:textId="77777777" w:rsidR="00BB5945" w:rsidRPr="00A33AE8" w:rsidRDefault="00BB5945"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2BFB0CA"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PM_RIC17</w:t>
            </w:r>
          </w:p>
        </w:tc>
        <w:tc>
          <w:tcPr>
            <w:tcW w:w="937" w:type="dxa"/>
            <w:tcBorders>
              <w:top w:val="single" w:sz="8" w:space="0" w:color="auto"/>
              <w:left w:val="nil"/>
              <w:bottom w:val="single" w:sz="8" w:space="0" w:color="auto"/>
              <w:right w:val="single" w:sz="8" w:space="0" w:color="auto"/>
            </w:tcBorders>
            <w:shd w:val="clear" w:color="auto" w:fill="244062"/>
            <w:vAlign w:val="center"/>
            <w:hideMark/>
          </w:tcPr>
          <w:p w14:paraId="5EEDF6A5"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96" w:type="dxa"/>
            <w:tcBorders>
              <w:top w:val="single" w:sz="8" w:space="0" w:color="auto"/>
              <w:left w:val="nil"/>
              <w:bottom w:val="single" w:sz="8" w:space="0" w:color="auto"/>
              <w:right w:val="single" w:sz="8" w:space="0" w:color="auto"/>
            </w:tcBorders>
            <w:shd w:val="clear" w:color="auto" w:fill="E7E6E6" w:themeFill="background2"/>
            <w:vAlign w:val="center"/>
            <w:hideMark/>
          </w:tcPr>
          <w:p w14:paraId="6A1BF9CC"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Promotion of entrepreneurship through research and innovation actions which are embedded in market functions </w:t>
            </w:r>
          </w:p>
        </w:tc>
      </w:tr>
      <w:tr w:rsidR="00BB5945" w:rsidRPr="00A33AE8" w14:paraId="21A62F77" w14:textId="77777777" w:rsidTr="006769DA">
        <w:trPr>
          <w:gridAfter w:val="1"/>
          <w:wAfter w:w="1212" w:type="dxa"/>
          <w:trHeight w:val="340"/>
        </w:trPr>
        <w:tc>
          <w:tcPr>
            <w:tcW w:w="3303" w:type="dxa"/>
            <w:tcBorders>
              <w:top w:val="nil"/>
              <w:left w:val="single" w:sz="8" w:space="0" w:color="auto"/>
              <w:bottom w:val="single" w:sz="8" w:space="0" w:color="auto"/>
              <w:right w:val="nil"/>
            </w:tcBorders>
            <w:shd w:val="clear" w:color="auto" w:fill="244062"/>
            <w:vAlign w:val="center"/>
            <w:hideMark/>
          </w:tcPr>
          <w:p w14:paraId="2AEC4D35"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5" w:type="dxa"/>
            <w:gridSpan w:val="3"/>
            <w:tcBorders>
              <w:top w:val="single" w:sz="8" w:space="0" w:color="auto"/>
              <w:left w:val="nil"/>
              <w:bottom w:val="single" w:sz="8" w:space="0" w:color="auto"/>
              <w:right w:val="single" w:sz="8" w:space="0" w:color="000000"/>
            </w:tcBorders>
            <w:vAlign w:val="center"/>
            <w:hideMark/>
          </w:tcPr>
          <w:p w14:paraId="465ABA34"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Improvement of competitiveness</w:t>
            </w:r>
          </w:p>
        </w:tc>
      </w:tr>
      <w:tr w:rsidR="00BB5945" w:rsidRPr="00A33AE8" w14:paraId="79650195"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7F77A226"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5" w:type="dxa"/>
            <w:gridSpan w:val="3"/>
            <w:tcBorders>
              <w:top w:val="single" w:sz="8" w:space="0" w:color="auto"/>
              <w:left w:val="nil"/>
              <w:bottom w:val="single" w:sz="8" w:space="0" w:color="auto"/>
              <w:right w:val="single" w:sz="8" w:space="0" w:color="000000"/>
            </w:tcBorders>
            <w:vAlign w:val="center"/>
            <w:hideMark/>
          </w:tcPr>
          <w:p w14:paraId="2B94754E" w14:textId="77777777" w:rsidR="00BB5945" w:rsidRPr="00A33AE8" w:rsidRDefault="00BB5945"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competitiveness in the field of energy (Qualitative objective)</w:t>
            </w:r>
          </w:p>
        </w:tc>
      </w:tr>
      <w:tr w:rsidR="00BB5945" w:rsidRPr="00A33AE8" w14:paraId="51D64144" w14:textId="77777777" w:rsidTr="006769DA">
        <w:trPr>
          <w:gridAfter w:val="1"/>
          <w:wAfter w:w="1212" w:type="dxa"/>
          <w:trHeight w:val="229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32FA9F93"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5" w:type="dxa"/>
            <w:gridSpan w:val="3"/>
            <w:tcBorders>
              <w:top w:val="single" w:sz="8" w:space="0" w:color="auto"/>
              <w:left w:val="nil"/>
              <w:bottom w:val="single" w:sz="8" w:space="0" w:color="auto"/>
              <w:right w:val="single" w:sz="8" w:space="0" w:color="000000"/>
            </w:tcBorders>
            <w:vAlign w:val="center"/>
            <w:hideMark/>
          </w:tcPr>
          <w:p w14:paraId="53C89A5A" w14:textId="77777777" w:rsidR="00BB5945" w:rsidRPr="00A33AE8" w:rsidRDefault="00BB5945"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PM_RIC17 will aim at the establishment and operation of special funds in order to promote research and innovation in SMEs, to ensure the conditions for the creation of successful investments, the exploitation of patents, the assignment of rights, etc. It will also support the creation of innovative co-operative clusters of companies and research institutions in order to promote entrepreneurship. Finally, the establishment of knowledge-intensive start-ups for commercial use and commercialization of mature research results and innovative ideas will be strengthened, as well as the development of entrepreneurship support structures, such as incubators, technology parks, areas of cooperation, etc.</w:t>
            </w:r>
          </w:p>
        </w:tc>
      </w:tr>
      <w:tr w:rsidR="00BB5945" w:rsidRPr="00A33AE8" w14:paraId="4D084A9B"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2392ADFD"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Implementation Timeframe</w:t>
            </w:r>
          </w:p>
        </w:tc>
        <w:tc>
          <w:tcPr>
            <w:tcW w:w="6185" w:type="dxa"/>
            <w:gridSpan w:val="3"/>
            <w:tcBorders>
              <w:top w:val="single" w:sz="8" w:space="0" w:color="auto"/>
              <w:left w:val="nil"/>
              <w:bottom w:val="single" w:sz="8" w:space="0" w:color="auto"/>
              <w:right w:val="single" w:sz="8" w:space="0" w:color="000000"/>
            </w:tcBorders>
            <w:vAlign w:val="center"/>
            <w:hideMark/>
          </w:tcPr>
          <w:p w14:paraId="4D29860C"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BB5945" w:rsidRPr="00A33AE8" w14:paraId="7CFF9EA4"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52230AC1"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5" w:type="dxa"/>
            <w:gridSpan w:val="3"/>
            <w:tcBorders>
              <w:top w:val="single" w:sz="8" w:space="0" w:color="auto"/>
              <w:left w:val="nil"/>
              <w:bottom w:val="single" w:sz="8" w:space="0" w:color="auto"/>
              <w:right w:val="single" w:sz="8" w:space="0" w:color="000000"/>
            </w:tcBorders>
            <w:vAlign w:val="center"/>
            <w:hideMark/>
          </w:tcPr>
          <w:p w14:paraId="25605DEA" w14:textId="77777777" w:rsidR="00BB5945"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BB5945" w:rsidRPr="00A33AE8" w14:paraId="4E2E7D67"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7575E21A"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5" w:type="dxa"/>
            <w:gridSpan w:val="3"/>
            <w:tcBorders>
              <w:top w:val="single" w:sz="8" w:space="0" w:color="auto"/>
              <w:left w:val="nil"/>
              <w:bottom w:val="single" w:sz="8" w:space="0" w:color="auto"/>
              <w:right w:val="single" w:sz="8" w:space="0" w:color="000000"/>
            </w:tcBorders>
            <w:vAlign w:val="center"/>
            <w:hideMark/>
          </w:tcPr>
          <w:p w14:paraId="466FE845"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BB5945" w:rsidRPr="00A33AE8" w14:paraId="3D02A1DD"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688DA631"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5" w:type="dxa"/>
            <w:gridSpan w:val="3"/>
            <w:tcBorders>
              <w:top w:val="single" w:sz="8" w:space="0" w:color="auto"/>
              <w:left w:val="nil"/>
              <w:bottom w:val="single" w:sz="8" w:space="0" w:color="auto"/>
              <w:right w:val="single" w:sz="8" w:space="0" w:color="000000"/>
            </w:tcBorders>
            <w:vAlign w:val="center"/>
            <w:hideMark/>
          </w:tcPr>
          <w:p w14:paraId="1D2D9479" w14:textId="77777777" w:rsidR="00BB5945" w:rsidRPr="00A33AE8" w:rsidRDefault="00BB5945" w:rsidP="00884F3B">
            <w:pPr>
              <w:pStyle w:val="ListParagraph"/>
              <w:numPr>
                <w:ilvl w:val="0"/>
                <w:numId w:val="21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78A5A44B" w14:textId="77777777" w:rsidR="00BB5945" w:rsidRPr="00A33AE8" w:rsidRDefault="00BB5945" w:rsidP="00884F3B">
            <w:pPr>
              <w:pStyle w:val="ListParagraph"/>
              <w:numPr>
                <w:ilvl w:val="0"/>
                <w:numId w:val="21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w:t>
            </w:r>
          </w:p>
          <w:p w14:paraId="059CD63F" w14:textId="77777777" w:rsidR="00BB5945" w:rsidRPr="00A33AE8" w:rsidRDefault="00BB5945" w:rsidP="00884F3B">
            <w:pPr>
              <w:pStyle w:val="ListParagraph"/>
              <w:numPr>
                <w:ilvl w:val="0"/>
                <w:numId w:val="21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Development Agency of Serbia</w:t>
            </w:r>
          </w:p>
          <w:p w14:paraId="6CD3F23F" w14:textId="77777777" w:rsidR="00BB5945" w:rsidRPr="00A33AE8" w:rsidRDefault="00BB5945" w:rsidP="00884F3B">
            <w:pPr>
              <w:pStyle w:val="ListParagraph"/>
              <w:numPr>
                <w:ilvl w:val="0"/>
                <w:numId w:val="21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Chamber of </w:t>
            </w:r>
            <w:r w:rsidR="00C96A78" w:rsidRPr="00A33AE8">
              <w:rPr>
                <w:rFonts w:asciiTheme="majorHAnsi" w:eastAsia="Times New Roman" w:hAnsiTheme="majorHAnsi" w:cstheme="majorHAnsi"/>
                <w:color w:val="000000"/>
                <w:sz w:val="20"/>
                <w:szCs w:val="20"/>
                <w:lang w:eastAsia="en-GB"/>
              </w:rPr>
              <w:t>Commerce</w:t>
            </w:r>
            <w:r w:rsidR="00C96A78" w:rsidRPr="00A33AE8">
              <w:rPr>
                <w:rFonts w:asciiTheme="majorHAnsi" w:hAnsiTheme="majorHAnsi" w:cstheme="majorHAnsi"/>
                <w:bCs/>
                <w:sz w:val="20"/>
                <w:szCs w:val="20"/>
              </w:rPr>
              <w:t xml:space="preserve"> and</w:t>
            </w:r>
            <w:r w:rsidRPr="00A33AE8">
              <w:rPr>
                <w:rFonts w:asciiTheme="majorHAnsi" w:hAnsiTheme="majorHAnsi" w:cstheme="majorHAnsi"/>
                <w:bCs/>
                <w:sz w:val="20"/>
                <w:szCs w:val="20"/>
              </w:rPr>
              <w:t xml:space="preserve"> Industry of Serbia</w:t>
            </w:r>
          </w:p>
          <w:p w14:paraId="1A01400B" w14:textId="77777777" w:rsidR="00BB5945" w:rsidRPr="00A33AE8" w:rsidRDefault="00BB5945" w:rsidP="00884F3B">
            <w:pPr>
              <w:pStyle w:val="ListParagraph"/>
              <w:numPr>
                <w:ilvl w:val="0"/>
                <w:numId w:val="211"/>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BB5945" w:rsidRPr="00A33AE8" w14:paraId="2B3ED9AD" w14:textId="77777777" w:rsidTr="006769DA">
        <w:trPr>
          <w:gridAfter w:val="1"/>
          <w:wAfter w:w="1212" w:type="dxa"/>
          <w:trHeight w:val="315"/>
        </w:trPr>
        <w:tc>
          <w:tcPr>
            <w:tcW w:w="3303" w:type="dxa"/>
            <w:tcBorders>
              <w:top w:val="nil"/>
              <w:left w:val="single" w:sz="8" w:space="0" w:color="auto"/>
              <w:bottom w:val="single" w:sz="8" w:space="0" w:color="auto"/>
              <w:right w:val="nil"/>
            </w:tcBorders>
            <w:shd w:val="clear" w:color="auto" w:fill="244062"/>
            <w:vAlign w:val="center"/>
            <w:hideMark/>
          </w:tcPr>
          <w:p w14:paraId="29087A25"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5" w:type="dxa"/>
            <w:gridSpan w:val="3"/>
            <w:tcBorders>
              <w:top w:val="single" w:sz="8" w:space="0" w:color="auto"/>
              <w:left w:val="nil"/>
              <w:bottom w:val="single" w:sz="8" w:space="0" w:color="auto"/>
              <w:right w:val="single" w:sz="8" w:space="0" w:color="000000"/>
            </w:tcBorders>
            <w:vAlign w:val="center"/>
            <w:hideMark/>
          </w:tcPr>
          <w:p w14:paraId="4542B5A2" w14:textId="77777777" w:rsidR="00BB5945" w:rsidRPr="00A33AE8" w:rsidRDefault="00BB5945" w:rsidP="00884F3B">
            <w:pPr>
              <w:pStyle w:val="ListParagraph"/>
              <w:numPr>
                <w:ilvl w:val="0"/>
                <w:numId w:val="21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 </w:t>
            </w:r>
          </w:p>
        </w:tc>
      </w:tr>
      <w:tr w:rsidR="00BB5945" w:rsidRPr="00A33AE8" w14:paraId="3EB7665D" w14:textId="77777777" w:rsidTr="006769DA">
        <w:trPr>
          <w:gridAfter w:val="1"/>
          <w:wAfter w:w="1212" w:type="dxa"/>
          <w:trHeight w:val="315"/>
        </w:trPr>
        <w:tc>
          <w:tcPr>
            <w:tcW w:w="3303" w:type="dxa"/>
            <w:tcBorders>
              <w:top w:val="nil"/>
              <w:left w:val="single" w:sz="8" w:space="0" w:color="auto"/>
              <w:bottom w:val="single" w:sz="8" w:space="0" w:color="auto"/>
              <w:right w:val="nil"/>
            </w:tcBorders>
            <w:shd w:val="clear" w:color="auto" w:fill="244062"/>
            <w:vAlign w:val="center"/>
            <w:hideMark/>
          </w:tcPr>
          <w:p w14:paraId="253182D0"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5" w:type="dxa"/>
            <w:gridSpan w:val="3"/>
            <w:tcBorders>
              <w:top w:val="single" w:sz="8" w:space="0" w:color="auto"/>
              <w:left w:val="nil"/>
              <w:bottom w:val="single" w:sz="8" w:space="0" w:color="auto"/>
              <w:right w:val="single" w:sz="8" w:space="0" w:color="000000"/>
            </w:tcBorders>
            <w:vAlign w:val="center"/>
            <w:hideMark/>
          </w:tcPr>
          <w:p w14:paraId="77742B8B"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actions in the field of clean energy on an annual basis</w:t>
            </w:r>
          </w:p>
        </w:tc>
      </w:tr>
      <w:tr w:rsidR="00213B57" w:rsidRPr="00A33AE8" w14:paraId="45E5FBE5" w14:textId="77777777" w:rsidTr="006769DA">
        <w:trPr>
          <w:gridAfter w:val="1"/>
          <w:wAfter w:w="1212" w:type="dxa"/>
          <w:trHeight w:val="479"/>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1CDEC2CC"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5" w:type="dxa"/>
            <w:gridSpan w:val="3"/>
            <w:tcBorders>
              <w:top w:val="single" w:sz="8" w:space="0" w:color="auto"/>
              <w:left w:val="nil"/>
              <w:bottom w:val="single" w:sz="8" w:space="0" w:color="auto"/>
              <w:right w:val="single" w:sz="8" w:space="0" w:color="000000"/>
            </w:tcBorders>
            <w:vAlign w:val="center"/>
          </w:tcPr>
          <w:p w14:paraId="28E3CAC0" w14:textId="77777777" w:rsidR="00213B57" w:rsidRPr="00A33AE8" w:rsidRDefault="00213B57" w:rsidP="00884F3B">
            <w:pPr>
              <w:pStyle w:val="ListParagraph"/>
              <w:numPr>
                <w:ilvl w:val="0"/>
                <w:numId w:val="18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BB5945" w:rsidRPr="00A33AE8" w14:paraId="4DB66C23" w14:textId="77777777" w:rsidTr="006769DA">
        <w:trPr>
          <w:gridAfter w:val="1"/>
          <w:wAfter w:w="1212" w:type="dxa"/>
          <w:trHeight w:val="450"/>
        </w:trPr>
        <w:tc>
          <w:tcPr>
            <w:tcW w:w="3303" w:type="dxa"/>
            <w:vMerge w:val="restart"/>
            <w:tcBorders>
              <w:top w:val="nil"/>
              <w:left w:val="single" w:sz="8" w:space="0" w:color="auto"/>
              <w:bottom w:val="single" w:sz="8" w:space="0" w:color="000000"/>
              <w:right w:val="single" w:sz="8" w:space="0" w:color="auto"/>
            </w:tcBorders>
            <w:shd w:val="clear" w:color="auto" w:fill="244062"/>
            <w:vAlign w:val="center"/>
            <w:hideMark/>
          </w:tcPr>
          <w:p w14:paraId="22FD595C"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5" w:type="dxa"/>
            <w:gridSpan w:val="3"/>
            <w:vMerge w:val="restart"/>
            <w:tcBorders>
              <w:top w:val="single" w:sz="8" w:space="0" w:color="auto"/>
              <w:left w:val="single" w:sz="8" w:space="0" w:color="auto"/>
              <w:bottom w:val="single" w:sz="8" w:space="0" w:color="000000"/>
              <w:right w:val="single" w:sz="8" w:space="0" w:color="000000"/>
            </w:tcBorders>
            <w:vAlign w:val="center"/>
          </w:tcPr>
          <w:p w14:paraId="6C59D7BD" w14:textId="77777777" w:rsidR="00BB5945" w:rsidRPr="00A33AE8" w:rsidRDefault="00BB5945" w:rsidP="00884F3B">
            <w:pPr>
              <w:pStyle w:val="ListParagraph"/>
              <w:numPr>
                <w:ilvl w:val="0"/>
                <w:numId w:val="189"/>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legislation</w:t>
            </w:r>
          </w:p>
        </w:tc>
      </w:tr>
      <w:tr w:rsidR="00BB5945" w:rsidRPr="00A33AE8" w14:paraId="422491A3"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6A5F6BEE"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5" w:type="dxa"/>
            <w:gridSpan w:val="3"/>
            <w:vMerge/>
            <w:tcBorders>
              <w:top w:val="single" w:sz="8" w:space="0" w:color="auto"/>
              <w:left w:val="single" w:sz="8" w:space="0" w:color="auto"/>
              <w:bottom w:val="single" w:sz="8" w:space="0" w:color="000000"/>
              <w:right w:val="single" w:sz="8" w:space="0" w:color="000000"/>
            </w:tcBorders>
            <w:vAlign w:val="center"/>
          </w:tcPr>
          <w:p w14:paraId="69BC74E8" w14:textId="77777777" w:rsidR="00BB5945" w:rsidRPr="00A33AE8" w:rsidRDefault="00BB5945"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DDDD440" w14:textId="77777777" w:rsidR="00BB5945" w:rsidRPr="00A33AE8" w:rsidRDefault="00BB5945" w:rsidP="006769DA">
            <w:pPr>
              <w:rPr>
                <w:sz w:val="20"/>
                <w:szCs w:val="20"/>
              </w:rPr>
            </w:pPr>
          </w:p>
        </w:tc>
      </w:tr>
      <w:tr w:rsidR="00BB5945" w:rsidRPr="00A33AE8" w14:paraId="7EF4AF0F" w14:textId="77777777" w:rsidTr="006769DA">
        <w:trPr>
          <w:trHeight w:val="75"/>
        </w:trPr>
        <w:tc>
          <w:tcPr>
            <w:tcW w:w="0" w:type="auto"/>
            <w:vMerge/>
            <w:tcBorders>
              <w:top w:val="nil"/>
              <w:left w:val="single" w:sz="8" w:space="0" w:color="auto"/>
              <w:bottom w:val="single" w:sz="8" w:space="0" w:color="000000"/>
              <w:right w:val="single" w:sz="8" w:space="0" w:color="auto"/>
            </w:tcBorders>
            <w:vAlign w:val="center"/>
            <w:hideMark/>
          </w:tcPr>
          <w:p w14:paraId="0FF3F3C2"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5" w:type="dxa"/>
            <w:gridSpan w:val="3"/>
            <w:vMerge/>
            <w:tcBorders>
              <w:top w:val="single" w:sz="8" w:space="0" w:color="auto"/>
              <w:left w:val="single" w:sz="8" w:space="0" w:color="auto"/>
              <w:bottom w:val="single" w:sz="8" w:space="0" w:color="000000"/>
              <w:right w:val="single" w:sz="8" w:space="0" w:color="000000"/>
            </w:tcBorders>
            <w:vAlign w:val="center"/>
          </w:tcPr>
          <w:p w14:paraId="1CDB0F47" w14:textId="77777777" w:rsidR="00BB5945" w:rsidRPr="00A33AE8" w:rsidRDefault="00BB5945"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1AE5DA4E" w14:textId="77777777" w:rsidR="00BB5945" w:rsidRPr="00A33AE8" w:rsidRDefault="00BB5945" w:rsidP="006769DA">
            <w:pPr>
              <w:spacing w:after="0" w:line="256" w:lineRule="auto"/>
              <w:rPr>
                <w:sz w:val="20"/>
                <w:szCs w:val="20"/>
                <w:lang w:eastAsia="en-GB"/>
              </w:rPr>
            </w:pPr>
          </w:p>
        </w:tc>
      </w:tr>
      <w:tr w:rsidR="00BB5945" w:rsidRPr="00A33AE8" w14:paraId="6D7354EC" w14:textId="77777777" w:rsidTr="006769DA">
        <w:trPr>
          <w:trHeight w:val="780"/>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0BECD2A8"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5" w:type="dxa"/>
            <w:gridSpan w:val="3"/>
            <w:tcBorders>
              <w:top w:val="single" w:sz="8" w:space="0" w:color="auto"/>
              <w:left w:val="nil"/>
              <w:bottom w:val="single" w:sz="8" w:space="0" w:color="auto"/>
              <w:right w:val="single" w:sz="8" w:space="0" w:color="000000"/>
            </w:tcBorders>
            <w:vAlign w:val="center"/>
          </w:tcPr>
          <w:p w14:paraId="175A226B" w14:textId="77777777" w:rsidR="00BB5945" w:rsidRPr="00A33AE8" w:rsidRDefault="00BB5945" w:rsidP="00884F3B">
            <w:pPr>
              <w:pStyle w:val="ListParagraph"/>
              <w:numPr>
                <w:ilvl w:val="0"/>
                <w:numId w:val="10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77E71CDD" w14:textId="77777777" w:rsidR="00BB5945" w:rsidRPr="00A33AE8" w:rsidRDefault="00BB5945" w:rsidP="00884F3B">
            <w:pPr>
              <w:pStyle w:val="ListParagraph"/>
              <w:numPr>
                <w:ilvl w:val="0"/>
                <w:numId w:val="10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p w14:paraId="784B3AC0" w14:textId="77777777" w:rsidR="00BB5945" w:rsidRPr="00A33AE8" w:rsidRDefault="00BB5945" w:rsidP="00884F3B">
            <w:pPr>
              <w:pStyle w:val="ListParagraph"/>
              <w:numPr>
                <w:ilvl w:val="0"/>
                <w:numId w:val="10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Industrial Policy Strategy (2021-2030)</w:t>
            </w:r>
          </w:p>
        </w:tc>
        <w:tc>
          <w:tcPr>
            <w:tcW w:w="1212" w:type="dxa"/>
            <w:vAlign w:val="center"/>
            <w:hideMark/>
          </w:tcPr>
          <w:p w14:paraId="7919CA50" w14:textId="77777777" w:rsidR="00BB5945" w:rsidRPr="00A33AE8" w:rsidRDefault="00BB5945" w:rsidP="006769DA">
            <w:pPr>
              <w:rPr>
                <w:rFonts w:ascii="Calibri Light" w:eastAsia="Times New Roman" w:hAnsi="Calibri Light" w:cs="Calibri Light"/>
                <w:color w:val="000000"/>
                <w:sz w:val="20"/>
                <w:szCs w:val="20"/>
                <w:lang w:eastAsia="en-GB"/>
              </w:rPr>
            </w:pPr>
          </w:p>
        </w:tc>
      </w:tr>
      <w:tr w:rsidR="00BB5945" w:rsidRPr="00A33AE8" w14:paraId="303AF242" w14:textId="77777777" w:rsidTr="006769DA">
        <w:trPr>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7C8DD74B"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5" w:type="dxa"/>
            <w:gridSpan w:val="3"/>
            <w:tcBorders>
              <w:top w:val="single" w:sz="8" w:space="0" w:color="auto"/>
              <w:left w:val="nil"/>
              <w:bottom w:val="single" w:sz="8" w:space="0" w:color="auto"/>
              <w:right w:val="single" w:sz="8" w:space="0" w:color="000000"/>
            </w:tcBorders>
            <w:vAlign w:val="center"/>
          </w:tcPr>
          <w:p w14:paraId="6889584C"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1.8 M€</w:t>
            </w:r>
          </w:p>
        </w:tc>
        <w:tc>
          <w:tcPr>
            <w:tcW w:w="1212" w:type="dxa"/>
            <w:vAlign w:val="center"/>
            <w:hideMark/>
          </w:tcPr>
          <w:p w14:paraId="780D45C8" w14:textId="77777777" w:rsidR="00BB5945" w:rsidRPr="00A33AE8" w:rsidRDefault="00BB5945" w:rsidP="006769DA">
            <w:pPr>
              <w:rPr>
                <w:rFonts w:ascii="Calibri" w:eastAsia="Times New Roman" w:hAnsi="Calibri" w:cs="Calibri"/>
                <w:color w:val="000000"/>
                <w:sz w:val="20"/>
                <w:szCs w:val="20"/>
                <w:lang w:eastAsia="en-GB"/>
              </w:rPr>
            </w:pPr>
          </w:p>
        </w:tc>
      </w:tr>
      <w:tr w:rsidR="00BB5945" w:rsidRPr="00A33AE8" w14:paraId="565D4E13" w14:textId="77777777" w:rsidTr="006769DA">
        <w:trPr>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606C975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5" w:type="dxa"/>
            <w:gridSpan w:val="3"/>
            <w:tcBorders>
              <w:top w:val="single" w:sz="8" w:space="0" w:color="auto"/>
              <w:left w:val="nil"/>
              <w:bottom w:val="single" w:sz="8" w:space="0" w:color="auto"/>
              <w:right w:val="single" w:sz="8" w:space="0" w:color="000000"/>
            </w:tcBorders>
            <w:shd w:val="clear" w:color="auto" w:fill="auto"/>
            <w:vAlign w:val="center"/>
            <w:hideMark/>
          </w:tcPr>
          <w:p w14:paraId="40F66B0D" w14:textId="77777777" w:rsidR="00AC4FB8" w:rsidRP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Budget funds</w:t>
            </w:r>
          </w:p>
          <w:p w14:paraId="48759D07" w14:textId="77777777" w:rsid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EU funds</w:t>
            </w:r>
          </w:p>
          <w:p w14:paraId="6315DE12" w14:textId="77777777" w:rsidR="00BB5945" w:rsidRP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Private and public funds</w:t>
            </w:r>
          </w:p>
        </w:tc>
        <w:tc>
          <w:tcPr>
            <w:tcW w:w="1212" w:type="dxa"/>
            <w:vAlign w:val="center"/>
            <w:hideMark/>
          </w:tcPr>
          <w:p w14:paraId="58F55225" w14:textId="77777777" w:rsidR="00BB5945" w:rsidRPr="00A33AE8" w:rsidRDefault="00BB5945" w:rsidP="006769DA">
            <w:pPr>
              <w:rPr>
                <w:rFonts w:ascii="Calibri" w:eastAsia="Times New Roman" w:hAnsi="Calibri" w:cs="Calibri"/>
                <w:color w:val="000000"/>
                <w:sz w:val="20"/>
                <w:szCs w:val="20"/>
                <w:lang w:eastAsia="en-GB"/>
              </w:rPr>
            </w:pPr>
          </w:p>
        </w:tc>
      </w:tr>
    </w:tbl>
    <w:p w14:paraId="548919AD" w14:textId="77777777" w:rsidR="00BB5945" w:rsidRPr="00A33AE8" w:rsidRDefault="00BB5945" w:rsidP="00BB5945">
      <w:pPr>
        <w:pStyle w:val="LDKbody"/>
        <w:jc w:val="left"/>
        <w:rPr>
          <w:highlight w:val="green"/>
          <w:lang w:val="en-GB"/>
        </w:rPr>
      </w:pPr>
    </w:p>
    <w:tbl>
      <w:tblPr>
        <w:tblW w:w="10700" w:type="dxa"/>
        <w:tblLook w:val="04A0" w:firstRow="1" w:lastRow="0" w:firstColumn="1" w:lastColumn="0" w:noHBand="0" w:noVBand="1"/>
      </w:tblPr>
      <w:tblGrid>
        <w:gridCol w:w="3305"/>
        <w:gridCol w:w="1052"/>
        <w:gridCol w:w="937"/>
        <w:gridCol w:w="4194"/>
        <w:gridCol w:w="1212"/>
      </w:tblGrid>
      <w:tr w:rsidR="00BB5945" w:rsidRPr="00A33AE8" w14:paraId="5C156580" w14:textId="77777777" w:rsidTr="006769DA">
        <w:trPr>
          <w:gridAfter w:val="1"/>
          <w:wAfter w:w="1212" w:type="dxa"/>
          <w:trHeight w:val="780"/>
        </w:trPr>
        <w:tc>
          <w:tcPr>
            <w:tcW w:w="3305"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2AAAD578" w14:textId="77777777" w:rsidR="00BB5945" w:rsidRPr="00A33AE8" w:rsidRDefault="00BB5945"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76CC2B57"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PM_RIC18</w:t>
            </w:r>
          </w:p>
        </w:tc>
        <w:tc>
          <w:tcPr>
            <w:tcW w:w="937" w:type="dxa"/>
            <w:tcBorders>
              <w:top w:val="single" w:sz="8" w:space="0" w:color="auto"/>
              <w:left w:val="nil"/>
              <w:bottom w:val="single" w:sz="8" w:space="0" w:color="auto"/>
              <w:right w:val="single" w:sz="8" w:space="0" w:color="auto"/>
            </w:tcBorders>
            <w:shd w:val="clear" w:color="auto" w:fill="244062"/>
            <w:vAlign w:val="center"/>
            <w:hideMark/>
          </w:tcPr>
          <w:p w14:paraId="11A7A52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94" w:type="dxa"/>
            <w:tcBorders>
              <w:top w:val="single" w:sz="8" w:space="0" w:color="auto"/>
              <w:left w:val="nil"/>
              <w:bottom w:val="single" w:sz="8" w:space="0" w:color="auto"/>
              <w:right w:val="single" w:sz="8" w:space="0" w:color="auto"/>
            </w:tcBorders>
            <w:shd w:val="clear" w:color="auto" w:fill="E7E6E6" w:themeFill="background2"/>
            <w:vAlign w:val="center"/>
            <w:hideMark/>
          </w:tcPr>
          <w:p w14:paraId="6777055B"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Optimising support framework and schemes for promoting investments with a view to strengthening competitiveness</w:t>
            </w:r>
          </w:p>
        </w:tc>
      </w:tr>
      <w:tr w:rsidR="00BB5945" w:rsidRPr="00A33AE8" w14:paraId="52EC20F7" w14:textId="77777777" w:rsidTr="006769DA">
        <w:trPr>
          <w:gridAfter w:val="1"/>
          <w:wAfter w:w="1212" w:type="dxa"/>
          <w:trHeight w:val="325"/>
        </w:trPr>
        <w:tc>
          <w:tcPr>
            <w:tcW w:w="3305" w:type="dxa"/>
            <w:tcBorders>
              <w:top w:val="nil"/>
              <w:left w:val="single" w:sz="8" w:space="0" w:color="auto"/>
              <w:bottom w:val="single" w:sz="8" w:space="0" w:color="auto"/>
              <w:right w:val="nil"/>
            </w:tcBorders>
            <w:shd w:val="clear" w:color="auto" w:fill="244062"/>
            <w:vAlign w:val="center"/>
            <w:hideMark/>
          </w:tcPr>
          <w:p w14:paraId="3BE3B97D"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3" w:type="dxa"/>
            <w:gridSpan w:val="3"/>
            <w:tcBorders>
              <w:top w:val="single" w:sz="8" w:space="0" w:color="auto"/>
              <w:left w:val="nil"/>
              <w:bottom w:val="single" w:sz="8" w:space="0" w:color="auto"/>
              <w:right w:val="single" w:sz="8" w:space="0" w:color="000000"/>
            </w:tcBorders>
            <w:vAlign w:val="center"/>
            <w:hideMark/>
          </w:tcPr>
          <w:p w14:paraId="2A4FD005"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Improvement of competitiveness</w:t>
            </w:r>
          </w:p>
        </w:tc>
      </w:tr>
      <w:tr w:rsidR="00BB5945" w:rsidRPr="00A33AE8" w14:paraId="2C38F45D"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47B972B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3" w:type="dxa"/>
            <w:gridSpan w:val="3"/>
            <w:tcBorders>
              <w:top w:val="single" w:sz="8" w:space="0" w:color="auto"/>
              <w:left w:val="nil"/>
              <w:bottom w:val="single" w:sz="8" w:space="0" w:color="auto"/>
              <w:right w:val="single" w:sz="8" w:space="0" w:color="000000"/>
            </w:tcBorders>
            <w:vAlign w:val="center"/>
            <w:hideMark/>
          </w:tcPr>
          <w:p w14:paraId="30724E77" w14:textId="77777777" w:rsidR="00BB5945" w:rsidRPr="00A33AE8" w:rsidRDefault="00BB5945"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competitiveness in the field of energy (Qualitative objective)</w:t>
            </w:r>
          </w:p>
        </w:tc>
      </w:tr>
      <w:tr w:rsidR="00BB5945" w:rsidRPr="00A33AE8" w14:paraId="659C87BC" w14:textId="77777777" w:rsidTr="006769DA">
        <w:trPr>
          <w:gridAfter w:val="1"/>
          <w:wAfter w:w="1212" w:type="dxa"/>
          <w:trHeight w:val="287"/>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2003520E"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3" w:type="dxa"/>
            <w:gridSpan w:val="3"/>
            <w:tcBorders>
              <w:top w:val="single" w:sz="8" w:space="0" w:color="auto"/>
              <w:left w:val="nil"/>
              <w:bottom w:val="single" w:sz="8" w:space="0" w:color="auto"/>
              <w:right w:val="single" w:sz="8" w:space="0" w:color="000000"/>
            </w:tcBorders>
            <w:vAlign w:val="center"/>
            <w:hideMark/>
          </w:tcPr>
          <w:p w14:paraId="3A6F9464" w14:textId="77777777" w:rsidR="00BB5945" w:rsidRPr="00A33AE8" w:rsidRDefault="00BB5945"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PM_RIC18 will improve the existing regulatory framework for investments in industrial units and SMEs in order to create a stable and transparent investment framework of rules, procedures and administrative structures with a view to the smooth completion of major public and private projects. In addition, in order to increase the leverage of private capital, the effectiveness of existing private investment support schemes will be assessed in order to continue the implementation of the most profitable and/or attempt the implementation of new ones.</w:t>
            </w:r>
          </w:p>
        </w:tc>
      </w:tr>
      <w:tr w:rsidR="00BB5945" w:rsidRPr="00A33AE8" w14:paraId="14C9C490"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4110151B"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3" w:type="dxa"/>
            <w:gridSpan w:val="3"/>
            <w:tcBorders>
              <w:top w:val="single" w:sz="8" w:space="0" w:color="auto"/>
              <w:left w:val="nil"/>
              <w:bottom w:val="single" w:sz="8" w:space="0" w:color="auto"/>
              <w:right w:val="single" w:sz="8" w:space="0" w:color="000000"/>
            </w:tcBorders>
            <w:vAlign w:val="center"/>
            <w:hideMark/>
          </w:tcPr>
          <w:p w14:paraId="21069689"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BB5945" w:rsidRPr="00A33AE8" w14:paraId="6BC76072"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1B868408"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3" w:type="dxa"/>
            <w:gridSpan w:val="3"/>
            <w:tcBorders>
              <w:top w:val="single" w:sz="8" w:space="0" w:color="auto"/>
              <w:left w:val="nil"/>
              <w:bottom w:val="single" w:sz="8" w:space="0" w:color="auto"/>
              <w:right w:val="single" w:sz="8" w:space="0" w:color="000000"/>
            </w:tcBorders>
            <w:vAlign w:val="center"/>
            <w:hideMark/>
          </w:tcPr>
          <w:p w14:paraId="1283F7D5" w14:textId="77777777" w:rsidR="00BB5945"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BB5945" w:rsidRPr="00A33AE8" w14:paraId="25076677"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5ACBECD9"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3" w:type="dxa"/>
            <w:gridSpan w:val="3"/>
            <w:tcBorders>
              <w:top w:val="single" w:sz="8" w:space="0" w:color="auto"/>
              <w:left w:val="nil"/>
              <w:bottom w:val="single" w:sz="8" w:space="0" w:color="auto"/>
              <w:right w:val="single" w:sz="8" w:space="0" w:color="000000"/>
            </w:tcBorders>
            <w:vAlign w:val="center"/>
            <w:hideMark/>
          </w:tcPr>
          <w:p w14:paraId="5C4A2F5A"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BB5945" w:rsidRPr="00A33AE8" w14:paraId="14B5186B"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27F2A3BF"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3" w:type="dxa"/>
            <w:gridSpan w:val="3"/>
            <w:tcBorders>
              <w:top w:val="single" w:sz="8" w:space="0" w:color="auto"/>
              <w:left w:val="nil"/>
              <w:bottom w:val="single" w:sz="8" w:space="0" w:color="auto"/>
              <w:right w:val="single" w:sz="8" w:space="0" w:color="000000"/>
            </w:tcBorders>
            <w:vAlign w:val="center"/>
            <w:hideMark/>
          </w:tcPr>
          <w:p w14:paraId="228098ED" w14:textId="77777777" w:rsidR="00BB5945" w:rsidRPr="00A33AE8" w:rsidRDefault="00BB5945" w:rsidP="00884F3B">
            <w:pPr>
              <w:pStyle w:val="ListParagraph"/>
              <w:numPr>
                <w:ilvl w:val="0"/>
                <w:numId w:val="21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w:t>
            </w:r>
          </w:p>
          <w:p w14:paraId="3A777AF7" w14:textId="77777777" w:rsidR="00BB5945" w:rsidRPr="00A33AE8" w:rsidRDefault="00BB5945" w:rsidP="00884F3B">
            <w:pPr>
              <w:pStyle w:val="ListParagraph"/>
              <w:numPr>
                <w:ilvl w:val="0"/>
                <w:numId w:val="21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tc>
      </w:tr>
      <w:tr w:rsidR="00BB5945" w:rsidRPr="00A33AE8" w14:paraId="5D1A6ACC" w14:textId="77777777" w:rsidTr="006769DA">
        <w:trPr>
          <w:gridAfter w:val="1"/>
          <w:wAfter w:w="1212" w:type="dxa"/>
          <w:trHeight w:val="315"/>
        </w:trPr>
        <w:tc>
          <w:tcPr>
            <w:tcW w:w="3305" w:type="dxa"/>
            <w:tcBorders>
              <w:top w:val="nil"/>
              <w:left w:val="single" w:sz="8" w:space="0" w:color="auto"/>
              <w:bottom w:val="single" w:sz="8" w:space="0" w:color="auto"/>
              <w:right w:val="nil"/>
            </w:tcBorders>
            <w:shd w:val="clear" w:color="auto" w:fill="244062"/>
            <w:vAlign w:val="center"/>
            <w:hideMark/>
          </w:tcPr>
          <w:p w14:paraId="02768DAD"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3" w:type="dxa"/>
            <w:gridSpan w:val="3"/>
            <w:tcBorders>
              <w:top w:val="single" w:sz="8" w:space="0" w:color="auto"/>
              <w:left w:val="nil"/>
              <w:bottom w:val="single" w:sz="8" w:space="0" w:color="auto"/>
              <w:right w:val="single" w:sz="8" w:space="0" w:color="000000"/>
            </w:tcBorders>
            <w:vAlign w:val="center"/>
            <w:hideMark/>
          </w:tcPr>
          <w:p w14:paraId="1925E04B" w14:textId="77777777" w:rsidR="00BB5945" w:rsidRPr="00A33AE8" w:rsidRDefault="00BB5945" w:rsidP="00884F3B">
            <w:pPr>
              <w:pStyle w:val="ListParagraph"/>
              <w:numPr>
                <w:ilvl w:val="0"/>
                <w:numId w:val="21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w:t>
            </w:r>
          </w:p>
        </w:tc>
      </w:tr>
      <w:tr w:rsidR="00BB5945" w:rsidRPr="00A33AE8" w14:paraId="256A5A36" w14:textId="77777777" w:rsidTr="006769DA">
        <w:trPr>
          <w:gridAfter w:val="1"/>
          <w:wAfter w:w="1212" w:type="dxa"/>
          <w:trHeight w:val="315"/>
        </w:trPr>
        <w:tc>
          <w:tcPr>
            <w:tcW w:w="3305" w:type="dxa"/>
            <w:tcBorders>
              <w:top w:val="nil"/>
              <w:left w:val="single" w:sz="8" w:space="0" w:color="auto"/>
              <w:bottom w:val="single" w:sz="8" w:space="0" w:color="auto"/>
              <w:right w:val="nil"/>
            </w:tcBorders>
            <w:shd w:val="clear" w:color="auto" w:fill="244062"/>
            <w:vAlign w:val="center"/>
            <w:hideMark/>
          </w:tcPr>
          <w:p w14:paraId="598004E0"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3" w:type="dxa"/>
            <w:gridSpan w:val="3"/>
            <w:tcBorders>
              <w:top w:val="single" w:sz="8" w:space="0" w:color="auto"/>
              <w:left w:val="nil"/>
              <w:bottom w:val="single" w:sz="8" w:space="0" w:color="auto"/>
              <w:right w:val="single" w:sz="8" w:space="0" w:color="000000"/>
            </w:tcBorders>
            <w:vAlign w:val="center"/>
            <w:hideMark/>
          </w:tcPr>
          <w:p w14:paraId="1F47ED61"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New support schemes and amendments of existing</w:t>
            </w:r>
          </w:p>
        </w:tc>
      </w:tr>
      <w:tr w:rsidR="00213B57" w:rsidRPr="00A33AE8" w14:paraId="23EFAC6B" w14:textId="77777777" w:rsidTr="006769DA">
        <w:trPr>
          <w:gridAfter w:val="1"/>
          <w:wAfter w:w="1212" w:type="dxa"/>
          <w:trHeight w:val="4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7C139764"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3" w:type="dxa"/>
            <w:gridSpan w:val="3"/>
            <w:tcBorders>
              <w:top w:val="single" w:sz="8" w:space="0" w:color="auto"/>
              <w:left w:val="nil"/>
              <w:bottom w:val="single" w:sz="8" w:space="0" w:color="auto"/>
              <w:right w:val="single" w:sz="8" w:space="0" w:color="000000"/>
            </w:tcBorders>
            <w:vAlign w:val="center"/>
          </w:tcPr>
          <w:p w14:paraId="16A3C600" w14:textId="77777777" w:rsidR="00213B57" w:rsidRPr="00A33AE8" w:rsidRDefault="00213B57" w:rsidP="00884F3B">
            <w:pPr>
              <w:pStyle w:val="ListParagraph"/>
              <w:numPr>
                <w:ilvl w:val="0"/>
                <w:numId w:val="19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BB5945" w:rsidRPr="00A33AE8" w14:paraId="71167096" w14:textId="77777777" w:rsidTr="006769DA">
        <w:trPr>
          <w:gridAfter w:val="1"/>
          <w:wAfter w:w="1212" w:type="dxa"/>
          <w:trHeight w:val="450"/>
        </w:trPr>
        <w:tc>
          <w:tcPr>
            <w:tcW w:w="3305" w:type="dxa"/>
            <w:vMerge w:val="restart"/>
            <w:tcBorders>
              <w:top w:val="nil"/>
              <w:left w:val="single" w:sz="8" w:space="0" w:color="auto"/>
              <w:bottom w:val="single" w:sz="8" w:space="0" w:color="000000"/>
              <w:right w:val="single" w:sz="8" w:space="0" w:color="auto"/>
            </w:tcBorders>
            <w:shd w:val="clear" w:color="auto" w:fill="244062"/>
            <w:vAlign w:val="center"/>
            <w:hideMark/>
          </w:tcPr>
          <w:p w14:paraId="3CB6441C"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3" w:type="dxa"/>
            <w:gridSpan w:val="3"/>
            <w:vMerge w:val="restart"/>
            <w:tcBorders>
              <w:top w:val="single" w:sz="8" w:space="0" w:color="auto"/>
              <w:left w:val="single" w:sz="8" w:space="0" w:color="auto"/>
              <w:bottom w:val="single" w:sz="8" w:space="0" w:color="000000"/>
              <w:right w:val="single" w:sz="8" w:space="0" w:color="000000"/>
            </w:tcBorders>
            <w:vAlign w:val="center"/>
          </w:tcPr>
          <w:p w14:paraId="375FCBB3" w14:textId="77777777" w:rsidR="00BB5945" w:rsidRPr="00A33AE8" w:rsidRDefault="00BB5945" w:rsidP="00884F3B">
            <w:pPr>
              <w:pStyle w:val="ListParagraph"/>
              <w:numPr>
                <w:ilvl w:val="0"/>
                <w:numId w:val="190"/>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legislation</w:t>
            </w:r>
          </w:p>
        </w:tc>
      </w:tr>
      <w:tr w:rsidR="00BB5945" w:rsidRPr="00A33AE8" w14:paraId="43A41B14"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04EA0D2D"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3" w:type="dxa"/>
            <w:gridSpan w:val="3"/>
            <w:vMerge/>
            <w:tcBorders>
              <w:top w:val="single" w:sz="8" w:space="0" w:color="auto"/>
              <w:left w:val="single" w:sz="8" w:space="0" w:color="auto"/>
              <w:bottom w:val="single" w:sz="8" w:space="0" w:color="000000"/>
              <w:right w:val="single" w:sz="8" w:space="0" w:color="000000"/>
            </w:tcBorders>
            <w:vAlign w:val="center"/>
          </w:tcPr>
          <w:p w14:paraId="2208335E" w14:textId="77777777" w:rsidR="00BB5945" w:rsidRPr="00A33AE8" w:rsidRDefault="00BB5945"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2FA76395" w14:textId="77777777" w:rsidR="00BB5945" w:rsidRPr="00A33AE8" w:rsidRDefault="00BB5945" w:rsidP="006769DA">
            <w:pPr>
              <w:rPr>
                <w:sz w:val="20"/>
                <w:szCs w:val="20"/>
              </w:rPr>
            </w:pPr>
          </w:p>
        </w:tc>
      </w:tr>
      <w:tr w:rsidR="00BB5945" w:rsidRPr="00A33AE8" w14:paraId="54473875" w14:textId="77777777" w:rsidTr="006769DA">
        <w:trPr>
          <w:trHeight w:val="75"/>
        </w:trPr>
        <w:tc>
          <w:tcPr>
            <w:tcW w:w="0" w:type="auto"/>
            <w:vMerge/>
            <w:tcBorders>
              <w:top w:val="nil"/>
              <w:left w:val="single" w:sz="8" w:space="0" w:color="auto"/>
              <w:bottom w:val="single" w:sz="8" w:space="0" w:color="000000"/>
              <w:right w:val="single" w:sz="8" w:space="0" w:color="auto"/>
            </w:tcBorders>
            <w:vAlign w:val="center"/>
            <w:hideMark/>
          </w:tcPr>
          <w:p w14:paraId="09AFA0D7"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3" w:type="dxa"/>
            <w:gridSpan w:val="3"/>
            <w:vMerge/>
            <w:tcBorders>
              <w:top w:val="single" w:sz="8" w:space="0" w:color="auto"/>
              <w:left w:val="single" w:sz="8" w:space="0" w:color="auto"/>
              <w:bottom w:val="single" w:sz="8" w:space="0" w:color="000000"/>
              <w:right w:val="single" w:sz="8" w:space="0" w:color="000000"/>
            </w:tcBorders>
            <w:vAlign w:val="center"/>
          </w:tcPr>
          <w:p w14:paraId="31BA1207" w14:textId="77777777" w:rsidR="00BB5945" w:rsidRPr="00A33AE8" w:rsidRDefault="00BB5945"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4A5259AE" w14:textId="77777777" w:rsidR="00BB5945" w:rsidRPr="00A33AE8" w:rsidRDefault="00BB5945" w:rsidP="006769DA">
            <w:pPr>
              <w:spacing w:after="0" w:line="256" w:lineRule="auto"/>
              <w:rPr>
                <w:sz w:val="20"/>
                <w:szCs w:val="20"/>
                <w:lang w:eastAsia="en-GB"/>
              </w:rPr>
            </w:pPr>
          </w:p>
        </w:tc>
      </w:tr>
      <w:tr w:rsidR="00BB5945" w:rsidRPr="00A33AE8" w14:paraId="7246700A" w14:textId="77777777" w:rsidTr="006769DA">
        <w:trPr>
          <w:trHeight w:val="391"/>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4B4DCEF3"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Relevant National Planning Document (Legal, Regulatory Acts etc)</w:t>
            </w:r>
          </w:p>
        </w:tc>
        <w:tc>
          <w:tcPr>
            <w:tcW w:w="6183" w:type="dxa"/>
            <w:gridSpan w:val="3"/>
            <w:tcBorders>
              <w:top w:val="single" w:sz="8" w:space="0" w:color="auto"/>
              <w:left w:val="nil"/>
              <w:bottom w:val="single" w:sz="8" w:space="0" w:color="auto"/>
              <w:right w:val="single" w:sz="8" w:space="0" w:color="000000"/>
            </w:tcBorders>
            <w:vAlign w:val="center"/>
          </w:tcPr>
          <w:p w14:paraId="03091014" w14:textId="77777777" w:rsidR="00BB5945" w:rsidRPr="00A33AE8" w:rsidRDefault="00BB5945" w:rsidP="00884F3B">
            <w:pPr>
              <w:pStyle w:val="ListParagraph"/>
              <w:numPr>
                <w:ilvl w:val="0"/>
                <w:numId w:val="10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0DBA93E7" w14:textId="77777777" w:rsidR="00BB5945" w:rsidRPr="00A33AE8" w:rsidRDefault="00BB5945" w:rsidP="00884F3B">
            <w:pPr>
              <w:pStyle w:val="ListParagraph"/>
              <w:numPr>
                <w:ilvl w:val="0"/>
                <w:numId w:val="10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p w14:paraId="49C8C715" w14:textId="77777777" w:rsidR="00BB5945" w:rsidRPr="00A33AE8" w:rsidRDefault="00BB5945" w:rsidP="00884F3B">
            <w:pPr>
              <w:pStyle w:val="ListParagraph"/>
              <w:numPr>
                <w:ilvl w:val="0"/>
                <w:numId w:val="105"/>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Industrial Policy Strategy (2021-2030)</w:t>
            </w:r>
          </w:p>
        </w:tc>
        <w:tc>
          <w:tcPr>
            <w:tcW w:w="1212" w:type="dxa"/>
            <w:vAlign w:val="center"/>
            <w:hideMark/>
          </w:tcPr>
          <w:p w14:paraId="368A4A05" w14:textId="77777777" w:rsidR="00BB5945" w:rsidRPr="00A33AE8" w:rsidRDefault="00BB5945" w:rsidP="006769DA">
            <w:pPr>
              <w:rPr>
                <w:rFonts w:ascii="Calibri Light" w:eastAsia="Times New Roman" w:hAnsi="Calibri Light" w:cs="Calibri Light"/>
                <w:color w:val="000000"/>
                <w:sz w:val="20"/>
                <w:szCs w:val="20"/>
                <w:lang w:eastAsia="en-GB"/>
              </w:rPr>
            </w:pPr>
          </w:p>
        </w:tc>
      </w:tr>
      <w:tr w:rsidR="00BB5945" w:rsidRPr="00A33AE8" w14:paraId="3B83DE8D" w14:textId="77777777" w:rsidTr="006769DA">
        <w:trPr>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134521C0"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3" w:type="dxa"/>
            <w:gridSpan w:val="3"/>
            <w:tcBorders>
              <w:top w:val="single" w:sz="8" w:space="0" w:color="auto"/>
              <w:left w:val="nil"/>
              <w:bottom w:val="single" w:sz="8" w:space="0" w:color="auto"/>
              <w:right w:val="single" w:sz="8" w:space="0" w:color="000000"/>
            </w:tcBorders>
            <w:vAlign w:val="center"/>
          </w:tcPr>
          <w:p w14:paraId="5E2C8ECD" w14:textId="77777777" w:rsidR="00BB5945"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r w:rsidRPr="00A33AE8">
              <w:rPr>
                <w:rFonts w:ascii="Calibri" w:eastAsia="Times New Roman" w:hAnsi="Calibri" w:cs="Calibri"/>
                <w:color w:val="000000"/>
                <w:sz w:val="20"/>
                <w:szCs w:val="20"/>
                <w:lang w:eastAsia="en-GB"/>
              </w:rPr>
              <w:t>€</w:t>
            </w:r>
          </w:p>
        </w:tc>
        <w:tc>
          <w:tcPr>
            <w:tcW w:w="1212" w:type="dxa"/>
            <w:vAlign w:val="center"/>
            <w:hideMark/>
          </w:tcPr>
          <w:p w14:paraId="6E6F3652" w14:textId="77777777" w:rsidR="00BB5945" w:rsidRPr="00A33AE8" w:rsidRDefault="00BB5945" w:rsidP="006769DA">
            <w:pPr>
              <w:rPr>
                <w:rFonts w:ascii="Calibri" w:eastAsia="Times New Roman" w:hAnsi="Calibri" w:cs="Calibri"/>
                <w:color w:val="000000"/>
                <w:sz w:val="20"/>
                <w:szCs w:val="20"/>
                <w:lang w:eastAsia="en-GB"/>
              </w:rPr>
            </w:pPr>
          </w:p>
        </w:tc>
      </w:tr>
      <w:tr w:rsidR="00BB5945" w:rsidRPr="00A33AE8" w14:paraId="4B5E7F3C" w14:textId="77777777" w:rsidTr="006769DA">
        <w:trPr>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4CFD9D51"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3" w:type="dxa"/>
            <w:gridSpan w:val="3"/>
            <w:tcBorders>
              <w:top w:val="single" w:sz="8" w:space="0" w:color="auto"/>
              <w:left w:val="nil"/>
              <w:bottom w:val="single" w:sz="8" w:space="0" w:color="auto"/>
              <w:right w:val="single" w:sz="8" w:space="0" w:color="000000"/>
            </w:tcBorders>
            <w:shd w:val="clear" w:color="auto" w:fill="auto"/>
            <w:vAlign w:val="center"/>
            <w:hideMark/>
          </w:tcPr>
          <w:p w14:paraId="3888FAF4" w14:textId="77777777" w:rsidR="00AC4FB8" w:rsidRP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Budget funds</w:t>
            </w:r>
          </w:p>
          <w:p w14:paraId="7A1023E6" w14:textId="77777777" w:rsid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EU funds</w:t>
            </w:r>
          </w:p>
          <w:p w14:paraId="583E36C6" w14:textId="77777777" w:rsidR="00BB5945" w:rsidRP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Private and public funds</w:t>
            </w:r>
          </w:p>
        </w:tc>
        <w:tc>
          <w:tcPr>
            <w:tcW w:w="1212" w:type="dxa"/>
            <w:vAlign w:val="center"/>
            <w:hideMark/>
          </w:tcPr>
          <w:p w14:paraId="65C82C75" w14:textId="77777777" w:rsidR="00BB5945" w:rsidRPr="00A33AE8" w:rsidRDefault="00BB5945" w:rsidP="006769DA">
            <w:pPr>
              <w:rPr>
                <w:rFonts w:ascii="Calibri" w:eastAsia="Times New Roman" w:hAnsi="Calibri" w:cs="Calibri"/>
                <w:color w:val="000000"/>
                <w:sz w:val="20"/>
                <w:szCs w:val="20"/>
                <w:lang w:eastAsia="en-GB"/>
              </w:rPr>
            </w:pPr>
          </w:p>
        </w:tc>
      </w:tr>
    </w:tbl>
    <w:p w14:paraId="03440EDF" w14:textId="77777777" w:rsidR="00BB5945" w:rsidRPr="00A33AE8" w:rsidRDefault="00BB5945" w:rsidP="00BB5945">
      <w:pPr>
        <w:pStyle w:val="LDKbody"/>
        <w:jc w:val="left"/>
        <w:rPr>
          <w:highlight w:val="green"/>
          <w:lang w:val="en-GB"/>
        </w:rPr>
      </w:pPr>
    </w:p>
    <w:tbl>
      <w:tblPr>
        <w:tblW w:w="10700" w:type="dxa"/>
        <w:tblLook w:val="04A0" w:firstRow="1" w:lastRow="0" w:firstColumn="1" w:lastColumn="0" w:noHBand="0" w:noVBand="1"/>
      </w:tblPr>
      <w:tblGrid>
        <w:gridCol w:w="3303"/>
        <w:gridCol w:w="1052"/>
        <w:gridCol w:w="937"/>
        <w:gridCol w:w="4196"/>
        <w:gridCol w:w="1212"/>
      </w:tblGrid>
      <w:tr w:rsidR="00BB5945" w:rsidRPr="00A33AE8" w14:paraId="27703F15" w14:textId="77777777" w:rsidTr="006769DA">
        <w:trPr>
          <w:gridAfter w:val="1"/>
          <w:wAfter w:w="1212" w:type="dxa"/>
          <w:trHeight w:val="780"/>
        </w:trPr>
        <w:tc>
          <w:tcPr>
            <w:tcW w:w="3303"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4FB2DF7" w14:textId="77777777" w:rsidR="00BB5945" w:rsidRPr="00A33AE8" w:rsidRDefault="00BB5945"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31F5C57"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PM_RIC19</w:t>
            </w:r>
          </w:p>
        </w:tc>
        <w:tc>
          <w:tcPr>
            <w:tcW w:w="937" w:type="dxa"/>
            <w:tcBorders>
              <w:top w:val="single" w:sz="8" w:space="0" w:color="auto"/>
              <w:left w:val="nil"/>
              <w:bottom w:val="single" w:sz="8" w:space="0" w:color="auto"/>
              <w:right w:val="single" w:sz="8" w:space="0" w:color="auto"/>
            </w:tcBorders>
            <w:shd w:val="clear" w:color="auto" w:fill="244062"/>
            <w:vAlign w:val="center"/>
            <w:hideMark/>
          </w:tcPr>
          <w:p w14:paraId="35262689"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96" w:type="dxa"/>
            <w:tcBorders>
              <w:top w:val="single" w:sz="8" w:space="0" w:color="auto"/>
              <w:left w:val="nil"/>
              <w:bottom w:val="single" w:sz="8" w:space="0" w:color="auto"/>
              <w:right w:val="single" w:sz="8" w:space="0" w:color="auto"/>
            </w:tcBorders>
            <w:shd w:val="clear" w:color="auto" w:fill="E7E6E6" w:themeFill="background2"/>
            <w:vAlign w:val="center"/>
            <w:hideMark/>
          </w:tcPr>
          <w:p w14:paraId="13A120B3"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Strengthening competitiveness through the establishment and operation of Special Target Funds </w:t>
            </w:r>
          </w:p>
        </w:tc>
      </w:tr>
      <w:tr w:rsidR="00BB5945" w:rsidRPr="00A33AE8" w14:paraId="3B8C86A1" w14:textId="77777777" w:rsidTr="006769DA">
        <w:trPr>
          <w:gridAfter w:val="1"/>
          <w:wAfter w:w="1212" w:type="dxa"/>
          <w:trHeight w:val="313"/>
        </w:trPr>
        <w:tc>
          <w:tcPr>
            <w:tcW w:w="3303" w:type="dxa"/>
            <w:tcBorders>
              <w:top w:val="nil"/>
              <w:left w:val="single" w:sz="8" w:space="0" w:color="auto"/>
              <w:bottom w:val="single" w:sz="8" w:space="0" w:color="auto"/>
              <w:right w:val="nil"/>
            </w:tcBorders>
            <w:shd w:val="clear" w:color="auto" w:fill="244062"/>
            <w:vAlign w:val="center"/>
            <w:hideMark/>
          </w:tcPr>
          <w:p w14:paraId="1830CA1E"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5" w:type="dxa"/>
            <w:gridSpan w:val="3"/>
            <w:tcBorders>
              <w:top w:val="single" w:sz="8" w:space="0" w:color="auto"/>
              <w:left w:val="nil"/>
              <w:bottom w:val="single" w:sz="8" w:space="0" w:color="auto"/>
              <w:right w:val="single" w:sz="8" w:space="0" w:color="000000"/>
            </w:tcBorders>
            <w:vAlign w:val="center"/>
            <w:hideMark/>
          </w:tcPr>
          <w:p w14:paraId="22C6B14C"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Improvement of competitiveness</w:t>
            </w:r>
          </w:p>
        </w:tc>
      </w:tr>
      <w:tr w:rsidR="00BB5945" w:rsidRPr="00A33AE8" w14:paraId="24AACD82"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1915960C"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5" w:type="dxa"/>
            <w:gridSpan w:val="3"/>
            <w:tcBorders>
              <w:top w:val="single" w:sz="8" w:space="0" w:color="auto"/>
              <w:left w:val="nil"/>
              <w:bottom w:val="single" w:sz="8" w:space="0" w:color="auto"/>
              <w:right w:val="single" w:sz="8" w:space="0" w:color="000000"/>
            </w:tcBorders>
            <w:vAlign w:val="center"/>
            <w:hideMark/>
          </w:tcPr>
          <w:p w14:paraId="6C2A0FBE" w14:textId="77777777" w:rsidR="00BB5945" w:rsidRPr="00A33AE8" w:rsidRDefault="00BB5945"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competitiveness in the field of energy (Qualitative objective)</w:t>
            </w:r>
          </w:p>
        </w:tc>
      </w:tr>
      <w:tr w:rsidR="00BB5945" w:rsidRPr="00A33AE8" w14:paraId="27ED1F7E" w14:textId="77777777" w:rsidTr="006769DA">
        <w:trPr>
          <w:gridAfter w:val="1"/>
          <w:wAfter w:w="1212" w:type="dxa"/>
          <w:trHeight w:val="686"/>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479AB3D7"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5" w:type="dxa"/>
            <w:gridSpan w:val="3"/>
            <w:tcBorders>
              <w:top w:val="single" w:sz="8" w:space="0" w:color="auto"/>
              <w:left w:val="nil"/>
              <w:bottom w:val="single" w:sz="8" w:space="0" w:color="auto"/>
              <w:right w:val="single" w:sz="8" w:space="0" w:color="000000"/>
            </w:tcBorders>
            <w:vAlign w:val="center"/>
            <w:hideMark/>
          </w:tcPr>
          <w:p w14:paraId="14F2211D" w14:textId="77777777" w:rsidR="00BB5945" w:rsidRPr="00A33AE8" w:rsidRDefault="00BB5945"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PM_RIC19 will strengthen the role of Special Target Funds through the establishment and operation of a new Fund for Entrepreneurship &amp; Competitiveness, in order to facilitate the provision of </w:t>
            </w:r>
            <w:r w:rsidR="000578D5" w:rsidRPr="00A33AE8">
              <w:rPr>
                <w:rFonts w:asciiTheme="majorHAnsi" w:eastAsia="Times New Roman" w:hAnsiTheme="majorHAnsi" w:cstheme="majorHAnsi"/>
                <w:color w:val="000000"/>
                <w:sz w:val="20"/>
                <w:szCs w:val="20"/>
                <w:lang w:eastAsia="en-GB"/>
              </w:rPr>
              <w:t>favourable</w:t>
            </w:r>
            <w:r w:rsidRPr="00A33AE8">
              <w:rPr>
                <w:rFonts w:asciiTheme="majorHAnsi" w:eastAsia="Times New Roman" w:hAnsiTheme="majorHAnsi" w:cstheme="majorHAnsi"/>
                <w:color w:val="000000"/>
                <w:sz w:val="20"/>
                <w:szCs w:val="20"/>
                <w:lang w:eastAsia="en-GB"/>
              </w:rPr>
              <w:t xml:space="preserve"> financing to SMEs and to take part of the business risk not borne by financial institutions, while providing the necessary guarantees.</w:t>
            </w:r>
          </w:p>
        </w:tc>
      </w:tr>
      <w:tr w:rsidR="00BB5945" w:rsidRPr="00A33AE8" w14:paraId="3BBFBD7D"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4EDDE2F7"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5" w:type="dxa"/>
            <w:gridSpan w:val="3"/>
            <w:tcBorders>
              <w:top w:val="single" w:sz="8" w:space="0" w:color="auto"/>
              <w:left w:val="nil"/>
              <w:bottom w:val="single" w:sz="8" w:space="0" w:color="auto"/>
              <w:right w:val="single" w:sz="8" w:space="0" w:color="000000"/>
            </w:tcBorders>
            <w:vAlign w:val="center"/>
            <w:hideMark/>
          </w:tcPr>
          <w:p w14:paraId="3158EE6E"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BB5945" w:rsidRPr="00A33AE8" w14:paraId="782B87DF"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45D541D9"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Type of measure</w:t>
            </w:r>
          </w:p>
        </w:tc>
        <w:tc>
          <w:tcPr>
            <w:tcW w:w="6185" w:type="dxa"/>
            <w:gridSpan w:val="3"/>
            <w:tcBorders>
              <w:top w:val="single" w:sz="8" w:space="0" w:color="auto"/>
              <w:left w:val="nil"/>
              <w:bottom w:val="single" w:sz="8" w:space="0" w:color="auto"/>
              <w:right w:val="single" w:sz="8" w:space="0" w:color="000000"/>
            </w:tcBorders>
            <w:vAlign w:val="center"/>
            <w:hideMark/>
          </w:tcPr>
          <w:p w14:paraId="214BE8B7" w14:textId="77777777" w:rsidR="00BB5945"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Reform</w:t>
            </w:r>
          </w:p>
        </w:tc>
      </w:tr>
      <w:tr w:rsidR="00BB5945" w:rsidRPr="00A33AE8" w14:paraId="402A21C4"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39087C95"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5" w:type="dxa"/>
            <w:gridSpan w:val="3"/>
            <w:tcBorders>
              <w:top w:val="single" w:sz="8" w:space="0" w:color="auto"/>
              <w:left w:val="nil"/>
              <w:bottom w:val="single" w:sz="8" w:space="0" w:color="auto"/>
              <w:right w:val="single" w:sz="8" w:space="0" w:color="000000"/>
            </w:tcBorders>
            <w:vAlign w:val="center"/>
            <w:hideMark/>
          </w:tcPr>
          <w:p w14:paraId="15A042AA"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BB5945" w:rsidRPr="00A33AE8" w14:paraId="7AD14361" w14:textId="77777777" w:rsidTr="006769DA">
        <w:trPr>
          <w:gridAfter w:val="1"/>
          <w:wAfter w:w="1212" w:type="dxa"/>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2B5E23E9"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5" w:type="dxa"/>
            <w:gridSpan w:val="3"/>
            <w:tcBorders>
              <w:top w:val="single" w:sz="8" w:space="0" w:color="auto"/>
              <w:left w:val="nil"/>
              <w:bottom w:val="single" w:sz="8" w:space="0" w:color="auto"/>
              <w:right w:val="single" w:sz="8" w:space="0" w:color="000000"/>
            </w:tcBorders>
            <w:vAlign w:val="center"/>
            <w:hideMark/>
          </w:tcPr>
          <w:p w14:paraId="559474F7" w14:textId="77777777" w:rsidR="00BB5945" w:rsidRPr="00A33AE8" w:rsidRDefault="00BB5945" w:rsidP="00884F3B">
            <w:pPr>
              <w:pStyle w:val="ListParagraph"/>
              <w:numPr>
                <w:ilvl w:val="0"/>
                <w:numId w:val="21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w:t>
            </w:r>
          </w:p>
          <w:p w14:paraId="3B5800F8" w14:textId="77777777" w:rsidR="00BB5945" w:rsidRPr="00A33AE8" w:rsidRDefault="00BB5945" w:rsidP="00884F3B">
            <w:pPr>
              <w:pStyle w:val="ListParagraph"/>
              <w:numPr>
                <w:ilvl w:val="0"/>
                <w:numId w:val="21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Science Fund</w:t>
            </w:r>
          </w:p>
          <w:p w14:paraId="3A2A10BF" w14:textId="77777777" w:rsidR="00BB5945" w:rsidRPr="00A33AE8" w:rsidRDefault="00BB5945" w:rsidP="00884F3B">
            <w:pPr>
              <w:pStyle w:val="ListParagraph"/>
              <w:numPr>
                <w:ilvl w:val="0"/>
                <w:numId w:val="21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Innovation Fund</w:t>
            </w:r>
          </w:p>
        </w:tc>
      </w:tr>
      <w:tr w:rsidR="00BB5945" w:rsidRPr="00A33AE8" w14:paraId="4F0689EB" w14:textId="77777777" w:rsidTr="006769DA">
        <w:trPr>
          <w:gridAfter w:val="1"/>
          <w:wAfter w:w="1212" w:type="dxa"/>
          <w:trHeight w:val="315"/>
        </w:trPr>
        <w:tc>
          <w:tcPr>
            <w:tcW w:w="3303" w:type="dxa"/>
            <w:tcBorders>
              <w:top w:val="nil"/>
              <w:left w:val="single" w:sz="8" w:space="0" w:color="auto"/>
              <w:bottom w:val="single" w:sz="8" w:space="0" w:color="auto"/>
              <w:right w:val="nil"/>
            </w:tcBorders>
            <w:shd w:val="clear" w:color="auto" w:fill="244062"/>
            <w:vAlign w:val="center"/>
            <w:hideMark/>
          </w:tcPr>
          <w:p w14:paraId="4912D1D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5" w:type="dxa"/>
            <w:gridSpan w:val="3"/>
            <w:tcBorders>
              <w:top w:val="single" w:sz="8" w:space="0" w:color="auto"/>
              <w:left w:val="nil"/>
              <w:bottom w:val="single" w:sz="8" w:space="0" w:color="auto"/>
              <w:right w:val="single" w:sz="8" w:space="0" w:color="000000"/>
            </w:tcBorders>
            <w:vAlign w:val="center"/>
            <w:hideMark/>
          </w:tcPr>
          <w:p w14:paraId="720899F0" w14:textId="77777777" w:rsidR="00BB5945" w:rsidRPr="00A33AE8" w:rsidRDefault="00BB5945" w:rsidP="00884F3B">
            <w:pPr>
              <w:pStyle w:val="ListParagraph"/>
              <w:numPr>
                <w:ilvl w:val="0"/>
                <w:numId w:val="213"/>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w:t>
            </w:r>
          </w:p>
        </w:tc>
      </w:tr>
      <w:tr w:rsidR="00BB5945" w:rsidRPr="00A33AE8" w14:paraId="551E96A4" w14:textId="77777777" w:rsidTr="006769DA">
        <w:trPr>
          <w:gridAfter w:val="1"/>
          <w:wAfter w:w="1212" w:type="dxa"/>
          <w:trHeight w:val="315"/>
        </w:trPr>
        <w:tc>
          <w:tcPr>
            <w:tcW w:w="3303" w:type="dxa"/>
            <w:tcBorders>
              <w:top w:val="nil"/>
              <w:left w:val="single" w:sz="8" w:space="0" w:color="auto"/>
              <w:bottom w:val="single" w:sz="8" w:space="0" w:color="auto"/>
              <w:right w:val="nil"/>
            </w:tcBorders>
            <w:shd w:val="clear" w:color="auto" w:fill="244062"/>
            <w:vAlign w:val="center"/>
            <w:hideMark/>
          </w:tcPr>
          <w:p w14:paraId="48E5CE6B"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5" w:type="dxa"/>
            <w:gridSpan w:val="3"/>
            <w:tcBorders>
              <w:top w:val="single" w:sz="8" w:space="0" w:color="auto"/>
              <w:left w:val="nil"/>
              <w:bottom w:val="single" w:sz="8" w:space="0" w:color="auto"/>
              <w:right w:val="single" w:sz="8" w:space="0" w:color="000000"/>
            </w:tcBorders>
            <w:vAlign w:val="center"/>
            <w:hideMark/>
          </w:tcPr>
          <w:p w14:paraId="332CB4BD"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New regulations and/or Normative Acts</w:t>
            </w:r>
          </w:p>
        </w:tc>
      </w:tr>
      <w:tr w:rsidR="00213B57" w:rsidRPr="00A33AE8" w14:paraId="089BBEBB" w14:textId="77777777" w:rsidTr="006769DA">
        <w:trPr>
          <w:gridAfter w:val="1"/>
          <w:wAfter w:w="1212" w:type="dxa"/>
          <w:trHeight w:val="584"/>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11860592"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5" w:type="dxa"/>
            <w:gridSpan w:val="3"/>
            <w:tcBorders>
              <w:top w:val="single" w:sz="8" w:space="0" w:color="auto"/>
              <w:left w:val="nil"/>
              <w:bottom w:val="single" w:sz="8" w:space="0" w:color="auto"/>
              <w:right w:val="single" w:sz="8" w:space="0" w:color="000000"/>
            </w:tcBorders>
            <w:vAlign w:val="center"/>
          </w:tcPr>
          <w:p w14:paraId="5D906C68" w14:textId="77777777" w:rsidR="00213B57" w:rsidRPr="00A33AE8" w:rsidRDefault="00213B57" w:rsidP="00884F3B">
            <w:pPr>
              <w:pStyle w:val="ListParagraph"/>
              <w:numPr>
                <w:ilvl w:val="0"/>
                <w:numId w:val="191"/>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BB5945" w:rsidRPr="00A33AE8" w14:paraId="505CB169" w14:textId="77777777" w:rsidTr="006769DA">
        <w:trPr>
          <w:gridAfter w:val="1"/>
          <w:wAfter w:w="1212" w:type="dxa"/>
          <w:trHeight w:val="450"/>
        </w:trPr>
        <w:tc>
          <w:tcPr>
            <w:tcW w:w="3303" w:type="dxa"/>
            <w:vMerge w:val="restart"/>
            <w:tcBorders>
              <w:top w:val="nil"/>
              <w:left w:val="single" w:sz="8" w:space="0" w:color="auto"/>
              <w:bottom w:val="single" w:sz="8" w:space="0" w:color="000000"/>
              <w:right w:val="single" w:sz="8" w:space="0" w:color="auto"/>
            </w:tcBorders>
            <w:shd w:val="clear" w:color="auto" w:fill="244062"/>
            <w:vAlign w:val="center"/>
            <w:hideMark/>
          </w:tcPr>
          <w:p w14:paraId="59F0C37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5" w:type="dxa"/>
            <w:gridSpan w:val="3"/>
            <w:vMerge w:val="restart"/>
            <w:tcBorders>
              <w:top w:val="single" w:sz="8" w:space="0" w:color="auto"/>
              <w:left w:val="single" w:sz="8" w:space="0" w:color="auto"/>
              <w:bottom w:val="single" w:sz="8" w:space="0" w:color="000000"/>
              <w:right w:val="single" w:sz="8" w:space="0" w:color="000000"/>
            </w:tcBorders>
            <w:vAlign w:val="center"/>
          </w:tcPr>
          <w:p w14:paraId="048729D6" w14:textId="77777777" w:rsidR="00BB5945" w:rsidRPr="00A33AE8" w:rsidRDefault="00BB5945" w:rsidP="00884F3B">
            <w:pPr>
              <w:pStyle w:val="ListParagraph"/>
              <w:numPr>
                <w:ilvl w:val="0"/>
                <w:numId w:val="106"/>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legislation</w:t>
            </w:r>
          </w:p>
        </w:tc>
      </w:tr>
      <w:tr w:rsidR="00BB5945" w:rsidRPr="00A33AE8" w14:paraId="23C891D8"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0F0EEB9B"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5" w:type="dxa"/>
            <w:gridSpan w:val="3"/>
            <w:vMerge/>
            <w:tcBorders>
              <w:top w:val="single" w:sz="8" w:space="0" w:color="auto"/>
              <w:left w:val="single" w:sz="8" w:space="0" w:color="auto"/>
              <w:bottom w:val="single" w:sz="8" w:space="0" w:color="000000"/>
              <w:right w:val="single" w:sz="8" w:space="0" w:color="000000"/>
            </w:tcBorders>
            <w:vAlign w:val="center"/>
          </w:tcPr>
          <w:p w14:paraId="4A714059" w14:textId="77777777" w:rsidR="00BB5945" w:rsidRPr="00A33AE8" w:rsidRDefault="00BB5945" w:rsidP="00884F3B">
            <w:pPr>
              <w:pStyle w:val="ListParagraph"/>
              <w:numPr>
                <w:ilvl w:val="0"/>
                <w:numId w:val="106"/>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5BE6228" w14:textId="77777777" w:rsidR="00BB5945" w:rsidRPr="00A33AE8" w:rsidRDefault="00BB5945" w:rsidP="006769DA">
            <w:pPr>
              <w:rPr>
                <w:sz w:val="20"/>
                <w:szCs w:val="20"/>
              </w:rPr>
            </w:pPr>
          </w:p>
        </w:tc>
      </w:tr>
      <w:tr w:rsidR="00BB5945" w:rsidRPr="00A33AE8" w14:paraId="438B8E70" w14:textId="77777777" w:rsidTr="006769DA">
        <w:trPr>
          <w:trHeight w:val="75"/>
        </w:trPr>
        <w:tc>
          <w:tcPr>
            <w:tcW w:w="0" w:type="auto"/>
            <w:vMerge/>
            <w:tcBorders>
              <w:top w:val="nil"/>
              <w:left w:val="single" w:sz="8" w:space="0" w:color="auto"/>
              <w:bottom w:val="single" w:sz="8" w:space="0" w:color="000000"/>
              <w:right w:val="single" w:sz="8" w:space="0" w:color="auto"/>
            </w:tcBorders>
            <w:vAlign w:val="center"/>
            <w:hideMark/>
          </w:tcPr>
          <w:p w14:paraId="608FC1F1"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5" w:type="dxa"/>
            <w:gridSpan w:val="3"/>
            <w:vMerge/>
            <w:tcBorders>
              <w:top w:val="single" w:sz="8" w:space="0" w:color="auto"/>
              <w:left w:val="single" w:sz="8" w:space="0" w:color="auto"/>
              <w:bottom w:val="single" w:sz="8" w:space="0" w:color="000000"/>
              <w:right w:val="single" w:sz="8" w:space="0" w:color="000000"/>
            </w:tcBorders>
            <w:vAlign w:val="center"/>
          </w:tcPr>
          <w:p w14:paraId="0610166B" w14:textId="77777777" w:rsidR="00BB5945" w:rsidRPr="00A33AE8" w:rsidRDefault="00BB5945" w:rsidP="00884F3B">
            <w:pPr>
              <w:pStyle w:val="ListParagraph"/>
              <w:numPr>
                <w:ilvl w:val="0"/>
                <w:numId w:val="106"/>
              </w:num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3238AE82" w14:textId="77777777" w:rsidR="00BB5945" w:rsidRPr="00A33AE8" w:rsidRDefault="00BB5945" w:rsidP="006769DA">
            <w:pPr>
              <w:spacing w:after="0" w:line="256" w:lineRule="auto"/>
              <w:rPr>
                <w:sz w:val="20"/>
                <w:szCs w:val="20"/>
                <w:lang w:eastAsia="en-GB"/>
              </w:rPr>
            </w:pPr>
          </w:p>
        </w:tc>
      </w:tr>
      <w:tr w:rsidR="00BB5945" w:rsidRPr="00A33AE8" w14:paraId="13EC33DC" w14:textId="77777777" w:rsidTr="006769DA">
        <w:trPr>
          <w:trHeight w:val="303"/>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5BE43707"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5" w:type="dxa"/>
            <w:gridSpan w:val="3"/>
            <w:tcBorders>
              <w:top w:val="single" w:sz="8" w:space="0" w:color="auto"/>
              <w:left w:val="nil"/>
              <w:bottom w:val="single" w:sz="8" w:space="0" w:color="auto"/>
              <w:right w:val="single" w:sz="8" w:space="0" w:color="000000"/>
            </w:tcBorders>
            <w:vAlign w:val="center"/>
          </w:tcPr>
          <w:p w14:paraId="5D1FE74D" w14:textId="77777777" w:rsidR="00BB5945" w:rsidRPr="00A33AE8" w:rsidRDefault="00BB5945" w:rsidP="00884F3B">
            <w:pPr>
              <w:pStyle w:val="ListParagraph"/>
              <w:numPr>
                <w:ilvl w:val="0"/>
                <w:numId w:val="10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2BF9540F" w14:textId="77777777" w:rsidR="00BB5945" w:rsidRPr="00A33AE8" w:rsidRDefault="00BB5945" w:rsidP="00884F3B">
            <w:pPr>
              <w:pStyle w:val="ListParagraph"/>
              <w:numPr>
                <w:ilvl w:val="0"/>
                <w:numId w:val="10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p w14:paraId="171A8A2F" w14:textId="77777777" w:rsidR="00BB5945" w:rsidRPr="00A33AE8" w:rsidRDefault="00BB5945" w:rsidP="00884F3B">
            <w:pPr>
              <w:pStyle w:val="ListParagraph"/>
              <w:numPr>
                <w:ilvl w:val="0"/>
                <w:numId w:val="106"/>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Industrial Policy Strategy (2021-2030)</w:t>
            </w:r>
          </w:p>
        </w:tc>
        <w:tc>
          <w:tcPr>
            <w:tcW w:w="1212" w:type="dxa"/>
            <w:vAlign w:val="center"/>
            <w:hideMark/>
          </w:tcPr>
          <w:p w14:paraId="7033F288" w14:textId="77777777" w:rsidR="00BB5945" w:rsidRPr="00A33AE8" w:rsidRDefault="00BB5945" w:rsidP="006769DA">
            <w:pPr>
              <w:rPr>
                <w:rFonts w:ascii="Calibri Light" w:eastAsia="Times New Roman" w:hAnsi="Calibri Light" w:cs="Calibri Light"/>
                <w:color w:val="000000"/>
                <w:sz w:val="20"/>
                <w:szCs w:val="20"/>
                <w:lang w:eastAsia="en-GB"/>
              </w:rPr>
            </w:pPr>
          </w:p>
        </w:tc>
      </w:tr>
      <w:tr w:rsidR="00BB5945" w:rsidRPr="00A33AE8" w14:paraId="2997BD7E" w14:textId="77777777" w:rsidTr="006769DA">
        <w:trPr>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678E3A7D"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5" w:type="dxa"/>
            <w:gridSpan w:val="3"/>
            <w:tcBorders>
              <w:top w:val="single" w:sz="8" w:space="0" w:color="auto"/>
              <w:left w:val="nil"/>
              <w:bottom w:val="single" w:sz="8" w:space="0" w:color="auto"/>
              <w:right w:val="single" w:sz="8" w:space="0" w:color="000000"/>
            </w:tcBorders>
            <w:vAlign w:val="center"/>
          </w:tcPr>
          <w:p w14:paraId="5666B6C2" w14:textId="77777777" w:rsidR="00BB5945"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0.1 M</w:t>
            </w:r>
            <w:r w:rsidRPr="00A33AE8">
              <w:rPr>
                <w:rFonts w:ascii="Calibri" w:eastAsia="Times New Roman" w:hAnsi="Calibri" w:cs="Calibri"/>
                <w:color w:val="000000"/>
                <w:sz w:val="20"/>
                <w:szCs w:val="20"/>
                <w:lang w:eastAsia="en-GB"/>
              </w:rPr>
              <w:t>€</w:t>
            </w:r>
          </w:p>
        </w:tc>
        <w:tc>
          <w:tcPr>
            <w:tcW w:w="1212" w:type="dxa"/>
            <w:vAlign w:val="center"/>
            <w:hideMark/>
          </w:tcPr>
          <w:p w14:paraId="3D7E1927" w14:textId="77777777" w:rsidR="00BB5945" w:rsidRPr="00A33AE8" w:rsidRDefault="00BB5945" w:rsidP="006769DA">
            <w:pPr>
              <w:rPr>
                <w:rFonts w:ascii="Calibri" w:eastAsia="Times New Roman" w:hAnsi="Calibri" w:cs="Calibri"/>
                <w:color w:val="000000"/>
                <w:sz w:val="20"/>
                <w:szCs w:val="20"/>
                <w:lang w:eastAsia="en-GB"/>
              </w:rPr>
            </w:pPr>
          </w:p>
        </w:tc>
      </w:tr>
      <w:tr w:rsidR="00BB5945" w:rsidRPr="00A33AE8" w14:paraId="7A15C3E6" w14:textId="77777777" w:rsidTr="006769DA">
        <w:trPr>
          <w:trHeight w:val="315"/>
        </w:trPr>
        <w:tc>
          <w:tcPr>
            <w:tcW w:w="3303" w:type="dxa"/>
            <w:tcBorders>
              <w:top w:val="nil"/>
              <w:left w:val="single" w:sz="8" w:space="0" w:color="auto"/>
              <w:bottom w:val="single" w:sz="8" w:space="0" w:color="auto"/>
              <w:right w:val="single" w:sz="8" w:space="0" w:color="auto"/>
            </w:tcBorders>
            <w:shd w:val="clear" w:color="auto" w:fill="244062"/>
            <w:vAlign w:val="center"/>
            <w:hideMark/>
          </w:tcPr>
          <w:p w14:paraId="3D4D59D3"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5" w:type="dxa"/>
            <w:gridSpan w:val="3"/>
            <w:tcBorders>
              <w:top w:val="single" w:sz="8" w:space="0" w:color="auto"/>
              <w:left w:val="nil"/>
              <w:bottom w:val="single" w:sz="8" w:space="0" w:color="auto"/>
              <w:right w:val="single" w:sz="8" w:space="0" w:color="000000"/>
            </w:tcBorders>
            <w:vAlign w:val="center"/>
            <w:hideMark/>
          </w:tcPr>
          <w:p w14:paraId="5B7BBF54" w14:textId="77777777" w:rsidR="00AC4FB8" w:rsidRP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Budget funds</w:t>
            </w:r>
          </w:p>
          <w:p w14:paraId="3567E4E4" w14:textId="77777777" w:rsid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EU funds</w:t>
            </w:r>
          </w:p>
          <w:p w14:paraId="6DC4BD77" w14:textId="77777777" w:rsidR="00BB5945" w:rsidRPr="00AC4FB8" w:rsidRDefault="00AC4FB8" w:rsidP="00884F3B">
            <w:pPr>
              <w:numPr>
                <w:ilvl w:val="0"/>
                <w:numId w:val="284"/>
              </w:numPr>
              <w:spacing w:after="0" w:line="240" w:lineRule="auto"/>
              <w:rPr>
                <w:rFonts w:asciiTheme="majorHAnsi" w:eastAsia="Times New Roman" w:hAnsiTheme="majorHAnsi" w:cstheme="majorHAnsi"/>
                <w:color w:val="000000"/>
                <w:sz w:val="20"/>
                <w:szCs w:val="20"/>
                <w:lang w:eastAsia="en-GB"/>
              </w:rPr>
            </w:pPr>
            <w:r w:rsidRPr="00AC4FB8">
              <w:rPr>
                <w:rFonts w:asciiTheme="majorHAnsi" w:eastAsia="Times New Roman" w:hAnsiTheme="majorHAnsi" w:cstheme="majorHAnsi"/>
                <w:color w:val="000000"/>
                <w:sz w:val="20"/>
                <w:szCs w:val="20"/>
                <w:lang w:eastAsia="en-GB"/>
              </w:rPr>
              <w:t>Private and public funds</w:t>
            </w:r>
          </w:p>
        </w:tc>
        <w:tc>
          <w:tcPr>
            <w:tcW w:w="1212" w:type="dxa"/>
            <w:vAlign w:val="center"/>
            <w:hideMark/>
          </w:tcPr>
          <w:p w14:paraId="2FA578BD" w14:textId="77777777" w:rsidR="00BB5945" w:rsidRPr="00A33AE8" w:rsidRDefault="00BB5945" w:rsidP="006769DA">
            <w:pPr>
              <w:rPr>
                <w:rFonts w:ascii="Calibri" w:eastAsia="Times New Roman" w:hAnsi="Calibri" w:cs="Calibri"/>
                <w:color w:val="000000"/>
                <w:sz w:val="20"/>
                <w:szCs w:val="20"/>
                <w:lang w:eastAsia="en-GB"/>
              </w:rPr>
            </w:pPr>
          </w:p>
        </w:tc>
      </w:tr>
    </w:tbl>
    <w:p w14:paraId="30093535" w14:textId="77777777" w:rsidR="00BB5945" w:rsidRPr="00A33AE8" w:rsidRDefault="00BB5945" w:rsidP="00BB5945">
      <w:pPr>
        <w:pStyle w:val="LDKbody"/>
        <w:jc w:val="left"/>
        <w:rPr>
          <w:highlight w:val="green"/>
          <w:lang w:val="en-GB"/>
        </w:rPr>
      </w:pPr>
    </w:p>
    <w:tbl>
      <w:tblPr>
        <w:tblW w:w="10700" w:type="dxa"/>
        <w:tblLook w:val="04A0" w:firstRow="1" w:lastRow="0" w:firstColumn="1" w:lastColumn="0" w:noHBand="0" w:noVBand="1"/>
      </w:tblPr>
      <w:tblGrid>
        <w:gridCol w:w="3305"/>
        <w:gridCol w:w="1052"/>
        <w:gridCol w:w="937"/>
        <w:gridCol w:w="4194"/>
        <w:gridCol w:w="1212"/>
      </w:tblGrid>
      <w:tr w:rsidR="00BB5945" w:rsidRPr="00A33AE8" w14:paraId="6F43BA07" w14:textId="77777777" w:rsidTr="006769DA">
        <w:trPr>
          <w:gridAfter w:val="1"/>
          <w:wAfter w:w="1212" w:type="dxa"/>
          <w:trHeight w:val="780"/>
        </w:trPr>
        <w:tc>
          <w:tcPr>
            <w:tcW w:w="3305" w:type="dxa"/>
            <w:tcBorders>
              <w:top w:val="single" w:sz="8" w:space="0" w:color="auto"/>
              <w:left w:val="single" w:sz="8" w:space="0" w:color="auto"/>
              <w:bottom w:val="single" w:sz="8" w:space="0" w:color="auto"/>
              <w:right w:val="single" w:sz="8" w:space="0" w:color="auto"/>
            </w:tcBorders>
            <w:shd w:val="clear" w:color="auto" w:fill="244062"/>
            <w:vAlign w:val="center"/>
            <w:hideMark/>
          </w:tcPr>
          <w:p w14:paraId="6C4B0665" w14:textId="77777777" w:rsidR="00BB5945" w:rsidRPr="00A33AE8" w:rsidRDefault="00BB5945" w:rsidP="006769DA">
            <w:pPr>
              <w:spacing w:after="0" w:line="240" w:lineRule="auto"/>
              <w:jc w:val="both"/>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Policy measure code: </w:t>
            </w:r>
          </w:p>
        </w:tc>
        <w:tc>
          <w:tcPr>
            <w:tcW w:w="1052" w:type="dxa"/>
            <w:tcBorders>
              <w:top w:val="single" w:sz="8" w:space="0" w:color="auto"/>
              <w:left w:val="nil"/>
              <w:bottom w:val="single" w:sz="8" w:space="0" w:color="auto"/>
              <w:right w:val="single" w:sz="8" w:space="0" w:color="auto"/>
            </w:tcBorders>
            <w:shd w:val="clear" w:color="auto" w:fill="E7E6E6" w:themeFill="background2"/>
            <w:vAlign w:val="center"/>
            <w:hideMark/>
          </w:tcPr>
          <w:p w14:paraId="15415039"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PM_RIC20</w:t>
            </w:r>
          </w:p>
        </w:tc>
        <w:tc>
          <w:tcPr>
            <w:tcW w:w="937" w:type="dxa"/>
            <w:tcBorders>
              <w:top w:val="single" w:sz="8" w:space="0" w:color="auto"/>
              <w:left w:val="nil"/>
              <w:bottom w:val="single" w:sz="8" w:space="0" w:color="auto"/>
              <w:right w:val="single" w:sz="8" w:space="0" w:color="auto"/>
            </w:tcBorders>
            <w:shd w:val="clear" w:color="auto" w:fill="244062"/>
            <w:vAlign w:val="center"/>
            <w:hideMark/>
          </w:tcPr>
          <w:p w14:paraId="05AF542E"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Title: </w:t>
            </w:r>
          </w:p>
        </w:tc>
        <w:tc>
          <w:tcPr>
            <w:tcW w:w="4194" w:type="dxa"/>
            <w:tcBorders>
              <w:top w:val="single" w:sz="8" w:space="0" w:color="auto"/>
              <w:left w:val="nil"/>
              <w:bottom w:val="single" w:sz="8" w:space="0" w:color="auto"/>
              <w:right w:val="single" w:sz="8" w:space="0" w:color="auto"/>
            </w:tcBorders>
            <w:shd w:val="clear" w:color="auto" w:fill="E7E6E6" w:themeFill="background2"/>
            <w:vAlign w:val="center"/>
            <w:hideMark/>
          </w:tcPr>
          <w:p w14:paraId="323D2867" w14:textId="77777777" w:rsidR="00BB5945" w:rsidRPr="00A33AE8" w:rsidRDefault="00BB5945" w:rsidP="006769DA">
            <w:pPr>
              <w:spacing w:after="0" w:line="240" w:lineRule="auto"/>
              <w:jc w:val="both"/>
              <w:rPr>
                <w:rFonts w:ascii="Calibri Light" w:eastAsia="Times New Roman" w:hAnsi="Calibri Light" w:cs="Calibri Light"/>
                <w:b/>
                <w:bCs/>
                <w:color w:val="000000"/>
                <w:sz w:val="20"/>
                <w:szCs w:val="20"/>
                <w:lang w:eastAsia="en-GB"/>
              </w:rPr>
            </w:pPr>
            <w:r w:rsidRPr="00A33AE8">
              <w:rPr>
                <w:rFonts w:ascii="Calibri Light" w:eastAsia="Times New Roman" w:hAnsi="Calibri Light" w:cs="Calibri Light"/>
                <w:b/>
                <w:bCs/>
                <w:color w:val="000000"/>
                <w:sz w:val="20"/>
                <w:szCs w:val="20"/>
                <w:lang w:eastAsia="en-GB"/>
              </w:rPr>
              <w:t xml:space="preserve">Promoting innovative circular economy technologies to improve businesses competitiveness </w:t>
            </w:r>
          </w:p>
        </w:tc>
      </w:tr>
      <w:tr w:rsidR="00BB5945" w:rsidRPr="00A33AE8" w14:paraId="10F8C309" w14:textId="77777777" w:rsidTr="006769DA">
        <w:trPr>
          <w:gridAfter w:val="1"/>
          <w:wAfter w:w="1212" w:type="dxa"/>
          <w:trHeight w:val="431"/>
        </w:trPr>
        <w:tc>
          <w:tcPr>
            <w:tcW w:w="3305" w:type="dxa"/>
            <w:tcBorders>
              <w:top w:val="nil"/>
              <w:left w:val="single" w:sz="8" w:space="0" w:color="auto"/>
              <w:bottom w:val="single" w:sz="8" w:space="0" w:color="auto"/>
              <w:right w:val="nil"/>
            </w:tcBorders>
            <w:shd w:val="clear" w:color="auto" w:fill="244062"/>
            <w:vAlign w:val="center"/>
            <w:hideMark/>
          </w:tcPr>
          <w:p w14:paraId="14448ABE"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Main objective: </w:t>
            </w:r>
          </w:p>
        </w:tc>
        <w:tc>
          <w:tcPr>
            <w:tcW w:w="6183" w:type="dxa"/>
            <w:gridSpan w:val="3"/>
            <w:tcBorders>
              <w:top w:val="single" w:sz="8" w:space="0" w:color="auto"/>
              <w:left w:val="nil"/>
              <w:bottom w:val="single" w:sz="8" w:space="0" w:color="auto"/>
              <w:right w:val="single" w:sz="8" w:space="0" w:color="000000"/>
            </w:tcBorders>
            <w:vAlign w:val="center"/>
            <w:hideMark/>
          </w:tcPr>
          <w:p w14:paraId="248B5997"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Improvement of competitiveness</w:t>
            </w:r>
          </w:p>
        </w:tc>
      </w:tr>
      <w:tr w:rsidR="00BB5945" w:rsidRPr="00A33AE8" w14:paraId="67A167CF"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325EE731"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 xml:space="preserve">Quantified objective: </w:t>
            </w:r>
          </w:p>
        </w:tc>
        <w:tc>
          <w:tcPr>
            <w:tcW w:w="6183" w:type="dxa"/>
            <w:gridSpan w:val="3"/>
            <w:tcBorders>
              <w:top w:val="single" w:sz="8" w:space="0" w:color="auto"/>
              <w:left w:val="nil"/>
              <w:bottom w:val="single" w:sz="8" w:space="0" w:color="auto"/>
              <w:right w:val="single" w:sz="8" w:space="0" w:color="000000"/>
            </w:tcBorders>
            <w:vAlign w:val="center"/>
            <w:hideMark/>
          </w:tcPr>
          <w:p w14:paraId="7DD8221B"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Increase the level of competitiveness (Qualitative objective)</w:t>
            </w:r>
          </w:p>
        </w:tc>
      </w:tr>
      <w:tr w:rsidR="00BB5945" w:rsidRPr="00A33AE8" w14:paraId="69ED806A" w14:textId="77777777" w:rsidTr="006769DA">
        <w:trPr>
          <w:gridAfter w:val="1"/>
          <w:wAfter w:w="1212" w:type="dxa"/>
          <w:trHeight w:val="768"/>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36184FBC"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Description:</w:t>
            </w:r>
          </w:p>
        </w:tc>
        <w:tc>
          <w:tcPr>
            <w:tcW w:w="6183" w:type="dxa"/>
            <w:gridSpan w:val="3"/>
            <w:tcBorders>
              <w:top w:val="single" w:sz="8" w:space="0" w:color="auto"/>
              <w:left w:val="nil"/>
              <w:bottom w:val="single" w:sz="8" w:space="0" w:color="auto"/>
              <w:right w:val="single" w:sz="8" w:space="0" w:color="000000"/>
            </w:tcBorders>
            <w:vAlign w:val="center"/>
            <w:hideMark/>
          </w:tcPr>
          <w:p w14:paraId="5DB7A979" w14:textId="77777777" w:rsidR="00BB5945" w:rsidRPr="00A33AE8" w:rsidRDefault="00BB5945" w:rsidP="006769DA">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PM_RIC20 will promote specific actions, which focus on the development of innovative technologies in order to achieve the objectives of the roadmap for circular economy in Serbia.</w:t>
            </w:r>
          </w:p>
        </w:tc>
      </w:tr>
      <w:tr w:rsidR="00BB5945" w:rsidRPr="00A33AE8" w14:paraId="235FB527"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57644D3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Timeframe</w:t>
            </w:r>
          </w:p>
        </w:tc>
        <w:tc>
          <w:tcPr>
            <w:tcW w:w="6183" w:type="dxa"/>
            <w:gridSpan w:val="3"/>
            <w:tcBorders>
              <w:top w:val="single" w:sz="8" w:space="0" w:color="auto"/>
              <w:left w:val="nil"/>
              <w:bottom w:val="single" w:sz="8" w:space="0" w:color="auto"/>
              <w:right w:val="single" w:sz="8" w:space="0" w:color="000000"/>
            </w:tcBorders>
            <w:vAlign w:val="center"/>
            <w:hideMark/>
          </w:tcPr>
          <w:p w14:paraId="3DF2B6E8"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202</w:t>
            </w:r>
            <w:r w:rsidR="00D81631" w:rsidRPr="00A33AE8">
              <w:rPr>
                <w:rFonts w:asciiTheme="majorHAnsi" w:eastAsia="Times New Roman" w:hAnsiTheme="majorHAnsi" w:cstheme="majorHAnsi"/>
                <w:color w:val="000000"/>
                <w:sz w:val="20"/>
                <w:szCs w:val="20"/>
                <w:lang w:eastAsia="en-GB"/>
              </w:rPr>
              <w:t>3</w:t>
            </w:r>
            <w:r w:rsidRPr="00A33AE8">
              <w:rPr>
                <w:rFonts w:asciiTheme="majorHAnsi" w:eastAsia="Times New Roman" w:hAnsiTheme="majorHAnsi" w:cstheme="majorHAnsi"/>
                <w:color w:val="000000"/>
                <w:sz w:val="20"/>
                <w:szCs w:val="20"/>
                <w:lang w:eastAsia="en-GB"/>
              </w:rPr>
              <w:t>-2030</w:t>
            </w:r>
          </w:p>
        </w:tc>
      </w:tr>
      <w:tr w:rsidR="00BB5945" w:rsidRPr="00A33AE8" w14:paraId="20D7FD5A"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29B56EF6"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lastRenderedPageBreak/>
              <w:t>Type of measure</w:t>
            </w:r>
          </w:p>
        </w:tc>
        <w:tc>
          <w:tcPr>
            <w:tcW w:w="6183" w:type="dxa"/>
            <w:gridSpan w:val="3"/>
            <w:tcBorders>
              <w:top w:val="single" w:sz="8" w:space="0" w:color="auto"/>
              <w:left w:val="nil"/>
              <w:bottom w:val="single" w:sz="8" w:space="0" w:color="auto"/>
              <w:right w:val="single" w:sz="8" w:space="0" w:color="000000"/>
            </w:tcBorders>
            <w:vAlign w:val="center"/>
            <w:hideMark/>
          </w:tcPr>
          <w:p w14:paraId="306EAC62" w14:textId="77777777" w:rsidR="00BB5945" w:rsidRPr="00A33AE8" w:rsidRDefault="00037A9E"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Investment</w:t>
            </w:r>
          </w:p>
        </w:tc>
      </w:tr>
      <w:tr w:rsidR="00BB5945" w:rsidRPr="00A33AE8" w14:paraId="2296C8E9"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191F1FB1"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Sectors covered/affected</w:t>
            </w:r>
          </w:p>
        </w:tc>
        <w:tc>
          <w:tcPr>
            <w:tcW w:w="6183" w:type="dxa"/>
            <w:gridSpan w:val="3"/>
            <w:tcBorders>
              <w:top w:val="single" w:sz="8" w:space="0" w:color="auto"/>
              <w:left w:val="nil"/>
              <w:bottom w:val="single" w:sz="8" w:space="0" w:color="auto"/>
              <w:right w:val="single" w:sz="8" w:space="0" w:color="000000"/>
            </w:tcBorders>
            <w:vAlign w:val="center"/>
            <w:hideMark/>
          </w:tcPr>
          <w:p w14:paraId="5A0F9367"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All </w:t>
            </w:r>
            <w:r w:rsidR="00C45C75">
              <w:rPr>
                <w:rFonts w:asciiTheme="majorHAnsi" w:eastAsia="Times New Roman" w:hAnsiTheme="majorHAnsi" w:cstheme="majorHAnsi"/>
                <w:color w:val="000000"/>
                <w:sz w:val="20"/>
                <w:szCs w:val="20"/>
                <w:lang w:eastAsia="en-GB"/>
              </w:rPr>
              <w:t>I</w:t>
            </w:r>
            <w:r w:rsidRPr="00A33AE8">
              <w:rPr>
                <w:rFonts w:asciiTheme="majorHAnsi" w:eastAsia="Times New Roman" w:hAnsiTheme="majorHAnsi" w:cstheme="majorHAnsi"/>
                <w:color w:val="000000"/>
                <w:sz w:val="20"/>
                <w:szCs w:val="20"/>
                <w:lang w:eastAsia="en-GB"/>
              </w:rPr>
              <w:t>NECP subject fields</w:t>
            </w:r>
          </w:p>
        </w:tc>
      </w:tr>
      <w:tr w:rsidR="00BB5945" w:rsidRPr="00A33AE8" w14:paraId="5AD63C85" w14:textId="77777777" w:rsidTr="006769DA">
        <w:trPr>
          <w:gridAfter w:val="1"/>
          <w:wAfter w:w="1212" w:type="dxa"/>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0DA65B1B"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Implementing Entity</w:t>
            </w:r>
          </w:p>
        </w:tc>
        <w:tc>
          <w:tcPr>
            <w:tcW w:w="6183" w:type="dxa"/>
            <w:gridSpan w:val="3"/>
            <w:tcBorders>
              <w:top w:val="single" w:sz="8" w:space="0" w:color="auto"/>
              <w:left w:val="nil"/>
              <w:bottom w:val="single" w:sz="8" w:space="0" w:color="auto"/>
              <w:right w:val="single" w:sz="8" w:space="0" w:color="000000"/>
            </w:tcBorders>
            <w:vAlign w:val="center"/>
            <w:hideMark/>
          </w:tcPr>
          <w:p w14:paraId="4201C0B9" w14:textId="77777777" w:rsidR="00BB5945" w:rsidRPr="00A33AE8" w:rsidRDefault="00BB5945" w:rsidP="00884F3B">
            <w:pPr>
              <w:pStyle w:val="ListParagraph"/>
              <w:numPr>
                <w:ilvl w:val="0"/>
                <w:numId w:val="21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w:t>
            </w:r>
          </w:p>
          <w:p w14:paraId="584B4F99" w14:textId="77777777" w:rsidR="00BB5945" w:rsidRPr="00A33AE8" w:rsidRDefault="00BB5945" w:rsidP="00884F3B">
            <w:pPr>
              <w:pStyle w:val="ListParagraph"/>
              <w:numPr>
                <w:ilvl w:val="0"/>
                <w:numId w:val="21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Ministry of Finance</w:t>
            </w:r>
          </w:p>
          <w:p w14:paraId="5C398AFB" w14:textId="77777777" w:rsidR="00BB5945" w:rsidRPr="00A33AE8" w:rsidRDefault="00BB5945" w:rsidP="00884F3B">
            <w:pPr>
              <w:pStyle w:val="ListParagraph"/>
              <w:numPr>
                <w:ilvl w:val="0"/>
                <w:numId w:val="21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Development Agency of Serbia</w:t>
            </w:r>
          </w:p>
          <w:p w14:paraId="26959654" w14:textId="77777777" w:rsidR="00BB5945" w:rsidRPr="00A33AE8" w:rsidRDefault="00BB5945" w:rsidP="00884F3B">
            <w:pPr>
              <w:pStyle w:val="ListParagraph"/>
              <w:numPr>
                <w:ilvl w:val="0"/>
                <w:numId w:val="21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 xml:space="preserve">Chamber of </w:t>
            </w:r>
            <w:r w:rsidR="00C96A78" w:rsidRPr="00A33AE8">
              <w:rPr>
                <w:rFonts w:asciiTheme="majorHAnsi" w:eastAsia="Times New Roman" w:hAnsiTheme="majorHAnsi" w:cstheme="majorHAnsi"/>
                <w:color w:val="000000"/>
                <w:sz w:val="20"/>
                <w:szCs w:val="20"/>
                <w:lang w:eastAsia="en-GB"/>
              </w:rPr>
              <w:t>Commerce and</w:t>
            </w:r>
            <w:r w:rsidRPr="00A33AE8">
              <w:rPr>
                <w:rFonts w:asciiTheme="majorHAnsi" w:eastAsia="Times New Roman" w:hAnsiTheme="majorHAnsi" w:cstheme="majorHAnsi"/>
                <w:color w:val="000000"/>
                <w:sz w:val="20"/>
                <w:szCs w:val="20"/>
                <w:lang w:eastAsia="en-GB"/>
              </w:rPr>
              <w:t xml:space="preserve"> Industry of Serbia</w:t>
            </w:r>
          </w:p>
          <w:p w14:paraId="53B4D182" w14:textId="77777777" w:rsidR="00BB5945" w:rsidRPr="00A33AE8" w:rsidRDefault="00BB5945" w:rsidP="00884F3B">
            <w:pPr>
              <w:pStyle w:val="ListParagraph"/>
              <w:numPr>
                <w:ilvl w:val="0"/>
                <w:numId w:val="214"/>
              </w:num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Center for Promotion of Science</w:t>
            </w:r>
          </w:p>
        </w:tc>
      </w:tr>
      <w:tr w:rsidR="00BB5945" w:rsidRPr="00A33AE8" w14:paraId="4BED9EED" w14:textId="77777777" w:rsidTr="006769DA">
        <w:trPr>
          <w:gridAfter w:val="1"/>
          <w:wAfter w:w="1212" w:type="dxa"/>
          <w:trHeight w:val="315"/>
        </w:trPr>
        <w:tc>
          <w:tcPr>
            <w:tcW w:w="3305" w:type="dxa"/>
            <w:tcBorders>
              <w:top w:val="nil"/>
              <w:left w:val="single" w:sz="8" w:space="0" w:color="auto"/>
              <w:bottom w:val="single" w:sz="8" w:space="0" w:color="auto"/>
              <w:right w:val="nil"/>
            </w:tcBorders>
            <w:shd w:val="clear" w:color="auto" w:fill="244062"/>
            <w:vAlign w:val="center"/>
            <w:hideMark/>
          </w:tcPr>
          <w:p w14:paraId="67DCA16A"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Monitoring Entity</w:t>
            </w:r>
          </w:p>
        </w:tc>
        <w:tc>
          <w:tcPr>
            <w:tcW w:w="6183" w:type="dxa"/>
            <w:gridSpan w:val="3"/>
            <w:tcBorders>
              <w:top w:val="single" w:sz="8" w:space="0" w:color="auto"/>
              <w:left w:val="nil"/>
              <w:bottom w:val="single" w:sz="8" w:space="0" w:color="auto"/>
              <w:right w:val="single" w:sz="8" w:space="0" w:color="000000"/>
            </w:tcBorders>
            <w:vAlign w:val="center"/>
            <w:hideMark/>
          </w:tcPr>
          <w:p w14:paraId="16295D51" w14:textId="77777777" w:rsidR="00BB5945" w:rsidRPr="00A33AE8" w:rsidRDefault="00BB5945" w:rsidP="00884F3B">
            <w:pPr>
              <w:pStyle w:val="ListParagraph"/>
              <w:numPr>
                <w:ilvl w:val="0"/>
                <w:numId w:val="214"/>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Commission for Protection of Competition </w:t>
            </w:r>
          </w:p>
        </w:tc>
      </w:tr>
      <w:tr w:rsidR="00BB5945" w:rsidRPr="00A33AE8" w14:paraId="6B42C079" w14:textId="77777777" w:rsidTr="006769DA">
        <w:trPr>
          <w:gridAfter w:val="1"/>
          <w:wAfter w:w="1212" w:type="dxa"/>
          <w:trHeight w:val="315"/>
        </w:trPr>
        <w:tc>
          <w:tcPr>
            <w:tcW w:w="3305" w:type="dxa"/>
            <w:tcBorders>
              <w:top w:val="nil"/>
              <w:left w:val="single" w:sz="8" w:space="0" w:color="auto"/>
              <w:bottom w:val="single" w:sz="8" w:space="0" w:color="auto"/>
              <w:right w:val="nil"/>
            </w:tcBorders>
            <w:shd w:val="clear" w:color="auto" w:fill="244062"/>
            <w:vAlign w:val="center"/>
            <w:hideMark/>
          </w:tcPr>
          <w:p w14:paraId="75F6D445"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Progress indicators</w:t>
            </w:r>
          </w:p>
        </w:tc>
        <w:tc>
          <w:tcPr>
            <w:tcW w:w="6183" w:type="dxa"/>
            <w:gridSpan w:val="3"/>
            <w:tcBorders>
              <w:top w:val="single" w:sz="8" w:space="0" w:color="auto"/>
              <w:left w:val="nil"/>
              <w:bottom w:val="single" w:sz="8" w:space="0" w:color="auto"/>
              <w:right w:val="single" w:sz="8" w:space="0" w:color="000000"/>
            </w:tcBorders>
            <w:vAlign w:val="center"/>
            <w:hideMark/>
          </w:tcPr>
          <w:p w14:paraId="193A43AB" w14:textId="77777777" w:rsidR="00BB5945" w:rsidRPr="00A33AE8" w:rsidRDefault="00BB5945" w:rsidP="001B47D8">
            <w:pPr>
              <w:spacing w:after="0" w:line="240" w:lineRule="auto"/>
              <w:jc w:val="both"/>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Number of actions related to recycling and secondary raw materials use on an annual basis</w:t>
            </w:r>
          </w:p>
        </w:tc>
      </w:tr>
      <w:tr w:rsidR="00213B57" w:rsidRPr="00A33AE8" w14:paraId="0EEE539E" w14:textId="77777777" w:rsidTr="006769DA">
        <w:trPr>
          <w:gridAfter w:val="1"/>
          <w:wAfter w:w="1212" w:type="dxa"/>
          <w:trHeight w:val="343"/>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7ADEDB7D" w14:textId="77777777" w:rsidR="00213B57" w:rsidRPr="00A33AE8" w:rsidRDefault="00213B57" w:rsidP="00213B57">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Other relevant Energy Union dimension(s) affected</w:t>
            </w:r>
          </w:p>
        </w:tc>
        <w:tc>
          <w:tcPr>
            <w:tcW w:w="6183" w:type="dxa"/>
            <w:gridSpan w:val="3"/>
            <w:tcBorders>
              <w:top w:val="single" w:sz="8" w:space="0" w:color="auto"/>
              <w:left w:val="nil"/>
              <w:bottom w:val="single" w:sz="8" w:space="0" w:color="auto"/>
              <w:right w:val="single" w:sz="8" w:space="0" w:color="000000"/>
            </w:tcBorders>
            <w:vAlign w:val="center"/>
          </w:tcPr>
          <w:p w14:paraId="52973C3A" w14:textId="77777777" w:rsidR="00213B57" w:rsidRPr="00A33AE8" w:rsidRDefault="00213B57" w:rsidP="00884F3B">
            <w:pPr>
              <w:pStyle w:val="ListParagraph"/>
              <w:numPr>
                <w:ilvl w:val="0"/>
                <w:numId w:val="192"/>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Internal Energy Market</w:t>
            </w:r>
          </w:p>
        </w:tc>
      </w:tr>
      <w:tr w:rsidR="00BB5945" w:rsidRPr="00A33AE8" w14:paraId="51A82D3A" w14:textId="77777777" w:rsidTr="006769DA">
        <w:trPr>
          <w:gridAfter w:val="1"/>
          <w:wAfter w:w="1212" w:type="dxa"/>
          <w:trHeight w:val="450"/>
        </w:trPr>
        <w:tc>
          <w:tcPr>
            <w:tcW w:w="3305" w:type="dxa"/>
            <w:vMerge w:val="restart"/>
            <w:tcBorders>
              <w:top w:val="nil"/>
              <w:left w:val="single" w:sz="8" w:space="0" w:color="auto"/>
              <w:bottom w:val="single" w:sz="8" w:space="0" w:color="000000"/>
              <w:right w:val="single" w:sz="8" w:space="0" w:color="auto"/>
            </w:tcBorders>
            <w:shd w:val="clear" w:color="auto" w:fill="244062"/>
            <w:vAlign w:val="center"/>
            <w:hideMark/>
          </w:tcPr>
          <w:p w14:paraId="680A8001"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Union policy which resulted in the implementation of the PaM</w:t>
            </w:r>
          </w:p>
        </w:tc>
        <w:tc>
          <w:tcPr>
            <w:tcW w:w="6183" w:type="dxa"/>
            <w:gridSpan w:val="3"/>
            <w:vMerge w:val="restart"/>
            <w:tcBorders>
              <w:top w:val="single" w:sz="8" w:space="0" w:color="auto"/>
              <w:left w:val="single" w:sz="8" w:space="0" w:color="auto"/>
              <w:bottom w:val="single" w:sz="8" w:space="0" w:color="000000"/>
              <w:right w:val="single" w:sz="8" w:space="0" w:color="000000"/>
            </w:tcBorders>
            <w:vAlign w:val="center"/>
          </w:tcPr>
          <w:p w14:paraId="75DD9BA0" w14:textId="77777777" w:rsidR="00BB5945" w:rsidRPr="00A33AE8" w:rsidRDefault="00BB5945" w:rsidP="00884F3B">
            <w:pPr>
              <w:pStyle w:val="ListParagraph"/>
              <w:numPr>
                <w:ilvl w:val="0"/>
                <w:numId w:val="108"/>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European legislation</w:t>
            </w:r>
          </w:p>
        </w:tc>
      </w:tr>
      <w:tr w:rsidR="00BB5945" w:rsidRPr="00A33AE8" w14:paraId="7F1D7CE6" w14:textId="77777777" w:rsidTr="006769DA">
        <w:trPr>
          <w:trHeight w:val="300"/>
        </w:trPr>
        <w:tc>
          <w:tcPr>
            <w:tcW w:w="0" w:type="auto"/>
            <w:vMerge/>
            <w:tcBorders>
              <w:top w:val="nil"/>
              <w:left w:val="single" w:sz="8" w:space="0" w:color="auto"/>
              <w:bottom w:val="single" w:sz="8" w:space="0" w:color="000000"/>
              <w:right w:val="single" w:sz="8" w:space="0" w:color="auto"/>
            </w:tcBorders>
            <w:vAlign w:val="center"/>
            <w:hideMark/>
          </w:tcPr>
          <w:p w14:paraId="3BDBFDAF"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3" w:type="dxa"/>
            <w:gridSpan w:val="3"/>
            <w:vMerge/>
            <w:tcBorders>
              <w:top w:val="single" w:sz="8" w:space="0" w:color="auto"/>
              <w:left w:val="single" w:sz="8" w:space="0" w:color="auto"/>
              <w:bottom w:val="single" w:sz="8" w:space="0" w:color="000000"/>
              <w:right w:val="single" w:sz="8" w:space="0" w:color="000000"/>
            </w:tcBorders>
            <w:vAlign w:val="center"/>
          </w:tcPr>
          <w:p w14:paraId="01A006D5" w14:textId="77777777" w:rsidR="00BB5945" w:rsidRPr="00A33AE8" w:rsidRDefault="00BB5945"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332CE33" w14:textId="77777777" w:rsidR="00BB5945" w:rsidRPr="00A33AE8" w:rsidRDefault="00BB5945" w:rsidP="006769DA">
            <w:pPr>
              <w:rPr>
                <w:sz w:val="20"/>
                <w:szCs w:val="20"/>
              </w:rPr>
            </w:pPr>
          </w:p>
        </w:tc>
      </w:tr>
      <w:tr w:rsidR="00BB5945" w:rsidRPr="00A33AE8" w14:paraId="2B0DCD2F" w14:textId="77777777" w:rsidTr="006769DA">
        <w:trPr>
          <w:trHeight w:val="75"/>
        </w:trPr>
        <w:tc>
          <w:tcPr>
            <w:tcW w:w="0" w:type="auto"/>
            <w:vMerge/>
            <w:tcBorders>
              <w:top w:val="nil"/>
              <w:left w:val="single" w:sz="8" w:space="0" w:color="auto"/>
              <w:bottom w:val="single" w:sz="8" w:space="0" w:color="000000"/>
              <w:right w:val="single" w:sz="8" w:space="0" w:color="auto"/>
            </w:tcBorders>
            <w:vAlign w:val="center"/>
            <w:hideMark/>
          </w:tcPr>
          <w:p w14:paraId="294D9165" w14:textId="77777777" w:rsidR="00BB5945" w:rsidRPr="00A33AE8" w:rsidRDefault="00BB5945" w:rsidP="006769DA">
            <w:pPr>
              <w:spacing w:after="0" w:line="256" w:lineRule="auto"/>
              <w:rPr>
                <w:rFonts w:ascii="Calibri Light" w:eastAsia="Times New Roman" w:hAnsi="Calibri Light" w:cs="Calibri Light"/>
                <w:b/>
                <w:bCs/>
                <w:color w:val="FFFFFF"/>
                <w:sz w:val="20"/>
                <w:szCs w:val="20"/>
                <w:lang w:eastAsia="en-GB"/>
              </w:rPr>
            </w:pPr>
          </w:p>
        </w:tc>
        <w:tc>
          <w:tcPr>
            <w:tcW w:w="6183" w:type="dxa"/>
            <w:gridSpan w:val="3"/>
            <w:vMerge/>
            <w:tcBorders>
              <w:top w:val="single" w:sz="8" w:space="0" w:color="auto"/>
              <w:left w:val="single" w:sz="8" w:space="0" w:color="auto"/>
              <w:bottom w:val="single" w:sz="8" w:space="0" w:color="000000"/>
              <w:right w:val="single" w:sz="8" w:space="0" w:color="000000"/>
            </w:tcBorders>
            <w:vAlign w:val="center"/>
          </w:tcPr>
          <w:p w14:paraId="1FCFA3B0" w14:textId="77777777" w:rsidR="00BB5945" w:rsidRPr="00A33AE8" w:rsidRDefault="00BB5945" w:rsidP="006769DA">
            <w:pPr>
              <w:spacing w:after="0" w:line="256" w:lineRule="auto"/>
              <w:rPr>
                <w:rFonts w:asciiTheme="majorHAnsi" w:eastAsia="Times New Roman" w:hAnsiTheme="majorHAnsi" w:cstheme="majorHAnsi"/>
                <w:color w:val="000000"/>
                <w:sz w:val="20"/>
                <w:szCs w:val="20"/>
                <w:lang w:eastAsia="en-GB"/>
              </w:rPr>
            </w:pPr>
          </w:p>
        </w:tc>
        <w:tc>
          <w:tcPr>
            <w:tcW w:w="1212" w:type="dxa"/>
            <w:noWrap/>
            <w:vAlign w:val="bottom"/>
            <w:hideMark/>
          </w:tcPr>
          <w:p w14:paraId="7BC7622A" w14:textId="77777777" w:rsidR="00BB5945" w:rsidRPr="00A33AE8" w:rsidRDefault="00BB5945" w:rsidP="006769DA">
            <w:pPr>
              <w:spacing w:after="0" w:line="256" w:lineRule="auto"/>
              <w:rPr>
                <w:sz w:val="20"/>
                <w:szCs w:val="20"/>
                <w:lang w:eastAsia="en-GB"/>
              </w:rPr>
            </w:pPr>
          </w:p>
        </w:tc>
      </w:tr>
      <w:tr w:rsidR="00BB5945" w:rsidRPr="00A33AE8" w14:paraId="6B0F61B4" w14:textId="77777777" w:rsidTr="006769DA">
        <w:trPr>
          <w:trHeight w:val="249"/>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4B855B84"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Relevant National Planning Document (Legal, Regulatory Acts etc)</w:t>
            </w:r>
          </w:p>
        </w:tc>
        <w:tc>
          <w:tcPr>
            <w:tcW w:w="6183" w:type="dxa"/>
            <w:gridSpan w:val="3"/>
            <w:tcBorders>
              <w:top w:val="single" w:sz="8" w:space="0" w:color="auto"/>
              <w:left w:val="nil"/>
              <w:bottom w:val="single" w:sz="8" w:space="0" w:color="auto"/>
              <w:right w:val="single" w:sz="8" w:space="0" w:color="000000"/>
            </w:tcBorders>
            <w:vAlign w:val="center"/>
          </w:tcPr>
          <w:p w14:paraId="5614AFD1" w14:textId="77777777" w:rsidR="00BB5945" w:rsidRPr="00A33AE8" w:rsidRDefault="00BB5945" w:rsidP="00884F3B">
            <w:pPr>
              <w:pStyle w:val="ListParagraph"/>
              <w:numPr>
                <w:ilvl w:val="0"/>
                <w:numId w:val="10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the Science Fund</w:t>
            </w:r>
          </w:p>
          <w:p w14:paraId="72A9CF19" w14:textId="77777777" w:rsidR="00BB5945" w:rsidRPr="00A33AE8" w:rsidRDefault="00BB5945" w:rsidP="00884F3B">
            <w:pPr>
              <w:pStyle w:val="ListParagraph"/>
              <w:numPr>
                <w:ilvl w:val="0"/>
                <w:numId w:val="10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Law on Science and Research</w:t>
            </w:r>
          </w:p>
          <w:p w14:paraId="777ADAAE" w14:textId="77777777" w:rsidR="00BB5945" w:rsidRPr="00A33AE8" w:rsidRDefault="00BB5945" w:rsidP="00884F3B">
            <w:pPr>
              <w:pStyle w:val="ListParagraph"/>
              <w:numPr>
                <w:ilvl w:val="0"/>
                <w:numId w:val="107"/>
              </w:num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Industrial Policy Strategy (2021-2030)</w:t>
            </w:r>
          </w:p>
        </w:tc>
        <w:tc>
          <w:tcPr>
            <w:tcW w:w="1212" w:type="dxa"/>
            <w:vAlign w:val="center"/>
            <w:hideMark/>
          </w:tcPr>
          <w:p w14:paraId="3F2434EE" w14:textId="77777777" w:rsidR="00BB5945" w:rsidRPr="00A33AE8" w:rsidRDefault="00BB5945" w:rsidP="006769DA">
            <w:pPr>
              <w:rPr>
                <w:rFonts w:ascii="Calibri Light" w:eastAsia="Times New Roman" w:hAnsi="Calibri Light" w:cs="Calibri Light"/>
                <w:color w:val="000000"/>
                <w:sz w:val="20"/>
                <w:szCs w:val="20"/>
                <w:lang w:eastAsia="en-GB"/>
              </w:rPr>
            </w:pPr>
          </w:p>
        </w:tc>
      </w:tr>
      <w:tr w:rsidR="00BB5945" w:rsidRPr="00A33AE8" w14:paraId="38423BDF" w14:textId="77777777" w:rsidTr="006769DA">
        <w:trPr>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48242F06" w14:textId="77777777" w:rsidR="00BB5945" w:rsidRPr="00A33AE8" w:rsidRDefault="00BB5945" w:rsidP="006769DA">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Implementation cost</w:t>
            </w:r>
          </w:p>
        </w:tc>
        <w:tc>
          <w:tcPr>
            <w:tcW w:w="6183" w:type="dxa"/>
            <w:gridSpan w:val="3"/>
            <w:tcBorders>
              <w:top w:val="single" w:sz="8" w:space="0" w:color="auto"/>
              <w:left w:val="nil"/>
              <w:bottom w:val="single" w:sz="8" w:space="0" w:color="auto"/>
              <w:right w:val="single" w:sz="8" w:space="0" w:color="000000"/>
            </w:tcBorders>
            <w:vAlign w:val="center"/>
          </w:tcPr>
          <w:p w14:paraId="2F2CE41B" w14:textId="77777777" w:rsidR="00BB5945" w:rsidRPr="00A33AE8" w:rsidRDefault="00BB5945" w:rsidP="006769DA">
            <w:pPr>
              <w:spacing w:after="0" w:line="240" w:lineRule="auto"/>
              <w:rPr>
                <w:rFonts w:asciiTheme="majorHAnsi" w:eastAsia="Times New Roman" w:hAnsiTheme="majorHAnsi" w:cstheme="majorHAnsi"/>
                <w:color w:val="000000"/>
                <w:sz w:val="20"/>
                <w:szCs w:val="20"/>
                <w:lang w:eastAsia="en-GB"/>
              </w:rPr>
            </w:pPr>
            <w:r w:rsidRPr="00A33AE8">
              <w:rPr>
                <w:rFonts w:asciiTheme="majorHAnsi" w:eastAsia="Times New Roman" w:hAnsiTheme="majorHAnsi" w:cstheme="majorHAnsi"/>
                <w:color w:val="000000"/>
                <w:sz w:val="20"/>
                <w:szCs w:val="20"/>
                <w:lang w:eastAsia="en-GB"/>
              </w:rPr>
              <w:t>4.5 M€</w:t>
            </w:r>
          </w:p>
        </w:tc>
        <w:tc>
          <w:tcPr>
            <w:tcW w:w="1212" w:type="dxa"/>
            <w:vAlign w:val="center"/>
            <w:hideMark/>
          </w:tcPr>
          <w:p w14:paraId="68379B00" w14:textId="77777777" w:rsidR="00BB5945" w:rsidRPr="00A33AE8" w:rsidRDefault="00BB5945" w:rsidP="006769DA">
            <w:pPr>
              <w:rPr>
                <w:rFonts w:ascii="Calibri" w:eastAsia="Times New Roman" w:hAnsi="Calibri" w:cs="Calibri"/>
                <w:color w:val="000000"/>
                <w:sz w:val="20"/>
                <w:szCs w:val="20"/>
                <w:lang w:eastAsia="en-GB"/>
              </w:rPr>
            </w:pPr>
          </w:p>
        </w:tc>
      </w:tr>
      <w:tr w:rsidR="00661664" w:rsidRPr="00A33AE8" w14:paraId="724E3067" w14:textId="77777777" w:rsidTr="006769DA">
        <w:trPr>
          <w:trHeight w:val="315"/>
        </w:trPr>
        <w:tc>
          <w:tcPr>
            <w:tcW w:w="3305" w:type="dxa"/>
            <w:tcBorders>
              <w:top w:val="nil"/>
              <w:left w:val="single" w:sz="8" w:space="0" w:color="auto"/>
              <w:bottom w:val="single" w:sz="8" w:space="0" w:color="auto"/>
              <w:right w:val="single" w:sz="8" w:space="0" w:color="auto"/>
            </w:tcBorders>
            <w:shd w:val="clear" w:color="auto" w:fill="244062"/>
            <w:vAlign w:val="center"/>
            <w:hideMark/>
          </w:tcPr>
          <w:p w14:paraId="5FFFB0ED" w14:textId="77777777" w:rsidR="00661664" w:rsidRPr="00A33AE8" w:rsidRDefault="00661664" w:rsidP="00661664">
            <w:pPr>
              <w:spacing w:after="0" w:line="240" w:lineRule="auto"/>
              <w:rPr>
                <w:rFonts w:ascii="Calibri Light" w:eastAsia="Times New Roman" w:hAnsi="Calibri Light" w:cs="Calibri Light"/>
                <w:b/>
                <w:bCs/>
                <w:color w:val="FFFFFF"/>
                <w:sz w:val="20"/>
                <w:szCs w:val="20"/>
                <w:lang w:eastAsia="en-GB"/>
              </w:rPr>
            </w:pPr>
            <w:r w:rsidRPr="00A33AE8">
              <w:rPr>
                <w:rFonts w:ascii="Calibri Light" w:eastAsia="Times New Roman" w:hAnsi="Calibri Light" w:cs="Calibri Light"/>
                <w:b/>
                <w:bCs/>
                <w:color w:val="FFFFFF"/>
                <w:sz w:val="20"/>
                <w:szCs w:val="20"/>
                <w:lang w:eastAsia="en-GB"/>
              </w:rPr>
              <w:t>Financing source(s)</w:t>
            </w:r>
          </w:p>
        </w:tc>
        <w:tc>
          <w:tcPr>
            <w:tcW w:w="6183" w:type="dxa"/>
            <w:gridSpan w:val="3"/>
            <w:tcBorders>
              <w:top w:val="single" w:sz="8" w:space="0" w:color="auto"/>
              <w:left w:val="nil"/>
              <w:bottom w:val="single" w:sz="8" w:space="0" w:color="auto"/>
              <w:right w:val="single" w:sz="8" w:space="0" w:color="000000"/>
            </w:tcBorders>
            <w:vAlign w:val="center"/>
            <w:hideMark/>
          </w:tcPr>
          <w:p w14:paraId="6F3368E9" w14:textId="77777777" w:rsidR="00347078" w:rsidRPr="00347078" w:rsidRDefault="00347078"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347078">
              <w:rPr>
                <w:rFonts w:asciiTheme="majorHAnsi" w:eastAsia="Times New Roman" w:hAnsiTheme="majorHAnsi" w:cstheme="majorHAnsi"/>
                <w:color w:val="000000"/>
                <w:sz w:val="20"/>
                <w:szCs w:val="20"/>
                <w:lang w:eastAsia="en-GB"/>
              </w:rPr>
              <w:t>Budget funds</w:t>
            </w:r>
          </w:p>
          <w:p w14:paraId="224C934E" w14:textId="77777777" w:rsidR="00347078" w:rsidRDefault="00347078"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347078">
              <w:rPr>
                <w:rFonts w:asciiTheme="majorHAnsi" w:eastAsia="Times New Roman" w:hAnsiTheme="majorHAnsi" w:cstheme="majorHAnsi"/>
                <w:color w:val="000000"/>
                <w:sz w:val="20"/>
                <w:szCs w:val="20"/>
                <w:lang w:eastAsia="en-GB"/>
              </w:rPr>
              <w:t>EU funds</w:t>
            </w:r>
          </w:p>
          <w:p w14:paraId="6EBBD719" w14:textId="77777777" w:rsidR="00661664" w:rsidRPr="00347078" w:rsidRDefault="00347078" w:rsidP="00884F3B">
            <w:pPr>
              <w:numPr>
                <w:ilvl w:val="0"/>
                <w:numId w:val="285"/>
              </w:numPr>
              <w:spacing w:after="0" w:line="240" w:lineRule="auto"/>
              <w:rPr>
                <w:rFonts w:asciiTheme="majorHAnsi" w:eastAsia="Times New Roman" w:hAnsiTheme="majorHAnsi" w:cstheme="majorHAnsi"/>
                <w:color w:val="000000"/>
                <w:sz w:val="20"/>
                <w:szCs w:val="20"/>
                <w:lang w:eastAsia="en-GB"/>
              </w:rPr>
            </w:pPr>
            <w:r w:rsidRPr="00347078">
              <w:rPr>
                <w:rFonts w:asciiTheme="majorHAnsi" w:eastAsia="Times New Roman" w:hAnsiTheme="majorHAnsi" w:cstheme="majorHAnsi"/>
                <w:color w:val="000000"/>
                <w:sz w:val="20"/>
                <w:szCs w:val="20"/>
                <w:lang w:eastAsia="en-GB"/>
              </w:rPr>
              <w:t>Private and public funds</w:t>
            </w:r>
          </w:p>
        </w:tc>
        <w:tc>
          <w:tcPr>
            <w:tcW w:w="1212" w:type="dxa"/>
            <w:vAlign w:val="center"/>
            <w:hideMark/>
          </w:tcPr>
          <w:p w14:paraId="3737CA07" w14:textId="77777777" w:rsidR="00661664" w:rsidRPr="00A33AE8" w:rsidRDefault="00661664" w:rsidP="00661664">
            <w:pPr>
              <w:rPr>
                <w:rFonts w:ascii="Calibri" w:eastAsia="Times New Roman" w:hAnsi="Calibri" w:cs="Calibri"/>
                <w:color w:val="000000"/>
                <w:sz w:val="20"/>
                <w:szCs w:val="20"/>
                <w:lang w:eastAsia="en-GB"/>
              </w:rPr>
            </w:pPr>
          </w:p>
        </w:tc>
      </w:tr>
    </w:tbl>
    <w:p w14:paraId="3CA3D2A9" w14:textId="77777777" w:rsidR="00EF041F" w:rsidRPr="00A33AE8" w:rsidRDefault="00EF041F" w:rsidP="00EF041F">
      <w:pPr>
        <w:pStyle w:val="LDKbody"/>
        <w:rPr>
          <w:rFonts w:asciiTheme="majorHAnsi" w:hAnsiTheme="majorHAnsi" w:cstheme="majorHAnsi"/>
          <w:lang w:val="en-GB"/>
        </w:rPr>
      </w:pPr>
      <w:r w:rsidRPr="00A33AE8">
        <w:rPr>
          <w:rFonts w:asciiTheme="majorHAnsi" w:hAnsiTheme="majorHAnsi" w:cstheme="majorHAnsi"/>
          <w:lang w:val="en-GB"/>
        </w:rPr>
        <w:t>Except the measures presented in the previous tables, the following measures related to the other dimensions also affect the research, innovation and competitiveness dimension and contribute to the achievement of the research, innovation and competitiveness targets:</w:t>
      </w:r>
    </w:p>
    <w:p w14:paraId="73D55EF4" w14:textId="77777777" w:rsidR="00D62C44" w:rsidRPr="00A33AE8" w:rsidRDefault="00EF041F" w:rsidP="00507954">
      <w:pPr>
        <w:pStyle w:val="LDKBullets-main"/>
        <w:rPr>
          <w:rFonts w:asciiTheme="majorHAnsi" w:hAnsiTheme="majorHAnsi" w:cstheme="majorHAnsi"/>
          <w:i/>
          <w:iCs/>
          <w:color w:val="000000"/>
          <w:u w:val="single"/>
        </w:rPr>
      </w:pPr>
      <w:r w:rsidRPr="00A33AE8">
        <w:rPr>
          <w:rFonts w:asciiTheme="majorHAnsi" w:hAnsiTheme="majorHAnsi" w:cstheme="majorHAnsi"/>
        </w:rPr>
        <w:t xml:space="preserve">Dimension energy efficiency: </w:t>
      </w:r>
      <w:r w:rsidRPr="00A33AE8">
        <w:rPr>
          <w:rFonts w:asciiTheme="majorHAnsi" w:hAnsiTheme="majorHAnsi" w:cstheme="majorHAnsi"/>
          <w:b/>
          <w:bCs/>
        </w:rPr>
        <w:t>PM_EE3</w:t>
      </w:r>
      <w:r w:rsidR="002E14B4" w:rsidRPr="00A33AE8">
        <w:rPr>
          <w:rFonts w:asciiTheme="majorHAnsi" w:hAnsiTheme="majorHAnsi" w:cstheme="majorHAnsi"/>
          <w:b/>
          <w:bCs/>
        </w:rPr>
        <w:t>8</w:t>
      </w:r>
    </w:p>
    <w:p w14:paraId="5BA8B45E" w14:textId="77777777" w:rsidR="000B465E" w:rsidRPr="00A33AE8" w:rsidRDefault="000B465E" w:rsidP="00884F3B">
      <w:pPr>
        <w:pStyle w:val="Heading4"/>
        <w:numPr>
          <w:ilvl w:val="0"/>
          <w:numId w:val="6"/>
        </w:numPr>
      </w:pPr>
      <w:r w:rsidRPr="00A33AE8">
        <w:t>Cooperation with other Member States in this area, including information on how the SET Plan objectives and policies are being translated to a national context</w:t>
      </w:r>
    </w:p>
    <w:p w14:paraId="721C728E" w14:textId="51114010"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In order to promote the cost-effective development of low-carbon technologies, the Republic of Serbia </w:t>
      </w:r>
      <w:r w:rsidR="0055687D" w:rsidRPr="00A33AE8">
        <w:rPr>
          <w:rFonts w:asciiTheme="majorHAnsi" w:hAnsiTheme="majorHAnsi" w:cstheme="majorHAnsi"/>
          <w:color w:val="000000"/>
        </w:rPr>
        <w:t>will</w:t>
      </w:r>
      <w:r w:rsidRPr="00A33AE8">
        <w:rPr>
          <w:rFonts w:asciiTheme="majorHAnsi" w:hAnsiTheme="majorHAnsi" w:cstheme="majorHAnsi"/>
          <w:color w:val="000000"/>
        </w:rPr>
        <w:t xml:space="preserve"> rely on the SET Plan developed at EU level, which promotes cross-sector cooperation on innovation.</w:t>
      </w:r>
    </w:p>
    <w:p w14:paraId="4863ADD1" w14:textId="1DD38CEB" w:rsidR="000B465E" w:rsidRPr="00A33AE8" w:rsidRDefault="000B465E" w:rsidP="006E21C2">
      <w:pPr>
        <w:spacing w:before="160"/>
        <w:jc w:val="both"/>
        <w:rPr>
          <w:rFonts w:asciiTheme="majorHAnsi" w:hAnsiTheme="majorHAnsi" w:cstheme="majorHAnsi"/>
          <w:color w:val="000000"/>
        </w:rPr>
      </w:pPr>
      <w:r w:rsidRPr="00A33AE8">
        <w:rPr>
          <w:rFonts w:asciiTheme="majorHAnsi" w:hAnsiTheme="majorHAnsi" w:cstheme="majorHAnsi"/>
          <w:color w:val="000000"/>
        </w:rPr>
        <w:t xml:space="preserve">The Republic of Serbia has quadrupled since 2014 its performance in Horizon 2020 programme, being the most successful country from </w:t>
      </w:r>
      <w:r w:rsidR="00BE5DEF" w:rsidRPr="00A33AE8">
        <w:rPr>
          <w:rFonts w:asciiTheme="majorHAnsi" w:hAnsiTheme="majorHAnsi" w:cstheme="majorHAnsi"/>
          <w:color w:val="000000"/>
        </w:rPr>
        <w:t>the region of the</w:t>
      </w:r>
      <w:r w:rsidR="008750E1" w:rsidRPr="00A33AE8">
        <w:rPr>
          <w:rFonts w:asciiTheme="majorHAnsi" w:hAnsiTheme="majorHAnsi" w:cstheme="majorHAnsi"/>
          <w:color w:val="000000"/>
        </w:rPr>
        <w:t xml:space="preserve"> </w:t>
      </w:r>
      <w:r w:rsidRPr="00A33AE8">
        <w:rPr>
          <w:rFonts w:asciiTheme="majorHAnsi" w:hAnsiTheme="majorHAnsi" w:cstheme="majorHAnsi"/>
          <w:color w:val="000000"/>
        </w:rPr>
        <w:t>Western Balkans. Areas of particular success in Horizon 2020 include Information Communication Technologies (ICT) and agricultural research, as well as scientific cooperation in the area of energy. National efforts in supporting innovation have become highly successful and are complemented by a Smart Specialization Strategy.</w:t>
      </w:r>
    </w:p>
    <w:p w14:paraId="33100B0F" w14:textId="77777777" w:rsidR="000B465E" w:rsidRPr="00A33AE8" w:rsidRDefault="000B465E" w:rsidP="006E21C2">
      <w:pPr>
        <w:spacing w:before="160"/>
        <w:jc w:val="both"/>
        <w:rPr>
          <w:rFonts w:cstheme="minorHAnsi"/>
          <w:color w:val="000000"/>
        </w:rPr>
      </w:pPr>
      <w:r w:rsidRPr="00A33AE8">
        <w:rPr>
          <w:rFonts w:asciiTheme="majorHAnsi" w:hAnsiTheme="majorHAnsi" w:cstheme="majorHAnsi"/>
          <w:color w:val="000000"/>
        </w:rPr>
        <w:t>Furthermore, the Republic of Serbia has developed intensive cooperation at several levels, especially in the energy sector with Joint Research Centre (JCR) of the European Commission, and it also demonstrates a high level of activity in EUREKA program.</w:t>
      </w:r>
    </w:p>
    <w:p w14:paraId="09851A04" w14:textId="57D1C473" w:rsidR="000B465E" w:rsidRPr="00A33AE8" w:rsidRDefault="000B465E" w:rsidP="00884F3B">
      <w:pPr>
        <w:pStyle w:val="Heading4"/>
        <w:numPr>
          <w:ilvl w:val="0"/>
          <w:numId w:val="6"/>
        </w:numPr>
      </w:pPr>
      <w:r w:rsidRPr="00A33AE8">
        <w:t>Financing measures, including EU support and the use of EU funds, in this area at national level, if applicable</w:t>
      </w:r>
    </w:p>
    <w:p w14:paraId="5243BD94" w14:textId="77777777" w:rsidR="00E261DB" w:rsidRPr="00A33AE8" w:rsidRDefault="00E261DB" w:rsidP="000B465E">
      <w:pPr>
        <w:spacing w:after="120"/>
        <w:jc w:val="both"/>
        <w:rPr>
          <w:rFonts w:cstheme="minorHAnsi"/>
          <w:color w:val="000000"/>
        </w:rPr>
      </w:pPr>
    </w:p>
    <w:p w14:paraId="0BCCC477" w14:textId="256A48A5" w:rsidR="000B465E" w:rsidRPr="00A33AE8" w:rsidRDefault="000B465E" w:rsidP="000B465E">
      <w:pPr>
        <w:spacing w:after="120"/>
        <w:jc w:val="both"/>
        <w:rPr>
          <w:rFonts w:asciiTheme="majorHAnsi" w:hAnsiTheme="majorHAnsi" w:cstheme="majorHAnsi"/>
          <w:color w:val="000000"/>
        </w:rPr>
      </w:pPr>
      <w:r w:rsidRPr="00A33AE8">
        <w:rPr>
          <w:rFonts w:asciiTheme="majorHAnsi" w:hAnsiTheme="majorHAnsi" w:cstheme="majorHAnsi"/>
          <w:color w:val="000000"/>
        </w:rPr>
        <w:t>The key financial instruments in energy research, innovation and competitiveness include:</w:t>
      </w:r>
    </w:p>
    <w:p w14:paraId="4999B9B5" w14:textId="7971A5C0" w:rsidR="000B465E" w:rsidRPr="00A33AE8" w:rsidRDefault="00DB71BF" w:rsidP="00884F3B">
      <w:pPr>
        <w:pStyle w:val="ListParagraph"/>
        <w:numPr>
          <w:ilvl w:val="0"/>
          <w:numId w:val="227"/>
        </w:numPr>
        <w:spacing w:before="120" w:after="120" w:line="240" w:lineRule="auto"/>
        <w:ind w:left="714" w:hanging="357"/>
        <w:contextualSpacing w:val="0"/>
        <w:jc w:val="both"/>
        <w:rPr>
          <w:rFonts w:asciiTheme="majorHAnsi" w:hAnsiTheme="majorHAnsi" w:cstheme="majorHAnsi"/>
        </w:rPr>
      </w:pPr>
      <w:r w:rsidRPr="00A33AE8">
        <w:rPr>
          <w:rFonts w:asciiTheme="majorHAnsi" w:hAnsiTheme="majorHAnsi" w:cstheme="majorHAnsi"/>
          <w:color w:val="000000"/>
        </w:rPr>
        <w:t>Available budget or own resour</w:t>
      </w:r>
      <w:r w:rsidR="000B465E" w:rsidRPr="00A33AE8">
        <w:rPr>
          <w:rFonts w:asciiTheme="majorHAnsi" w:hAnsiTheme="majorHAnsi" w:cstheme="majorHAnsi"/>
          <w:color w:val="000000"/>
        </w:rPr>
        <w:t>ces</w:t>
      </w:r>
    </w:p>
    <w:p w14:paraId="2976429A" w14:textId="77777777" w:rsidR="000B465E" w:rsidRPr="00A33AE8" w:rsidRDefault="000B465E" w:rsidP="00884F3B">
      <w:pPr>
        <w:pStyle w:val="ListParagraph"/>
        <w:numPr>
          <w:ilvl w:val="0"/>
          <w:numId w:val="227"/>
        </w:numPr>
        <w:spacing w:before="120" w:after="120" w:line="240" w:lineRule="auto"/>
        <w:ind w:left="714" w:hanging="357"/>
        <w:contextualSpacing w:val="0"/>
        <w:jc w:val="both"/>
        <w:rPr>
          <w:rFonts w:asciiTheme="majorHAnsi" w:hAnsiTheme="majorHAnsi" w:cstheme="majorHAnsi"/>
        </w:rPr>
      </w:pPr>
      <w:r w:rsidRPr="00A33AE8">
        <w:rPr>
          <w:rFonts w:asciiTheme="majorHAnsi" w:hAnsiTheme="majorHAnsi" w:cstheme="majorHAnsi"/>
          <w:color w:val="000000"/>
        </w:rPr>
        <w:t>Operational programmes under the new programming period 2021-2027</w:t>
      </w:r>
    </w:p>
    <w:p w14:paraId="38E5CC5D" w14:textId="17F09F5A" w:rsidR="000B465E" w:rsidRPr="00A33AE8" w:rsidRDefault="000B465E" w:rsidP="00884F3B">
      <w:pPr>
        <w:pStyle w:val="ListParagraph"/>
        <w:numPr>
          <w:ilvl w:val="0"/>
          <w:numId w:val="227"/>
        </w:numPr>
        <w:spacing w:before="120" w:after="120" w:line="240" w:lineRule="auto"/>
        <w:ind w:left="714" w:hanging="357"/>
        <w:contextualSpacing w:val="0"/>
        <w:jc w:val="both"/>
        <w:rPr>
          <w:rFonts w:asciiTheme="majorHAnsi" w:hAnsiTheme="majorHAnsi" w:cstheme="majorHAnsi"/>
        </w:rPr>
      </w:pPr>
      <w:r w:rsidRPr="00A33AE8">
        <w:rPr>
          <w:rFonts w:asciiTheme="majorHAnsi" w:hAnsiTheme="majorHAnsi" w:cstheme="majorHAnsi"/>
          <w:color w:val="000000"/>
        </w:rPr>
        <w:t>Specific operational funds with public and private capital</w:t>
      </w:r>
    </w:p>
    <w:p w14:paraId="62DDCB06" w14:textId="77777777" w:rsidR="000B465E" w:rsidRPr="00A33AE8" w:rsidRDefault="000B465E" w:rsidP="00884F3B">
      <w:pPr>
        <w:pStyle w:val="ListParagraph"/>
        <w:numPr>
          <w:ilvl w:val="0"/>
          <w:numId w:val="227"/>
        </w:numPr>
        <w:spacing w:before="120" w:after="0" w:line="240" w:lineRule="auto"/>
        <w:ind w:left="714" w:hanging="357"/>
        <w:contextualSpacing w:val="0"/>
        <w:jc w:val="both"/>
      </w:pPr>
      <w:r w:rsidRPr="00A33AE8">
        <w:rPr>
          <w:rFonts w:asciiTheme="majorHAnsi" w:hAnsiTheme="majorHAnsi" w:cstheme="majorHAnsi"/>
          <w:color w:val="000000"/>
        </w:rPr>
        <w:lastRenderedPageBreak/>
        <w:t>National, European, transnational and international programmes to support research actions and the implementation of innovative and pilot applications.</w:t>
      </w:r>
    </w:p>
    <w:p w14:paraId="71C28AB4" w14:textId="77777777" w:rsidR="00386771" w:rsidRPr="00A33AE8" w:rsidRDefault="00386771" w:rsidP="001D1BB0">
      <w:pPr>
        <w:pStyle w:val="LDKbody"/>
        <w:rPr>
          <w:highlight w:val="green"/>
          <w:lang w:val="en-GB"/>
        </w:rPr>
      </w:pPr>
      <w:r w:rsidRPr="00A33AE8">
        <w:rPr>
          <w:highlight w:val="green"/>
          <w:lang w:val="en-GB"/>
        </w:rPr>
        <w:br w:type="page"/>
      </w:r>
    </w:p>
    <w:p w14:paraId="4F502050" w14:textId="77777777" w:rsidR="00F35891" w:rsidRPr="00A33AE8" w:rsidRDefault="00F35891" w:rsidP="00351DC9">
      <w:pPr>
        <w:rPr>
          <w:rFonts w:asciiTheme="majorHAnsi" w:hAnsiTheme="majorHAnsi" w:cstheme="majorHAnsi"/>
          <w:sz w:val="52"/>
          <w:szCs w:val="52"/>
          <w:highlight w:val="green"/>
          <w:lang w:eastAsia="el-GR"/>
        </w:rPr>
      </w:pPr>
    </w:p>
    <w:p w14:paraId="4FF47FE4" w14:textId="77777777" w:rsidR="00F35891" w:rsidRPr="00A33AE8" w:rsidRDefault="00F35891" w:rsidP="00351DC9">
      <w:pPr>
        <w:rPr>
          <w:rFonts w:asciiTheme="majorHAnsi" w:hAnsiTheme="majorHAnsi" w:cstheme="majorHAnsi"/>
          <w:sz w:val="52"/>
          <w:szCs w:val="52"/>
          <w:highlight w:val="green"/>
          <w:lang w:eastAsia="el-GR"/>
        </w:rPr>
      </w:pPr>
    </w:p>
    <w:p w14:paraId="71DB3E11" w14:textId="77777777" w:rsidR="00F35891" w:rsidRPr="00A33AE8" w:rsidRDefault="00F35891" w:rsidP="00351DC9">
      <w:pPr>
        <w:rPr>
          <w:rFonts w:asciiTheme="majorHAnsi" w:hAnsiTheme="majorHAnsi" w:cstheme="majorHAnsi"/>
          <w:sz w:val="52"/>
          <w:szCs w:val="52"/>
          <w:highlight w:val="green"/>
          <w:lang w:eastAsia="el-GR"/>
        </w:rPr>
      </w:pPr>
    </w:p>
    <w:p w14:paraId="02E91621" w14:textId="77777777" w:rsidR="00F35891" w:rsidRPr="00A33AE8" w:rsidRDefault="00F35891" w:rsidP="00351DC9">
      <w:pPr>
        <w:rPr>
          <w:rFonts w:asciiTheme="majorHAnsi" w:hAnsiTheme="majorHAnsi" w:cstheme="majorHAnsi"/>
          <w:sz w:val="52"/>
          <w:szCs w:val="52"/>
          <w:highlight w:val="green"/>
          <w:lang w:eastAsia="el-GR"/>
        </w:rPr>
      </w:pPr>
    </w:p>
    <w:p w14:paraId="43029E85" w14:textId="77777777" w:rsidR="00F35891" w:rsidRPr="00A33AE8" w:rsidRDefault="00F35891" w:rsidP="00351DC9">
      <w:pPr>
        <w:rPr>
          <w:rFonts w:asciiTheme="majorHAnsi" w:hAnsiTheme="majorHAnsi" w:cstheme="majorHAnsi"/>
          <w:sz w:val="52"/>
          <w:szCs w:val="52"/>
          <w:highlight w:val="green"/>
          <w:lang w:eastAsia="el-GR"/>
        </w:rPr>
      </w:pPr>
    </w:p>
    <w:p w14:paraId="56882670" w14:textId="77777777" w:rsidR="00F35891" w:rsidRPr="00A33AE8" w:rsidRDefault="00F35891" w:rsidP="00351DC9">
      <w:pPr>
        <w:rPr>
          <w:rFonts w:asciiTheme="majorHAnsi" w:hAnsiTheme="majorHAnsi" w:cstheme="majorHAnsi"/>
          <w:sz w:val="52"/>
          <w:szCs w:val="52"/>
          <w:highlight w:val="green"/>
          <w:lang w:eastAsia="el-GR"/>
        </w:rPr>
      </w:pPr>
    </w:p>
    <w:p w14:paraId="40378A87" w14:textId="77777777" w:rsidR="00F35891" w:rsidRPr="00A33AE8" w:rsidRDefault="00F35891" w:rsidP="00351DC9">
      <w:pPr>
        <w:rPr>
          <w:rFonts w:asciiTheme="majorHAnsi" w:hAnsiTheme="majorHAnsi" w:cstheme="majorHAnsi"/>
          <w:sz w:val="52"/>
          <w:szCs w:val="52"/>
          <w:highlight w:val="green"/>
          <w:lang w:eastAsia="el-GR"/>
        </w:rPr>
      </w:pPr>
    </w:p>
    <w:p w14:paraId="2DCA2FD7" w14:textId="77777777" w:rsidR="00F35891" w:rsidRPr="00A33AE8" w:rsidRDefault="00F35891" w:rsidP="00351DC9">
      <w:pPr>
        <w:rPr>
          <w:rFonts w:asciiTheme="majorHAnsi" w:hAnsiTheme="majorHAnsi" w:cstheme="majorHAnsi"/>
          <w:sz w:val="52"/>
          <w:szCs w:val="52"/>
          <w:highlight w:val="green"/>
          <w:lang w:eastAsia="el-GR"/>
        </w:rPr>
      </w:pPr>
    </w:p>
    <w:p w14:paraId="409A19EE" w14:textId="77777777" w:rsidR="00351DC9" w:rsidRPr="00A33AE8" w:rsidRDefault="00386771" w:rsidP="00351DC9">
      <w:pPr>
        <w:rPr>
          <w:rFonts w:asciiTheme="majorHAnsi" w:hAnsiTheme="majorHAnsi" w:cstheme="majorHAnsi"/>
          <w:b/>
          <w:bCs/>
          <w:sz w:val="52"/>
          <w:szCs w:val="52"/>
          <w:lang w:eastAsia="el-GR"/>
        </w:rPr>
      </w:pPr>
      <w:r w:rsidRPr="00A33AE8">
        <w:rPr>
          <w:rFonts w:asciiTheme="majorHAnsi" w:hAnsiTheme="majorHAnsi" w:cstheme="majorHAnsi"/>
          <w:b/>
          <w:bCs/>
          <w:sz w:val="52"/>
          <w:szCs w:val="52"/>
          <w:lang w:eastAsia="el-GR"/>
        </w:rPr>
        <w:t>SECTION B: ANALYTICAL BASIS</w:t>
      </w:r>
    </w:p>
    <w:p w14:paraId="72E19C98" w14:textId="77777777" w:rsidR="00386771" w:rsidRPr="00A33AE8" w:rsidRDefault="00386771">
      <w:pPr>
        <w:spacing w:line="259" w:lineRule="auto"/>
        <w:rPr>
          <w:highlight w:val="green"/>
          <w:lang w:eastAsia="el-GR"/>
        </w:rPr>
      </w:pPr>
      <w:r w:rsidRPr="00A33AE8">
        <w:rPr>
          <w:highlight w:val="green"/>
          <w:lang w:eastAsia="el-GR"/>
        </w:rPr>
        <w:br w:type="page"/>
      </w:r>
    </w:p>
    <w:p w14:paraId="54416AF4" w14:textId="77777777" w:rsidR="00386771" w:rsidRDefault="00386771" w:rsidP="00386771">
      <w:pPr>
        <w:pStyle w:val="Heading1"/>
      </w:pPr>
      <w:bookmarkStart w:id="186" w:name="_Toc79772558"/>
      <w:bookmarkStart w:id="187" w:name="_Toc118991778"/>
      <w:bookmarkStart w:id="188" w:name="_Toc153545050"/>
      <w:r w:rsidRPr="00A33AE8">
        <w:lastRenderedPageBreak/>
        <w:t>CURRENT SITUATION AND PROJECTIONS WITH EXISTING POLICIES AND MEASURES</w:t>
      </w:r>
      <w:bookmarkEnd w:id="186"/>
      <w:bookmarkEnd w:id="187"/>
      <w:bookmarkEnd w:id="188"/>
    </w:p>
    <w:p w14:paraId="6CB0F6AB" w14:textId="77777777" w:rsidR="004E0E5C" w:rsidRDefault="004E0E5C" w:rsidP="004E0E5C">
      <w:pPr>
        <w:rPr>
          <w:rFonts w:asciiTheme="majorHAnsi" w:hAnsiTheme="majorHAnsi" w:cstheme="majorHAnsi"/>
        </w:rPr>
      </w:pPr>
      <w:bookmarkStart w:id="189" w:name="_Hlk150862491"/>
      <w:r>
        <w:rPr>
          <w:rFonts w:asciiTheme="majorHAnsi" w:hAnsiTheme="majorHAnsi" w:cstheme="majorHAnsi"/>
        </w:rPr>
        <w:t>The impact analysis of the policies and measures described in detail in Chapter 2 was performed through the formulation of two alternative scenarios:</w:t>
      </w:r>
    </w:p>
    <w:p w14:paraId="5BF3EAC4" w14:textId="77777777" w:rsidR="004E0E5C" w:rsidRDefault="004E0E5C" w:rsidP="00884F3B">
      <w:pPr>
        <w:pStyle w:val="ListParagraph"/>
        <w:numPr>
          <w:ilvl w:val="0"/>
          <w:numId w:val="295"/>
        </w:numPr>
        <w:jc w:val="both"/>
        <w:rPr>
          <w:rFonts w:asciiTheme="majorHAnsi" w:hAnsiTheme="majorHAnsi" w:cstheme="majorHAnsi"/>
        </w:rPr>
      </w:pPr>
      <w:r w:rsidRPr="00CB3B01">
        <w:rPr>
          <w:rFonts w:asciiTheme="majorHAnsi" w:hAnsiTheme="majorHAnsi" w:cstheme="majorHAnsi"/>
          <w:b/>
          <w:bCs/>
        </w:rPr>
        <w:t>With Existing Measures (WEM) scenario</w:t>
      </w:r>
      <w:r>
        <w:rPr>
          <w:rFonts w:asciiTheme="majorHAnsi" w:hAnsiTheme="majorHAnsi" w:cstheme="majorHAnsi"/>
        </w:rPr>
        <w:t xml:space="preserve">, which the scenario projecting the development of the energy sector and other emissions under existing policies and measures. This scenario does not lead to the accomplishment of the INECP targets and objectives, but it used as a reference. The details of this scenario are presented in </w:t>
      </w:r>
      <w:r w:rsidRPr="00CB3B01">
        <w:rPr>
          <w:rFonts w:asciiTheme="majorHAnsi" w:hAnsiTheme="majorHAnsi" w:cstheme="majorHAnsi"/>
          <w:b/>
          <w:bCs/>
        </w:rPr>
        <w:t>this Chapter</w:t>
      </w:r>
      <w:r>
        <w:rPr>
          <w:rFonts w:asciiTheme="majorHAnsi" w:hAnsiTheme="majorHAnsi" w:cstheme="majorHAnsi"/>
        </w:rPr>
        <w:t>.</w:t>
      </w:r>
    </w:p>
    <w:p w14:paraId="378249BB" w14:textId="051E090E" w:rsidR="004E0E5C" w:rsidRPr="00CB3B01" w:rsidRDefault="004E0E5C" w:rsidP="00884F3B">
      <w:pPr>
        <w:pStyle w:val="ListParagraph"/>
        <w:numPr>
          <w:ilvl w:val="0"/>
          <w:numId w:val="295"/>
        </w:numPr>
        <w:jc w:val="both"/>
        <w:rPr>
          <w:rFonts w:asciiTheme="majorHAnsi" w:hAnsiTheme="majorHAnsi" w:cstheme="majorHAnsi"/>
        </w:rPr>
      </w:pPr>
      <w:r>
        <w:rPr>
          <w:rFonts w:asciiTheme="majorHAnsi" w:hAnsiTheme="majorHAnsi" w:cstheme="majorHAnsi"/>
        </w:rPr>
        <w:t xml:space="preserve">A </w:t>
      </w:r>
      <w:r w:rsidRPr="00CB3B01">
        <w:rPr>
          <w:rFonts w:asciiTheme="majorHAnsi" w:hAnsiTheme="majorHAnsi" w:cstheme="majorHAnsi"/>
          <w:b/>
          <w:bCs/>
        </w:rPr>
        <w:t>scenario with additional measures</w:t>
      </w:r>
      <w:r>
        <w:rPr>
          <w:rFonts w:asciiTheme="majorHAnsi" w:hAnsiTheme="majorHAnsi" w:cstheme="majorHAnsi"/>
        </w:rPr>
        <w:t xml:space="preserve">, which includes all the planed additional policies and measures that contribute to the achievement of the targets and the objectives of the INCEP. This scenario is called </w:t>
      </w:r>
      <w:r w:rsidRPr="00CB3B01">
        <w:rPr>
          <w:rFonts w:asciiTheme="majorHAnsi" w:hAnsiTheme="majorHAnsi" w:cstheme="majorHAnsi"/>
          <w:b/>
          <w:bCs/>
        </w:rPr>
        <w:t>Scenario S</w:t>
      </w:r>
      <w:r>
        <w:rPr>
          <w:rFonts w:asciiTheme="majorHAnsi" w:hAnsiTheme="majorHAnsi" w:cstheme="majorHAnsi"/>
        </w:rPr>
        <w:t xml:space="preserve">, it is described in </w:t>
      </w:r>
      <w:r w:rsidRPr="00CB3B01">
        <w:rPr>
          <w:rFonts w:asciiTheme="majorHAnsi" w:hAnsiTheme="majorHAnsi" w:cstheme="majorHAnsi"/>
          <w:b/>
          <w:bCs/>
        </w:rPr>
        <w:t>Chapter 5</w:t>
      </w:r>
      <w:r>
        <w:rPr>
          <w:rFonts w:asciiTheme="majorHAnsi" w:hAnsiTheme="majorHAnsi" w:cstheme="majorHAnsi"/>
        </w:rPr>
        <w:t>, and it is compared with the WEM scenario in order to show the additional effort which is needed for it to materialise.</w:t>
      </w:r>
    </w:p>
    <w:p w14:paraId="1C534D53" w14:textId="6C4E0AE4" w:rsidR="004E0E5C" w:rsidRPr="00CB3B01" w:rsidRDefault="004E0E5C" w:rsidP="004E0E5C">
      <w:pPr>
        <w:pStyle w:val="LDKbody"/>
        <w:rPr>
          <w:rFonts w:ascii="Calibri Light" w:hAnsi="Calibri Light" w:cs="Calibri Light"/>
          <w:b/>
          <w:bCs/>
          <w:lang w:val="en-GB"/>
        </w:rPr>
      </w:pPr>
      <w:r>
        <w:rPr>
          <w:rFonts w:ascii="Calibri Light" w:hAnsi="Calibri Light" w:cs="Calibri Light"/>
          <w:lang w:val="en-GB"/>
        </w:rPr>
        <w:t xml:space="preserve">In the scenario analysis there are some exogenous factors which influence the development of the energy system and GHG emissions in general. </w:t>
      </w:r>
      <w:r w:rsidRPr="00CB3B01">
        <w:rPr>
          <w:rFonts w:ascii="Calibri Light" w:hAnsi="Calibri Light" w:cs="Calibri Light"/>
          <w:b/>
          <w:bCs/>
          <w:lang w:val="en-GB"/>
        </w:rPr>
        <w:t xml:space="preserve">These factors are used as common inputs to all the </w:t>
      </w:r>
      <w:r w:rsidRPr="009179F0">
        <w:rPr>
          <w:rFonts w:ascii="Calibri Light" w:hAnsi="Calibri Light" w:cs="Calibri Light"/>
          <w:b/>
          <w:bCs/>
          <w:lang w:val="en-GB"/>
        </w:rPr>
        <w:t>scenarios,</w:t>
      </w:r>
      <w:r w:rsidRPr="00CB3B01">
        <w:rPr>
          <w:rFonts w:ascii="Calibri Light" w:hAnsi="Calibri Light" w:cs="Calibri Light"/>
          <w:b/>
          <w:bCs/>
          <w:lang w:val="en-GB"/>
        </w:rPr>
        <w:t xml:space="preserve"> and they are described in section 4.1.</w:t>
      </w:r>
    </w:p>
    <w:p w14:paraId="42CA1A15" w14:textId="77777777" w:rsidR="004E0E5C" w:rsidRDefault="004E0E5C" w:rsidP="004E0E5C">
      <w:pPr>
        <w:pStyle w:val="LDKbody"/>
        <w:rPr>
          <w:rFonts w:ascii="Calibri Light" w:hAnsi="Calibri Light" w:cs="Calibri Light"/>
          <w:lang w:val="en-GB"/>
        </w:rPr>
      </w:pPr>
      <w:r>
        <w:rPr>
          <w:rFonts w:ascii="Calibri Light" w:hAnsi="Calibri Light" w:cs="Calibri Light"/>
          <w:lang w:val="en-GB"/>
        </w:rPr>
        <w:t xml:space="preserve">The projections for the different dimensions under the WEM scenario, which means </w:t>
      </w:r>
      <w:r w:rsidRPr="00CB3B01">
        <w:rPr>
          <w:rFonts w:ascii="Calibri Light" w:hAnsi="Calibri Light" w:cs="Calibri Light"/>
          <w:b/>
          <w:bCs/>
          <w:lang w:val="en-GB"/>
        </w:rPr>
        <w:t>under the existing policies and measures</w:t>
      </w:r>
      <w:r>
        <w:rPr>
          <w:rFonts w:ascii="Calibri Light" w:hAnsi="Calibri Light" w:cs="Calibri Light"/>
          <w:lang w:val="en-GB"/>
        </w:rPr>
        <w:t xml:space="preserve"> are presented in </w:t>
      </w:r>
      <w:r w:rsidRPr="00CB3B01">
        <w:rPr>
          <w:rFonts w:ascii="Calibri Light" w:hAnsi="Calibri Light" w:cs="Calibri Light"/>
          <w:b/>
          <w:bCs/>
          <w:lang w:val="en-GB"/>
        </w:rPr>
        <w:t>sections 4.2 until 4.5</w:t>
      </w:r>
      <w:r>
        <w:rPr>
          <w:rFonts w:ascii="Calibri Light" w:hAnsi="Calibri Light" w:cs="Calibri Light"/>
          <w:lang w:val="en-GB"/>
        </w:rPr>
        <w:t>, below.</w:t>
      </w:r>
    </w:p>
    <w:p w14:paraId="5E57628E" w14:textId="160CD6BF" w:rsidR="004E0E5C" w:rsidRPr="008304A0" w:rsidRDefault="004E0E5C" w:rsidP="004E0E5C">
      <w:pPr>
        <w:rPr>
          <w:rFonts w:asciiTheme="majorHAnsi" w:hAnsiTheme="majorHAnsi" w:cstheme="majorHAnsi"/>
        </w:rPr>
      </w:pPr>
      <w:r>
        <w:rPr>
          <w:rFonts w:asciiTheme="majorHAnsi" w:hAnsiTheme="majorHAnsi" w:cstheme="majorHAnsi"/>
        </w:rPr>
        <w:t>T</w:t>
      </w:r>
      <w:r w:rsidRPr="008304A0">
        <w:rPr>
          <w:rFonts w:asciiTheme="majorHAnsi" w:hAnsiTheme="majorHAnsi" w:cstheme="majorHAnsi"/>
        </w:rPr>
        <w:t>he quantitative analysis of the scenario projections</w:t>
      </w:r>
      <w:r>
        <w:rPr>
          <w:rFonts w:asciiTheme="majorHAnsi" w:hAnsiTheme="majorHAnsi" w:cstheme="majorHAnsi"/>
        </w:rPr>
        <w:t xml:space="preserve"> was based on the use of</w:t>
      </w:r>
      <w:r w:rsidRPr="008304A0">
        <w:rPr>
          <w:rFonts w:asciiTheme="majorHAnsi" w:hAnsiTheme="majorHAnsi" w:cstheme="majorHAnsi"/>
        </w:rPr>
        <w:t xml:space="preserve"> a suite of three modelling tools</w:t>
      </w:r>
      <w:r>
        <w:rPr>
          <w:rFonts w:asciiTheme="majorHAnsi" w:hAnsiTheme="majorHAnsi" w:cstheme="majorHAnsi"/>
        </w:rPr>
        <w:t>:</w:t>
      </w:r>
    </w:p>
    <w:p w14:paraId="596CD400" w14:textId="0597113E" w:rsidR="004E0E5C" w:rsidRPr="00CA030D" w:rsidRDefault="004E0E5C" w:rsidP="00884F3B">
      <w:pPr>
        <w:pStyle w:val="ListParagraph"/>
        <w:numPr>
          <w:ilvl w:val="0"/>
          <w:numId w:val="294"/>
        </w:numPr>
        <w:spacing w:after="120" w:line="240" w:lineRule="auto"/>
        <w:jc w:val="both"/>
        <w:rPr>
          <w:rFonts w:asciiTheme="majorHAnsi" w:hAnsiTheme="majorHAnsi" w:cstheme="majorHAnsi"/>
        </w:rPr>
      </w:pPr>
      <w:r w:rsidRPr="00CA030D">
        <w:rPr>
          <w:rFonts w:asciiTheme="majorHAnsi" w:hAnsiTheme="majorHAnsi" w:cstheme="majorHAnsi"/>
        </w:rPr>
        <w:t xml:space="preserve">the </w:t>
      </w:r>
      <w:r w:rsidRPr="00CB3B01">
        <w:rPr>
          <w:rFonts w:asciiTheme="majorHAnsi" w:hAnsiTheme="majorHAnsi" w:cstheme="majorHAnsi"/>
        </w:rPr>
        <w:t>Serbian Energy Modelling System</w:t>
      </w:r>
      <w:r w:rsidRPr="00CA030D">
        <w:rPr>
          <w:rFonts w:asciiTheme="majorHAnsi" w:hAnsiTheme="majorHAnsi" w:cstheme="majorHAnsi"/>
        </w:rPr>
        <w:t xml:space="preserve"> (SEMS), based on the TIMES framework, covering the development of the whole of the energy system,</w:t>
      </w:r>
    </w:p>
    <w:p w14:paraId="3F0DEBDA" w14:textId="0F7D1F50" w:rsidR="004E0E5C" w:rsidRPr="00CA030D" w:rsidRDefault="004E0E5C" w:rsidP="00884F3B">
      <w:pPr>
        <w:pStyle w:val="ListParagraph"/>
        <w:numPr>
          <w:ilvl w:val="0"/>
          <w:numId w:val="294"/>
        </w:numPr>
        <w:spacing w:after="120" w:line="240" w:lineRule="auto"/>
        <w:jc w:val="both"/>
        <w:rPr>
          <w:rFonts w:asciiTheme="majorHAnsi" w:hAnsiTheme="majorHAnsi" w:cstheme="majorHAnsi"/>
        </w:rPr>
      </w:pPr>
      <w:r w:rsidRPr="00CB3B01">
        <w:rPr>
          <w:rFonts w:asciiTheme="majorHAnsi" w:hAnsiTheme="majorHAnsi" w:cstheme="majorHAnsi"/>
        </w:rPr>
        <w:t>a macro-economic analysis tool</w:t>
      </w:r>
      <w:r w:rsidRPr="00CA030D">
        <w:rPr>
          <w:rFonts w:asciiTheme="majorHAnsi" w:hAnsiTheme="majorHAnsi" w:cstheme="majorHAnsi"/>
        </w:rPr>
        <w:t xml:space="preserve"> based on the Mitigation, Adaptation and New Technologies Applied General Equilibrium (MANAGE) Model, and</w:t>
      </w:r>
    </w:p>
    <w:p w14:paraId="141DDA99" w14:textId="77777777" w:rsidR="004E0E5C" w:rsidRPr="00CA030D" w:rsidRDefault="004E0E5C" w:rsidP="00884F3B">
      <w:pPr>
        <w:pStyle w:val="ListParagraph"/>
        <w:numPr>
          <w:ilvl w:val="0"/>
          <w:numId w:val="294"/>
        </w:numPr>
        <w:spacing w:after="120" w:line="240" w:lineRule="auto"/>
        <w:jc w:val="both"/>
        <w:rPr>
          <w:rFonts w:asciiTheme="majorHAnsi" w:hAnsiTheme="majorHAnsi" w:cstheme="majorHAnsi"/>
        </w:rPr>
      </w:pPr>
      <w:r w:rsidRPr="00CA030D">
        <w:rPr>
          <w:rFonts w:asciiTheme="majorHAnsi" w:hAnsiTheme="majorHAnsi" w:cstheme="majorHAnsi"/>
        </w:rPr>
        <w:t xml:space="preserve">a </w:t>
      </w:r>
      <w:r w:rsidRPr="00CB3B01">
        <w:rPr>
          <w:rFonts w:asciiTheme="majorHAnsi" w:hAnsiTheme="majorHAnsi" w:cstheme="majorHAnsi"/>
        </w:rPr>
        <w:t>High-RES penetration power system analysis tool</w:t>
      </w:r>
      <w:r w:rsidRPr="00CA030D">
        <w:rPr>
          <w:rFonts w:asciiTheme="majorHAnsi" w:hAnsiTheme="majorHAnsi" w:cstheme="majorHAnsi"/>
        </w:rPr>
        <w:t xml:space="preserve"> based on the ANTARES software.</w:t>
      </w:r>
    </w:p>
    <w:bookmarkEnd w:id="189"/>
    <w:p w14:paraId="5857CF3C" w14:textId="5420138E" w:rsidR="004E0E5C" w:rsidRPr="00117EDA" w:rsidRDefault="004E0E5C" w:rsidP="004E0E5C">
      <w:pPr>
        <w:jc w:val="both"/>
        <w:rPr>
          <w:rFonts w:asciiTheme="majorHAnsi" w:hAnsiTheme="majorHAnsi" w:cstheme="majorHAnsi"/>
        </w:rPr>
      </w:pPr>
      <w:r w:rsidRPr="00117EDA">
        <w:rPr>
          <w:rFonts w:asciiTheme="majorHAnsi" w:hAnsiTheme="majorHAnsi" w:cstheme="majorHAnsi"/>
        </w:rPr>
        <w:t xml:space="preserve">In the framework of the IPA 2013 project “Development the Energy Planning Capacity”, the Serbian Energy Modelling System (SEMS) was developed and installed on a server of MoME. SEMS is a national model based on the TIMES model generator, </w:t>
      </w:r>
      <w:r w:rsidRPr="00CB3B01">
        <w:rPr>
          <w:rFonts w:asciiTheme="majorHAnsi" w:hAnsiTheme="majorHAnsi" w:cstheme="majorHAnsi"/>
        </w:rPr>
        <w:t>a bottom-up, technology rich, least cost optimisation framework</w:t>
      </w:r>
      <w:r w:rsidRPr="00117EDA">
        <w:rPr>
          <w:rFonts w:asciiTheme="majorHAnsi" w:hAnsiTheme="majorHAnsi" w:cstheme="majorHAnsi"/>
        </w:rPr>
        <w:t xml:space="preserve">, which is developed and maintained by the International Energy Agency (IEA). The model included the </w:t>
      </w:r>
      <w:r w:rsidRPr="00CB3B01">
        <w:rPr>
          <w:rFonts w:asciiTheme="majorHAnsi" w:hAnsiTheme="majorHAnsi" w:cstheme="majorHAnsi"/>
        </w:rPr>
        <w:t>whole of the energy system</w:t>
      </w:r>
      <w:r w:rsidRPr="00117EDA">
        <w:rPr>
          <w:rFonts w:asciiTheme="majorHAnsi" w:hAnsiTheme="majorHAnsi" w:cstheme="majorHAnsi"/>
        </w:rPr>
        <w:t>, from extraction of energy commodities, imports, transformation sector and final energy consumption sectors. The time horizon of the analysis is until 2050 and can be readily extended to longer time periods. SEMS is used to perform projections of the development of the overall Serbian energy system under several alternative scenarios to explore future options and least cost reactions to specific policy inputs. The model is demand driven, which means that exogenous projections are provided for the key demand drivers which include population, GDP per sector, industrial production projections. Furthermore, SEMS was calibrated with the latest available statistical data, to represent the existing Serbian energy system.</w:t>
      </w:r>
    </w:p>
    <w:p w14:paraId="3BB61EB8" w14:textId="6D9B1589" w:rsidR="004E0E5C" w:rsidRPr="00117EDA" w:rsidRDefault="004E0E5C" w:rsidP="004E0E5C">
      <w:pPr>
        <w:jc w:val="both"/>
        <w:rPr>
          <w:rFonts w:asciiTheme="majorHAnsi" w:eastAsia="Calibri" w:hAnsiTheme="majorHAnsi" w:cstheme="majorHAnsi"/>
        </w:rPr>
      </w:pPr>
      <w:r w:rsidRPr="00117EDA">
        <w:rPr>
          <w:rFonts w:asciiTheme="majorHAnsi" w:hAnsiTheme="majorHAnsi" w:cstheme="majorHAnsi"/>
        </w:rPr>
        <w:t xml:space="preserve">In order to study the </w:t>
      </w:r>
      <w:r w:rsidRPr="00CB3B01">
        <w:rPr>
          <w:rFonts w:asciiTheme="majorHAnsi" w:eastAsia="Calibri" w:hAnsiTheme="majorHAnsi" w:cstheme="majorHAnsi"/>
        </w:rPr>
        <w:t>economic impact assessment</w:t>
      </w:r>
      <w:r w:rsidRPr="00117EDA">
        <w:rPr>
          <w:rFonts w:asciiTheme="majorHAnsi" w:eastAsia="Calibri" w:hAnsiTheme="majorHAnsi" w:cstheme="majorHAnsi"/>
        </w:rPr>
        <w:t xml:space="preserve"> of energy and environmental policies, a multi-sector </w:t>
      </w:r>
      <w:r w:rsidRPr="00CB3B01">
        <w:rPr>
          <w:rFonts w:asciiTheme="majorHAnsi" w:eastAsia="Calibri" w:hAnsiTheme="majorHAnsi" w:cstheme="majorHAnsi"/>
        </w:rPr>
        <w:t>recursive</w:t>
      </w:r>
      <w:r w:rsidRPr="00117EDA">
        <w:rPr>
          <w:rFonts w:asciiTheme="majorHAnsi" w:eastAsia="Calibri" w:hAnsiTheme="majorHAnsi" w:cstheme="majorHAnsi"/>
        </w:rPr>
        <w:t xml:space="preserve"> </w:t>
      </w:r>
      <w:r w:rsidRPr="00CB3B01">
        <w:rPr>
          <w:rFonts w:asciiTheme="majorHAnsi" w:eastAsia="Calibri" w:hAnsiTheme="majorHAnsi" w:cstheme="majorHAnsi"/>
        </w:rPr>
        <w:t>dynamic computable general equilibrium</w:t>
      </w:r>
      <w:r w:rsidRPr="00117EDA">
        <w:rPr>
          <w:rFonts w:asciiTheme="majorHAnsi" w:eastAsia="Calibri" w:hAnsiTheme="majorHAnsi" w:cstheme="majorHAnsi"/>
        </w:rPr>
        <w:t xml:space="preserve"> (CGE) model was adopted to extend the scope of the SEMS scenario projection. The macro-economic tool was based on the Mitigation, Adaptation and New Technologies Applied General Equilibrium (MANAGE) Model, developed by GTAP (Purdue University). The model is specifically designed to analyse a variety of issues related to the economics of climate change and environmental policies, including baseline emissions of CO</w:t>
      </w:r>
      <w:r w:rsidRPr="00117EDA">
        <w:rPr>
          <w:rFonts w:asciiTheme="majorHAnsi" w:eastAsia="Calibri" w:hAnsiTheme="majorHAnsi" w:cstheme="majorHAnsi"/>
          <w:vertAlign w:val="subscript"/>
        </w:rPr>
        <w:t>2</w:t>
      </w:r>
      <w:r w:rsidRPr="00117EDA">
        <w:rPr>
          <w:rFonts w:asciiTheme="majorHAnsi" w:eastAsia="Calibri" w:hAnsiTheme="majorHAnsi" w:cstheme="majorHAnsi"/>
        </w:rPr>
        <w:t xml:space="preserve"> and other greenhouse gases; greenhouse gas mitigation policies – taxes, caps and trade; economy wide and sectoral impacts assessment of environmental policies. Incorporation of the inter-sectoral linkages and high level of sectoral details provided in the MANAGE model, would enable accurate verification of different quantitative hypotheses related to the economic and environmental profiles of Serbian energy pathways.</w:t>
      </w:r>
    </w:p>
    <w:p w14:paraId="54C53E3A" w14:textId="51C0ED78" w:rsidR="004E0E5C" w:rsidRPr="00117EDA" w:rsidRDefault="004E0E5C" w:rsidP="004E0E5C">
      <w:pPr>
        <w:jc w:val="both"/>
        <w:rPr>
          <w:rFonts w:asciiTheme="majorHAnsi" w:hAnsiTheme="majorHAnsi" w:cstheme="majorHAnsi"/>
          <w:iCs/>
        </w:rPr>
      </w:pPr>
      <w:r w:rsidRPr="00117EDA">
        <w:rPr>
          <w:rFonts w:asciiTheme="majorHAnsi" w:hAnsiTheme="majorHAnsi" w:cstheme="majorHAnsi"/>
        </w:rPr>
        <w:lastRenderedPageBreak/>
        <w:t xml:space="preserve">Long term energy models like SEMS are used in studies analysing the energy transition towards a low carbon energy system. However, the operation of power systems with high penetration of variable energy sources, needs specialised software to be analysed in detail. Due to the intermittent character of wind and solar PV energies, their large deployment in the future will affect significantly the operation of the power system and this needs to be assessed appropriately so that policy makers can provide a realistic roadmap for their deployment in the </w:t>
      </w:r>
      <w:r w:rsidR="00DF0CCF">
        <w:rPr>
          <w:rFonts w:asciiTheme="majorHAnsi" w:hAnsiTheme="majorHAnsi" w:cstheme="majorHAnsi"/>
        </w:rPr>
        <w:t>I</w:t>
      </w:r>
      <w:r w:rsidRPr="00117EDA">
        <w:rPr>
          <w:rFonts w:asciiTheme="majorHAnsi" w:hAnsiTheme="majorHAnsi" w:cstheme="majorHAnsi"/>
        </w:rPr>
        <w:t>NECP. For these</w:t>
      </w:r>
      <w:r>
        <w:rPr>
          <w:rFonts w:asciiTheme="majorHAnsi" w:hAnsiTheme="majorHAnsi" w:cstheme="majorHAnsi"/>
        </w:rPr>
        <w:t xml:space="preserve"> </w:t>
      </w:r>
      <w:r w:rsidRPr="00117EDA">
        <w:rPr>
          <w:rFonts w:asciiTheme="majorHAnsi" w:hAnsiTheme="majorHAnsi" w:cstheme="majorHAnsi"/>
        </w:rPr>
        <w:t>reason</w:t>
      </w:r>
      <w:r>
        <w:rPr>
          <w:rFonts w:asciiTheme="majorHAnsi" w:hAnsiTheme="majorHAnsi" w:cstheme="majorHAnsi"/>
        </w:rPr>
        <w:t>s</w:t>
      </w:r>
      <w:r w:rsidRPr="00117EDA">
        <w:rPr>
          <w:rFonts w:asciiTheme="majorHAnsi" w:hAnsiTheme="majorHAnsi" w:cstheme="majorHAnsi"/>
        </w:rPr>
        <w:t xml:space="preserve"> </w:t>
      </w:r>
      <w:r w:rsidRPr="00CB3B01">
        <w:rPr>
          <w:rFonts w:asciiTheme="majorHAnsi" w:hAnsiTheme="majorHAnsi" w:cstheme="majorHAnsi"/>
        </w:rPr>
        <w:t>a power system model</w:t>
      </w:r>
      <w:r w:rsidRPr="00117EDA">
        <w:rPr>
          <w:rFonts w:asciiTheme="majorHAnsi" w:hAnsiTheme="majorHAnsi" w:cstheme="majorHAnsi"/>
        </w:rPr>
        <w:t xml:space="preserve"> for Serbia was developed, </w:t>
      </w:r>
      <w:r w:rsidRPr="00CB3B01">
        <w:rPr>
          <w:rFonts w:asciiTheme="majorHAnsi" w:hAnsiTheme="majorHAnsi" w:cstheme="majorHAnsi"/>
        </w:rPr>
        <w:t>based on the ANTARES</w:t>
      </w:r>
      <w:r w:rsidRPr="00117EDA">
        <w:rPr>
          <w:rFonts w:asciiTheme="majorHAnsi" w:hAnsiTheme="majorHAnsi" w:cstheme="majorHAnsi"/>
        </w:rPr>
        <w:t xml:space="preserve"> tool (developed and maintained by RTE)</w:t>
      </w:r>
      <w:r w:rsidRPr="00117EDA">
        <w:rPr>
          <w:rFonts w:asciiTheme="majorHAnsi" w:hAnsiTheme="majorHAnsi" w:cstheme="majorHAnsi"/>
          <w:iCs/>
        </w:rPr>
        <w:t>. This analysis</w:t>
      </w:r>
      <w:r w:rsidRPr="00117EDA">
        <w:rPr>
          <w:rFonts w:asciiTheme="majorHAnsi" w:hAnsiTheme="majorHAnsi" w:cstheme="majorHAnsi"/>
        </w:rPr>
        <w:t xml:space="preserve"> </w:t>
      </w:r>
      <w:r w:rsidRPr="00117EDA">
        <w:rPr>
          <w:rFonts w:asciiTheme="majorHAnsi" w:hAnsiTheme="majorHAnsi" w:cstheme="majorHAnsi"/>
          <w:iCs/>
        </w:rPr>
        <w:t xml:space="preserve">for the development of the power system with large increase of RES in electricity generation provided the arguments for the establishment of a feasible roadmap under the </w:t>
      </w:r>
      <w:r w:rsidR="00DF0CCF">
        <w:rPr>
          <w:rFonts w:asciiTheme="majorHAnsi" w:hAnsiTheme="majorHAnsi" w:cstheme="majorHAnsi"/>
          <w:iCs/>
        </w:rPr>
        <w:t>I</w:t>
      </w:r>
      <w:r w:rsidRPr="00117EDA">
        <w:rPr>
          <w:rFonts w:asciiTheme="majorHAnsi" w:hAnsiTheme="majorHAnsi" w:cstheme="majorHAnsi"/>
          <w:iCs/>
        </w:rPr>
        <w:t>NECP context for 2021-2030 with a long-term perspective of 2050.</w:t>
      </w:r>
    </w:p>
    <w:p w14:paraId="2DF1188E" w14:textId="77777777" w:rsidR="004E0E5C" w:rsidRPr="008304A0" w:rsidRDefault="004E0E5C" w:rsidP="004E0E5C">
      <w:pPr>
        <w:rPr>
          <w:rFonts w:asciiTheme="majorHAnsi" w:hAnsiTheme="majorHAnsi" w:cstheme="majorHAnsi"/>
          <w:iCs/>
        </w:rPr>
      </w:pPr>
      <w:r w:rsidRPr="008304A0">
        <w:rPr>
          <w:rFonts w:asciiTheme="majorHAnsi" w:hAnsiTheme="majorHAnsi" w:cstheme="majorHAnsi"/>
          <w:iCs/>
        </w:rPr>
        <w:t xml:space="preserve">An overview of the interconnections between the tools applied for the quantitative analysis presented in the </w:t>
      </w:r>
      <w:r w:rsidRPr="00117EDA">
        <w:rPr>
          <w:rFonts w:asciiTheme="majorHAnsi" w:hAnsiTheme="majorHAnsi" w:cstheme="majorHAnsi"/>
          <w:iCs/>
        </w:rPr>
        <w:t xml:space="preserve">INECP can be seen in the following figure </w:t>
      </w:r>
      <w:r w:rsidRPr="00CB3B01">
        <w:rPr>
          <w:rFonts w:asciiTheme="majorHAnsi" w:hAnsiTheme="majorHAnsi" w:cstheme="majorHAnsi"/>
          <w:iCs/>
        </w:rPr>
        <w:t>and a more detailed description is presented in Annex III.</w:t>
      </w:r>
    </w:p>
    <w:p w14:paraId="1547BF21" w14:textId="67CE4128" w:rsidR="004E0E5C" w:rsidRDefault="004E0E5C" w:rsidP="004E0E5C">
      <w:pPr>
        <w:pStyle w:val="Caption"/>
        <w:jc w:val="center"/>
      </w:pPr>
      <w:bookmarkStart w:id="190" w:name="_Toc154575208"/>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w:t>
      </w:r>
      <w:r w:rsidR="006E0533">
        <w:rPr>
          <w:noProof/>
        </w:rPr>
        <w:fldChar w:fldCharType="end"/>
      </w:r>
      <w:r w:rsidRPr="00A33AE8">
        <w:t xml:space="preserve">: </w:t>
      </w:r>
      <w:r>
        <w:t>Interconnections between modelling tools for the development of the INECP</w:t>
      </w:r>
      <w:bookmarkEnd w:id="190"/>
    </w:p>
    <w:p w14:paraId="7C7C09A9" w14:textId="77777777" w:rsidR="004E0E5C" w:rsidRDefault="004E0E5C" w:rsidP="004E0E5C">
      <w:r>
        <w:rPr>
          <w:noProof/>
          <w:lang w:val="en-US"/>
        </w:rPr>
        <w:drawing>
          <wp:inline distT="0" distB="0" distL="0" distR="0" wp14:anchorId="110BAA1E" wp14:editId="038A560B">
            <wp:extent cx="5747657" cy="1980336"/>
            <wp:effectExtent l="0" t="0" r="5715" b="1270"/>
            <wp:docPr id="2062232738" name="Picture 2062232738" descr="A diagram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32738" name="Picture 2" descr="A diagram of a compute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6634" cy="1990320"/>
                    </a:xfrm>
                    <a:prstGeom prst="rect">
                      <a:avLst/>
                    </a:prstGeom>
                    <a:noFill/>
                  </pic:spPr>
                </pic:pic>
              </a:graphicData>
            </a:graphic>
          </wp:inline>
        </w:drawing>
      </w:r>
    </w:p>
    <w:p w14:paraId="3D8B8CD5" w14:textId="77777777" w:rsidR="004E0E5C" w:rsidRPr="005C53F3" w:rsidRDefault="004E0E5C" w:rsidP="005B2C66"/>
    <w:p w14:paraId="2DA6ABB6" w14:textId="77777777" w:rsidR="00386771" w:rsidRDefault="00386771" w:rsidP="001D1BB0">
      <w:pPr>
        <w:pStyle w:val="Heading2"/>
      </w:pPr>
      <w:bookmarkStart w:id="191" w:name="_Toc79772559"/>
      <w:bookmarkStart w:id="192" w:name="_Toc118991779"/>
      <w:bookmarkStart w:id="193" w:name="_Toc153545051"/>
      <w:r w:rsidRPr="00A33AE8">
        <w:t>Projected evolution of main exogenous factors influencing energy system and GHG emission developments</w:t>
      </w:r>
      <w:bookmarkEnd w:id="191"/>
      <w:bookmarkEnd w:id="192"/>
      <w:bookmarkEnd w:id="193"/>
    </w:p>
    <w:p w14:paraId="6E1620E8" w14:textId="2F5B2D88" w:rsidR="004E0E5C" w:rsidRPr="00A33AE8" w:rsidRDefault="004E0E5C" w:rsidP="004E0E5C">
      <w:pPr>
        <w:pStyle w:val="LDKbody"/>
        <w:rPr>
          <w:rFonts w:ascii="Calibri Light" w:hAnsi="Calibri Light" w:cs="Calibri Light"/>
          <w:lang w:val="en-GB"/>
        </w:rPr>
      </w:pPr>
      <w:r w:rsidRPr="00A33AE8">
        <w:rPr>
          <w:rFonts w:ascii="Calibri Light" w:hAnsi="Calibri Light" w:cs="Calibri Light"/>
          <w:lang w:val="en-GB"/>
        </w:rPr>
        <w:t xml:space="preserve">This </w:t>
      </w:r>
      <w:r w:rsidRPr="004E0E5C">
        <w:rPr>
          <w:rFonts w:ascii="Calibri Light" w:hAnsi="Calibri Light" w:cs="Calibri Light"/>
          <w:lang w:val="en-GB"/>
        </w:rPr>
        <w:t>section</w:t>
      </w:r>
      <w:r w:rsidRPr="00A33AE8">
        <w:rPr>
          <w:rFonts w:ascii="Calibri Light" w:hAnsi="Calibri Light" w:cs="Calibri Light"/>
          <w:lang w:val="en-GB"/>
        </w:rPr>
        <w:t xml:space="preserve"> presents briefly the main input parameters and underlying assumptions, which are utilised in the formulation of the WEM scenario for the energy system of the Republic of Serbia. This scenario is used as a reference for comparison with the projections presented in Chapter 5, where all the additional measures are included in order to reach the targets for emissions reduction, renewable energy penetration and energy efficiency.</w:t>
      </w:r>
      <w:r>
        <w:rPr>
          <w:rFonts w:ascii="Calibri Light" w:hAnsi="Calibri Light" w:cs="Calibri Light"/>
          <w:lang w:val="en-GB"/>
        </w:rPr>
        <w:t xml:space="preserve"> </w:t>
      </w:r>
      <w:r w:rsidRPr="004E0E5C">
        <w:rPr>
          <w:rFonts w:ascii="Calibri Light" w:hAnsi="Calibri Light" w:cs="Calibri Light"/>
          <w:lang w:val="en-GB"/>
        </w:rPr>
        <w:t>The With Existing Measures (WEM) scenario does not include carbon prices, while there is a low-RES ambition (fixed capacities for projects), allowing of up to 200MW of wind and 200MW of PV additions per 5 years after 2030. It also includes low share of RES in district heating (about 3% of heat by RES in 2030) and low ambition of energy efficiency.</w:t>
      </w:r>
    </w:p>
    <w:p w14:paraId="61F96289" w14:textId="77777777" w:rsidR="00506B97" w:rsidRPr="00A33AE8" w:rsidRDefault="00506B97" w:rsidP="00884F3B">
      <w:pPr>
        <w:pStyle w:val="Heading4"/>
        <w:numPr>
          <w:ilvl w:val="0"/>
          <w:numId w:val="29"/>
        </w:numPr>
      </w:pPr>
      <w:r w:rsidRPr="00A33AE8">
        <w:t>Macroeconomic forecasts (GDP and population growth)</w:t>
      </w:r>
    </w:p>
    <w:p w14:paraId="3745FE28" w14:textId="76414BFD" w:rsidR="006D48D9" w:rsidRPr="00A33AE8" w:rsidRDefault="006D48D9" w:rsidP="006D48D9">
      <w:pPr>
        <w:pStyle w:val="LDKbody"/>
        <w:rPr>
          <w:rFonts w:ascii="Calibri Light" w:hAnsi="Calibri Light" w:cs="Calibri Light"/>
          <w:lang w:val="en-GB"/>
        </w:rPr>
      </w:pPr>
      <w:bookmarkStart w:id="194" w:name="_Ref78444677"/>
      <w:r w:rsidRPr="00A33AE8">
        <w:rPr>
          <w:rFonts w:ascii="Calibri Light" w:hAnsi="Calibri Light" w:cs="Calibri Light"/>
          <w:lang w:val="en-GB"/>
        </w:rPr>
        <w:t>The most crucial drivers for the energy demand are the evolution of the GDP and the population trend until 2050. As shown in the</w:t>
      </w:r>
      <w:r w:rsidR="00B34AEC">
        <w:rPr>
          <w:rFonts w:ascii="Calibri Light" w:hAnsi="Calibri Light" w:cs="Calibri Light"/>
          <w:lang w:val="en-GB"/>
        </w:rPr>
        <w:t xml:space="preserve"> </w:t>
      </w:r>
      <w:r w:rsidR="00B34AEC">
        <w:rPr>
          <w:rFonts w:ascii="Calibri Light" w:hAnsi="Calibri Light" w:cs="Calibri Light"/>
          <w:lang w:val="en-GB"/>
        </w:rPr>
        <w:fldChar w:fldCharType="begin"/>
      </w:r>
      <w:r w:rsidR="00B34AEC">
        <w:rPr>
          <w:rFonts w:ascii="Calibri Light" w:hAnsi="Calibri Light" w:cs="Calibri Light"/>
          <w:lang w:val="en-GB"/>
        </w:rPr>
        <w:instrText xml:space="preserve"> REF _Ref153461629 \h  \* MERGEFORMAT </w:instrText>
      </w:r>
      <w:r w:rsidR="00B34AEC">
        <w:rPr>
          <w:rFonts w:ascii="Calibri Light" w:hAnsi="Calibri Light" w:cs="Calibri Light"/>
          <w:lang w:val="en-GB"/>
        </w:rPr>
      </w:r>
      <w:r w:rsidR="00B34AEC">
        <w:rPr>
          <w:rFonts w:ascii="Calibri Light" w:hAnsi="Calibri Light" w:cs="Calibri Light"/>
          <w:lang w:val="en-GB"/>
        </w:rPr>
        <w:fldChar w:fldCharType="separate"/>
      </w:r>
      <w:r w:rsidR="00B34AEC" w:rsidRPr="0087794A">
        <w:rPr>
          <w:rFonts w:ascii="Calibri Light" w:hAnsi="Calibri Light" w:cs="Calibri Light"/>
          <w:lang w:val="en-GB"/>
        </w:rPr>
        <w:t>Figure 4.2</w:t>
      </w:r>
      <w:r w:rsidR="00B34AEC">
        <w:rPr>
          <w:rFonts w:ascii="Calibri Light" w:hAnsi="Calibri Light" w:cs="Calibri Light"/>
          <w:lang w:val="en-GB"/>
        </w:rPr>
        <w:fldChar w:fldCharType="end"/>
      </w:r>
      <w:r w:rsidRPr="00A33AE8">
        <w:rPr>
          <w:rFonts w:ascii="Calibri Light" w:hAnsi="Calibri Light" w:cs="Calibri Light"/>
          <w:lang w:val="en-GB"/>
        </w:rPr>
        <w:t>, the population of the Republic of Serbia decreased steadily over 2010-20</w:t>
      </w:r>
      <w:r w:rsidR="00453A10" w:rsidRPr="00A33AE8">
        <w:rPr>
          <w:rFonts w:ascii="Calibri Light" w:hAnsi="Calibri Light" w:cs="Calibri Light"/>
          <w:lang w:val="en-GB"/>
        </w:rPr>
        <w:t>20</w:t>
      </w:r>
      <w:r w:rsidRPr="00A33AE8">
        <w:rPr>
          <w:rFonts w:ascii="Calibri Light" w:hAnsi="Calibri Light" w:cs="Calibri Light"/>
          <w:lang w:val="en-GB"/>
        </w:rPr>
        <w:t xml:space="preserve"> from 7.3 million in 2010 to 6.9</w:t>
      </w:r>
      <w:r w:rsidR="00453A10" w:rsidRPr="00A33AE8">
        <w:rPr>
          <w:rFonts w:ascii="Calibri Light" w:hAnsi="Calibri Light" w:cs="Calibri Light"/>
          <w:lang w:val="en-GB"/>
        </w:rPr>
        <w:t>3</w:t>
      </w:r>
      <w:r w:rsidRPr="00A33AE8">
        <w:rPr>
          <w:rFonts w:ascii="Calibri Light" w:hAnsi="Calibri Light" w:cs="Calibri Light"/>
          <w:lang w:val="en-GB"/>
        </w:rPr>
        <w:t xml:space="preserve"> million in 20</w:t>
      </w:r>
      <w:r w:rsidR="00453A10" w:rsidRPr="00A33AE8">
        <w:rPr>
          <w:rFonts w:ascii="Calibri Light" w:hAnsi="Calibri Light" w:cs="Calibri Light"/>
          <w:lang w:val="en-GB"/>
        </w:rPr>
        <w:t>20</w:t>
      </w:r>
      <w:r w:rsidRPr="00A33AE8">
        <w:rPr>
          <w:rFonts w:ascii="Calibri Light" w:hAnsi="Calibri Light" w:cs="Calibri Light"/>
          <w:lang w:val="en-GB"/>
        </w:rPr>
        <w:t xml:space="preserve">, while the annual GDP, at current prices, increased during the aforementioned period from </w:t>
      </w:r>
      <w:r w:rsidRPr="00A33AE8">
        <w:rPr>
          <w:rFonts w:ascii="Calibri Light" w:hAnsi="Calibri Light" w:cs="Calibri Light"/>
          <w:bCs/>
          <w:lang w:val="en-GB"/>
        </w:rPr>
        <w:t>€</w:t>
      </w:r>
      <w:r w:rsidRPr="00A33AE8">
        <w:rPr>
          <w:rFonts w:ascii="Calibri Light" w:hAnsi="Calibri Light" w:cs="Calibri Light"/>
          <w:lang w:val="en-GB"/>
        </w:rPr>
        <w:t xml:space="preserve">31.5 billion in 2010 to </w:t>
      </w:r>
      <w:r w:rsidRPr="00A33AE8">
        <w:rPr>
          <w:rFonts w:ascii="Calibri Light" w:hAnsi="Calibri Light" w:cs="Calibri Light"/>
          <w:bCs/>
          <w:lang w:val="en-GB"/>
        </w:rPr>
        <w:t>€</w:t>
      </w:r>
      <w:r w:rsidRPr="00A33AE8">
        <w:rPr>
          <w:rFonts w:ascii="Calibri Light" w:hAnsi="Calibri Light" w:cs="Calibri Light"/>
          <w:lang w:val="en-GB"/>
        </w:rPr>
        <w:t>4</w:t>
      </w:r>
      <w:r w:rsidR="00453A10" w:rsidRPr="00A33AE8">
        <w:rPr>
          <w:rFonts w:ascii="Calibri Light" w:hAnsi="Calibri Light" w:cs="Calibri Light"/>
          <w:lang w:val="en-GB"/>
        </w:rPr>
        <w:t>66.8</w:t>
      </w:r>
      <w:r w:rsidRPr="00A33AE8">
        <w:rPr>
          <w:rFonts w:ascii="Calibri Light" w:hAnsi="Calibri Light" w:cs="Calibri Light"/>
          <w:lang w:val="en-GB"/>
        </w:rPr>
        <w:t xml:space="preserve"> billion in 20</w:t>
      </w:r>
      <w:r w:rsidR="00453A10" w:rsidRPr="00A33AE8">
        <w:rPr>
          <w:rFonts w:ascii="Calibri Light" w:hAnsi="Calibri Light" w:cs="Calibri Light"/>
          <w:lang w:val="en-GB"/>
        </w:rPr>
        <w:t>20</w:t>
      </w:r>
      <w:r w:rsidRPr="00A33AE8">
        <w:rPr>
          <w:rFonts w:ascii="Calibri Light" w:hAnsi="Calibri Light" w:cs="Calibri Light"/>
          <w:lang w:val="en-GB"/>
        </w:rPr>
        <w:t>.</w:t>
      </w:r>
    </w:p>
    <w:p w14:paraId="349535B8" w14:textId="2597129A" w:rsidR="00B34AEC" w:rsidRDefault="00B34AEC" w:rsidP="0087794A">
      <w:pPr>
        <w:pStyle w:val="Caption"/>
        <w:keepNext/>
      </w:pPr>
      <w:bookmarkStart w:id="195" w:name="_Ref153461629"/>
      <w:bookmarkStart w:id="196" w:name="_Toc154575209"/>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w:t>
      </w:r>
      <w:r w:rsidR="006E0533">
        <w:rPr>
          <w:noProof/>
        </w:rPr>
        <w:fldChar w:fldCharType="end"/>
      </w:r>
      <w:bookmarkEnd w:id="195"/>
      <w:r>
        <w:t xml:space="preserve">: </w:t>
      </w:r>
      <w:r w:rsidRPr="00B34AEC">
        <w:t>Historical data of GDP and population over 2010-2020 (Sources: Statistical Office of the Republic of Serbia, Ministry of Finance, National Bank)</w:t>
      </w:r>
      <w:bookmarkEnd w:id="196"/>
    </w:p>
    <w:p w14:paraId="514756A4" w14:textId="77777777" w:rsidR="006D48D9" w:rsidRPr="00A33AE8" w:rsidRDefault="00453A10" w:rsidP="006D48D9">
      <w:pPr>
        <w:keepNext/>
        <w:jc w:val="center"/>
      </w:pPr>
      <w:r w:rsidRPr="000007D2">
        <w:rPr>
          <w:noProof/>
          <w:lang w:val="en-US"/>
        </w:rPr>
        <w:drawing>
          <wp:inline distT="0" distB="0" distL="0" distR="0" wp14:anchorId="5B4AF3BE" wp14:editId="65759E6E">
            <wp:extent cx="4963182" cy="2878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8563" cy="2892954"/>
                    </a:xfrm>
                    <a:prstGeom prst="rect">
                      <a:avLst/>
                    </a:prstGeom>
                    <a:noFill/>
                  </pic:spPr>
                </pic:pic>
              </a:graphicData>
            </a:graphic>
          </wp:inline>
        </w:drawing>
      </w:r>
    </w:p>
    <w:p w14:paraId="38D3AC8B" w14:textId="77777777" w:rsidR="006D48D9" w:rsidRPr="0087794A" w:rsidRDefault="006D48D9" w:rsidP="006D48D9">
      <w:pPr>
        <w:keepNext/>
        <w:jc w:val="center"/>
        <w:rPr>
          <w:rFonts w:asciiTheme="majorHAnsi" w:eastAsia="Times New Roman" w:hAnsiTheme="majorHAnsi" w:cstheme="majorHAnsi"/>
          <w:lang w:eastAsia="el-GR"/>
        </w:rPr>
      </w:pPr>
    </w:p>
    <w:p w14:paraId="2B89573F" w14:textId="123BDD6D" w:rsidR="006D48D9" w:rsidRPr="00A33AE8" w:rsidRDefault="006D48D9" w:rsidP="006D48D9">
      <w:pPr>
        <w:pStyle w:val="LDKbody"/>
        <w:rPr>
          <w:lang w:val="en-GB"/>
        </w:rPr>
      </w:pPr>
      <w:r w:rsidRPr="00A33AE8">
        <w:rPr>
          <w:rFonts w:asciiTheme="majorHAnsi" w:hAnsiTheme="majorHAnsi" w:cstheme="majorHAnsi"/>
          <w:lang w:val="en-GB"/>
        </w:rPr>
        <w:t xml:space="preserve">The projection of population is shown in </w:t>
      </w:r>
      <w:r w:rsidR="00B34AEC">
        <w:rPr>
          <w:rFonts w:asciiTheme="majorHAnsi" w:hAnsiTheme="majorHAnsi" w:cstheme="majorHAnsi"/>
        </w:rPr>
        <w:fldChar w:fldCharType="begin"/>
      </w:r>
      <w:r w:rsidR="00B34AEC">
        <w:rPr>
          <w:rFonts w:asciiTheme="majorHAnsi" w:hAnsiTheme="majorHAnsi" w:cstheme="majorHAnsi"/>
          <w:lang w:val="en-GB"/>
        </w:rPr>
        <w:instrText xml:space="preserve"> REF _Ref153461714 \h  \* MERGEFORMAT </w:instrText>
      </w:r>
      <w:r w:rsidR="00B34AEC">
        <w:rPr>
          <w:rFonts w:asciiTheme="majorHAnsi" w:hAnsiTheme="majorHAnsi" w:cstheme="majorHAnsi"/>
        </w:rPr>
      </w:r>
      <w:r w:rsidR="00B34AEC">
        <w:rPr>
          <w:rFonts w:asciiTheme="majorHAnsi" w:hAnsiTheme="majorHAnsi" w:cstheme="majorHAnsi"/>
        </w:rPr>
        <w:fldChar w:fldCharType="separate"/>
      </w:r>
      <w:r w:rsidR="00B34AEC" w:rsidRPr="0087794A">
        <w:rPr>
          <w:rFonts w:asciiTheme="majorHAnsi" w:hAnsiTheme="majorHAnsi" w:cstheme="majorHAnsi"/>
          <w:lang w:val="en-GB"/>
        </w:rPr>
        <w:t>Figure 4.3</w:t>
      </w:r>
      <w:r w:rsidR="00B34AEC">
        <w:rPr>
          <w:rFonts w:asciiTheme="majorHAnsi" w:hAnsiTheme="majorHAnsi" w:cstheme="majorHAnsi"/>
        </w:rPr>
        <w:fldChar w:fldCharType="end"/>
      </w:r>
      <w:r w:rsidR="00B34AEC">
        <w:rPr>
          <w:rFonts w:asciiTheme="majorHAnsi" w:hAnsiTheme="majorHAnsi" w:cstheme="majorHAnsi"/>
          <w:lang w:val="en-GB"/>
        </w:rPr>
        <w:t xml:space="preserve"> </w:t>
      </w:r>
      <w:r w:rsidR="00512DAC" w:rsidRPr="0087794A">
        <w:rPr>
          <w:rFonts w:asciiTheme="majorHAnsi" w:hAnsiTheme="majorHAnsi" w:cstheme="majorHAnsi"/>
        </w:rPr>
        <w:t xml:space="preserve">and </w:t>
      </w:r>
      <w:r w:rsidR="00B34AEC">
        <w:rPr>
          <w:rFonts w:asciiTheme="majorHAnsi" w:hAnsiTheme="majorHAnsi" w:cstheme="majorHAnsi"/>
        </w:rPr>
        <w:fldChar w:fldCharType="begin"/>
      </w:r>
      <w:r w:rsidR="00B34AEC">
        <w:rPr>
          <w:rFonts w:asciiTheme="majorHAnsi" w:hAnsiTheme="majorHAnsi" w:cstheme="majorHAnsi"/>
          <w:lang w:val="en-GB"/>
        </w:rPr>
        <w:instrText xml:space="preserve"> REF _Ref153461864 \h  \* MERGEFORMAT </w:instrText>
      </w:r>
      <w:r w:rsidR="00B34AEC">
        <w:rPr>
          <w:rFonts w:asciiTheme="majorHAnsi" w:hAnsiTheme="majorHAnsi" w:cstheme="majorHAnsi"/>
        </w:rPr>
      </w:r>
      <w:r w:rsidR="00B34AEC">
        <w:rPr>
          <w:rFonts w:asciiTheme="majorHAnsi" w:hAnsiTheme="majorHAnsi" w:cstheme="majorHAnsi"/>
        </w:rPr>
        <w:fldChar w:fldCharType="separate"/>
      </w:r>
      <w:r w:rsidR="00B34AEC" w:rsidRPr="0087794A">
        <w:rPr>
          <w:rFonts w:asciiTheme="majorHAnsi" w:hAnsiTheme="majorHAnsi" w:cstheme="majorHAnsi"/>
          <w:lang w:val="en-GB"/>
        </w:rPr>
        <w:t>Table 4.1</w:t>
      </w:r>
      <w:r w:rsidR="00B34AEC">
        <w:rPr>
          <w:rFonts w:asciiTheme="majorHAnsi" w:hAnsiTheme="majorHAnsi" w:cstheme="majorHAnsi"/>
        </w:rPr>
        <w:fldChar w:fldCharType="end"/>
      </w:r>
      <w:r w:rsidR="00B34AEC">
        <w:rPr>
          <w:rFonts w:asciiTheme="majorHAnsi" w:hAnsiTheme="majorHAnsi" w:cstheme="majorHAnsi"/>
          <w:lang w:val="en-GB"/>
        </w:rPr>
        <w:t>.</w:t>
      </w:r>
      <w:r w:rsidRPr="00A33AE8">
        <w:rPr>
          <w:rFonts w:asciiTheme="majorHAnsi" w:hAnsiTheme="majorHAnsi" w:cstheme="majorHAnsi"/>
          <w:lang w:val="en-GB"/>
        </w:rPr>
        <w:t xml:space="preserve"> based on the median scenario of the Statistical Office of the Republic of Serbia (SORS). </w:t>
      </w:r>
      <w:r w:rsidR="00FB3019" w:rsidRPr="00A33AE8">
        <w:rPr>
          <w:rFonts w:asciiTheme="majorHAnsi" w:hAnsiTheme="majorHAnsi" w:cstheme="majorHAnsi"/>
          <w:lang w:val="en-GB"/>
        </w:rPr>
        <w:t>The projection of the GDP for the short term (up to 2026) has been derived by the National Bank of Serbia, while the Shared Socioeconomic Pathways (SSP)</w:t>
      </w:r>
      <w:r w:rsidR="00FB3019" w:rsidRPr="00A33AE8">
        <w:rPr>
          <w:rStyle w:val="FootnoteReference"/>
          <w:rFonts w:asciiTheme="majorHAnsi" w:hAnsiTheme="majorHAnsi" w:cstheme="majorHAnsi"/>
        </w:rPr>
        <w:footnoteReference w:id="125"/>
      </w:r>
      <w:r w:rsidR="000578D5" w:rsidRPr="00A33AE8">
        <w:rPr>
          <w:rFonts w:asciiTheme="majorHAnsi" w:hAnsiTheme="majorHAnsi" w:cstheme="majorHAnsi"/>
          <w:lang w:val="en-GB"/>
        </w:rPr>
        <w:t>scenarios</w:t>
      </w:r>
      <w:r w:rsidR="00FB3019" w:rsidRPr="00A33AE8">
        <w:rPr>
          <w:rFonts w:asciiTheme="majorHAnsi" w:hAnsiTheme="majorHAnsi" w:cstheme="majorHAnsi"/>
          <w:lang w:val="en-GB"/>
        </w:rPr>
        <w:t xml:space="preserve"> has been taken into consideration for the medium to long term projections of the GDP.</w:t>
      </w:r>
    </w:p>
    <w:p w14:paraId="2F7232C8" w14:textId="2756E9A6" w:rsidR="00B34AEC" w:rsidRDefault="00B34AEC" w:rsidP="0087794A">
      <w:pPr>
        <w:pStyle w:val="Caption"/>
        <w:keepNext/>
      </w:pPr>
      <w:bookmarkStart w:id="197" w:name="_heading=h.1x0gk37" w:colFirst="0" w:colLast="0"/>
      <w:bookmarkStart w:id="198" w:name="_Ref153461714"/>
      <w:bookmarkStart w:id="199" w:name="_Toc154575210"/>
      <w:bookmarkEnd w:id="197"/>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w:t>
      </w:r>
      <w:r w:rsidR="006E0533">
        <w:rPr>
          <w:noProof/>
        </w:rPr>
        <w:fldChar w:fldCharType="end"/>
      </w:r>
      <w:bookmarkEnd w:id="198"/>
      <w:r>
        <w:t xml:space="preserve">: </w:t>
      </w:r>
      <w:r w:rsidRPr="00B34AEC">
        <w:t>Evolution of GDP (in constant Euro 2015) and population until 2050 (Sources: Statistical Office of the Republic of Serbia, Ministry of Finance, National Bank, projections based on SSP)</w:t>
      </w:r>
      <w:bookmarkEnd w:id="199"/>
    </w:p>
    <w:p w14:paraId="3D67EC97" w14:textId="77777777" w:rsidR="006D48D9" w:rsidRPr="00A33AE8" w:rsidRDefault="006D48D9" w:rsidP="006D48D9">
      <w:pPr>
        <w:pStyle w:val="Caption"/>
        <w:jc w:val="center"/>
      </w:pPr>
      <w:r w:rsidRPr="000007D2">
        <w:rPr>
          <w:noProof/>
          <w:lang w:val="en-US"/>
        </w:rPr>
        <w:drawing>
          <wp:inline distT="0" distB="0" distL="0" distR="0" wp14:anchorId="28040170" wp14:editId="3CB7E860">
            <wp:extent cx="4917057" cy="241407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9382" cy="2420127"/>
                    </a:xfrm>
                    <a:prstGeom prst="rect">
                      <a:avLst/>
                    </a:prstGeom>
                    <a:noFill/>
                  </pic:spPr>
                </pic:pic>
              </a:graphicData>
            </a:graphic>
          </wp:inline>
        </w:drawing>
      </w:r>
    </w:p>
    <w:p w14:paraId="290A54FA" w14:textId="65A14AAA" w:rsidR="00B34AEC" w:rsidRDefault="00B34AEC" w:rsidP="0087794A">
      <w:pPr>
        <w:pStyle w:val="Caption"/>
        <w:keepNext/>
      </w:pPr>
      <w:bookmarkStart w:id="200" w:name="_Ref153461864"/>
      <w:bookmarkStart w:id="201" w:name="_Toc153545072"/>
      <w:r>
        <w:t xml:space="preserve">Table </w:t>
      </w:r>
      <w:r w:rsidR="006E0533">
        <w:fldChar w:fldCharType="begin"/>
      </w:r>
      <w:r w:rsidR="006E0533">
        <w:instrText xml:space="preserve"> STYLEREF 1 \s </w:instrText>
      </w:r>
      <w:r w:rsidR="006E0533">
        <w:fldChar w:fldCharType="separate"/>
      </w:r>
      <w:r w:rsidR="00A84B9C">
        <w:rPr>
          <w:noProof/>
        </w:rPr>
        <w:t>4</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bookmarkEnd w:id="200"/>
      <w:r>
        <w:t xml:space="preserve">: </w:t>
      </w:r>
      <w:r w:rsidRPr="00B34AEC">
        <w:t>Numerical evolution of GDP and population over 2020-2050 (Sources: Statistical Office of the Republic of Serbia, Ministry of Finance, National Bank, projections based on SSP)</w:t>
      </w:r>
      <w:bookmarkStart w:id="202" w:name="_Hlk134111986"/>
      <w:bookmarkEnd w:id="201"/>
    </w:p>
    <w:bookmarkEnd w:id="202"/>
    <w:tbl>
      <w:tblPr>
        <w:tblStyle w:val="TableGrid"/>
        <w:tblW w:w="0" w:type="auto"/>
        <w:jc w:val="center"/>
        <w:tblLook w:val="04A0" w:firstRow="1" w:lastRow="0" w:firstColumn="1" w:lastColumn="0" w:noHBand="0" w:noVBand="1"/>
      </w:tblPr>
      <w:tblGrid>
        <w:gridCol w:w="1414"/>
        <w:gridCol w:w="980"/>
        <w:gridCol w:w="980"/>
        <w:gridCol w:w="980"/>
        <w:gridCol w:w="980"/>
        <w:gridCol w:w="980"/>
        <w:gridCol w:w="980"/>
        <w:gridCol w:w="1000"/>
      </w:tblGrid>
      <w:tr w:rsidR="006D48D9" w:rsidRPr="00A33AE8" w14:paraId="675D8BAB" w14:textId="77777777" w:rsidTr="00FF03FA">
        <w:trPr>
          <w:trHeight w:val="300"/>
          <w:jc w:val="center"/>
        </w:trPr>
        <w:tc>
          <w:tcPr>
            <w:tcW w:w="1414" w:type="dxa"/>
            <w:noWrap/>
            <w:vAlign w:val="center"/>
            <w:hideMark/>
          </w:tcPr>
          <w:p w14:paraId="3C93F803" w14:textId="77777777" w:rsidR="006D48D9" w:rsidRPr="00A33AE8" w:rsidRDefault="006D48D9" w:rsidP="00FF03FA">
            <w:pPr>
              <w:pStyle w:val="Caption"/>
              <w:jc w:val="center"/>
              <w:rPr>
                <w:lang w:eastAsia="el-GR"/>
              </w:rPr>
            </w:pPr>
          </w:p>
        </w:tc>
        <w:tc>
          <w:tcPr>
            <w:tcW w:w="980" w:type="dxa"/>
            <w:noWrap/>
            <w:vAlign w:val="center"/>
            <w:hideMark/>
          </w:tcPr>
          <w:p w14:paraId="139E6408" w14:textId="77777777" w:rsidR="006D48D9" w:rsidRPr="00A33AE8" w:rsidRDefault="006D48D9" w:rsidP="00FF03FA">
            <w:pPr>
              <w:pStyle w:val="Caption"/>
              <w:jc w:val="center"/>
              <w:rPr>
                <w:lang w:eastAsia="el-GR"/>
              </w:rPr>
            </w:pPr>
            <w:r w:rsidRPr="00A33AE8">
              <w:rPr>
                <w:lang w:eastAsia="el-GR"/>
              </w:rPr>
              <w:t>2020</w:t>
            </w:r>
          </w:p>
        </w:tc>
        <w:tc>
          <w:tcPr>
            <w:tcW w:w="980" w:type="dxa"/>
            <w:noWrap/>
            <w:vAlign w:val="center"/>
            <w:hideMark/>
          </w:tcPr>
          <w:p w14:paraId="3E7051AF" w14:textId="77777777" w:rsidR="006D48D9" w:rsidRPr="00A33AE8" w:rsidRDefault="006D48D9" w:rsidP="00FF03FA">
            <w:pPr>
              <w:pStyle w:val="Caption"/>
              <w:jc w:val="center"/>
              <w:rPr>
                <w:lang w:eastAsia="el-GR"/>
              </w:rPr>
            </w:pPr>
            <w:r w:rsidRPr="00A33AE8">
              <w:rPr>
                <w:lang w:eastAsia="el-GR"/>
              </w:rPr>
              <w:t>2025</w:t>
            </w:r>
          </w:p>
        </w:tc>
        <w:tc>
          <w:tcPr>
            <w:tcW w:w="980" w:type="dxa"/>
            <w:noWrap/>
            <w:vAlign w:val="center"/>
            <w:hideMark/>
          </w:tcPr>
          <w:p w14:paraId="75FA8B0D" w14:textId="77777777" w:rsidR="006D48D9" w:rsidRPr="00A33AE8" w:rsidRDefault="006D48D9" w:rsidP="00FF03FA">
            <w:pPr>
              <w:pStyle w:val="Caption"/>
              <w:jc w:val="center"/>
              <w:rPr>
                <w:lang w:eastAsia="el-GR"/>
              </w:rPr>
            </w:pPr>
            <w:r w:rsidRPr="00A33AE8">
              <w:rPr>
                <w:lang w:eastAsia="el-GR"/>
              </w:rPr>
              <w:t>2030</w:t>
            </w:r>
          </w:p>
        </w:tc>
        <w:tc>
          <w:tcPr>
            <w:tcW w:w="980" w:type="dxa"/>
            <w:noWrap/>
            <w:vAlign w:val="center"/>
            <w:hideMark/>
          </w:tcPr>
          <w:p w14:paraId="27B561D1" w14:textId="77777777" w:rsidR="006D48D9" w:rsidRPr="00A33AE8" w:rsidRDefault="006D48D9" w:rsidP="00FF03FA">
            <w:pPr>
              <w:pStyle w:val="Caption"/>
              <w:jc w:val="center"/>
              <w:rPr>
                <w:lang w:eastAsia="el-GR"/>
              </w:rPr>
            </w:pPr>
            <w:r w:rsidRPr="00A33AE8">
              <w:rPr>
                <w:lang w:eastAsia="el-GR"/>
              </w:rPr>
              <w:t>2035</w:t>
            </w:r>
          </w:p>
        </w:tc>
        <w:tc>
          <w:tcPr>
            <w:tcW w:w="980" w:type="dxa"/>
            <w:noWrap/>
            <w:vAlign w:val="center"/>
            <w:hideMark/>
          </w:tcPr>
          <w:p w14:paraId="74765E92" w14:textId="77777777" w:rsidR="006D48D9" w:rsidRPr="00A33AE8" w:rsidRDefault="006D48D9" w:rsidP="00FF03FA">
            <w:pPr>
              <w:pStyle w:val="Caption"/>
              <w:jc w:val="center"/>
              <w:rPr>
                <w:lang w:eastAsia="el-GR"/>
              </w:rPr>
            </w:pPr>
            <w:r w:rsidRPr="00A33AE8">
              <w:rPr>
                <w:lang w:eastAsia="el-GR"/>
              </w:rPr>
              <w:t>2040</w:t>
            </w:r>
          </w:p>
        </w:tc>
        <w:tc>
          <w:tcPr>
            <w:tcW w:w="980" w:type="dxa"/>
            <w:noWrap/>
            <w:vAlign w:val="center"/>
            <w:hideMark/>
          </w:tcPr>
          <w:p w14:paraId="7C170A76" w14:textId="77777777" w:rsidR="006D48D9" w:rsidRPr="00A33AE8" w:rsidRDefault="006D48D9" w:rsidP="00FF03FA">
            <w:pPr>
              <w:pStyle w:val="Caption"/>
              <w:jc w:val="center"/>
              <w:rPr>
                <w:lang w:eastAsia="el-GR"/>
              </w:rPr>
            </w:pPr>
            <w:r w:rsidRPr="00A33AE8">
              <w:rPr>
                <w:lang w:eastAsia="el-GR"/>
              </w:rPr>
              <w:t>2045</w:t>
            </w:r>
          </w:p>
        </w:tc>
        <w:tc>
          <w:tcPr>
            <w:tcW w:w="1000" w:type="dxa"/>
            <w:noWrap/>
            <w:vAlign w:val="center"/>
            <w:hideMark/>
          </w:tcPr>
          <w:p w14:paraId="1AF941C9" w14:textId="77777777" w:rsidR="006D48D9" w:rsidRPr="00A33AE8" w:rsidRDefault="006D48D9" w:rsidP="00FF03FA">
            <w:pPr>
              <w:pStyle w:val="Caption"/>
              <w:jc w:val="center"/>
              <w:rPr>
                <w:lang w:eastAsia="el-GR"/>
              </w:rPr>
            </w:pPr>
            <w:r w:rsidRPr="00A33AE8">
              <w:rPr>
                <w:lang w:eastAsia="el-GR"/>
              </w:rPr>
              <w:t>2050</w:t>
            </w:r>
          </w:p>
        </w:tc>
      </w:tr>
      <w:tr w:rsidR="006D48D9" w:rsidRPr="00A33AE8" w14:paraId="031320ED" w14:textId="77777777" w:rsidTr="00FF03FA">
        <w:trPr>
          <w:trHeight w:val="300"/>
          <w:jc w:val="center"/>
        </w:trPr>
        <w:tc>
          <w:tcPr>
            <w:tcW w:w="1414" w:type="dxa"/>
            <w:noWrap/>
            <w:vAlign w:val="center"/>
            <w:hideMark/>
          </w:tcPr>
          <w:p w14:paraId="0AC3FC30" w14:textId="77777777" w:rsidR="006D48D9" w:rsidRPr="00A33AE8" w:rsidRDefault="006D48D9" w:rsidP="00FF03FA">
            <w:pPr>
              <w:pStyle w:val="Caption"/>
              <w:jc w:val="center"/>
              <w:rPr>
                <w:lang w:eastAsia="el-GR"/>
              </w:rPr>
            </w:pPr>
            <w:r w:rsidRPr="00A33AE8">
              <w:rPr>
                <w:lang w:eastAsia="el-GR"/>
              </w:rPr>
              <w:lastRenderedPageBreak/>
              <w:t>Population (million)</w:t>
            </w:r>
          </w:p>
        </w:tc>
        <w:tc>
          <w:tcPr>
            <w:tcW w:w="980" w:type="dxa"/>
            <w:noWrap/>
            <w:vAlign w:val="center"/>
            <w:hideMark/>
          </w:tcPr>
          <w:p w14:paraId="1BAE617B" w14:textId="77777777" w:rsidR="006D48D9" w:rsidRPr="00A33AE8" w:rsidRDefault="006D48D9" w:rsidP="00FF03FA">
            <w:pPr>
              <w:pStyle w:val="Caption"/>
              <w:jc w:val="center"/>
              <w:rPr>
                <w:lang w:eastAsia="el-GR"/>
              </w:rPr>
            </w:pPr>
            <w:r w:rsidRPr="00A33AE8">
              <w:rPr>
                <w:lang w:eastAsia="el-GR"/>
              </w:rPr>
              <w:t>6928,0</w:t>
            </w:r>
          </w:p>
        </w:tc>
        <w:tc>
          <w:tcPr>
            <w:tcW w:w="980" w:type="dxa"/>
            <w:noWrap/>
            <w:vAlign w:val="center"/>
            <w:hideMark/>
          </w:tcPr>
          <w:p w14:paraId="0BDE6D53" w14:textId="77777777" w:rsidR="006D48D9" w:rsidRPr="00A33AE8" w:rsidRDefault="006D48D9" w:rsidP="00FF03FA">
            <w:pPr>
              <w:pStyle w:val="Caption"/>
              <w:jc w:val="center"/>
              <w:rPr>
                <w:lang w:eastAsia="el-GR"/>
              </w:rPr>
            </w:pPr>
            <w:r w:rsidRPr="00A33AE8">
              <w:rPr>
                <w:lang w:eastAsia="el-GR"/>
              </w:rPr>
              <w:t>6829,2</w:t>
            </w:r>
          </w:p>
        </w:tc>
        <w:tc>
          <w:tcPr>
            <w:tcW w:w="980" w:type="dxa"/>
            <w:noWrap/>
            <w:vAlign w:val="center"/>
            <w:hideMark/>
          </w:tcPr>
          <w:p w14:paraId="6F14C11F" w14:textId="77777777" w:rsidR="006D48D9" w:rsidRPr="00A33AE8" w:rsidRDefault="006D48D9" w:rsidP="00FF03FA">
            <w:pPr>
              <w:pStyle w:val="Caption"/>
              <w:jc w:val="center"/>
              <w:rPr>
                <w:lang w:eastAsia="el-GR"/>
              </w:rPr>
            </w:pPr>
            <w:r w:rsidRPr="00A33AE8">
              <w:rPr>
                <w:lang w:eastAsia="el-GR"/>
              </w:rPr>
              <w:t>6815,0</w:t>
            </w:r>
          </w:p>
        </w:tc>
        <w:tc>
          <w:tcPr>
            <w:tcW w:w="980" w:type="dxa"/>
            <w:noWrap/>
            <w:vAlign w:val="center"/>
            <w:hideMark/>
          </w:tcPr>
          <w:p w14:paraId="0A41B667" w14:textId="77777777" w:rsidR="006D48D9" w:rsidRPr="00A33AE8" w:rsidRDefault="006D48D9" w:rsidP="00FF03FA">
            <w:pPr>
              <w:pStyle w:val="Caption"/>
              <w:jc w:val="center"/>
              <w:rPr>
                <w:lang w:eastAsia="el-GR"/>
              </w:rPr>
            </w:pPr>
            <w:r w:rsidRPr="00A33AE8">
              <w:rPr>
                <w:lang w:eastAsia="el-GR"/>
              </w:rPr>
              <w:t>6791,7</w:t>
            </w:r>
          </w:p>
        </w:tc>
        <w:tc>
          <w:tcPr>
            <w:tcW w:w="980" w:type="dxa"/>
            <w:noWrap/>
            <w:vAlign w:val="center"/>
            <w:hideMark/>
          </w:tcPr>
          <w:p w14:paraId="15FF55E0" w14:textId="77777777" w:rsidR="006D48D9" w:rsidRPr="00A33AE8" w:rsidRDefault="006D48D9" w:rsidP="00FF03FA">
            <w:pPr>
              <w:pStyle w:val="Caption"/>
              <w:jc w:val="center"/>
              <w:rPr>
                <w:lang w:eastAsia="el-GR"/>
              </w:rPr>
            </w:pPr>
            <w:r w:rsidRPr="00A33AE8">
              <w:rPr>
                <w:lang w:eastAsia="el-GR"/>
              </w:rPr>
              <w:t>6830,0</w:t>
            </w:r>
          </w:p>
        </w:tc>
        <w:tc>
          <w:tcPr>
            <w:tcW w:w="980" w:type="dxa"/>
            <w:noWrap/>
            <w:vAlign w:val="center"/>
            <w:hideMark/>
          </w:tcPr>
          <w:p w14:paraId="7F8E3EA6" w14:textId="77777777" w:rsidR="006D48D9" w:rsidRPr="00A33AE8" w:rsidRDefault="006D48D9" w:rsidP="00FF03FA">
            <w:pPr>
              <w:pStyle w:val="Caption"/>
              <w:jc w:val="center"/>
              <w:rPr>
                <w:lang w:eastAsia="el-GR"/>
              </w:rPr>
            </w:pPr>
            <w:r w:rsidRPr="00A33AE8">
              <w:rPr>
                <w:lang w:eastAsia="el-GR"/>
              </w:rPr>
              <w:t>6843,6</w:t>
            </w:r>
          </w:p>
        </w:tc>
        <w:tc>
          <w:tcPr>
            <w:tcW w:w="1000" w:type="dxa"/>
            <w:noWrap/>
            <w:vAlign w:val="center"/>
            <w:hideMark/>
          </w:tcPr>
          <w:p w14:paraId="0F066310" w14:textId="77777777" w:rsidR="006D48D9" w:rsidRPr="00A33AE8" w:rsidRDefault="006D48D9" w:rsidP="00FF03FA">
            <w:pPr>
              <w:pStyle w:val="Caption"/>
              <w:jc w:val="center"/>
              <w:rPr>
                <w:lang w:eastAsia="el-GR"/>
              </w:rPr>
            </w:pPr>
            <w:r w:rsidRPr="00A33AE8">
              <w:rPr>
                <w:lang w:eastAsia="el-GR"/>
              </w:rPr>
              <w:t>6861,3</w:t>
            </w:r>
          </w:p>
        </w:tc>
      </w:tr>
      <w:tr w:rsidR="006D48D9" w:rsidRPr="00A33AE8" w14:paraId="1744F9C5" w14:textId="77777777" w:rsidTr="00FF03FA">
        <w:trPr>
          <w:trHeight w:val="300"/>
          <w:jc w:val="center"/>
        </w:trPr>
        <w:tc>
          <w:tcPr>
            <w:tcW w:w="1414" w:type="dxa"/>
            <w:noWrap/>
            <w:vAlign w:val="center"/>
            <w:hideMark/>
          </w:tcPr>
          <w:p w14:paraId="0FE2DBD9" w14:textId="77777777" w:rsidR="006D48D9" w:rsidRPr="00A33AE8" w:rsidRDefault="006D48D9" w:rsidP="00FF03FA">
            <w:pPr>
              <w:pStyle w:val="Caption"/>
              <w:jc w:val="center"/>
              <w:rPr>
                <w:lang w:eastAsia="el-GR"/>
              </w:rPr>
            </w:pPr>
            <w:r w:rsidRPr="00A33AE8">
              <w:rPr>
                <w:lang w:eastAsia="el-GR"/>
              </w:rPr>
              <w:t>GDP (€ billion)</w:t>
            </w:r>
          </w:p>
        </w:tc>
        <w:tc>
          <w:tcPr>
            <w:tcW w:w="980" w:type="dxa"/>
            <w:noWrap/>
            <w:vAlign w:val="center"/>
            <w:hideMark/>
          </w:tcPr>
          <w:p w14:paraId="0D18CCB5" w14:textId="77777777" w:rsidR="006D48D9" w:rsidRPr="00A33AE8" w:rsidRDefault="006D48D9" w:rsidP="00FF03FA">
            <w:pPr>
              <w:pStyle w:val="Caption"/>
              <w:jc w:val="center"/>
              <w:rPr>
                <w:lang w:eastAsia="el-GR"/>
              </w:rPr>
            </w:pPr>
            <w:r w:rsidRPr="00A33AE8">
              <w:rPr>
                <w:lang w:eastAsia="el-GR"/>
              </w:rPr>
              <w:t>40676,2</w:t>
            </w:r>
          </w:p>
        </w:tc>
        <w:tc>
          <w:tcPr>
            <w:tcW w:w="980" w:type="dxa"/>
            <w:noWrap/>
            <w:vAlign w:val="center"/>
            <w:hideMark/>
          </w:tcPr>
          <w:p w14:paraId="0B720111" w14:textId="77777777" w:rsidR="006D48D9" w:rsidRPr="00A33AE8" w:rsidRDefault="006D48D9" w:rsidP="00FF03FA">
            <w:pPr>
              <w:pStyle w:val="Caption"/>
              <w:jc w:val="center"/>
              <w:rPr>
                <w:lang w:eastAsia="el-GR"/>
              </w:rPr>
            </w:pPr>
            <w:r w:rsidRPr="00A33AE8">
              <w:rPr>
                <w:lang w:eastAsia="el-GR"/>
              </w:rPr>
              <w:t>50689,9</w:t>
            </w:r>
          </w:p>
        </w:tc>
        <w:tc>
          <w:tcPr>
            <w:tcW w:w="980" w:type="dxa"/>
            <w:noWrap/>
            <w:vAlign w:val="center"/>
            <w:hideMark/>
          </w:tcPr>
          <w:p w14:paraId="2F9F9D54" w14:textId="77777777" w:rsidR="006D48D9" w:rsidRPr="00A33AE8" w:rsidRDefault="006D48D9" w:rsidP="00FF03FA">
            <w:pPr>
              <w:pStyle w:val="Caption"/>
              <w:jc w:val="center"/>
              <w:rPr>
                <w:lang w:eastAsia="el-GR"/>
              </w:rPr>
            </w:pPr>
            <w:r w:rsidRPr="00A33AE8">
              <w:rPr>
                <w:lang w:eastAsia="el-GR"/>
              </w:rPr>
              <w:t>60866,5</w:t>
            </w:r>
          </w:p>
        </w:tc>
        <w:tc>
          <w:tcPr>
            <w:tcW w:w="980" w:type="dxa"/>
            <w:noWrap/>
            <w:vAlign w:val="center"/>
            <w:hideMark/>
          </w:tcPr>
          <w:p w14:paraId="1963632E" w14:textId="77777777" w:rsidR="006D48D9" w:rsidRPr="00A33AE8" w:rsidRDefault="006D48D9" w:rsidP="00FF03FA">
            <w:pPr>
              <w:pStyle w:val="Caption"/>
              <w:jc w:val="center"/>
              <w:rPr>
                <w:lang w:eastAsia="el-GR"/>
              </w:rPr>
            </w:pPr>
            <w:r w:rsidRPr="00A33AE8">
              <w:rPr>
                <w:lang w:eastAsia="el-GR"/>
              </w:rPr>
              <w:t>71439,2</w:t>
            </w:r>
          </w:p>
        </w:tc>
        <w:tc>
          <w:tcPr>
            <w:tcW w:w="980" w:type="dxa"/>
            <w:noWrap/>
            <w:vAlign w:val="center"/>
            <w:hideMark/>
          </w:tcPr>
          <w:p w14:paraId="14E09004" w14:textId="77777777" w:rsidR="006D48D9" w:rsidRPr="00A33AE8" w:rsidRDefault="006D48D9" w:rsidP="00FF03FA">
            <w:pPr>
              <w:pStyle w:val="Caption"/>
              <w:jc w:val="center"/>
              <w:rPr>
                <w:lang w:eastAsia="el-GR"/>
              </w:rPr>
            </w:pPr>
            <w:r w:rsidRPr="00A33AE8">
              <w:rPr>
                <w:lang w:eastAsia="el-GR"/>
              </w:rPr>
              <w:t>82595,9</w:t>
            </w:r>
          </w:p>
        </w:tc>
        <w:tc>
          <w:tcPr>
            <w:tcW w:w="980" w:type="dxa"/>
            <w:noWrap/>
            <w:vAlign w:val="center"/>
            <w:hideMark/>
          </w:tcPr>
          <w:p w14:paraId="060194B1" w14:textId="77777777" w:rsidR="006D48D9" w:rsidRPr="00A33AE8" w:rsidRDefault="006D48D9" w:rsidP="00FF03FA">
            <w:pPr>
              <w:pStyle w:val="Caption"/>
              <w:jc w:val="center"/>
              <w:rPr>
                <w:lang w:eastAsia="el-GR"/>
              </w:rPr>
            </w:pPr>
            <w:r w:rsidRPr="00A33AE8">
              <w:rPr>
                <w:lang w:eastAsia="el-GR"/>
              </w:rPr>
              <w:t>94064,2</w:t>
            </w:r>
          </w:p>
        </w:tc>
        <w:tc>
          <w:tcPr>
            <w:tcW w:w="1000" w:type="dxa"/>
            <w:noWrap/>
            <w:vAlign w:val="center"/>
            <w:hideMark/>
          </w:tcPr>
          <w:p w14:paraId="05B1F65D" w14:textId="77777777" w:rsidR="006D48D9" w:rsidRPr="00A33AE8" w:rsidRDefault="006D48D9" w:rsidP="00FF03FA">
            <w:pPr>
              <w:pStyle w:val="Caption"/>
              <w:jc w:val="center"/>
              <w:rPr>
                <w:lang w:eastAsia="el-GR"/>
              </w:rPr>
            </w:pPr>
            <w:r w:rsidRPr="00A33AE8">
              <w:rPr>
                <w:lang w:eastAsia="el-GR"/>
              </w:rPr>
              <w:t>105515,0</w:t>
            </w:r>
          </w:p>
        </w:tc>
      </w:tr>
    </w:tbl>
    <w:p w14:paraId="001CCCFB" w14:textId="7DF4B1BB" w:rsidR="00B34AEC" w:rsidRDefault="00B34AEC" w:rsidP="0087794A">
      <w:pPr>
        <w:pStyle w:val="Caption"/>
        <w:keepNext/>
        <w:spacing w:before="100" w:beforeAutospacing="1"/>
      </w:pPr>
      <w:bookmarkStart w:id="203" w:name="_Ref153462024"/>
      <w:bookmarkStart w:id="204" w:name="_Toc154575211"/>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w:t>
      </w:r>
      <w:r w:rsidR="006E0533">
        <w:rPr>
          <w:noProof/>
        </w:rPr>
        <w:fldChar w:fldCharType="end"/>
      </w:r>
      <w:bookmarkEnd w:id="203"/>
      <w:r>
        <w:t xml:space="preserve">: </w:t>
      </w:r>
      <w:r w:rsidRPr="00B34AEC">
        <w:t>Evolution of GVA for different sectors of economic activity until 2050 (Sources: Statistical Office of the Republic of Serbia, Ministry of Finance, National Bank, projections based on SSP)</w:t>
      </w:r>
      <w:bookmarkEnd w:id="204"/>
    </w:p>
    <w:p w14:paraId="396CA46A" w14:textId="77777777" w:rsidR="006D48D9" w:rsidRPr="00A33AE8" w:rsidRDefault="006D48D9" w:rsidP="006D48D9">
      <w:pPr>
        <w:jc w:val="center"/>
        <w:rPr>
          <w:lang w:eastAsia="el-GR"/>
        </w:rPr>
      </w:pPr>
      <w:r w:rsidRPr="000007D2">
        <w:rPr>
          <w:noProof/>
          <w:lang w:val="en-US"/>
        </w:rPr>
        <w:drawing>
          <wp:inline distT="0" distB="0" distL="0" distR="0" wp14:anchorId="3A8EE295" wp14:editId="169747E5">
            <wp:extent cx="5428252" cy="256204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6682" cy="2575463"/>
                    </a:xfrm>
                    <a:prstGeom prst="rect">
                      <a:avLst/>
                    </a:prstGeom>
                    <a:noFill/>
                  </pic:spPr>
                </pic:pic>
              </a:graphicData>
            </a:graphic>
          </wp:inline>
        </w:drawing>
      </w:r>
    </w:p>
    <w:p w14:paraId="17EC45A3" w14:textId="37671019" w:rsidR="00512DAC" w:rsidRPr="00A33AE8" w:rsidRDefault="001A6891" w:rsidP="00512DAC">
      <w:pPr>
        <w:pStyle w:val="LDKbody"/>
        <w:rPr>
          <w:rFonts w:asciiTheme="majorHAnsi" w:hAnsiTheme="majorHAnsi" w:cstheme="majorHAnsi"/>
          <w:lang w:val="en-GB"/>
        </w:rPr>
      </w:pPr>
      <w:r w:rsidRPr="00A33AE8">
        <w:rPr>
          <w:rFonts w:asciiTheme="majorHAnsi" w:hAnsiTheme="majorHAnsi" w:cstheme="majorHAnsi"/>
          <w:lang w:val="en-GB"/>
        </w:rPr>
        <w:t>The projections of the Gross Value Added (GVA) per sector of economic activity, according to the output of the macroeconomic model for Serbia based on the MANAGE model, are displayed in the above</w:t>
      </w:r>
      <w:r w:rsidR="00B34AEC">
        <w:rPr>
          <w:rFonts w:asciiTheme="majorHAnsi" w:hAnsiTheme="majorHAnsi" w:cstheme="majorHAnsi"/>
          <w:lang w:val="en-GB"/>
        </w:rPr>
        <w:t xml:space="preserve"> </w:t>
      </w:r>
      <w:r w:rsidR="00B34AEC">
        <w:rPr>
          <w:rFonts w:asciiTheme="majorHAnsi" w:hAnsiTheme="majorHAnsi" w:cstheme="majorHAnsi"/>
          <w:lang w:val="en-GB"/>
        </w:rPr>
        <w:fldChar w:fldCharType="begin"/>
      </w:r>
      <w:r w:rsidR="00B34AEC">
        <w:rPr>
          <w:rFonts w:asciiTheme="majorHAnsi" w:hAnsiTheme="majorHAnsi" w:cstheme="majorHAnsi"/>
          <w:lang w:val="en-GB"/>
        </w:rPr>
        <w:instrText xml:space="preserve"> REF _Ref153462024 \h  \* MERGEFORMAT </w:instrText>
      </w:r>
      <w:r w:rsidR="00B34AEC">
        <w:rPr>
          <w:rFonts w:asciiTheme="majorHAnsi" w:hAnsiTheme="majorHAnsi" w:cstheme="majorHAnsi"/>
          <w:lang w:val="en-GB"/>
        </w:rPr>
      </w:r>
      <w:r w:rsidR="00B34AEC">
        <w:rPr>
          <w:rFonts w:asciiTheme="majorHAnsi" w:hAnsiTheme="majorHAnsi" w:cstheme="majorHAnsi"/>
          <w:lang w:val="en-GB"/>
        </w:rPr>
        <w:fldChar w:fldCharType="separate"/>
      </w:r>
      <w:r w:rsidR="00B34AEC" w:rsidRPr="0087794A">
        <w:rPr>
          <w:rFonts w:asciiTheme="majorHAnsi" w:hAnsiTheme="majorHAnsi" w:cstheme="majorHAnsi"/>
          <w:lang w:val="en-GB"/>
        </w:rPr>
        <w:t>Figure 4.4</w:t>
      </w:r>
      <w:r w:rsidR="00B34AEC">
        <w:rPr>
          <w:rFonts w:asciiTheme="majorHAnsi" w:hAnsiTheme="majorHAnsi" w:cstheme="majorHAnsi"/>
          <w:lang w:val="en-GB"/>
        </w:rPr>
        <w:fldChar w:fldCharType="end"/>
      </w:r>
      <w:r w:rsidRPr="00A33AE8">
        <w:rPr>
          <w:rFonts w:asciiTheme="majorHAnsi" w:hAnsiTheme="majorHAnsi" w:cstheme="majorHAnsi"/>
          <w:lang w:val="en-GB"/>
        </w:rPr>
        <w:t>. It should be noted that there is a lack of macroeconomic analysis studies with a medium to long-term horizon in the Republic of Serbia</w:t>
      </w:r>
      <w:r w:rsidR="00AA300A" w:rsidRPr="00A33AE8">
        <w:rPr>
          <w:rFonts w:asciiTheme="majorHAnsi" w:hAnsiTheme="majorHAnsi" w:cstheme="majorHAnsi"/>
          <w:lang w:val="en-GB"/>
        </w:rPr>
        <w:t xml:space="preserve"> sector</w:t>
      </w:r>
      <w:r w:rsidR="00360AEB">
        <w:rPr>
          <w:rFonts w:asciiTheme="majorHAnsi" w:hAnsiTheme="majorHAnsi" w:cstheme="majorHAnsi"/>
          <w:lang w:val="en-GB"/>
        </w:rPr>
        <w:t xml:space="preserve"> </w:t>
      </w:r>
      <w:r w:rsidR="00AA300A" w:rsidRPr="00A33AE8">
        <w:rPr>
          <w:rFonts w:asciiTheme="majorHAnsi" w:hAnsiTheme="majorHAnsi" w:cstheme="majorHAnsi"/>
          <w:lang w:val="en-GB"/>
        </w:rPr>
        <w:t>and more specifically there no quantitative projections for the industrial sub-sector gross value added</w:t>
      </w:r>
      <w:r w:rsidRPr="00A33AE8">
        <w:rPr>
          <w:rFonts w:asciiTheme="majorHAnsi" w:hAnsiTheme="majorHAnsi" w:cstheme="majorHAnsi"/>
          <w:lang w:val="en-GB"/>
        </w:rPr>
        <w:t>.</w:t>
      </w:r>
      <w:r w:rsidR="00512DAC" w:rsidRPr="00A33AE8">
        <w:rPr>
          <w:rFonts w:asciiTheme="majorHAnsi" w:hAnsiTheme="majorHAnsi" w:cstheme="majorHAnsi"/>
          <w:lang w:val="en-GB"/>
        </w:rPr>
        <w:t xml:space="preserve"> Therefore, the projections from the MANAGE model were used, together with the overall GDP projection trajectories discussed in the previous paragraph.</w:t>
      </w:r>
    </w:p>
    <w:p w14:paraId="5E382A7F" w14:textId="77777777" w:rsidR="00DA6CD4" w:rsidRPr="00A33AE8" w:rsidRDefault="001A6891" w:rsidP="006D48D9">
      <w:pPr>
        <w:pStyle w:val="LDKbody"/>
        <w:rPr>
          <w:rFonts w:asciiTheme="majorHAnsi" w:hAnsiTheme="majorHAnsi" w:cstheme="majorHAnsi"/>
          <w:lang w:val="en-GB"/>
        </w:rPr>
      </w:pPr>
      <w:r w:rsidRPr="00A33AE8">
        <w:rPr>
          <w:rFonts w:asciiTheme="majorHAnsi" w:hAnsiTheme="majorHAnsi" w:cstheme="majorHAnsi"/>
          <w:lang w:val="en-GB"/>
        </w:rPr>
        <w:t xml:space="preserve">For the energy intensive sectors of cement, iron and steel, copper, lead, zinc, other non-ferrous metals, glass, ceramics and other non-metallic minerals, the physical outputs have been used as the driver for energy demand in each subsector. The projection of physical output </w:t>
      </w:r>
      <w:r w:rsidR="00774495" w:rsidRPr="00A33AE8">
        <w:rPr>
          <w:rFonts w:asciiTheme="majorHAnsi" w:hAnsiTheme="majorHAnsi" w:cstheme="majorHAnsi"/>
          <w:lang w:val="en-GB"/>
        </w:rPr>
        <w:t xml:space="preserve">has been selected for the </w:t>
      </w:r>
      <w:r w:rsidRPr="00A33AE8">
        <w:rPr>
          <w:rFonts w:asciiTheme="majorHAnsi" w:hAnsiTheme="majorHAnsi" w:cstheme="majorHAnsi"/>
          <w:lang w:val="en-GB"/>
        </w:rPr>
        <w:t>energy intensive sectors</w:t>
      </w:r>
      <w:r w:rsidR="00774495" w:rsidRPr="00A33AE8">
        <w:rPr>
          <w:rFonts w:asciiTheme="majorHAnsi" w:hAnsiTheme="majorHAnsi" w:cstheme="majorHAnsi"/>
          <w:lang w:val="en-GB"/>
        </w:rPr>
        <w:t xml:space="preserve"> due to the fact that </w:t>
      </w:r>
      <w:r w:rsidRPr="00A33AE8">
        <w:rPr>
          <w:rFonts w:asciiTheme="majorHAnsi" w:hAnsiTheme="majorHAnsi" w:cstheme="majorHAnsi"/>
          <w:lang w:val="en-GB"/>
        </w:rPr>
        <w:t>the physical quantity is considered as a more realistic driver for energy demand projections compared to the Value Added of the sector</w:t>
      </w:r>
      <w:r w:rsidR="00774495" w:rsidRPr="00A33AE8">
        <w:rPr>
          <w:rFonts w:asciiTheme="majorHAnsi" w:hAnsiTheme="majorHAnsi" w:cstheme="majorHAnsi"/>
          <w:lang w:val="en-GB"/>
        </w:rPr>
        <w:t xml:space="preserve"> avoiding potential va</w:t>
      </w:r>
      <w:r w:rsidRPr="00A33AE8">
        <w:rPr>
          <w:rFonts w:asciiTheme="majorHAnsi" w:hAnsiTheme="majorHAnsi" w:cstheme="majorHAnsi"/>
          <w:lang w:val="en-GB"/>
        </w:rPr>
        <w:t xml:space="preserve">riation </w:t>
      </w:r>
      <w:r w:rsidR="00774495" w:rsidRPr="00A33AE8">
        <w:rPr>
          <w:rFonts w:asciiTheme="majorHAnsi" w:hAnsiTheme="majorHAnsi" w:cstheme="majorHAnsi"/>
          <w:lang w:val="en-GB"/>
        </w:rPr>
        <w:t>from</w:t>
      </w:r>
      <w:r w:rsidRPr="00A33AE8">
        <w:rPr>
          <w:rFonts w:asciiTheme="majorHAnsi" w:hAnsiTheme="majorHAnsi" w:cstheme="majorHAnsi"/>
          <w:lang w:val="en-GB"/>
        </w:rPr>
        <w:t xml:space="preserve"> other economic reasons</w:t>
      </w:r>
      <w:r w:rsidR="00774495" w:rsidRPr="00A33AE8">
        <w:rPr>
          <w:rFonts w:asciiTheme="majorHAnsi" w:hAnsiTheme="majorHAnsi" w:cstheme="majorHAnsi"/>
          <w:lang w:val="en-GB"/>
        </w:rPr>
        <w:t xml:space="preserve"> (</w:t>
      </w:r>
      <w:r w:rsidRPr="00A33AE8">
        <w:rPr>
          <w:rFonts w:asciiTheme="majorHAnsi" w:hAnsiTheme="majorHAnsi" w:cstheme="majorHAnsi"/>
          <w:lang w:val="en-GB"/>
        </w:rPr>
        <w:t>e.g. changes to the price of the product and not only to the actual change of the output</w:t>
      </w:r>
      <w:r w:rsidR="00774495" w:rsidRPr="00A33AE8">
        <w:rPr>
          <w:rFonts w:asciiTheme="majorHAnsi" w:hAnsiTheme="majorHAnsi" w:cstheme="majorHAnsi"/>
          <w:lang w:val="en-GB"/>
        </w:rPr>
        <w:t>)</w:t>
      </w:r>
      <w:r w:rsidRPr="00A33AE8">
        <w:rPr>
          <w:rFonts w:asciiTheme="majorHAnsi" w:hAnsiTheme="majorHAnsi" w:cstheme="majorHAnsi"/>
          <w:lang w:val="en-GB"/>
        </w:rPr>
        <w:t>.</w:t>
      </w:r>
    </w:p>
    <w:p w14:paraId="2BC33164" w14:textId="77777777" w:rsidR="006D48D9" w:rsidRPr="00A33AE8" w:rsidRDefault="006D48D9" w:rsidP="006D48D9">
      <w:pPr>
        <w:pStyle w:val="LDKbody"/>
        <w:rPr>
          <w:rFonts w:asciiTheme="majorHAnsi" w:hAnsiTheme="majorHAnsi" w:cstheme="majorHAnsi"/>
          <w:lang w:val="en-GB"/>
        </w:rPr>
      </w:pPr>
      <w:bookmarkStart w:id="205" w:name="_heading=h.1baon6m" w:colFirst="0" w:colLast="0"/>
      <w:bookmarkEnd w:id="205"/>
      <w:r w:rsidRPr="00A33AE8">
        <w:rPr>
          <w:rFonts w:asciiTheme="majorHAnsi" w:hAnsiTheme="majorHAnsi" w:cstheme="majorHAnsi"/>
          <w:lang w:val="en-GB"/>
        </w:rPr>
        <w:t xml:space="preserve">For the other industrial subsectors, the Value Added has been used as the demand driver and </w:t>
      </w:r>
      <w:r w:rsidR="00512DAC" w:rsidRPr="00A33AE8">
        <w:rPr>
          <w:rFonts w:asciiTheme="majorHAnsi" w:hAnsiTheme="majorHAnsi" w:cstheme="majorHAnsi"/>
          <w:lang w:val="en-GB"/>
        </w:rPr>
        <w:t xml:space="preserve">the corresponding projections </w:t>
      </w:r>
      <w:r w:rsidR="00081D7A" w:rsidRPr="00A33AE8">
        <w:rPr>
          <w:rFonts w:asciiTheme="majorHAnsi" w:hAnsiTheme="majorHAnsi" w:cstheme="majorHAnsi"/>
          <w:lang w:val="en-GB"/>
        </w:rPr>
        <w:t>are shown</w:t>
      </w:r>
      <w:r w:rsidRPr="00A33AE8">
        <w:rPr>
          <w:rFonts w:asciiTheme="majorHAnsi" w:hAnsiTheme="majorHAnsi" w:cstheme="majorHAnsi"/>
          <w:lang w:val="en-GB"/>
        </w:rPr>
        <w:t xml:space="preserve"> per subsector in the </w:t>
      </w:r>
      <w:r w:rsidRPr="000007D2">
        <w:rPr>
          <w:lang w:val="en-GB"/>
        </w:rPr>
        <w:fldChar w:fldCharType="begin"/>
      </w:r>
      <w:r w:rsidRPr="000007D2">
        <w:rPr>
          <w:lang w:val="en-GB"/>
        </w:rPr>
        <w:instrText xml:space="preserve"> REF _Ref113633586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4.5</w:t>
      </w:r>
      <w:r w:rsidRPr="000007D2">
        <w:rPr>
          <w:lang w:val="en-GB"/>
        </w:rPr>
        <w:fldChar w:fldCharType="end"/>
      </w:r>
      <w:r w:rsidRPr="00A33AE8">
        <w:rPr>
          <w:rFonts w:asciiTheme="majorHAnsi" w:hAnsiTheme="majorHAnsi" w:cstheme="majorHAnsi"/>
          <w:lang w:val="en-GB"/>
        </w:rPr>
        <w:t>.</w:t>
      </w:r>
    </w:p>
    <w:p w14:paraId="7A4A8857" w14:textId="77777777" w:rsidR="00DF2881" w:rsidRPr="00A33AE8" w:rsidRDefault="00DF2881" w:rsidP="006D48D9">
      <w:pPr>
        <w:pStyle w:val="LDKbody"/>
        <w:rPr>
          <w:rFonts w:asciiTheme="majorHAnsi" w:hAnsiTheme="majorHAnsi" w:cstheme="majorHAnsi"/>
          <w:lang w:val="en-GB"/>
        </w:rPr>
      </w:pPr>
    </w:p>
    <w:p w14:paraId="185D6898" w14:textId="69C26B4C" w:rsidR="006D48D9" w:rsidRPr="00A33AE8" w:rsidRDefault="006D48D9" w:rsidP="00DB34B1">
      <w:pPr>
        <w:pStyle w:val="Caption"/>
        <w:jc w:val="both"/>
        <w:rPr>
          <w:lang w:eastAsia="el-GR"/>
        </w:rPr>
      </w:pPr>
      <w:bookmarkStart w:id="206" w:name="_Ref113633586"/>
      <w:bookmarkStart w:id="207" w:name="_Toc118992275"/>
      <w:bookmarkStart w:id="208" w:name="_Toc154575212"/>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5</w:t>
      </w:r>
      <w:r w:rsidR="00B62877">
        <w:rPr>
          <w:lang w:eastAsia="el-GR"/>
        </w:rPr>
        <w:fldChar w:fldCharType="end"/>
      </w:r>
      <w:bookmarkEnd w:id="206"/>
      <w:r w:rsidRPr="00A33AE8">
        <w:rPr>
          <w:lang w:eastAsia="el-GR"/>
        </w:rPr>
        <w:t xml:space="preserve">: </w:t>
      </w:r>
      <w:r w:rsidR="001A6891" w:rsidRPr="00A33AE8">
        <w:rPr>
          <w:lang w:eastAsia="el-GR"/>
        </w:rPr>
        <w:t xml:space="preserve">Evolution of value added of other industrial subsectors until 2050 </w:t>
      </w:r>
      <w:r w:rsidR="001A6891" w:rsidRPr="00A33AE8">
        <w:t>(Sources:</w:t>
      </w:r>
      <w:r w:rsidR="00DB34B1" w:rsidRPr="00A33AE8">
        <w:t xml:space="preserve"> projections based on the SSP scenarios</w:t>
      </w:r>
      <w:r w:rsidR="001A6891" w:rsidRPr="00A33AE8">
        <w:t>)</w:t>
      </w:r>
      <w:bookmarkEnd w:id="207"/>
      <w:bookmarkEnd w:id="208"/>
    </w:p>
    <w:p w14:paraId="528253C7" w14:textId="77777777" w:rsidR="006D48D9" w:rsidRPr="00A33AE8" w:rsidRDefault="00261665" w:rsidP="00DB34B1">
      <w:pPr>
        <w:jc w:val="center"/>
        <w:rPr>
          <w:lang w:eastAsia="el-GR"/>
        </w:rPr>
      </w:pPr>
      <w:r w:rsidRPr="000007D2">
        <w:lastRenderedPageBreak/>
        <w:t xml:space="preserve"> </w:t>
      </w:r>
      <w:r w:rsidR="006D48D9" w:rsidRPr="000007D2">
        <w:rPr>
          <w:noProof/>
          <w:lang w:val="en-US"/>
        </w:rPr>
        <w:drawing>
          <wp:inline distT="0" distB="0" distL="0" distR="0" wp14:anchorId="2E83EC4C" wp14:editId="160CDE8D">
            <wp:extent cx="4830793" cy="3618401"/>
            <wp:effectExtent l="0" t="0" r="825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5993" cy="3622296"/>
                    </a:xfrm>
                    <a:prstGeom prst="rect">
                      <a:avLst/>
                    </a:prstGeom>
                    <a:noFill/>
                  </pic:spPr>
                </pic:pic>
              </a:graphicData>
            </a:graphic>
          </wp:inline>
        </w:drawing>
      </w:r>
    </w:p>
    <w:bookmarkEnd w:id="194"/>
    <w:p w14:paraId="6CD4DAD9" w14:textId="77777777" w:rsidR="00506B97" w:rsidRPr="00A33AE8" w:rsidRDefault="00506B97" w:rsidP="00884F3B">
      <w:pPr>
        <w:pStyle w:val="Heading4"/>
        <w:numPr>
          <w:ilvl w:val="0"/>
          <w:numId w:val="29"/>
        </w:numPr>
      </w:pPr>
      <w:r w:rsidRPr="00A33AE8">
        <w:t>Sectorial changes expected to impact the energy system and GHG emissions</w:t>
      </w:r>
    </w:p>
    <w:p w14:paraId="3CDCA3B4" w14:textId="77777777" w:rsidR="00506B97" w:rsidRPr="00A33AE8" w:rsidRDefault="00D8769B" w:rsidP="00506B97">
      <w:pPr>
        <w:pStyle w:val="LDKbody"/>
        <w:rPr>
          <w:rFonts w:asciiTheme="majorHAnsi" w:hAnsiTheme="majorHAnsi" w:cstheme="majorHAnsi"/>
          <w:lang w:val="en-GB"/>
        </w:rPr>
      </w:pPr>
      <w:r w:rsidRPr="00A33AE8">
        <w:rPr>
          <w:rFonts w:asciiTheme="majorHAnsi" w:hAnsiTheme="majorHAnsi" w:cstheme="majorHAnsi"/>
          <w:lang w:val="en-GB"/>
        </w:rPr>
        <w:t xml:space="preserve">As can been seen in the previous </w:t>
      </w:r>
      <w:r w:rsidR="00512DAC" w:rsidRPr="00A33AE8">
        <w:rPr>
          <w:rFonts w:asciiTheme="majorHAnsi" w:hAnsiTheme="majorHAnsi" w:cstheme="majorHAnsi"/>
          <w:lang w:val="en-GB"/>
        </w:rPr>
        <w:t xml:space="preserve">section </w:t>
      </w:r>
      <w:r w:rsidR="00446F0A" w:rsidRPr="00A33AE8">
        <w:rPr>
          <w:rFonts w:asciiTheme="majorHAnsi" w:hAnsiTheme="majorHAnsi" w:cstheme="majorHAnsi"/>
          <w:lang w:val="en-GB"/>
        </w:rPr>
        <w:t xml:space="preserve">the evolution of GVA </w:t>
      </w:r>
      <w:r w:rsidR="00512DAC" w:rsidRPr="00A33AE8">
        <w:rPr>
          <w:rFonts w:asciiTheme="majorHAnsi" w:hAnsiTheme="majorHAnsi" w:cstheme="majorHAnsi"/>
          <w:lang w:val="en-GB"/>
        </w:rPr>
        <w:t xml:space="preserve">per sector </w:t>
      </w:r>
      <w:r w:rsidR="00446F0A" w:rsidRPr="00A33AE8">
        <w:rPr>
          <w:rFonts w:asciiTheme="majorHAnsi" w:hAnsiTheme="majorHAnsi" w:cstheme="majorHAnsi"/>
          <w:lang w:val="en-GB"/>
        </w:rPr>
        <w:t xml:space="preserve">does not </w:t>
      </w:r>
      <w:r w:rsidR="000578D5" w:rsidRPr="00A33AE8">
        <w:rPr>
          <w:rFonts w:asciiTheme="majorHAnsi" w:hAnsiTheme="majorHAnsi" w:cstheme="majorHAnsi"/>
          <w:lang w:val="en-GB"/>
        </w:rPr>
        <w:t>foresee</w:t>
      </w:r>
      <w:r w:rsidR="00446F0A" w:rsidRPr="00A33AE8">
        <w:rPr>
          <w:rFonts w:asciiTheme="majorHAnsi" w:hAnsiTheme="majorHAnsi" w:cstheme="majorHAnsi"/>
          <w:lang w:val="en-GB"/>
        </w:rPr>
        <w:t xml:space="preserve"> any </w:t>
      </w:r>
      <w:r w:rsidRPr="00A33AE8">
        <w:rPr>
          <w:rFonts w:asciiTheme="majorHAnsi" w:hAnsiTheme="majorHAnsi" w:cstheme="majorHAnsi"/>
          <w:lang w:val="en-GB"/>
        </w:rPr>
        <w:t xml:space="preserve">significant sectorial changes that </w:t>
      </w:r>
      <w:r w:rsidR="00446F0A" w:rsidRPr="00A33AE8">
        <w:rPr>
          <w:rFonts w:asciiTheme="majorHAnsi" w:hAnsiTheme="majorHAnsi" w:cstheme="majorHAnsi"/>
          <w:lang w:val="en-GB"/>
        </w:rPr>
        <w:t xml:space="preserve">could impact </w:t>
      </w:r>
      <w:r w:rsidRPr="00A33AE8">
        <w:rPr>
          <w:rFonts w:asciiTheme="majorHAnsi" w:hAnsiTheme="majorHAnsi" w:cstheme="majorHAnsi"/>
          <w:lang w:val="en-GB"/>
        </w:rPr>
        <w:t>the energy syst</w:t>
      </w:r>
      <w:r w:rsidR="00446F0A" w:rsidRPr="00A33AE8">
        <w:rPr>
          <w:rFonts w:asciiTheme="majorHAnsi" w:hAnsiTheme="majorHAnsi" w:cstheme="majorHAnsi"/>
          <w:lang w:val="en-GB"/>
        </w:rPr>
        <w:t>e</w:t>
      </w:r>
      <w:r w:rsidRPr="00A33AE8">
        <w:rPr>
          <w:rFonts w:asciiTheme="majorHAnsi" w:hAnsiTheme="majorHAnsi" w:cstheme="majorHAnsi"/>
          <w:lang w:val="en-GB"/>
        </w:rPr>
        <w:t>m and th</w:t>
      </w:r>
      <w:r w:rsidR="00446F0A" w:rsidRPr="00A33AE8">
        <w:rPr>
          <w:rFonts w:asciiTheme="majorHAnsi" w:hAnsiTheme="majorHAnsi" w:cstheme="majorHAnsi"/>
          <w:lang w:val="en-GB"/>
        </w:rPr>
        <w:t>e</w:t>
      </w:r>
      <w:r w:rsidRPr="00A33AE8">
        <w:rPr>
          <w:rFonts w:asciiTheme="majorHAnsi" w:hAnsiTheme="majorHAnsi" w:cstheme="majorHAnsi"/>
          <w:lang w:val="en-GB"/>
        </w:rPr>
        <w:t xml:space="preserve"> GHG emissions.</w:t>
      </w:r>
    </w:p>
    <w:p w14:paraId="77810761" w14:textId="77777777" w:rsidR="00506B97" w:rsidRPr="00A33AE8" w:rsidRDefault="00506B97" w:rsidP="00884F3B">
      <w:pPr>
        <w:pStyle w:val="Heading4"/>
        <w:numPr>
          <w:ilvl w:val="0"/>
          <w:numId w:val="29"/>
        </w:numPr>
      </w:pPr>
      <w:r w:rsidRPr="00A33AE8">
        <w:t>Global energy trends, international fossil fuel prices, ETS carbon price</w:t>
      </w:r>
    </w:p>
    <w:p w14:paraId="2C051005" w14:textId="636D8650" w:rsidR="00DB34B1" w:rsidRPr="00A33AE8" w:rsidRDefault="004C56F1" w:rsidP="00DB34B1">
      <w:pPr>
        <w:pStyle w:val="LDKbody"/>
        <w:rPr>
          <w:rFonts w:asciiTheme="majorHAnsi" w:hAnsiTheme="majorHAnsi" w:cstheme="majorHAnsi"/>
          <w:lang w:val="en-GB"/>
        </w:rPr>
      </w:pPr>
      <w:r w:rsidRPr="00A33AE8">
        <w:rPr>
          <w:rFonts w:asciiTheme="majorHAnsi" w:hAnsiTheme="majorHAnsi" w:cstheme="majorHAnsi"/>
          <w:lang w:val="en-GB"/>
        </w:rPr>
        <w:t>The latest developments within 2022 in the context of the war in Ukraine and the wider energy crisis in Europe</w:t>
      </w:r>
      <w:r w:rsidR="00DB34B1" w:rsidRPr="00A33AE8">
        <w:rPr>
          <w:rFonts w:asciiTheme="majorHAnsi" w:hAnsiTheme="majorHAnsi" w:cstheme="majorHAnsi"/>
          <w:lang w:val="en-GB"/>
        </w:rPr>
        <w:t xml:space="preserve"> make any price projection </w:t>
      </w:r>
      <w:r w:rsidR="000578D5" w:rsidRPr="00A33AE8">
        <w:rPr>
          <w:rFonts w:asciiTheme="majorHAnsi" w:hAnsiTheme="majorHAnsi" w:cstheme="majorHAnsi"/>
          <w:lang w:val="en-GB"/>
        </w:rPr>
        <w:t>extremely</w:t>
      </w:r>
      <w:r w:rsidR="00DB34B1" w:rsidRPr="00A33AE8">
        <w:rPr>
          <w:rFonts w:asciiTheme="majorHAnsi" w:hAnsiTheme="majorHAnsi" w:cstheme="majorHAnsi"/>
          <w:lang w:val="en-GB"/>
        </w:rPr>
        <w:t xml:space="preserve"> uncertain.</w:t>
      </w:r>
      <w:r w:rsidRPr="00A33AE8">
        <w:rPr>
          <w:rFonts w:asciiTheme="majorHAnsi" w:hAnsiTheme="majorHAnsi" w:cstheme="majorHAnsi"/>
          <w:lang w:val="en-GB"/>
        </w:rPr>
        <w:t xml:space="preserve"> Within this uncertain situation,</w:t>
      </w:r>
      <w:r w:rsidR="00DB34B1" w:rsidRPr="00A33AE8">
        <w:rPr>
          <w:rFonts w:asciiTheme="majorHAnsi" w:hAnsiTheme="majorHAnsi" w:cstheme="majorHAnsi"/>
          <w:lang w:val="en-GB"/>
        </w:rPr>
        <w:t xml:space="preserve"> the </w:t>
      </w:r>
      <w:r w:rsidR="00C45C75">
        <w:rPr>
          <w:rFonts w:asciiTheme="majorHAnsi" w:hAnsiTheme="majorHAnsi" w:cstheme="majorHAnsi"/>
          <w:lang w:val="en-GB"/>
        </w:rPr>
        <w:t>I</w:t>
      </w:r>
      <w:r w:rsidR="00DB34B1" w:rsidRPr="00A33AE8">
        <w:rPr>
          <w:rFonts w:asciiTheme="majorHAnsi" w:hAnsiTheme="majorHAnsi" w:cstheme="majorHAnsi"/>
          <w:lang w:val="en-GB"/>
        </w:rPr>
        <w:t>NECP analysis was performed using the projections of international gas prices according to the study “</w:t>
      </w:r>
      <w:r w:rsidR="007E347E" w:rsidRPr="00A33AE8">
        <w:rPr>
          <w:rFonts w:asciiTheme="majorHAnsi" w:hAnsiTheme="majorHAnsi" w:cstheme="majorHAnsi"/>
          <w:lang w:val="en-GB"/>
        </w:rPr>
        <w:t>Recommended parameters for reporting on GHG projections in 2023, EC DG Climate Action</w:t>
      </w:r>
      <w:r w:rsidR="00DB34B1" w:rsidRPr="00A33AE8">
        <w:rPr>
          <w:rFonts w:asciiTheme="majorHAnsi" w:hAnsiTheme="majorHAnsi" w:cstheme="majorHAnsi"/>
          <w:lang w:val="en-GB"/>
        </w:rPr>
        <w:t>’’</w:t>
      </w:r>
      <w:r w:rsidR="00081D7A" w:rsidRPr="00A33AE8">
        <w:rPr>
          <w:rFonts w:asciiTheme="majorHAnsi" w:hAnsiTheme="majorHAnsi" w:cstheme="majorHAnsi"/>
          <w:lang w:val="en-GB"/>
        </w:rPr>
        <w:t xml:space="preserve"> </w:t>
      </w:r>
      <w:r w:rsidR="00DB34B1" w:rsidRPr="00A33AE8">
        <w:rPr>
          <w:rFonts w:asciiTheme="majorHAnsi" w:hAnsiTheme="majorHAnsi" w:cstheme="majorHAnsi"/>
          <w:lang w:val="en-GB"/>
        </w:rPr>
        <w:t xml:space="preserve">which was </w:t>
      </w:r>
      <w:r w:rsidR="00D223E8" w:rsidRPr="00A33AE8">
        <w:rPr>
          <w:rFonts w:asciiTheme="majorHAnsi" w:hAnsiTheme="majorHAnsi" w:cstheme="majorHAnsi"/>
          <w:lang w:val="en-GB"/>
        </w:rPr>
        <w:t>provided</w:t>
      </w:r>
      <w:r w:rsidR="00DB34B1" w:rsidRPr="00A33AE8">
        <w:rPr>
          <w:rFonts w:asciiTheme="majorHAnsi" w:hAnsiTheme="majorHAnsi" w:cstheme="majorHAnsi"/>
          <w:lang w:val="en-GB"/>
        </w:rPr>
        <w:t xml:space="preserve"> by the EU in order to support </w:t>
      </w:r>
      <w:r w:rsidR="007E347E" w:rsidRPr="00A33AE8">
        <w:rPr>
          <w:rFonts w:asciiTheme="majorHAnsi" w:hAnsiTheme="majorHAnsi" w:cstheme="majorHAnsi"/>
          <w:lang w:val="en-GB"/>
        </w:rPr>
        <w:t xml:space="preserve">Member States and other bodies in the EU (e.g. </w:t>
      </w:r>
      <w:r w:rsidR="00DB34B1" w:rsidRPr="00A33AE8">
        <w:rPr>
          <w:rFonts w:asciiTheme="majorHAnsi" w:hAnsiTheme="majorHAnsi" w:cstheme="majorHAnsi"/>
          <w:lang w:val="en-GB"/>
        </w:rPr>
        <w:t>the EnC Secretariat</w:t>
      </w:r>
      <w:r w:rsidR="007E347E" w:rsidRPr="00A33AE8">
        <w:rPr>
          <w:rFonts w:asciiTheme="majorHAnsi" w:hAnsiTheme="majorHAnsi" w:cstheme="majorHAnsi"/>
          <w:lang w:val="en-GB"/>
        </w:rPr>
        <w:t>)</w:t>
      </w:r>
      <w:r w:rsidR="00DB34B1" w:rsidRPr="00A33AE8">
        <w:rPr>
          <w:rFonts w:asciiTheme="majorHAnsi" w:hAnsiTheme="majorHAnsi" w:cstheme="majorHAnsi"/>
          <w:lang w:val="en-GB"/>
        </w:rPr>
        <w:t xml:space="preserve"> to </w:t>
      </w:r>
      <w:r w:rsidR="00D223E8" w:rsidRPr="00A33AE8">
        <w:rPr>
          <w:rFonts w:asciiTheme="majorHAnsi" w:hAnsiTheme="majorHAnsi" w:cstheme="majorHAnsi"/>
          <w:lang w:val="en-GB"/>
        </w:rPr>
        <w:t xml:space="preserve">revise their </w:t>
      </w:r>
      <w:r w:rsidR="00C45C75">
        <w:rPr>
          <w:rFonts w:asciiTheme="majorHAnsi" w:hAnsiTheme="majorHAnsi" w:cstheme="majorHAnsi"/>
          <w:lang w:val="en-GB"/>
        </w:rPr>
        <w:t>I</w:t>
      </w:r>
      <w:r w:rsidR="00D223E8" w:rsidRPr="00A33AE8">
        <w:rPr>
          <w:rFonts w:asciiTheme="majorHAnsi" w:hAnsiTheme="majorHAnsi" w:cstheme="majorHAnsi"/>
          <w:lang w:val="en-GB"/>
        </w:rPr>
        <w:t>NECPs</w:t>
      </w:r>
      <w:r w:rsidR="00DB34B1" w:rsidRPr="00A33AE8">
        <w:rPr>
          <w:rFonts w:asciiTheme="majorHAnsi" w:hAnsiTheme="majorHAnsi" w:cstheme="majorHAnsi"/>
          <w:lang w:val="en-GB"/>
        </w:rPr>
        <w:t>.</w:t>
      </w:r>
    </w:p>
    <w:p w14:paraId="59446C5A" w14:textId="77777777" w:rsidR="005355C6" w:rsidRPr="00A33AE8" w:rsidRDefault="005355C6" w:rsidP="000007D2">
      <w:pPr>
        <w:pStyle w:val="Caption"/>
      </w:pPr>
      <w:r w:rsidRPr="00A33AE8">
        <w:t>Table 4.3: International fuel prices projections to 2050</w:t>
      </w:r>
    </w:p>
    <w:tbl>
      <w:tblPr>
        <w:tblW w:w="7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72"/>
        <w:gridCol w:w="828"/>
        <w:gridCol w:w="828"/>
        <w:gridCol w:w="828"/>
        <w:gridCol w:w="828"/>
        <w:gridCol w:w="828"/>
        <w:gridCol w:w="828"/>
      </w:tblGrid>
      <w:tr w:rsidR="00DB34B1" w:rsidRPr="00A33AE8" w14:paraId="25034432" w14:textId="77777777" w:rsidTr="007A0028">
        <w:trPr>
          <w:trHeight w:val="300"/>
          <w:jc w:val="center"/>
        </w:trPr>
        <w:tc>
          <w:tcPr>
            <w:tcW w:w="1952" w:type="dxa"/>
            <w:tcBorders>
              <w:top w:val="single" w:sz="4" w:space="0" w:color="auto"/>
              <w:left w:val="single" w:sz="4" w:space="0" w:color="auto"/>
              <w:bottom w:val="single" w:sz="4" w:space="0" w:color="auto"/>
              <w:right w:val="single" w:sz="4" w:space="0" w:color="auto"/>
            </w:tcBorders>
            <w:noWrap/>
            <w:vAlign w:val="bottom"/>
            <w:hideMark/>
          </w:tcPr>
          <w:p w14:paraId="30FD9F0C" w14:textId="77777777" w:rsidR="00DB34B1" w:rsidRPr="00A33AE8" w:rsidRDefault="00DB34B1" w:rsidP="005F342E">
            <w:pPr>
              <w:spacing w:after="0" w:line="240" w:lineRule="auto"/>
              <w:rPr>
                <w:rFonts w:cstheme="minorHAnsi"/>
                <w:b/>
                <w:bCs/>
                <w:lang w:eastAsia="en-GB"/>
              </w:rPr>
            </w:pPr>
            <w:r w:rsidRPr="00A33AE8">
              <w:rPr>
                <w:rFonts w:cstheme="minorHAnsi"/>
                <w:b/>
                <w:bCs/>
                <w:lang w:eastAsia="en-GB"/>
              </w:rPr>
              <w:t>Euro2015/GJ</w:t>
            </w:r>
          </w:p>
        </w:tc>
        <w:tc>
          <w:tcPr>
            <w:tcW w:w="772" w:type="dxa"/>
            <w:tcBorders>
              <w:top w:val="single" w:sz="4" w:space="0" w:color="auto"/>
              <w:left w:val="single" w:sz="4" w:space="0" w:color="auto"/>
              <w:bottom w:val="single" w:sz="4" w:space="0" w:color="auto"/>
              <w:right w:val="single" w:sz="4" w:space="0" w:color="auto"/>
            </w:tcBorders>
            <w:noWrap/>
            <w:vAlign w:val="bottom"/>
            <w:hideMark/>
          </w:tcPr>
          <w:p w14:paraId="0CCB6DD9"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2020</w:t>
            </w:r>
          </w:p>
        </w:tc>
        <w:tc>
          <w:tcPr>
            <w:tcW w:w="828" w:type="dxa"/>
            <w:tcBorders>
              <w:top w:val="single" w:sz="4" w:space="0" w:color="auto"/>
              <w:left w:val="single" w:sz="4" w:space="0" w:color="auto"/>
              <w:bottom w:val="single" w:sz="4" w:space="0" w:color="auto"/>
              <w:right w:val="single" w:sz="4" w:space="0" w:color="auto"/>
            </w:tcBorders>
            <w:noWrap/>
            <w:vAlign w:val="bottom"/>
            <w:hideMark/>
          </w:tcPr>
          <w:p w14:paraId="7341D32E"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2025</w:t>
            </w:r>
          </w:p>
        </w:tc>
        <w:tc>
          <w:tcPr>
            <w:tcW w:w="828" w:type="dxa"/>
            <w:tcBorders>
              <w:top w:val="single" w:sz="4" w:space="0" w:color="auto"/>
              <w:left w:val="single" w:sz="4" w:space="0" w:color="auto"/>
              <w:bottom w:val="single" w:sz="4" w:space="0" w:color="auto"/>
              <w:right w:val="single" w:sz="4" w:space="0" w:color="auto"/>
            </w:tcBorders>
            <w:noWrap/>
            <w:vAlign w:val="bottom"/>
            <w:hideMark/>
          </w:tcPr>
          <w:p w14:paraId="3F4F7223"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2030</w:t>
            </w:r>
          </w:p>
        </w:tc>
        <w:tc>
          <w:tcPr>
            <w:tcW w:w="828" w:type="dxa"/>
            <w:tcBorders>
              <w:top w:val="single" w:sz="4" w:space="0" w:color="auto"/>
              <w:left w:val="single" w:sz="4" w:space="0" w:color="auto"/>
              <w:bottom w:val="single" w:sz="4" w:space="0" w:color="auto"/>
              <w:right w:val="single" w:sz="4" w:space="0" w:color="auto"/>
            </w:tcBorders>
            <w:noWrap/>
            <w:vAlign w:val="bottom"/>
            <w:hideMark/>
          </w:tcPr>
          <w:p w14:paraId="65DA8E3E"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2035</w:t>
            </w:r>
          </w:p>
        </w:tc>
        <w:tc>
          <w:tcPr>
            <w:tcW w:w="828" w:type="dxa"/>
            <w:tcBorders>
              <w:top w:val="single" w:sz="4" w:space="0" w:color="auto"/>
              <w:left w:val="single" w:sz="4" w:space="0" w:color="auto"/>
              <w:bottom w:val="single" w:sz="4" w:space="0" w:color="auto"/>
              <w:right w:val="single" w:sz="4" w:space="0" w:color="auto"/>
            </w:tcBorders>
            <w:noWrap/>
            <w:vAlign w:val="bottom"/>
            <w:hideMark/>
          </w:tcPr>
          <w:p w14:paraId="0C8FBF16"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2040</w:t>
            </w:r>
          </w:p>
        </w:tc>
        <w:tc>
          <w:tcPr>
            <w:tcW w:w="828" w:type="dxa"/>
            <w:tcBorders>
              <w:top w:val="single" w:sz="4" w:space="0" w:color="auto"/>
              <w:left w:val="single" w:sz="4" w:space="0" w:color="auto"/>
              <w:bottom w:val="single" w:sz="4" w:space="0" w:color="auto"/>
              <w:right w:val="single" w:sz="4" w:space="0" w:color="auto"/>
            </w:tcBorders>
            <w:noWrap/>
            <w:vAlign w:val="bottom"/>
            <w:hideMark/>
          </w:tcPr>
          <w:p w14:paraId="01A26B50"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2045</w:t>
            </w:r>
          </w:p>
        </w:tc>
        <w:tc>
          <w:tcPr>
            <w:tcW w:w="828" w:type="dxa"/>
            <w:tcBorders>
              <w:top w:val="single" w:sz="4" w:space="0" w:color="auto"/>
              <w:left w:val="single" w:sz="4" w:space="0" w:color="auto"/>
              <w:bottom w:val="single" w:sz="4" w:space="0" w:color="auto"/>
              <w:right w:val="single" w:sz="4" w:space="0" w:color="auto"/>
            </w:tcBorders>
            <w:noWrap/>
            <w:vAlign w:val="bottom"/>
            <w:hideMark/>
          </w:tcPr>
          <w:p w14:paraId="4EFB9801" w14:textId="77777777" w:rsidR="00DB34B1" w:rsidRPr="00A33AE8" w:rsidRDefault="00DB34B1" w:rsidP="005F342E">
            <w:pPr>
              <w:spacing w:after="0" w:line="240" w:lineRule="auto"/>
              <w:jc w:val="right"/>
              <w:rPr>
                <w:rFonts w:cstheme="minorHAnsi"/>
                <w:b/>
                <w:bCs/>
                <w:lang w:eastAsia="en-GB"/>
              </w:rPr>
            </w:pPr>
            <w:r w:rsidRPr="00A33AE8">
              <w:rPr>
                <w:rFonts w:cstheme="minorHAnsi"/>
                <w:b/>
                <w:bCs/>
                <w:lang w:eastAsia="en-GB"/>
              </w:rPr>
              <w:t>2050</w:t>
            </w:r>
          </w:p>
        </w:tc>
      </w:tr>
      <w:tr w:rsidR="00DB34B1" w:rsidRPr="00A33AE8" w14:paraId="4830C933" w14:textId="77777777" w:rsidTr="007A0028">
        <w:trPr>
          <w:trHeight w:val="300"/>
          <w:jc w:val="center"/>
        </w:trPr>
        <w:tc>
          <w:tcPr>
            <w:tcW w:w="1952" w:type="dxa"/>
            <w:tcBorders>
              <w:top w:val="single" w:sz="4" w:space="0" w:color="auto"/>
              <w:left w:val="single" w:sz="4" w:space="0" w:color="auto"/>
              <w:bottom w:val="single" w:sz="4" w:space="0" w:color="auto"/>
              <w:right w:val="single" w:sz="4" w:space="0" w:color="auto"/>
            </w:tcBorders>
            <w:noWrap/>
            <w:vAlign w:val="bottom"/>
            <w:hideMark/>
          </w:tcPr>
          <w:p w14:paraId="095BEB57" w14:textId="77777777" w:rsidR="00DB34B1" w:rsidRPr="00A33AE8" w:rsidRDefault="00DB34B1" w:rsidP="005F342E">
            <w:pPr>
              <w:spacing w:after="0" w:line="240" w:lineRule="auto"/>
              <w:rPr>
                <w:rFonts w:cstheme="minorHAnsi"/>
                <w:lang w:eastAsia="en-GB"/>
              </w:rPr>
            </w:pPr>
            <w:r w:rsidRPr="00A33AE8">
              <w:rPr>
                <w:rFonts w:cstheme="minorHAnsi"/>
                <w:lang w:eastAsia="en-GB"/>
              </w:rPr>
              <w:t>Crude Oil</w:t>
            </w:r>
          </w:p>
        </w:tc>
        <w:tc>
          <w:tcPr>
            <w:tcW w:w="772" w:type="dxa"/>
            <w:tcBorders>
              <w:top w:val="single" w:sz="4" w:space="0" w:color="auto"/>
              <w:left w:val="single" w:sz="4" w:space="0" w:color="auto"/>
              <w:bottom w:val="single" w:sz="4" w:space="0" w:color="auto"/>
              <w:right w:val="single" w:sz="4" w:space="0" w:color="auto"/>
            </w:tcBorders>
            <w:noWrap/>
            <w:hideMark/>
          </w:tcPr>
          <w:p w14:paraId="26600C6C" w14:textId="77777777" w:rsidR="00DB34B1" w:rsidRPr="00A33AE8" w:rsidRDefault="000830A3" w:rsidP="005F342E">
            <w:pPr>
              <w:spacing w:after="0" w:line="240" w:lineRule="auto"/>
              <w:jc w:val="right"/>
              <w:rPr>
                <w:rFonts w:cstheme="minorHAnsi"/>
                <w:lang w:eastAsia="en-GB"/>
              </w:rPr>
            </w:pPr>
            <w:r w:rsidRPr="00A33AE8">
              <w:t xml:space="preserve"> 6.04 </w:t>
            </w:r>
          </w:p>
        </w:tc>
        <w:tc>
          <w:tcPr>
            <w:tcW w:w="828" w:type="dxa"/>
            <w:tcBorders>
              <w:top w:val="single" w:sz="4" w:space="0" w:color="auto"/>
              <w:left w:val="single" w:sz="4" w:space="0" w:color="auto"/>
              <w:bottom w:val="single" w:sz="4" w:space="0" w:color="auto"/>
              <w:right w:val="single" w:sz="4" w:space="0" w:color="auto"/>
            </w:tcBorders>
            <w:noWrap/>
            <w:hideMark/>
          </w:tcPr>
          <w:p w14:paraId="4DC95E54" w14:textId="77777777" w:rsidR="00DB34B1" w:rsidRPr="00A33AE8" w:rsidRDefault="000830A3" w:rsidP="005F342E">
            <w:pPr>
              <w:spacing w:after="0" w:line="240" w:lineRule="auto"/>
              <w:jc w:val="right"/>
              <w:rPr>
                <w:rFonts w:cstheme="minorHAnsi"/>
                <w:lang w:eastAsia="en-GB"/>
              </w:rPr>
            </w:pPr>
            <w:r w:rsidRPr="00A33AE8">
              <w:t xml:space="preserve"> 14.54 </w:t>
            </w:r>
          </w:p>
        </w:tc>
        <w:tc>
          <w:tcPr>
            <w:tcW w:w="828" w:type="dxa"/>
            <w:tcBorders>
              <w:top w:val="single" w:sz="4" w:space="0" w:color="auto"/>
              <w:left w:val="single" w:sz="4" w:space="0" w:color="auto"/>
              <w:bottom w:val="single" w:sz="4" w:space="0" w:color="auto"/>
              <w:right w:val="single" w:sz="4" w:space="0" w:color="auto"/>
            </w:tcBorders>
            <w:noWrap/>
            <w:hideMark/>
          </w:tcPr>
          <w:p w14:paraId="4134A737" w14:textId="77777777" w:rsidR="00DB34B1" w:rsidRPr="00A33AE8" w:rsidRDefault="000830A3" w:rsidP="005F342E">
            <w:pPr>
              <w:spacing w:after="0" w:line="240" w:lineRule="auto"/>
              <w:jc w:val="right"/>
              <w:rPr>
                <w:rFonts w:cstheme="minorHAnsi"/>
                <w:lang w:eastAsia="en-GB"/>
              </w:rPr>
            </w:pPr>
            <w:r w:rsidRPr="00A33AE8">
              <w:t xml:space="preserve"> 14.54 </w:t>
            </w:r>
          </w:p>
        </w:tc>
        <w:tc>
          <w:tcPr>
            <w:tcW w:w="828" w:type="dxa"/>
            <w:tcBorders>
              <w:top w:val="single" w:sz="4" w:space="0" w:color="auto"/>
              <w:left w:val="single" w:sz="4" w:space="0" w:color="auto"/>
              <w:bottom w:val="single" w:sz="4" w:space="0" w:color="auto"/>
              <w:right w:val="single" w:sz="4" w:space="0" w:color="auto"/>
            </w:tcBorders>
            <w:noWrap/>
            <w:hideMark/>
          </w:tcPr>
          <w:p w14:paraId="1BFFB5A2"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14.</w:t>
            </w:r>
            <w:r w:rsidRPr="00A33AE8">
              <w:t xml:space="preserve">54 </w:t>
            </w:r>
          </w:p>
        </w:tc>
        <w:tc>
          <w:tcPr>
            <w:tcW w:w="828" w:type="dxa"/>
            <w:tcBorders>
              <w:top w:val="single" w:sz="4" w:space="0" w:color="auto"/>
              <w:left w:val="single" w:sz="4" w:space="0" w:color="auto"/>
              <w:bottom w:val="single" w:sz="4" w:space="0" w:color="auto"/>
              <w:right w:val="single" w:sz="4" w:space="0" w:color="auto"/>
            </w:tcBorders>
            <w:noWrap/>
            <w:hideMark/>
          </w:tcPr>
          <w:p w14:paraId="3BE7DAB9"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15.</w:t>
            </w:r>
            <w:r w:rsidRPr="00A33AE8">
              <w:t xml:space="preserve">39 </w:t>
            </w:r>
          </w:p>
        </w:tc>
        <w:tc>
          <w:tcPr>
            <w:tcW w:w="828" w:type="dxa"/>
            <w:tcBorders>
              <w:top w:val="single" w:sz="4" w:space="0" w:color="auto"/>
              <w:left w:val="single" w:sz="4" w:space="0" w:color="auto"/>
              <w:bottom w:val="single" w:sz="4" w:space="0" w:color="auto"/>
              <w:right w:val="single" w:sz="4" w:space="0" w:color="auto"/>
            </w:tcBorders>
            <w:noWrap/>
            <w:hideMark/>
          </w:tcPr>
          <w:p w14:paraId="48BEC100"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16.</w:t>
            </w:r>
            <w:r w:rsidRPr="00A33AE8">
              <w:t xml:space="preserve">61 </w:t>
            </w:r>
          </w:p>
        </w:tc>
        <w:tc>
          <w:tcPr>
            <w:tcW w:w="828" w:type="dxa"/>
            <w:tcBorders>
              <w:top w:val="single" w:sz="4" w:space="0" w:color="auto"/>
              <w:left w:val="single" w:sz="4" w:space="0" w:color="auto"/>
              <w:bottom w:val="single" w:sz="4" w:space="0" w:color="auto"/>
              <w:right w:val="single" w:sz="4" w:space="0" w:color="auto"/>
            </w:tcBorders>
            <w:noWrap/>
            <w:hideMark/>
          </w:tcPr>
          <w:p w14:paraId="58FEF603" w14:textId="77777777" w:rsidR="00DB34B1" w:rsidRPr="00A33AE8" w:rsidRDefault="000830A3" w:rsidP="005F342E">
            <w:pPr>
              <w:spacing w:after="0" w:line="240" w:lineRule="auto"/>
              <w:jc w:val="right"/>
              <w:rPr>
                <w:rFonts w:cstheme="minorHAnsi"/>
                <w:lang w:eastAsia="en-GB"/>
              </w:rPr>
            </w:pPr>
            <w:r w:rsidRPr="00A33AE8">
              <w:t xml:space="preserve"> 18.60 </w:t>
            </w:r>
          </w:p>
        </w:tc>
      </w:tr>
      <w:tr w:rsidR="00DB34B1" w:rsidRPr="00A33AE8" w14:paraId="677ED912" w14:textId="77777777" w:rsidTr="007A0028">
        <w:trPr>
          <w:trHeight w:val="300"/>
          <w:jc w:val="center"/>
        </w:trPr>
        <w:tc>
          <w:tcPr>
            <w:tcW w:w="1952" w:type="dxa"/>
            <w:tcBorders>
              <w:top w:val="single" w:sz="4" w:space="0" w:color="auto"/>
              <w:left w:val="single" w:sz="4" w:space="0" w:color="auto"/>
              <w:bottom w:val="single" w:sz="4" w:space="0" w:color="auto"/>
              <w:right w:val="single" w:sz="4" w:space="0" w:color="auto"/>
            </w:tcBorders>
            <w:noWrap/>
            <w:vAlign w:val="bottom"/>
            <w:hideMark/>
          </w:tcPr>
          <w:p w14:paraId="12A389E3" w14:textId="77777777" w:rsidR="00DB34B1" w:rsidRPr="00A33AE8" w:rsidRDefault="00DB34B1" w:rsidP="005F342E">
            <w:pPr>
              <w:spacing w:after="0" w:line="240" w:lineRule="auto"/>
              <w:rPr>
                <w:rFonts w:cstheme="minorHAnsi"/>
                <w:lang w:eastAsia="en-GB"/>
              </w:rPr>
            </w:pPr>
            <w:r w:rsidRPr="00A33AE8">
              <w:rPr>
                <w:rFonts w:cstheme="minorHAnsi"/>
                <w:lang w:eastAsia="en-GB"/>
              </w:rPr>
              <w:t>Natural Gas</w:t>
            </w:r>
          </w:p>
        </w:tc>
        <w:tc>
          <w:tcPr>
            <w:tcW w:w="772" w:type="dxa"/>
            <w:tcBorders>
              <w:top w:val="single" w:sz="4" w:space="0" w:color="auto"/>
              <w:left w:val="single" w:sz="4" w:space="0" w:color="auto"/>
              <w:bottom w:val="single" w:sz="4" w:space="0" w:color="auto"/>
              <w:right w:val="single" w:sz="4" w:space="0" w:color="auto"/>
            </w:tcBorders>
            <w:noWrap/>
            <w:hideMark/>
          </w:tcPr>
          <w:p w14:paraId="26ED9392" w14:textId="77777777" w:rsidR="00DB34B1" w:rsidRPr="00A33AE8" w:rsidRDefault="000830A3" w:rsidP="005F342E">
            <w:pPr>
              <w:spacing w:after="0" w:line="240" w:lineRule="auto"/>
              <w:jc w:val="right"/>
              <w:rPr>
                <w:rFonts w:cstheme="minorHAnsi"/>
                <w:lang w:eastAsia="en-GB"/>
              </w:rPr>
            </w:pPr>
            <w:r w:rsidRPr="00A33AE8">
              <w:t xml:space="preserve"> 2.93 </w:t>
            </w:r>
          </w:p>
        </w:tc>
        <w:tc>
          <w:tcPr>
            <w:tcW w:w="828" w:type="dxa"/>
            <w:tcBorders>
              <w:top w:val="single" w:sz="4" w:space="0" w:color="auto"/>
              <w:left w:val="single" w:sz="4" w:space="0" w:color="auto"/>
              <w:bottom w:val="single" w:sz="4" w:space="0" w:color="auto"/>
              <w:right w:val="single" w:sz="4" w:space="0" w:color="auto"/>
            </w:tcBorders>
            <w:noWrap/>
            <w:hideMark/>
          </w:tcPr>
          <w:p w14:paraId="0343142C" w14:textId="77777777" w:rsidR="00DB34B1" w:rsidRPr="00A33AE8" w:rsidRDefault="000830A3" w:rsidP="005F342E">
            <w:pPr>
              <w:spacing w:after="0" w:line="240" w:lineRule="auto"/>
              <w:jc w:val="right"/>
              <w:rPr>
                <w:rFonts w:cstheme="minorHAnsi"/>
                <w:lang w:eastAsia="en-GB"/>
              </w:rPr>
            </w:pPr>
            <w:r w:rsidRPr="00A33AE8">
              <w:t xml:space="preserve"> 12.46 </w:t>
            </w:r>
          </w:p>
        </w:tc>
        <w:tc>
          <w:tcPr>
            <w:tcW w:w="828" w:type="dxa"/>
            <w:tcBorders>
              <w:top w:val="single" w:sz="4" w:space="0" w:color="auto"/>
              <w:left w:val="single" w:sz="4" w:space="0" w:color="auto"/>
              <w:bottom w:val="single" w:sz="4" w:space="0" w:color="auto"/>
              <w:right w:val="single" w:sz="4" w:space="0" w:color="auto"/>
            </w:tcBorders>
            <w:noWrap/>
            <w:hideMark/>
          </w:tcPr>
          <w:p w14:paraId="3F697E14" w14:textId="77777777" w:rsidR="00DB34B1" w:rsidRPr="00A33AE8" w:rsidRDefault="000830A3" w:rsidP="005F342E">
            <w:pPr>
              <w:spacing w:after="0" w:line="240" w:lineRule="auto"/>
              <w:jc w:val="right"/>
              <w:rPr>
                <w:rFonts w:cstheme="minorHAnsi"/>
                <w:lang w:eastAsia="en-GB"/>
              </w:rPr>
            </w:pPr>
            <w:r w:rsidRPr="00A33AE8">
              <w:t xml:space="preserve"> 10.67 </w:t>
            </w:r>
          </w:p>
        </w:tc>
        <w:tc>
          <w:tcPr>
            <w:tcW w:w="828" w:type="dxa"/>
            <w:tcBorders>
              <w:top w:val="single" w:sz="4" w:space="0" w:color="auto"/>
              <w:left w:val="single" w:sz="4" w:space="0" w:color="auto"/>
              <w:bottom w:val="single" w:sz="4" w:space="0" w:color="auto"/>
              <w:right w:val="single" w:sz="4" w:space="0" w:color="auto"/>
            </w:tcBorders>
            <w:noWrap/>
            <w:hideMark/>
          </w:tcPr>
          <w:p w14:paraId="4D16918B" w14:textId="77777777" w:rsidR="00DB34B1" w:rsidRPr="00A33AE8" w:rsidRDefault="000830A3" w:rsidP="005F342E">
            <w:pPr>
              <w:spacing w:after="0" w:line="240" w:lineRule="auto"/>
              <w:jc w:val="right"/>
              <w:rPr>
                <w:rFonts w:cstheme="minorHAnsi"/>
                <w:lang w:eastAsia="en-GB"/>
              </w:rPr>
            </w:pPr>
            <w:r w:rsidRPr="00A33AE8">
              <w:t xml:space="preserve"> 10.67 </w:t>
            </w:r>
          </w:p>
        </w:tc>
        <w:tc>
          <w:tcPr>
            <w:tcW w:w="828" w:type="dxa"/>
            <w:tcBorders>
              <w:top w:val="single" w:sz="4" w:space="0" w:color="auto"/>
              <w:left w:val="single" w:sz="4" w:space="0" w:color="auto"/>
              <w:bottom w:val="single" w:sz="4" w:space="0" w:color="auto"/>
              <w:right w:val="single" w:sz="4" w:space="0" w:color="auto"/>
            </w:tcBorders>
            <w:noWrap/>
            <w:hideMark/>
          </w:tcPr>
          <w:p w14:paraId="75DA6EE3" w14:textId="77777777" w:rsidR="00DB34B1" w:rsidRPr="00A33AE8" w:rsidRDefault="000830A3" w:rsidP="005F342E">
            <w:pPr>
              <w:spacing w:after="0" w:line="240" w:lineRule="auto"/>
              <w:jc w:val="right"/>
              <w:rPr>
                <w:rFonts w:cstheme="minorHAnsi"/>
                <w:lang w:eastAsia="en-GB"/>
              </w:rPr>
            </w:pPr>
            <w:r w:rsidRPr="00A33AE8">
              <w:t xml:space="preserve"> 10.67 </w:t>
            </w:r>
          </w:p>
        </w:tc>
        <w:tc>
          <w:tcPr>
            <w:tcW w:w="828" w:type="dxa"/>
            <w:tcBorders>
              <w:top w:val="single" w:sz="4" w:space="0" w:color="auto"/>
              <w:left w:val="single" w:sz="4" w:space="0" w:color="auto"/>
              <w:bottom w:val="single" w:sz="4" w:space="0" w:color="auto"/>
              <w:right w:val="single" w:sz="4" w:space="0" w:color="auto"/>
            </w:tcBorders>
            <w:noWrap/>
            <w:hideMark/>
          </w:tcPr>
          <w:p w14:paraId="57DD0229" w14:textId="77777777" w:rsidR="00DB34B1" w:rsidRPr="00A33AE8" w:rsidRDefault="000830A3" w:rsidP="005F342E">
            <w:pPr>
              <w:spacing w:after="0" w:line="240" w:lineRule="auto"/>
              <w:jc w:val="right"/>
              <w:rPr>
                <w:rFonts w:cstheme="minorHAnsi"/>
                <w:lang w:eastAsia="en-GB"/>
              </w:rPr>
            </w:pPr>
            <w:r w:rsidRPr="00A33AE8">
              <w:t xml:space="preserve"> 10.67 </w:t>
            </w:r>
          </w:p>
        </w:tc>
        <w:tc>
          <w:tcPr>
            <w:tcW w:w="828" w:type="dxa"/>
            <w:tcBorders>
              <w:top w:val="single" w:sz="4" w:space="0" w:color="auto"/>
              <w:left w:val="single" w:sz="4" w:space="0" w:color="auto"/>
              <w:bottom w:val="single" w:sz="4" w:space="0" w:color="auto"/>
              <w:right w:val="single" w:sz="4" w:space="0" w:color="auto"/>
            </w:tcBorders>
            <w:noWrap/>
            <w:hideMark/>
          </w:tcPr>
          <w:p w14:paraId="54A8B6EF" w14:textId="77777777" w:rsidR="00DB34B1" w:rsidRPr="00A33AE8" w:rsidRDefault="000830A3" w:rsidP="005F342E">
            <w:pPr>
              <w:spacing w:after="0" w:line="240" w:lineRule="auto"/>
              <w:jc w:val="right"/>
              <w:rPr>
                <w:rFonts w:cstheme="minorHAnsi"/>
                <w:lang w:eastAsia="en-GB"/>
              </w:rPr>
            </w:pPr>
            <w:r w:rsidRPr="00A33AE8">
              <w:t xml:space="preserve"> 11.14 </w:t>
            </w:r>
          </w:p>
        </w:tc>
      </w:tr>
      <w:tr w:rsidR="00DB34B1" w:rsidRPr="00A33AE8" w14:paraId="24012BCD" w14:textId="77777777" w:rsidTr="007A0028">
        <w:trPr>
          <w:trHeight w:val="300"/>
          <w:jc w:val="center"/>
        </w:trPr>
        <w:tc>
          <w:tcPr>
            <w:tcW w:w="1952" w:type="dxa"/>
            <w:tcBorders>
              <w:top w:val="single" w:sz="4" w:space="0" w:color="auto"/>
              <w:left w:val="single" w:sz="4" w:space="0" w:color="auto"/>
              <w:bottom w:val="single" w:sz="4" w:space="0" w:color="auto"/>
              <w:right w:val="single" w:sz="4" w:space="0" w:color="auto"/>
            </w:tcBorders>
            <w:noWrap/>
            <w:vAlign w:val="bottom"/>
            <w:hideMark/>
          </w:tcPr>
          <w:p w14:paraId="085A771C" w14:textId="77777777" w:rsidR="00DB34B1" w:rsidRPr="00A33AE8" w:rsidRDefault="00DB34B1" w:rsidP="005F342E">
            <w:pPr>
              <w:spacing w:after="0" w:line="240" w:lineRule="auto"/>
              <w:rPr>
                <w:rFonts w:cstheme="minorHAnsi"/>
                <w:lang w:eastAsia="en-GB"/>
              </w:rPr>
            </w:pPr>
            <w:r w:rsidRPr="00A33AE8">
              <w:rPr>
                <w:rFonts w:cstheme="minorHAnsi"/>
                <w:lang w:eastAsia="en-GB"/>
              </w:rPr>
              <w:t>Hard Coal</w:t>
            </w:r>
          </w:p>
        </w:tc>
        <w:tc>
          <w:tcPr>
            <w:tcW w:w="772" w:type="dxa"/>
            <w:tcBorders>
              <w:top w:val="single" w:sz="4" w:space="0" w:color="auto"/>
              <w:left w:val="single" w:sz="4" w:space="0" w:color="auto"/>
              <w:bottom w:val="single" w:sz="4" w:space="0" w:color="auto"/>
              <w:right w:val="single" w:sz="4" w:space="0" w:color="auto"/>
            </w:tcBorders>
            <w:noWrap/>
            <w:hideMark/>
          </w:tcPr>
          <w:p w14:paraId="11983269"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1.</w:t>
            </w:r>
            <w:r w:rsidRPr="00A33AE8">
              <w:t xml:space="preserve">51 </w:t>
            </w:r>
          </w:p>
        </w:tc>
        <w:tc>
          <w:tcPr>
            <w:tcW w:w="828" w:type="dxa"/>
            <w:tcBorders>
              <w:top w:val="single" w:sz="4" w:space="0" w:color="auto"/>
              <w:left w:val="single" w:sz="4" w:space="0" w:color="auto"/>
              <w:bottom w:val="single" w:sz="4" w:space="0" w:color="auto"/>
              <w:right w:val="single" w:sz="4" w:space="0" w:color="auto"/>
            </w:tcBorders>
            <w:noWrap/>
            <w:hideMark/>
          </w:tcPr>
          <w:p w14:paraId="16D29354"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2.</w:t>
            </w:r>
            <w:r w:rsidRPr="00A33AE8">
              <w:t xml:space="preserve">93 </w:t>
            </w:r>
          </w:p>
        </w:tc>
        <w:tc>
          <w:tcPr>
            <w:tcW w:w="828" w:type="dxa"/>
            <w:tcBorders>
              <w:top w:val="single" w:sz="4" w:space="0" w:color="auto"/>
              <w:left w:val="single" w:sz="4" w:space="0" w:color="auto"/>
              <w:bottom w:val="single" w:sz="4" w:space="0" w:color="auto"/>
              <w:right w:val="single" w:sz="4" w:space="0" w:color="auto"/>
            </w:tcBorders>
            <w:noWrap/>
            <w:hideMark/>
          </w:tcPr>
          <w:p w14:paraId="276AC54C"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2.</w:t>
            </w:r>
            <w:r w:rsidRPr="00A33AE8">
              <w:t xml:space="preserve">93 </w:t>
            </w:r>
          </w:p>
        </w:tc>
        <w:tc>
          <w:tcPr>
            <w:tcW w:w="828" w:type="dxa"/>
            <w:tcBorders>
              <w:top w:val="single" w:sz="4" w:space="0" w:color="auto"/>
              <w:left w:val="single" w:sz="4" w:space="0" w:color="auto"/>
              <w:bottom w:val="single" w:sz="4" w:space="0" w:color="auto"/>
              <w:right w:val="single" w:sz="4" w:space="0" w:color="auto"/>
            </w:tcBorders>
            <w:noWrap/>
            <w:hideMark/>
          </w:tcPr>
          <w:p w14:paraId="461FCEE6"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2.</w:t>
            </w:r>
            <w:r w:rsidRPr="00A33AE8">
              <w:t xml:space="preserve">93 </w:t>
            </w:r>
          </w:p>
        </w:tc>
        <w:tc>
          <w:tcPr>
            <w:tcW w:w="828" w:type="dxa"/>
            <w:tcBorders>
              <w:top w:val="single" w:sz="4" w:space="0" w:color="auto"/>
              <w:left w:val="single" w:sz="4" w:space="0" w:color="auto"/>
              <w:bottom w:val="single" w:sz="4" w:space="0" w:color="auto"/>
              <w:right w:val="single" w:sz="4" w:space="0" w:color="auto"/>
            </w:tcBorders>
            <w:noWrap/>
            <w:hideMark/>
          </w:tcPr>
          <w:p w14:paraId="4D5122AC"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3.</w:t>
            </w:r>
            <w:r w:rsidRPr="00A33AE8">
              <w:t xml:space="preserve">12 </w:t>
            </w:r>
          </w:p>
        </w:tc>
        <w:tc>
          <w:tcPr>
            <w:tcW w:w="828" w:type="dxa"/>
            <w:tcBorders>
              <w:top w:val="single" w:sz="4" w:space="0" w:color="auto"/>
              <w:left w:val="single" w:sz="4" w:space="0" w:color="auto"/>
              <w:bottom w:val="single" w:sz="4" w:space="0" w:color="auto"/>
              <w:right w:val="single" w:sz="4" w:space="0" w:color="auto"/>
            </w:tcBorders>
            <w:noWrap/>
            <w:hideMark/>
          </w:tcPr>
          <w:p w14:paraId="3CAC0783"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3.</w:t>
            </w:r>
            <w:r w:rsidRPr="00A33AE8">
              <w:t xml:space="preserve">30 </w:t>
            </w:r>
          </w:p>
        </w:tc>
        <w:tc>
          <w:tcPr>
            <w:tcW w:w="828" w:type="dxa"/>
            <w:tcBorders>
              <w:top w:val="single" w:sz="4" w:space="0" w:color="auto"/>
              <w:left w:val="single" w:sz="4" w:space="0" w:color="auto"/>
              <w:bottom w:val="single" w:sz="4" w:space="0" w:color="auto"/>
              <w:right w:val="single" w:sz="4" w:space="0" w:color="auto"/>
            </w:tcBorders>
            <w:noWrap/>
            <w:hideMark/>
          </w:tcPr>
          <w:p w14:paraId="2EA8FD10" w14:textId="77777777" w:rsidR="00DB34B1" w:rsidRPr="00A33AE8" w:rsidRDefault="000830A3" w:rsidP="005F342E">
            <w:pPr>
              <w:spacing w:after="0" w:line="240" w:lineRule="auto"/>
              <w:jc w:val="right"/>
              <w:rPr>
                <w:rFonts w:cstheme="minorHAnsi"/>
                <w:lang w:eastAsia="en-GB"/>
              </w:rPr>
            </w:pPr>
            <w:r w:rsidRPr="00A33AE8">
              <w:t xml:space="preserve"> </w:t>
            </w:r>
            <w:r w:rsidR="00DB34B1" w:rsidRPr="00A33AE8">
              <w:rPr>
                <w:rFonts w:cstheme="minorHAnsi"/>
                <w:lang w:eastAsia="en-GB"/>
              </w:rPr>
              <w:t>3.</w:t>
            </w:r>
            <w:r w:rsidRPr="00A33AE8">
              <w:t xml:space="preserve">49 </w:t>
            </w:r>
          </w:p>
        </w:tc>
      </w:tr>
    </w:tbl>
    <w:p w14:paraId="5BFA1AE8" w14:textId="77777777" w:rsidR="00506B97" w:rsidRPr="00A33AE8" w:rsidRDefault="00DB34B1" w:rsidP="00506B97">
      <w:pPr>
        <w:pStyle w:val="LDKbody"/>
        <w:rPr>
          <w:rFonts w:asciiTheme="majorHAnsi" w:hAnsiTheme="majorHAnsi" w:cstheme="majorHAnsi"/>
          <w:lang w:val="en-GB"/>
        </w:rPr>
      </w:pPr>
      <w:r w:rsidRPr="00A33AE8">
        <w:rPr>
          <w:rFonts w:asciiTheme="majorHAnsi" w:hAnsiTheme="majorHAnsi" w:cstheme="majorHAnsi"/>
          <w:lang w:val="en-GB"/>
        </w:rPr>
        <w:t xml:space="preserve">In the </w:t>
      </w:r>
      <w:r w:rsidR="00512DAC" w:rsidRPr="00A33AE8">
        <w:rPr>
          <w:rFonts w:asciiTheme="majorHAnsi" w:hAnsiTheme="majorHAnsi" w:cstheme="majorHAnsi"/>
          <w:lang w:val="en-GB"/>
        </w:rPr>
        <w:t xml:space="preserve">scenario </w:t>
      </w:r>
      <w:r w:rsidRPr="00A33AE8">
        <w:rPr>
          <w:rFonts w:asciiTheme="majorHAnsi" w:hAnsiTheme="majorHAnsi" w:cstheme="majorHAnsi"/>
          <w:lang w:val="en-GB"/>
        </w:rPr>
        <w:t>analysis with existing measures (WEM) it is assumed that there are no carbon prices imposed in the Republic of Serbia.</w:t>
      </w:r>
    </w:p>
    <w:p w14:paraId="24E72268" w14:textId="7BC685B9" w:rsidR="00506B97" w:rsidRPr="00A33AE8" w:rsidRDefault="00506B97" w:rsidP="00884F3B">
      <w:pPr>
        <w:pStyle w:val="Heading4"/>
        <w:numPr>
          <w:ilvl w:val="0"/>
          <w:numId w:val="29"/>
        </w:numPr>
      </w:pPr>
      <w:r w:rsidRPr="00A33AE8">
        <w:t>Technology cost developments</w:t>
      </w:r>
    </w:p>
    <w:p w14:paraId="521FA761" w14:textId="0A05022C" w:rsidR="00DB34B1" w:rsidRPr="00A33AE8" w:rsidRDefault="00DB34B1" w:rsidP="00DB34B1">
      <w:pPr>
        <w:pStyle w:val="LDKbody"/>
        <w:rPr>
          <w:rFonts w:asciiTheme="majorHAnsi" w:hAnsiTheme="majorHAnsi" w:cstheme="majorHAnsi"/>
          <w:lang w:val="en-GB"/>
        </w:rPr>
      </w:pPr>
      <w:r w:rsidRPr="00A33AE8">
        <w:rPr>
          <w:rFonts w:asciiTheme="majorHAnsi" w:hAnsiTheme="majorHAnsi" w:cstheme="majorHAnsi"/>
          <w:lang w:val="en-GB"/>
        </w:rPr>
        <w:t xml:space="preserve">The </w:t>
      </w:r>
      <w:r w:rsidR="00512DAC" w:rsidRPr="00A33AE8">
        <w:rPr>
          <w:rFonts w:asciiTheme="majorHAnsi" w:hAnsiTheme="majorHAnsi" w:cstheme="majorHAnsi"/>
          <w:lang w:val="en-GB"/>
        </w:rPr>
        <w:t xml:space="preserve">projection </w:t>
      </w:r>
      <w:r w:rsidRPr="00A33AE8">
        <w:rPr>
          <w:rFonts w:asciiTheme="majorHAnsi" w:hAnsiTheme="majorHAnsi" w:cstheme="majorHAnsi"/>
          <w:lang w:val="en-GB"/>
        </w:rPr>
        <w:t xml:space="preserve">of investment costs of RES technologies for electricity generation, </w:t>
      </w:r>
      <w:r w:rsidR="00512DAC" w:rsidRPr="00A33AE8">
        <w:rPr>
          <w:rFonts w:asciiTheme="majorHAnsi" w:hAnsiTheme="majorHAnsi" w:cstheme="majorHAnsi"/>
          <w:lang w:val="en-GB"/>
        </w:rPr>
        <w:t xml:space="preserve">which are expected to be the technologies with the largest potential for reduction of costs, </w:t>
      </w:r>
      <w:r w:rsidRPr="00A33AE8">
        <w:rPr>
          <w:rFonts w:asciiTheme="majorHAnsi" w:hAnsiTheme="majorHAnsi" w:cstheme="majorHAnsi"/>
          <w:lang w:val="en-GB"/>
        </w:rPr>
        <w:t>are shown in the following table. Three cost levels have been included for wind installations to model a “supply curve” for the wind potential.</w:t>
      </w:r>
      <w:r w:rsidR="00D223E8" w:rsidRPr="00A33AE8">
        <w:rPr>
          <w:rFonts w:asciiTheme="majorHAnsi" w:hAnsiTheme="majorHAnsi" w:cstheme="majorHAnsi"/>
          <w:lang w:val="en-GB"/>
        </w:rPr>
        <w:t xml:space="preserve"> The underlying assumption is that the first cost level corresponds to sites which have easy access for installation </w:t>
      </w:r>
      <w:r w:rsidR="00D223E8" w:rsidRPr="00A33AE8">
        <w:rPr>
          <w:rFonts w:asciiTheme="majorHAnsi" w:hAnsiTheme="majorHAnsi" w:cstheme="majorHAnsi"/>
          <w:lang w:val="en-GB"/>
        </w:rPr>
        <w:lastRenderedPageBreak/>
        <w:t>(close to roads and the transmission network) and the next two cost levels are further away and therefore require ten per cent higher investment costs compared to the previous cost level</w:t>
      </w:r>
      <w:r w:rsidR="00C633FA" w:rsidRPr="00A33AE8">
        <w:rPr>
          <w:rStyle w:val="FootnoteReference"/>
          <w:rFonts w:asciiTheme="majorHAnsi" w:hAnsiTheme="majorHAnsi" w:cstheme="majorHAnsi"/>
        </w:rPr>
        <w:footnoteReference w:id="126"/>
      </w:r>
      <w:r w:rsidR="00D223E8" w:rsidRPr="00A33AE8">
        <w:rPr>
          <w:rFonts w:asciiTheme="majorHAnsi" w:hAnsiTheme="majorHAnsi" w:cstheme="majorHAnsi"/>
          <w:lang w:val="en-GB"/>
        </w:rPr>
        <w:t>.</w:t>
      </w:r>
    </w:p>
    <w:p w14:paraId="2365058A" w14:textId="7C6F6B3C" w:rsidR="00703FE7" w:rsidRPr="00A33AE8" w:rsidRDefault="00703FE7" w:rsidP="00703FE7">
      <w:pPr>
        <w:pStyle w:val="Caption"/>
        <w:jc w:val="both"/>
        <w:rPr>
          <w:rFonts w:cstheme="minorBidi"/>
          <w:lang w:eastAsia="el-GR"/>
        </w:rPr>
      </w:pPr>
      <w:bookmarkStart w:id="209" w:name="_Toc153545073"/>
      <w:r w:rsidRPr="00A33AE8">
        <w:t xml:space="preserve">Table </w:t>
      </w:r>
      <w:r w:rsidR="006E0533">
        <w:fldChar w:fldCharType="begin"/>
      </w:r>
      <w:r w:rsidR="006E0533">
        <w:instrText xml:space="preserve"> STYLEREF 1 \s </w:instrText>
      </w:r>
      <w:r w:rsidR="006E0533">
        <w:fldChar w:fldCharType="separate"/>
      </w:r>
      <w:r w:rsidR="00A84B9C">
        <w:rPr>
          <w:noProof/>
        </w:rPr>
        <w:t>4</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w:t>
      </w:r>
      <w:r w:rsidR="006E0533">
        <w:rPr>
          <w:noProof/>
        </w:rPr>
        <w:fldChar w:fldCharType="end"/>
      </w:r>
      <w:r w:rsidRPr="00A33AE8">
        <w:rPr>
          <w:rFonts w:cstheme="minorBidi"/>
          <w:lang w:eastAsia="el-GR"/>
        </w:rPr>
        <w:t xml:space="preserve">: </w:t>
      </w:r>
      <w:r w:rsidR="00D223E8" w:rsidRPr="00A33AE8">
        <w:rPr>
          <w:rFonts w:cstheme="minorBidi"/>
          <w:lang w:eastAsia="el-GR"/>
        </w:rPr>
        <w:t>Overnight investment costs projection for renewable energy technologies</w:t>
      </w:r>
      <w:bookmarkEnd w:id="209"/>
    </w:p>
    <w:tbl>
      <w:tblPr>
        <w:tblStyle w:val="PlainTable51"/>
        <w:tblW w:w="6979" w:type="dxa"/>
        <w:jc w:val="center"/>
        <w:tblLook w:val="04A0" w:firstRow="1" w:lastRow="0" w:firstColumn="1" w:lastColumn="0" w:noHBand="0" w:noVBand="1"/>
      </w:tblPr>
      <w:tblGrid>
        <w:gridCol w:w="4151"/>
        <w:gridCol w:w="707"/>
        <w:gridCol w:w="707"/>
        <w:gridCol w:w="707"/>
        <w:gridCol w:w="707"/>
      </w:tblGrid>
      <w:tr w:rsidR="00DB34B1" w:rsidRPr="00A33AE8" w14:paraId="309466CB" w14:textId="77777777" w:rsidTr="0082328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891" w:type="dxa"/>
          </w:tcPr>
          <w:p w14:paraId="759235AD" w14:textId="77777777" w:rsidR="00DB34B1" w:rsidRPr="00A33AE8" w:rsidRDefault="00512DAC" w:rsidP="005F342E">
            <w:pPr>
              <w:jc w:val="center"/>
              <w:rPr>
                <w:rFonts w:cstheme="minorHAnsi"/>
                <w:b/>
                <w:bCs/>
                <w:sz w:val="22"/>
                <w:lang w:val="en-GB"/>
              </w:rPr>
            </w:pPr>
            <w:r w:rsidRPr="00A33AE8">
              <w:rPr>
                <w:rFonts w:cstheme="minorHAnsi"/>
                <w:b/>
                <w:bCs/>
                <w:sz w:val="22"/>
                <w:lang w:val="en-GB"/>
              </w:rPr>
              <w:t xml:space="preserve">Overnight Investment costs in </w:t>
            </w:r>
            <w:r w:rsidR="00DB34B1" w:rsidRPr="00A33AE8">
              <w:rPr>
                <w:rFonts w:cstheme="minorHAnsi"/>
                <w:b/>
                <w:bCs/>
                <w:sz w:val="22"/>
                <w:lang w:val="en-GB"/>
              </w:rPr>
              <w:t>Euro/kW</w:t>
            </w:r>
          </w:p>
        </w:tc>
        <w:tc>
          <w:tcPr>
            <w:tcW w:w="0" w:type="dxa"/>
          </w:tcPr>
          <w:p w14:paraId="0522370C" w14:textId="77777777" w:rsidR="00DB34B1" w:rsidRPr="00A33AE8" w:rsidRDefault="00DB34B1" w:rsidP="005F342E">
            <w:pPr>
              <w:cnfStyle w:val="100000000000" w:firstRow="1" w:lastRow="0" w:firstColumn="0" w:lastColumn="0" w:oddVBand="0" w:evenVBand="0" w:oddHBand="0" w:evenHBand="0" w:firstRowFirstColumn="0" w:firstRowLastColumn="0" w:lastRowFirstColumn="0" w:lastRowLastColumn="0"/>
              <w:rPr>
                <w:rFonts w:cstheme="minorHAnsi"/>
                <w:b/>
                <w:bCs/>
                <w:sz w:val="22"/>
                <w:lang w:val="en-GB"/>
              </w:rPr>
            </w:pPr>
            <w:r w:rsidRPr="00A33AE8">
              <w:rPr>
                <w:rFonts w:cstheme="minorHAnsi"/>
                <w:b/>
                <w:bCs/>
                <w:sz w:val="22"/>
                <w:lang w:val="en-GB"/>
              </w:rPr>
              <w:t>2025</w:t>
            </w:r>
          </w:p>
        </w:tc>
        <w:tc>
          <w:tcPr>
            <w:tcW w:w="0" w:type="dxa"/>
          </w:tcPr>
          <w:p w14:paraId="0CA66AF4" w14:textId="77777777" w:rsidR="00DB34B1" w:rsidRPr="00A33AE8" w:rsidRDefault="00DB34B1" w:rsidP="005F342E">
            <w:pPr>
              <w:cnfStyle w:val="100000000000" w:firstRow="1" w:lastRow="0" w:firstColumn="0" w:lastColumn="0" w:oddVBand="0" w:evenVBand="0" w:oddHBand="0" w:evenHBand="0" w:firstRowFirstColumn="0" w:firstRowLastColumn="0" w:lastRowFirstColumn="0" w:lastRowLastColumn="0"/>
              <w:rPr>
                <w:rFonts w:cstheme="minorHAnsi"/>
                <w:b/>
                <w:bCs/>
                <w:sz w:val="22"/>
                <w:lang w:val="en-GB"/>
              </w:rPr>
            </w:pPr>
            <w:r w:rsidRPr="00A33AE8">
              <w:rPr>
                <w:rFonts w:cstheme="minorHAnsi"/>
                <w:b/>
                <w:bCs/>
                <w:sz w:val="22"/>
                <w:lang w:val="en-GB"/>
              </w:rPr>
              <w:t>2030</w:t>
            </w:r>
          </w:p>
        </w:tc>
        <w:tc>
          <w:tcPr>
            <w:tcW w:w="0" w:type="dxa"/>
          </w:tcPr>
          <w:p w14:paraId="6761D0D4" w14:textId="77777777" w:rsidR="00DB34B1" w:rsidRPr="00A33AE8" w:rsidRDefault="00DB34B1" w:rsidP="005F342E">
            <w:pPr>
              <w:cnfStyle w:val="100000000000" w:firstRow="1" w:lastRow="0" w:firstColumn="0" w:lastColumn="0" w:oddVBand="0" w:evenVBand="0" w:oddHBand="0" w:evenHBand="0" w:firstRowFirstColumn="0" w:firstRowLastColumn="0" w:lastRowFirstColumn="0" w:lastRowLastColumn="0"/>
              <w:rPr>
                <w:rFonts w:cstheme="minorHAnsi"/>
                <w:b/>
                <w:bCs/>
                <w:sz w:val="22"/>
                <w:lang w:val="en-GB"/>
              </w:rPr>
            </w:pPr>
            <w:r w:rsidRPr="00A33AE8">
              <w:rPr>
                <w:rFonts w:cstheme="minorHAnsi"/>
                <w:b/>
                <w:bCs/>
                <w:sz w:val="22"/>
                <w:lang w:val="en-GB"/>
              </w:rPr>
              <w:t>2040</w:t>
            </w:r>
          </w:p>
        </w:tc>
        <w:tc>
          <w:tcPr>
            <w:tcW w:w="0" w:type="dxa"/>
          </w:tcPr>
          <w:p w14:paraId="2E954C14" w14:textId="77777777" w:rsidR="00DB34B1" w:rsidRPr="00A33AE8" w:rsidRDefault="00DB34B1" w:rsidP="005F342E">
            <w:pPr>
              <w:cnfStyle w:val="100000000000" w:firstRow="1" w:lastRow="0" w:firstColumn="0" w:lastColumn="0" w:oddVBand="0" w:evenVBand="0" w:oddHBand="0" w:evenHBand="0" w:firstRowFirstColumn="0" w:firstRowLastColumn="0" w:lastRowFirstColumn="0" w:lastRowLastColumn="0"/>
              <w:rPr>
                <w:rFonts w:cstheme="minorHAnsi"/>
                <w:b/>
                <w:bCs/>
                <w:sz w:val="22"/>
                <w:lang w:val="en-GB"/>
              </w:rPr>
            </w:pPr>
            <w:r w:rsidRPr="00A33AE8">
              <w:rPr>
                <w:rFonts w:cstheme="minorHAnsi"/>
                <w:b/>
                <w:bCs/>
                <w:sz w:val="22"/>
                <w:lang w:val="en-GB"/>
              </w:rPr>
              <w:t>2050</w:t>
            </w:r>
          </w:p>
        </w:tc>
      </w:tr>
      <w:tr w:rsidR="00DB34B1" w:rsidRPr="00A33AE8" w14:paraId="10040A62" w14:textId="77777777" w:rsidTr="008232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91" w:type="dxa"/>
          </w:tcPr>
          <w:p w14:paraId="4838572E" w14:textId="77777777" w:rsidR="00DB34B1" w:rsidRPr="00A33AE8" w:rsidRDefault="00DB34B1" w:rsidP="005F342E">
            <w:pPr>
              <w:rPr>
                <w:rFonts w:cstheme="minorHAnsi"/>
                <w:sz w:val="22"/>
                <w:lang w:val="en-GB"/>
              </w:rPr>
            </w:pPr>
            <w:r w:rsidRPr="00A33AE8">
              <w:rPr>
                <w:rFonts w:cstheme="minorHAnsi"/>
                <w:sz w:val="22"/>
                <w:lang w:val="en-GB"/>
              </w:rPr>
              <w:t>Solar PV – Plant size</w:t>
            </w:r>
          </w:p>
        </w:tc>
        <w:tc>
          <w:tcPr>
            <w:tcW w:w="0" w:type="dxa"/>
          </w:tcPr>
          <w:p w14:paraId="34756CF5"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575</w:t>
            </w:r>
          </w:p>
        </w:tc>
        <w:tc>
          <w:tcPr>
            <w:tcW w:w="0" w:type="dxa"/>
          </w:tcPr>
          <w:p w14:paraId="17E1C667"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550</w:t>
            </w:r>
          </w:p>
        </w:tc>
        <w:tc>
          <w:tcPr>
            <w:tcW w:w="0" w:type="dxa"/>
          </w:tcPr>
          <w:p w14:paraId="4B851743"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500</w:t>
            </w:r>
          </w:p>
        </w:tc>
        <w:tc>
          <w:tcPr>
            <w:tcW w:w="0" w:type="dxa"/>
          </w:tcPr>
          <w:p w14:paraId="4BDA47DF"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350</w:t>
            </w:r>
          </w:p>
        </w:tc>
      </w:tr>
      <w:tr w:rsidR="00DB34B1" w:rsidRPr="00A33AE8" w14:paraId="6470E942" w14:textId="77777777" w:rsidTr="00823286">
        <w:trPr>
          <w:jc w:val="center"/>
        </w:trPr>
        <w:tc>
          <w:tcPr>
            <w:cnfStyle w:val="001000000000" w:firstRow="0" w:lastRow="0" w:firstColumn="1" w:lastColumn="0" w:oddVBand="0" w:evenVBand="0" w:oddHBand="0" w:evenHBand="0" w:firstRowFirstColumn="0" w:firstRowLastColumn="0" w:lastRowFirstColumn="0" w:lastRowLastColumn="0"/>
            <w:tcW w:w="3891" w:type="dxa"/>
          </w:tcPr>
          <w:p w14:paraId="060F1950" w14:textId="77777777" w:rsidR="00DB34B1" w:rsidRPr="00A33AE8" w:rsidRDefault="00DB34B1" w:rsidP="005F342E">
            <w:pPr>
              <w:rPr>
                <w:rFonts w:cstheme="minorHAnsi"/>
                <w:sz w:val="22"/>
                <w:lang w:val="en-GB"/>
              </w:rPr>
            </w:pPr>
            <w:r w:rsidRPr="00A33AE8">
              <w:rPr>
                <w:rFonts w:cstheme="minorHAnsi"/>
                <w:sz w:val="22"/>
                <w:lang w:val="en-GB"/>
              </w:rPr>
              <w:t>Rooftop Solar PV</w:t>
            </w:r>
          </w:p>
        </w:tc>
        <w:tc>
          <w:tcPr>
            <w:tcW w:w="0" w:type="dxa"/>
          </w:tcPr>
          <w:p w14:paraId="0C4ABF06"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690</w:t>
            </w:r>
          </w:p>
        </w:tc>
        <w:tc>
          <w:tcPr>
            <w:tcW w:w="0" w:type="dxa"/>
          </w:tcPr>
          <w:p w14:paraId="2A8EFC0F"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660</w:t>
            </w:r>
          </w:p>
        </w:tc>
        <w:tc>
          <w:tcPr>
            <w:tcW w:w="0" w:type="dxa"/>
          </w:tcPr>
          <w:p w14:paraId="4A688BBD"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600</w:t>
            </w:r>
          </w:p>
        </w:tc>
        <w:tc>
          <w:tcPr>
            <w:tcW w:w="0" w:type="dxa"/>
          </w:tcPr>
          <w:p w14:paraId="27C5A5A8"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420</w:t>
            </w:r>
          </w:p>
        </w:tc>
      </w:tr>
      <w:tr w:rsidR="00DB34B1" w:rsidRPr="00A33AE8" w14:paraId="7E4D0EE6" w14:textId="77777777" w:rsidTr="008232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91" w:type="dxa"/>
          </w:tcPr>
          <w:p w14:paraId="5AB170E7" w14:textId="77777777" w:rsidR="00DB34B1" w:rsidRPr="00A33AE8" w:rsidRDefault="00DB34B1" w:rsidP="005F342E">
            <w:pPr>
              <w:rPr>
                <w:rFonts w:cstheme="minorHAnsi"/>
                <w:sz w:val="22"/>
                <w:lang w:val="en-GB"/>
              </w:rPr>
            </w:pPr>
            <w:r w:rsidRPr="00A33AE8">
              <w:rPr>
                <w:rFonts w:cstheme="minorHAnsi"/>
                <w:sz w:val="22"/>
                <w:lang w:val="en-GB"/>
              </w:rPr>
              <w:t>Wind plants Cost level 1</w:t>
            </w:r>
          </w:p>
        </w:tc>
        <w:tc>
          <w:tcPr>
            <w:tcW w:w="0" w:type="dxa"/>
          </w:tcPr>
          <w:p w14:paraId="64452548"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1150</w:t>
            </w:r>
          </w:p>
        </w:tc>
        <w:tc>
          <w:tcPr>
            <w:tcW w:w="0" w:type="dxa"/>
          </w:tcPr>
          <w:p w14:paraId="4BB4336A"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1000</w:t>
            </w:r>
          </w:p>
        </w:tc>
        <w:tc>
          <w:tcPr>
            <w:tcW w:w="0" w:type="dxa"/>
          </w:tcPr>
          <w:p w14:paraId="5B2557CD"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950</w:t>
            </w:r>
          </w:p>
        </w:tc>
        <w:tc>
          <w:tcPr>
            <w:tcW w:w="0" w:type="dxa"/>
          </w:tcPr>
          <w:p w14:paraId="42A63BB3"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900</w:t>
            </w:r>
          </w:p>
        </w:tc>
      </w:tr>
      <w:tr w:rsidR="00DB34B1" w:rsidRPr="00A33AE8" w14:paraId="673C6DD9" w14:textId="77777777" w:rsidTr="00823286">
        <w:trPr>
          <w:jc w:val="center"/>
        </w:trPr>
        <w:tc>
          <w:tcPr>
            <w:cnfStyle w:val="001000000000" w:firstRow="0" w:lastRow="0" w:firstColumn="1" w:lastColumn="0" w:oddVBand="0" w:evenVBand="0" w:oddHBand="0" w:evenHBand="0" w:firstRowFirstColumn="0" w:firstRowLastColumn="0" w:lastRowFirstColumn="0" w:lastRowLastColumn="0"/>
            <w:tcW w:w="3891" w:type="dxa"/>
          </w:tcPr>
          <w:p w14:paraId="6D419BB1" w14:textId="77777777" w:rsidR="00DB34B1" w:rsidRPr="00A33AE8" w:rsidRDefault="00DB34B1" w:rsidP="005F342E">
            <w:pPr>
              <w:rPr>
                <w:rFonts w:cstheme="minorHAnsi"/>
                <w:sz w:val="22"/>
                <w:lang w:val="en-GB"/>
              </w:rPr>
            </w:pPr>
            <w:r w:rsidRPr="00A33AE8">
              <w:rPr>
                <w:rFonts w:cstheme="minorHAnsi"/>
                <w:sz w:val="22"/>
                <w:lang w:val="en-GB"/>
              </w:rPr>
              <w:t>Wind Plants Cost level 2</w:t>
            </w:r>
          </w:p>
        </w:tc>
        <w:tc>
          <w:tcPr>
            <w:tcW w:w="0" w:type="dxa"/>
          </w:tcPr>
          <w:p w14:paraId="08FEC52C"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1265</w:t>
            </w:r>
          </w:p>
        </w:tc>
        <w:tc>
          <w:tcPr>
            <w:tcW w:w="0" w:type="dxa"/>
          </w:tcPr>
          <w:p w14:paraId="30DEE3CE"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1100</w:t>
            </w:r>
          </w:p>
        </w:tc>
        <w:tc>
          <w:tcPr>
            <w:tcW w:w="0" w:type="dxa"/>
          </w:tcPr>
          <w:p w14:paraId="71D61FDD"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1045</w:t>
            </w:r>
          </w:p>
        </w:tc>
        <w:tc>
          <w:tcPr>
            <w:tcW w:w="0" w:type="dxa"/>
          </w:tcPr>
          <w:p w14:paraId="3E914CCF" w14:textId="77777777" w:rsidR="00DB34B1" w:rsidRPr="00A33AE8" w:rsidRDefault="00DB34B1" w:rsidP="005F342E">
            <w:pPr>
              <w:jc w:val="center"/>
              <w:cnfStyle w:val="000000000000" w:firstRow="0" w:lastRow="0" w:firstColumn="0" w:lastColumn="0" w:oddVBand="0" w:evenVBand="0" w:oddHBand="0" w:evenHBand="0" w:firstRowFirstColumn="0" w:firstRowLastColumn="0" w:lastRowFirstColumn="0" w:lastRowLastColumn="0"/>
              <w:rPr>
                <w:rFonts w:cstheme="minorHAnsi"/>
                <w:lang w:val="en-GB"/>
              </w:rPr>
            </w:pPr>
            <w:r w:rsidRPr="00A33AE8">
              <w:rPr>
                <w:rFonts w:cstheme="minorHAnsi"/>
                <w:lang w:val="en-GB"/>
              </w:rPr>
              <w:t>990</w:t>
            </w:r>
          </w:p>
        </w:tc>
      </w:tr>
      <w:tr w:rsidR="00DB34B1" w:rsidRPr="00A33AE8" w14:paraId="2AA1110A" w14:textId="77777777" w:rsidTr="008232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91" w:type="dxa"/>
            <w:tcBorders>
              <w:bottom w:val="single" w:sz="4" w:space="0" w:color="auto"/>
            </w:tcBorders>
          </w:tcPr>
          <w:p w14:paraId="144F1712" w14:textId="77777777" w:rsidR="00DB34B1" w:rsidRPr="00A33AE8" w:rsidRDefault="00DB34B1" w:rsidP="005F342E">
            <w:pPr>
              <w:rPr>
                <w:rFonts w:cstheme="minorHAnsi"/>
                <w:sz w:val="22"/>
                <w:lang w:val="en-GB"/>
              </w:rPr>
            </w:pPr>
            <w:r w:rsidRPr="00A33AE8">
              <w:rPr>
                <w:rFonts w:cstheme="minorHAnsi"/>
                <w:sz w:val="22"/>
                <w:lang w:val="en-GB"/>
              </w:rPr>
              <w:t>Wind Plants Cost level 3</w:t>
            </w:r>
          </w:p>
        </w:tc>
        <w:tc>
          <w:tcPr>
            <w:tcW w:w="0" w:type="dxa"/>
            <w:tcBorders>
              <w:bottom w:val="single" w:sz="4" w:space="0" w:color="auto"/>
            </w:tcBorders>
          </w:tcPr>
          <w:p w14:paraId="3934BCF8"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1520</w:t>
            </w:r>
          </w:p>
        </w:tc>
        <w:tc>
          <w:tcPr>
            <w:tcW w:w="0" w:type="dxa"/>
            <w:tcBorders>
              <w:bottom w:val="single" w:sz="4" w:space="0" w:color="auto"/>
            </w:tcBorders>
          </w:tcPr>
          <w:p w14:paraId="37424F1C"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1320</w:t>
            </w:r>
          </w:p>
        </w:tc>
        <w:tc>
          <w:tcPr>
            <w:tcW w:w="0" w:type="dxa"/>
            <w:tcBorders>
              <w:bottom w:val="single" w:sz="4" w:space="0" w:color="auto"/>
            </w:tcBorders>
          </w:tcPr>
          <w:p w14:paraId="05E1B6EC"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1254</w:t>
            </w:r>
          </w:p>
        </w:tc>
        <w:tc>
          <w:tcPr>
            <w:tcW w:w="0" w:type="dxa"/>
            <w:tcBorders>
              <w:bottom w:val="single" w:sz="4" w:space="0" w:color="auto"/>
            </w:tcBorders>
          </w:tcPr>
          <w:p w14:paraId="3F3335BB" w14:textId="77777777" w:rsidR="00DB34B1" w:rsidRPr="00A33AE8" w:rsidRDefault="00DB34B1" w:rsidP="005F342E">
            <w:pPr>
              <w:jc w:val="center"/>
              <w:cnfStyle w:val="000000100000" w:firstRow="0" w:lastRow="0" w:firstColumn="0" w:lastColumn="0" w:oddVBand="0" w:evenVBand="0" w:oddHBand="1" w:evenHBand="0" w:firstRowFirstColumn="0" w:firstRowLastColumn="0" w:lastRowFirstColumn="0" w:lastRowLastColumn="0"/>
              <w:rPr>
                <w:rFonts w:cstheme="minorHAnsi"/>
                <w:lang w:val="en-GB"/>
              </w:rPr>
            </w:pPr>
            <w:r w:rsidRPr="00A33AE8">
              <w:rPr>
                <w:rFonts w:cstheme="minorHAnsi"/>
                <w:lang w:val="en-GB"/>
              </w:rPr>
              <w:t>1188</w:t>
            </w:r>
          </w:p>
        </w:tc>
      </w:tr>
    </w:tbl>
    <w:p w14:paraId="001778C4" w14:textId="77777777" w:rsidR="00386771" w:rsidRPr="00A33AE8" w:rsidRDefault="00386771" w:rsidP="001D1BB0">
      <w:pPr>
        <w:pStyle w:val="LDKbody"/>
        <w:rPr>
          <w:lang w:val="en-GB"/>
        </w:rPr>
      </w:pPr>
    </w:p>
    <w:p w14:paraId="1F80994C" w14:textId="77777777" w:rsidR="00386771" w:rsidRPr="00A33AE8" w:rsidRDefault="00386771" w:rsidP="00386771">
      <w:pPr>
        <w:pStyle w:val="Heading2"/>
      </w:pPr>
      <w:bookmarkStart w:id="210" w:name="_Toc79772560"/>
      <w:bookmarkStart w:id="211" w:name="_Toc118991780"/>
      <w:bookmarkStart w:id="212" w:name="_Toc153545052"/>
      <w:r w:rsidRPr="00A33AE8">
        <w:t>Dimension Decarbonisation</w:t>
      </w:r>
      <w:bookmarkEnd w:id="210"/>
      <w:bookmarkEnd w:id="211"/>
      <w:bookmarkEnd w:id="212"/>
    </w:p>
    <w:p w14:paraId="2385C4E4" w14:textId="77777777" w:rsidR="00386771" w:rsidRPr="00A33AE8" w:rsidRDefault="00386771" w:rsidP="007D341E">
      <w:pPr>
        <w:pStyle w:val="Heading3"/>
      </w:pPr>
      <w:r w:rsidRPr="00A33AE8">
        <w:t>GHG emissions and removals</w:t>
      </w:r>
    </w:p>
    <w:p w14:paraId="5DDF1C7E" w14:textId="77777777" w:rsidR="00506B97" w:rsidRPr="00A33AE8" w:rsidRDefault="00506B97" w:rsidP="00884F3B">
      <w:pPr>
        <w:pStyle w:val="Heading4"/>
        <w:numPr>
          <w:ilvl w:val="0"/>
          <w:numId w:val="30"/>
        </w:numPr>
      </w:pPr>
      <w:r w:rsidRPr="00A33AE8">
        <w:t>Trends in current GHG emissions and removals in ETS, Effort Sharing Regulation and LULUCF sectors and different energy sectors</w:t>
      </w:r>
    </w:p>
    <w:p w14:paraId="5354FA6B" w14:textId="77777777" w:rsidR="006D48D9" w:rsidRPr="00A33AE8" w:rsidRDefault="006D48D9" w:rsidP="006D48D9">
      <w:pPr>
        <w:pStyle w:val="LDKbody"/>
        <w:rPr>
          <w:rFonts w:asciiTheme="majorHAnsi" w:hAnsiTheme="majorHAnsi" w:cstheme="majorHAnsi"/>
          <w:lang w:val="en-GB"/>
        </w:rPr>
      </w:pPr>
      <w:r w:rsidRPr="00A33AE8">
        <w:rPr>
          <w:rFonts w:asciiTheme="majorHAnsi" w:hAnsiTheme="majorHAnsi" w:cstheme="majorHAnsi"/>
          <w:lang w:val="en-GB"/>
        </w:rPr>
        <w:t>The evolution of the total GHG emissions, with and without LULUCF, follows a similar trend in the period 2010-2019. Although several fluctuations have been recorded over this decade, the total GHG emissions stood at 56.6 Mt CO</w:t>
      </w:r>
      <w:r w:rsidRPr="00A33AE8">
        <w:rPr>
          <w:rFonts w:asciiTheme="majorHAnsi" w:hAnsiTheme="majorHAnsi" w:cstheme="majorHAnsi"/>
          <w:vertAlign w:val="subscript"/>
          <w:lang w:val="en-GB"/>
        </w:rPr>
        <w:t>2e</w:t>
      </w:r>
      <w:r w:rsidRPr="00A33AE8">
        <w:rPr>
          <w:rFonts w:asciiTheme="majorHAnsi" w:hAnsiTheme="majorHAnsi" w:cstheme="majorHAnsi"/>
          <w:lang w:val="en-GB"/>
        </w:rPr>
        <w:t xml:space="preserve"> (including LULUCF) and at 61.5 Mt CO</w:t>
      </w:r>
      <w:r w:rsidRPr="00A33AE8">
        <w:rPr>
          <w:rFonts w:asciiTheme="majorHAnsi" w:hAnsiTheme="majorHAnsi" w:cstheme="majorHAnsi"/>
          <w:vertAlign w:val="subscript"/>
          <w:lang w:val="en-GB"/>
        </w:rPr>
        <w:t>2e</w:t>
      </w:r>
      <w:r w:rsidRPr="00A33AE8">
        <w:rPr>
          <w:rFonts w:asciiTheme="majorHAnsi" w:hAnsiTheme="majorHAnsi" w:cstheme="majorHAnsi"/>
          <w:lang w:val="en-GB"/>
        </w:rPr>
        <w:t xml:space="preserve"> (without LULUCF) in 2019</w:t>
      </w:r>
      <w:r w:rsidR="00E567C9" w:rsidRPr="00A33AE8">
        <w:rPr>
          <w:rStyle w:val="FootnoteReference"/>
          <w:rFonts w:asciiTheme="majorHAnsi" w:hAnsiTheme="majorHAnsi" w:cstheme="majorHAnsi"/>
        </w:rPr>
        <w:footnoteReference w:id="127"/>
      </w:r>
      <w:r w:rsidRPr="00A33AE8">
        <w:rPr>
          <w:rFonts w:asciiTheme="majorHAnsi" w:hAnsiTheme="majorHAnsi" w:cstheme="majorHAnsi"/>
          <w:lang w:val="en-GB"/>
        </w:rPr>
        <w:t xml:space="preserve">, </w:t>
      </w:r>
      <w:r w:rsidR="00240EB2" w:rsidRPr="00A33AE8">
        <w:rPr>
          <w:rFonts w:asciiTheme="majorHAnsi" w:hAnsiTheme="majorHAnsi" w:cstheme="majorHAnsi"/>
          <w:lang w:val="en-GB"/>
        </w:rPr>
        <w:t xml:space="preserve">which are similar </w:t>
      </w:r>
      <w:r w:rsidRPr="00A33AE8">
        <w:rPr>
          <w:rFonts w:asciiTheme="majorHAnsi" w:hAnsiTheme="majorHAnsi" w:cstheme="majorHAnsi"/>
          <w:lang w:val="en-GB"/>
        </w:rPr>
        <w:t>to 2010 levels at 57.2 Mt CO</w:t>
      </w:r>
      <w:r w:rsidRPr="00A33AE8">
        <w:rPr>
          <w:rFonts w:asciiTheme="majorHAnsi" w:hAnsiTheme="majorHAnsi" w:cstheme="majorHAnsi"/>
          <w:vertAlign w:val="subscript"/>
          <w:lang w:val="en-GB"/>
        </w:rPr>
        <w:t>2e</w:t>
      </w:r>
      <w:r w:rsidRPr="00A33AE8">
        <w:rPr>
          <w:rFonts w:asciiTheme="majorHAnsi" w:hAnsiTheme="majorHAnsi" w:cstheme="majorHAnsi"/>
          <w:lang w:val="en-GB"/>
        </w:rPr>
        <w:t xml:space="preserve"> (including LULUCF) and at 63.3 Mt CO</w:t>
      </w:r>
      <w:r w:rsidRPr="00A33AE8">
        <w:rPr>
          <w:rFonts w:asciiTheme="majorHAnsi" w:hAnsiTheme="majorHAnsi" w:cstheme="majorHAnsi"/>
          <w:vertAlign w:val="subscript"/>
          <w:lang w:val="en-GB"/>
        </w:rPr>
        <w:t>2e</w:t>
      </w:r>
      <w:r w:rsidRPr="00A33AE8">
        <w:rPr>
          <w:rFonts w:asciiTheme="majorHAnsi" w:hAnsiTheme="majorHAnsi" w:cstheme="majorHAnsi"/>
          <w:lang w:val="en-GB"/>
        </w:rPr>
        <w:t xml:space="preserve"> (without LULUCF), respectively, as presented in </w:t>
      </w:r>
      <w:r w:rsidRPr="000007D2">
        <w:rPr>
          <w:lang w:val="en-GB"/>
        </w:rPr>
        <w:fldChar w:fldCharType="begin"/>
      </w:r>
      <w:r w:rsidRPr="000007D2">
        <w:rPr>
          <w:lang w:val="en-GB"/>
        </w:rPr>
        <w:instrText xml:space="preserve"> REF _Ref113633616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4.6</w:t>
      </w:r>
      <w:r w:rsidRPr="000007D2">
        <w:rPr>
          <w:lang w:val="en-GB"/>
        </w:rPr>
        <w:fldChar w:fldCharType="end"/>
      </w:r>
      <w:r w:rsidR="00AF3D73" w:rsidRPr="00A33AE8">
        <w:rPr>
          <w:rFonts w:asciiTheme="majorHAnsi" w:hAnsiTheme="majorHAnsi" w:cstheme="majorHAnsi"/>
          <w:lang w:val="en-GB"/>
        </w:rPr>
        <w:t>, despite the considerable increase of the GDP</w:t>
      </w:r>
      <w:r w:rsidRPr="00A33AE8">
        <w:rPr>
          <w:rFonts w:asciiTheme="majorHAnsi" w:hAnsiTheme="majorHAnsi" w:cstheme="majorHAnsi"/>
          <w:lang w:val="en-GB"/>
        </w:rPr>
        <w:t xml:space="preserve">. </w:t>
      </w:r>
      <w:r w:rsidR="00512DAC" w:rsidRPr="00A33AE8">
        <w:rPr>
          <w:rFonts w:asciiTheme="majorHAnsi" w:hAnsiTheme="majorHAnsi" w:cstheme="majorHAnsi"/>
          <w:lang w:val="en-GB"/>
        </w:rPr>
        <w:t>The</w:t>
      </w:r>
      <w:r w:rsidR="00AF3D73" w:rsidRPr="00A33AE8">
        <w:rPr>
          <w:rFonts w:asciiTheme="majorHAnsi" w:hAnsiTheme="majorHAnsi" w:cstheme="majorHAnsi"/>
          <w:lang w:val="en-GB"/>
        </w:rPr>
        <w:t xml:space="preserve"> further utilization of natural gas and the promotion of energy efficiency and RES </w:t>
      </w:r>
      <w:r w:rsidR="000578D5" w:rsidRPr="00A33AE8">
        <w:rPr>
          <w:rFonts w:asciiTheme="majorHAnsi" w:hAnsiTheme="majorHAnsi" w:cstheme="majorHAnsi"/>
          <w:lang w:val="en-GB"/>
        </w:rPr>
        <w:t>technologies</w:t>
      </w:r>
      <w:r w:rsidR="00AF3D73" w:rsidRPr="00A33AE8">
        <w:rPr>
          <w:rFonts w:asciiTheme="majorHAnsi" w:hAnsiTheme="majorHAnsi" w:cstheme="majorHAnsi"/>
          <w:lang w:val="en-GB"/>
        </w:rPr>
        <w:t xml:space="preserve"> in all end-use sectors managed to restrain the increase of the GHG emissions.</w:t>
      </w:r>
    </w:p>
    <w:p w14:paraId="7E17C33E" w14:textId="1DA3EC4F" w:rsidR="006D48D9" w:rsidRPr="00A33AE8" w:rsidRDefault="006D48D9" w:rsidP="006D48D9">
      <w:pPr>
        <w:pStyle w:val="Caption"/>
        <w:rPr>
          <w:lang w:eastAsia="el-GR"/>
        </w:rPr>
      </w:pPr>
      <w:bookmarkStart w:id="213" w:name="_Ref113633616"/>
      <w:bookmarkStart w:id="214" w:name="_Toc118992276"/>
      <w:bookmarkStart w:id="215" w:name="_Toc154575213"/>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6</w:t>
      </w:r>
      <w:r w:rsidR="00B62877">
        <w:rPr>
          <w:lang w:eastAsia="el-GR"/>
        </w:rPr>
        <w:fldChar w:fldCharType="end"/>
      </w:r>
      <w:bookmarkEnd w:id="213"/>
      <w:r w:rsidRPr="00A33AE8">
        <w:rPr>
          <w:lang w:eastAsia="el-GR"/>
        </w:rPr>
        <w:t>: Total GHG emissions (with and without LULUCF) over 2010-2019</w:t>
      </w:r>
      <w:bookmarkEnd w:id="214"/>
      <w:bookmarkEnd w:id="215"/>
    </w:p>
    <w:p w14:paraId="70AA22B2" w14:textId="77777777" w:rsidR="006D48D9" w:rsidRPr="00A33AE8" w:rsidRDefault="00E037FB" w:rsidP="00E037FB">
      <w:pPr>
        <w:jc w:val="center"/>
        <w:rPr>
          <w:lang w:eastAsia="el-GR"/>
        </w:rPr>
      </w:pPr>
      <w:r w:rsidRPr="000007D2">
        <w:rPr>
          <w:noProof/>
          <w:lang w:val="en-US"/>
        </w:rPr>
        <w:drawing>
          <wp:inline distT="0" distB="0" distL="0" distR="0" wp14:anchorId="45147A0E" wp14:editId="3D9B3531">
            <wp:extent cx="4809506" cy="2743077"/>
            <wp:effectExtent l="0" t="0" r="0" b="635"/>
            <wp:docPr id="2055329707" name="Picture 20553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3313" cy="2779469"/>
                    </a:xfrm>
                    <a:prstGeom prst="rect">
                      <a:avLst/>
                    </a:prstGeom>
                    <a:noFill/>
                  </pic:spPr>
                </pic:pic>
              </a:graphicData>
            </a:graphic>
          </wp:inline>
        </w:drawing>
      </w:r>
    </w:p>
    <w:p w14:paraId="4A020C90" w14:textId="0F438E7B" w:rsidR="00506B97" w:rsidRPr="00A33AE8" w:rsidRDefault="00506B97" w:rsidP="00884F3B">
      <w:pPr>
        <w:pStyle w:val="Heading4"/>
        <w:numPr>
          <w:ilvl w:val="0"/>
          <w:numId w:val="29"/>
        </w:numPr>
        <w:jc w:val="both"/>
      </w:pPr>
      <w:r w:rsidRPr="00A33AE8">
        <w:lastRenderedPageBreak/>
        <w:t>Projections of sectorial developments with existing national and EU policies and measures at least until 2040 (including for the year 2030)</w:t>
      </w:r>
    </w:p>
    <w:p w14:paraId="4BA8BA91" w14:textId="415DF6DD" w:rsidR="006D48D9" w:rsidRPr="00A33AE8" w:rsidRDefault="006D48D9" w:rsidP="00FE5804">
      <w:pPr>
        <w:pStyle w:val="LDKbody"/>
        <w:spacing w:before="160" w:after="160"/>
        <w:rPr>
          <w:rFonts w:asciiTheme="majorHAnsi" w:hAnsiTheme="majorHAnsi" w:cstheme="majorHAnsi"/>
          <w:lang w:val="en-GB"/>
        </w:rPr>
      </w:pPr>
      <w:r w:rsidRPr="00A33AE8">
        <w:rPr>
          <w:rFonts w:asciiTheme="majorHAnsi" w:hAnsiTheme="majorHAnsi" w:cstheme="majorHAnsi"/>
          <w:lang w:val="en-GB"/>
        </w:rPr>
        <w:t xml:space="preserve">As presented in </w:t>
      </w:r>
      <w:r w:rsidRPr="000007D2">
        <w:rPr>
          <w:lang w:val="en-GB"/>
        </w:rPr>
        <w:fldChar w:fldCharType="begin"/>
      </w:r>
      <w:r w:rsidRPr="000007D2">
        <w:rPr>
          <w:lang w:val="en-GB"/>
        </w:rPr>
        <w:instrText xml:space="preserve"> REF _Ref113633645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4.7</w:t>
      </w:r>
      <w:r w:rsidRPr="000007D2">
        <w:rPr>
          <w:lang w:val="en-GB"/>
        </w:rPr>
        <w:fldChar w:fldCharType="end"/>
      </w:r>
      <w:r w:rsidRPr="00A33AE8">
        <w:rPr>
          <w:rFonts w:asciiTheme="majorHAnsi" w:hAnsiTheme="majorHAnsi" w:cstheme="majorHAnsi"/>
          <w:lang w:val="en-GB"/>
        </w:rPr>
        <w:t>, 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w:t>
      </w:r>
      <w:r w:rsidR="00E567C9" w:rsidRPr="00A33AE8">
        <w:rPr>
          <w:rFonts w:asciiTheme="majorHAnsi" w:hAnsiTheme="majorHAnsi" w:cstheme="majorHAnsi"/>
          <w:lang w:val="en-GB"/>
        </w:rPr>
        <w:t xml:space="preserve">from energy use </w:t>
      </w:r>
      <w:r w:rsidR="00512DAC" w:rsidRPr="00A33AE8">
        <w:rPr>
          <w:rFonts w:asciiTheme="majorHAnsi" w:hAnsiTheme="majorHAnsi" w:cstheme="majorHAnsi"/>
          <w:lang w:val="en-GB"/>
        </w:rPr>
        <w:t xml:space="preserve">are projected to </w:t>
      </w:r>
      <w:r w:rsidRPr="00A33AE8">
        <w:rPr>
          <w:rFonts w:asciiTheme="majorHAnsi" w:hAnsiTheme="majorHAnsi" w:cstheme="majorHAnsi"/>
          <w:lang w:val="en-GB"/>
        </w:rPr>
        <w:t>increase by</w:t>
      </w:r>
      <w:r w:rsidRPr="000007D2">
        <w:rPr>
          <w:rFonts w:asciiTheme="majorHAnsi" w:hAnsiTheme="majorHAnsi"/>
          <w:lang w:val="en-GB"/>
        </w:rPr>
        <w:t xml:space="preserve"> </w:t>
      </w:r>
      <w:r w:rsidR="00442A4A" w:rsidRPr="000007D2">
        <w:rPr>
          <w:rFonts w:asciiTheme="majorHAnsi" w:hAnsiTheme="majorHAnsi" w:cstheme="majorHAnsi"/>
          <w:lang w:val="en-GB"/>
        </w:rPr>
        <w:t>17.7</w:t>
      </w:r>
      <w:r w:rsidR="00401467" w:rsidRPr="000007D2">
        <w:rPr>
          <w:rFonts w:asciiTheme="majorHAnsi" w:hAnsiTheme="majorHAnsi" w:cstheme="majorHAnsi"/>
          <w:lang w:val="en-GB"/>
        </w:rPr>
        <w:t>%</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 xml:space="preserve">at </w:t>
      </w:r>
      <w:r w:rsidR="00401467" w:rsidRPr="00A33AE8">
        <w:rPr>
          <w:rFonts w:asciiTheme="majorHAnsi" w:hAnsiTheme="majorHAnsi" w:cstheme="majorHAnsi"/>
          <w:lang w:val="en-GB"/>
        </w:rPr>
        <w:t>60.</w:t>
      </w:r>
      <w:r w:rsidR="00442A4A" w:rsidRPr="00A33AE8">
        <w:rPr>
          <w:rFonts w:asciiTheme="majorHAnsi" w:hAnsiTheme="majorHAnsi" w:cstheme="majorHAnsi"/>
          <w:lang w:val="en-GB"/>
        </w:rPr>
        <w:t>44</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2030, </w:t>
      </w:r>
      <w:r w:rsidR="000B7042" w:rsidRPr="00A33AE8">
        <w:rPr>
          <w:rFonts w:asciiTheme="majorHAnsi" w:hAnsiTheme="majorHAnsi" w:cstheme="majorHAnsi"/>
          <w:lang w:val="en-GB"/>
        </w:rPr>
        <w:t xml:space="preserve">and by </w:t>
      </w:r>
      <w:r w:rsidR="00442A4A" w:rsidRPr="00A33AE8">
        <w:rPr>
          <w:rFonts w:asciiTheme="majorHAnsi" w:hAnsiTheme="majorHAnsi" w:cstheme="majorHAnsi"/>
          <w:lang w:val="en-GB"/>
        </w:rPr>
        <w:t>32</w:t>
      </w:r>
      <w:r w:rsidR="00401467" w:rsidRPr="00A33AE8">
        <w:rPr>
          <w:rFonts w:asciiTheme="majorHAnsi" w:hAnsiTheme="majorHAnsi" w:cstheme="majorHAnsi"/>
          <w:lang w:val="en-GB"/>
        </w:rPr>
        <w:t xml:space="preserve">.3% </w:t>
      </w:r>
      <w:r w:rsidR="001C218D" w:rsidRPr="00A33AE8">
        <w:rPr>
          <w:rFonts w:asciiTheme="majorHAnsi" w:hAnsiTheme="majorHAnsi" w:cstheme="majorHAnsi"/>
          <w:lang w:val="en-GB"/>
        </w:rPr>
        <w:t xml:space="preserve">at </w:t>
      </w:r>
      <w:r w:rsidR="00401467" w:rsidRPr="00A33AE8">
        <w:rPr>
          <w:rFonts w:asciiTheme="majorHAnsi" w:hAnsiTheme="majorHAnsi" w:cstheme="majorHAnsi"/>
          <w:lang w:val="en-GB"/>
        </w:rPr>
        <w:t>67.</w:t>
      </w:r>
      <w:r w:rsidR="00442A4A" w:rsidRPr="00A33AE8">
        <w:rPr>
          <w:rFonts w:asciiTheme="majorHAnsi" w:hAnsiTheme="majorHAnsi" w:cstheme="majorHAnsi"/>
          <w:lang w:val="en-GB"/>
        </w:rPr>
        <w:t>9</w:t>
      </w:r>
      <w:r w:rsidR="00401467" w:rsidRPr="00A33AE8">
        <w:rPr>
          <w:rFonts w:asciiTheme="majorHAnsi" w:hAnsiTheme="majorHAnsi" w:cstheme="majorHAnsi"/>
          <w:lang w:val="en-GB"/>
        </w:rPr>
        <w:t xml:space="preserve"> </w:t>
      </w:r>
      <w:r w:rsidR="001C218D" w:rsidRPr="00A33AE8">
        <w:rPr>
          <w:rFonts w:asciiTheme="majorHAnsi" w:hAnsiTheme="majorHAnsi" w:cstheme="majorHAnsi"/>
          <w:lang w:val="en-GB"/>
        </w:rPr>
        <w:t>Mt CO</w:t>
      </w:r>
      <w:r w:rsidR="001C218D" w:rsidRPr="00A33AE8">
        <w:rPr>
          <w:rFonts w:asciiTheme="majorHAnsi" w:hAnsiTheme="majorHAnsi" w:cstheme="majorHAnsi"/>
          <w:vertAlign w:val="subscript"/>
          <w:lang w:val="en-GB"/>
        </w:rPr>
        <w:t>2</w:t>
      </w:r>
      <w:r w:rsidR="001C218D" w:rsidRPr="00A33AE8">
        <w:rPr>
          <w:rFonts w:asciiTheme="majorHAnsi" w:hAnsiTheme="majorHAnsi" w:cstheme="majorHAnsi"/>
          <w:lang w:val="en-GB"/>
        </w:rPr>
        <w:t xml:space="preserve"> in 2</w:t>
      </w:r>
      <w:r w:rsidRPr="00A33AE8">
        <w:rPr>
          <w:rFonts w:asciiTheme="majorHAnsi" w:hAnsiTheme="majorHAnsi" w:cstheme="majorHAnsi"/>
          <w:lang w:val="en-GB"/>
        </w:rPr>
        <w:t>040, compared to 20</w:t>
      </w:r>
      <w:r w:rsidR="00442A4A" w:rsidRPr="00A33AE8">
        <w:rPr>
          <w:rFonts w:asciiTheme="majorHAnsi" w:hAnsiTheme="majorHAnsi" w:cstheme="majorHAnsi"/>
          <w:lang w:val="en-GB"/>
        </w:rPr>
        <w:t>20</w:t>
      </w:r>
      <w:r w:rsidR="00512DAC" w:rsidRPr="00A33AE8">
        <w:rPr>
          <w:rFonts w:asciiTheme="majorHAnsi" w:hAnsiTheme="majorHAnsi" w:cstheme="majorHAnsi"/>
          <w:lang w:val="en-GB"/>
        </w:rPr>
        <w:t xml:space="preserve"> levels</w:t>
      </w:r>
      <w:r w:rsidRPr="00A33AE8">
        <w:rPr>
          <w:rFonts w:asciiTheme="majorHAnsi" w:hAnsiTheme="majorHAnsi" w:cstheme="majorHAnsi"/>
          <w:lang w:val="en-GB"/>
        </w:rPr>
        <w:t xml:space="preserve">. An upward trend is foreseen between </w:t>
      </w:r>
      <w:r w:rsidR="000B7042" w:rsidRPr="00A33AE8">
        <w:rPr>
          <w:rFonts w:asciiTheme="majorHAnsi" w:hAnsiTheme="majorHAnsi" w:cstheme="majorHAnsi"/>
          <w:lang w:val="en-GB"/>
        </w:rPr>
        <w:t xml:space="preserve">2025 </w:t>
      </w:r>
      <w:r w:rsidRPr="00A33AE8">
        <w:rPr>
          <w:rFonts w:asciiTheme="majorHAnsi" w:hAnsiTheme="majorHAnsi" w:cstheme="majorHAnsi"/>
          <w:lang w:val="en-GB"/>
        </w:rPr>
        <w:t xml:space="preserve">and </w:t>
      </w:r>
      <w:r w:rsidR="000B7042" w:rsidRPr="00A33AE8">
        <w:rPr>
          <w:rFonts w:asciiTheme="majorHAnsi" w:hAnsiTheme="majorHAnsi" w:cstheme="majorHAnsi"/>
          <w:lang w:val="en-GB"/>
        </w:rPr>
        <w:t>2045</w:t>
      </w:r>
      <w:r w:rsidRPr="00A33AE8">
        <w:rPr>
          <w:rFonts w:asciiTheme="majorHAnsi" w:hAnsiTheme="majorHAnsi" w:cstheme="majorHAnsi"/>
          <w:lang w:val="en-GB"/>
        </w:rPr>
        <w:t xml:space="preserve"> mainly due to the economic development as demonstrated by the increase of the various parameters such as GDP, sectoral GVA and GDP per capita</w:t>
      </w:r>
      <w:r w:rsidR="00512DAC" w:rsidRPr="00A33AE8">
        <w:rPr>
          <w:rFonts w:asciiTheme="majorHAnsi" w:hAnsiTheme="majorHAnsi" w:cstheme="majorHAnsi"/>
          <w:lang w:val="en-GB"/>
        </w:rPr>
        <w:t xml:space="preserve"> and the continuation of the use of lignite fired power plants</w:t>
      </w:r>
      <w:r w:rsidRPr="00A33AE8">
        <w:rPr>
          <w:rFonts w:asciiTheme="majorHAnsi" w:hAnsiTheme="majorHAnsi" w:cstheme="majorHAnsi"/>
          <w:lang w:val="en-GB"/>
        </w:rPr>
        <w:t>. The decline of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from </w:t>
      </w:r>
      <w:r w:rsidR="000B7042" w:rsidRPr="00A33AE8">
        <w:rPr>
          <w:rFonts w:asciiTheme="majorHAnsi" w:hAnsiTheme="majorHAnsi" w:cstheme="majorHAnsi"/>
          <w:lang w:val="en-GB"/>
        </w:rPr>
        <w:t xml:space="preserve">2045 </w:t>
      </w:r>
      <w:r w:rsidRPr="00A33AE8">
        <w:rPr>
          <w:rFonts w:asciiTheme="majorHAnsi" w:hAnsiTheme="majorHAnsi" w:cstheme="majorHAnsi"/>
          <w:lang w:val="en-GB"/>
        </w:rPr>
        <w:t xml:space="preserve">to </w:t>
      </w:r>
      <w:r w:rsidR="000B7042" w:rsidRPr="00A33AE8">
        <w:rPr>
          <w:rFonts w:asciiTheme="majorHAnsi" w:hAnsiTheme="majorHAnsi" w:cstheme="majorHAnsi"/>
          <w:lang w:val="en-GB"/>
        </w:rPr>
        <w:t>2050</w:t>
      </w:r>
      <w:r w:rsidRPr="00A33AE8">
        <w:rPr>
          <w:rFonts w:asciiTheme="majorHAnsi" w:hAnsiTheme="majorHAnsi" w:cstheme="majorHAnsi"/>
          <w:lang w:val="en-GB"/>
        </w:rPr>
        <w:t xml:space="preserve"> is explained by the </w:t>
      </w:r>
      <w:r w:rsidR="00512DAC" w:rsidRPr="00A33AE8">
        <w:rPr>
          <w:rFonts w:asciiTheme="majorHAnsi" w:hAnsiTheme="majorHAnsi" w:cstheme="majorHAnsi"/>
          <w:lang w:val="en-GB"/>
        </w:rPr>
        <w:t xml:space="preserve">considerable </w:t>
      </w:r>
      <w:r w:rsidRPr="00A33AE8">
        <w:rPr>
          <w:rFonts w:asciiTheme="majorHAnsi" w:hAnsiTheme="majorHAnsi" w:cstheme="majorHAnsi"/>
          <w:lang w:val="en-GB"/>
        </w:rPr>
        <w:t>deployment of improved and advanced technologies and energy carriers that are less or no carbon-intensive, such as renewables and natural gas</w:t>
      </w:r>
      <w:r w:rsidR="00512DAC" w:rsidRPr="00A33AE8">
        <w:rPr>
          <w:rFonts w:asciiTheme="majorHAnsi" w:hAnsiTheme="majorHAnsi" w:cstheme="majorHAnsi"/>
          <w:lang w:val="en-GB"/>
        </w:rPr>
        <w:t xml:space="preserve"> as part of the overall technological replacement</w:t>
      </w:r>
      <w:r w:rsidRPr="00A33AE8">
        <w:rPr>
          <w:rFonts w:asciiTheme="majorHAnsi" w:hAnsiTheme="majorHAnsi" w:cstheme="majorHAnsi"/>
          <w:lang w:val="en-GB"/>
        </w:rPr>
        <w:t>.</w:t>
      </w:r>
      <w:r w:rsidR="001C218D" w:rsidRPr="00A33AE8">
        <w:rPr>
          <w:rFonts w:asciiTheme="majorHAnsi" w:hAnsiTheme="majorHAnsi" w:cstheme="majorHAnsi"/>
          <w:lang w:val="en-GB"/>
        </w:rPr>
        <w:t xml:space="preserve"> Finally, the CO</w:t>
      </w:r>
      <w:r w:rsidR="001C218D" w:rsidRPr="00A33AE8">
        <w:rPr>
          <w:rFonts w:asciiTheme="majorHAnsi" w:hAnsiTheme="majorHAnsi" w:cstheme="majorHAnsi"/>
          <w:vertAlign w:val="subscript"/>
          <w:lang w:val="en-GB"/>
        </w:rPr>
        <w:t>2</w:t>
      </w:r>
      <w:r w:rsidR="001C218D" w:rsidRPr="00A33AE8">
        <w:rPr>
          <w:rFonts w:asciiTheme="majorHAnsi" w:hAnsiTheme="majorHAnsi" w:cstheme="majorHAnsi"/>
          <w:lang w:val="en-GB"/>
        </w:rPr>
        <w:t xml:space="preserve"> emissions </w:t>
      </w:r>
      <w:r w:rsidR="00512DAC" w:rsidRPr="00A33AE8">
        <w:rPr>
          <w:rFonts w:asciiTheme="majorHAnsi" w:hAnsiTheme="majorHAnsi" w:cstheme="majorHAnsi"/>
          <w:lang w:val="en-GB"/>
        </w:rPr>
        <w:t xml:space="preserve">are projected to be </w:t>
      </w:r>
      <w:r w:rsidR="001C218D" w:rsidRPr="00A33AE8">
        <w:rPr>
          <w:rFonts w:asciiTheme="majorHAnsi" w:hAnsiTheme="majorHAnsi" w:cstheme="majorHAnsi"/>
          <w:lang w:val="en-GB"/>
        </w:rPr>
        <w:t xml:space="preserve">stabilised at </w:t>
      </w:r>
      <w:r w:rsidR="00512DAC" w:rsidRPr="00A33AE8">
        <w:rPr>
          <w:rFonts w:asciiTheme="majorHAnsi" w:hAnsiTheme="majorHAnsi" w:cstheme="majorHAnsi"/>
          <w:lang w:val="en-GB"/>
        </w:rPr>
        <w:t xml:space="preserve">the level of </w:t>
      </w:r>
      <w:r w:rsidR="00442A4A" w:rsidRPr="00A33AE8">
        <w:rPr>
          <w:rFonts w:asciiTheme="majorHAnsi" w:hAnsiTheme="majorHAnsi" w:cstheme="majorHAnsi"/>
          <w:lang w:val="en-GB"/>
        </w:rPr>
        <w:t>66.9</w:t>
      </w:r>
      <w:r w:rsidR="00401467" w:rsidRPr="00A33AE8">
        <w:rPr>
          <w:rFonts w:asciiTheme="majorHAnsi" w:hAnsiTheme="majorHAnsi" w:cstheme="majorHAnsi"/>
          <w:lang w:val="en-GB"/>
        </w:rPr>
        <w:t xml:space="preserve"> </w:t>
      </w:r>
      <w:r w:rsidR="001C218D" w:rsidRPr="00A33AE8">
        <w:rPr>
          <w:rFonts w:asciiTheme="majorHAnsi" w:hAnsiTheme="majorHAnsi" w:cstheme="majorHAnsi"/>
          <w:lang w:val="en-GB"/>
        </w:rPr>
        <w:t>Mt CO</w:t>
      </w:r>
      <w:r w:rsidR="001C218D" w:rsidRPr="00A33AE8">
        <w:rPr>
          <w:rFonts w:asciiTheme="majorHAnsi" w:hAnsiTheme="majorHAnsi" w:cstheme="majorHAnsi"/>
          <w:vertAlign w:val="subscript"/>
          <w:lang w:val="en-GB"/>
        </w:rPr>
        <w:t>2</w:t>
      </w:r>
      <w:r w:rsidR="001C218D" w:rsidRPr="00A33AE8">
        <w:rPr>
          <w:rFonts w:asciiTheme="majorHAnsi" w:hAnsiTheme="majorHAnsi" w:cstheme="majorHAnsi"/>
          <w:lang w:val="en-GB"/>
        </w:rPr>
        <w:t xml:space="preserve"> in 2050.</w:t>
      </w:r>
    </w:p>
    <w:p w14:paraId="230A26BE" w14:textId="3A806EEF" w:rsidR="001C218D" w:rsidRPr="00A33AE8" w:rsidRDefault="006D48D9" w:rsidP="00FE5804">
      <w:pPr>
        <w:pStyle w:val="LDKbody"/>
        <w:spacing w:before="160" w:after="160"/>
        <w:rPr>
          <w:rFonts w:asciiTheme="majorHAnsi" w:hAnsiTheme="majorHAnsi" w:cstheme="majorHAnsi"/>
          <w:lang w:val="en-GB"/>
        </w:rPr>
      </w:pPr>
      <w:r w:rsidRPr="00A33AE8">
        <w:rPr>
          <w:rFonts w:asciiTheme="majorHAnsi" w:hAnsiTheme="majorHAnsi" w:cstheme="majorHAnsi"/>
          <w:lang w:val="en-GB"/>
        </w:rPr>
        <w:t>The electricity sector has the highest contribution to 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w:t>
      </w:r>
      <w:r w:rsidR="00D666AA" w:rsidRPr="00A33AE8">
        <w:rPr>
          <w:rFonts w:asciiTheme="majorHAnsi" w:hAnsiTheme="majorHAnsi" w:cstheme="majorHAnsi"/>
          <w:lang w:val="en-GB"/>
        </w:rPr>
        <w:t xml:space="preserve"> and </w:t>
      </w:r>
      <w:r w:rsidRPr="00A33AE8">
        <w:rPr>
          <w:rFonts w:asciiTheme="majorHAnsi" w:hAnsiTheme="majorHAnsi" w:cstheme="majorHAnsi"/>
          <w:lang w:val="en-GB"/>
        </w:rPr>
        <w:t xml:space="preserve">its share </w:t>
      </w:r>
      <w:r w:rsidR="00512DAC" w:rsidRPr="00A33AE8">
        <w:rPr>
          <w:rFonts w:asciiTheme="majorHAnsi" w:hAnsiTheme="majorHAnsi" w:cstheme="majorHAnsi"/>
          <w:lang w:val="en-GB"/>
        </w:rPr>
        <w:t xml:space="preserve">is projected to </w:t>
      </w:r>
      <w:r w:rsidR="00D666AA" w:rsidRPr="00A33AE8">
        <w:rPr>
          <w:rFonts w:asciiTheme="majorHAnsi" w:hAnsiTheme="majorHAnsi" w:cstheme="majorHAnsi"/>
          <w:lang w:val="en-GB"/>
        </w:rPr>
        <w:t xml:space="preserve">increase </w:t>
      </w:r>
      <w:r w:rsidRPr="00A33AE8">
        <w:rPr>
          <w:rFonts w:asciiTheme="majorHAnsi" w:hAnsiTheme="majorHAnsi" w:cstheme="majorHAnsi"/>
          <w:lang w:val="en-GB"/>
        </w:rPr>
        <w:t xml:space="preserve">significantly from </w:t>
      </w:r>
      <w:r w:rsidR="00E535DD" w:rsidRPr="00A33AE8">
        <w:rPr>
          <w:rFonts w:asciiTheme="majorHAnsi" w:hAnsiTheme="majorHAnsi" w:cstheme="majorHAnsi"/>
          <w:lang w:val="en-GB"/>
        </w:rPr>
        <w:t>35.0</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2030 to </w:t>
      </w:r>
      <w:r w:rsidR="00E535DD" w:rsidRPr="00A33AE8">
        <w:rPr>
          <w:rFonts w:asciiTheme="majorHAnsi" w:hAnsiTheme="majorHAnsi" w:cstheme="majorHAnsi"/>
          <w:lang w:val="en-GB"/>
        </w:rPr>
        <w:t>38.9</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2040</w:t>
      </w:r>
      <w:r w:rsidR="00512DAC" w:rsidRPr="00A33AE8">
        <w:rPr>
          <w:rFonts w:asciiTheme="majorHAnsi" w:hAnsiTheme="majorHAnsi" w:cstheme="majorHAnsi"/>
          <w:lang w:val="en-GB"/>
        </w:rPr>
        <w:t>, connected to the continuation of the use of lignite fired power plants</w:t>
      </w:r>
      <w:r w:rsidRPr="00A33AE8">
        <w:rPr>
          <w:rFonts w:asciiTheme="majorHAnsi" w:hAnsiTheme="majorHAnsi" w:cstheme="majorHAnsi"/>
          <w:lang w:val="en-GB"/>
        </w:rPr>
        <w:t xml:space="preserve">. </w:t>
      </w:r>
      <w:r w:rsidR="001C218D" w:rsidRPr="00A33AE8">
        <w:rPr>
          <w:rFonts w:asciiTheme="majorHAnsi" w:hAnsiTheme="majorHAnsi" w:cstheme="majorHAnsi"/>
          <w:lang w:val="en-GB"/>
        </w:rPr>
        <w:t xml:space="preserve">Nevertheless, the </w:t>
      </w:r>
      <w:r w:rsidR="00401467" w:rsidRPr="00A33AE8">
        <w:rPr>
          <w:rFonts w:asciiTheme="majorHAnsi" w:hAnsiTheme="majorHAnsi" w:cstheme="majorHAnsi"/>
          <w:lang w:val="en-GB"/>
        </w:rPr>
        <w:t xml:space="preserve">contribution of the electricity sector to the </w:t>
      </w:r>
      <w:r w:rsidR="001C218D" w:rsidRPr="00A33AE8">
        <w:rPr>
          <w:rFonts w:asciiTheme="majorHAnsi" w:hAnsiTheme="majorHAnsi" w:cstheme="majorHAnsi"/>
          <w:lang w:val="en-GB"/>
        </w:rPr>
        <w:t>CO</w:t>
      </w:r>
      <w:r w:rsidR="001C218D" w:rsidRPr="00A33AE8">
        <w:rPr>
          <w:rFonts w:asciiTheme="majorHAnsi" w:hAnsiTheme="majorHAnsi" w:cstheme="majorHAnsi"/>
          <w:vertAlign w:val="subscript"/>
          <w:lang w:val="en-GB"/>
        </w:rPr>
        <w:t>2</w:t>
      </w:r>
      <w:r w:rsidR="001C218D" w:rsidRPr="00A33AE8">
        <w:rPr>
          <w:rFonts w:asciiTheme="majorHAnsi" w:hAnsiTheme="majorHAnsi" w:cstheme="majorHAnsi"/>
          <w:lang w:val="en-GB"/>
        </w:rPr>
        <w:t xml:space="preserve"> emissions decrease at </w:t>
      </w:r>
      <w:r w:rsidR="00401467" w:rsidRPr="00A33AE8">
        <w:rPr>
          <w:rFonts w:asciiTheme="majorHAnsi" w:hAnsiTheme="majorHAnsi" w:cstheme="majorHAnsi"/>
          <w:lang w:val="en-GB"/>
        </w:rPr>
        <w:t>34.</w:t>
      </w:r>
      <w:r w:rsidR="00E535DD" w:rsidRPr="00A33AE8">
        <w:rPr>
          <w:rFonts w:asciiTheme="majorHAnsi" w:hAnsiTheme="majorHAnsi" w:cstheme="majorHAnsi"/>
          <w:lang w:val="en-GB"/>
        </w:rPr>
        <w:t>4</w:t>
      </w:r>
      <w:r w:rsidR="00401467" w:rsidRPr="00A33AE8">
        <w:rPr>
          <w:rFonts w:asciiTheme="majorHAnsi" w:hAnsiTheme="majorHAnsi" w:cstheme="majorHAnsi"/>
          <w:lang w:val="en-GB"/>
        </w:rPr>
        <w:t xml:space="preserve"> </w:t>
      </w:r>
      <w:r w:rsidR="001C218D" w:rsidRPr="00A33AE8">
        <w:rPr>
          <w:rFonts w:asciiTheme="majorHAnsi" w:hAnsiTheme="majorHAnsi" w:cstheme="majorHAnsi"/>
          <w:lang w:val="en-GB"/>
        </w:rPr>
        <w:t>Mt CO</w:t>
      </w:r>
      <w:r w:rsidR="001C218D" w:rsidRPr="00A33AE8">
        <w:rPr>
          <w:rFonts w:asciiTheme="majorHAnsi" w:hAnsiTheme="majorHAnsi" w:cstheme="majorHAnsi"/>
          <w:vertAlign w:val="subscript"/>
          <w:lang w:val="en-GB"/>
        </w:rPr>
        <w:t>2</w:t>
      </w:r>
      <w:r w:rsidR="001C218D" w:rsidRPr="00A33AE8">
        <w:rPr>
          <w:rFonts w:asciiTheme="majorHAnsi" w:hAnsiTheme="majorHAnsi" w:cstheme="majorHAnsi"/>
          <w:lang w:val="en-GB"/>
        </w:rPr>
        <w:t xml:space="preserve"> </w:t>
      </w:r>
      <w:r w:rsidR="00401467" w:rsidRPr="00A33AE8">
        <w:rPr>
          <w:rFonts w:asciiTheme="majorHAnsi" w:hAnsiTheme="majorHAnsi" w:cstheme="majorHAnsi"/>
          <w:lang w:val="en-GB"/>
        </w:rPr>
        <w:t>by</w:t>
      </w:r>
      <w:r w:rsidR="001C218D" w:rsidRPr="00A33AE8">
        <w:rPr>
          <w:rFonts w:asciiTheme="majorHAnsi" w:hAnsiTheme="majorHAnsi" w:cstheme="majorHAnsi"/>
          <w:lang w:val="en-GB"/>
        </w:rPr>
        <w:t xml:space="preserve"> 2050 mainly due to the further deployment of RES.</w:t>
      </w:r>
    </w:p>
    <w:p w14:paraId="577D073C" w14:textId="77777777" w:rsidR="006D48D9" w:rsidRPr="00A33AE8" w:rsidRDefault="006D48D9" w:rsidP="00FE5804">
      <w:pPr>
        <w:pStyle w:val="LDKbody"/>
        <w:spacing w:before="160" w:after="160"/>
        <w:rPr>
          <w:lang w:val="en-GB"/>
        </w:rPr>
      </w:pPr>
      <w:r w:rsidRPr="00A33AE8">
        <w:rPr>
          <w:rFonts w:asciiTheme="majorHAnsi" w:hAnsiTheme="majorHAnsi" w:cstheme="majorHAnsi"/>
          <w:lang w:val="en-GB"/>
        </w:rPr>
        <w:t>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from the industry and transport sectors are </w:t>
      </w:r>
      <w:r w:rsidR="00512DAC" w:rsidRPr="00A33AE8">
        <w:rPr>
          <w:rFonts w:asciiTheme="majorHAnsi" w:hAnsiTheme="majorHAnsi" w:cstheme="majorHAnsi"/>
          <w:lang w:val="en-GB"/>
        </w:rPr>
        <w:t xml:space="preserve">projected </w:t>
      </w:r>
      <w:r w:rsidRPr="00A33AE8">
        <w:rPr>
          <w:rFonts w:asciiTheme="majorHAnsi" w:hAnsiTheme="majorHAnsi" w:cstheme="majorHAnsi"/>
          <w:lang w:val="en-GB"/>
        </w:rPr>
        <w:t>to rise from 20</w:t>
      </w:r>
      <w:r w:rsidR="00E535DD" w:rsidRPr="00A33AE8">
        <w:rPr>
          <w:rFonts w:asciiTheme="majorHAnsi" w:hAnsiTheme="majorHAnsi" w:cstheme="majorHAnsi"/>
          <w:lang w:val="en-GB"/>
        </w:rPr>
        <w:t>20</w:t>
      </w:r>
      <w:r w:rsidRPr="00A33AE8">
        <w:rPr>
          <w:rFonts w:asciiTheme="majorHAnsi" w:hAnsiTheme="majorHAnsi" w:cstheme="majorHAnsi"/>
          <w:lang w:val="en-GB"/>
        </w:rPr>
        <w:t xml:space="preserve"> to 2050. More specifically, 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for the industry sector will be almost doubled; from 7.</w:t>
      </w:r>
      <w:r w:rsidR="00E535DD" w:rsidRPr="00A33AE8">
        <w:rPr>
          <w:rFonts w:asciiTheme="majorHAnsi" w:hAnsiTheme="majorHAnsi" w:cstheme="majorHAnsi"/>
          <w:lang w:val="en-GB"/>
        </w:rPr>
        <w:t>99</w:t>
      </w:r>
      <w:r w:rsidRPr="00A33AE8">
        <w:rPr>
          <w:rFonts w:asciiTheme="majorHAnsi" w:hAnsiTheme="majorHAnsi" w:cstheme="majorHAnsi"/>
          <w:lang w:val="en-GB"/>
        </w:rPr>
        <w:t xml:space="preserve"> 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w:t>
      </w:r>
      <w:r w:rsidR="00E535DD" w:rsidRPr="00A33AE8">
        <w:rPr>
          <w:rFonts w:asciiTheme="majorHAnsi" w:hAnsiTheme="majorHAnsi" w:cstheme="majorHAnsi"/>
          <w:lang w:val="en-GB"/>
        </w:rPr>
        <w:t>20</w:t>
      </w:r>
      <w:r w:rsidRPr="00A33AE8">
        <w:rPr>
          <w:rFonts w:asciiTheme="majorHAnsi" w:hAnsiTheme="majorHAnsi" w:cstheme="majorHAnsi"/>
          <w:lang w:val="en-GB"/>
        </w:rPr>
        <w:t xml:space="preserve"> to</w:t>
      </w:r>
      <w:r w:rsidR="00D666AA" w:rsidRPr="00A33AE8">
        <w:rPr>
          <w:rFonts w:asciiTheme="majorHAnsi" w:hAnsiTheme="majorHAnsi" w:cstheme="majorHAnsi"/>
          <w:lang w:val="en-GB"/>
        </w:rPr>
        <w:t xml:space="preserve"> </w:t>
      </w:r>
      <w:r w:rsidR="00401467" w:rsidRPr="00A33AE8">
        <w:rPr>
          <w:rFonts w:asciiTheme="majorHAnsi" w:hAnsiTheme="majorHAnsi" w:cstheme="majorHAnsi"/>
          <w:lang w:val="en-GB"/>
        </w:rPr>
        <w:t>14.</w:t>
      </w:r>
      <w:r w:rsidR="00E535DD" w:rsidRPr="00A33AE8">
        <w:rPr>
          <w:rFonts w:asciiTheme="majorHAnsi" w:hAnsiTheme="majorHAnsi" w:cstheme="majorHAnsi"/>
          <w:lang w:val="en-GB"/>
        </w:rPr>
        <w:t>77</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2050 and the same trajectory roughly stands for the transport sector; from 7.</w:t>
      </w:r>
      <w:r w:rsidR="00E535DD" w:rsidRPr="00A33AE8">
        <w:rPr>
          <w:rFonts w:asciiTheme="majorHAnsi" w:hAnsiTheme="majorHAnsi" w:cstheme="majorHAnsi"/>
          <w:lang w:val="en-GB"/>
        </w:rPr>
        <w:t>00</w:t>
      </w:r>
      <w:r w:rsidRPr="00A33AE8">
        <w:rPr>
          <w:rFonts w:asciiTheme="majorHAnsi" w:hAnsiTheme="majorHAnsi" w:cstheme="majorHAnsi"/>
          <w:lang w:val="en-GB"/>
        </w:rPr>
        <w:t xml:space="preserve"> 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w:t>
      </w:r>
      <w:r w:rsidR="00E535DD"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401467" w:rsidRPr="00A33AE8">
        <w:rPr>
          <w:rFonts w:asciiTheme="majorHAnsi" w:hAnsiTheme="majorHAnsi" w:cstheme="majorHAnsi"/>
          <w:lang w:val="en-GB"/>
        </w:rPr>
        <w:t>10.</w:t>
      </w:r>
      <w:r w:rsidR="00FD7886" w:rsidRPr="00A33AE8">
        <w:rPr>
          <w:rFonts w:asciiTheme="majorHAnsi" w:hAnsiTheme="majorHAnsi" w:cstheme="majorHAnsi"/>
          <w:lang w:val="en-GB"/>
        </w:rPr>
        <w:t>77</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Mt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in 2050. 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of the industrial sector will increase, mainly due to the rise of the industrial sectors’ output and subsequently its increased activity.</w:t>
      </w:r>
      <w:bookmarkStart w:id="216" w:name="_Hlk110930733"/>
      <w:r w:rsidR="00261665" w:rsidRPr="000007D2">
        <w:rPr>
          <w:rFonts w:asciiTheme="majorHAnsi" w:hAnsiTheme="majorHAnsi" w:cstheme="majorHAnsi"/>
          <w:lang w:val="en-GB"/>
        </w:rPr>
        <w:t xml:space="preserve"> </w:t>
      </w:r>
      <w:r w:rsidR="001C218D" w:rsidRPr="00A33AE8">
        <w:rPr>
          <w:rFonts w:asciiTheme="majorHAnsi" w:hAnsiTheme="majorHAnsi" w:cstheme="majorHAnsi"/>
          <w:lang w:val="en-GB"/>
        </w:rPr>
        <w:t xml:space="preserve">Similarly, the foreseen increase of the GDP will increase </w:t>
      </w:r>
      <w:r w:rsidR="00512DAC" w:rsidRPr="00A33AE8">
        <w:rPr>
          <w:rFonts w:asciiTheme="majorHAnsi" w:hAnsiTheme="majorHAnsi" w:cstheme="majorHAnsi"/>
          <w:lang w:val="en-GB"/>
        </w:rPr>
        <w:t xml:space="preserve">considerably </w:t>
      </w:r>
      <w:r w:rsidR="001C218D" w:rsidRPr="00A33AE8">
        <w:rPr>
          <w:rFonts w:asciiTheme="majorHAnsi" w:hAnsiTheme="majorHAnsi" w:cstheme="majorHAnsi"/>
          <w:lang w:val="en-GB"/>
        </w:rPr>
        <w:t xml:space="preserve">also the transport activity. </w:t>
      </w:r>
      <w:r w:rsidR="00512DAC" w:rsidRPr="00A33AE8">
        <w:rPr>
          <w:rFonts w:asciiTheme="majorHAnsi" w:hAnsiTheme="majorHAnsi" w:cstheme="majorHAnsi"/>
          <w:lang w:val="en-GB"/>
        </w:rPr>
        <w:t>The</w:t>
      </w:r>
      <w:r w:rsidR="001C218D" w:rsidRPr="00A33AE8">
        <w:rPr>
          <w:rFonts w:asciiTheme="majorHAnsi" w:hAnsiTheme="majorHAnsi" w:cstheme="majorHAnsi"/>
          <w:lang w:val="en-GB"/>
        </w:rPr>
        <w:t xml:space="preserve"> implementation of energy efficiency measures and the utilization of environmentally friendly fuels</w:t>
      </w:r>
      <w:r w:rsidR="00512DAC" w:rsidRPr="00A33AE8">
        <w:rPr>
          <w:rFonts w:asciiTheme="majorHAnsi" w:hAnsiTheme="majorHAnsi" w:cstheme="majorHAnsi"/>
          <w:lang w:val="en-GB"/>
        </w:rPr>
        <w:t xml:space="preserve">, at the level considered in WEM, </w:t>
      </w:r>
      <w:r w:rsidR="001C218D" w:rsidRPr="00A33AE8">
        <w:rPr>
          <w:rFonts w:asciiTheme="majorHAnsi" w:hAnsiTheme="majorHAnsi" w:cstheme="majorHAnsi"/>
          <w:lang w:val="en-GB"/>
        </w:rPr>
        <w:t>are not capable of restraining the increase of the CO</w:t>
      </w:r>
      <w:r w:rsidR="001C218D" w:rsidRPr="00A33AE8">
        <w:rPr>
          <w:rFonts w:asciiTheme="majorHAnsi" w:hAnsiTheme="majorHAnsi" w:cstheme="majorHAnsi"/>
          <w:vertAlign w:val="subscript"/>
          <w:lang w:val="en-GB"/>
        </w:rPr>
        <w:t>2</w:t>
      </w:r>
      <w:r w:rsidR="001C218D" w:rsidRPr="00A33AE8">
        <w:rPr>
          <w:rFonts w:asciiTheme="majorHAnsi" w:hAnsiTheme="majorHAnsi" w:cstheme="majorHAnsi"/>
          <w:lang w:val="en-GB"/>
        </w:rPr>
        <w:t xml:space="preserve"> emissions.</w:t>
      </w:r>
      <w:bookmarkEnd w:id="216"/>
    </w:p>
    <w:p w14:paraId="728B7C2F" w14:textId="4EFD0E0F" w:rsidR="006D48D9" w:rsidRPr="00A33AE8" w:rsidRDefault="006D48D9" w:rsidP="006D48D9">
      <w:pPr>
        <w:pStyle w:val="Caption"/>
        <w:rPr>
          <w:lang w:eastAsia="el-GR"/>
        </w:rPr>
      </w:pPr>
      <w:bookmarkStart w:id="217" w:name="_Ref113633645"/>
      <w:bookmarkStart w:id="218" w:name="_Toc118992277"/>
      <w:bookmarkStart w:id="219" w:name="_Toc154575214"/>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7</w:t>
      </w:r>
      <w:r w:rsidR="00B62877">
        <w:rPr>
          <w:lang w:eastAsia="el-GR"/>
        </w:rPr>
        <w:fldChar w:fldCharType="end"/>
      </w:r>
      <w:bookmarkEnd w:id="217"/>
      <w:r w:rsidRPr="00A33AE8">
        <w:rPr>
          <w:lang w:eastAsia="el-GR"/>
        </w:rPr>
        <w:t>: CO2 emissions by sector over 20</w:t>
      </w:r>
      <w:r w:rsidR="00433A87" w:rsidRPr="00A33AE8">
        <w:rPr>
          <w:lang w:eastAsia="el-GR"/>
        </w:rPr>
        <w:t>20</w:t>
      </w:r>
      <w:r w:rsidRPr="00A33AE8">
        <w:rPr>
          <w:lang w:eastAsia="el-GR"/>
        </w:rPr>
        <w:t>-2050</w:t>
      </w:r>
      <w:bookmarkEnd w:id="218"/>
      <w:r w:rsidR="00B55F92">
        <w:rPr>
          <w:lang w:eastAsia="el-GR"/>
        </w:rPr>
        <w:t xml:space="preserve"> </w:t>
      </w:r>
      <w:r w:rsidR="00C176B4">
        <w:rPr>
          <w:lang w:eastAsia="el-GR"/>
        </w:rPr>
        <w:t xml:space="preserve">in the scenario </w:t>
      </w:r>
      <w:r w:rsidR="00B55F92">
        <w:rPr>
          <w:lang w:eastAsia="el-GR"/>
        </w:rPr>
        <w:t>with existing measures (WEM)</w:t>
      </w:r>
      <w:bookmarkEnd w:id="219"/>
    </w:p>
    <w:p w14:paraId="6C280CC9" w14:textId="77777777" w:rsidR="00401467" w:rsidRPr="00A33AE8" w:rsidRDefault="006B0A65" w:rsidP="00401467">
      <w:pPr>
        <w:jc w:val="center"/>
        <w:rPr>
          <w:lang w:eastAsia="el-GR"/>
        </w:rPr>
      </w:pPr>
      <w:r w:rsidRPr="000007D2">
        <w:rPr>
          <w:noProof/>
          <w:lang w:val="en-US"/>
        </w:rPr>
        <mc:AlternateContent>
          <mc:Choice Requires="wps">
            <w:drawing>
              <wp:anchor distT="0" distB="0" distL="114300" distR="114300" simplePos="0" relativeHeight="251665408" behindDoc="0" locked="0" layoutInCell="1" allowOverlap="1" wp14:anchorId="0EF1ADCF" wp14:editId="68A586BC">
                <wp:simplePos x="0" y="0"/>
                <wp:positionH relativeFrom="column">
                  <wp:posOffset>1134589</wp:posOffset>
                </wp:positionH>
                <wp:positionV relativeFrom="paragraph">
                  <wp:posOffset>585554</wp:posOffset>
                </wp:positionV>
                <wp:extent cx="2803525" cy="2582497"/>
                <wp:effectExtent l="0" t="0" r="0" b="8890"/>
                <wp:wrapNone/>
                <wp:docPr id="273596696" name="Text Box 273596696"/>
                <wp:cNvGraphicFramePr/>
                <a:graphic xmlns:a="http://schemas.openxmlformats.org/drawingml/2006/main">
                  <a:graphicData uri="http://schemas.microsoft.com/office/word/2010/wordprocessingShape">
                    <wps:wsp>
                      <wps:cNvSpPr txBox="1"/>
                      <wps:spPr>
                        <a:xfrm>
                          <a:off x="0" y="0"/>
                          <a:ext cx="2803525" cy="2582497"/>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FFC53B" id="Text Box 273596696" o:spid="_x0000_s1026" type="#_x0000_t202" style="position:absolute;margin-left:89.35pt;margin-top:46.1pt;width:220.75pt;height:20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" fillcolor="#a5a5a5 [2092]" stroked="f">
                <v:fill opacity="32896f"/>
              </v:shape>
            </w:pict>
          </mc:Fallback>
        </mc:AlternateContent>
      </w:r>
      <w:r w:rsidR="00442A4A" w:rsidRPr="000007D2">
        <w:rPr>
          <w:noProof/>
          <w:lang w:val="en-US"/>
        </w:rPr>
        <w:drawing>
          <wp:inline distT="0" distB="0" distL="0" distR="0" wp14:anchorId="312EBE67" wp14:editId="694B42AB">
            <wp:extent cx="5962052" cy="4393915"/>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4069" cy="4410141"/>
                    </a:xfrm>
                    <a:prstGeom prst="rect">
                      <a:avLst/>
                    </a:prstGeom>
                    <a:noFill/>
                  </pic:spPr>
                </pic:pic>
              </a:graphicData>
            </a:graphic>
          </wp:inline>
        </w:drawing>
      </w:r>
    </w:p>
    <w:p w14:paraId="577F62A5" w14:textId="77777777" w:rsidR="008A19E0" w:rsidRPr="00A33AE8" w:rsidRDefault="008A19E0" w:rsidP="0010391C">
      <w:pPr>
        <w:jc w:val="center"/>
        <w:rPr>
          <w:lang w:eastAsia="el-GR"/>
        </w:rPr>
      </w:pPr>
    </w:p>
    <w:p w14:paraId="4CF835DF" w14:textId="4DC98592" w:rsidR="006D48D9" w:rsidRPr="00A33AE8" w:rsidRDefault="006D48D9" w:rsidP="006D48D9">
      <w:pPr>
        <w:pStyle w:val="LDKbody"/>
        <w:rPr>
          <w:rFonts w:asciiTheme="majorHAnsi" w:hAnsiTheme="majorHAnsi" w:cstheme="majorHAnsi"/>
          <w:lang w:val="en-GB"/>
        </w:rPr>
      </w:pPr>
      <w:r w:rsidRPr="00A33AE8">
        <w:rPr>
          <w:rFonts w:asciiTheme="majorHAnsi" w:hAnsiTheme="majorHAnsi" w:cstheme="majorHAnsi"/>
          <w:lang w:val="en-GB"/>
        </w:rPr>
        <w:lastRenderedPageBreak/>
        <w:t xml:space="preserve">As presented in </w:t>
      </w:r>
      <w:r w:rsidRPr="000007D2">
        <w:rPr>
          <w:lang w:val="en-GB"/>
        </w:rPr>
        <w:fldChar w:fldCharType="begin"/>
      </w:r>
      <w:r w:rsidRPr="000007D2">
        <w:rPr>
          <w:lang w:val="en-GB"/>
        </w:rPr>
        <w:instrText xml:space="preserve"> REF _Ref113633675 \h  \* MERGEFORMAT </w:instrText>
      </w:r>
      <w:r w:rsidRPr="000007D2">
        <w:rPr>
          <w:lang w:val="en-GB"/>
        </w:rPr>
      </w:r>
      <w:r w:rsidRPr="000007D2">
        <w:rPr>
          <w:lang w:val="en-GB"/>
        </w:rPr>
        <w:fldChar w:fldCharType="separate"/>
      </w:r>
      <w:r w:rsidR="00D45204" w:rsidRPr="00A33AE8">
        <w:rPr>
          <w:rFonts w:asciiTheme="majorHAnsi" w:hAnsiTheme="majorHAnsi" w:cstheme="majorHAnsi"/>
          <w:lang w:val="en-GB"/>
        </w:rPr>
        <w:t>Figure 4.8</w:t>
      </w:r>
      <w:r w:rsidRPr="000007D2">
        <w:rPr>
          <w:lang w:val="en-GB"/>
        </w:rPr>
        <w:fldChar w:fldCharType="end"/>
      </w:r>
      <w:r w:rsidRPr="00A33AE8">
        <w:rPr>
          <w:rFonts w:asciiTheme="majorHAnsi" w:hAnsiTheme="majorHAnsi" w:cstheme="majorHAnsi"/>
          <w:lang w:val="en-GB"/>
        </w:rPr>
        <w: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emissions are expected to decrease considerably </w:t>
      </w:r>
      <w:r w:rsidR="00E535DD" w:rsidRPr="00A33AE8">
        <w:rPr>
          <w:rFonts w:asciiTheme="majorHAnsi" w:hAnsiTheme="majorHAnsi" w:cstheme="majorHAnsi"/>
          <w:lang w:val="en-GB"/>
        </w:rPr>
        <w:t xml:space="preserve">after 2027 </w:t>
      </w:r>
      <w:r w:rsidRPr="00A33AE8">
        <w:rPr>
          <w:rFonts w:asciiTheme="majorHAnsi" w:hAnsiTheme="majorHAnsi" w:cstheme="majorHAnsi"/>
          <w:lang w:val="en-GB"/>
        </w:rPr>
        <w:t>due to the decarbonisation process, exhibiting a</w:t>
      </w:r>
      <w:r w:rsidR="00E535DD" w:rsidRPr="00A33AE8">
        <w:rPr>
          <w:rFonts w:asciiTheme="majorHAnsi" w:hAnsiTheme="majorHAnsi" w:cstheme="majorHAnsi"/>
          <w:lang w:val="en-GB"/>
        </w:rPr>
        <w:t xml:space="preserve">n increase of 3.9% in 2030 and </w:t>
      </w:r>
      <w:r w:rsidRPr="00A33AE8">
        <w:rPr>
          <w:rFonts w:asciiTheme="majorHAnsi" w:hAnsiTheme="majorHAnsi" w:cstheme="majorHAnsi"/>
          <w:lang w:val="en-GB"/>
        </w:rPr>
        <w:t>a reduction equal to</w:t>
      </w:r>
      <w:r w:rsidR="00401467" w:rsidRPr="00A33AE8">
        <w:rPr>
          <w:rFonts w:asciiTheme="majorHAnsi" w:hAnsiTheme="majorHAnsi" w:cstheme="majorHAnsi"/>
          <w:lang w:val="en-GB"/>
        </w:rPr>
        <w:t xml:space="preserve"> </w:t>
      </w:r>
      <w:r w:rsidR="00E535DD" w:rsidRPr="00A33AE8">
        <w:rPr>
          <w:rFonts w:asciiTheme="majorHAnsi" w:hAnsiTheme="majorHAnsi" w:cstheme="majorHAnsi"/>
          <w:lang w:val="en-GB"/>
        </w:rPr>
        <w:t>10.9</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 xml:space="preserve">and </w:t>
      </w:r>
      <w:r w:rsidR="00E535DD" w:rsidRPr="00A33AE8">
        <w:rPr>
          <w:rFonts w:asciiTheme="majorHAnsi" w:hAnsiTheme="majorHAnsi" w:cstheme="majorHAnsi"/>
          <w:lang w:val="en-GB"/>
        </w:rPr>
        <w:t>27</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in 2040 and 2050 respectively, compared to 20</w:t>
      </w:r>
      <w:r w:rsidR="00E535DD" w:rsidRPr="00A33AE8">
        <w:rPr>
          <w:rFonts w:asciiTheme="majorHAnsi" w:hAnsiTheme="majorHAnsi" w:cstheme="majorHAnsi"/>
          <w:lang w:val="en-GB"/>
        </w:rPr>
        <w:t>20</w:t>
      </w:r>
      <w:r w:rsidRPr="00A33AE8">
        <w:rPr>
          <w:rFonts w:asciiTheme="majorHAnsi" w:hAnsiTheme="majorHAnsi" w:cstheme="majorHAnsi"/>
          <w:lang w:val="en-GB"/>
        </w:rPr>
        <w:t xml:space="preserve">, resulting in </w:t>
      </w:r>
      <w:r w:rsidR="00E535DD" w:rsidRPr="00A33AE8">
        <w:rPr>
          <w:rFonts w:asciiTheme="majorHAnsi" w:hAnsiTheme="majorHAnsi" w:cstheme="majorHAnsi"/>
          <w:lang w:val="en-GB"/>
        </w:rPr>
        <w:t>116.</w:t>
      </w:r>
      <w:r w:rsidR="00FD7886" w:rsidRPr="00A33AE8">
        <w:rPr>
          <w:rFonts w:asciiTheme="majorHAnsi" w:hAnsiTheme="majorHAnsi" w:cstheme="majorHAnsi"/>
          <w:lang w:val="en-GB"/>
        </w:rPr>
        <w:t>11</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kt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in 2030 and </w:t>
      </w:r>
      <w:r w:rsidR="00E535DD" w:rsidRPr="00A33AE8">
        <w:rPr>
          <w:rFonts w:asciiTheme="majorHAnsi" w:hAnsiTheme="majorHAnsi" w:cstheme="majorHAnsi"/>
          <w:lang w:val="en-GB"/>
        </w:rPr>
        <w:t>81</w:t>
      </w:r>
      <w:r w:rsidR="00401467" w:rsidRPr="00A33AE8">
        <w:rPr>
          <w:rFonts w:asciiTheme="majorHAnsi" w:hAnsiTheme="majorHAnsi" w:cstheme="majorHAnsi"/>
          <w:lang w:val="en-GB"/>
        </w:rPr>
        <w:t xml:space="preserve">.88 </w:t>
      </w:r>
      <w:r w:rsidRPr="00A33AE8">
        <w:rPr>
          <w:rFonts w:asciiTheme="majorHAnsi" w:hAnsiTheme="majorHAnsi" w:cstheme="majorHAnsi"/>
          <w:lang w:val="en-GB"/>
        </w:rPr>
        <w:t>kt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in 2050. The coal extraction and treatment have the highest contribution to the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emissions (methane is released as a direct result of the physical process of coal extraction as layers of the coal face are removed), ranging from </w:t>
      </w:r>
      <w:r w:rsidR="00E535DD" w:rsidRPr="00A33AE8">
        <w:rPr>
          <w:rFonts w:asciiTheme="majorHAnsi" w:hAnsiTheme="majorHAnsi" w:cstheme="majorHAnsi"/>
          <w:lang w:val="en-GB"/>
        </w:rPr>
        <w:t>48.9</w:t>
      </w:r>
      <w:r w:rsidRPr="00A33AE8">
        <w:rPr>
          <w:rFonts w:asciiTheme="majorHAnsi" w:hAnsiTheme="majorHAnsi" w:cstheme="majorHAnsi"/>
          <w:lang w:val="en-GB"/>
        </w:rPr>
        <w:t xml:space="preserve"> kt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in 20</w:t>
      </w:r>
      <w:r w:rsidR="0053021B"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401467" w:rsidRPr="00A33AE8">
        <w:rPr>
          <w:rFonts w:asciiTheme="majorHAnsi" w:hAnsiTheme="majorHAnsi" w:cstheme="majorHAnsi"/>
          <w:lang w:val="en-GB"/>
        </w:rPr>
        <w:t>53.0</w:t>
      </w:r>
      <w:r w:rsidR="0053021B" w:rsidRPr="00A33AE8">
        <w:rPr>
          <w:rFonts w:asciiTheme="majorHAnsi" w:hAnsiTheme="majorHAnsi" w:cstheme="majorHAnsi"/>
          <w:lang w:val="en-GB"/>
        </w:rPr>
        <w:t>88</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kt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in 2050, followed by </w:t>
      </w:r>
      <w:r w:rsidR="00A856F8" w:rsidRPr="00A33AE8">
        <w:rPr>
          <w:rFonts w:asciiTheme="majorHAnsi" w:hAnsiTheme="majorHAnsi" w:cstheme="majorHAnsi"/>
          <w:lang w:val="en-GB"/>
        </w:rPr>
        <w:t xml:space="preserve">the </w:t>
      </w:r>
      <w:r w:rsidRPr="00A33AE8">
        <w:rPr>
          <w:rFonts w:asciiTheme="majorHAnsi" w:hAnsiTheme="majorHAnsi" w:cstheme="majorHAnsi"/>
          <w:lang w:val="en-GB"/>
        </w:rPr>
        <w:t xml:space="preserve">oil and gas extraction and treatment, which </w:t>
      </w:r>
      <w:r w:rsidR="00A856F8" w:rsidRPr="00A33AE8">
        <w:rPr>
          <w:rFonts w:asciiTheme="majorHAnsi" w:hAnsiTheme="majorHAnsi" w:cstheme="majorHAnsi"/>
          <w:lang w:val="en-GB"/>
        </w:rPr>
        <w:t>presents a decrease from</w:t>
      </w:r>
      <w:r w:rsidR="0053021B" w:rsidRPr="00A33AE8">
        <w:rPr>
          <w:rFonts w:asciiTheme="majorHAnsi" w:hAnsiTheme="majorHAnsi" w:cstheme="majorHAnsi"/>
          <w:lang w:val="en-GB"/>
        </w:rPr>
        <w:t xml:space="preserve"> 39.9</w:t>
      </w:r>
      <w:r w:rsidRPr="00A33AE8">
        <w:rPr>
          <w:rFonts w:asciiTheme="majorHAnsi" w:hAnsiTheme="majorHAnsi" w:cstheme="majorHAnsi"/>
          <w:lang w:val="en-GB"/>
        </w:rPr>
        <w:t xml:space="preserve"> kt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in 20</w:t>
      </w:r>
      <w:r w:rsidR="0053021B"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53021B" w:rsidRPr="00A33AE8">
        <w:rPr>
          <w:rFonts w:asciiTheme="majorHAnsi" w:hAnsiTheme="majorHAnsi" w:cstheme="majorHAnsi"/>
          <w:lang w:val="en-GB"/>
        </w:rPr>
        <w:t>8.55</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kt CH</w:t>
      </w:r>
      <w:r w:rsidRPr="00A33AE8">
        <w:rPr>
          <w:rFonts w:asciiTheme="majorHAnsi" w:hAnsiTheme="majorHAnsi" w:cstheme="majorHAnsi"/>
          <w:vertAlign w:val="subscript"/>
          <w:lang w:val="en-GB"/>
        </w:rPr>
        <w:t>4</w:t>
      </w:r>
      <w:r w:rsidRPr="00A33AE8">
        <w:rPr>
          <w:rFonts w:asciiTheme="majorHAnsi" w:hAnsiTheme="majorHAnsi" w:cstheme="majorHAnsi"/>
          <w:lang w:val="en-GB"/>
        </w:rPr>
        <w:t xml:space="preserve"> in 2050.</w:t>
      </w:r>
    </w:p>
    <w:p w14:paraId="6937955C" w14:textId="77777777" w:rsidR="00362900" w:rsidRPr="00A33AE8" w:rsidRDefault="00362900" w:rsidP="006D48D9">
      <w:pPr>
        <w:pStyle w:val="LDKbody"/>
        <w:rPr>
          <w:rFonts w:asciiTheme="majorHAnsi" w:hAnsiTheme="majorHAnsi" w:cstheme="majorHAnsi"/>
          <w:lang w:val="en-GB"/>
        </w:rPr>
      </w:pPr>
    </w:p>
    <w:p w14:paraId="1469D31A" w14:textId="4BCBCEEB" w:rsidR="006D48D9" w:rsidRPr="00A33AE8" w:rsidRDefault="006D48D9" w:rsidP="006D48D9">
      <w:pPr>
        <w:pStyle w:val="Caption"/>
        <w:rPr>
          <w:lang w:eastAsia="el-GR"/>
        </w:rPr>
      </w:pPr>
      <w:bookmarkStart w:id="220" w:name="_Ref113633675"/>
      <w:bookmarkStart w:id="221" w:name="_Toc118992278"/>
      <w:bookmarkStart w:id="222" w:name="_Toc154575215"/>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8</w:t>
      </w:r>
      <w:r w:rsidR="00B62877">
        <w:rPr>
          <w:lang w:eastAsia="el-GR"/>
        </w:rPr>
        <w:fldChar w:fldCharType="end"/>
      </w:r>
      <w:bookmarkEnd w:id="220"/>
      <w:r w:rsidRPr="00A33AE8">
        <w:rPr>
          <w:lang w:eastAsia="el-GR"/>
        </w:rPr>
        <w:t>: CH4 emissions by sector over 20</w:t>
      </w:r>
      <w:r w:rsidR="00433A87" w:rsidRPr="00A33AE8">
        <w:rPr>
          <w:lang w:eastAsia="el-GR"/>
        </w:rPr>
        <w:t>20</w:t>
      </w:r>
      <w:r w:rsidRPr="00A33AE8">
        <w:rPr>
          <w:lang w:eastAsia="el-GR"/>
        </w:rPr>
        <w:t>-2050</w:t>
      </w:r>
      <w:bookmarkEnd w:id="221"/>
      <w:r w:rsidR="00B55F92">
        <w:rPr>
          <w:lang w:eastAsia="el-GR"/>
        </w:rPr>
        <w:t xml:space="preserve"> </w:t>
      </w:r>
      <w:r w:rsidR="00C176B4">
        <w:rPr>
          <w:lang w:eastAsia="el-GR"/>
        </w:rPr>
        <w:t xml:space="preserve">in the scenario </w:t>
      </w:r>
      <w:r w:rsidR="00B55F92" w:rsidRPr="00B55F92">
        <w:rPr>
          <w:lang w:eastAsia="el-GR"/>
        </w:rPr>
        <w:t>with existing measures (WEM)</w:t>
      </w:r>
      <w:bookmarkEnd w:id="222"/>
    </w:p>
    <w:p w14:paraId="3AD43668" w14:textId="77777777" w:rsidR="00401467" w:rsidRPr="000007D2" w:rsidRDefault="006B0A65" w:rsidP="00401467">
      <w:pPr>
        <w:jc w:val="center"/>
        <w:rPr>
          <w:lang w:eastAsia="el-GR"/>
        </w:rPr>
      </w:pPr>
      <w:r w:rsidRPr="000007D2">
        <w:rPr>
          <w:noProof/>
          <w:lang w:val="en-US"/>
        </w:rPr>
        <mc:AlternateContent>
          <mc:Choice Requires="wps">
            <w:drawing>
              <wp:anchor distT="0" distB="0" distL="114300" distR="114300" simplePos="0" relativeHeight="251667456" behindDoc="0" locked="0" layoutInCell="1" allowOverlap="1" wp14:anchorId="4408E4E6" wp14:editId="24422B9D">
                <wp:simplePos x="0" y="0"/>
                <wp:positionH relativeFrom="column">
                  <wp:posOffset>1238105</wp:posOffset>
                </wp:positionH>
                <wp:positionV relativeFrom="paragraph">
                  <wp:posOffset>3475</wp:posOffset>
                </wp:positionV>
                <wp:extent cx="2631057" cy="2777705"/>
                <wp:effectExtent l="0" t="0" r="0" b="3810"/>
                <wp:wrapNone/>
                <wp:docPr id="1429876409" name="Text Box 1429876409"/>
                <wp:cNvGraphicFramePr/>
                <a:graphic xmlns:a="http://schemas.openxmlformats.org/drawingml/2006/main">
                  <a:graphicData uri="http://schemas.microsoft.com/office/word/2010/wordprocessingShape">
                    <wps:wsp>
                      <wps:cNvSpPr txBox="1"/>
                      <wps:spPr>
                        <a:xfrm>
                          <a:off x="0" y="0"/>
                          <a:ext cx="2631057" cy="2777705"/>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B4365" id="Text Box 1429876409" o:spid="_x0000_s1026" type="#_x0000_t202" style="position:absolute;margin-left:97.5pt;margin-top:.25pt;width:207.15pt;height:2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" fillcolor="#a5a5a5 [2092]" stroked="f">
                <v:fill opacity="32896f"/>
              </v:shape>
            </w:pict>
          </mc:Fallback>
        </mc:AlternateContent>
      </w:r>
      <w:r w:rsidR="00442A4A" w:rsidRPr="000007D2">
        <w:rPr>
          <w:noProof/>
          <w:lang w:val="en-US"/>
        </w:rPr>
        <w:drawing>
          <wp:inline distT="0" distB="0" distL="0" distR="0" wp14:anchorId="198FFAA2" wp14:editId="438ECF1A">
            <wp:extent cx="5688852" cy="394727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787" cy="3956940"/>
                    </a:xfrm>
                    <a:prstGeom prst="rect">
                      <a:avLst/>
                    </a:prstGeom>
                    <a:noFill/>
                  </pic:spPr>
                </pic:pic>
              </a:graphicData>
            </a:graphic>
          </wp:inline>
        </w:drawing>
      </w:r>
    </w:p>
    <w:p w14:paraId="7A3802D4" w14:textId="61810230" w:rsidR="00511AE1" w:rsidRPr="00A33AE8" w:rsidRDefault="006D48D9" w:rsidP="000007D2">
      <w:pPr>
        <w:pStyle w:val="LDKbody"/>
      </w:pPr>
      <w:r w:rsidRPr="00A33AE8">
        <w:rPr>
          <w:rFonts w:asciiTheme="majorHAnsi" w:hAnsiTheme="majorHAnsi" w:cstheme="majorHAnsi"/>
        </w:rPr>
        <w:t>The N</w:t>
      </w:r>
      <w:r w:rsidRPr="00A33AE8">
        <w:rPr>
          <w:rFonts w:asciiTheme="majorHAnsi" w:hAnsiTheme="majorHAnsi" w:cstheme="majorHAnsi"/>
          <w:vertAlign w:val="subscript"/>
        </w:rPr>
        <w:t>2</w:t>
      </w:r>
      <w:r w:rsidRPr="00A33AE8">
        <w:rPr>
          <w:rFonts w:asciiTheme="majorHAnsi" w:hAnsiTheme="majorHAnsi" w:cstheme="majorHAnsi"/>
        </w:rPr>
        <w:t>O emissions are anticipated to increase considerably</w:t>
      </w:r>
      <w:r w:rsidR="000E4911" w:rsidRPr="00A33AE8">
        <w:rPr>
          <w:rFonts w:asciiTheme="majorHAnsi" w:hAnsiTheme="majorHAnsi" w:cstheme="majorHAnsi"/>
        </w:rPr>
        <w:t xml:space="preserve"> </w:t>
      </w:r>
      <w:r w:rsidR="00512DAC" w:rsidRPr="00A33AE8">
        <w:rPr>
          <w:rFonts w:asciiTheme="majorHAnsi" w:hAnsiTheme="majorHAnsi" w:cstheme="majorHAnsi"/>
        </w:rPr>
        <w:t>in WEM</w:t>
      </w:r>
      <w:r w:rsidRPr="00A33AE8">
        <w:rPr>
          <w:rFonts w:asciiTheme="majorHAnsi" w:hAnsiTheme="majorHAnsi" w:cstheme="majorHAnsi"/>
        </w:rPr>
        <w:t>, demonstrating a rise equal to</w:t>
      </w:r>
      <w:r w:rsidR="00401467" w:rsidRPr="00A33AE8">
        <w:rPr>
          <w:rFonts w:asciiTheme="majorHAnsi" w:hAnsiTheme="majorHAnsi" w:cstheme="majorHAnsi"/>
        </w:rPr>
        <w:t xml:space="preserve"> </w:t>
      </w:r>
      <w:r w:rsidR="00433A87" w:rsidRPr="00A33AE8">
        <w:rPr>
          <w:rFonts w:asciiTheme="majorHAnsi" w:hAnsiTheme="majorHAnsi" w:cstheme="majorHAnsi"/>
        </w:rPr>
        <w:t>14.3%, 22.9</w:t>
      </w:r>
      <w:r w:rsidR="00B57E42" w:rsidRPr="00A33AE8">
        <w:rPr>
          <w:rFonts w:asciiTheme="majorHAnsi" w:hAnsiTheme="majorHAnsi" w:cstheme="majorHAnsi"/>
        </w:rPr>
        <w:t>%</w:t>
      </w:r>
      <w:r w:rsidRPr="00A33AE8">
        <w:rPr>
          <w:rFonts w:asciiTheme="majorHAnsi" w:hAnsiTheme="majorHAnsi" w:cstheme="majorHAnsi"/>
        </w:rPr>
        <w:t xml:space="preserve"> and </w:t>
      </w:r>
      <w:r w:rsidR="00433A87" w:rsidRPr="00A33AE8">
        <w:rPr>
          <w:rFonts w:asciiTheme="majorHAnsi" w:hAnsiTheme="majorHAnsi" w:cstheme="majorHAnsi"/>
        </w:rPr>
        <w:t>24</w:t>
      </w:r>
      <w:r w:rsidR="005F28FB" w:rsidRPr="00A33AE8">
        <w:rPr>
          <w:rFonts w:asciiTheme="majorHAnsi" w:hAnsiTheme="majorHAnsi" w:cstheme="majorHAnsi"/>
        </w:rPr>
        <w:t>.3</w:t>
      </w:r>
      <w:r w:rsidR="00B57E42" w:rsidRPr="00A33AE8">
        <w:rPr>
          <w:rFonts w:asciiTheme="majorHAnsi" w:hAnsiTheme="majorHAnsi" w:cstheme="majorHAnsi"/>
        </w:rPr>
        <w:t>%</w:t>
      </w:r>
      <w:r w:rsidRPr="00A33AE8">
        <w:rPr>
          <w:rFonts w:asciiTheme="majorHAnsi" w:hAnsiTheme="majorHAnsi" w:cstheme="majorHAnsi"/>
        </w:rPr>
        <w:t xml:space="preserve"> in 2030, 2040 and 2050 respectively,</w:t>
      </w:r>
      <w:r w:rsidR="00261665" w:rsidRPr="000007D2">
        <w:rPr>
          <w:rFonts w:asciiTheme="majorHAnsi" w:hAnsiTheme="majorHAnsi" w:cstheme="majorHAnsi"/>
        </w:rPr>
        <w:t xml:space="preserve"> </w:t>
      </w:r>
      <w:r w:rsidR="00B57E42" w:rsidRPr="00A33AE8">
        <w:rPr>
          <w:rFonts w:asciiTheme="majorHAnsi" w:hAnsiTheme="majorHAnsi" w:cstheme="majorHAnsi"/>
        </w:rPr>
        <w:t>compared to 20</w:t>
      </w:r>
      <w:r w:rsidR="00433A87" w:rsidRPr="00A33AE8">
        <w:rPr>
          <w:rFonts w:asciiTheme="majorHAnsi" w:hAnsiTheme="majorHAnsi" w:cstheme="majorHAnsi"/>
        </w:rPr>
        <w:t>20</w:t>
      </w:r>
      <w:r w:rsidR="00B57E42" w:rsidRPr="00A33AE8">
        <w:rPr>
          <w:rFonts w:asciiTheme="majorHAnsi" w:hAnsiTheme="majorHAnsi" w:cstheme="majorHAnsi"/>
        </w:rPr>
        <w:t>,</w:t>
      </w:r>
      <w:r w:rsidRPr="00A33AE8">
        <w:rPr>
          <w:rFonts w:asciiTheme="majorHAnsi" w:hAnsiTheme="majorHAnsi" w:cstheme="majorHAnsi"/>
        </w:rPr>
        <w:t xml:space="preserve"> resulting in </w:t>
      </w:r>
      <w:r w:rsidR="00745ACE" w:rsidRPr="00A33AE8">
        <w:rPr>
          <w:rFonts w:asciiTheme="majorHAnsi" w:hAnsiTheme="majorHAnsi" w:cstheme="majorHAnsi"/>
        </w:rPr>
        <w:t>3.2</w:t>
      </w:r>
      <w:r w:rsidRPr="00A33AE8">
        <w:rPr>
          <w:rFonts w:asciiTheme="majorHAnsi" w:hAnsiTheme="majorHAnsi" w:cstheme="majorHAnsi"/>
        </w:rPr>
        <w:t xml:space="preserve"> kt N</w:t>
      </w:r>
      <w:r w:rsidRPr="00A33AE8">
        <w:rPr>
          <w:rFonts w:asciiTheme="majorHAnsi" w:hAnsiTheme="majorHAnsi" w:cstheme="majorHAnsi"/>
          <w:vertAlign w:val="subscript"/>
        </w:rPr>
        <w:t>2</w:t>
      </w:r>
      <w:r w:rsidRPr="00A33AE8">
        <w:rPr>
          <w:rFonts w:asciiTheme="majorHAnsi" w:hAnsiTheme="majorHAnsi" w:cstheme="majorHAnsi"/>
        </w:rPr>
        <w:t xml:space="preserve">O in 2030 and </w:t>
      </w:r>
      <w:r w:rsidR="00745ACE" w:rsidRPr="00A33AE8">
        <w:rPr>
          <w:rFonts w:asciiTheme="majorHAnsi" w:hAnsiTheme="majorHAnsi" w:cstheme="majorHAnsi"/>
        </w:rPr>
        <w:t>3.5</w:t>
      </w:r>
      <w:r w:rsidRPr="00A33AE8">
        <w:rPr>
          <w:rFonts w:asciiTheme="majorHAnsi" w:hAnsiTheme="majorHAnsi" w:cstheme="majorHAnsi"/>
        </w:rPr>
        <w:t xml:space="preserve"> kt N</w:t>
      </w:r>
      <w:r w:rsidRPr="00A33AE8">
        <w:rPr>
          <w:rFonts w:asciiTheme="majorHAnsi" w:hAnsiTheme="majorHAnsi" w:cstheme="majorHAnsi"/>
          <w:vertAlign w:val="subscript"/>
        </w:rPr>
        <w:t>2</w:t>
      </w:r>
      <w:r w:rsidRPr="00A33AE8">
        <w:rPr>
          <w:rFonts w:asciiTheme="majorHAnsi" w:hAnsiTheme="majorHAnsi" w:cstheme="majorHAnsi"/>
        </w:rPr>
        <w:t xml:space="preserve">O in 2050, as shown in </w:t>
      </w:r>
      <w:r w:rsidR="00CE52D4">
        <w:rPr>
          <w:rFonts w:asciiTheme="majorHAnsi" w:hAnsiTheme="majorHAnsi" w:cstheme="majorHAnsi"/>
        </w:rPr>
        <w:fldChar w:fldCharType="begin"/>
      </w:r>
      <w:r w:rsidR="00CE52D4">
        <w:rPr>
          <w:rFonts w:asciiTheme="majorHAnsi" w:hAnsiTheme="majorHAnsi" w:cstheme="majorHAnsi"/>
        </w:rPr>
        <w:instrText xml:space="preserve"> REF _Ref153545168 \h  \* MERGEFORMAT </w:instrText>
      </w:r>
      <w:r w:rsidR="00CE52D4">
        <w:rPr>
          <w:rFonts w:asciiTheme="majorHAnsi" w:hAnsiTheme="majorHAnsi" w:cstheme="majorHAnsi"/>
        </w:rPr>
      </w:r>
      <w:r w:rsidR="00CE52D4">
        <w:rPr>
          <w:rFonts w:asciiTheme="majorHAnsi" w:hAnsiTheme="majorHAnsi" w:cstheme="majorHAnsi"/>
        </w:rPr>
        <w:fldChar w:fldCharType="separate"/>
      </w:r>
      <w:r w:rsidR="00CE52D4" w:rsidRPr="0087794A">
        <w:rPr>
          <w:rFonts w:asciiTheme="majorHAnsi" w:hAnsiTheme="majorHAnsi" w:cstheme="majorHAnsi"/>
        </w:rPr>
        <w:t>Figure 4.9</w:t>
      </w:r>
      <w:r w:rsidR="00CE52D4">
        <w:rPr>
          <w:rFonts w:asciiTheme="majorHAnsi" w:hAnsiTheme="majorHAnsi" w:cstheme="majorHAnsi"/>
        </w:rPr>
        <w:fldChar w:fldCharType="end"/>
      </w:r>
      <w:r w:rsidRPr="0087794A">
        <w:rPr>
          <w:rFonts w:asciiTheme="majorHAnsi" w:hAnsiTheme="majorHAnsi" w:cstheme="majorHAnsi"/>
        </w:rPr>
        <w:fldChar w:fldCharType="begin"/>
      </w:r>
      <w:r w:rsidRPr="0087794A">
        <w:rPr>
          <w:rFonts w:asciiTheme="majorHAnsi" w:hAnsiTheme="majorHAnsi" w:cstheme="majorHAnsi"/>
        </w:rPr>
        <w:instrText xml:space="preserve"> REF _Ref113633773 \h  \* MERGEFORMAT </w:instrText>
      </w:r>
      <w:r w:rsidRPr="0087794A">
        <w:rPr>
          <w:rFonts w:asciiTheme="majorHAnsi" w:hAnsiTheme="majorHAnsi" w:cstheme="majorHAnsi"/>
        </w:rPr>
      </w:r>
      <w:r w:rsidRPr="0087794A">
        <w:rPr>
          <w:rFonts w:asciiTheme="majorHAnsi" w:hAnsiTheme="majorHAnsi" w:cstheme="majorHAnsi"/>
        </w:rPr>
        <w:fldChar w:fldCharType="end"/>
      </w:r>
      <w:r w:rsidRPr="0087794A">
        <w:rPr>
          <w:rFonts w:asciiTheme="majorHAnsi" w:hAnsiTheme="majorHAnsi" w:cstheme="majorHAnsi"/>
        </w:rPr>
        <w:t>. The N2O emissions of the industrial</w:t>
      </w:r>
      <w:r w:rsidR="000E4911" w:rsidRPr="0087794A">
        <w:rPr>
          <w:rFonts w:asciiTheme="majorHAnsi" w:hAnsiTheme="majorHAnsi" w:cstheme="majorHAnsi"/>
        </w:rPr>
        <w:t>,</w:t>
      </w:r>
      <w:r w:rsidRPr="0087794A">
        <w:rPr>
          <w:rFonts w:asciiTheme="majorHAnsi" w:hAnsiTheme="majorHAnsi" w:cstheme="majorHAnsi"/>
        </w:rPr>
        <w:t xml:space="preserve"> transport </w:t>
      </w:r>
      <w:r w:rsidR="000E4911" w:rsidRPr="0087794A">
        <w:rPr>
          <w:rFonts w:asciiTheme="majorHAnsi" w:hAnsiTheme="majorHAnsi" w:cstheme="majorHAnsi"/>
        </w:rPr>
        <w:t xml:space="preserve">and electricity production </w:t>
      </w:r>
      <w:r w:rsidRPr="0087794A">
        <w:rPr>
          <w:rFonts w:asciiTheme="majorHAnsi" w:hAnsiTheme="majorHAnsi" w:cstheme="majorHAnsi"/>
        </w:rPr>
        <w:t>sector</w:t>
      </w:r>
      <w:r w:rsidR="000E4911" w:rsidRPr="0087794A">
        <w:rPr>
          <w:rFonts w:asciiTheme="majorHAnsi" w:hAnsiTheme="majorHAnsi" w:cstheme="majorHAnsi"/>
        </w:rPr>
        <w:t>s</w:t>
      </w:r>
      <w:r w:rsidR="00261665" w:rsidRPr="0087794A">
        <w:rPr>
          <w:rFonts w:asciiTheme="majorHAnsi" w:hAnsiTheme="majorHAnsi" w:cstheme="majorHAnsi"/>
        </w:rPr>
        <w:t xml:space="preserve"> </w:t>
      </w:r>
      <w:r w:rsidR="000E4911" w:rsidRPr="0087794A">
        <w:rPr>
          <w:rFonts w:asciiTheme="majorHAnsi" w:hAnsiTheme="majorHAnsi" w:cstheme="majorHAnsi"/>
        </w:rPr>
        <w:t xml:space="preserve">appear </w:t>
      </w:r>
      <w:r w:rsidRPr="0087794A">
        <w:rPr>
          <w:rFonts w:asciiTheme="majorHAnsi" w:hAnsiTheme="majorHAnsi" w:cstheme="majorHAnsi"/>
        </w:rPr>
        <w:t xml:space="preserve">the highest </w:t>
      </w:r>
      <w:r w:rsidR="00A856F8" w:rsidRPr="0087794A">
        <w:rPr>
          <w:rFonts w:asciiTheme="majorHAnsi" w:hAnsiTheme="majorHAnsi" w:cstheme="majorHAnsi"/>
        </w:rPr>
        <w:t>share</w:t>
      </w:r>
      <w:r w:rsidR="000E4911" w:rsidRPr="0087794A">
        <w:rPr>
          <w:rFonts w:asciiTheme="majorHAnsi" w:hAnsiTheme="majorHAnsi" w:cstheme="majorHAnsi"/>
        </w:rPr>
        <w:t>s</w:t>
      </w:r>
      <w:r w:rsidR="00261665" w:rsidRPr="0087794A">
        <w:rPr>
          <w:rFonts w:asciiTheme="majorHAnsi" w:hAnsiTheme="majorHAnsi" w:cstheme="majorHAnsi"/>
        </w:rPr>
        <w:t xml:space="preserve"> </w:t>
      </w:r>
      <w:r w:rsidRPr="0087794A">
        <w:rPr>
          <w:rFonts w:asciiTheme="majorHAnsi" w:hAnsiTheme="majorHAnsi" w:cstheme="majorHAnsi"/>
        </w:rPr>
        <w:t>to</w:t>
      </w:r>
      <w:r w:rsidRPr="00A33AE8">
        <w:rPr>
          <w:rFonts w:asciiTheme="majorHAnsi" w:hAnsiTheme="majorHAnsi" w:cstheme="majorHAnsi"/>
          <w:lang w:val="en-GB"/>
        </w:rPr>
        <w:t xml:space="preserve"> the overall N</w:t>
      </w:r>
      <w:r w:rsidRPr="00A33AE8">
        <w:rPr>
          <w:rFonts w:asciiTheme="majorHAnsi" w:hAnsiTheme="majorHAnsi" w:cstheme="majorHAnsi"/>
          <w:vertAlign w:val="subscript"/>
          <w:lang w:val="en-GB"/>
        </w:rPr>
        <w:t>2</w:t>
      </w:r>
      <w:r w:rsidRPr="00A33AE8">
        <w:rPr>
          <w:rFonts w:asciiTheme="majorHAnsi" w:hAnsiTheme="majorHAnsi" w:cstheme="majorHAnsi"/>
          <w:lang w:val="en-GB"/>
        </w:rPr>
        <w:t>O emissions in 2050</w:t>
      </w:r>
      <w:r w:rsidR="00A856F8" w:rsidRPr="00A33AE8">
        <w:rPr>
          <w:rFonts w:asciiTheme="majorHAnsi" w:hAnsiTheme="majorHAnsi" w:cstheme="majorHAnsi"/>
          <w:lang w:val="en-GB"/>
        </w:rPr>
        <w:t xml:space="preserve"> (63%</w:t>
      </w:r>
      <w:r w:rsidR="000E4911" w:rsidRPr="00A33AE8">
        <w:rPr>
          <w:rFonts w:asciiTheme="majorHAnsi" w:hAnsiTheme="majorHAnsi" w:cstheme="majorHAnsi"/>
          <w:lang w:val="en-GB"/>
        </w:rPr>
        <w:t>, 15% and 14% respectively</w:t>
      </w:r>
      <w:r w:rsidR="00A856F8" w:rsidRPr="00A33AE8">
        <w:rPr>
          <w:rFonts w:asciiTheme="majorHAnsi" w:hAnsiTheme="majorHAnsi" w:cstheme="majorHAnsi"/>
          <w:lang w:val="en-GB"/>
        </w:rPr>
        <w:t>)</w:t>
      </w:r>
      <w:r w:rsidR="000E4911" w:rsidRPr="00A33AE8">
        <w:rPr>
          <w:rFonts w:asciiTheme="majorHAnsi" w:hAnsiTheme="majorHAnsi" w:cstheme="majorHAnsi"/>
          <w:lang w:val="en-GB"/>
        </w:rPr>
        <w:t xml:space="preserve"> presenting a constantly increasing trend.</w:t>
      </w:r>
      <w:bookmarkStart w:id="223" w:name="_Ref113633773"/>
      <w:bookmarkStart w:id="224" w:name="_Toc118992279"/>
    </w:p>
    <w:bookmarkEnd w:id="223"/>
    <w:bookmarkEnd w:id="224"/>
    <w:p w14:paraId="3B1BD47B" w14:textId="65CD5393" w:rsidR="00CE52D4" w:rsidRDefault="00CE52D4" w:rsidP="00401467">
      <w:pPr>
        <w:jc w:val="center"/>
      </w:pPr>
    </w:p>
    <w:p w14:paraId="35B34B06" w14:textId="55EA7137" w:rsidR="00CE52D4" w:rsidRDefault="00CE52D4" w:rsidP="0087794A">
      <w:pPr>
        <w:pStyle w:val="Caption"/>
        <w:keepNext/>
        <w:jc w:val="center"/>
      </w:pPr>
      <w:bookmarkStart w:id="225" w:name="_Ref153545168"/>
      <w:bookmarkStart w:id="226" w:name="_Toc154575216"/>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9</w:t>
      </w:r>
      <w:r w:rsidR="006E0533">
        <w:rPr>
          <w:noProof/>
        </w:rPr>
        <w:fldChar w:fldCharType="end"/>
      </w:r>
      <w:bookmarkEnd w:id="225"/>
      <w:r>
        <w:t xml:space="preserve">: </w:t>
      </w:r>
      <w:r w:rsidRPr="00CE52D4">
        <w:t>N2O emissions by sector over 2020-2050 in the scenario with existing measures (WEM)</w:t>
      </w:r>
      <w:bookmarkEnd w:id="226"/>
    </w:p>
    <w:p w14:paraId="6AEB119B" w14:textId="3F3D76F9" w:rsidR="00401467" w:rsidRPr="00A33AE8" w:rsidRDefault="00CE52D4" w:rsidP="00401467">
      <w:pPr>
        <w:jc w:val="center"/>
        <w:rPr>
          <w:lang w:eastAsia="el-GR"/>
        </w:rPr>
      </w:pPr>
      <w:r w:rsidRPr="000007D2">
        <w:rPr>
          <w:noProof/>
          <w:lang w:val="en-US"/>
        </w:rPr>
        <mc:AlternateContent>
          <mc:Choice Requires="wps">
            <w:drawing>
              <wp:anchor distT="0" distB="0" distL="114300" distR="114300" simplePos="0" relativeHeight="251669504" behindDoc="0" locked="0" layoutInCell="1" allowOverlap="1" wp14:anchorId="727C7A4E" wp14:editId="0B8FD542">
                <wp:simplePos x="0" y="0"/>
                <wp:positionH relativeFrom="column">
                  <wp:posOffset>1324844</wp:posOffset>
                </wp:positionH>
                <wp:positionV relativeFrom="paragraph">
                  <wp:posOffset>427622</wp:posOffset>
                </wp:positionV>
                <wp:extent cx="2501660" cy="2358485"/>
                <wp:effectExtent l="0" t="0" r="0" b="3810"/>
                <wp:wrapNone/>
                <wp:docPr id="2116599384" name="Text Box 2116599384"/>
                <wp:cNvGraphicFramePr/>
                <a:graphic xmlns:a="http://schemas.openxmlformats.org/drawingml/2006/main">
                  <a:graphicData uri="http://schemas.microsoft.com/office/word/2010/wordprocessingShape">
                    <wps:wsp>
                      <wps:cNvSpPr txBox="1"/>
                      <wps:spPr>
                        <a:xfrm>
                          <a:off x="0" y="0"/>
                          <a:ext cx="2501660" cy="2358485"/>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B57267" id="_x0000_t202" coordsize="21600,21600" o:spt="202" path="m,l,21600r21600,l21600,xe">
                <v:stroke joinstyle="miter"/>
                <v:path gradientshapeok="t" o:connecttype="rect"/>
              </v:shapetype>
              <v:shape id="Text Box 2116599384" o:spid="_x0000_s1026" type="#_x0000_t202" style="position:absolute;margin-left:104.3pt;margin-top:33.65pt;width:197pt;height:18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" fillcolor="#a5a5a5 [2092]" stroked="f">
                <v:fill opacity="32896f"/>
              </v:shape>
            </w:pict>
          </mc:Fallback>
        </mc:AlternateContent>
      </w:r>
      <w:r w:rsidR="00442A4A" w:rsidRPr="000007D2">
        <w:rPr>
          <w:noProof/>
          <w:lang w:val="en-US"/>
        </w:rPr>
        <w:drawing>
          <wp:inline distT="0" distB="0" distL="0" distR="0" wp14:anchorId="6CF8DA99" wp14:editId="21E71B84">
            <wp:extent cx="5423862" cy="3623006"/>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4805" cy="3630316"/>
                    </a:xfrm>
                    <a:prstGeom prst="rect">
                      <a:avLst/>
                    </a:prstGeom>
                    <a:noFill/>
                  </pic:spPr>
                </pic:pic>
              </a:graphicData>
            </a:graphic>
          </wp:inline>
        </w:drawing>
      </w:r>
    </w:p>
    <w:p w14:paraId="570F5A3F" w14:textId="64907645" w:rsidR="00CC4F39" w:rsidRPr="00CC4F39" w:rsidRDefault="00CC4F39" w:rsidP="00CC4F39">
      <w:pPr>
        <w:pStyle w:val="LDKbody"/>
        <w:rPr>
          <w:rFonts w:asciiTheme="majorHAnsi" w:hAnsiTheme="majorHAnsi" w:cstheme="majorHAnsi"/>
        </w:rPr>
      </w:pPr>
      <w:r w:rsidRPr="00CC4F39">
        <w:rPr>
          <w:rFonts w:asciiTheme="majorHAnsi" w:hAnsiTheme="majorHAnsi" w:cstheme="majorHAnsi"/>
        </w:rPr>
        <w:t>The total emissions including emissions from agriculture waste and LULUCF, are projected to increase in the WEM scenario towards 2030 by 15% compared to 2020 and by 30% in 2050.</w:t>
      </w:r>
    </w:p>
    <w:p w14:paraId="0306154E" w14:textId="106C4A15" w:rsidR="00CC4F39" w:rsidRPr="005B2C66" w:rsidRDefault="00CC4F39" w:rsidP="00CC4F39">
      <w:pPr>
        <w:pStyle w:val="LDKbody"/>
        <w:rPr>
          <w:rFonts w:ascii="Calibri Light" w:eastAsiaTheme="minorHAnsi" w:hAnsi="Calibri Light" w:cs="Times New Roman"/>
          <w:b/>
          <w:bCs/>
          <w:color w:val="01406B"/>
          <w:lang w:val="en-GB"/>
        </w:rPr>
      </w:pPr>
      <w:bookmarkStart w:id="227" w:name="_Toc154575217"/>
      <w:r w:rsidRPr="005B2C66">
        <w:rPr>
          <w:rFonts w:ascii="Calibri Light" w:eastAsiaTheme="minorHAnsi" w:hAnsi="Calibri Light" w:cs="Times New Roman"/>
          <w:b/>
          <w:bCs/>
          <w:color w:val="01406B"/>
          <w:lang w:val="en-GB"/>
        </w:rPr>
        <w:t xml:space="preserve">Figure </w:t>
      </w:r>
      <w:r w:rsidR="00B62877">
        <w:rPr>
          <w:rFonts w:ascii="Calibri Light" w:eastAsiaTheme="minorHAnsi" w:hAnsi="Calibri Light" w:cs="Times New Roman"/>
          <w:b/>
          <w:bCs/>
          <w:color w:val="01406B"/>
          <w:lang w:val="en-GB"/>
        </w:rPr>
        <w:fldChar w:fldCharType="begin"/>
      </w:r>
      <w:r w:rsidR="00B62877">
        <w:rPr>
          <w:rFonts w:ascii="Calibri Light" w:eastAsiaTheme="minorHAnsi" w:hAnsi="Calibri Light" w:cs="Times New Roman"/>
          <w:b/>
          <w:bCs/>
          <w:color w:val="01406B"/>
          <w:lang w:val="en-GB"/>
        </w:rPr>
        <w:instrText xml:space="preserve"> STYLEREF 1 \s </w:instrText>
      </w:r>
      <w:r w:rsidR="00B62877">
        <w:rPr>
          <w:rFonts w:ascii="Calibri Light" w:eastAsiaTheme="minorHAnsi" w:hAnsi="Calibri Light" w:cs="Times New Roman"/>
          <w:b/>
          <w:bCs/>
          <w:color w:val="01406B"/>
          <w:lang w:val="en-GB"/>
        </w:rPr>
        <w:fldChar w:fldCharType="separate"/>
      </w:r>
      <w:r w:rsidR="00B62877">
        <w:rPr>
          <w:rFonts w:ascii="Calibri Light" w:eastAsiaTheme="minorHAnsi" w:hAnsi="Calibri Light" w:cs="Times New Roman"/>
          <w:b/>
          <w:bCs/>
          <w:noProof/>
          <w:color w:val="01406B"/>
          <w:lang w:val="en-GB"/>
        </w:rPr>
        <w:t>4</w:t>
      </w:r>
      <w:r w:rsidR="00B62877">
        <w:rPr>
          <w:rFonts w:ascii="Calibri Light" w:eastAsiaTheme="minorHAnsi" w:hAnsi="Calibri Light" w:cs="Times New Roman"/>
          <w:b/>
          <w:bCs/>
          <w:color w:val="01406B"/>
          <w:lang w:val="en-GB"/>
        </w:rPr>
        <w:fldChar w:fldCharType="end"/>
      </w:r>
      <w:r w:rsidR="00B62877">
        <w:rPr>
          <w:rFonts w:ascii="Calibri Light" w:eastAsiaTheme="minorHAnsi" w:hAnsi="Calibri Light" w:cs="Times New Roman"/>
          <w:b/>
          <w:bCs/>
          <w:color w:val="01406B"/>
          <w:lang w:val="en-GB"/>
        </w:rPr>
        <w:t>.</w:t>
      </w:r>
      <w:r w:rsidR="00B62877">
        <w:rPr>
          <w:rFonts w:ascii="Calibri Light" w:eastAsiaTheme="minorHAnsi" w:hAnsi="Calibri Light" w:cs="Times New Roman"/>
          <w:b/>
          <w:bCs/>
          <w:color w:val="01406B"/>
          <w:lang w:val="en-GB"/>
        </w:rPr>
        <w:fldChar w:fldCharType="begin"/>
      </w:r>
      <w:r w:rsidR="00B62877">
        <w:rPr>
          <w:rFonts w:ascii="Calibri Light" w:eastAsiaTheme="minorHAnsi" w:hAnsi="Calibri Light" w:cs="Times New Roman"/>
          <w:b/>
          <w:bCs/>
          <w:color w:val="01406B"/>
          <w:lang w:val="en-GB"/>
        </w:rPr>
        <w:instrText xml:space="preserve"> SEQ Figure \* ARABIC \s 1 </w:instrText>
      </w:r>
      <w:r w:rsidR="00B62877">
        <w:rPr>
          <w:rFonts w:ascii="Calibri Light" w:eastAsiaTheme="minorHAnsi" w:hAnsi="Calibri Light" w:cs="Times New Roman"/>
          <w:b/>
          <w:bCs/>
          <w:color w:val="01406B"/>
          <w:lang w:val="en-GB"/>
        </w:rPr>
        <w:fldChar w:fldCharType="separate"/>
      </w:r>
      <w:r w:rsidR="00B62877">
        <w:rPr>
          <w:rFonts w:ascii="Calibri Light" w:eastAsiaTheme="minorHAnsi" w:hAnsi="Calibri Light" w:cs="Times New Roman"/>
          <w:b/>
          <w:bCs/>
          <w:noProof/>
          <w:color w:val="01406B"/>
          <w:lang w:val="en-GB"/>
        </w:rPr>
        <w:t>10</w:t>
      </w:r>
      <w:r w:rsidR="00B62877">
        <w:rPr>
          <w:rFonts w:ascii="Calibri Light" w:eastAsiaTheme="minorHAnsi" w:hAnsi="Calibri Light" w:cs="Times New Roman"/>
          <w:b/>
          <w:bCs/>
          <w:color w:val="01406B"/>
          <w:lang w:val="en-GB"/>
        </w:rPr>
        <w:fldChar w:fldCharType="end"/>
      </w:r>
      <w:r w:rsidRPr="005B2C66">
        <w:rPr>
          <w:rFonts w:ascii="Calibri Light" w:eastAsiaTheme="minorHAnsi" w:hAnsi="Calibri Light" w:cs="Times New Roman"/>
          <w:b/>
          <w:bCs/>
          <w:color w:val="01406B"/>
          <w:lang w:val="en-GB"/>
        </w:rPr>
        <w:t>: Total GHG emissions 2020-2050 in the scenario with existing measures (WEM)</w:t>
      </w:r>
      <w:bookmarkEnd w:id="227"/>
    </w:p>
    <w:p w14:paraId="1B6C12D3" w14:textId="77777777" w:rsidR="00CC4F39" w:rsidRPr="00CC4F39" w:rsidRDefault="00CC4F39" w:rsidP="005B2C66">
      <w:pPr>
        <w:pStyle w:val="LDKbody"/>
        <w:jc w:val="center"/>
        <w:rPr>
          <w:rFonts w:asciiTheme="majorHAnsi" w:hAnsiTheme="majorHAnsi" w:cstheme="majorHAnsi"/>
        </w:rPr>
      </w:pPr>
      <w:r>
        <w:rPr>
          <w:rFonts w:asciiTheme="majorHAnsi" w:hAnsiTheme="majorHAnsi" w:cstheme="majorHAnsi"/>
          <w:noProof/>
          <w:lang w:val="en-US" w:eastAsia="en-US"/>
        </w:rPr>
        <w:drawing>
          <wp:inline distT="0" distB="0" distL="0" distR="0" wp14:anchorId="3A175B37" wp14:editId="2D1312AA">
            <wp:extent cx="4931978" cy="2913898"/>
            <wp:effectExtent l="0" t="0" r="2540" b="1270"/>
            <wp:docPr id="66395409" name="Picture 6639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8265" cy="2923521"/>
                    </a:xfrm>
                    <a:prstGeom prst="rect">
                      <a:avLst/>
                    </a:prstGeom>
                    <a:noFill/>
                  </pic:spPr>
                </pic:pic>
              </a:graphicData>
            </a:graphic>
          </wp:inline>
        </w:drawing>
      </w:r>
    </w:p>
    <w:p w14:paraId="1C1AF90E" w14:textId="11FB8F1B" w:rsidR="00CC4F39" w:rsidRPr="00CC4F39" w:rsidRDefault="00CC4F39" w:rsidP="005B2C66">
      <w:pPr>
        <w:pStyle w:val="LDKbody"/>
        <w:spacing w:before="240"/>
        <w:rPr>
          <w:rFonts w:asciiTheme="majorHAnsi" w:hAnsiTheme="majorHAnsi" w:cstheme="majorHAnsi"/>
        </w:rPr>
      </w:pPr>
      <w:r w:rsidRPr="00CC4F39">
        <w:rPr>
          <w:rFonts w:asciiTheme="majorHAnsi" w:hAnsiTheme="majorHAnsi" w:cstheme="majorHAnsi"/>
        </w:rPr>
        <w:t>Emissions from agriculture are projected to decrease by 12% in 2030 compared to the 2020 levels reaching almost 4.5MtonCO2eq but continue to increase, reaching 5.4Mtons CO2eq by 2050. The emissions from waste is projected to be reduced by 14% in 2030 compared to 2020 at the level of 2.4MtonsCO2eq, and further decrease to 1.9MtonsCO2eq by 2050.</w:t>
      </w:r>
    </w:p>
    <w:p w14:paraId="51D154BE" w14:textId="7AADAC36" w:rsidR="00CC4F39" w:rsidRPr="00CC4F39" w:rsidRDefault="00CC4F39" w:rsidP="00CC4F39">
      <w:pPr>
        <w:pStyle w:val="LDKbody"/>
        <w:rPr>
          <w:rFonts w:asciiTheme="majorHAnsi" w:hAnsiTheme="majorHAnsi" w:cstheme="majorHAnsi"/>
        </w:rPr>
      </w:pPr>
      <w:r w:rsidRPr="00CC4F39">
        <w:rPr>
          <w:rFonts w:asciiTheme="majorHAnsi" w:hAnsiTheme="majorHAnsi" w:cstheme="majorHAnsi"/>
        </w:rPr>
        <w:t>LULUCF is projected to contribute as a sink of GHG emissions for the whole time horizon towards 2050, but decreasing in volume, reaching -6.5MtonsCO2eq in 2030 and -4.4MtonsCO2eq in 2050.</w:t>
      </w:r>
    </w:p>
    <w:p w14:paraId="66ACE1E0" w14:textId="41E33E8C" w:rsidR="00CC4F39" w:rsidRPr="005B2C66" w:rsidRDefault="00CC4F39" w:rsidP="00CC4F39">
      <w:pPr>
        <w:pStyle w:val="LDKbody"/>
        <w:rPr>
          <w:rFonts w:ascii="Calibri Light" w:eastAsiaTheme="minorHAnsi" w:hAnsi="Calibri Light" w:cs="Times New Roman"/>
          <w:b/>
          <w:bCs/>
          <w:color w:val="01406B"/>
          <w:lang w:val="en-GB"/>
        </w:rPr>
      </w:pPr>
      <w:bookmarkStart w:id="228" w:name="_Toc154575218"/>
      <w:r w:rsidRPr="005B2C66">
        <w:rPr>
          <w:rFonts w:ascii="Calibri Light" w:eastAsiaTheme="minorHAnsi" w:hAnsi="Calibri Light" w:cs="Times New Roman"/>
          <w:b/>
          <w:bCs/>
          <w:color w:val="01406B"/>
          <w:lang w:val="en-GB"/>
        </w:rPr>
        <w:lastRenderedPageBreak/>
        <w:t xml:space="preserve">Figure </w:t>
      </w:r>
      <w:r w:rsidR="00B62877">
        <w:rPr>
          <w:rFonts w:ascii="Calibri Light" w:eastAsiaTheme="minorHAnsi" w:hAnsi="Calibri Light" w:cs="Times New Roman"/>
          <w:b/>
          <w:bCs/>
          <w:color w:val="01406B"/>
          <w:lang w:val="en-GB"/>
        </w:rPr>
        <w:fldChar w:fldCharType="begin"/>
      </w:r>
      <w:r w:rsidR="00B62877">
        <w:rPr>
          <w:rFonts w:ascii="Calibri Light" w:eastAsiaTheme="minorHAnsi" w:hAnsi="Calibri Light" w:cs="Times New Roman"/>
          <w:b/>
          <w:bCs/>
          <w:color w:val="01406B"/>
          <w:lang w:val="en-GB"/>
        </w:rPr>
        <w:instrText xml:space="preserve"> STYLEREF 1 \s </w:instrText>
      </w:r>
      <w:r w:rsidR="00B62877">
        <w:rPr>
          <w:rFonts w:ascii="Calibri Light" w:eastAsiaTheme="minorHAnsi" w:hAnsi="Calibri Light" w:cs="Times New Roman"/>
          <w:b/>
          <w:bCs/>
          <w:color w:val="01406B"/>
          <w:lang w:val="en-GB"/>
        </w:rPr>
        <w:fldChar w:fldCharType="separate"/>
      </w:r>
      <w:r w:rsidR="00B62877">
        <w:rPr>
          <w:rFonts w:ascii="Calibri Light" w:eastAsiaTheme="minorHAnsi" w:hAnsi="Calibri Light" w:cs="Times New Roman"/>
          <w:b/>
          <w:bCs/>
          <w:noProof/>
          <w:color w:val="01406B"/>
          <w:lang w:val="en-GB"/>
        </w:rPr>
        <w:t>4</w:t>
      </w:r>
      <w:r w:rsidR="00B62877">
        <w:rPr>
          <w:rFonts w:ascii="Calibri Light" w:eastAsiaTheme="minorHAnsi" w:hAnsi="Calibri Light" w:cs="Times New Roman"/>
          <w:b/>
          <w:bCs/>
          <w:color w:val="01406B"/>
          <w:lang w:val="en-GB"/>
        </w:rPr>
        <w:fldChar w:fldCharType="end"/>
      </w:r>
      <w:r w:rsidR="00B62877">
        <w:rPr>
          <w:rFonts w:ascii="Calibri Light" w:eastAsiaTheme="minorHAnsi" w:hAnsi="Calibri Light" w:cs="Times New Roman"/>
          <w:b/>
          <w:bCs/>
          <w:color w:val="01406B"/>
          <w:lang w:val="en-GB"/>
        </w:rPr>
        <w:t>.</w:t>
      </w:r>
      <w:r w:rsidR="00B62877">
        <w:rPr>
          <w:rFonts w:ascii="Calibri Light" w:eastAsiaTheme="minorHAnsi" w:hAnsi="Calibri Light" w:cs="Times New Roman"/>
          <w:b/>
          <w:bCs/>
          <w:color w:val="01406B"/>
          <w:lang w:val="en-GB"/>
        </w:rPr>
        <w:fldChar w:fldCharType="begin"/>
      </w:r>
      <w:r w:rsidR="00B62877">
        <w:rPr>
          <w:rFonts w:ascii="Calibri Light" w:eastAsiaTheme="minorHAnsi" w:hAnsi="Calibri Light" w:cs="Times New Roman"/>
          <w:b/>
          <w:bCs/>
          <w:color w:val="01406B"/>
          <w:lang w:val="en-GB"/>
        </w:rPr>
        <w:instrText xml:space="preserve"> SEQ Figure \* ARABIC \s 1 </w:instrText>
      </w:r>
      <w:r w:rsidR="00B62877">
        <w:rPr>
          <w:rFonts w:ascii="Calibri Light" w:eastAsiaTheme="minorHAnsi" w:hAnsi="Calibri Light" w:cs="Times New Roman"/>
          <w:b/>
          <w:bCs/>
          <w:color w:val="01406B"/>
          <w:lang w:val="en-GB"/>
        </w:rPr>
        <w:fldChar w:fldCharType="separate"/>
      </w:r>
      <w:r w:rsidR="00B62877">
        <w:rPr>
          <w:rFonts w:ascii="Calibri Light" w:eastAsiaTheme="minorHAnsi" w:hAnsi="Calibri Light" w:cs="Times New Roman"/>
          <w:b/>
          <w:bCs/>
          <w:noProof/>
          <w:color w:val="01406B"/>
          <w:lang w:val="en-GB"/>
        </w:rPr>
        <w:t>11</w:t>
      </w:r>
      <w:r w:rsidR="00B62877">
        <w:rPr>
          <w:rFonts w:ascii="Calibri Light" w:eastAsiaTheme="minorHAnsi" w:hAnsi="Calibri Light" w:cs="Times New Roman"/>
          <w:b/>
          <w:bCs/>
          <w:color w:val="01406B"/>
          <w:lang w:val="en-GB"/>
        </w:rPr>
        <w:fldChar w:fldCharType="end"/>
      </w:r>
      <w:r w:rsidRPr="005B2C66">
        <w:rPr>
          <w:rFonts w:ascii="Calibri Light" w:eastAsiaTheme="minorHAnsi" w:hAnsi="Calibri Light" w:cs="Times New Roman"/>
          <w:b/>
          <w:bCs/>
          <w:color w:val="01406B"/>
          <w:lang w:val="en-GB"/>
        </w:rPr>
        <w:t>: GHG emissions 2020-2050 from non-energy related sectors in the scenario with existing measures (WEM)</w:t>
      </w:r>
      <w:bookmarkEnd w:id="228"/>
    </w:p>
    <w:p w14:paraId="007C3753" w14:textId="1D2A439A" w:rsidR="00CC4F39" w:rsidRPr="005B2C66" w:rsidRDefault="00CC4F39" w:rsidP="00CE52D4">
      <w:pPr>
        <w:pStyle w:val="LDKbody"/>
        <w:jc w:val="center"/>
        <w:rPr>
          <w:rFonts w:asciiTheme="majorHAnsi" w:hAnsiTheme="majorHAnsi" w:cstheme="majorHAnsi"/>
        </w:rPr>
      </w:pPr>
      <w:r w:rsidRPr="00CC4F39">
        <w:rPr>
          <w:rFonts w:asciiTheme="majorHAnsi" w:hAnsiTheme="majorHAnsi" w:cstheme="majorHAnsi"/>
        </w:rPr>
        <w:t xml:space="preserve"> </w:t>
      </w:r>
      <w:r w:rsidRPr="00CC4F39">
        <w:rPr>
          <w:rFonts w:asciiTheme="majorHAnsi" w:hAnsiTheme="majorHAnsi" w:cstheme="majorHAnsi"/>
          <w:noProof/>
          <w:lang w:val="en-US" w:eastAsia="en-US"/>
        </w:rPr>
        <w:drawing>
          <wp:inline distT="0" distB="0" distL="0" distR="0" wp14:anchorId="4FBFDAC0" wp14:editId="0E37CD2C">
            <wp:extent cx="5414010" cy="3615055"/>
            <wp:effectExtent l="0" t="0" r="0" b="4445"/>
            <wp:docPr id="966641789" name="Picture 966641789"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41789" name="Picture 2" descr="A graph of a number of different colored bars&#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4010" cy="3615055"/>
                    </a:xfrm>
                    <a:prstGeom prst="rect">
                      <a:avLst/>
                    </a:prstGeom>
                    <a:noFill/>
                  </pic:spPr>
                </pic:pic>
              </a:graphicData>
            </a:graphic>
          </wp:inline>
        </w:drawing>
      </w:r>
    </w:p>
    <w:p w14:paraId="386323B9" w14:textId="58BC70D5" w:rsidR="006D48D9" w:rsidRPr="000007D2" w:rsidRDefault="006D48D9" w:rsidP="005B2C66">
      <w:pPr>
        <w:pStyle w:val="LDKbody"/>
        <w:spacing w:before="240"/>
        <w:rPr>
          <w:rFonts w:asciiTheme="majorHAnsi" w:hAnsiTheme="majorHAnsi" w:cstheme="majorHAnsi"/>
          <w:lang w:val="en-GB"/>
        </w:rPr>
      </w:pPr>
      <w:r w:rsidRPr="00A33AE8">
        <w:rPr>
          <w:rFonts w:asciiTheme="majorHAnsi" w:hAnsiTheme="majorHAnsi" w:cstheme="majorHAnsi"/>
          <w:lang w:val="en-GB"/>
        </w:rPr>
        <w:t xml:space="preserve">As shown in </w:t>
      </w:r>
      <w:r w:rsidR="00CC4F39" w:rsidRPr="000007D2">
        <w:rPr>
          <w:lang w:val="en-GB"/>
        </w:rPr>
        <w:fldChar w:fldCharType="begin"/>
      </w:r>
      <w:r w:rsidR="00CC4F39" w:rsidRPr="000007D2">
        <w:rPr>
          <w:lang w:val="en-GB"/>
        </w:rPr>
        <w:instrText xml:space="preserve"> REF _Ref113633799 \h  \* MERGEFORMAT </w:instrText>
      </w:r>
      <w:r w:rsidR="00CC4F39" w:rsidRPr="000007D2">
        <w:rPr>
          <w:lang w:val="en-GB"/>
        </w:rPr>
      </w:r>
      <w:r w:rsidR="00CC4F39" w:rsidRPr="000007D2">
        <w:rPr>
          <w:lang w:val="en-GB"/>
        </w:rPr>
        <w:fldChar w:fldCharType="separate"/>
      </w:r>
      <w:r w:rsidR="00CC4F39" w:rsidRPr="00A33AE8">
        <w:rPr>
          <w:rFonts w:asciiTheme="majorHAnsi" w:hAnsiTheme="majorHAnsi" w:cstheme="majorHAnsi"/>
          <w:lang w:val="en-GB"/>
        </w:rPr>
        <w:t>Figure 4.1</w:t>
      </w:r>
      <w:r w:rsidR="00CC4F39">
        <w:rPr>
          <w:rFonts w:asciiTheme="majorHAnsi" w:hAnsiTheme="majorHAnsi" w:cstheme="majorHAnsi"/>
          <w:lang w:val="en-GB"/>
        </w:rPr>
        <w:t>2</w:t>
      </w:r>
      <w:r w:rsidR="00CC4F39" w:rsidRPr="000007D2">
        <w:rPr>
          <w:lang w:val="en-GB"/>
        </w:rPr>
        <w:fldChar w:fldCharType="end"/>
      </w:r>
      <w:r w:rsidRPr="00A33AE8">
        <w:rPr>
          <w:rFonts w:asciiTheme="majorHAnsi" w:hAnsiTheme="majorHAnsi" w:cstheme="majorHAnsi"/>
          <w:lang w:val="en-GB"/>
        </w:rPr>
        <w:t>, 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intensity, which is the volume of CO</w:t>
      </w:r>
      <w:r w:rsidRPr="00A33AE8">
        <w:rPr>
          <w:rFonts w:asciiTheme="majorHAnsi" w:hAnsiTheme="majorHAnsi" w:cstheme="majorHAnsi"/>
          <w:vertAlign w:val="subscript"/>
          <w:lang w:val="en-GB"/>
        </w:rPr>
        <w:t xml:space="preserve">2 </w:t>
      </w:r>
      <w:r w:rsidRPr="00A33AE8">
        <w:rPr>
          <w:rFonts w:asciiTheme="majorHAnsi" w:hAnsiTheme="majorHAnsi" w:cstheme="majorHAnsi"/>
          <w:lang w:val="en-GB"/>
        </w:rPr>
        <w:t xml:space="preserve">emissions per unit of GDP, </w:t>
      </w:r>
      <w:r w:rsidR="00512DAC" w:rsidRPr="00A33AE8">
        <w:rPr>
          <w:rFonts w:asciiTheme="majorHAnsi" w:hAnsiTheme="majorHAnsi" w:cstheme="majorHAnsi"/>
          <w:lang w:val="en-GB"/>
        </w:rPr>
        <w:t xml:space="preserve">is projected to </w:t>
      </w:r>
      <w:r w:rsidRPr="00A33AE8">
        <w:rPr>
          <w:rFonts w:asciiTheme="majorHAnsi" w:hAnsiTheme="majorHAnsi" w:cstheme="majorHAnsi"/>
          <w:lang w:val="en-GB"/>
        </w:rPr>
        <w:t xml:space="preserve">decline considerably until 2050, as it is decreased by </w:t>
      </w:r>
      <w:r w:rsidR="004933FB" w:rsidRPr="00A33AE8">
        <w:rPr>
          <w:rFonts w:asciiTheme="majorHAnsi" w:hAnsiTheme="majorHAnsi" w:cstheme="majorHAnsi"/>
          <w:lang w:val="en-GB"/>
        </w:rPr>
        <w:t>20</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2030, </w:t>
      </w:r>
      <w:r w:rsidR="004933FB" w:rsidRPr="00A33AE8">
        <w:rPr>
          <w:rFonts w:asciiTheme="majorHAnsi" w:hAnsiTheme="majorHAnsi" w:cstheme="majorHAnsi"/>
          <w:lang w:val="en-GB"/>
        </w:rPr>
        <w:t>34</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2040 and </w:t>
      </w:r>
      <w:r w:rsidR="004933FB" w:rsidRPr="00A33AE8">
        <w:rPr>
          <w:rFonts w:asciiTheme="majorHAnsi" w:hAnsiTheme="majorHAnsi" w:cstheme="majorHAnsi"/>
          <w:lang w:val="en-GB"/>
        </w:rPr>
        <w:t>49</w:t>
      </w:r>
      <w:r w:rsidR="00401467" w:rsidRPr="00A33AE8">
        <w:rPr>
          <w:rFonts w:asciiTheme="majorHAnsi" w:hAnsiTheme="majorHAnsi" w:cstheme="majorHAnsi"/>
          <w:lang w:val="en-GB"/>
        </w:rPr>
        <w:t xml:space="preserve">% </w:t>
      </w:r>
      <w:r w:rsidRPr="00A33AE8">
        <w:rPr>
          <w:rFonts w:asciiTheme="majorHAnsi" w:hAnsiTheme="majorHAnsi" w:cstheme="majorHAnsi"/>
          <w:lang w:val="en-GB"/>
        </w:rPr>
        <w:t>in 2050, compared to 20</w:t>
      </w:r>
      <w:r w:rsidR="004933FB" w:rsidRPr="00A33AE8">
        <w:rPr>
          <w:rFonts w:asciiTheme="majorHAnsi" w:hAnsiTheme="majorHAnsi" w:cstheme="majorHAnsi"/>
          <w:lang w:val="en-GB"/>
        </w:rPr>
        <w:t>20</w:t>
      </w:r>
      <w:r w:rsidRPr="00A33AE8">
        <w:rPr>
          <w:rFonts w:asciiTheme="majorHAnsi" w:hAnsiTheme="majorHAnsi" w:cstheme="majorHAnsi"/>
          <w:lang w:val="en-GB"/>
        </w:rPr>
        <w:t>. The CO</w:t>
      </w:r>
      <w:r w:rsidRPr="00A33AE8">
        <w:rPr>
          <w:rFonts w:asciiTheme="majorHAnsi" w:hAnsiTheme="majorHAnsi" w:cstheme="majorHAnsi"/>
          <w:vertAlign w:val="subscript"/>
          <w:lang w:val="en-GB"/>
        </w:rPr>
        <w:t>2</w:t>
      </w:r>
      <w:r w:rsidRPr="00A33AE8">
        <w:rPr>
          <w:rFonts w:asciiTheme="majorHAnsi" w:hAnsiTheme="majorHAnsi" w:cstheme="majorHAnsi"/>
          <w:lang w:val="en-GB"/>
        </w:rPr>
        <w:t xml:space="preserve"> emissions intensity will be improved demonstrating that the energy system of the Republic of Serbia </w:t>
      </w:r>
      <w:r w:rsidR="00512DAC" w:rsidRPr="00A33AE8">
        <w:rPr>
          <w:rFonts w:asciiTheme="majorHAnsi" w:hAnsiTheme="majorHAnsi" w:cstheme="majorHAnsi"/>
          <w:lang w:val="en-GB"/>
        </w:rPr>
        <w:t xml:space="preserve">is gradually </w:t>
      </w:r>
      <w:r w:rsidR="007A23DA" w:rsidRPr="00A33AE8">
        <w:rPr>
          <w:rFonts w:asciiTheme="majorHAnsi" w:hAnsiTheme="majorHAnsi" w:cstheme="majorHAnsi"/>
          <w:lang w:val="en-GB"/>
        </w:rPr>
        <w:t>cleaner</w:t>
      </w:r>
      <w:r w:rsidRPr="00A33AE8">
        <w:rPr>
          <w:rFonts w:asciiTheme="majorHAnsi" w:hAnsiTheme="majorHAnsi" w:cstheme="majorHAnsi"/>
          <w:lang w:val="en-GB"/>
        </w:rPr>
        <w:t xml:space="preserve"> and efficient</w:t>
      </w:r>
      <w:r w:rsidR="00512DAC" w:rsidRPr="00A33AE8">
        <w:rPr>
          <w:rFonts w:asciiTheme="majorHAnsi" w:hAnsiTheme="majorHAnsi" w:cstheme="majorHAnsi"/>
          <w:lang w:val="en-GB"/>
        </w:rPr>
        <w:t>, at a relatively low pace,</w:t>
      </w:r>
      <w:r w:rsidRPr="00A33AE8">
        <w:rPr>
          <w:rFonts w:asciiTheme="majorHAnsi" w:hAnsiTheme="majorHAnsi" w:cstheme="majorHAnsi"/>
          <w:lang w:val="en-GB"/>
        </w:rPr>
        <w:t xml:space="preserve"> due to the </w:t>
      </w:r>
      <w:r w:rsidR="00512DAC" w:rsidRPr="00A33AE8">
        <w:rPr>
          <w:rFonts w:asciiTheme="majorHAnsi" w:hAnsiTheme="majorHAnsi" w:cstheme="majorHAnsi"/>
          <w:lang w:val="en-GB"/>
        </w:rPr>
        <w:t>technological progress</w:t>
      </w:r>
      <w:r w:rsidR="001B3035" w:rsidRPr="00A33AE8">
        <w:rPr>
          <w:rFonts w:asciiTheme="majorHAnsi" w:hAnsiTheme="majorHAnsi" w:cstheme="majorHAnsi"/>
          <w:lang w:val="en-GB"/>
        </w:rPr>
        <w:t xml:space="preserve"> </w:t>
      </w:r>
      <w:r w:rsidR="00401467" w:rsidRPr="00A33AE8">
        <w:rPr>
          <w:rFonts w:asciiTheme="majorHAnsi" w:hAnsiTheme="majorHAnsi" w:cstheme="majorHAnsi"/>
          <w:lang w:val="en-GB"/>
        </w:rPr>
        <w:t>and</w:t>
      </w:r>
      <w:r w:rsidRPr="00A33AE8">
        <w:rPr>
          <w:rFonts w:asciiTheme="majorHAnsi" w:hAnsiTheme="majorHAnsi" w:cstheme="majorHAnsi"/>
          <w:lang w:val="en-GB"/>
        </w:rPr>
        <w:t xml:space="preserve"> the deployment of </w:t>
      </w:r>
      <w:r w:rsidR="000A2D3E" w:rsidRPr="00A33AE8">
        <w:rPr>
          <w:rFonts w:asciiTheme="majorHAnsi" w:hAnsiTheme="majorHAnsi" w:cstheme="majorHAnsi"/>
          <w:lang w:val="en-GB"/>
        </w:rPr>
        <w:t xml:space="preserve">energy efficiency and RES </w:t>
      </w:r>
      <w:r w:rsidRPr="00A33AE8">
        <w:rPr>
          <w:rFonts w:asciiTheme="majorHAnsi" w:hAnsiTheme="majorHAnsi" w:cstheme="majorHAnsi"/>
          <w:lang w:val="en-GB"/>
        </w:rPr>
        <w:t xml:space="preserve">technologies in </w:t>
      </w:r>
      <w:r w:rsidR="000A2D3E" w:rsidRPr="00A33AE8">
        <w:rPr>
          <w:rFonts w:asciiTheme="majorHAnsi" w:hAnsiTheme="majorHAnsi" w:cstheme="majorHAnsi"/>
          <w:lang w:val="en-GB"/>
        </w:rPr>
        <w:t>all end-use sectors</w:t>
      </w:r>
      <w:r w:rsidRPr="00A33AE8">
        <w:rPr>
          <w:rFonts w:asciiTheme="majorHAnsi" w:hAnsiTheme="majorHAnsi" w:cstheme="majorHAnsi"/>
          <w:lang w:val="en-GB"/>
        </w:rPr>
        <w:t>.</w:t>
      </w:r>
    </w:p>
    <w:p w14:paraId="4E5E4F5E" w14:textId="331C9303" w:rsidR="006D48D9" w:rsidRPr="00A33AE8" w:rsidRDefault="006D48D9" w:rsidP="006D48D9">
      <w:pPr>
        <w:pStyle w:val="Caption"/>
        <w:rPr>
          <w:lang w:eastAsia="el-GR"/>
        </w:rPr>
      </w:pPr>
      <w:bookmarkStart w:id="229" w:name="_Ref113633799"/>
      <w:bookmarkStart w:id="230" w:name="_Toc118992280"/>
      <w:bookmarkStart w:id="231" w:name="_Toc154575219"/>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12</w:t>
      </w:r>
      <w:r w:rsidR="00B62877">
        <w:rPr>
          <w:lang w:eastAsia="el-GR"/>
        </w:rPr>
        <w:fldChar w:fldCharType="end"/>
      </w:r>
      <w:bookmarkEnd w:id="229"/>
      <w:r w:rsidRPr="00A33AE8">
        <w:rPr>
          <w:lang w:eastAsia="el-GR"/>
        </w:rPr>
        <w:t>:CO2 emissions intensity per unit of GDP (kg CO2 from energy sources / € GDP) over 20</w:t>
      </w:r>
      <w:r w:rsidR="004933FB" w:rsidRPr="00A33AE8">
        <w:rPr>
          <w:lang w:eastAsia="el-GR"/>
        </w:rPr>
        <w:t>20</w:t>
      </w:r>
      <w:r w:rsidRPr="00A33AE8">
        <w:rPr>
          <w:lang w:eastAsia="el-GR"/>
        </w:rPr>
        <w:t>-2050</w:t>
      </w:r>
      <w:bookmarkEnd w:id="230"/>
      <w:r w:rsidR="00B55F92">
        <w:rPr>
          <w:lang w:eastAsia="el-GR"/>
        </w:rPr>
        <w:t xml:space="preserve"> </w:t>
      </w:r>
      <w:r w:rsidR="00C176B4">
        <w:rPr>
          <w:lang w:eastAsia="el-GR"/>
        </w:rPr>
        <w:t xml:space="preserve">in the scenario </w:t>
      </w:r>
      <w:r w:rsidR="00B55F92" w:rsidRPr="00B55F92">
        <w:rPr>
          <w:lang w:eastAsia="el-GR"/>
        </w:rPr>
        <w:t>with existing measures (WEM)</w:t>
      </w:r>
      <w:bookmarkEnd w:id="231"/>
    </w:p>
    <w:p w14:paraId="1317A251" w14:textId="77777777" w:rsidR="00401467" w:rsidRPr="00A33AE8" w:rsidRDefault="006B0A65" w:rsidP="00401467">
      <w:pPr>
        <w:jc w:val="center"/>
        <w:rPr>
          <w:lang w:eastAsia="el-GR"/>
        </w:rPr>
      </w:pPr>
      <w:r w:rsidRPr="000007D2">
        <w:rPr>
          <w:noProof/>
          <w:lang w:val="en-US"/>
        </w:rPr>
        <mc:AlternateContent>
          <mc:Choice Requires="wps">
            <w:drawing>
              <wp:anchor distT="0" distB="0" distL="114300" distR="114300" simplePos="0" relativeHeight="251671552" behindDoc="0" locked="0" layoutInCell="1" allowOverlap="1" wp14:anchorId="21047652" wp14:editId="433BE6E1">
                <wp:simplePos x="0" y="0"/>
                <wp:positionH relativeFrom="column">
                  <wp:posOffset>1281238</wp:posOffset>
                </wp:positionH>
                <wp:positionV relativeFrom="paragraph">
                  <wp:posOffset>289991</wp:posOffset>
                </wp:positionV>
                <wp:extent cx="2501661" cy="2001329"/>
                <wp:effectExtent l="0" t="0" r="0" b="0"/>
                <wp:wrapNone/>
                <wp:docPr id="1456298293" name="Text Box 1456298293"/>
                <wp:cNvGraphicFramePr/>
                <a:graphic xmlns:a="http://schemas.openxmlformats.org/drawingml/2006/main">
                  <a:graphicData uri="http://schemas.microsoft.com/office/word/2010/wordprocessingShape">
                    <wps:wsp>
                      <wps:cNvSpPr txBox="1"/>
                      <wps:spPr>
                        <a:xfrm>
                          <a:off x="0" y="0"/>
                          <a:ext cx="2501661" cy="2001329"/>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77FB3" id="Text Box 1456298293" o:spid="_x0000_s1026" type="#_x0000_t202" style="position:absolute;margin-left:100.9pt;margin-top:22.85pt;width:197pt;height:1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" fillcolor="#a5a5a5 [2092]" stroked="f">
                <v:fill opacity="32896f"/>
              </v:shape>
            </w:pict>
          </mc:Fallback>
        </mc:AlternateContent>
      </w:r>
      <w:r w:rsidR="004933FB" w:rsidRPr="000007D2">
        <w:rPr>
          <w:noProof/>
          <w:lang w:val="en-US"/>
        </w:rPr>
        <w:drawing>
          <wp:inline distT="0" distB="0" distL="0" distR="0" wp14:anchorId="6C151D54" wp14:editId="01130652">
            <wp:extent cx="5211252" cy="2799233"/>
            <wp:effectExtent l="0" t="0" r="889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25348" cy="2806805"/>
                    </a:xfrm>
                    <a:prstGeom prst="rect">
                      <a:avLst/>
                    </a:prstGeom>
                    <a:noFill/>
                  </pic:spPr>
                </pic:pic>
              </a:graphicData>
            </a:graphic>
          </wp:inline>
        </w:drawing>
      </w:r>
    </w:p>
    <w:p w14:paraId="0CBAB6C0" w14:textId="77777777" w:rsidR="00386771" w:rsidRPr="00A33AE8" w:rsidRDefault="00386771" w:rsidP="007D341E">
      <w:pPr>
        <w:pStyle w:val="Heading3"/>
      </w:pPr>
      <w:r w:rsidRPr="00A33AE8">
        <w:lastRenderedPageBreak/>
        <w:t>Renewable Energy</w:t>
      </w:r>
    </w:p>
    <w:p w14:paraId="72019580" w14:textId="77777777" w:rsidR="00506B97" w:rsidRPr="00A33AE8" w:rsidRDefault="00506B97" w:rsidP="00884F3B">
      <w:pPr>
        <w:pStyle w:val="Heading4"/>
        <w:numPr>
          <w:ilvl w:val="0"/>
          <w:numId w:val="31"/>
        </w:numPr>
        <w:jc w:val="both"/>
      </w:pPr>
      <w:r w:rsidRPr="00A33AE8">
        <w:t>Current share of renewable energy in gross final energy consumption and in different sectors (heating and cooling, electricity and transport) as well as per technology in each of these sectors</w:t>
      </w:r>
    </w:p>
    <w:p w14:paraId="41D140B8" w14:textId="643D858D" w:rsidR="006A7D95" w:rsidRPr="00A33AE8" w:rsidRDefault="006D48D9" w:rsidP="006D48D9">
      <w:pPr>
        <w:pStyle w:val="LDKbody"/>
        <w:rPr>
          <w:rFonts w:asciiTheme="majorHAnsi" w:hAnsiTheme="majorHAnsi" w:cstheme="majorHAnsi"/>
          <w:lang w:val="en-GB"/>
        </w:rPr>
      </w:pPr>
      <w:r w:rsidRPr="00A33AE8">
        <w:rPr>
          <w:rFonts w:asciiTheme="majorHAnsi" w:hAnsiTheme="majorHAnsi" w:cstheme="majorHAnsi"/>
          <w:lang w:val="en-GB"/>
        </w:rPr>
        <w:t xml:space="preserve">As presented in </w:t>
      </w:r>
      <w:r w:rsidR="00CC4F39" w:rsidRPr="00A33AE8">
        <w:rPr>
          <w:rFonts w:asciiTheme="majorHAnsi" w:hAnsiTheme="majorHAnsi" w:cstheme="majorHAnsi"/>
          <w:lang w:val="en-GB"/>
        </w:rPr>
        <w:fldChar w:fldCharType="begin"/>
      </w:r>
      <w:r w:rsidR="00CC4F39" w:rsidRPr="00A33AE8">
        <w:rPr>
          <w:rFonts w:asciiTheme="majorHAnsi" w:hAnsiTheme="majorHAnsi" w:cstheme="majorHAnsi"/>
          <w:lang w:val="en-GB"/>
        </w:rPr>
        <w:instrText xml:space="preserve"> REF _Ref118990269 \h </w:instrText>
      </w:r>
      <w:r w:rsidR="00CC4F39">
        <w:rPr>
          <w:rFonts w:asciiTheme="majorHAnsi" w:hAnsiTheme="majorHAnsi" w:cstheme="majorHAnsi"/>
          <w:lang w:val="en-GB"/>
        </w:rPr>
        <w:instrText xml:space="preserve"> \* MERGEFORMAT </w:instrText>
      </w:r>
      <w:r w:rsidR="00CC4F39" w:rsidRPr="00A33AE8">
        <w:rPr>
          <w:rFonts w:asciiTheme="majorHAnsi" w:hAnsiTheme="majorHAnsi" w:cstheme="majorHAnsi"/>
          <w:lang w:val="en-GB"/>
        </w:rPr>
      </w:r>
      <w:r w:rsidR="00CC4F39" w:rsidRPr="00A33AE8">
        <w:rPr>
          <w:rFonts w:asciiTheme="majorHAnsi" w:hAnsiTheme="majorHAnsi" w:cstheme="majorHAnsi"/>
          <w:lang w:val="en-GB"/>
        </w:rPr>
        <w:fldChar w:fldCharType="separate"/>
      </w:r>
      <w:r w:rsidR="00CC4F39" w:rsidRPr="005B2C66">
        <w:rPr>
          <w:rFonts w:asciiTheme="majorHAnsi" w:hAnsiTheme="majorHAnsi" w:cstheme="majorHAnsi"/>
          <w:lang w:val="en-GB"/>
        </w:rPr>
        <w:t>Figure 4.13</w:t>
      </w:r>
      <w:r w:rsidR="00CC4F39" w:rsidRPr="00A33AE8">
        <w:rPr>
          <w:rFonts w:asciiTheme="majorHAnsi" w:hAnsiTheme="majorHAnsi" w:cstheme="majorHAnsi"/>
          <w:lang w:val="en-GB"/>
        </w:rPr>
        <w:fldChar w:fldCharType="end"/>
      </w:r>
      <w:r w:rsidR="005F526B" w:rsidRPr="00A33AE8">
        <w:rPr>
          <w:rFonts w:asciiTheme="majorHAnsi" w:hAnsiTheme="majorHAnsi" w:cstheme="majorHAnsi"/>
          <w:lang w:val="en-GB"/>
        </w:rPr>
        <w:t xml:space="preserve">, </w:t>
      </w:r>
      <w:r w:rsidRPr="00A33AE8">
        <w:rPr>
          <w:rFonts w:asciiTheme="majorHAnsi" w:hAnsiTheme="majorHAnsi" w:cstheme="majorHAnsi"/>
          <w:lang w:val="en-GB"/>
        </w:rPr>
        <w:t xml:space="preserve">the gross electricity production remained almost stable </w:t>
      </w:r>
      <w:r w:rsidR="00283ED5" w:rsidRPr="00A33AE8">
        <w:rPr>
          <w:rFonts w:asciiTheme="majorHAnsi" w:hAnsiTheme="majorHAnsi" w:cstheme="majorHAnsi"/>
          <w:lang w:val="en-GB"/>
        </w:rPr>
        <w:t xml:space="preserve">in </w:t>
      </w:r>
      <w:r w:rsidRPr="00A33AE8">
        <w:rPr>
          <w:rFonts w:asciiTheme="majorHAnsi" w:hAnsiTheme="majorHAnsi" w:cstheme="majorHAnsi"/>
          <w:lang w:val="en-GB"/>
        </w:rPr>
        <w:t>20</w:t>
      </w:r>
      <w:r w:rsidR="005F526B" w:rsidRPr="00A33AE8">
        <w:rPr>
          <w:rFonts w:asciiTheme="majorHAnsi" w:hAnsiTheme="majorHAnsi" w:cstheme="majorHAnsi"/>
          <w:lang w:val="en-GB"/>
        </w:rPr>
        <w:t>20</w:t>
      </w:r>
      <w:r w:rsidRPr="00A33AE8">
        <w:rPr>
          <w:rFonts w:asciiTheme="majorHAnsi" w:hAnsiTheme="majorHAnsi" w:cstheme="majorHAnsi"/>
          <w:lang w:val="en-GB"/>
        </w:rPr>
        <w:t>, compared to 2010 at about 3.3 Mtoe</w:t>
      </w:r>
      <w:r w:rsidR="00575AB2" w:rsidRPr="00A33AE8">
        <w:rPr>
          <w:rFonts w:asciiTheme="majorHAnsi" w:hAnsiTheme="majorHAnsi" w:cstheme="majorHAnsi"/>
          <w:lang w:val="en-GB"/>
        </w:rPr>
        <w:t>, despite several fluctuations within the period</w:t>
      </w:r>
      <w:r w:rsidRPr="00A33AE8">
        <w:rPr>
          <w:rFonts w:asciiTheme="majorHAnsi" w:hAnsiTheme="majorHAnsi" w:cstheme="majorHAnsi"/>
          <w:lang w:val="en-GB"/>
        </w:rPr>
        <w:t xml:space="preserve">. Solid fossil </w:t>
      </w:r>
      <w:r w:rsidR="00575AB2" w:rsidRPr="00A33AE8">
        <w:rPr>
          <w:rFonts w:asciiTheme="majorHAnsi" w:hAnsiTheme="majorHAnsi" w:cstheme="majorHAnsi"/>
          <w:lang w:val="en-GB"/>
        </w:rPr>
        <w:t>fuels and RES</w:t>
      </w:r>
      <w:r w:rsidR="001B3035" w:rsidRPr="00A33AE8">
        <w:rPr>
          <w:rFonts w:asciiTheme="majorHAnsi" w:hAnsiTheme="majorHAnsi" w:cstheme="majorHAnsi"/>
          <w:lang w:val="en-GB"/>
        </w:rPr>
        <w:t xml:space="preserve"> (mainly hydro power)</w:t>
      </w:r>
      <w:r w:rsidRPr="00A33AE8">
        <w:rPr>
          <w:rFonts w:asciiTheme="majorHAnsi" w:hAnsiTheme="majorHAnsi" w:cstheme="majorHAnsi"/>
          <w:lang w:val="en-GB"/>
        </w:rPr>
        <w:t xml:space="preserve"> are the major </w:t>
      </w:r>
      <w:r w:rsidR="001B3035" w:rsidRPr="00A33AE8">
        <w:rPr>
          <w:rFonts w:asciiTheme="majorHAnsi" w:hAnsiTheme="majorHAnsi" w:cstheme="majorHAnsi"/>
          <w:lang w:val="en-GB"/>
        </w:rPr>
        <w:t xml:space="preserve">sources </w:t>
      </w:r>
      <w:r w:rsidR="00575AB2" w:rsidRPr="00A33AE8">
        <w:rPr>
          <w:rFonts w:asciiTheme="majorHAnsi" w:hAnsiTheme="majorHAnsi" w:cstheme="majorHAnsi"/>
          <w:lang w:val="en-GB"/>
        </w:rPr>
        <w:t>contributing</w:t>
      </w:r>
      <w:r w:rsidRPr="00A33AE8">
        <w:rPr>
          <w:rFonts w:asciiTheme="majorHAnsi" w:hAnsiTheme="majorHAnsi" w:cstheme="majorHAnsi"/>
          <w:lang w:val="en-GB"/>
        </w:rPr>
        <w:t xml:space="preserve"> substantially to the gross electricity production over the last decade, by 65.7% and 33% in 2010 and by</w:t>
      </w:r>
      <w:r w:rsidR="00EE7506" w:rsidRPr="00A33AE8">
        <w:rPr>
          <w:rFonts w:asciiTheme="majorHAnsi" w:hAnsiTheme="majorHAnsi" w:cstheme="majorHAnsi"/>
          <w:lang w:val="en-GB"/>
        </w:rPr>
        <w:t xml:space="preserve"> 70</w:t>
      </w:r>
      <w:r w:rsidRPr="00A33AE8">
        <w:rPr>
          <w:rFonts w:asciiTheme="majorHAnsi" w:hAnsiTheme="majorHAnsi" w:cstheme="majorHAnsi"/>
          <w:lang w:val="en-GB"/>
        </w:rPr>
        <w:t xml:space="preserve">% and </w:t>
      </w:r>
      <w:r w:rsidR="00EE7506" w:rsidRPr="00A33AE8">
        <w:rPr>
          <w:rFonts w:asciiTheme="majorHAnsi" w:hAnsiTheme="majorHAnsi" w:cstheme="majorHAnsi"/>
          <w:lang w:val="en-GB"/>
        </w:rPr>
        <w:t>29</w:t>
      </w:r>
      <w:r w:rsidRPr="00A33AE8">
        <w:rPr>
          <w:rFonts w:asciiTheme="majorHAnsi" w:hAnsiTheme="majorHAnsi" w:cstheme="majorHAnsi"/>
          <w:lang w:val="en-GB"/>
        </w:rPr>
        <w:t>% in 20</w:t>
      </w:r>
      <w:r w:rsidR="005F526B" w:rsidRPr="00A33AE8">
        <w:rPr>
          <w:rFonts w:asciiTheme="majorHAnsi" w:hAnsiTheme="majorHAnsi" w:cstheme="majorHAnsi"/>
          <w:lang w:val="en-GB"/>
        </w:rPr>
        <w:t>20</w:t>
      </w:r>
      <w:r w:rsidRPr="00A33AE8">
        <w:rPr>
          <w:rFonts w:asciiTheme="majorHAnsi" w:hAnsiTheme="majorHAnsi" w:cstheme="majorHAnsi"/>
          <w:lang w:val="en-GB"/>
        </w:rPr>
        <w:t>, respectively.</w:t>
      </w:r>
    </w:p>
    <w:p w14:paraId="13AC9801" w14:textId="4552F972" w:rsidR="006D48D9" w:rsidRPr="00A33AE8" w:rsidRDefault="006D48D9" w:rsidP="006D48D9">
      <w:pPr>
        <w:pStyle w:val="Caption"/>
        <w:rPr>
          <w:lang w:eastAsia="el-GR"/>
        </w:rPr>
      </w:pPr>
      <w:bookmarkStart w:id="232" w:name="_Ref118990269"/>
      <w:bookmarkStart w:id="233" w:name="_Toc118992281"/>
      <w:bookmarkStart w:id="234" w:name="_Toc154575220"/>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13</w:t>
      </w:r>
      <w:r w:rsidR="00B62877">
        <w:rPr>
          <w:lang w:eastAsia="el-GR"/>
        </w:rPr>
        <w:fldChar w:fldCharType="end"/>
      </w:r>
      <w:bookmarkEnd w:id="232"/>
      <w:r w:rsidRPr="00A33AE8">
        <w:rPr>
          <w:lang w:eastAsia="el-GR"/>
        </w:rPr>
        <w:t>: Gross electricity production over 2010-20</w:t>
      </w:r>
      <w:r w:rsidR="00F2316C" w:rsidRPr="00A33AE8">
        <w:rPr>
          <w:lang w:eastAsia="el-GR"/>
        </w:rPr>
        <w:t>20</w:t>
      </w:r>
      <w:r w:rsidRPr="00A33AE8">
        <w:rPr>
          <w:lang w:eastAsia="el-GR"/>
        </w:rPr>
        <w:t xml:space="preserve"> (Source: Eurostat, </w:t>
      </w:r>
      <w:r w:rsidR="00A312C4" w:rsidRPr="00A33AE8">
        <w:rPr>
          <w:lang w:eastAsia="el-GR"/>
        </w:rPr>
        <w:t>202</w:t>
      </w:r>
      <w:r w:rsidR="00F2316C" w:rsidRPr="00A33AE8">
        <w:rPr>
          <w:lang w:eastAsia="el-GR"/>
        </w:rPr>
        <w:t>3</w:t>
      </w:r>
      <w:r w:rsidRPr="00A33AE8">
        <w:rPr>
          <w:lang w:eastAsia="el-GR"/>
        </w:rPr>
        <w:t>)</w:t>
      </w:r>
      <w:bookmarkEnd w:id="233"/>
      <w:bookmarkEnd w:id="234"/>
    </w:p>
    <w:p w14:paraId="5F502AF0" w14:textId="77777777" w:rsidR="006D48D9" w:rsidRPr="00A33AE8" w:rsidRDefault="00EE7506" w:rsidP="006D48D9">
      <w:pPr>
        <w:keepNext/>
        <w:jc w:val="center"/>
      </w:pPr>
      <w:r w:rsidRPr="000007D2">
        <w:rPr>
          <w:noProof/>
          <w:lang w:val="en-US"/>
        </w:rPr>
        <w:drawing>
          <wp:inline distT="0" distB="0" distL="0" distR="0" wp14:anchorId="32EE70EC" wp14:editId="006ED60B">
            <wp:extent cx="4890052" cy="250274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0085" cy="2518116"/>
                    </a:xfrm>
                    <a:prstGeom prst="rect">
                      <a:avLst/>
                    </a:prstGeom>
                    <a:noFill/>
                  </pic:spPr>
                </pic:pic>
              </a:graphicData>
            </a:graphic>
          </wp:inline>
        </w:drawing>
      </w:r>
    </w:p>
    <w:p w14:paraId="218C2B75" w14:textId="77777777" w:rsidR="00511AE1" w:rsidRPr="00A33AE8" w:rsidRDefault="006D48D9" w:rsidP="006D48D9">
      <w:pPr>
        <w:pStyle w:val="LDKbody"/>
        <w:rPr>
          <w:lang w:val="en-GB"/>
        </w:rPr>
      </w:pPr>
      <w:r w:rsidRPr="00A33AE8">
        <w:rPr>
          <w:rFonts w:asciiTheme="majorHAnsi" w:hAnsiTheme="majorHAnsi" w:cstheme="majorHAnsi"/>
          <w:lang w:val="en-GB"/>
        </w:rPr>
        <w:t>Furthermore, the gross heat production declined by</w:t>
      </w:r>
      <w:r w:rsidR="003F014D" w:rsidRPr="00A33AE8">
        <w:rPr>
          <w:rFonts w:asciiTheme="majorHAnsi" w:hAnsiTheme="majorHAnsi" w:cstheme="majorHAnsi"/>
          <w:lang w:val="en-GB"/>
        </w:rPr>
        <w:t xml:space="preserve"> 4.8</w:t>
      </w:r>
      <w:r w:rsidRPr="00A33AE8">
        <w:rPr>
          <w:rFonts w:asciiTheme="majorHAnsi" w:hAnsiTheme="majorHAnsi" w:cstheme="majorHAnsi"/>
          <w:lang w:val="en-GB"/>
        </w:rPr>
        <w:t>% between 2010 and 20</w:t>
      </w:r>
      <w:r w:rsidR="00517FF4" w:rsidRPr="00A33AE8">
        <w:rPr>
          <w:rFonts w:asciiTheme="majorHAnsi" w:hAnsiTheme="majorHAnsi" w:cstheme="majorHAnsi"/>
          <w:lang w:val="en-GB"/>
        </w:rPr>
        <w:t>20</w:t>
      </w:r>
      <w:r w:rsidRPr="00A33AE8">
        <w:rPr>
          <w:rFonts w:asciiTheme="majorHAnsi" w:hAnsiTheme="majorHAnsi" w:cstheme="majorHAnsi"/>
          <w:lang w:val="en-GB"/>
        </w:rPr>
        <w:t xml:space="preserve">; from </w:t>
      </w:r>
      <w:r w:rsidR="003F014D" w:rsidRPr="00A33AE8">
        <w:rPr>
          <w:rFonts w:asciiTheme="majorHAnsi" w:hAnsiTheme="majorHAnsi" w:cstheme="majorHAnsi"/>
          <w:lang w:val="en-GB"/>
        </w:rPr>
        <w:t>905.0</w:t>
      </w:r>
      <w:r w:rsidRPr="00A33AE8">
        <w:rPr>
          <w:rFonts w:asciiTheme="majorHAnsi" w:hAnsiTheme="majorHAnsi" w:cstheme="majorHAnsi"/>
          <w:lang w:val="en-GB"/>
        </w:rPr>
        <w:t xml:space="preserve"> ktoe in 2010 to </w:t>
      </w:r>
      <w:r w:rsidR="003F014D" w:rsidRPr="00A33AE8">
        <w:rPr>
          <w:rFonts w:asciiTheme="majorHAnsi" w:hAnsiTheme="majorHAnsi" w:cstheme="majorHAnsi"/>
          <w:lang w:val="en-GB"/>
        </w:rPr>
        <w:t>861</w:t>
      </w:r>
      <w:r w:rsidRPr="00A33AE8">
        <w:rPr>
          <w:rFonts w:asciiTheme="majorHAnsi" w:hAnsiTheme="majorHAnsi" w:cstheme="majorHAnsi"/>
          <w:lang w:val="en-GB"/>
        </w:rPr>
        <w:t>.1 ktoe in 20</w:t>
      </w:r>
      <w:r w:rsidR="00517FF4" w:rsidRPr="00A33AE8">
        <w:rPr>
          <w:rFonts w:asciiTheme="majorHAnsi" w:hAnsiTheme="majorHAnsi" w:cstheme="majorHAnsi"/>
          <w:lang w:val="en-GB"/>
        </w:rPr>
        <w:t>20</w:t>
      </w:r>
      <w:r w:rsidRPr="00A33AE8">
        <w:rPr>
          <w:rFonts w:asciiTheme="majorHAnsi" w:hAnsiTheme="majorHAnsi" w:cstheme="majorHAnsi"/>
          <w:lang w:val="en-GB"/>
        </w:rPr>
        <w:t xml:space="preserve">, as shown in </w:t>
      </w:r>
      <w:r w:rsidR="00CC4F39" w:rsidRPr="000007D2">
        <w:rPr>
          <w:lang w:val="en-GB"/>
        </w:rPr>
        <w:fldChar w:fldCharType="begin"/>
      </w:r>
      <w:r w:rsidR="00CC4F39" w:rsidRPr="000007D2">
        <w:rPr>
          <w:lang w:val="en-GB"/>
        </w:rPr>
        <w:instrText xml:space="preserve"> REF _Ref113633813 \h  \* MERGEFORMAT </w:instrText>
      </w:r>
      <w:r w:rsidR="00CC4F39" w:rsidRPr="000007D2">
        <w:rPr>
          <w:lang w:val="en-GB"/>
        </w:rPr>
      </w:r>
      <w:r w:rsidR="00CC4F39" w:rsidRPr="000007D2">
        <w:rPr>
          <w:lang w:val="en-GB"/>
        </w:rPr>
        <w:fldChar w:fldCharType="separate"/>
      </w:r>
      <w:r w:rsidR="00CC4F39" w:rsidRPr="00A33AE8">
        <w:rPr>
          <w:rFonts w:asciiTheme="majorHAnsi" w:hAnsiTheme="majorHAnsi" w:cstheme="majorHAnsi"/>
          <w:lang w:val="en-GB"/>
        </w:rPr>
        <w:t>Figure 4.1</w:t>
      </w:r>
      <w:r w:rsidR="00CC4F39">
        <w:rPr>
          <w:rFonts w:asciiTheme="majorHAnsi" w:hAnsiTheme="majorHAnsi" w:cstheme="majorHAnsi"/>
          <w:lang w:val="en-GB"/>
        </w:rPr>
        <w:t>4</w:t>
      </w:r>
      <w:r w:rsidR="00CC4F39" w:rsidRPr="000007D2">
        <w:rPr>
          <w:lang w:val="en-GB"/>
        </w:rPr>
        <w:fldChar w:fldCharType="end"/>
      </w:r>
      <w:r w:rsidRPr="00A33AE8">
        <w:rPr>
          <w:rFonts w:asciiTheme="majorHAnsi" w:hAnsiTheme="majorHAnsi" w:cstheme="majorHAnsi"/>
          <w:lang w:val="en-GB"/>
        </w:rPr>
        <w:t>. Natural gas and solid fossil fuels contributed substantially to the gross heat production over the last decade, by 48.</w:t>
      </w:r>
      <w:r w:rsidR="003F014D" w:rsidRPr="00A33AE8">
        <w:rPr>
          <w:rFonts w:asciiTheme="majorHAnsi" w:hAnsiTheme="majorHAnsi" w:cstheme="majorHAnsi"/>
          <w:lang w:val="en-GB"/>
        </w:rPr>
        <w:t>88</w:t>
      </w:r>
      <w:r w:rsidRPr="00A33AE8">
        <w:rPr>
          <w:rFonts w:asciiTheme="majorHAnsi" w:hAnsiTheme="majorHAnsi" w:cstheme="majorHAnsi"/>
          <w:lang w:val="en-GB"/>
        </w:rPr>
        <w:t>% and 16.</w:t>
      </w:r>
      <w:r w:rsidR="003F014D" w:rsidRPr="00A33AE8">
        <w:rPr>
          <w:rFonts w:asciiTheme="majorHAnsi" w:hAnsiTheme="majorHAnsi" w:cstheme="majorHAnsi"/>
          <w:lang w:val="en-GB"/>
        </w:rPr>
        <w:t>88</w:t>
      </w:r>
      <w:r w:rsidRPr="00A33AE8">
        <w:rPr>
          <w:rFonts w:asciiTheme="majorHAnsi" w:hAnsiTheme="majorHAnsi" w:cstheme="majorHAnsi"/>
          <w:lang w:val="en-GB"/>
        </w:rPr>
        <w:t xml:space="preserve">% in 2010 and by </w:t>
      </w:r>
      <w:r w:rsidR="003F014D" w:rsidRPr="00A33AE8">
        <w:rPr>
          <w:rFonts w:asciiTheme="majorHAnsi" w:hAnsiTheme="majorHAnsi" w:cstheme="majorHAnsi"/>
          <w:lang w:val="en-GB"/>
        </w:rPr>
        <w:t>66.09</w:t>
      </w:r>
      <w:r w:rsidRPr="00A33AE8">
        <w:rPr>
          <w:rFonts w:asciiTheme="majorHAnsi" w:hAnsiTheme="majorHAnsi" w:cstheme="majorHAnsi"/>
          <w:lang w:val="en-GB"/>
        </w:rPr>
        <w:t xml:space="preserve">% and </w:t>
      </w:r>
      <w:r w:rsidR="003F014D" w:rsidRPr="00A33AE8">
        <w:rPr>
          <w:rFonts w:asciiTheme="majorHAnsi" w:hAnsiTheme="majorHAnsi" w:cstheme="majorHAnsi"/>
          <w:lang w:val="en-GB"/>
        </w:rPr>
        <w:t>17.01</w:t>
      </w:r>
      <w:r w:rsidRPr="00A33AE8">
        <w:rPr>
          <w:rFonts w:asciiTheme="majorHAnsi" w:hAnsiTheme="majorHAnsi" w:cstheme="majorHAnsi"/>
          <w:lang w:val="en-GB"/>
        </w:rPr>
        <w:t>% in 20</w:t>
      </w:r>
      <w:r w:rsidR="00517FF4" w:rsidRPr="00A33AE8">
        <w:rPr>
          <w:rFonts w:asciiTheme="majorHAnsi" w:hAnsiTheme="majorHAnsi" w:cstheme="majorHAnsi"/>
          <w:lang w:val="en-GB"/>
        </w:rPr>
        <w:t>20</w:t>
      </w:r>
      <w:r w:rsidRPr="00A33AE8">
        <w:rPr>
          <w:rFonts w:asciiTheme="majorHAnsi" w:hAnsiTheme="majorHAnsi" w:cstheme="majorHAnsi"/>
          <w:lang w:val="en-GB"/>
        </w:rPr>
        <w:t>, respectively.</w:t>
      </w:r>
    </w:p>
    <w:p w14:paraId="196BDB0F" w14:textId="73D381C4" w:rsidR="006D48D9" w:rsidRPr="00A33AE8" w:rsidRDefault="006D48D9" w:rsidP="006D48D9">
      <w:pPr>
        <w:pStyle w:val="Caption"/>
      </w:pPr>
      <w:bookmarkStart w:id="235" w:name="_Ref113633813"/>
      <w:bookmarkStart w:id="236" w:name="_Toc118992282"/>
      <w:bookmarkStart w:id="237" w:name="_Toc154575221"/>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14</w:t>
      </w:r>
      <w:r w:rsidR="00B62877">
        <w:rPr>
          <w:lang w:eastAsia="el-GR"/>
        </w:rPr>
        <w:fldChar w:fldCharType="end"/>
      </w:r>
      <w:bookmarkEnd w:id="235"/>
      <w:r w:rsidRPr="00A33AE8">
        <w:rPr>
          <w:lang w:eastAsia="el-GR"/>
        </w:rPr>
        <w:t>: Gross heat production over 2010-20</w:t>
      </w:r>
      <w:r w:rsidR="00517FF4" w:rsidRPr="00A33AE8">
        <w:rPr>
          <w:lang w:eastAsia="el-GR"/>
        </w:rPr>
        <w:t>20</w:t>
      </w:r>
      <w:r w:rsidRPr="00A33AE8">
        <w:rPr>
          <w:lang w:eastAsia="el-GR"/>
        </w:rPr>
        <w:t xml:space="preserve"> (Source: Eurostat, 202</w:t>
      </w:r>
      <w:r w:rsidR="00517FF4" w:rsidRPr="00A33AE8">
        <w:rPr>
          <w:lang w:eastAsia="el-GR"/>
        </w:rPr>
        <w:t>3</w:t>
      </w:r>
      <w:r w:rsidRPr="00A33AE8">
        <w:rPr>
          <w:lang w:eastAsia="el-GR"/>
        </w:rPr>
        <w:t>)</w:t>
      </w:r>
      <w:bookmarkEnd w:id="236"/>
      <w:bookmarkEnd w:id="237"/>
    </w:p>
    <w:p w14:paraId="59BF80BA" w14:textId="77777777" w:rsidR="00EE7506" w:rsidRPr="00A33AE8" w:rsidRDefault="00EE7506" w:rsidP="00EE7506">
      <w:pPr>
        <w:tabs>
          <w:tab w:val="left" w:pos="3819"/>
        </w:tabs>
        <w:jc w:val="center"/>
      </w:pPr>
      <w:r w:rsidRPr="000007D2">
        <w:rPr>
          <w:noProof/>
          <w:lang w:val="en-US"/>
        </w:rPr>
        <w:drawing>
          <wp:inline distT="0" distB="0" distL="0" distR="0" wp14:anchorId="3BAA557D" wp14:editId="109E7295">
            <wp:extent cx="5049078" cy="24418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4689" cy="2463945"/>
                    </a:xfrm>
                    <a:prstGeom prst="rect">
                      <a:avLst/>
                    </a:prstGeom>
                    <a:noFill/>
                  </pic:spPr>
                </pic:pic>
              </a:graphicData>
            </a:graphic>
          </wp:inline>
        </w:drawing>
      </w:r>
    </w:p>
    <w:p w14:paraId="22BA34D7" w14:textId="147F8F10" w:rsidR="006D48D9" w:rsidRPr="00A33AE8" w:rsidRDefault="006D48D9" w:rsidP="007A0028">
      <w:pPr>
        <w:tabs>
          <w:tab w:val="left" w:pos="2254"/>
        </w:tabs>
        <w:jc w:val="both"/>
        <w:rPr>
          <w:rFonts w:asciiTheme="majorHAnsi" w:hAnsiTheme="majorHAnsi"/>
        </w:rPr>
      </w:pPr>
      <w:r w:rsidRPr="00A33AE8">
        <w:rPr>
          <w:rFonts w:asciiTheme="majorHAnsi" w:hAnsiTheme="majorHAnsi"/>
        </w:rPr>
        <w:t xml:space="preserve">As illustrated in </w:t>
      </w:r>
      <w:r w:rsidR="00CE52D4">
        <w:rPr>
          <w:rFonts w:asciiTheme="majorHAnsi" w:hAnsiTheme="majorHAnsi"/>
        </w:rPr>
        <w:fldChar w:fldCharType="begin"/>
      </w:r>
      <w:r w:rsidR="00CE52D4">
        <w:rPr>
          <w:rFonts w:asciiTheme="majorHAnsi" w:hAnsiTheme="majorHAnsi"/>
        </w:rPr>
        <w:instrText xml:space="preserve"> REF _Ref153545243 \h  \* MERGEFORMAT </w:instrText>
      </w:r>
      <w:r w:rsidR="00CE52D4">
        <w:rPr>
          <w:rFonts w:asciiTheme="majorHAnsi" w:hAnsiTheme="majorHAnsi"/>
        </w:rPr>
      </w:r>
      <w:r w:rsidR="00CE52D4">
        <w:rPr>
          <w:rFonts w:asciiTheme="majorHAnsi" w:hAnsiTheme="majorHAnsi"/>
        </w:rPr>
        <w:fldChar w:fldCharType="separate"/>
      </w:r>
      <w:r w:rsidR="00CE52D4" w:rsidRPr="0087794A">
        <w:rPr>
          <w:rFonts w:asciiTheme="majorHAnsi" w:hAnsiTheme="majorHAnsi"/>
        </w:rPr>
        <w:t>Figure 4.15</w:t>
      </w:r>
      <w:r w:rsidR="00CE52D4">
        <w:rPr>
          <w:rFonts w:asciiTheme="majorHAnsi" w:hAnsiTheme="majorHAnsi"/>
        </w:rPr>
        <w:fldChar w:fldCharType="end"/>
      </w:r>
      <w:r w:rsidR="00CC4F39" w:rsidRPr="0087794A">
        <w:rPr>
          <w:rFonts w:asciiTheme="majorHAnsi" w:hAnsiTheme="majorHAnsi"/>
        </w:rPr>
        <w:fldChar w:fldCharType="begin"/>
      </w:r>
      <w:r w:rsidR="00CC4F39" w:rsidRPr="0087794A">
        <w:rPr>
          <w:rFonts w:asciiTheme="majorHAnsi" w:hAnsiTheme="majorHAnsi"/>
        </w:rPr>
        <w:instrText xml:space="preserve"> REF _Ref113633839 \h  \* MERGEFORMAT </w:instrText>
      </w:r>
      <w:r w:rsidR="00CC4F39" w:rsidRPr="0087794A">
        <w:rPr>
          <w:rFonts w:asciiTheme="majorHAnsi" w:hAnsiTheme="majorHAnsi"/>
        </w:rPr>
      </w:r>
      <w:r w:rsidR="00CC4F39" w:rsidRPr="0087794A">
        <w:rPr>
          <w:rFonts w:asciiTheme="majorHAnsi" w:hAnsiTheme="majorHAnsi"/>
        </w:rPr>
        <w:fldChar w:fldCharType="end"/>
      </w:r>
      <w:r w:rsidRPr="00A33AE8">
        <w:rPr>
          <w:rFonts w:asciiTheme="majorHAnsi" w:hAnsiTheme="majorHAnsi"/>
        </w:rPr>
        <w:t>, the share of RES in gross electricity consumption was increased over 2010-</w:t>
      </w:r>
      <w:r w:rsidRPr="00A33AE8">
        <w:rPr>
          <w:rFonts w:asciiTheme="majorHAnsi" w:hAnsiTheme="majorHAnsi" w:cstheme="majorHAnsi"/>
        </w:rPr>
        <w:t>20</w:t>
      </w:r>
      <w:r w:rsidR="0008067A" w:rsidRPr="00A33AE8">
        <w:rPr>
          <w:rFonts w:asciiTheme="majorHAnsi" w:hAnsiTheme="majorHAnsi" w:cstheme="majorHAnsi"/>
        </w:rPr>
        <w:t>20</w:t>
      </w:r>
      <w:r w:rsidRPr="00A33AE8">
        <w:rPr>
          <w:rFonts w:asciiTheme="majorHAnsi" w:hAnsiTheme="majorHAnsi"/>
        </w:rPr>
        <w:t xml:space="preserve"> from </w:t>
      </w:r>
      <w:r w:rsidR="005D12C1" w:rsidRPr="00A33AE8">
        <w:rPr>
          <w:rFonts w:asciiTheme="majorHAnsi" w:hAnsiTheme="majorHAnsi"/>
        </w:rPr>
        <w:t>28</w:t>
      </w:r>
      <w:r w:rsidRPr="00A33AE8">
        <w:rPr>
          <w:rFonts w:asciiTheme="majorHAnsi" w:hAnsiTheme="majorHAnsi"/>
        </w:rPr>
        <w:t>% in 2010 to</w:t>
      </w:r>
      <w:r w:rsidR="007B4938" w:rsidRPr="00A33AE8">
        <w:rPr>
          <w:rFonts w:asciiTheme="majorHAnsi" w:hAnsiTheme="majorHAnsi" w:cstheme="majorHAnsi"/>
        </w:rPr>
        <w:t xml:space="preserve"> 31</w:t>
      </w:r>
      <w:r w:rsidRPr="00A33AE8">
        <w:rPr>
          <w:rFonts w:asciiTheme="majorHAnsi" w:hAnsiTheme="majorHAnsi"/>
        </w:rPr>
        <w:t xml:space="preserve">% in </w:t>
      </w:r>
      <w:r w:rsidRPr="00A33AE8">
        <w:rPr>
          <w:rFonts w:asciiTheme="majorHAnsi" w:hAnsiTheme="majorHAnsi" w:cstheme="majorHAnsi"/>
        </w:rPr>
        <w:t>20</w:t>
      </w:r>
      <w:r w:rsidR="0008067A" w:rsidRPr="00A33AE8">
        <w:rPr>
          <w:rFonts w:asciiTheme="majorHAnsi" w:hAnsiTheme="majorHAnsi" w:cstheme="majorHAnsi"/>
        </w:rPr>
        <w:t>20</w:t>
      </w:r>
      <w:r w:rsidRPr="00A33AE8">
        <w:rPr>
          <w:rFonts w:asciiTheme="majorHAnsi" w:hAnsiTheme="majorHAnsi"/>
        </w:rPr>
        <w:t xml:space="preserve">, while the share of energy from RES as a percentage of gross final energy consumption also increased from 19.8% in 2010 to </w:t>
      </w:r>
      <w:r w:rsidR="007B4938" w:rsidRPr="00A33AE8">
        <w:rPr>
          <w:rFonts w:asciiTheme="majorHAnsi" w:hAnsiTheme="majorHAnsi" w:cstheme="majorHAnsi"/>
        </w:rPr>
        <w:t>26.3</w:t>
      </w:r>
      <w:r w:rsidRPr="00A33AE8">
        <w:rPr>
          <w:rFonts w:asciiTheme="majorHAnsi" w:hAnsiTheme="majorHAnsi"/>
        </w:rPr>
        <w:t xml:space="preserve">% in </w:t>
      </w:r>
      <w:r w:rsidRPr="00A33AE8">
        <w:rPr>
          <w:rFonts w:asciiTheme="majorHAnsi" w:hAnsiTheme="majorHAnsi" w:cstheme="majorHAnsi"/>
        </w:rPr>
        <w:t>20</w:t>
      </w:r>
      <w:r w:rsidR="0008067A" w:rsidRPr="00A33AE8">
        <w:rPr>
          <w:rFonts w:asciiTheme="majorHAnsi" w:hAnsiTheme="majorHAnsi" w:cstheme="majorHAnsi"/>
        </w:rPr>
        <w:t>20</w:t>
      </w:r>
      <w:r w:rsidRPr="00A33AE8">
        <w:rPr>
          <w:rFonts w:asciiTheme="majorHAnsi" w:hAnsiTheme="majorHAnsi"/>
        </w:rPr>
        <w:t>.</w:t>
      </w:r>
    </w:p>
    <w:p w14:paraId="2B6B1D89" w14:textId="554AFDA4" w:rsidR="00CE52D4" w:rsidRDefault="00CE52D4" w:rsidP="0087794A">
      <w:pPr>
        <w:pStyle w:val="Caption"/>
        <w:keepNext/>
      </w:pPr>
      <w:bookmarkStart w:id="238" w:name="_Ref153545243"/>
      <w:bookmarkStart w:id="239" w:name="_Toc154575222"/>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15</w:t>
      </w:r>
      <w:r w:rsidR="006E0533">
        <w:rPr>
          <w:noProof/>
        </w:rPr>
        <w:fldChar w:fldCharType="end"/>
      </w:r>
      <w:bookmarkEnd w:id="238"/>
      <w:r>
        <w:t xml:space="preserve">: </w:t>
      </w:r>
      <w:r w:rsidRPr="00CE52D4">
        <w:t>Shares of energy from RES over 2010-2020 (Source: Eurostat, 2023)</w:t>
      </w:r>
      <w:bookmarkEnd w:id="239"/>
    </w:p>
    <w:p w14:paraId="31FDE9FC" w14:textId="77777777" w:rsidR="006D48D9" w:rsidRPr="00A33AE8" w:rsidRDefault="0008067A" w:rsidP="006D48D9">
      <w:pPr>
        <w:keepNext/>
        <w:jc w:val="center"/>
      </w:pPr>
      <w:r w:rsidRPr="000007D2">
        <w:rPr>
          <w:noProof/>
          <w:lang w:val="en-US"/>
        </w:rPr>
        <w:drawing>
          <wp:inline distT="0" distB="0" distL="0" distR="0" wp14:anchorId="4ACC30EA" wp14:editId="167D5FDF">
            <wp:extent cx="4615180" cy="2682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5180" cy="2682240"/>
                    </a:xfrm>
                    <a:prstGeom prst="rect">
                      <a:avLst/>
                    </a:prstGeom>
                    <a:noFill/>
                  </pic:spPr>
                </pic:pic>
              </a:graphicData>
            </a:graphic>
          </wp:inline>
        </w:drawing>
      </w:r>
    </w:p>
    <w:p w14:paraId="75064647" w14:textId="77777777" w:rsidR="00506B97" w:rsidRPr="00A33AE8" w:rsidRDefault="00506B97" w:rsidP="00884F3B">
      <w:pPr>
        <w:pStyle w:val="Heading4"/>
        <w:numPr>
          <w:ilvl w:val="0"/>
          <w:numId w:val="29"/>
        </w:numPr>
      </w:pPr>
      <w:r w:rsidRPr="00A33AE8">
        <w:t>Projections of development with existing policies and measures at least until 2040 (including for the year 2030)</w:t>
      </w:r>
    </w:p>
    <w:p w14:paraId="0CC31AEA" w14:textId="122D4CF6" w:rsidR="006D48D9" w:rsidRPr="00A33AE8" w:rsidRDefault="006D48D9" w:rsidP="006D48D9">
      <w:pPr>
        <w:pStyle w:val="LDKbody"/>
        <w:rPr>
          <w:rFonts w:asciiTheme="majorHAnsi" w:hAnsiTheme="majorHAnsi" w:cstheme="majorHAnsi"/>
          <w:lang w:val="en-GB"/>
        </w:rPr>
      </w:pPr>
      <w:r w:rsidRPr="00A33AE8">
        <w:rPr>
          <w:rFonts w:asciiTheme="majorHAnsi" w:hAnsiTheme="majorHAnsi" w:cstheme="majorHAnsi"/>
          <w:lang w:val="en-GB"/>
        </w:rPr>
        <w:t xml:space="preserve">The share of RES in the gross final energy consumption (according to the Directive 2009/28/EC </w:t>
      </w:r>
      <w:hyperlink r:id="rId42" w:tgtFrame="_blank" w:history="1">
        <w:r w:rsidRPr="00A33AE8">
          <w:rPr>
            <w:rStyle w:val="Hyperlink"/>
            <w:rFonts w:asciiTheme="majorHAnsi" w:hAnsiTheme="majorHAnsi" w:cstheme="majorHAnsi"/>
            <w:color w:val="auto"/>
            <w:u w:val="none"/>
            <w:lang w:val="en-GB"/>
          </w:rPr>
          <w:t>on the promotion of the use of energy from renewable</w:t>
        </w:r>
      </w:hyperlink>
      <w:r w:rsidRPr="00A33AE8">
        <w:rPr>
          <w:rFonts w:asciiTheme="majorHAnsi" w:hAnsiTheme="majorHAnsi" w:cstheme="majorHAnsi"/>
          <w:lang w:val="en-GB"/>
        </w:rPr>
        <w:t xml:space="preserve"> energy sources) is expected to remain relatively constant between </w:t>
      </w:r>
      <w:r w:rsidR="003A357C" w:rsidRPr="00A33AE8">
        <w:rPr>
          <w:rFonts w:asciiTheme="majorHAnsi" w:hAnsiTheme="majorHAnsi" w:cstheme="majorHAnsi"/>
          <w:lang w:val="en-GB"/>
        </w:rPr>
        <w:t>202</w:t>
      </w:r>
      <w:r w:rsidR="00826B1A" w:rsidRPr="00A33AE8">
        <w:rPr>
          <w:rFonts w:asciiTheme="majorHAnsi" w:hAnsiTheme="majorHAnsi" w:cstheme="majorHAnsi"/>
          <w:lang w:val="en-GB"/>
        </w:rPr>
        <w:t>0</w:t>
      </w:r>
      <w:r w:rsidR="003A357C" w:rsidRPr="00A33AE8">
        <w:rPr>
          <w:rFonts w:asciiTheme="majorHAnsi" w:hAnsiTheme="majorHAnsi" w:cstheme="majorHAnsi"/>
          <w:lang w:val="en-GB"/>
        </w:rPr>
        <w:t xml:space="preserve"> </w:t>
      </w:r>
      <w:r w:rsidRPr="00A33AE8">
        <w:rPr>
          <w:rFonts w:asciiTheme="majorHAnsi" w:hAnsiTheme="majorHAnsi" w:cstheme="majorHAnsi"/>
          <w:lang w:val="en-GB"/>
        </w:rPr>
        <w:t xml:space="preserve">and </w:t>
      </w:r>
      <w:r w:rsidR="003A357C" w:rsidRPr="00A33AE8">
        <w:rPr>
          <w:rFonts w:asciiTheme="majorHAnsi" w:hAnsiTheme="majorHAnsi" w:cstheme="majorHAnsi"/>
          <w:lang w:val="en-GB"/>
        </w:rPr>
        <w:t>2050</w:t>
      </w:r>
      <w:r w:rsidRPr="00A33AE8">
        <w:rPr>
          <w:rFonts w:asciiTheme="majorHAnsi" w:hAnsiTheme="majorHAnsi" w:cstheme="majorHAnsi"/>
          <w:lang w:val="en-GB"/>
        </w:rPr>
        <w:t xml:space="preserve">, ranging from </w:t>
      </w:r>
      <w:r w:rsidR="005B31E0" w:rsidRPr="00A33AE8">
        <w:rPr>
          <w:rFonts w:asciiTheme="majorHAnsi" w:hAnsiTheme="majorHAnsi" w:cstheme="majorHAnsi"/>
          <w:lang w:val="en-GB"/>
        </w:rPr>
        <w:t xml:space="preserve">26% </w:t>
      </w:r>
      <w:r w:rsidRPr="00A33AE8">
        <w:rPr>
          <w:rFonts w:asciiTheme="majorHAnsi" w:hAnsiTheme="majorHAnsi" w:cstheme="majorHAnsi"/>
          <w:lang w:val="en-GB"/>
        </w:rPr>
        <w:t xml:space="preserve">in </w:t>
      </w:r>
      <w:r w:rsidR="003A357C" w:rsidRPr="00A33AE8">
        <w:rPr>
          <w:rFonts w:asciiTheme="majorHAnsi" w:hAnsiTheme="majorHAnsi" w:cstheme="majorHAnsi"/>
          <w:lang w:val="en-GB"/>
        </w:rPr>
        <w:t>202</w:t>
      </w:r>
      <w:r w:rsidR="00826B1A" w:rsidRPr="00A33AE8">
        <w:rPr>
          <w:rFonts w:asciiTheme="majorHAnsi" w:hAnsiTheme="majorHAnsi" w:cstheme="majorHAnsi"/>
          <w:lang w:val="en-GB"/>
        </w:rPr>
        <w:t>0</w:t>
      </w:r>
      <w:r w:rsidRPr="00A33AE8">
        <w:rPr>
          <w:rFonts w:asciiTheme="majorHAnsi" w:hAnsiTheme="majorHAnsi" w:cstheme="majorHAnsi"/>
          <w:lang w:val="en-GB"/>
        </w:rPr>
        <w:t xml:space="preserve"> to</w:t>
      </w:r>
      <w:r w:rsidR="00826B1A" w:rsidRPr="00A33AE8">
        <w:rPr>
          <w:rFonts w:asciiTheme="majorHAnsi" w:hAnsiTheme="majorHAnsi" w:cstheme="majorHAnsi"/>
          <w:lang w:val="en-GB"/>
        </w:rPr>
        <w:t xml:space="preserve"> 27</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 xml:space="preserve">in </w:t>
      </w:r>
      <w:r w:rsidR="003A357C" w:rsidRPr="00A33AE8">
        <w:rPr>
          <w:rFonts w:asciiTheme="majorHAnsi" w:hAnsiTheme="majorHAnsi" w:cstheme="majorHAnsi"/>
          <w:lang w:val="en-GB"/>
        </w:rPr>
        <w:t>2050</w:t>
      </w:r>
      <w:r w:rsidRPr="00A33AE8">
        <w:rPr>
          <w:rFonts w:asciiTheme="majorHAnsi" w:hAnsiTheme="majorHAnsi" w:cstheme="majorHAnsi"/>
          <w:lang w:val="en-GB"/>
        </w:rPr>
        <w:t xml:space="preserve">, while a </w:t>
      </w:r>
      <w:r w:rsidR="00FC3310" w:rsidRPr="00A33AE8">
        <w:rPr>
          <w:rFonts w:asciiTheme="majorHAnsi" w:hAnsiTheme="majorHAnsi" w:cstheme="majorHAnsi"/>
          <w:lang w:val="en-GB"/>
        </w:rPr>
        <w:t xml:space="preserve">temporary </w:t>
      </w:r>
      <w:r w:rsidR="0047578A" w:rsidRPr="00A33AE8">
        <w:rPr>
          <w:rFonts w:asciiTheme="majorHAnsi" w:hAnsiTheme="majorHAnsi" w:cstheme="majorHAnsi"/>
          <w:lang w:val="en-GB"/>
        </w:rPr>
        <w:t xml:space="preserve">decrease </w:t>
      </w:r>
      <w:r w:rsidRPr="00A33AE8">
        <w:rPr>
          <w:rFonts w:asciiTheme="majorHAnsi" w:hAnsiTheme="majorHAnsi" w:cstheme="majorHAnsi"/>
          <w:lang w:val="en-GB"/>
        </w:rPr>
        <w:t>is expected between</w:t>
      </w:r>
      <w:r w:rsidR="0047578A" w:rsidRPr="00A33AE8">
        <w:rPr>
          <w:rFonts w:asciiTheme="majorHAnsi" w:hAnsiTheme="majorHAnsi" w:cstheme="majorHAnsi"/>
          <w:lang w:val="en-GB"/>
        </w:rPr>
        <w:t xml:space="preserve"> </w:t>
      </w:r>
      <w:r w:rsidR="005B31E0" w:rsidRPr="00A33AE8">
        <w:rPr>
          <w:rFonts w:asciiTheme="majorHAnsi" w:hAnsiTheme="majorHAnsi" w:cstheme="majorHAnsi"/>
          <w:lang w:val="en-GB"/>
        </w:rPr>
        <w:t>20</w:t>
      </w:r>
      <w:r w:rsidR="00826B1A" w:rsidRPr="00A33AE8">
        <w:rPr>
          <w:rFonts w:asciiTheme="majorHAnsi" w:hAnsiTheme="majorHAnsi" w:cstheme="majorHAnsi"/>
          <w:lang w:val="en-GB"/>
        </w:rPr>
        <w:t>3</w:t>
      </w:r>
      <w:r w:rsidR="005B31E0" w:rsidRPr="00A33AE8">
        <w:rPr>
          <w:rFonts w:asciiTheme="majorHAnsi" w:hAnsiTheme="majorHAnsi" w:cstheme="majorHAnsi"/>
          <w:lang w:val="en-GB"/>
        </w:rPr>
        <w:t>0 and</w:t>
      </w:r>
      <w:r w:rsidR="0047578A" w:rsidRPr="00A33AE8">
        <w:rPr>
          <w:rFonts w:asciiTheme="majorHAnsi" w:hAnsiTheme="majorHAnsi" w:cstheme="majorHAnsi"/>
          <w:lang w:val="en-GB"/>
        </w:rPr>
        <w:t xml:space="preserve"> 2045</w:t>
      </w:r>
      <w:r w:rsidRPr="00A33AE8">
        <w:rPr>
          <w:rFonts w:asciiTheme="majorHAnsi" w:hAnsiTheme="majorHAnsi" w:cstheme="majorHAnsi"/>
          <w:lang w:val="en-GB"/>
        </w:rPr>
        <w:t xml:space="preserve"> (from </w:t>
      </w:r>
      <w:r w:rsidR="00826B1A" w:rsidRPr="00A33AE8">
        <w:rPr>
          <w:rFonts w:asciiTheme="majorHAnsi" w:hAnsiTheme="majorHAnsi" w:cstheme="majorHAnsi"/>
          <w:lang w:val="en-GB"/>
        </w:rPr>
        <w:t>27</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 xml:space="preserve">in </w:t>
      </w:r>
      <w:r w:rsidR="005B31E0" w:rsidRPr="00A33AE8">
        <w:rPr>
          <w:rFonts w:asciiTheme="majorHAnsi" w:hAnsiTheme="majorHAnsi" w:cstheme="majorHAnsi"/>
          <w:lang w:val="en-GB"/>
        </w:rPr>
        <w:t>203</w:t>
      </w:r>
      <w:r w:rsidR="00826B1A" w:rsidRPr="00A33AE8">
        <w:rPr>
          <w:rFonts w:asciiTheme="majorHAnsi" w:hAnsiTheme="majorHAnsi" w:cstheme="majorHAnsi"/>
          <w:lang w:val="en-GB"/>
        </w:rPr>
        <w:t>0</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 xml:space="preserve">to </w:t>
      </w:r>
      <w:r w:rsidR="005B31E0" w:rsidRPr="00A33AE8">
        <w:rPr>
          <w:rFonts w:asciiTheme="majorHAnsi" w:hAnsiTheme="majorHAnsi" w:cstheme="majorHAnsi"/>
          <w:lang w:val="en-GB"/>
        </w:rPr>
        <w:t xml:space="preserve">24% </w:t>
      </w:r>
      <w:r w:rsidRPr="00A33AE8">
        <w:rPr>
          <w:rFonts w:asciiTheme="majorHAnsi" w:hAnsiTheme="majorHAnsi" w:cstheme="majorHAnsi"/>
          <w:lang w:val="en-GB"/>
        </w:rPr>
        <w:t>in</w:t>
      </w:r>
      <w:r w:rsidR="005B31E0" w:rsidRPr="00A33AE8">
        <w:rPr>
          <w:rFonts w:asciiTheme="majorHAnsi" w:hAnsiTheme="majorHAnsi" w:cstheme="majorHAnsi"/>
          <w:lang w:val="en-GB"/>
        </w:rPr>
        <w:t xml:space="preserve"> </w:t>
      </w:r>
      <w:r w:rsidR="0047578A" w:rsidRPr="00A33AE8">
        <w:rPr>
          <w:rFonts w:asciiTheme="majorHAnsi" w:hAnsiTheme="majorHAnsi" w:cstheme="majorHAnsi"/>
          <w:lang w:val="en-GB"/>
        </w:rPr>
        <w:t>2045</w:t>
      </w:r>
      <w:r w:rsidRPr="00A33AE8">
        <w:rPr>
          <w:rFonts w:asciiTheme="majorHAnsi" w:hAnsiTheme="majorHAnsi" w:cstheme="majorHAnsi"/>
          <w:lang w:val="en-GB"/>
        </w:rPr>
        <w:t xml:space="preserve">), as presented in </w:t>
      </w:r>
      <w:r w:rsidR="00CC4F39" w:rsidRPr="000007D2">
        <w:rPr>
          <w:lang w:val="en-GB"/>
        </w:rPr>
        <w:fldChar w:fldCharType="begin"/>
      </w:r>
      <w:r w:rsidR="00CC4F39" w:rsidRPr="000007D2">
        <w:rPr>
          <w:lang w:val="en-GB"/>
        </w:rPr>
        <w:instrText xml:space="preserve"> REF _Ref113633875 \h  \* MERGEFORMAT </w:instrText>
      </w:r>
      <w:r w:rsidR="00CC4F39" w:rsidRPr="000007D2">
        <w:rPr>
          <w:lang w:val="en-GB"/>
        </w:rPr>
      </w:r>
      <w:r w:rsidR="00CC4F39" w:rsidRPr="000007D2">
        <w:rPr>
          <w:lang w:val="en-GB"/>
        </w:rPr>
        <w:fldChar w:fldCharType="separate"/>
      </w:r>
      <w:r w:rsidR="00CC4F39" w:rsidRPr="00A33AE8">
        <w:rPr>
          <w:rFonts w:asciiTheme="majorHAnsi" w:hAnsiTheme="majorHAnsi" w:cstheme="majorHAnsi"/>
          <w:lang w:val="en-GB"/>
        </w:rPr>
        <w:t>Figure 4.1</w:t>
      </w:r>
      <w:r w:rsidR="00CC4F39">
        <w:rPr>
          <w:rFonts w:asciiTheme="majorHAnsi" w:hAnsiTheme="majorHAnsi" w:cstheme="majorHAnsi"/>
          <w:lang w:val="en-GB"/>
        </w:rPr>
        <w:t>6</w:t>
      </w:r>
      <w:r w:rsidR="00CC4F39" w:rsidRPr="000007D2">
        <w:rPr>
          <w:lang w:val="en-GB"/>
        </w:rPr>
        <w:fldChar w:fldCharType="end"/>
      </w:r>
      <w:r w:rsidRPr="00A33AE8">
        <w:rPr>
          <w:rFonts w:asciiTheme="majorHAnsi" w:hAnsiTheme="majorHAnsi" w:cstheme="majorHAnsi"/>
          <w:lang w:val="en-GB"/>
        </w:rPr>
        <w:t>.</w:t>
      </w:r>
    </w:p>
    <w:p w14:paraId="0A48E9D3" w14:textId="43DF5E9F" w:rsidR="006D48D9" w:rsidRPr="00A33AE8" w:rsidRDefault="006D48D9" w:rsidP="006D48D9">
      <w:pPr>
        <w:pStyle w:val="Caption"/>
        <w:rPr>
          <w:lang w:eastAsia="el-GR"/>
        </w:rPr>
      </w:pPr>
      <w:bookmarkStart w:id="240" w:name="_Ref113633875"/>
      <w:bookmarkStart w:id="241" w:name="_Toc118992284"/>
      <w:bookmarkStart w:id="242" w:name="_Toc154575223"/>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16</w:t>
      </w:r>
      <w:r w:rsidR="00B62877">
        <w:rPr>
          <w:lang w:eastAsia="el-GR"/>
        </w:rPr>
        <w:fldChar w:fldCharType="end"/>
      </w:r>
      <w:bookmarkEnd w:id="240"/>
      <w:r w:rsidRPr="00A33AE8">
        <w:rPr>
          <w:lang w:eastAsia="el-GR"/>
        </w:rPr>
        <w:t>: Share of RES in gross final energy consumption over 20</w:t>
      </w:r>
      <w:r w:rsidR="0096697A" w:rsidRPr="00A33AE8">
        <w:rPr>
          <w:lang w:eastAsia="el-GR"/>
        </w:rPr>
        <w:t>20</w:t>
      </w:r>
      <w:r w:rsidRPr="00A33AE8">
        <w:rPr>
          <w:lang w:eastAsia="el-GR"/>
        </w:rPr>
        <w:t>-2050</w:t>
      </w:r>
      <w:bookmarkEnd w:id="241"/>
      <w:r w:rsidR="00B55F92">
        <w:rPr>
          <w:lang w:eastAsia="el-GR"/>
        </w:rPr>
        <w:t xml:space="preserve"> </w:t>
      </w:r>
      <w:r w:rsidR="00C176B4">
        <w:rPr>
          <w:lang w:eastAsia="el-GR"/>
        </w:rPr>
        <w:t xml:space="preserve">in the scenario </w:t>
      </w:r>
      <w:r w:rsidR="00B55F92" w:rsidRPr="00B55F92">
        <w:rPr>
          <w:lang w:eastAsia="el-GR"/>
        </w:rPr>
        <w:t>with existing measures (WEM)</w:t>
      </w:r>
      <w:bookmarkEnd w:id="242"/>
    </w:p>
    <w:p w14:paraId="2A3EE97E" w14:textId="77777777" w:rsidR="005B31E0" w:rsidRPr="00A33AE8" w:rsidRDefault="006B0A65" w:rsidP="005B31E0">
      <w:pPr>
        <w:jc w:val="center"/>
        <w:rPr>
          <w:lang w:eastAsia="el-GR"/>
        </w:rPr>
      </w:pPr>
      <w:r w:rsidRPr="000007D2">
        <w:rPr>
          <w:noProof/>
          <w:lang w:val="en-US"/>
        </w:rPr>
        <mc:AlternateContent>
          <mc:Choice Requires="wps">
            <w:drawing>
              <wp:anchor distT="0" distB="0" distL="114300" distR="114300" simplePos="0" relativeHeight="251673600" behindDoc="0" locked="0" layoutInCell="1" allowOverlap="1" wp14:anchorId="0964CE81" wp14:editId="7B52EBAC">
                <wp:simplePos x="0" y="0"/>
                <wp:positionH relativeFrom="column">
                  <wp:posOffset>1117336</wp:posOffset>
                </wp:positionH>
                <wp:positionV relativeFrom="paragraph">
                  <wp:posOffset>254803</wp:posOffset>
                </wp:positionV>
                <wp:extent cx="2613804" cy="2173365"/>
                <wp:effectExtent l="0" t="0" r="0" b="0"/>
                <wp:wrapNone/>
                <wp:docPr id="1446753443" name="Text Box 1446753443"/>
                <wp:cNvGraphicFramePr/>
                <a:graphic xmlns:a="http://schemas.openxmlformats.org/drawingml/2006/main">
                  <a:graphicData uri="http://schemas.microsoft.com/office/word/2010/wordprocessingShape">
                    <wps:wsp>
                      <wps:cNvSpPr txBox="1"/>
                      <wps:spPr>
                        <a:xfrm>
                          <a:off x="0" y="0"/>
                          <a:ext cx="2613804" cy="2173365"/>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DC7D74" id="Text Box 1446753443" o:spid="_x0000_s1026" type="#_x0000_t202" style="position:absolute;margin-left:88pt;margin-top:20.05pt;width:205.8pt;height:17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" fillcolor="#a5a5a5 [2092]" stroked="f">
                <v:fill opacity="32896f"/>
              </v:shape>
            </w:pict>
          </mc:Fallback>
        </mc:AlternateContent>
      </w:r>
      <w:r w:rsidR="00826B1A" w:rsidRPr="000007D2">
        <w:rPr>
          <w:noProof/>
          <w:lang w:val="en-US"/>
        </w:rPr>
        <w:drawing>
          <wp:inline distT="0" distB="0" distL="0" distR="0" wp14:anchorId="37282A42" wp14:editId="1AE9FAB9">
            <wp:extent cx="5493682" cy="298969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4627" cy="3006530"/>
                    </a:xfrm>
                    <a:prstGeom prst="rect">
                      <a:avLst/>
                    </a:prstGeom>
                    <a:noFill/>
                  </pic:spPr>
                </pic:pic>
              </a:graphicData>
            </a:graphic>
          </wp:inline>
        </w:drawing>
      </w:r>
    </w:p>
    <w:p w14:paraId="4A905632" w14:textId="354DCAC9" w:rsidR="00511AE1" w:rsidRPr="00A33AE8" w:rsidRDefault="006D48D9" w:rsidP="006D48D9">
      <w:pPr>
        <w:pStyle w:val="LDKbody"/>
        <w:rPr>
          <w:rFonts w:asciiTheme="majorHAnsi" w:hAnsiTheme="majorHAnsi" w:cstheme="majorHAnsi"/>
          <w:lang w:val="en-GB"/>
        </w:rPr>
      </w:pPr>
      <w:r w:rsidRPr="00A33AE8">
        <w:rPr>
          <w:rFonts w:asciiTheme="majorHAnsi" w:hAnsiTheme="majorHAnsi" w:cstheme="majorHAnsi"/>
          <w:lang w:val="en-GB"/>
        </w:rPr>
        <w:t xml:space="preserve">As shown in </w:t>
      </w:r>
      <w:r w:rsidR="00CE52D4">
        <w:rPr>
          <w:rFonts w:asciiTheme="majorHAnsi" w:hAnsiTheme="majorHAnsi" w:cstheme="majorHAnsi"/>
          <w:lang w:val="en-GB"/>
        </w:rPr>
        <w:fldChar w:fldCharType="begin"/>
      </w:r>
      <w:r w:rsidR="00CE52D4">
        <w:rPr>
          <w:rFonts w:asciiTheme="majorHAnsi" w:hAnsiTheme="majorHAnsi" w:cstheme="majorHAnsi"/>
          <w:lang w:val="en-GB"/>
        </w:rPr>
        <w:instrText xml:space="preserve"> REF _Ref153545325 \h  \* MERGEFORMAT </w:instrText>
      </w:r>
      <w:r w:rsidR="00CE52D4">
        <w:rPr>
          <w:rFonts w:asciiTheme="majorHAnsi" w:hAnsiTheme="majorHAnsi" w:cstheme="majorHAnsi"/>
          <w:lang w:val="en-GB"/>
        </w:rPr>
      </w:r>
      <w:r w:rsidR="00CE52D4">
        <w:rPr>
          <w:rFonts w:asciiTheme="majorHAnsi" w:hAnsiTheme="majorHAnsi" w:cstheme="majorHAnsi"/>
          <w:lang w:val="en-GB"/>
        </w:rPr>
        <w:fldChar w:fldCharType="separate"/>
      </w:r>
      <w:r w:rsidR="00CE52D4" w:rsidRPr="0087794A">
        <w:rPr>
          <w:rFonts w:asciiTheme="majorHAnsi" w:hAnsiTheme="majorHAnsi" w:cstheme="majorHAnsi"/>
          <w:lang w:val="en-GB"/>
        </w:rPr>
        <w:t>Figure 4.17</w:t>
      </w:r>
      <w:r w:rsidR="00CE52D4">
        <w:rPr>
          <w:rFonts w:asciiTheme="majorHAnsi" w:hAnsiTheme="majorHAnsi" w:cstheme="majorHAnsi"/>
          <w:lang w:val="en-GB"/>
        </w:rPr>
        <w:fldChar w:fldCharType="end"/>
      </w:r>
      <w:r w:rsidR="00CC4F39" w:rsidRPr="0087794A">
        <w:rPr>
          <w:rFonts w:asciiTheme="majorHAnsi" w:hAnsiTheme="majorHAnsi" w:cstheme="majorHAnsi"/>
          <w:lang w:val="en-GB"/>
        </w:rPr>
        <w:fldChar w:fldCharType="begin"/>
      </w:r>
      <w:r w:rsidR="00CC4F39" w:rsidRPr="0087794A">
        <w:rPr>
          <w:rFonts w:asciiTheme="majorHAnsi" w:hAnsiTheme="majorHAnsi" w:cstheme="majorHAnsi"/>
          <w:lang w:val="en-GB"/>
        </w:rPr>
        <w:instrText xml:space="preserve"> REF _Ref113633891 \h  \* MERGEFORMAT </w:instrText>
      </w:r>
      <w:r w:rsidR="00CC4F39" w:rsidRPr="0087794A">
        <w:rPr>
          <w:rFonts w:asciiTheme="majorHAnsi" w:hAnsiTheme="majorHAnsi" w:cstheme="majorHAnsi"/>
          <w:lang w:val="en-GB"/>
        </w:rPr>
      </w:r>
      <w:r w:rsidR="00CC4F39" w:rsidRPr="0087794A">
        <w:rPr>
          <w:rFonts w:asciiTheme="majorHAnsi" w:hAnsiTheme="majorHAnsi" w:cstheme="majorHAnsi"/>
          <w:lang w:val="en-GB"/>
        </w:rPr>
        <w:fldChar w:fldCharType="end"/>
      </w:r>
      <w:r w:rsidRPr="00A33AE8">
        <w:rPr>
          <w:rFonts w:asciiTheme="majorHAnsi" w:hAnsiTheme="majorHAnsi" w:cstheme="majorHAnsi"/>
          <w:lang w:val="en-GB"/>
        </w:rPr>
        <w:t xml:space="preserve">, the share of RES </w:t>
      </w:r>
      <w:r w:rsidR="00A312C4" w:rsidRPr="00A33AE8">
        <w:rPr>
          <w:rFonts w:asciiTheme="majorHAnsi" w:hAnsiTheme="majorHAnsi" w:cstheme="majorHAnsi"/>
          <w:lang w:val="en-GB"/>
        </w:rPr>
        <w:t>in the total electricity production is projected to increase almost from</w:t>
      </w:r>
      <w:r w:rsidR="000F67FE" w:rsidRPr="00A33AE8">
        <w:rPr>
          <w:rFonts w:asciiTheme="majorHAnsi" w:hAnsiTheme="majorHAnsi" w:cstheme="majorHAnsi"/>
          <w:lang w:val="en-GB"/>
        </w:rPr>
        <w:t xml:space="preserve"> </w:t>
      </w:r>
      <w:r w:rsidR="0096697A" w:rsidRPr="00A33AE8">
        <w:rPr>
          <w:rFonts w:asciiTheme="majorHAnsi" w:hAnsiTheme="majorHAnsi" w:cstheme="majorHAnsi"/>
          <w:lang w:val="en-GB"/>
        </w:rPr>
        <w:t>27</w:t>
      </w:r>
      <w:r w:rsidRPr="00A33AE8">
        <w:rPr>
          <w:rFonts w:asciiTheme="majorHAnsi" w:hAnsiTheme="majorHAnsi" w:cstheme="majorHAnsi"/>
          <w:lang w:val="en-GB"/>
        </w:rPr>
        <w:t>% in 20</w:t>
      </w:r>
      <w:r w:rsidR="0096697A"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6C76BD" w:rsidRPr="00A33AE8">
        <w:rPr>
          <w:rFonts w:asciiTheme="majorHAnsi" w:hAnsiTheme="majorHAnsi" w:cstheme="majorHAnsi"/>
          <w:lang w:val="en-GB"/>
        </w:rPr>
        <w:t>38%</w:t>
      </w:r>
      <w:r w:rsidRPr="00A33AE8">
        <w:rPr>
          <w:rFonts w:asciiTheme="majorHAnsi" w:hAnsiTheme="majorHAnsi" w:cstheme="majorHAnsi"/>
          <w:lang w:val="en-GB"/>
        </w:rPr>
        <w:t xml:space="preserve"> in 2050</w:t>
      </w:r>
      <w:r w:rsidR="00DF4538" w:rsidRPr="00A33AE8">
        <w:rPr>
          <w:rFonts w:asciiTheme="majorHAnsi" w:hAnsiTheme="majorHAnsi" w:cstheme="majorHAnsi"/>
          <w:lang w:val="en-GB"/>
        </w:rPr>
        <w:t xml:space="preserve"> indicating the contribution of the existing policies and measures</w:t>
      </w:r>
      <w:r w:rsidR="00FC3310" w:rsidRPr="00A33AE8">
        <w:rPr>
          <w:rFonts w:asciiTheme="majorHAnsi" w:hAnsiTheme="majorHAnsi" w:cstheme="majorHAnsi"/>
          <w:lang w:val="en-GB"/>
        </w:rPr>
        <w:t xml:space="preserve">. Nevertheless, the penetration of RES will remain </w:t>
      </w:r>
      <w:r w:rsidR="000578D5" w:rsidRPr="00A33AE8">
        <w:rPr>
          <w:rFonts w:asciiTheme="majorHAnsi" w:hAnsiTheme="majorHAnsi" w:cstheme="majorHAnsi"/>
          <w:lang w:val="en-GB"/>
        </w:rPr>
        <w:t>relatively</w:t>
      </w:r>
      <w:r w:rsidR="00FC3310" w:rsidRPr="00A33AE8">
        <w:rPr>
          <w:rFonts w:asciiTheme="majorHAnsi" w:hAnsiTheme="majorHAnsi" w:cstheme="majorHAnsi"/>
          <w:lang w:val="en-GB"/>
        </w:rPr>
        <w:t xml:space="preserve"> stable </w:t>
      </w:r>
      <w:r w:rsidR="00DF4538" w:rsidRPr="00A33AE8">
        <w:rPr>
          <w:rFonts w:asciiTheme="majorHAnsi" w:hAnsiTheme="majorHAnsi" w:cstheme="majorHAnsi"/>
          <w:lang w:val="en-GB"/>
        </w:rPr>
        <w:t xml:space="preserve">approximately </w:t>
      </w:r>
      <w:r w:rsidR="00FC3310" w:rsidRPr="00A33AE8">
        <w:rPr>
          <w:rFonts w:asciiTheme="majorHAnsi" w:hAnsiTheme="majorHAnsi" w:cstheme="majorHAnsi"/>
          <w:lang w:val="en-GB"/>
        </w:rPr>
        <w:t>at 30% on average</w:t>
      </w:r>
      <w:r w:rsidR="0096697A" w:rsidRPr="00A33AE8">
        <w:rPr>
          <w:rFonts w:asciiTheme="majorHAnsi" w:hAnsiTheme="majorHAnsi" w:cstheme="majorHAnsi"/>
          <w:lang w:val="en-GB"/>
        </w:rPr>
        <w:t xml:space="preserve"> over 2025-</w:t>
      </w:r>
      <w:r w:rsidR="006C76BD" w:rsidRPr="00A33AE8">
        <w:rPr>
          <w:rFonts w:asciiTheme="majorHAnsi" w:hAnsiTheme="majorHAnsi" w:cstheme="majorHAnsi"/>
          <w:lang w:val="en-GB"/>
        </w:rPr>
        <w:t>2045</w:t>
      </w:r>
      <w:r w:rsidRPr="00A33AE8">
        <w:rPr>
          <w:rFonts w:asciiTheme="majorHAnsi" w:hAnsiTheme="majorHAnsi" w:cstheme="majorHAnsi"/>
          <w:lang w:val="en-GB"/>
        </w:rPr>
        <w:t>.</w:t>
      </w:r>
    </w:p>
    <w:p w14:paraId="40F86342" w14:textId="6F1A8EFE" w:rsidR="00CE52D4" w:rsidRDefault="00CE52D4" w:rsidP="005B31E0">
      <w:pPr>
        <w:jc w:val="center"/>
      </w:pPr>
    </w:p>
    <w:p w14:paraId="1404B0FF" w14:textId="2DC60C25" w:rsidR="00CE52D4" w:rsidRDefault="00CE52D4" w:rsidP="0087794A">
      <w:pPr>
        <w:pStyle w:val="Caption"/>
        <w:keepNext/>
      </w:pPr>
      <w:bookmarkStart w:id="243" w:name="_Ref153545325"/>
      <w:bookmarkStart w:id="244" w:name="_Toc154575224"/>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17</w:t>
      </w:r>
      <w:r w:rsidR="006E0533">
        <w:rPr>
          <w:noProof/>
        </w:rPr>
        <w:fldChar w:fldCharType="end"/>
      </w:r>
      <w:bookmarkEnd w:id="243"/>
      <w:r>
        <w:t xml:space="preserve">: </w:t>
      </w:r>
      <w:r w:rsidRPr="00CE52D4">
        <w:t>Share of RES in total electricity production over 2020-2050 in the scenario with existing measures (WEM)</w:t>
      </w:r>
      <w:bookmarkEnd w:id="244"/>
    </w:p>
    <w:p w14:paraId="3E6BD257" w14:textId="68ECA08E" w:rsidR="005B31E0" w:rsidRPr="00A33AE8" w:rsidRDefault="00CE52D4" w:rsidP="005B31E0">
      <w:pPr>
        <w:jc w:val="center"/>
        <w:rPr>
          <w:lang w:eastAsia="el-GR"/>
        </w:rPr>
      </w:pPr>
      <w:r w:rsidRPr="000007D2">
        <w:rPr>
          <w:noProof/>
          <w:lang w:val="en-US"/>
        </w:rPr>
        <mc:AlternateContent>
          <mc:Choice Requires="wps">
            <w:drawing>
              <wp:anchor distT="0" distB="0" distL="114300" distR="114300" simplePos="0" relativeHeight="251675648" behindDoc="0" locked="0" layoutInCell="1" allowOverlap="1" wp14:anchorId="55BF7FEE" wp14:editId="1F179775">
                <wp:simplePos x="0" y="0"/>
                <wp:positionH relativeFrom="column">
                  <wp:posOffset>1082675</wp:posOffset>
                </wp:positionH>
                <wp:positionV relativeFrom="paragraph">
                  <wp:posOffset>251427</wp:posOffset>
                </wp:positionV>
                <wp:extent cx="2665562" cy="2260121"/>
                <wp:effectExtent l="0" t="0" r="1905" b="6985"/>
                <wp:wrapNone/>
                <wp:docPr id="1918465298" name="Text Box 1918465298"/>
                <wp:cNvGraphicFramePr/>
                <a:graphic xmlns:a="http://schemas.openxmlformats.org/drawingml/2006/main">
                  <a:graphicData uri="http://schemas.microsoft.com/office/word/2010/wordprocessingShape">
                    <wps:wsp>
                      <wps:cNvSpPr txBox="1"/>
                      <wps:spPr>
                        <a:xfrm>
                          <a:off x="0" y="0"/>
                          <a:ext cx="2665562" cy="2260121"/>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BA0F2" id="Text Box 1918465298" o:spid="_x0000_s1026" type="#_x0000_t202" style="position:absolute;margin-left:85.25pt;margin-top:19.8pt;width:209.9pt;height:17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" fillcolor="#a5a5a5 [2092]" stroked="f">
                <v:fill opacity="32896f"/>
              </v:shape>
            </w:pict>
          </mc:Fallback>
        </mc:AlternateContent>
      </w:r>
      <w:r w:rsidR="0096697A" w:rsidRPr="000007D2">
        <w:rPr>
          <w:noProof/>
          <w:lang w:val="en-US"/>
        </w:rPr>
        <w:drawing>
          <wp:inline distT="0" distB="0" distL="0" distR="0" wp14:anchorId="24B3038B" wp14:editId="029BAEB6">
            <wp:extent cx="5596752" cy="3120657"/>
            <wp:effectExtent l="0" t="0" r="444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8423" cy="3127165"/>
                    </a:xfrm>
                    <a:prstGeom prst="rect">
                      <a:avLst/>
                    </a:prstGeom>
                    <a:noFill/>
                  </pic:spPr>
                </pic:pic>
              </a:graphicData>
            </a:graphic>
          </wp:inline>
        </w:drawing>
      </w:r>
    </w:p>
    <w:p w14:paraId="17DD6996" w14:textId="51D98AC9" w:rsidR="006D48D9" w:rsidRPr="00A33AE8" w:rsidRDefault="00DF4538" w:rsidP="00CE52D4">
      <w:pPr>
        <w:pStyle w:val="LDKbody"/>
        <w:rPr>
          <w:rFonts w:asciiTheme="majorHAnsi" w:hAnsiTheme="majorHAnsi" w:cstheme="majorHAnsi"/>
          <w:lang w:val="en-GB"/>
        </w:rPr>
      </w:pPr>
      <w:r w:rsidRPr="00A33AE8">
        <w:rPr>
          <w:rFonts w:asciiTheme="majorHAnsi" w:hAnsiTheme="majorHAnsi" w:cstheme="majorHAnsi"/>
          <w:lang w:val="en-GB"/>
        </w:rPr>
        <w:t>T</w:t>
      </w:r>
      <w:r w:rsidR="006D48D9" w:rsidRPr="00A33AE8">
        <w:rPr>
          <w:rFonts w:asciiTheme="majorHAnsi" w:hAnsiTheme="majorHAnsi" w:cstheme="majorHAnsi"/>
          <w:lang w:val="en-GB"/>
        </w:rPr>
        <w:t xml:space="preserve">he total installed capacity for electricity </w:t>
      </w:r>
      <w:r w:rsidRPr="00A33AE8">
        <w:rPr>
          <w:rFonts w:asciiTheme="majorHAnsi" w:hAnsiTheme="majorHAnsi" w:cstheme="majorHAnsi"/>
          <w:lang w:val="en-GB"/>
        </w:rPr>
        <w:t xml:space="preserve">production </w:t>
      </w:r>
      <w:r w:rsidR="001B3035" w:rsidRPr="00A33AE8">
        <w:rPr>
          <w:rFonts w:asciiTheme="majorHAnsi" w:hAnsiTheme="majorHAnsi" w:cstheme="majorHAnsi"/>
          <w:lang w:val="en-GB"/>
        </w:rPr>
        <w:t xml:space="preserve">is projected to </w:t>
      </w:r>
      <w:r w:rsidRPr="00A33AE8">
        <w:rPr>
          <w:rFonts w:asciiTheme="majorHAnsi" w:hAnsiTheme="majorHAnsi" w:cstheme="majorHAnsi"/>
          <w:lang w:val="en-GB"/>
        </w:rPr>
        <w:t>increase</w:t>
      </w:r>
      <w:r w:rsidR="006D48D9" w:rsidRPr="00A33AE8">
        <w:rPr>
          <w:rFonts w:asciiTheme="majorHAnsi" w:hAnsiTheme="majorHAnsi" w:cstheme="majorHAnsi"/>
          <w:lang w:val="en-GB"/>
        </w:rPr>
        <w:t xml:space="preserve"> from </w:t>
      </w:r>
      <w:r w:rsidR="005B31E0" w:rsidRPr="00A33AE8">
        <w:rPr>
          <w:rFonts w:asciiTheme="majorHAnsi" w:hAnsiTheme="majorHAnsi" w:cstheme="majorHAnsi"/>
          <w:lang w:val="en-GB"/>
        </w:rPr>
        <w:t>8</w:t>
      </w:r>
      <w:r w:rsidR="00BB4FFD" w:rsidRPr="000007D2">
        <w:rPr>
          <w:rFonts w:asciiTheme="majorHAnsi" w:hAnsiTheme="majorHAnsi" w:cstheme="majorHAnsi"/>
          <w:lang w:val="en-GB"/>
        </w:rPr>
        <w:t>.2</w:t>
      </w:r>
      <w:r w:rsidR="005B31E0" w:rsidRPr="00A33AE8">
        <w:rPr>
          <w:rFonts w:asciiTheme="majorHAnsi" w:hAnsiTheme="majorHAnsi" w:cstheme="majorHAnsi"/>
          <w:lang w:val="en-GB"/>
        </w:rPr>
        <w:t xml:space="preserve"> </w:t>
      </w:r>
      <w:r w:rsidR="006D48D9" w:rsidRPr="00A33AE8">
        <w:rPr>
          <w:rFonts w:asciiTheme="majorHAnsi" w:hAnsiTheme="majorHAnsi" w:cstheme="majorHAnsi"/>
          <w:lang w:val="en-GB"/>
        </w:rPr>
        <w:t>GW in 20</w:t>
      </w:r>
      <w:r w:rsidR="00C42BE8" w:rsidRPr="00A33AE8">
        <w:rPr>
          <w:rFonts w:asciiTheme="majorHAnsi" w:hAnsiTheme="majorHAnsi" w:cstheme="majorHAnsi"/>
          <w:lang w:val="en-GB"/>
        </w:rPr>
        <w:t>20</w:t>
      </w:r>
      <w:r w:rsidR="00862CD9" w:rsidRPr="00A33AE8">
        <w:rPr>
          <w:rFonts w:asciiTheme="majorHAnsi" w:hAnsiTheme="majorHAnsi" w:cstheme="majorHAnsi"/>
          <w:lang w:val="en-GB"/>
        </w:rPr>
        <w:t xml:space="preserve"> and</w:t>
      </w:r>
      <w:r w:rsidR="006D48D9" w:rsidRPr="00A33AE8">
        <w:rPr>
          <w:rFonts w:asciiTheme="majorHAnsi" w:hAnsiTheme="majorHAnsi" w:cstheme="majorHAnsi"/>
          <w:lang w:val="en-GB"/>
        </w:rPr>
        <w:t xml:space="preserve"> </w:t>
      </w:r>
      <w:r w:rsidR="005B31E0" w:rsidRPr="00A33AE8">
        <w:rPr>
          <w:rFonts w:asciiTheme="majorHAnsi" w:hAnsiTheme="majorHAnsi" w:cstheme="majorHAnsi"/>
          <w:lang w:val="en-GB"/>
        </w:rPr>
        <w:t>9</w:t>
      </w:r>
      <w:r w:rsidR="00EE33F7" w:rsidRPr="00A33AE8">
        <w:rPr>
          <w:rFonts w:asciiTheme="majorHAnsi" w:hAnsiTheme="majorHAnsi" w:cstheme="majorHAnsi"/>
          <w:lang w:val="en-GB"/>
        </w:rPr>
        <w:t>.3</w:t>
      </w:r>
      <w:r w:rsidR="005B31E0" w:rsidRPr="00A33AE8">
        <w:rPr>
          <w:rFonts w:asciiTheme="majorHAnsi" w:hAnsiTheme="majorHAnsi" w:cstheme="majorHAnsi"/>
          <w:lang w:val="en-GB"/>
        </w:rPr>
        <w:t xml:space="preserve"> </w:t>
      </w:r>
      <w:r w:rsidR="00EE33F7" w:rsidRPr="00A33AE8">
        <w:rPr>
          <w:rFonts w:asciiTheme="majorHAnsi" w:hAnsiTheme="majorHAnsi" w:cstheme="majorHAnsi"/>
          <w:lang w:val="en-GB"/>
        </w:rPr>
        <w:t>GW</w:t>
      </w:r>
      <w:r w:rsidR="005B31E0" w:rsidRPr="00A33AE8">
        <w:rPr>
          <w:rFonts w:asciiTheme="majorHAnsi" w:hAnsiTheme="majorHAnsi" w:cstheme="majorHAnsi"/>
          <w:lang w:val="en-GB"/>
        </w:rPr>
        <w:t xml:space="preserve"> in </w:t>
      </w:r>
      <w:r w:rsidR="006D48D9" w:rsidRPr="00A33AE8">
        <w:rPr>
          <w:rFonts w:asciiTheme="majorHAnsi" w:hAnsiTheme="majorHAnsi" w:cstheme="majorHAnsi"/>
          <w:lang w:val="en-GB"/>
        </w:rPr>
        <w:t>2030</w:t>
      </w:r>
      <w:r w:rsidR="00862CD9" w:rsidRPr="00A33AE8">
        <w:rPr>
          <w:rFonts w:asciiTheme="majorHAnsi" w:hAnsiTheme="majorHAnsi" w:cstheme="majorHAnsi"/>
          <w:lang w:val="en-GB"/>
        </w:rPr>
        <w:t xml:space="preserve"> to</w:t>
      </w:r>
      <w:r w:rsidR="006D48D9" w:rsidRPr="00A33AE8">
        <w:rPr>
          <w:rFonts w:asciiTheme="majorHAnsi" w:hAnsiTheme="majorHAnsi" w:cstheme="majorHAnsi"/>
          <w:lang w:val="en-GB"/>
        </w:rPr>
        <w:t xml:space="preserve"> </w:t>
      </w:r>
      <w:r w:rsidR="00EE33F7" w:rsidRPr="00A33AE8">
        <w:rPr>
          <w:rFonts w:asciiTheme="majorHAnsi" w:hAnsiTheme="majorHAnsi" w:cstheme="majorHAnsi"/>
          <w:lang w:val="en-GB"/>
        </w:rPr>
        <w:t>10.4</w:t>
      </w:r>
      <w:r w:rsidR="005B31E0" w:rsidRPr="00A33AE8">
        <w:rPr>
          <w:rFonts w:asciiTheme="majorHAnsi" w:hAnsiTheme="majorHAnsi" w:cstheme="majorHAnsi"/>
          <w:lang w:val="en-GB"/>
        </w:rPr>
        <w:t xml:space="preserve"> </w:t>
      </w:r>
      <w:r w:rsidR="006D48D9" w:rsidRPr="00A33AE8">
        <w:rPr>
          <w:rFonts w:asciiTheme="majorHAnsi" w:hAnsiTheme="majorHAnsi" w:cstheme="majorHAnsi"/>
          <w:lang w:val="en-GB"/>
        </w:rPr>
        <w:t xml:space="preserve">GW in 2040 and </w:t>
      </w:r>
      <w:r w:rsidR="00862CD9" w:rsidRPr="00A33AE8">
        <w:rPr>
          <w:rFonts w:asciiTheme="majorHAnsi" w:hAnsiTheme="majorHAnsi" w:cstheme="majorHAnsi"/>
          <w:lang w:val="en-GB"/>
        </w:rPr>
        <w:t>13</w:t>
      </w:r>
      <w:r w:rsidR="00EE33F7" w:rsidRPr="00A33AE8">
        <w:rPr>
          <w:rFonts w:asciiTheme="majorHAnsi" w:hAnsiTheme="majorHAnsi" w:cstheme="majorHAnsi"/>
          <w:lang w:val="en-GB"/>
        </w:rPr>
        <w:t>.4</w:t>
      </w:r>
      <w:r w:rsidR="006D48D9" w:rsidRPr="00A33AE8">
        <w:rPr>
          <w:rFonts w:asciiTheme="majorHAnsi" w:hAnsiTheme="majorHAnsi" w:cstheme="majorHAnsi"/>
          <w:lang w:val="en-GB"/>
        </w:rPr>
        <w:t xml:space="preserve"> GW in 2050, as presented in</w:t>
      </w:r>
      <w:r w:rsidR="00CE52D4">
        <w:rPr>
          <w:rFonts w:asciiTheme="majorHAnsi" w:hAnsiTheme="majorHAnsi" w:cstheme="majorHAnsi"/>
          <w:lang w:val="en-GB"/>
        </w:rPr>
        <w:t xml:space="preserve"> </w:t>
      </w:r>
      <w:r w:rsidR="00CE52D4">
        <w:rPr>
          <w:rFonts w:asciiTheme="majorHAnsi" w:hAnsiTheme="majorHAnsi" w:cstheme="majorHAnsi"/>
          <w:lang w:val="en-GB"/>
        </w:rPr>
        <w:fldChar w:fldCharType="begin"/>
      </w:r>
      <w:r w:rsidR="00CE52D4">
        <w:rPr>
          <w:rFonts w:asciiTheme="majorHAnsi" w:hAnsiTheme="majorHAnsi" w:cstheme="majorHAnsi"/>
          <w:lang w:val="en-GB"/>
        </w:rPr>
        <w:instrText xml:space="preserve"> REF _Ref153545430 \h  \* MERGEFORMAT </w:instrText>
      </w:r>
      <w:r w:rsidR="00CE52D4">
        <w:rPr>
          <w:rFonts w:asciiTheme="majorHAnsi" w:hAnsiTheme="majorHAnsi" w:cstheme="majorHAnsi"/>
          <w:lang w:val="en-GB"/>
        </w:rPr>
      </w:r>
      <w:r w:rsidR="00CE52D4">
        <w:rPr>
          <w:rFonts w:asciiTheme="majorHAnsi" w:hAnsiTheme="majorHAnsi" w:cstheme="majorHAnsi"/>
          <w:lang w:val="en-GB"/>
        </w:rPr>
        <w:fldChar w:fldCharType="separate"/>
      </w:r>
      <w:r w:rsidR="00CE52D4" w:rsidRPr="0087794A">
        <w:rPr>
          <w:rFonts w:asciiTheme="majorHAnsi" w:hAnsiTheme="majorHAnsi" w:cstheme="majorHAnsi"/>
          <w:lang w:val="en-GB"/>
        </w:rPr>
        <w:t>Figure 4.18</w:t>
      </w:r>
      <w:r w:rsidR="00CE52D4">
        <w:rPr>
          <w:rFonts w:asciiTheme="majorHAnsi" w:hAnsiTheme="majorHAnsi" w:cstheme="majorHAnsi"/>
          <w:lang w:val="en-GB"/>
        </w:rPr>
        <w:fldChar w:fldCharType="end"/>
      </w:r>
      <w:r w:rsidR="006D48D9" w:rsidRPr="00A33AE8">
        <w:rPr>
          <w:rFonts w:asciiTheme="majorHAnsi" w:hAnsiTheme="majorHAnsi" w:cstheme="majorHAnsi"/>
          <w:lang w:val="en-GB"/>
        </w:rPr>
        <w:t>. Th</w:t>
      </w:r>
      <w:r w:rsidRPr="00A33AE8">
        <w:rPr>
          <w:rFonts w:asciiTheme="majorHAnsi" w:hAnsiTheme="majorHAnsi" w:cstheme="majorHAnsi"/>
          <w:lang w:val="en-GB"/>
        </w:rPr>
        <w:t xml:space="preserve">e expected increase </w:t>
      </w:r>
      <w:r w:rsidR="006D48D9" w:rsidRPr="00A33AE8">
        <w:rPr>
          <w:rFonts w:asciiTheme="majorHAnsi" w:hAnsiTheme="majorHAnsi" w:cstheme="majorHAnsi"/>
          <w:lang w:val="en-GB"/>
        </w:rPr>
        <w:t>is mainly attributed to the penetration of RES technologies for electricity generation, which generally have a lower utilization or capacity factor than conventional technologies and therefore require more capacity installed than conventional power plants for the same electricity production.</w:t>
      </w:r>
    </w:p>
    <w:p w14:paraId="24285E5C" w14:textId="4500556C" w:rsidR="00056FAD" w:rsidRPr="00A33AE8" w:rsidRDefault="006D48D9" w:rsidP="00CE52D4">
      <w:pPr>
        <w:pStyle w:val="LDKbody"/>
        <w:rPr>
          <w:rFonts w:asciiTheme="majorHAnsi" w:hAnsiTheme="majorHAnsi" w:cstheme="majorHAnsi"/>
          <w:lang w:val="en-GB"/>
        </w:rPr>
      </w:pPr>
      <w:r w:rsidRPr="00A33AE8">
        <w:rPr>
          <w:rFonts w:asciiTheme="majorHAnsi" w:hAnsiTheme="majorHAnsi" w:cstheme="majorHAnsi"/>
          <w:lang w:val="en-GB"/>
        </w:rPr>
        <w:t xml:space="preserve">It is worth noting a greater transformation of the power sector will be exhibited with considerable reduction of conventional power plants and significant increase of renewables. More specifically, the installed capacity of electricity </w:t>
      </w:r>
      <w:r w:rsidR="00575C7F" w:rsidRPr="00A33AE8">
        <w:rPr>
          <w:rFonts w:asciiTheme="majorHAnsi" w:hAnsiTheme="majorHAnsi" w:cstheme="majorHAnsi"/>
          <w:lang w:val="en-GB"/>
        </w:rPr>
        <w:t xml:space="preserve">coming from </w:t>
      </w:r>
      <w:r w:rsidRPr="00A33AE8">
        <w:rPr>
          <w:rFonts w:asciiTheme="majorHAnsi" w:hAnsiTheme="majorHAnsi" w:cstheme="majorHAnsi"/>
          <w:lang w:val="en-GB"/>
        </w:rPr>
        <w:t>lignite fired power plants is expected to</w:t>
      </w:r>
      <w:r w:rsidR="00EE33F7" w:rsidRPr="00A33AE8">
        <w:rPr>
          <w:rFonts w:asciiTheme="majorHAnsi" w:hAnsiTheme="majorHAnsi" w:cstheme="majorHAnsi"/>
          <w:lang w:val="en-GB"/>
        </w:rPr>
        <w:t xml:space="preserve"> increase</w:t>
      </w:r>
      <w:r w:rsidRPr="00A33AE8">
        <w:rPr>
          <w:rFonts w:asciiTheme="majorHAnsi" w:hAnsiTheme="majorHAnsi" w:cstheme="majorHAnsi"/>
          <w:lang w:val="en-GB"/>
        </w:rPr>
        <w:t xml:space="preserve"> at </w:t>
      </w:r>
      <w:r w:rsidR="00EE33F7" w:rsidRPr="00A33AE8">
        <w:rPr>
          <w:rFonts w:asciiTheme="majorHAnsi" w:hAnsiTheme="majorHAnsi" w:cstheme="majorHAnsi"/>
          <w:lang w:val="en-GB"/>
        </w:rPr>
        <w:t xml:space="preserve">a low extent </w:t>
      </w:r>
      <w:r w:rsidRPr="00A33AE8">
        <w:rPr>
          <w:rFonts w:asciiTheme="majorHAnsi" w:hAnsiTheme="majorHAnsi" w:cstheme="majorHAnsi"/>
          <w:lang w:val="en-GB"/>
        </w:rPr>
        <w:t xml:space="preserve">from </w:t>
      </w:r>
      <w:r w:rsidR="00EE33F7" w:rsidRPr="00A33AE8">
        <w:rPr>
          <w:rFonts w:asciiTheme="majorHAnsi" w:hAnsiTheme="majorHAnsi" w:cstheme="majorHAnsi"/>
          <w:lang w:val="en-GB"/>
        </w:rPr>
        <w:t>3.6</w:t>
      </w:r>
      <w:r w:rsidR="00EE33F7" w:rsidRPr="000007D2">
        <w:rPr>
          <w:lang w:val="en-GB"/>
        </w:rPr>
        <w:t xml:space="preserve"> </w:t>
      </w:r>
      <w:r w:rsidR="00EE33F7" w:rsidRPr="00A33AE8">
        <w:rPr>
          <w:rFonts w:asciiTheme="majorHAnsi" w:hAnsiTheme="majorHAnsi" w:cstheme="majorHAnsi"/>
          <w:lang w:val="en-GB"/>
        </w:rPr>
        <w:t>GW in 2020 to 4.5</w:t>
      </w:r>
      <w:r w:rsidR="00EE33F7" w:rsidRPr="00A33AE8">
        <w:rPr>
          <w:rFonts w:asciiTheme="majorHAnsi" w:eastAsiaTheme="minorHAnsi" w:hAnsiTheme="majorHAnsi" w:cstheme="majorHAnsi"/>
          <w:lang w:val="en-GB" w:eastAsia="en-US"/>
        </w:rPr>
        <w:t xml:space="preserve"> </w:t>
      </w:r>
      <w:r w:rsidR="00EE33F7" w:rsidRPr="00A33AE8">
        <w:rPr>
          <w:rFonts w:asciiTheme="majorHAnsi" w:hAnsiTheme="majorHAnsi" w:cstheme="majorHAnsi"/>
          <w:lang w:val="en-GB"/>
        </w:rPr>
        <w:t>GW in</w:t>
      </w:r>
      <w:r w:rsidRPr="00A33AE8">
        <w:rPr>
          <w:rFonts w:asciiTheme="majorHAnsi" w:hAnsiTheme="majorHAnsi" w:cstheme="majorHAnsi"/>
          <w:lang w:val="en-GB"/>
        </w:rPr>
        <w:t xml:space="preserve"> </w:t>
      </w:r>
      <w:r w:rsidR="005B31E0" w:rsidRPr="00A33AE8">
        <w:rPr>
          <w:rFonts w:asciiTheme="majorHAnsi" w:hAnsiTheme="majorHAnsi" w:cstheme="majorHAnsi"/>
          <w:lang w:val="en-GB"/>
        </w:rPr>
        <w:t>2050 demonstrating</w:t>
      </w:r>
      <w:r w:rsidRPr="00A33AE8">
        <w:rPr>
          <w:rFonts w:asciiTheme="majorHAnsi" w:hAnsiTheme="majorHAnsi" w:cstheme="majorHAnsi"/>
          <w:lang w:val="en-GB"/>
        </w:rPr>
        <w:t xml:space="preserve"> the largest contribution in the overall installed capacity for electricity.</w:t>
      </w:r>
    </w:p>
    <w:p w14:paraId="2583F65D" w14:textId="1FAF1514" w:rsidR="00CE52D4" w:rsidRDefault="00056FAD" w:rsidP="0087794A">
      <w:pPr>
        <w:jc w:val="both"/>
      </w:pPr>
      <w:r w:rsidRPr="00A33AE8">
        <w:rPr>
          <w:rFonts w:asciiTheme="majorHAnsi" w:hAnsiTheme="majorHAnsi" w:cstheme="majorHAnsi"/>
        </w:rPr>
        <w:t>T</w:t>
      </w:r>
      <w:r w:rsidR="00DF4538" w:rsidRPr="00A33AE8">
        <w:rPr>
          <w:rFonts w:asciiTheme="majorHAnsi" w:hAnsiTheme="majorHAnsi" w:cstheme="majorHAnsi"/>
        </w:rPr>
        <w:t xml:space="preserve">he contribution of RES </w:t>
      </w:r>
      <w:r w:rsidR="006D48D9" w:rsidRPr="00A33AE8">
        <w:rPr>
          <w:rFonts w:asciiTheme="majorHAnsi" w:hAnsiTheme="majorHAnsi" w:cstheme="majorHAnsi"/>
        </w:rPr>
        <w:t xml:space="preserve">technologies to the total installed capacity of the Republic of Serbia </w:t>
      </w:r>
      <w:r w:rsidR="001B3035" w:rsidRPr="00A33AE8">
        <w:rPr>
          <w:rFonts w:asciiTheme="majorHAnsi" w:hAnsiTheme="majorHAnsi" w:cstheme="majorHAnsi"/>
        </w:rPr>
        <w:t xml:space="preserve">is projected to </w:t>
      </w:r>
      <w:r w:rsidR="00DF4538" w:rsidRPr="00A33AE8">
        <w:rPr>
          <w:rFonts w:asciiTheme="majorHAnsi" w:hAnsiTheme="majorHAnsi" w:cstheme="majorHAnsi"/>
        </w:rPr>
        <w:t xml:space="preserve">amount to </w:t>
      </w:r>
      <w:r w:rsidR="002D4704" w:rsidRPr="00A33AE8">
        <w:rPr>
          <w:rFonts w:asciiTheme="majorHAnsi" w:hAnsiTheme="majorHAnsi" w:cstheme="majorHAnsi"/>
        </w:rPr>
        <w:t>43</w:t>
      </w:r>
      <w:r w:rsidR="005B31E0" w:rsidRPr="00A33AE8">
        <w:rPr>
          <w:rFonts w:asciiTheme="majorHAnsi" w:hAnsiTheme="majorHAnsi" w:cstheme="majorHAnsi"/>
        </w:rPr>
        <w:t xml:space="preserve">% </w:t>
      </w:r>
      <w:r w:rsidR="006D48D9" w:rsidRPr="00A33AE8">
        <w:rPr>
          <w:rFonts w:asciiTheme="majorHAnsi" w:hAnsiTheme="majorHAnsi" w:cstheme="majorHAnsi"/>
        </w:rPr>
        <w:t xml:space="preserve">in 2030 and </w:t>
      </w:r>
      <w:r w:rsidR="002D4704" w:rsidRPr="00A33AE8">
        <w:rPr>
          <w:rFonts w:asciiTheme="majorHAnsi" w:hAnsiTheme="majorHAnsi" w:cstheme="majorHAnsi"/>
        </w:rPr>
        <w:t>54</w:t>
      </w:r>
      <w:r w:rsidR="005B31E0" w:rsidRPr="00A33AE8">
        <w:rPr>
          <w:rFonts w:asciiTheme="majorHAnsi" w:hAnsiTheme="majorHAnsi" w:cstheme="majorHAnsi"/>
        </w:rPr>
        <w:t xml:space="preserve">% </w:t>
      </w:r>
      <w:r w:rsidR="006D48D9" w:rsidRPr="00A33AE8">
        <w:rPr>
          <w:rFonts w:asciiTheme="majorHAnsi" w:hAnsiTheme="majorHAnsi" w:cstheme="majorHAnsi"/>
        </w:rPr>
        <w:t>in 2050</w:t>
      </w:r>
      <w:r w:rsidR="00DF4538" w:rsidRPr="00A33AE8">
        <w:rPr>
          <w:rFonts w:asciiTheme="majorHAnsi" w:hAnsiTheme="majorHAnsi" w:cstheme="majorHAnsi"/>
        </w:rPr>
        <w:t xml:space="preserve"> compared to </w:t>
      </w:r>
      <w:r w:rsidR="00D33D6E" w:rsidRPr="00A33AE8">
        <w:rPr>
          <w:rFonts w:asciiTheme="majorHAnsi" w:hAnsiTheme="majorHAnsi" w:cstheme="majorHAnsi"/>
        </w:rPr>
        <w:t>40%</w:t>
      </w:r>
      <w:r w:rsidR="006D48D9" w:rsidRPr="00A33AE8">
        <w:rPr>
          <w:rFonts w:asciiTheme="majorHAnsi" w:hAnsiTheme="majorHAnsi" w:cstheme="majorHAnsi"/>
        </w:rPr>
        <w:t xml:space="preserve"> in 20</w:t>
      </w:r>
      <w:r w:rsidR="00C42BE8" w:rsidRPr="00A33AE8">
        <w:rPr>
          <w:rFonts w:asciiTheme="majorHAnsi" w:hAnsiTheme="majorHAnsi" w:cstheme="majorHAnsi"/>
        </w:rPr>
        <w:t>20</w:t>
      </w:r>
      <w:r w:rsidRPr="00A33AE8">
        <w:rPr>
          <w:rFonts w:asciiTheme="majorHAnsi" w:hAnsiTheme="majorHAnsi" w:cstheme="majorHAnsi"/>
        </w:rPr>
        <w:t>. The installed RES capacity is expected to increase from 3.</w:t>
      </w:r>
      <w:r w:rsidR="002D4704" w:rsidRPr="00A33AE8">
        <w:rPr>
          <w:rFonts w:asciiTheme="majorHAnsi" w:hAnsiTheme="majorHAnsi" w:cstheme="majorHAnsi"/>
        </w:rPr>
        <w:t>55</w:t>
      </w:r>
      <w:r w:rsidRPr="00A33AE8">
        <w:rPr>
          <w:rFonts w:asciiTheme="majorHAnsi" w:hAnsiTheme="majorHAnsi" w:cstheme="majorHAnsi"/>
        </w:rPr>
        <w:t xml:space="preserve"> GW in 20</w:t>
      </w:r>
      <w:r w:rsidR="00C42BE8" w:rsidRPr="00A33AE8">
        <w:rPr>
          <w:rFonts w:asciiTheme="majorHAnsi" w:hAnsiTheme="majorHAnsi" w:cstheme="majorHAnsi"/>
        </w:rPr>
        <w:t>2020</w:t>
      </w:r>
      <w:r w:rsidRPr="00A33AE8">
        <w:rPr>
          <w:rFonts w:asciiTheme="majorHAnsi" w:hAnsiTheme="majorHAnsi" w:cstheme="majorHAnsi"/>
        </w:rPr>
        <w:t xml:space="preserve"> to </w:t>
      </w:r>
      <w:r w:rsidR="005B31E0" w:rsidRPr="00A33AE8">
        <w:rPr>
          <w:rFonts w:asciiTheme="majorHAnsi" w:hAnsiTheme="majorHAnsi" w:cstheme="majorHAnsi"/>
        </w:rPr>
        <w:t>4.</w:t>
      </w:r>
      <w:r w:rsidR="002D4704" w:rsidRPr="00A33AE8">
        <w:rPr>
          <w:rFonts w:asciiTheme="majorHAnsi" w:hAnsiTheme="majorHAnsi" w:cstheme="majorHAnsi"/>
        </w:rPr>
        <w:t>22</w:t>
      </w:r>
      <w:r w:rsidR="005B31E0" w:rsidRPr="00A33AE8">
        <w:rPr>
          <w:rFonts w:asciiTheme="majorHAnsi" w:hAnsiTheme="majorHAnsi" w:cstheme="majorHAnsi"/>
        </w:rPr>
        <w:t xml:space="preserve"> </w:t>
      </w:r>
      <w:r w:rsidRPr="00A33AE8">
        <w:rPr>
          <w:rFonts w:asciiTheme="majorHAnsi" w:hAnsiTheme="majorHAnsi" w:cstheme="majorHAnsi"/>
        </w:rPr>
        <w:t xml:space="preserve">GW in 2030 and to </w:t>
      </w:r>
      <w:r w:rsidR="002D4704" w:rsidRPr="00A33AE8">
        <w:rPr>
          <w:rFonts w:asciiTheme="majorHAnsi" w:hAnsiTheme="majorHAnsi" w:cstheme="majorHAnsi"/>
        </w:rPr>
        <w:t>7.3</w:t>
      </w:r>
      <w:r w:rsidR="005B31E0" w:rsidRPr="00A33AE8">
        <w:rPr>
          <w:rFonts w:asciiTheme="majorHAnsi" w:hAnsiTheme="majorHAnsi" w:cstheme="majorHAnsi"/>
        </w:rPr>
        <w:t xml:space="preserve"> </w:t>
      </w:r>
      <w:r w:rsidRPr="00A33AE8">
        <w:rPr>
          <w:rFonts w:asciiTheme="majorHAnsi" w:hAnsiTheme="majorHAnsi" w:cstheme="majorHAnsi"/>
        </w:rPr>
        <w:t>GW in 2050 (</w:t>
      </w:r>
      <w:r w:rsidR="00CE52D4">
        <w:rPr>
          <w:rFonts w:asciiTheme="majorHAnsi" w:eastAsia="Times New Roman" w:hAnsiTheme="majorHAnsi" w:cstheme="majorHAnsi"/>
          <w:lang w:val="da-DK" w:eastAsia="el-GR"/>
        </w:rPr>
        <w:fldChar w:fldCharType="begin"/>
      </w:r>
      <w:r w:rsidR="00CE52D4">
        <w:rPr>
          <w:rFonts w:asciiTheme="majorHAnsi" w:hAnsiTheme="majorHAnsi" w:cstheme="majorHAnsi"/>
        </w:rPr>
        <w:instrText xml:space="preserve"> REF _Ref153545502 \h  \* MERGEFORMAT </w:instrText>
      </w:r>
      <w:r w:rsidR="00CE52D4">
        <w:rPr>
          <w:rFonts w:asciiTheme="majorHAnsi" w:eastAsia="Times New Roman" w:hAnsiTheme="majorHAnsi" w:cstheme="majorHAnsi"/>
          <w:lang w:val="da-DK" w:eastAsia="el-GR"/>
        </w:rPr>
      </w:r>
      <w:r w:rsidR="00CE52D4">
        <w:rPr>
          <w:rFonts w:asciiTheme="majorHAnsi" w:eastAsia="Times New Roman" w:hAnsiTheme="majorHAnsi" w:cstheme="majorHAnsi"/>
          <w:lang w:val="da-DK" w:eastAsia="el-GR"/>
        </w:rPr>
        <w:fldChar w:fldCharType="separate"/>
      </w:r>
      <w:r w:rsidR="00CE52D4" w:rsidRPr="0087794A">
        <w:rPr>
          <w:rFonts w:asciiTheme="majorHAnsi" w:eastAsia="Times New Roman" w:hAnsiTheme="majorHAnsi" w:cstheme="majorHAnsi"/>
          <w:lang w:val="da-DK" w:eastAsia="el-GR"/>
        </w:rPr>
        <w:t>Figure 4.19</w:t>
      </w:r>
      <w:r w:rsidR="00CE52D4">
        <w:rPr>
          <w:rFonts w:asciiTheme="majorHAnsi" w:eastAsia="Times New Roman" w:hAnsiTheme="majorHAnsi" w:cstheme="majorHAnsi"/>
          <w:lang w:val="da-DK" w:eastAsia="el-GR"/>
        </w:rPr>
        <w:fldChar w:fldCharType="end"/>
      </w:r>
      <w:r w:rsidRPr="00A33AE8">
        <w:rPr>
          <w:rFonts w:asciiTheme="majorHAnsi" w:hAnsiTheme="majorHAnsi" w:cstheme="majorHAnsi"/>
        </w:rPr>
        <w:t xml:space="preserve">). A small additional investment in hydro plants is foreseen during the examined period, with their installed capacity to be increased from </w:t>
      </w:r>
      <w:r w:rsidR="005B31E0" w:rsidRPr="00A33AE8">
        <w:rPr>
          <w:rFonts w:asciiTheme="majorHAnsi" w:hAnsiTheme="majorHAnsi" w:cstheme="majorHAnsi"/>
        </w:rPr>
        <w:t>2.</w:t>
      </w:r>
      <w:r w:rsidR="002D4704" w:rsidRPr="00A33AE8">
        <w:rPr>
          <w:rFonts w:asciiTheme="majorHAnsi" w:hAnsiTheme="majorHAnsi" w:cstheme="majorHAnsi"/>
        </w:rPr>
        <w:t>55</w:t>
      </w:r>
      <w:r w:rsidR="005B31E0" w:rsidRPr="00A33AE8">
        <w:rPr>
          <w:rFonts w:asciiTheme="majorHAnsi" w:hAnsiTheme="majorHAnsi" w:cstheme="majorHAnsi"/>
        </w:rPr>
        <w:t xml:space="preserve"> </w:t>
      </w:r>
      <w:r w:rsidRPr="00A33AE8">
        <w:rPr>
          <w:rFonts w:asciiTheme="majorHAnsi" w:hAnsiTheme="majorHAnsi" w:cstheme="majorHAnsi"/>
        </w:rPr>
        <w:t>GW in 20</w:t>
      </w:r>
      <w:r w:rsidR="00C42BE8" w:rsidRPr="00A33AE8">
        <w:rPr>
          <w:rFonts w:asciiTheme="majorHAnsi" w:hAnsiTheme="majorHAnsi" w:cstheme="majorHAnsi"/>
        </w:rPr>
        <w:t>20</w:t>
      </w:r>
      <w:r w:rsidRPr="00A33AE8">
        <w:rPr>
          <w:rFonts w:asciiTheme="majorHAnsi" w:hAnsiTheme="majorHAnsi" w:cstheme="majorHAnsi"/>
        </w:rPr>
        <w:t xml:space="preserve"> to </w:t>
      </w:r>
      <w:r w:rsidR="002D4704" w:rsidRPr="00A33AE8">
        <w:rPr>
          <w:rFonts w:asciiTheme="majorHAnsi" w:hAnsiTheme="majorHAnsi" w:cstheme="majorHAnsi"/>
        </w:rPr>
        <w:t>2.9</w:t>
      </w:r>
      <w:r w:rsidR="005B31E0" w:rsidRPr="00A33AE8">
        <w:rPr>
          <w:rFonts w:asciiTheme="majorHAnsi" w:hAnsiTheme="majorHAnsi" w:cstheme="majorHAnsi"/>
        </w:rPr>
        <w:t xml:space="preserve"> </w:t>
      </w:r>
      <w:r w:rsidRPr="00A33AE8">
        <w:rPr>
          <w:rFonts w:asciiTheme="majorHAnsi" w:hAnsiTheme="majorHAnsi" w:cstheme="majorHAnsi"/>
        </w:rPr>
        <w:t xml:space="preserve">GW in 2040 remaining relatively constant until 2050 (3.3 GW). Moreover, the installed capacity of wind and solar PV stations </w:t>
      </w:r>
      <w:r w:rsidR="001B3035" w:rsidRPr="00A33AE8">
        <w:rPr>
          <w:rFonts w:asciiTheme="majorHAnsi" w:hAnsiTheme="majorHAnsi" w:cstheme="majorHAnsi"/>
        </w:rPr>
        <w:t xml:space="preserve">is projected to </w:t>
      </w:r>
      <w:r w:rsidRPr="00A33AE8">
        <w:rPr>
          <w:rFonts w:asciiTheme="majorHAnsi" w:hAnsiTheme="majorHAnsi" w:cstheme="majorHAnsi"/>
        </w:rPr>
        <w:t xml:space="preserve">be </w:t>
      </w:r>
      <w:r w:rsidR="002D4704" w:rsidRPr="00A33AE8">
        <w:rPr>
          <w:rFonts w:asciiTheme="majorHAnsi" w:hAnsiTheme="majorHAnsi" w:cstheme="majorHAnsi"/>
        </w:rPr>
        <w:t>about 1.8</w:t>
      </w:r>
      <w:r w:rsidR="005B31E0" w:rsidRPr="00A33AE8">
        <w:rPr>
          <w:rFonts w:asciiTheme="majorHAnsi" w:hAnsiTheme="majorHAnsi" w:cstheme="majorHAnsi"/>
        </w:rPr>
        <w:t xml:space="preserve"> </w:t>
      </w:r>
      <w:r w:rsidRPr="00A33AE8">
        <w:rPr>
          <w:rFonts w:asciiTheme="majorHAnsi" w:hAnsiTheme="majorHAnsi" w:cstheme="majorHAnsi"/>
        </w:rPr>
        <w:t>GW</w:t>
      </w:r>
      <w:r w:rsidR="005B31E0" w:rsidRPr="00A33AE8">
        <w:rPr>
          <w:rFonts w:asciiTheme="majorHAnsi" w:hAnsiTheme="majorHAnsi" w:cstheme="majorHAnsi"/>
        </w:rPr>
        <w:t xml:space="preserve"> each</w:t>
      </w:r>
      <w:r w:rsidRPr="00A33AE8">
        <w:rPr>
          <w:rFonts w:asciiTheme="majorHAnsi" w:hAnsiTheme="majorHAnsi" w:cstheme="majorHAnsi"/>
        </w:rPr>
        <w:t xml:space="preserve"> in 2050 compared to </w:t>
      </w:r>
      <w:r w:rsidR="001B3035" w:rsidRPr="00A33AE8">
        <w:rPr>
          <w:rFonts w:asciiTheme="majorHAnsi" w:hAnsiTheme="majorHAnsi" w:cstheme="majorHAnsi"/>
        </w:rPr>
        <w:t xml:space="preserve">the very low level of </w:t>
      </w:r>
      <w:r w:rsidRPr="00A33AE8">
        <w:rPr>
          <w:rFonts w:asciiTheme="majorHAnsi" w:hAnsiTheme="majorHAnsi" w:cstheme="majorHAnsi"/>
        </w:rPr>
        <w:t>20</w:t>
      </w:r>
      <w:r w:rsidR="002D4704" w:rsidRPr="00A33AE8">
        <w:rPr>
          <w:rFonts w:asciiTheme="majorHAnsi" w:hAnsiTheme="majorHAnsi" w:cstheme="majorHAnsi"/>
        </w:rPr>
        <w:t>20</w:t>
      </w:r>
      <w:r w:rsidRPr="00A33AE8">
        <w:rPr>
          <w:rFonts w:asciiTheme="majorHAnsi" w:hAnsiTheme="majorHAnsi" w:cstheme="majorHAnsi"/>
        </w:rPr>
        <w:t>.</w:t>
      </w:r>
      <w:bookmarkStart w:id="245" w:name="_heading=h.1tuee74" w:colFirst="0" w:colLast="0"/>
      <w:bookmarkEnd w:id="245"/>
    </w:p>
    <w:p w14:paraId="528F1A70" w14:textId="2CE0B4BA" w:rsidR="00CE52D4" w:rsidRDefault="00CE52D4" w:rsidP="0087794A">
      <w:pPr>
        <w:pStyle w:val="Caption"/>
        <w:keepNext/>
      </w:pPr>
      <w:bookmarkStart w:id="246" w:name="_Ref153545430"/>
      <w:bookmarkStart w:id="247" w:name="_Toc154575225"/>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w:instrText>
      </w:r>
      <w:r w:rsidR="006E0533">
        <w:instrText xml:space="preserve">ABIC \s 1 </w:instrText>
      </w:r>
      <w:r w:rsidR="006E0533">
        <w:fldChar w:fldCharType="separate"/>
      </w:r>
      <w:r w:rsidR="00B62877">
        <w:rPr>
          <w:noProof/>
        </w:rPr>
        <w:t>18</w:t>
      </w:r>
      <w:r w:rsidR="006E0533">
        <w:rPr>
          <w:noProof/>
        </w:rPr>
        <w:fldChar w:fldCharType="end"/>
      </w:r>
      <w:bookmarkEnd w:id="246"/>
      <w:r>
        <w:t xml:space="preserve">: </w:t>
      </w:r>
      <w:r w:rsidRPr="00CE52D4">
        <w:t>Installed capacity per technology in the power sector over 2020-2050 in the scenario with existing measures (WEM)</w:t>
      </w:r>
      <w:bookmarkEnd w:id="247"/>
    </w:p>
    <w:p w14:paraId="4656B9F1" w14:textId="3F91A172" w:rsidR="005B31E0" w:rsidRPr="000007D2" w:rsidRDefault="00CE52D4" w:rsidP="005B31E0">
      <w:pPr>
        <w:jc w:val="center"/>
      </w:pPr>
      <w:r w:rsidRPr="000007D2">
        <w:rPr>
          <w:noProof/>
          <w:lang w:val="en-US"/>
        </w:rPr>
        <mc:AlternateContent>
          <mc:Choice Requires="wps">
            <w:drawing>
              <wp:anchor distT="0" distB="0" distL="114300" distR="114300" simplePos="0" relativeHeight="251677696" behindDoc="0" locked="0" layoutInCell="1" allowOverlap="1" wp14:anchorId="78BEDC4F" wp14:editId="22918439">
                <wp:simplePos x="0" y="0"/>
                <wp:positionH relativeFrom="column">
                  <wp:posOffset>934587</wp:posOffset>
                </wp:positionH>
                <wp:positionV relativeFrom="paragraph">
                  <wp:posOffset>1031875</wp:posOffset>
                </wp:positionV>
                <wp:extent cx="3010619" cy="2833323"/>
                <wp:effectExtent l="0" t="0" r="0" b="5715"/>
                <wp:wrapNone/>
                <wp:docPr id="908263386" name="Text Box 908263386"/>
                <wp:cNvGraphicFramePr/>
                <a:graphic xmlns:a="http://schemas.openxmlformats.org/drawingml/2006/main">
                  <a:graphicData uri="http://schemas.microsoft.com/office/word/2010/wordprocessingShape">
                    <wps:wsp>
                      <wps:cNvSpPr txBox="1"/>
                      <wps:spPr>
                        <a:xfrm>
                          <a:off x="0" y="0"/>
                          <a:ext cx="3010619" cy="283332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30DC76" id="Text Box 908263386" o:spid="_x0000_s1026" type="#_x0000_t202" style="position:absolute;margin-left:73.6pt;margin-top:81.25pt;width:237.05pt;height:22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" fillcolor="#a5a5a5 [2092]" stroked="f">
                <v:fill opacity="32896f"/>
              </v:shape>
            </w:pict>
          </mc:Fallback>
        </mc:AlternateContent>
      </w:r>
      <w:r w:rsidR="00714B88" w:rsidRPr="000007D2">
        <w:rPr>
          <w:noProof/>
          <w:lang w:val="en-US"/>
        </w:rPr>
        <w:drawing>
          <wp:inline distT="0" distB="0" distL="0" distR="0" wp14:anchorId="7A012F1D" wp14:editId="619DF344">
            <wp:extent cx="6114553" cy="4464387"/>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8661" cy="4474688"/>
                    </a:xfrm>
                    <a:prstGeom prst="rect">
                      <a:avLst/>
                    </a:prstGeom>
                    <a:noFill/>
                  </pic:spPr>
                </pic:pic>
              </a:graphicData>
            </a:graphic>
          </wp:inline>
        </w:drawing>
      </w:r>
    </w:p>
    <w:p w14:paraId="3F8C5663" w14:textId="2C37111F" w:rsidR="00CE52D4" w:rsidRDefault="00CE52D4" w:rsidP="0087794A">
      <w:pPr>
        <w:pStyle w:val="Caption"/>
        <w:keepNext/>
      </w:pPr>
      <w:bookmarkStart w:id="248" w:name="_Ref153545502"/>
      <w:bookmarkStart w:id="249" w:name="_Toc154575226"/>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19</w:t>
      </w:r>
      <w:r w:rsidR="006E0533">
        <w:rPr>
          <w:noProof/>
        </w:rPr>
        <w:fldChar w:fldCharType="end"/>
      </w:r>
      <w:bookmarkEnd w:id="248"/>
      <w:r>
        <w:t xml:space="preserve">: </w:t>
      </w:r>
      <w:r w:rsidRPr="00CE52D4">
        <w:t>Installed RES capacity per technology over 2020-2050 in the scenario with existing measures (WEM)</w:t>
      </w:r>
      <w:bookmarkEnd w:id="249"/>
    </w:p>
    <w:p w14:paraId="143B8009" w14:textId="344AD1D9" w:rsidR="005B31E0" w:rsidRPr="00A33AE8" w:rsidRDefault="00CE52D4" w:rsidP="005B31E0">
      <w:pPr>
        <w:jc w:val="center"/>
        <w:rPr>
          <w:lang w:eastAsia="el-GR"/>
        </w:rPr>
      </w:pPr>
      <w:r w:rsidRPr="000007D2">
        <w:rPr>
          <w:noProof/>
          <w:lang w:val="en-US"/>
        </w:rPr>
        <mc:AlternateContent>
          <mc:Choice Requires="wps">
            <w:drawing>
              <wp:anchor distT="0" distB="0" distL="114300" distR="114300" simplePos="0" relativeHeight="251679744" behindDoc="0" locked="0" layoutInCell="1" allowOverlap="1" wp14:anchorId="6C2C6B9F" wp14:editId="5A6E09BD">
                <wp:simplePos x="0" y="0"/>
                <wp:positionH relativeFrom="column">
                  <wp:posOffset>1116965</wp:posOffset>
                </wp:positionH>
                <wp:positionV relativeFrom="paragraph">
                  <wp:posOffset>1733550</wp:posOffset>
                </wp:positionV>
                <wp:extent cx="2682815" cy="2315893"/>
                <wp:effectExtent l="0" t="0" r="3810" b="8255"/>
                <wp:wrapNone/>
                <wp:docPr id="2041117950" name="Text Box 2041117950"/>
                <wp:cNvGraphicFramePr/>
                <a:graphic xmlns:a="http://schemas.openxmlformats.org/drawingml/2006/main">
                  <a:graphicData uri="http://schemas.microsoft.com/office/word/2010/wordprocessingShape">
                    <wps:wsp>
                      <wps:cNvSpPr txBox="1"/>
                      <wps:spPr>
                        <a:xfrm>
                          <a:off x="0" y="0"/>
                          <a:ext cx="2682815" cy="23158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830236" id="Text Box 2041117950" o:spid="_x0000_s1026" type="#_x0000_t202" style="position:absolute;margin-left:87.95pt;margin-top:136.5pt;width:211.25pt;height:18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" fillcolor="#a5a5a5 [2092]" stroked="f">
                <v:fill opacity="32896f"/>
              </v:shape>
            </w:pict>
          </mc:Fallback>
        </mc:AlternateContent>
      </w:r>
      <w:r w:rsidR="00714B88" w:rsidRPr="000007D2">
        <w:rPr>
          <w:noProof/>
          <w:lang w:val="en-US"/>
        </w:rPr>
        <w:drawing>
          <wp:inline distT="0" distB="0" distL="0" distR="0" wp14:anchorId="7DE31E20" wp14:editId="0D07B86D">
            <wp:extent cx="5635046" cy="4423763"/>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46017" cy="4432376"/>
                    </a:xfrm>
                    <a:prstGeom prst="rect">
                      <a:avLst/>
                    </a:prstGeom>
                    <a:noFill/>
                  </pic:spPr>
                </pic:pic>
              </a:graphicData>
            </a:graphic>
          </wp:inline>
        </w:drawing>
      </w:r>
    </w:p>
    <w:p w14:paraId="5646016B" w14:textId="4E81F71F" w:rsidR="009B17C9" w:rsidRPr="00A33AE8" w:rsidRDefault="00A312C4" w:rsidP="006D48D9">
      <w:pPr>
        <w:pStyle w:val="LDKbody"/>
        <w:rPr>
          <w:rFonts w:asciiTheme="majorHAnsi" w:hAnsiTheme="majorHAnsi" w:cstheme="majorHAnsi"/>
          <w:lang w:val="en-GB"/>
        </w:rPr>
      </w:pPr>
      <w:r w:rsidRPr="00A33AE8">
        <w:rPr>
          <w:rFonts w:asciiTheme="majorHAnsi" w:hAnsiTheme="majorHAnsi" w:cstheme="majorHAnsi"/>
          <w:lang w:val="en-GB"/>
        </w:rPr>
        <w:t xml:space="preserve">In addition, the share of RES in the heating and cooling sector is </w:t>
      </w:r>
      <w:r w:rsidR="001B3035" w:rsidRPr="00A33AE8">
        <w:rPr>
          <w:rFonts w:asciiTheme="majorHAnsi" w:hAnsiTheme="majorHAnsi" w:cstheme="majorHAnsi"/>
          <w:lang w:val="en-GB"/>
        </w:rPr>
        <w:t xml:space="preserve">projected </w:t>
      </w:r>
      <w:r w:rsidRPr="00A33AE8">
        <w:rPr>
          <w:rFonts w:asciiTheme="majorHAnsi" w:hAnsiTheme="majorHAnsi" w:cstheme="majorHAnsi"/>
          <w:lang w:val="en-GB"/>
        </w:rPr>
        <w:t xml:space="preserve">to increase from </w:t>
      </w:r>
      <w:r w:rsidR="00813B19" w:rsidRPr="00A33AE8">
        <w:rPr>
          <w:rFonts w:asciiTheme="majorHAnsi" w:hAnsiTheme="majorHAnsi" w:cstheme="majorHAnsi"/>
          <w:lang w:val="en-GB"/>
        </w:rPr>
        <w:t>35.7</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in 20</w:t>
      </w:r>
      <w:r w:rsidR="00813B19" w:rsidRPr="000007D2">
        <w:rPr>
          <w:rFonts w:asciiTheme="majorHAnsi" w:hAnsiTheme="majorHAnsi" w:cstheme="majorHAnsi"/>
          <w:lang w:val="en-GB"/>
        </w:rPr>
        <w:t>20</w:t>
      </w:r>
      <w:r w:rsidRPr="00A33AE8">
        <w:rPr>
          <w:rFonts w:asciiTheme="majorHAnsi" w:hAnsiTheme="majorHAnsi" w:cstheme="majorHAnsi"/>
          <w:lang w:val="en-GB"/>
        </w:rPr>
        <w:t xml:space="preserve"> to </w:t>
      </w:r>
      <w:r w:rsidR="00813B19" w:rsidRPr="00A33AE8">
        <w:rPr>
          <w:rFonts w:asciiTheme="majorHAnsi" w:hAnsiTheme="majorHAnsi" w:cstheme="majorHAnsi"/>
          <w:lang w:val="en-GB"/>
        </w:rPr>
        <w:t>37.9</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2030, before reaching to </w:t>
      </w:r>
      <w:r w:rsidR="005B31E0" w:rsidRPr="00A33AE8">
        <w:rPr>
          <w:rFonts w:asciiTheme="majorHAnsi" w:hAnsiTheme="majorHAnsi" w:cstheme="majorHAnsi"/>
          <w:lang w:val="en-GB"/>
        </w:rPr>
        <w:t>30</w:t>
      </w:r>
      <w:r w:rsidR="00813B19" w:rsidRPr="00A33AE8">
        <w:rPr>
          <w:rFonts w:asciiTheme="majorHAnsi" w:hAnsiTheme="majorHAnsi" w:cstheme="majorHAnsi"/>
          <w:lang w:val="en-GB"/>
        </w:rPr>
        <w:t>.3</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in 2050, as presented in</w:t>
      </w:r>
      <w:r w:rsidR="00A5293A">
        <w:rPr>
          <w:rFonts w:asciiTheme="majorHAnsi" w:hAnsiTheme="majorHAnsi" w:cstheme="majorHAnsi"/>
          <w:lang w:val="en-GB"/>
        </w:rPr>
        <w:t xml:space="preserve"> </w:t>
      </w:r>
      <w:r w:rsidR="00A5293A">
        <w:rPr>
          <w:rFonts w:asciiTheme="majorHAnsi" w:hAnsiTheme="majorHAnsi" w:cstheme="majorHAnsi"/>
          <w:lang w:val="en-GB"/>
        </w:rPr>
        <w:fldChar w:fldCharType="begin"/>
      </w:r>
      <w:r w:rsidR="00A5293A">
        <w:rPr>
          <w:rFonts w:asciiTheme="majorHAnsi" w:hAnsiTheme="majorHAnsi" w:cstheme="majorHAnsi"/>
          <w:lang w:val="en-GB"/>
        </w:rPr>
        <w:instrText xml:space="preserve"> REF _Ref153463417 \h  \* MERGEFORMAT </w:instrText>
      </w:r>
      <w:r w:rsidR="00A5293A">
        <w:rPr>
          <w:rFonts w:asciiTheme="majorHAnsi" w:hAnsiTheme="majorHAnsi" w:cstheme="majorHAnsi"/>
          <w:lang w:val="en-GB"/>
        </w:rPr>
      </w:r>
      <w:r w:rsidR="00A5293A">
        <w:rPr>
          <w:rFonts w:asciiTheme="majorHAnsi" w:hAnsiTheme="majorHAnsi" w:cstheme="majorHAnsi"/>
          <w:lang w:val="en-GB"/>
        </w:rPr>
        <w:fldChar w:fldCharType="separate"/>
      </w:r>
      <w:r w:rsidR="00A5293A" w:rsidRPr="0087794A">
        <w:rPr>
          <w:rFonts w:asciiTheme="majorHAnsi" w:hAnsiTheme="majorHAnsi" w:cstheme="majorHAnsi"/>
          <w:lang w:val="en-GB"/>
        </w:rPr>
        <w:t>Figure 4.20</w:t>
      </w:r>
      <w:r w:rsidR="00A5293A">
        <w:rPr>
          <w:rFonts w:asciiTheme="majorHAnsi" w:hAnsiTheme="majorHAnsi" w:cstheme="majorHAnsi"/>
          <w:lang w:val="en-GB"/>
        </w:rPr>
        <w:fldChar w:fldCharType="end"/>
      </w:r>
      <w:r w:rsidRPr="00A33AE8">
        <w:rPr>
          <w:rFonts w:asciiTheme="majorHAnsi" w:hAnsiTheme="majorHAnsi" w:cstheme="majorHAnsi"/>
          <w:lang w:val="en-GB"/>
        </w:rPr>
        <w:t xml:space="preserve">, mainly due to the considerable exploitation of biomass for heating. In the WEM scenario there are no new measures foreseen after 2030 so the projected increase in the heating demand </w:t>
      </w:r>
      <w:r w:rsidR="001B3035" w:rsidRPr="00A33AE8">
        <w:rPr>
          <w:rFonts w:asciiTheme="majorHAnsi" w:hAnsiTheme="majorHAnsi" w:cstheme="majorHAnsi"/>
          <w:lang w:val="en-GB"/>
        </w:rPr>
        <w:t xml:space="preserve">is covered by conventional fuels, </w:t>
      </w:r>
      <w:r w:rsidR="00081D7A" w:rsidRPr="00A33AE8">
        <w:rPr>
          <w:rFonts w:asciiTheme="majorHAnsi" w:hAnsiTheme="majorHAnsi" w:cstheme="majorHAnsi"/>
          <w:lang w:val="en-GB"/>
        </w:rPr>
        <w:t>leading</w:t>
      </w:r>
      <w:r w:rsidRPr="00A33AE8">
        <w:rPr>
          <w:rFonts w:asciiTheme="majorHAnsi" w:hAnsiTheme="majorHAnsi" w:cstheme="majorHAnsi"/>
          <w:lang w:val="en-GB"/>
        </w:rPr>
        <w:t xml:space="preserve"> to a decrease in the percentage of RES in heating.</w:t>
      </w:r>
    </w:p>
    <w:p w14:paraId="12FB03BA" w14:textId="7B493875" w:rsidR="00A5293A" w:rsidRDefault="00A5293A" w:rsidP="0087794A">
      <w:pPr>
        <w:pStyle w:val="Caption"/>
        <w:keepNext/>
      </w:pPr>
      <w:bookmarkStart w:id="250" w:name="_Ref153463417"/>
      <w:bookmarkStart w:id="251" w:name="_Toc154575227"/>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20</w:t>
      </w:r>
      <w:r w:rsidR="006E0533">
        <w:rPr>
          <w:noProof/>
        </w:rPr>
        <w:fldChar w:fldCharType="end"/>
      </w:r>
      <w:bookmarkEnd w:id="250"/>
      <w:r w:rsidRPr="00A5293A">
        <w:t>: Share of RES in Heating and Cooling over 2020-2050 in the scenario with existing measures (WEM)</w:t>
      </w:r>
      <w:bookmarkEnd w:id="251"/>
    </w:p>
    <w:p w14:paraId="6ABD6594" w14:textId="7A7D13E0" w:rsidR="005B31E0" w:rsidRPr="00A33AE8" w:rsidRDefault="00A5293A" w:rsidP="005B31E0">
      <w:pPr>
        <w:jc w:val="center"/>
        <w:rPr>
          <w:lang w:eastAsia="el-GR"/>
        </w:rPr>
      </w:pPr>
      <w:r w:rsidRPr="000007D2">
        <w:rPr>
          <w:noProof/>
          <w:lang w:val="en-US"/>
        </w:rPr>
        <mc:AlternateContent>
          <mc:Choice Requires="wps">
            <w:drawing>
              <wp:anchor distT="0" distB="0" distL="114300" distR="114300" simplePos="0" relativeHeight="251681792" behindDoc="0" locked="0" layoutInCell="1" allowOverlap="1" wp14:anchorId="0C82D110" wp14:editId="164B734A">
                <wp:simplePos x="0" y="0"/>
                <wp:positionH relativeFrom="column">
                  <wp:posOffset>1143000</wp:posOffset>
                </wp:positionH>
                <wp:positionV relativeFrom="paragraph">
                  <wp:posOffset>324184</wp:posOffset>
                </wp:positionV>
                <wp:extent cx="2665562" cy="2600565"/>
                <wp:effectExtent l="0" t="0" r="1905" b="9525"/>
                <wp:wrapNone/>
                <wp:docPr id="2134976105" name="Text Box 2134976105"/>
                <wp:cNvGraphicFramePr/>
                <a:graphic xmlns:a="http://schemas.openxmlformats.org/drawingml/2006/main">
                  <a:graphicData uri="http://schemas.microsoft.com/office/word/2010/wordprocessingShape">
                    <wps:wsp>
                      <wps:cNvSpPr txBox="1"/>
                      <wps:spPr>
                        <a:xfrm>
                          <a:off x="0" y="0"/>
                          <a:ext cx="2665562" cy="2600565"/>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9149ED" id="_x0000_t202" coordsize="21600,21600" o:spt="202" path="m,l,21600r21600,l21600,xe">
                <v:stroke joinstyle="miter"/>
                <v:path gradientshapeok="t" o:connecttype="rect"/>
              </v:shapetype>
              <v:shape id="Text Box 2134976105" o:spid="_x0000_s1026" type="#_x0000_t202" style="position:absolute;margin-left:90pt;margin-top:25.55pt;width:209.9pt;height:20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" fillcolor="#a5a5a5 [2092]" stroked="f">
                <v:fill opacity="32896f"/>
              </v:shape>
            </w:pict>
          </mc:Fallback>
        </mc:AlternateContent>
      </w:r>
      <w:r w:rsidR="00F07E62" w:rsidRPr="000007D2">
        <w:rPr>
          <w:noProof/>
          <w:lang w:val="en-US"/>
        </w:rPr>
        <w:drawing>
          <wp:inline distT="0" distB="0" distL="0" distR="0" wp14:anchorId="02786021" wp14:editId="5F0C8311">
            <wp:extent cx="5554784" cy="3589020"/>
            <wp:effectExtent l="0" t="0" r="8255" b="0"/>
            <wp:docPr id="1390755606" name="Picture 139075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69169" cy="3598314"/>
                    </a:xfrm>
                    <a:prstGeom prst="rect">
                      <a:avLst/>
                    </a:prstGeom>
                    <a:noFill/>
                  </pic:spPr>
                </pic:pic>
              </a:graphicData>
            </a:graphic>
          </wp:inline>
        </w:drawing>
      </w:r>
    </w:p>
    <w:p w14:paraId="34B29E6B" w14:textId="333F5EF5" w:rsidR="00A5293A" w:rsidRDefault="006D48D9" w:rsidP="0087794A">
      <w:pPr>
        <w:pStyle w:val="LDKbody"/>
      </w:pPr>
      <w:r w:rsidRPr="00A33AE8">
        <w:rPr>
          <w:rFonts w:asciiTheme="majorHAnsi" w:hAnsiTheme="majorHAnsi" w:cstheme="majorHAnsi"/>
          <w:lang w:val="en-GB"/>
        </w:rPr>
        <w:t xml:space="preserve">As presented in </w:t>
      </w:r>
      <w:r w:rsidR="00A5293A">
        <w:rPr>
          <w:rFonts w:asciiTheme="majorHAnsi" w:hAnsiTheme="majorHAnsi" w:cstheme="majorHAnsi"/>
        </w:rPr>
        <w:fldChar w:fldCharType="begin"/>
      </w:r>
      <w:r w:rsidR="00A5293A">
        <w:rPr>
          <w:rFonts w:asciiTheme="majorHAnsi" w:hAnsiTheme="majorHAnsi" w:cstheme="majorHAnsi"/>
          <w:lang w:val="en-GB"/>
        </w:rPr>
        <w:instrText xml:space="preserve"> REF _Ref153463510 \h  \* MERGEFORMAT </w:instrText>
      </w:r>
      <w:r w:rsidR="00A5293A">
        <w:rPr>
          <w:rFonts w:asciiTheme="majorHAnsi" w:hAnsiTheme="majorHAnsi" w:cstheme="majorHAnsi"/>
        </w:rPr>
      </w:r>
      <w:r w:rsidR="00A5293A">
        <w:rPr>
          <w:rFonts w:asciiTheme="majorHAnsi" w:hAnsiTheme="majorHAnsi" w:cstheme="majorHAnsi"/>
        </w:rPr>
        <w:fldChar w:fldCharType="separate"/>
      </w:r>
      <w:r w:rsidR="00A5293A" w:rsidRPr="0087794A">
        <w:rPr>
          <w:rFonts w:asciiTheme="majorHAnsi" w:hAnsiTheme="majorHAnsi" w:cstheme="majorHAnsi"/>
          <w:lang w:val="en-GB"/>
        </w:rPr>
        <w:t>Figure 4.21</w:t>
      </w:r>
      <w:r w:rsidR="00A5293A">
        <w:rPr>
          <w:rFonts w:asciiTheme="majorHAnsi" w:hAnsiTheme="majorHAnsi" w:cstheme="majorHAnsi"/>
        </w:rPr>
        <w:fldChar w:fldCharType="end"/>
      </w:r>
      <w:r w:rsidRPr="0087794A">
        <w:rPr>
          <w:rFonts w:asciiTheme="majorHAnsi" w:hAnsiTheme="majorHAnsi" w:cstheme="majorHAnsi"/>
        </w:rPr>
        <w:fldChar w:fldCharType="begin"/>
      </w:r>
      <w:r w:rsidRPr="0087794A">
        <w:rPr>
          <w:rFonts w:asciiTheme="majorHAnsi" w:hAnsiTheme="majorHAnsi" w:cstheme="majorHAnsi"/>
        </w:rPr>
        <w:instrText xml:space="preserve"> REF _Ref113633945 \h  \* MERGEFORMAT </w:instrText>
      </w:r>
      <w:r w:rsidRPr="0087794A">
        <w:rPr>
          <w:rFonts w:asciiTheme="majorHAnsi" w:hAnsiTheme="majorHAnsi" w:cstheme="majorHAnsi"/>
        </w:rPr>
      </w:r>
      <w:r w:rsidRPr="0087794A">
        <w:rPr>
          <w:rFonts w:asciiTheme="majorHAnsi" w:hAnsiTheme="majorHAnsi" w:cstheme="majorHAnsi"/>
        </w:rPr>
        <w:fldChar w:fldCharType="end"/>
      </w:r>
      <w:r w:rsidRPr="00A33AE8">
        <w:rPr>
          <w:rFonts w:asciiTheme="majorHAnsi" w:hAnsiTheme="majorHAnsi" w:cstheme="majorHAnsi"/>
          <w:lang w:val="en-GB"/>
        </w:rPr>
        <w:t xml:space="preserve">, the share of RES in transportation (without multipliers) </w:t>
      </w:r>
      <w:r w:rsidR="000D5EF4" w:rsidRPr="00A33AE8">
        <w:rPr>
          <w:rFonts w:asciiTheme="majorHAnsi" w:hAnsiTheme="majorHAnsi" w:cstheme="majorHAnsi"/>
          <w:lang w:val="en-GB"/>
        </w:rPr>
        <w:t>was</w:t>
      </w:r>
      <w:r w:rsidR="005B31E0" w:rsidRPr="00A33AE8">
        <w:rPr>
          <w:rFonts w:asciiTheme="majorHAnsi" w:hAnsiTheme="majorHAnsi" w:cstheme="majorHAnsi"/>
          <w:lang w:val="en-GB"/>
        </w:rPr>
        <w:t xml:space="preserve"> negligible in </w:t>
      </w:r>
      <w:r w:rsidR="00C61E19" w:rsidRPr="00A33AE8">
        <w:rPr>
          <w:rFonts w:asciiTheme="majorHAnsi" w:hAnsiTheme="majorHAnsi" w:cstheme="majorHAnsi"/>
          <w:lang w:val="en-GB"/>
        </w:rPr>
        <w:t>20</w:t>
      </w:r>
      <w:r w:rsidR="00813B19" w:rsidRPr="00A33AE8">
        <w:rPr>
          <w:rFonts w:asciiTheme="majorHAnsi" w:hAnsiTheme="majorHAnsi" w:cstheme="majorHAnsi"/>
          <w:lang w:val="en-GB"/>
        </w:rPr>
        <w:t>20</w:t>
      </w:r>
      <w:r w:rsidRPr="00A33AE8">
        <w:rPr>
          <w:rFonts w:asciiTheme="majorHAnsi" w:hAnsiTheme="majorHAnsi" w:cstheme="majorHAnsi"/>
          <w:lang w:val="en-GB"/>
        </w:rPr>
        <w:t xml:space="preserve">, </w:t>
      </w:r>
      <w:r w:rsidR="00F56E2A" w:rsidRPr="00A33AE8">
        <w:rPr>
          <w:rFonts w:asciiTheme="majorHAnsi" w:hAnsiTheme="majorHAnsi" w:cstheme="majorHAnsi"/>
          <w:lang w:val="en-GB"/>
        </w:rPr>
        <w:t xml:space="preserve">before </w:t>
      </w:r>
      <w:r w:rsidR="0045010E" w:rsidRPr="00A33AE8">
        <w:rPr>
          <w:rFonts w:asciiTheme="majorHAnsi" w:hAnsiTheme="majorHAnsi" w:cstheme="majorHAnsi"/>
          <w:lang w:val="en-GB"/>
        </w:rPr>
        <w:t>increasing</w:t>
      </w:r>
      <w:r w:rsidR="00514335" w:rsidRPr="000007D2">
        <w:rPr>
          <w:rFonts w:asciiTheme="majorHAnsi" w:hAnsiTheme="majorHAnsi" w:cstheme="majorHAnsi"/>
          <w:lang w:val="en-GB"/>
        </w:rPr>
        <w:t xml:space="preserve"> </w:t>
      </w:r>
      <w:r w:rsidR="0045010E" w:rsidRPr="00A33AE8">
        <w:rPr>
          <w:rFonts w:asciiTheme="majorHAnsi" w:hAnsiTheme="majorHAnsi" w:cstheme="majorHAnsi"/>
          <w:lang w:val="en-GB"/>
        </w:rPr>
        <w:t>at</w:t>
      </w:r>
      <w:r w:rsidR="00F56E2A" w:rsidRPr="00A33AE8">
        <w:rPr>
          <w:rFonts w:asciiTheme="majorHAnsi" w:hAnsiTheme="majorHAnsi" w:cstheme="majorHAnsi"/>
          <w:lang w:val="en-GB"/>
        </w:rPr>
        <w:t xml:space="preserve"> </w:t>
      </w:r>
      <w:r w:rsidR="000247AA" w:rsidRPr="000007D2">
        <w:rPr>
          <w:rFonts w:asciiTheme="majorHAnsi" w:hAnsiTheme="majorHAnsi" w:cstheme="majorHAnsi"/>
          <w:lang w:val="en-GB"/>
        </w:rPr>
        <w:t>3,7</w:t>
      </w:r>
      <w:r w:rsidR="005B31E0" w:rsidRPr="00A33AE8">
        <w:rPr>
          <w:rFonts w:asciiTheme="majorHAnsi" w:hAnsiTheme="majorHAnsi" w:cstheme="majorHAnsi"/>
          <w:lang w:val="en-GB"/>
        </w:rPr>
        <w:t>%</w:t>
      </w:r>
      <w:r w:rsidR="00F56E2A" w:rsidRPr="00A33AE8">
        <w:rPr>
          <w:rFonts w:asciiTheme="majorHAnsi" w:hAnsiTheme="majorHAnsi" w:cstheme="majorHAnsi"/>
          <w:lang w:val="en-GB"/>
        </w:rPr>
        <w:t xml:space="preserve"> in 2030</w:t>
      </w:r>
      <w:r w:rsidR="0045010E" w:rsidRPr="00A33AE8">
        <w:rPr>
          <w:rFonts w:asciiTheme="majorHAnsi" w:hAnsiTheme="majorHAnsi" w:cstheme="majorHAnsi"/>
          <w:lang w:val="en-GB"/>
        </w:rPr>
        <w:t xml:space="preserve">, </w:t>
      </w:r>
      <w:r w:rsidR="005B31E0" w:rsidRPr="00A33AE8">
        <w:rPr>
          <w:rFonts w:asciiTheme="majorHAnsi" w:hAnsiTheme="majorHAnsi" w:cstheme="majorHAnsi"/>
          <w:lang w:val="en-GB"/>
        </w:rPr>
        <w:t>remaining stable at this level by 2045</w:t>
      </w:r>
      <w:r w:rsidR="0045010E" w:rsidRPr="00A33AE8">
        <w:rPr>
          <w:rFonts w:asciiTheme="majorHAnsi" w:hAnsiTheme="majorHAnsi" w:cstheme="majorHAnsi"/>
          <w:lang w:val="en-GB"/>
        </w:rPr>
        <w:t xml:space="preserve">, reaching </w:t>
      </w:r>
      <w:r w:rsidR="005B31E0" w:rsidRPr="00A33AE8">
        <w:rPr>
          <w:rFonts w:asciiTheme="majorHAnsi" w:hAnsiTheme="majorHAnsi" w:cstheme="majorHAnsi"/>
          <w:lang w:val="en-GB"/>
        </w:rPr>
        <w:t xml:space="preserve">5% </w:t>
      </w:r>
      <w:r w:rsidR="0045010E" w:rsidRPr="00A33AE8">
        <w:rPr>
          <w:rFonts w:asciiTheme="majorHAnsi" w:hAnsiTheme="majorHAnsi" w:cstheme="majorHAnsi"/>
          <w:lang w:val="en-GB"/>
        </w:rPr>
        <w:t>in 2050</w:t>
      </w:r>
      <w:r w:rsidR="00C61E19" w:rsidRPr="00A33AE8">
        <w:rPr>
          <w:rFonts w:asciiTheme="majorHAnsi" w:hAnsiTheme="majorHAnsi" w:cstheme="majorHAnsi"/>
          <w:lang w:val="en-GB"/>
        </w:rPr>
        <w:t>.</w:t>
      </w:r>
      <w:r w:rsidRPr="00A33AE8">
        <w:rPr>
          <w:rFonts w:asciiTheme="majorHAnsi" w:hAnsiTheme="majorHAnsi" w:cstheme="majorHAnsi"/>
          <w:lang w:val="en-GB"/>
        </w:rPr>
        <w:t xml:space="preserve"> The electrification of the transport sector contributes to the increase of the share of RES in conjunction with the increase of the share of RES in electricity generation, which affects the electricity used in transport.</w:t>
      </w:r>
    </w:p>
    <w:p w14:paraId="437437A0" w14:textId="0EE89D76" w:rsidR="00A5293A" w:rsidRDefault="00A5293A" w:rsidP="0087794A">
      <w:pPr>
        <w:pStyle w:val="Caption"/>
        <w:keepNext/>
      </w:pPr>
      <w:bookmarkStart w:id="252" w:name="_Ref153463510"/>
      <w:bookmarkStart w:id="253" w:name="_Toc154575228"/>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w:instrText>
      </w:r>
      <w:r w:rsidR="006E0533">
        <w:instrText xml:space="preserve">Figure \* ARABIC \s 1 </w:instrText>
      </w:r>
      <w:r w:rsidR="006E0533">
        <w:fldChar w:fldCharType="separate"/>
      </w:r>
      <w:r w:rsidR="00B62877">
        <w:rPr>
          <w:noProof/>
        </w:rPr>
        <w:t>21</w:t>
      </w:r>
      <w:r w:rsidR="006E0533">
        <w:rPr>
          <w:noProof/>
        </w:rPr>
        <w:fldChar w:fldCharType="end"/>
      </w:r>
      <w:bookmarkEnd w:id="252"/>
      <w:r>
        <w:t xml:space="preserve">: </w:t>
      </w:r>
      <w:r w:rsidRPr="00A5293A">
        <w:t>Share of RES in transportation (without multipliers) over 2020-2050 in the scenario with existing measures (WEM)</w:t>
      </w:r>
      <w:bookmarkEnd w:id="253"/>
    </w:p>
    <w:p w14:paraId="587584CC" w14:textId="21262D42" w:rsidR="005B31E0" w:rsidRPr="00A33AE8" w:rsidRDefault="00A5293A" w:rsidP="005B31E0">
      <w:pPr>
        <w:jc w:val="center"/>
        <w:rPr>
          <w:lang w:eastAsia="el-GR"/>
        </w:rPr>
      </w:pPr>
      <w:r w:rsidRPr="000007D2">
        <w:rPr>
          <w:noProof/>
          <w:lang w:val="en-US"/>
        </w:rPr>
        <mc:AlternateContent>
          <mc:Choice Requires="wps">
            <w:drawing>
              <wp:anchor distT="0" distB="0" distL="114300" distR="114300" simplePos="0" relativeHeight="251683840" behindDoc="0" locked="0" layoutInCell="1" allowOverlap="1" wp14:anchorId="6394B96A" wp14:editId="0AB4D8A3">
                <wp:simplePos x="0" y="0"/>
                <wp:positionH relativeFrom="column">
                  <wp:posOffset>1078497</wp:posOffset>
                </wp:positionH>
                <wp:positionV relativeFrom="paragraph">
                  <wp:posOffset>485140</wp:posOffset>
                </wp:positionV>
                <wp:extent cx="2725480" cy="1944957"/>
                <wp:effectExtent l="0" t="0" r="0" b="0"/>
                <wp:wrapNone/>
                <wp:docPr id="1227933673" name="Text Box 1227933673"/>
                <wp:cNvGraphicFramePr/>
                <a:graphic xmlns:a="http://schemas.openxmlformats.org/drawingml/2006/main">
                  <a:graphicData uri="http://schemas.microsoft.com/office/word/2010/wordprocessingShape">
                    <wps:wsp>
                      <wps:cNvSpPr txBox="1"/>
                      <wps:spPr>
                        <a:xfrm>
                          <a:off x="0" y="0"/>
                          <a:ext cx="2725480" cy="1944957"/>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5A12B" id="Text Box 1227933673" o:spid="_x0000_s1026" type="#_x0000_t202" style="position:absolute;margin-left:84.9pt;margin-top:38.2pt;width:214.6pt;height:15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" fillcolor="#a5a5a5 [2092]" stroked="f">
                <v:fill opacity="32896f"/>
              </v:shape>
            </w:pict>
          </mc:Fallback>
        </mc:AlternateContent>
      </w:r>
      <w:r w:rsidR="00F07E62" w:rsidRPr="000007D2">
        <w:rPr>
          <w:noProof/>
          <w:lang w:val="en-US"/>
        </w:rPr>
        <w:drawing>
          <wp:inline distT="0" distB="0" distL="0" distR="0" wp14:anchorId="3E5377E8" wp14:editId="232BD227">
            <wp:extent cx="5454101" cy="2933700"/>
            <wp:effectExtent l="0" t="0" r="0" b="0"/>
            <wp:docPr id="255888119" name="Picture 25588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0958" cy="2937388"/>
                    </a:xfrm>
                    <a:prstGeom prst="rect">
                      <a:avLst/>
                    </a:prstGeom>
                    <a:noFill/>
                  </pic:spPr>
                </pic:pic>
              </a:graphicData>
            </a:graphic>
          </wp:inline>
        </w:drawing>
      </w:r>
    </w:p>
    <w:p w14:paraId="2F747528" w14:textId="77777777" w:rsidR="00F555C4" w:rsidRPr="00A33AE8" w:rsidRDefault="00F555C4" w:rsidP="00F555C4">
      <w:pPr>
        <w:jc w:val="center"/>
        <w:rPr>
          <w:lang w:eastAsia="el-GR"/>
        </w:rPr>
      </w:pPr>
    </w:p>
    <w:p w14:paraId="21BF3A5A" w14:textId="77777777" w:rsidR="005B31E0" w:rsidRPr="00A33AE8" w:rsidRDefault="005B31E0" w:rsidP="00F555C4">
      <w:pPr>
        <w:jc w:val="center"/>
        <w:rPr>
          <w:lang w:eastAsia="el-GR"/>
        </w:rPr>
      </w:pPr>
    </w:p>
    <w:p w14:paraId="402E58BA" w14:textId="77777777" w:rsidR="00616220" w:rsidRPr="00A33AE8" w:rsidRDefault="006D48D9" w:rsidP="006D48D9">
      <w:pPr>
        <w:pStyle w:val="LDKbody"/>
        <w:rPr>
          <w:lang w:val="en-GB"/>
        </w:rPr>
      </w:pPr>
      <w:r w:rsidRPr="00A33AE8">
        <w:rPr>
          <w:rFonts w:asciiTheme="majorHAnsi" w:hAnsiTheme="majorHAnsi" w:cstheme="majorHAnsi"/>
          <w:lang w:val="en-GB"/>
        </w:rPr>
        <w:lastRenderedPageBreak/>
        <w:t>Moreover, the introduction of biofuels in transport sector will increase up to 2050 demonstrating a penetration equal to</w:t>
      </w:r>
      <w:r w:rsidR="001B70AB" w:rsidRPr="00A33AE8">
        <w:rPr>
          <w:rFonts w:asciiTheme="majorHAnsi" w:hAnsiTheme="majorHAnsi" w:cstheme="majorHAnsi"/>
          <w:lang w:val="en-GB"/>
        </w:rPr>
        <w:t xml:space="preserve"> </w:t>
      </w:r>
      <w:r w:rsidR="00813B19" w:rsidRPr="00A33AE8">
        <w:rPr>
          <w:rFonts w:asciiTheme="majorHAnsi" w:hAnsiTheme="majorHAnsi" w:cstheme="majorHAnsi"/>
          <w:lang w:val="en-GB"/>
        </w:rPr>
        <w:t>73.33</w:t>
      </w:r>
      <w:r w:rsidR="005B31E0" w:rsidRPr="00A33AE8">
        <w:rPr>
          <w:rFonts w:asciiTheme="majorHAnsi" w:hAnsiTheme="majorHAnsi" w:cstheme="majorHAnsi"/>
          <w:lang w:val="en-GB"/>
        </w:rPr>
        <w:t xml:space="preserve"> </w:t>
      </w:r>
      <w:r w:rsidR="001B70AB" w:rsidRPr="00A33AE8">
        <w:rPr>
          <w:rFonts w:asciiTheme="majorHAnsi" w:hAnsiTheme="majorHAnsi" w:cstheme="majorHAnsi"/>
          <w:lang w:val="en-GB"/>
        </w:rPr>
        <w:t>ktoe</w:t>
      </w:r>
      <w:r w:rsidRPr="00A33AE8">
        <w:rPr>
          <w:rFonts w:asciiTheme="majorHAnsi" w:hAnsiTheme="majorHAnsi" w:cstheme="majorHAnsi"/>
          <w:lang w:val="en-GB"/>
        </w:rPr>
        <w:t xml:space="preserve"> in </w:t>
      </w:r>
      <w:r w:rsidR="001B70AB" w:rsidRPr="00A33AE8">
        <w:rPr>
          <w:rFonts w:asciiTheme="majorHAnsi" w:hAnsiTheme="majorHAnsi" w:cstheme="majorHAnsi"/>
          <w:lang w:val="en-GB"/>
        </w:rPr>
        <w:t xml:space="preserve">2030 and </w:t>
      </w:r>
      <w:r w:rsidR="00813B19" w:rsidRPr="00A33AE8">
        <w:rPr>
          <w:rFonts w:asciiTheme="majorHAnsi" w:hAnsiTheme="majorHAnsi" w:cstheme="majorHAnsi"/>
          <w:lang w:val="en-GB"/>
        </w:rPr>
        <w:t>94.11</w:t>
      </w:r>
      <w:r w:rsidR="005B31E0" w:rsidRPr="00A33AE8">
        <w:rPr>
          <w:rFonts w:asciiTheme="majorHAnsi" w:hAnsiTheme="majorHAnsi" w:cstheme="majorHAnsi"/>
          <w:lang w:val="en-GB"/>
        </w:rPr>
        <w:t xml:space="preserve"> ktoe in </w:t>
      </w:r>
      <w:r w:rsidRPr="00A33AE8">
        <w:rPr>
          <w:rFonts w:asciiTheme="majorHAnsi" w:hAnsiTheme="majorHAnsi" w:cstheme="majorHAnsi"/>
          <w:lang w:val="en-GB"/>
        </w:rPr>
        <w:t>2050</w:t>
      </w:r>
      <w:r w:rsidR="008203E5" w:rsidRPr="00A33AE8">
        <w:rPr>
          <w:rFonts w:asciiTheme="majorHAnsi" w:hAnsiTheme="majorHAnsi" w:cstheme="majorHAnsi"/>
          <w:lang w:val="en-GB"/>
        </w:rPr>
        <w:t>, compared to zero levels in 20</w:t>
      </w:r>
      <w:r w:rsidR="00813B19" w:rsidRPr="00A33AE8">
        <w:rPr>
          <w:rFonts w:asciiTheme="majorHAnsi" w:hAnsiTheme="majorHAnsi" w:cstheme="majorHAnsi"/>
          <w:lang w:val="en-GB"/>
        </w:rPr>
        <w:t>20</w:t>
      </w:r>
      <w:r w:rsidRPr="00A33AE8">
        <w:rPr>
          <w:rFonts w:asciiTheme="majorHAnsi" w:hAnsiTheme="majorHAnsi" w:cstheme="majorHAnsi"/>
          <w:lang w:val="en-GB"/>
        </w:rPr>
        <w:t xml:space="preserve">, as illustrated in </w:t>
      </w:r>
      <w:r w:rsidR="00CC4F39" w:rsidRPr="000007D2">
        <w:rPr>
          <w:lang w:val="en-GB"/>
        </w:rPr>
        <w:fldChar w:fldCharType="begin"/>
      </w:r>
      <w:r w:rsidR="00CC4F39" w:rsidRPr="000007D2">
        <w:rPr>
          <w:lang w:val="en-GB"/>
        </w:rPr>
        <w:instrText xml:space="preserve"> REF _Ref113633957 \h  \* MERGEFORMAT </w:instrText>
      </w:r>
      <w:r w:rsidR="00CC4F39" w:rsidRPr="000007D2">
        <w:rPr>
          <w:lang w:val="en-GB"/>
        </w:rPr>
      </w:r>
      <w:r w:rsidR="00CC4F39" w:rsidRPr="000007D2">
        <w:rPr>
          <w:lang w:val="en-GB"/>
        </w:rPr>
        <w:fldChar w:fldCharType="separate"/>
      </w:r>
      <w:r w:rsidR="00CC4F39" w:rsidRPr="00A33AE8">
        <w:rPr>
          <w:rFonts w:asciiTheme="majorHAnsi" w:hAnsiTheme="majorHAnsi" w:cstheme="majorHAnsi"/>
          <w:lang w:val="en-GB"/>
        </w:rPr>
        <w:t>Figure 4.2</w:t>
      </w:r>
      <w:r w:rsidR="00CC4F39">
        <w:rPr>
          <w:rFonts w:asciiTheme="majorHAnsi" w:hAnsiTheme="majorHAnsi" w:cstheme="majorHAnsi"/>
          <w:lang w:val="en-GB"/>
        </w:rPr>
        <w:t>2</w:t>
      </w:r>
      <w:r w:rsidR="00CC4F39" w:rsidRPr="000007D2">
        <w:rPr>
          <w:lang w:val="en-GB"/>
        </w:rPr>
        <w:fldChar w:fldCharType="end"/>
      </w:r>
      <w:r w:rsidRPr="00A33AE8">
        <w:rPr>
          <w:rFonts w:asciiTheme="majorHAnsi" w:hAnsiTheme="majorHAnsi" w:cstheme="majorHAnsi"/>
          <w:lang w:val="en-GB"/>
        </w:rPr>
        <w:t>. The non-road RES electricity consumption in transport is expected to rise from</w:t>
      </w:r>
      <w:r w:rsidR="00813B19" w:rsidRPr="00A33AE8">
        <w:rPr>
          <w:rFonts w:asciiTheme="majorHAnsi" w:hAnsiTheme="majorHAnsi" w:cstheme="majorHAnsi"/>
          <w:lang w:val="en-GB"/>
        </w:rPr>
        <w:t xml:space="preserve"> </w:t>
      </w:r>
      <w:r w:rsidR="008203E5" w:rsidRPr="00A33AE8">
        <w:rPr>
          <w:rFonts w:asciiTheme="majorHAnsi" w:hAnsiTheme="majorHAnsi" w:cstheme="majorHAnsi"/>
          <w:lang w:val="en-GB"/>
        </w:rPr>
        <w:t>9.</w:t>
      </w:r>
      <w:r w:rsidR="00813B19" w:rsidRPr="00A33AE8">
        <w:rPr>
          <w:rFonts w:asciiTheme="majorHAnsi" w:hAnsiTheme="majorHAnsi" w:cstheme="majorHAnsi"/>
          <w:lang w:val="en-GB"/>
        </w:rPr>
        <w:t>6</w:t>
      </w:r>
      <w:r w:rsidRPr="00A33AE8">
        <w:rPr>
          <w:rFonts w:asciiTheme="majorHAnsi" w:hAnsiTheme="majorHAnsi" w:cstheme="majorHAnsi"/>
          <w:lang w:val="en-GB"/>
        </w:rPr>
        <w:t xml:space="preserve"> ktoe in 20</w:t>
      </w:r>
      <w:r w:rsidR="00813B19"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813B19" w:rsidRPr="00A33AE8">
        <w:rPr>
          <w:rFonts w:asciiTheme="majorHAnsi" w:hAnsiTheme="majorHAnsi" w:cstheme="majorHAnsi"/>
          <w:lang w:val="en-GB"/>
        </w:rPr>
        <w:t>13.6</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 xml:space="preserve">ktoe in 2030 and to </w:t>
      </w:r>
      <w:r w:rsidR="00813B19" w:rsidRPr="00A33AE8">
        <w:rPr>
          <w:rFonts w:asciiTheme="majorHAnsi" w:hAnsiTheme="majorHAnsi" w:cstheme="majorHAnsi"/>
          <w:lang w:val="en-GB"/>
        </w:rPr>
        <w:t>19.2</w:t>
      </w:r>
      <w:r w:rsidR="005B31E0" w:rsidRPr="00A33AE8">
        <w:rPr>
          <w:rFonts w:asciiTheme="majorHAnsi" w:hAnsiTheme="majorHAnsi" w:cstheme="majorHAnsi"/>
          <w:lang w:val="en-GB"/>
        </w:rPr>
        <w:t xml:space="preserve"> </w:t>
      </w:r>
      <w:r w:rsidRPr="00A33AE8">
        <w:rPr>
          <w:rFonts w:asciiTheme="majorHAnsi" w:hAnsiTheme="majorHAnsi" w:cstheme="majorHAnsi"/>
          <w:lang w:val="en-GB"/>
        </w:rPr>
        <w:t>ktoe in 2050</w:t>
      </w:r>
      <w:r w:rsidR="0034231C" w:rsidRPr="00A33AE8">
        <w:rPr>
          <w:rFonts w:asciiTheme="majorHAnsi" w:hAnsiTheme="majorHAnsi" w:cstheme="majorHAnsi"/>
          <w:lang w:val="en-GB"/>
        </w:rPr>
        <w:t>, connected with the</w:t>
      </w:r>
      <w:r w:rsidR="001B3035" w:rsidRPr="00A33AE8">
        <w:rPr>
          <w:rFonts w:asciiTheme="majorHAnsi" w:hAnsiTheme="majorHAnsi" w:cstheme="majorHAnsi"/>
          <w:lang w:val="en-GB"/>
        </w:rPr>
        <w:t xml:space="preserve"> </w:t>
      </w:r>
      <w:r w:rsidR="0034231C" w:rsidRPr="00A33AE8">
        <w:rPr>
          <w:rFonts w:asciiTheme="majorHAnsi" w:hAnsiTheme="majorHAnsi" w:cstheme="majorHAnsi"/>
          <w:lang w:val="en-GB"/>
        </w:rPr>
        <w:t>partial electrification of rail.</w:t>
      </w:r>
    </w:p>
    <w:p w14:paraId="4D0E9CBB" w14:textId="0BF7D919" w:rsidR="006D48D9" w:rsidRPr="00A33AE8" w:rsidRDefault="006D48D9" w:rsidP="006D48D9">
      <w:pPr>
        <w:pStyle w:val="Caption"/>
        <w:rPr>
          <w:lang w:eastAsia="el-GR"/>
        </w:rPr>
      </w:pPr>
      <w:bookmarkStart w:id="254" w:name="_Ref113633957"/>
      <w:bookmarkStart w:id="255" w:name="_Toc118992290"/>
      <w:bookmarkStart w:id="256" w:name="_Toc154575229"/>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22</w:t>
      </w:r>
      <w:r w:rsidR="00B62877">
        <w:rPr>
          <w:lang w:eastAsia="el-GR"/>
        </w:rPr>
        <w:fldChar w:fldCharType="end"/>
      </w:r>
      <w:bookmarkEnd w:id="254"/>
      <w:r w:rsidRPr="00A33AE8">
        <w:rPr>
          <w:lang w:eastAsia="el-GR"/>
        </w:rPr>
        <w:t>: Electricity consumption from RES in transport over 20</w:t>
      </w:r>
      <w:r w:rsidR="00813B19" w:rsidRPr="00A33AE8">
        <w:rPr>
          <w:lang w:eastAsia="el-GR"/>
        </w:rPr>
        <w:t>20</w:t>
      </w:r>
      <w:r w:rsidRPr="00A33AE8">
        <w:rPr>
          <w:lang w:eastAsia="el-GR"/>
        </w:rPr>
        <w:t>-2050</w:t>
      </w:r>
      <w:bookmarkEnd w:id="255"/>
      <w:r w:rsidR="00B55F92">
        <w:rPr>
          <w:lang w:eastAsia="el-GR"/>
        </w:rPr>
        <w:t xml:space="preserve"> </w:t>
      </w:r>
      <w:r w:rsidR="00C176B4">
        <w:rPr>
          <w:lang w:eastAsia="el-GR"/>
        </w:rPr>
        <w:t xml:space="preserve">in the scenario </w:t>
      </w:r>
      <w:r w:rsidR="00B55F92" w:rsidRPr="00B55F92">
        <w:rPr>
          <w:lang w:eastAsia="el-GR"/>
        </w:rPr>
        <w:t>with existing measures (WEM)</w:t>
      </w:r>
      <w:bookmarkEnd w:id="256"/>
    </w:p>
    <w:p w14:paraId="449F7E83" w14:textId="77777777" w:rsidR="005B31E0" w:rsidRPr="00A33AE8" w:rsidRDefault="006B0A65" w:rsidP="005B31E0">
      <w:pPr>
        <w:jc w:val="center"/>
        <w:rPr>
          <w:lang w:eastAsia="el-GR"/>
        </w:rPr>
      </w:pPr>
      <w:r w:rsidRPr="000007D2">
        <w:rPr>
          <w:noProof/>
          <w:lang w:val="en-US"/>
        </w:rPr>
        <mc:AlternateContent>
          <mc:Choice Requires="wps">
            <w:drawing>
              <wp:anchor distT="0" distB="0" distL="114300" distR="114300" simplePos="0" relativeHeight="251685888" behindDoc="0" locked="0" layoutInCell="1" allowOverlap="1" wp14:anchorId="45526C8E" wp14:editId="061B5DA7">
                <wp:simplePos x="0" y="0"/>
                <wp:positionH relativeFrom="column">
                  <wp:posOffset>1117336</wp:posOffset>
                </wp:positionH>
                <wp:positionV relativeFrom="paragraph">
                  <wp:posOffset>1244444</wp:posOffset>
                </wp:positionV>
                <wp:extent cx="2700068" cy="1901993"/>
                <wp:effectExtent l="0" t="0" r="5080" b="3175"/>
                <wp:wrapNone/>
                <wp:docPr id="35311562" name="Text Box 35311562"/>
                <wp:cNvGraphicFramePr/>
                <a:graphic xmlns:a="http://schemas.openxmlformats.org/drawingml/2006/main">
                  <a:graphicData uri="http://schemas.microsoft.com/office/word/2010/wordprocessingShape">
                    <wps:wsp>
                      <wps:cNvSpPr txBox="1"/>
                      <wps:spPr>
                        <a:xfrm>
                          <a:off x="0" y="0"/>
                          <a:ext cx="2700068" cy="19019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F6564" id="Text Box 35311562" o:spid="_x0000_s1026" type="#_x0000_t202" style="position:absolute;margin-left:88pt;margin-top:98pt;width:212.6pt;height:149.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" fillcolor="#a5a5a5 [2092]" stroked="f">
                <v:fill opacity="32896f"/>
              </v:shape>
            </w:pict>
          </mc:Fallback>
        </mc:AlternateContent>
      </w:r>
      <w:r w:rsidR="006E68DA" w:rsidRPr="000007D2">
        <w:rPr>
          <w:noProof/>
          <w:lang w:val="en-US"/>
        </w:rPr>
        <w:drawing>
          <wp:inline distT="0" distB="0" distL="0" distR="0" wp14:anchorId="62E48FE1" wp14:editId="75709E20">
            <wp:extent cx="5683848" cy="3525964"/>
            <wp:effectExtent l="0" t="0" r="0" b="0"/>
            <wp:docPr id="1641945072" name="Picture 164194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96128" cy="3533582"/>
                    </a:xfrm>
                    <a:prstGeom prst="rect">
                      <a:avLst/>
                    </a:prstGeom>
                    <a:noFill/>
                  </pic:spPr>
                </pic:pic>
              </a:graphicData>
            </a:graphic>
          </wp:inline>
        </w:drawing>
      </w:r>
    </w:p>
    <w:p w14:paraId="35C5337E" w14:textId="7144B139" w:rsidR="00683947" w:rsidRPr="00A33AE8" w:rsidRDefault="006D48D9" w:rsidP="006D48D9">
      <w:pPr>
        <w:pStyle w:val="LDKbody"/>
        <w:rPr>
          <w:rFonts w:asciiTheme="majorHAnsi" w:hAnsiTheme="majorHAnsi" w:cstheme="majorHAnsi"/>
          <w:lang w:val="en-GB"/>
        </w:rPr>
      </w:pPr>
      <w:r w:rsidRPr="00A33AE8">
        <w:rPr>
          <w:rFonts w:asciiTheme="majorHAnsi" w:hAnsiTheme="majorHAnsi" w:cstheme="majorHAnsi"/>
          <w:lang w:val="en-GB"/>
        </w:rPr>
        <w:t>As regards the installed capacity per fuel source in district heating plants, natural gas will remain the dominant fuel throughout the examined period (20</w:t>
      </w:r>
      <w:r w:rsidR="00813B19" w:rsidRPr="00A33AE8">
        <w:rPr>
          <w:rFonts w:asciiTheme="majorHAnsi" w:hAnsiTheme="majorHAnsi" w:cstheme="majorHAnsi"/>
          <w:lang w:val="en-GB"/>
        </w:rPr>
        <w:t>20</w:t>
      </w:r>
      <w:r w:rsidRPr="00A33AE8">
        <w:rPr>
          <w:rFonts w:asciiTheme="majorHAnsi" w:hAnsiTheme="majorHAnsi" w:cstheme="majorHAnsi"/>
          <w:lang w:val="en-GB"/>
        </w:rPr>
        <w:t>-2050)</w:t>
      </w:r>
      <w:r w:rsidR="00CC4F39">
        <w:rPr>
          <w:rFonts w:asciiTheme="majorHAnsi" w:hAnsiTheme="majorHAnsi" w:cstheme="majorHAnsi"/>
          <w:lang w:val="en-GB"/>
        </w:rPr>
        <w:t xml:space="preserve"> and</w:t>
      </w:r>
      <w:r w:rsidRPr="00A33AE8">
        <w:rPr>
          <w:rFonts w:asciiTheme="majorHAnsi" w:hAnsiTheme="majorHAnsi" w:cstheme="majorHAnsi"/>
          <w:lang w:val="en-GB"/>
        </w:rPr>
        <w:t xml:space="preserve"> the shares of </w:t>
      </w:r>
      <w:r w:rsidR="000F67FE" w:rsidRPr="00A33AE8">
        <w:rPr>
          <w:rFonts w:asciiTheme="majorHAnsi" w:hAnsiTheme="majorHAnsi" w:cstheme="majorHAnsi"/>
          <w:lang w:val="en-GB"/>
        </w:rPr>
        <w:t xml:space="preserve">capacities of </w:t>
      </w:r>
      <w:r w:rsidRPr="00A33AE8">
        <w:rPr>
          <w:rFonts w:asciiTheme="majorHAnsi" w:hAnsiTheme="majorHAnsi" w:cstheme="majorHAnsi"/>
          <w:lang w:val="en-GB"/>
        </w:rPr>
        <w:t xml:space="preserve">oil products and solid fuels will </w:t>
      </w:r>
      <w:r w:rsidR="00813B19" w:rsidRPr="00A33AE8">
        <w:rPr>
          <w:rFonts w:asciiTheme="majorHAnsi" w:hAnsiTheme="majorHAnsi" w:cstheme="majorHAnsi"/>
          <w:lang w:val="en-GB"/>
        </w:rPr>
        <w:t>remain unchanged</w:t>
      </w:r>
      <w:r w:rsidR="007A23DA" w:rsidRPr="00A33AE8">
        <w:rPr>
          <w:rFonts w:asciiTheme="majorHAnsi" w:hAnsiTheme="majorHAnsi" w:cstheme="majorHAnsi"/>
          <w:lang w:val="en-GB"/>
        </w:rPr>
        <w:t xml:space="preserve"> from </w:t>
      </w:r>
      <w:r w:rsidR="00813B19" w:rsidRPr="00A33AE8">
        <w:rPr>
          <w:rFonts w:asciiTheme="majorHAnsi" w:hAnsiTheme="majorHAnsi" w:cstheme="majorHAnsi"/>
          <w:lang w:val="en-GB"/>
        </w:rPr>
        <w:t>2020</w:t>
      </w:r>
      <w:r w:rsidR="00B6466C" w:rsidRPr="00A33AE8">
        <w:rPr>
          <w:rFonts w:asciiTheme="majorHAnsi" w:hAnsiTheme="majorHAnsi" w:cstheme="majorHAnsi"/>
          <w:lang w:val="en-GB"/>
        </w:rPr>
        <w:t xml:space="preserve"> to </w:t>
      </w:r>
      <w:r w:rsidRPr="00A33AE8">
        <w:rPr>
          <w:rFonts w:asciiTheme="majorHAnsi" w:hAnsiTheme="majorHAnsi" w:cstheme="majorHAnsi"/>
          <w:lang w:val="en-GB"/>
        </w:rPr>
        <w:t>2050</w:t>
      </w:r>
      <w:r w:rsidR="000F67FE" w:rsidRPr="00A33AE8">
        <w:rPr>
          <w:rFonts w:asciiTheme="majorHAnsi" w:hAnsiTheme="majorHAnsi" w:cstheme="majorHAnsi"/>
          <w:lang w:val="en-GB"/>
        </w:rPr>
        <w:t>, without additional measures for replacement</w:t>
      </w:r>
      <w:r w:rsidRPr="00A33AE8">
        <w:rPr>
          <w:rFonts w:asciiTheme="majorHAnsi" w:hAnsiTheme="majorHAnsi" w:cstheme="majorHAnsi"/>
          <w:lang w:val="en-GB"/>
        </w:rPr>
        <w:t>.</w:t>
      </w:r>
    </w:p>
    <w:p w14:paraId="695542AF" w14:textId="77777777" w:rsidR="00386771" w:rsidRPr="00A33AE8" w:rsidRDefault="00386771" w:rsidP="00386771">
      <w:pPr>
        <w:pStyle w:val="Heading2"/>
      </w:pPr>
      <w:bookmarkStart w:id="257" w:name="_Toc151036053"/>
      <w:bookmarkStart w:id="258" w:name="_Toc151036054"/>
      <w:bookmarkStart w:id="259" w:name="_Toc151036055"/>
      <w:bookmarkStart w:id="260" w:name="_Toc79772561"/>
      <w:bookmarkStart w:id="261" w:name="_Toc118991781"/>
      <w:bookmarkStart w:id="262" w:name="_Toc153545053"/>
      <w:bookmarkEnd w:id="257"/>
      <w:bookmarkEnd w:id="258"/>
      <w:bookmarkEnd w:id="259"/>
      <w:r w:rsidRPr="00A33AE8">
        <w:t>Dimension Energy Efficiency</w:t>
      </w:r>
      <w:bookmarkEnd w:id="260"/>
      <w:bookmarkEnd w:id="261"/>
      <w:bookmarkEnd w:id="262"/>
    </w:p>
    <w:p w14:paraId="06EC3295" w14:textId="77777777" w:rsidR="00524F38" w:rsidRPr="00A33AE8" w:rsidRDefault="00524F38" w:rsidP="00884F3B">
      <w:pPr>
        <w:pStyle w:val="Heading4"/>
        <w:numPr>
          <w:ilvl w:val="0"/>
          <w:numId w:val="33"/>
        </w:numPr>
        <w:jc w:val="both"/>
      </w:pPr>
      <w:r w:rsidRPr="00A33AE8">
        <w:t>Current primary and final energy consumption in the economy and per sector (including industry, residential, service and transport)</w:t>
      </w:r>
    </w:p>
    <w:p w14:paraId="2E5D2D09" w14:textId="0107316A" w:rsidR="00D315AF" w:rsidRPr="00A33AE8" w:rsidRDefault="00365CEB" w:rsidP="00365CEB">
      <w:pPr>
        <w:pStyle w:val="LDKbody"/>
        <w:rPr>
          <w:rFonts w:asciiTheme="majorHAnsi" w:eastAsia="Calibri" w:hAnsiTheme="majorHAnsi" w:cstheme="majorHAnsi"/>
          <w:lang w:val="en-GB"/>
        </w:rPr>
      </w:pPr>
      <w:r w:rsidRPr="00A33AE8">
        <w:rPr>
          <w:rFonts w:asciiTheme="majorHAnsi" w:eastAsia="Calibri" w:hAnsiTheme="majorHAnsi" w:cstheme="majorHAnsi"/>
          <w:lang w:val="en-GB"/>
        </w:rPr>
        <w:t>Over 2010-20</w:t>
      </w:r>
      <w:r w:rsidR="00813B19"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the gross inland energy consumption remained almost </w:t>
      </w:r>
      <w:r w:rsidR="00EF5C71" w:rsidRPr="00A33AE8">
        <w:rPr>
          <w:rFonts w:asciiTheme="majorHAnsi" w:eastAsia="Calibri" w:hAnsiTheme="majorHAnsi" w:cstheme="majorHAnsi"/>
          <w:lang w:val="en-GB"/>
        </w:rPr>
        <w:t>constant (</w:t>
      </w:r>
      <w:r w:rsidRPr="00A33AE8">
        <w:rPr>
          <w:rFonts w:asciiTheme="majorHAnsi" w:eastAsia="Calibri" w:hAnsiTheme="majorHAnsi" w:cstheme="majorHAnsi"/>
          <w:lang w:val="en-GB"/>
        </w:rPr>
        <w:t>from 15.6 Mtoe in 2010 to 15.</w:t>
      </w:r>
      <w:r w:rsidR="00813B19" w:rsidRPr="00A33AE8">
        <w:rPr>
          <w:rFonts w:asciiTheme="majorHAnsi" w:eastAsia="Calibri" w:hAnsiTheme="majorHAnsi" w:cstheme="majorHAnsi"/>
          <w:lang w:val="en-GB"/>
        </w:rPr>
        <w:t>99</w:t>
      </w:r>
      <w:r w:rsidRPr="00A33AE8">
        <w:rPr>
          <w:rFonts w:asciiTheme="majorHAnsi" w:eastAsia="Calibri" w:hAnsiTheme="majorHAnsi" w:cstheme="majorHAnsi"/>
          <w:lang w:val="en-GB"/>
        </w:rPr>
        <w:t xml:space="preserve"> Mtoe in 20</w:t>
      </w:r>
      <w:r w:rsidR="00813B19" w:rsidRPr="00A33AE8">
        <w:rPr>
          <w:rFonts w:asciiTheme="majorHAnsi" w:eastAsia="Calibri" w:hAnsiTheme="majorHAnsi" w:cstheme="majorHAnsi"/>
          <w:lang w:val="en-GB"/>
        </w:rPr>
        <w:t>20</w:t>
      </w:r>
      <w:r w:rsidR="00EF5C71" w:rsidRPr="00A33AE8">
        <w:rPr>
          <w:rFonts w:asciiTheme="majorHAnsi" w:eastAsia="Calibri" w:hAnsiTheme="majorHAnsi" w:cstheme="majorHAnsi"/>
          <w:lang w:val="en-GB"/>
        </w:rPr>
        <w:t>)</w:t>
      </w:r>
      <w:r w:rsidRPr="00A33AE8">
        <w:rPr>
          <w:rFonts w:asciiTheme="majorHAnsi" w:eastAsia="Calibri" w:hAnsiTheme="majorHAnsi" w:cstheme="majorHAnsi"/>
          <w:lang w:val="en-GB"/>
        </w:rPr>
        <w:t xml:space="preserve">, recording only a sharp and temporary reduction in 2014 due to the temporary GDP decline. As presented in </w:t>
      </w:r>
      <w:r w:rsidR="00CE52D4">
        <w:rPr>
          <w:rFonts w:asciiTheme="majorHAnsi" w:eastAsia="Calibri" w:hAnsiTheme="majorHAnsi" w:cstheme="majorHAnsi"/>
          <w:lang w:val="en-GB"/>
        </w:rPr>
        <w:fldChar w:fldCharType="begin"/>
      </w:r>
      <w:r w:rsidR="00CE52D4">
        <w:rPr>
          <w:rFonts w:asciiTheme="majorHAnsi" w:eastAsia="Calibri" w:hAnsiTheme="majorHAnsi" w:cstheme="majorHAnsi"/>
          <w:lang w:val="en-GB"/>
        </w:rPr>
        <w:instrText xml:space="preserve"> REF _Ref153545565 \h  \* MERGEFORMAT </w:instrText>
      </w:r>
      <w:r w:rsidR="00CE52D4">
        <w:rPr>
          <w:rFonts w:asciiTheme="majorHAnsi" w:eastAsia="Calibri" w:hAnsiTheme="majorHAnsi" w:cstheme="majorHAnsi"/>
          <w:lang w:val="en-GB"/>
        </w:rPr>
      </w:r>
      <w:r w:rsidR="00CE52D4">
        <w:rPr>
          <w:rFonts w:asciiTheme="majorHAnsi" w:eastAsia="Calibri" w:hAnsiTheme="majorHAnsi" w:cstheme="majorHAnsi"/>
          <w:lang w:val="en-GB"/>
        </w:rPr>
        <w:fldChar w:fldCharType="separate"/>
      </w:r>
      <w:r w:rsidR="00CE52D4" w:rsidRPr="0087794A">
        <w:rPr>
          <w:rFonts w:asciiTheme="majorHAnsi" w:eastAsia="Calibri" w:hAnsiTheme="majorHAnsi" w:cstheme="majorHAnsi"/>
          <w:lang w:val="en-GB"/>
        </w:rPr>
        <w:t>Figure 4.23</w:t>
      </w:r>
      <w:r w:rsidR="00CE52D4">
        <w:rPr>
          <w:rFonts w:asciiTheme="majorHAnsi" w:eastAsia="Calibri" w:hAnsiTheme="majorHAnsi" w:cstheme="majorHAnsi"/>
          <w:lang w:val="en-GB"/>
        </w:rPr>
        <w:fldChar w:fldCharType="end"/>
      </w:r>
      <w:r w:rsidR="00324978" w:rsidRPr="0087794A">
        <w:rPr>
          <w:rFonts w:asciiTheme="majorHAnsi" w:eastAsia="Calibri" w:hAnsiTheme="majorHAnsi" w:cstheme="majorHAnsi"/>
          <w:lang w:val="en-GB"/>
        </w:rPr>
        <w:fldChar w:fldCharType="begin"/>
      </w:r>
      <w:r w:rsidR="00324978" w:rsidRPr="0087794A">
        <w:rPr>
          <w:rFonts w:asciiTheme="majorHAnsi" w:eastAsia="Calibri" w:hAnsiTheme="majorHAnsi" w:cstheme="majorHAnsi"/>
          <w:lang w:val="en-GB"/>
        </w:rPr>
        <w:instrText xml:space="preserve"> REF _Ref113633994 \h  \* MERGEFORMAT </w:instrText>
      </w:r>
      <w:r w:rsidR="00324978" w:rsidRPr="0087794A">
        <w:rPr>
          <w:rFonts w:asciiTheme="majorHAnsi" w:eastAsia="Calibri" w:hAnsiTheme="majorHAnsi" w:cstheme="majorHAnsi"/>
          <w:lang w:val="en-GB"/>
        </w:rPr>
      </w:r>
      <w:r w:rsidR="00324978" w:rsidRPr="0087794A">
        <w:rPr>
          <w:rFonts w:asciiTheme="majorHAnsi" w:eastAsia="Calibri" w:hAnsiTheme="majorHAnsi" w:cstheme="majorHAnsi"/>
          <w:lang w:val="en-GB"/>
        </w:rPr>
        <w:fldChar w:fldCharType="end"/>
      </w:r>
      <w:r w:rsidRPr="00A33AE8">
        <w:rPr>
          <w:rFonts w:asciiTheme="majorHAnsi" w:eastAsia="Calibri" w:hAnsiTheme="majorHAnsi" w:cstheme="majorHAnsi"/>
          <w:lang w:val="en-GB"/>
        </w:rPr>
        <w:t xml:space="preserve">, the solid fossil fuels and oil and petroleum products </w:t>
      </w:r>
      <w:r w:rsidR="00C13BBC" w:rsidRPr="00A33AE8">
        <w:rPr>
          <w:rFonts w:asciiTheme="majorHAnsi" w:eastAsia="Calibri" w:hAnsiTheme="majorHAnsi" w:cstheme="majorHAnsi"/>
          <w:lang w:val="en-GB"/>
        </w:rPr>
        <w:t xml:space="preserve">had </w:t>
      </w:r>
      <w:r w:rsidRPr="00A33AE8">
        <w:rPr>
          <w:rFonts w:asciiTheme="majorHAnsi" w:eastAsia="Calibri" w:hAnsiTheme="majorHAnsi" w:cstheme="majorHAnsi"/>
          <w:lang w:val="en-GB"/>
        </w:rPr>
        <w:t xml:space="preserve">a dominant role in the gross inland consumption, with respective shares of 50% and 25% in 2010 and </w:t>
      </w:r>
      <w:r w:rsidR="00813B19" w:rsidRPr="00A33AE8">
        <w:rPr>
          <w:rFonts w:asciiTheme="majorHAnsi" w:eastAsia="Calibri" w:hAnsiTheme="majorHAnsi" w:cstheme="majorHAnsi"/>
          <w:lang w:val="en-GB"/>
        </w:rPr>
        <w:t>50</w:t>
      </w:r>
      <w:r w:rsidRPr="00A33AE8">
        <w:rPr>
          <w:rFonts w:asciiTheme="majorHAnsi" w:eastAsia="Calibri" w:hAnsiTheme="majorHAnsi" w:cstheme="majorHAnsi"/>
          <w:lang w:val="en-GB"/>
        </w:rPr>
        <w:t>% and</w:t>
      </w:r>
      <w:r w:rsidR="00D23F6C" w:rsidRPr="00A33AE8">
        <w:rPr>
          <w:rFonts w:asciiTheme="majorHAnsi" w:eastAsia="Calibri" w:hAnsiTheme="majorHAnsi" w:cstheme="majorHAnsi"/>
          <w:lang w:val="en-GB"/>
        </w:rPr>
        <w:t xml:space="preserve"> 23</w:t>
      </w:r>
      <w:r w:rsidRPr="00A33AE8">
        <w:rPr>
          <w:rFonts w:asciiTheme="majorHAnsi" w:eastAsia="Calibri" w:hAnsiTheme="majorHAnsi" w:cstheme="majorHAnsi"/>
          <w:lang w:val="en-GB"/>
        </w:rPr>
        <w:t>% in 20</w:t>
      </w:r>
      <w:r w:rsidR="00813B19"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while the penetration of RES and biofuels, as well as natural gas </w:t>
      </w:r>
      <w:r w:rsidR="00C13BBC" w:rsidRPr="00A33AE8">
        <w:rPr>
          <w:rFonts w:asciiTheme="majorHAnsi" w:eastAsia="Calibri" w:hAnsiTheme="majorHAnsi" w:cstheme="majorHAnsi"/>
          <w:lang w:val="en-GB"/>
        </w:rPr>
        <w:t xml:space="preserve">was </w:t>
      </w:r>
      <w:r w:rsidRPr="00A33AE8">
        <w:rPr>
          <w:rFonts w:asciiTheme="majorHAnsi" w:eastAsia="Calibri" w:hAnsiTheme="majorHAnsi" w:cstheme="majorHAnsi"/>
          <w:lang w:val="en-GB"/>
        </w:rPr>
        <w:t xml:space="preserve">lower at about </w:t>
      </w:r>
      <w:r w:rsidR="00813B19" w:rsidRPr="00A33AE8">
        <w:rPr>
          <w:rFonts w:asciiTheme="majorHAnsi" w:eastAsia="Calibri" w:hAnsiTheme="majorHAnsi" w:cstheme="majorHAnsi"/>
          <w:lang w:val="en-GB"/>
        </w:rPr>
        <w:t>16</w:t>
      </w:r>
      <w:r w:rsidRPr="00A33AE8">
        <w:rPr>
          <w:rFonts w:asciiTheme="majorHAnsi" w:eastAsia="Calibri" w:hAnsiTheme="majorHAnsi" w:cstheme="majorHAnsi"/>
          <w:lang w:val="en-GB"/>
        </w:rPr>
        <w:t xml:space="preserve">% and 12% in </w:t>
      </w:r>
      <w:r w:rsidR="000D5EF4" w:rsidRPr="00A33AE8">
        <w:rPr>
          <w:rFonts w:asciiTheme="majorHAnsi" w:eastAsia="Calibri" w:hAnsiTheme="majorHAnsi" w:cstheme="majorHAnsi"/>
          <w:lang w:val="en-GB"/>
        </w:rPr>
        <w:t>20</w:t>
      </w:r>
      <w:r w:rsidR="00813B19"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correspondingly.</w:t>
      </w:r>
    </w:p>
    <w:p w14:paraId="5876ACA5" w14:textId="56723792" w:rsidR="00CE52D4" w:rsidRDefault="00CE52D4" w:rsidP="0087794A">
      <w:pPr>
        <w:pStyle w:val="Caption"/>
        <w:keepNext/>
      </w:pPr>
      <w:bookmarkStart w:id="263" w:name="_Ref153545565"/>
      <w:bookmarkStart w:id="264" w:name="_Toc154575230"/>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23</w:t>
      </w:r>
      <w:r w:rsidR="006E0533">
        <w:rPr>
          <w:noProof/>
        </w:rPr>
        <w:fldChar w:fldCharType="end"/>
      </w:r>
      <w:bookmarkEnd w:id="263"/>
      <w:r>
        <w:t xml:space="preserve">: </w:t>
      </w:r>
      <w:r w:rsidRPr="00CE52D4">
        <w:t>Gross inland consumption over 2010-2020 (Source: Eurostat, 2023)</w:t>
      </w:r>
      <w:bookmarkEnd w:id="264"/>
    </w:p>
    <w:p w14:paraId="4D7DB33E" w14:textId="77777777" w:rsidR="00365CEB" w:rsidRPr="00A33AE8" w:rsidRDefault="00C26423" w:rsidP="00365CEB">
      <w:pPr>
        <w:keepNext/>
        <w:jc w:val="center"/>
      </w:pPr>
      <w:r w:rsidRPr="000007D2">
        <w:rPr>
          <w:noProof/>
          <w:lang w:val="en-US"/>
        </w:rPr>
        <w:drawing>
          <wp:inline distT="0" distB="0" distL="0" distR="0" wp14:anchorId="7DFD2A99" wp14:editId="7458219F">
            <wp:extent cx="6009640" cy="273376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16763" cy="2737004"/>
                    </a:xfrm>
                    <a:prstGeom prst="rect">
                      <a:avLst/>
                    </a:prstGeom>
                    <a:noFill/>
                  </pic:spPr>
                </pic:pic>
              </a:graphicData>
            </a:graphic>
          </wp:inline>
        </w:drawing>
      </w:r>
    </w:p>
    <w:p w14:paraId="6A522F42" w14:textId="5BC26F56" w:rsidR="00365CEB" w:rsidRPr="00A33AE8" w:rsidRDefault="00365CEB" w:rsidP="00365CEB">
      <w:pPr>
        <w:pStyle w:val="LDKbody"/>
        <w:rPr>
          <w:rFonts w:asciiTheme="majorHAnsi" w:eastAsia="Calibri" w:hAnsiTheme="majorHAnsi" w:cstheme="majorHAnsi"/>
          <w:lang w:val="en-GB"/>
        </w:rPr>
      </w:pPr>
      <w:r w:rsidRPr="00A33AE8">
        <w:rPr>
          <w:rFonts w:asciiTheme="majorHAnsi" w:eastAsia="Calibri" w:hAnsiTheme="majorHAnsi" w:cstheme="majorHAnsi"/>
          <w:lang w:val="en-GB"/>
        </w:rPr>
        <w:t>The primary and final energy consumption were stable at about</w:t>
      </w:r>
      <w:r w:rsidR="00D23F6C" w:rsidRPr="00A33AE8">
        <w:rPr>
          <w:rFonts w:asciiTheme="majorHAnsi" w:eastAsia="Calibri" w:hAnsiTheme="majorHAnsi" w:cstheme="majorHAnsi"/>
          <w:lang w:val="en-GB"/>
        </w:rPr>
        <w:t xml:space="preserve"> 15.0</w:t>
      </w:r>
      <w:r w:rsidRPr="00A33AE8">
        <w:rPr>
          <w:rFonts w:asciiTheme="majorHAnsi" w:eastAsia="Calibri" w:hAnsiTheme="majorHAnsi" w:cstheme="majorHAnsi"/>
          <w:lang w:val="en-GB"/>
        </w:rPr>
        <w:t xml:space="preserve"> Mtoe and 9</w:t>
      </w:r>
      <w:r w:rsidR="00D23F6C" w:rsidRPr="00A33AE8">
        <w:rPr>
          <w:rFonts w:asciiTheme="majorHAnsi" w:eastAsia="Calibri" w:hAnsiTheme="majorHAnsi" w:cstheme="majorHAnsi"/>
          <w:lang w:val="en-GB"/>
        </w:rPr>
        <w:t>.0</w:t>
      </w:r>
      <w:r w:rsidRPr="00A33AE8">
        <w:rPr>
          <w:rFonts w:asciiTheme="majorHAnsi" w:eastAsia="Calibri" w:hAnsiTheme="majorHAnsi" w:cstheme="majorHAnsi"/>
          <w:lang w:val="en-GB"/>
        </w:rPr>
        <w:t xml:space="preserve"> Mtoe respectively during 2010-20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as presented in </w:t>
      </w:r>
      <w:r w:rsidR="00324978" w:rsidRPr="000007D2">
        <w:rPr>
          <w:lang w:val="en-GB"/>
        </w:rPr>
        <w:fldChar w:fldCharType="begin"/>
      </w:r>
      <w:r w:rsidR="00324978" w:rsidRPr="000007D2">
        <w:rPr>
          <w:lang w:val="en-GB"/>
        </w:rPr>
        <w:instrText xml:space="preserve"> REF _Ref113634010 \h  \* MERGEFORMAT </w:instrText>
      </w:r>
      <w:r w:rsidR="00324978" w:rsidRPr="000007D2">
        <w:rPr>
          <w:lang w:val="en-GB"/>
        </w:rPr>
      </w:r>
      <w:r w:rsidR="00324978" w:rsidRPr="000007D2">
        <w:rPr>
          <w:lang w:val="en-GB"/>
        </w:rPr>
        <w:fldChar w:fldCharType="separate"/>
      </w:r>
      <w:r w:rsidR="00324978" w:rsidRPr="00A33AE8">
        <w:rPr>
          <w:rFonts w:asciiTheme="majorHAnsi" w:hAnsiTheme="majorHAnsi" w:cstheme="majorHAnsi"/>
          <w:lang w:val="en-GB"/>
        </w:rPr>
        <w:t>Figure 4.2</w:t>
      </w:r>
      <w:r w:rsidR="00324978">
        <w:rPr>
          <w:rFonts w:asciiTheme="majorHAnsi" w:hAnsiTheme="majorHAnsi" w:cstheme="majorHAnsi"/>
          <w:lang w:val="en-GB"/>
        </w:rPr>
        <w:t>4</w:t>
      </w:r>
      <w:r w:rsidR="00324978" w:rsidRPr="000007D2">
        <w:rPr>
          <w:lang w:val="en-GB"/>
        </w:rPr>
        <w:fldChar w:fldCharType="end"/>
      </w:r>
      <w:r w:rsidRPr="00A33AE8">
        <w:rPr>
          <w:rFonts w:asciiTheme="majorHAnsi" w:eastAsia="Calibri" w:hAnsiTheme="majorHAnsi" w:cstheme="majorHAnsi"/>
          <w:lang w:val="en-GB"/>
        </w:rPr>
        <w:t>. More specifically, the primary and final energy consumption increased from 2010 to 2011 and then a downward trend was recorded by 2014. Since 2015, a slight increase was experienced until 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from 14.2 Mtoe in 2015 to</w:t>
      </w:r>
      <w:r w:rsidR="00D23F6C" w:rsidRPr="00A33AE8">
        <w:rPr>
          <w:rFonts w:asciiTheme="majorHAnsi" w:eastAsia="Calibri" w:hAnsiTheme="majorHAnsi" w:cstheme="majorHAnsi"/>
          <w:lang w:val="en-GB"/>
        </w:rPr>
        <w:t xml:space="preserve"> 15.2</w:t>
      </w:r>
      <w:r w:rsidRPr="00A33AE8">
        <w:rPr>
          <w:rFonts w:asciiTheme="majorHAnsi" w:eastAsia="Calibri" w:hAnsiTheme="majorHAnsi" w:cstheme="majorHAnsi"/>
          <w:lang w:val="en-GB"/>
        </w:rPr>
        <w:t xml:space="preserve"> Mtoe in 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for primary energy consumption and from 8.2 Mtoe in 2015 to 9.</w:t>
      </w:r>
      <w:r w:rsidR="00D23F6C" w:rsidRPr="00A33AE8">
        <w:rPr>
          <w:rFonts w:asciiTheme="majorHAnsi" w:eastAsia="Calibri" w:hAnsiTheme="majorHAnsi" w:cstheme="majorHAnsi"/>
          <w:lang w:val="en-GB"/>
        </w:rPr>
        <w:t>11</w:t>
      </w:r>
      <w:r w:rsidRPr="00A33AE8">
        <w:rPr>
          <w:rFonts w:asciiTheme="majorHAnsi" w:eastAsia="Calibri" w:hAnsiTheme="majorHAnsi" w:cstheme="majorHAnsi"/>
          <w:lang w:val="en-GB"/>
        </w:rPr>
        <w:t>0 Mtoe in 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for final energy consumption.</w:t>
      </w:r>
      <w:r w:rsidR="00C13BBC" w:rsidRPr="00A33AE8">
        <w:rPr>
          <w:rFonts w:asciiTheme="majorHAnsi" w:eastAsia="Calibri" w:hAnsiTheme="majorHAnsi" w:cstheme="majorHAnsi"/>
          <w:lang w:val="en-GB"/>
        </w:rPr>
        <w:t xml:space="preserve"> It should be noted that the primary energy consumption is derived from the gross inland consumption, excluding all non-energy use of energy carriers (e.g. natural gas used not for combustion but for producing chemicals).</w:t>
      </w:r>
    </w:p>
    <w:p w14:paraId="0C0CC436" w14:textId="531BE9A3" w:rsidR="00365CEB" w:rsidRPr="00A33AE8" w:rsidRDefault="00365CEB" w:rsidP="00365CEB">
      <w:pPr>
        <w:pStyle w:val="Caption"/>
      </w:pPr>
      <w:bookmarkStart w:id="265" w:name="_Ref113634010"/>
      <w:bookmarkStart w:id="266" w:name="_Toc118992293"/>
      <w:bookmarkStart w:id="267" w:name="_Toc154575231"/>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24</w:t>
      </w:r>
      <w:r w:rsidR="00B62877">
        <w:rPr>
          <w:lang w:eastAsia="el-GR"/>
        </w:rPr>
        <w:fldChar w:fldCharType="end"/>
      </w:r>
      <w:bookmarkEnd w:id="265"/>
      <w:r w:rsidRPr="00A33AE8">
        <w:rPr>
          <w:lang w:eastAsia="el-GR"/>
        </w:rPr>
        <w:t>: Primary and final energy consumption over 2010-20</w:t>
      </w:r>
      <w:r w:rsidR="002D4704" w:rsidRPr="00A33AE8">
        <w:rPr>
          <w:lang w:eastAsia="el-GR"/>
        </w:rPr>
        <w:t>20</w:t>
      </w:r>
      <w:r w:rsidRPr="00A33AE8">
        <w:rPr>
          <w:lang w:eastAsia="el-GR"/>
        </w:rPr>
        <w:t xml:space="preserve"> (Source: Eurostat, 202</w:t>
      </w:r>
      <w:r w:rsidR="002D4704" w:rsidRPr="00A33AE8">
        <w:rPr>
          <w:lang w:eastAsia="el-GR"/>
        </w:rPr>
        <w:t>3</w:t>
      </w:r>
      <w:r w:rsidRPr="00A33AE8">
        <w:rPr>
          <w:lang w:eastAsia="el-GR"/>
        </w:rPr>
        <w:t>)</w:t>
      </w:r>
      <w:bookmarkEnd w:id="266"/>
      <w:bookmarkEnd w:id="267"/>
    </w:p>
    <w:p w14:paraId="60D00709" w14:textId="77777777" w:rsidR="00365CEB" w:rsidRPr="00A33AE8" w:rsidRDefault="00AF35C7" w:rsidP="00365CEB">
      <w:pPr>
        <w:keepNext/>
        <w:spacing w:after="120"/>
        <w:jc w:val="center"/>
      </w:pPr>
      <w:r w:rsidRPr="000007D2">
        <w:rPr>
          <w:noProof/>
          <w:lang w:val="en-US"/>
        </w:rPr>
        <w:drawing>
          <wp:inline distT="0" distB="0" distL="0" distR="0" wp14:anchorId="3D1EAFEE" wp14:editId="5D501A4C">
            <wp:extent cx="4486910" cy="270700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86910" cy="2707005"/>
                    </a:xfrm>
                    <a:prstGeom prst="rect">
                      <a:avLst/>
                    </a:prstGeom>
                    <a:noFill/>
                  </pic:spPr>
                </pic:pic>
              </a:graphicData>
            </a:graphic>
          </wp:inline>
        </w:drawing>
      </w:r>
    </w:p>
    <w:p w14:paraId="27AABFAF" w14:textId="7EB45C18" w:rsidR="00365CEB" w:rsidRPr="00A33AE8" w:rsidRDefault="00365CEB" w:rsidP="00365CEB">
      <w:pPr>
        <w:pStyle w:val="LDKbody"/>
        <w:rPr>
          <w:rFonts w:asciiTheme="majorHAnsi" w:eastAsia="Calibri" w:hAnsiTheme="majorHAnsi" w:cstheme="majorHAnsi"/>
          <w:lang w:val="en-GB"/>
        </w:rPr>
      </w:pPr>
      <w:r w:rsidRPr="00A33AE8">
        <w:rPr>
          <w:rFonts w:asciiTheme="majorHAnsi" w:eastAsia="Calibri" w:hAnsiTheme="majorHAnsi" w:cstheme="majorHAnsi"/>
          <w:lang w:val="en-GB"/>
        </w:rPr>
        <w:t xml:space="preserve">As shown in </w:t>
      </w:r>
      <w:r w:rsidR="00CE52D4">
        <w:rPr>
          <w:rFonts w:asciiTheme="majorHAnsi" w:eastAsia="Calibri" w:hAnsiTheme="majorHAnsi" w:cstheme="majorHAnsi"/>
          <w:lang w:val="en-GB"/>
        </w:rPr>
        <w:fldChar w:fldCharType="begin"/>
      </w:r>
      <w:r w:rsidR="00CE52D4">
        <w:rPr>
          <w:rFonts w:asciiTheme="majorHAnsi" w:eastAsia="Calibri" w:hAnsiTheme="majorHAnsi" w:cstheme="majorHAnsi"/>
          <w:lang w:val="en-GB"/>
        </w:rPr>
        <w:instrText xml:space="preserve"> REF _Ref153545638 \h  \* MERGEFORMAT </w:instrText>
      </w:r>
      <w:r w:rsidR="00CE52D4">
        <w:rPr>
          <w:rFonts w:asciiTheme="majorHAnsi" w:eastAsia="Calibri" w:hAnsiTheme="majorHAnsi" w:cstheme="majorHAnsi"/>
          <w:lang w:val="en-GB"/>
        </w:rPr>
      </w:r>
      <w:r w:rsidR="00CE52D4">
        <w:rPr>
          <w:rFonts w:asciiTheme="majorHAnsi" w:eastAsia="Calibri" w:hAnsiTheme="majorHAnsi" w:cstheme="majorHAnsi"/>
          <w:lang w:val="en-GB"/>
        </w:rPr>
        <w:fldChar w:fldCharType="separate"/>
      </w:r>
      <w:r w:rsidR="00CE52D4" w:rsidRPr="0087794A">
        <w:rPr>
          <w:rFonts w:asciiTheme="majorHAnsi" w:eastAsia="Calibri" w:hAnsiTheme="majorHAnsi" w:cstheme="majorHAnsi"/>
          <w:lang w:val="en-GB"/>
        </w:rPr>
        <w:t>Figure 4.25</w:t>
      </w:r>
      <w:r w:rsidR="00CE52D4">
        <w:rPr>
          <w:rFonts w:asciiTheme="majorHAnsi" w:eastAsia="Calibri" w:hAnsiTheme="majorHAnsi" w:cstheme="majorHAnsi"/>
          <w:lang w:val="en-GB"/>
        </w:rPr>
        <w:fldChar w:fldCharType="end"/>
      </w:r>
      <w:r w:rsidR="00324978" w:rsidRPr="0087794A">
        <w:rPr>
          <w:rFonts w:asciiTheme="majorHAnsi" w:eastAsia="Calibri" w:hAnsiTheme="majorHAnsi" w:cstheme="majorHAnsi"/>
          <w:lang w:val="en-GB"/>
        </w:rPr>
        <w:fldChar w:fldCharType="begin"/>
      </w:r>
      <w:r w:rsidR="00324978" w:rsidRPr="0087794A">
        <w:rPr>
          <w:rFonts w:asciiTheme="majorHAnsi" w:eastAsia="Calibri" w:hAnsiTheme="majorHAnsi" w:cstheme="majorHAnsi"/>
          <w:lang w:val="en-GB"/>
        </w:rPr>
        <w:instrText xml:space="preserve"> REF _Ref113634025 \h  \* MERGEFORMAT </w:instrText>
      </w:r>
      <w:r w:rsidR="00324978" w:rsidRPr="0087794A">
        <w:rPr>
          <w:rFonts w:asciiTheme="majorHAnsi" w:eastAsia="Calibri" w:hAnsiTheme="majorHAnsi" w:cstheme="majorHAnsi"/>
          <w:lang w:val="en-GB"/>
        </w:rPr>
      </w:r>
      <w:r w:rsidR="00324978" w:rsidRPr="0087794A">
        <w:rPr>
          <w:rFonts w:asciiTheme="majorHAnsi" w:eastAsia="Calibri" w:hAnsiTheme="majorHAnsi" w:cstheme="majorHAnsi"/>
          <w:lang w:val="en-GB"/>
        </w:rPr>
        <w:fldChar w:fldCharType="end"/>
      </w:r>
      <w:r w:rsidRPr="00A33AE8">
        <w:rPr>
          <w:rFonts w:asciiTheme="majorHAnsi" w:eastAsia="Calibri" w:hAnsiTheme="majorHAnsi" w:cstheme="majorHAnsi"/>
          <w:lang w:val="en-GB"/>
        </w:rPr>
        <w:t xml:space="preserve">, the final energy consumption decreased by </w:t>
      </w:r>
      <w:r w:rsidR="00D23F6C" w:rsidRPr="00A33AE8">
        <w:rPr>
          <w:rFonts w:asciiTheme="majorHAnsi" w:eastAsia="Calibri" w:hAnsiTheme="majorHAnsi" w:cstheme="majorHAnsi"/>
          <w:lang w:val="en-GB"/>
        </w:rPr>
        <w:t>0.5</w:t>
      </w:r>
      <w:r w:rsidRPr="00A33AE8">
        <w:rPr>
          <w:rFonts w:asciiTheme="majorHAnsi" w:eastAsia="Calibri" w:hAnsiTheme="majorHAnsi" w:cstheme="majorHAnsi"/>
          <w:lang w:val="en-GB"/>
        </w:rPr>
        <w:t>% in the period 2010-20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More specifically, the final energy consumption was reduced in the period 2012-2014 after a temporary increase in 2011, while an increasing trend has been observed from 2015 to 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The shares of the different energy carriers remained almost identical in 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in comparison with 2010</w:t>
      </w:r>
      <w:r w:rsidR="00C13BBC" w:rsidRPr="00A33AE8">
        <w:rPr>
          <w:rFonts w:asciiTheme="majorHAnsi" w:eastAsia="Calibri" w:hAnsiTheme="majorHAnsi" w:cstheme="majorHAnsi"/>
          <w:lang w:val="en-GB"/>
        </w:rPr>
        <w:t>.</w:t>
      </w:r>
    </w:p>
    <w:p w14:paraId="5C886720" w14:textId="77777777" w:rsidR="00C13BBC" w:rsidRPr="00A33AE8" w:rsidRDefault="00C13BBC" w:rsidP="00365CEB">
      <w:pPr>
        <w:pStyle w:val="LDKbody"/>
        <w:rPr>
          <w:rFonts w:asciiTheme="majorHAnsi" w:eastAsia="Calibri" w:hAnsiTheme="majorHAnsi" w:cstheme="majorHAnsi"/>
          <w:lang w:val="en-GB"/>
        </w:rPr>
      </w:pPr>
      <w:bookmarkStart w:id="268" w:name="_Hlk110937900"/>
      <w:r w:rsidRPr="00A33AE8">
        <w:rPr>
          <w:rFonts w:asciiTheme="majorHAnsi" w:eastAsia="Calibri" w:hAnsiTheme="majorHAnsi" w:cstheme="majorHAnsi"/>
          <w:lang w:val="en-GB"/>
        </w:rPr>
        <w:t>The fact that the primary and final energy consumption remained relatively constant despite the considerable increase of the GDP is an indication for the contribution of the promoted energy efficiency technologies and equipment in all end-use sectors.</w:t>
      </w:r>
      <w:bookmarkEnd w:id="268"/>
    </w:p>
    <w:p w14:paraId="505A71FE" w14:textId="2CB51012" w:rsidR="00CE52D4" w:rsidRDefault="00CE52D4" w:rsidP="0087794A">
      <w:pPr>
        <w:pStyle w:val="Caption"/>
        <w:keepNext/>
      </w:pPr>
      <w:bookmarkStart w:id="269" w:name="_Ref153545638"/>
      <w:bookmarkStart w:id="270" w:name="_Toc154575232"/>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25</w:t>
      </w:r>
      <w:r w:rsidR="006E0533">
        <w:rPr>
          <w:noProof/>
        </w:rPr>
        <w:fldChar w:fldCharType="end"/>
      </w:r>
      <w:bookmarkEnd w:id="269"/>
      <w:r>
        <w:t xml:space="preserve">: </w:t>
      </w:r>
      <w:r w:rsidRPr="00CE52D4">
        <w:t>Final energy consumption by fuel over 2010-2020 (Source: Eurostat, 2023)</w:t>
      </w:r>
      <w:bookmarkEnd w:id="270"/>
    </w:p>
    <w:p w14:paraId="475F6668" w14:textId="77777777" w:rsidR="00365CEB" w:rsidRPr="00A33AE8" w:rsidRDefault="0014029C" w:rsidP="00365CEB">
      <w:pPr>
        <w:keepNext/>
        <w:jc w:val="center"/>
      </w:pPr>
      <w:r w:rsidRPr="000007D2">
        <w:rPr>
          <w:noProof/>
          <w:lang w:val="en-US"/>
        </w:rPr>
        <w:drawing>
          <wp:inline distT="0" distB="0" distL="0" distR="0" wp14:anchorId="0F556038" wp14:editId="5958F652">
            <wp:extent cx="5996305" cy="3207710"/>
            <wp:effectExtent l="0" t="0" r="4445" b="0"/>
            <wp:docPr id="1942164916" name="Picture 194216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5327" cy="3212536"/>
                    </a:xfrm>
                    <a:prstGeom prst="rect">
                      <a:avLst/>
                    </a:prstGeom>
                    <a:noFill/>
                  </pic:spPr>
                </pic:pic>
              </a:graphicData>
            </a:graphic>
          </wp:inline>
        </w:drawing>
      </w:r>
    </w:p>
    <w:p w14:paraId="31E87262" w14:textId="77777777" w:rsidR="006554D4" w:rsidRPr="00A33AE8" w:rsidRDefault="00365CEB" w:rsidP="006554D4">
      <w:pPr>
        <w:pStyle w:val="LDKbody"/>
        <w:rPr>
          <w:rFonts w:asciiTheme="majorHAnsi" w:eastAsia="Calibri" w:hAnsiTheme="majorHAnsi" w:cstheme="majorHAnsi"/>
          <w:lang w:val="en-GB"/>
        </w:rPr>
      </w:pPr>
      <w:r w:rsidRPr="00A33AE8">
        <w:rPr>
          <w:rFonts w:asciiTheme="majorHAnsi" w:eastAsia="Calibri" w:hAnsiTheme="majorHAnsi" w:cstheme="majorHAnsi"/>
          <w:lang w:val="en-GB"/>
        </w:rPr>
        <w:t>In 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the residential sector was responsible for</w:t>
      </w:r>
      <w:r w:rsidR="00D23F6C" w:rsidRPr="00A33AE8">
        <w:rPr>
          <w:rFonts w:asciiTheme="majorHAnsi" w:eastAsia="Calibri" w:hAnsiTheme="majorHAnsi" w:cstheme="majorHAnsi"/>
          <w:lang w:val="en-GB"/>
        </w:rPr>
        <w:t xml:space="preserve"> 40</w:t>
      </w:r>
      <w:r w:rsidRPr="00A33AE8">
        <w:rPr>
          <w:rFonts w:asciiTheme="majorHAnsi" w:eastAsia="Calibri" w:hAnsiTheme="majorHAnsi" w:cstheme="majorHAnsi"/>
          <w:lang w:val="en-GB"/>
        </w:rPr>
        <w:t xml:space="preserve">% of the final energy consumption, while the industrial and transport sectors had shares equal to </w:t>
      </w:r>
      <w:r w:rsidR="00D23F6C" w:rsidRPr="00A33AE8">
        <w:rPr>
          <w:rFonts w:asciiTheme="majorHAnsi" w:eastAsia="Calibri" w:hAnsiTheme="majorHAnsi" w:cstheme="majorHAnsi"/>
          <w:lang w:val="en-GB"/>
        </w:rPr>
        <w:t>23</w:t>
      </w:r>
      <w:r w:rsidRPr="00A33AE8">
        <w:rPr>
          <w:rFonts w:asciiTheme="majorHAnsi" w:eastAsia="Calibri" w:hAnsiTheme="majorHAnsi" w:cstheme="majorHAnsi"/>
          <w:lang w:val="en-GB"/>
        </w:rPr>
        <w:t xml:space="preserve">% and </w:t>
      </w:r>
      <w:r w:rsidR="00D23F6C" w:rsidRPr="00A33AE8">
        <w:rPr>
          <w:rFonts w:asciiTheme="majorHAnsi" w:eastAsia="Calibri" w:hAnsiTheme="majorHAnsi" w:cstheme="majorHAnsi"/>
          <w:lang w:val="en-GB"/>
        </w:rPr>
        <w:t>25</w:t>
      </w:r>
      <w:r w:rsidRPr="00A33AE8">
        <w:rPr>
          <w:rFonts w:asciiTheme="majorHAnsi" w:eastAsia="Calibri" w:hAnsiTheme="majorHAnsi" w:cstheme="majorHAnsi"/>
          <w:lang w:val="en-GB"/>
        </w:rPr>
        <w:t xml:space="preserve">% respectively, as presented in </w:t>
      </w:r>
      <w:r w:rsidR="00324978" w:rsidRPr="000007D2">
        <w:rPr>
          <w:lang w:val="en-GB"/>
        </w:rPr>
        <w:fldChar w:fldCharType="begin"/>
      </w:r>
      <w:r w:rsidR="00324978" w:rsidRPr="000007D2">
        <w:rPr>
          <w:lang w:val="en-GB"/>
        </w:rPr>
        <w:instrText xml:space="preserve"> REF _Ref113634045 \h  \* MERGEFORMAT </w:instrText>
      </w:r>
      <w:r w:rsidR="00324978" w:rsidRPr="000007D2">
        <w:rPr>
          <w:lang w:val="en-GB"/>
        </w:rPr>
      </w:r>
      <w:r w:rsidR="00324978" w:rsidRPr="000007D2">
        <w:rPr>
          <w:lang w:val="en-GB"/>
        </w:rPr>
        <w:fldChar w:fldCharType="separate"/>
      </w:r>
      <w:r w:rsidR="00324978" w:rsidRPr="00A33AE8">
        <w:rPr>
          <w:rFonts w:asciiTheme="majorHAnsi" w:hAnsiTheme="majorHAnsi" w:cstheme="majorHAnsi"/>
          <w:lang w:val="en-GB"/>
        </w:rPr>
        <w:t>Figure 4.2</w:t>
      </w:r>
      <w:r w:rsidR="00324978">
        <w:rPr>
          <w:rFonts w:asciiTheme="majorHAnsi" w:hAnsiTheme="majorHAnsi" w:cstheme="majorHAnsi"/>
          <w:lang w:val="en-GB"/>
        </w:rPr>
        <w:t>6</w:t>
      </w:r>
      <w:r w:rsidR="00324978" w:rsidRPr="000007D2">
        <w:rPr>
          <w:lang w:val="en-GB"/>
        </w:rPr>
        <w:fldChar w:fldCharType="end"/>
      </w:r>
      <w:r w:rsidRPr="00A33AE8">
        <w:rPr>
          <w:rFonts w:asciiTheme="majorHAnsi" w:eastAsia="Calibri" w:hAnsiTheme="majorHAnsi" w:cstheme="majorHAnsi"/>
          <w:lang w:val="en-GB"/>
        </w:rPr>
        <w:t>. The final energy consumption of the</w:t>
      </w:r>
      <w:r w:rsidR="009E5F59"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industrial and transport sectors decreased in the period 2010-20</w:t>
      </w:r>
      <w:r w:rsidR="00D23F6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by</w:t>
      </w:r>
      <w:r w:rsidR="00D23F6C" w:rsidRPr="00A33AE8">
        <w:rPr>
          <w:rFonts w:asciiTheme="majorHAnsi" w:eastAsia="Calibri" w:hAnsiTheme="majorHAnsi" w:cstheme="majorHAnsi"/>
          <w:lang w:val="en-GB"/>
        </w:rPr>
        <w:t xml:space="preserve"> 17</w:t>
      </w:r>
      <w:r w:rsidRPr="00A33AE8">
        <w:rPr>
          <w:rFonts w:asciiTheme="majorHAnsi" w:eastAsia="Calibri" w:hAnsiTheme="majorHAnsi" w:cstheme="majorHAnsi"/>
          <w:lang w:val="en-GB"/>
        </w:rPr>
        <w:t xml:space="preserve">% and </w:t>
      </w:r>
      <w:r w:rsidR="00D23F6C" w:rsidRPr="00A33AE8">
        <w:rPr>
          <w:rFonts w:asciiTheme="majorHAnsi" w:eastAsia="Calibri" w:hAnsiTheme="majorHAnsi" w:cstheme="majorHAnsi"/>
          <w:lang w:val="en-GB"/>
        </w:rPr>
        <w:t>1.5</w:t>
      </w:r>
      <w:r w:rsidRPr="00A33AE8">
        <w:rPr>
          <w:rFonts w:asciiTheme="majorHAnsi" w:eastAsia="Calibri" w:hAnsiTheme="majorHAnsi" w:cstheme="majorHAnsi"/>
          <w:lang w:val="en-GB"/>
        </w:rPr>
        <w:t>% respectively</w:t>
      </w:r>
      <w:r w:rsidR="00D23F6C" w:rsidRPr="00A33AE8">
        <w:rPr>
          <w:rFonts w:asciiTheme="majorHAnsi" w:eastAsia="Calibri" w:hAnsiTheme="majorHAnsi" w:cstheme="majorHAnsi"/>
          <w:lang w:val="en-GB"/>
        </w:rPr>
        <w:t>, while</w:t>
      </w:r>
      <w:r w:rsidR="00C13BBC" w:rsidRPr="00A33AE8">
        <w:rPr>
          <w:rFonts w:asciiTheme="majorHAnsi" w:eastAsia="Calibri" w:hAnsiTheme="majorHAnsi" w:cstheme="majorHAnsi"/>
          <w:lang w:val="en-GB"/>
        </w:rPr>
        <w:t xml:space="preserve"> the </w:t>
      </w:r>
      <w:r w:rsidR="00D23F6C" w:rsidRPr="00A33AE8">
        <w:rPr>
          <w:rFonts w:asciiTheme="majorHAnsi" w:eastAsia="Calibri" w:hAnsiTheme="majorHAnsi" w:cstheme="majorHAnsi"/>
          <w:lang w:val="en-GB"/>
        </w:rPr>
        <w:t>final</w:t>
      </w:r>
      <w:r w:rsidR="00C13BBC" w:rsidRPr="00A33AE8">
        <w:rPr>
          <w:rFonts w:asciiTheme="majorHAnsi" w:eastAsia="Calibri" w:hAnsiTheme="majorHAnsi" w:cstheme="majorHAnsi"/>
          <w:lang w:val="en-GB"/>
        </w:rPr>
        <w:t xml:space="preserve"> energy </w:t>
      </w:r>
      <w:r w:rsidR="00D23F6C" w:rsidRPr="00A33AE8">
        <w:rPr>
          <w:rFonts w:asciiTheme="majorHAnsi" w:eastAsia="Calibri" w:hAnsiTheme="majorHAnsi" w:cstheme="majorHAnsi"/>
          <w:lang w:val="en-GB"/>
        </w:rPr>
        <w:t>consumption of the residential sector increased by 13.3% over the same period</w:t>
      </w:r>
      <w:r w:rsidRPr="00A33AE8">
        <w:rPr>
          <w:rFonts w:asciiTheme="majorHAnsi" w:eastAsia="Calibri" w:hAnsiTheme="majorHAnsi" w:cstheme="majorHAnsi"/>
          <w:lang w:val="en-GB"/>
        </w:rPr>
        <w:t xml:space="preserve">. The contribution of the services and agricultural sectors </w:t>
      </w:r>
      <w:r w:rsidR="00C13BBC" w:rsidRPr="00A33AE8">
        <w:rPr>
          <w:rFonts w:asciiTheme="majorHAnsi" w:eastAsia="Calibri" w:hAnsiTheme="majorHAnsi" w:cstheme="majorHAnsi"/>
          <w:lang w:val="en-GB"/>
        </w:rPr>
        <w:t xml:space="preserve">to the final energy consumption </w:t>
      </w:r>
      <w:r w:rsidRPr="00A33AE8">
        <w:rPr>
          <w:rFonts w:asciiTheme="majorHAnsi" w:eastAsia="Calibri" w:hAnsiTheme="majorHAnsi" w:cstheme="majorHAnsi"/>
          <w:lang w:val="en-GB"/>
        </w:rPr>
        <w:t>was considerably lower in the period 2010-20</w:t>
      </w:r>
      <w:r w:rsidR="00D23F6C" w:rsidRPr="00A33AE8">
        <w:rPr>
          <w:rFonts w:asciiTheme="majorHAnsi" w:eastAsia="Calibri" w:hAnsiTheme="majorHAnsi" w:cstheme="majorHAnsi"/>
          <w:lang w:val="en-GB"/>
        </w:rPr>
        <w:t>20</w:t>
      </w:r>
      <w:r w:rsidR="00C13BBC" w:rsidRPr="00A33AE8">
        <w:rPr>
          <w:rFonts w:asciiTheme="majorHAnsi" w:eastAsia="Calibri" w:hAnsiTheme="majorHAnsi" w:cstheme="majorHAnsi"/>
          <w:lang w:val="en-GB"/>
        </w:rPr>
        <w:t xml:space="preserve"> compared to the other end-use sectors</w:t>
      </w:r>
      <w:r w:rsidRPr="00A33AE8">
        <w:rPr>
          <w:rFonts w:asciiTheme="majorHAnsi" w:eastAsia="Calibri" w:hAnsiTheme="majorHAnsi" w:cstheme="majorHAnsi"/>
          <w:lang w:val="en-GB"/>
        </w:rPr>
        <w:t>.</w:t>
      </w:r>
    </w:p>
    <w:p w14:paraId="617C861D" w14:textId="74414584" w:rsidR="00365CEB" w:rsidRPr="00A33AE8" w:rsidRDefault="00365CEB" w:rsidP="00365CEB">
      <w:pPr>
        <w:pStyle w:val="Caption"/>
      </w:pPr>
      <w:bookmarkStart w:id="271" w:name="_Ref113634045"/>
      <w:bookmarkStart w:id="272" w:name="_Toc118992295"/>
      <w:bookmarkStart w:id="273" w:name="_Toc154575233"/>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26</w:t>
      </w:r>
      <w:r w:rsidR="00B62877">
        <w:rPr>
          <w:lang w:eastAsia="el-GR"/>
        </w:rPr>
        <w:fldChar w:fldCharType="end"/>
      </w:r>
      <w:bookmarkEnd w:id="271"/>
      <w:r w:rsidRPr="00A33AE8">
        <w:rPr>
          <w:lang w:eastAsia="el-GR"/>
        </w:rPr>
        <w:t>: Final energy consumption by end-use sector over 2010-20</w:t>
      </w:r>
      <w:r w:rsidR="00D23F6C" w:rsidRPr="00A33AE8">
        <w:rPr>
          <w:lang w:eastAsia="el-GR"/>
        </w:rPr>
        <w:t>20</w:t>
      </w:r>
      <w:r w:rsidRPr="00A33AE8">
        <w:rPr>
          <w:lang w:eastAsia="el-GR"/>
        </w:rPr>
        <w:t xml:space="preserve"> (Source: Eurostat, 202</w:t>
      </w:r>
      <w:r w:rsidR="00D23F6C" w:rsidRPr="00A33AE8">
        <w:rPr>
          <w:lang w:eastAsia="el-GR"/>
        </w:rPr>
        <w:t>3</w:t>
      </w:r>
      <w:r w:rsidRPr="00A33AE8">
        <w:rPr>
          <w:lang w:eastAsia="el-GR"/>
        </w:rPr>
        <w:t>)</w:t>
      </w:r>
      <w:bookmarkEnd w:id="272"/>
      <w:bookmarkEnd w:id="273"/>
    </w:p>
    <w:p w14:paraId="0131E94B" w14:textId="77777777" w:rsidR="00C13BBC" w:rsidRPr="00A33AE8" w:rsidRDefault="00937D60" w:rsidP="00DE6756">
      <w:pPr>
        <w:keepNext/>
        <w:jc w:val="center"/>
      </w:pPr>
      <w:r w:rsidRPr="000007D2">
        <w:rPr>
          <w:noProof/>
          <w:lang w:val="en-US"/>
        </w:rPr>
        <w:drawing>
          <wp:inline distT="0" distB="0" distL="0" distR="0" wp14:anchorId="6EA5DEA5" wp14:editId="6C5B4BC3">
            <wp:extent cx="5390601" cy="3075940"/>
            <wp:effectExtent l="0" t="0" r="635" b="0"/>
            <wp:docPr id="159185973" name="Picture 15918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8605" cy="3080507"/>
                    </a:xfrm>
                    <a:prstGeom prst="rect">
                      <a:avLst/>
                    </a:prstGeom>
                    <a:noFill/>
                  </pic:spPr>
                </pic:pic>
              </a:graphicData>
            </a:graphic>
          </wp:inline>
        </w:drawing>
      </w:r>
    </w:p>
    <w:p w14:paraId="72CFA527" w14:textId="77777777" w:rsidR="00524F38" w:rsidRPr="00A33AE8" w:rsidRDefault="00524F38" w:rsidP="00884F3B">
      <w:pPr>
        <w:pStyle w:val="Heading4"/>
        <w:numPr>
          <w:ilvl w:val="0"/>
          <w:numId w:val="33"/>
        </w:numPr>
        <w:spacing w:after="120"/>
      </w:pPr>
      <w:r w:rsidRPr="00A33AE8">
        <w:t>Current potential for the application of high-efficiency cogeneration and efficient district heating and cooling</w:t>
      </w:r>
    </w:p>
    <w:p w14:paraId="22FFD13E" w14:textId="77777777" w:rsidR="002147EA" w:rsidRPr="00A33AE8" w:rsidRDefault="002147EA" w:rsidP="000578D5">
      <w:pPr>
        <w:jc w:val="both"/>
        <w:rPr>
          <w:rFonts w:ascii="Calibri Light" w:hAnsi="Calibri Light" w:cs="Calibri Light"/>
        </w:rPr>
      </w:pPr>
      <w:r w:rsidRPr="00A33AE8">
        <w:rPr>
          <w:rFonts w:ascii="Calibri Light" w:hAnsi="Calibri Light" w:cs="Calibri Light"/>
        </w:rPr>
        <w:t>District cooling is not considered as an option in the period until 2030.</w:t>
      </w:r>
    </w:p>
    <w:p w14:paraId="4B0AF125" w14:textId="77777777" w:rsidR="002147EA" w:rsidRPr="00A33AE8" w:rsidRDefault="002147EA" w:rsidP="000578D5">
      <w:pPr>
        <w:jc w:val="both"/>
        <w:rPr>
          <w:rFonts w:ascii="Calibri Light" w:hAnsi="Calibri Light" w:cs="Calibri Light"/>
        </w:rPr>
      </w:pPr>
      <w:r w:rsidRPr="00A33AE8">
        <w:rPr>
          <w:rFonts w:ascii="Calibri Light" w:hAnsi="Calibri Light" w:cs="Calibri Light"/>
        </w:rPr>
        <w:lastRenderedPageBreak/>
        <w:t xml:space="preserve">High efficiency gas-fired cogeneration units are </w:t>
      </w:r>
      <w:r w:rsidR="001B3035" w:rsidRPr="00A33AE8">
        <w:rPr>
          <w:rFonts w:ascii="Calibri Light" w:hAnsi="Calibri Light" w:cs="Calibri Light"/>
        </w:rPr>
        <w:t xml:space="preserve">considered as an option for </w:t>
      </w:r>
      <w:r w:rsidRPr="00A33AE8">
        <w:rPr>
          <w:rFonts w:ascii="Calibri Light" w:hAnsi="Calibri Light" w:cs="Calibri Light"/>
        </w:rPr>
        <w:t xml:space="preserve">the district heating systems together with biomass and biogas fired units. The penetration in the WEM scenario is expected to be limited but in the scenario with addition measures, there is a potential of gas fired CHP covering up to 3% of total district heat production and a potential of heat produced in bioenergy CHPs to cover up to </w:t>
      </w:r>
      <w:r w:rsidR="000D5EF4" w:rsidRPr="00A33AE8">
        <w:rPr>
          <w:rFonts w:ascii="Calibri Light" w:hAnsi="Calibri Light" w:cs="Calibri Light"/>
        </w:rPr>
        <w:t>5</w:t>
      </w:r>
      <w:r w:rsidRPr="00A33AE8">
        <w:rPr>
          <w:rFonts w:ascii="Calibri Light" w:hAnsi="Calibri Light" w:cs="Calibri Light"/>
        </w:rPr>
        <w:t>% of the total heat generation in DH systems.</w:t>
      </w:r>
    </w:p>
    <w:p w14:paraId="7DD1E610" w14:textId="77777777" w:rsidR="00524F38" w:rsidRPr="00A33AE8" w:rsidRDefault="00524F38" w:rsidP="00884F3B">
      <w:pPr>
        <w:pStyle w:val="Heading4"/>
        <w:numPr>
          <w:ilvl w:val="0"/>
          <w:numId w:val="33"/>
        </w:numPr>
      </w:pPr>
      <w:r w:rsidRPr="00A33AE8">
        <w:t>Projections considering existing energy efficiency policies, measures and programmes as described under 1.2. ii) for primary and final energy consumption for each sector at least until 2040 (including for the year 2030)</w:t>
      </w:r>
    </w:p>
    <w:p w14:paraId="146D834E" w14:textId="39564899" w:rsidR="009A78B9" w:rsidRPr="00A33AE8" w:rsidRDefault="00DE6756" w:rsidP="00365CEB">
      <w:pPr>
        <w:pStyle w:val="LDKbody"/>
        <w:rPr>
          <w:rFonts w:asciiTheme="majorHAnsi" w:eastAsia="Calibri" w:hAnsiTheme="majorHAnsi" w:cstheme="majorHAnsi"/>
          <w:lang w:val="en-GB"/>
        </w:rPr>
      </w:pPr>
      <w:r w:rsidRPr="00A33AE8">
        <w:rPr>
          <w:rFonts w:asciiTheme="majorHAnsi" w:eastAsia="Calibri" w:hAnsiTheme="majorHAnsi" w:cstheme="majorHAnsi"/>
          <w:lang w:val="en-GB"/>
        </w:rPr>
        <w:t xml:space="preserve">As presented in </w:t>
      </w:r>
      <w:r w:rsidR="00324978" w:rsidRPr="000007D2">
        <w:fldChar w:fldCharType="begin"/>
      </w:r>
      <w:r w:rsidR="00324978" w:rsidRPr="000007D2">
        <w:rPr>
          <w:lang w:val="en-GB"/>
        </w:rPr>
        <w:instrText xml:space="preserve"> REF _Ref113634061 \h  \* MERGEFORMAT </w:instrText>
      </w:r>
      <w:r w:rsidR="00324978" w:rsidRPr="000007D2">
        <w:fldChar w:fldCharType="separate"/>
      </w:r>
      <w:r w:rsidR="00324978" w:rsidRPr="00A33AE8">
        <w:rPr>
          <w:rFonts w:asciiTheme="majorHAnsi" w:hAnsiTheme="majorHAnsi" w:cstheme="majorHAnsi"/>
          <w:lang w:val="en-GB"/>
        </w:rPr>
        <w:t>Figure 4.2</w:t>
      </w:r>
      <w:r w:rsidR="00324978">
        <w:rPr>
          <w:rFonts w:asciiTheme="majorHAnsi" w:hAnsiTheme="majorHAnsi" w:cstheme="majorHAnsi"/>
          <w:lang w:val="en-GB"/>
        </w:rPr>
        <w:t>7</w:t>
      </w:r>
      <w:r w:rsidR="00324978" w:rsidRPr="000007D2">
        <w:fldChar w:fldCharType="end"/>
      </w:r>
      <w:r w:rsidRPr="00A33AE8">
        <w:rPr>
          <w:rFonts w:asciiTheme="majorHAnsi" w:eastAsia="Calibri" w:hAnsiTheme="majorHAnsi" w:cstheme="majorHAnsi"/>
          <w:lang w:val="en-GB"/>
        </w:rPr>
        <w:t>, both primary and final energy consumption are expected to follow almost the same upward trend in the period 20</w:t>
      </w:r>
      <w:r w:rsidR="008C4A63"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-2050. More specifically, the final energy consumption </w:t>
      </w:r>
      <w:r w:rsidR="001B3035" w:rsidRPr="00A33AE8">
        <w:rPr>
          <w:rFonts w:asciiTheme="majorHAnsi" w:eastAsia="Calibri" w:hAnsiTheme="majorHAnsi" w:cstheme="majorHAnsi"/>
          <w:lang w:val="en-GB"/>
        </w:rPr>
        <w:t xml:space="preserve">is projected to </w:t>
      </w:r>
      <w:r w:rsidRPr="00A33AE8">
        <w:rPr>
          <w:rFonts w:asciiTheme="majorHAnsi" w:eastAsia="Calibri" w:hAnsiTheme="majorHAnsi" w:cstheme="majorHAnsi"/>
          <w:lang w:val="en-GB"/>
        </w:rPr>
        <w:t xml:space="preserve">increase from </w:t>
      </w:r>
      <w:r w:rsidR="006554D4" w:rsidRPr="00A33AE8">
        <w:rPr>
          <w:rFonts w:asciiTheme="majorHAnsi" w:eastAsia="Calibri" w:hAnsiTheme="majorHAnsi" w:cstheme="majorHAnsi"/>
          <w:lang w:val="en-GB"/>
        </w:rPr>
        <w:t>8.</w:t>
      </w:r>
      <w:r w:rsidR="008C4A63" w:rsidRPr="00A33AE8">
        <w:rPr>
          <w:rFonts w:asciiTheme="majorHAnsi" w:eastAsia="Calibri" w:hAnsiTheme="majorHAnsi" w:cstheme="majorHAnsi"/>
          <w:lang w:val="en-GB"/>
        </w:rPr>
        <w:t>99</w:t>
      </w:r>
      <w:r w:rsidR="006554D4"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Mtoe in 20</w:t>
      </w:r>
      <w:r w:rsidR="008C4A63"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to </w:t>
      </w:r>
      <w:r w:rsidR="008C4A63" w:rsidRPr="00A33AE8">
        <w:rPr>
          <w:rFonts w:asciiTheme="majorHAnsi" w:eastAsia="Calibri" w:hAnsiTheme="majorHAnsi" w:cstheme="majorHAnsi"/>
          <w:lang w:val="en-GB"/>
        </w:rPr>
        <w:t>10.8</w:t>
      </w:r>
      <w:r w:rsidR="006554D4"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 xml:space="preserve">Mtoe in 2030 and to </w:t>
      </w:r>
      <w:r w:rsidR="006554D4" w:rsidRPr="00A33AE8">
        <w:rPr>
          <w:rFonts w:asciiTheme="majorHAnsi" w:eastAsia="Calibri" w:hAnsiTheme="majorHAnsi" w:cstheme="majorHAnsi"/>
          <w:lang w:val="en-GB"/>
        </w:rPr>
        <w:t>13.</w:t>
      </w:r>
      <w:r w:rsidR="008C4A63" w:rsidRPr="00A33AE8">
        <w:rPr>
          <w:rFonts w:asciiTheme="majorHAnsi" w:eastAsia="Calibri" w:hAnsiTheme="majorHAnsi" w:cstheme="majorHAnsi"/>
          <w:lang w:val="en-GB"/>
        </w:rPr>
        <w:t>22</w:t>
      </w:r>
      <w:r w:rsidR="006554D4"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 xml:space="preserve">Mtoe in 2050, exhibiting a more stable upward trend, compared to the primary energy consumption, which will be characterized by a reduction from </w:t>
      </w:r>
      <w:r w:rsidR="006554D4" w:rsidRPr="00A33AE8">
        <w:rPr>
          <w:rFonts w:asciiTheme="majorHAnsi" w:eastAsia="Calibri" w:hAnsiTheme="majorHAnsi" w:cstheme="majorHAnsi"/>
          <w:lang w:val="en-GB"/>
        </w:rPr>
        <w:t xml:space="preserve">19.6 Mtoe </w:t>
      </w:r>
      <w:r w:rsidRPr="00A33AE8">
        <w:rPr>
          <w:rFonts w:asciiTheme="majorHAnsi" w:eastAsia="Calibri" w:hAnsiTheme="majorHAnsi" w:cstheme="majorHAnsi"/>
          <w:lang w:val="en-GB"/>
        </w:rPr>
        <w:t xml:space="preserve">in 2045 to </w:t>
      </w:r>
      <w:r w:rsidR="006554D4" w:rsidRPr="00A33AE8">
        <w:rPr>
          <w:rFonts w:asciiTheme="majorHAnsi" w:eastAsia="Calibri" w:hAnsiTheme="majorHAnsi" w:cstheme="majorHAnsi"/>
          <w:lang w:val="en-GB"/>
        </w:rPr>
        <w:t xml:space="preserve">19.3 Mtoe </w:t>
      </w:r>
      <w:r w:rsidRPr="00A33AE8">
        <w:rPr>
          <w:rFonts w:asciiTheme="majorHAnsi" w:eastAsia="Calibri" w:hAnsiTheme="majorHAnsi" w:cstheme="majorHAnsi"/>
          <w:lang w:val="en-GB"/>
        </w:rPr>
        <w:t xml:space="preserve">in 2050. However, the primary energy consumption is anticipated to rise from </w:t>
      </w:r>
      <w:r w:rsidR="008C4A63" w:rsidRPr="00A33AE8">
        <w:rPr>
          <w:rFonts w:asciiTheme="majorHAnsi" w:eastAsia="Calibri" w:hAnsiTheme="majorHAnsi" w:cstheme="majorHAnsi"/>
          <w:lang w:val="en-GB"/>
        </w:rPr>
        <w:t>15.0</w:t>
      </w:r>
      <w:r w:rsidR="006554D4"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Mtoe in 20</w:t>
      </w:r>
      <w:r w:rsidR="008C4A63"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to </w:t>
      </w:r>
      <w:r w:rsidR="006554D4" w:rsidRPr="00A33AE8">
        <w:rPr>
          <w:rFonts w:asciiTheme="majorHAnsi" w:eastAsia="Calibri" w:hAnsiTheme="majorHAnsi" w:cstheme="majorHAnsi"/>
          <w:lang w:val="en-GB"/>
        </w:rPr>
        <w:t>17.</w:t>
      </w:r>
      <w:r w:rsidR="008C4A63" w:rsidRPr="00A33AE8">
        <w:rPr>
          <w:rFonts w:asciiTheme="majorHAnsi" w:eastAsia="Calibri" w:hAnsiTheme="majorHAnsi" w:cstheme="majorHAnsi"/>
          <w:lang w:val="en-GB"/>
        </w:rPr>
        <w:t>55</w:t>
      </w:r>
      <w:r w:rsidR="006554D4"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 xml:space="preserve">Mtoe in 2030 and to </w:t>
      </w:r>
      <w:r w:rsidR="006554D4" w:rsidRPr="00A33AE8">
        <w:rPr>
          <w:rFonts w:asciiTheme="majorHAnsi" w:eastAsia="Calibri" w:hAnsiTheme="majorHAnsi" w:cstheme="majorHAnsi"/>
          <w:lang w:val="en-GB"/>
        </w:rPr>
        <w:t xml:space="preserve">19.3 </w:t>
      </w:r>
      <w:r w:rsidRPr="00A33AE8">
        <w:rPr>
          <w:rFonts w:asciiTheme="majorHAnsi" w:eastAsia="Calibri" w:hAnsiTheme="majorHAnsi" w:cstheme="majorHAnsi"/>
          <w:lang w:val="en-GB"/>
        </w:rPr>
        <w:t>Mtoe in 2050 to cover the increased FEC. The slight reduction between 2045 and 2050 is mainly due to the penetration of RES for electricity production. Obviously, the implementation of the existing energy efficient policies and measures is not capable of restraining the impact of the increased GDP to the energy consumption, which is expected until 2050.</w:t>
      </w:r>
    </w:p>
    <w:p w14:paraId="485305E7" w14:textId="17010F32" w:rsidR="00365CEB" w:rsidRPr="00A33AE8" w:rsidRDefault="00365CEB" w:rsidP="00884F3B">
      <w:pPr>
        <w:pStyle w:val="Caption"/>
        <w:numPr>
          <w:ilvl w:val="0"/>
          <w:numId w:val="32"/>
        </w:numPr>
        <w:rPr>
          <w:lang w:eastAsia="el-GR"/>
        </w:rPr>
      </w:pPr>
      <w:bookmarkStart w:id="274" w:name="_Ref113634061"/>
      <w:bookmarkStart w:id="275" w:name="_Toc118992296"/>
      <w:bookmarkStart w:id="276" w:name="_Toc154575234"/>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27</w:t>
      </w:r>
      <w:r w:rsidR="00B62877">
        <w:rPr>
          <w:lang w:eastAsia="el-GR"/>
        </w:rPr>
        <w:fldChar w:fldCharType="end"/>
      </w:r>
      <w:bookmarkEnd w:id="274"/>
      <w:r w:rsidRPr="00A33AE8">
        <w:rPr>
          <w:lang w:eastAsia="el-GR"/>
        </w:rPr>
        <w:t>: Primary and final energy consumption over 20</w:t>
      </w:r>
      <w:r w:rsidR="00423EB5" w:rsidRPr="00A33AE8">
        <w:rPr>
          <w:lang w:eastAsia="el-GR"/>
        </w:rPr>
        <w:t>20</w:t>
      </w:r>
      <w:r w:rsidRPr="00A33AE8">
        <w:rPr>
          <w:lang w:eastAsia="el-GR"/>
        </w:rPr>
        <w:t>-2050</w:t>
      </w:r>
      <w:bookmarkEnd w:id="275"/>
      <w:r w:rsidR="00C176B4">
        <w:rPr>
          <w:lang w:eastAsia="el-GR"/>
        </w:rPr>
        <w:t xml:space="preserve"> </w:t>
      </w:r>
      <w:r w:rsidR="00B744A9">
        <w:rPr>
          <w:lang w:eastAsia="el-GR"/>
        </w:rPr>
        <w:t>in the scenario with existing measures (WEM)</w:t>
      </w:r>
      <w:bookmarkEnd w:id="276"/>
    </w:p>
    <w:p w14:paraId="34163C18" w14:textId="77777777" w:rsidR="006554D4" w:rsidRPr="00A33AE8" w:rsidRDefault="00F774B3" w:rsidP="006554D4">
      <w:pPr>
        <w:jc w:val="center"/>
        <w:rPr>
          <w:lang w:eastAsia="el-GR"/>
        </w:rPr>
      </w:pPr>
      <w:r w:rsidRPr="000007D2">
        <w:rPr>
          <w:noProof/>
          <w:lang w:val="en-US"/>
        </w:rPr>
        <mc:AlternateContent>
          <mc:Choice Requires="wps">
            <w:drawing>
              <wp:anchor distT="0" distB="0" distL="114300" distR="114300" simplePos="0" relativeHeight="251689984" behindDoc="0" locked="0" layoutInCell="1" allowOverlap="1" wp14:anchorId="23FB3448" wp14:editId="77116C1E">
                <wp:simplePos x="0" y="0"/>
                <wp:positionH relativeFrom="column">
                  <wp:posOffset>1496899</wp:posOffset>
                </wp:positionH>
                <wp:positionV relativeFrom="paragraph">
                  <wp:posOffset>464784</wp:posOffset>
                </wp:positionV>
                <wp:extent cx="2346385" cy="2057101"/>
                <wp:effectExtent l="0" t="0" r="0" b="635"/>
                <wp:wrapNone/>
                <wp:docPr id="1153984200" name="Text Box 1153984200"/>
                <wp:cNvGraphicFramePr/>
                <a:graphic xmlns:a="http://schemas.openxmlformats.org/drawingml/2006/main">
                  <a:graphicData uri="http://schemas.microsoft.com/office/word/2010/wordprocessingShape">
                    <wps:wsp>
                      <wps:cNvSpPr txBox="1"/>
                      <wps:spPr>
                        <a:xfrm>
                          <a:off x="0" y="0"/>
                          <a:ext cx="2346385" cy="2057101"/>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98418" id="Text Box 1153984200" o:spid="_x0000_s1026" type="#_x0000_t202" style="position:absolute;margin-left:117.85pt;margin-top:36.6pt;width:184.75pt;height:16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" fillcolor="#a5a5a5 [2092]" stroked="f">
                <v:fill opacity="32896f"/>
              </v:shape>
            </w:pict>
          </mc:Fallback>
        </mc:AlternateContent>
      </w:r>
      <w:r w:rsidR="009A78B9" w:rsidRPr="000007D2">
        <w:rPr>
          <w:noProof/>
          <w:lang w:val="en-US"/>
        </w:rPr>
        <w:drawing>
          <wp:inline distT="0" distB="0" distL="0" distR="0" wp14:anchorId="726DC36A" wp14:editId="77EEB7E9">
            <wp:extent cx="4952747" cy="3034052"/>
            <wp:effectExtent l="0" t="0" r="635" b="0"/>
            <wp:docPr id="433635942" name="Picture 43363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74777" cy="3047547"/>
                    </a:xfrm>
                    <a:prstGeom prst="rect">
                      <a:avLst/>
                    </a:prstGeom>
                    <a:noFill/>
                  </pic:spPr>
                </pic:pic>
              </a:graphicData>
            </a:graphic>
          </wp:inline>
        </w:drawing>
      </w:r>
    </w:p>
    <w:p w14:paraId="540C4201" w14:textId="5FC5D149" w:rsidR="001F263C" w:rsidRPr="00A33AE8" w:rsidRDefault="007F08E3" w:rsidP="00365CEB">
      <w:pPr>
        <w:pStyle w:val="LDKbody"/>
        <w:rPr>
          <w:rFonts w:asciiTheme="majorHAnsi" w:eastAsia="Calibri" w:hAnsiTheme="majorHAnsi" w:cstheme="majorHAnsi"/>
          <w:lang w:val="en-GB"/>
        </w:rPr>
      </w:pPr>
      <w:r w:rsidRPr="00A33AE8">
        <w:rPr>
          <w:rFonts w:asciiTheme="majorHAnsi" w:eastAsia="Calibri" w:hAnsiTheme="majorHAnsi" w:cstheme="majorHAnsi"/>
          <w:lang w:val="en-GB"/>
        </w:rPr>
        <w:t>T</w:t>
      </w:r>
      <w:r w:rsidR="00365CEB" w:rsidRPr="00A33AE8">
        <w:rPr>
          <w:rFonts w:asciiTheme="majorHAnsi" w:eastAsia="Calibri" w:hAnsiTheme="majorHAnsi" w:cstheme="majorHAnsi"/>
          <w:lang w:val="en-GB"/>
        </w:rPr>
        <w:t>he final energy consumption is currently dominated by oil and petroleum products, which satisfy</w:t>
      </w:r>
      <w:r w:rsidR="008C4A63" w:rsidRPr="00A33AE8">
        <w:rPr>
          <w:rFonts w:asciiTheme="majorHAnsi" w:eastAsia="Calibri" w:hAnsiTheme="majorHAnsi" w:cstheme="majorHAnsi"/>
          <w:lang w:val="en-GB"/>
        </w:rPr>
        <w:t xml:space="preserve"> 33</w:t>
      </w:r>
      <w:r w:rsidR="00A070DD" w:rsidRPr="00A33AE8">
        <w:rPr>
          <w:rFonts w:asciiTheme="majorHAnsi" w:eastAsia="Calibri" w:hAnsiTheme="majorHAnsi" w:cstheme="majorHAnsi"/>
          <w:lang w:val="en-GB"/>
        </w:rPr>
        <w:t>%</w:t>
      </w:r>
      <w:r w:rsidR="00365CEB" w:rsidRPr="00A33AE8">
        <w:rPr>
          <w:rFonts w:asciiTheme="majorHAnsi" w:eastAsia="Calibri" w:hAnsiTheme="majorHAnsi" w:cstheme="majorHAnsi"/>
          <w:lang w:val="en-GB"/>
        </w:rPr>
        <w:t xml:space="preserve"> of the total demand, followed by electricity that covers</w:t>
      </w:r>
      <w:r w:rsidR="009B7281" w:rsidRPr="00A33AE8">
        <w:rPr>
          <w:rFonts w:asciiTheme="majorHAnsi" w:eastAsia="Calibri" w:hAnsiTheme="majorHAnsi" w:cstheme="majorHAnsi"/>
          <w:lang w:val="en-GB"/>
        </w:rPr>
        <w:t xml:space="preserve"> </w:t>
      </w:r>
      <w:r w:rsidR="008C4A63" w:rsidRPr="00A33AE8">
        <w:rPr>
          <w:rFonts w:asciiTheme="majorHAnsi" w:eastAsia="Calibri" w:hAnsiTheme="majorHAnsi" w:cstheme="majorHAnsi"/>
          <w:lang w:val="en-GB"/>
        </w:rPr>
        <w:t>26</w:t>
      </w:r>
      <w:r w:rsidR="00365CEB" w:rsidRPr="00A33AE8">
        <w:rPr>
          <w:rFonts w:asciiTheme="majorHAnsi" w:eastAsia="Calibri" w:hAnsiTheme="majorHAnsi" w:cstheme="majorHAnsi"/>
          <w:lang w:val="en-GB"/>
        </w:rPr>
        <w:t>%</w:t>
      </w:r>
      <w:r w:rsidR="006554D4" w:rsidRPr="00A33AE8">
        <w:rPr>
          <w:rFonts w:asciiTheme="majorHAnsi" w:eastAsia="Calibri" w:hAnsiTheme="majorHAnsi" w:cstheme="majorHAnsi"/>
          <w:lang w:val="en-GB"/>
        </w:rPr>
        <w:t xml:space="preserve"> </w:t>
      </w:r>
      <w:r w:rsidR="00480422" w:rsidRPr="00A33AE8">
        <w:rPr>
          <w:rFonts w:asciiTheme="majorHAnsi" w:eastAsia="Calibri" w:hAnsiTheme="majorHAnsi" w:cstheme="majorHAnsi"/>
          <w:lang w:val="en-GB"/>
        </w:rPr>
        <w:t>in 20</w:t>
      </w:r>
      <w:r w:rsidR="008C4A63" w:rsidRPr="00A33AE8">
        <w:rPr>
          <w:rFonts w:asciiTheme="majorHAnsi" w:eastAsia="Calibri" w:hAnsiTheme="majorHAnsi" w:cstheme="majorHAnsi"/>
          <w:lang w:val="en-GB"/>
        </w:rPr>
        <w:t>20</w:t>
      </w:r>
      <w:r w:rsidR="00480422"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w:t>
      </w:r>
      <w:r w:rsidR="00330535">
        <w:rPr>
          <w:rFonts w:asciiTheme="majorHAnsi" w:eastAsia="Calibri" w:hAnsiTheme="majorHAnsi" w:cstheme="majorHAnsi"/>
          <w:lang w:val="en-GB"/>
        </w:rPr>
        <w:fldChar w:fldCharType="begin"/>
      </w:r>
      <w:r w:rsidR="00330535">
        <w:rPr>
          <w:rFonts w:asciiTheme="majorHAnsi" w:eastAsia="Calibri" w:hAnsiTheme="majorHAnsi" w:cstheme="majorHAnsi"/>
          <w:lang w:val="en-GB"/>
        </w:rPr>
        <w:instrText xml:space="preserve"> REF _Ref153545761 \h  \* MERGEFORMAT </w:instrText>
      </w:r>
      <w:r w:rsidR="00330535">
        <w:rPr>
          <w:rFonts w:asciiTheme="majorHAnsi" w:eastAsia="Calibri" w:hAnsiTheme="majorHAnsi" w:cstheme="majorHAnsi"/>
          <w:lang w:val="en-GB"/>
        </w:rPr>
      </w:r>
      <w:r w:rsidR="00330535">
        <w:rPr>
          <w:rFonts w:asciiTheme="majorHAnsi" w:eastAsia="Calibri" w:hAnsiTheme="majorHAnsi" w:cstheme="majorHAnsi"/>
          <w:lang w:val="en-GB"/>
        </w:rPr>
        <w:fldChar w:fldCharType="separate"/>
      </w:r>
      <w:r w:rsidR="00330535" w:rsidRPr="0087794A">
        <w:rPr>
          <w:rFonts w:asciiTheme="majorHAnsi" w:eastAsia="Calibri" w:hAnsiTheme="majorHAnsi" w:cstheme="majorHAnsi"/>
          <w:lang w:val="en-GB"/>
        </w:rPr>
        <w:t>Figure 4.28</w:t>
      </w:r>
      <w:r w:rsidR="00330535">
        <w:rPr>
          <w:rFonts w:asciiTheme="majorHAnsi" w:eastAsia="Calibri" w:hAnsiTheme="majorHAnsi" w:cstheme="majorHAnsi"/>
          <w:lang w:val="en-GB"/>
        </w:rPr>
        <w:fldChar w:fldCharType="end"/>
      </w:r>
      <w:r w:rsidR="00324978" w:rsidRPr="00A33AE8">
        <w:rPr>
          <w:rFonts w:asciiTheme="majorHAnsi" w:eastAsia="Calibri" w:hAnsiTheme="majorHAnsi" w:cstheme="majorHAnsi"/>
          <w:lang w:val="en-GB"/>
        </w:rPr>
        <w:fldChar w:fldCharType="begin"/>
      </w:r>
      <w:r w:rsidR="00324978" w:rsidRPr="00A33AE8">
        <w:rPr>
          <w:rFonts w:asciiTheme="majorHAnsi" w:eastAsia="Calibri" w:hAnsiTheme="majorHAnsi" w:cstheme="majorHAnsi"/>
          <w:lang w:val="en-GB"/>
        </w:rPr>
        <w:instrText xml:space="preserve"> REF _Ref113634077 \h  \* MERGEFORMAT </w:instrText>
      </w:r>
      <w:r w:rsidR="00324978" w:rsidRPr="00A33AE8">
        <w:rPr>
          <w:rFonts w:asciiTheme="majorHAnsi" w:eastAsia="Calibri" w:hAnsiTheme="majorHAnsi" w:cstheme="majorHAnsi"/>
          <w:lang w:val="en-GB"/>
        </w:rPr>
      </w:r>
      <w:r w:rsidR="00324978" w:rsidRPr="00A33AE8">
        <w:rPr>
          <w:rFonts w:asciiTheme="majorHAnsi" w:eastAsia="Calibri" w:hAnsiTheme="majorHAnsi" w:cstheme="majorHAnsi"/>
          <w:lang w:val="en-GB"/>
        </w:rPr>
        <w:fldChar w:fldCharType="end"/>
      </w:r>
      <w:r w:rsidRPr="00A33AE8">
        <w:rPr>
          <w:rFonts w:asciiTheme="majorHAnsi" w:eastAsia="Calibri" w:hAnsiTheme="majorHAnsi" w:cstheme="majorHAnsi"/>
          <w:lang w:val="en-GB"/>
        </w:rPr>
        <w:t xml:space="preserve">). </w:t>
      </w:r>
      <w:r w:rsidR="00365CEB" w:rsidRPr="00A33AE8">
        <w:rPr>
          <w:rFonts w:asciiTheme="majorHAnsi" w:eastAsia="Calibri" w:hAnsiTheme="majorHAnsi" w:cstheme="majorHAnsi"/>
          <w:lang w:val="en-GB"/>
        </w:rPr>
        <w:t>The consumption of oil and petroleum products is expected to steadily rise from 2.9 Mtoe in 20</w:t>
      </w:r>
      <w:r w:rsidR="008C4A63" w:rsidRPr="00A33AE8">
        <w:rPr>
          <w:rFonts w:asciiTheme="majorHAnsi" w:eastAsia="Calibri" w:hAnsiTheme="majorHAnsi" w:cstheme="majorHAnsi"/>
          <w:lang w:val="en-GB"/>
        </w:rPr>
        <w:t>20</w:t>
      </w:r>
      <w:r w:rsidR="00365CEB" w:rsidRPr="00A33AE8">
        <w:rPr>
          <w:rFonts w:asciiTheme="majorHAnsi" w:eastAsia="Calibri" w:hAnsiTheme="majorHAnsi" w:cstheme="majorHAnsi"/>
          <w:lang w:val="en-GB"/>
        </w:rPr>
        <w:t xml:space="preserve"> to </w:t>
      </w:r>
      <w:r w:rsidR="005975CB" w:rsidRPr="00A33AE8">
        <w:rPr>
          <w:rFonts w:asciiTheme="majorHAnsi" w:eastAsia="Calibri" w:hAnsiTheme="majorHAnsi" w:cstheme="majorHAnsi"/>
          <w:lang w:val="en-GB"/>
        </w:rPr>
        <w:t>3.</w:t>
      </w:r>
      <w:r w:rsidR="008C4A63" w:rsidRPr="00A33AE8">
        <w:rPr>
          <w:rFonts w:asciiTheme="majorHAnsi" w:eastAsia="Calibri" w:hAnsiTheme="majorHAnsi" w:cstheme="majorHAnsi"/>
          <w:lang w:val="en-GB"/>
        </w:rPr>
        <w:t>33</w:t>
      </w:r>
      <w:r w:rsidR="00365CEB" w:rsidRPr="00A33AE8">
        <w:rPr>
          <w:rFonts w:asciiTheme="majorHAnsi" w:eastAsia="Calibri" w:hAnsiTheme="majorHAnsi" w:cstheme="majorHAnsi"/>
          <w:lang w:val="en-GB"/>
        </w:rPr>
        <w:t xml:space="preserve"> Mtoe in 2030 and to </w:t>
      </w:r>
      <w:r w:rsidR="006554D4" w:rsidRPr="00A33AE8">
        <w:rPr>
          <w:rFonts w:asciiTheme="majorHAnsi" w:eastAsia="Calibri" w:hAnsiTheme="majorHAnsi" w:cstheme="majorHAnsi"/>
          <w:lang w:val="en-GB"/>
        </w:rPr>
        <w:t>4.</w:t>
      </w:r>
      <w:r w:rsidR="008C4A63" w:rsidRPr="00A33AE8">
        <w:rPr>
          <w:rFonts w:asciiTheme="majorHAnsi" w:eastAsia="Calibri" w:hAnsiTheme="majorHAnsi" w:cstheme="majorHAnsi"/>
          <w:lang w:val="en-GB"/>
        </w:rPr>
        <w:t>11</w:t>
      </w:r>
      <w:r w:rsidR="006554D4" w:rsidRPr="00A33AE8">
        <w:rPr>
          <w:rFonts w:asciiTheme="majorHAnsi" w:eastAsia="Calibri" w:hAnsiTheme="majorHAnsi" w:cstheme="majorHAnsi"/>
          <w:lang w:val="en-GB"/>
        </w:rPr>
        <w:t xml:space="preserve"> </w:t>
      </w:r>
      <w:r w:rsidR="00365CEB" w:rsidRPr="00A33AE8">
        <w:rPr>
          <w:rFonts w:asciiTheme="majorHAnsi" w:eastAsia="Calibri" w:hAnsiTheme="majorHAnsi" w:cstheme="majorHAnsi"/>
          <w:lang w:val="en-GB"/>
        </w:rPr>
        <w:t>Mtoe in 2050</w:t>
      </w:r>
      <w:r w:rsidR="00480422" w:rsidRPr="00A33AE8">
        <w:rPr>
          <w:rFonts w:asciiTheme="majorHAnsi" w:eastAsia="Calibri" w:hAnsiTheme="majorHAnsi" w:cstheme="majorHAnsi"/>
          <w:lang w:val="en-GB"/>
        </w:rPr>
        <w:t xml:space="preserve"> representing a slightly reduced share (</w:t>
      </w:r>
      <w:r w:rsidR="008C4A63" w:rsidRPr="00A33AE8">
        <w:rPr>
          <w:rFonts w:asciiTheme="majorHAnsi" w:eastAsia="Calibri" w:hAnsiTheme="majorHAnsi" w:cstheme="majorHAnsi"/>
          <w:lang w:val="en-GB"/>
        </w:rPr>
        <w:t>2</w:t>
      </w:r>
      <w:r w:rsidR="00480422" w:rsidRPr="00A33AE8">
        <w:rPr>
          <w:rFonts w:asciiTheme="majorHAnsi" w:eastAsia="Calibri" w:hAnsiTheme="majorHAnsi" w:cstheme="majorHAnsi"/>
          <w:lang w:val="en-GB"/>
        </w:rPr>
        <w:t>%)</w:t>
      </w:r>
      <w:r w:rsidR="00365CEB" w:rsidRPr="00A33AE8">
        <w:rPr>
          <w:rFonts w:asciiTheme="majorHAnsi" w:eastAsia="Calibri" w:hAnsiTheme="majorHAnsi" w:cstheme="majorHAnsi"/>
          <w:lang w:val="en-GB"/>
        </w:rPr>
        <w:t xml:space="preserve">. Similarly, </w:t>
      </w:r>
      <w:r w:rsidRPr="00A33AE8">
        <w:rPr>
          <w:rFonts w:asciiTheme="majorHAnsi" w:eastAsia="Calibri" w:hAnsiTheme="majorHAnsi" w:cstheme="majorHAnsi"/>
          <w:lang w:val="en-GB"/>
        </w:rPr>
        <w:t xml:space="preserve">the </w:t>
      </w:r>
      <w:r w:rsidR="00365CEB" w:rsidRPr="00A33AE8">
        <w:rPr>
          <w:rFonts w:asciiTheme="majorHAnsi" w:eastAsia="Calibri" w:hAnsiTheme="majorHAnsi" w:cstheme="majorHAnsi"/>
          <w:lang w:val="en-GB"/>
        </w:rPr>
        <w:t>electricity consumption is expected to increase from 2.</w:t>
      </w:r>
      <w:r w:rsidR="008C4A63" w:rsidRPr="00A33AE8">
        <w:rPr>
          <w:rFonts w:asciiTheme="majorHAnsi" w:eastAsia="Calibri" w:hAnsiTheme="majorHAnsi" w:cstheme="majorHAnsi"/>
          <w:lang w:val="en-GB"/>
        </w:rPr>
        <w:t>22</w:t>
      </w:r>
      <w:r w:rsidR="00365CEB" w:rsidRPr="00A33AE8">
        <w:rPr>
          <w:rFonts w:asciiTheme="majorHAnsi" w:eastAsia="Calibri" w:hAnsiTheme="majorHAnsi" w:cstheme="majorHAnsi"/>
          <w:lang w:val="en-GB"/>
        </w:rPr>
        <w:t xml:space="preserve"> Mtoe in 20</w:t>
      </w:r>
      <w:r w:rsidR="008C4A63" w:rsidRPr="00A33AE8">
        <w:rPr>
          <w:rFonts w:asciiTheme="majorHAnsi" w:eastAsia="Calibri" w:hAnsiTheme="majorHAnsi" w:cstheme="majorHAnsi"/>
          <w:lang w:val="en-GB"/>
        </w:rPr>
        <w:t>20</w:t>
      </w:r>
      <w:r w:rsidR="00365CEB" w:rsidRPr="00A33AE8">
        <w:rPr>
          <w:rFonts w:asciiTheme="majorHAnsi" w:eastAsia="Calibri" w:hAnsiTheme="majorHAnsi" w:cstheme="majorHAnsi"/>
          <w:lang w:val="en-GB"/>
        </w:rPr>
        <w:t xml:space="preserve"> to </w:t>
      </w:r>
      <w:r w:rsidR="006554D4" w:rsidRPr="00A33AE8">
        <w:rPr>
          <w:rFonts w:asciiTheme="majorHAnsi" w:eastAsia="Calibri" w:hAnsiTheme="majorHAnsi" w:cstheme="majorHAnsi"/>
          <w:lang w:val="en-GB"/>
        </w:rPr>
        <w:t xml:space="preserve">3.0 </w:t>
      </w:r>
      <w:r w:rsidR="00365CEB" w:rsidRPr="00A33AE8">
        <w:rPr>
          <w:rFonts w:asciiTheme="majorHAnsi" w:eastAsia="Calibri" w:hAnsiTheme="majorHAnsi" w:cstheme="majorHAnsi"/>
          <w:lang w:val="en-GB"/>
        </w:rPr>
        <w:t xml:space="preserve">Mtoe in 2030 and to </w:t>
      </w:r>
      <w:r w:rsidR="006554D4" w:rsidRPr="00A33AE8">
        <w:rPr>
          <w:rFonts w:asciiTheme="majorHAnsi" w:eastAsia="Calibri" w:hAnsiTheme="majorHAnsi" w:cstheme="majorHAnsi"/>
          <w:lang w:val="en-GB"/>
        </w:rPr>
        <w:t xml:space="preserve">3.6 </w:t>
      </w:r>
      <w:r w:rsidR="00365CEB" w:rsidRPr="00A33AE8">
        <w:rPr>
          <w:rFonts w:asciiTheme="majorHAnsi" w:eastAsia="Calibri" w:hAnsiTheme="majorHAnsi" w:cstheme="majorHAnsi"/>
          <w:lang w:val="en-GB"/>
        </w:rPr>
        <w:t>Mtoe in 2050</w:t>
      </w:r>
      <w:r w:rsidR="00480422" w:rsidRPr="00A33AE8">
        <w:rPr>
          <w:rFonts w:asciiTheme="majorHAnsi" w:eastAsia="Calibri" w:hAnsiTheme="majorHAnsi" w:cstheme="majorHAnsi"/>
          <w:lang w:val="en-GB"/>
        </w:rPr>
        <w:t xml:space="preserve"> leading to a </w:t>
      </w:r>
      <w:r w:rsidR="006554D4" w:rsidRPr="00A33AE8">
        <w:rPr>
          <w:rFonts w:asciiTheme="majorHAnsi" w:eastAsia="Calibri" w:hAnsiTheme="majorHAnsi" w:cstheme="majorHAnsi"/>
          <w:lang w:val="en-GB"/>
        </w:rPr>
        <w:t xml:space="preserve">28% </w:t>
      </w:r>
      <w:r w:rsidR="00480422" w:rsidRPr="00A33AE8">
        <w:rPr>
          <w:rFonts w:asciiTheme="majorHAnsi" w:eastAsia="Calibri" w:hAnsiTheme="majorHAnsi" w:cstheme="majorHAnsi"/>
          <w:lang w:val="en-GB"/>
        </w:rPr>
        <w:t xml:space="preserve">share. The </w:t>
      </w:r>
      <w:r w:rsidR="00365CEB" w:rsidRPr="00A33AE8">
        <w:rPr>
          <w:rFonts w:asciiTheme="majorHAnsi" w:eastAsia="Calibri" w:hAnsiTheme="majorHAnsi" w:cstheme="majorHAnsi"/>
          <w:lang w:val="en-GB"/>
        </w:rPr>
        <w:t xml:space="preserve">share of </w:t>
      </w:r>
      <w:r w:rsidRPr="00A33AE8">
        <w:rPr>
          <w:rFonts w:asciiTheme="majorHAnsi" w:eastAsia="Calibri" w:hAnsiTheme="majorHAnsi" w:cstheme="majorHAnsi"/>
          <w:lang w:val="en-GB"/>
        </w:rPr>
        <w:t xml:space="preserve">RES </w:t>
      </w:r>
      <w:r w:rsidR="00365CEB" w:rsidRPr="00A33AE8">
        <w:rPr>
          <w:rFonts w:asciiTheme="majorHAnsi" w:eastAsia="Calibri" w:hAnsiTheme="majorHAnsi" w:cstheme="majorHAnsi"/>
          <w:lang w:val="en-GB"/>
        </w:rPr>
        <w:t xml:space="preserve">in </w:t>
      </w:r>
      <w:r w:rsidR="00480422" w:rsidRPr="00A33AE8">
        <w:rPr>
          <w:rFonts w:asciiTheme="majorHAnsi" w:eastAsia="Calibri" w:hAnsiTheme="majorHAnsi" w:cstheme="majorHAnsi"/>
          <w:lang w:val="en-GB"/>
        </w:rPr>
        <w:t xml:space="preserve">the </w:t>
      </w:r>
      <w:r w:rsidR="00365CEB" w:rsidRPr="00A33AE8">
        <w:rPr>
          <w:rFonts w:asciiTheme="majorHAnsi" w:eastAsia="Calibri" w:hAnsiTheme="majorHAnsi" w:cstheme="majorHAnsi"/>
          <w:lang w:val="en-GB"/>
        </w:rPr>
        <w:t xml:space="preserve">final energy consumption remains relatively constant (around </w:t>
      </w:r>
      <w:r w:rsidR="008C4A63" w:rsidRPr="00A33AE8">
        <w:rPr>
          <w:rFonts w:asciiTheme="majorHAnsi" w:eastAsia="Calibri" w:hAnsiTheme="majorHAnsi" w:cstheme="majorHAnsi"/>
          <w:lang w:val="en-GB"/>
        </w:rPr>
        <w:t>17</w:t>
      </w:r>
      <w:r w:rsidR="006554D4" w:rsidRPr="00A33AE8">
        <w:rPr>
          <w:rFonts w:asciiTheme="majorHAnsi" w:eastAsia="Calibri" w:hAnsiTheme="majorHAnsi" w:cstheme="majorHAnsi"/>
          <w:lang w:val="en-GB"/>
        </w:rPr>
        <w:t xml:space="preserve">% </w:t>
      </w:r>
      <w:r w:rsidR="00365CEB" w:rsidRPr="00A33AE8">
        <w:rPr>
          <w:rFonts w:asciiTheme="majorHAnsi" w:eastAsia="Calibri" w:hAnsiTheme="majorHAnsi" w:cstheme="majorHAnsi"/>
          <w:lang w:val="en-GB"/>
        </w:rPr>
        <w:t xml:space="preserve">on average) </w:t>
      </w:r>
      <w:r w:rsidRPr="00A33AE8">
        <w:rPr>
          <w:rFonts w:asciiTheme="majorHAnsi" w:eastAsia="Calibri" w:hAnsiTheme="majorHAnsi" w:cstheme="majorHAnsi"/>
          <w:lang w:val="en-GB"/>
        </w:rPr>
        <w:t xml:space="preserve">reaching to </w:t>
      </w:r>
      <w:r w:rsidR="006554D4" w:rsidRPr="00A33AE8">
        <w:rPr>
          <w:rFonts w:asciiTheme="majorHAnsi" w:eastAsia="Calibri" w:hAnsiTheme="majorHAnsi" w:cstheme="majorHAnsi"/>
          <w:lang w:val="en-GB"/>
        </w:rPr>
        <w:t xml:space="preserve">1.6 </w:t>
      </w:r>
      <w:r w:rsidR="00365CEB" w:rsidRPr="00A33AE8">
        <w:rPr>
          <w:rFonts w:asciiTheme="majorHAnsi" w:eastAsia="Calibri" w:hAnsiTheme="majorHAnsi" w:cstheme="majorHAnsi"/>
          <w:lang w:val="en-GB"/>
        </w:rPr>
        <w:t xml:space="preserve">Mtoe in 2050. </w:t>
      </w:r>
      <w:r w:rsidR="00480422" w:rsidRPr="00A33AE8">
        <w:rPr>
          <w:rFonts w:asciiTheme="majorHAnsi" w:eastAsia="Calibri" w:hAnsiTheme="majorHAnsi" w:cstheme="majorHAnsi"/>
          <w:lang w:val="en-GB"/>
        </w:rPr>
        <w:t xml:space="preserve">Finally, the </w:t>
      </w:r>
      <w:r w:rsidR="00365CEB" w:rsidRPr="00A33AE8">
        <w:rPr>
          <w:rFonts w:asciiTheme="majorHAnsi" w:eastAsia="Calibri" w:hAnsiTheme="majorHAnsi" w:cstheme="majorHAnsi"/>
          <w:lang w:val="en-GB"/>
        </w:rPr>
        <w:t>consumption of natural gas will increase from</w:t>
      </w:r>
      <w:r w:rsidR="008C4A63" w:rsidRPr="00A33AE8">
        <w:rPr>
          <w:rFonts w:asciiTheme="majorHAnsi" w:eastAsia="Calibri" w:hAnsiTheme="majorHAnsi" w:cstheme="majorHAnsi"/>
          <w:lang w:val="en-GB"/>
        </w:rPr>
        <w:t xml:space="preserve"> 938</w:t>
      </w:r>
      <w:r w:rsidR="005975CB" w:rsidRPr="00A33AE8">
        <w:rPr>
          <w:rFonts w:asciiTheme="majorHAnsi" w:eastAsia="Calibri" w:hAnsiTheme="majorHAnsi" w:cstheme="majorHAnsi"/>
          <w:lang w:val="en-GB"/>
        </w:rPr>
        <w:t xml:space="preserve"> </w:t>
      </w:r>
      <w:r w:rsidR="00365CEB" w:rsidRPr="00A33AE8">
        <w:rPr>
          <w:rFonts w:asciiTheme="majorHAnsi" w:eastAsia="Calibri" w:hAnsiTheme="majorHAnsi" w:cstheme="majorHAnsi"/>
          <w:lang w:val="en-GB"/>
        </w:rPr>
        <w:t>ktoe in 20</w:t>
      </w:r>
      <w:r w:rsidR="008C4A63" w:rsidRPr="00A33AE8">
        <w:rPr>
          <w:rFonts w:asciiTheme="majorHAnsi" w:eastAsia="Calibri" w:hAnsiTheme="majorHAnsi" w:cstheme="majorHAnsi"/>
          <w:lang w:val="en-GB"/>
        </w:rPr>
        <w:t>20</w:t>
      </w:r>
      <w:r w:rsidR="00365CEB" w:rsidRPr="00A33AE8">
        <w:rPr>
          <w:rFonts w:asciiTheme="majorHAnsi" w:eastAsia="Calibri" w:hAnsiTheme="majorHAnsi" w:cstheme="majorHAnsi"/>
          <w:lang w:val="en-GB"/>
        </w:rPr>
        <w:t xml:space="preserve"> to</w:t>
      </w:r>
      <w:r w:rsidR="005975CB" w:rsidRPr="00A33AE8">
        <w:rPr>
          <w:rFonts w:asciiTheme="majorHAnsi" w:eastAsia="Calibri" w:hAnsiTheme="majorHAnsi" w:cstheme="majorHAnsi"/>
          <w:lang w:val="en-GB"/>
        </w:rPr>
        <w:t xml:space="preserve"> 1.</w:t>
      </w:r>
      <w:r w:rsidR="008C4A63" w:rsidRPr="00A33AE8">
        <w:rPr>
          <w:rFonts w:asciiTheme="majorHAnsi" w:eastAsia="Calibri" w:hAnsiTheme="majorHAnsi" w:cstheme="majorHAnsi"/>
          <w:lang w:val="en-GB"/>
        </w:rPr>
        <w:t>22</w:t>
      </w:r>
      <w:r w:rsidR="00365CEB" w:rsidRPr="00A33AE8">
        <w:rPr>
          <w:rFonts w:asciiTheme="majorHAnsi" w:eastAsia="Calibri" w:hAnsiTheme="majorHAnsi" w:cstheme="majorHAnsi"/>
          <w:lang w:val="en-GB"/>
        </w:rPr>
        <w:t xml:space="preserve"> Mtoe in 2030 and to </w:t>
      </w:r>
      <w:r w:rsidR="006554D4" w:rsidRPr="00A33AE8">
        <w:rPr>
          <w:rFonts w:asciiTheme="majorHAnsi" w:eastAsia="Calibri" w:hAnsiTheme="majorHAnsi" w:cstheme="majorHAnsi"/>
          <w:lang w:val="en-GB"/>
        </w:rPr>
        <w:t xml:space="preserve">2.2 </w:t>
      </w:r>
      <w:r w:rsidR="00365CEB" w:rsidRPr="00A33AE8">
        <w:rPr>
          <w:rFonts w:asciiTheme="majorHAnsi" w:eastAsia="Calibri" w:hAnsiTheme="majorHAnsi" w:cstheme="majorHAnsi"/>
          <w:lang w:val="en-GB"/>
        </w:rPr>
        <w:t xml:space="preserve">Mtoe in 2050 </w:t>
      </w:r>
      <w:r w:rsidR="001B3035" w:rsidRPr="00A33AE8">
        <w:rPr>
          <w:rFonts w:asciiTheme="majorHAnsi" w:eastAsia="Calibri" w:hAnsiTheme="majorHAnsi" w:cstheme="majorHAnsi"/>
          <w:lang w:val="en-GB"/>
        </w:rPr>
        <w:t xml:space="preserve">reaching </w:t>
      </w:r>
      <w:r w:rsidR="00480422" w:rsidRPr="00A33AE8">
        <w:rPr>
          <w:rFonts w:asciiTheme="majorHAnsi" w:eastAsia="Calibri" w:hAnsiTheme="majorHAnsi" w:cstheme="majorHAnsi"/>
          <w:lang w:val="en-GB"/>
        </w:rPr>
        <w:t xml:space="preserve">a </w:t>
      </w:r>
      <w:r w:rsidR="006554D4" w:rsidRPr="00A33AE8">
        <w:rPr>
          <w:rFonts w:asciiTheme="majorHAnsi" w:eastAsia="Calibri" w:hAnsiTheme="majorHAnsi" w:cstheme="majorHAnsi"/>
          <w:lang w:val="en-GB"/>
        </w:rPr>
        <w:t xml:space="preserve">17% </w:t>
      </w:r>
      <w:r w:rsidR="00480422" w:rsidRPr="00A33AE8">
        <w:rPr>
          <w:rFonts w:asciiTheme="majorHAnsi" w:eastAsia="Calibri" w:hAnsiTheme="majorHAnsi" w:cstheme="majorHAnsi"/>
          <w:lang w:val="en-GB"/>
        </w:rPr>
        <w:t xml:space="preserve">share in </w:t>
      </w:r>
      <w:r w:rsidR="00365CEB" w:rsidRPr="00A33AE8">
        <w:rPr>
          <w:rFonts w:asciiTheme="majorHAnsi" w:eastAsia="Calibri" w:hAnsiTheme="majorHAnsi" w:cstheme="majorHAnsi"/>
          <w:lang w:val="en-GB"/>
        </w:rPr>
        <w:t xml:space="preserve">the final energy consumption </w:t>
      </w:r>
      <w:r w:rsidRPr="00A33AE8">
        <w:rPr>
          <w:rFonts w:asciiTheme="majorHAnsi" w:eastAsia="Calibri" w:hAnsiTheme="majorHAnsi" w:cstheme="majorHAnsi"/>
          <w:lang w:val="en-GB"/>
        </w:rPr>
        <w:t xml:space="preserve">in </w:t>
      </w:r>
      <w:r w:rsidR="00365CEB" w:rsidRPr="00A33AE8">
        <w:rPr>
          <w:rFonts w:asciiTheme="majorHAnsi" w:eastAsia="Calibri" w:hAnsiTheme="majorHAnsi" w:cstheme="majorHAnsi"/>
          <w:lang w:val="en-GB"/>
        </w:rPr>
        <w:t>2050.</w:t>
      </w:r>
    </w:p>
    <w:p w14:paraId="4B1204B0" w14:textId="11784D2C" w:rsidR="00330535" w:rsidRDefault="00330535" w:rsidP="0087794A">
      <w:pPr>
        <w:pStyle w:val="Caption"/>
        <w:keepNext/>
        <w:jc w:val="center"/>
      </w:pPr>
      <w:bookmarkStart w:id="277" w:name="_Ref153545761"/>
      <w:bookmarkStart w:id="278" w:name="_Toc154575235"/>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28</w:t>
      </w:r>
      <w:r w:rsidR="006E0533">
        <w:rPr>
          <w:noProof/>
        </w:rPr>
        <w:fldChar w:fldCharType="end"/>
      </w:r>
      <w:bookmarkEnd w:id="277"/>
      <w:r>
        <w:t xml:space="preserve">: </w:t>
      </w:r>
      <w:r w:rsidRPr="00330535">
        <w:t>Final energy consumption by fuel over 2020-2050 in the scenario with existing measures (WEM)</w:t>
      </w:r>
      <w:bookmarkEnd w:id="278"/>
    </w:p>
    <w:p w14:paraId="66DD95CB" w14:textId="17595DFC" w:rsidR="006554D4" w:rsidRPr="00A33AE8" w:rsidRDefault="00330535" w:rsidP="006554D4">
      <w:pPr>
        <w:jc w:val="center"/>
        <w:rPr>
          <w:lang w:eastAsia="el-GR"/>
        </w:rPr>
      </w:pPr>
      <w:r w:rsidRPr="000007D2">
        <w:rPr>
          <w:noProof/>
          <w:lang w:val="en-US"/>
        </w:rPr>
        <mc:AlternateContent>
          <mc:Choice Requires="wps">
            <w:drawing>
              <wp:anchor distT="0" distB="0" distL="114300" distR="114300" simplePos="0" relativeHeight="251692032" behindDoc="0" locked="0" layoutInCell="1" allowOverlap="1" wp14:anchorId="65CA6C50" wp14:editId="16E35CA1">
                <wp:simplePos x="0" y="0"/>
                <wp:positionH relativeFrom="column">
                  <wp:posOffset>1042035</wp:posOffset>
                </wp:positionH>
                <wp:positionV relativeFrom="paragraph">
                  <wp:posOffset>537845</wp:posOffset>
                </wp:positionV>
                <wp:extent cx="2691441" cy="2074353"/>
                <wp:effectExtent l="0" t="0" r="0" b="2540"/>
                <wp:wrapNone/>
                <wp:docPr id="374327750" name="Text Box 374327750"/>
                <wp:cNvGraphicFramePr/>
                <a:graphic xmlns:a="http://schemas.openxmlformats.org/drawingml/2006/main">
                  <a:graphicData uri="http://schemas.microsoft.com/office/word/2010/wordprocessingShape">
                    <wps:wsp>
                      <wps:cNvSpPr txBox="1"/>
                      <wps:spPr>
                        <a:xfrm>
                          <a:off x="0" y="0"/>
                          <a:ext cx="2691441" cy="207435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0A2FAE" id="Text Box 374327750" o:spid="_x0000_s1026" type="#_x0000_t202" style="position:absolute;margin-left:82.05pt;margin-top:42.35pt;width:211.9pt;height:16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" fillcolor="#a5a5a5 [2092]" stroked="f">
                <v:fill opacity="32896f"/>
              </v:shape>
            </w:pict>
          </mc:Fallback>
        </mc:AlternateContent>
      </w:r>
      <w:r w:rsidR="006C15C2" w:rsidRPr="000007D2">
        <w:rPr>
          <w:noProof/>
          <w:lang w:val="en-US"/>
        </w:rPr>
        <w:drawing>
          <wp:inline distT="0" distB="0" distL="0" distR="0" wp14:anchorId="16D7603F" wp14:editId="5F9401D0">
            <wp:extent cx="5707250" cy="320802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1757" cy="3216174"/>
                    </a:xfrm>
                    <a:prstGeom prst="rect">
                      <a:avLst/>
                    </a:prstGeom>
                    <a:noFill/>
                  </pic:spPr>
                </pic:pic>
              </a:graphicData>
            </a:graphic>
          </wp:inline>
        </w:drawing>
      </w:r>
    </w:p>
    <w:p w14:paraId="5DC87D49" w14:textId="4A9CB95B" w:rsidR="006554D4" w:rsidRPr="00A33AE8" w:rsidRDefault="00365CEB" w:rsidP="006554D4">
      <w:pPr>
        <w:pStyle w:val="LDKbody"/>
        <w:rPr>
          <w:rFonts w:asciiTheme="majorHAnsi" w:hAnsiTheme="majorHAnsi" w:cstheme="majorHAnsi"/>
          <w:lang w:val="en-GB"/>
        </w:rPr>
      </w:pPr>
      <w:r w:rsidRPr="00A33AE8">
        <w:rPr>
          <w:rFonts w:asciiTheme="majorHAnsi" w:hAnsiTheme="majorHAnsi" w:cstheme="majorHAnsi"/>
          <w:lang w:val="en-GB"/>
        </w:rPr>
        <w:t xml:space="preserve">The final energy intensity is </w:t>
      </w:r>
      <w:r w:rsidR="001B3035" w:rsidRPr="00A33AE8">
        <w:rPr>
          <w:rFonts w:asciiTheme="majorHAnsi" w:hAnsiTheme="majorHAnsi" w:cstheme="majorHAnsi"/>
          <w:lang w:val="en-GB"/>
        </w:rPr>
        <w:t xml:space="preserve">projected </w:t>
      </w:r>
      <w:r w:rsidRPr="00A33AE8">
        <w:rPr>
          <w:rFonts w:asciiTheme="majorHAnsi" w:hAnsiTheme="majorHAnsi" w:cstheme="majorHAnsi"/>
          <w:lang w:val="en-GB"/>
        </w:rPr>
        <w:t xml:space="preserve">to decrease until 2050, as it will be reduced by </w:t>
      </w:r>
      <w:r w:rsidR="00E916FC" w:rsidRPr="00A33AE8">
        <w:rPr>
          <w:rFonts w:asciiTheme="majorHAnsi" w:hAnsiTheme="majorHAnsi" w:cstheme="majorHAnsi"/>
          <w:lang w:val="en-GB"/>
        </w:rPr>
        <w:t>18</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2030, </w:t>
      </w:r>
      <w:r w:rsidR="00E916FC" w:rsidRPr="00A33AE8">
        <w:rPr>
          <w:rFonts w:asciiTheme="majorHAnsi" w:hAnsiTheme="majorHAnsi" w:cstheme="majorHAnsi"/>
          <w:lang w:val="en-GB"/>
        </w:rPr>
        <w:t>33</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in 2040 and</w:t>
      </w:r>
      <w:r w:rsidR="006554D4" w:rsidRPr="00A33AE8">
        <w:rPr>
          <w:rFonts w:asciiTheme="majorHAnsi" w:hAnsiTheme="majorHAnsi" w:cstheme="majorHAnsi"/>
          <w:lang w:val="en-GB"/>
        </w:rPr>
        <w:t xml:space="preserve"> </w:t>
      </w:r>
      <w:r w:rsidR="00E916FC" w:rsidRPr="00A33AE8">
        <w:rPr>
          <w:rFonts w:asciiTheme="majorHAnsi" w:hAnsiTheme="majorHAnsi" w:cstheme="majorHAnsi"/>
          <w:lang w:val="en-GB"/>
        </w:rPr>
        <w:t>42</w:t>
      </w:r>
      <w:r w:rsidR="00902E45" w:rsidRPr="00A33AE8">
        <w:rPr>
          <w:rFonts w:asciiTheme="majorHAnsi" w:hAnsiTheme="majorHAnsi" w:cstheme="majorHAnsi"/>
          <w:lang w:val="en-GB"/>
        </w:rPr>
        <w:t>%</w:t>
      </w:r>
      <w:r w:rsidRPr="00A33AE8">
        <w:rPr>
          <w:rFonts w:asciiTheme="majorHAnsi" w:hAnsiTheme="majorHAnsi" w:cstheme="majorHAnsi"/>
          <w:lang w:val="en-GB"/>
        </w:rPr>
        <w:t xml:space="preserve"> in 2050, compared to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as presented in </w:t>
      </w:r>
      <w:r w:rsidR="00324978" w:rsidRPr="000007D2">
        <w:rPr>
          <w:lang w:val="en-GB"/>
        </w:rPr>
        <w:fldChar w:fldCharType="begin"/>
      </w:r>
      <w:r w:rsidR="00324978" w:rsidRPr="000007D2">
        <w:rPr>
          <w:lang w:val="en-GB"/>
        </w:rPr>
        <w:instrText xml:space="preserve"> REF _Ref113634104 \h  \* MERGEFORMAT </w:instrText>
      </w:r>
      <w:r w:rsidR="00324978" w:rsidRPr="000007D2">
        <w:rPr>
          <w:lang w:val="en-GB"/>
        </w:rPr>
      </w:r>
      <w:r w:rsidR="00324978" w:rsidRPr="000007D2">
        <w:rPr>
          <w:lang w:val="en-GB"/>
        </w:rPr>
        <w:fldChar w:fldCharType="separate"/>
      </w:r>
      <w:r w:rsidR="00324978" w:rsidRPr="00A33AE8">
        <w:rPr>
          <w:rFonts w:asciiTheme="majorHAnsi" w:hAnsiTheme="majorHAnsi" w:cstheme="majorHAnsi"/>
          <w:lang w:val="en-GB"/>
        </w:rPr>
        <w:t>Figure 4.2</w:t>
      </w:r>
      <w:r w:rsidR="00324978">
        <w:rPr>
          <w:rFonts w:asciiTheme="majorHAnsi" w:hAnsiTheme="majorHAnsi" w:cstheme="majorHAnsi"/>
          <w:lang w:val="en-GB"/>
        </w:rPr>
        <w:t>9</w:t>
      </w:r>
      <w:r w:rsidR="00324978" w:rsidRPr="000007D2">
        <w:rPr>
          <w:lang w:val="en-GB"/>
        </w:rPr>
        <w:fldChar w:fldCharType="end"/>
      </w:r>
      <w:r w:rsidR="00480422" w:rsidRPr="00A33AE8">
        <w:rPr>
          <w:rFonts w:asciiTheme="majorHAnsi" w:hAnsiTheme="majorHAnsi" w:cstheme="majorHAnsi"/>
          <w:lang w:val="en-GB"/>
        </w:rPr>
        <w:t>, highlighting the essential contribution of the existing energy efficiency policies and measures.</w:t>
      </w:r>
    </w:p>
    <w:p w14:paraId="6F7B52FA" w14:textId="0A91F9E4" w:rsidR="00365CEB" w:rsidRPr="00A33AE8" w:rsidRDefault="00365CEB" w:rsidP="00884F3B">
      <w:pPr>
        <w:pStyle w:val="Caption"/>
        <w:numPr>
          <w:ilvl w:val="0"/>
          <w:numId w:val="271"/>
        </w:numPr>
        <w:rPr>
          <w:lang w:eastAsia="el-GR"/>
        </w:rPr>
      </w:pPr>
      <w:bookmarkStart w:id="279" w:name="_heading=h.1yyy98l" w:colFirst="0" w:colLast="0"/>
      <w:bookmarkStart w:id="280" w:name="_Ref113634104"/>
      <w:bookmarkStart w:id="281" w:name="_Toc118992298"/>
      <w:bookmarkStart w:id="282" w:name="_Toc154575236"/>
      <w:bookmarkEnd w:id="279"/>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29</w:t>
      </w:r>
      <w:r w:rsidR="00B62877">
        <w:rPr>
          <w:lang w:eastAsia="el-GR"/>
        </w:rPr>
        <w:fldChar w:fldCharType="end"/>
      </w:r>
      <w:bookmarkEnd w:id="280"/>
      <w:r w:rsidRPr="00A33AE8">
        <w:rPr>
          <w:lang w:eastAsia="el-GR"/>
        </w:rPr>
        <w:t>: Final energy intensity over 20</w:t>
      </w:r>
      <w:r w:rsidR="00E916FC" w:rsidRPr="00A33AE8">
        <w:rPr>
          <w:lang w:eastAsia="el-GR"/>
        </w:rPr>
        <w:t>20</w:t>
      </w:r>
      <w:r w:rsidRPr="00A33AE8">
        <w:rPr>
          <w:lang w:eastAsia="el-GR"/>
        </w:rPr>
        <w:t>-2050</w:t>
      </w:r>
      <w:bookmarkEnd w:id="281"/>
      <w:r w:rsidR="00B744A9">
        <w:rPr>
          <w:lang w:eastAsia="el-GR"/>
        </w:rPr>
        <w:t xml:space="preserve"> in the scenario with existing measures (WEM)</w:t>
      </w:r>
      <w:bookmarkEnd w:id="282"/>
    </w:p>
    <w:p w14:paraId="692B2B84" w14:textId="77777777" w:rsidR="006554D4" w:rsidRPr="00A33AE8" w:rsidRDefault="00F774B3" w:rsidP="006554D4">
      <w:pPr>
        <w:jc w:val="center"/>
        <w:rPr>
          <w:lang w:eastAsia="el-GR"/>
        </w:rPr>
      </w:pPr>
      <w:r w:rsidRPr="000007D2">
        <w:rPr>
          <w:noProof/>
          <w:lang w:val="en-US"/>
        </w:rPr>
        <mc:AlternateContent>
          <mc:Choice Requires="wps">
            <w:drawing>
              <wp:anchor distT="0" distB="0" distL="114300" distR="114300" simplePos="0" relativeHeight="251694080" behindDoc="0" locked="0" layoutInCell="1" allowOverlap="1" wp14:anchorId="0339684A" wp14:editId="4C628013">
                <wp:simplePos x="0" y="0"/>
                <wp:positionH relativeFrom="column">
                  <wp:posOffset>1488271</wp:posOffset>
                </wp:positionH>
                <wp:positionV relativeFrom="paragraph">
                  <wp:posOffset>268749</wp:posOffset>
                </wp:positionV>
                <wp:extent cx="2182483" cy="2108859"/>
                <wp:effectExtent l="0" t="0" r="8890" b="5715"/>
                <wp:wrapNone/>
                <wp:docPr id="812288280" name="Text Box 812288280"/>
                <wp:cNvGraphicFramePr/>
                <a:graphic xmlns:a="http://schemas.openxmlformats.org/drawingml/2006/main">
                  <a:graphicData uri="http://schemas.microsoft.com/office/word/2010/wordprocessingShape">
                    <wps:wsp>
                      <wps:cNvSpPr txBox="1"/>
                      <wps:spPr>
                        <a:xfrm>
                          <a:off x="0" y="0"/>
                          <a:ext cx="2182483" cy="2108859"/>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5D3773" id="Text Box 812288280" o:spid="_x0000_s1026" type="#_x0000_t202" style="position:absolute;margin-left:117.2pt;margin-top:21.15pt;width:171.85pt;height:16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" fillcolor="#a5a5a5 [2092]" stroked="f">
                <v:fill opacity="32896f"/>
              </v:shape>
            </w:pict>
          </mc:Fallback>
        </mc:AlternateContent>
      </w:r>
      <w:r w:rsidR="00074150" w:rsidRPr="000007D2">
        <w:rPr>
          <w:noProof/>
          <w:lang w:val="en-US"/>
        </w:rPr>
        <w:drawing>
          <wp:inline distT="0" distB="0" distL="0" distR="0" wp14:anchorId="79D844A6" wp14:editId="78CE8CC9">
            <wp:extent cx="4539727" cy="2910840"/>
            <wp:effectExtent l="0" t="0" r="0" b="3810"/>
            <wp:docPr id="1897716689" name="Picture 189771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57960" cy="2922531"/>
                    </a:xfrm>
                    <a:prstGeom prst="rect">
                      <a:avLst/>
                    </a:prstGeom>
                    <a:noFill/>
                  </pic:spPr>
                </pic:pic>
              </a:graphicData>
            </a:graphic>
          </wp:inline>
        </w:drawing>
      </w:r>
    </w:p>
    <w:p w14:paraId="585551F7" w14:textId="06CF570E" w:rsidR="00365CEB" w:rsidRPr="00A33AE8" w:rsidRDefault="00365CEB" w:rsidP="00365CEB">
      <w:pPr>
        <w:pStyle w:val="LDKbody"/>
        <w:rPr>
          <w:rFonts w:asciiTheme="majorHAnsi" w:eastAsia="Calibri" w:hAnsiTheme="majorHAnsi" w:cstheme="majorHAnsi"/>
          <w:lang w:val="en-GB"/>
        </w:rPr>
      </w:pPr>
      <w:r w:rsidRPr="00A33AE8">
        <w:rPr>
          <w:rFonts w:asciiTheme="majorHAnsi" w:eastAsia="Calibri" w:hAnsiTheme="majorHAnsi" w:cstheme="majorHAnsi"/>
          <w:lang w:val="en-GB"/>
        </w:rPr>
        <w:t>As illustrated in</w:t>
      </w:r>
      <w:r w:rsidR="00B62877">
        <w:rPr>
          <w:rFonts w:asciiTheme="majorHAnsi" w:eastAsia="Calibri" w:hAnsiTheme="majorHAnsi" w:cstheme="majorHAnsi"/>
          <w:lang w:val="en-GB"/>
        </w:rPr>
        <w:t xml:space="preserve"> </w:t>
      </w:r>
      <w:r w:rsidR="00B62877">
        <w:rPr>
          <w:rFonts w:asciiTheme="majorHAnsi" w:eastAsia="Calibri" w:hAnsiTheme="majorHAnsi" w:cstheme="majorHAnsi"/>
        </w:rPr>
        <w:fldChar w:fldCharType="begin"/>
      </w:r>
      <w:r w:rsidR="00B62877">
        <w:rPr>
          <w:rFonts w:asciiTheme="majorHAnsi" w:eastAsia="Calibri" w:hAnsiTheme="majorHAnsi" w:cstheme="majorHAnsi"/>
          <w:lang w:val="en-GB"/>
        </w:rPr>
        <w:instrText xml:space="preserve"> REF _Ref153902793 \h  \* MERGEFORMAT </w:instrText>
      </w:r>
      <w:r w:rsidR="00B62877">
        <w:rPr>
          <w:rFonts w:asciiTheme="majorHAnsi" w:eastAsia="Calibri" w:hAnsiTheme="majorHAnsi" w:cstheme="majorHAnsi"/>
        </w:rPr>
      </w:r>
      <w:r w:rsidR="00B62877">
        <w:rPr>
          <w:rFonts w:asciiTheme="majorHAnsi" w:eastAsia="Calibri" w:hAnsiTheme="majorHAnsi" w:cstheme="majorHAnsi"/>
        </w:rPr>
        <w:fldChar w:fldCharType="separate"/>
      </w:r>
      <w:r w:rsidR="00B62877" w:rsidRPr="0087794A">
        <w:rPr>
          <w:rFonts w:asciiTheme="majorHAnsi" w:eastAsia="Calibri" w:hAnsiTheme="majorHAnsi" w:cstheme="majorHAnsi"/>
          <w:lang w:val="en-GB"/>
        </w:rPr>
        <w:t>Figure 4.30</w:t>
      </w:r>
      <w:r w:rsidR="00B62877">
        <w:rPr>
          <w:rFonts w:asciiTheme="majorHAnsi" w:eastAsia="Calibri" w:hAnsiTheme="majorHAnsi" w:cstheme="majorHAnsi"/>
        </w:rPr>
        <w:fldChar w:fldCharType="end"/>
      </w:r>
      <w:r w:rsidRPr="00A33AE8">
        <w:rPr>
          <w:rFonts w:asciiTheme="majorHAnsi" w:eastAsia="Calibri" w:hAnsiTheme="majorHAnsi" w:cstheme="majorHAnsi"/>
          <w:lang w:val="en-GB"/>
        </w:rPr>
        <w:t>, the gross inland consumption is expected to increase by</w:t>
      </w:r>
      <w:r w:rsidR="006A663F" w:rsidRPr="00A33AE8">
        <w:rPr>
          <w:rFonts w:asciiTheme="majorHAnsi" w:eastAsia="Calibri" w:hAnsiTheme="majorHAnsi" w:cstheme="majorHAnsi"/>
          <w:lang w:val="en-GB"/>
        </w:rPr>
        <w:t xml:space="preserve"> </w:t>
      </w:r>
      <w:r w:rsidR="006554D4" w:rsidRPr="00A33AE8">
        <w:rPr>
          <w:rFonts w:asciiTheme="majorHAnsi" w:eastAsia="Calibri" w:hAnsiTheme="majorHAnsi" w:cstheme="majorHAnsi"/>
          <w:lang w:val="en-GB"/>
        </w:rPr>
        <w:t xml:space="preserve">31% </w:t>
      </w:r>
      <w:r w:rsidRPr="00A33AE8">
        <w:rPr>
          <w:rFonts w:asciiTheme="majorHAnsi" w:eastAsia="Calibri" w:hAnsiTheme="majorHAnsi" w:cstheme="majorHAnsi"/>
          <w:lang w:val="en-GB"/>
        </w:rPr>
        <w:t>at</w:t>
      </w:r>
      <w:r w:rsidR="006554D4" w:rsidRPr="00A33AE8">
        <w:rPr>
          <w:rFonts w:asciiTheme="majorHAnsi" w:eastAsia="Calibri" w:hAnsiTheme="majorHAnsi" w:cstheme="majorHAnsi"/>
          <w:lang w:val="en-GB"/>
        </w:rPr>
        <w:t xml:space="preserve"> 20.6</w:t>
      </w:r>
      <w:r w:rsidR="006A663F"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Mtoe by 2050, compared to 20</w:t>
      </w:r>
      <w:r w:rsidR="00E916F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w:t>
      </w:r>
      <w:r w:rsidR="006A663F" w:rsidRPr="00A33AE8">
        <w:rPr>
          <w:rFonts w:asciiTheme="majorHAnsi" w:eastAsia="Calibri" w:hAnsiTheme="majorHAnsi" w:cstheme="majorHAnsi"/>
          <w:lang w:val="en-GB"/>
        </w:rPr>
        <w:t xml:space="preserve">recording only a </w:t>
      </w:r>
      <w:r w:rsidR="000740AF" w:rsidRPr="00A33AE8">
        <w:rPr>
          <w:rFonts w:asciiTheme="majorHAnsi" w:eastAsia="Calibri" w:hAnsiTheme="majorHAnsi" w:cstheme="majorHAnsi"/>
          <w:lang w:val="en-GB"/>
        </w:rPr>
        <w:t>temporary reduction</w:t>
      </w:r>
      <w:r w:rsidR="006A663F" w:rsidRPr="00A33AE8">
        <w:rPr>
          <w:rFonts w:asciiTheme="majorHAnsi" w:eastAsia="Calibri" w:hAnsiTheme="majorHAnsi" w:cstheme="majorHAnsi"/>
          <w:lang w:val="en-GB"/>
        </w:rPr>
        <w:t xml:space="preserve"> between 2045 and 2050</w:t>
      </w:r>
      <w:r w:rsidR="001C1837" w:rsidRPr="00A33AE8">
        <w:rPr>
          <w:rFonts w:asciiTheme="majorHAnsi" w:eastAsia="Calibri" w:hAnsiTheme="majorHAnsi" w:cstheme="majorHAnsi"/>
          <w:lang w:val="en-GB"/>
        </w:rPr>
        <w:t xml:space="preserve">; from </w:t>
      </w:r>
      <w:r w:rsidR="006554D4" w:rsidRPr="00A33AE8">
        <w:rPr>
          <w:rFonts w:asciiTheme="majorHAnsi" w:eastAsia="Calibri" w:hAnsiTheme="majorHAnsi" w:cstheme="majorHAnsi"/>
          <w:lang w:val="en-GB"/>
        </w:rPr>
        <w:t>20.</w:t>
      </w:r>
      <w:r w:rsidR="00E916FC" w:rsidRPr="00A33AE8">
        <w:rPr>
          <w:rFonts w:asciiTheme="majorHAnsi" w:eastAsia="Calibri" w:hAnsiTheme="majorHAnsi" w:cstheme="majorHAnsi"/>
          <w:lang w:val="en-GB"/>
        </w:rPr>
        <w:t>99</w:t>
      </w:r>
      <w:r w:rsidR="006554D4" w:rsidRPr="00A33AE8">
        <w:rPr>
          <w:rFonts w:asciiTheme="majorHAnsi" w:eastAsia="Calibri" w:hAnsiTheme="majorHAnsi" w:cstheme="majorHAnsi"/>
          <w:lang w:val="en-GB"/>
        </w:rPr>
        <w:t xml:space="preserve"> </w:t>
      </w:r>
      <w:r w:rsidR="001C1837" w:rsidRPr="00A33AE8">
        <w:rPr>
          <w:rFonts w:asciiTheme="majorHAnsi" w:eastAsia="Calibri" w:hAnsiTheme="majorHAnsi" w:cstheme="majorHAnsi"/>
          <w:lang w:val="en-GB"/>
        </w:rPr>
        <w:t xml:space="preserve">Mtoe in 2045 to </w:t>
      </w:r>
      <w:r w:rsidR="006554D4" w:rsidRPr="00A33AE8">
        <w:rPr>
          <w:rFonts w:asciiTheme="majorHAnsi" w:eastAsia="Calibri" w:hAnsiTheme="majorHAnsi" w:cstheme="majorHAnsi"/>
          <w:lang w:val="en-GB"/>
        </w:rPr>
        <w:t xml:space="preserve">20.6 </w:t>
      </w:r>
      <w:r w:rsidR="001C1837" w:rsidRPr="00A33AE8">
        <w:rPr>
          <w:rFonts w:asciiTheme="majorHAnsi" w:eastAsia="Calibri" w:hAnsiTheme="majorHAnsi" w:cstheme="majorHAnsi"/>
          <w:lang w:val="en-GB"/>
        </w:rPr>
        <w:t>Mtoe in 2050</w:t>
      </w:r>
      <w:r w:rsidRPr="00A33AE8">
        <w:rPr>
          <w:rFonts w:asciiTheme="majorHAnsi" w:eastAsia="Calibri" w:hAnsiTheme="majorHAnsi" w:cstheme="majorHAnsi"/>
          <w:lang w:val="en-GB"/>
        </w:rPr>
        <w:t>. Solid fossil fuels and oil and petroleum products have a dominant role in the gross inland consumption, with respective shares of</w:t>
      </w:r>
      <w:r w:rsidR="00E916FC" w:rsidRPr="00A33AE8">
        <w:rPr>
          <w:rFonts w:asciiTheme="majorHAnsi" w:eastAsia="Calibri" w:hAnsiTheme="majorHAnsi" w:cstheme="majorHAnsi"/>
          <w:lang w:val="en-GB"/>
        </w:rPr>
        <w:t xml:space="preserve"> 48</w:t>
      </w:r>
      <w:r w:rsidR="00332EA5" w:rsidRPr="00A33AE8">
        <w:rPr>
          <w:rFonts w:asciiTheme="majorHAnsi" w:eastAsia="Calibri" w:hAnsiTheme="majorHAnsi" w:cstheme="majorHAnsi"/>
          <w:lang w:val="en-GB"/>
        </w:rPr>
        <w:t>%</w:t>
      </w:r>
      <w:r w:rsidRPr="00A33AE8">
        <w:rPr>
          <w:rFonts w:asciiTheme="majorHAnsi" w:eastAsia="Calibri" w:hAnsiTheme="majorHAnsi" w:cstheme="majorHAnsi"/>
          <w:lang w:val="en-GB"/>
        </w:rPr>
        <w:t xml:space="preserve"> and</w:t>
      </w:r>
      <w:r w:rsidR="00E916FC" w:rsidRPr="00A33AE8">
        <w:rPr>
          <w:rFonts w:asciiTheme="majorHAnsi" w:eastAsia="Calibri" w:hAnsiTheme="majorHAnsi" w:cstheme="majorHAnsi"/>
          <w:lang w:val="en-GB"/>
        </w:rPr>
        <w:t xml:space="preserve"> </w:t>
      </w:r>
      <w:r w:rsidR="006554D4" w:rsidRPr="00A33AE8">
        <w:rPr>
          <w:rFonts w:asciiTheme="majorHAnsi" w:eastAsia="Calibri" w:hAnsiTheme="majorHAnsi" w:cstheme="majorHAnsi"/>
          <w:lang w:val="en-GB"/>
        </w:rPr>
        <w:t>23</w:t>
      </w:r>
      <w:r w:rsidR="00332EA5" w:rsidRPr="00A33AE8">
        <w:rPr>
          <w:rFonts w:asciiTheme="majorHAnsi" w:eastAsia="Calibri" w:hAnsiTheme="majorHAnsi" w:cstheme="majorHAnsi"/>
          <w:lang w:val="en-GB"/>
        </w:rPr>
        <w:t>%</w:t>
      </w:r>
      <w:r w:rsidRPr="00A33AE8">
        <w:rPr>
          <w:rFonts w:asciiTheme="majorHAnsi" w:eastAsia="Calibri" w:hAnsiTheme="majorHAnsi" w:cstheme="majorHAnsi"/>
          <w:lang w:val="en-GB"/>
        </w:rPr>
        <w:t xml:space="preserve"> in 20</w:t>
      </w:r>
      <w:r w:rsidR="00E916F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w:t>
      </w:r>
      <w:r w:rsidR="006554D4" w:rsidRPr="00A33AE8">
        <w:rPr>
          <w:rFonts w:asciiTheme="majorHAnsi" w:eastAsia="Calibri" w:hAnsiTheme="majorHAnsi" w:cstheme="majorHAnsi"/>
          <w:lang w:val="en-GB"/>
        </w:rPr>
        <w:t xml:space="preserve">45% </w:t>
      </w:r>
      <w:r w:rsidRPr="00A33AE8">
        <w:rPr>
          <w:rFonts w:asciiTheme="majorHAnsi" w:eastAsia="Calibri" w:hAnsiTheme="majorHAnsi" w:cstheme="majorHAnsi"/>
          <w:lang w:val="en-GB"/>
        </w:rPr>
        <w:t xml:space="preserve">and </w:t>
      </w:r>
      <w:r w:rsidR="006554D4" w:rsidRPr="00A33AE8">
        <w:rPr>
          <w:rFonts w:asciiTheme="majorHAnsi" w:eastAsia="Calibri" w:hAnsiTheme="majorHAnsi" w:cstheme="majorHAnsi"/>
          <w:lang w:val="en-GB"/>
        </w:rPr>
        <w:t xml:space="preserve">24% </w:t>
      </w:r>
      <w:r w:rsidRPr="00A33AE8">
        <w:rPr>
          <w:rFonts w:asciiTheme="majorHAnsi" w:eastAsia="Calibri" w:hAnsiTheme="majorHAnsi" w:cstheme="majorHAnsi"/>
          <w:lang w:val="en-GB"/>
        </w:rPr>
        <w:t xml:space="preserve">in 2030, </w:t>
      </w:r>
      <w:r w:rsidR="006554D4" w:rsidRPr="00A33AE8">
        <w:rPr>
          <w:rFonts w:asciiTheme="majorHAnsi" w:eastAsia="Calibri" w:hAnsiTheme="majorHAnsi" w:cstheme="majorHAnsi"/>
          <w:lang w:val="en-GB"/>
        </w:rPr>
        <w:t xml:space="preserve">45% </w:t>
      </w:r>
      <w:r w:rsidRPr="00A33AE8">
        <w:rPr>
          <w:rFonts w:asciiTheme="majorHAnsi" w:eastAsia="Calibri" w:hAnsiTheme="majorHAnsi" w:cstheme="majorHAnsi"/>
          <w:lang w:val="en-GB"/>
        </w:rPr>
        <w:t xml:space="preserve">and </w:t>
      </w:r>
      <w:r w:rsidR="00E916FC" w:rsidRPr="00A33AE8">
        <w:rPr>
          <w:rFonts w:asciiTheme="majorHAnsi" w:eastAsia="Calibri" w:hAnsiTheme="majorHAnsi" w:cstheme="majorHAnsi"/>
          <w:lang w:val="en-GB"/>
        </w:rPr>
        <w:t>23%</w:t>
      </w:r>
      <w:r w:rsidR="006554D4" w:rsidRPr="00A33AE8">
        <w:rPr>
          <w:rFonts w:asciiTheme="majorHAnsi" w:eastAsia="Calibri" w:hAnsiTheme="majorHAnsi" w:cstheme="majorHAnsi"/>
          <w:lang w:val="en-GB"/>
        </w:rPr>
        <w:t xml:space="preserve"> </w:t>
      </w:r>
      <w:r w:rsidRPr="00A33AE8">
        <w:rPr>
          <w:rFonts w:asciiTheme="majorHAnsi" w:eastAsia="Calibri" w:hAnsiTheme="majorHAnsi" w:cstheme="majorHAnsi"/>
          <w:lang w:val="en-GB"/>
        </w:rPr>
        <w:t xml:space="preserve">in 2040 and </w:t>
      </w:r>
      <w:r w:rsidR="006554D4" w:rsidRPr="00A33AE8">
        <w:rPr>
          <w:rFonts w:asciiTheme="majorHAnsi" w:eastAsia="Calibri" w:hAnsiTheme="majorHAnsi" w:cstheme="majorHAnsi"/>
          <w:lang w:val="en-GB"/>
        </w:rPr>
        <w:t xml:space="preserve">39% </w:t>
      </w:r>
      <w:r w:rsidRPr="00A33AE8">
        <w:rPr>
          <w:rFonts w:asciiTheme="majorHAnsi" w:eastAsia="Calibri" w:hAnsiTheme="majorHAnsi" w:cstheme="majorHAnsi"/>
          <w:lang w:val="en-GB"/>
        </w:rPr>
        <w:t xml:space="preserve">and </w:t>
      </w:r>
      <w:r w:rsidR="006554D4" w:rsidRPr="00A33AE8">
        <w:rPr>
          <w:rFonts w:asciiTheme="majorHAnsi" w:eastAsia="Calibri" w:hAnsiTheme="majorHAnsi" w:cstheme="majorHAnsi"/>
          <w:lang w:val="en-GB"/>
        </w:rPr>
        <w:t xml:space="preserve">26% </w:t>
      </w:r>
      <w:r w:rsidRPr="00A33AE8">
        <w:rPr>
          <w:rFonts w:asciiTheme="majorHAnsi" w:eastAsia="Calibri" w:hAnsiTheme="majorHAnsi" w:cstheme="majorHAnsi"/>
          <w:lang w:val="en-GB"/>
        </w:rPr>
        <w:t xml:space="preserve">in 2050. The penetration of </w:t>
      </w:r>
      <w:r w:rsidR="006554D4" w:rsidRPr="00A33AE8">
        <w:rPr>
          <w:rFonts w:asciiTheme="majorHAnsi" w:eastAsia="Calibri" w:hAnsiTheme="majorHAnsi" w:cstheme="majorHAnsi"/>
          <w:lang w:val="en-GB"/>
        </w:rPr>
        <w:t xml:space="preserve">natural gas as well as </w:t>
      </w:r>
      <w:r w:rsidRPr="00A33AE8">
        <w:rPr>
          <w:rFonts w:asciiTheme="majorHAnsi" w:eastAsia="Calibri" w:hAnsiTheme="majorHAnsi" w:cstheme="majorHAnsi"/>
          <w:lang w:val="en-GB"/>
        </w:rPr>
        <w:t xml:space="preserve">RES and </w:t>
      </w:r>
      <w:r w:rsidR="00DF4A51" w:rsidRPr="00A33AE8">
        <w:rPr>
          <w:rFonts w:asciiTheme="majorHAnsi" w:eastAsia="Calibri" w:hAnsiTheme="majorHAnsi" w:cstheme="majorHAnsi"/>
          <w:lang w:val="en-GB"/>
        </w:rPr>
        <w:t>W</w:t>
      </w:r>
      <w:r w:rsidRPr="00A33AE8">
        <w:rPr>
          <w:rFonts w:asciiTheme="majorHAnsi" w:eastAsia="Calibri" w:hAnsiTheme="majorHAnsi" w:cstheme="majorHAnsi"/>
          <w:lang w:val="en-GB"/>
        </w:rPr>
        <w:t xml:space="preserve">astes is also anticipated to </w:t>
      </w:r>
      <w:r w:rsidR="000740AF" w:rsidRPr="00A33AE8">
        <w:rPr>
          <w:rFonts w:asciiTheme="majorHAnsi" w:eastAsia="Calibri" w:hAnsiTheme="majorHAnsi" w:cstheme="majorHAnsi"/>
          <w:lang w:val="en-GB"/>
        </w:rPr>
        <w:t>increase</w:t>
      </w:r>
      <w:r w:rsidR="00514335" w:rsidRPr="000007D2">
        <w:rPr>
          <w:rFonts w:asciiTheme="majorHAnsi" w:eastAsia="Calibri" w:hAnsiTheme="majorHAnsi" w:cstheme="majorHAnsi"/>
          <w:lang w:val="en-GB"/>
        </w:rPr>
        <w:t xml:space="preserve"> </w:t>
      </w:r>
      <w:r w:rsidRPr="00A33AE8">
        <w:rPr>
          <w:rFonts w:asciiTheme="majorHAnsi" w:eastAsia="Calibri" w:hAnsiTheme="majorHAnsi" w:cstheme="majorHAnsi"/>
          <w:lang w:val="en-GB"/>
        </w:rPr>
        <w:t xml:space="preserve">throughout the examined period; from 14% and </w:t>
      </w:r>
      <w:r w:rsidR="00E916FC" w:rsidRPr="00A33AE8">
        <w:rPr>
          <w:rFonts w:asciiTheme="majorHAnsi" w:eastAsia="Calibri" w:hAnsiTheme="majorHAnsi" w:cstheme="majorHAnsi"/>
          <w:lang w:val="en-GB"/>
        </w:rPr>
        <w:t>16</w:t>
      </w:r>
      <w:r w:rsidRPr="00A33AE8">
        <w:rPr>
          <w:rFonts w:asciiTheme="majorHAnsi" w:eastAsia="Calibri" w:hAnsiTheme="majorHAnsi" w:cstheme="majorHAnsi"/>
          <w:lang w:val="en-GB"/>
        </w:rPr>
        <w:t>% correspondingly in 20</w:t>
      </w:r>
      <w:r w:rsidR="00E916FC"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to</w:t>
      </w:r>
      <w:r w:rsidR="00D60CD6" w:rsidRPr="00A33AE8">
        <w:rPr>
          <w:rFonts w:asciiTheme="majorHAnsi" w:eastAsia="Calibri" w:hAnsiTheme="majorHAnsi" w:cstheme="majorHAnsi"/>
          <w:lang w:val="en-GB"/>
        </w:rPr>
        <w:t xml:space="preserve"> </w:t>
      </w:r>
      <w:r w:rsidR="00332EA5"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and </w:t>
      </w:r>
      <w:r w:rsidR="00332EA5" w:rsidRPr="00A33AE8">
        <w:rPr>
          <w:rFonts w:asciiTheme="majorHAnsi" w:eastAsia="Calibri" w:hAnsiTheme="majorHAnsi" w:cstheme="majorHAnsi"/>
          <w:lang w:val="en-GB"/>
        </w:rPr>
        <w:t>17%</w:t>
      </w:r>
      <w:r w:rsidRPr="00A33AE8">
        <w:rPr>
          <w:rFonts w:asciiTheme="majorHAnsi" w:eastAsia="Calibri" w:hAnsiTheme="majorHAnsi" w:cstheme="majorHAnsi"/>
          <w:lang w:val="en-GB"/>
        </w:rPr>
        <w:t xml:space="preserve"> in 2050.</w:t>
      </w:r>
    </w:p>
    <w:p w14:paraId="16C52E0C" w14:textId="0AC45758" w:rsidR="00B62877" w:rsidRDefault="00B62877" w:rsidP="0087794A">
      <w:pPr>
        <w:pStyle w:val="Caption"/>
        <w:keepNext/>
      </w:pPr>
      <w:bookmarkStart w:id="283" w:name="_Ref153902793"/>
      <w:bookmarkStart w:id="284" w:name="_Toc154575237"/>
      <w:r>
        <w:lastRenderedPageBreak/>
        <w:t xml:space="preserve">Figure </w:t>
      </w:r>
      <w:r w:rsidR="006E0533">
        <w:fldChar w:fldCharType="begin"/>
      </w:r>
      <w:r w:rsidR="006E0533">
        <w:instrText xml:space="preserve"> STYLEREF 1 \s </w:instrText>
      </w:r>
      <w:r w:rsidR="006E0533">
        <w:fldChar w:fldCharType="separate"/>
      </w:r>
      <w:r>
        <w:rPr>
          <w:noProof/>
        </w:rPr>
        <w:t>4</w:t>
      </w:r>
      <w:r w:rsidR="006E0533">
        <w:rPr>
          <w:noProof/>
        </w:rPr>
        <w:fldChar w:fldCharType="end"/>
      </w:r>
      <w:r>
        <w:t>.</w:t>
      </w:r>
      <w:r w:rsidR="006E0533">
        <w:fldChar w:fldCharType="begin"/>
      </w:r>
      <w:r w:rsidR="006E0533">
        <w:instrText xml:space="preserve"> SEQ Figure \* ARABIC \s 1 </w:instrText>
      </w:r>
      <w:r w:rsidR="006E0533">
        <w:fldChar w:fldCharType="separate"/>
      </w:r>
      <w:r>
        <w:rPr>
          <w:noProof/>
        </w:rPr>
        <w:t>30</w:t>
      </w:r>
      <w:r w:rsidR="006E0533">
        <w:rPr>
          <w:noProof/>
        </w:rPr>
        <w:fldChar w:fldCharType="end"/>
      </w:r>
      <w:bookmarkEnd w:id="283"/>
      <w:r w:rsidRPr="00B62877">
        <w:t>: Gross inland consumption by fuel over 2020-2050 in the scenario with existing measures (WEM)</w:t>
      </w:r>
      <w:bookmarkEnd w:id="284"/>
    </w:p>
    <w:p w14:paraId="0B968D6A" w14:textId="2822C4D2" w:rsidR="006554D4" w:rsidRPr="00A33AE8" w:rsidRDefault="00B62877" w:rsidP="006554D4">
      <w:pPr>
        <w:jc w:val="center"/>
        <w:rPr>
          <w:lang w:eastAsia="el-GR"/>
        </w:rPr>
      </w:pPr>
      <w:r w:rsidRPr="000007D2">
        <w:rPr>
          <w:noProof/>
          <w:lang w:val="en-US"/>
        </w:rPr>
        <mc:AlternateContent>
          <mc:Choice Requires="wps">
            <w:drawing>
              <wp:anchor distT="0" distB="0" distL="114300" distR="114300" simplePos="0" relativeHeight="251696128" behindDoc="0" locked="0" layoutInCell="1" allowOverlap="1" wp14:anchorId="3E2E4E32" wp14:editId="09A47777">
                <wp:simplePos x="0" y="0"/>
                <wp:positionH relativeFrom="column">
                  <wp:posOffset>1120388</wp:posOffset>
                </wp:positionH>
                <wp:positionV relativeFrom="paragraph">
                  <wp:posOffset>284563</wp:posOffset>
                </wp:positionV>
                <wp:extent cx="2544793" cy="1901993"/>
                <wp:effectExtent l="0" t="0" r="8255" b="3175"/>
                <wp:wrapNone/>
                <wp:docPr id="290937654" name="Text Box 290937654"/>
                <wp:cNvGraphicFramePr/>
                <a:graphic xmlns:a="http://schemas.openxmlformats.org/drawingml/2006/main">
                  <a:graphicData uri="http://schemas.microsoft.com/office/word/2010/wordprocessingShape">
                    <wps:wsp>
                      <wps:cNvSpPr txBox="1"/>
                      <wps:spPr>
                        <a:xfrm>
                          <a:off x="0" y="0"/>
                          <a:ext cx="2544793" cy="19019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166735" id="_x0000_t202" coordsize="21600,21600" o:spt="202" path="m,l,21600r21600,l21600,xe">
                <v:stroke joinstyle="miter"/>
                <v:path gradientshapeok="t" o:connecttype="rect"/>
              </v:shapetype>
              <v:shape id="Text Box 290937654" o:spid="_x0000_s1026" type="#_x0000_t202" style="position:absolute;margin-left:88.2pt;margin-top:22.4pt;width:200.4pt;height:149.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" fillcolor="#a5a5a5 [2092]" stroked="f">
                <v:fill opacity="32896f"/>
              </v:shape>
            </w:pict>
          </mc:Fallback>
        </mc:AlternateContent>
      </w:r>
      <w:r w:rsidR="008B08E7" w:rsidRPr="000007D2">
        <w:rPr>
          <w:noProof/>
          <w:lang w:val="en-US"/>
        </w:rPr>
        <w:drawing>
          <wp:inline distT="0" distB="0" distL="0" distR="0" wp14:anchorId="2ACE29E6" wp14:editId="324D7C15">
            <wp:extent cx="5723255" cy="26684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5073" cy="2678668"/>
                    </a:xfrm>
                    <a:prstGeom prst="rect">
                      <a:avLst/>
                    </a:prstGeom>
                    <a:noFill/>
                  </pic:spPr>
                </pic:pic>
              </a:graphicData>
            </a:graphic>
          </wp:inline>
        </w:drawing>
      </w:r>
    </w:p>
    <w:p w14:paraId="29BBD581" w14:textId="77777777" w:rsidR="008F3D7A"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The final energy consumption per end-use sector will increase (</w:t>
      </w:r>
      <w:r w:rsidR="00E916FC" w:rsidRPr="00A33AE8">
        <w:rPr>
          <w:rFonts w:asciiTheme="majorHAnsi" w:hAnsiTheme="majorHAnsi" w:cstheme="majorHAnsi"/>
          <w:lang w:val="en-GB"/>
        </w:rPr>
        <w:t>21</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2030, </w:t>
      </w:r>
      <w:r w:rsidR="00E916FC" w:rsidRPr="00A33AE8">
        <w:rPr>
          <w:rFonts w:asciiTheme="majorHAnsi" w:hAnsiTheme="majorHAnsi" w:cstheme="majorHAnsi"/>
          <w:lang w:val="en-GB"/>
        </w:rPr>
        <w:t>35</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2040 and </w:t>
      </w:r>
      <w:r w:rsidR="00E916FC" w:rsidRPr="00A33AE8">
        <w:rPr>
          <w:rFonts w:asciiTheme="majorHAnsi" w:hAnsiTheme="majorHAnsi" w:cstheme="majorHAnsi"/>
          <w:lang w:val="en-GB"/>
        </w:rPr>
        <w:t>48</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in 2050, compared to 20</w:t>
      </w:r>
      <w:r w:rsidR="00E916FC" w:rsidRPr="00A33AE8">
        <w:rPr>
          <w:rFonts w:asciiTheme="majorHAnsi" w:hAnsiTheme="majorHAnsi" w:cstheme="majorHAnsi"/>
          <w:lang w:val="en-GB"/>
        </w:rPr>
        <w:t>20</w:t>
      </w:r>
      <w:r w:rsidRPr="00A33AE8">
        <w:rPr>
          <w:rFonts w:asciiTheme="majorHAnsi" w:hAnsiTheme="majorHAnsi" w:cstheme="majorHAnsi"/>
          <w:lang w:val="en-GB"/>
        </w:rPr>
        <w:t>), resulting in approximately</w:t>
      </w:r>
      <w:r w:rsidR="004926F5" w:rsidRPr="00A33AE8">
        <w:rPr>
          <w:rFonts w:asciiTheme="majorHAnsi" w:hAnsiTheme="majorHAnsi" w:cstheme="majorHAnsi"/>
          <w:lang w:val="en-GB"/>
        </w:rPr>
        <w:t xml:space="preserve"> </w:t>
      </w:r>
      <w:r w:rsidR="00E916FC" w:rsidRPr="00A33AE8">
        <w:rPr>
          <w:rFonts w:asciiTheme="majorHAnsi" w:hAnsiTheme="majorHAnsi" w:cstheme="majorHAnsi"/>
          <w:lang w:val="en-GB"/>
        </w:rPr>
        <w:t>12.9</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 xml:space="preserve">Mtoe in 2050, as shown in </w:t>
      </w:r>
      <w:r w:rsidR="00324978" w:rsidRPr="000007D2">
        <w:rPr>
          <w:lang w:val="en-GB"/>
        </w:rPr>
        <w:fldChar w:fldCharType="begin"/>
      </w:r>
      <w:r w:rsidR="00324978" w:rsidRPr="000007D2">
        <w:rPr>
          <w:lang w:val="en-GB"/>
        </w:rPr>
        <w:instrText xml:space="preserve"> REF _Ref113634133 \h  \* MERGEFORMAT </w:instrText>
      </w:r>
      <w:r w:rsidR="00324978" w:rsidRPr="000007D2">
        <w:rPr>
          <w:lang w:val="en-GB"/>
        </w:rPr>
      </w:r>
      <w:r w:rsidR="00324978" w:rsidRPr="000007D2">
        <w:rPr>
          <w:lang w:val="en-GB"/>
        </w:rPr>
        <w:fldChar w:fldCharType="separate"/>
      </w:r>
      <w:r w:rsidR="00324978" w:rsidRPr="00A33AE8">
        <w:rPr>
          <w:rFonts w:asciiTheme="majorHAnsi" w:hAnsiTheme="majorHAnsi" w:cstheme="majorHAnsi"/>
          <w:lang w:val="en-GB"/>
        </w:rPr>
        <w:t>Figure 4.3</w:t>
      </w:r>
      <w:r w:rsidR="00324978">
        <w:rPr>
          <w:rFonts w:asciiTheme="majorHAnsi" w:hAnsiTheme="majorHAnsi" w:cstheme="majorHAnsi"/>
          <w:lang w:val="en-GB"/>
        </w:rPr>
        <w:t>1</w:t>
      </w:r>
      <w:r w:rsidR="00324978" w:rsidRPr="000007D2">
        <w:rPr>
          <w:lang w:val="en-GB"/>
        </w:rPr>
        <w:fldChar w:fldCharType="end"/>
      </w:r>
      <w:r w:rsidRPr="00A33AE8">
        <w:rPr>
          <w:rFonts w:asciiTheme="majorHAnsi" w:hAnsiTheme="majorHAnsi" w:cstheme="majorHAnsi"/>
          <w:lang w:val="en-GB"/>
        </w:rPr>
        <w:t>. Transport, residential and industrial sectors retain the highest contribution the whole period 20</w:t>
      </w:r>
      <w:r w:rsidR="00E916FC" w:rsidRPr="00A33AE8">
        <w:rPr>
          <w:rFonts w:asciiTheme="majorHAnsi" w:hAnsiTheme="majorHAnsi" w:cstheme="majorHAnsi"/>
          <w:lang w:val="en-GB"/>
        </w:rPr>
        <w:t>20</w:t>
      </w:r>
      <w:r w:rsidRPr="00A33AE8">
        <w:rPr>
          <w:rFonts w:asciiTheme="majorHAnsi" w:hAnsiTheme="majorHAnsi" w:cstheme="majorHAnsi"/>
          <w:lang w:val="en-GB"/>
        </w:rPr>
        <w:t>-2050 in the final energy consumption, reaching the levels of</w:t>
      </w:r>
      <w:r w:rsidR="004926F5" w:rsidRPr="00A33AE8">
        <w:rPr>
          <w:rFonts w:asciiTheme="majorHAnsi" w:hAnsiTheme="majorHAnsi" w:cstheme="majorHAnsi"/>
          <w:lang w:val="en-GB"/>
        </w:rPr>
        <w:t xml:space="preserve"> </w:t>
      </w:r>
      <w:r w:rsidR="006554D4" w:rsidRPr="00A33AE8">
        <w:rPr>
          <w:rFonts w:asciiTheme="majorHAnsi" w:hAnsiTheme="majorHAnsi" w:cstheme="majorHAnsi"/>
          <w:lang w:val="en-GB"/>
        </w:rPr>
        <w:t>3.</w:t>
      </w:r>
      <w:r w:rsidR="00E916FC" w:rsidRPr="00A33AE8">
        <w:rPr>
          <w:rFonts w:asciiTheme="majorHAnsi" w:hAnsiTheme="majorHAnsi" w:cstheme="majorHAnsi"/>
          <w:lang w:val="en-GB"/>
        </w:rPr>
        <w:t>77</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Mtoe,</w:t>
      </w:r>
      <w:r w:rsidR="006554D4" w:rsidRPr="00A33AE8">
        <w:rPr>
          <w:rFonts w:asciiTheme="majorHAnsi" w:hAnsiTheme="majorHAnsi" w:cstheme="majorHAnsi"/>
          <w:lang w:val="en-GB"/>
        </w:rPr>
        <w:t xml:space="preserve"> 3.7</w:t>
      </w:r>
      <w:r w:rsidRPr="00A33AE8">
        <w:rPr>
          <w:rFonts w:asciiTheme="majorHAnsi" w:hAnsiTheme="majorHAnsi" w:cstheme="majorHAnsi"/>
          <w:lang w:val="en-GB"/>
        </w:rPr>
        <w:t xml:space="preserve"> Mtoe and </w:t>
      </w:r>
      <w:r w:rsidR="004926F5" w:rsidRPr="00A33AE8">
        <w:rPr>
          <w:rFonts w:asciiTheme="majorHAnsi" w:hAnsiTheme="majorHAnsi" w:cstheme="majorHAnsi"/>
          <w:lang w:val="en-GB"/>
        </w:rPr>
        <w:t>3.8</w:t>
      </w:r>
      <w:r w:rsidRPr="00A33AE8">
        <w:rPr>
          <w:rFonts w:asciiTheme="majorHAnsi" w:hAnsiTheme="majorHAnsi" w:cstheme="majorHAnsi"/>
          <w:lang w:val="en-GB"/>
        </w:rPr>
        <w:t xml:space="preserve"> Mtoe in 2050, respectively.</w:t>
      </w:r>
      <w:r w:rsidR="00F5466C" w:rsidRPr="00A33AE8">
        <w:rPr>
          <w:rFonts w:asciiTheme="majorHAnsi" w:hAnsiTheme="majorHAnsi" w:cstheme="majorHAnsi"/>
          <w:lang w:val="en-GB"/>
        </w:rPr>
        <w:t xml:space="preserve"> It should be noted that the respective shares of the examined end-use sectors remain relatively constant.</w:t>
      </w:r>
    </w:p>
    <w:p w14:paraId="25FA7FF8" w14:textId="4FBD319F" w:rsidR="00365CEB" w:rsidRPr="00A33AE8" w:rsidRDefault="00365CEB" w:rsidP="00884F3B">
      <w:pPr>
        <w:pStyle w:val="Caption"/>
        <w:numPr>
          <w:ilvl w:val="0"/>
          <w:numId w:val="273"/>
        </w:numPr>
        <w:rPr>
          <w:lang w:eastAsia="el-GR"/>
        </w:rPr>
      </w:pPr>
      <w:bookmarkStart w:id="285" w:name="_Ref113634133"/>
      <w:bookmarkStart w:id="286" w:name="_Toc118992300"/>
      <w:bookmarkStart w:id="287" w:name="_Toc154575238"/>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31</w:t>
      </w:r>
      <w:r w:rsidR="00B62877">
        <w:rPr>
          <w:lang w:eastAsia="el-GR"/>
        </w:rPr>
        <w:fldChar w:fldCharType="end"/>
      </w:r>
      <w:bookmarkEnd w:id="285"/>
      <w:r w:rsidRPr="00A33AE8">
        <w:rPr>
          <w:lang w:eastAsia="el-GR"/>
        </w:rPr>
        <w:t>: Final energy consumption by end-use sector over 20</w:t>
      </w:r>
      <w:r w:rsidR="00E916FC" w:rsidRPr="00A33AE8">
        <w:rPr>
          <w:lang w:eastAsia="el-GR"/>
        </w:rPr>
        <w:t>20</w:t>
      </w:r>
      <w:r w:rsidRPr="00A33AE8">
        <w:rPr>
          <w:lang w:eastAsia="el-GR"/>
        </w:rPr>
        <w:t>-2050</w:t>
      </w:r>
      <w:bookmarkEnd w:id="286"/>
      <w:r w:rsidR="00B744A9">
        <w:rPr>
          <w:lang w:eastAsia="el-GR"/>
        </w:rPr>
        <w:t xml:space="preserve"> in the scenario with existing measures (WEM)</w:t>
      </w:r>
      <w:bookmarkEnd w:id="287"/>
    </w:p>
    <w:p w14:paraId="160C1939" w14:textId="77777777" w:rsidR="006554D4" w:rsidRPr="00A33AE8" w:rsidRDefault="00F774B3" w:rsidP="007A0028">
      <w:pPr>
        <w:jc w:val="center"/>
        <w:rPr>
          <w:lang w:eastAsia="el-GR"/>
        </w:rPr>
      </w:pPr>
      <w:r w:rsidRPr="000007D2">
        <w:rPr>
          <w:noProof/>
          <w:lang w:val="en-US"/>
        </w:rPr>
        <mc:AlternateContent>
          <mc:Choice Requires="wps">
            <w:drawing>
              <wp:anchor distT="0" distB="0" distL="114300" distR="114300" simplePos="0" relativeHeight="251698176" behindDoc="0" locked="0" layoutInCell="1" allowOverlap="1" wp14:anchorId="302E1FC5" wp14:editId="7485985D">
                <wp:simplePos x="0" y="0"/>
                <wp:positionH relativeFrom="column">
                  <wp:posOffset>1117336</wp:posOffset>
                </wp:positionH>
                <wp:positionV relativeFrom="paragraph">
                  <wp:posOffset>564672</wp:posOffset>
                </wp:positionV>
                <wp:extent cx="2605178" cy="2298640"/>
                <wp:effectExtent l="0" t="0" r="5080" b="6985"/>
                <wp:wrapNone/>
                <wp:docPr id="1386453798" name="Text Box 1386453798"/>
                <wp:cNvGraphicFramePr/>
                <a:graphic xmlns:a="http://schemas.openxmlformats.org/drawingml/2006/main">
                  <a:graphicData uri="http://schemas.microsoft.com/office/word/2010/wordprocessingShape">
                    <wps:wsp>
                      <wps:cNvSpPr txBox="1"/>
                      <wps:spPr>
                        <a:xfrm>
                          <a:off x="0" y="0"/>
                          <a:ext cx="2605178" cy="2298640"/>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0C7901" id="Text Box 1386453798" o:spid="_x0000_s1026" type="#_x0000_t202" style="position:absolute;margin-left:88pt;margin-top:44.45pt;width:205.15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" fillcolor="#a5a5a5 [2092]" stroked="f">
                <v:fill opacity="32896f"/>
              </v:shape>
            </w:pict>
          </mc:Fallback>
        </mc:AlternateContent>
      </w:r>
      <w:r w:rsidR="00980163" w:rsidRPr="000007D2">
        <w:rPr>
          <w:noProof/>
          <w:lang w:val="en-US"/>
        </w:rPr>
        <w:drawing>
          <wp:inline distT="0" distB="0" distL="0" distR="0" wp14:anchorId="443312C8" wp14:editId="5A596390">
            <wp:extent cx="5386705" cy="322588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3174" cy="3229759"/>
                    </a:xfrm>
                    <a:prstGeom prst="rect">
                      <a:avLst/>
                    </a:prstGeom>
                    <a:noFill/>
                  </pic:spPr>
                </pic:pic>
              </a:graphicData>
            </a:graphic>
          </wp:inline>
        </w:drawing>
      </w:r>
    </w:p>
    <w:p w14:paraId="69306829" w14:textId="77777777" w:rsidR="006554D4" w:rsidRPr="00A33AE8" w:rsidRDefault="00365CEB" w:rsidP="006554D4">
      <w:pPr>
        <w:pStyle w:val="LDKbody"/>
        <w:rPr>
          <w:rFonts w:asciiTheme="majorHAnsi" w:hAnsiTheme="majorHAnsi" w:cstheme="majorHAnsi"/>
          <w:lang w:val="en-GB"/>
        </w:rPr>
      </w:pPr>
      <w:r w:rsidRPr="00A33AE8">
        <w:rPr>
          <w:rFonts w:asciiTheme="majorHAnsi" w:hAnsiTheme="majorHAnsi" w:cstheme="majorHAnsi"/>
        </w:rPr>
        <w:t xml:space="preserve">As presented in </w:t>
      </w:r>
      <w:r w:rsidR="00324978" w:rsidRPr="005B2C66">
        <w:rPr>
          <w:rFonts w:asciiTheme="majorHAnsi" w:hAnsiTheme="majorHAnsi" w:cstheme="majorHAnsi"/>
          <w:lang w:val="en-GB"/>
        </w:rPr>
        <w:fldChar w:fldCharType="begin"/>
      </w:r>
      <w:r w:rsidR="00324978" w:rsidRPr="005B2C66">
        <w:rPr>
          <w:rFonts w:asciiTheme="majorHAnsi" w:hAnsiTheme="majorHAnsi" w:cstheme="majorHAnsi"/>
          <w:lang w:val="en-GB"/>
        </w:rPr>
        <w:instrText xml:space="preserve"> REF _Ref113634144 \h  \* MERGEFORMAT </w:instrText>
      </w:r>
      <w:r w:rsidR="00324978" w:rsidRPr="005B2C66">
        <w:rPr>
          <w:rFonts w:asciiTheme="majorHAnsi" w:hAnsiTheme="majorHAnsi" w:cstheme="majorHAnsi"/>
          <w:lang w:val="en-GB"/>
        </w:rPr>
      </w:r>
      <w:r w:rsidR="00324978" w:rsidRPr="005B2C66">
        <w:rPr>
          <w:rFonts w:asciiTheme="majorHAnsi" w:hAnsiTheme="majorHAnsi" w:cstheme="majorHAnsi"/>
          <w:lang w:val="en-GB"/>
        </w:rPr>
        <w:fldChar w:fldCharType="separate"/>
      </w:r>
      <w:r w:rsidR="00324978" w:rsidRPr="005B2C66">
        <w:rPr>
          <w:rFonts w:asciiTheme="majorHAnsi" w:hAnsiTheme="majorHAnsi" w:cstheme="majorHAnsi"/>
          <w:lang w:val="en-GB"/>
        </w:rPr>
        <w:t>Figure 4.32</w:t>
      </w:r>
      <w:r w:rsidR="00324978" w:rsidRPr="005B2C66">
        <w:rPr>
          <w:rFonts w:asciiTheme="majorHAnsi" w:hAnsiTheme="majorHAnsi" w:cstheme="majorHAnsi"/>
          <w:lang w:val="en-GB"/>
        </w:rPr>
        <w:fldChar w:fldCharType="end"/>
      </w:r>
      <w:r w:rsidRPr="00A33AE8">
        <w:rPr>
          <w:rFonts w:asciiTheme="majorHAnsi" w:hAnsiTheme="majorHAnsi" w:cstheme="majorHAnsi"/>
          <w:lang w:val="en-GB"/>
        </w:rPr>
        <w:t xml:space="preserve">, the final energy consumption by fuel in the industrial sector is expected to increase until 2050; from </w:t>
      </w:r>
      <w:r w:rsidR="0089692E" w:rsidRPr="00A33AE8">
        <w:rPr>
          <w:rFonts w:asciiTheme="majorHAnsi" w:hAnsiTheme="majorHAnsi" w:cstheme="majorHAnsi"/>
          <w:lang w:val="en-GB"/>
        </w:rPr>
        <w:t>2.</w:t>
      </w:r>
      <w:r w:rsidR="00E916FC" w:rsidRPr="00A33AE8">
        <w:rPr>
          <w:rFonts w:asciiTheme="majorHAnsi" w:hAnsiTheme="majorHAnsi" w:cstheme="majorHAnsi"/>
          <w:lang w:val="en-GB"/>
        </w:rPr>
        <w:t>22</w:t>
      </w:r>
      <w:r w:rsidRPr="00A33AE8">
        <w:rPr>
          <w:rFonts w:asciiTheme="majorHAnsi" w:hAnsiTheme="majorHAnsi" w:cstheme="majorHAnsi"/>
          <w:lang w:val="en-GB"/>
        </w:rPr>
        <w:t xml:space="preserve"> Mtoe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89692E" w:rsidRPr="00A33AE8">
        <w:rPr>
          <w:rFonts w:asciiTheme="majorHAnsi" w:hAnsiTheme="majorHAnsi" w:cstheme="majorHAnsi"/>
          <w:lang w:val="en-GB"/>
        </w:rPr>
        <w:t>2.</w:t>
      </w:r>
      <w:r w:rsidR="00E916FC" w:rsidRPr="00A33AE8">
        <w:rPr>
          <w:rFonts w:asciiTheme="majorHAnsi" w:hAnsiTheme="majorHAnsi" w:cstheme="majorHAnsi"/>
          <w:lang w:val="en-GB"/>
        </w:rPr>
        <w:t>77</w:t>
      </w:r>
      <w:r w:rsidRPr="00A33AE8">
        <w:rPr>
          <w:rFonts w:asciiTheme="majorHAnsi" w:hAnsiTheme="majorHAnsi" w:cstheme="majorHAnsi"/>
          <w:lang w:val="en-GB"/>
        </w:rPr>
        <w:t xml:space="preserve"> Mtoe in 2030 and to </w:t>
      </w:r>
      <w:r w:rsidR="0089692E" w:rsidRPr="00A33AE8">
        <w:rPr>
          <w:rFonts w:asciiTheme="majorHAnsi" w:hAnsiTheme="majorHAnsi" w:cstheme="majorHAnsi"/>
          <w:lang w:val="en-GB"/>
        </w:rPr>
        <w:t>3.8</w:t>
      </w:r>
      <w:r w:rsidRPr="00A33AE8">
        <w:rPr>
          <w:rFonts w:asciiTheme="majorHAnsi" w:hAnsiTheme="majorHAnsi" w:cstheme="majorHAnsi"/>
          <w:lang w:val="en-GB"/>
        </w:rPr>
        <w:t xml:space="preserve"> Mtoe in 2050. No significant differentiations are observed in the individual shares of most of the utilised fuels. Nevertheless, both natural gas and electricity increase their shares, being the most dominant fuels in industry. More specifically, the </w:t>
      </w:r>
      <w:r w:rsidR="001B3035" w:rsidRPr="00A33AE8">
        <w:rPr>
          <w:rFonts w:asciiTheme="majorHAnsi" w:hAnsiTheme="majorHAnsi" w:cstheme="majorHAnsi"/>
          <w:lang w:val="en-GB"/>
        </w:rPr>
        <w:t xml:space="preserve">observed level of consumption of </w:t>
      </w:r>
      <w:r w:rsidRPr="00A33AE8">
        <w:rPr>
          <w:rFonts w:asciiTheme="majorHAnsi" w:hAnsiTheme="majorHAnsi" w:cstheme="majorHAnsi"/>
          <w:lang w:val="en-GB"/>
        </w:rPr>
        <w:t xml:space="preserve">natural gas and electricity </w:t>
      </w:r>
      <w:r w:rsidR="001B3035" w:rsidRPr="00A33AE8">
        <w:rPr>
          <w:rFonts w:asciiTheme="majorHAnsi" w:hAnsiTheme="majorHAnsi" w:cstheme="majorHAnsi"/>
          <w:lang w:val="en-GB"/>
        </w:rPr>
        <w:t>is</w:t>
      </w:r>
      <w:r w:rsidR="000A673B" w:rsidRPr="00A33AE8">
        <w:rPr>
          <w:rFonts w:asciiTheme="majorHAnsi" w:hAnsiTheme="majorHAnsi" w:cstheme="majorHAnsi"/>
          <w:lang w:val="en-GB"/>
        </w:rPr>
        <w:t xml:space="preserve"> </w:t>
      </w:r>
      <w:r w:rsidR="00E916FC" w:rsidRPr="00A33AE8">
        <w:rPr>
          <w:rFonts w:asciiTheme="majorHAnsi" w:hAnsiTheme="majorHAnsi" w:cstheme="majorHAnsi"/>
          <w:lang w:val="en-GB"/>
        </w:rPr>
        <w:t>687</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 xml:space="preserve">ktoe and </w:t>
      </w:r>
      <w:r w:rsidR="00E916FC" w:rsidRPr="00A33AE8">
        <w:rPr>
          <w:rFonts w:asciiTheme="majorHAnsi" w:hAnsiTheme="majorHAnsi" w:cstheme="majorHAnsi"/>
          <w:lang w:val="en-GB"/>
        </w:rPr>
        <w:t>1.0 Mtoe</w:t>
      </w:r>
      <w:r w:rsidRPr="00A33AE8">
        <w:rPr>
          <w:rFonts w:asciiTheme="majorHAnsi" w:hAnsiTheme="majorHAnsi" w:cstheme="majorHAnsi"/>
          <w:lang w:val="en-GB"/>
        </w:rPr>
        <w:t xml:space="preserve"> in 2030 and </w:t>
      </w:r>
      <w:r w:rsidR="000A673B" w:rsidRPr="00A33AE8">
        <w:rPr>
          <w:rFonts w:asciiTheme="majorHAnsi" w:hAnsiTheme="majorHAnsi" w:cstheme="majorHAnsi"/>
          <w:lang w:val="en-GB"/>
        </w:rPr>
        <w:t>1.3</w:t>
      </w:r>
      <w:r w:rsidRPr="00A33AE8">
        <w:rPr>
          <w:rFonts w:asciiTheme="majorHAnsi" w:hAnsiTheme="majorHAnsi" w:cstheme="majorHAnsi"/>
          <w:lang w:val="en-GB"/>
        </w:rPr>
        <w:t xml:space="preserve"> Mtoe and</w:t>
      </w:r>
      <w:r w:rsidR="000A673B" w:rsidRPr="00A33AE8">
        <w:rPr>
          <w:rFonts w:asciiTheme="majorHAnsi" w:hAnsiTheme="majorHAnsi" w:cstheme="majorHAnsi"/>
          <w:lang w:val="en-GB"/>
        </w:rPr>
        <w:t xml:space="preserve"> 1.2</w:t>
      </w:r>
      <w:r w:rsidRPr="00A33AE8">
        <w:rPr>
          <w:rFonts w:asciiTheme="majorHAnsi" w:hAnsiTheme="majorHAnsi" w:cstheme="majorHAnsi"/>
          <w:lang w:val="en-GB"/>
        </w:rPr>
        <w:t xml:space="preserve"> Mtoe in 2050 respectively</w:t>
      </w:r>
      <w:r w:rsidR="006554D4" w:rsidRPr="00A33AE8">
        <w:rPr>
          <w:rFonts w:asciiTheme="majorHAnsi" w:hAnsiTheme="majorHAnsi" w:cstheme="majorHAnsi"/>
          <w:lang w:val="en-GB"/>
        </w:rPr>
        <w:t>.</w:t>
      </w:r>
    </w:p>
    <w:p w14:paraId="178BBBE4" w14:textId="0862DDEC" w:rsidR="00365CEB" w:rsidRPr="00A33AE8" w:rsidRDefault="00365CEB" w:rsidP="00884F3B">
      <w:pPr>
        <w:pStyle w:val="Caption"/>
        <w:numPr>
          <w:ilvl w:val="0"/>
          <w:numId w:val="274"/>
        </w:numPr>
        <w:rPr>
          <w:lang w:eastAsia="el-GR"/>
        </w:rPr>
      </w:pPr>
      <w:bookmarkStart w:id="288" w:name="_Ref113634144"/>
      <w:bookmarkStart w:id="289" w:name="_Toc118992301"/>
      <w:bookmarkStart w:id="290" w:name="_Toc154575239"/>
      <w:r w:rsidRPr="00A33AE8">
        <w:rPr>
          <w:lang w:eastAsia="el-GR"/>
        </w:rPr>
        <w:lastRenderedPageBreak/>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32</w:t>
      </w:r>
      <w:r w:rsidR="00B62877">
        <w:rPr>
          <w:lang w:eastAsia="el-GR"/>
        </w:rPr>
        <w:fldChar w:fldCharType="end"/>
      </w:r>
      <w:bookmarkEnd w:id="288"/>
      <w:r w:rsidRPr="00A33AE8">
        <w:rPr>
          <w:lang w:eastAsia="el-GR"/>
        </w:rPr>
        <w:t>: Final energy consumption by fuel in the industrial sector over 20</w:t>
      </w:r>
      <w:r w:rsidR="00E916FC" w:rsidRPr="00A33AE8">
        <w:rPr>
          <w:lang w:eastAsia="el-GR"/>
        </w:rPr>
        <w:t>20</w:t>
      </w:r>
      <w:r w:rsidRPr="00A33AE8">
        <w:rPr>
          <w:lang w:eastAsia="el-GR"/>
        </w:rPr>
        <w:t>-2050</w:t>
      </w:r>
      <w:bookmarkEnd w:id="289"/>
      <w:r w:rsidR="00B744A9">
        <w:rPr>
          <w:lang w:eastAsia="el-GR"/>
        </w:rPr>
        <w:t xml:space="preserve"> in the scenario with existing measures (WEM)</w:t>
      </w:r>
      <w:bookmarkEnd w:id="290"/>
    </w:p>
    <w:p w14:paraId="66B3E577" w14:textId="77777777" w:rsidR="006554D4" w:rsidRPr="00A33AE8" w:rsidRDefault="00F774B3" w:rsidP="006554D4">
      <w:pPr>
        <w:rPr>
          <w:lang w:eastAsia="el-GR"/>
        </w:rPr>
      </w:pPr>
      <w:r w:rsidRPr="000007D2">
        <w:rPr>
          <w:noProof/>
          <w:lang w:val="en-US"/>
        </w:rPr>
        <mc:AlternateContent>
          <mc:Choice Requires="wps">
            <w:drawing>
              <wp:anchor distT="0" distB="0" distL="114300" distR="114300" simplePos="0" relativeHeight="251700224" behindDoc="0" locked="0" layoutInCell="1" allowOverlap="1" wp14:anchorId="3E68B4A6" wp14:editId="51E70DA9">
                <wp:simplePos x="0" y="0"/>
                <wp:positionH relativeFrom="column">
                  <wp:posOffset>944808</wp:posOffset>
                </wp:positionH>
                <wp:positionV relativeFrom="paragraph">
                  <wp:posOffset>620060</wp:posOffset>
                </wp:positionV>
                <wp:extent cx="2872596" cy="1901993"/>
                <wp:effectExtent l="0" t="0" r="4445" b="3175"/>
                <wp:wrapNone/>
                <wp:docPr id="756160349" name="Text Box 756160349"/>
                <wp:cNvGraphicFramePr/>
                <a:graphic xmlns:a="http://schemas.openxmlformats.org/drawingml/2006/main">
                  <a:graphicData uri="http://schemas.microsoft.com/office/word/2010/wordprocessingShape">
                    <wps:wsp>
                      <wps:cNvSpPr txBox="1"/>
                      <wps:spPr>
                        <a:xfrm>
                          <a:off x="0" y="0"/>
                          <a:ext cx="2872596" cy="19019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BF14A" id="Text Box 756160349" o:spid="_x0000_s1026" type="#_x0000_t202" style="position:absolute;margin-left:74.4pt;margin-top:48.8pt;width:226.2pt;height:149.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" fillcolor="#a5a5a5 [2092]" stroked="f">
                <v:fill opacity="32896f"/>
              </v:shape>
            </w:pict>
          </mc:Fallback>
        </mc:AlternateContent>
      </w:r>
      <w:r w:rsidR="00980163" w:rsidRPr="000007D2">
        <w:rPr>
          <w:noProof/>
          <w:lang w:val="en-US"/>
        </w:rPr>
        <w:drawing>
          <wp:inline distT="0" distB="0" distL="0" distR="0" wp14:anchorId="2803DF91" wp14:editId="37A488FB">
            <wp:extent cx="6035675" cy="3058419"/>
            <wp:effectExtent l="0" t="0" r="317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6805" cy="3069126"/>
                    </a:xfrm>
                    <a:prstGeom prst="rect">
                      <a:avLst/>
                    </a:prstGeom>
                    <a:noFill/>
                  </pic:spPr>
                </pic:pic>
              </a:graphicData>
            </a:graphic>
          </wp:inline>
        </w:drawing>
      </w:r>
    </w:p>
    <w:p w14:paraId="36C94F95" w14:textId="07303150" w:rsidR="00884923" w:rsidRDefault="00AB77AE" w:rsidP="0087794A">
      <w:pPr>
        <w:pStyle w:val="LDKbody"/>
      </w:pPr>
      <w:r w:rsidRPr="00A33AE8">
        <w:rPr>
          <w:rFonts w:asciiTheme="majorHAnsi" w:hAnsiTheme="majorHAnsi" w:cstheme="majorHAnsi"/>
          <w:lang w:val="en-GB"/>
        </w:rPr>
        <w:t>The final energy consumption of the different sub-sectors in the industrial sector is expected to increase until 2050, while the individual shares are expected to remain relatively stable until 2050, as presented in</w:t>
      </w:r>
      <w:r w:rsidR="00884923">
        <w:rPr>
          <w:rFonts w:asciiTheme="majorHAnsi" w:hAnsiTheme="majorHAnsi" w:cstheme="majorHAnsi"/>
          <w:lang w:val="en-GB"/>
        </w:rPr>
        <w:t xml:space="preserve"> </w:t>
      </w:r>
      <w:r w:rsidR="00884923">
        <w:rPr>
          <w:rFonts w:asciiTheme="majorHAnsi" w:hAnsiTheme="majorHAnsi" w:cstheme="majorHAnsi"/>
        </w:rPr>
        <w:fldChar w:fldCharType="begin"/>
      </w:r>
      <w:r w:rsidR="00884923">
        <w:rPr>
          <w:rFonts w:asciiTheme="majorHAnsi" w:hAnsiTheme="majorHAnsi" w:cstheme="majorHAnsi"/>
          <w:lang w:val="en-GB"/>
        </w:rPr>
        <w:instrText xml:space="preserve"> REF _Ref153463762 \h  \* MERGEFORMAT </w:instrText>
      </w:r>
      <w:r w:rsidR="00884923">
        <w:rPr>
          <w:rFonts w:asciiTheme="majorHAnsi" w:hAnsiTheme="majorHAnsi" w:cstheme="majorHAnsi"/>
        </w:rPr>
      </w:r>
      <w:r w:rsidR="00884923">
        <w:rPr>
          <w:rFonts w:asciiTheme="majorHAnsi" w:hAnsiTheme="majorHAnsi" w:cstheme="majorHAnsi"/>
        </w:rPr>
        <w:fldChar w:fldCharType="separate"/>
      </w:r>
      <w:r w:rsidR="00884923" w:rsidRPr="0087794A">
        <w:rPr>
          <w:rFonts w:asciiTheme="majorHAnsi" w:hAnsiTheme="majorHAnsi" w:cstheme="majorHAnsi"/>
          <w:lang w:val="en-GB"/>
        </w:rPr>
        <w:t>Figure 4.33</w:t>
      </w:r>
      <w:r w:rsidR="00884923">
        <w:rPr>
          <w:rFonts w:asciiTheme="majorHAnsi" w:hAnsiTheme="majorHAnsi" w:cstheme="majorHAnsi"/>
        </w:rPr>
        <w:fldChar w:fldCharType="end"/>
      </w:r>
      <w:r w:rsidRPr="00A33AE8">
        <w:rPr>
          <w:rFonts w:asciiTheme="majorHAnsi" w:hAnsiTheme="majorHAnsi" w:cstheme="majorHAnsi"/>
          <w:lang w:val="en-GB"/>
        </w:rPr>
        <w:t xml:space="preserve">. The largest share of the final energy consumption in the different sub-sectors stands for non-metallic minerals, including </w:t>
      </w:r>
      <w:r w:rsidR="001B3035" w:rsidRPr="00A33AE8">
        <w:rPr>
          <w:rFonts w:asciiTheme="majorHAnsi" w:hAnsiTheme="majorHAnsi" w:cstheme="majorHAnsi"/>
          <w:lang w:val="en-GB"/>
        </w:rPr>
        <w:t xml:space="preserve">cement, </w:t>
      </w:r>
      <w:r w:rsidRPr="00A33AE8">
        <w:rPr>
          <w:rFonts w:asciiTheme="majorHAnsi" w:hAnsiTheme="majorHAnsi" w:cstheme="majorHAnsi"/>
          <w:lang w:val="en-GB"/>
        </w:rPr>
        <w:t>glass, pottery and building materials, which stood at</w:t>
      </w:r>
      <w:r w:rsidR="00E916FC" w:rsidRPr="00A33AE8">
        <w:rPr>
          <w:rFonts w:asciiTheme="majorHAnsi" w:hAnsiTheme="majorHAnsi" w:cstheme="majorHAnsi"/>
          <w:lang w:val="en-GB"/>
        </w:rPr>
        <w:t xml:space="preserve"> 436</w:t>
      </w:r>
      <w:r w:rsidRPr="00A33AE8">
        <w:rPr>
          <w:rFonts w:asciiTheme="majorHAnsi" w:hAnsiTheme="majorHAnsi" w:cstheme="majorHAnsi"/>
          <w:lang w:val="en-GB"/>
        </w:rPr>
        <w:t xml:space="preserve"> ktoe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and are expected to almost double at </w:t>
      </w:r>
      <w:r w:rsidR="006554D4" w:rsidRPr="00A33AE8">
        <w:rPr>
          <w:rFonts w:asciiTheme="majorHAnsi" w:hAnsiTheme="majorHAnsi" w:cstheme="majorHAnsi"/>
          <w:lang w:val="en-GB"/>
        </w:rPr>
        <w:t>79</w:t>
      </w:r>
      <w:r w:rsidR="00E916FC" w:rsidRPr="00A33AE8">
        <w:rPr>
          <w:rFonts w:asciiTheme="majorHAnsi" w:hAnsiTheme="majorHAnsi" w:cstheme="majorHAnsi"/>
          <w:lang w:val="en-GB"/>
        </w:rPr>
        <w:t>88</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ktoe in 2050.</w:t>
      </w:r>
    </w:p>
    <w:p w14:paraId="63FEC757" w14:textId="201D9299" w:rsidR="00884923" w:rsidRDefault="00884923" w:rsidP="0087794A">
      <w:pPr>
        <w:pStyle w:val="Caption"/>
        <w:keepNext/>
      </w:pPr>
      <w:bookmarkStart w:id="291" w:name="_Ref153463762"/>
      <w:bookmarkStart w:id="292" w:name="_Toc154575240"/>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33</w:t>
      </w:r>
      <w:r w:rsidR="006E0533">
        <w:rPr>
          <w:noProof/>
        </w:rPr>
        <w:fldChar w:fldCharType="end"/>
      </w:r>
      <w:bookmarkEnd w:id="291"/>
      <w:r w:rsidRPr="00884923">
        <w:t>: Final energy consumption per sub-sector in the industrial sector over 2020-2050 in the scenario with existing measures (WEM)</w:t>
      </w:r>
      <w:bookmarkEnd w:id="292"/>
    </w:p>
    <w:p w14:paraId="1703A774" w14:textId="4DE2578E" w:rsidR="006554D4" w:rsidRPr="000007D2" w:rsidRDefault="00884923" w:rsidP="006554D4">
      <w:r w:rsidRPr="000007D2">
        <w:rPr>
          <w:noProof/>
          <w:lang w:val="en-US"/>
        </w:rPr>
        <mc:AlternateContent>
          <mc:Choice Requires="wps">
            <w:drawing>
              <wp:anchor distT="0" distB="0" distL="114300" distR="114300" simplePos="0" relativeHeight="251702272" behindDoc="0" locked="0" layoutInCell="1" allowOverlap="1" wp14:anchorId="623A765B" wp14:editId="17FE34CF">
                <wp:simplePos x="0" y="0"/>
                <wp:positionH relativeFrom="column">
                  <wp:posOffset>679316</wp:posOffset>
                </wp:positionH>
                <wp:positionV relativeFrom="paragraph">
                  <wp:posOffset>1058178</wp:posOffset>
                </wp:positionV>
                <wp:extent cx="2992755" cy="2091055"/>
                <wp:effectExtent l="0" t="0" r="0" b="4445"/>
                <wp:wrapNone/>
                <wp:docPr id="465224293" name="Text Box 465224293"/>
                <wp:cNvGraphicFramePr/>
                <a:graphic xmlns:a="http://schemas.openxmlformats.org/drawingml/2006/main">
                  <a:graphicData uri="http://schemas.microsoft.com/office/word/2010/wordprocessingShape">
                    <wps:wsp>
                      <wps:cNvSpPr txBox="1"/>
                      <wps:spPr>
                        <a:xfrm>
                          <a:off x="0" y="0"/>
                          <a:ext cx="2992755" cy="2091055"/>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8B7A3E" id="Text Box 465224293" o:spid="_x0000_s1026" type="#_x0000_t202" style="position:absolute;margin-left:53.5pt;margin-top:83.3pt;width:235.65pt;height:16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" fillcolor="#a5a5a5 [2092]" stroked="f">
                <v:fill opacity="32896f"/>
              </v:shape>
            </w:pict>
          </mc:Fallback>
        </mc:AlternateContent>
      </w:r>
      <w:r w:rsidR="00123234" w:rsidRPr="000007D2">
        <w:rPr>
          <w:noProof/>
          <w:lang w:val="en-US"/>
        </w:rPr>
        <w:drawing>
          <wp:inline distT="0" distB="0" distL="0" distR="0" wp14:anchorId="39514C27" wp14:editId="7EE349CF">
            <wp:extent cx="6275307" cy="3638550"/>
            <wp:effectExtent l="0" t="0" r="0" b="0"/>
            <wp:docPr id="197819230" name="Picture 19781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8632" cy="3657873"/>
                    </a:xfrm>
                    <a:prstGeom prst="rect">
                      <a:avLst/>
                    </a:prstGeom>
                    <a:noFill/>
                  </pic:spPr>
                </pic:pic>
              </a:graphicData>
            </a:graphic>
          </wp:inline>
        </w:drawing>
      </w:r>
    </w:p>
    <w:p w14:paraId="023BD2D4" w14:textId="135C973C" w:rsidR="00223155"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 xml:space="preserve">As presented in </w:t>
      </w:r>
      <w:r w:rsidR="00060DB5">
        <w:rPr>
          <w:rFonts w:asciiTheme="majorHAnsi" w:hAnsiTheme="majorHAnsi" w:cstheme="majorHAnsi"/>
          <w:lang w:val="en-GB"/>
        </w:rPr>
        <w:fldChar w:fldCharType="begin"/>
      </w:r>
      <w:r w:rsidR="00060DB5">
        <w:rPr>
          <w:rFonts w:asciiTheme="majorHAnsi" w:hAnsiTheme="majorHAnsi" w:cstheme="majorHAnsi"/>
          <w:lang w:val="en-GB"/>
        </w:rPr>
        <w:instrText xml:space="preserve"> REF _Ref153463895 \h  \* MERGEFORMAT </w:instrText>
      </w:r>
      <w:r w:rsidR="00060DB5">
        <w:rPr>
          <w:rFonts w:asciiTheme="majorHAnsi" w:hAnsiTheme="majorHAnsi" w:cstheme="majorHAnsi"/>
          <w:lang w:val="en-GB"/>
        </w:rPr>
      </w:r>
      <w:r w:rsidR="00060DB5">
        <w:rPr>
          <w:rFonts w:asciiTheme="majorHAnsi" w:hAnsiTheme="majorHAnsi" w:cstheme="majorHAnsi"/>
          <w:lang w:val="en-GB"/>
        </w:rPr>
        <w:fldChar w:fldCharType="separate"/>
      </w:r>
      <w:r w:rsidR="00060DB5" w:rsidRPr="0087794A">
        <w:rPr>
          <w:rFonts w:asciiTheme="majorHAnsi" w:hAnsiTheme="majorHAnsi" w:cstheme="majorHAnsi"/>
          <w:lang w:val="en-GB"/>
        </w:rPr>
        <w:t>Figure 4.34</w:t>
      </w:r>
      <w:r w:rsidR="00060DB5">
        <w:rPr>
          <w:rFonts w:asciiTheme="majorHAnsi" w:hAnsiTheme="majorHAnsi" w:cstheme="majorHAnsi"/>
          <w:lang w:val="en-GB"/>
        </w:rPr>
        <w:fldChar w:fldCharType="end"/>
      </w:r>
      <w:r w:rsidR="00324978" w:rsidRPr="0087794A">
        <w:rPr>
          <w:rFonts w:asciiTheme="majorHAnsi" w:hAnsiTheme="majorHAnsi" w:cstheme="majorHAnsi"/>
          <w:lang w:val="en-GB"/>
        </w:rPr>
        <w:fldChar w:fldCharType="begin"/>
      </w:r>
      <w:r w:rsidR="00324978" w:rsidRPr="0087794A">
        <w:rPr>
          <w:rFonts w:asciiTheme="majorHAnsi" w:hAnsiTheme="majorHAnsi" w:cstheme="majorHAnsi"/>
          <w:lang w:val="en-GB"/>
        </w:rPr>
        <w:instrText xml:space="preserve"> REF _Ref113634171 \h  \* MERGEFORMAT </w:instrText>
      </w:r>
      <w:r w:rsidR="00324978" w:rsidRPr="0087794A">
        <w:rPr>
          <w:rFonts w:asciiTheme="majorHAnsi" w:hAnsiTheme="majorHAnsi" w:cstheme="majorHAnsi"/>
          <w:lang w:val="en-GB"/>
        </w:rPr>
      </w:r>
      <w:r w:rsidR="00324978" w:rsidRPr="0087794A">
        <w:rPr>
          <w:rFonts w:asciiTheme="majorHAnsi" w:hAnsiTheme="majorHAnsi" w:cstheme="majorHAnsi"/>
          <w:lang w:val="en-GB"/>
        </w:rPr>
        <w:fldChar w:fldCharType="end"/>
      </w:r>
      <w:r w:rsidRPr="00A33AE8">
        <w:rPr>
          <w:rFonts w:asciiTheme="majorHAnsi" w:hAnsiTheme="majorHAnsi" w:cstheme="majorHAnsi"/>
          <w:lang w:val="en-GB"/>
        </w:rPr>
        <w:t>, the final energy consumption of the transport sector by fuel is also expected to increase throughout the examined period; from 2.</w:t>
      </w:r>
      <w:r w:rsidR="00E916FC" w:rsidRPr="00A33AE8">
        <w:rPr>
          <w:rFonts w:asciiTheme="majorHAnsi" w:hAnsiTheme="majorHAnsi" w:cstheme="majorHAnsi"/>
          <w:lang w:val="en-GB"/>
        </w:rPr>
        <w:t>44</w:t>
      </w:r>
      <w:r w:rsidRPr="00A33AE8">
        <w:rPr>
          <w:rFonts w:asciiTheme="majorHAnsi" w:hAnsiTheme="majorHAnsi" w:cstheme="majorHAnsi"/>
          <w:lang w:val="en-GB"/>
        </w:rPr>
        <w:t xml:space="preserve"> Mtoe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BE2630" w:rsidRPr="00A33AE8">
        <w:rPr>
          <w:rFonts w:asciiTheme="majorHAnsi" w:hAnsiTheme="majorHAnsi" w:cstheme="majorHAnsi"/>
          <w:lang w:val="en-GB"/>
        </w:rPr>
        <w:t>2.</w:t>
      </w:r>
      <w:r w:rsidR="00E916FC" w:rsidRPr="00A33AE8">
        <w:rPr>
          <w:rFonts w:asciiTheme="majorHAnsi" w:hAnsiTheme="majorHAnsi" w:cstheme="majorHAnsi"/>
          <w:lang w:val="en-GB"/>
        </w:rPr>
        <w:t>88</w:t>
      </w:r>
      <w:r w:rsidRPr="00A33AE8">
        <w:rPr>
          <w:rFonts w:asciiTheme="majorHAnsi" w:hAnsiTheme="majorHAnsi" w:cstheme="majorHAnsi"/>
          <w:lang w:val="en-GB"/>
        </w:rPr>
        <w:t xml:space="preserve"> Mtoe in 2030 and to</w:t>
      </w:r>
      <w:r w:rsidR="00BE2630" w:rsidRPr="00A33AE8">
        <w:rPr>
          <w:rFonts w:asciiTheme="majorHAnsi" w:hAnsiTheme="majorHAnsi" w:cstheme="majorHAnsi"/>
          <w:lang w:val="en-GB"/>
        </w:rPr>
        <w:t xml:space="preserve"> </w:t>
      </w:r>
      <w:r w:rsidR="006554D4" w:rsidRPr="000007D2">
        <w:rPr>
          <w:rFonts w:asciiTheme="majorHAnsi" w:hAnsiTheme="majorHAnsi" w:cstheme="majorHAnsi"/>
          <w:lang w:val="en-GB"/>
        </w:rPr>
        <w:t>3.</w:t>
      </w:r>
      <w:r w:rsidR="00E916FC" w:rsidRPr="000007D2">
        <w:rPr>
          <w:rFonts w:asciiTheme="majorHAnsi" w:hAnsiTheme="majorHAnsi" w:cstheme="majorHAnsi"/>
          <w:lang w:val="en-GB"/>
        </w:rPr>
        <w:t>77</w:t>
      </w:r>
      <w:r w:rsidR="006554D4" w:rsidRPr="000007D2">
        <w:rPr>
          <w:rFonts w:asciiTheme="majorHAnsi" w:hAnsiTheme="majorHAnsi" w:cstheme="majorHAnsi"/>
          <w:lang w:val="en-GB"/>
        </w:rPr>
        <w:t xml:space="preserve"> </w:t>
      </w:r>
      <w:r w:rsidRPr="00A33AE8">
        <w:rPr>
          <w:rFonts w:asciiTheme="majorHAnsi" w:hAnsiTheme="majorHAnsi" w:cstheme="majorHAnsi"/>
          <w:lang w:val="en-GB"/>
        </w:rPr>
        <w:t xml:space="preserve">Mtoe in </w:t>
      </w:r>
      <w:r w:rsidRPr="00A33AE8">
        <w:rPr>
          <w:rFonts w:asciiTheme="majorHAnsi" w:hAnsiTheme="majorHAnsi" w:cstheme="majorHAnsi"/>
          <w:lang w:val="en-GB"/>
        </w:rPr>
        <w:lastRenderedPageBreak/>
        <w:t xml:space="preserve">2050. The dominant consumption of oil and petroleum products, among other fuels, is observed in </w:t>
      </w:r>
      <w:r w:rsidR="00060DB5">
        <w:rPr>
          <w:rFonts w:asciiTheme="majorHAnsi" w:hAnsiTheme="majorHAnsi" w:cstheme="majorHAnsi"/>
          <w:lang w:val="en-GB"/>
        </w:rPr>
        <w:fldChar w:fldCharType="begin"/>
      </w:r>
      <w:r w:rsidR="00060DB5">
        <w:rPr>
          <w:rFonts w:asciiTheme="majorHAnsi" w:hAnsiTheme="majorHAnsi" w:cstheme="majorHAnsi"/>
          <w:lang w:val="en-GB"/>
        </w:rPr>
        <w:instrText xml:space="preserve"> REF _Ref153463895 \h  \* MERGEFORMAT </w:instrText>
      </w:r>
      <w:r w:rsidR="00060DB5">
        <w:rPr>
          <w:rFonts w:asciiTheme="majorHAnsi" w:hAnsiTheme="majorHAnsi" w:cstheme="majorHAnsi"/>
          <w:lang w:val="en-GB"/>
        </w:rPr>
      </w:r>
      <w:r w:rsidR="00060DB5">
        <w:rPr>
          <w:rFonts w:asciiTheme="majorHAnsi" w:hAnsiTheme="majorHAnsi" w:cstheme="majorHAnsi"/>
          <w:lang w:val="en-GB"/>
        </w:rPr>
        <w:fldChar w:fldCharType="separate"/>
      </w:r>
      <w:r w:rsidR="00060DB5" w:rsidRPr="0087794A">
        <w:rPr>
          <w:rFonts w:asciiTheme="majorHAnsi" w:hAnsiTheme="majorHAnsi" w:cstheme="majorHAnsi"/>
          <w:lang w:val="en-GB"/>
        </w:rPr>
        <w:t>Figure 4.34</w:t>
      </w:r>
      <w:r w:rsidR="00060DB5">
        <w:rPr>
          <w:rFonts w:asciiTheme="majorHAnsi" w:hAnsiTheme="majorHAnsi" w:cstheme="majorHAnsi"/>
          <w:lang w:val="en-GB"/>
        </w:rPr>
        <w:fldChar w:fldCharType="end"/>
      </w:r>
      <w:r w:rsidRPr="00A33AE8">
        <w:rPr>
          <w:rFonts w:asciiTheme="majorHAnsi" w:hAnsiTheme="majorHAnsi" w:cstheme="majorHAnsi"/>
          <w:lang w:val="en-GB"/>
        </w:rPr>
        <w:t>and is anticipated to increase substantially; from 2.</w:t>
      </w:r>
      <w:r w:rsidR="00E916FC" w:rsidRPr="00A33AE8">
        <w:rPr>
          <w:rFonts w:asciiTheme="majorHAnsi" w:hAnsiTheme="majorHAnsi" w:cstheme="majorHAnsi"/>
          <w:lang w:val="en-GB"/>
        </w:rPr>
        <w:t>33</w:t>
      </w:r>
      <w:r w:rsidRPr="00A33AE8">
        <w:rPr>
          <w:rFonts w:asciiTheme="majorHAnsi" w:hAnsiTheme="majorHAnsi" w:cstheme="majorHAnsi"/>
          <w:lang w:val="en-GB"/>
        </w:rPr>
        <w:t xml:space="preserve"> Mtoe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6554D4" w:rsidRPr="000007D2">
        <w:rPr>
          <w:rFonts w:asciiTheme="majorHAnsi" w:hAnsiTheme="majorHAnsi" w:cstheme="majorHAnsi"/>
          <w:lang w:val="en-GB"/>
        </w:rPr>
        <w:t>2.</w:t>
      </w:r>
      <w:r w:rsidR="00E916FC" w:rsidRPr="000007D2">
        <w:rPr>
          <w:rFonts w:asciiTheme="majorHAnsi" w:hAnsiTheme="majorHAnsi" w:cstheme="majorHAnsi"/>
          <w:lang w:val="en-GB"/>
        </w:rPr>
        <w:t>66</w:t>
      </w:r>
      <w:r w:rsidR="006554D4" w:rsidRPr="000007D2">
        <w:rPr>
          <w:rFonts w:asciiTheme="majorHAnsi" w:hAnsiTheme="majorHAnsi" w:cstheme="majorHAnsi"/>
          <w:lang w:val="en-GB"/>
        </w:rPr>
        <w:t xml:space="preserve"> </w:t>
      </w:r>
      <w:r w:rsidRPr="00A33AE8">
        <w:rPr>
          <w:rFonts w:asciiTheme="majorHAnsi" w:hAnsiTheme="majorHAnsi" w:cstheme="majorHAnsi"/>
          <w:lang w:val="en-GB"/>
        </w:rPr>
        <w:t xml:space="preserve">Mtoe in 2030 and to </w:t>
      </w:r>
      <w:r w:rsidR="006554D4" w:rsidRPr="000007D2">
        <w:rPr>
          <w:rFonts w:asciiTheme="majorHAnsi" w:hAnsiTheme="majorHAnsi" w:cstheme="majorHAnsi"/>
          <w:lang w:val="en-GB"/>
        </w:rPr>
        <w:t>3.</w:t>
      </w:r>
      <w:r w:rsidR="00E916FC" w:rsidRPr="000007D2">
        <w:rPr>
          <w:rFonts w:asciiTheme="majorHAnsi" w:hAnsiTheme="majorHAnsi" w:cstheme="majorHAnsi"/>
          <w:lang w:val="en-GB"/>
        </w:rPr>
        <w:t>44</w:t>
      </w:r>
      <w:r w:rsidR="006554D4" w:rsidRPr="000007D2">
        <w:rPr>
          <w:rFonts w:asciiTheme="majorHAnsi" w:hAnsiTheme="majorHAnsi" w:cstheme="majorHAnsi"/>
          <w:lang w:val="en-GB"/>
        </w:rPr>
        <w:t xml:space="preserve"> </w:t>
      </w:r>
      <w:r w:rsidRPr="00A33AE8">
        <w:rPr>
          <w:rFonts w:asciiTheme="majorHAnsi" w:hAnsiTheme="majorHAnsi" w:cstheme="majorHAnsi"/>
          <w:lang w:val="en-GB"/>
        </w:rPr>
        <w:t xml:space="preserve">Mtoe in 2050. </w:t>
      </w:r>
      <w:r w:rsidR="00604762" w:rsidRPr="00A33AE8">
        <w:rPr>
          <w:rFonts w:asciiTheme="majorHAnsi" w:hAnsiTheme="majorHAnsi" w:cstheme="majorHAnsi"/>
          <w:lang w:val="en-GB"/>
        </w:rPr>
        <w:t xml:space="preserve">The penetration of natural gas is </w:t>
      </w:r>
      <w:r w:rsidR="001B3035" w:rsidRPr="00A33AE8">
        <w:rPr>
          <w:rFonts w:asciiTheme="majorHAnsi" w:hAnsiTheme="majorHAnsi" w:cstheme="majorHAnsi"/>
          <w:lang w:val="en-GB"/>
        </w:rPr>
        <w:t xml:space="preserve">rather low </w:t>
      </w:r>
      <w:r w:rsidR="00604762" w:rsidRPr="00A33AE8">
        <w:rPr>
          <w:rFonts w:asciiTheme="majorHAnsi" w:hAnsiTheme="majorHAnsi" w:cstheme="majorHAnsi"/>
          <w:lang w:val="en-GB"/>
        </w:rPr>
        <w:t xml:space="preserve">without managing to restrain the increased transport activity due to the continuous increase of the GDP until 2050. The same conclusion can be derived also for the new </w:t>
      </w:r>
      <w:r w:rsidR="008031B4" w:rsidRPr="00A33AE8">
        <w:rPr>
          <w:rFonts w:asciiTheme="majorHAnsi" w:hAnsiTheme="majorHAnsi" w:cstheme="majorHAnsi"/>
          <w:lang w:val="en-GB"/>
        </w:rPr>
        <w:t>purchased</w:t>
      </w:r>
      <w:r w:rsidR="00604762" w:rsidRPr="00A33AE8">
        <w:rPr>
          <w:rFonts w:asciiTheme="majorHAnsi" w:hAnsiTheme="majorHAnsi" w:cstheme="majorHAnsi"/>
          <w:lang w:val="en-GB"/>
        </w:rPr>
        <w:t xml:space="preserve"> vehicles, which are not capable of reducing </w:t>
      </w:r>
      <w:r w:rsidR="001B3035" w:rsidRPr="00A33AE8">
        <w:rPr>
          <w:rFonts w:asciiTheme="majorHAnsi" w:hAnsiTheme="majorHAnsi" w:cstheme="majorHAnsi"/>
          <w:lang w:val="en-GB"/>
        </w:rPr>
        <w:t xml:space="preserve">considerably </w:t>
      </w:r>
      <w:r w:rsidR="00604762" w:rsidRPr="00A33AE8">
        <w:rPr>
          <w:rFonts w:asciiTheme="majorHAnsi" w:hAnsiTheme="majorHAnsi" w:cstheme="majorHAnsi"/>
          <w:lang w:val="en-GB"/>
        </w:rPr>
        <w:t>the final energy consumption.</w:t>
      </w:r>
    </w:p>
    <w:p w14:paraId="0F6CD06B" w14:textId="2B65DEA1" w:rsidR="00060DB5" w:rsidRDefault="00060DB5" w:rsidP="0087794A">
      <w:pPr>
        <w:pStyle w:val="Caption"/>
        <w:keepNext/>
      </w:pPr>
      <w:bookmarkStart w:id="293" w:name="_Ref153463895"/>
      <w:bookmarkStart w:id="294" w:name="_Toc154575241"/>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34</w:t>
      </w:r>
      <w:r w:rsidR="006E0533">
        <w:rPr>
          <w:noProof/>
        </w:rPr>
        <w:fldChar w:fldCharType="end"/>
      </w:r>
      <w:bookmarkEnd w:id="293"/>
      <w:r>
        <w:t xml:space="preserve">: </w:t>
      </w:r>
      <w:r w:rsidRPr="00060DB5">
        <w:t>Final energy consumption by energy source in the transport sector over 2020-2050 in the scenario with existing measures (WEM)</w:t>
      </w:r>
      <w:bookmarkEnd w:id="294"/>
    </w:p>
    <w:p w14:paraId="2CABF25D" w14:textId="69A3F0B7" w:rsidR="006554D4" w:rsidRPr="00A33AE8" w:rsidRDefault="00060DB5" w:rsidP="006554D4">
      <w:pPr>
        <w:pStyle w:val="Caption"/>
        <w:rPr>
          <w:lang w:eastAsia="el-GR"/>
        </w:rPr>
      </w:pPr>
      <w:r w:rsidRPr="000007D2">
        <w:rPr>
          <w:noProof/>
          <w:lang w:val="en-US"/>
        </w:rPr>
        <mc:AlternateContent>
          <mc:Choice Requires="wps">
            <w:drawing>
              <wp:anchor distT="0" distB="0" distL="114300" distR="114300" simplePos="0" relativeHeight="251704320" behindDoc="0" locked="0" layoutInCell="1" allowOverlap="1" wp14:anchorId="68F10C64" wp14:editId="2FA0FE53">
                <wp:simplePos x="0" y="0"/>
                <wp:positionH relativeFrom="column">
                  <wp:posOffset>970548</wp:posOffset>
                </wp:positionH>
                <wp:positionV relativeFrom="paragraph">
                  <wp:posOffset>833555</wp:posOffset>
                </wp:positionV>
                <wp:extent cx="2846717" cy="2393531"/>
                <wp:effectExtent l="0" t="0" r="0" b="6985"/>
                <wp:wrapNone/>
                <wp:docPr id="722292472" name="Text Box 722292472"/>
                <wp:cNvGraphicFramePr/>
                <a:graphic xmlns:a="http://schemas.openxmlformats.org/drawingml/2006/main">
                  <a:graphicData uri="http://schemas.microsoft.com/office/word/2010/wordprocessingShape">
                    <wps:wsp>
                      <wps:cNvSpPr txBox="1"/>
                      <wps:spPr>
                        <a:xfrm>
                          <a:off x="0" y="0"/>
                          <a:ext cx="2846717" cy="2393531"/>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6D1EF6" id="Text Box 722292472" o:spid="_x0000_s1026" type="#_x0000_t202" style="position:absolute;margin-left:76.4pt;margin-top:65.65pt;width:224.15pt;height:18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" fillcolor="#a5a5a5 [2092]" stroked="f">
                <v:fill opacity="32896f"/>
              </v:shape>
            </w:pict>
          </mc:Fallback>
        </mc:AlternateContent>
      </w:r>
      <w:r w:rsidR="00980163" w:rsidRPr="000007D2">
        <w:rPr>
          <w:noProof/>
          <w:lang w:val="en-US"/>
        </w:rPr>
        <w:drawing>
          <wp:inline distT="0" distB="0" distL="0" distR="0" wp14:anchorId="66A7BB0E" wp14:editId="4BC00239">
            <wp:extent cx="6093009" cy="3619500"/>
            <wp:effectExtent l="0" t="0" r="3175" b="0"/>
            <wp:docPr id="1836071301" name="Picture 18360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4785" cy="3626496"/>
                    </a:xfrm>
                    <a:prstGeom prst="rect">
                      <a:avLst/>
                    </a:prstGeom>
                    <a:noFill/>
                  </pic:spPr>
                </pic:pic>
              </a:graphicData>
            </a:graphic>
          </wp:inline>
        </w:drawing>
      </w:r>
    </w:p>
    <w:p w14:paraId="5B7DA6F6" w14:textId="3BFA72C3" w:rsidR="002656F3"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The final energy consumption of all transport modes is expected to increase significantly until 2050, compared to 20</w:t>
      </w:r>
      <w:r w:rsidR="00E916FC" w:rsidRPr="00A33AE8">
        <w:rPr>
          <w:rFonts w:asciiTheme="majorHAnsi" w:hAnsiTheme="majorHAnsi" w:cstheme="majorHAnsi"/>
          <w:lang w:val="en-GB"/>
        </w:rPr>
        <w:t>20</w:t>
      </w:r>
      <w:r w:rsidR="00564FC6" w:rsidRPr="00A33AE8">
        <w:rPr>
          <w:rFonts w:asciiTheme="majorHAnsi" w:hAnsiTheme="majorHAnsi" w:cstheme="majorHAnsi"/>
          <w:lang w:val="en-GB"/>
        </w:rPr>
        <w:t>,</w:t>
      </w:r>
      <w:r w:rsidRPr="00A33AE8">
        <w:rPr>
          <w:rFonts w:asciiTheme="majorHAnsi" w:hAnsiTheme="majorHAnsi" w:cstheme="majorHAnsi"/>
          <w:lang w:val="en-GB"/>
        </w:rPr>
        <w:t xml:space="preserve"> as shown in</w:t>
      </w:r>
      <w:r w:rsidR="00060DB5">
        <w:rPr>
          <w:rFonts w:asciiTheme="majorHAnsi" w:hAnsiTheme="majorHAnsi" w:cstheme="majorHAnsi"/>
          <w:lang w:val="en-GB"/>
        </w:rPr>
        <w:t xml:space="preserve"> </w:t>
      </w:r>
      <w:r w:rsidR="00060DB5">
        <w:rPr>
          <w:rFonts w:asciiTheme="majorHAnsi" w:hAnsiTheme="majorHAnsi" w:cstheme="majorHAnsi"/>
          <w:lang w:val="en-GB"/>
        </w:rPr>
        <w:fldChar w:fldCharType="begin"/>
      </w:r>
      <w:r w:rsidR="00060DB5">
        <w:rPr>
          <w:rFonts w:asciiTheme="majorHAnsi" w:hAnsiTheme="majorHAnsi" w:cstheme="majorHAnsi"/>
          <w:lang w:val="en-GB"/>
        </w:rPr>
        <w:instrText xml:space="preserve"> REF _Ref153463992 \h  \* MERGEFORMAT </w:instrText>
      </w:r>
      <w:r w:rsidR="00060DB5">
        <w:rPr>
          <w:rFonts w:asciiTheme="majorHAnsi" w:hAnsiTheme="majorHAnsi" w:cstheme="majorHAnsi"/>
          <w:lang w:val="en-GB"/>
        </w:rPr>
      </w:r>
      <w:r w:rsidR="00060DB5">
        <w:rPr>
          <w:rFonts w:asciiTheme="majorHAnsi" w:hAnsiTheme="majorHAnsi" w:cstheme="majorHAnsi"/>
          <w:lang w:val="en-GB"/>
        </w:rPr>
        <w:fldChar w:fldCharType="separate"/>
      </w:r>
      <w:r w:rsidR="00060DB5" w:rsidRPr="0087794A">
        <w:rPr>
          <w:rFonts w:asciiTheme="majorHAnsi" w:hAnsiTheme="majorHAnsi" w:cstheme="majorHAnsi"/>
          <w:lang w:val="en-GB"/>
        </w:rPr>
        <w:t>Figure 4.35</w:t>
      </w:r>
      <w:r w:rsidR="00060DB5">
        <w:rPr>
          <w:rFonts w:asciiTheme="majorHAnsi" w:hAnsiTheme="majorHAnsi" w:cstheme="majorHAnsi"/>
          <w:lang w:val="en-GB"/>
        </w:rPr>
        <w:fldChar w:fldCharType="end"/>
      </w:r>
      <w:r w:rsidRPr="00A33AE8">
        <w:rPr>
          <w:rFonts w:asciiTheme="majorHAnsi" w:hAnsiTheme="majorHAnsi" w:cstheme="majorHAnsi"/>
          <w:lang w:val="en-GB"/>
        </w:rPr>
        <w:t>; from 2.</w:t>
      </w:r>
      <w:r w:rsidR="00E916FC" w:rsidRPr="00A33AE8">
        <w:rPr>
          <w:rFonts w:asciiTheme="majorHAnsi" w:hAnsiTheme="majorHAnsi" w:cstheme="majorHAnsi"/>
          <w:lang w:val="en-GB"/>
        </w:rPr>
        <w:t>44</w:t>
      </w:r>
      <w:r w:rsidRPr="00A33AE8">
        <w:rPr>
          <w:rFonts w:asciiTheme="majorHAnsi" w:hAnsiTheme="majorHAnsi" w:cstheme="majorHAnsi"/>
          <w:lang w:val="en-GB"/>
        </w:rPr>
        <w:t xml:space="preserve"> Mtoe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w:t>
      </w:r>
      <w:r w:rsidR="00564FC6" w:rsidRPr="00A33AE8">
        <w:rPr>
          <w:rFonts w:asciiTheme="majorHAnsi" w:hAnsiTheme="majorHAnsi" w:cstheme="majorHAnsi"/>
          <w:lang w:val="en-GB"/>
        </w:rPr>
        <w:t xml:space="preserve"> 2.</w:t>
      </w:r>
      <w:r w:rsidR="00E916FC" w:rsidRPr="00A33AE8">
        <w:rPr>
          <w:rFonts w:asciiTheme="majorHAnsi" w:hAnsiTheme="majorHAnsi" w:cstheme="majorHAnsi"/>
          <w:lang w:val="en-GB"/>
        </w:rPr>
        <w:t>88</w:t>
      </w:r>
      <w:r w:rsidRPr="00A33AE8">
        <w:rPr>
          <w:rFonts w:asciiTheme="majorHAnsi" w:hAnsiTheme="majorHAnsi" w:cstheme="majorHAnsi"/>
          <w:lang w:val="en-GB"/>
        </w:rPr>
        <w:t xml:space="preserve"> Mtoe in 2030 and to </w:t>
      </w:r>
      <w:r w:rsidR="006554D4" w:rsidRPr="00A33AE8">
        <w:rPr>
          <w:rFonts w:asciiTheme="majorHAnsi" w:hAnsiTheme="majorHAnsi" w:cstheme="majorHAnsi"/>
          <w:lang w:val="en-GB"/>
        </w:rPr>
        <w:t>3.</w:t>
      </w:r>
      <w:r w:rsidR="00E916FC" w:rsidRPr="00A33AE8">
        <w:rPr>
          <w:rFonts w:asciiTheme="majorHAnsi" w:hAnsiTheme="majorHAnsi" w:cstheme="majorHAnsi"/>
          <w:lang w:val="en-GB"/>
        </w:rPr>
        <w:t>77</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Mtoe in 2050. The share of road transport, which is by far the largest contributor in the total final energy consumption, is expected to rise from 2.</w:t>
      </w:r>
      <w:r w:rsidR="00E916FC" w:rsidRPr="00A33AE8">
        <w:rPr>
          <w:rFonts w:asciiTheme="majorHAnsi" w:hAnsiTheme="majorHAnsi" w:cstheme="majorHAnsi"/>
          <w:lang w:val="en-GB"/>
        </w:rPr>
        <w:t>22</w:t>
      </w:r>
      <w:r w:rsidRPr="00A33AE8">
        <w:rPr>
          <w:rFonts w:asciiTheme="majorHAnsi" w:hAnsiTheme="majorHAnsi" w:cstheme="majorHAnsi"/>
          <w:lang w:val="en-GB"/>
        </w:rPr>
        <w:t xml:space="preserve"> Mtoe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564FC6" w:rsidRPr="00A33AE8">
        <w:rPr>
          <w:rFonts w:asciiTheme="majorHAnsi" w:hAnsiTheme="majorHAnsi" w:cstheme="majorHAnsi"/>
          <w:lang w:val="en-GB"/>
        </w:rPr>
        <w:t>2.</w:t>
      </w:r>
      <w:r w:rsidR="00E916FC" w:rsidRPr="00A33AE8">
        <w:rPr>
          <w:rFonts w:asciiTheme="majorHAnsi" w:hAnsiTheme="majorHAnsi" w:cstheme="majorHAnsi"/>
          <w:lang w:val="en-GB"/>
        </w:rPr>
        <w:t>55</w:t>
      </w:r>
      <w:r w:rsidRPr="00A33AE8">
        <w:rPr>
          <w:rFonts w:asciiTheme="majorHAnsi" w:hAnsiTheme="majorHAnsi" w:cstheme="majorHAnsi"/>
          <w:lang w:val="en-GB"/>
        </w:rPr>
        <w:t xml:space="preserve"> Mtoe in 2030 and to </w:t>
      </w:r>
      <w:r w:rsidR="006554D4" w:rsidRPr="00A33AE8">
        <w:rPr>
          <w:rFonts w:asciiTheme="majorHAnsi" w:hAnsiTheme="majorHAnsi" w:cstheme="majorHAnsi"/>
          <w:lang w:val="en-GB"/>
        </w:rPr>
        <w:t>3.</w:t>
      </w:r>
      <w:r w:rsidR="00E916FC" w:rsidRPr="00A33AE8">
        <w:rPr>
          <w:rFonts w:asciiTheme="majorHAnsi" w:hAnsiTheme="majorHAnsi" w:cstheme="majorHAnsi"/>
          <w:lang w:val="en-GB"/>
        </w:rPr>
        <w:t>33</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Mtoe in 2050. However, in terms of its share in the total final energy consumption, road transport is anticipated to decline from 9</w:t>
      </w:r>
      <w:r w:rsidR="00E916FC" w:rsidRPr="00A33AE8">
        <w:rPr>
          <w:rFonts w:asciiTheme="majorHAnsi" w:hAnsiTheme="majorHAnsi" w:cstheme="majorHAnsi"/>
          <w:lang w:val="en-GB"/>
        </w:rPr>
        <w:t>2</w:t>
      </w:r>
      <w:r w:rsidRPr="00A33AE8">
        <w:rPr>
          <w:rFonts w:asciiTheme="majorHAnsi" w:hAnsiTheme="majorHAnsi" w:cstheme="majorHAnsi"/>
          <w:lang w:val="en-GB"/>
        </w:rPr>
        <w:t>%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 90% in 2030 and to </w:t>
      </w:r>
      <w:r w:rsidR="006554D4" w:rsidRPr="00A33AE8">
        <w:rPr>
          <w:rFonts w:asciiTheme="majorHAnsi" w:hAnsiTheme="majorHAnsi" w:cstheme="majorHAnsi"/>
          <w:lang w:val="en-GB"/>
        </w:rPr>
        <w:t>8</w:t>
      </w:r>
      <w:r w:rsidR="00E916FC" w:rsidRPr="00A33AE8">
        <w:rPr>
          <w:rFonts w:asciiTheme="majorHAnsi" w:hAnsiTheme="majorHAnsi" w:cstheme="majorHAnsi"/>
          <w:lang w:val="en-GB"/>
        </w:rPr>
        <w:t>8</w:t>
      </w:r>
      <w:r w:rsidR="006554D4" w:rsidRPr="00A33AE8">
        <w:rPr>
          <w:rFonts w:asciiTheme="majorHAnsi" w:hAnsiTheme="majorHAnsi" w:cstheme="majorHAnsi"/>
          <w:lang w:val="en-GB"/>
        </w:rPr>
        <w:t xml:space="preserve">% </w:t>
      </w:r>
      <w:r w:rsidRPr="00A33AE8">
        <w:rPr>
          <w:rFonts w:asciiTheme="majorHAnsi" w:hAnsiTheme="majorHAnsi" w:cstheme="majorHAnsi"/>
          <w:lang w:val="en-GB"/>
        </w:rPr>
        <w:t>in 2050.</w:t>
      </w:r>
    </w:p>
    <w:p w14:paraId="04C32A9A" w14:textId="68C5CF0D" w:rsidR="00060DB5" w:rsidRDefault="00060DB5" w:rsidP="006554D4">
      <w:pPr>
        <w:jc w:val="center"/>
      </w:pPr>
    </w:p>
    <w:p w14:paraId="4E45F890" w14:textId="3D6F86A1" w:rsidR="00060DB5" w:rsidRDefault="00060DB5" w:rsidP="0087794A">
      <w:pPr>
        <w:pStyle w:val="Caption"/>
        <w:keepNext/>
      </w:pPr>
      <w:bookmarkStart w:id="295" w:name="_Ref153463992"/>
      <w:bookmarkStart w:id="296" w:name="_Toc154575242"/>
      <w:r>
        <w:lastRenderedPageBreak/>
        <w:t xml:space="preserve">Figure </w:t>
      </w:r>
      <w:r w:rsidR="006E0533">
        <w:fldChar w:fldCharType="begin"/>
      </w:r>
      <w:r w:rsidR="006E0533">
        <w:instrText xml:space="preserve"> STYLEREF 1 \</w:instrText>
      </w:r>
      <w:r w:rsidR="006E0533">
        <w:instrText xml:space="preserve">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35</w:t>
      </w:r>
      <w:r w:rsidR="006E0533">
        <w:rPr>
          <w:noProof/>
        </w:rPr>
        <w:fldChar w:fldCharType="end"/>
      </w:r>
      <w:bookmarkEnd w:id="295"/>
      <w:r w:rsidRPr="00060DB5">
        <w:t>: Final energy consumption per sub-sector in the transport sector over 2020-2050 in the scenario with existing measures (WEM)</w:t>
      </w:r>
      <w:bookmarkEnd w:id="296"/>
    </w:p>
    <w:p w14:paraId="5107CDFA" w14:textId="00A09547" w:rsidR="006554D4" w:rsidRPr="00A33AE8" w:rsidRDefault="00060DB5" w:rsidP="006554D4">
      <w:pPr>
        <w:jc w:val="center"/>
        <w:rPr>
          <w:lang w:eastAsia="el-GR"/>
        </w:rPr>
      </w:pPr>
      <w:r w:rsidRPr="000007D2">
        <w:rPr>
          <w:noProof/>
          <w:lang w:val="en-US"/>
        </w:rPr>
        <mc:AlternateContent>
          <mc:Choice Requires="wps">
            <w:drawing>
              <wp:anchor distT="0" distB="0" distL="114300" distR="114300" simplePos="0" relativeHeight="251706368" behindDoc="0" locked="0" layoutInCell="1" allowOverlap="1" wp14:anchorId="7B0D145E" wp14:editId="4CD1099B">
                <wp:simplePos x="0" y="0"/>
                <wp:positionH relativeFrom="column">
                  <wp:posOffset>866775</wp:posOffset>
                </wp:positionH>
                <wp:positionV relativeFrom="paragraph">
                  <wp:posOffset>999089</wp:posOffset>
                </wp:positionV>
                <wp:extent cx="2932982" cy="3031886"/>
                <wp:effectExtent l="0" t="0" r="1270" b="0"/>
                <wp:wrapNone/>
                <wp:docPr id="1119868818" name="Text Box 1119868818"/>
                <wp:cNvGraphicFramePr/>
                <a:graphic xmlns:a="http://schemas.openxmlformats.org/drawingml/2006/main">
                  <a:graphicData uri="http://schemas.microsoft.com/office/word/2010/wordprocessingShape">
                    <wps:wsp>
                      <wps:cNvSpPr txBox="1"/>
                      <wps:spPr>
                        <a:xfrm>
                          <a:off x="0" y="0"/>
                          <a:ext cx="2932982" cy="3031886"/>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13037D" id="Text Box 1119868818" o:spid="_x0000_s1026" type="#_x0000_t202" style="position:absolute;margin-left:68.25pt;margin-top:78.65pt;width:230.95pt;height:23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" fillcolor="#a5a5a5 [2092]" stroked="f">
                <v:fill opacity="32896f"/>
              </v:shape>
            </w:pict>
          </mc:Fallback>
        </mc:AlternateContent>
      </w:r>
      <w:r w:rsidR="00192525" w:rsidRPr="000007D2">
        <w:rPr>
          <w:noProof/>
          <w:lang w:val="en-US"/>
        </w:rPr>
        <w:drawing>
          <wp:inline distT="0" distB="0" distL="0" distR="0" wp14:anchorId="2C2C6A33" wp14:editId="2EBB1675">
            <wp:extent cx="5839326" cy="436558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8386" cy="4387315"/>
                    </a:xfrm>
                    <a:prstGeom prst="rect">
                      <a:avLst/>
                    </a:prstGeom>
                    <a:noFill/>
                  </pic:spPr>
                </pic:pic>
              </a:graphicData>
            </a:graphic>
          </wp:inline>
        </w:drawing>
      </w:r>
    </w:p>
    <w:p w14:paraId="3375CB75" w14:textId="55345E2E" w:rsidR="008F3D7A"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As reflected in</w:t>
      </w:r>
      <w:r w:rsidR="00060DB5">
        <w:rPr>
          <w:rFonts w:asciiTheme="majorHAnsi" w:hAnsiTheme="majorHAnsi" w:cstheme="majorHAnsi"/>
          <w:lang w:val="en-GB"/>
        </w:rPr>
        <w:t xml:space="preserve"> </w:t>
      </w:r>
      <w:r w:rsidR="00060DB5">
        <w:rPr>
          <w:rFonts w:asciiTheme="majorHAnsi" w:hAnsiTheme="majorHAnsi" w:cstheme="majorHAnsi"/>
          <w:lang w:val="en-GB"/>
        </w:rPr>
        <w:fldChar w:fldCharType="begin"/>
      </w:r>
      <w:r w:rsidR="00060DB5">
        <w:rPr>
          <w:rFonts w:asciiTheme="majorHAnsi" w:hAnsiTheme="majorHAnsi" w:cstheme="majorHAnsi"/>
          <w:lang w:val="en-GB"/>
        </w:rPr>
        <w:instrText xml:space="preserve"> REF _Ref153464074 \h  \* MERGEFORMAT </w:instrText>
      </w:r>
      <w:r w:rsidR="00060DB5">
        <w:rPr>
          <w:rFonts w:asciiTheme="majorHAnsi" w:hAnsiTheme="majorHAnsi" w:cstheme="majorHAnsi"/>
          <w:lang w:val="en-GB"/>
        </w:rPr>
      </w:r>
      <w:r w:rsidR="00060DB5">
        <w:rPr>
          <w:rFonts w:asciiTheme="majorHAnsi" w:hAnsiTheme="majorHAnsi" w:cstheme="majorHAnsi"/>
          <w:lang w:val="en-GB"/>
        </w:rPr>
        <w:fldChar w:fldCharType="separate"/>
      </w:r>
      <w:r w:rsidR="00060DB5" w:rsidRPr="0087794A">
        <w:rPr>
          <w:rFonts w:asciiTheme="majorHAnsi" w:hAnsiTheme="majorHAnsi" w:cstheme="majorHAnsi"/>
          <w:lang w:val="en-GB"/>
        </w:rPr>
        <w:t>Figure 4.36</w:t>
      </w:r>
      <w:r w:rsidR="00060DB5">
        <w:rPr>
          <w:rFonts w:asciiTheme="majorHAnsi" w:hAnsiTheme="majorHAnsi" w:cstheme="majorHAnsi"/>
          <w:lang w:val="en-GB"/>
        </w:rPr>
        <w:fldChar w:fldCharType="end"/>
      </w:r>
      <w:r w:rsidR="00FF04E9" w:rsidRPr="00A33AE8">
        <w:rPr>
          <w:rFonts w:asciiTheme="majorHAnsi" w:hAnsiTheme="majorHAnsi" w:cstheme="majorHAnsi"/>
          <w:lang w:val="en-GB"/>
        </w:rPr>
        <w:t>,</w:t>
      </w:r>
      <w:r w:rsidRPr="00A33AE8">
        <w:rPr>
          <w:rFonts w:asciiTheme="majorHAnsi" w:hAnsiTheme="majorHAnsi" w:cstheme="majorHAnsi"/>
          <w:lang w:val="en-GB"/>
        </w:rPr>
        <w:t xml:space="preserve"> the final energy consumption of the services sector by </w:t>
      </w:r>
      <w:r w:rsidR="00FE1CF4" w:rsidRPr="00A33AE8">
        <w:rPr>
          <w:rFonts w:asciiTheme="majorHAnsi" w:hAnsiTheme="majorHAnsi" w:cstheme="majorHAnsi"/>
          <w:lang w:val="en-GB"/>
        </w:rPr>
        <w:t xml:space="preserve">energy </w:t>
      </w:r>
      <w:r w:rsidR="00FF04E9" w:rsidRPr="00A33AE8">
        <w:rPr>
          <w:rFonts w:asciiTheme="majorHAnsi" w:hAnsiTheme="majorHAnsi" w:cstheme="majorHAnsi"/>
          <w:lang w:val="en-GB"/>
        </w:rPr>
        <w:t>source</w:t>
      </w:r>
      <w:r w:rsidRPr="00A33AE8">
        <w:rPr>
          <w:rFonts w:asciiTheme="majorHAnsi" w:hAnsiTheme="majorHAnsi" w:cstheme="majorHAnsi"/>
          <w:lang w:val="en-GB"/>
        </w:rPr>
        <w:t xml:space="preserve"> is expected to increase from</w:t>
      </w:r>
      <w:r w:rsidR="00E916FC" w:rsidRPr="00A33AE8">
        <w:rPr>
          <w:rFonts w:asciiTheme="majorHAnsi" w:hAnsiTheme="majorHAnsi" w:cstheme="majorHAnsi"/>
          <w:lang w:val="en-GB"/>
        </w:rPr>
        <w:t xml:space="preserve"> 760</w:t>
      </w:r>
      <w:r w:rsidR="00FF04E9" w:rsidRPr="00A33AE8">
        <w:rPr>
          <w:rFonts w:asciiTheme="majorHAnsi" w:hAnsiTheme="majorHAnsi" w:cstheme="majorHAnsi"/>
          <w:lang w:val="en-GB"/>
        </w:rPr>
        <w:t xml:space="preserve"> ktoe</w:t>
      </w:r>
      <w:r w:rsidRPr="00A33AE8">
        <w:rPr>
          <w:rFonts w:asciiTheme="majorHAnsi" w:hAnsiTheme="majorHAnsi" w:cstheme="majorHAnsi"/>
          <w:lang w:val="en-GB"/>
        </w:rPr>
        <w:t xml:space="preserv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807AB6" w:rsidRPr="00A33AE8">
        <w:rPr>
          <w:rFonts w:asciiTheme="majorHAnsi" w:hAnsiTheme="majorHAnsi" w:cstheme="majorHAnsi"/>
          <w:lang w:val="en-GB"/>
        </w:rPr>
        <w:t>1.1</w:t>
      </w:r>
      <w:r w:rsidRPr="00A33AE8">
        <w:rPr>
          <w:rFonts w:asciiTheme="majorHAnsi" w:hAnsiTheme="majorHAnsi" w:cstheme="majorHAnsi"/>
          <w:lang w:val="en-GB"/>
        </w:rPr>
        <w:t xml:space="preserve"> Mtoe in 2030 and to </w:t>
      </w:r>
      <w:r w:rsidR="00FF04E9" w:rsidRPr="00A33AE8">
        <w:rPr>
          <w:rFonts w:asciiTheme="majorHAnsi" w:hAnsiTheme="majorHAnsi" w:cstheme="majorHAnsi"/>
          <w:lang w:val="en-GB"/>
        </w:rPr>
        <w:t xml:space="preserve">1.6 </w:t>
      </w:r>
      <w:r w:rsidRPr="00A33AE8">
        <w:rPr>
          <w:rFonts w:asciiTheme="majorHAnsi" w:hAnsiTheme="majorHAnsi" w:cstheme="majorHAnsi"/>
          <w:lang w:val="en-GB"/>
        </w:rPr>
        <w:t>Mtoe in 2050</w:t>
      </w:r>
      <w:r w:rsidR="00604B57" w:rsidRPr="00A33AE8">
        <w:rPr>
          <w:rFonts w:asciiTheme="majorHAnsi" w:hAnsiTheme="majorHAnsi" w:cstheme="majorHAnsi"/>
          <w:lang w:val="en-GB"/>
        </w:rPr>
        <w:t xml:space="preserve"> despite the </w:t>
      </w:r>
      <w:r w:rsidR="001B3035" w:rsidRPr="00A33AE8">
        <w:rPr>
          <w:rFonts w:asciiTheme="majorHAnsi" w:hAnsiTheme="majorHAnsi" w:cstheme="majorHAnsi"/>
          <w:lang w:val="en-GB"/>
        </w:rPr>
        <w:t xml:space="preserve">current energy efficiency policies and </w:t>
      </w:r>
      <w:r w:rsidR="00FF04E9" w:rsidRPr="00A33AE8">
        <w:rPr>
          <w:rFonts w:asciiTheme="majorHAnsi" w:hAnsiTheme="majorHAnsi" w:cstheme="majorHAnsi"/>
          <w:lang w:val="en-GB"/>
        </w:rPr>
        <w:t>trends.</w:t>
      </w:r>
      <w:r w:rsidRPr="00A33AE8">
        <w:rPr>
          <w:rFonts w:asciiTheme="majorHAnsi" w:hAnsiTheme="majorHAnsi" w:cstheme="majorHAnsi"/>
          <w:lang w:val="en-GB"/>
        </w:rPr>
        <w:t xml:space="preserve"> The electricity consumption will continue to </w:t>
      </w:r>
      <w:r w:rsidR="001B3035" w:rsidRPr="00A33AE8">
        <w:rPr>
          <w:rFonts w:asciiTheme="majorHAnsi" w:hAnsiTheme="majorHAnsi" w:cstheme="majorHAnsi"/>
          <w:lang w:val="en-GB"/>
        </w:rPr>
        <w:t xml:space="preserve">have </w:t>
      </w:r>
      <w:r w:rsidRPr="00A33AE8">
        <w:rPr>
          <w:rFonts w:asciiTheme="majorHAnsi" w:hAnsiTheme="majorHAnsi" w:cstheme="majorHAnsi"/>
          <w:lang w:val="en-GB"/>
        </w:rPr>
        <w:t xml:space="preserve">the highest contribution by 2050 from </w:t>
      </w:r>
      <w:r w:rsidR="00E916FC" w:rsidRPr="00A33AE8">
        <w:rPr>
          <w:rFonts w:asciiTheme="majorHAnsi" w:hAnsiTheme="majorHAnsi" w:cstheme="majorHAnsi"/>
          <w:lang w:val="en-GB"/>
        </w:rPr>
        <w:t>388</w:t>
      </w:r>
      <w:r w:rsidR="00FF04E9" w:rsidRPr="00A33AE8">
        <w:rPr>
          <w:rFonts w:asciiTheme="majorHAnsi" w:hAnsiTheme="majorHAnsi" w:cstheme="majorHAnsi"/>
          <w:lang w:val="en-GB"/>
        </w:rPr>
        <w:t xml:space="preserve"> </w:t>
      </w:r>
      <w:r w:rsidRPr="00A33AE8">
        <w:rPr>
          <w:rFonts w:asciiTheme="majorHAnsi" w:hAnsiTheme="majorHAnsi" w:cstheme="majorHAnsi"/>
          <w:lang w:val="en-GB"/>
        </w:rPr>
        <w:t>ktoe in 20</w:t>
      </w:r>
      <w:r w:rsidR="00E916FC" w:rsidRPr="00A33AE8">
        <w:rPr>
          <w:rFonts w:asciiTheme="majorHAnsi" w:hAnsiTheme="majorHAnsi" w:cstheme="majorHAnsi"/>
          <w:lang w:val="en-GB"/>
        </w:rPr>
        <w:t>20</w:t>
      </w:r>
      <w:r w:rsidRPr="00A33AE8">
        <w:rPr>
          <w:rFonts w:asciiTheme="majorHAnsi" w:hAnsiTheme="majorHAnsi" w:cstheme="majorHAnsi"/>
          <w:lang w:val="en-GB"/>
        </w:rPr>
        <w:t xml:space="preserve"> to</w:t>
      </w:r>
      <w:r w:rsidR="00807AB6" w:rsidRPr="00A33AE8">
        <w:rPr>
          <w:rFonts w:asciiTheme="majorHAnsi" w:hAnsiTheme="majorHAnsi" w:cstheme="majorHAnsi"/>
          <w:lang w:val="en-GB"/>
        </w:rPr>
        <w:t xml:space="preserve"> </w:t>
      </w:r>
      <w:r w:rsidR="00FF04E9" w:rsidRPr="00A33AE8">
        <w:rPr>
          <w:rFonts w:asciiTheme="majorHAnsi" w:hAnsiTheme="majorHAnsi" w:cstheme="majorHAnsi"/>
          <w:lang w:val="en-GB"/>
        </w:rPr>
        <w:t xml:space="preserve">584 </w:t>
      </w:r>
      <w:r w:rsidRPr="00A33AE8">
        <w:rPr>
          <w:rFonts w:asciiTheme="majorHAnsi" w:hAnsiTheme="majorHAnsi" w:cstheme="majorHAnsi"/>
          <w:lang w:val="en-GB"/>
        </w:rPr>
        <w:t xml:space="preserve">ktoe in 2030 and </w:t>
      </w:r>
      <w:r w:rsidR="00FF04E9" w:rsidRPr="00A33AE8">
        <w:rPr>
          <w:rFonts w:asciiTheme="majorHAnsi" w:hAnsiTheme="majorHAnsi" w:cstheme="majorHAnsi"/>
          <w:lang w:val="en-GB"/>
        </w:rPr>
        <w:t xml:space="preserve">797 </w:t>
      </w:r>
      <w:r w:rsidRPr="00A33AE8">
        <w:rPr>
          <w:rFonts w:asciiTheme="majorHAnsi" w:hAnsiTheme="majorHAnsi" w:cstheme="majorHAnsi"/>
          <w:lang w:val="en-GB"/>
        </w:rPr>
        <w:t xml:space="preserve">ktoe in 2050. Furthermore, natural gas remains the second most utilised fuel in the services sector until 2050, with a share ranging from </w:t>
      </w:r>
      <w:r w:rsidR="00FF04E9" w:rsidRPr="00A33AE8">
        <w:rPr>
          <w:rFonts w:asciiTheme="majorHAnsi" w:hAnsiTheme="majorHAnsi" w:cstheme="majorHAnsi"/>
          <w:lang w:val="en-GB"/>
        </w:rPr>
        <w:t xml:space="preserve">16% </w:t>
      </w:r>
      <w:r w:rsidRPr="00A33AE8">
        <w:rPr>
          <w:rFonts w:asciiTheme="majorHAnsi" w:hAnsiTheme="majorHAnsi" w:cstheme="majorHAnsi"/>
          <w:lang w:val="en-GB"/>
        </w:rPr>
        <w:t>to</w:t>
      </w:r>
      <w:r w:rsidR="00FF04E9" w:rsidRPr="00A33AE8">
        <w:rPr>
          <w:rFonts w:asciiTheme="majorHAnsi" w:hAnsiTheme="majorHAnsi" w:cstheme="majorHAnsi"/>
          <w:lang w:val="en-GB"/>
        </w:rPr>
        <w:t xml:space="preserve"> 30</w:t>
      </w:r>
      <w:r w:rsidR="00807AB6" w:rsidRPr="00A33AE8">
        <w:rPr>
          <w:rFonts w:asciiTheme="majorHAnsi" w:hAnsiTheme="majorHAnsi" w:cstheme="majorHAnsi"/>
          <w:lang w:val="en-GB"/>
        </w:rPr>
        <w:t>%</w:t>
      </w:r>
      <w:r w:rsidRPr="00A33AE8">
        <w:rPr>
          <w:rFonts w:asciiTheme="majorHAnsi" w:hAnsiTheme="majorHAnsi" w:cstheme="majorHAnsi"/>
          <w:lang w:val="en-GB"/>
        </w:rPr>
        <w:t xml:space="preserve"> by 2050.</w:t>
      </w:r>
    </w:p>
    <w:p w14:paraId="54033CDC" w14:textId="5969D9AE" w:rsidR="00060DB5" w:rsidRDefault="00060DB5" w:rsidP="0087794A">
      <w:pPr>
        <w:pStyle w:val="Caption"/>
        <w:keepNext/>
      </w:pPr>
      <w:bookmarkStart w:id="297" w:name="_Ref153464074"/>
      <w:bookmarkStart w:id="298" w:name="_Toc154575243"/>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36</w:t>
      </w:r>
      <w:r w:rsidR="006E0533">
        <w:rPr>
          <w:noProof/>
        </w:rPr>
        <w:fldChar w:fldCharType="end"/>
      </w:r>
      <w:bookmarkEnd w:id="297"/>
      <w:r>
        <w:t xml:space="preserve">: </w:t>
      </w:r>
      <w:r w:rsidRPr="00060DB5">
        <w:t>Final energy consumption by energy source in the services sector over 2020-2050 in the scenario with existing measures (WEM)</w:t>
      </w:r>
      <w:bookmarkEnd w:id="298"/>
    </w:p>
    <w:p w14:paraId="4BE294F1" w14:textId="197FAFBD" w:rsidR="00FF04E9" w:rsidRPr="00A33AE8" w:rsidRDefault="00060DB5" w:rsidP="00FF04E9">
      <w:pPr>
        <w:jc w:val="center"/>
        <w:rPr>
          <w:lang w:eastAsia="el-GR"/>
        </w:rPr>
      </w:pPr>
      <w:r w:rsidRPr="000007D2">
        <w:rPr>
          <w:noProof/>
          <w:lang w:val="en-US"/>
        </w:rPr>
        <mc:AlternateContent>
          <mc:Choice Requires="wps">
            <w:drawing>
              <wp:anchor distT="0" distB="0" distL="114300" distR="114300" simplePos="0" relativeHeight="251708416" behindDoc="0" locked="0" layoutInCell="1" allowOverlap="1" wp14:anchorId="4FC54BB7" wp14:editId="4916EC8D">
                <wp:simplePos x="0" y="0"/>
                <wp:positionH relativeFrom="column">
                  <wp:posOffset>1176053</wp:posOffset>
                </wp:positionH>
                <wp:positionV relativeFrom="paragraph">
                  <wp:posOffset>809291</wp:posOffset>
                </wp:positionV>
                <wp:extent cx="2570672" cy="1901993"/>
                <wp:effectExtent l="0" t="0" r="1270" b="3175"/>
                <wp:wrapNone/>
                <wp:docPr id="1558744293" name="Text Box 1558744293"/>
                <wp:cNvGraphicFramePr/>
                <a:graphic xmlns:a="http://schemas.openxmlformats.org/drawingml/2006/main">
                  <a:graphicData uri="http://schemas.microsoft.com/office/word/2010/wordprocessingShape">
                    <wps:wsp>
                      <wps:cNvSpPr txBox="1"/>
                      <wps:spPr>
                        <a:xfrm>
                          <a:off x="0" y="0"/>
                          <a:ext cx="2570672" cy="19019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B6FBD4" id="Text Box 1558744293" o:spid="_x0000_s1026" type="#_x0000_t202" style="position:absolute;margin-left:92.6pt;margin-top:63.7pt;width:202.4pt;height:149.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" fillcolor="#a5a5a5 [2092]" stroked="f">
                <v:fill opacity="32896f"/>
              </v:shape>
            </w:pict>
          </mc:Fallback>
        </mc:AlternateContent>
      </w:r>
      <w:r w:rsidR="00980163" w:rsidRPr="000007D2">
        <w:rPr>
          <w:noProof/>
          <w:lang w:val="en-US"/>
        </w:rPr>
        <w:drawing>
          <wp:inline distT="0" distB="0" distL="0" distR="0" wp14:anchorId="355F2A31" wp14:editId="1EE26149">
            <wp:extent cx="5320025" cy="3200400"/>
            <wp:effectExtent l="0" t="0" r="0" b="0"/>
            <wp:docPr id="885535391" name="Picture 88553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4629" cy="3221217"/>
                    </a:xfrm>
                    <a:prstGeom prst="rect">
                      <a:avLst/>
                    </a:prstGeom>
                    <a:noFill/>
                  </pic:spPr>
                </pic:pic>
              </a:graphicData>
            </a:graphic>
          </wp:inline>
        </w:drawing>
      </w:r>
    </w:p>
    <w:p w14:paraId="4E78B8C4" w14:textId="617234EF" w:rsidR="00192525" w:rsidRPr="00A33AE8" w:rsidRDefault="00AB77AE" w:rsidP="00192525">
      <w:pPr>
        <w:pStyle w:val="Caption"/>
        <w:jc w:val="both"/>
        <w:rPr>
          <w:rFonts w:asciiTheme="majorHAnsi" w:eastAsia="Times New Roman" w:hAnsiTheme="majorHAnsi" w:cstheme="majorHAnsi"/>
          <w:b w:val="0"/>
          <w:bCs w:val="0"/>
          <w:color w:val="auto"/>
          <w:lang w:eastAsia="el-GR"/>
        </w:rPr>
      </w:pPr>
      <w:r w:rsidRPr="0087794A">
        <w:rPr>
          <w:rFonts w:asciiTheme="majorHAnsi" w:hAnsiTheme="majorHAnsi"/>
          <w:b w:val="0"/>
          <w:color w:val="auto"/>
        </w:rPr>
        <w:t xml:space="preserve">The final energy consumption by </w:t>
      </w:r>
      <w:r w:rsidR="00FE1CF4" w:rsidRPr="0087794A">
        <w:rPr>
          <w:rFonts w:asciiTheme="majorHAnsi" w:hAnsiTheme="majorHAnsi"/>
          <w:b w:val="0"/>
          <w:color w:val="auto"/>
        </w:rPr>
        <w:t xml:space="preserve">energy </w:t>
      </w:r>
      <w:r w:rsidR="00FF04E9" w:rsidRPr="0087794A">
        <w:rPr>
          <w:rFonts w:asciiTheme="majorHAnsi" w:hAnsiTheme="majorHAnsi"/>
          <w:b w:val="0"/>
          <w:color w:val="auto"/>
        </w:rPr>
        <w:t>source</w:t>
      </w:r>
      <w:r w:rsidR="00A356BD" w:rsidRPr="0087794A">
        <w:rPr>
          <w:rFonts w:asciiTheme="majorHAnsi" w:hAnsiTheme="majorHAnsi"/>
          <w:b w:val="0"/>
          <w:color w:val="auto"/>
        </w:rPr>
        <w:t xml:space="preserve"> </w:t>
      </w:r>
      <w:r w:rsidRPr="0087794A">
        <w:rPr>
          <w:rFonts w:asciiTheme="majorHAnsi" w:hAnsiTheme="majorHAnsi"/>
          <w:b w:val="0"/>
          <w:color w:val="auto"/>
        </w:rPr>
        <w:t xml:space="preserve">in the residential sector </w:t>
      </w:r>
      <w:r w:rsidR="001B3035" w:rsidRPr="0087794A">
        <w:rPr>
          <w:rFonts w:asciiTheme="majorHAnsi" w:hAnsiTheme="majorHAnsi"/>
          <w:b w:val="0"/>
          <w:color w:val="auto"/>
        </w:rPr>
        <w:t xml:space="preserve">is projected to </w:t>
      </w:r>
      <w:r w:rsidRPr="0087794A">
        <w:rPr>
          <w:rFonts w:asciiTheme="majorHAnsi" w:hAnsiTheme="majorHAnsi"/>
          <w:b w:val="0"/>
          <w:color w:val="auto"/>
        </w:rPr>
        <w:t xml:space="preserve">increase throughout the </w:t>
      </w:r>
      <w:r w:rsidR="001B3035" w:rsidRPr="0087794A">
        <w:rPr>
          <w:rFonts w:asciiTheme="majorHAnsi" w:hAnsiTheme="majorHAnsi"/>
          <w:b w:val="0"/>
          <w:color w:val="auto"/>
        </w:rPr>
        <w:t xml:space="preserve">analysed </w:t>
      </w:r>
      <w:r w:rsidRPr="0087794A">
        <w:rPr>
          <w:rFonts w:asciiTheme="majorHAnsi" w:hAnsiTheme="majorHAnsi"/>
          <w:b w:val="0"/>
          <w:color w:val="auto"/>
        </w:rPr>
        <w:t>period from</w:t>
      </w:r>
      <w:r w:rsidR="00402065" w:rsidRPr="0087794A">
        <w:rPr>
          <w:rFonts w:asciiTheme="majorHAnsi" w:hAnsiTheme="majorHAnsi"/>
          <w:b w:val="0"/>
          <w:color w:val="auto"/>
        </w:rPr>
        <w:t xml:space="preserve"> 3.3</w:t>
      </w:r>
      <w:r w:rsidRPr="0087794A">
        <w:rPr>
          <w:rFonts w:asciiTheme="majorHAnsi" w:hAnsiTheme="majorHAnsi"/>
          <w:b w:val="0"/>
          <w:color w:val="auto"/>
        </w:rPr>
        <w:t xml:space="preserve"> Mtoe in 20</w:t>
      </w:r>
      <w:r w:rsidR="00402065" w:rsidRPr="0087794A">
        <w:rPr>
          <w:rFonts w:asciiTheme="majorHAnsi" w:hAnsiTheme="majorHAnsi"/>
          <w:b w:val="0"/>
          <w:color w:val="auto"/>
        </w:rPr>
        <w:t>20</w:t>
      </w:r>
      <w:r w:rsidRPr="0087794A">
        <w:rPr>
          <w:rFonts w:asciiTheme="majorHAnsi" w:hAnsiTheme="majorHAnsi"/>
          <w:b w:val="0"/>
          <w:color w:val="auto"/>
        </w:rPr>
        <w:t xml:space="preserve"> to </w:t>
      </w:r>
      <w:r w:rsidR="00FF04E9" w:rsidRPr="0087794A">
        <w:rPr>
          <w:rFonts w:asciiTheme="majorHAnsi" w:hAnsiTheme="majorHAnsi"/>
          <w:b w:val="0"/>
          <w:color w:val="auto"/>
        </w:rPr>
        <w:t xml:space="preserve">3.7 </w:t>
      </w:r>
      <w:r w:rsidRPr="0087794A">
        <w:rPr>
          <w:rFonts w:asciiTheme="majorHAnsi" w:hAnsiTheme="majorHAnsi"/>
          <w:b w:val="0"/>
          <w:color w:val="auto"/>
        </w:rPr>
        <w:t>Mtoe in 2050, as can be seen from</w:t>
      </w:r>
      <w:bookmarkStart w:id="299" w:name="_heading=h.4anzqyu" w:colFirst="0" w:colLast="0"/>
      <w:bookmarkEnd w:id="299"/>
      <w:r w:rsidR="00060DB5" w:rsidRPr="0087794A">
        <w:rPr>
          <w:rFonts w:asciiTheme="majorHAnsi" w:hAnsiTheme="majorHAnsi"/>
          <w:b w:val="0"/>
          <w:color w:val="auto"/>
        </w:rPr>
        <w:t xml:space="preserve"> </w:t>
      </w:r>
      <w:r w:rsidR="00060DB5" w:rsidRPr="0087794A">
        <w:rPr>
          <w:rFonts w:asciiTheme="majorHAnsi" w:hAnsiTheme="majorHAnsi"/>
          <w:b w:val="0"/>
          <w:color w:val="auto"/>
        </w:rPr>
        <w:fldChar w:fldCharType="begin"/>
      </w:r>
      <w:r w:rsidR="00060DB5" w:rsidRPr="0087794A">
        <w:rPr>
          <w:rFonts w:asciiTheme="majorHAnsi" w:hAnsiTheme="majorHAnsi"/>
          <w:b w:val="0"/>
          <w:color w:val="auto"/>
        </w:rPr>
        <w:instrText xml:space="preserve"> REF _Ref153464197 \h </w:instrText>
      </w:r>
      <w:r w:rsidR="00060DB5">
        <w:rPr>
          <w:rFonts w:asciiTheme="majorHAnsi" w:hAnsiTheme="majorHAnsi"/>
          <w:b w:val="0"/>
          <w:color w:val="auto"/>
        </w:rPr>
        <w:instrText xml:space="preserve"> \* MERGEFORMAT </w:instrText>
      </w:r>
      <w:r w:rsidR="00060DB5" w:rsidRPr="0087794A">
        <w:rPr>
          <w:rFonts w:asciiTheme="majorHAnsi" w:hAnsiTheme="majorHAnsi"/>
          <w:b w:val="0"/>
          <w:color w:val="auto"/>
        </w:rPr>
      </w:r>
      <w:r w:rsidR="00060DB5" w:rsidRPr="0087794A">
        <w:rPr>
          <w:rFonts w:asciiTheme="majorHAnsi" w:hAnsiTheme="majorHAnsi"/>
          <w:b w:val="0"/>
          <w:color w:val="auto"/>
        </w:rPr>
        <w:fldChar w:fldCharType="separate"/>
      </w:r>
      <w:r w:rsidR="00060DB5" w:rsidRPr="0087794A">
        <w:rPr>
          <w:rFonts w:asciiTheme="majorHAnsi" w:hAnsiTheme="majorHAnsi"/>
          <w:b w:val="0"/>
          <w:color w:val="auto"/>
        </w:rPr>
        <w:t>Figure 4.37</w:t>
      </w:r>
      <w:r w:rsidR="00060DB5" w:rsidRPr="0087794A">
        <w:rPr>
          <w:rFonts w:asciiTheme="majorHAnsi" w:hAnsiTheme="majorHAnsi"/>
          <w:b w:val="0"/>
          <w:color w:val="auto"/>
        </w:rPr>
        <w:fldChar w:fldCharType="end"/>
      </w:r>
      <w:r w:rsidRPr="00A33AE8">
        <w:rPr>
          <w:rFonts w:asciiTheme="majorHAnsi" w:hAnsiTheme="majorHAnsi"/>
          <w:b w:val="0"/>
          <w:color w:val="auto"/>
        </w:rPr>
        <w:t xml:space="preserve">, despite the substitution of old technologies by more efficient ones using electricity, the adoption of energy conservation behaviour and the limited renovation of the building envelope. As regards the electricity consumption, a significant increase is expected until 2050, leading to </w:t>
      </w:r>
      <w:r w:rsidR="001B3035" w:rsidRPr="00A33AE8">
        <w:rPr>
          <w:rFonts w:asciiTheme="majorHAnsi" w:hAnsiTheme="majorHAnsi"/>
          <w:b w:val="0"/>
          <w:color w:val="auto"/>
        </w:rPr>
        <w:t xml:space="preserve">a </w:t>
      </w:r>
      <w:r w:rsidRPr="00A33AE8">
        <w:rPr>
          <w:rFonts w:asciiTheme="majorHAnsi" w:hAnsiTheme="majorHAnsi"/>
          <w:b w:val="0"/>
          <w:color w:val="auto"/>
        </w:rPr>
        <w:t xml:space="preserve">consumption equal to </w:t>
      </w:r>
      <w:r w:rsidR="00FF04E9" w:rsidRPr="00A33AE8">
        <w:rPr>
          <w:rFonts w:asciiTheme="majorHAnsi" w:hAnsiTheme="majorHAnsi"/>
          <w:b w:val="0"/>
          <w:color w:val="auto"/>
        </w:rPr>
        <w:t xml:space="preserve">1.4 </w:t>
      </w:r>
      <w:r w:rsidRPr="00A33AE8">
        <w:rPr>
          <w:rFonts w:asciiTheme="majorHAnsi" w:hAnsiTheme="majorHAnsi"/>
          <w:b w:val="0"/>
          <w:color w:val="auto"/>
        </w:rPr>
        <w:t xml:space="preserve">Mtoe in 2030 and 1.3 Mtoe in 2050. Similarly, the consumption of renewables and biofuels is expected to rise by </w:t>
      </w:r>
      <w:r w:rsidR="00402065" w:rsidRPr="00A33AE8">
        <w:rPr>
          <w:rFonts w:asciiTheme="majorHAnsi" w:eastAsia="Times New Roman" w:hAnsiTheme="majorHAnsi" w:cstheme="majorHAnsi"/>
          <w:b w:val="0"/>
          <w:bCs w:val="0"/>
          <w:color w:val="auto"/>
          <w:lang w:eastAsia="el-GR"/>
        </w:rPr>
        <w:t>16</w:t>
      </w:r>
      <w:r w:rsidR="00FF04E9" w:rsidRPr="00A33AE8">
        <w:rPr>
          <w:rFonts w:asciiTheme="majorHAnsi" w:hAnsiTheme="majorHAnsi"/>
          <w:b w:val="0"/>
          <w:color w:val="auto"/>
        </w:rPr>
        <w:t xml:space="preserve">% </w:t>
      </w:r>
      <w:r w:rsidRPr="00A33AE8">
        <w:rPr>
          <w:rFonts w:asciiTheme="majorHAnsi" w:hAnsiTheme="majorHAnsi"/>
          <w:b w:val="0"/>
          <w:color w:val="auto"/>
        </w:rPr>
        <w:t xml:space="preserve">in 2030 and </w:t>
      </w:r>
      <w:r w:rsidR="00402065" w:rsidRPr="00A33AE8">
        <w:rPr>
          <w:rFonts w:asciiTheme="majorHAnsi" w:eastAsia="Times New Roman" w:hAnsiTheme="majorHAnsi" w:cstheme="majorHAnsi"/>
          <w:b w:val="0"/>
          <w:bCs w:val="0"/>
          <w:color w:val="auto"/>
          <w:lang w:eastAsia="el-GR"/>
        </w:rPr>
        <w:t xml:space="preserve">decrease </w:t>
      </w:r>
      <w:r w:rsidRPr="00A33AE8">
        <w:rPr>
          <w:rFonts w:asciiTheme="majorHAnsi" w:hAnsiTheme="majorHAnsi"/>
          <w:b w:val="0"/>
          <w:color w:val="auto"/>
        </w:rPr>
        <w:t xml:space="preserve">by </w:t>
      </w:r>
      <w:r w:rsidR="00402065" w:rsidRPr="00A33AE8">
        <w:rPr>
          <w:rFonts w:asciiTheme="majorHAnsi" w:eastAsia="Times New Roman" w:hAnsiTheme="majorHAnsi" w:cstheme="majorHAnsi"/>
          <w:b w:val="0"/>
          <w:bCs w:val="0"/>
          <w:color w:val="auto"/>
          <w:lang w:eastAsia="el-GR"/>
        </w:rPr>
        <w:t>0.5</w:t>
      </w:r>
      <w:r w:rsidR="00FF04E9" w:rsidRPr="00A33AE8">
        <w:rPr>
          <w:rFonts w:asciiTheme="majorHAnsi" w:hAnsiTheme="majorHAnsi"/>
          <w:b w:val="0"/>
          <w:color w:val="auto"/>
        </w:rPr>
        <w:t xml:space="preserve">% </w:t>
      </w:r>
      <w:r w:rsidRPr="00A33AE8">
        <w:rPr>
          <w:rFonts w:asciiTheme="majorHAnsi" w:hAnsiTheme="majorHAnsi"/>
          <w:b w:val="0"/>
          <w:color w:val="auto"/>
        </w:rPr>
        <w:t xml:space="preserve">in 2050, compared to </w:t>
      </w:r>
      <w:r w:rsidRPr="00A33AE8">
        <w:rPr>
          <w:rFonts w:asciiTheme="majorHAnsi" w:eastAsia="Times New Roman" w:hAnsiTheme="majorHAnsi" w:cstheme="majorHAnsi"/>
          <w:b w:val="0"/>
          <w:bCs w:val="0"/>
          <w:color w:val="auto"/>
          <w:lang w:eastAsia="el-GR"/>
        </w:rPr>
        <w:t>20</w:t>
      </w:r>
      <w:r w:rsidR="00402065" w:rsidRPr="00A33AE8">
        <w:rPr>
          <w:rFonts w:asciiTheme="majorHAnsi" w:eastAsia="Times New Roman" w:hAnsiTheme="majorHAnsi" w:cstheme="majorHAnsi"/>
          <w:b w:val="0"/>
          <w:bCs w:val="0"/>
          <w:color w:val="auto"/>
          <w:lang w:eastAsia="el-GR"/>
        </w:rPr>
        <w:t>20</w:t>
      </w:r>
      <w:r w:rsidRPr="00A33AE8">
        <w:rPr>
          <w:rFonts w:asciiTheme="majorHAnsi" w:hAnsiTheme="majorHAnsi"/>
          <w:b w:val="0"/>
          <w:color w:val="auto"/>
        </w:rPr>
        <w:t xml:space="preserve">, being the most utilised fuel in the residential sector until 2050, followed by </w:t>
      </w:r>
      <w:r w:rsidR="00402065" w:rsidRPr="00A33AE8">
        <w:rPr>
          <w:rFonts w:asciiTheme="majorHAnsi" w:eastAsia="Times New Roman" w:hAnsiTheme="majorHAnsi" w:cstheme="majorHAnsi"/>
          <w:b w:val="0"/>
          <w:bCs w:val="0"/>
          <w:color w:val="auto"/>
          <w:lang w:eastAsia="el-GR"/>
        </w:rPr>
        <w:t xml:space="preserve">electricity and </w:t>
      </w:r>
      <w:r w:rsidRPr="00A33AE8">
        <w:rPr>
          <w:rFonts w:asciiTheme="majorHAnsi" w:hAnsiTheme="majorHAnsi"/>
          <w:b w:val="0"/>
          <w:color w:val="auto"/>
        </w:rPr>
        <w:t>derived heat</w:t>
      </w:r>
      <w:r w:rsidRPr="00A33AE8">
        <w:rPr>
          <w:rFonts w:asciiTheme="majorHAnsi" w:eastAsia="Times New Roman" w:hAnsiTheme="majorHAnsi" w:cstheme="majorHAnsi"/>
          <w:b w:val="0"/>
          <w:bCs w:val="0"/>
          <w:color w:val="auto"/>
          <w:lang w:eastAsia="el-GR"/>
        </w:rPr>
        <w:t>. The</w:t>
      </w:r>
      <w:r w:rsidR="00E1592C" w:rsidRPr="00A33AE8">
        <w:rPr>
          <w:rFonts w:asciiTheme="majorHAnsi" w:eastAsia="Times New Roman" w:hAnsiTheme="majorHAnsi" w:cstheme="majorHAnsi"/>
          <w:b w:val="0"/>
          <w:bCs w:val="0"/>
          <w:color w:val="auto"/>
          <w:lang w:eastAsia="el-GR"/>
        </w:rPr>
        <w:t xml:space="preserve"> </w:t>
      </w:r>
      <w:r w:rsidRPr="00A33AE8">
        <w:rPr>
          <w:rFonts w:asciiTheme="majorHAnsi" w:eastAsia="Times New Roman" w:hAnsiTheme="majorHAnsi" w:cstheme="majorHAnsi"/>
          <w:b w:val="0"/>
          <w:bCs w:val="0"/>
          <w:color w:val="auto"/>
          <w:lang w:eastAsia="el-GR"/>
        </w:rPr>
        <w:t>consumption</w:t>
      </w:r>
      <w:r w:rsidRPr="00A33AE8">
        <w:rPr>
          <w:rFonts w:asciiTheme="majorHAnsi" w:hAnsiTheme="majorHAnsi"/>
          <w:b w:val="0"/>
          <w:color w:val="auto"/>
        </w:rPr>
        <w:t xml:space="preserve"> of derived heat will grow until 2030, compared to </w:t>
      </w:r>
      <w:r w:rsidRPr="00A33AE8">
        <w:rPr>
          <w:rFonts w:asciiTheme="majorHAnsi" w:eastAsia="Times New Roman" w:hAnsiTheme="majorHAnsi" w:cstheme="majorHAnsi"/>
          <w:b w:val="0"/>
          <w:bCs w:val="0"/>
          <w:color w:val="auto"/>
          <w:lang w:eastAsia="el-GR"/>
        </w:rPr>
        <w:t>20</w:t>
      </w:r>
      <w:r w:rsidR="00402065" w:rsidRPr="00A33AE8">
        <w:rPr>
          <w:rFonts w:asciiTheme="majorHAnsi" w:eastAsia="Times New Roman" w:hAnsiTheme="majorHAnsi" w:cstheme="majorHAnsi"/>
          <w:b w:val="0"/>
          <w:bCs w:val="0"/>
          <w:color w:val="auto"/>
          <w:lang w:eastAsia="el-GR"/>
        </w:rPr>
        <w:t>20</w:t>
      </w:r>
      <w:r w:rsidRPr="00A33AE8">
        <w:rPr>
          <w:rFonts w:asciiTheme="majorHAnsi" w:hAnsiTheme="majorHAnsi"/>
          <w:b w:val="0"/>
          <w:color w:val="auto"/>
        </w:rPr>
        <w:t xml:space="preserve">, reaching the level of </w:t>
      </w:r>
      <w:r w:rsidR="00402065" w:rsidRPr="00A33AE8">
        <w:rPr>
          <w:rFonts w:asciiTheme="majorHAnsi" w:eastAsia="Times New Roman" w:hAnsiTheme="majorHAnsi" w:cstheme="majorHAnsi"/>
          <w:b w:val="0"/>
          <w:bCs w:val="0"/>
          <w:color w:val="auto"/>
          <w:lang w:eastAsia="el-GR"/>
        </w:rPr>
        <w:t>506</w:t>
      </w:r>
      <w:r w:rsidR="00FF04E9" w:rsidRPr="00A33AE8">
        <w:rPr>
          <w:rFonts w:asciiTheme="majorHAnsi" w:hAnsiTheme="majorHAnsi"/>
          <w:b w:val="0"/>
          <w:color w:val="auto"/>
        </w:rPr>
        <w:t xml:space="preserve"> </w:t>
      </w:r>
      <w:r w:rsidRPr="00A33AE8">
        <w:rPr>
          <w:rFonts w:asciiTheme="majorHAnsi" w:hAnsiTheme="majorHAnsi"/>
          <w:b w:val="0"/>
          <w:color w:val="auto"/>
        </w:rPr>
        <w:t xml:space="preserve">ktoe, while a reduction is observed during </w:t>
      </w:r>
      <w:r w:rsidR="00FF04E9" w:rsidRPr="00A33AE8">
        <w:rPr>
          <w:rFonts w:asciiTheme="majorHAnsi" w:eastAsia="Times New Roman" w:hAnsiTheme="majorHAnsi" w:cstheme="majorHAnsi"/>
          <w:b w:val="0"/>
          <w:bCs w:val="0"/>
          <w:color w:val="auto"/>
          <w:lang w:eastAsia="el-GR"/>
        </w:rPr>
        <w:t>203</w:t>
      </w:r>
      <w:r w:rsidR="004C3C81" w:rsidRPr="00A33AE8">
        <w:rPr>
          <w:rFonts w:asciiTheme="majorHAnsi" w:eastAsia="Times New Roman" w:hAnsiTheme="majorHAnsi" w:cstheme="majorHAnsi"/>
          <w:b w:val="0"/>
          <w:bCs w:val="0"/>
          <w:color w:val="auto"/>
          <w:lang w:eastAsia="el-GR"/>
        </w:rPr>
        <w:t>0</w:t>
      </w:r>
      <w:r w:rsidRPr="00A33AE8">
        <w:rPr>
          <w:rFonts w:asciiTheme="majorHAnsi" w:hAnsiTheme="majorHAnsi"/>
          <w:b w:val="0"/>
          <w:color w:val="auto"/>
        </w:rPr>
        <w:t>-2050, mainly due to the increased deployment of RES and natural gas.</w:t>
      </w:r>
      <w:bookmarkStart w:id="300" w:name="_Ref113634237"/>
      <w:bookmarkStart w:id="301" w:name="_Toc118992306"/>
      <w:r w:rsidR="00124723">
        <w:rPr>
          <w:rFonts w:asciiTheme="majorHAnsi" w:hAnsiTheme="majorHAnsi"/>
          <w:b w:val="0"/>
          <w:color w:val="auto"/>
        </w:rPr>
        <w:t xml:space="preserve"> </w:t>
      </w:r>
      <w:r w:rsidR="00124723" w:rsidRPr="00124723">
        <w:rPr>
          <w:rFonts w:asciiTheme="majorHAnsi" w:hAnsiTheme="majorHAnsi"/>
          <w:b w:val="0"/>
          <w:color w:val="auto"/>
        </w:rPr>
        <w:t>Regarding building refurbishment, in the two main building categories: commercial/services and public sector buildings and residential dwellings. In all scenarios the refurbishment of buildings that exist in 2020</w:t>
      </w:r>
      <w:r w:rsidR="00124723">
        <w:rPr>
          <w:rFonts w:asciiTheme="majorHAnsi" w:hAnsiTheme="majorHAnsi"/>
          <w:b w:val="0"/>
          <w:color w:val="auto"/>
        </w:rPr>
        <w:t xml:space="preserve"> is considered</w:t>
      </w:r>
      <w:r w:rsidR="00124723" w:rsidRPr="00124723">
        <w:rPr>
          <w:rFonts w:asciiTheme="majorHAnsi" w:hAnsiTheme="majorHAnsi"/>
          <w:b w:val="0"/>
          <w:color w:val="auto"/>
        </w:rPr>
        <w:t>. The stock of existing commercial/services and public sector buildings in 2020 was 45,250,000 m2 and it is not projected to change in the period 2021-2050. For the residential dwellings a relative reduction to their number is projected due to the demolition of some of the oldest buildings towards 2050 (changing from the 2,365,000 dwellings existing in 2020 to 1,466,000 dwellings in 2050).</w:t>
      </w:r>
    </w:p>
    <w:p w14:paraId="512970B6" w14:textId="0397BE36" w:rsidR="00060DB5" w:rsidRDefault="00060DB5" w:rsidP="0087794A">
      <w:pPr>
        <w:pStyle w:val="Caption"/>
        <w:keepNext/>
      </w:pPr>
      <w:bookmarkStart w:id="302" w:name="_Ref153464197"/>
      <w:bookmarkStart w:id="303" w:name="_Toc154575244"/>
      <w:bookmarkEnd w:id="300"/>
      <w:bookmarkEnd w:id="301"/>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37</w:t>
      </w:r>
      <w:r w:rsidR="006E0533">
        <w:rPr>
          <w:noProof/>
        </w:rPr>
        <w:fldChar w:fldCharType="end"/>
      </w:r>
      <w:bookmarkEnd w:id="302"/>
      <w:r>
        <w:t xml:space="preserve">: </w:t>
      </w:r>
      <w:r w:rsidRPr="00060DB5">
        <w:t>Final energy consumption by energy source in the residential sector over 2020-2050 in the scenario with existing measures (WEM)</w:t>
      </w:r>
      <w:bookmarkEnd w:id="303"/>
    </w:p>
    <w:p w14:paraId="60EC0D74" w14:textId="728C4FAD" w:rsidR="00FF04E9" w:rsidRPr="00A33AE8" w:rsidRDefault="00060DB5" w:rsidP="00FF04E9">
      <w:pPr>
        <w:jc w:val="center"/>
        <w:rPr>
          <w:lang w:eastAsia="el-GR"/>
        </w:rPr>
      </w:pPr>
      <w:r w:rsidRPr="000007D2">
        <w:rPr>
          <w:noProof/>
          <w:lang w:val="en-US"/>
        </w:rPr>
        <mc:AlternateContent>
          <mc:Choice Requires="wps">
            <w:drawing>
              <wp:anchor distT="0" distB="0" distL="114300" distR="114300" simplePos="0" relativeHeight="251710464" behindDoc="0" locked="0" layoutInCell="1" allowOverlap="1" wp14:anchorId="35876BC1" wp14:editId="503FBA90">
                <wp:simplePos x="0" y="0"/>
                <wp:positionH relativeFrom="column">
                  <wp:posOffset>1176187</wp:posOffset>
                </wp:positionH>
                <wp:positionV relativeFrom="paragraph">
                  <wp:posOffset>40273</wp:posOffset>
                </wp:positionV>
                <wp:extent cx="2570480" cy="2402157"/>
                <wp:effectExtent l="0" t="0" r="1270" b="0"/>
                <wp:wrapNone/>
                <wp:docPr id="1057151686" name="Text Box 1057151686"/>
                <wp:cNvGraphicFramePr/>
                <a:graphic xmlns:a="http://schemas.openxmlformats.org/drawingml/2006/main">
                  <a:graphicData uri="http://schemas.microsoft.com/office/word/2010/wordprocessingShape">
                    <wps:wsp>
                      <wps:cNvSpPr txBox="1"/>
                      <wps:spPr>
                        <a:xfrm>
                          <a:off x="0" y="0"/>
                          <a:ext cx="2570480" cy="2402157"/>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017AB1" id="Text Box 1057151686" o:spid="_x0000_s1026" type="#_x0000_t202" style="position:absolute;margin-left:92.6pt;margin-top:3.15pt;width:202.4pt;height:18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" fillcolor="#a5a5a5 [2092]" stroked="f">
                <v:fill opacity="32896f"/>
              </v:shape>
            </w:pict>
          </mc:Fallback>
        </mc:AlternateContent>
      </w:r>
      <w:r w:rsidR="00123234" w:rsidRPr="000007D2">
        <w:rPr>
          <w:noProof/>
          <w:lang w:val="en-US"/>
        </w:rPr>
        <w:drawing>
          <wp:inline distT="0" distB="0" distL="0" distR="0" wp14:anchorId="0432C7B4" wp14:editId="2B23F219">
            <wp:extent cx="5248275" cy="2797738"/>
            <wp:effectExtent l="0" t="0" r="0" b="3175"/>
            <wp:docPr id="1620139092" name="Picture 162013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84949" cy="2817288"/>
                    </a:xfrm>
                    <a:prstGeom prst="rect">
                      <a:avLst/>
                    </a:prstGeom>
                    <a:noFill/>
                  </pic:spPr>
                </pic:pic>
              </a:graphicData>
            </a:graphic>
          </wp:inline>
        </w:drawing>
      </w:r>
    </w:p>
    <w:p w14:paraId="5ACD156C" w14:textId="77777777" w:rsidR="00365CEB" w:rsidRPr="00A33AE8" w:rsidRDefault="00604B57" w:rsidP="00365CEB">
      <w:pPr>
        <w:pStyle w:val="LDKbody"/>
        <w:rPr>
          <w:rFonts w:asciiTheme="majorHAnsi" w:hAnsiTheme="majorHAnsi" w:cstheme="majorHAnsi"/>
          <w:lang w:val="en-GB"/>
        </w:rPr>
      </w:pPr>
      <w:r w:rsidRPr="00A33AE8">
        <w:rPr>
          <w:rFonts w:asciiTheme="majorHAnsi" w:hAnsiTheme="majorHAnsi" w:cstheme="majorHAnsi"/>
        </w:rPr>
        <w:t>T</w:t>
      </w:r>
      <w:r w:rsidR="00365CEB" w:rsidRPr="00A33AE8">
        <w:rPr>
          <w:rFonts w:asciiTheme="majorHAnsi" w:hAnsiTheme="majorHAnsi" w:cstheme="majorHAnsi"/>
        </w:rPr>
        <w:t xml:space="preserve">he final energy consumption of the agricultural/forestry sector </w:t>
      </w:r>
      <w:r w:rsidR="00033557" w:rsidRPr="00A33AE8">
        <w:rPr>
          <w:rFonts w:asciiTheme="majorHAnsi" w:hAnsiTheme="majorHAnsi" w:cstheme="majorHAnsi"/>
        </w:rPr>
        <w:t xml:space="preserve">is projected to </w:t>
      </w:r>
      <w:r w:rsidR="00365CEB" w:rsidRPr="00A33AE8">
        <w:rPr>
          <w:rFonts w:asciiTheme="majorHAnsi" w:hAnsiTheme="majorHAnsi" w:cstheme="majorHAnsi"/>
        </w:rPr>
        <w:t>increase (</w:t>
      </w:r>
      <w:r w:rsidR="00FF04E9" w:rsidRPr="00A33AE8">
        <w:rPr>
          <w:rFonts w:asciiTheme="majorHAnsi" w:hAnsiTheme="majorHAnsi" w:cstheme="majorHAnsi"/>
        </w:rPr>
        <w:t xml:space="preserve"> </w:t>
      </w:r>
      <w:r w:rsidR="00E81F3E" w:rsidRPr="00A33AE8">
        <w:rPr>
          <w:rFonts w:asciiTheme="majorHAnsi" w:hAnsiTheme="majorHAnsi" w:cstheme="majorHAnsi"/>
        </w:rPr>
        <w:t>13</w:t>
      </w:r>
      <w:r w:rsidR="00AE152E" w:rsidRPr="00A33AE8">
        <w:rPr>
          <w:rFonts w:asciiTheme="majorHAnsi" w:hAnsiTheme="majorHAnsi" w:cstheme="majorHAnsi"/>
        </w:rPr>
        <w:t>%</w:t>
      </w:r>
      <w:r w:rsidR="00365CEB" w:rsidRPr="00A33AE8">
        <w:rPr>
          <w:rFonts w:asciiTheme="majorHAnsi" w:hAnsiTheme="majorHAnsi" w:cstheme="majorHAnsi"/>
        </w:rPr>
        <w:t xml:space="preserve"> in 2030,</w:t>
      </w:r>
      <w:r w:rsidR="00AE152E" w:rsidRPr="00A33AE8">
        <w:rPr>
          <w:rFonts w:asciiTheme="majorHAnsi" w:hAnsiTheme="majorHAnsi" w:cstheme="majorHAnsi"/>
        </w:rPr>
        <w:t xml:space="preserve"> 19%</w:t>
      </w:r>
      <w:r w:rsidR="00365CEB" w:rsidRPr="00A33AE8">
        <w:rPr>
          <w:rFonts w:asciiTheme="majorHAnsi" w:hAnsiTheme="majorHAnsi" w:cstheme="majorHAnsi"/>
        </w:rPr>
        <w:t xml:space="preserve"> in 2040 and </w:t>
      </w:r>
      <w:r w:rsidR="00AE152E" w:rsidRPr="00A33AE8">
        <w:rPr>
          <w:rFonts w:asciiTheme="majorHAnsi" w:hAnsiTheme="majorHAnsi" w:cstheme="majorHAnsi"/>
        </w:rPr>
        <w:t>20%</w:t>
      </w:r>
      <w:r w:rsidR="00365CEB" w:rsidRPr="00A33AE8">
        <w:rPr>
          <w:rFonts w:asciiTheme="majorHAnsi" w:hAnsiTheme="majorHAnsi" w:cstheme="majorHAnsi"/>
        </w:rPr>
        <w:t xml:space="preserve"> in 2050, compared to 20</w:t>
      </w:r>
      <w:r w:rsidR="00E81F3E" w:rsidRPr="00A33AE8">
        <w:rPr>
          <w:rFonts w:asciiTheme="majorHAnsi" w:hAnsiTheme="majorHAnsi" w:cstheme="majorHAnsi"/>
        </w:rPr>
        <w:t>20</w:t>
      </w:r>
      <w:r w:rsidR="00365CEB" w:rsidRPr="00A33AE8">
        <w:rPr>
          <w:rFonts w:asciiTheme="majorHAnsi" w:hAnsiTheme="majorHAnsi" w:cstheme="majorHAnsi"/>
        </w:rPr>
        <w:t xml:space="preserve">), resulting in approximately </w:t>
      </w:r>
      <w:r w:rsidR="00C10A1A" w:rsidRPr="00A33AE8">
        <w:rPr>
          <w:rFonts w:asciiTheme="majorHAnsi" w:hAnsiTheme="majorHAnsi" w:cstheme="majorHAnsi"/>
        </w:rPr>
        <w:t xml:space="preserve">169 </w:t>
      </w:r>
      <w:r w:rsidR="00365CEB" w:rsidRPr="00A33AE8">
        <w:rPr>
          <w:rFonts w:asciiTheme="majorHAnsi" w:hAnsiTheme="majorHAnsi" w:cstheme="majorHAnsi"/>
        </w:rPr>
        <w:t>ktoe in 2050, as expected by the increase of demand due to economic development</w:t>
      </w:r>
      <w:r w:rsidRPr="00A33AE8">
        <w:rPr>
          <w:rFonts w:asciiTheme="majorHAnsi" w:hAnsiTheme="majorHAnsi" w:cstheme="majorHAnsi"/>
        </w:rPr>
        <w:t xml:space="preserve"> </w:t>
      </w:r>
      <w:r w:rsidRPr="00A33AE8">
        <w:rPr>
          <w:rFonts w:asciiTheme="majorHAnsi" w:hAnsiTheme="majorHAnsi" w:cstheme="majorHAnsi"/>
          <w:lang w:val="en-GB"/>
        </w:rPr>
        <w:t>(</w:t>
      </w:r>
      <w:r w:rsidRPr="005B2C66">
        <w:rPr>
          <w:rFonts w:asciiTheme="majorHAnsi" w:hAnsiTheme="majorHAnsi" w:cstheme="majorHAnsi"/>
          <w:lang w:val="en-GB"/>
        </w:rPr>
        <w:fldChar w:fldCharType="begin"/>
      </w:r>
      <w:r w:rsidRPr="005B2C66">
        <w:rPr>
          <w:rFonts w:asciiTheme="majorHAnsi" w:hAnsiTheme="majorHAnsi" w:cstheme="majorHAnsi"/>
        </w:rPr>
        <w:instrText xml:space="preserve"> REF _Ref113634253 \h  \* MERGEFORMAT </w:instrText>
      </w:r>
      <w:r w:rsidRPr="005B2C66">
        <w:rPr>
          <w:rFonts w:asciiTheme="majorHAnsi" w:hAnsiTheme="majorHAnsi" w:cstheme="majorHAnsi"/>
          <w:lang w:val="en-GB"/>
        </w:rPr>
      </w:r>
      <w:r w:rsidRPr="005B2C66">
        <w:rPr>
          <w:rFonts w:asciiTheme="majorHAnsi" w:hAnsiTheme="majorHAnsi" w:cstheme="majorHAnsi"/>
          <w:lang w:val="en-GB"/>
        </w:rPr>
        <w:fldChar w:fldCharType="separate"/>
      </w:r>
      <w:r w:rsidR="00D45204" w:rsidRPr="00A33AE8">
        <w:rPr>
          <w:rFonts w:asciiTheme="majorHAnsi" w:hAnsiTheme="majorHAnsi" w:cstheme="majorHAnsi"/>
          <w:lang w:val="en-GB"/>
        </w:rPr>
        <w:t xml:space="preserve">Figure </w:t>
      </w:r>
      <w:r w:rsidR="00D45204" w:rsidRPr="005B2C66">
        <w:rPr>
          <w:rFonts w:asciiTheme="majorHAnsi" w:hAnsiTheme="majorHAnsi" w:cstheme="majorHAnsi"/>
          <w:lang w:val="en-GB"/>
        </w:rPr>
        <w:t>4.3</w:t>
      </w:r>
      <w:r w:rsidR="00324978" w:rsidRPr="005B2C66">
        <w:rPr>
          <w:rFonts w:asciiTheme="majorHAnsi" w:hAnsiTheme="majorHAnsi" w:cstheme="majorHAnsi"/>
          <w:lang w:val="en-GB"/>
        </w:rPr>
        <w:t>8</w:t>
      </w:r>
      <w:r w:rsidRPr="005B2C66">
        <w:rPr>
          <w:rFonts w:asciiTheme="majorHAnsi" w:hAnsiTheme="majorHAnsi" w:cstheme="majorHAnsi"/>
          <w:lang w:val="en-GB"/>
        </w:rPr>
        <w:fldChar w:fldCharType="end"/>
      </w:r>
      <w:r w:rsidRPr="00A33AE8">
        <w:rPr>
          <w:rFonts w:asciiTheme="majorHAnsi" w:hAnsiTheme="majorHAnsi" w:cstheme="majorHAnsi"/>
          <w:lang w:val="en-GB"/>
        </w:rPr>
        <w:t>) and the lack of targeted policies and measures</w:t>
      </w:r>
      <w:r w:rsidR="00365CEB" w:rsidRPr="00A33AE8">
        <w:rPr>
          <w:rFonts w:asciiTheme="majorHAnsi" w:hAnsiTheme="majorHAnsi" w:cstheme="majorHAnsi"/>
          <w:lang w:val="en-GB"/>
        </w:rPr>
        <w:t xml:space="preserve">. Oil and petroleum products continue to have the highest contribution by 2050 in the agricultural/forestry sector reaching the level of </w:t>
      </w:r>
      <w:r w:rsidR="00C10A1A" w:rsidRPr="00A33AE8">
        <w:rPr>
          <w:rFonts w:asciiTheme="majorHAnsi" w:hAnsiTheme="majorHAnsi" w:cstheme="majorHAnsi"/>
          <w:lang w:val="en-GB"/>
        </w:rPr>
        <w:t xml:space="preserve">96 </w:t>
      </w:r>
      <w:r w:rsidR="00365CEB" w:rsidRPr="00A33AE8">
        <w:rPr>
          <w:rFonts w:asciiTheme="majorHAnsi" w:hAnsiTheme="majorHAnsi" w:cstheme="majorHAnsi"/>
          <w:lang w:val="en-GB"/>
        </w:rPr>
        <w:t xml:space="preserve">ktoe in 2030 and </w:t>
      </w:r>
      <w:r w:rsidR="00C10A1A" w:rsidRPr="00A33AE8">
        <w:rPr>
          <w:rFonts w:asciiTheme="majorHAnsi" w:hAnsiTheme="majorHAnsi" w:cstheme="majorHAnsi"/>
          <w:lang w:val="en-GB"/>
        </w:rPr>
        <w:t>101 ktoe</w:t>
      </w:r>
      <w:r w:rsidR="00365CEB" w:rsidRPr="00A33AE8">
        <w:rPr>
          <w:rFonts w:asciiTheme="majorHAnsi" w:hAnsiTheme="majorHAnsi" w:cstheme="majorHAnsi"/>
          <w:lang w:val="en-GB"/>
        </w:rPr>
        <w:t xml:space="preserve"> in 2050.</w:t>
      </w:r>
    </w:p>
    <w:p w14:paraId="08BBBADC" w14:textId="7866FD8A" w:rsidR="00365CEB" w:rsidRPr="00A33AE8" w:rsidRDefault="00365CEB" w:rsidP="00884F3B">
      <w:pPr>
        <w:pStyle w:val="Caption"/>
        <w:numPr>
          <w:ilvl w:val="0"/>
          <w:numId w:val="280"/>
        </w:numPr>
        <w:rPr>
          <w:lang w:eastAsia="el-GR"/>
        </w:rPr>
      </w:pPr>
      <w:bookmarkStart w:id="304" w:name="_Ref113634253"/>
      <w:bookmarkStart w:id="305" w:name="_Toc118992307"/>
      <w:bookmarkStart w:id="306" w:name="_Toc154575245"/>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38</w:t>
      </w:r>
      <w:r w:rsidR="00B62877">
        <w:rPr>
          <w:lang w:eastAsia="el-GR"/>
        </w:rPr>
        <w:fldChar w:fldCharType="end"/>
      </w:r>
      <w:bookmarkEnd w:id="304"/>
      <w:r w:rsidRPr="00A33AE8">
        <w:rPr>
          <w:lang w:eastAsia="el-GR"/>
        </w:rPr>
        <w:t xml:space="preserve">: Final energy consumption by </w:t>
      </w:r>
      <w:r w:rsidR="00FE1CF4" w:rsidRPr="00A33AE8">
        <w:rPr>
          <w:lang w:eastAsia="el-GR"/>
        </w:rPr>
        <w:t>energy source</w:t>
      </w:r>
      <w:r w:rsidRPr="00A33AE8">
        <w:rPr>
          <w:lang w:eastAsia="el-GR"/>
        </w:rPr>
        <w:t xml:space="preserve"> in the agriculture / forestry sector over 20</w:t>
      </w:r>
      <w:r w:rsidR="00E81F3E" w:rsidRPr="00A33AE8">
        <w:rPr>
          <w:lang w:eastAsia="el-GR"/>
        </w:rPr>
        <w:t>20</w:t>
      </w:r>
      <w:r w:rsidRPr="00A33AE8">
        <w:rPr>
          <w:lang w:eastAsia="el-GR"/>
        </w:rPr>
        <w:t>-2050</w:t>
      </w:r>
      <w:bookmarkEnd w:id="305"/>
      <w:r w:rsidR="00B744A9">
        <w:rPr>
          <w:lang w:eastAsia="el-GR"/>
        </w:rPr>
        <w:t xml:space="preserve"> in the scenario with existing measures (WEM)</w:t>
      </w:r>
      <w:bookmarkEnd w:id="306"/>
    </w:p>
    <w:p w14:paraId="24FC4F9B" w14:textId="77777777" w:rsidR="00FF04E9" w:rsidRPr="00A33AE8" w:rsidRDefault="00F774B3" w:rsidP="00FF04E9">
      <w:pPr>
        <w:jc w:val="center"/>
        <w:rPr>
          <w:lang w:eastAsia="el-GR"/>
        </w:rPr>
      </w:pPr>
      <w:r w:rsidRPr="000007D2">
        <w:rPr>
          <w:noProof/>
          <w:lang w:val="en-US"/>
        </w:rPr>
        <mc:AlternateContent>
          <mc:Choice Requires="wps">
            <w:drawing>
              <wp:anchor distT="0" distB="0" distL="114300" distR="114300" simplePos="0" relativeHeight="251712512" behindDoc="0" locked="0" layoutInCell="1" allowOverlap="1" wp14:anchorId="47D155E2" wp14:editId="44D890C6">
                <wp:simplePos x="0" y="0"/>
                <wp:positionH relativeFrom="column">
                  <wp:posOffset>1074204</wp:posOffset>
                </wp:positionH>
                <wp:positionV relativeFrom="paragraph">
                  <wp:posOffset>224360</wp:posOffset>
                </wp:positionV>
                <wp:extent cx="2674189" cy="3100896"/>
                <wp:effectExtent l="0" t="0" r="0" b="4445"/>
                <wp:wrapNone/>
                <wp:docPr id="1366039421" name="Text Box 1366039421"/>
                <wp:cNvGraphicFramePr/>
                <a:graphic xmlns:a="http://schemas.openxmlformats.org/drawingml/2006/main">
                  <a:graphicData uri="http://schemas.microsoft.com/office/word/2010/wordprocessingShape">
                    <wps:wsp>
                      <wps:cNvSpPr txBox="1"/>
                      <wps:spPr>
                        <a:xfrm>
                          <a:off x="0" y="0"/>
                          <a:ext cx="2674189" cy="3100896"/>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20D4C" id="Text Box 1366039421" o:spid="_x0000_s1026" type="#_x0000_t202" style="position:absolute;margin-left:84.6pt;margin-top:17.65pt;width:210.55pt;height:24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" fillcolor="#a5a5a5 [2092]" stroked="f">
                <v:fill opacity="32896f"/>
              </v:shape>
            </w:pict>
          </mc:Fallback>
        </mc:AlternateContent>
      </w:r>
      <w:r w:rsidR="00123234" w:rsidRPr="000007D2">
        <w:rPr>
          <w:noProof/>
          <w:lang w:val="en-US"/>
        </w:rPr>
        <w:drawing>
          <wp:inline distT="0" distB="0" distL="0" distR="0" wp14:anchorId="4336D552" wp14:editId="29A27904">
            <wp:extent cx="5552440" cy="3733854"/>
            <wp:effectExtent l="0" t="0" r="0" b="0"/>
            <wp:docPr id="1760157358" name="Picture 17601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1264" cy="3739788"/>
                    </a:xfrm>
                    <a:prstGeom prst="rect">
                      <a:avLst/>
                    </a:prstGeom>
                    <a:noFill/>
                  </pic:spPr>
                </pic:pic>
              </a:graphicData>
            </a:graphic>
          </wp:inline>
        </w:drawing>
      </w:r>
    </w:p>
    <w:p w14:paraId="13259365" w14:textId="30B4211E" w:rsidR="00524F38" w:rsidRPr="00A33AE8" w:rsidRDefault="00524F38" w:rsidP="00884F3B">
      <w:pPr>
        <w:pStyle w:val="Heading4"/>
        <w:numPr>
          <w:ilvl w:val="0"/>
          <w:numId w:val="33"/>
        </w:numPr>
        <w:jc w:val="both"/>
      </w:pPr>
      <w:r w:rsidRPr="00A33AE8">
        <w:lastRenderedPageBreak/>
        <w:t>Cost-optimal levels of minimum energy performance requirements resulting from national calculations, according to Article 5 of Directive 2010/31/EU</w:t>
      </w:r>
    </w:p>
    <w:p w14:paraId="23943FDE" w14:textId="77777777" w:rsidR="00592C31" w:rsidRPr="00A33AE8" w:rsidRDefault="00592C31" w:rsidP="00592C31">
      <w:pPr>
        <w:pStyle w:val="LDKbody"/>
        <w:rPr>
          <w:rFonts w:asciiTheme="majorHAnsi" w:hAnsiTheme="majorHAnsi" w:cstheme="majorHAnsi"/>
          <w:lang w:val="en-GB"/>
        </w:rPr>
      </w:pPr>
      <w:r w:rsidRPr="00A33AE8">
        <w:rPr>
          <w:rFonts w:asciiTheme="majorHAnsi" w:hAnsiTheme="majorHAnsi" w:cstheme="majorHAnsi"/>
          <w:lang w:val="en-GB"/>
        </w:rPr>
        <w:t xml:space="preserve">The Long-term Strategy for encouraging investments in renovation of the national building stock of the Republic of Serbia until 2050 </w:t>
      </w:r>
      <w:r w:rsidR="009B7281" w:rsidRPr="00A33AE8">
        <w:rPr>
          <w:rFonts w:asciiTheme="majorHAnsi" w:hAnsiTheme="majorHAnsi" w:cstheme="majorHAnsi"/>
          <w:lang w:val="en-GB"/>
        </w:rPr>
        <w:t xml:space="preserve">(Long Term Building Renovation Strategy LTBRS adopted in February 2022) </w:t>
      </w:r>
      <w:r w:rsidRPr="00A33AE8">
        <w:rPr>
          <w:rFonts w:asciiTheme="majorHAnsi" w:hAnsiTheme="majorHAnsi" w:cstheme="majorHAnsi"/>
          <w:lang w:val="en-GB"/>
        </w:rPr>
        <w:t>aimed at defining energy efficiency measures and packages of measures for the renovation of buildings, based on the determined characteristics of the building stock, the defined reference buildings and the cost-optimal analyses performed for them.</w:t>
      </w:r>
    </w:p>
    <w:p w14:paraId="0962E7A4" w14:textId="77777777" w:rsidR="00592C31" w:rsidRPr="00A33AE8" w:rsidRDefault="009B7281" w:rsidP="00592C31">
      <w:pPr>
        <w:pStyle w:val="LDKbody"/>
        <w:rPr>
          <w:rFonts w:asciiTheme="majorHAnsi" w:hAnsiTheme="majorHAnsi" w:cstheme="majorHAnsi"/>
          <w:lang w:val="en-GB"/>
        </w:rPr>
      </w:pPr>
      <w:r w:rsidRPr="00A33AE8">
        <w:rPr>
          <w:rFonts w:asciiTheme="majorHAnsi" w:hAnsiTheme="majorHAnsi" w:cstheme="majorHAnsi"/>
          <w:lang w:val="en-GB"/>
        </w:rPr>
        <w:t>In the Long Term Building Renovation Strategy, the</w:t>
      </w:r>
      <w:r w:rsidR="00592C31" w:rsidRPr="00A33AE8">
        <w:rPr>
          <w:rFonts w:asciiTheme="majorHAnsi" w:hAnsiTheme="majorHAnsi" w:cstheme="majorHAnsi"/>
          <w:lang w:val="en-GB"/>
        </w:rPr>
        <w:t xml:space="preserve"> constitution of the Renovation Scenario was based on the cost-optimal analyses for residential and non-residential buildings, which were conducted during 2019–2020. In accordance with the methodological principles adopted in the EU, the following types of buildings were defined: family housing and multifamily housing as well as three commercial buildings as representatives of public and commercial buildings for three different construction periods until 1960, the period between 1961 and 2012, and as the last, the construction period after the introduction of regulations on energy efficiency of buildings, starting in 2013.</w:t>
      </w:r>
    </w:p>
    <w:p w14:paraId="325D36B3" w14:textId="77777777" w:rsidR="00592C31" w:rsidRPr="00A33AE8" w:rsidRDefault="00592C31" w:rsidP="00592C31">
      <w:pPr>
        <w:pStyle w:val="LDKbody"/>
        <w:rPr>
          <w:rFonts w:asciiTheme="majorHAnsi" w:hAnsiTheme="majorHAnsi" w:cstheme="majorHAnsi"/>
          <w:lang w:val="en-GB"/>
        </w:rPr>
      </w:pPr>
      <w:r w:rsidRPr="00A33AE8">
        <w:rPr>
          <w:rFonts w:asciiTheme="majorHAnsi" w:hAnsiTheme="majorHAnsi" w:cstheme="majorHAnsi"/>
          <w:lang w:val="en-GB"/>
        </w:rPr>
        <w:t xml:space="preserve">The determination of the reference buildings </w:t>
      </w:r>
      <w:r w:rsidR="00371C87" w:rsidRPr="00A33AE8">
        <w:rPr>
          <w:rFonts w:asciiTheme="majorHAnsi" w:hAnsiTheme="majorHAnsi" w:cstheme="majorHAnsi"/>
          <w:lang w:val="en-GB"/>
        </w:rPr>
        <w:t xml:space="preserve">in LTBRS </w:t>
      </w:r>
      <w:r w:rsidRPr="00A33AE8">
        <w:rPr>
          <w:rFonts w:asciiTheme="majorHAnsi" w:hAnsiTheme="majorHAnsi" w:cstheme="majorHAnsi"/>
          <w:lang w:val="en-GB"/>
        </w:rPr>
        <w:t>was based on their construction material, physical and architectural characteristics. Moreover, energy efficiency measures were defined for all examined buildings and packages of measures that were identified. Five possible renovation scenarios were prepared</w:t>
      </w:r>
      <w:r w:rsidR="00371C87" w:rsidRPr="000007D2">
        <w:rPr>
          <w:lang w:val="en-GB"/>
        </w:rPr>
        <w:t xml:space="preserve"> </w:t>
      </w:r>
      <w:r w:rsidR="00371C87" w:rsidRPr="00A33AE8">
        <w:rPr>
          <w:rFonts w:asciiTheme="majorHAnsi" w:hAnsiTheme="majorHAnsi" w:cstheme="majorHAnsi"/>
          <w:lang w:val="en-GB"/>
        </w:rPr>
        <w:t>within LTBRS</w:t>
      </w:r>
      <w:r w:rsidRPr="00A33AE8">
        <w:rPr>
          <w:rFonts w:asciiTheme="majorHAnsi" w:hAnsiTheme="majorHAnsi" w:cstheme="majorHAnsi"/>
          <w:lang w:val="en-GB"/>
        </w:rPr>
        <w:t>, the first of which, the basic scenario, implied unsubsidised renovation and construction according to current regulations, and the last, most advanced one envisaged renovation of buildings at the level of nearly zero-energy buildings (not defined by valid regulations on energy efficiency).</w:t>
      </w:r>
    </w:p>
    <w:p w14:paraId="3D084CBD" w14:textId="77777777" w:rsidR="00592C31" w:rsidRPr="00A33AE8" w:rsidRDefault="00592C31" w:rsidP="00592C31">
      <w:pPr>
        <w:pStyle w:val="LDKbody"/>
        <w:rPr>
          <w:rFonts w:asciiTheme="majorHAnsi" w:hAnsiTheme="majorHAnsi" w:cstheme="majorHAnsi"/>
          <w:lang w:val="en-GB"/>
        </w:rPr>
      </w:pPr>
      <w:r w:rsidRPr="00A33AE8">
        <w:rPr>
          <w:rFonts w:asciiTheme="majorHAnsi" w:hAnsiTheme="majorHAnsi" w:cstheme="majorHAnsi"/>
          <w:lang w:val="en-GB"/>
        </w:rPr>
        <w:t xml:space="preserve">The analysis of the examined scenarios </w:t>
      </w:r>
      <w:r w:rsidR="00371C87" w:rsidRPr="00A33AE8">
        <w:rPr>
          <w:rFonts w:asciiTheme="majorHAnsi" w:hAnsiTheme="majorHAnsi" w:cstheme="majorHAnsi"/>
          <w:lang w:val="en-GB"/>
        </w:rPr>
        <w:t xml:space="preserve">presented in LTBRS </w:t>
      </w:r>
      <w:r w:rsidRPr="00A33AE8">
        <w:rPr>
          <w:rFonts w:asciiTheme="majorHAnsi" w:hAnsiTheme="majorHAnsi" w:cstheme="majorHAnsi"/>
          <w:lang w:val="en-GB"/>
        </w:rPr>
        <w:t>was conducted through the calculation of various figures including also the effects on CO2 emissions and primary energy consumption until 2050. It was concluded that only scenarios 4 and 5</w:t>
      </w:r>
      <w:r w:rsidR="00371C87" w:rsidRPr="00A33AE8">
        <w:rPr>
          <w:rFonts w:asciiTheme="majorHAnsi" w:hAnsiTheme="majorHAnsi" w:cstheme="majorHAnsi"/>
          <w:lang w:val="en-GB"/>
        </w:rPr>
        <w:t xml:space="preserve"> of the LTBRS</w:t>
      </w:r>
      <w:r w:rsidRPr="00A33AE8">
        <w:rPr>
          <w:rFonts w:asciiTheme="majorHAnsi" w:hAnsiTheme="majorHAnsi" w:cstheme="majorHAnsi"/>
          <w:lang w:val="en-GB"/>
        </w:rPr>
        <w:t xml:space="preserve"> led to a simultaneous reduction of CO2 emissions and a reduction of primary energy consumption. Taking into consideration the economic analysis, scenarios 4 and 5 </w:t>
      </w:r>
      <w:r w:rsidR="00371C87" w:rsidRPr="00A33AE8">
        <w:rPr>
          <w:rFonts w:asciiTheme="majorHAnsi" w:hAnsiTheme="majorHAnsi" w:cstheme="majorHAnsi"/>
          <w:lang w:val="en-GB"/>
        </w:rPr>
        <w:t xml:space="preserve">of the LTBRS </w:t>
      </w:r>
      <w:r w:rsidRPr="00A33AE8">
        <w:rPr>
          <w:rFonts w:asciiTheme="majorHAnsi" w:hAnsiTheme="majorHAnsi" w:cstheme="majorHAnsi"/>
          <w:lang w:val="en-GB"/>
        </w:rPr>
        <w:t xml:space="preserve">were resulted in the most considerable economic benefits, noting that the economic costs for </w:t>
      </w:r>
      <w:r w:rsidR="00371C87" w:rsidRPr="00A33AE8">
        <w:rPr>
          <w:rFonts w:asciiTheme="majorHAnsi" w:hAnsiTheme="majorHAnsi" w:cstheme="majorHAnsi"/>
          <w:lang w:val="en-GB"/>
        </w:rPr>
        <w:t xml:space="preserve">LTBRS </w:t>
      </w:r>
      <w:r w:rsidRPr="00A33AE8">
        <w:rPr>
          <w:rFonts w:asciiTheme="majorHAnsi" w:hAnsiTheme="majorHAnsi" w:cstheme="majorHAnsi"/>
          <w:lang w:val="en-GB"/>
        </w:rPr>
        <w:t xml:space="preserve">Scenario 5 are significantly higher compared to </w:t>
      </w:r>
      <w:r w:rsidR="00371C87" w:rsidRPr="00A33AE8">
        <w:rPr>
          <w:rFonts w:asciiTheme="majorHAnsi" w:hAnsiTheme="majorHAnsi" w:cstheme="majorHAnsi"/>
          <w:lang w:val="en-GB"/>
        </w:rPr>
        <w:t xml:space="preserve">LTBRS </w:t>
      </w:r>
      <w:r w:rsidRPr="00A33AE8">
        <w:rPr>
          <w:rFonts w:asciiTheme="majorHAnsi" w:hAnsiTheme="majorHAnsi" w:cstheme="majorHAnsi"/>
          <w:lang w:val="en-GB"/>
        </w:rPr>
        <w:t>Scenario 4. Excluding Scenario 5, Scenario 4 foresaw an increased exploitation of the adopted packages of measures leading to an increased reduction of CO2 emissions equal to 31% compared to 2020, while the reduction of primary energy consumption in 2050 amounted to 38% compared to 2020.</w:t>
      </w:r>
    </w:p>
    <w:p w14:paraId="0274D517" w14:textId="77777777" w:rsidR="00386771" w:rsidRPr="00A33AE8" w:rsidRDefault="00592C31" w:rsidP="00592C31">
      <w:pPr>
        <w:pStyle w:val="LDKbody"/>
        <w:rPr>
          <w:rFonts w:asciiTheme="majorHAnsi" w:hAnsiTheme="majorHAnsi" w:cstheme="majorHAnsi"/>
          <w:lang w:val="en-GB"/>
        </w:rPr>
      </w:pPr>
      <w:r w:rsidRPr="00A33AE8">
        <w:rPr>
          <w:rFonts w:asciiTheme="majorHAnsi" w:hAnsiTheme="majorHAnsi" w:cstheme="majorHAnsi"/>
          <w:lang w:val="en-GB"/>
        </w:rPr>
        <w:t xml:space="preserve">Finally, </w:t>
      </w:r>
      <w:r w:rsidR="00371C87" w:rsidRPr="00A33AE8">
        <w:rPr>
          <w:rFonts w:asciiTheme="majorHAnsi" w:hAnsiTheme="majorHAnsi" w:cstheme="majorHAnsi"/>
          <w:lang w:val="en-GB"/>
        </w:rPr>
        <w:t xml:space="preserve">LTBRS </w:t>
      </w:r>
      <w:r w:rsidRPr="00A33AE8">
        <w:rPr>
          <w:rFonts w:asciiTheme="majorHAnsi" w:hAnsiTheme="majorHAnsi" w:cstheme="majorHAnsi"/>
          <w:lang w:val="en-GB"/>
        </w:rPr>
        <w:t>Scenario 4 was proposed as the basis for the Strategic Goal of the Republic of Serbia. In order to achieve the level of savings envisaged by Scenario 4, it is necessary to facilitate the renovation of the existing building stock at the level of 4.1-6.0 million m², while the contribution of the expected floor area of newly constructed buildings has to reach the level of 2.2 million m² annually.</w:t>
      </w:r>
    </w:p>
    <w:p w14:paraId="571F9272" w14:textId="77777777" w:rsidR="00386771" w:rsidRPr="00A33AE8" w:rsidRDefault="00386771" w:rsidP="00386771">
      <w:pPr>
        <w:pStyle w:val="Heading2"/>
      </w:pPr>
      <w:bookmarkStart w:id="307" w:name="_Toc79772562"/>
      <w:bookmarkStart w:id="308" w:name="_Toc118991782"/>
      <w:bookmarkStart w:id="309" w:name="_Toc153545054"/>
      <w:r w:rsidRPr="00A33AE8">
        <w:t>Dimension Energy Security</w:t>
      </w:r>
      <w:bookmarkEnd w:id="307"/>
      <w:bookmarkEnd w:id="308"/>
      <w:bookmarkEnd w:id="309"/>
    </w:p>
    <w:p w14:paraId="7141F701" w14:textId="77777777" w:rsidR="00524F38" w:rsidRPr="00A33AE8" w:rsidRDefault="00524F38" w:rsidP="00884F3B">
      <w:pPr>
        <w:pStyle w:val="Heading4"/>
        <w:numPr>
          <w:ilvl w:val="0"/>
          <w:numId w:val="34"/>
        </w:numPr>
      </w:pPr>
      <w:r w:rsidRPr="00A33AE8">
        <w:t>Current energy mix, domestic energy resources, import dependency, including relevant risks</w:t>
      </w:r>
    </w:p>
    <w:p w14:paraId="0AADDF2C" w14:textId="5A121F32" w:rsidR="00FF04E9" w:rsidRPr="00A33AE8" w:rsidRDefault="00365CEB" w:rsidP="00FF04E9">
      <w:pPr>
        <w:pStyle w:val="LDKbody"/>
        <w:rPr>
          <w:rFonts w:asciiTheme="majorHAnsi" w:eastAsia="Calibri" w:hAnsiTheme="majorHAnsi" w:cstheme="majorHAnsi"/>
          <w:lang w:val="en-GB"/>
        </w:rPr>
      </w:pPr>
      <w:r w:rsidRPr="00A33AE8">
        <w:rPr>
          <w:rFonts w:asciiTheme="majorHAnsi" w:eastAsia="Calibri" w:hAnsiTheme="majorHAnsi" w:cstheme="majorHAnsi"/>
          <w:lang w:val="en-GB"/>
        </w:rPr>
        <w:t>Over 2010-20</w:t>
      </w:r>
      <w:r w:rsidR="00E81F3E" w:rsidRPr="00A33AE8">
        <w:rPr>
          <w:rFonts w:asciiTheme="majorHAnsi" w:eastAsia="Calibri" w:hAnsiTheme="majorHAnsi" w:cstheme="majorHAnsi"/>
          <w:lang w:val="en-GB"/>
        </w:rPr>
        <w:t>20</w:t>
      </w:r>
      <w:r w:rsidRPr="00A33AE8">
        <w:rPr>
          <w:rFonts w:asciiTheme="majorHAnsi" w:eastAsia="Calibri" w:hAnsiTheme="majorHAnsi" w:cstheme="majorHAnsi"/>
          <w:lang w:val="en-GB"/>
        </w:rPr>
        <w:t>, the primary production remained almost stable at about 10.5 Mtoe, apart from 2014, where a sharp and temporary decline was recorded, as shown in</w:t>
      </w:r>
      <w:r w:rsidR="00060DB5">
        <w:rPr>
          <w:rFonts w:asciiTheme="majorHAnsi" w:eastAsia="Calibri" w:hAnsiTheme="majorHAnsi" w:cstheme="majorHAnsi"/>
          <w:lang w:val="en-GB"/>
        </w:rPr>
        <w:t xml:space="preserve"> </w:t>
      </w:r>
      <w:r w:rsidR="00060DB5">
        <w:rPr>
          <w:rFonts w:asciiTheme="majorHAnsi" w:eastAsia="Calibri" w:hAnsiTheme="majorHAnsi" w:cstheme="majorHAnsi"/>
          <w:lang w:val="en-GB"/>
        </w:rPr>
        <w:fldChar w:fldCharType="begin"/>
      </w:r>
      <w:r w:rsidR="00060DB5">
        <w:rPr>
          <w:rFonts w:asciiTheme="majorHAnsi" w:eastAsia="Calibri" w:hAnsiTheme="majorHAnsi" w:cstheme="majorHAnsi"/>
          <w:lang w:val="en-GB"/>
        </w:rPr>
        <w:instrText xml:space="preserve"> REF _Ref153464274 \h  \* MERGEFORMAT </w:instrText>
      </w:r>
      <w:r w:rsidR="00060DB5">
        <w:rPr>
          <w:rFonts w:asciiTheme="majorHAnsi" w:eastAsia="Calibri" w:hAnsiTheme="majorHAnsi" w:cstheme="majorHAnsi"/>
          <w:lang w:val="en-GB"/>
        </w:rPr>
      </w:r>
      <w:r w:rsidR="00060DB5">
        <w:rPr>
          <w:rFonts w:asciiTheme="majorHAnsi" w:eastAsia="Calibri" w:hAnsiTheme="majorHAnsi" w:cstheme="majorHAnsi"/>
          <w:lang w:val="en-GB"/>
        </w:rPr>
        <w:fldChar w:fldCharType="separate"/>
      </w:r>
      <w:r w:rsidR="00060DB5" w:rsidRPr="0087794A">
        <w:rPr>
          <w:rFonts w:asciiTheme="majorHAnsi" w:eastAsia="Calibri" w:hAnsiTheme="majorHAnsi" w:cstheme="majorHAnsi"/>
          <w:lang w:val="en-GB"/>
        </w:rPr>
        <w:t>Figure 4.39</w:t>
      </w:r>
      <w:r w:rsidR="00060DB5">
        <w:rPr>
          <w:rFonts w:asciiTheme="majorHAnsi" w:eastAsia="Calibri" w:hAnsiTheme="majorHAnsi" w:cstheme="majorHAnsi"/>
          <w:lang w:val="en-GB"/>
        </w:rPr>
        <w:fldChar w:fldCharType="end"/>
      </w:r>
      <w:r w:rsidRPr="00A33AE8">
        <w:rPr>
          <w:rFonts w:asciiTheme="majorHAnsi" w:eastAsia="Calibri" w:hAnsiTheme="majorHAnsi" w:cstheme="majorHAnsi"/>
          <w:lang w:val="en-GB"/>
        </w:rPr>
        <w:t xml:space="preserve">. Solid fossil fuels, mainly lignite, constituted the prevailing fuels for primary production, with a </w:t>
      </w:r>
      <w:r w:rsidR="00AA21D9" w:rsidRPr="00A33AE8">
        <w:rPr>
          <w:rFonts w:asciiTheme="majorHAnsi" w:eastAsia="Calibri" w:hAnsiTheme="majorHAnsi" w:cstheme="majorHAnsi"/>
          <w:lang w:val="en-GB"/>
        </w:rPr>
        <w:t xml:space="preserve">minor </w:t>
      </w:r>
      <w:r w:rsidRPr="00A33AE8">
        <w:rPr>
          <w:rFonts w:asciiTheme="majorHAnsi" w:eastAsia="Calibri" w:hAnsiTheme="majorHAnsi" w:cstheme="majorHAnsi"/>
          <w:lang w:val="en-GB"/>
        </w:rPr>
        <w:t xml:space="preserve">decline of their share from 68.5% in 2010 to </w:t>
      </w:r>
      <w:r w:rsidR="00E81F3E" w:rsidRPr="00A33AE8">
        <w:rPr>
          <w:rFonts w:asciiTheme="majorHAnsi" w:eastAsia="Calibri" w:hAnsiTheme="majorHAnsi" w:cstheme="majorHAnsi"/>
          <w:lang w:val="en-GB"/>
        </w:rPr>
        <w:t>65.7</w:t>
      </w:r>
      <w:r w:rsidRPr="00A33AE8">
        <w:rPr>
          <w:rFonts w:asciiTheme="majorHAnsi" w:eastAsia="Calibri" w:hAnsiTheme="majorHAnsi" w:cstheme="majorHAnsi"/>
          <w:lang w:val="en-GB"/>
        </w:rPr>
        <w:t>% in 20</w:t>
      </w:r>
      <w:r w:rsidR="00E81F3E" w:rsidRPr="00A33AE8">
        <w:rPr>
          <w:rFonts w:asciiTheme="majorHAnsi" w:eastAsia="Calibri" w:hAnsiTheme="majorHAnsi" w:cstheme="majorHAnsi"/>
          <w:lang w:val="en-GB"/>
        </w:rPr>
        <w:t>20</w:t>
      </w:r>
      <w:r w:rsidRPr="00A33AE8">
        <w:rPr>
          <w:rFonts w:asciiTheme="majorHAnsi" w:eastAsia="Calibri" w:hAnsiTheme="majorHAnsi" w:cstheme="majorHAnsi"/>
          <w:lang w:val="en-GB"/>
        </w:rPr>
        <w:t xml:space="preserve">. </w:t>
      </w:r>
      <w:bookmarkStart w:id="310" w:name="_Hlk110942982"/>
      <w:r w:rsidRPr="00A33AE8">
        <w:rPr>
          <w:rFonts w:asciiTheme="majorHAnsi" w:eastAsia="Calibri" w:hAnsiTheme="majorHAnsi" w:cstheme="majorHAnsi"/>
          <w:lang w:val="en-GB"/>
        </w:rPr>
        <w:t xml:space="preserve">RES and biofuels </w:t>
      </w:r>
      <w:r w:rsidR="00AA21D9" w:rsidRPr="00A33AE8">
        <w:rPr>
          <w:rFonts w:asciiTheme="majorHAnsi" w:eastAsia="Calibri" w:hAnsiTheme="majorHAnsi" w:cstheme="majorHAnsi"/>
          <w:lang w:val="en-GB"/>
        </w:rPr>
        <w:t xml:space="preserve">possess an important role </w:t>
      </w:r>
      <w:bookmarkEnd w:id="310"/>
      <w:r w:rsidR="00AA21D9" w:rsidRPr="00A33AE8">
        <w:rPr>
          <w:rFonts w:asciiTheme="majorHAnsi" w:eastAsia="Calibri" w:hAnsiTheme="majorHAnsi" w:cstheme="majorHAnsi"/>
          <w:lang w:val="en-GB"/>
        </w:rPr>
        <w:t xml:space="preserve">in </w:t>
      </w:r>
      <w:r w:rsidRPr="00A33AE8">
        <w:rPr>
          <w:rFonts w:asciiTheme="majorHAnsi" w:eastAsia="Calibri" w:hAnsiTheme="majorHAnsi" w:cstheme="majorHAnsi"/>
          <w:lang w:val="en-GB"/>
        </w:rPr>
        <w:t>primary production</w:t>
      </w:r>
      <w:r w:rsidR="00AA21D9" w:rsidRPr="00A33AE8">
        <w:rPr>
          <w:rFonts w:asciiTheme="majorHAnsi" w:eastAsia="Calibri" w:hAnsiTheme="majorHAnsi" w:cstheme="majorHAnsi"/>
          <w:lang w:val="en-GB"/>
        </w:rPr>
        <w:t xml:space="preserve">, while </w:t>
      </w:r>
      <w:r w:rsidRPr="00A33AE8">
        <w:rPr>
          <w:rFonts w:asciiTheme="majorHAnsi" w:eastAsia="Calibri" w:hAnsiTheme="majorHAnsi" w:cstheme="majorHAnsi"/>
          <w:lang w:val="en-GB"/>
        </w:rPr>
        <w:t>their contribution increased from 19.</w:t>
      </w:r>
      <w:r w:rsidR="00E81F3E" w:rsidRPr="00A33AE8">
        <w:rPr>
          <w:rFonts w:asciiTheme="majorHAnsi" w:eastAsia="Calibri" w:hAnsiTheme="majorHAnsi" w:cstheme="majorHAnsi"/>
          <w:lang w:val="en-GB"/>
        </w:rPr>
        <w:t>66</w:t>
      </w:r>
      <w:r w:rsidRPr="00A33AE8">
        <w:rPr>
          <w:rFonts w:asciiTheme="majorHAnsi" w:eastAsia="Calibri" w:hAnsiTheme="majorHAnsi" w:cstheme="majorHAnsi"/>
          <w:lang w:val="en-GB"/>
        </w:rPr>
        <w:t xml:space="preserve">% in 2010 to </w:t>
      </w:r>
      <w:r w:rsidR="00E81F3E" w:rsidRPr="00A33AE8">
        <w:rPr>
          <w:rFonts w:asciiTheme="majorHAnsi" w:eastAsia="Calibri" w:hAnsiTheme="majorHAnsi" w:cstheme="majorHAnsi"/>
          <w:lang w:val="en-GB"/>
        </w:rPr>
        <w:t>22.9</w:t>
      </w:r>
      <w:r w:rsidRPr="00A33AE8">
        <w:rPr>
          <w:rFonts w:asciiTheme="majorHAnsi" w:eastAsia="Calibri" w:hAnsiTheme="majorHAnsi" w:cstheme="majorHAnsi"/>
          <w:lang w:val="en-GB"/>
        </w:rPr>
        <w:t>% in 20</w:t>
      </w:r>
      <w:r w:rsidR="00E81F3E" w:rsidRPr="00A33AE8">
        <w:rPr>
          <w:rFonts w:asciiTheme="majorHAnsi" w:eastAsia="Calibri" w:hAnsiTheme="majorHAnsi" w:cstheme="majorHAnsi"/>
          <w:lang w:val="en-GB"/>
        </w:rPr>
        <w:t>20</w:t>
      </w:r>
      <w:r w:rsidRPr="00A33AE8">
        <w:rPr>
          <w:rFonts w:asciiTheme="majorHAnsi" w:eastAsia="Calibri" w:hAnsiTheme="majorHAnsi" w:cstheme="majorHAnsi"/>
          <w:lang w:val="en-GB"/>
        </w:rPr>
        <w:t>.</w:t>
      </w:r>
    </w:p>
    <w:p w14:paraId="4D7CBC17" w14:textId="758D1F08" w:rsidR="00060DB5" w:rsidRDefault="00060DB5" w:rsidP="0087794A">
      <w:pPr>
        <w:pStyle w:val="Caption"/>
        <w:keepNext/>
      </w:pPr>
      <w:bookmarkStart w:id="311" w:name="_Ref153464274"/>
      <w:bookmarkStart w:id="312" w:name="_Toc154575246"/>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39</w:t>
      </w:r>
      <w:r w:rsidR="006E0533">
        <w:rPr>
          <w:noProof/>
        </w:rPr>
        <w:fldChar w:fldCharType="end"/>
      </w:r>
      <w:bookmarkEnd w:id="311"/>
      <w:r>
        <w:t xml:space="preserve">: </w:t>
      </w:r>
      <w:r w:rsidRPr="00060DB5">
        <w:t>Primary production over 2010-2020 (Source: Eurostat, 2023)</w:t>
      </w:r>
      <w:bookmarkEnd w:id="312"/>
    </w:p>
    <w:p w14:paraId="6F475817" w14:textId="77777777" w:rsidR="00365CEB" w:rsidRPr="00A33AE8" w:rsidRDefault="001C5B71" w:rsidP="00365CEB">
      <w:pPr>
        <w:keepNext/>
        <w:jc w:val="center"/>
      </w:pPr>
      <w:r w:rsidRPr="000007D2">
        <w:rPr>
          <w:noProof/>
          <w:lang w:val="en-US"/>
        </w:rPr>
        <w:drawing>
          <wp:inline distT="0" distB="0" distL="0" distR="0" wp14:anchorId="7B760B50" wp14:editId="7A9CF6F1">
            <wp:extent cx="5634355" cy="2456642"/>
            <wp:effectExtent l="0" t="0" r="4445" b="1270"/>
            <wp:docPr id="947447079" name="Picture 94744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44033" cy="2460862"/>
                    </a:xfrm>
                    <a:prstGeom prst="rect">
                      <a:avLst/>
                    </a:prstGeom>
                    <a:noFill/>
                  </pic:spPr>
                </pic:pic>
              </a:graphicData>
            </a:graphic>
          </wp:inline>
        </w:drawing>
      </w:r>
    </w:p>
    <w:p w14:paraId="0D659E7B" w14:textId="234798D3" w:rsidR="00365CEB" w:rsidRPr="00A33AE8" w:rsidRDefault="000313A4" w:rsidP="0087794A">
      <w:pPr>
        <w:pStyle w:val="Caption"/>
        <w:jc w:val="both"/>
      </w:pPr>
      <w:r w:rsidRPr="00A33AE8">
        <w:rPr>
          <w:rFonts w:asciiTheme="majorHAnsi" w:hAnsiTheme="majorHAnsi"/>
          <w:b w:val="0"/>
          <w:color w:val="auto"/>
        </w:rPr>
        <w:t xml:space="preserve">In </w:t>
      </w:r>
      <w:r w:rsidRPr="00A33AE8">
        <w:rPr>
          <w:rFonts w:asciiTheme="majorHAnsi" w:eastAsia="Calibri" w:hAnsiTheme="majorHAnsi" w:cstheme="majorHAnsi"/>
          <w:b w:val="0"/>
          <w:bCs w:val="0"/>
          <w:color w:val="auto"/>
          <w:lang w:eastAsia="el-GR"/>
        </w:rPr>
        <w:t>20</w:t>
      </w:r>
      <w:r w:rsidR="00E81F3E" w:rsidRPr="00A33AE8">
        <w:rPr>
          <w:rFonts w:asciiTheme="majorHAnsi" w:eastAsia="Calibri" w:hAnsiTheme="majorHAnsi" w:cstheme="majorHAnsi"/>
          <w:b w:val="0"/>
          <w:bCs w:val="0"/>
          <w:color w:val="auto"/>
          <w:lang w:eastAsia="el-GR"/>
        </w:rPr>
        <w:t>20</w:t>
      </w:r>
      <w:r w:rsidRPr="00A33AE8">
        <w:rPr>
          <w:rFonts w:asciiTheme="majorHAnsi" w:hAnsiTheme="majorHAnsi"/>
          <w:b w:val="0"/>
          <w:color w:val="auto"/>
        </w:rPr>
        <w:t>, the total transformation input in terms of energy use stood at 13.</w:t>
      </w:r>
      <w:r w:rsidR="00E81F3E" w:rsidRPr="00A33AE8">
        <w:rPr>
          <w:rFonts w:asciiTheme="majorHAnsi" w:eastAsia="Calibri" w:hAnsiTheme="majorHAnsi" w:cstheme="majorHAnsi"/>
          <w:b w:val="0"/>
          <w:bCs w:val="0"/>
          <w:color w:val="auto"/>
          <w:lang w:eastAsia="el-GR"/>
        </w:rPr>
        <w:t>7</w:t>
      </w:r>
      <w:r w:rsidRPr="00A33AE8">
        <w:rPr>
          <w:rFonts w:asciiTheme="majorHAnsi" w:hAnsiTheme="majorHAnsi"/>
          <w:b w:val="0"/>
          <w:color w:val="auto"/>
        </w:rPr>
        <w:t xml:space="preserve"> Mtoe,</w:t>
      </w:r>
      <w:r w:rsidR="00C76C73" w:rsidRPr="00A33AE8">
        <w:rPr>
          <w:rFonts w:asciiTheme="majorHAnsi" w:eastAsia="Calibri" w:hAnsiTheme="majorHAnsi" w:cstheme="majorHAnsi"/>
          <w:b w:val="0"/>
          <w:bCs w:val="0"/>
          <w:color w:val="auto"/>
          <w:lang w:eastAsia="el-GR"/>
        </w:rPr>
        <w:t xml:space="preserve"> </w:t>
      </w:r>
      <w:r w:rsidRPr="00A33AE8">
        <w:rPr>
          <w:rFonts w:asciiTheme="majorHAnsi" w:hAnsiTheme="majorHAnsi"/>
          <w:b w:val="0"/>
          <w:color w:val="auto"/>
        </w:rPr>
        <w:t>about 9</w:t>
      </w:r>
      <w:r w:rsidR="00E81F3E" w:rsidRPr="00A33AE8">
        <w:rPr>
          <w:rFonts w:asciiTheme="majorHAnsi" w:eastAsia="Calibri" w:hAnsiTheme="majorHAnsi" w:cstheme="majorHAnsi"/>
          <w:b w:val="0"/>
          <w:bCs w:val="0"/>
          <w:color w:val="auto"/>
          <w:lang w:eastAsia="el-GR"/>
        </w:rPr>
        <w:t>.6</w:t>
      </w:r>
      <w:r w:rsidRPr="00A33AE8">
        <w:rPr>
          <w:rFonts w:asciiTheme="majorHAnsi" w:hAnsiTheme="majorHAnsi"/>
          <w:b w:val="0"/>
          <w:color w:val="auto"/>
        </w:rPr>
        <w:t xml:space="preserve">% higher, compared to 2010 level (12.5 Mtoe), </w:t>
      </w:r>
      <w:r w:rsidR="00365CEB" w:rsidRPr="00A33AE8">
        <w:rPr>
          <w:rFonts w:asciiTheme="majorHAnsi" w:hAnsiTheme="majorHAnsi"/>
          <w:b w:val="0"/>
          <w:color w:val="auto"/>
        </w:rPr>
        <w:t>as illustrated in</w:t>
      </w:r>
      <w:r w:rsidR="00060DB5">
        <w:rPr>
          <w:rFonts w:asciiTheme="majorHAnsi" w:hAnsiTheme="majorHAnsi"/>
          <w:b w:val="0"/>
          <w:color w:val="auto"/>
        </w:rPr>
        <w:t xml:space="preserve"> </w:t>
      </w:r>
      <w:r w:rsidR="00060DB5">
        <w:rPr>
          <w:rFonts w:asciiTheme="majorHAnsi" w:hAnsiTheme="majorHAnsi"/>
          <w:bCs w:val="0"/>
        </w:rPr>
        <w:fldChar w:fldCharType="begin"/>
      </w:r>
      <w:r w:rsidR="00060DB5">
        <w:rPr>
          <w:rFonts w:asciiTheme="majorHAnsi" w:hAnsiTheme="majorHAnsi"/>
          <w:b w:val="0"/>
          <w:color w:val="auto"/>
        </w:rPr>
        <w:instrText xml:space="preserve"> REF _Ref153464356 \h  \* MERGEFORMAT </w:instrText>
      </w:r>
      <w:r w:rsidR="00060DB5">
        <w:rPr>
          <w:rFonts w:asciiTheme="majorHAnsi" w:hAnsiTheme="majorHAnsi"/>
          <w:bCs w:val="0"/>
        </w:rPr>
      </w:r>
      <w:r w:rsidR="00060DB5">
        <w:rPr>
          <w:rFonts w:asciiTheme="majorHAnsi" w:hAnsiTheme="majorHAnsi"/>
          <w:bCs w:val="0"/>
        </w:rPr>
        <w:fldChar w:fldCharType="separate"/>
      </w:r>
      <w:r w:rsidR="00060DB5" w:rsidRPr="0087794A">
        <w:rPr>
          <w:rFonts w:asciiTheme="majorHAnsi" w:hAnsiTheme="majorHAnsi"/>
          <w:b w:val="0"/>
          <w:bCs w:val="0"/>
          <w:color w:val="auto"/>
        </w:rPr>
        <w:t>Figure 4.40</w:t>
      </w:r>
      <w:r w:rsidR="00060DB5">
        <w:rPr>
          <w:rFonts w:asciiTheme="majorHAnsi" w:hAnsiTheme="majorHAnsi"/>
          <w:bCs w:val="0"/>
        </w:rPr>
        <w:fldChar w:fldCharType="end"/>
      </w:r>
      <w:r w:rsidR="00FF04E9" w:rsidRPr="00A33AE8">
        <w:rPr>
          <w:rFonts w:asciiTheme="majorHAnsi" w:hAnsiTheme="majorHAnsi"/>
          <w:b w:val="0"/>
          <w:color w:val="auto"/>
        </w:rPr>
        <w:t>.</w:t>
      </w:r>
      <w:r w:rsidR="00365CEB" w:rsidRPr="00A33AE8">
        <w:rPr>
          <w:rFonts w:asciiTheme="majorHAnsi" w:hAnsiTheme="majorHAnsi"/>
          <w:b w:val="0"/>
          <w:color w:val="auto"/>
        </w:rPr>
        <w:t xml:space="preserve"> Solid fossil fuels and oil and petroleum products </w:t>
      </w:r>
      <w:r w:rsidR="00681074" w:rsidRPr="00A33AE8">
        <w:rPr>
          <w:rFonts w:asciiTheme="majorHAnsi" w:hAnsiTheme="majorHAnsi"/>
          <w:b w:val="0"/>
          <w:color w:val="auto"/>
        </w:rPr>
        <w:t xml:space="preserve">were </w:t>
      </w:r>
      <w:r w:rsidR="00365CEB" w:rsidRPr="00A33AE8">
        <w:rPr>
          <w:rFonts w:asciiTheme="majorHAnsi" w:hAnsiTheme="majorHAnsi"/>
          <w:b w:val="0"/>
          <w:color w:val="auto"/>
        </w:rPr>
        <w:t>the prevailing fuels in terms of transformation input</w:t>
      </w:r>
      <w:r w:rsidR="00681074" w:rsidRPr="00A33AE8">
        <w:rPr>
          <w:rFonts w:asciiTheme="majorHAnsi" w:hAnsiTheme="majorHAnsi"/>
          <w:b w:val="0"/>
          <w:color w:val="auto"/>
        </w:rPr>
        <w:t xml:space="preserve"> (</w:t>
      </w:r>
      <w:r w:rsidR="00365CEB" w:rsidRPr="00A33AE8">
        <w:rPr>
          <w:rFonts w:asciiTheme="majorHAnsi" w:hAnsiTheme="majorHAnsi"/>
          <w:b w:val="0"/>
          <w:color w:val="auto"/>
        </w:rPr>
        <w:t>7.</w:t>
      </w:r>
      <w:r w:rsidR="00E81F3E" w:rsidRPr="00A33AE8">
        <w:rPr>
          <w:rFonts w:asciiTheme="majorHAnsi" w:eastAsia="Calibri" w:hAnsiTheme="majorHAnsi" w:cstheme="majorHAnsi"/>
          <w:b w:val="0"/>
          <w:bCs w:val="0"/>
          <w:color w:val="auto"/>
          <w:lang w:eastAsia="el-GR"/>
        </w:rPr>
        <w:t>444</w:t>
      </w:r>
      <w:r w:rsidR="00365CEB" w:rsidRPr="00A33AE8">
        <w:rPr>
          <w:rFonts w:asciiTheme="majorHAnsi" w:hAnsiTheme="majorHAnsi"/>
          <w:b w:val="0"/>
          <w:color w:val="auto"/>
        </w:rPr>
        <w:t xml:space="preserve"> Mtoe and 4.4 Mtoe in </w:t>
      </w:r>
      <w:r w:rsidR="00365CEB" w:rsidRPr="00A33AE8">
        <w:rPr>
          <w:rFonts w:asciiTheme="majorHAnsi" w:eastAsia="Calibri" w:hAnsiTheme="majorHAnsi" w:cstheme="majorHAnsi"/>
          <w:b w:val="0"/>
          <w:bCs w:val="0"/>
          <w:color w:val="auto"/>
          <w:lang w:eastAsia="el-GR"/>
        </w:rPr>
        <w:t>20</w:t>
      </w:r>
      <w:r w:rsidR="00E81F3E" w:rsidRPr="00A33AE8">
        <w:rPr>
          <w:rFonts w:asciiTheme="majorHAnsi" w:eastAsia="Calibri" w:hAnsiTheme="majorHAnsi" w:cstheme="majorHAnsi"/>
          <w:b w:val="0"/>
          <w:bCs w:val="0"/>
          <w:color w:val="auto"/>
          <w:lang w:eastAsia="el-GR"/>
        </w:rPr>
        <w:t>20</w:t>
      </w:r>
      <w:r w:rsidR="00365CEB" w:rsidRPr="00A33AE8">
        <w:rPr>
          <w:rFonts w:asciiTheme="majorHAnsi" w:hAnsiTheme="majorHAnsi"/>
          <w:b w:val="0"/>
          <w:color w:val="auto"/>
        </w:rPr>
        <w:t xml:space="preserve"> respectively</w:t>
      </w:r>
      <w:r w:rsidR="00681074" w:rsidRPr="00A33AE8">
        <w:rPr>
          <w:rFonts w:asciiTheme="majorHAnsi" w:hAnsiTheme="majorHAnsi"/>
          <w:b w:val="0"/>
          <w:color w:val="auto"/>
        </w:rPr>
        <w:t>)</w:t>
      </w:r>
      <w:r w:rsidR="00365CEB" w:rsidRPr="00A33AE8">
        <w:rPr>
          <w:rFonts w:asciiTheme="majorHAnsi" w:hAnsiTheme="majorHAnsi"/>
          <w:b w:val="0"/>
          <w:color w:val="auto"/>
        </w:rPr>
        <w:t xml:space="preserve">. In addition, the share of solid fossil fuels declined from 57.4% in 2010 to 53.7% in </w:t>
      </w:r>
      <w:r w:rsidR="00365CEB" w:rsidRPr="00A33AE8">
        <w:rPr>
          <w:rFonts w:asciiTheme="majorHAnsi" w:eastAsia="Calibri" w:hAnsiTheme="majorHAnsi" w:cstheme="majorHAnsi"/>
          <w:b w:val="0"/>
          <w:bCs w:val="0"/>
          <w:color w:val="auto"/>
          <w:lang w:eastAsia="el-GR"/>
        </w:rPr>
        <w:t>20</w:t>
      </w:r>
      <w:r w:rsidR="00E81F3E" w:rsidRPr="00A33AE8">
        <w:rPr>
          <w:rFonts w:asciiTheme="majorHAnsi" w:eastAsia="Calibri" w:hAnsiTheme="majorHAnsi" w:cstheme="majorHAnsi"/>
          <w:b w:val="0"/>
          <w:bCs w:val="0"/>
          <w:color w:val="auto"/>
          <w:lang w:eastAsia="el-GR"/>
        </w:rPr>
        <w:t>20</w:t>
      </w:r>
      <w:r w:rsidR="00365CEB" w:rsidRPr="00A33AE8">
        <w:rPr>
          <w:rFonts w:asciiTheme="majorHAnsi" w:hAnsiTheme="majorHAnsi"/>
          <w:b w:val="0"/>
          <w:color w:val="auto"/>
        </w:rPr>
        <w:t>, while the share of oil and petroleum products increased from 27.8% in 2010 to 32.</w:t>
      </w:r>
      <w:r w:rsidR="00E81F3E" w:rsidRPr="00A33AE8">
        <w:rPr>
          <w:rFonts w:asciiTheme="majorHAnsi" w:eastAsia="Calibri" w:hAnsiTheme="majorHAnsi" w:cstheme="majorHAnsi"/>
          <w:b w:val="0"/>
          <w:bCs w:val="0"/>
          <w:color w:val="auto"/>
          <w:lang w:eastAsia="el-GR"/>
        </w:rPr>
        <w:t>44</w:t>
      </w:r>
      <w:r w:rsidR="00365CEB" w:rsidRPr="00A33AE8">
        <w:rPr>
          <w:rFonts w:asciiTheme="majorHAnsi" w:hAnsiTheme="majorHAnsi"/>
          <w:b w:val="0"/>
          <w:color w:val="auto"/>
        </w:rPr>
        <w:t xml:space="preserve">% in </w:t>
      </w:r>
      <w:r w:rsidR="00365CEB" w:rsidRPr="00A33AE8">
        <w:rPr>
          <w:rFonts w:asciiTheme="majorHAnsi" w:eastAsia="Calibri" w:hAnsiTheme="majorHAnsi" w:cstheme="majorHAnsi"/>
          <w:b w:val="0"/>
          <w:bCs w:val="0"/>
          <w:color w:val="auto"/>
          <w:lang w:eastAsia="el-GR"/>
        </w:rPr>
        <w:t>20</w:t>
      </w:r>
      <w:r w:rsidR="00E81F3E" w:rsidRPr="00A33AE8">
        <w:rPr>
          <w:rFonts w:asciiTheme="majorHAnsi" w:eastAsia="Calibri" w:hAnsiTheme="majorHAnsi" w:cstheme="majorHAnsi"/>
          <w:b w:val="0"/>
          <w:bCs w:val="0"/>
          <w:color w:val="auto"/>
          <w:lang w:eastAsia="el-GR"/>
        </w:rPr>
        <w:t>20</w:t>
      </w:r>
      <w:r w:rsidR="00365CEB" w:rsidRPr="00A33AE8">
        <w:rPr>
          <w:rFonts w:asciiTheme="majorHAnsi" w:eastAsia="Calibri" w:hAnsiTheme="majorHAnsi" w:cstheme="majorHAnsi"/>
          <w:b w:val="0"/>
          <w:bCs w:val="0"/>
          <w:color w:val="auto"/>
          <w:lang w:eastAsia="el-GR"/>
        </w:rPr>
        <w:t>.</w:t>
      </w:r>
    </w:p>
    <w:p w14:paraId="15F28280" w14:textId="559142B8" w:rsidR="00060DB5" w:rsidRDefault="00060DB5" w:rsidP="0087794A">
      <w:pPr>
        <w:pStyle w:val="Caption"/>
        <w:keepNext/>
      </w:pPr>
      <w:bookmarkStart w:id="313" w:name="_Ref153464356"/>
      <w:bookmarkStart w:id="314" w:name="_Toc154575247"/>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40</w:t>
      </w:r>
      <w:r w:rsidR="006E0533">
        <w:rPr>
          <w:noProof/>
        </w:rPr>
        <w:fldChar w:fldCharType="end"/>
      </w:r>
      <w:bookmarkEnd w:id="313"/>
      <w:r>
        <w:t xml:space="preserve">: </w:t>
      </w:r>
      <w:r w:rsidRPr="00060DB5">
        <w:t>Transformation input over 2010-2020 (Source: Eurostat, 2023)</w:t>
      </w:r>
      <w:bookmarkEnd w:id="314"/>
    </w:p>
    <w:p w14:paraId="0E7D8743" w14:textId="77777777" w:rsidR="00365CEB" w:rsidRPr="00A33AE8" w:rsidRDefault="0009486F" w:rsidP="00365CEB">
      <w:pPr>
        <w:keepNext/>
        <w:jc w:val="center"/>
      </w:pPr>
      <w:r w:rsidRPr="000007D2">
        <w:rPr>
          <w:noProof/>
          <w:lang w:val="en-US"/>
        </w:rPr>
        <w:drawing>
          <wp:inline distT="0" distB="0" distL="0" distR="0" wp14:anchorId="1237EA7B" wp14:editId="062B2CDB">
            <wp:extent cx="5950585" cy="26350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63498" cy="2640739"/>
                    </a:xfrm>
                    <a:prstGeom prst="rect">
                      <a:avLst/>
                    </a:prstGeom>
                    <a:noFill/>
                  </pic:spPr>
                </pic:pic>
              </a:graphicData>
            </a:graphic>
          </wp:inline>
        </w:drawing>
      </w:r>
    </w:p>
    <w:p w14:paraId="00BAE01F" w14:textId="09E5C59C" w:rsidR="00365CEB" w:rsidRPr="00A33AE8" w:rsidRDefault="00681074" w:rsidP="00365CEB">
      <w:pPr>
        <w:pStyle w:val="LDKbody"/>
        <w:rPr>
          <w:rFonts w:asciiTheme="majorHAnsi" w:hAnsiTheme="majorHAnsi" w:cstheme="majorHAnsi"/>
          <w:lang w:val="en-GB"/>
        </w:rPr>
      </w:pPr>
      <w:r w:rsidRPr="00A33AE8">
        <w:rPr>
          <w:rFonts w:asciiTheme="majorHAnsi" w:hAnsiTheme="majorHAnsi" w:cstheme="majorHAnsi"/>
          <w:lang w:val="en-GB"/>
        </w:rPr>
        <w:t xml:space="preserve">The same tendency was recorded also for the case of the </w:t>
      </w:r>
      <w:r w:rsidR="00365CEB" w:rsidRPr="00A33AE8">
        <w:rPr>
          <w:rFonts w:asciiTheme="majorHAnsi" w:hAnsiTheme="majorHAnsi" w:cstheme="majorHAnsi"/>
          <w:lang w:val="en-GB"/>
        </w:rPr>
        <w:t>transformation output</w:t>
      </w:r>
      <w:r w:rsidRPr="00A33AE8">
        <w:rPr>
          <w:rFonts w:asciiTheme="majorHAnsi" w:hAnsiTheme="majorHAnsi" w:cstheme="majorHAnsi"/>
          <w:lang w:val="en-GB"/>
        </w:rPr>
        <w:t xml:space="preserve"> </w:t>
      </w:r>
      <w:r w:rsidR="000313A4" w:rsidRPr="00A33AE8">
        <w:rPr>
          <w:rFonts w:asciiTheme="majorHAnsi" w:hAnsiTheme="majorHAnsi" w:cstheme="majorHAnsi"/>
          <w:lang w:val="en-GB"/>
        </w:rPr>
        <w:t>(generation of electricity, heat and oil products from refineries),</w:t>
      </w:r>
      <w:r w:rsidR="000313A4" w:rsidRPr="000007D2">
        <w:rPr>
          <w:rFonts w:asciiTheme="majorHAnsi" w:hAnsiTheme="majorHAnsi" w:cstheme="majorHAnsi"/>
          <w:lang w:val="en-GB"/>
        </w:rPr>
        <w:t xml:space="preserve"> as shown in</w:t>
      </w:r>
      <w:r w:rsidR="00C64604">
        <w:rPr>
          <w:rFonts w:asciiTheme="majorHAnsi" w:hAnsiTheme="majorHAnsi" w:cstheme="majorHAnsi"/>
          <w:lang w:val="en-GB"/>
        </w:rPr>
        <w:t xml:space="preserve"> </w:t>
      </w:r>
      <w:r w:rsidR="00C64604">
        <w:rPr>
          <w:rFonts w:asciiTheme="majorHAnsi" w:hAnsiTheme="majorHAnsi" w:cstheme="majorHAnsi"/>
          <w:lang w:val="en-GB"/>
        </w:rPr>
        <w:fldChar w:fldCharType="begin"/>
      </w:r>
      <w:r w:rsidR="00C64604">
        <w:rPr>
          <w:rFonts w:asciiTheme="majorHAnsi" w:hAnsiTheme="majorHAnsi" w:cstheme="majorHAnsi"/>
          <w:lang w:val="en-GB"/>
        </w:rPr>
        <w:instrText xml:space="preserve"> REF _Ref153464841 \h  \* MERGEFORMAT </w:instrText>
      </w:r>
      <w:r w:rsidR="00C64604">
        <w:rPr>
          <w:rFonts w:asciiTheme="majorHAnsi" w:hAnsiTheme="majorHAnsi" w:cstheme="majorHAnsi"/>
          <w:lang w:val="en-GB"/>
        </w:rPr>
      </w:r>
      <w:r w:rsidR="00C64604">
        <w:rPr>
          <w:rFonts w:asciiTheme="majorHAnsi" w:hAnsiTheme="majorHAnsi" w:cstheme="majorHAnsi"/>
          <w:lang w:val="en-GB"/>
        </w:rPr>
        <w:fldChar w:fldCharType="separate"/>
      </w:r>
      <w:r w:rsidR="00C64604" w:rsidRPr="0087794A">
        <w:rPr>
          <w:rFonts w:asciiTheme="majorHAnsi" w:hAnsiTheme="majorHAnsi" w:cstheme="majorHAnsi"/>
          <w:lang w:val="en-GB"/>
        </w:rPr>
        <w:t>Figure 4.41</w:t>
      </w:r>
      <w:r w:rsidR="00C64604">
        <w:rPr>
          <w:rFonts w:asciiTheme="majorHAnsi" w:hAnsiTheme="majorHAnsi" w:cstheme="majorHAnsi"/>
          <w:lang w:val="en-GB"/>
        </w:rPr>
        <w:fldChar w:fldCharType="end"/>
      </w:r>
      <w:r w:rsidR="00FF04E9" w:rsidRPr="00A33AE8">
        <w:rPr>
          <w:rFonts w:asciiTheme="majorHAnsi" w:hAnsiTheme="majorHAnsi" w:cstheme="majorHAnsi"/>
          <w:lang w:val="en-GB"/>
        </w:rPr>
        <w:t>.</w:t>
      </w:r>
      <w:r w:rsidRPr="00A33AE8">
        <w:rPr>
          <w:rFonts w:asciiTheme="majorHAnsi" w:hAnsiTheme="majorHAnsi" w:cstheme="majorHAnsi"/>
          <w:lang w:val="en-GB"/>
        </w:rPr>
        <w:t xml:space="preserve"> </w:t>
      </w:r>
      <w:r w:rsidR="000313A4" w:rsidRPr="00A33AE8">
        <w:rPr>
          <w:rFonts w:asciiTheme="majorHAnsi" w:hAnsiTheme="majorHAnsi" w:cstheme="majorHAnsi"/>
          <w:lang w:val="en-GB"/>
        </w:rPr>
        <w:t>In 20</w:t>
      </w:r>
      <w:r w:rsidR="00E81F3E" w:rsidRPr="00A33AE8">
        <w:rPr>
          <w:rFonts w:asciiTheme="majorHAnsi" w:hAnsiTheme="majorHAnsi" w:cstheme="majorHAnsi"/>
          <w:lang w:val="en-GB"/>
        </w:rPr>
        <w:t>20</w:t>
      </w:r>
      <w:r w:rsidR="000313A4" w:rsidRPr="00A33AE8">
        <w:rPr>
          <w:rFonts w:asciiTheme="majorHAnsi" w:hAnsiTheme="majorHAnsi" w:cstheme="majorHAnsi"/>
          <w:lang w:val="en-GB"/>
        </w:rPr>
        <w:t>, the total transformation output in terms of energy use stood at 8.7 Mtoe,</w:t>
      </w:r>
      <w:r w:rsidR="00081D7A" w:rsidRPr="00A33AE8">
        <w:rPr>
          <w:rFonts w:asciiTheme="majorHAnsi" w:hAnsiTheme="majorHAnsi" w:cstheme="majorHAnsi"/>
          <w:lang w:val="en-GB"/>
        </w:rPr>
        <w:t xml:space="preserve"> </w:t>
      </w:r>
      <w:r w:rsidR="000313A4" w:rsidRPr="00A33AE8">
        <w:rPr>
          <w:rFonts w:asciiTheme="majorHAnsi" w:hAnsiTheme="majorHAnsi" w:cstheme="majorHAnsi"/>
          <w:lang w:val="en-GB"/>
        </w:rPr>
        <w:t xml:space="preserve">about </w:t>
      </w:r>
      <w:r w:rsidR="00E81F3E" w:rsidRPr="00A33AE8">
        <w:rPr>
          <w:rFonts w:asciiTheme="majorHAnsi" w:hAnsiTheme="majorHAnsi" w:cstheme="majorHAnsi"/>
          <w:lang w:val="en-GB"/>
        </w:rPr>
        <w:t>13</w:t>
      </w:r>
      <w:r w:rsidR="000313A4" w:rsidRPr="00A33AE8">
        <w:rPr>
          <w:rFonts w:asciiTheme="majorHAnsi" w:hAnsiTheme="majorHAnsi" w:cstheme="majorHAnsi"/>
          <w:lang w:val="en-GB"/>
        </w:rPr>
        <w:t xml:space="preserve">% higher, compared to 2010 level (7.7 Mtoe). </w:t>
      </w:r>
      <w:r w:rsidR="00365CEB" w:rsidRPr="00A33AE8">
        <w:rPr>
          <w:rFonts w:asciiTheme="majorHAnsi" w:hAnsiTheme="majorHAnsi" w:cstheme="majorHAnsi"/>
          <w:lang w:val="en-GB"/>
        </w:rPr>
        <w:t xml:space="preserve">Electricity and oil and petroleum products </w:t>
      </w:r>
      <w:r w:rsidRPr="00A33AE8">
        <w:rPr>
          <w:rFonts w:asciiTheme="majorHAnsi" w:hAnsiTheme="majorHAnsi" w:cstheme="majorHAnsi"/>
          <w:lang w:val="en-GB"/>
        </w:rPr>
        <w:t>amounted to</w:t>
      </w:r>
      <w:r w:rsidR="00365CEB" w:rsidRPr="00A33AE8">
        <w:rPr>
          <w:rFonts w:asciiTheme="majorHAnsi" w:hAnsiTheme="majorHAnsi" w:cstheme="majorHAnsi"/>
          <w:lang w:val="en-GB"/>
        </w:rPr>
        <w:t xml:space="preserve"> 3.</w:t>
      </w:r>
      <w:r w:rsidR="00E81F3E" w:rsidRPr="00A33AE8">
        <w:rPr>
          <w:rFonts w:asciiTheme="majorHAnsi" w:hAnsiTheme="majorHAnsi" w:cstheme="majorHAnsi"/>
          <w:lang w:val="en-GB"/>
        </w:rPr>
        <w:t>33</w:t>
      </w:r>
      <w:r w:rsidR="00365CEB" w:rsidRPr="00A33AE8">
        <w:rPr>
          <w:rFonts w:asciiTheme="majorHAnsi" w:hAnsiTheme="majorHAnsi" w:cstheme="majorHAnsi"/>
          <w:lang w:val="en-GB"/>
        </w:rPr>
        <w:t xml:space="preserve"> Mtoe and 4.</w:t>
      </w:r>
      <w:r w:rsidR="00E81F3E" w:rsidRPr="00A33AE8">
        <w:rPr>
          <w:rFonts w:asciiTheme="majorHAnsi" w:hAnsiTheme="majorHAnsi" w:cstheme="majorHAnsi"/>
          <w:lang w:val="en-GB"/>
        </w:rPr>
        <w:t>22</w:t>
      </w:r>
      <w:r w:rsidR="00365CEB" w:rsidRPr="00A33AE8">
        <w:rPr>
          <w:rFonts w:asciiTheme="majorHAnsi" w:hAnsiTheme="majorHAnsi" w:cstheme="majorHAnsi"/>
          <w:lang w:val="en-GB"/>
        </w:rPr>
        <w:t xml:space="preserve"> Mtoe in 20</w:t>
      </w:r>
      <w:r w:rsidR="00E81F3E" w:rsidRPr="00A33AE8">
        <w:rPr>
          <w:rFonts w:asciiTheme="majorHAnsi" w:hAnsiTheme="majorHAnsi" w:cstheme="majorHAnsi"/>
          <w:lang w:val="en-GB"/>
        </w:rPr>
        <w:t>20</w:t>
      </w:r>
      <w:r w:rsidR="00365CEB" w:rsidRPr="00A33AE8">
        <w:rPr>
          <w:rFonts w:asciiTheme="majorHAnsi" w:hAnsiTheme="majorHAnsi" w:cstheme="majorHAnsi"/>
          <w:lang w:val="en-GB"/>
        </w:rPr>
        <w:t>, respectively</w:t>
      </w:r>
      <w:r w:rsidRPr="00A33AE8">
        <w:rPr>
          <w:rFonts w:asciiTheme="majorHAnsi" w:hAnsiTheme="majorHAnsi" w:cstheme="majorHAnsi"/>
          <w:lang w:val="en-GB"/>
        </w:rPr>
        <w:t>. Moreover</w:t>
      </w:r>
      <w:r w:rsidR="00365CEB" w:rsidRPr="00A33AE8">
        <w:rPr>
          <w:rFonts w:asciiTheme="majorHAnsi" w:hAnsiTheme="majorHAnsi" w:cstheme="majorHAnsi"/>
          <w:lang w:val="en-GB"/>
        </w:rPr>
        <w:t xml:space="preserve">, the share of electricity </w:t>
      </w:r>
      <w:r w:rsidRPr="00A33AE8">
        <w:rPr>
          <w:rFonts w:asciiTheme="majorHAnsi" w:hAnsiTheme="majorHAnsi" w:cstheme="majorHAnsi"/>
          <w:lang w:val="en-GB"/>
        </w:rPr>
        <w:t xml:space="preserve">was reduced </w:t>
      </w:r>
      <w:r w:rsidR="00365CEB" w:rsidRPr="00A33AE8">
        <w:rPr>
          <w:rFonts w:asciiTheme="majorHAnsi" w:hAnsiTheme="majorHAnsi" w:cstheme="majorHAnsi"/>
          <w:lang w:val="en-GB"/>
        </w:rPr>
        <w:t>from 42.4% in 2010 to 37.4% in 20</w:t>
      </w:r>
      <w:r w:rsidR="00E81F3E" w:rsidRPr="00A33AE8">
        <w:rPr>
          <w:rFonts w:asciiTheme="majorHAnsi" w:hAnsiTheme="majorHAnsi" w:cstheme="majorHAnsi"/>
          <w:lang w:val="en-GB"/>
        </w:rPr>
        <w:t>20</w:t>
      </w:r>
      <w:r w:rsidR="00365CEB" w:rsidRPr="00A33AE8">
        <w:rPr>
          <w:rFonts w:asciiTheme="majorHAnsi" w:hAnsiTheme="majorHAnsi" w:cstheme="majorHAnsi"/>
          <w:lang w:val="en-GB"/>
        </w:rPr>
        <w:t xml:space="preserve">, while the share of oil and petroleum products </w:t>
      </w:r>
      <w:r w:rsidRPr="00A33AE8">
        <w:rPr>
          <w:rFonts w:asciiTheme="majorHAnsi" w:hAnsiTheme="majorHAnsi" w:cstheme="majorHAnsi"/>
          <w:lang w:val="en-GB"/>
        </w:rPr>
        <w:t xml:space="preserve">grew </w:t>
      </w:r>
      <w:r w:rsidR="00365CEB" w:rsidRPr="00A33AE8">
        <w:rPr>
          <w:rFonts w:asciiTheme="majorHAnsi" w:hAnsiTheme="majorHAnsi" w:cstheme="majorHAnsi"/>
          <w:lang w:val="en-GB"/>
        </w:rPr>
        <w:t xml:space="preserve">from </w:t>
      </w:r>
      <w:r w:rsidR="00E81F3E" w:rsidRPr="00A33AE8">
        <w:rPr>
          <w:rFonts w:asciiTheme="majorHAnsi" w:hAnsiTheme="majorHAnsi" w:cstheme="majorHAnsi"/>
          <w:lang w:val="en-GB"/>
        </w:rPr>
        <w:t>42.4</w:t>
      </w:r>
      <w:r w:rsidR="00365CEB" w:rsidRPr="00A33AE8">
        <w:rPr>
          <w:rFonts w:asciiTheme="majorHAnsi" w:hAnsiTheme="majorHAnsi" w:cstheme="majorHAnsi"/>
          <w:lang w:val="en-GB"/>
        </w:rPr>
        <w:t xml:space="preserve">% in 2010 to </w:t>
      </w:r>
      <w:r w:rsidR="00E81F3E" w:rsidRPr="00A33AE8">
        <w:rPr>
          <w:rFonts w:asciiTheme="majorHAnsi" w:hAnsiTheme="majorHAnsi" w:cstheme="majorHAnsi"/>
          <w:lang w:val="en-GB"/>
        </w:rPr>
        <w:t>37.4</w:t>
      </w:r>
      <w:r w:rsidR="00365CEB" w:rsidRPr="00A33AE8">
        <w:rPr>
          <w:rFonts w:asciiTheme="majorHAnsi" w:hAnsiTheme="majorHAnsi" w:cstheme="majorHAnsi"/>
          <w:lang w:val="en-GB"/>
        </w:rPr>
        <w:t>% in 20</w:t>
      </w:r>
      <w:r w:rsidR="00E81F3E" w:rsidRPr="00A33AE8">
        <w:rPr>
          <w:rFonts w:asciiTheme="majorHAnsi" w:hAnsiTheme="majorHAnsi" w:cstheme="majorHAnsi"/>
          <w:lang w:val="en-GB"/>
        </w:rPr>
        <w:t>20</w:t>
      </w:r>
      <w:r w:rsidR="00365CEB" w:rsidRPr="00A33AE8">
        <w:rPr>
          <w:rFonts w:asciiTheme="majorHAnsi" w:hAnsiTheme="majorHAnsi" w:cstheme="majorHAnsi"/>
          <w:lang w:val="en-GB"/>
        </w:rPr>
        <w:t>.</w:t>
      </w:r>
    </w:p>
    <w:p w14:paraId="4F9878EA" w14:textId="7F2901EC" w:rsidR="00C64604" w:rsidRDefault="00C64604" w:rsidP="0087794A">
      <w:pPr>
        <w:pStyle w:val="Caption"/>
        <w:keepNext/>
      </w:pPr>
      <w:bookmarkStart w:id="315" w:name="_Ref153464841"/>
      <w:bookmarkStart w:id="316" w:name="_Toc154575248"/>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41</w:t>
      </w:r>
      <w:r w:rsidR="006E0533">
        <w:rPr>
          <w:noProof/>
        </w:rPr>
        <w:fldChar w:fldCharType="end"/>
      </w:r>
      <w:bookmarkEnd w:id="315"/>
      <w:r>
        <w:t xml:space="preserve">: </w:t>
      </w:r>
      <w:r w:rsidRPr="00C64604">
        <w:t>Transformation output over 2010-2020 (Source: Eurostat, 2023)</w:t>
      </w:r>
      <w:bookmarkEnd w:id="316"/>
    </w:p>
    <w:p w14:paraId="2F3829F8" w14:textId="77777777" w:rsidR="00365CEB" w:rsidRPr="00A33AE8" w:rsidRDefault="0009486F" w:rsidP="00AB77AE">
      <w:pPr>
        <w:pStyle w:val="LDKbody"/>
        <w:jc w:val="center"/>
        <w:rPr>
          <w:lang w:val="en-GB"/>
        </w:rPr>
      </w:pPr>
      <w:r w:rsidRPr="000007D2">
        <w:rPr>
          <w:noProof/>
          <w:lang w:val="en-US" w:eastAsia="en-US"/>
        </w:rPr>
        <w:drawing>
          <wp:inline distT="0" distB="0" distL="0" distR="0" wp14:anchorId="61A44FEC" wp14:editId="779AE9F9">
            <wp:extent cx="6005830" cy="2941592"/>
            <wp:effectExtent l="0" t="0" r="0" b="0"/>
            <wp:docPr id="1468522324" name="Picture 146852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7644" cy="2947379"/>
                    </a:xfrm>
                    <a:prstGeom prst="rect">
                      <a:avLst/>
                    </a:prstGeom>
                    <a:noFill/>
                  </pic:spPr>
                </pic:pic>
              </a:graphicData>
            </a:graphic>
          </wp:inline>
        </w:drawing>
      </w:r>
    </w:p>
    <w:p w14:paraId="18AEEA3F" w14:textId="0E4D6C3C" w:rsidR="00524F38" w:rsidRPr="00A33AE8" w:rsidRDefault="00524F38" w:rsidP="00884F3B">
      <w:pPr>
        <w:pStyle w:val="Heading4"/>
        <w:numPr>
          <w:ilvl w:val="0"/>
          <w:numId w:val="33"/>
        </w:numPr>
        <w:jc w:val="both"/>
      </w:pPr>
      <w:r w:rsidRPr="00A33AE8">
        <w:t>Projections of development with existing policies and measures at least until 2040 (including for the year 2030)</w:t>
      </w:r>
    </w:p>
    <w:p w14:paraId="095D383D" w14:textId="77777777" w:rsidR="00365CEB"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 xml:space="preserve">As presented in </w:t>
      </w:r>
      <w:r w:rsidR="000637E1" w:rsidRPr="000007D2">
        <w:rPr>
          <w:lang w:val="en-GB"/>
        </w:rPr>
        <w:fldChar w:fldCharType="begin"/>
      </w:r>
      <w:r w:rsidR="000637E1" w:rsidRPr="000007D2">
        <w:rPr>
          <w:lang w:val="en-GB"/>
        </w:rPr>
        <w:instrText xml:space="preserve"> REF _Ref113634350 \h  \* MERGEFORMAT </w:instrText>
      </w:r>
      <w:r w:rsidR="000637E1" w:rsidRPr="000007D2">
        <w:rPr>
          <w:lang w:val="en-GB"/>
        </w:rPr>
      </w:r>
      <w:r w:rsidR="000637E1" w:rsidRPr="000007D2">
        <w:rPr>
          <w:lang w:val="en-GB"/>
        </w:rPr>
        <w:fldChar w:fldCharType="separate"/>
      </w:r>
      <w:r w:rsidR="000637E1" w:rsidRPr="00A33AE8">
        <w:rPr>
          <w:rFonts w:asciiTheme="majorHAnsi" w:hAnsiTheme="majorHAnsi" w:cstheme="majorHAnsi"/>
          <w:lang w:val="en-GB"/>
        </w:rPr>
        <w:t>Figure 4.4</w:t>
      </w:r>
      <w:r w:rsidR="000637E1">
        <w:rPr>
          <w:rFonts w:asciiTheme="majorHAnsi" w:hAnsiTheme="majorHAnsi" w:cstheme="majorHAnsi"/>
          <w:lang w:val="en-GB"/>
        </w:rPr>
        <w:t>2</w:t>
      </w:r>
      <w:r w:rsidR="000637E1" w:rsidRPr="000007D2">
        <w:rPr>
          <w:lang w:val="en-GB"/>
        </w:rPr>
        <w:fldChar w:fldCharType="end"/>
      </w:r>
      <w:r w:rsidRPr="00A33AE8">
        <w:rPr>
          <w:rFonts w:asciiTheme="majorHAnsi" w:hAnsiTheme="majorHAnsi" w:cstheme="majorHAnsi"/>
          <w:lang w:val="en-GB"/>
        </w:rPr>
        <w:t>, energy import dependency exhibits an increasing trend towards 2050, compared to 20</w:t>
      </w:r>
      <w:r w:rsidR="00E81F3E" w:rsidRPr="00A33AE8">
        <w:rPr>
          <w:rFonts w:asciiTheme="majorHAnsi" w:hAnsiTheme="majorHAnsi" w:cstheme="majorHAnsi"/>
          <w:lang w:val="en-GB"/>
        </w:rPr>
        <w:t>20</w:t>
      </w:r>
      <w:r w:rsidRPr="00A33AE8">
        <w:rPr>
          <w:rFonts w:asciiTheme="majorHAnsi" w:hAnsiTheme="majorHAnsi" w:cstheme="majorHAnsi"/>
          <w:lang w:val="en-GB"/>
        </w:rPr>
        <w:t>. More specifically, while energy import dependency in 20</w:t>
      </w:r>
      <w:r w:rsidR="00E81F3E" w:rsidRPr="00A33AE8">
        <w:rPr>
          <w:rFonts w:asciiTheme="majorHAnsi" w:hAnsiTheme="majorHAnsi" w:cstheme="majorHAnsi"/>
          <w:lang w:val="en-GB"/>
        </w:rPr>
        <w:t>20</w:t>
      </w:r>
      <w:r w:rsidRPr="00A33AE8">
        <w:rPr>
          <w:rFonts w:asciiTheme="majorHAnsi" w:hAnsiTheme="majorHAnsi" w:cstheme="majorHAnsi"/>
          <w:lang w:val="en-GB"/>
        </w:rPr>
        <w:t xml:space="preserve"> was </w:t>
      </w:r>
      <w:r w:rsidR="00E81F3E" w:rsidRPr="00A33AE8">
        <w:rPr>
          <w:rFonts w:asciiTheme="majorHAnsi" w:hAnsiTheme="majorHAnsi" w:cstheme="majorHAnsi"/>
          <w:lang w:val="en-GB"/>
        </w:rPr>
        <w:t>33</w:t>
      </w:r>
      <w:r w:rsidR="0040614E" w:rsidRPr="00A33AE8">
        <w:rPr>
          <w:rFonts w:asciiTheme="majorHAnsi" w:hAnsiTheme="majorHAnsi" w:cstheme="majorHAnsi"/>
          <w:lang w:val="en-GB"/>
        </w:rPr>
        <w:t>%</w:t>
      </w:r>
      <w:r w:rsidRPr="00A33AE8">
        <w:rPr>
          <w:rFonts w:asciiTheme="majorHAnsi" w:hAnsiTheme="majorHAnsi" w:cstheme="majorHAnsi"/>
          <w:lang w:val="en-GB"/>
        </w:rPr>
        <w:t xml:space="preserve">, it is expected to increase up to </w:t>
      </w:r>
      <w:r w:rsidR="00E81F3E" w:rsidRPr="00A33AE8">
        <w:rPr>
          <w:rFonts w:asciiTheme="majorHAnsi" w:hAnsiTheme="majorHAnsi" w:cstheme="majorHAnsi"/>
          <w:lang w:val="en-GB"/>
        </w:rPr>
        <w:t>36</w:t>
      </w:r>
      <w:r w:rsidR="00FF04E9" w:rsidRPr="00A33AE8">
        <w:rPr>
          <w:rFonts w:asciiTheme="majorHAnsi" w:hAnsiTheme="majorHAnsi" w:cstheme="majorHAnsi"/>
          <w:lang w:val="en-GB"/>
        </w:rPr>
        <w:t xml:space="preserve">% </w:t>
      </w:r>
      <w:r w:rsidRPr="00A33AE8">
        <w:rPr>
          <w:rFonts w:asciiTheme="majorHAnsi" w:hAnsiTheme="majorHAnsi" w:cstheme="majorHAnsi"/>
          <w:lang w:val="en-GB"/>
        </w:rPr>
        <w:t xml:space="preserve">in 2030 and up to </w:t>
      </w:r>
      <w:r w:rsidR="00FF04E9" w:rsidRPr="00A33AE8">
        <w:rPr>
          <w:rFonts w:asciiTheme="majorHAnsi" w:hAnsiTheme="majorHAnsi" w:cstheme="majorHAnsi"/>
          <w:lang w:val="en-GB"/>
        </w:rPr>
        <w:t xml:space="preserve">45% </w:t>
      </w:r>
      <w:r w:rsidRPr="00A33AE8">
        <w:rPr>
          <w:rFonts w:asciiTheme="majorHAnsi" w:hAnsiTheme="majorHAnsi" w:cstheme="majorHAnsi"/>
          <w:lang w:val="en-GB"/>
        </w:rPr>
        <w:t>by 2050</w:t>
      </w:r>
      <w:r w:rsidR="00FF04E9" w:rsidRPr="00A33AE8">
        <w:rPr>
          <w:rFonts w:asciiTheme="majorHAnsi" w:hAnsiTheme="majorHAnsi" w:cstheme="majorHAnsi"/>
          <w:lang w:val="en-GB"/>
        </w:rPr>
        <w:t>,</w:t>
      </w:r>
      <w:r w:rsidR="00075A23" w:rsidRPr="00A33AE8">
        <w:rPr>
          <w:rFonts w:asciiTheme="majorHAnsi" w:hAnsiTheme="majorHAnsi" w:cstheme="majorHAnsi"/>
          <w:lang w:val="en-GB"/>
        </w:rPr>
        <w:t xml:space="preserve"> mainly due to the increased use of natural gas and petroleum products</w:t>
      </w:r>
      <w:r w:rsidRPr="00A33AE8">
        <w:rPr>
          <w:rFonts w:asciiTheme="majorHAnsi" w:hAnsiTheme="majorHAnsi" w:cstheme="majorHAnsi"/>
          <w:lang w:val="en-GB"/>
        </w:rPr>
        <w:t>.</w:t>
      </w:r>
    </w:p>
    <w:p w14:paraId="5843209D" w14:textId="63483D82" w:rsidR="00365CEB" w:rsidRPr="00A33AE8" w:rsidRDefault="00365CEB" w:rsidP="00365CEB">
      <w:pPr>
        <w:pStyle w:val="Caption"/>
        <w:rPr>
          <w:lang w:eastAsia="el-GR"/>
        </w:rPr>
      </w:pPr>
      <w:bookmarkStart w:id="317" w:name="_Ref113634350"/>
      <w:bookmarkStart w:id="318" w:name="_Toc118992311"/>
      <w:bookmarkStart w:id="319" w:name="_Toc154575249"/>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42</w:t>
      </w:r>
      <w:r w:rsidR="00B62877">
        <w:rPr>
          <w:lang w:eastAsia="el-GR"/>
        </w:rPr>
        <w:fldChar w:fldCharType="end"/>
      </w:r>
      <w:bookmarkEnd w:id="317"/>
      <w:r w:rsidRPr="00A33AE8">
        <w:rPr>
          <w:lang w:eastAsia="el-GR"/>
        </w:rPr>
        <w:t>: Energy import dependency over 20</w:t>
      </w:r>
      <w:r w:rsidR="00E81F3E" w:rsidRPr="00A33AE8">
        <w:rPr>
          <w:lang w:eastAsia="el-GR"/>
        </w:rPr>
        <w:t>20</w:t>
      </w:r>
      <w:r w:rsidRPr="00A33AE8">
        <w:rPr>
          <w:lang w:eastAsia="el-GR"/>
        </w:rPr>
        <w:t>-2050</w:t>
      </w:r>
      <w:bookmarkEnd w:id="318"/>
      <w:r w:rsidR="00913221" w:rsidRPr="00913221">
        <w:t xml:space="preserve"> </w:t>
      </w:r>
      <w:r w:rsidR="00913221" w:rsidRPr="00913221">
        <w:rPr>
          <w:lang w:eastAsia="el-GR"/>
        </w:rPr>
        <w:t>in the scenario with existing measures (WEM)</w:t>
      </w:r>
      <w:bookmarkEnd w:id="319"/>
    </w:p>
    <w:p w14:paraId="2246FBD2" w14:textId="77777777" w:rsidR="00FF04E9" w:rsidRPr="00A33AE8" w:rsidRDefault="00F774B3" w:rsidP="00FF04E9">
      <w:pPr>
        <w:jc w:val="center"/>
        <w:rPr>
          <w:lang w:eastAsia="el-GR"/>
        </w:rPr>
      </w:pPr>
      <w:r w:rsidRPr="000007D2">
        <w:rPr>
          <w:noProof/>
          <w:lang w:val="en-US"/>
        </w:rPr>
        <mc:AlternateContent>
          <mc:Choice Requires="wps">
            <w:drawing>
              <wp:anchor distT="0" distB="0" distL="114300" distR="114300" simplePos="0" relativeHeight="251714560" behindDoc="0" locked="0" layoutInCell="1" allowOverlap="1" wp14:anchorId="625B9C3F" wp14:editId="6F860E1A">
                <wp:simplePos x="0" y="0"/>
                <wp:positionH relativeFrom="column">
                  <wp:posOffset>1324370</wp:posOffset>
                </wp:positionH>
                <wp:positionV relativeFrom="paragraph">
                  <wp:posOffset>1859136</wp:posOffset>
                </wp:positionV>
                <wp:extent cx="2441276" cy="1487757"/>
                <wp:effectExtent l="0" t="0" r="0" b="0"/>
                <wp:wrapNone/>
                <wp:docPr id="490576885" name="Text Box 490576885"/>
                <wp:cNvGraphicFramePr/>
                <a:graphic xmlns:a="http://schemas.openxmlformats.org/drawingml/2006/main">
                  <a:graphicData uri="http://schemas.microsoft.com/office/word/2010/wordprocessingShape">
                    <wps:wsp>
                      <wps:cNvSpPr txBox="1"/>
                      <wps:spPr>
                        <a:xfrm>
                          <a:off x="0" y="0"/>
                          <a:ext cx="2441276" cy="1487757"/>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F73548" id="Text Box 490576885" o:spid="_x0000_s1026" type="#_x0000_t202" style="position:absolute;margin-left:104.3pt;margin-top:146.4pt;width:192.25pt;height:11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" fillcolor="#a5a5a5 [2092]" stroked="f">
                <v:fill opacity="32896f"/>
              </v:shape>
            </w:pict>
          </mc:Fallback>
        </mc:AlternateContent>
      </w:r>
      <w:r w:rsidR="00236747" w:rsidRPr="000007D2">
        <w:rPr>
          <w:noProof/>
          <w:lang w:val="en-US"/>
        </w:rPr>
        <w:drawing>
          <wp:inline distT="0" distB="0" distL="0" distR="0" wp14:anchorId="04D7E6E5" wp14:editId="69C1A4F3">
            <wp:extent cx="5115228" cy="4067175"/>
            <wp:effectExtent l="0" t="0" r="9525" b="0"/>
            <wp:docPr id="220626501" name="Picture 22062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36089" cy="4083762"/>
                    </a:xfrm>
                    <a:prstGeom prst="rect">
                      <a:avLst/>
                    </a:prstGeom>
                    <a:noFill/>
                  </pic:spPr>
                </pic:pic>
              </a:graphicData>
            </a:graphic>
          </wp:inline>
        </w:drawing>
      </w:r>
    </w:p>
    <w:p w14:paraId="18375BBE" w14:textId="77777777" w:rsidR="00365CEB" w:rsidRPr="00A33AE8" w:rsidRDefault="000313A4" w:rsidP="00365CEB">
      <w:pPr>
        <w:pStyle w:val="LDKbody"/>
        <w:rPr>
          <w:rFonts w:asciiTheme="majorHAnsi" w:hAnsiTheme="majorHAnsi" w:cstheme="majorHAnsi"/>
          <w:lang w:val="en-GB"/>
        </w:rPr>
      </w:pPr>
      <w:r w:rsidRPr="00A33AE8">
        <w:rPr>
          <w:rFonts w:asciiTheme="majorHAnsi" w:hAnsiTheme="majorHAnsi" w:cstheme="majorHAnsi"/>
          <w:lang w:val="en-GB"/>
        </w:rPr>
        <w:lastRenderedPageBreak/>
        <w:t>The</w:t>
      </w:r>
      <w:r w:rsidR="00365CEB" w:rsidRPr="00A33AE8">
        <w:rPr>
          <w:rFonts w:asciiTheme="majorHAnsi" w:hAnsiTheme="majorHAnsi" w:cstheme="majorHAnsi"/>
          <w:lang w:val="en-GB"/>
        </w:rPr>
        <w:t xml:space="preserve"> import dependency of both oil and oil products as well as natural gas is expected to follow almost the same upward trend</w:t>
      </w:r>
      <w:r w:rsidR="00FF04E9"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as shown in </w:t>
      </w:r>
      <w:r w:rsidR="000637E1" w:rsidRPr="000007D2">
        <w:rPr>
          <w:lang w:val="en-GB"/>
        </w:rPr>
        <w:fldChar w:fldCharType="begin"/>
      </w:r>
      <w:r w:rsidR="000637E1" w:rsidRPr="000007D2">
        <w:rPr>
          <w:lang w:val="en-GB"/>
        </w:rPr>
        <w:instrText xml:space="preserve"> REF _Ref113634362 \h  \* MERGEFORMAT </w:instrText>
      </w:r>
      <w:r w:rsidR="000637E1" w:rsidRPr="000007D2">
        <w:rPr>
          <w:lang w:val="en-GB"/>
        </w:rPr>
      </w:r>
      <w:r w:rsidR="000637E1" w:rsidRPr="000007D2">
        <w:rPr>
          <w:lang w:val="en-GB"/>
        </w:rPr>
        <w:fldChar w:fldCharType="separate"/>
      </w:r>
      <w:r w:rsidR="000637E1" w:rsidRPr="00A33AE8">
        <w:rPr>
          <w:rFonts w:asciiTheme="majorHAnsi" w:hAnsiTheme="majorHAnsi" w:cstheme="majorHAnsi"/>
          <w:lang w:val="en-GB"/>
        </w:rPr>
        <w:t>Figure 4.4</w:t>
      </w:r>
      <w:r w:rsidR="000637E1">
        <w:rPr>
          <w:rFonts w:asciiTheme="majorHAnsi" w:hAnsiTheme="majorHAnsi" w:cstheme="majorHAnsi"/>
          <w:lang w:val="en-GB"/>
        </w:rPr>
        <w:t>3</w:t>
      </w:r>
      <w:r w:rsidR="000637E1" w:rsidRPr="000007D2">
        <w:rPr>
          <w:lang w:val="en-GB"/>
        </w:rPr>
        <w:fldChar w:fldCharType="end"/>
      </w:r>
      <w:r w:rsidR="00365CEB" w:rsidRPr="00A33AE8">
        <w:rPr>
          <w:rFonts w:asciiTheme="majorHAnsi" w:hAnsiTheme="majorHAnsi" w:cstheme="majorHAnsi"/>
          <w:lang w:val="en-GB"/>
        </w:rPr>
        <w:t xml:space="preserve">. However, the import dependency of electricity will move to negative percentages; from </w:t>
      </w:r>
      <w:r w:rsidR="00E81F3E" w:rsidRPr="00A33AE8">
        <w:rPr>
          <w:rFonts w:asciiTheme="majorHAnsi" w:hAnsiTheme="majorHAnsi" w:cstheme="majorHAnsi"/>
          <w:lang w:val="en-GB"/>
        </w:rPr>
        <w:t>-1</w:t>
      </w:r>
      <w:r w:rsidR="00365CEB" w:rsidRPr="00A33AE8">
        <w:rPr>
          <w:rFonts w:asciiTheme="majorHAnsi" w:hAnsiTheme="majorHAnsi" w:cstheme="majorHAnsi"/>
          <w:lang w:val="en-GB"/>
        </w:rPr>
        <w:t>% in 20</w:t>
      </w:r>
      <w:r w:rsidR="00E81F3E" w:rsidRPr="00A33AE8">
        <w:rPr>
          <w:rFonts w:asciiTheme="majorHAnsi" w:hAnsiTheme="majorHAnsi" w:cstheme="majorHAnsi"/>
          <w:lang w:val="en-GB"/>
        </w:rPr>
        <w:t>20</w:t>
      </w:r>
      <w:r w:rsidR="00365CEB" w:rsidRPr="00A33AE8">
        <w:rPr>
          <w:rFonts w:asciiTheme="majorHAnsi" w:hAnsiTheme="majorHAnsi" w:cstheme="majorHAnsi"/>
          <w:lang w:val="en-GB"/>
        </w:rPr>
        <w:t xml:space="preserve"> to </w:t>
      </w:r>
      <w:r w:rsidR="00FF04E9" w:rsidRPr="00A33AE8">
        <w:rPr>
          <w:rFonts w:asciiTheme="majorHAnsi" w:hAnsiTheme="majorHAnsi" w:cstheme="majorHAnsi"/>
          <w:lang w:val="en-GB"/>
        </w:rPr>
        <w:t xml:space="preserve">-4% </w:t>
      </w:r>
      <w:r w:rsidR="00365CEB" w:rsidRPr="00A33AE8">
        <w:rPr>
          <w:rFonts w:asciiTheme="majorHAnsi" w:hAnsiTheme="majorHAnsi" w:cstheme="majorHAnsi"/>
          <w:lang w:val="en-GB"/>
        </w:rPr>
        <w:t xml:space="preserve">in 2030 and to </w:t>
      </w:r>
      <w:r w:rsidR="00FF04E9" w:rsidRPr="00A33AE8">
        <w:rPr>
          <w:rFonts w:asciiTheme="majorHAnsi" w:hAnsiTheme="majorHAnsi" w:cstheme="majorHAnsi"/>
          <w:lang w:val="en-GB"/>
        </w:rPr>
        <w:t xml:space="preserve">-5% </w:t>
      </w:r>
      <w:r w:rsidR="00365CEB" w:rsidRPr="00A33AE8">
        <w:rPr>
          <w:rFonts w:asciiTheme="majorHAnsi" w:hAnsiTheme="majorHAnsi" w:cstheme="majorHAnsi"/>
          <w:lang w:val="en-GB"/>
        </w:rPr>
        <w:t xml:space="preserve">in 2050, </w:t>
      </w:r>
      <w:r w:rsidRPr="00A33AE8">
        <w:rPr>
          <w:rFonts w:asciiTheme="majorHAnsi" w:hAnsiTheme="majorHAnsi" w:cstheme="majorHAnsi"/>
          <w:lang w:val="en-GB"/>
        </w:rPr>
        <w:t xml:space="preserve">indicating </w:t>
      </w:r>
      <w:r w:rsidR="00075A23" w:rsidRPr="00A33AE8">
        <w:rPr>
          <w:rFonts w:asciiTheme="majorHAnsi" w:hAnsiTheme="majorHAnsi" w:cstheme="majorHAnsi"/>
          <w:lang w:val="en-GB"/>
        </w:rPr>
        <w:t xml:space="preserve">that </w:t>
      </w:r>
      <w:r w:rsidR="00365CEB" w:rsidRPr="00A33AE8">
        <w:rPr>
          <w:rFonts w:asciiTheme="majorHAnsi" w:hAnsiTheme="majorHAnsi" w:cstheme="majorHAnsi"/>
          <w:lang w:val="en-GB"/>
        </w:rPr>
        <w:t xml:space="preserve">the Republic of Serbia is expected to be a net electricity exporter by </w:t>
      </w:r>
      <w:r w:rsidR="00075A23" w:rsidRPr="00A33AE8">
        <w:rPr>
          <w:rFonts w:asciiTheme="majorHAnsi" w:hAnsiTheme="majorHAnsi" w:cstheme="majorHAnsi"/>
          <w:lang w:val="en-GB"/>
        </w:rPr>
        <w:t>2050</w:t>
      </w:r>
      <w:r w:rsidR="00365CEB" w:rsidRPr="00A33AE8">
        <w:rPr>
          <w:rFonts w:asciiTheme="majorHAnsi" w:hAnsiTheme="majorHAnsi" w:cstheme="majorHAnsi"/>
          <w:lang w:val="en-GB"/>
        </w:rPr>
        <w:t>.</w:t>
      </w:r>
    </w:p>
    <w:p w14:paraId="1EC74132" w14:textId="0315354E" w:rsidR="00365CEB" w:rsidRPr="00A33AE8" w:rsidRDefault="00365CEB" w:rsidP="00365CEB">
      <w:pPr>
        <w:pStyle w:val="Caption"/>
        <w:rPr>
          <w:lang w:eastAsia="el-GR"/>
        </w:rPr>
      </w:pPr>
      <w:bookmarkStart w:id="320" w:name="_Ref113634362"/>
      <w:bookmarkStart w:id="321" w:name="_Toc118992312"/>
      <w:bookmarkStart w:id="322" w:name="_Toc154575250"/>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43</w:t>
      </w:r>
      <w:r w:rsidR="00B62877">
        <w:rPr>
          <w:lang w:eastAsia="el-GR"/>
        </w:rPr>
        <w:fldChar w:fldCharType="end"/>
      </w:r>
      <w:bookmarkEnd w:id="320"/>
      <w:r w:rsidRPr="00A33AE8">
        <w:rPr>
          <w:lang w:eastAsia="el-GR"/>
        </w:rPr>
        <w:t>: Import dependency of oil and oil products, natural gas and electricity over 20</w:t>
      </w:r>
      <w:r w:rsidR="00E81F3E" w:rsidRPr="00A33AE8">
        <w:rPr>
          <w:lang w:eastAsia="el-GR"/>
        </w:rPr>
        <w:t>20</w:t>
      </w:r>
      <w:r w:rsidRPr="00A33AE8">
        <w:rPr>
          <w:lang w:eastAsia="el-GR"/>
        </w:rPr>
        <w:t>-2050</w:t>
      </w:r>
      <w:bookmarkEnd w:id="321"/>
      <w:r w:rsidR="00913221" w:rsidRPr="00913221">
        <w:t xml:space="preserve"> </w:t>
      </w:r>
      <w:r w:rsidR="00913221" w:rsidRPr="00913221">
        <w:rPr>
          <w:lang w:eastAsia="el-GR"/>
        </w:rPr>
        <w:t>in the scenario with existing measures (WEM)</w:t>
      </w:r>
      <w:bookmarkEnd w:id="322"/>
    </w:p>
    <w:p w14:paraId="5D1CE557" w14:textId="77777777" w:rsidR="003F1CE1" w:rsidRPr="000007D2" w:rsidRDefault="00F774B3" w:rsidP="00FF04E9">
      <w:pPr>
        <w:jc w:val="center"/>
      </w:pPr>
      <w:r w:rsidRPr="000007D2">
        <w:rPr>
          <w:noProof/>
          <w:lang w:val="en-US"/>
        </w:rPr>
        <mc:AlternateContent>
          <mc:Choice Requires="wps">
            <w:drawing>
              <wp:anchor distT="0" distB="0" distL="114300" distR="114300" simplePos="0" relativeHeight="251716608" behindDoc="0" locked="0" layoutInCell="1" allowOverlap="1" wp14:anchorId="09F8167D" wp14:editId="0D8370A3">
                <wp:simplePos x="0" y="0"/>
                <wp:positionH relativeFrom="column">
                  <wp:posOffset>1643548</wp:posOffset>
                </wp:positionH>
                <wp:positionV relativeFrom="paragraph">
                  <wp:posOffset>161363</wp:posOffset>
                </wp:positionV>
                <wp:extent cx="2052955" cy="3264798"/>
                <wp:effectExtent l="0" t="0" r="4445" b="0"/>
                <wp:wrapNone/>
                <wp:docPr id="1249670355" name="Text Box 1249670355"/>
                <wp:cNvGraphicFramePr/>
                <a:graphic xmlns:a="http://schemas.openxmlformats.org/drawingml/2006/main">
                  <a:graphicData uri="http://schemas.microsoft.com/office/word/2010/wordprocessingShape">
                    <wps:wsp>
                      <wps:cNvSpPr txBox="1"/>
                      <wps:spPr>
                        <a:xfrm>
                          <a:off x="0" y="0"/>
                          <a:ext cx="2052955" cy="3264798"/>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D2655" id="Text Box 1249670355" o:spid="_x0000_s1026" type="#_x0000_t202" style="position:absolute;margin-left:129.4pt;margin-top:12.7pt;width:161.65pt;height:2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" fillcolor="#a5a5a5 [2092]" stroked="f">
                <v:fill opacity="32896f"/>
              </v:shape>
            </w:pict>
          </mc:Fallback>
        </mc:AlternateContent>
      </w:r>
      <w:r w:rsidR="00887400" w:rsidRPr="000007D2">
        <w:rPr>
          <w:noProof/>
          <w:lang w:val="en-US"/>
        </w:rPr>
        <w:drawing>
          <wp:inline distT="0" distB="0" distL="0" distR="0" wp14:anchorId="0684CBAD" wp14:editId="2F8650A4">
            <wp:extent cx="4334510" cy="3975100"/>
            <wp:effectExtent l="0" t="0" r="8890" b="6350"/>
            <wp:docPr id="1492048440" name="Picture 149204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34510" cy="3975100"/>
                    </a:xfrm>
                    <a:prstGeom prst="rect">
                      <a:avLst/>
                    </a:prstGeom>
                    <a:noFill/>
                  </pic:spPr>
                </pic:pic>
              </a:graphicData>
            </a:graphic>
          </wp:inline>
        </w:drawing>
      </w:r>
    </w:p>
    <w:p w14:paraId="38973411" w14:textId="4BB34400" w:rsidR="00365CEB"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 xml:space="preserve">The </w:t>
      </w:r>
      <w:r w:rsidR="00BB010C" w:rsidRPr="00A33AE8">
        <w:rPr>
          <w:rFonts w:asciiTheme="majorHAnsi" w:hAnsiTheme="majorHAnsi" w:cstheme="majorHAnsi"/>
          <w:lang w:val="en-GB"/>
        </w:rPr>
        <w:t>primary production</w:t>
      </w:r>
      <w:r w:rsidRPr="00A33AE8">
        <w:rPr>
          <w:rFonts w:asciiTheme="majorHAnsi" w:hAnsiTheme="majorHAnsi" w:cstheme="majorHAnsi"/>
          <w:lang w:val="en-GB"/>
        </w:rPr>
        <w:t xml:space="preserve"> is expected to</w:t>
      </w:r>
      <w:r w:rsidR="008222DC" w:rsidRPr="00A33AE8">
        <w:rPr>
          <w:rFonts w:asciiTheme="majorHAnsi" w:hAnsiTheme="majorHAnsi" w:cstheme="majorHAnsi"/>
          <w:lang w:val="en-GB"/>
        </w:rPr>
        <w:t xml:space="preserve"> increase</w:t>
      </w:r>
      <w:r w:rsidRPr="00A33AE8">
        <w:rPr>
          <w:rFonts w:asciiTheme="majorHAnsi" w:hAnsiTheme="majorHAnsi" w:cstheme="majorHAnsi"/>
          <w:lang w:val="en-GB"/>
        </w:rPr>
        <w:t xml:space="preserve"> by 2050</w:t>
      </w:r>
      <w:r w:rsidR="008222DC" w:rsidRPr="00A33AE8">
        <w:rPr>
          <w:rFonts w:asciiTheme="majorHAnsi" w:hAnsiTheme="majorHAnsi" w:cstheme="majorHAnsi"/>
          <w:lang w:val="en-GB"/>
        </w:rPr>
        <w:t>;</w:t>
      </w:r>
      <w:r w:rsidRPr="00A33AE8">
        <w:rPr>
          <w:rFonts w:asciiTheme="majorHAnsi" w:hAnsiTheme="majorHAnsi" w:cstheme="majorHAnsi"/>
          <w:lang w:val="en-GB"/>
        </w:rPr>
        <w:t xml:space="preserve"> from 10</w:t>
      </w:r>
      <w:r w:rsidR="008222DC" w:rsidRPr="00A33AE8">
        <w:rPr>
          <w:rFonts w:asciiTheme="majorHAnsi" w:hAnsiTheme="majorHAnsi" w:cstheme="majorHAnsi"/>
          <w:lang w:val="en-GB"/>
        </w:rPr>
        <w:t>.</w:t>
      </w:r>
      <w:r w:rsidR="00E81F3E" w:rsidRPr="00A33AE8">
        <w:rPr>
          <w:rFonts w:asciiTheme="majorHAnsi" w:hAnsiTheme="majorHAnsi" w:cstheme="majorHAnsi"/>
          <w:lang w:val="en-GB"/>
        </w:rPr>
        <w:t>55</w:t>
      </w:r>
      <w:r w:rsidRPr="00A33AE8">
        <w:rPr>
          <w:rFonts w:asciiTheme="majorHAnsi" w:hAnsiTheme="majorHAnsi" w:cstheme="majorHAnsi"/>
          <w:lang w:val="en-GB"/>
        </w:rPr>
        <w:t xml:space="preserve"> Mtoe in 20</w:t>
      </w:r>
      <w:r w:rsidR="00E81F3E" w:rsidRPr="00A33AE8">
        <w:rPr>
          <w:rFonts w:asciiTheme="majorHAnsi" w:hAnsiTheme="majorHAnsi" w:cstheme="majorHAnsi"/>
          <w:lang w:val="en-GB"/>
        </w:rPr>
        <w:t>20</w:t>
      </w:r>
      <w:r w:rsidRPr="00A33AE8">
        <w:rPr>
          <w:rFonts w:asciiTheme="majorHAnsi" w:hAnsiTheme="majorHAnsi" w:cstheme="majorHAnsi"/>
          <w:lang w:val="en-GB"/>
        </w:rPr>
        <w:t xml:space="preserve"> to </w:t>
      </w:r>
      <w:r w:rsidR="00FF04E9" w:rsidRPr="00A33AE8">
        <w:rPr>
          <w:rFonts w:asciiTheme="majorHAnsi" w:hAnsiTheme="majorHAnsi" w:cstheme="majorHAnsi"/>
          <w:lang w:val="en-GB"/>
        </w:rPr>
        <w:t>11.</w:t>
      </w:r>
      <w:r w:rsidR="00E81F3E" w:rsidRPr="00A33AE8">
        <w:rPr>
          <w:rFonts w:asciiTheme="majorHAnsi" w:hAnsiTheme="majorHAnsi" w:cstheme="majorHAnsi"/>
          <w:lang w:val="en-GB"/>
        </w:rPr>
        <w:t>88</w:t>
      </w:r>
      <w:r w:rsidR="00FF04E9" w:rsidRPr="00A33AE8">
        <w:rPr>
          <w:rFonts w:asciiTheme="majorHAnsi" w:hAnsiTheme="majorHAnsi" w:cstheme="majorHAnsi"/>
          <w:lang w:val="en-GB"/>
        </w:rPr>
        <w:t xml:space="preserve"> </w:t>
      </w:r>
      <w:r w:rsidRPr="00A33AE8">
        <w:rPr>
          <w:rFonts w:asciiTheme="majorHAnsi" w:hAnsiTheme="majorHAnsi" w:cstheme="majorHAnsi"/>
          <w:lang w:val="en-GB"/>
        </w:rPr>
        <w:t xml:space="preserve">Mtoe in 2030 and to </w:t>
      </w:r>
      <w:r w:rsidR="00FF04E9" w:rsidRPr="00A33AE8">
        <w:rPr>
          <w:rFonts w:asciiTheme="majorHAnsi" w:hAnsiTheme="majorHAnsi" w:cstheme="majorHAnsi"/>
          <w:lang w:val="en-GB"/>
        </w:rPr>
        <w:t xml:space="preserve">11.3 </w:t>
      </w:r>
      <w:r w:rsidRPr="00A33AE8">
        <w:rPr>
          <w:rFonts w:asciiTheme="majorHAnsi" w:hAnsiTheme="majorHAnsi" w:cstheme="majorHAnsi"/>
          <w:lang w:val="en-GB"/>
        </w:rPr>
        <w:t xml:space="preserve">Mtoe in 2050, as presented in </w:t>
      </w:r>
      <w:r w:rsidR="00A3584B">
        <w:rPr>
          <w:rFonts w:asciiTheme="majorHAnsi" w:hAnsiTheme="majorHAnsi" w:cstheme="majorHAnsi"/>
          <w:lang w:val="en-GB"/>
        </w:rPr>
        <w:fldChar w:fldCharType="begin"/>
      </w:r>
      <w:r w:rsidR="00A3584B">
        <w:rPr>
          <w:rFonts w:asciiTheme="majorHAnsi" w:hAnsiTheme="majorHAnsi" w:cstheme="majorHAnsi"/>
          <w:lang w:val="en-GB"/>
        </w:rPr>
        <w:instrText xml:space="preserve"> REF _Ref153465188 \h  \* MERGEFORMAT </w:instrText>
      </w:r>
      <w:r w:rsidR="00A3584B">
        <w:rPr>
          <w:rFonts w:asciiTheme="majorHAnsi" w:hAnsiTheme="majorHAnsi" w:cstheme="majorHAnsi"/>
          <w:lang w:val="en-GB"/>
        </w:rPr>
      </w:r>
      <w:r w:rsidR="00A3584B">
        <w:rPr>
          <w:rFonts w:asciiTheme="majorHAnsi" w:hAnsiTheme="majorHAnsi" w:cstheme="majorHAnsi"/>
          <w:lang w:val="en-GB"/>
        </w:rPr>
        <w:fldChar w:fldCharType="separate"/>
      </w:r>
      <w:r w:rsidR="00A3584B" w:rsidRPr="0087794A">
        <w:rPr>
          <w:rFonts w:asciiTheme="majorHAnsi" w:hAnsiTheme="majorHAnsi" w:cstheme="majorHAnsi"/>
          <w:lang w:val="en-GB"/>
        </w:rPr>
        <w:t>Figure 4.44</w:t>
      </w:r>
      <w:r w:rsidR="00A3584B">
        <w:rPr>
          <w:rFonts w:asciiTheme="majorHAnsi" w:hAnsiTheme="majorHAnsi" w:cstheme="majorHAnsi"/>
          <w:lang w:val="en-GB"/>
        </w:rPr>
        <w:fldChar w:fldCharType="end"/>
      </w:r>
      <w:r w:rsidR="000637E1" w:rsidRPr="0087794A">
        <w:rPr>
          <w:rFonts w:asciiTheme="majorHAnsi" w:hAnsiTheme="majorHAnsi" w:cstheme="majorHAnsi"/>
          <w:lang w:val="en-GB"/>
        </w:rPr>
        <w:fldChar w:fldCharType="begin"/>
      </w:r>
      <w:r w:rsidR="000637E1" w:rsidRPr="0087794A">
        <w:rPr>
          <w:rFonts w:asciiTheme="majorHAnsi" w:hAnsiTheme="majorHAnsi" w:cstheme="majorHAnsi"/>
          <w:lang w:val="en-GB"/>
        </w:rPr>
        <w:instrText xml:space="preserve"> REF _Ref113634374 \h  \* MERGEFORMAT </w:instrText>
      </w:r>
      <w:r w:rsidR="000637E1" w:rsidRPr="0087794A">
        <w:rPr>
          <w:rFonts w:asciiTheme="majorHAnsi" w:hAnsiTheme="majorHAnsi" w:cstheme="majorHAnsi"/>
          <w:lang w:val="en-GB"/>
        </w:rPr>
      </w:r>
      <w:r w:rsidR="000637E1" w:rsidRPr="0087794A">
        <w:rPr>
          <w:rFonts w:asciiTheme="majorHAnsi" w:hAnsiTheme="majorHAnsi" w:cstheme="majorHAnsi"/>
          <w:lang w:val="en-GB"/>
        </w:rPr>
        <w:fldChar w:fldCharType="end"/>
      </w:r>
      <w:r w:rsidRPr="00A33AE8">
        <w:rPr>
          <w:rFonts w:asciiTheme="majorHAnsi" w:hAnsiTheme="majorHAnsi" w:cstheme="majorHAnsi"/>
          <w:lang w:val="en-GB"/>
        </w:rPr>
        <w:t xml:space="preserve">. </w:t>
      </w:r>
      <w:r w:rsidR="00BB010C" w:rsidRPr="00A33AE8">
        <w:rPr>
          <w:rFonts w:asciiTheme="majorHAnsi" w:hAnsiTheme="majorHAnsi" w:cstheme="majorHAnsi"/>
          <w:lang w:val="en-GB"/>
        </w:rPr>
        <w:t xml:space="preserve">It should be noted that an increase is observed </w:t>
      </w:r>
      <w:r w:rsidRPr="00A33AE8">
        <w:rPr>
          <w:rFonts w:asciiTheme="majorHAnsi" w:hAnsiTheme="majorHAnsi" w:cstheme="majorHAnsi"/>
          <w:lang w:val="en-GB"/>
        </w:rPr>
        <w:t xml:space="preserve">until </w:t>
      </w:r>
      <w:r w:rsidR="008222DC" w:rsidRPr="00A33AE8">
        <w:rPr>
          <w:rFonts w:asciiTheme="majorHAnsi" w:hAnsiTheme="majorHAnsi" w:cstheme="majorHAnsi"/>
          <w:lang w:val="en-GB"/>
        </w:rPr>
        <w:t>2045</w:t>
      </w:r>
      <w:r w:rsidRPr="00A33AE8">
        <w:rPr>
          <w:rFonts w:asciiTheme="majorHAnsi" w:hAnsiTheme="majorHAnsi" w:cstheme="majorHAnsi"/>
          <w:lang w:val="en-GB"/>
        </w:rPr>
        <w:t xml:space="preserve"> (</w:t>
      </w:r>
      <w:r w:rsidR="00FF04E9" w:rsidRPr="00A33AE8">
        <w:rPr>
          <w:rFonts w:asciiTheme="majorHAnsi" w:hAnsiTheme="majorHAnsi" w:cstheme="majorHAnsi"/>
          <w:lang w:val="en-GB"/>
        </w:rPr>
        <w:t>12.</w:t>
      </w:r>
      <w:r w:rsidR="00E81F3E" w:rsidRPr="00A33AE8">
        <w:rPr>
          <w:rFonts w:asciiTheme="majorHAnsi" w:hAnsiTheme="majorHAnsi" w:cstheme="majorHAnsi"/>
          <w:lang w:val="en-GB"/>
        </w:rPr>
        <w:t>33</w:t>
      </w:r>
      <w:r w:rsidR="00FF04E9" w:rsidRPr="00A33AE8">
        <w:rPr>
          <w:rFonts w:asciiTheme="majorHAnsi" w:hAnsiTheme="majorHAnsi" w:cstheme="majorHAnsi"/>
          <w:lang w:val="en-GB"/>
        </w:rPr>
        <w:t xml:space="preserve"> </w:t>
      </w:r>
      <w:r w:rsidRPr="00A33AE8">
        <w:rPr>
          <w:rFonts w:asciiTheme="majorHAnsi" w:hAnsiTheme="majorHAnsi" w:cstheme="majorHAnsi"/>
          <w:lang w:val="en-GB"/>
        </w:rPr>
        <w:t>Mtoe)</w:t>
      </w:r>
      <w:r w:rsidR="00BB010C" w:rsidRPr="00A33AE8">
        <w:rPr>
          <w:rFonts w:asciiTheme="majorHAnsi" w:hAnsiTheme="majorHAnsi" w:cstheme="majorHAnsi"/>
          <w:lang w:val="en-GB"/>
        </w:rPr>
        <w:t xml:space="preserve">, while a decline is foreseen </w:t>
      </w:r>
      <w:r w:rsidRPr="00A33AE8">
        <w:rPr>
          <w:rFonts w:asciiTheme="majorHAnsi" w:hAnsiTheme="majorHAnsi" w:cstheme="majorHAnsi"/>
          <w:lang w:val="en-GB"/>
        </w:rPr>
        <w:t xml:space="preserve">until </w:t>
      </w:r>
      <w:r w:rsidR="008222DC" w:rsidRPr="00A33AE8">
        <w:rPr>
          <w:rFonts w:asciiTheme="majorHAnsi" w:hAnsiTheme="majorHAnsi" w:cstheme="majorHAnsi"/>
          <w:lang w:val="en-GB"/>
        </w:rPr>
        <w:t>2050</w:t>
      </w:r>
      <w:r w:rsidR="009A0AC4" w:rsidRPr="00A33AE8">
        <w:rPr>
          <w:rFonts w:asciiTheme="majorHAnsi" w:hAnsiTheme="majorHAnsi" w:cstheme="majorHAnsi"/>
          <w:lang w:val="en-GB"/>
        </w:rPr>
        <w:t xml:space="preserve">. </w:t>
      </w:r>
      <w:r w:rsidRPr="00A33AE8">
        <w:rPr>
          <w:rFonts w:asciiTheme="majorHAnsi" w:hAnsiTheme="majorHAnsi" w:cstheme="majorHAnsi"/>
          <w:lang w:val="en-GB"/>
        </w:rPr>
        <w:t xml:space="preserve">Solid fuels </w:t>
      </w:r>
      <w:r w:rsidR="0061575A" w:rsidRPr="00A33AE8">
        <w:rPr>
          <w:rFonts w:asciiTheme="majorHAnsi" w:hAnsiTheme="majorHAnsi" w:cstheme="majorHAnsi"/>
          <w:lang w:val="en-GB"/>
        </w:rPr>
        <w:t xml:space="preserve">as well as </w:t>
      </w:r>
      <w:r w:rsidRPr="00A33AE8">
        <w:rPr>
          <w:rFonts w:asciiTheme="majorHAnsi" w:hAnsiTheme="majorHAnsi" w:cstheme="majorHAnsi"/>
          <w:lang w:val="en-GB"/>
        </w:rPr>
        <w:t xml:space="preserve">RES </w:t>
      </w:r>
      <w:r w:rsidR="0061575A" w:rsidRPr="00A33AE8">
        <w:rPr>
          <w:rFonts w:asciiTheme="majorHAnsi" w:hAnsiTheme="majorHAnsi" w:cstheme="majorHAnsi"/>
          <w:lang w:val="en-GB"/>
        </w:rPr>
        <w:t xml:space="preserve">and waste </w:t>
      </w:r>
      <w:r w:rsidR="00BB010C" w:rsidRPr="00A33AE8">
        <w:rPr>
          <w:rFonts w:asciiTheme="majorHAnsi" w:hAnsiTheme="majorHAnsi" w:cstheme="majorHAnsi"/>
          <w:lang w:val="en-GB"/>
        </w:rPr>
        <w:t xml:space="preserve">constitute </w:t>
      </w:r>
      <w:r w:rsidRPr="00A33AE8">
        <w:rPr>
          <w:rFonts w:asciiTheme="majorHAnsi" w:hAnsiTheme="majorHAnsi" w:cstheme="majorHAnsi"/>
          <w:lang w:val="en-GB"/>
        </w:rPr>
        <w:t xml:space="preserve">the energy sources with the highest contribution by 2050 demonstrating a </w:t>
      </w:r>
      <w:r w:rsidR="0061575A" w:rsidRPr="00A33AE8">
        <w:rPr>
          <w:rFonts w:asciiTheme="majorHAnsi" w:hAnsiTheme="majorHAnsi" w:cstheme="majorHAnsi"/>
          <w:lang w:val="en-GB"/>
        </w:rPr>
        <w:t xml:space="preserve">rise </w:t>
      </w:r>
      <w:r w:rsidR="00BB010C" w:rsidRPr="00A33AE8">
        <w:rPr>
          <w:rFonts w:asciiTheme="majorHAnsi" w:hAnsiTheme="majorHAnsi" w:cstheme="majorHAnsi"/>
          <w:lang w:val="en-GB"/>
        </w:rPr>
        <w:t>equal to</w:t>
      </w:r>
      <w:r w:rsidRPr="00A33AE8">
        <w:rPr>
          <w:rFonts w:asciiTheme="majorHAnsi" w:hAnsiTheme="majorHAnsi" w:cstheme="majorHAnsi"/>
          <w:lang w:val="en-GB"/>
        </w:rPr>
        <w:t xml:space="preserve"> </w:t>
      </w:r>
      <w:r w:rsidR="00FA4299" w:rsidRPr="00A33AE8">
        <w:rPr>
          <w:rFonts w:asciiTheme="majorHAnsi" w:hAnsiTheme="majorHAnsi" w:cstheme="majorHAnsi"/>
          <w:lang w:val="en-GB"/>
        </w:rPr>
        <w:t>9</w:t>
      </w:r>
      <w:r w:rsidR="00FF04E9" w:rsidRPr="00A33AE8">
        <w:rPr>
          <w:rFonts w:asciiTheme="majorHAnsi" w:hAnsiTheme="majorHAnsi" w:cstheme="majorHAnsi"/>
          <w:lang w:val="en-GB"/>
        </w:rPr>
        <w:t xml:space="preserve">% </w:t>
      </w:r>
      <w:r w:rsidRPr="00A33AE8">
        <w:rPr>
          <w:rFonts w:asciiTheme="majorHAnsi" w:hAnsiTheme="majorHAnsi" w:cstheme="majorHAnsi"/>
          <w:lang w:val="en-GB"/>
        </w:rPr>
        <w:t>and</w:t>
      </w:r>
      <w:r w:rsidR="0061575A" w:rsidRPr="00A33AE8">
        <w:rPr>
          <w:rFonts w:asciiTheme="majorHAnsi" w:hAnsiTheme="majorHAnsi" w:cstheme="majorHAnsi"/>
          <w:lang w:val="en-GB"/>
        </w:rPr>
        <w:t xml:space="preserve"> </w:t>
      </w:r>
      <w:r w:rsidR="00FA4299" w:rsidRPr="00A33AE8">
        <w:rPr>
          <w:rFonts w:asciiTheme="majorHAnsi" w:hAnsiTheme="majorHAnsi" w:cstheme="majorHAnsi"/>
          <w:lang w:val="en-GB"/>
        </w:rPr>
        <w:t>38</w:t>
      </w:r>
      <w:r w:rsidR="00FF04E9" w:rsidRPr="00A33AE8">
        <w:rPr>
          <w:rFonts w:asciiTheme="majorHAnsi" w:hAnsiTheme="majorHAnsi" w:cstheme="majorHAnsi"/>
          <w:lang w:val="en-GB"/>
        </w:rPr>
        <w:t xml:space="preserve">% </w:t>
      </w:r>
      <w:r w:rsidR="00BD1B4F" w:rsidRPr="00A33AE8">
        <w:rPr>
          <w:rFonts w:asciiTheme="majorHAnsi" w:hAnsiTheme="majorHAnsi" w:cstheme="majorHAnsi"/>
          <w:lang w:val="en-GB"/>
        </w:rPr>
        <w:t>respectively</w:t>
      </w:r>
      <w:r w:rsidRPr="00A33AE8">
        <w:rPr>
          <w:rFonts w:asciiTheme="majorHAnsi" w:hAnsiTheme="majorHAnsi" w:cstheme="majorHAnsi"/>
          <w:lang w:val="en-GB"/>
        </w:rPr>
        <w:t xml:space="preserve"> compared to 20</w:t>
      </w:r>
      <w:r w:rsidR="00FA4299" w:rsidRPr="00A33AE8">
        <w:rPr>
          <w:rFonts w:asciiTheme="majorHAnsi" w:hAnsiTheme="majorHAnsi" w:cstheme="majorHAnsi"/>
          <w:lang w:val="en-GB"/>
        </w:rPr>
        <w:t>20</w:t>
      </w:r>
      <w:r w:rsidRPr="00A33AE8">
        <w:rPr>
          <w:rFonts w:asciiTheme="majorHAnsi" w:hAnsiTheme="majorHAnsi" w:cstheme="majorHAnsi"/>
          <w:lang w:val="en-GB"/>
        </w:rPr>
        <w:t>.</w:t>
      </w:r>
    </w:p>
    <w:p w14:paraId="51959E53" w14:textId="02A119B8" w:rsidR="00A3584B" w:rsidRDefault="00A3584B" w:rsidP="0087794A">
      <w:pPr>
        <w:pStyle w:val="Caption"/>
        <w:keepNext/>
      </w:pPr>
      <w:bookmarkStart w:id="323" w:name="_Ref153465188"/>
      <w:bookmarkStart w:id="324" w:name="_Toc154575251"/>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44</w:t>
      </w:r>
      <w:r w:rsidR="006E0533">
        <w:rPr>
          <w:noProof/>
        </w:rPr>
        <w:fldChar w:fldCharType="end"/>
      </w:r>
      <w:bookmarkEnd w:id="323"/>
      <w:r>
        <w:t xml:space="preserve">: </w:t>
      </w:r>
      <w:r w:rsidRPr="00A3584B">
        <w:t>Primary production over 2020-2050 in the scenario with existing measures (WEM)</w:t>
      </w:r>
      <w:bookmarkEnd w:id="324"/>
    </w:p>
    <w:p w14:paraId="11AC523F" w14:textId="243D05B3" w:rsidR="00FF04E9" w:rsidRPr="00A33AE8" w:rsidRDefault="00A3584B" w:rsidP="00FF04E9">
      <w:pPr>
        <w:jc w:val="center"/>
        <w:rPr>
          <w:lang w:eastAsia="el-GR"/>
        </w:rPr>
      </w:pPr>
      <w:r w:rsidRPr="000007D2">
        <w:rPr>
          <w:noProof/>
          <w:lang w:val="en-US"/>
        </w:rPr>
        <mc:AlternateContent>
          <mc:Choice Requires="wps">
            <w:drawing>
              <wp:anchor distT="0" distB="0" distL="114300" distR="114300" simplePos="0" relativeHeight="251718656" behindDoc="0" locked="0" layoutInCell="1" allowOverlap="1" wp14:anchorId="79E1EF2E" wp14:editId="1818139D">
                <wp:simplePos x="0" y="0"/>
                <wp:positionH relativeFrom="column">
                  <wp:posOffset>1469657</wp:posOffset>
                </wp:positionH>
                <wp:positionV relativeFrom="paragraph">
                  <wp:posOffset>244308</wp:posOffset>
                </wp:positionV>
                <wp:extent cx="2303253" cy="2324520"/>
                <wp:effectExtent l="0" t="0" r="1905" b="0"/>
                <wp:wrapNone/>
                <wp:docPr id="1396019427" name="Text Box 1396019427"/>
                <wp:cNvGraphicFramePr/>
                <a:graphic xmlns:a="http://schemas.openxmlformats.org/drawingml/2006/main">
                  <a:graphicData uri="http://schemas.microsoft.com/office/word/2010/wordprocessingShape">
                    <wps:wsp>
                      <wps:cNvSpPr txBox="1"/>
                      <wps:spPr>
                        <a:xfrm>
                          <a:off x="0" y="0"/>
                          <a:ext cx="2303253" cy="2324520"/>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B8958C" id="Text Box 1396019427" o:spid="_x0000_s1026" type="#_x0000_t202" style="position:absolute;margin-left:115.7pt;margin-top:19.25pt;width:181.35pt;height:183.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" fillcolor="#a5a5a5 [2092]" stroked="f">
                <v:fill opacity="32896f"/>
              </v:shape>
            </w:pict>
          </mc:Fallback>
        </mc:AlternateContent>
      </w:r>
      <w:r w:rsidR="00352095" w:rsidRPr="000007D2">
        <w:rPr>
          <w:noProof/>
          <w:lang w:val="en-US"/>
        </w:rPr>
        <w:drawing>
          <wp:inline distT="0" distB="0" distL="0" distR="0" wp14:anchorId="33E0375D" wp14:editId="3BB8AF32">
            <wp:extent cx="5036760" cy="3009900"/>
            <wp:effectExtent l="0" t="0" r="0" b="0"/>
            <wp:docPr id="1846098909" name="Picture 184609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54544" cy="3020527"/>
                    </a:xfrm>
                    <a:prstGeom prst="rect">
                      <a:avLst/>
                    </a:prstGeom>
                    <a:noFill/>
                  </pic:spPr>
                </pic:pic>
              </a:graphicData>
            </a:graphic>
          </wp:inline>
        </w:drawing>
      </w:r>
    </w:p>
    <w:p w14:paraId="1ADBE766" w14:textId="0BA1C9FD" w:rsidR="00365CEB"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 xml:space="preserve">The domestic needs for energy supply will be supplemented by imported energy, considering also exports and stock changes. Generally, it is expected that </w:t>
      </w:r>
      <w:r w:rsidR="00B25900" w:rsidRPr="00A33AE8">
        <w:rPr>
          <w:rFonts w:asciiTheme="majorHAnsi" w:hAnsiTheme="majorHAnsi" w:cstheme="majorHAnsi"/>
          <w:lang w:val="en-GB"/>
        </w:rPr>
        <w:t xml:space="preserve">energy </w:t>
      </w:r>
      <w:r w:rsidRPr="00A33AE8">
        <w:rPr>
          <w:rFonts w:asciiTheme="majorHAnsi" w:hAnsiTheme="majorHAnsi" w:cstheme="majorHAnsi"/>
          <w:lang w:val="en-GB"/>
        </w:rPr>
        <w:t>imports will rise</w:t>
      </w:r>
      <w:r w:rsidR="0027663A">
        <w:rPr>
          <w:rFonts w:asciiTheme="majorHAnsi" w:hAnsiTheme="majorHAnsi" w:cstheme="majorHAnsi"/>
          <w:lang w:val="en-GB"/>
        </w:rPr>
        <w:t>,</w:t>
      </w:r>
      <w:r w:rsidRPr="00A33AE8">
        <w:rPr>
          <w:rFonts w:asciiTheme="majorHAnsi" w:hAnsiTheme="majorHAnsi" w:cstheme="majorHAnsi"/>
          <w:lang w:val="en-GB"/>
        </w:rPr>
        <w:t xml:space="preserve"> and </w:t>
      </w:r>
      <w:r w:rsidR="00B25900" w:rsidRPr="00A33AE8">
        <w:rPr>
          <w:rFonts w:asciiTheme="majorHAnsi" w:hAnsiTheme="majorHAnsi" w:cstheme="majorHAnsi"/>
          <w:lang w:val="en-GB"/>
        </w:rPr>
        <w:t xml:space="preserve">energy </w:t>
      </w:r>
      <w:r w:rsidRPr="00A33AE8">
        <w:rPr>
          <w:rFonts w:asciiTheme="majorHAnsi" w:hAnsiTheme="majorHAnsi" w:cstheme="majorHAnsi"/>
          <w:lang w:val="en-GB"/>
        </w:rPr>
        <w:t>exports will decrease, resulting to a</w:t>
      </w:r>
      <w:r w:rsidR="000313A4" w:rsidRPr="00A33AE8">
        <w:rPr>
          <w:rFonts w:asciiTheme="majorHAnsi" w:hAnsiTheme="majorHAnsi" w:cstheme="majorHAnsi"/>
          <w:lang w:val="en-GB"/>
        </w:rPr>
        <w:t>n overall</w:t>
      </w:r>
      <w:r w:rsidRPr="00A33AE8">
        <w:rPr>
          <w:rFonts w:asciiTheme="majorHAnsi" w:hAnsiTheme="majorHAnsi" w:cstheme="majorHAnsi"/>
          <w:lang w:val="en-GB"/>
        </w:rPr>
        <w:t xml:space="preserve"> increase of total net imports, to complement the decrease of inland production for covering gross inland consumption. More specifically, imports of energy </w:t>
      </w:r>
      <w:r w:rsidR="000313A4" w:rsidRPr="00A33AE8">
        <w:rPr>
          <w:rFonts w:asciiTheme="majorHAnsi" w:hAnsiTheme="majorHAnsi" w:cstheme="majorHAnsi"/>
          <w:lang w:val="en-GB"/>
        </w:rPr>
        <w:t xml:space="preserve">are projected to </w:t>
      </w:r>
      <w:r w:rsidR="00FA4299" w:rsidRPr="00A33AE8">
        <w:rPr>
          <w:rFonts w:asciiTheme="majorHAnsi" w:hAnsiTheme="majorHAnsi" w:cstheme="majorHAnsi"/>
          <w:lang w:val="en-GB"/>
        </w:rPr>
        <w:t>increase</w:t>
      </w:r>
      <w:r w:rsidR="000313A4" w:rsidRPr="00A33AE8">
        <w:rPr>
          <w:rFonts w:asciiTheme="majorHAnsi" w:hAnsiTheme="majorHAnsi" w:cstheme="majorHAnsi"/>
          <w:lang w:val="en-GB"/>
        </w:rPr>
        <w:t xml:space="preserve"> </w:t>
      </w:r>
      <w:r w:rsidRPr="00A33AE8">
        <w:rPr>
          <w:rFonts w:asciiTheme="majorHAnsi" w:hAnsiTheme="majorHAnsi" w:cstheme="majorHAnsi"/>
          <w:lang w:val="en-GB"/>
        </w:rPr>
        <w:t>from 6.</w:t>
      </w:r>
      <w:r w:rsidR="00FA4299" w:rsidRPr="00A33AE8">
        <w:rPr>
          <w:rFonts w:asciiTheme="majorHAnsi" w:hAnsiTheme="majorHAnsi" w:cstheme="majorHAnsi"/>
          <w:lang w:val="en-GB"/>
        </w:rPr>
        <w:t>33</w:t>
      </w:r>
      <w:r w:rsidRPr="00A33AE8">
        <w:rPr>
          <w:rFonts w:asciiTheme="majorHAnsi" w:hAnsiTheme="majorHAnsi" w:cstheme="majorHAnsi"/>
          <w:lang w:val="en-GB"/>
        </w:rPr>
        <w:t xml:space="preserve"> Mtoe in 20</w:t>
      </w:r>
      <w:r w:rsidR="00FA4299" w:rsidRPr="00A33AE8">
        <w:rPr>
          <w:rFonts w:asciiTheme="majorHAnsi" w:hAnsiTheme="majorHAnsi" w:cstheme="majorHAnsi"/>
          <w:lang w:val="en-GB"/>
        </w:rPr>
        <w:t>20</w:t>
      </w:r>
      <w:r w:rsidRPr="00A33AE8">
        <w:rPr>
          <w:rFonts w:asciiTheme="majorHAnsi" w:hAnsiTheme="majorHAnsi" w:cstheme="majorHAnsi"/>
          <w:lang w:val="en-GB"/>
        </w:rPr>
        <w:t xml:space="preserve"> to</w:t>
      </w:r>
      <w:r w:rsidR="005D6F1A">
        <w:rPr>
          <w:rFonts w:asciiTheme="majorHAnsi" w:hAnsiTheme="majorHAnsi" w:cstheme="majorHAnsi"/>
          <w:lang w:val="en-GB"/>
        </w:rPr>
        <w:t xml:space="preserve"> </w:t>
      </w:r>
      <w:r w:rsidR="00FA4299" w:rsidRPr="00A33AE8">
        <w:rPr>
          <w:rFonts w:asciiTheme="majorHAnsi" w:hAnsiTheme="majorHAnsi" w:cstheme="majorHAnsi"/>
          <w:lang w:val="en-GB"/>
        </w:rPr>
        <w:t>7.</w:t>
      </w:r>
      <w:r w:rsidR="00522C9A" w:rsidRPr="00A33AE8">
        <w:rPr>
          <w:rFonts w:asciiTheme="majorHAnsi" w:hAnsiTheme="majorHAnsi" w:cstheme="majorHAnsi"/>
          <w:lang w:val="en-GB"/>
        </w:rPr>
        <w:t xml:space="preserve">6 </w:t>
      </w:r>
      <w:r w:rsidRPr="00A33AE8">
        <w:rPr>
          <w:rFonts w:asciiTheme="majorHAnsi" w:hAnsiTheme="majorHAnsi" w:cstheme="majorHAnsi"/>
          <w:lang w:val="en-GB"/>
        </w:rPr>
        <w:t>Mtoe in 20</w:t>
      </w:r>
      <w:r w:rsidR="00FA4299" w:rsidRPr="00A33AE8">
        <w:rPr>
          <w:rFonts w:asciiTheme="majorHAnsi" w:hAnsiTheme="majorHAnsi" w:cstheme="majorHAnsi"/>
          <w:lang w:val="en-GB"/>
        </w:rPr>
        <w:t>30</w:t>
      </w:r>
      <w:r w:rsidRPr="00A33AE8">
        <w:rPr>
          <w:rFonts w:asciiTheme="majorHAnsi" w:hAnsiTheme="majorHAnsi" w:cstheme="majorHAnsi"/>
          <w:lang w:val="en-GB"/>
        </w:rPr>
        <w:t xml:space="preserve"> and at </w:t>
      </w:r>
      <w:r w:rsidR="00522C9A" w:rsidRPr="00A33AE8">
        <w:rPr>
          <w:rFonts w:asciiTheme="majorHAnsi" w:hAnsiTheme="majorHAnsi" w:cstheme="majorHAnsi"/>
          <w:lang w:val="en-GB"/>
        </w:rPr>
        <w:t xml:space="preserve">9.8 </w:t>
      </w:r>
      <w:r w:rsidRPr="00A33AE8">
        <w:rPr>
          <w:rFonts w:asciiTheme="majorHAnsi" w:hAnsiTheme="majorHAnsi" w:cstheme="majorHAnsi"/>
          <w:lang w:val="en-GB"/>
        </w:rPr>
        <w:t>Mtoe</w:t>
      </w:r>
      <w:r w:rsidR="00602C62" w:rsidRPr="00A33AE8">
        <w:rPr>
          <w:rFonts w:asciiTheme="majorHAnsi" w:hAnsiTheme="majorHAnsi" w:cstheme="majorHAnsi"/>
          <w:lang w:val="en-GB"/>
        </w:rPr>
        <w:t xml:space="preserve"> </w:t>
      </w:r>
      <w:r w:rsidR="00FA4299" w:rsidRPr="00A33AE8">
        <w:rPr>
          <w:rFonts w:asciiTheme="majorHAnsi" w:hAnsiTheme="majorHAnsi" w:cstheme="majorHAnsi"/>
          <w:lang w:val="en-GB"/>
        </w:rPr>
        <w:t>in 2050</w:t>
      </w:r>
      <w:r w:rsidRPr="00A33AE8">
        <w:rPr>
          <w:rFonts w:asciiTheme="majorHAnsi" w:hAnsiTheme="majorHAnsi" w:cstheme="majorHAnsi"/>
          <w:lang w:val="en-GB"/>
        </w:rPr>
        <w:t xml:space="preserve">, as shown in </w:t>
      </w:r>
      <w:r w:rsidR="005D6F1A" w:rsidRPr="000007D2">
        <w:rPr>
          <w:lang w:val="en-GB"/>
        </w:rPr>
        <w:fldChar w:fldCharType="begin"/>
      </w:r>
      <w:r w:rsidR="005D6F1A" w:rsidRPr="000007D2">
        <w:rPr>
          <w:lang w:val="en-GB"/>
        </w:rPr>
        <w:instrText xml:space="preserve"> REF _Ref113634390 \h  \* MERGEFORMAT </w:instrText>
      </w:r>
      <w:r w:rsidR="005D6F1A" w:rsidRPr="000007D2">
        <w:rPr>
          <w:lang w:val="en-GB"/>
        </w:rPr>
      </w:r>
      <w:r w:rsidR="005D6F1A" w:rsidRPr="000007D2">
        <w:rPr>
          <w:lang w:val="en-GB"/>
        </w:rPr>
        <w:fldChar w:fldCharType="separate"/>
      </w:r>
      <w:r w:rsidR="005D6F1A" w:rsidRPr="00A33AE8">
        <w:rPr>
          <w:rFonts w:asciiTheme="majorHAnsi" w:hAnsiTheme="majorHAnsi" w:cstheme="majorHAnsi"/>
          <w:lang w:val="en-GB"/>
        </w:rPr>
        <w:t>Figure 4.4</w:t>
      </w:r>
      <w:r w:rsidR="005D6F1A">
        <w:rPr>
          <w:rFonts w:asciiTheme="majorHAnsi" w:hAnsiTheme="majorHAnsi" w:cstheme="majorHAnsi"/>
          <w:lang w:val="en-GB"/>
        </w:rPr>
        <w:t>5</w:t>
      </w:r>
      <w:r w:rsidR="005D6F1A" w:rsidRPr="000007D2">
        <w:rPr>
          <w:lang w:val="en-GB"/>
        </w:rPr>
        <w:fldChar w:fldCharType="end"/>
      </w:r>
      <w:r w:rsidRPr="00A33AE8">
        <w:rPr>
          <w:rFonts w:asciiTheme="majorHAnsi" w:hAnsiTheme="majorHAnsi" w:cstheme="majorHAnsi"/>
          <w:lang w:val="en-GB"/>
        </w:rPr>
        <w:t>.</w:t>
      </w:r>
    </w:p>
    <w:p w14:paraId="0148E37D" w14:textId="0721D46E" w:rsidR="00365CEB" w:rsidRPr="00A33AE8" w:rsidRDefault="00365CEB" w:rsidP="00365CEB">
      <w:pPr>
        <w:pStyle w:val="Caption"/>
        <w:rPr>
          <w:lang w:eastAsia="el-GR"/>
        </w:rPr>
      </w:pPr>
      <w:bookmarkStart w:id="325" w:name="_Ref113634390"/>
      <w:bookmarkStart w:id="326" w:name="_Toc118992314"/>
      <w:bookmarkStart w:id="327" w:name="_Toc154575252"/>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45</w:t>
      </w:r>
      <w:r w:rsidR="00B62877">
        <w:rPr>
          <w:lang w:eastAsia="el-GR"/>
        </w:rPr>
        <w:fldChar w:fldCharType="end"/>
      </w:r>
      <w:bookmarkEnd w:id="325"/>
      <w:r w:rsidRPr="00A33AE8">
        <w:rPr>
          <w:lang w:eastAsia="el-GR"/>
        </w:rPr>
        <w:t>: Energy imports per fuel over 20</w:t>
      </w:r>
      <w:r w:rsidR="00FA4299" w:rsidRPr="00A33AE8">
        <w:rPr>
          <w:lang w:eastAsia="el-GR"/>
        </w:rPr>
        <w:t>20</w:t>
      </w:r>
      <w:r w:rsidRPr="00A33AE8">
        <w:rPr>
          <w:lang w:eastAsia="el-GR"/>
        </w:rPr>
        <w:t>-2050</w:t>
      </w:r>
      <w:bookmarkEnd w:id="326"/>
      <w:r w:rsidR="00913221" w:rsidRPr="00913221">
        <w:t xml:space="preserve"> </w:t>
      </w:r>
      <w:r w:rsidR="00913221" w:rsidRPr="00913221">
        <w:rPr>
          <w:lang w:eastAsia="el-GR"/>
        </w:rPr>
        <w:t>in the scenario with existing measures (WEM)</w:t>
      </w:r>
      <w:bookmarkEnd w:id="327"/>
    </w:p>
    <w:p w14:paraId="644BE50F" w14:textId="77777777" w:rsidR="00522C9A" w:rsidRPr="00A33AE8" w:rsidRDefault="00F774B3" w:rsidP="00522C9A">
      <w:pPr>
        <w:jc w:val="center"/>
        <w:rPr>
          <w:lang w:eastAsia="el-GR"/>
        </w:rPr>
      </w:pPr>
      <w:r w:rsidRPr="000007D2">
        <w:rPr>
          <w:noProof/>
          <w:lang w:val="en-US"/>
        </w:rPr>
        <mc:AlternateContent>
          <mc:Choice Requires="wps">
            <w:drawing>
              <wp:anchor distT="0" distB="0" distL="114300" distR="114300" simplePos="0" relativeHeight="251720704" behindDoc="0" locked="0" layoutInCell="1" allowOverlap="1" wp14:anchorId="3A50BDE3" wp14:editId="46918FB2">
                <wp:simplePos x="0" y="0"/>
                <wp:positionH relativeFrom="column">
                  <wp:posOffset>1595886</wp:posOffset>
                </wp:positionH>
                <wp:positionV relativeFrom="paragraph">
                  <wp:posOffset>793631</wp:posOffset>
                </wp:positionV>
                <wp:extent cx="2126019" cy="1901993"/>
                <wp:effectExtent l="0" t="0" r="7620" b="3175"/>
                <wp:wrapNone/>
                <wp:docPr id="1456735367" name="Text Box 1456735367"/>
                <wp:cNvGraphicFramePr/>
                <a:graphic xmlns:a="http://schemas.openxmlformats.org/drawingml/2006/main">
                  <a:graphicData uri="http://schemas.microsoft.com/office/word/2010/wordprocessingShape">
                    <wps:wsp>
                      <wps:cNvSpPr txBox="1"/>
                      <wps:spPr>
                        <a:xfrm>
                          <a:off x="0" y="0"/>
                          <a:ext cx="2126019" cy="19019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7D512" id="Text Box 1456735367" o:spid="_x0000_s1026" type="#_x0000_t202" style="position:absolute;margin-left:125.65pt;margin-top:62.5pt;width:167.4pt;height:149.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" fillcolor="#a5a5a5 [2092]" stroked="f">
                <v:fill opacity="32896f"/>
              </v:shape>
            </w:pict>
          </mc:Fallback>
        </mc:AlternateContent>
      </w:r>
      <w:r w:rsidR="00352095" w:rsidRPr="000007D2">
        <w:rPr>
          <w:noProof/>
          <w:lang w:val="en-US"/>
        </w:rPr>
        <w:drawing>
          <wp:inline distT="0" distB="0" distL="0" distR="0" wp14:anchorId="59427E86" wp14:editId="66FCB2DE">
            <wp:extent cx="4543425" cy="3128839"/>
            <wp:effectExtent l="0" t="0" r="0" b="0"/>
            <wp:docPr id="1983938671" name="Picture 19839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3769" cy="3135962"/>
                    </a:xfrm>
                    <a:prstGeom prst="rect">
                      <a:avLst/>
                    </a:prstGeom>
                    <a:noFill/>
                  </pic:spPr>
                </pic:pic>
              </a:graphicData>
            </a:graphic>
          </wp:inline>
        </w:drawing>
      </w:r>
    </w:p>
    <w:p w14:paraId="4E9F688F" w14:textId="54A7D4E4" w:rsidR="00365CEB" w:rsidRPr="00A33AE8" w:rsidRDefault="00365CEB" w:rsidP="00365CEB">
      <w:pPr>
        <w:pStyle w:val="LDKbody"/>
        <w:rPr>
          <w:rFonts w:asciiTheme="majorHAnsi" w:hAnsiTheme="majorHAnsi" w:cstheme="majorHAnsi"/>
          <w:lang w:val="en-GB"/>
        </w:rPr>
      </w:pPr>
      <w:r w:rsidRPr="00A33AE8">
        <w:rPr>
          <w:rFonts w:asciiTheme="majorHAnsi" w:hAnsiTheme="majorHAnsi" w:cstheme="majorHAnsi"/>
          <w:lang w:val="en-GB"/>
        </w:rPr>
        <w:t>On the other hand, exports of energy are expected to decrease from 1.</w:t>
      </w:r>
      <w:r w:rsidR="00FA4299" w:rsidRPr="00A33AE8">
        <w:rPr>
          <w:rFonts w:asciiTheme="majorHAnsi" w:hAnsiTheme="majorHAnsi" w:cstheme="majorHAnsi"/>
          <w:lang w:val="en-GB"/>
        </w:rPr>
        <w:t>11</w:t>
      </w:r>
      <w:r w:rsidRPr="00A33AE8">
        <w:rPr>
          <w:rFonts w:asciiTheme="majorHAnsi" w:hAnsiTheme="majorHAnsi" w:cstheme="majorHAnsi"/>
          <w:lang w:val="en-GB"/>
        </w:rPr>
        <w:t xml:space="preserve"> Mtoe in 20</w:t>
      </w:r>
      <w:r w:rsidR="00FA4299" w:rsidRPr="00A33AE8">
        <w:rPr>
          <w:rFonts w:asciiTheme="majorHAnsi" w:hAnsiTheme="majorHAnsi" w:cstheme="majorHAnsi"/>
          <w:lang w:val="en-GB"/>
        </w:rPr>
        <w:t>20</w:t>
      </w:r>
      <w:r w:rsidRPr="00A33AE8">
        <w:rPr>
          <w:rFonts w:asciiTheme="majorHAnsi" w:hAnsiTheme="majorHAnsi" w:cstheme="majorHAnsi"/>
          <w:lang w:val="en-GB"/>
        </w:rPr>
        <w:t xml:space="preserve"> to</w:t>
      </w:r>
      <w:r w:rsidR="00B3580C" w:rsidRPr="00A33AE8">
        <w:rPr>
          <w:rFonts w:asciiTheme="majorHAnsi" w:hAnsiTheme="majorHAnsi" w:cstheme="majorHAnsi"/>
          <w:lang w:val="en-GB"/>
        </w:rPr>
        <w:t xml:space="preserve"> </w:t>
      </w:r>
      <w:r w:rsidR="00522C9A" w:rsidRPr="00A33AE8">
        <w:rPr>
          <w:rFonts w:asciiTheme="majorHAnsi" w:hAnsiTheme="majorHAnsi" w:cstheme="majorHAnsi"/>
          <w:lang w:val="en-GB"/>
        </w:rPr>
        <w:t>0.</w:t>
      </w:r>
      <w:r w:rsidR="00FA4299" w:rsidRPr="00A33AE8">
        <w:rPr>
          <w:rFonts w:asciiTheme="majorHAnsi" w:hAnsiTheme="majorHAnsi" w:cstheme="majorHAnsi"/>
          <w:lang w:val="en-GB"/>
        </w:rPr>
        <w:t>99</w:t>
      </w:r>
      <w:r w:rsidR="00522C9A" w:rsidRPr="00A33AE8">
        <w:rPr>
          <w:rFonts w:asciiTheme="majorHAnsi" w:hAnsiTheme="majorHAnsi" w:cstheme="majorHAnsi"/>
          <w:lang w:val="en-GB"/>
        </w:rPr>
        <w:t xml:space="preserve"> </w:t>
      </w:r>
      <w:r w:rsidRPr="00A33AE8">
        <w:rPr>
          <w:rFonts w:asciiTheme="majorHAnsi" w:hAnsiTheme="majorHAnsi" w:cstheme="majorHAnsi"/>
          <w:lang w:val="en-GB"/>
        </w:rPr>
        <w:t>Mtoe in 20</w:t>
      </w:r>
      <w:r w:rsidR="00FA4299" w:rsidRPr="00A33AE8">
        <w:rPr>
          <w:rFonts w:asciiTheme="majorHAnsi" w:hAnsiTheme="majorHAnsi" w:cstheme="majorHAnsi"/>
          <w:lang w:val="en-GB"/>
        </w:rPr>
        <w:t>30</w:t>
      </w:r>
      <w:r w:rsidRPr="00A33AE8">
        <w:rPr>
          <w:rFonts w:asciiTheme="majorHAnsi" w:hAnsiTheme="majorHAnsi" w:cstheme="majorHAnsi"/>
          <w:lang w:val="en-GB"/>
        </w:rPr>
        <w:t xml:space="preserve"> and at </w:t>
      </w:r>
      <w:r w:rsidR="00522C9A" w:rsidRPr="00A33AE8">
        <w:rPr>
          <w:rFonts w:asciiTheme="majorHAnsi" w:hAnsiTheme="majorHAnsi" w:cstheme="majorHAnsi"/>
          <w:lang w:val="en-GB"/>
        </w:rPr>
        <w:t xml:space="preserve">0.5 </w:t>
      </w:r>
      <w:r w:rsidRPr="00A33AE8">
        <w:rPr>
          <w:rFonts w:asciiTheme="majorHAnsi" w:hAnsiTheme="majorHAnsi" w:cstheme="majorHAnsi"/>
          <w:lang w:val="en-GB"/>
        </w:rPr>
        <w:t>Mtoe</w:t>
      </w:r>
      <w:r w:rsidR="00FA4299" w:rsidRPr="00A33AE8">
        <w:rPr>
          <w:rFonts w:asciiTheme="majorHAnsi" w:hAnsiTheme="majorHAnsi" w:cstheme="majorHAnsi"/>
          <w:lang w:val="en-GB"/>
        </w:rPr>
        <w:t xml:space="preserve"> in</w:t>
      </w:r>
      <w:r w:rsidR="00B3580C" w:rsidRPr="00A33AE8">
        <w:rPr>
          <w:rFonts w:asciiTheme="majorHAnsi" w:hAnsiTheme="majorHAnsi" w:cstheme="majorHAnsi"/>
          <w:lang w:val="en-GB"/>
        </w:rPr>
        <w:t xml:space="preserve"> 2050, </w:t>
      </w:r>
      <w:r w:rsidRPr="00A33AE8">
        <w:rPr>
          <w:rFonts w:asciiTheme="majorHAnsi" w:hAnsiTheme="majorHAnsi" w:cstheme="majorHAnsi"/>
          <w:lang w:val="en-GB"/>
        </w:rPr>
        <w:t>as presented in</w:t>
      </w:r>
      <w:r w:rsidR="0027663A">
        <w:rPr>
          <w:rFonts w:asciiTheme="majorHAnsi" w:hAnsiTheme="majorHAnsi" w:cstheme="majorHAnsi"/>
          <w:lang w:val="en-GB"/>
        </w:rPr>
        <w:t xml:space="preserve"> </w:t>
      </w:r>
      <w:r w:rsidR="0027663A">
        <w:rPr>
          <w:rFonts w:asciiTheme="majorHAnsi" w:hAnsiTheme="majorHAnsi" w:cstheme="majorHAnsi"/>
          <w:lang w:val="en-GB"/>
        </w:rPr>
        <w:fldChar w:fldCharType="begin"/>
      </w:r>
      <w:r w:rsidR="0027663A">
        <w:rPr>
          <w:rFonts w:asciiTheme="majorHAnsi" w:hAnsiTheme="majorHAnsi" w:cstheme="majorHAnsi"/>
          <w:lang w:val="en-GB"/>
        </w:rPr>
        <w:instrText xml:space="preserve"> REF _Ref153465282 \h  \* MERGEFORMAT </w:instrText>
      </w:r>
      <w:r w:rsidR="0027663A">
        <w:rPr>
          <w:rFonts w:asciiTheme="majorHAnsi" w:hAnsiTheme="majorHAnsi" w:cstheme="majorHAnsi"/>
          <w:lang w:val="en-GB"/>
        </w:rPr>
      </w:r>
      <w:r w:rsidR="0027663A">
        <w:rPr>
          <w:rFonts w:asciiTheme="majorHAnsi" w:hAnsiTheme="majorHAnsi" w:cstheme="majorHAnsi"/>
          <w:lang w:val="en-GB"/>
        </w:rPr>
        <w:fldChar w:fldCharType="separate"/>
      </w:r>
      <w:r w:rsidR="0027663A" w:rsidRPr="0087794A">
        <w:rPr>
          <w:rFonts w:asciiTheme="majorHAnsi" w:hAnsiTheme="majorHAnsi" w:cstheme="majorHAnsi"/>
          <w:lang w:val="en-GB"/>
        </w:rPr>
        <w:t>Figure 4.46</w:t>
      </w:r>
      <w:r w:rsidR="0027663A">
        <w:rPr>
          <w:rFonts w:asciiTheme="majorHAnsi" w:hAnsiTheme="majorHAnsi" w:cstheme="majorHAnsi"/>
          <w:lang w:val="en-GB"/>
        </w:rPr>
        <w:fldChar w:fldCharType="end"/>
      </w:r>
      <w:r w:rsidRPr="00A33AE8">
        <w:rPr>
          <w:rFonts w:asciiTheme="majorHAnsi" w:hAnsiTheme="majorHAnsi" w:cstheme="majorHAnsi"/>
          <w:lang w:val="en-GB"/>
        </w:rPr>
        <w:t>.</w:t>
      </w:r>
    </w:p>
    <w:p w14:paraId="1FEC38A0" w14:textId="5777461B" w:rsidR="0027663A" w:rsidRDefault="0027663A" w:rsidP="0087794A">
      <w:pPr>
        <w:pStyle w:val="Caption"/>
        <w:keepNext/>
      </w:pPr>
      <w:bookmarkStart w:id="328" w:name="_Ref153465282"/>
      <w:bookmarkStart w:id="329" w:name="_Toc154575253"/>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46</w:t>
      </w:r>
      <w:r w:rsidR="006E0533">
        <w:rPr>
          <w:noProof/>
        </w:rPr>
        <w:fldChar w:fldCharType="end"/>
      </w:r>
      <w:bookmarkEnd w:id="328"/>
      <w:r>
        <w:t xml:space="preserve">: </w:t>
      </w:r>
      <w:r w:rsidRPr="0027663A">
        <w:t>Energy exports per fuel over 2020-2050 in the scenario with existing measures (WEM)</w:t>
      </w:r>
      <w:bookmarkEnd w:id="329"/>
    </w:p>
    <w:p w14:paraId="12CB6B05" w14:textId="7C51F10F" w:rsidR="00522C9A" w:rsidRPr="00A33AE8" w:rsidRDefault="0027663A" w:rsidP="00522C9A">
      <w:pPr>
        <w:jc w:val="center"/>
        <w:rPr>
          <w:lang w:eastAsia="el-GR"/>
        </w:rPr>
      </w:pPr>
      <w:r w:rsidRPr="000007D2">
        <w:rPr>
          <w:noProof/>
          <w:lang w:val="en-US"/>
        </w:rPr>
        <mc:AlternateContent>
          <mc:Choice Requires="wps">
            <w:drawing>
              <wp:anchor distT="0" distB="0" distL="114300" distR="114300" simplePos="0" relativeHeight="251722752" behindDoc="0" locked="0" layoutInCell="1" allowOverlap="1" wp14:anchorId="087D0033" wp14:editId="2454FAD6">
                <wp:simplePos x="0" y="0"/>
                <wp:positionH relativeFrom="column">
                  <wp:posOffset>1618448</wp:posOffset>
                </wp:positionH>
                <wp:positionV relativeFrom="paragraph">
                  <wp:posOffset>467092</wp:posOffset>
                </wp:positionV>
                <wp:extent cx="2082848" cy="2134738"/>
                <wp:effectExtent l="0" t="0" r="0" b="0"/>
                <wp:wrapNone/>
                <wp:docPr id="1574245422" name="Text Box 1574245422"/>
                <wp:cNvGraphicFramePr/>
                <a:graphic xmlns:a="http://schemas.openxmlformats.org/drawingml/2006/main">
                  <a:graphicData uri="http://schemas.microsoft.com/office/word/2010/wordprocessingShape">
                    <wps:wsp>
                      <wps:cNvSpPr txBox="1"/>
                      <wps:spPr>
                        <a:xfrm>
                          <a:off x="0" y="0"/>
                          <a:ext cx="2082848" cy="2134738"/>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8D9CA" id="Text Box 1574245422" o:spid="_x0000_s1026" type="#_x0000_t202" style="position:absolute;margin-left:127.45pt;margin-top:36.8pt;width:164pt;height:16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" fillcolor="#a5a5a5 [2092]" stroked="f">
                <v:fill opacity="32896f"/>
              </v:shape>
            </w:pict>
          </mc:Fallback>
        </mc:AlternateContent>
      </w:r>
      <w:r w:rsidR="00352095" w:rsidRPr="000007D2">
        <w:rPr>
          <w:noProof/>
          <w:lang w:val="en-US"/>
        </w:rPr>
        <w:drawing>
          <wp:inline distT="0" distB="0" distL="0" distR="0" wp14:anchorId="67F9A34D" wp14:editId="6EFAC0F3">
            <wp:extent cx="4600575" cy="30554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9215" cy="3067813"/>
                    </a:xfrm>
                    <a:prstGeom prst="rect">
                      <a:avLst/>
                    </a:prstGeom>
                    <a:noFill/>
                  </pic:spPr>
                </pic:pic>
              </a:graphicData>
            </a:graphic>
          </wp:inline>
        </w:drawing>
      </w:r>
    </w:p>
    <w:p w14:paraId="20D55A3D" w14:textId="185317BA" w:rsidR="00352095" w:rsidRPr="00A33AE8" w:rsidRDefault="00365CEB" w:rsidP="00352095">
      <w:pPr>
        <w:pStyle w:val="Caption"/>
        <w:jc w:val="both"/>
        <w:rPr>
          <w:rFonts w:asciiTheme="majorHAnsi" w:eastAsia="Times New Roman" w:hAnsiTheme="majorHAnsi" w:cstheme="majorHAnsi"/>
          <w:b w:val="0"/>
          <w:bCs w:val="0"/>
          <w:color w:val="auto"/>
          <w:lang w:eastAsia="el-GR"/>
        </w:rPr>
      </w:pPr>
      <w:r w:rsidRPr="00A33AE8">
        <w:rPr>
          <w:rFonts w:asciiTheme="majorHAnsi" w:hAnsiTheme="majorHAnsi"/>
          <w:b w:val="0"/>
          <w:color w:val="auto"/>
        </w:rPr>
        <w:t xml:space="preserve">Therefore, it is deducted that net imports of energy are expected </w:t>
      </w:r>
      <w:r w:rsidR="00E81A78" w:rsidRPr="00A33AE8">
        <w:rPr>
          <w:rFonts w:asciiTheme="majorHAnsi" w:hAnsiTheme="majorHAnsi"/>
          <w:b w:val="0"/>
          <w:color w:val="auto"/>
        </w:rPr>
        <w:t xml:space="preserve">to </w:t>
      </w:r>
      <w:r w:rsidRPr="00A33AE8">
        <w:rPr>
          <w:rFonts w:asciiTheme="majorHAnsi" w:hAnsiTheme="majorHAnsi"/>
          <w:b w:val="0"/>
          <w:color w:val="auto"/>
        </w:rPr>
        <w:t>increase from</w:t>
      </w:r>
      <w:r w:rsidR="00E81A78" w:rsidRPr="00A33AE8">
        <w:rPr>
          <w:rFonts w:asciiTheme="majorHAnsi" w:hAnsiTheme="majorHAnsi"/>
          <w:b w:val="0"/>
          <w:color w:val="auto"/>
        </w:rPr>
        <w:t xml:space="preserve"> 5.</w:t>
      </w:r>
      <w:r w:rsidR="00C53252" w:rsidRPr="00A33AE8">
        <w:rPr>
          <w:rFonts w:asciiTheme="majorHAnsi" w:eastAsia="Times New Roman" w:hAnsiTheme="majorHAnsi" w:cstheme="majorHAnsi"/>
          <w:b w:val="0"/>
          <w:bCs w:val="0"/>
          <w:color w:val="auto"/>
          <w:lang w:eastAsia="el-GR"/>
        </w:rPr>
        <w:t>22</w:t>
      </w:r>
      <w:r w:rsidRPr="00A33AE8">
        <w:rPr>
          <w:rFonts w:asciiTheme="majorHAnsi" w:hAnsiTheme="majorHAnsi"/>
          <w:b w:val="0"/>
          <w:color w:val="auto"/>
        </w:rPr>
        <w:t xml:space="preserve"> Mtoe in </w:t>
      </w:r>
      <w:r w:rsidRPr="00A33AE8">
        <w:rPr>
          <w:rFonts w:asciiTheme="majorHAnsi" w:eastAsia="Times New Roman" w:hAnsiTheme="majorHAnsi" w:cstheme="majorHAnsi"/>
          <w:b w:val="0"/>
          <w:bCs w:val="0"/>
          <w:color w:val="auto"/>
          <w:lang w:eastAsia="el-GR"/>
        </w:rPr>
        <w:t>20</w:t>
      </w:r>
      <w:r w:rsidR="00C53252" w:rsidRPr="00A33AE8">
        <w:rPr>
          <w:rFonts w:asciiTheme="majorHAnsi" w:eastAsia="Times New Roman" w:hAnsiTheme="majorHAnsi" w:cstheme="majorHAnsi"/>
          <w:b w:val="0"/>
          <w:bCs w:val="0"/>
          <w:color w:val="auto"/>
          <w:lang w:eastAsia="el-GR"/>
        </w:rPr>
        <w:t>20</w:t>
      </w:r>
      <w:r w:rsidRPr="00A33AE8">
        <w:rPr>
          <w:rFonts w:asciiTheme="majorHAnsi" w:hAnsiTheme="majorHAnsi"/>
          <w:b w:val="0"/>
          <w:color w:val="auto"/>
        </w:rPr>
        <w:t xml:space="preserve"> to </w:t>
      </w:r>
      <w:r w:rsidR="00E81A78" w:rsidRPr="00A33AE8">
        <w:rPr>
          <w:rFonts w:asciiTheme="majorHAnsi" w:hAnsiTheme="majorHAnsi"/>
          <w:b w:val="0"/>
          <w:color w:val="auto"/>
        </w:rPr>
        <w:t>6.</w:t>
      </w:r>
      <w:r w:rsidR="00C53252" w:rsidRPr="00A33AE8">
        <w:rPr>
          <w:rFonts w:asciiTheme="majorHAnsi" w:eastAsia="Times New Roman" w:hAnsiTheme="majorHAnsi" w:cstheme="majorHAnsi"/>
          <w:b w:val="0"/>
          <w:bCs w:val="0"/>
          <w:color w:val="auto"/>
          <w:lang w:eastAsia="el-GR"/>
        </w:rPr>
        <w:t>77</w:t>
      </w:r>
      <w:r w:rsidRPr="00A33AE8">
        <w:rPr>
          <w:rFonts w:asciiTheme="majorHAnsi" w:hAnsiTheme="majorHAnsi"/>
          <w:b w:val="0"/>
          <w:color w:val="auto"/>
        </w:rPr>
        <w:t xml:space="preserve"> Mtoe in 2030 and to </w:t>
      </w:r>
      <w:r w:rsidR="00DB4B05" w:rsidRPr="00A33AE8">
        <w:rPr>
          <w:rFonts w:asciiTheme="majorHAnsi" w:hAnsiTheme="majorHAnsi"/>
          <w:b w:val="0"/>
          <w:color w:val="auto"/>
        </w:rPr>
        <w:t xml:space="preserve">9.3 </w:t>
      </w:r>
      <w:r w:rsidRPr="00A33AE8">
        <w:rPr>
          <w:rFonts w:asciiTheme="majorHAnsi" w:hAnsiTheme="majorHAnsi"/>
          <w:b w:val="0"/>
          <w:color w:val="auto"/>
        </w:rPr>
        <w:t>Mtoe in 2050</w:t>
      </w:r>
      <w:r w:rsidR="004744DE" w:rsidRPr="00A33AE8">
        <w:rPr>
          <w:rFonts w:asciiTheme="majorHAnsi" w:hAnsiTheme="majorHAnsi"/>
          <w:b w:val="0"/>
          <w:color w:val="auto"/>
        </w:rPr>
        <w:t>,</w:t>
      </w:r>
      <w:r w:rsidRPr="00A33AE8">
        <w:rPr>
          <w:rFonts w:asciiTheme="majorHAnsi" w:hAnsiTheme="majorHAnsi"/>
          <w:b w:val="0"/>
          <w:color w:val="auto"/>
        </w:rPr>
        <w:t xml:space="preserve"> resulting in </w:t>
      </w:r>
      <w:r w:rsidR="00E81A78" w:rsidRPr="00A33AE8">
        <w:rPr>
          <w:rFonts w:asciiTheme="majorHAnsi" w:hAnsiTheme="majorHAnsi"/>
          <w:b w:val="0"/>
          <w:color w:val="auto"/>
        </w:rPr>
        <w:t xml:space="preserve">a </w:t>
      </w:r>
      <w:r w:rsidR="00C53252" w:rsidRPr="00A33AE8">
        <w:rPr>
          <w:rFonts w:asciiTheme="majorHAnsi" w:eastAsia="Times New Roman" w:hAnsiTheme="majorHAnsi" w:cstheme="majorHAnsi"/>
          <w:b w:val="0"/>
          <w:bCs w:val="0"/>
          <w:color w:val="auto"/>
          <w:lang w:eastAsia="el-GR"/>
        </w:rPr>
        <w:t>81</w:t>
      </w:r>
      <w:r w:rsidR="00DB4B05" w:rsidRPr="00A33AE8">
        <w:rPr>
          <w:rFonts w:asciiTheme="majorHAnsi" w:hAnsiTheme="majorHAnsi"/>
          <w:b w:val="0"/>
          <w:color w:val="auto"/>
        </w:rPr>
        <w:t xml:space="preserve">% </w:t>
      </w:r>
      <w:r w:rsidRPr="00A33AE8">
        <w:rPr>
          <w:rFonts w:asciiTheme="majorHAnsi" w:hAnsiTheme="majorHAnsi"/>
          <w:b w:val="0"/>
          <w:color w:val="auto"/>
        </w:rPr>
        <w:t xml:space="preserve">increase in 2050, compared to </w:t>
      </w:r>
      <w:r w:rsidRPr="00A33AE8">
        <w:rPr>
          <w:rFonts w:asciiTheme="majorHAnsi" w:eastAsia="Times New Roman" w:hAnsiTheme="majorHAnsi" w:cstheme="majorHAnsi"/>
          <w:b w:val="0"/>
          <w:bCs w:val="0"/>
          <w:color w:val="auto"/>
          <w:lang w:eastAsia="el-GR"/>
        </w:rPr>
        <w:t>20</w:t>
      </w:r>
      <w:r w:rsidR="00C53252" w:rsidRPr="00A33AE8">
        <w:rPr>
          <w:rFonts w:asciiTheme="majorHAnsi" w:eastAsia="Times New Roman" w:hAnsiTheme="majorHAnsi" w:cstheme="majorHAnsi"/>
          <w:b w:val="0"/>
          <w:bCs w:val="0"/>
          <w:color w:val="auto"/>
          <w:lang w:eastAsia="el-GR"/>
        </w:rPr>
        <w:t>20</w:t>
      </w:r>
      <w:r w:rsidRPr="00A33AE8">
        <w:rPr>
          <w:rFonts w:asciiTheme="majorHAnsi" w:hAnsiTheme="majorHAnsi"/>
          <w:b w:val="0"/>
          <w:color w:val="auto"/>
        </w:rPr>
        <w:t xml:space="preserve">, as illustrated in </w:t>
      </w:r>
      <w:r w:rsidR="005D6F1A" w:rsidRPr="00A33AE8">
        <w:rPr>
          <w:rFonts w:asciiTheme="majorHAnsi" w:hAnsiTheme="majorHAnsi"/>
          <w:b w:val="0"/>
          <w:color w:val="auto"/>
        </w:rPr>
        <w:fldChar w:fldCharType="begin"/>
      </w:r>
      <w:r w:rsidR="005D6F1A" w:rsidRPr="00A33AE8">
        <w:rPr>
          <w:rFonts w:asciiTheme="majorHAnsi" w:hAnsiTheme="majorHAnsi"/>
          <w:b w:val="0"/>
          <w:color w:val="auto"/>
        </w:rPr>
        <w:instrText xml:space="preserve"> REF _Ref113634402 \h  \* MERGEFORMAT </w:instrText>
      </w:r>
      <w:r w:rsidR="005D6F1A" w:rsidRPr="00A33AE8">
        <w:rPr>
          <w:rFonts w:asciiTheme="majorHAnsi" w:hAnsiTheme="majorHAnsi"/>
          <w:b w:val="0"/>
          <w:color w:val="auto"/>
        </w:rPr>
      </w:r>
      <w:r w:rsidR="005D6F1A" w:rsidRPr="00A33AE8">
        <w:rPr>
          <w:rFonts w:asciiTheme="majorHAnsi" w:hAnsiTheme="majorHAnsi"/>
          <w:b w:val="0"/>
          <w:color w:val="auto"/>
        </w:rPr>
        <w:fldChar w:fldCharType="separate"/>
      </w:r>
      <w:r w:rsidR="005D6F1A" w:rsidRPr="00A33AE8">
        <w:rPr>
          <w:rFonts w:asciiTheme="majorHAnsi" w:hAnsiTheme="majorHAnsi"/>
          <w:b w:val="0"/>
          <w:color w:val="auto"/>
        </w:rPr>
        <w:t xml:space="preserve">Figure </w:t>
      </w:r>
      <w:r w:rsidR="005D6F1A" w:rsidRPr="005B2C66">
        <w:rPr>
          <w:rFonts w:asciiTheme="majorHAnsi" w:hAnsiTheme="majorHAnsi"/>
          <w:b w:val="0"/>
          <w:color w:val="auto"/>
        </w:rPr>
        <w:t>4.47</w:t>
      </w:r>
      <w:r w:rsidR="005D6F1A" w:rsidRPr="00A33AE8">
        <w:rPr>
          <w:rFonts w:asciiTheme="majorHAnsi" w:hAnsiTheme="majorHAnsi"/>
          <w:b w:val="0"/>
          <w:color w:val="auto"/>
        </w:rPr>
        <w:fldChar w:fldCharType="end"/>
      </w:r>
      <w:r w:rsidRPr="00A33AE8">
        <w:rPr>
          <w:rFonts w:asciiTheme="majorHAnsi" w:hAnsiTheme="majorHAnsi"/>
          <w:b w:val="0"/>
          <w:color w:val="auto"/>
        </w:rPr>
        <w:t>.</w:t>
      </w:r>
      <w:bookmarkStart w:id="330" w:name="_Ref113634402"/>
      <w:bookmarkStart w:id="331" w:name="_Toc118992316"/>
    </w:p>
    <w:p w14:paraId="33F38B36" w14:textId="6B1CA3FE" w:rsidR="00365CEB" w:rsidRPr="00A33AE8" w:rsidRDefault="00365CEB" w:rsidP="00365CEB">
      <w:pPr>
        <w:pStyle w:val="Caption"/>
        <w:rPr>
          <w:lang w:eastAsia="el-GR"/>
        </w:rPr>
      </w:pPr>
      <w:bookmarkStart w:id="332" w:name="_Toc154575254"/>
      <w:r w:rsidRPr="00A33AE8">
        <w:rPr>
          <w:lang w:eastAsia="el-GR"/>
        </w:rPr>
        <w:t xml:space="preserve">Figure </w:t>
      </w:r>
      <w:bookmarkStart w:id="333" w:name="_heading=h.1a346fx" w:colFirst="0" w:colLast="0"/>
      <w:bookmarkEnd w:id="333"/>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47</w:t>
      </w:r>
      <w:r w:rsidR="00B62877">
        <w:rPr>
          <w:lang w:eastAsia="el-GR"/>
        </w:rPr>
        <w:fldChar w:fldCharType="end"/>
      </w:r>
      <w:bookmarkEnd w:id="330"/>
      <w:r w:rsidRPr="00A33AE8">
        <w:rPr>
          <w:lang w:eastAsia="el-GR"/>
        </w:rPr>
        <w:t>: Imports, exports and net imports over 20</w:t>
      </w:r>
      <w:r w:rsidR="00C53252" w:rsidRPr="00A33AE8">
        <w:rPr>
          <w:lang w:eastAsia="el-GR"/>
        </w:rPr>
        <w:t>20</w:t>
      </w:r>
      <w:r w:rsidRPr="00A33AE8">
        <w:rPr>
          <w:lang w:eastAsia="el-GR"/>
        </w:rPr>
        <w:t>-2050</w:t>
      </w:r>
      <w:bookmarkEnd w:id="331"/>
      <w:r w:rsidR="00913221" w:rsidRPr="00913221">
        <w:t xml:space="preserve"> </w:t>
      </w:r>
      <w:r w:rsidR="00913221" w:rsidRPr="00913221">
        <w:rPr>
          <w:lang w:eastAsia="el-GR"/>
        </w:rPr>
        <w:t>in the scenario with existing measures (WEM)</w:t>
      </w:r>
      <w:bookmarkEnd w:id="332"/>
    </w:p>
    <w:p w14:paraId="2130612C" w14:textId="77777777" w:rsidR="00522C9A" w:rsidRPr="00A33AE8" w:rsidRDefault="00F774B3" w:rsidP="00522C9A">
      <w:pPr>
        <w:jc w:val="center"/>
        <w:rPr>
          <w:lang w:eastAsia="el-GR"/>
        </w:rPr>
      </w:pPr>
      <w:r w:rsidRPr="000007D2">
        <w:rPr>
          <w:noProof/>
          <w:lang w:val="en-US"/>
        </w:rPr>
        <mc:AlternateContent>
          <mc:Choice Requires="wps">
            <w:drawing>
              <wp:anchor distT="0" distB="0" distL="114300" distR="114300" simplePos="0" relativeHeight="251724800" behindDoc="0" locked="0" layoutInCell="1" allowOverlap="1" wp14:anchorId="250D5F26" wp14:editId="0D080C8D">
                <wp:simplePos x="0" y="0"/>
                <wp:positionH relativeFrom="column">
                  <wp:posOffset>1143216</wp:posOffset>
                </wp:positionH>
                <wp:positionV relativeFrom="paragraph">
                  <wp:posOffset>719467</wp:posOffset>
                </wp:positionV>
                <wp:extent cx="2751826" cy="2074353"/>
                <wp:effectExtent l="0" t="0" r="0" b="2540"/>
                <wp:wrapNone/>
                <wp:docPr id="1320976160" name="Text Box 1320976160"/>
                <wp:cNvGraphicFramePr/>
                <a:graphic xmlns:a="http://schemas.openxmlformats.org/drawingml/2006/main">
                  <a:graphicData uri="http://schemas.microsoft.com/office/word/2010/wordprocessingShape">
                    <wps:wsp>
                      <wps:cNvSpPr txBox="1"/>
                      <wps:spPr>
                        <a:xfrm>
                          <a:off x="0" y="0"/>
                          <a:ext cx="2751826" cy="207435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AF5D91" id="Text Box 1320976160" o:spid="_x0000_s1026" type="#_x0000_t202" style="position:absolute;margin-left:90pt;margin-top:56.65pt;width:216.7pt;height:163.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" fillcolor="#a5a5a5 [2092]" stroked="f">
                <v:fill opacity="32896f"/>
              </v:shape>
            </w:pict>
          </mc:Fallback>
        </mc:AlternateContent>
      </w:r>
      <w:r w:rsidR="00602C62" w:rsidRPr="000007D2">
        <w:rPr>
          <w:noProof/>
          <w:lang w:val="en-US"/>
        </w:rPr>
        <w:drawing>
          <wp:inline distT="0" distB="0" distL="0" distR="0" wp14:anchorId="08D6253D" wp14:editId="1A5F487D">
            <wp:extent cx="5683250" cy="324135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88691" cy="3244461"/>
                    </a:xfrm>
                    <a:prstGeom prst="rect">
                      <a:avLst/>
                    </a:prstGeom>
                    <a:noFill/>
                  </pic:spPr>
                </pic:pic>
              </a:graphicData>
            </a:graphic>
          </wp:inline>
        </w:drawing>
      </w:r>
    </w:p>
    <w:p w14:paraId="580CA48F" w14:textId="6ECEA050" w:rsidR="00522C9A" w:rsidRPr="00A33AE8" w:rsidRDefault="006F5B11" w:rsidP="00365CEB">
      <w:pPr>
        <w:pStyle w:val="LDKbody"/>
        <w:rPr>
          <w:rFonts w:asciiTheme="majorHAnsi" w:hAnsiTheme="majorHAnsi" w:cstheme="majorHAnsi"/>
          <w:lang w:val="en-GB"/>
        </w:rPr>
      </w:pPr>
      <w:r w:rsidRPr="00A33AE8">
        <w:rPr>
          <w:rFonts w:asciiTheme="majorHAnsi" w:hAnsiTheme="majorHAnsi" w:cstheme="majorHAnsi"/>
          <w:lang w:val="en-GB"/>
        </w:rPr>
        <w:t>I</w:t>
      </w:r>
      <w:r w:rsidR="00365CEB" w:rsidRPr="00A33AE8">
        <w:rPr>
          <w:rFonts w:asciiTheme="majorHAnsi" w:hAnsiTheme="majorHAnsi" w:cstheme="majorHAnsi"/>
          <w:lang w:val="en-GB"/>
        </w:rPr>
        <w:t>n 20</w:t>
      </w:r>
      <w:r w:rsidR="00C93008" w:rsidRPr="00A33AE8">
        <w:rPr>
          <w:rFonts w:asciiTheme="majorHAnsi" w:hAnsiTheme="majorHAnsi" w:cstheme="majorHAnsi"/>
          <w:lang w:val="en-GB"/>
        </w:rPr>
        <w:t>20</w:t>
      </w:r>
      <w:r w:rsidR="00365CEB" w:rsidRPr="00A33AE8">
        <w:rPr>
          <w:rFonts w:asciiTheme="majorHAnsi" w:hAnsiTheme="majorHAnsi" w:cstheme="majorHAnsi"/>
          <w:lang w:val="en-GB"/>
        </w:rPr>
        <w:t xml:space="preserve">, the </w:t>
      </w:r>
      <w:r w:rsidR="000313A4" w:rsidRPr="00A33AE8">
        <w:rPr>
          <w:rFonts w:asciiTheme="majorHAnsi" w:hAnsiTheme="majorHAnsi" w:cstheme="majorHAnsi"/>
          <w:lang w:val="en-GB"/>
        </w:rPr>
        <w:t xml:space="preserve">transformation </w:t>
      </w:r>
      <w:r w:rsidRPr="00A33AE8">
        <w:rPr>
          <w:rFonts w:asciiTheme="majorHAnsi" w:hAnsiTheme="majorHAnsi" w:cstheme="majorHAnsi"/>
          <w:lang w:val="en-GB"/>
        </w:rPr>
        <w:t xml:space="preserve">input </w:t>
      </w:r>
      <w:r w:rsidR="00522C9A" w:rsidRPr="00A33AE8">
        <w:rPr>
          <w:rFonts w:asciiTheme="majorHAnsi" w:hAnsiTheme="majorHAnsi" w:cstheme="majorHAnsi"/>
          <w:lang w:val="en-GB"/>
        </w:rPr>
        <w:t>in</w:t>
      </w:r>
      <w:r w:rsidR="00C23ECF"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electricity </w:t>
      </w:r>
      <w:r w:rsidR="000313A4" w:rsidRPr="00A33AE8">
        <w:rPr>
          <w:rFonts w:asciiTheme="majorHAnsi" w:hAnsiTheme="majorHAnsi" w:cstheme="majorHAnsi"/>
          <w:lang w:val="en-GB"/>
        </w:rPr>
        <w:t xml:space="preserve">sector </w:t>
      </w:r>
      <w:r w:rsidRPr="00A33AE8">
        <w:rPr>
          <w:rFonts w:asciiTheme="majorHAnsi" w:hAnsiTheme="majorHAnsi" w:cstheme="majorHAnsi"/>
          <w:lang w:val="en-GB"/>
        </w:rPr>
        <w:t>was equal to</w:t>
      </w:r>
      <w:r w:rsidR="0006233C" w:rsidRPr="000007D2">
        <w:rPr>
          <w:rFonts w:asciiTheme="majorHAnsi" w:hAnsiTheme="majorHAnsi" w:cstheme="majorHAnsi"/>
          <w:lang w:val="en-GB"/>
        </w:rPr>
        <w:t xml:space="preserve"> </w:t>
      </w:r>
      <w:r w:rsidR="00E815E9" w:rsidRPr="00A33AE8">
        <w:rPr>
          <w:rFonts w:asciiTheme="majorHAnsi" w:hAnsiTheme="majorHAnsi" w:cstheme="majorHAnsi"/>
          <w:lang w:val="en-GB"/>
        </w:rPr>
        <w:t>6.</w:t>
      </w:r>
      <w:r w:rsidR="00C93008" w:rsidRPr="00A33AE8">
        <w:rPr>
          <w:rFonts w:asciiTheme="majorHAnsi" w:hAnsiTheme="majorHAnsi" w:cstheme="majorHAnsi"/>
          <w:lang w:val="en-GB"/>
        </w:rPr>
        <w:t>99</w:t>
      </w:r>
      <w:r w:rsidR="00365CEB" w:rsidRPr="00A33AE8">
        <w:rPr>
          <w:rFonts w:asciiTheme="majorHAnsi" w:hAnsiTheme="majorHAnsi" w:cstheme="majorHAnsi"/>
          <w:lang w:val="en-GB"/>
        </w:rPr>
        <w:t xml:space="preserve"> Mtoe, </w:t>
      </w:r>
      <w:r w:rsidRPr="00A33AE8">
        <w:rPr>
          <w:rFonts w:asciiTheme="majorHAnsi" w:hAnsiTheme="majorHAnsi" w:cstheme="majorHAnsi"/>
          <w:lang w:val="en-GB"/>
        </w:rPr>
        <w:t xml:space="preserve">while the respective figure will </w:t>
      </w:r>
      <w:r w:rsidR="00365CEB" w:rsidRPr="00A33AE8">
        <w:rPr>
          <w:rFonts w:asciiTheme="majorHAnsi" w:hAnsiTheme="majorHAnsi" w:cstheme="majorHAnsi"/>
          <w:lang w:val="en-GB"/>
        </w:rPr>
        <w:t xml:space="preserve">increase to </w:t>
      </w:r>
      <w:r w:rsidR="00522C9A" w:rsidRPr="00A33AE8">
        <w:rPr>
          <w:rFonts w:asciiTheme="majorHAnsi" w:hAnsiTheme="majorHAnsi" w:cstheme="majorHAnsi"/>
          <w:lang w:val="en-GB"/>
        </w:rPr>
        <w:t>7.</w:t>
      </w:r>
      <w:r w:rsidR="00C93008" w:rsidRPr="00A33AE8">
        <w:rPr>
          <w:rFonts w:asciiTheme="majorHAnsi" w:hAnsiTheme="majorHAnsi" w:cstheme="majorHAnsi"/>
          <w:lang w:val="en-GB"/>
        </w:rPr>
        <w:t>99</w:t>
      </w:r>
      <w:r w:rsidR="00522C9A"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Mtoe in 2030 </w:t>
      </w:r>
      <w:r w:rsidR="00E815E9" w:rsidRPr="00A33AE8">
        <w:rPr>
          <w:rFonts w:asciiTheme="majorHAnsi" w:hAnsiTheme="majorHAnsi" w:cstheme="majorHAnsi"/>
          <w:lang w:val="en-GB"/>
        </w:rPr>
        <w:t>before</w:t>
      </w:r>
      <w:r w:rsidR="00365CEB" w:rsidRPr="00A33AE8">
        <w:rPr>
          <w:rFonts w:asciiTheme="majorHAnsi" w:hAnsiTheme="majorHAnsi" w:cstheme="majorHAnsi"/>
          <w:lang w:val="en-GB"/>
        </w:rPr>
        <w:t xml:space="preserve"> reaching the level of </w:t>
      </w:r>
      <w:r w:rsidR="00522C9A" w:rsidRPr="00A33AE8">
        <w:rPr>
          <w:rFonts w:asciiTheme="majorHAnsi" w:hAnsiTheme="majorHAnsi" w:cstheme="majorHAnsi"/>
          <w:lang w:val="en-GB"/>
        </w:rPr>
        <w:t>7.</w:t>
      </w:r>
      <w:r w:rsidR="00C93008" w:rsidRPr="00A33AE8">
        <w:rPr>
          <w:rFonts w:asciiTheme="majorHAnsi" w:hAnsiTheme="majorHAnsi" w:cstheme="majorHAnsi"/>
          <w:lang w:val="en-GB"/>
        </w:rPr>
        <w:t>88</w:t>
      </w:r>
      <w:r w:rsidR="00522C9A"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Mtoe in 2050. The share of </w:t>
      </w:r>
      <w:r w:rsidR="000313A4" w:rsidRPr="00A33AE8">
        <w:rPr>
          <w:rFonts w:asciiTheme="majorHAnsi" w:hAnsiTheme="majorHAnsi" w:cstheme="majorHAnsi"/>
          <w:lang w:val="en-GB"/>
        </w:rPr>
        <w:t xml:space="preserve">Main Activity </w:t>
      </w:r>
      <w:r w:rsidR="00522C9A" w:rsidRPr="00A33AE8">
        <w:rPr>
          <w:rFonts w:asciiTheme="majorHAnsi" w:hAnsiTheme="majorHAnsi" w:cstheme="majorHAnsi"/>
          <w:lang w:val="en-GB"/>
        </w:rPr>
        <w:t>producers’</w:t>
      </w:r>
      <w:r w:rsidR="000313A4"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conventional thermal power plants will </w:t>
      </w:r>
      <w:r w:rsidR="00C93008" w:rsidRPr="00A33AE8">
        <w:rPr>
          <w:rFonts w:asciiTheme="majorHAnsi" w:hAnsiTheme="majorHAnsi" w:cstheme="majorHAnsi"/>
          <w:lang w:val="en-GB"/>
        </w:rPr>
        <w:t>remain stable at about 98% throughout</w:t>
      </w:r>
      <w:r w:rsidR="00365CEB" w:rsidRPr="00A33AE8">
        <w:rPr>
          <w:rFonts w:asciiTheme="majorHAnsi" w:hAnsiTheme="majorHAnsi" w:cstheme="majorHAnsi"/>
          <w:lang w:val="en-GB"/>
        </w:rPr>
        <w:t xml:space="preserve"> 2050.</w:t>
      </w:r>
    </w:p>
    <w:p w14:paraId="191027C1" w14:textId="1ECB5BE3" w:rsidR="00914BA3" w:rsidRDefault="00914BA3" w:rsidP="0087794A">
      <w:pPr>
        <w:pStyle w:val="Caption"/>
        <w:keepNext/>
      </w:pPr>
      <w:bookmarkStart w:id="334" w:name="_Toc154575255"/>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48</w:t>
      </w:r>
      <w:r w:rsidR="006E0533">
        <w:rPr>
          <w:noProof/>
        </w:rPr>
        <w:fldChar w:fldCharType="end"/>
      </w:r>
      <w:r w:rsidRPr="00914BA3">
        <w:t>: Transformation input in electricity sector over 2020-2050 in the scenario with existing measures (WEM)</w:t>
      </w:r>
      <w:bookmarkEnd w:id="334"/>
    </w:p>
    <w:p w14:paraId="5F99EC85" w14:textId="70A6F07C" w:rsidR="00522C9A" w:rsidRPr="00A33AE8" w:rsidRDefault="00914BA3" w:rsidP="00522C9A">
      <w:pPr>
        <w:jc w:val="center"/>
        <w:rPr>
          <w:lang w:eastAsia="el-GR"/>
        </w:rPr>
      </w:pPr>
      <w:r w:rsidRPr="000007D2">
        <w:rPr>
          <w:noProof/>
          <w:lang w:val="en-US"/>
        </w:rPr>
        <mc:AlternateContent>
          <mc:Choice Requires="wps">
            <w:drawing>
              <wp:anchor distT="0" distB="0" distL="114300" distR="114300" simplePos="0" relativeHeight="251726848" behindDoc="0" locked="0" layoutInCell="1" allowOverlap="1" wp14:anchorId="71E76217" wp14:editId="0A2399A2">
                <wp:simplePos x="0" y="0"/>
                <wp:positionH relativeFrom="column">
                  <wp:posOffset>1229360</wp:posOffset>
                </wp:positionH>
                <wp:positionV relativeFrom="paragraph">
                  <wp:posOffset>344905</wp:posOffset>
                </wp:positionV>
                <wp:extent cx="2493034" cy="1901993"/>
                <wp:effectExtent l="0" t="0" r="2540" b="3175"/>
                <wp:wrapNone/>
                <wp:docPr id="1670695060" name="Text Box 1670695060"/>
                <wp:cNvGraphicFramePr/>
                <a:graphic xmlns:a="http://schemas.openxmlformats.org/drawingml/2006/main">
                  <a:graphicData uri="http://schemas.microsoft.com/office/word/2010/wordprocessingShape">
                    <wps:wsp>
                      <wps:cNvSpPr txBox="1"/>
                      <wps:spPr>
                        <a:xfrm>
                          <a:off x="0" y="0"/>
                          <a:ext cx="2493034" cy="190199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871DD9" id="Text Box 1670695060" o:spid="_x0000_s1026" type="#_x0000_t202" style="position:absolute;margin-left:96.8pt;margin-top:27.15pt;width:196.3pt;height:14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" fillcolor="#a5a5a5 [2092]" stroked="f">
                <v:fill opacity="32896f"/>
              </v:shape>
            </w:pict>
          </mc:Fallback>
        </mc:AlternateContent>
      </w:r>
      <w:r w:rsidR="00C950B2" w:rsidRPr="000007D2">
        <w:rPr>
          <w:noProof/>
          <w:lang w:val="en-US"/>
        </w:rPr>
        <w:drawing>
          <wp:inline distT="0" distB="0" distL="0" distR="0" wp14:anchorId="418C1602" wp14:editId="36350F36">
            <wp:extent cx="5109208" cy="31813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26204" cy="3191933"/>
                    </a:xfrm>
                    <a:prstGeom prst="rect">
                      <a:avLst/>
                    </a:prstGeom>
                    <a:noFill/>
                  </pic:spPr>
                </pic:pic>
              </a:graphicData>
            </a:graphic>
          </wp:inline>
        </w:drawing>
      </w:r>
    </w:p>
    <w:p w14:paraId="2F1391F2" w14:textId="77777777" w:rsidR="00207729" w:rsidRPr="00A33AE8" w:rsidRDefault="006F5B11" w:rsidP="00365CEB">
      <w:pPr>
        <w:pStyle w:val="LDKbody"/>
        <w:rPr>
          <w:rFonts w:asciiTheme="majorHAnsi" w:hAnsiTheme="majorHAnsi" w:cstheme="majorHAnsi"/>
          <w:lang w:val="en-GB"/>
        </w:rPr>
      </w:pPr>
      <w:r w:rsidRPr="00A33AE8">
        <w:rPr>
          <w:rFonts w:asciiTheme="majorHAnsi" w:hAnsiTheme="majorHAnsi" w:cstheme="majorHAnsi"/>
          <w:lang w:val="en-GB"/>
        </w:rPr>
        <w:t xml:space="preserve">Similarly, the </w:t>
      </w:r>
      <w:r w:rsidR="000313A4" w:rsidRPr="00A33AE8">
        <w:rPr>
          <w:rFonts w:asciiTheme="majorHAnsi" w:hAnsiTheme="majorHAnsi" w:cstheme="majorHAnsi"/>
          <w:lang w:val="en-GB"/>
        </w:rPr>
        <w:t xml:space="preserve">transformation output </w:t>
      </w:r>
      <w:r w:rsidR="0008649A" w:rsidRPr="00A33AE8">
        <w:rPr>
          <w:rFonts w:asciiTheme="majorHAnsi" w:hAnsiTheme="majorHAnsi" w:cstheme="majorHAnsi"/>
          <w:lang w:val="en-GB"/>
        </w:rPr>
        <w:t>from the</w:t>
      </w:r>
      <w:r w:rsidR="000313A4" w:rsidRPr="00A33AE8">
        <w:rPr>
          <w:rFonts w:asciiTheme="majorHAnsi" w:hAnsiTheme="majorHAnsi" w:cstheme="majorHAnsi"/>
          <w:lang w:val="en-GB"/>
        </w:rPr>
        <w:t xml:space="preserve"> electricity sector </w:t>
      </w:r>
      <w:r w:rsidRPr="00A33AE8">
        <w:rPr>
          <w:rFonts w:asciiTheme="majorHAnsi" w:hAnsiTheme="majorHAnsi" w:cstheme="majorHAnsi"/>
          <w:lang w:val="en-GB"/>
        </w:rPr>
        <w:t xml:space="preserve">was equal to </w:t>
      </w:r>
      <w:r w:rsidR="002E1FB3" w:rsidRPr="00A33AE8">
        <w:rPr>
          <w:rFonts w:asciiTheme="majorHAnsi" w:hAnsiTheme="majorHAnsi" w:cstheme="majorHAnsi"/>
          <w:lang w:val="en-GB"/>
        </w:rPr>
        <w:t>2.</w:t>
      </w:r>
      <w:r w:rsidR="005935DC" w:rsidRPr="00A33AE8">
        <w:rPr>
          <w:rFonts w:asciiTheme="majorHAnsi" w:hAnsiTheme="majorHAnsi" w:cstheme="majorHAnsi"/>
          <w:lang w:val="en-GB"/>
        </w:rPr>
        <w:t>44</w:t>
      </w:r>
      <w:r w:rsidR="00365CEB" w:rsidRPr="00A33AE8">
        <w:rPr>
          <w:rFonts w:asciiTheme="majorHAnsi" w:hAnsiTheme="majorHAnsi" w:cstheme="majorHAnsi"/>
          <w:lang w:val="en-GB"/>
        </w:rPr>
        <w:t xml:space="preserve"> Mtoe </w:t>
      </w:r>
      <w:r w:rsidRPr="00A33AE8">
        <w:rPr>
          <w:rFonts w:asciiTheme="majorHAnsi" w:hAnsiTheme="majorHAnsi" w:cstheme="majorHAnsi"/>
          <w:lang w:val="en-GB"/>
        </w:rPr>
        <w:t>in 20</w:t>
      </w:r>
      <w:r w:rsidR="005935DC" w:rsidRPr="00A33AE8">
        <w:rPr>
          <w:rFonts w:asciiTheme="majorHAnsi" w:hAnsiTheme="majorHAnsi" w:cstheme="majorHAnsi"/>
          <w:lang w:val="en-GB"/>
        </w:rPr>
        <w:t>20</w:t>
      </w:r>
      <w:r w:rsidR="00365CEB" w:rsidRPr="00A33AE8">
        <w:rPr>
          <w:rFonts w:asciiTheme="majorHAnsi" w:hAnsiTheme="majorHAnsi" w:cstheme="majorHAnsi"/>
          <w:lang w:val="en-GB"/>
        </w:rPr>
        <w:t xml:space="preserve">, </w:t>
      </w:r>
      <w:r w:rsidRPr="00A33AE8">
        <w:rPr>
          <w:rFonts w:asciiTheme="majorHAnsi" w:hAnsiTheme="majorHAnsi" w:cstheme="majorHAnsi"/>
          <w:lang w:val="en-GB"/>
        </w:rPr>
        <w:t xml:space="preserve">while it </w:t>
      </w:r>
      <w:r w:rsidR="00365CEB" w:rsidRPr="00A33AE8">
        <w:rPr>
          <w:rFonts w:asciiTheme="majorHAnsi" w:hAnsiTheme="majorHAnsi" w:cstheme="majorHAnsi"/>
          <w:lang w:val="en-GB"/>
        </w:rPr>
        <w:t xml:space="preserve">is anticipated to increase up to </w:t>
      </w:r>
      <w:r w:rsidR="00522C9A" w:rsidRPr="00A33AE8">
        <w:rPr>
          <w:rFonts w:asciiTheme="majorHAnsi" w:hAnsiTheme="majorHAnsi" w:cstheme="majorHAnsi"/>
          <w:lang w:val="en-GB"/>
        </w:rPr>
        <w:t xml:space="preserve">3.3 </w:t>
      </w:r>
      <w:r w:rsidR="00365CEB" w:rsidRPr="00A33AE8">
        <w:rPr>
          <w:rFonts w:asciiTheme="majorHAnsi" w:hAnsiTheme="majorHAnsi" w:cstheme="majorHAnsi"/>
          <w:lang w:val="en-GB"/>
        </w:rPr>
        <w:t xml:space="preserve">Mtoe in </w:t>
      </w:r>
      <w:r w:rsidR="002E1FB3" w:rsidRPr="00A33AE8">
        <w:rPr>
          <w:rFonts w:asciiTheme="majorHAnsi" w:hAnsiTheme="majorHAnsi" w:cstheme="majorHAnsi"/>
          <w:lang w:val="en-GB"/>
        </w:rPr>
        <w:t>2045</w:t>
      </w:r>
      <w:r w:rsidR="00365CEB" w:rsidRPr="00A33AE8">
        <w:rPr>
          <w:rFonts w:asciiTheme="majorHAnsi" w:hAnsiTheme="majorHAnsi" w:cstheme="majorHAnsi"/>
          <w:lang w:val="en-GB"/>
        </w:rPr>
        <w:t>, before falling by</w:t>
      </w:r>
      <w:r w:rsidR="002E1FB3" w:rsidRPr="00A33AE8">
        <w:rPr>
          <w:rFonts w:asciiTheme="majorHAnsi" w:hAnsiTheme="majorHAnsi" w:cstheme="majorHAnsi"/>
          <w:lang w:val="en-GB"/>
        </w:rPr>
        <w:t xml:space="preserve"> 2050</w:t>
      </w:r>
      <w:r w:rsidR="009835BD" w:rsidRPr="00A33AE8">
        <w:rPr>
          <w:rFonts w:asciiTheme="majorHAnsi" w:hAnsiTheme="majorHAnsi" w:cstheme="majorHAnsi"/>
          <w:lang w:val="en-GB"/>
        </w:rPr>
        <w:t xml:space="preserve"> at </w:t>
      </w:r>
      <w:r w:rsidR="00522C9A" w:rsidRPr="00A33AE8">
        <w:rPr>
          <w:rFonts w:asciiTheme="majorHAnsi" w:hAnsiTheme="majorHAnsi" w:cstheme="majorHAnsi"/>
          <w:lang w:val="en-GB"/>
        </w:rPr>
        <w:t xml:space="preserve">3.0 </w:t>
      </w:r>
      <w:r w:rsidR="009835BD" w:rsidRPr="00A33AE8">
        <w:rPr>
          <w:rFonts w:asciiTheme="majorHAnsi" w:hAnsiTheme="majorHAnsi" w:cstheme="majorHAnsi"/>
          <w:lang w:val="en-GB"/>
        </w:rPr>
        <w:t>Mtoe</w:t>
      </w:r>
      <w:r w:rsidR="00365CEB" w:rsidRPr="00A33AE8">
        <w:rPr>
          <w:rFonts w:asciiTheme="majorHAnsi" w:hAnsiTheme="majorHAnsi" w:cstheme="majorHAnsi"/>
          <w:lang w:val="en-GB"/>
        </w:rPr>
        <w:t xml:space="preserve">, as shown in </w:t>
      </w:r>
      <w:r w:rsidR="005D6F1A" w:rsidRPr="000007D2">
        <w:fldChar w:fldCharType="begin"/>
      </w:r>
      <w:r w:rsidR="005D6F1A" w:rsidRPr="000007D2">
        <w:rPr>
          <w:lang w:val="en-GB"/>
        </w:rPr>
        <w:instrText xml:space="preserve"> REF _Ref113634518 \h  \* MERGEFORMAT </w:instrText>
      </w:r>
      <w:r w:rsidR="005D6F1A" w:rsidRPr="000007D2">
        <w:fldChar w:fldCharType="separate"/>
      </w:r>
      <w:r w:rsidR="005D6F1A" w:rsidRPr="00A33AE8">
        <w:rPr>
          <w:rFonts w:asciiTheme="majorHAnsi" w:hAnsiTheme="majorHAnsi" w:cstheme="majorHAnsi"/>
          <w:lang w:val="en-GB"/>
        </w:rPr>
        <w:t>Figure 4.4</w:t>
      </w:r>
      <w:r w:rsidR="005D6F1A">
        <w:rPr>
          <w:rFonts w:asciiTheme="majorHAnsi" w:hAnsiTheme="majorHAnsi" w:cstheme="majorHAnsi"/>
          <w:lang w:val="en-GB"/>
        </w:rPr>
        <w:t>9</w:t>
      </w:r>
      <w:r w:rsidR="005D6F1A" w:rsidRPr="000007D2">
        <w:fldChar w:fldCharType="end"/>
      </w:r>
      <w:r w:rsidR="00365CEB" w:rsidRPr="00A33AE8">
        <w:rPr>
          <w:rFonts w:asciiTheme="majorHAnsi" w:hAnsiTheme="majorHAnsi" w:cstheme="majorHAnsi"/>
          <w:lang w:val="en-GB"/>
        </w:rPr>
        <w:t xml:space="preserve">. The share of </w:t>
      </w:r>
      <w:r w:rsidR="000313A4" w:rsidRPr="00A33AE8">
        <w:rPr>
          <w:rFonts w:asciiTheme="majorHAnsi" w:hAnsiTheme="majorHAnsi" w:cstheme="majorHAnsi"/>
          <w:lang w:val="en-GB"/>
        </w:rPr>
        <w:t xml:space="preserve">Main activity </w:t>
      </w:r>
      <w:r w:rsidR="00522C9A" w:rsidRPr="00A33AE8">
        <w:rPr>
          <w:rFonts w:asciiTheme="majorHAnsi" w:hAnsiTheme="majorHAnsi" w:cstheme="majorHAnsi"/>
          <w:lang w:val="en-GB"/>
        </w:rPr>
        <w:t>producers’</w:t>
      </w:r>
      <w:r w:rsidR="000313A4"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conventional thermal power plants is expected to be </w:t>
      </w:r>
      <w:r w:rsidRPr="00A33AE8">
        <w:rPr>
          <w:rFonts w:asciiTheme="majorHAnsi" w:hAnsiTheme="majorHAnsi" w:cstheme="majorHAnsi"/>
          <w:lang w:val="en-GB"/>
        </w:rPr>
        <w:t>reduced</w:t>
      </w:r>
      <w:r w:rsidR="00365CEB" w:rsidRPr="00A33AE8">
        <w:rPr>
          <w:rFonts w:asciiTheme="majorHAnsi" w:hAnsiTheme="majorHAnsi" w:cstheme="majorHAnsi"/>
          <w:lang w:val="en-GB"/>
        </w:rPr>
        <w:t xml:space="preserve"> to </w:t>
      </w:r>
      <w:r w:rsidR="005935DC" w:rsidRPr="00A33AE8">
        <w:rPr>
          <w:rFonts w:asciiTheme="majorHAnsi" w:hAnsiTheme="majorHAnsi" w:cstheme="majorHAnsi"/>
          <w:lang w:val="en-GB"/>
        </w:rPr>
        <w:t>94</w:t>
      </w:r>
      <w:r w:rsidR="00522C9A"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in 2030 from </w:t>
      </w:r>
      <w:r w:rsidR="005935DC" w:rsidRPr="00A33AE8">
        <w:rPr>
          <w:rFonts w:asciiTheme="majorHAnsi" w:hAnsiTheme="majorHAnsi" w:cstheme="majorHAnsi"/>
          <w:lang w:val="en-GB"/>
        </w:rPr>
        <w:t>95</w:t>
      </w:r>
      <w:r w:rsidR="00365CEB" w:rsidRPr="00A33AE8">
        <w:rPr>
          <w:rFonts w:asciiTheme="majorHAnsi" w:hAnsiTheme="majorHAnsi" w:cstheme="majorHAnsi"/>
          <w:lang w:val="en-GB"/>
        </w:rPr>
        <w:t>% in 20</w:t>
      </w:r>
      <w:r w:rsidR="005935DC" w:rsidRPr="00A33AE8">
        <w:rPr>
          <w:rFonts w:asciiTheme="majorHAnsi" w:hAnsiTheme="majorHAnsi" w:cstheme="majorHAnsi"/>
          <w:lang w:val="en-GB"/>
        </w:rPr>
        <w:t>20</w:t>
      </w:r>
      <w:r w:rsidR="00365CEB" w:rsidRPr="00A33AE8">
        <w:rPr>
          <w:rFonts w:asciiTheme="majorHAnsi" w:hAnsiTheme="majorHAnsi" w:cstheme="majorHAnsi"/>
          <w:lang w:val="en-GB"/>
        </w:rPr>
        <w:t xml:space="preserve">, before </w:t>
      </w:r>
      <w:r w:rsidRPr="00A33AE8">
        <w:rPr>
          <w:rFonts w:asciiTheme="majorHAnsi" w:hAnsiTheme="majorHAnsi" w:cstheme="majorHAnsi"/>
          <w:lang w:val="en-GB"/>
        </w:rPr>
        <w:t xml:space="preserve">its final growth </w:t>
      </w:r>
      <w:r w:rsidR="00365CEB" w:rsidRPr="00A33AE8">
        <w:rPr>
          <w:rFonts w:asciiTheme="majorHAnsi" w:hAnsiTheme="majorHAnsi" w:cstheme="majorHAnsi"/>
          <w:lang w:val="en-GB"/>
        </w:rPr>
        <w:t xml:space="preserve">to </w:t>
      </w:r>
      <w:r w:rsidR="005935DC" w:rsidRPr="00A33AE8">
        <w:rPr>
          <w:rFonts w:asciiTheme="majorHAnsi" w:hAnsiTheme="majorHAnsi" w:cstheme="majorHAnsi"/>
          <w:lang w:val="en-GB"/>
        </w:rPr>
        <w:t>97</w:t>
      </w:r>
      <w:r w:rsidR="00522C9A" w:rsidRPr="00A33AE8">
        <w:rPr>
          <w:rFonts w:asciiTheme="majorHAnsi" w:hAnsiTheme="majorHAnsi" w:cstheme="majorHAnsi"/>
          <w:lang w:val="en-GB"/>
        </w:rPr>
        <w:t xml:space="preserve">% </w:t>
      </w:r>
      <w:r w:rsidR="00365CEB" w:rsidRPr="00A33AE8">
        <w:rPr>
          <w:rFonts w:asciiTheme="majorHAnsi" w:hAnsiTheme="majorHAnsi" w:cstheme="majorHAnsi"/>
          <w:lang w:val="en-GB"/>
        </w:rPr>
        <w:t>in 2050.</w:t>
      </w:r>
    </w:p>
    <w:p w14:paraId="1CD2AC69" w14:textId="09DA38E5" w:rsidR="00365CEB" w:rsidRPr="00A33AE8" w:rsidRDefault="00365CEB" w:rsidP="00365CEB">
      <w:pPr>
        <w:pStyle w:val="Caption"/>
        <w:rPr>
          <w:lang w:eastAsia="el-GR"/>
        </w:rPr>
      </w:pPr>
      <w:bookmarkStart w:id="335" w:name="_Ref113634518"/>
      <w:bookmarkStart w:id="336" w:name="_Toc118992318"/>
      <w:bookmarkStart w:id="337" w:name="_Toc154575256"/>
      <w:r w:rsidRPr="00A33AE8">
        <w:rPr>
          <w:lang w:eastAsia="el-GR"/>
        </w:rPr>
        <w:t xml:space="preserve">Figure </w:t>
      </w:r>
      <w:r w:rsidR="00B62877">
        <w:rPr>
          <w:lang w:eastAsia="el-GR"/>
        </w:rPr>
        <w:fldChar w:fldCharType="begin"/>
      </w:r>
      <w:r w:rsidR="00B62877">
        <w:rPr>
          <w:lang w:eastAsia="el-GR"/>
        </w:rPr>
        <w:instrText xml:space="preserve"> STYLEREF 1 \s </w:instrText>
      </w:r>
      <w:r w:rsidR="00B62877">
        <w:rPr>
          <w:lang w:eastAsia="el-GR"/>
        </w:rPr>
        <w:fldChar w:fldCharType="separate"/>
      </w:r>
      <w:r w:rsidR="00B62877">
        <w:rPr>
          <w:noProof/>
          <w:lang w:eastAsia="el-GR"/>
        </w:rPr>
        <w:t>4</w:t>
      </w:r>
      <w:r w:rsidR="00B62877">
        <w:rPr>
          <w:lang w:eastAsia="el-GR"/>
        </w:rPr>
        <w:fldChar w:fldCharType="end"/>
      </w:r>
      <w:r w:rsidR="00B62877">
        <w:rPr>
          <w:lang w:eastAsia="el-GR"/>
        </w:rPr>
        <w:t>.</w:t>
      </w:r>
      <w:r w:rsidR="00B62877">
        <w:rPr>
          <w:lang w:eastAsia="el-GR"/>
        </w:rPr>
        <w:fldChar w:fldCharType="begin"/>
      </w:r>
      <w:r w:rsidR="00B62877">
        <w:rPr>
          <w:lang w:eastAsia="el-GR"/>
        </w:rPr>
        <w:instrText xml:space="preserve"> SEQ Figure \* ARABIC \s 1 </w:instrText>
      </w:r>
      <w:r w:rsidR="00B62877">
        <w:rPr>
          <w:lang w:eastAsia="el-GR"/>
        </w:rPr>
        <w:fldChar w:fldCharType="separate"/>
      </w:r>
      <w:r w:rsidR="00B62877">
        <w:rPr>
          <w:noProof/>
          <w:lang w:eastAsia="el-GR"/>
        </w:rPr>
        <w:t>49</w:t>
      </w:r>
      <w:r w:rsidR="00B62877">
        <w:rPr>
          <w:lang w:eastAsia="el-GR"/>
        </w:rPr>
        <w:fldChar w:fldCharType="end"/>
      </w:r>
      <w:bookmarkEnd w:id="335"/>
      <w:r w:rsidRPr="00A33AE8">
        <w:rPr>
          <w:lang w:eastAsia="el-GR"/>
        </w:rPr>
        <w:t xml:space="preserve">: </w:t>
      </w:r>
      <w:r w:rsidR="000313A4" w:rsidRPr="000007D2">
        <w:rPr>
          <w:lang w:eastAsia="el-GR"/>
        </w:rPr>
        <w:t>Transformation</w:t>
      </w:r>
      <w:r w:rsidR="000313A4" w:rsidRPr="00A33AE8">
        <w:rPr>
          <w:lang w:eastAsia="el-GR"/>
        </w:rPr>
        <w:t xml:space="preserve"> </w:t>
      </w:r>
      <w:r w:rsidRPr="00A33AE8">
        <w:rPr>
          <w:lang w:eastAsia="el-GR"/>
        </w:rPr>
        <w:t xml:space="preserve">output </w:t>
      </w:r>
      <w:r w:rsidR="000313A4" w:rsidRPr="00A33AE8">
        <w:rPr>
          <w:lang w:eastAsia="el-GR"/>
        </w:rPr>
        <w:t xml:space="preserve">in </w:t>
      </w:r>
      <w:r w:rsidRPr="00A33AE8">
        <w:rPr>
          <w:lang w:eastAsia="el-GR"/>
        </w:rPr>
        <w:t xml:space="preserve">electricity </w:t>
      </w:r>
      <w:r w:rsidR="000313A4" w:rsidRPr="00A33AE8">
        <w:rPr>
          <w:lang w:eastAsia="el-GR"/>
        </w:rPr>
        <w:t xml:space="preserve">sector </w:t>
      </w:r>
      <w:r w:rsidRPr="00A33AE8">
        <w:rPr>
          <w:lang w:eastAsia="el-GR"/>
        </w:rPr>
        <w:t>over 20</w:t>
      </w:r>
      <w:r w:rsidR="005935DC" w:rsidRPr="00A33AE8">
        <w:rPr>
          <w:lang w:eastAsia="el-GR"/>
        </w:rPr>
        <w:t>20</w:t>
      </w:r>
      <w:r w:rsidRPr="00A33AE8">
        <w:rPr>
          <w:lang w:eastAsia="el-GR"/>
        </w:rPr>
        <w:t>-2050</w:t>
      </w:r>
      <w:bookmarkEnd w:id="336"/>
      <w:r w:rsidR="00913221" w:rsidRPr="00913221">
        <w:t xml:space="preserve"> </w:t>
      </w:r>
      <w:r w:rsidR="00913221" w:rsidRPr="00913221">
        <w:rPr>
          <w:lang w:eastAsia="el-GR"/>
        </w:rPr>
        <w:t>in the scenario with existing measures (WEM)</w:t>
      </w:r>
      <w:bookmarkEnd w:id="337"/>
    </w:p>
    <w:p w14:paraId="592CF429" w14:textId="77777777" w:rsidR="00522C9A" w:rsidRPr="00A33AE8" w:rsidRDefault="00F774B3" w:rsidP="00522C9A">
      <w:pPr>
        <w:jc w:val="center"/>
        <w:rPr>
          <w:lang w:eastAsia="el-GR"/>
        </w:rPr>
      </w:pPr>
      <w:r w:rsidRPr="000007D2">
        <w:rPr>
          <w:noProof/>
          <w:lang w:val="en-US"/>
        </w:rPr>
        <mc:AlternateContent>
          <mc:Choice Requires="wps">
            <w:drawing>
              <wp:anchor distT="0" distB="0" distL="114300" distR="114300" simplePos="0" relativeHeight="251728896" behindDoc="0" locked="0" layoutInCell="1" allowOverlap="1" wp14:anchorId="2521AEC8" wp14:editId="183AE847">
                <wp:simplePos x="0" y="0"/>
                <wp:positionH relativeFrom="column">
                  <wp:posOffset>1117336</wp:posOffset>
                </wp:positionH>
                <wp:positionV relativeFrom="paragraph">
                  <wp:posOffset>516544</wp:posOffset>
                </wp:positionV>
                <wp:extent cx="2605178" cy="2712708"/>
                <wp:effectExtent l="0" t="0" r="5080" b="0"/>
                <wp:wrapNone/>
                <wp:docPr id="1900699200" name="Text Box 1900699200"/>
                <wp:cNvGraphicFramePr/>
                <a:graphic xmlns:a="http://schemas.openxmlformats.org/drawingml/2006/main">
                  <a:graphicData uri="http://schemas.microsoft.com/office/word/2010/wordprocessingShape">
                    <wps:wsp>
                      <wps:cNvSpPr txBox="1"/>
                      <wps:spPr>
                        <a:xfrm>
                          <a:off x="0" y="0"/>
                          <a:ext cx="2605178" cy="2712708"/>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E4DA0" id="Text Box 1900699200" o:spid="_x0000_s1026" type="#_x0000_t202" style="position:absolute;margin-left:88pt;margin-top:40.65pt;width:205.15pt;height:21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" fillcolor="#a5a5a5 [2092]" stroked="f">
                <v:fill opacity="32896f"/>
              </v:shape>
            </w:pict>
          </mc:Fallback>
        </mc:AlternateContent>
      </w:r>
      <w:r w:rsidR="005935DC" w:rsidRPr="000007D2">
        <w:rPr>
          <w:noProof/>
          <w:lang w:val="en-US"/>
        </w:rPr>
        <w:drawing>
          <wp:inline distT="0" distB="0" distL="0" distR="0" wp14:anchorId="26EDB96C" wp14:editId="08EF1E9B">
            <wp:extent cx="5386313" cy="3577734"/>
            <wp:effectExtent l="0" t="0" r="5080" b="3810"/>
            <wp:docPr id="1987101752" name="Picture 198710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8924" cy="3586110"/>
                    </a:xfrm>
                    <a:prstGeom prst="rect">
                      <a:avLst/>
                    </a:prstGeom>
                    <a:noFill/>
                  </pic:spPr>
                </pic:pic>
              </a:graphicData>
            </a:graphic>
          </wp:inline>
        </w:drawing>
      </w:r>
    </w:p>
    <w:p w14:paraId="2C9FB5B1" w14:textId="126904E3" w:rsidR="00365CEB" w:rsidRPr="00A33AE8" w:rsidRDefault="009B7AE1" w:rsidP="00365CEB">
      <w:pPr>
        <w:pStyle w:val="LDKbody"/>
        <w:rPr>
          <w:rFonts w:asciiTheme="majorHAnsi" w:hAnsiTheme="majorHAnsi" w:cstheme="majorHAnsi"/>
          <w:lang w:val="en-GB"/>
        </w:rPr>
      </w:pPr>
      <w:r w:rsidRPr="00A33AE8">
        <w:rPr>
          <w:rFonts w:asciiTheme="majorHAnsi" w:hAnsiTheme="majorHAnsi" w:cstheme="majorHAnsi"/>
          <w:lang w:val="en-GB"/>
        </w:rPr>
        <w:t>T</w:t>
      </w:r>
      <w:r w:rsidR="00365CEB" w:rsidRPr="00A33AE8">
        <w:rPr>
          <w:rFonts w:asciiTheme="majorHAnsi" w:hAnsiTheme="majorHAnsi" w:cstheme="majorHAnsi"/>
          <w:lang w:val="en-GB"/>
        </w:rPr>
        <w:t>he efficiency of the national electricity grid</w:t>
      </w:r>
      <w:r w:rsidRPr="00A33AE8">
        <w:rPr>
          <w:rFonts w:asciiTheme="majorHAnsi" w:hAnsiTheme="majorHAnsi" w:cstheme="majorHAnsi"/>
          <w:lang w:val="en-GB"/>
        </w:rPr>
        <w:t xml:space="preserve"> </w:t>
      </w:r>
      <w:r w:rsidR="000313A4" w:rsidRPr="00A33AE8">
        <w:rPr>
          <w:rFonts w:asciiTheme="majorHAnsi" w:hAnsiTheme="majorHAnsi" w:cstheme="majorHAnsi"/>
          <w:lang w:val="en-GB"/>
        </w:rPr>
        <w:t xml:space="preserve">is projected to </w:t>
      </w:r>
      <w:r w:rsidRPr="00A33AE8">
        <w:rPr>
          <w:rFonts w:asciiTheme="majorHAnsi" w:hAnsiTheme="majorHAnsi" w:cstheme="majorHAnsi"/>
          <w:lang w:val="en-GB"/>
        </w:rPr>
        <w:t xml:space="preserve">be </w:t>
      </w:r>
      <w:r w:rsidR="00365CEB" w:rsidRPr="00A33AE8">
        <w:rPr>
          <w:rFonts w:asciiTheme="majorHAnsi" w:hAnsiTheme="majorHAnsi" w:cstheme="majorHAnsi"/>
          <w:lang w:val="en-GB"/>
        </w:rPr>
        <w:t xml:space="preserve">improved </w:t>
      </w:r>
      <w:r w:rsidR="00751312" w:rsidRPr="00A33AE8">
        <w:rPr>
          <w:rFonts w:asciiTheme="majorHAnsi" w:hAnsiTheme="majorHAnsi" w:cstheme="majorHAnsi"/>
          <w:lang w:val="en-GB"/>
        </w:rPr>
        <w:t>until</w:t>
      </w:r>
      <w:r w:rsidRPr="00A33AE8">
        <w:rPr>
          <w:rFonts w:asciiTheme="majorHAnsi" w:hAnsiTheme="majorHAnsi" w:cstheme="majorHAnsi"/>
          <w:lang w:val="en-GB"/>
        </w:rPr>
        <w:t xml:space="preserve"> 2050</w:t>
      </w:r>
      <w:r w:rsidR="00365CEB" w:rsidRPr="00A33AE8">
        <w:rPr>
          <w:rFonts w:asciiTheme="majorHAnsi" w:hAnsiTheme="majorHAnsi" w:cstheme="majorHAnsi"/>
          <w:lang w:val="en-GB"/>
        </w:rPr>
        <w:t xml:space="preserve"> through the implementation of projects for </w:t>
      </w:r>
      <w:r w:rsidRPr="00A33AE8">
        <w:rPr>
          <w:rFonts w:asciiTheme="majorHAnsi" w:hAnsiTheme="majorHAnsi" w:cstheme="majorHAnsi"/>
          <w:lang w:val="en-GB"/>
        </w:rPr>
        <w:t xml:space="preserve">the </w:t>
      </w:r>
      <w:r w:rsidR="00365CEB" w:rsidRPr="00A33AE8">
        <w:rPr>
          <w:rFonts w:asciiTheme="majorHAnsi" w:hAnsiTheme="majorHAnsi" w:cstheme="majorHAnsi"/>
          <w:lang w:val="en-GB"/>
        </w:rPr>
        <w:t xml:space="preserve">enhancement </w:t>
      </w:r>
      <w:r w:rsidRPr="00A33AE8">
        <w:rPr>
          <w:rFonts w:asciiTheme="majorHAnsi" w:hAnsiTheme="majorHAnsi" w:cstheme="majorHAnsi"/>
          <w:lang w:val="en-GB"/>
        </w:rPr>
        <w:t>of the electricity grid</w:t>
      </w:r>
      <w:r w:rsidR="00365CEB" w:rsidRPr="00A33AE8">
        <w:rPr>
          <w:rFonts w:asciiTheme="majorHAnsi" w:hAnsiTheme="majorHAnsi" w:cstheme="majorHAnsi"/>
          <w:lang w:val="en-GB"/>
        </w:rPr>
        <w:t>, as presented in</w:t>
      </w:r>
      <w:r w:rsidR="007E0F66">
        <w:rPr>
          <w:rFonts w:asciiTheme="majorHAnsi" w:hAnsiTheme="majorHAnsi" w:cstheme="majorHAnsi"/>
          <w:lang w:val="en-GB"/>
        </w:rPr>
        <w:t xml:space="preserve"> </w:t>
      </w:r>
      <w:r w:rsidR="007E0F66">
        <w:rPr>
          <w:rFonts w:asciiTheme="majorHAnsi" w:hAnsiTheme="majorHAnsi" w:cstheme="majorHAnsi"/>
          <w:lang w:val="en-GB"/>
        </w:rPr>
        <w:fldChar w:fldCharType="begin"/>
      </w:r>
      <w:r w:rsidR="007E0F66">
        <w:rPr>
          <w:rFonts w:asciiTheme="majorHAnsi" w:hAnsiTheme="majorHAnsi" w:cstheme="majorHAnsi"/>
          <w:lang w:val="en-GB"/>
        </w:rPr>
        <w:instrText xml:space="preserve"> REF _Ref153465516 \h  \* MERGEFORMAT </w:instrText>
      </w:r>
      <w:r w:rsidR="007E0F66">
        <w:rPr>
          <w:rFonts w:asciiTheme="majorHAnsi" w:hAnsiTheme="majorHAnsi" w:cstheme="majorHAnsi"/>
          <w:lang w:val="en-GB"/>
        </w:rPr>
      </w:r>
      <w:r w:rsidR="007E0F66">
        <w:rPr>
          <w:rFonts w:asciiTheme="majorHAnsi" w:hAnsiTheme="majorHAnsi" w:cstheme="majorHAnsi"/>
          <w:lang w:val="en-GB"/>
        </w:rPr>
        <w:fldChar w:fldCharType="separate"/>
      </w:r>
      <w:r w:rsidR="007E0F66" w:rsidRPr="0087794A">
        <w:rPr>
          <w:rFonts w:asciiTheme="majorHAnsi" w:hAnsiTheme="majorHAnsi" w:cstheme="majorHAnsi"/>
          <w:lang w:val="en-GB"/>
        </w:rPr>
        <w:t>Figure 4.50</w:t>
      </w:r>
      <w:r w:rsidR="007E0F66">
        <w:rPr>
          <w:rFonts w:asciiTheme="majorHAnsi" w:hAnsiTheme="majorHAnsi" w:cstheme="majorHAnsi"/>
          <w:lang w:val="en-GB"/>
        </w:rPr>
        <w:fldChar w:fldCharType="end"/>
      </w:r>
      <w:r w:rsidR="00365CEB" w:rsidRPr="00A33AE8">
        <w:rPr>
          <w:rFonts w:asciiTheme="majorHAnsi" w:hAnsiTheme="majorHAnsi" w:cstheme="majorHAnsi"/>
          <w:lang w:val="en-GB"/>
        </w:rPr>
        <w:t xml:space="preserve">. More </w:t>
      </w:r>
      <w:r w:rsidR="00365CEB" w:rsidRPr="00A33AE8">
        <w:rPr>
          <w:rFonts w:asciiTheme="majorHAnsi" w:hAnsiTheme="majorHAnsi" w:cstheme="majorHAnsi"/>
          <w:lang w:val="en-GB"/>
        </w:rPr>
        <w:lastRenderedPageBreak/>
        <w:t xml:space="preserve">specifically, the electricity transmission network losses are anticipated to be </w:t>
      </w:r>
      <w:r w:rsidR="00EC77E8" w:rsidRPr="00A33AE8">
        <w:rPr>
          <w:rFonts w:asciiTheme="majorHAnsi" w:hAnsiTheme="majorHAnsi" w:cstheme="majorHAnsi"/>
          <w:lang w:val="en-GB"/>
        </w:rPr>
        <w:t xml:space="preserve">slightly </w:t>
      </w:r>
      <w:r w:rsidR="00365CEB" w:rsidRPr="00A33AE8">
        <w:rPr>
          <w:rFonts w:asciiTheme="majorHAnsi" w:hAnsiTheme="majorHAnsi" w:cstheme="majorHAnsi"/>
          <w:lang w:val="en-GB"/>
        </w:rPr>
        <w:t xml:space="preserve">reduced </w:t>
      </w:r>
      <w:r w:rsidR="00696FC1" w:rsidRPr="00A33AE8">
        <w:rPr>
          <w:rFonts w:asciiTheme="majorHAnsi" w:hAnsiTheme="majorHAnsi" w:cstheme="majorHAnsi"/>
          <w:lang w:val="en-GB"/>
        </w:rPr>
        <w:t>by 0.1</w:t>
      </w:r>
      <w:r w:rsidR="00522C9A" w:rsidRPr="00A33AE8">
        <w:rPr>
          <w:rFonts w:asciiTheme="majorHAnsi" w:hAnsiTheme="majorHAnsi" w:cstheme="majorHAnsi"/>
          <w:lang w:val="en-GB"/>
        </w:rPr>
        <w:t xml:space="preserve">% </w:t>
      </w:r>
      <w:r w:rsidR="00365CEB" w:rsidRPr="00A33AE8">
        <w:rPr>
          <w:rFonts w:asciiTheme="majorHAnsi" w:hAnsiTheme="majorHAnsi" w:cstheme="majorHAnsi"/>
          <w:lang w:val="en-GB"/>
        </w:rPr>
        <w:t xml:space="preserve">in 2050 as a percentage of </w:t>
      </w:r>
      <w:r w:rsidR="00696FC1" w:rsidRPr="00A33AE8">
        <w:rPr>
          <w:rFonts w:asciiTheme="majorHAnsi" w:hAnsiTheme="majorHAnsi" w:cstheme="majorHAnsi"/>
          <w:lang w:val="en-GB"/>
        </w:rPr>
        <w:t>total generation</w:t>
      </w:r>
      <w:r w:rsidR="00365CEB" w:rsidRPr="00A33AE8">
        <w:rPr>
          <w:rFonts w:asciiTheme="majorHAnsi" w:hAnsiTheme="majorHAnsi" w:cstheme="majorHAnsi"/>
          <w:lang w:val="en-GB"/>
        </w:rPr>
        <w:t>, compared to 20</w:t>
      </w:r>
      <w:r w:rsidR="00696FC1" w:rsidRPr="00A33AE8">
        <w:rPr>
          <w:rFonts w:asciiTheme="majorHAnsi" w:hAnsiTheme="majorHAnsi" w:cstheme="majorHAnsi"/>
          <w:lang w:val="en-GB"/>
        </w:rPr>
        <w:t>20</w:t>
      </w:r>
      <w:r w:rsidR="00522C9A" w:rsidRPr="00A33AE8">
        <w:rPr>
          <w:rFonts w:asciiTheme="majorHAnsi" w:hAnsiTheme="majorHAnsi" w:cstheme="majorHAnsi"/>
          <w:lang w:val="en-GB"/>
        </w:rPr>
        <w:t xml:space="preserve"> (</w:t>
      </w:r>
      <w:r w:rsidR="00EC77E8" w:rsidRPr="00A33AE8">
        <w:rPr>
          <w:rFonts w:asciiTheme="majorHAnsi" w:hAnsiTheme="majorHAnsi" w:cstheme="majorHAnsi"/>
          <w:lang w:val="en-GB"/>
        </w:rPr>
        <w:t>2.</w:t>
      </w:r>
      <w:r w:rsidR="00D42BF5" w:rsidRPr="000007D2">
        <w:rPr>
          <w:rFonts w:asciiTheme="majorHAnsi" w:hAnsiTheme="majorHAnsi" w:cstheme="majorHAnsi"/>
          <w:lang w:val="en-GB"/>
        </w:rPr>
        <w:t>6</w:t>
      </w:r>
      <w:r w:rsidR="00B82BEF" w:rsidRPr="00A33AE8">
        <w:rPr>
          <w:rFonts w:asciiTheme="majorHAnsi" w:hAnsiTheme="majorHAnsi" w:cstheme="majorHAnsi"/>
          <w:lang w:val="en-GB"/>
        </w:rPr>
        <w:t>%</w:t>
      </w:r>
      <w:r w:rsidR="00365CEB" w:rsidRPr="00A33AE8">
        <w:rPr>
          <w:rFonts w:asciiTheme="majorHAnsi" w:hAnsiTheme="majorHAnsi" w:cstheme="majorHAnsi"/>
          <w:lang w:val="en-GB"/>
        </w:rPr>
        <w:t xml:space="preserve">), while the electricity distribution network losses will be declined at </w:t>
      </w:r>
      <w:r w:rsidR="00C46875">
        <w:rPr>
          <w:rFonts w:asciiTheme="majorHAnsi" w:hAnsiTheme="majorHAnsi" w:cstheme="majorHAnsi"/>
          <w:lang w:val="en-GB"/>
        </w:rPr>
        <w:t>9</w:t>
      </w:r>
      <w:r w:rsidR="00EC77E8" w:rsidRPr="00A33AE8">
        <w:rPr>
          <w:rFonts w:asciiTheme="majorHAnsi" w:hAnsiTheme="majorHAnsi" w:cstheme="majorHAnsi"/>
          <w:lang w:val="en-GB"/>
        </w:rPr>
        <w:t>.1</w:t>
      </w:r>
      <w:r w:rsidR="00522C9A" w:rsidRPr="00A33AE8">
        <w:rPr>
          <w:rFonts w:asciiTheme="majorHAnsi" w:hAnsiTheme="majorHAnsi" w:cstheme="majorHAnsi"/>
          <w:lang w:val="en-GB"/>
        </w:rPr>
        <w:t xml:space="preserve">% </w:t>
      </w:r>
      <w:r w:rsidR="00365CEB" w:rsidRPr="00A33AE8">
        <w:rPr>
          <w:rFonts w:asciiTheme="majorHAnsi" w:hAnsiTheme="majorHAnsi" w:cstheme="majorHAnsi"/>
          <w:lang w:val="en-GB"/>
        </w:rPr>
        <w:t>in 2050, compared to 20</w:t>
      </w:r>
      <w:r w:rsidR="00696FC1" w:rsidRPr="00A33AE8">
        <w:rPr>
          <w:rFonts w:asciiTheme="majorHAnsi" w:hAnsiTheme="majorHAnsi" w:cstheme="majorHAnsi"/>
          <w:lang w:val="en-GB"/>
        </w:rPr>
        <w:t>20</w:t>
      </w:r>
      <w:r w:rsidR="00365CEB" w:rsidRPr="00A33AE8">
        <w:rPr>
          <w:rFonts w:asciiTheme="majorHAnsi" w:hAnsiTheme="majorHAnsi" w:cstheme="majorHAnsi"/>
          <w:lang w:val="en-GB"/>
        </w:rPr>
        <w:t xml:space="preserve"> (</w:t>
      </w:r>
      <w:r w:rsidR="00EC77E8" w:rsidRPr="00A33AE8">
        <w:rPr>
          <w:rFonts w:asciiTheme="majorHAnsi" w:hAnsiTheme="majorHAnsi" w:cstheme="majorHAnsi"/>
          <w:lang w:val="en-GB"/>
        </w:rPr>
        <w:t>11.</w:t>
      </w:r>
      <w:r w:rsidR="00E87096" w:rsidRPr="00A33AE8">
        <w:rPr>
          <w:rFonts w:asciiTheme="majorHAnsi" w:hAnsiTheme="majorHAnsi" w:cstheme="majorHAnsi"/>
          <w:lang w:val="en-GB"/>
        </w:rPr>
        <w:t>23</w:t>
      </w:r>
      <w:r w:rsidR="00522C9A" w:rsidRPr="00A33AE8">
        <w:rPr>
          <w:rFonts w:asciiTheme="majorHAnsi" w:hAnsiTheme="majorHAnsi" w:cstheme="majorHAnsi"/>
          <w:lang w:val="en-GB"/>
        </w:rPr>
        <w:t>%).</w:t>
      </w:r>
    </w:p>
    <w:p w14:paraId="4BF53C23" w14:textId="33553177" w:rsidR="007E0F66" w:rsidRDefault="007E0F66" w:rsidP="0087794A">
      <w:pPr>
        <w:pStyle w:val="Caption"/>
        <w:keepNext/>
        <w:jc w:val="center"/>
      </w:pPr>
      <w:bookmarkStart w:id="338" w:name="_Ref153465516"/>
      <w:bookmarkStart w:id="339" w:name="_Toc154575257"/>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50</w:t>
      </w:r>
      <w:r w:rsidR="006E0533">
        <w:rPr>
          <w:noProof/>
        </w:rPr>
        <w:fldChar w:fldCharType="end"/>
      </w:r>
      <w:bookmarkEnd w:id="338"/>
      <w:r w:rsidRPr="007E0F66">
        <w:t>: Total electricity network losses over 2020-2050 in the scenario with existing measures (WEM)</w:t>
      </w:r>
      <w:bookmarkEnd w:id="339"/>
    </w:p>
    <w:p w14:paraId="4C2AC4D2" w14:textId="77777777" w:rsidR="00CA0104" w:rsidRPr="00A33AE8" w:rsidRDefault="00E87096" w:rsidP="00522C9A">
      <w:pPr>
        <w:jc w:val="center"/>
        <w:rPr>
          <w:lang w:eastAsia="el-GR"/>
        </w:rPr>
      </w:pPr>
      <w:r w:rsidRPr="00520E08">
        <w:rPr>
          <w:noProof/>
          <w:lang w:val="en-US"/>
        </w:rPr>
        <w:drawing>
          <wp:inline distT="0" distB="0" distL="0" distR="0" wp14:anchorId="10929BE5" wp14:editId="6373473A">
            <wp:extent cx="5122474" cy="3366000"/>
            <wp:effectExtent l="0" t="0" r="2540" b="6350"/>
            <wp:docPr id="1164819665" name="Picture 116481966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19665" name="Picture 1" descr="A graph of a number of peopl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22474" cy="3366000"/>
                    </a:xfrm>
                    <a:prstGeom prst="rect">
                      <a:avLst/>
                    </a:prstGeom>
                    <a:noFill/>
                  </pic:spPr>
                </pic:pic>
              </a:graphicData>
            </a:graphic>
          </wp:inline>
        </w:drawing>
      </w:r>
      <w:r w:rsidR="00CA0104" w:rsidRPr="000007D2">
        <w:rPr>
          <w:noProof/>
          <w:lang w:val="en-US"/>
        </w:rPr>
        <mc:AlternateContent>
          <mc:Choice Requires="wps">
            <w:drawing>
              <wp:anchor distT="0" distB="0" distL="114300" distR="114300" simplePos="0" relativeHeight="251730944" behindDoc="0" locked="0" layoutInCell="1" allowOverlap="1" wp14:anchorId="58806E43" wp14:editId="5212D349">
                <wp:simplePos x="0" y="0"/>
                <wp:positionH relativeFrom="column">
                  <wp:posOffset>1263063</wp:posOffset>
                </wp:positionH>
                <wp:positionV relativeFrom="paragraph">
                  <wp:posOffset>581552</wp:posOffset>
                </wp:positionV>
                <wp:extent cx="1526876" cy="2557433"/>
                <wp:effectExtent l="0" t="0" r="0" b="0"/>
                <wp:wrapNone/>
                <wp:docPr id="1719534135" name="Text Box 1719534135"/>
                <wp:cNvGraphicFramePr/>
                <a:graphic xmlns:a="http://schemas.openxmlformats.org/drawingml/2006/main">
                  <a:graphicData uri="http://schemas.microsoft.com/office/word/2010/wordprocessingShape">
                    <wps:wsp>
                      <wps:cNvSpPr txBox="1"/>
                      <wps:spPr>
                        <a:xfrm>
                          <a:off x="0" y="0"/>
                          <a:ext cx="1526876" cy="255743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AEFC4C" id="Text Box 1719534135" o:spid="_x0000_s1026" type="#_x0000_t202" style="position:absolute;margin-left:99.45pt;margin-top:45.8pt;width:120.25pt;height:20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" fillcolor="#a5a5a5 [2092]" stroked="f">
                <v:fill opacity="32896f"/>
              </v:shape>
            </w:pict>
          </mc:Fallback>
        </mc:AlternateContent>
      </w:r>
    </w:p>
    <w:p w14:paraId="1FCD8C93" w14:textId="77777777" w:rsidR="00365CEB" w:rsidRPr="00A33AE8" w:rsidRDefault="00522C9A" w:rsidP="00365CEB">
      <w:pPr>
        <w:pStyle w:val="LDKbody"/>
        <w:rPr>
          <w:rFonts w:asciiTheme="majorHAnsi" w:hAnsiTheme="majorHAnsi" w:cstheme="majorHAnsi"/>
          <w:highlight w:val="yellow"/>
          <w:lang w:val="en-GB"/>
        </w:rPr>
      </w:pPr>
      <w:r w:rsidRPr="00A33AE8">
        <w:rPr>
          <w:rFonts w:asciiTheme="majorHAnsi" w:hAnsiTheme="majorHAnsi"/>
          <w:lang w:val="en-GB"/>
        </w:rPr>
        <w:t>Similarly</w:t>
      </w:r>
      <w:r w:rsidR="00365CEB" w:rsidRPr="00A33AE8">
        <w:rPr>
          <w:rFonts w:asciiTheme="majorHAnsi" w:hAnsiTheme="majorHAnsi"/>
          <w:lang w:val="en-GB"/>
        </w:rPr>
        <w:t>, the gas transportation network losses are expected to</w:t>
      </w:r>
      <w:r w:rsidR="006B11A6" w:rsidRPr="00A33AE8">
        <w:rPr>
          <w:rFonts w:asciiTheme="majorHAnsi" w:hAnsiTheme="majorHAnsi"/>
          <w:lang w:val="en-GB"/>
        </w:rPr>
        <w:t xml:space="preserve"> remain </w:t>
      </w:r>
      <w:r w:rsidR="00FF2669" w:rsidRPr="00A33AE8">
        <w:rPr>
          <w:rFonts w:asciiTheme="majorHAnsi" w:hAnsiTheme="majorHAnsi"/>
          <w:lang w:val="en-GB"/>
        </w:rPr>
        <w:t>low</w:t>
      </w:r>
      <w:r w:rsidR="00365CEB" w:rsidRPr="00A33AE8">
        <w:rPr>
          <w:rFonts w:asciiTheme="majorHAnsi" w:hAnsiTheme="majorHAnsi"/>
          <w:lang w:val="en-GB"/>
        </w:rPr>
        <w:t xml:space="preserve"> as a percentage of total gas transferred, </w:t>
      </w:r>
      <w:r w:rsidR="00FF2669" w:rsidRPr="00A33AE8">
        <w:rPr>
          <w:rFonts w:asciiTheme="majorHAnsi" w:hAnsiTheme="majorHAnsi"/>
          <w:lang w:val="en-GB"/>
        </w:rPr>
        <w:t>at a level close to</w:t>
      </w:r>
      <w:r w:rsidR="00434629" w:rsidRPr="00A33AE8">
        <w:rPr>
          <w:rFonts w:asciiTheme="majorHAnsi" w:hAnsiTheme="majorHAnsi" w:cstheme="majorHAnsi"/>
          <w:lang w:val="en-GB"/>
        </w:rPr>
        <w:t xml:space="preserve"> </w:t>
      </w:r>
      <w:r w:rsidR="00FF2669" w:rsidRPr="00A33AE8">
        <w:rPr>
          <w:rFonts w:asciiTheme="majorHAnsi" w:hAnsiTheme="majorHAnsi"/>
          <w:lang w:val="en-GB"/>
        </w:rPr>
        <w:t xml:space="preserve">1% </w:t>
      </w:r>
      <w:r w:rsidR="00365CEB" w:rsidRPr="00A33AE8">
        <w:rPr>
          <w:rFonts w:asciiTheme="majorHAnsi" w:hAnsiTheme="majorHAnsi"/>
          <w:lang w:val="en-GB"/>
        </w:rPr>
        <w:t>throughout the examined period.</w:t>
      </w:r>
    </w:p>
    <w:p w14:paraId="2B96A68A" w14:textId="20BDCBDF" w:rsidR="00365CEB" w:rsidRPr="00A33AE8" w:rsidRDefault="00365CEB" w:rsidP="00365CEB">
      <w:pPr>
        <w:pStyle w:val="Caption"/>
      </w:pPr>
      <w:bookmarkStart w:id="340" w:name="_Ref113634468"/>
      <w:bookmarkStart w:id="341" w:name="_Toc118992320"/>
      <w:bookmarkStart w:id="342" w:name="_Toc154575258"/>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51</w:t>
      </w:r>
      <w:r w:rsidR="006E0533">
        <w:rPr>
          <w:noProof/>
        </w:rPr>
        <w:fldChar w:fldCharType="end"/>
      </w:r>
      <w:bookmarkEnd w:id="340"/>
      <w:r w:rsidRPr="00A33AE8">
        <w:t xml:space="preserve">: Total gas network losses over </w:t>
      </w:r>
      <w:r w:rsidRPr="00A33AE8">
        <w:rPr>
          <w:lang w:eastAsia="el-GR"/>
        </w:rPr>
        <w:t>20</w:t>
      </w:r>
      <w:r w:rsidR="00434629" w:rsidRPr="00A33AE8">
        <w:rPr>
          <w:lang w:eastAsia="el-GR"/>
        </w:rPr>
        <w:t>20</w:t>
      </w:r>
      <w:r w:rsidRPr="00A33AE8">
        <w:t>-2050</w:t>
      </w:r>
      <w:bookmarkEnd w:id="341"/>
      <w:r w:rsidR="00913221" w:rsidRPr="00913221">
        <w:t xml:space="preserve"> in the scenario with existing measures (WEM)</w:t>
      </w:r>
      <w:bookmarkEnd w:id="342"/>
    </w:p>
    <w:p w14:paraId="4D7FCC61" w14:textId="77777777" w:rsidR="00522C9A" w:rsidRPr="00A33AE8" w:rsidRDefault="002554EC" w:rsidP="00522C9A">
      <w:pPr>
        <w:jc w:val="center"/>
        <w:rPr>
          <w:lang w:eastAsia="el-GR"/>
        </w:rPr>
      </w:pPr>
      <w:r w:rsidRPr="000007D2">
        <w:rPr>
          <w:noProof/>
          <w:lang w:val="en-US"/>
        </w:rPr>
        <mc:AlternateContent>
          <mc:Choice Requires="wps">
            <w:drawing>
              <wp:anchor distT="0" distB="0" distL="114300" distR="114300" simplePos="0" relativeHeight="251732992" behindDoc="0" locked="0" layoutInCell="1" allowOverlap="1" wp14:anchorId="5074A126" wp14:editId="2556FE75">
                <wp:simplePos x="0" y="0"/>
                <wp:positionH relativeFrom="column">
                  <wp:posOffset>883824</wp:posOffset>
                </wp:positionH>
                <wp:positionV relativeFrom="paragraph">
                  <wp:posOffset>1250578</wp:posOffset>
                </wp:positionV>
                <wp:extent cx="4562259" cy="1633843"/>
                <wp:effectExtent l="0" t="0" r="0" b="5080"/>
                <wp:wrapNone/>
                <wp:docPr id="243605252" name="Text Box 243605252"/>
                <wp:cNvGraphicFramePr/>
                <a:graphic xmlns:a="http://schemas.openxmlformats.org/drawingml/2006/main">
                  <a:graphicData uri="http://schemas.microsoft.com/office/word/2010/wordprocessingShape">
                    <wps:wsp>
                      <wps:cNvSpPr txBox="1"/>
                      <wps:spPr>
                        <a:xfrm>
                          <a:off x="0" y="0"/>
                          <a:ext cx="4562259" cy="1633843"/>
                        </a:xfrm>
                        <a:prstGeom prst="rect">
                          <a:avLst/>
                        </a:prstGeom>
                        <a:solidFill>
                          <a:schemeClr val="bg1">
                            <a:lumMod val="65000"/>
                            <a:alpha val="50000"/>
                          </a:schemeClr>
                        </a:solidFill>
                        <a:ln>
                          <a:noFill/>
                        </a:ln>
                      </wps:spPr>
                      <wps:style>
                        <a:lnRef idx="0">
                          <a:scrgbClr r="0" g="0" b="0"/>
                        </a:lnRef>
                        <a:fillRef idx="0">
                          <a:scrgbClr r="0" g="0" b="0"/>
                        </a:fillRef>
                        <a:effectRef idx="0">
                          <a:scrgbClr r="0" g="0" b="0"/>
                        </a:effectRef>
                        <a:fontRef idx="minor">
                          <a:schemeClr val="lt1"/>
                        </a:fontRef>
                      </wps:style>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66DD9" id="Text Box 243605252" o:spid="_x0000_s1026" type="#_x0000_t202" style="position:absolute;margin-left:69.6pt;margin-top:98.45pt;width:359.25pt;height:12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" fillcolor="#a5a5a5 [2092]" stroked="f">
                <v:fill opacity="32896f"/>
              </v:shape>
            </w:pict>
          </mc:Fallback>
        </mc:AlternateContent>
      </w:r>
      <w:r w:rsidRPr="000007D2">
        <w:rPr>
          <w:noProof/>
          <w:lang w:val="en-US"/>
        </w:rPr>
        <w:drawing>
          <wp:inline distT="0" distB="0" distL="0" distR="0" wp14:anchorId="156C8534" wp14:editId="7F3EE64A">
            <wp:extent cx="4970612" cy="3600000"/>
            <wp:effectExtent l="0" t="0" r="1905" b="635"/>
            <wp:docPr id="1566144725" name="Picture 156614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70612" cy="3600000"/>
                    </a:xfrm>
                    <a:prstGeom prst="rect">
                      <a:avLst/>
                    </a:prstGeom>
                    <a:noFill/>
                  </pic:spPr>
                </pic:pic>
              </a:graphicData>
            </a:graphic>
          </wp:inline>
        </w:drawing>
      </w:r>
    </w:p>
    <w:p w14:paraId="6EBE705F" w14:textId="77777777" w:rsidR="00386771" w:rsidRPr="00A33AE8" w:rsidRDefault="00386771" w:rsidP="00386771">
      <w:pPr>
        <w:pStyle w:val="Heading2"/>
      </w:pPr>
      <w:bookmarkStart w:id="343" w:name="_Toc79772563"/>
      <w:bookmarkStart w:id="344" w:name="_Toc118991783"/>
      <w:bookmarkStart w:id="345" w:name="_Toc153545055"/>
      <w:r w:rsidRPr="00A33AE8">
        <w:lastRenderedPageBreak/>
        <w:t>Dimension Internal Energy Market</w:t>
      </w:r>
      <w:bookmarkEnd w:id="343"/>
      <w:bookmarkEnd w:id="344"/>
      <w:bookmarkEnd w:id="345"/>
    </w:p>
    <w:p w14:paraId="1AE9D783" w14:textId="77777777" w:rsidR="007D341E" w:rsidRPr="00A33AE8" w:rsidRDefault="00386771" w:rsidP="007D341E">
      <w:pPr>
        <w:pStyle w:val="Heading3"/>
      </w:pPr>
      <w:r w:rsidRPr="00A33AE8">
        <w:t>Electricity interconnectivity</w:t>
      </w:r>
    </w:p>
    <w:p w14:paraId="17FD7EC1" w14:textId="77777777" w:rsidR="00524F38" w:rsidRPr="00A33AE8" w:rsidRDefault="00524F38" w:rsidP="00884F3B">
      <w:pPr>
        <w:pStyle w:val="Heading4"/>
        <w:numPr>
          <w:ilvl w:val="0"/>
          <w:numId w:val="35"/>
        </w:numPr>
        <w:spacing w:after="160"/>
        <w:ind w:left="714" w:hanging="357"/>
      </w:pPr>
      <w:r w:rsidRPr="00A33AE8">
        <w:t>Current interconnection level and main interconnectors</w:t>
      </w:r>
    </w:p>
    <w:p w14:paraId="72F4747F" w14:textId="77777777" w:rsidR="003E6E3E" w:rsidRPr="00A33AE8" w:rsidRDefault="003E6E3E" w:rsidP="003E6E3E">
      <w:pPr>
        <w:pStyle w:val="LDKBody1"/>
      </w:pPr>
      <w:r w:rsidRPr="00A33AE8">
        <w:t>The electricity transmission system network of the Republic of Serbia has a high interconnectivity level with all electricity systems of neighbouring countries. Serbia is connected with 400 kV, 220 kV and 110 kV cross-border overhead lines to all 8 neighbouring countries (Croatia, Hungary, Romania, Bulgaria, North Macedonia, Albania, Montenegro and Bosnia and Herzegovina). Due to its geographical position, the Serbian transmission system is a very important and integral part of the regional electricity system</w:t>
      </w:r>
      <w:r w:rsidR="0006233C" w:rsidRPr="00A33AE8">
        <w:t xml:space="preserve"> </w:t>
      </w:r>
      <w:r w:rsidRPr="00A33AE8">
        <w:t>in the Balkans, and, as such the Serbian electricity market demonstrates a substantial activity bolstering the country as a key player for electricity trade in the region and supporting a gradually increasing electricity market integration</w:t>
      </w:r>
      <w:r w:rsidRPr="00A33AE8" w:rsidDel="005F690E">
        <w:t>.</w:t>
      </w:r>
    </w:p>
    <w:p w14:paraId="272629CB" w14:textId="77777777" w:rsidR="003E6E3E" w:rsidRPr="00A33AE8" w:rsidRDefault="003E6E3E" w:rsidP="003E6E3E">
      <w:pPr>
        <w:pStyle w:val="LDKBody1"/>
      </w:pPr>
      <w:r w:rsidRPr="00A33AE8">
        <w:t xml:space="preserve">Joint Stock Company "Elektromreza Srbije" (EMS) is the electricity Transmission system operator responsible for developing the transmission grid and manages four regional </w:t>
      </w:r>
      <w:r w:rsidR="00751312" w:rsidRPr="00A33AE8">
        <w:t>centres</w:t>
      </w:r>
      <w:r w:rsidRPr="00A33AE8">
        <w:t xml:space="preserve"> in order to assure the secure functioning of the entire electricity sector. EMS is also responsible for </w:t>
      </w:r>
      <w:r w:rsidR="00EA69F1" w:rsidRPr="00A33AE8">
        <w:t>organization and administration of the balancing electricity market</w:t>
      </w:r>
      <w:r w:rsidRPr="00A33AE8">
        <w:t xml:space="preserve"> and </w:t>
      </w:r>
      <w:r w:rsidR="00EA69F1" w:rsidRPr="00A33AE8">
        <w:t>for purchasing</w:t>
      </w:r>
      <w:r w:rsidRPr="00A33AE8">
        <w:t xml:space="preserve"> ancillary services for frequency and voltage regulation as well as for the coordination of cross-border power exchanges according to the ENTSO-E </w:t>
      </w:r>
      <w:r w:rsidR="00434DBC" w:rsidRPr="00A33AE8">
        <w:t>obligations</w:t>
      </w:r>
      <w:r w:rsidRPr="00A33AE8">
        <w:t>.</w:t>
      </w:r>
    </w:p>
    <w:p w14:paraId="7E1E1BBF" w14:textId="77777777" w:rsidR="003E6E3E" w:rsidRPr="00A33AE8" w:rsidRDefault="003E6E3E" w:rsidP="003E6E3E">
      <w:pPr>
        <w:pStyle w:val="LDKBody1"/>
      </w:pPr>
      <w:r w:rsidRPr="00A33AE8">
        <w:t>The interconnectivity index of the Serbian transmission system (expressed as the ratio between the sum of the maximum NTC values on the borders and the total installed generation capacity) is reported at 50%</w:t>
      </w:r>
      <w:r w:rsidRPr="00A33AE8">
        <w:rPr>
          <w:rStyle w:val="FootnoteReference"/>
        </w:rPr>
        <w:footnoteReference w:id="128"/>
      </w:r>
      <w:r w:rsidRPr="00A33AE8">
        <w:t>, i.e. much higher than the corresponding target of 10% for 2020 for EU member states. This high level of interconnectivity is expected to be utilized more efficiently as regional electricity market integration advances. Realised physical electricity transit in 2020 amounted to 4,532 GWh</w:t>
      </w:r>
      <w:r w:rsidR="00EA69F1" w:rsidRPr="00A33AE8">
        <w:t>.</w:t>
      </w:r>
    </w:p>
    <w:p w14:paraId="641B67C5" w14:textId="6AB0CFAB" w:rsidR="007C790C" w:rsidRPr="00A33AE8" w:rsidRDefault="007C790C" w:rsidP="007C790C">
      <w:pPr>
        <w:pStyle w:val="LDKBody1"/>
      </w:pPr>
      <w:r w:rsidRPr="00A33AE8">
        <w:t xml:space="preserve">In order to provide insight into the utilisation of interconnecting capacities, </w:t>
      </w:r>
      <w:r w:rsidR="007E0F66">
        <w:fldChar w:fldCharType="begin"/>
      </w:r>
      <w:r w:rsidR="007E0F66">
        <w:instrText xml:space="preserve"> REF _Ref153465587 \h </w:instrText>
      </w:r>
      <w:r w:rsidR="007E0F66">
        <w:fldChar w:fldCharType="separate"/>
      </w:r>
      <w:r w:rsidR="007E0F66" w:rsidRPr="00A33AE8">
        <w:t xml:space="preserve">Table </w:t>
      </w:r>
      <w:r w:rsidR="007E0F66">
        <w:rPr>
          <w:noProof/>
        </w:rPr>
        <w:t>4</w:t>
      </w:r>
      <w:r w:rsidR="007E0F66">
        <w:t>.</w:t>
      </w:r>
      <w:r w:rsidR="007E0F66">
        <w:rPr>
          <w:noProof/>
        </w:rPr>
        <w:t>3</w:t>
      </w:r>
      <w:r w:rsidR="007E0F66">
        <w:fldChar w:fldCharType="end"/>
      </w:r>
      <w:r w:rsidR="007E0F66">
        <w:t xml:space="preserve"> </w:t>
      </w:r>
      <w:r w:rsidR="003E6E3E" w:rsidRPr="00A33AE8">
        <w:t>provides an overview of capacities with every neighbouring electricity system</w:t>
      </w:r>
      <w:r w:rsidR="003E6E3E" w:rsidRPr="00A33AE8">
        <w:rPr>
          <w:rStyle w:val="FootnoteReference"/>
        </w:rPr>
        <w:footnoteReference w:id="129"/>
      </w:r>
      <w:r w:rsidR="003E6E3E" w:rsidRPr="00A33AE8">
        <w:t>. The capacities shown in this table represent the sum of the thermal limits of all transmission lines, and such, they differ for the winter and summer periods. It should be noted that the use of existing interconnecting transmission lines depends both on the limitations in the national transmission network and on the limitations set by the TSOs of neighbouring systems.</w:t>
      </w:r>
    </w:p>
    <w:p w14:paraId="0A68D44D" w14:textId="45333927" w:rsidR="007C790C" w:rsidRPr="00A33AE8" w:rsidRDefault="007C790C" w:rsidP="007C790C">
      <w:pPr>
        <w:pStyle w:val="Caption"/>
      </w:pPr>
      <w:bookmarkStart w:id="346" w:name="_Ref153465587"/>
      <w:bookmarkStart w:id="347" w:name="_Ref113369460"/>
      <w:bookmarkStart w:id="348" w:name="_Toc118992368"/>
      <w:bookmarkStart w:id="349" w:name="_Toc153545074"/>
      <w:r w:rsidRPr="00A33AE8">
        <w:t xml:space="preserve">Table </w:t>
      </w:r>
      <w:r w:rsidR="006E0533">
        <w:fldChar w:fldCharType="begin"/>
      </w:r>
      <w:r w:rsidR="006E0533">
        <w:instrText xml:space="preserve"> STYLEREF 1 \s </w:instrText>
      </w:r>
      <w:r w:rsidR="006E0533">
        <w:fldChar w:fldCharType="separate"/>
      </w:r>
      <w:r w:rsidR="00A84B9C">
        <w:rPr>
          <w:noProof/>
        </w:rPr>
        <w:t>4</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3</w:t>
      </w:r>
      <w:r w:rsidR="006E0533">
        <w:rPr>
          <w:noProof/>
        </w:rPr>
        <w:fldChar w:fldCharType="end"/>
      </w:r>
      <w:bookmarkEnd w:id="346"/>
      <w:bookmarkEnd w:id="347"/>
      <w:r w:rsidRPr="00A33AE8">
        <w:t>: Thermal capacities of interconnecting transmission lines by borders</w:t>
      </w:r>
      <w:bookmarkEnd w:id="348"/>
      <w:bookmarkEnd w:id="349"/>
    </w:p>
    <w:tbl>
      <w:tblPr>
        <w:tblStyle w:val="TableGrid"/>
        <w:tblW w:w="0" w:type="auto"/>
        <w:jc w:val="center"/>
        <w:tblLook w:val="04A0" w:firstRow="1" w:lastRow="0" w:firstColumn="1" w:lastColumn="0" w:noHBand="0" w:noVBand="1"/>
      </w:tblPr>
      <w:tblGrid>
        <w:gridCol w:w="3256"/>
        <w:gridCol w:w="1701"/>
        <w:gridCol w:w="1559"/>
      </w:tblGrid>
      <w:tr w:rsidR="007C790C" w:rsidRPr="00A33AE8" w14:paraId="7543522E" w14:textId="77777777" w:rsidTr="00507954">
        <w:trPr>
          <w:trHeight w:val="358"/>
          <w:jc w:val="center"/>
        </w:trPr>
        <w:tc>
          <w:tcPr>
            <w:tcW w:w="3256" w:type="dxa"/>
            <w:shd w:val="clear" w:color="auto" w:fill="002060"/>
          </w:tcPr>
          <w:p w14:paraId="72A53861" w14:textId="77777777" w:rsidR="007C790C" w:rsidRPr="00A33AE8" w:rsidRDefault="007C790C" w:rsidP="005F342E">
            <w:pPr>
              <w:rPr>
                <w:rFonts w:asciiTheme="majorHAnsi" w:hAnsiTheme="majorHAnsi" w:cstheme="majorHAnsi"/>
                <w:b/>
                <w:bCs/>
              </w:rPr>
            </w:pPr>
            <w:r w:rsidRPr="00A33AE8">
              <w:rPr>
                <w:rFonts w:asciiTheme="majorHAnsi" w:hAnsiTheme="majorHAnsi" w:cstheme="majorHAnsi"/>
                <w:b/>
                <w:bCs/>
              </w:rPr>
              <w:t>Border</w:t>
            </w:r>
          </w:p>
        </w:tc>
        <w:tc>
          <w:tcPr>
            <w:tcW w:w="1701" w:type="dxa"/>
            <w:shd w:val="clear" w:color="auto" w:fill="002060"/>
          </w:tcPr>
          <w:p w14:paraId="4770DA19" w14:textId="77777777" w:rsidR="007C790C" w:rsidRPr="00A33AE8" w:rsidRDefault="007C790C" w:rsidP="005F342E">
            <w:pPr>
              <w:jc w:val="center"/>
              <w:rPr>
                <w:rFonts w:asciiTheme="majorHAnsi" w:hAnsiTheme="majorHAnsi" w:cstheme="majorHAnsi"/>
                <w:b/>
                <w:bCs/>
              </w:rPr>
            </w:pPr>
            <w:r w:rsidRPr="00A33AE8">
              <w:rPr>
                <w:rFonts w:asciiTheme="majorHAnsi" w:hAnsiTheme="majorHAnsi" w:cstheme="majorHAnsi"/>
                <w:b/>
                <w:bCs/>
              </w:rPr>
              <w:t>Summer capacity [MVA]</w:t>
            </w:r>
          </w:p>
        </w:tc>
        <w:tc>
          <w:tcPr>
            <w:tcW w:w="1559" w:type="dxa"/>
            <w:shd w:val="clear" w:color="auto" w:fill="002060"/>
          </w:tcPr>
          <w:p w14:paraId="4F6BCA79" w14:textId="77777777" w:rsidR="007C790C" w:rsidRPr="00A33AE8" w:rsidRDefault="007C790C" w:rsidP="005F342E">
            <w:pPr>
              <w:jc w:val="center"/>
              <w:rPr>
                <w:rFonts w:asciiTheme="majorHAnsi" w:hAnsiTheme="majorHAnsi" w:cstheme="majorHAnsi"/>
                <w:b/>
                <w:bCs/>
              </w:rPr>
            </w:pPr>
            <w:r w:rsidRPr="00A33AE8">
              <w:rPr>
                <w:rFonts w:asciiTheme="majorHAnsi" w:hAnsiTheme="majorHAnsi" w:cstheme="majorHAnsi"/>
                <w:b/>
                <w:bCs/>
              </w:rPr>
              <w:t>Winter capacity [MVA]</w:t>
            </w:r>
          </w:p>
        </w:tc>
      </w:tr>
      <w:tr w:rsidR="007C790C" w:rsidRPr="00A33AE8" w14:paraId="2174F9F1" w14:textId="77777777" w:rsidTr="00507954">
        <w:trPr>
          <w:trHeight w:val="358"/>
          <w:jc w:val="center"/>
        </w:trPr>
        <w:tc>
          <w:tcPr>
            <w:tcW w:w="3256" w:type="dxa"/>
            <w:shd w:val="clear" w:color="auto" w:fill="D9D9D9" w:themeFill="background1" w:themeFillShade="D9"/>
          </w:tcPr>
          <w:p w14:paraId="32B4A0D4"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Albania -Serbia</w:t>
            </w:r>
          </w:p>
        </w:tc>
        <w:tc>
          <w:tcPr>
            <w:tcW w:w="1701" w:type="dxa"/>
          </w:tcPr>
          <w:p w14:paraId="568AB111"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1675</w:t>
            </w:r>
          </w:p>
        </w:tc>
        <w:tc>
          <w:tcPr>
            <w:tcW w:w="1559" w:type="dxa"/>
          </w:tcPr>
          <w:p w14:paraId="21B7C107"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1675</w:t>
            </w:r>
          </w:p>
        </w:tc>
      </w:tr>
      <w:tr w:rsidR="007C790C" w:rsidRPr="00A33AE8" w14:paraId="0F4E7F37" w14:textId="77777777" w:rsidTr="00507954">
        <w:trPr>
          <w:trHeight w:val="358"/>
          <w:jc w:val="center"/>
        </w:trPr>
        <w:tc>
          <w:tcPr>
            <w:tcW w:w="3256" w:type="dxa"/>
            <w:shd w:val="clear" w:color="auto" w:fill="D9D9D9" w:themeFill="background1" w:themeFillShade="D9"/>
          </w:tcPr>
          <w:p w14:paraId="1FA56892" w14:textId="77777777" w:rsidR="007C790C" w:rsidRPr="00A33AE8" w:rsidRDefault="003E6E3E" w:rsidP="005F342E">
            <w:pPr>
              <w:rPr>
                <w:rFonts w:asciiTheme="majorHAnsi" w:hAnsiTheme="majorHAnsi" w:cstheme="majorHAnsi"/>
              </w:rPr>
            </w:pPr>
            <w:r w:rsidRPr="00A33AE8">
              <w:rPr>
                <w:rFonts w:asciiTheme="majorHAnsi" w:hAnsiTheme="majorHAnsi" w:cstheme="majorHAnsi"/>
              </w:rPr>
              <w:t>Montenegro</w:t>
            </w:r>
            <w:r w:rsidR="007C790C" w:rsidRPr="00A33AE8">
              <w:rPr>
                <w:rFonts w:asciiTheme="majorHAnsi" w:hAnsiTheme="majorHAnsi" w:cstheme="majorHAnsi"/>
              </w:rPr>
              <w:t xml:space="preserve"> – Serbia</w:t>
            </w:r>
          </w:p>
        </w:tc>
        <w:tc>
          <w:tcPr>
            <w:tcW w:w="1701" w:type="dxa"/>
          </w:tcPr>
          <w:p w14:paraId="27A97099"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1874</w:t>
            </w:r>
          </w:p>
        </w:tc>
        <w:tc>
          <w:tcPr>
            <w:tcW w:w="1559" w:type="dxa"/>
          </w:tcPr>
          <w:p w14:paraId="2A5162F8"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2094</w:t>
            </w:r>
          </w:p>
        </w:tc>
      </w:tr>
      <w:tr w:rsidR="007C790C" w:rsidRPr="00A33AE8" w14:paraId="40D57A88" w14:textId="77777777" w:rsidTr="00507954">
        <w:trPr>
          <w:trHeight w:val="358"/>
          <w:jc w:val="center"/>
        </w:trPr>
        <w:tc>
          <w:tcPr>
            <w:tcW w:w="3256" w:type="dxa"/>
            <w:shd w:val="clear" w:color="auto" w:fill="D9D9D9" w:themeFill="background1" w:themeFillShade="D9"/>
          </w:tcPr>
          <w:p w14:paraId="51732085"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North Macedonia – Serbia</w:t>
            </w:r>
          </w:p>
        </w:tc>
        <w:tc>
          <w:tcPr>
            <w:tcW w:w="1701" w:type="dxa"/>
          </w:tcPr>
          <w:p w14:paraId="48B3695B"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2424</w:t>
            </w:r>
          </w:p>
        </w:tc>
        <w:tc>
          <w:tcPr>
            <w:tcW w:w="1559" w:type="dxa"/>
          </w:tcPr>
          <w:p w14:paraId="25DD9623"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2548</w:t>
            </w:r>
          </w:p>
        </w:tc>
      </w:tr>
      <w:tr w:rsidR="007C790C" w:rsidRPr="00A33AE8" w14:paraId="380CB6C6" w14:textId="77777777" w:rsidTr="00507954">
        <w:trPr>
          <w:trHeight w:val="344"/>
          <w:jc w:val="center"/>
        </w:trPr>
        <w:tc>
          <w:tcPr>
            <w:tcW w:w="3256" w:type="dxa"/>
            <w:shd w:val="clear" w:color="auto" w:fill="D9D9D9" w:themeFill="background1" w:themeFillShade="D9"/>
          </w:tcPr>
          <w:p w14:paraId="58CA87A0"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Hungary – Serbia</w:t>
            </w:r>
          </w:p>
        </w:tc>
        <w:tc>
          <w:tcPr>
            <w:tcW w:w="1701" w:type="dxa"/>
          </w:tcPr>
          <w:p w14:paraId="6CC1E541"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1206</w:t>
            </w:r>
          </w:p>
        </w:tc>
        <w:tc>
          <w:tcPr>
            <w:tcW w:w="1559" w:type="dxa"/>
          </w:tcPr>
          <w:p w14:paraId="6584F089"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1330</w:t>
            </w:r>
          </w:p>
        </w:tc>
      </w:tr>
      <w:tr w:rsidR="007C790C" w:rsidRPr="00A33AE8" w14:paraId="6A4E3A14" w14:textId="77777777" w:rsidTr="00507954">
        <w:trPr>
          <w:trHeight w:val="358"/>
          <w:jc w:val="center"/>
        </w:trPr>
        <w:tc>
          <w:tcPr>
            <w:tcW w:w="3256" w:type="dxa"/>
            <w:shd w:val="clear" w:color="auto" w:fill="D9D9D9" w:themeFill="background1" w:themeFillShade="D9"/>
          </w:tcPr>
          <w:p w14:paraId="5ACC9F32"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Bosnia and Herzegovina – Serbia</w:t>
            </w:r>
          </w:p>
        </w:tc>
        <w:tc>
          <w:tcPr>
            <w:tcW w:w="1701" w:type="dxa"/>
          </w:tcPr>
          <w:p w14:paraId="77043620"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1456</w:t>
            </w:r>
          </w:p>
        </w:tc>
        <w:tc>
          <w:tcPr>
            <w:tcW w:w="1559" w:type="dxa"/>
          </w:tcPr>
          <w:p w14:paraId="779D5837"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1631</w:t>
            </w:r>
          </w:p>
        </w:tc>
      </w:tr>
      <w:tr w:rsidR="007C790C" w:rsidRPr="00A33AE8" w14:paraId="03538377" w14:textId="77777777" w:rsidTr="00507954">
        <w:trPr>
          <w:trHeight w:val="358"/>
          <w:jc w:val="center"/>
        </w:trPr>
        <w:tc>
          <w:tcPr>
            <w:tcW w:w="3256" w:type="dxa"/>
            <w:shd w:val="clear" w:color="auto" w:fill="D9D9D9" w:themeFill="background1" w:themeFillShade="D9"/>
          </w:tcPr>
          <w:p w14:paraId="5616F418"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Romania – Serbia</w:t>
            </w:r>
          </w:p>
        </w:tc>
        <w:tc>
          <w:tcPr>
            <w:tcW w:w="1701" w:type="dxa"/>
          </w:tcPr>
          <w:p w14:paraId="499F2CF6"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901</w:t>
            </w:r>
          </w:p>
        </w:tc>
        <w:tc>
          <w:tcPr>
            <w:tcW w:w="1559" w:type="dxa"/>
          </w:tcPr>
          <w:p w14:paraId="7A8CB6F3"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1247</w:t>
            </w:r>
          </w:p>
        </w:tc>
      </w:tr>
      <w:tr w:rsidR="007C790C" w:rsidRPr="00A33AE8" w14:paraId="0FAA52B1" w14:textId="77777777" w:rsidTr="00507954">
        <w:trPr>
          <w:trHeight w:val="358"/>
          <w:jc w:val="center"/>
        </w:trPr>
        <w:tc>
          <w:tcPr>
            <w:tcW w:w="3256" w:type="dxa"/>
            <w:shd w:val="clear" w:color="auto" w:fill="D9D9D9" w:themeFill="background1" w:themeFillShade="D9"/>
          </w:tcPr>
          <w:p w14:paraId="35E71105"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Bulgaria – Serbia</w:t>
            </w:r>
          </w:p>
        </w:tc>
        <w:tc>
          <w:tcPr>
            <w:tcW w:w="1701" w:type="dxa"/>
          </w:tcPr>
          <w:p w14:paraId="7C84CDC6"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1206</w:t>
            </w:r>
          </w:p>
        </w:tc>
        <w:tc>
          <w:tcPr>
            <w:tcW w:w="1559" w:type="dxa"/>
          </w:tcPr>
          <w:p w14:paraId="0DD7176C"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1330</w:t>
            </w:r>
          </w:p>
        </w:tc>
      </w:tr>
      <w:tr w:rsidR="007C790C" w:rsidRPr="00A33AE8" w14:paraId="4AD0799A" w14:textId="77777777" w:rsidTr="00507954">
        <w:trPr>
          <w:trHeight w:val="358"/>
          <w:jc w:val="center"/>
        </w:trPr>
        <w:tc>
          <w:tcPr>
            <w:tcW w:w="3256" w:type="dxa"/>
            <w:shd w:val="clear" w:color="auto" w:fill="D9D9D9" w:themeFill="background1" w:themeFillShade="D9"/>
          </w:tcPr>
          <w:p w14:paraId="14331C95" w14:textId="77777777" w:rsidR="007C790C" w:rsidRPr="00A33AE8" w:rsidRDefault="007C790C" w:rsidP="005F342E">
            <w:pPr>
              <w:rPr>
                <w:rFonts w:asciiTheme="majorHAnsi" w:hAnsiTheme="majorHAnsi" w:cstheme="majorHAnsi"/>
              </w:rPr>
            </w:pPr>
            <w:r w:rsidRPr="00A33AE8">
              <w:rPr>
                <w:rFonts w:asciiTheme="majorHAnsi" w:hAnsiTheme="majorHAnsi" w:cstheme="majorHAnsi"/>
              </w:rPr>
              <w:t>Croatia - Serbia</w:t>
            </w:r>
          </w:p>
        </w:tc>
        <w:tc>
          <w:tcPr>
            <w:tcW w:w="1701" w:type="dxa"/>
          </w:tcPr>
          <w:p w14:paraId="07DC3029"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1206</w:t>
            </w:r>
          </w:p>
        </w:tc>
        <w:tc>
          <w:tcPr>
            <w:tcW w:w="1559" w:type="dxa"/>
          </w:tcPr>
          <w:p w14:paraId="253058EE" w14:textId="77777777" w:rsidR="007C790C" w:rsidRPr="00A33AE8" w:rsidRDefault="007C790C" w:rsidP="005F342E">
            <w:pPr>
              <w:jc w:val="center"/>
              <w:rPr>
                <w:rFonts w:asciiTheme="majorHAnsi" w:hAnsiTheme="majorHAnsi" w:cstheme="majorHAnsi"/>
              </w:rPr>
            </w:pPr>
            <w:r w:rsidRPr="00A33AE8">
              <w:rPr>
                <w:rFonts w:asciiTheme="majorHAnsi" w:hAnsiTheme="majorHAnsi" w:cstheme="majorHAnsi"/>
              </w:rPr>
              <w:t>1330</w:t>
            </w:r>
          </w:p>
        </w:tc>
      </w:tr>
    </w:tbl>
    <w:p w14:paraId="3AD5EC4D" w14:textId="77777777" w:rsidR="00524F38" w:rsidRPr="00A33AE8" w:rsidRDefault="00524F38" w:rsidP="00884F3B">
      <w:pPr>
        <w:pStyle w:val="Heading4"/>
        <w:numPr>
          <w:ilvl w:val="0"/>
          <w:numId w:val="35"/>
        </w:numPr>
        <w:spacing w:after="160"/>
        <w:jc w:val="both"/>
      </w:pPr>
      <w:r w:rsidRPr="00A33AE8">
        <w:lastRenderedPageBreak/>
        <w:t>Projections of interconnector expansion requirements at least until 2040 (including for the year 2030)</w:t>
      </w:r>
    </w:p>
    <w:p w14:paraId="3BD71A44" w14:textId="77777777" w:rsidR="003E6E3E" w:rsidRPr="00A33AE8" w:rsidRDefault="003E6E3E" w:rsidP="003E6E3E">
      <w:pPr>
        <w:pStyle w:val="LDKBody1"/>
      </w:pPr>
      <w:r w:rsidRPr="00A33AE8">
        <w:t xml:space="preserve">Projections of interconnector expansion requirements are performed every two years as a part of ENTSO-E planning studies and are included in the pan-European TYNDP in the form of identification of system needs. In the latest version of the TYNDP 2020, scenarios for 2030 and 2040 lead to a determination </w:t>
      </w:r>
      <w:r w:rsidR="00751312" w:rsidRPr="00A33AE8">
        <w:t>of potential</w:t>
      </w:r>
      <w:r w:rsidRPr="00A33AE8">
        <w:t xml:space="preserve"> needs related to the increase of interconnecting capacities within ENTSO-E over the given timeframe. </w:t>
      </w:r>
      <w:r w:rsidR="00AB01E9" w:rsidRPr="00A33AE8">
        <w:fldChar w:fldCharType="begin"/>
      </w:r>
      <w:r w:rsidR="00AB01E9" w:rsidRPr="00A33AE8">
        <w:instrText xml:space="preserve"> REF _Ref113632673 \h </w:instrText>
      </w:r>
      <w:r w:rsidR="00AB01E9" w:rsidRPr="00A33AE8">
        <w:fldChar w:fldCharType="separate"/>
      </w:r>
      <w:r w:rsidR="00AB01E9" w:rsidRPr="00A33AE8">
        <w:t xml:space="preserve">Figure </w:t>
      </w:r>
      <w:r w:rsidR="00AB01E9" w:rsidRPr="000007D2">
        <w:t>4</w:t>
      </w:r>
      <w:r w:rsidR="00AB01E9" w:rsidRPr="00A33AE8">
        <w:t>.</w:t>
      </w:r>
      <w:r w:rsidR="00AB01E9" w:rsidRPr="000007D2">
        <w:t>5</w:t>
      </w:r>
      <w:r w:rsidR="00AB01E9">
        <w:t>2</w:t>
      </w:r>
      <w:r w:rsidR="00AB01E9" w:rsidRPr="00A33AE8">
        <w:fldChar w:fldCharType="end"/>
      </w:r>
      <w:r w:rsidR="00AB01E9" w:rsidRPr="00A33AE8">
        <w:t xml:space="preserve"> </w:t>
      </w:r>
      <w:r w:rsidRPr="00A33AE8">
        <w:t xml:space="preserve">presents the </w:t>
      </w:r>
      <w:r w:rsidR="00751312" w:rsidRPr="00A33AE8">
        <w:t>outline</w:t>
      </w:r>
      <w:r w:rsidRPr="00A33AE8">
        <w:t xml:space="preserve"> of all system needs identified for years 2030 and 2040 in the Balkan region.</w:t>
      </w:r>
    </w:p>
    <w:p w14:paraId="461789CE" w14:textId="0BA996E4" w:rsidR="007C790C" w:rsidRPr="00A33AE8" w:rsidRDefault="007C790C" w:rsidP="007C790C">
      <w:pPr>
        <w:pStyle w:val="Caption"/>
      </w:pPr>
      <w:bookmarkStart w:id="350" w:name="_Ref113632673"/>
      <w:bookmarkStart w:id="351" w:name="_Toc118992321"/>
      <w:bookmarkStart w:id="352" w:name="_Toc154575259"/>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52</w:t>
      </w:r>
      <w:r w:rsidR="006E0533">
        <w:rPr>
          <w:noProof/>
        </w:rPr>
        <w:fldChar w:fldCharType="end"/>
      </w:r>
      <w:bookmarkEnd w:id="350"/>
      <w:r w:rsidRPr="00A33AE8">
        <w:t>: ENTSO-e TYNDP 2020 identification of system needs for 2030 and 2040 (source: ENTSO-E)</w:t>
      </w:r>
      <w:bookmarkEnd w:id="351"/>
      <w:bookmarkEnd w:id="3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C790C" w:rsidRPr="00A33AE8" w14:paraId="0043B635" w14:textId="77777777" w:rsidTr="005F342E">
        <w:tc>
          <w:tcPr>
            <w:tcW w:w="4814" w:type="dxa"/>
          </w:tcPr>
          <w:p w14:paraId="100E7B48" w14:textId="77777777" w:rsidR="007C790C" w:rsidRPr="00A33AE8" w:rsidRDefault="007C790C" w:rsidP="005F342E">
            <w:r w:rsidRPr="000007D2">
              <w:rPr>
                <w:noProof/>
                <w:lang w:val="en-US"/>
              </w:rPr>
              <w:drawing>
                <wp:inline distT="0" distB="0" distL="0" distR="0" wp14:anchorId="281A967C" wp14:editId="1F0BDB81">
                  <wp:extent cx="2821737" cy="219403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831324" cy="2201488"/>
                          </a:xfrm>
                          <a:prstGeom prst="rect">
                            <a:avLst/>
                          </a:prstGeom>
                        </pic:spPr>
                      </pic:pic>
                    </a:graphicData>
                  </a:graphic>
                </wp:inline>
              </w:drawing>
            </w:r>
          </w:p>
        </w:tc>
        <w:tc>
          <w:tcPr>
            <w:tcW w:w="4814" w:type="dxa"/>
          </w:tcPr>
          <w:p w14:paraId="169C2BA9" w14:textId="77777777" w:rsidR="007C790C" w:rsidRPr="00A33AE8" w:rsidRDefault="007C790C" w:rsidP="005F342E">
            <w:r w:rsidRPr="000007D2">
              <w:rPr>
                <w:noProof/>
                <w:lang w:val="en-US"/>
              </w:rPr>
              <w:drawing>
                <wp:inline distT="0" distB="0" distL="0" distR="0" wp14:anchorId="286A84FE" wp14:editId="197CDB6B">
                  <wp:extent cx="2885717" cy="2183202"/>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97079" cy="2191798"/>
                          </a:xfrm>
                          <a:prstGeom prst="rect">
                            <a:avLst/>
                          </a:prstGeom>
                        </pic:spPr>
                      </pic:pic>
                    </a:graphicData>
                  </a:graphic>
                </wp:inline>
              </w:drawing>
            </w:r>
          </w:p>
        </w:tc>
      </w:tr>
      <w:tr w:rsidR="007C790C" w:rsidRPr="00A33AE8" w14:paraId="2ADF0B8C" w14:textId="77777777" w:rsidTr="005F342E">
        <w:tc>
          <w:tcPr>
            <w:tcW w:w="4814" w:type="dxa"/>
          </w:tcPr>
          <w:p w14:paraId="40B1D17E" w14:textId="77777777" w:rsidR="007C790C" w:rsidRPr="00A33AE8" w:rsidRDefault="007C790C" w:rsidP="005F342E">
            <w:pPr>
              <w:jc w:val="center"/>
              <w:rPr>
                <w:rFonts w:asciiTheme="majorHAnsi" w:hAnsiTheme="majorHAnsi" w:cstheme="majorHAnsi"/>
                <w:b/>
                <w:bCs/>
                <w:sz w:val="22"/>
                <w:szCs w:val="22"/>
              </w:rPr>
            </w:pPr>
            <w:r w:rsidRPr="00A33AE8">
              <w:rPr>
                <w:rFonts w:asciiTheme="majorHAnsi" w:hAnsiTheme="majorHAnsi" w:cstheme="majorHAnsi"/>
                <w:b/>
                <w:bCs/>
              </w:rPr>
              <w:t>2030</w:t>
            </w:r>
          </w:p>
        </w:tc>
        <w:tc>
          <w:tcPr>
            <w:tcW w:w="4814" w:type="dxa"/>
          </w:tcPr>
          <w:p w14:paraId="00BE9822" w14:textId="77777777" w:rsidR="007C790C" w:rsidRPr="00A33AE8" w:rsidRDefault="007C790C" w:rsidP="005F342E">
            <w:pPr>
              <w:jc w:val="center"/>
              <w:rPr>
                <w:rFonts w:asciiTheme="majorHAnsi" w:hAnsiTheme="majorHAnsi" w:cstheme="majorHAnsi"/>
                <w:b/>
                <w:bCs/>
                <w:sz w:val="22"/>
                <w:szCs w:val="22"/>
              </w:rPr>
            </w:pPr>
            <w:r w:rsidRPr="00A33AE8">
              <w:rPr>
                <w:rFonts w:asciiTheme="majorHAnsi" w:hAnsiTheme="majorHAnsi" w:cstheme="majorHAnsi"/>
                <w:b/>
                <w:bCs/>
              </w:rPr>
              <w:t>2040</w:t>
            </w:r>
          </w:p>
        </w:tc>
      </w:tr>
    </w:tbl>
    <w:p w14:paraId="49CAC05E" w14:textId="32BCAB11" w:rsidR="007C790C" w:rsidRPr="00A33AE8" w:rsidRDefault="003E6E3E" w:rsidP="008F3D7A">
      <w:pPr>
        <w:jc w:val="both"/>
        <w:rPr>
          <w:rFonts w:asciiTheme="majorHAnsi" w:hAnsiTheme="majorHAnsi" w:cstheme="majorHAnsi"/>
        </w:rPr>
      </w:pPr>
      <w:r w:rsidRPr="00A33AE8">
        <w:rPr>
          <w:rFonts w:asciiTheme="majorHAnsi" w:hAnsiTheme="majorHAnsi" w:cstheme="majorHAnsi"/>
        </w:rPr>
        <w:t xml:space="preserve">Moreover, cross-border capacities expected to be commissioned by 2025 are presented in </w:t>
      </w:r>
      <w:r w:rsidR="007E0F66">
        <w:rPr>
          <w:rFonts w:asciiTheme="majorHAnsi" w:hAnsiTheme="majorHAnsi" w:cstheme="majorHAnsi"/>
        </w:rPr>
        <w:fldChar w:fldCharType="begin"/>
      </w:r>
      <w:r w:rsidR="007E0F66">
        <w:rPr>
          <w:rFonts w:asciiTheme="majorHAnsi" w:hAnsiTheme="majorHAnsi" w:cstheme="majorHAnsi"/>
        </w:rPr>
        <w:instrText xml:space="preserve"> REF _Ref153465687 \h  \* MERGEFORMAT </w:instrText>
      </w:r>
      <w:r w:rsidR="007E0F66">
        <w:rPr>
          <w:rFonts w:asciiTheme="majorHAnsi" w:hAnsiTheme="majorHAnsi" w:cstheme="majorHAnsi"/>
        </w:rPr>
      </w:r>
      <w:r w:rsidR="007E0F66">
        <w:rPr>
          <w:rFonts w:asciiTheme="majorHAnsi" w:hAnsiTheme="majorHAnsi" w:cstheme="majorHAnsi"/>
        </w:rPr>
        <w:fldChar w:fldCharType="separate"/>
      </w:r>
      <w:r w:rsidR="007E0F66" w:rsidRPr="0087794A">
        <w:rPr>
          <w:rFonts w:asciiTheme="majorHAnsi" w:hAnsiTheme="majorHAnsi" w:cstheme="majorHAnsi"/>
        </w:rPr>
        <w:t>Figure 4.53</w:t>
      </w:r>
      <w:r w:rsidR="007E0F66">
        <w:rPr>
          <w:rFonts w:asciiTheme="majorHAnsi" w:hAnsiTheme="majorHAnsi" w:cstheme="majorHAnsi"/>
        </w:rPr>
        <w:fldChar w:fldCharType="end"/>
      </w:r>
      <w:r w:rsidR="007E0F66">
        <w:rPr>
          <w:rFonts w:asciiTheme="majorHAnsi" w:hAnsiTheme="majorHAnsi" w:cstheme="majorHAnsi"/>
        </w:rPr>
        <w:t xml:space="preserve"> </w:t>
      </w:r>
      <w:r w:rsidR="007C790C" w:rsidRPr="00A33AE8">
        <w:rPr>
          <w:rFonts w:asciiTheme="majorHAnsi" w:hAnsiTheme="majorHAnsi" w:cstheme="majorHAnsi"/>
        </w:rPr>
        <w:t xml:space="preserve">based on the ENTSO-E TYNDP </w:t>
      </w:r>
      <w:r w:rsidR="00A35FF0" w:rsidRPr="00A33AE8">
        <w:rPr>
          <w:rFonts w:asciiTheme="majorHAnsi" w:hAnsiTheme="majorHAnsi" w:cstheme="majorHAnsi"/>
        </w:rPr>
        <w:t>2022</w:t>
      </w:r>
      <w:r w:rsidR="007C790C" w:rsidRPr="00A33AE8">
        <w:rPr>
          <w:rFonts w:asciiTheme="majorHAnsi" w:hAnsiTheme="majorHAnsi" w:cstheme="majorHAnsi"/>
        </w:rPr>
        <w:t>.</w:t>
      </w:r>
    </w:p>
    <w:p w14:paraId="538192AF" w14:textId="4A091DFA" w:rsidR="007E0F66" w:rsidRDefault="007E0F66" w:rsidP="0087794A">
      <w:pPr>
        <w:pStyle w:val="Caption"/>
        <w:keepNext/>
      </w:pPr>
      <w:bookmarkStart w:id="353" w:name="_Ref153465687"/>
      <w:bookmarkStart w:id="354" w:name="_Toc154575260"/>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53</w:t>
      </w:r>
      <w:r w:rsidR="006E0533">
        <w:rPr>
          <w:noProof/>
        </w:rPr>
        <w:fldChar w:fldCharType="end"/>
      </w:r>
      <w:bookmarkEnd w:id="353"/>
      <w:r>
        <w:t xml:space="preserve">: </w:t>
      </w:r>
      <w:r w:rsidRPr="007E0F66">
        <w:t>Cross-border capacities increases by 2025 (source: ENTSO-E)</w:t>
      </w:r>
      <w:bookmarkEnd w:id="354"/>
    </w:p>
    <w:p w14:paraId="54AF6FBC" w14:textId="77777777" w:rsidR="007C790C" w:rsidRPr="00A33AE8" w:rsidRDefault="00A35FF0" w:rsidP="007C790C">
      <w:pPr>
        <w:jc w:val="center"/>
      </w:pPr>
      <w:r w:rsidRPr="00520E08">
        <w:rPr>
          <w:noProof/>
          <w:lang w:val="en-US"/>
        </w:rPr>
        <w:drawing>
          <wp:inline distT="0" distB="0" distL="0" distR="0" wp14:anchorId="5A4FF2DE" wp14:editId="48250617">
            <wp:extent cx="5043608" cy="2981325"/>
            <wp:effectExtent l="0" t="0" r="5080" b="0"/>
            <wp:docPr id="282976313" name="Picture 28297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69998" cy="2996925"/>
                    </a:xfrm>
                    <a:prstGeom prst="rect">
                      <a:avLst/>
                    </a:prstGeom>
                    <a:noFill/>
                  </pic:spPr>
                </pic:pic>
              </a:graphicData>
            </a:graphic>
          </wp:inline>
        </w:drawing>
      </w:r>
    </w:p>
    <w:p w14:paraId="695E7010" w14:textId="77777777" w:rsidR="007C790C" w:rsidRPr="00A33AE8" w:rsidRDefault="003E6E3E" w:rsidP="007C790C">
      <w:pPr>
        <w:pStyle w:val="LDKBody1"/>
      </w:pPr>
      <w:r w:rsidRPr="00A33AE8">
        <w:t>Similarly, and in coordination to the planning studies performed by the ENTSO-E, TYNDP</w:t>
      </w:r>
      <w:r w:rsidR="004947C3" w:rsidRPr="00A33AE8">
        <w:t xml:space="preserve"> in Serbia</w:t>
      </w:r>
      <w:r w:rsidRPr="00A33AE8">
        <w:t xml:space="preserve"> contains project as they have identified taking into account the expected system needs for the upcoming period. Serbia plans </w:t>
      </w:r>
      <w:r w:rsidR="00E91166">
        <w:t>following</w:t>
      </w:r>
      <w:r w:rsidRPr="00A33AE8">
        <w:t xml:space="preserve"> power interconnections with neighbouring countries</w:t>
      </w:r>
      <w:r w:rsidR="007C790C" w:rsidRPr="00A33AE8">
        <w:t>:</w:t>
      </w:r>
    </w:p>
    <w:p w14:paraId="66FE14D0" w14:textId="51B22707" w:rsidR="007C790C" w:rsidRPr="00A33AE8" w:rsidRDefault="007C790C" w:rsidP="007C790C">
      <w:pPr>
        <w:pStyle w:val="LDKBullets-main"/>
      </w:pPr>
      <w:r w:rsidRPr="00A33AE8">
        <w:t>Transbalkan Corridor,</w:t>
      </w:r>
    </w:p>
    <w:p w14:paraId="3C716B32" w14:textId="3A9022EA" w:rsidR="007C790C" w:rsidRPr="00A33AE8" w:rsidRDefault="007C790C" w:rsidP="007C790C">
      <w:pPr>
        <w:pStyle w:val="LDKBullets-main"/>
      </w:pPr>
      <w:r w:rsidRPr="00A33AE8">
        <w:t>Pannonian Corridor,</w:t>
      </w:r>
    </w:p>
    <w:p w14:paraId="662A2BC3" w14:textId="77777777" w:rsidR="007C790C" w:rsidRPr="00A33AE8" w:rsidRDefault="007C790C" w:rsidP="007C790C">
      <w:pPr>
        <w:pStyle w:val="LDKBullets-main"/>
      </w:pPr>
      <w:r w:rsidRPr="00A33AE8">
        <w:t>North Corridor,</w:t>
      </w:r>
    </w:p>
    <w:p w14:paraId="7ADDC66E" w14:textId="77777777" w:rsidR="007C790C" w:rsidRDefault="007C790C" w:rsidP="000007D2">
      <w:pPr>
        <w:pStyle w:val="LDKBullets-main"/>
        <w:ind w:left="357" w:hanging="357"/>
      </w:pPr>
      <w:r w:rsidRPr="00A33AE8">
        <w:lastRenderedPageBreak/>
        <w:t>Central Balkan Corridor</w:t>
      </w:r>
      <w:r w:rsidR="00E91166">
        <w:t>, and</w:t>
      </w:r>
    </w:p>
    <w:p w14:paraId="29126E10" w14:textId="77777777" w:rsidR="00E91166" w:rsidRPr="00A33AE8" w:rsidRDefault="00E91166" w:rsidP="008F3D7A">
      <w:pPr>
        <w:pStyle w:val="LDKBullets-main"/>
        <w:spacing w:after="160"/>
        <w:ind w:left="357" w:hanging="357"/>
      </w:pPr>
      <w:r w:rsidRPr="00E91166">
        <w:t>400kV</w:t>
      </w:r>
      <w:r>
        <w:t xml:space="preserve"> </w:t>
      </w:r>
      <w:r w:rsidRPr="00E91166">
        <w:t>Serbia and Croatia</w:t>
      </w:r>
      <w:r>
        <w:t xml:space="preserve"> </w:t>
      </w:r>
      <w:r w:rsidRPr="00E91166">
        <w:t>interconnection line</w:t>
      </w:r>
      <w:r>
        <w:t xml:space="preserve"> (</w:t>
      </w:r>
      <w:r w:rsidRPr="00E91166">
        <w:t xml:space="preserve">SS Sombor </w:t>
      </w:r>
      <w:r>
        <w:t>–</w:t>
      </w:r>
      <w:r w:rsidRPr="00E91166">
        <w:t xml:space="preserve"> SS Ernestinovo</w:t>
      </w:r>
      <w:r>
        <w:t>)</w:t>
      </w:r>
    </w:p>
    <w:p w14:paraId="43151848" w14:textId="5C42573C" w:rsidR="0059004E" w:rsidRPr="00A33AE8" w:rsidRDefault="007E0F66" w:rsidP="00507954">
      <w:pPr>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REF _Ref153465754 \h  \* MERGEFORMAT </w:instrText>
      </w:r>
      <w:r>
        <w:rPr>
          <w:rFonts w:asciiTheme="majorHAnsi" w:hAnsiTheme="majorHAnsi" w:cstheme="majorHAnsi"/>
        </w:rPr>
      </w:r>
      <w:r>
        <w:rPr>
          <w:rFonts w:asciiTheme="majorHAnsi" w:hAnsiTheme="majorHAnsi" w:cstheme="majorHAnsi"/>
        </w:rPr>
        <w:fldChar w:fldCharType="separate"/>
      </w:r>
      <w:r w:rsidRPr="0087794A">
        <w:rPr>
          <w:rFonts w:asciiTheme="majorHAnsi" w:hAnsiTheme="majorHAnsi" w:cstheme="majorHAnsi"/>
        </w:rPr>
        <w:t>Figure 4.54</w:t>
      </w:r>
      <w:r>
        <w:rPr>
          <w:rFonts w:asciiTheme="majorHAnsi" w:hAnsiTheme="majorHAnsi" w:cstheme="majorHAnsi"/>
        </w:rPr>
        <w:fldChar w:fldCharType="end"/>
      </w:r>
      <w:r w:rsidR="00AB01E9" w:rsidRPr="005B2C66">
        <w:rPr>
          <w:rFonts w:asciiTheme="majorHAnsi" w:hAnsiTheme="majorHAnsi" w:cstheme="majorHAnsi"/>
        </w:rPr>
        <w:fldChar w:fldCharType="begin"/>
      </w:r>
      <w:r w:rsidR="00AB01E9" w:rsidRPr="005B2C66">
        <w:rPr>
          <w:rFonts w:asciiTheme="majorHAnsi" w:hAnsiTheme="majorHAnsi" w:cstheme="majorHAnsi"/>
        </w:rPr>
        <w:instrText xml:space="preserve"> REF _Ref113488591 \h  \* MERGEFORMAT </w:instrText>
      </w:r>
      <w:r w:rsidR="00AB01E9" w:rsidRPr="005B2C66">
        <w:rPr>
          <w:rFonts w:asciiTheme="majorHAnsi" w:hAnsiTheme="majorHAnsi" w:cstheme="majorHAnsi"/>
        </w:rPr>
      </w:r>
      <w:r w:rsidR="00AB01E9" w:rsidRPr="005B2C66">
        <w:rPr>
          <w:rFonts w:asciiTheme="majorHAnsi" w:hAnsiTheme="majorHAnsi" w:cstheme="majorHAnsi"/>
        </w:rPr>
        <w:fldChar w:fldCharType="end"/>
      </w:r>
      <w:r w:rsidR="00AB01E9" w:rsidRPr="005B2C66">
        <w:rPr>
          <w:rFonts w:asciiTheme="majorHAnsi" w:hAnsiTheme="majorHAnsi" w:cstheme="majorHAnsi"/>
        </w:rPr>
        <w:t xml:space="preserve"> </w:t>
      </w:r>
      <w:r w:rsidR="003E6E3E" w:rsidRPr="00A33AE8">
        <w:rPr>
          <w:rFonts w:asciiTheme="majorHAnsi" w:hAnsiTheme="majorHAnsi" w:cstheme="majorHAnsi"/>
        </w:rPr>
        <w:t>sh</w:t>
      </w:r>
      <w:r w:rsidR="008F3D7A" w:rsidRPr="00A33AE8">
        <w:rPr>
          <w:rFonts w:asciiTheme="majorHAnsi" w:hAnsiTheme="majorHAnsi" w:cstheme="majorHAnsi"/>
        </w:rPr>
        <w:t>ow</w:t>
      </w:r>
      <w:r w:rsidR="003E6E3E" w:rsidRPr="00A33AE8">
        <w:rPr>
          <w:rFonts w:asciiTheme="majorHAnsi" w:hAnsiTheme="majorHAnsi" w:cstheme="majorHAnsi"/>
        </w:rPr>
        <w:t xml:space="preserve">s the simplified grid </w:t>
      </w:r>
      <w:r w:rsidR="0059004E" w:rsidRPr="00A33AE8">
        <w:rPr>
          <w:rFonts w:asciiTheme="majorHAnsi" w:hAnsiTheme="majorHAnsi" w:cstheme="majorHAnsi"/>
        </w:rPr>
        <w:t>topology of the electricity transmission network project corridors with all interconnections and transmission lines within the country.</w:t>
      </w:r>
    </w:p>
    <w:p w14:paraId="0EB64278" w14:textId="4EB2FBC3" w:rsidR="007E0F66" w:rsidRDefault="007E0F66" w:rsidP="0087794A">
      <w:pPr>
        <w:pStyle w:val="Caption"/>
        <w:keepNext/>
      </w:pPr>
      <w:bookmarkStart w:id="355" w:name="_Ref153465754"/>
      <w:bookmarkStart w:id="356" w:name="_Toc154575261"/>
      <w:r>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54</w:t>
      </w:r>
      <w:r w:rsidR="006E0533">
        <w:rPr>
          <w:noProof/>
        </w:rPr>
        <w:fldChar w:fldCharType="end"/>
      </w:r>
      <w:bookmarkEnd w:id="355"/>
      <w:r>
        <w:t xml:space="preserve">: </w:t>
      </w:r>
      <w:r w:rsidRPr="007E0F66">
        <w:t>Electricity transmission network project corridors (source: EMS)</w:t>
      </w:r>
      <w:bookmarkEnd w:id="356"/>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134"/>
      </w:tblGrid>
      <w:tr w:rsidR="00166900" w:rsidRPr="00A33AE8" w14:paraId="7079B927" w14:textId="77777777" w:rsidTr="000007D2">
        <w:trPr>
          <w:jc w:val="center"/>
        </w:trPr>
        <w:tc>
          <w:tcPr>
            <w:tcW w:w="4508" w:type="dxa"/>
          </w:tcPr>
          <w:p w14:paraId="18DED2DC" w14:textId="77777777" w:rsidR="00166900" w:rsidRPr="000007D2" w:rsidRDefault="00166900" w:rsidP="000007D2">
            <w:pPr>
              <w:jc w:val="center"/>
              <w:rPr>
                <w:rFonts w:asciiTheme="majorHAnsi" w:eastAsiaTheme="minorHAnsi" w:hAnsiTheme="majorHAnsi" w:cstheme="majorHAnsi"/>
                <w:sz w:val="22"/>
                <w:szCs w:val="22"/>
                <w:lang w:val="en-GB" w:eastAsia="en-US"/>
              </w:rPr>
            </w:pPr>
            <w:r w:rsidRPr="000007D2">
              <w:rPr>
                <w:rFonts w:asciiTheme="majorHAnsi" w:hAnsiTheme="majorHAnsi" w:cstheme="majorHAnsi"/>
                <w:noProof/>
              </w:rPr>
              <w:drawing>
                <wp:inline distT="0" distB="0" distL="0" distR="0" wp14:anchorId="4F0E3FB8" wp14:editId="70AF6782">
                  <wp:extent cx="2150669" cy="2329580"/>
                  <wp:effectExtent l="0" t="0" r="2540" b="0"/>
                  <wp:docPr id="1917303201" name="Picture 191730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03201" name=""/>
                          <pic:cNvPicPr/>
                        </pic:nvPicPr>
                        <pic:blipFill>
                          <a:blip r:embed="rId82"/>
                          <a:stretch>
                            <a:fillRect/>
                          </a:stretch>
                        </pic:blipFill>
                        <pic:spPr>
                          <a:xfrm>
                            <a:off x="0" y="0"/>
                            <a:ext cx="2167051" cy="2347325"/>
                          </a:xfrm>
                          <a:prstGeom prst="rect">
                            <a:avLst/>
                          </a:prstGeom>
                        </pic:spPr>
                      </pic:pic>
                    </a:graphicData>
                  </a:graphic>
                </wp:inline>
              </w:drawing>
            </w:r>
          </w:p>
          <w:p w14:paraId="374BF061" w14:textId="77777777" w:rsidR="00166900" w:rsidRPr="000007D2" w:rsidRDefault="00166900" w:rsidP="00884F3B">
            <w:pPr>
              <w:pStyle w:val="ListParagraph"/>
              <w:numPr>
                <w:ilvl w:val="0"/>
                <w:numId w:val="254"/>
              </w:numPr>
              <w:spacing w:before="120" w:after="120" w:line="320" w:lineRule="atLeast"/>
              <w:jc w:val="both"/>
              <w:rPr>
                <w:rFonts w:asciiTheme="majorHAnsi" w:eastAsiaTheme="minorHAnsi" w:hAnsiTheme="majorHAnsi" w:cstheme="majorHAnsi"/>
                <w:sz w:val="22"/>
                <w:szCs w:val="22"/>
                <w:lang w:val="en-GB" w:eastAsia="en-US"/>
              </w:rPr>
            </w:pPr>
            <w:r w:rsidRPr="000007D2">
              <w:rPr>
                <w:rFonts w:asciiTheme="majorHAnsi" w:hAnsiTheme="majorHAnsi" w:cstheme="majorHAnsi"/>
              </w:rPr>
              <w:t>Trans-Balkan Electricity Corridor</w:t>
            </w:r>
          </w:p>
        </w:tc>
        <w:tc>
          <w:tcPr>
            <w:tcW w:w="4134" w:type="dxa"/>
          </w:tcPr>
          <w:p w14:paraId="77518463" w14:textId="77777777" w:rsidR="00166900" w:rsidRPr="000007D2" w:rsidRDefault="00166900" w:rsidP="000007D2">
            <w:pPr>
              <w:jc w:val="center"/>
              <w:rPr>
                <w:rFonts w:asciiTheme="majorHAnsi" w:eastAsiaTheme="minorHAnsi" w:hAnsiTheme="majorHAnsi" w:cstheme="majorHAnsi"/>
                <w:sz w:val="22"/>
                <w:szCs w:val="22"/>
                <w:lang w:val="en-GB" w:eastAsia="en-US"/>
              </w:rPr>
            </w:pPr>
            <w:r w:rsidRPr="000007D2">
              <w:rPr>
                <w:rFonts w:asciiTheme="majorHAnsi" w:hAnsiTheme="majorHAnsi" w:cstheme="majorHAnsi"/>
                <w:noProof/>
              </w:rPr>
              <w:drawing>
                <wp:inline distT="0" distB="0" distL="0" distR="0" wp14:anchorId="1422D520" wp14:editId="1756D983">
                  <wp:extent cx="1819986" cy="2282342"/>
                  <wp:effectExtent l="0" t="0" r="8890" b="3810"/>
                  <wp:docPr id="1248752253" name="Picture 124875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52253" name=""/>
                          <pic:cNvPicPr/>
                        </pic:nvPicPr>
                        <pic:blipFill>
                          <a:blip r:embed="rId83"/>
                          <a:stretch>
                            <a:fillRect/>
                          </a:stretch>
                        </pic:blipFill>
                        <pic:spPr>
                          <a:xfrm>
                            <a:off x="0" y="0"/>
                            <a:ext cx="1842050" cy="2310012"/>
                          </a:xfrm>
                          <a:prstGeom prst="rect">
                            <a:avLst/>
                          </a:prstGeom>
                        </pic:spPr>
                      </pic:pic>
                    </a:graphicData>
                  </a:graphic>
                </wp:inline>
              </w:drawing>
            </w:r>
          </w:p>
          <w:p w14:paraId="0D50D14A" w14:textId="77777777" w:rsidR="00166900" w:rsidRPr="000007D2" w:rsidRDefault="00166900" w:rsidP="00884F3B">
            <w:pPr>
              <w:pStyle w:val="ListParagraph"/>
              <w:numPr>
                <w:ilvl w:val="0"/>
                <w:numId w:val="254"/>
              </w:numPr>
              <w:spacing w:before="120" w:after="120" w:line="320" w:lineRule="atLeast"/>
              <w:jc w:val="both"/>
              <w:rPr>
                <w:rFonts w:asciiTheme="majorHAnsi" w:eastAsiaTheme="minorHAnsi" w:hAnsiTheme="majorHAnsi" w:cstheme="majorHAnsi"/>
                <w:sz w:val="22"/>
                <w:szCs w:val="22"/>
                <w:lang w:val="en-GB" w:eastAsia="en-US"/>
              </w:rPr>
            </w:pPr>
            <w:r w:rsidRPr="000007D2">
              <w:rPr>
                <w:rFonts w:asciiTheme="majorHAnsi" w:hAnsiTheme="majorHAnsi" w:cstheme="majorHAnsi"/>
              </w:rPr>
              <w:t>North Corridor</w:t>
            </w:r>
          </w:p>
        </w:tc>
      </w:tr>
      <w:tr w:rsidR="005B7A9D" w:rsidRPr="00A33AE8" w14:paraId="2D6EEB14" w14:textId="77777777" w:rsidTr="00750F3D">
        <w:trPr>
          <w:jc w:val="center"/>
        </w:trPr>
        <w:tc>
          <w:tcPr>
            <w:tcW w:w="4508" w:type="dxa"/>
          </w:tcPr>
          <w:p w14:paraId="08C112FE" w14:textId="77777777" w:rsidR="005B7A9D" w:rsidRPr="000007D2" w:rsidRDefault="005B7A9D" w:rsidP="000007D2">
            <w:pPr>
              <w:jc w:val="center"/>
              <w:rPr>
                <w:rFonts w:asciiTheme="majorHAnsi" w:eastAsiaTheme="minorHAnsi" w:hAnsiTheme="majorHAnsi" w:cstheme="majorHAnsi"/>
                <w:sz w:val="22"/>
                <w:szCs w:val="22"/>
                <w:lang w:val="en-GB" w:eastAsia="en-US"/>
              </w:rPr>
            </w:pPr>
            <w:r w:rsidRPr="000007D2">
              <w:rPr>
                <w:rFonts w:asciiTheme="majorHAnsi" w:hAnsiTheme="majorHAnsi" w:cstheme="majorHAnsi"/>
                <w:noProof/>
              </w:rPr>
              <w:drawing>
                <wp:inline distT="0" distB="0" distL="0" distR="0" wp14:anchorId="64E78D10" wp14:editId="221B944D">
                  <wp:extent cx="2192413" cy="2267712"/>
                  <wp:effectExtent l="0" t="0" r="0" b="0"/>
                  <wp:docPr id="198870396" name="Picture 19887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0396" name=""/>
                          <pic:cNvPicPr/>
                        </pic:nvPicPr>
                        <pic:blipFill>
                          <a:blip r:embed="rId84"/>
                          <a:stretch>
                            <a:fillRect/>
                          </a:stretch>
                        </pic:blipFill>
                        <pic:spPr>
                          <a:xfrm>
                            <a:off x="0" y="0"/>
                            <a:ext cx="2201258" cy="2276860"/>
                          </a:xfrm>
                          <a:prstGeom prst="rect">
                            <a:avLst/>
                          </a:prstGeom>
                        </pic:spPr>
                      </pic:pic>
                    </a:graphicData>
                  </a:graphic>
                </wp:inline>
              </w:drawing>
            </w:r>
          </w:p>
          <w:p w14:paraId="72025DA2" w14:textId="77777777" w:rsidR="005B7A9D" w:rsidRPr="000007D2" w:rsidRDefault="005B7A9D" w:rsidP="00884F3B">
            <w:pPr>
              <w:pStyle w:val="ListParagraph"/>
              <w:numPr>
                <w:ilvl w:val="0"/>
                <w:numId w:val="254"/>
              </w:numPr>
              <w:spacing w:before="120" w:after="120" w:line="320" w:lineRule="atLeast"/>
              <w:jc w:val="both"/>
              <w:rPr>
                <w:rFonts w:asciiTheme="majorHAnsi" w:eastAsiaTheme="minorHAnsi" w:hAnsiTheme="majorHAnsi" w:cstheme="majorHAnsi"/>
                <w:sz w:val="22"/>
                <w:szCs w:val="22"/>
                <w:lang w:val="en-GB" w:eastAsia="en-US"/>
              </w:rPr>
            </w:pPr>
            <w:r w:rsidRPr="000007D2">
              <w:rPr>
                <w:rFonts w:asciiTheme="majorHAnsi" w:hAnsiTheme="majorHAnsi" w:cstheme="majorHAnsi"/>
              </w:rPr>
              <w:t>Central Balkan Corridor</w:t>
            </w:r>
          </w:p>
        </w:tc>
        <w:tc>
          <w:tcPr>
            <w:tcW w:w="4134" w:type="dxa"/>
          </w:tcPr>
          <w:p w14:paraId="5FCEF501" w14:textId="77777777" w:rsidR="005B7A9D" w:rsidRPr="000007D2" w:rsidRDefault="005B7A9D" w:rsidP="000007D2">
            <w:pPr>
              <w:jc w:val="center"/>
              <w:rPr>
                <w:rFonts w:asciiTheme="majorHAnsi" w:eastAsiaTheme="minorHAnsi" w:hAnsiTheme="majorHAnsi" w:cstheme="majorHAnsi"/>
                <w:sz w:val="22"/>
                <w:szCs w:val="22"/>
                <w:lang w:val="en-GB" w:eastAsia="en-US"/>
              </w:rPr>
            </w:pPr>
            <w:r w:rsidRPr="000007D2">
              <w:rPr>
                <w:rFonts w:asciiTheme="majorHAnsi" w:hAnsiTheme="majorHAnsi" w:cstheme="majorHAnsi"/>
                <w:noProof/>
              </w:rPr>
              <w:drawing>
                <wp:inline distT="0" distB="0" distL="0" distR="0" wp14:anchorId="1715209F" wp14:editId="209134A7">
                  <wp:extent cx="1780972" cy="2274459"/>
                  <wp:effectExtent l="0" t="0" r="0" b="0"/>
                  <wp:docPr id="1889860736" name="Picture 188986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60736" name=""/>
                          <pic:cNvPicPr/>
                        </pic:nvPicPr>
                        <pic:blipFill>
                          <a:blip r:embed="rId85"/>
                          <a:stretch>
                            <a:fillRect/>
                          </a:stretch>
                        </pic:blipFill>
                        <pic:spPr>
                          <a:xfrm>
                            <a:off x="0" y="0"/>
                            <a:ext cx="1797500" cy="2295567"/>
                          </a:xfrm>
                          <a:prstGeom prst="rect">
                            <a:avLst/>
                          </a:prstGeom>
                        </pic:spPr>
                      </pic:pic>
                    </a:graphicData>
                  </a:graphic>
                </wp:inline>
              </w:drawing>
            </w:r>
          </w:p>
          <w:p w14:paraId="219A0999" w14:textId="77777777" w:rsidR="005B7A9D" w:rsidRPr="000007D2" w:rsidRDefault="005B7A9D" w:rsidP="00884F3B">
            <w:pPr>
              <w:pStyle w:val="ListParagraph"/>
              <w:numPr>
                <w:ilvl w:val="0"/>
                <w:numId w:val="254"/>
              </w:numPr>
              <w:spacing w:before="120" w:after="120" w:line="320" w:lineRule="atLeast"/>
              <w:jc w:val="both"/>
              <w:rPr>
                <w:rFonts w:asciiTheme="majorHAnsi" w:eastAsiaTheme="minorHAnsi" w:hAnsiTheme="majorHAnsi" w:cstheme="majorHAnsi"/>
                <w:sz w:val="22"/>
                <w:szCs w:val="22"/>
                <w:lang w:val="en-GB" w:eastAsia="en-US"/>
              </w:rPr>
            </w:pPr>
            <w:r w:rsidRPr="000007D2">
              <w:rPr>
                <w:rFonts w:asciiTheme="majorHAnsi" w:hAnsiTheme="majorHAnsi" w:cstheme="majorHAnsi"/>
              </w:rPr>
              <w:t>Pannonian Corridor</w:t>
            </w:r>
          </w:p>
        </w:tc>
      </w:tr>
    </w:tbl>
    <w:p w14:paraId="133D3676" w14:textId="77777777" w:rsidR="00386771" w:rsidRPr="00A33AE8" w:rsidRDefault="00386771" w:rsidP="007D341E">
      <w:pPr>
        <w:pStyle w:val="Heading3"/>
      </w:pPr>
      <w:r w:rsidRPr="00A33AE8">
        <w:t>Energy transmission infrastructure</w:t>
      </w:r>
    </w:p>
    <w:p w14:paraId="2E5EF854" w14:textId="77777777" w:rsidR="00524F38" w:rsidRPr="00A33AE8" w:rsidRDefault="00524F38" w:rsidP="00884F3B">
      <w:pPr>
        <w:pStyle w:val="Heading4"/>
        <w:numPr>
          <w:ilvl w:val="0"/>
          <w:numId w:val="36"/>
        </w:numPr>
        <w:spacing w:after="160"/>
        <w:ind w:left="714" w:hanging="357"/>
      </w:pPr>
      <w:r w:rsidRPr="00A33AE8">
        <w:t>Key characteristics of the existing transmission infrastructure for electricity and gas</w:t>
      </w:r>
    </w:p>
    <w:p w14:paraId="0C696F7B" w14:textId="77777777" w:rsidR="00927A32" w:rsidRPr="00A33AE8" w:rsidRDefault="00927A32" w:rsidP="00507954">
      <w:pPr>
        <w:pStyle w:val="LDKBody1"/>
      </w:pPr>
      <w:r w:rsidRPr="00A33AE8">
        <w:t xml:space="preserve">Electricity transmission system network in the Republic of Serbia consists of lines, substations and other voltage equipment that operate at voltage levels of 400 kV, 220 kV and 110 kV. Total </w:t>
      </w:r>
      <w:r w:rsidR="003E6E3E" w:rsidRPr="00A33AE8">
        <w:t xml:space="preserve">length </w:t>
      </w:r>
      <w:r w:rsidRPr="00A33AE8">
        <w:t xml:space="preserve">of all voltage level lines stands at </w:t>
      </w:r>
      <w:r w:rsidR="00552334" w:rsidRPr="00A33AE8">
        <w:t>10866</w:t>
      </w:r>
      <w:r w:rsidRPr="00A33AE8">
        <w:t xml:space="preserve"> km</w:t>
      </w:r>
      <w:r w:rsidR="00552334" w:rsidRPr="00A33AE8">
        <w:t xml:space="preserve"> in 2019</w:t>
      </w:r>
      <w:r w:rsidRPr="00A33AE8">
        <w:t xml:space="preserve"> and there are around 42 substations and 74 transformers.</w:t>
      </w:r>
    </w:p>
    <w:p w14:paraId="43E687AB" w14:textId="7EC71289" w:rsidR="007C790C" w:rsidRPr="00A33AE8" w:rsidRDefault="007C790C" w:rsidP="007C790C">
      <w:pPr>
        <w:pStyle w:val="LDKBody1"/>
      </w:pPr>
      <w:r w:rsidRPr="00A33AE8">
        <w:t xml:space="preserve">An overview of the electric transmission system of Serbia is shown in </w:t>
      </w:r>
      <w:r w:rsidR="00AB01E9" w:rsidRPr="00A33AE8">
        <w:fldChar w:fldCharType="begin"/>
      </w:r>
      <w:r w:rsidR="00AB01E9" w:rsidRPr="00A33AE8">
        <w:instrText xml:space="preserve"> REF _Ref69465847 \h </w:instrText>
      </w:r>
      <w:r w:rsidR="00AB01E9" w:rsidRPr="00A33AE8">
        <w:fldChar w:fldCharType="separate"/>
      </w:r>
      <w:r w:rsidR="00AB01E9" w:rsidRPr="00A33AE8">
        <w:t xml:space="preserve">Figure </w:t>
      </w:r>
      <w:r w:rsidR="00AB01E9" w:rsidRPr="000007D2">
        <w:t>4</w:t>
      </w:r>
      <w:r w:rsidR="00AB01E9" w:rsidRPr="00A33AE8">
        <w:t>.</w:t>
      </w:r>
      <w:r w:rsidR="00AB01E9" w:rsidRPr="000007D2">
        <w:t>5</w:t>
      </w:r>
      <w:r w:rsidR="00AB01E9">
        <w:t>5</w:t>
      </w:r>
      <w:r w:rsidR="00AB01E9" w:rsidRPr="00A33AE8">
        <w:fldChar w:fldCharType="end"/>
      </w:r>
      <w:r w:rsidRPr="00A33AE8">
        <w:t xml:space="preserve">. The total installed capacity of all </w:t>
      </w:r>
      <w:r w:rsidR="00552334" w:rsidRPr="00A33AE8">
        <w:t>substations</w:t>
      </w:r>
      <w:r w:rsidRPr="00A33AE8">
        <w:t xml:space="preserve"> </w:t>
      </w:r>
      <w:r w:rsidR="00552334" w:rsidRPr="00A33AE8">
        <w:t>and transformers</w:t>
      </w:r>
      <w:r w:rsidRPr="00A33AE8">
        <w:t xml:space="preserve"> was 17,624 MVA in </w:t>
      </w:r>
      <w:r w:rsidR="00552334" w:rsidRPr="00A33AE8">
        <w:t>2019.</w:t>
      </w:r>
    </w:p>
    <w:p w14:paraId="7DEF779F" w14:textId="78ADE53E" w:rsidR="007C790C" w:rsidRPr="00A33AE8" w:rsidRDefault="007C790C" w:rsidP="007C790C">
      <w:pPr>
        <w:pStyle w:val="Caption"/>
      </w:pPr>
      <w:bookmarkStart w:id="357" w:name="_Ref69465847"/>
      <w:bookmarkStart w:id="358" w:name="_Toc71552789"/>
      <w:bookmarkStart w:id="359" w:name="_Toc76552970"/>
      <w:bookmarkStart w:id="360" w:name="_Toc81466817"/>
      <w:bookmarkStart w:id="361" w:name="_Toc96510919"/>
      <w:bookmarkStart w:id="362" w:name="_Toc118992324"/>
      <w:bookmarkStart w:id="363" w:name="_Toc154575262"/>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55</w:t>
      </w:r>
      <w:r w:rsidR="006E0533">
        <w:rPr>
          <w:noProof/>
        </w:rPr>
        <w:fldChar w:fldCharType="end"/>
      </w:r>
      <w:bookmarkEnd w:id="357"/>
      <w:r w:rsidRPr="00A33AE8">
        <w:t>: The Electric Power System of Serbia (source: EMS</w:t>
      </w:r>
      <w:r w:rsidRPr="00A33AE8">
        <w:rPr>
          <w:rStyle w:val="FootnoteReference"/>
        </w:rPr>
        <w:footnoteReference w:id="130"/>
      </w:r>
      <w:bookmarkEnd w:id="358"/>
      <w:bookmarkEnd w:id="359"/>
      <w:bookmarkEnd w:id="360"/>
      <w:bookmarkEnd w:id="361"/>
      <w:r w:rsidRPr="00A33AE8">
        <w:t>)</w:t>
      </w:r>
      <w:bookmarkEnd w:id="362"/>
      <w:bookmarkEnd w:id="363"/>
    </w:p>
    <w:p w14:paraId="66CCFA0F" w14:textId="77777777" w:rsidR="007C790C" w:rsidRPr="00A33AE8" w:rsidRDefault="007C790C" w:rsidP="007C790C">
      <w:pPr>
        <w:jc w:val="center"/>
      </w:pPr>
      <w:r w:rsidRPr="000007D2">
        <w:rPr>
          <w:noProof/>
          <w:lang w:val="en-US"/>
        </w:rPr>
        <w:drawing>
          <wp:inline distT="0" distB="0" distL="0" distR="0" wp14:anchorId="36240F31" wp14:editId="2067AD42">
            <wp:extent cx="2936952" cy="4131174"/>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51908" cy="4152212"/>
                    </a:xfrm>
                    <a:prstGeom prst="rect">
                      <a:avLst/>
                    </a:prstGeom>
                    <a:noFill/>
                    <a:ln>
                      <a:noFill/>
                    </a:ln>
                  </pic:spPr>
                </pic:pic>
              </a:graphicData>
            </a:graphic>
          </wp:inline>
        </w:drawing>
      </w:r>
    </w:p>
    <w:p w14:paraId="60A1EF7C" w14:textId="77777777" w:rsidR="003E6E3E" w:rsidRPr="00A33AE8" w:rsidRDefault="003E6E3E" w:rsidP="003E6E3E">
      <w:pPr>
        <w:pStyle w:val="LDKBody1"/>
      </w:pPr>
      <w:r w:rsidRPr="00A33AE8">
        <w:t xml:space="preserve">Reconstructions and adaptations of assets of the transmission network are constantly carried out for various reasons, such as the renewal of the useful life of the </w:t>
      </w:r>
      <w:r w:rsidR="00751312" w:rsidRPr="00A33AE8">
        <w:t>assets</w:t>
      </w:r>
      <w:r w:rsidRPr="00A33AE8">
        <w:t>, increase in transmission capacity, increase in safety and reliability, as well as interoperability with other plant and apparatus of the grid. Evidently, based on the</w:t>
      </w:r>
      <w:r w:rsidR="00AB01E9">
        <w:t xml:space="preserve"> </w:t>
      </w:r>
      <w:r w:rsidRPr="00A33AE8">
        <w:t>all key performing indicators, EMS carries out an adequate planning of the development of the transmission system leading to less faults and reduction of transmission losses.</w:t>
      </w:r>
    </w:p>
    <w:p w14:paraId="3F6D4050" w14:textId="1FB8DB71" w:rsidR="00927A32" w:rsidRPr="00A33AE8" w:rsidRDefault="00927A32" w:rsidP="00927A32">
      <w:pPr>
        <w:pStyle w:val="LDKBody1"/>
      </w:pPr>
      <w:r w:rsidRPr="00A33AE8">
        <w:t>The natural gas transmission network is operated by three transmission system operators. It is consisted of 2414 km of in north and central Serbia operated by the “Transportgas Srbija” and additional 125 km in southeast Serbia operated by the “Yugorosgaz transport”. Total of 2,483 million m</w:t>
      </w:r>
      <w:r w:rsidRPr="00A33AE8">
        <w:rPr>
          <w:vertAlign w:val="superscript"/>
        </w:rPr>
        <w:t>3</w:t>
      </w:r>
      <w:r w:rsidRPr="00A33AE8">
        <w:t xml:space="preserve"> of natural gas were consumed in 2020 and 2,708 million m3 of natural gas were available from: import, local production and underground storage.</w:t>
      </w:r>
    </w:p>
    <w:p w14:paraId="5D4915DA" w14:textId="11C74323" w:rsidR="00927A32" w:rsidRPr="00A33AE8" w:rsidRDefault="00927A32" w:rsidP="00927A32">
      <w:pPr>
        <w:pStyle w:val="LDKBody1"/>
      </w:pPr>
      <w:r w:rsidRPr="00A33AE8">
        <w:t xml:space="preserve">Gastrans d.o.o. </w:t>
      </w:r>
      <w:r w:rsidR="00495F05" w:rsidRPr="00A33AE8">
        <w:t>i</w:t>
      </w:r>
      <w:r w:rsidRPr="00A33AE8">
        <w:t xml:space="preserve">s an independent transmission operator of the interconnection gas pipeline from Bulgaria to Hungary with a </w:t>
      </w:r>
      <w:r w:rsidR="00751312" w:rsidRPr="00A33AE8">
        <w:t>length</w:t>
      </w:r>
      <w:r w:rsidRPr="00A33AE8">
        <w:t xml:space="preserve"> of 402 km.</w:t>
      </w:r>
    </w:p>
    <w:p w14:paraId="5E8F8288" w14:textId="77777777" w:rsidR="00927A32" w:rsidRPr="00A33AE8" w:rsidRDefault="00524F38" w:rsidP="00884F3B">
      <w:pPr>
        <w:pStyle w:val="Heading4"/>
        <w:numPr>
          <w:ilvl w:val="0"/>
          <w:numId w:val="35"/>
        </w:numPr>
        <w:spacing w:after="160"/>
        <w:ind w:left="714" w:hanging="357"/>
      </w:pPr>
      <w:r w:rsidRPr="00A33AE8">
        <w:t>Projections of network expansion requirements at least until 2040 (including for the year 2030)</w:t>
      </w:r>
    </w:p>
    <w:p w14:paraId="428F7CD0" w14:textId="77777777" w:rsidR="00927A32" w:rsidRPr="00A33AE8" w:rsidRDefault="003E6E3E" w:rsidP="00507954">
      <w:pPr>
        <w:pStyle w:val="LDKBody1"/>
      </w:pPr>
      <w:r w:rsidRPr="00A33AE8">
        <w:t xml:space="preserve">Until 2030 and beyond, the electricity transmission network has scheduled and carries </w:t>
      </w:r>
      <w:r w:rsidR="0016563B" w:rsidRPr="00A33AE8">
        <w:t>outcome</w:t>
      </w:r>
      <w:r w:rsidRPr="00A33AE8">
        <w:t xml:space="preserve"> mayor investments involving strengthening and new interconnections</w:t>
      </w:r>
      <w:r w:rsidR="00927A32" w:rsidRPr="00A33AE8">
        <w:t>. On individual interconnection lines, additional new interconnections are under consideration:</w:t>
      </w:r>
    </w:p>
    <w:p w14:paraId="15B41680" w14:textId="77777777" w:rsidR="00927A32" w:rsidRPr="00A33AE8" w:rsidRDefault="00927A32" w:rsidP="00927A32">
      <w:pPr>
        <w:pStyle w:val="LDKBullets-main"/>
      </w:pPr>
      <w:r w:rsidRPr="00A33AE8">
        <w:t>Serbia - Bosnia and Herzegovina 110 kV SS Ljubovija – SS Srebrenica</w:t>
      </w:r>
    </w:p>
    <w:p w14:paraId="38CFE54C" w14:textId="77777777" w:rsidR="00927A32" w:rsidRPr="000007D2" w:rsidRDefault="00927A32" w:rsidP="00927A32">
      <w:pPr>
        <w:pStyle w:val="LDKBullets-main"/>
      </w:pPr>
      <w:r w:rsidRPr="000007D2">
        <w:t xml:space="preserve">Serbia </w:t>
      </w:r>
      <w:r w:rsidR="008630C8" w:rsidRPr="000007D2">
        <w:t xml:space="preserve">– </w:t>
      </w:r>
      <w:r w:rsidR="00C625E0" w:rsidRPr="000007D2">
        <w:t>Montenegro</w:t>
      </w:r>
      <w:r w:rsidR="008D6F06" w:rsidRPr="000007D2">
        <w:t xml:space="preserve"> – </w:t>
      </w:r>
      <w:r w:rsidRPr="000007D2">
        <w:t>Bosnia and Herzegovina 2x400 kV Serbia-BH-MNE</w:t>
      </w:r>
    </w:p>
    <w:p w14:paraId="1A9C6250" w14:textId="77777777" w:rsidR="00927A32" w:rsidRPr="005B2C66" w:rsidRDefault="00927A32" w:rsidP="00927A32">
      <w:pPr>
        <w:pStyle w:val="LDKBullets-main"/>
        <w:rPr>
          <w:lang w:val="pt-PT"/>
        </w:rPr>
      </w:pPr>
      <w:r w:rsidRPr="005B2C66">
        <w:rPr>
          <w:lang w:val="pt-PT"/>
        </w:rPr>
        <w:t>Serbia – Croatia 400 kV SS Sombor 3 – SS Ernestinovo</w:t>
      </w:r>
    </w:p>
    <w:p w14:paraId="7C745866" w14:textId="77777777" w:rsidR="00927A32" w:rsidRPr="00A33AE8" w:rsidRDefault="00927A32" w:rsidP="00927A32">
      <w:pPr>
        <w:pStyle w:val="LDKBullets-main"/>
      </w:pPr>
      <w:r w:rsidRPr="00A33AE8">
        <w:lastRenderedPageBreak/>
        <w:t>Serbia – Bulgaria 400 kV SS Leskovac – SS Bobov Dol</w:t>
      </w:r>
    </w:p>
    <w:p w14:paraId="167029E2" w14:textId="77777777" w:rsidR="00927A32" w:rsidRPr="000007D2" w:rsidRDefault="00927A32" w:rsidP="00927A32">
      <w:pPr>
        <w:pStyle w:val="LDKBullets-main"/>
      </w:pPr>
      <w:r w:rsidRPr="000007D2">
        <w:t>Serbia – Romania 400 kV SS Djerdap 1 – SS Portile de Fier</w:t>
      </w:r>
    </w:p>
    <w:p w14:paraId="68037B12" w14:textId="24675B53" w:rsidR="00927A32" w:rsidRPr="00A33AE8" w:rsidRDefault="00927A32" w:rsidP="00927A32">
      <w:pPr>
        <w:pStyle w:val="LDKBullets-main"/>
      </w:pPr>
      <w:r w:rsidRPr="00A33AE8">
        <w:t>Serbia – Montenegro 110 kV SS Tutin – SS Rozaje</w:t>
      </w:r>
    </w:p>
    <w:p w14:paraId="689555AD" w14:textId="77777777" w:rsidR="00C625E0" w:rsidRPr="00A33AE8" w:rsidRDefault="00C625E0" w:rsidP="00927A32">
      <w:pPr>
        <w:pStyle w:val="LDKBullets-main"/>
      </w:pPr>
      <w:r w:rsidRPr="00A33AE8">
        <w:t>Serbia – Hungary 400 kV SS Subotica 2 – TS Sandorfalva</w:t>
      </w:r>
    </w:p>
    <w:p w14:paraId="4404BC84" w14:textId="77777777" w:rsidR="00927A32" w:rsidRPr="00A33AE8" w:rsidRDefault="003E6E3E" w:rsidP="00927A32">
      <w:pPr>
        <w:pStyle w:val="LDKbody"/>
        <w:rPr>
          <w:rFonts w:asciiTheme="majorHAnsi" w:hAnsiTheme="majorHAnsi" w:cstheme="majorHAnsi"/>
          <w:lang w:val="en-GB"/>
        </w:rPr>
      </w:pPr>
      <w:r w:rsidRPr="00A33AE8">
        <w:rPr>
          <w:rFonts w:asciiTheme="majorHAnsi" w:hAnsiTheme="majorHAnsi" w:cstheme="majorHAnsi"/>
          <w:lang w:val="en-GB"/>
        </w:rPr>
        <w:t>Due to the expected increase of renewable energy sources generation capacities and an increase</w:t>
      </w:r>
      <w:r w:rsidR="00863E32" w:rsidRPr="00A33AE8">
        <w:rPr>
          <w:rFonts w:asciiTheme="majorHAnsi" w:hAnsiTheme="majorHAnsi" w:cstheme="majorHAnsi"/>
          <w:lang w:val="en-GB"/>
        </w:rPr>
        <w:t>d</w:t>
      </w:r>
      <w:r w:rsidRPr="00A33AE8">
        <w:rPr>
          <w:rFonts w:asciiTheme="majorHAnsi" w:hAnsiTheme="majorHAnsi" w:cstheme="majorHAnsi"/>
          <w:lang w:val="en-GB"/>
        </w:rPr>
        <w:t xml:space="preserve"> need of transmission capacity improvement within the territory of Serbia, the following three projects are identified as part of the existing </w:t>
      </w:r>
      <w:r w:rsidR="00820C47" w:rsidRPr="00A33AE8">
        <w:rPr>
          <w:rFonts w:asciiTheme="majorHAnsi" w:hAnsiTheme="majorHAnsi" w:cstheme="majorHAnsi"/>
          <w:lang w:val="en-GB"/>
        </w:rPr>
        <w:t xml:space="preserve">electricity transmission network </w:t>
      </w:r>
      <w:r w:rsidR="00927A32" w:rsidRPr="00A33AE8">
        <w:rPr>
          <w:rFonts w:asciiTheme="majorHAnsi" w:hAnsiTheme="majorHAnsi" w:cstheme="majorHAnsi"/>
          <w:lang w:val="en-GB"/>
        </w:rPr>
        <w:t>Corridor projects:</w:t>
      </w:r>
    </w:p>
    <w:p w14:paraId="04C0F8A9" w14:textId="77777777" w:rsidR="00927A32" w:rsidRPr="00A33AE8" w:rsidRDefault="00927A32" w:rsidP="00927A32">
      <w:pPr>
        <w:pStyle w:val="LDKBullets-main"/>
      </w:pPr>
      <w:r w:rsidRPr="00A33AE8">
        <w:t>Implementation of Transbalkan Corridor: OHL SS Kragujevac (RS) - Kraljevo (RS)</w:t>
      </w:r>
    </w:p>
    <w:p w14:paraId="7A1023AA" w14:textId="77777777" w:rsidR="00927A32" w:rsidRPr="00A33AE8" w:rsidRDefault="00927A32" w:rsidP="00927A32">
      <w:pPr>
        <w:pStyle w:val="LDKBullets-main"/>
      </w:pPr>
      <w:r w:rsidRPr="00A33AE8">
        <w:t>Implementation of Transbalkan Corridor: OHL Obrenovac (RS) - Bajina Basta (RS)</w:t>
      </w:r>
    </w:p>
    <w:p w14:paraId="58351A68" w14:textId="77777777" w:rsidR="007D341E" w:rsidRDefault="00927A32" w:rsidP="001D1BB0">
      <w:pPr>
        <w:pStyle w:val="LDKBullets-main"/>
      </w:pPr>
      <w:r w:rsidRPr="00A33AE8">
        <w:t>Cluster of network infrastructure projects in the wider area of Belgrade (BEOGRID)</w:t>
      </w:r>
    </w:p>
    <w:p w14:paraId="0842E61F" w14:textId="77777777" w:rsidR="00E91166" w:rsidRDefault="00E91166" w:rsidP="00E91166">
      <w:pPr>
        <w:pStyle w:val="LDKBullets-main"/>
      </w:pPr>
      <w:r>
        <w:t>Panonian Corridor project: OHL 400kV Sombor – Novi Sad 3 and OHL 2x400kV Belgrade 50 – Sremska Mitrovica 2</w:t>
      </w:r>
    </w:p>
    <w:p w14:paraId="0982DAAD" w14:textId="77777777" w:rsidR="00E91166" w:rsidRPr="00A33AE8" w:rsidRDefault="00E91166" w:rsidP="00E91166">
      <w:pPr>
        <w:pStyle w:val="LDKBullets-main"/>
      </w:pPr>
      <w:r>
        <w:t>Central Balkan Corridor project: OHL 400kV Niš 2 – Kruševac – Kraljevo – Požega – Vardište and OHL 400kV Požarevac 3 – Jagodina 4</w:t>
      </w:r>
    </w:p>
    <w:p w14:paraId="7C0BE726" w14:textId="77777777" w:rsidR="00334E20" w:rsidRPr="00A33AE8" w:rsidRDefault="00334E20" w:rsidP="001D1BB0">
      <w:pPr>
        <w:pStyle w:val="LDKbody"/>
        <w:rPr>
          <w:rFonts w:asciiTheme="majorHAnsi" w:hAnsiTheme="majorHAnsi" w:cstheme="majorHAnsi"/>
          <w:lang w:val="en-GB"/>
        </w:rPr>
      </w:pPr>
      <w:r w:rsidRPr="00A33AE8">
        <w:rPr>
          <w:rFonts w:asciiTheme="majorHAnsi" w:hAnsiTheme="majorHAnsi" w:cstheme="majorHAnsi"/>
          <w:lang w:val="en-GB"/>
        </w:rPr>
        <w:t>EMS in the Transmission System Development Plan for the period 2023-2032 (Chapter Adequacy analysis of generation) states that there are submitted connection requests reaching the level of 19.3 GW of RES until 2032 (1.9 GW of which on the distribution system and 17.4GW on the transmission system), of which 0.8 GW (with EDS) and 4.5 GW (with EMS) entered in contractual relationship with the corresponding system operators.</w:t>
      </w:r>
    </w:p>
    <w:p w14:paraId="6FAFA7DE" w14:textId="77777777" w:rsidR="00927A32" w:rsidRPr="00A33AE8" w:rsidRDefault="003E6E3E" w:rsidP="001D1BB0">
      <w:pPr>
        <w:pStyle w:val="LDKbody"/>
        <w:rPr>
          <w:rFonts w:asciiTheme="majorHAnsi" w:hAnsiTheme="majorHAnsi" w:cstheme="majorHAnsi"/>
          <w:lang w:val="en-GB"/>
        </w:rPr>
      </w:pPr>
      <w:r w:rsidRPr="00A33AE8">
        <w:rPr>
          <w:rFonts w:asciiTheme="majorHAnsi" w:hAnsiTheme="majorHAnsi" w:cstheme="majorHAnsi"/>
          <w:lang w:val="en-GB"/>
        </w:rPr>
        <w:t>The i</w:t>
      </w:r>
      <w:r w:rsidR="00927A32" w:rsidRPr="00A33AE8">
        <w:rPr>
          <w:rFonts w:asciiTheme="majorHAnsi" w:hAnsiTheme="majorHAnsi" w:cstheme="majorHAnsi"/>
          <w:lang w:val="en-GB"/>
        </w:rPr>
        <w:t xml:space="preserve">mplementation of the Serbia-Bulgaria gas interconnection project is one of the most recent investment </w:t>
      </w:r>
      <w:r w:rsidR="0059004E" w:rsidRPr="00A33AE8">
        <w:rPr>
          <w:rFonts w:asciiTheme="majorHAnsi" w:hAnsiTheme="majorHAnsi" w:cstheme="majorHAnsi"/>
          <w:lang w:val="en-GB"/>
        </w:rPr>
        <w:t>projects</w:t>
      </w:r>
      <w:r w:rsidR="00927A32" w:rsidRPr="00A33AE8">
        <w:rPr>
          <w:rFonts w:asciiTheme="majorHAnsi" w:hAnsiTheme="majorHAnsi" w:cstheme="majorHAnsi"/>
          <w:lang w:val="en-GB"/>
        </w:rPr>
        <w:t xml:space="preserve"> in the natural gas transmission network which is </w:t>
      </w:r>
      <w:r w:rsidRPr="00A33AE8">
        <w:rPr>
          <w:rFonts w:asciiTheme="majorHAnsi" w:hAnsiTheme="majorHAnsi" w:cstheme="majorHAnsi"/>
          <w:lang w:val="en-GB"/>
        </w:rPr>
        <w:t xml:space="preserve">currently </w:t>
      </w:r>
      <w:r w:rsidR="00927A32" w:rsidRPr="00A33AE8">
        <w:rPr>
          <w:rFonts w:asciiTheme="majorHAnsi" w:hAnsiTheme="majorHAnsi" w:cstheme="majorHAnsi"/>
          <w:lang w:val="en-GB"/>
        </w:rPr>
        <w:t xml:space="preserve">under development. </w:t>
      </w:r>
      <w:r w:rsidR="0059004E" w:rsidRPr="00A33AE8">
        <w:rPr>
          <w:rFonts w:asciiTheme="majorHAnsi" w:hAnsiTheme="majorHAnsi" w:cstheme="majorHAnsi"/>
          <w:lang w:val="en-GB"/>
        </w:rPr>
        <w:t>The following interconnection projects are seen in future projections to foster diversification of natural gas supply and allow wider interconnection with neighbouring systems:</w:t>
      </w:r>
    </w:p>
    <w:p w14:paraId="40C7F4A5" w14:textId="77777777" w:rsidR="0059004E" w:rsidRPr="00A33AE8" w:rsidRDefault="0059004E" w:rsidP="0059004E">
      <w:pPr>
        <w:pStyle w:val="LDKBullets-main"/>
      </w:pPr>
      <w:r w:rsidRPr="00A33AE8">
        <w:t>Project for Serbia-Romania gas interconnection 85.5 km (out of which 12.8 km is on the territory of the Republic of Serbia), with a capacity of 1.2 billion m3/year</w:t>
      </w:r>
    </w:p>
    <w:p w14:paraId="520147AA" w14:textId="77777777" w:rsidR="0059004E" w:rsidRPr="00A33AE8" w:rsidRDefault="0059004E" w:rsidP="0059004E">
      <w:pPr>
        <w:pStyle w:val="LDKBullets-main"/>
      </w:pPr>
      <w:r w:rsidRPr="00A33AE8">
        <w:t>Project for Serbia-Croatia gas interconnection (95 km, with a capacity of 1.5 billion m3/year)</w:t>
      </w:r>
    </w:p>
    <w:p w14:paraId="162729EA" w14:textId="77777777" w:rsidR="0059004E" w:rsidRPr="00A33AE8" w:rsidRDefault="0059004E" w:rsidP="0059004E">
      <w:pPr>
        <w:pStyle w:val="LDKBullets-main"/>
      </w:pPr>
      <w:r w:rsidRPr="00A33AE8">
        <w:t>Project for Serbia-BiH gas interconnection 90 km, with a capacity of 1.2 billion m3/year</w:t>
      </w:r>
    </w:p>
    <w:p w14:paraId="777FB1B9" w14:textId="77777777" w:rsidR="0059004E" w:rsidRPr="00A33AE8" w:rsidRDefault="0059004E" w:rsidP="0059004E">
      <w:pPr>
        <w:pStyle w:val="LDKBullets-main"/>
      </w:pPr>
      <w:r w:rsidRPr="00A33AE8">
        <w:t>Gas pipeline - interconnection with Montenegro</w:t>
      </w:r>
    </w:p>
    <w:p w14:paraId="78D1FD7D" w14:textId="77777777" w:rsidR="0059004E" w:rsidRPr="00A33AE8" w:rsidRDefault="0059004E" w:rsidP="0059004E">
      <w:pPr>
        <w:pStyle w:val="LDKBullets-main"/>
      </w:pPr>
      <w:r w:rsidRPr="00A33AE8">
        <w:t>Project for Serbia-Macedonia gas interconnection 70.7 km, with a capacity of 0.8 billion m3/year</w:t>
      </w:r>
    </w:p>
    <w:p w14:paraId="2AF6AB35" w14:textId="77777777" w:rsidR="0059004E" w:rsidRPr="00A33AE8" w:rsidRDefault="0059004E" w:rsidP="0059004E">
      <w:pPr>
        <w:pStyle w:val="LDKBullets-main"/>
      </w:pPr>
      <w:r w:rsidRPr="00A33AE8">
        <w:t>Project for Ni</w:t>
      </w:r>
      <w:r w:rsidR="00C96A78" w:rsidRPr="00A33AE8">
        <w:t>s</w:t>
      </w:r>
      <w:r w:rsidRPr="00A33AE8">
        <w:t>-Pri</w:t>
      </w:r>
      <w:r w:rsidR="00C96A78" w:rsidRPr="00A33AE8">
        <w:t>s</w:t>
      </w:r>
      <w:r w:rsidRPr="00A33AE8">
        <w:t>tina gas pipeline construction 65 km, with a capacity of 0.8 billion m3/year</w:t>
      </w:r>
    </w:p>
    <w:p w14:paraId="5412E166" w14:textId="77777777" w:rsidR="0059004E" w:rsidRPr="00A33AE8" w:rsidRDefault="0059004E" w:rsidP="0059004E">
      <w:pPr>
        <w:pStyle w:val="LDKBullets-main"/>
        <w:numPr>
          <w:ilvl w:val="0"/>
          <w:numId w:val="0"/>
        </w:numPr>
        <w:ind w:left="360" w:hanging="360"/>
      </w:pPr>
    </w:p>
    <w:p w14:paraId="735DFB64" w14:textId="77777777" w:rsidR="0059004E" w:rsidRPr="00A33AE8" w:rsidRDefault="0016563B" w:rsidP="00507954">
      <w:pPr>
        <w:pStyle w:val="LDKBody1"/>
      </w:pPr>
      <w:r w:rsidRPr="00A33AE8">
        <w:t>Within</w:t>
      </w:r>
      <w:r w:rsidR="0059004E" w:rsidRPr="00A33AE8">
        <w:t xml:space="preserve"> the country boarders the main gas pipeline RG 11-02 Leskovac-Vladi</w:t>
      </w:r>
      <w:r w:rsidR="00C96A78" w:rsidRPr="00A33AE8">
        <w:t>c</w:t>
      </w:r>
      <w:r w:rsidR="0059004E" w:rsidRPr="00A33AE8">
        <w:t xml:space="preserve">in Han-Vranje of 71 km </w:t>
      </w:r>
      <w:r w:rsidR="003E6E3E" w:rsidRPr="00A33AE8">
        <w:t xml:space="preserve">length </w:t>
      </w:r>
      <w:r w:rsidR="0059004E" w:rsidRPr="00A33AE8">
        <w:t xml:space="preserve">and with a capacity of 1.5 billion m3/year, shall be to </w:t>
      </w:r>
      <w:r w:rsidR="00863E32" w:rsidRPr="00A33AE8">
        <w:t>e</w:t>
      </w:r>
      <w:r w:rsidR="0059004E" w:rsidRPr="00A33AE8">
        <w:t>nable gasification of the south Serbia.</w:t>
      </w:r>
    </w:p>
    <w:p w14:paraId="77821666" w14:textId="77777777" w:rsidR="00386771" w:rsidRPr="00A33AE8" w:rsidRDefault="00386771" w:rsidP="001D1BB0">
      <w:pPr>
        <w:pStyle w:val="Heading3"/>
      </w:pPr>
      <w:r w:rsidRPr="00A33AE8">
        <w:t>Electricity and gas markets, energy prices</w:t>
      </w:r>
    </w:p>
    <w:p w14:paraId="54A2369F" w14:textId="2C274F2D" w:rsidR="00C52354" w:rsidRPr="00A33AE8" w:rsidRDefault="00524F38" w:rsidP="00884F3B">
      <w:pPr>
        <w:pStyle w:val="Heading4"/>
        <w:numPr>
          <w:ilvl w:val="0"/>
          <w:numId w:val="37"/>
        </w:numPr>
        <w:spacing w:after="160"/>
        <w:ind w:left="714" w:hanging="357"/>
      </w:pPr>
      <w:r w:rsidRPr="00A33AE8">
        <w:t>Current situation of electricity and gas markets, including energy prices</w:t>
      </w:r>
    </w:p>
    <w:p w14:paraId="6E165D6E" w14:textId="7B154AE2" w:rsidR="003E6E3E" w:rsidRPr="00A33AE8" w:rsidRDefault="003E6E3E" w:rsidP="003E6E3E">
      <w:pPr>
        <w:pStyle w:val="LDKBody1"/>
      </w:pPr>
      <w:bookmarkStart w:id="365" w:name="_Ref113477896"/>
      <w:r w:rsidRPr="00A33AE8">
        <w:t xml:space="preserve">In Serbia the electricity day-ahead market is operated by South-Eastern European Power Exchange (SEEPEX) which was established in 2015 on the basis of partnership between EMS JSC and EPEX SPOT in France as a joint stock company with the majority ownership of the Serbian side. It is licenced for the operation of organized electricity markets. In 2020, the day-ahead electricity market operated in the power exchange had 22 participants registered / which </w:t>
      </w:r>
      <w:r w:rsidR="00DA0D9E" w:rsidRPr="00A33AE8">
        <w:t>amounted three</w:t>
      </w:r>
      <w:r w:rsidRPr="00A33AE8">
        <w:t xml:space="preserve"> participants more than 2019. In both years of reference, an average 18 participants were actively involved in the day-to-day trade activities.</w:t>
      </w:r>
    </w:p>
    <w:p w14:paraId="6B0B45D6" w14:textId="01C55E27" w:rsidR="003E6E3E" w:rsidRPr="00A33AE8" w:rsidRDefault="003E6E3E" w:rsidP="003E6E3E">
      <w:pPr>
        <w:pStyle w:val="LDKBody1"/>
      </w:pPr>
      <w:r w:rsidRPr="00A33AE8">
        <w:t xml:space="preserve">In 2020, suppliers mainly </w:t>
      </w:r>
      <w:r w:rsidR="0016563B" w:rsidRPr="00A33AE8">
        <w:t>competed</w:t>
      </w:r>
      <w:r w:rsidRPr="00A33AE8">
        <w:t xml:space="preserve"> and </w:t>
      </w:r>
      <w:r w:rsidR="0016563B" w:rsidRPr="00A33AE8">
        <w:t>traded</w:t>
      </w:r>
      <w:r w:rsidRPr="00A33AE8">
        <w:t xml:space="preserve"> amongst themselves in the wholesale electricity market because non-EPS generation which comprise existing wind parks operate as privileged producers and sell </w:t>
      </w:r>
      <w:r w:rsidRPr="00A33AE8">
        <w:lastRenderedPageBreak/>
        <w:t xml:space="preserve">electricity to the guaranteed supplier at fixed feed-in tariffs. The suppliers’ activity in the open </w:t>
      </w:r>
      <w:r w:rsidR="00DA0D9E" w:rsidRPr="00A33AE8">
        <w:t>market appears</w:t>
      </w:r>
      <w:r w:rsidRPr="00A33AE8">
        <w:t xml:space="preserve"> very active in the field of cross-border exchange, primarily with the purpose of enabling transit through Serbia. This opportunity appears as the dominant choice of suppliers organising transit exchanges due to central geographic position of the power system of Serbia in the </w:t>
      </w:r>
      <w:r w:rsidR="00081D7A" w:rsidRPr="00A33AE8">
        <w:t>region. As</w:t>
      </w:r>
      <w:r w:rsidR="00346F7A" w:rsidRPr="00A33AE8">
        <w:t xml:space="preserve"> per Energy Agency Annual report</w:t>
      </w:r>
      <w:r w:rsidR="00346F7A" w:rsidRPr="00A33AE8">
        <w:rPr>
          <w:rStyle w:val="FootnoteReference"/>
        </w:rPr>
        <w:footnoteReference w:id="131"/>
      </w:r>
      <w:r w:rsidR="00346F7A" w:rsidRPr="00A33AE8">
        <w:t xml:space="preserve"> i</w:t>
      </w:r>
      <w:r w:rsidRPr="00A33AE8">
        <w:t xml:space="preserve">n 2020, supplier activity amounted to around 14.7 TWh. There were 57 active market players and 11 suppliers dealing with final customers supply in the open market in 2020. The electricity supply activities are mostly related to the commercial consumers. There were 64 energy entities holding supply licences out of which 11 were active in supplying final consumers. The dominant electricity supplier is EPS with a market share corresponding to more than 95% of the electricity sold to final consumers. </w:t>
      </w:r>
      <w:r w:rsidR="00CD2E1E" w:rsidRPr="00A33AE8">
        <w:fldChar w:fldCharType="begin"/>
      </w:r>
      <w:r w:rsidR="00DA0D9E" w:rsidRPr="00A33AE8">
        <w:instrText xml:space="preserve"> REF _Ref113633108 \h </w:instrText>
      </w:r>
      <w:r w:rsidR="00CD2E1E" w:rsidRPr="00A33AE8">
        <w:fldChar w:fldCharType="separate"/>
      </w:r>
      <w:r w:rsidR="00D45204" w:rsidRPr="00A33AE8">
        <w:t xml:space="preserve">Figure </w:t>
      </w:r>
      <w:r w:rsidR="00D45204" w:rsidRPr="000007D2">
        <w:t>4</w:t>
      </w:r>
      <w:r w:rsidR="00D45204" w:rsidRPr="00A33AE8">
        <w:t>.</w:t>
      </w:r>
      <w:r w:rsidR="00D45204" w:rsidRPr="000007D2">
        <w:t>56</w:t>
      </w:r>
      <w:r w:rsidR="00CD2E1E" w:rsidRPr="00A33AE8">
        <w:fldChar w:fldCharType="end"/>
      </w:r>
      <w:r w:rsidRPr="00A33AE8">
        <w:t xml:space="preserve"> presents average retail prices in the competitive </w:t>
      </w:r>
      <w:r w:rsidR="0016563B" w:rsidRPr="00A33AE8">
        <w:t>segment</w:t>
      </w:r>
      <w:r w:rsidRPr="00A33AE8">
        <w:t xml:space="preserve"> of the retail electricity market, net of VAT and duties. Households and small consumers are entitled to guaranteed supply which implies supply of electricity at regulated prices. Evolution of electricity prices for households is presented in</w:t>
      </w:r>
      <w:r w:rsidR="00330535">
        <w:t xml:space="preserve"> </w:t>
      </w:r>
      <w:r w:rsidR="00330535">
        <w:fldChar w:fldCharType="begin"/>
      </w:r>
      <w:r w:rsidR="00330535">
        <w:instrText xml:space="preserve"> REF _Ref153545977 \h </w:instrText>
      </w:r>
      <w:r w:rsidR="00330535">
        <w:fldChar w:fldCharType="separate"/>
      </w:r>
      <w:r w:rsidR="00330535">
        <w:t xml:space="preserve">Figure </w:t>
      </w:r>
      <w:r w:rsidR="00330535">
        <w:rPr>
          <w:noProof/>
        </w:rPr>
        <w:t>4</w:t>
      </w:r>
      <w:r w:rsidR="00330535">
        <w:t>.</w:t>
      </w:r>
      <w:r w:rsidR="00330535">
        <w:rPr>
          <w:noProof/>
        </w:rPr>
        <w:t>57</w:t>
      </w:r>
      <w:r w:rsidR="00330535">
        <w:fldChar w:fldCharType="end"/>
      </w:r>
      <w:r w:rsidRPr="00A33AE8">
        <w:t>.</w:t>
      </w:r>
    </w:p>
    <w:p w14:paraId="2A830CC4" w14:textId="112FE61C" w:rsidR="00F30294" w:rsidRPr="00A33AE8" w:rsidRDefault="00823B84" w:rsidP="00507954">
      <w:pPr>
        <w:pStyle w:val="Caption"/>
      </w:pPr>
      <w:bookmarkStart w:id="366" w:name="_Ref113633108"/>
      <w:bookmarkStart w:id="367" w:name="_Toc118992326"/>
      <w:bookmarkStart w:id="368" w:name="_Toc154575263"/>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56</w:t>
      </w:r>
      <w:r w:rsidR="006E0533">
        <w:rPr>
          <w:noProof/>
        </w:rPr>
        <w:fldChar w:fldCharType="end"/>
      </w:r>
      <w:bookmarkEnd w:id="365"/>
      <w:bookmarkEnd w:id="366"/>
      <w:r w:rsidRPr="00A33AE8">
        <w:t xml:space="preserve">: Average annual retail prices </w:t>
      </w:r>
      <w:r w:rsidR="00DA0D9E" w:rsidRPr="00A33AE8">
        <w:t>in the competitive electricity</w:t>
      </w:r>
      <w:r w:rsidRPr="00A33AE8">
        <w:t xml:space="preserve">, </w:t>
      </w:r>
      <w:r w:rsidR="009F0F0E" w:rsidRPr="00A33AE8">
        <w:t xml:space="preserve">excluding </w:t>
      </w:r>
      <w:r w:rsidRPr="00A33AE8">
        <w:t>VAT and duties free (source: AERS)</w:t>
      </w:r>
      <w:bookmarkEnd w:id="367"/>
      <w:bookmarkEnd w:id="368"/>
    </w:p>
    <w:p w14:paraId="008D95F2" w14:textId="77777777" w:rsidR="00274A2C" w:rsidRPr="00A33AE8" w:rsidRDefault="009F0F0E" w:rsidP="009F0F0E">
      <w:pPr>
        <w:pStyle w:val="LDKBody1"/>
        <w:jc w:val="center"/>
      </w:pPr>
      <w:bookmarkStart w:id="369" w:name="_heading=h.2eclud0" w:colFirst="0" w:colLast="0"/>
      <w:bookmarkEnd w:id="369"/>
      <w:r w:rsidRPr="000007D2">
        <w:rPr>
          <w:noProof/>
          <w:lang w:val="en-US" w:eastAsia="en-US"/>
        </w:rPr>
        <w:drawing>
          <wp:inline distT="0" distB="0" distL="0" distR="0" wp14:anchorId="0B9FDF14" wp14:editId="0F3DAE07">
            <wp:extent cx="5414010" cy="2889885"/>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14:paraId="7CC869E3" w14:textId="6CDC4376" w:rsidR="00330535" w:rsidRDefault="00330535" w:rsidP="0087794A">
      <w:pPr>
        <w:pStyle w:val="Caption"/>
        <w:keepNext/>
      </w:pPr>
      <w:bookmarkStart w:id="370" w:name="_Ref153545977"/>
      <w:bookmarkStart w:id="371" w:name="_Toc154575264"/>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57</w:t>
      </w:r>
      <w:r w:rsidR="006E0533">
        <w:rPr>
          <w:noProof/>
        </w:rPr>
        <w:fldChar w:fldCharType="end"/>
      </w:r>
      <w:bookmarkEnd w:id="370"/>
      <w:r>
        <w:t xml:space="preserve">: </w:t>
      </w:r>
      <w:r w:rsidRPr="00330535">
        <w:t>Average annual retail prices in the regulated market, excluding VAT and duties free (source: AERS)</w:t>
      </w:r>
      <w:bookmarkEnd w:id="371"/>
    </w:p>
    <w:p w14:paraId="0B044E53" w14:textId="77777777" w:rsidR="009F0F0E" w:rsidRPr="00A33AE8" w:rsidRDefault="009F0F0E" w:rsidP="009F0F0E">
      <w:pPr>
        <w:jc w:val="center"/>
      </w:pPr>
      <w:r w:rsidRPr="000007D2">
        <w:rPr>
          <w:noProof/>
          <w:lang w:val="en-US"/>
        </w:rPr>
        <w:drawing>
          <wp:inline distT="0" distB="0" distL="0" distR="0" wp14:anchorId="3843F36D" wp14:editId="21DE79D0">
            <wp:extent cx="5400000" cy="2880000"/>
            <wp:effectExtent l="0" t="0" r="10795" b="15875"/>
            <wp:docPr id="104" name="Chart 104">
              <a:extLst xmlns:a="http://schemas.openxmlformats.org/drawingml/2006/main">
                <a:ext uri="{FF2B5EF4-FFF2-40B4-BE49-F238E27FC236}">
                  <a16:creationId xmlns:a16="http://schemas.microsoft.com/office/drawing/2014/main" id="{07430604-4E61-4008-BFE9-346F6BAC4B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C228A9A" w14:textId="450286EC" w:rsidR="008F3D7A" w:rsidRPr="00A33AE8" w:rsidRDefault="00DA0D9E" w:rsidP="00DA0D9E">
      <w:pPr>
        <w:pStyle w:val="LDKBody1"/>
      </w:pPr>
      <w:r w:rsidRPr="00A33AE8">
        <w:t>In the natural gas wholesale market, there are three licenced natural gas suppliers and one producer which were active in 2020, while trading is carried out through bilateral contracts. Until a competitive natural gas market is established, the Government of the Republic of Serbia appoints the supplier of public suppliers. There were 26 active suppliers in the open market who dealt with retail in 2020 while there were 31 public suppliers who also acted as natural gas distributers. Historical data for natural gas public supply price and average weighted retail price in the regulated market are presented below.</w:t>
      </w:r>
    </w:p>
    <w:p w14:paraId="642C1062" w14:textId="5EFC3603" w:rsidR="00DC1FED" w:rsidRPr="00A33AE8" w:rsidRDefault="00DC1FED" w:rsidP="00DC1FED">
      <w:pPr>
        <w:pStyle w:val="Caption"/>
      </w:pPr>
      <w:bookmarkStart w:id="372" w:name="_Toc118992328"/>
      <w:bookmarkStart w:id="373" w:name="_Toc154575265"/>
      <w:r w:rsidRPr="00A33AE8">
        <w:t xml:space="preserve">Figure </w:t>
      </w:r>
      <w:r w:rsidR="006E0533">
        <w:fldChar w:fldCharType="begin"/>
      </w:r>
      <w:r w:rsidR="006E0533">
        <w:instrText xml:space="preserve"> STYLEREF</w:instrText>
      </w:r>
      <w:r w:rsidR="006E0533">
        <w:instrText xml:space="preserve">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58</w:t>
      </w:r>
      <w:r w:rsidR="006E0533">
        <w:rPr>
          <w:noProof/>
        </w:rPr>
        <w:fldChar w:fldCharType="end"/>
      </w:r>
      <w:r w:rsidRPr="00A33AE8">
        <w:t xml:space="preserve">: Average approved natural gas public supply price </w:t>
      </w:r>
      <w:r w:rsidR="00CF4576" w:rsidRPr="00A33AE8">
        <w:t>in RSD/m</w:t>
      </w:r>
      <w:r w:rsidR="00CF4576" w:rsidRPr="00A33AE8">
        <w:rPr>
          <w:vertAlign w:val="superscript"/>
        </w:rPr>
        <w:t>3</w:t>
      </w:r>
      <w:r w:rsidRPr="00A33AE8">
        <w:t xml:space="preserve"> (source: AERS)</w:t>
      </w:r>
      <w:bookmarkEnd w:id="372"/>
      <w:bookmarkEnd w:id="373"/>
    </w:p>
    <w:p w14:paraId="0D4DCBC0" w14:textId="7A04C33E" w:rsidR="00F774FA" w:rsidRDefault="00DC1FED" w:rsidP="0087794A">
      <w:pPr>
        <w:jc w:val="center"/>
      </w:pPr>
      <w:bookmarkStart w:id="374" w:name="_heading=h.3dhjn8m" w:colFirst="0" w:colLast="0"/>
      <w:bookmarkEnd w:id="374"/>
      <w:r w:rsidRPr="000007D2">
        <w:rPr>
          <w:noProof/>
          <w:lang w:val="en-US"/>
        </w:rPr>
        <w:drawing>
          <wp:inline distT="0" distB="0" distL="0" distR="0" wp14:anchorId="3EC72510" wp14:editId="78E5AB7A">
            <wp:extent cx="5414010" cy="288988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bookmarkStart w:id="375" w:name="_Toc118992329"/>
    </w:p>
    <w:p w14:paraId="44007DA4" w14:textId="2C7E7D49" w:rsidR="007C439F" w:rsidRDefault="007C439F" w:rsidP="0087794A">
      <w:pPr>
        <w:pStyle w:val="Caption"/>
        <w:keepNext/>
        <w:jc w:val="center"/>
      </w:pPr>
      <w:bookmarkStart w:id="376" w:name="_Toc154575266"/>
      <w:bookmarkEnd w:id="375"/>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59</w:t>
      </w:r>
      <w:r w:rsidR="006E0533">
        <w:rPr>
          <w:noProof/>
        </w:rPr>
        <w:fldChar w:fldCharType="end"/>
      </w:r>
      <w:r>
        <w:t xml:space="preserve">: </w:t>
      </w:r>
      <w:r w:rsidRPr="007C439F">
        <w:t>Average weighted retail price in the regulated market in RSD/m3(source: AERS)</w:t>
      </w:r>
      <w:bookmarkEnd w:id="376"/>
    </w:p>
    <w:p w14:paraId="7906E41B" w14:textId="77777777" w:rsidR="00DC1FED" w:rsidRPr="00A33AE8" w:rsidRDefault="00DC1FED" w:rsidP="00507954">
      <w:pPr>
        <w:jc w:val="center"/>
      </w:pPr>
      <w:r w:rsidRPr="000007D2">
        <w:rPr>
          <w:noProof/>
          <w:lang w:val="en-US"/>
        </w:rPr>
        <w:drawing>
          <wp:inline distT="0" distB="0" distL="0" distR="0" wp14:anchorId="2EC268BE" wp14:editId="73391577">
            <wp:extent cx="5431790" cy="2529840"/>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31790" cy="2529840"/>
                    </a:xfrm>
                    <a:prstGeom prst="rect">
                      <a:avLst/>
                    </a:prstGeom>
                    <a:noFill/>
                  </pic:spPr>
                </pic:pic>
              </a:graphicData>
            </a:graphic>
          </wp:inline>
        </w:drawing>
      </w:r>
    </w:p>
    <w:p w14:paraId="31DD582A" w14:textId="1E3460D4" w:rsidR="00524F38" w:rsidRPr="00A33AE8" w:rsidRDefault="00524F38" w:rsidP="00884F3B">
      <w:pPr>
        <w:pStyle w:val="Heading4"/>
        <w:numPr>
          <w:ilvl w:val="0"/>
          <w:numId w:val="35"/>
        </w:numPr>
      </w:pPr>
      <w:r w:rsidRPr="00A33AE8">
        <w:t>Projections of development with existing policies and measures until 2040 (including for the year 2030)</w:t>
      </w:r>
    </w:p>
    <w:p w14:paraId="138C0F63" w14:textId="77777777" w:rsidR="00927A32" w:rsidRPr="00A33AE8" w:rsidRDefault="00927A32" w:rsidP="00927A32">
      <w:pPr>
        <w:pStyle w:val="LDKbody"/>
        <w:rPr>
          <w:rFonts w:asciiTheme="majorHAnsi" w:hAnsiTheme="majorHAnsi" w:cstheme="majorHAnsi"/>
          <w:lang w:val="en-GB"/>
        </w:rPr>
      </w:pPr>
      <w:r w:rsidRPr="00A33AE8">
        <w:rPr>
          <w:rFonts w:asciiTheme="majorHAnsi" w:hAnsiTheme="majorHAnsi" w:cstheme="majorHAnsi"/>
          <w:lang w:val="en-GB"/>
        </w:rPr>
        <w:t xml:space="preserve">The main goal of the SEEPEX development in the coming years </w:t>
      </w:r>
      <w:r w:rsidR="00DA0D9E" w:rsidRPr="00A33AE8">
        <w:rPr>
          <w:rFonts w:asciiTheme="majorHAnsi" w:hAnsiTheme="majorHAnsi" w:cstheme="majorHAnsi"/>
          <w:lang w:val="en-GB"/>
        </w:rPr>
        <w:t xml:space="preserve">relates </w:t>
      </w:r>
      <w:r w:rsidRPr="00A33AE8">
        <w:rPr>
          <w:rFonts w:asciiTheme="majorHAnsi" w:hAnsiTheme="majorHAnsi" w:cstheme="majorHAnsi"/>
          <w:lang w:val="en-GB"/>
        </w:rPr>
        <w:t>to market coupling of the day-</w:t>
      </w:r>
      <w:r w:rsidR="00DA0D9E" w:rsidRPr="00A33AE8">
        <w:rPr>
          <w:rFonts w:asciiTheme="majorHAnsi" w:hAnsiTheme="majorHAnsi" w:cstheme="majorHAnsi"/>
          <w:lang w:val="en-GB"/>
        </w:rPr>
        <w:t xml:space="preserve"> ahead and intraday markets with organised markets in the neighbouring countries. According to announced plans the following projects should be completed by </w:t>
      </w:r>
      <w:r w:rsidRPr="00A33AE8">
        <w:rPr>
          <w:rFonts w:asciiTheme="majorHAnsi" w:hAnsiTheme="majorHAnsi" w:cstheme="majorHAnsi"/>
          <w:lang w:val="en-GB"/>
        </w:rPr>
        <w:t>2025:</w:t>
      </w:r>
    </w:p>
    <w:p w14:paraId="7F37116B" w14:textId="77777777" w:rsidR="00927A32" w:rsidRPr="00A33AE8" w:rsidRDefault="00927A32" w:rsidP="00507954">
      <w:pPr>
        <w:pStyle w:val="LDKBullets-main"/>
      </w:pPr>
      <w:r w:rsidRPr="00A33AE8">
        <w:t>Day ahead market coupling between Serbia and the markets of Hungary and Romania;</w:t>
      </w:r>
    </w:p>
    <w:p w14:paraId="7EA42882" w14:textId="77777777" w:rsidR="00927A32" w:rsidRPr="00A33AE8" w:rsidRDefault="00927A32" w:rsidP="00507954">
      <w:pPr>
        <w:pStyle w:val="LDKBullets-main"/>
      </w:pPr>
      <w:r w:rsidRPr="00A33AE8">
        <w:t>Day ahead market coupling between Serbia with the markets of Croatia and Bulgaria;</w:t>
      </w:r>
    </w:p>
    <w:p w14:paraId="7AB30021" w14:textId="77777777" w:rsidR="00927A32" w:rsidRPr="00A33AE8" w:rsidRDefault="00927A32" w:rsidP="008F3D7A">
      <w:pPr>
        <w:pStyle w:val="LDKBullets-main"/>
        <w:spacing w:after="160"/>
        <w:ind w:left="357" w:hanging="357"/>
      </w:pPr>
      <w:r w:rsidRPr="00A33AE8">
        <w:t>Day ahead market coupling between Serbia with the Montenegrin market (and, implicitly, with the Italian market).</w:t>
      </w:r>
    </w:p>
    <w:p w14:paraId="4018EA66" w14:textId="24353B32" w:rsidR="00DA0D9E" w:rsidRPr="00A33AE8" w:rsidRDefault="00DA0D9E" w:rsidP="008F3D7A">
      <w:pPr>
        <w:pStyle w:val="LDKBullets-main"/>
        <w:numPr>
          <w:ilvl w:val="0"/>
          <w:numId w:val="0"/>
        </w:numPr>
        <w:spacing w:after="160"/>
      </w:pPr>
      <w:bookmarkStart w:id="377" w:name="_Ref113481288"/>
      <w:r w:rsidRPr="00A33AE8">
        <w:t>The estimation of evolution of the average electricity supply cost for the scenario with existing measures based on the expected development is shown in</w:t>
      </w:r>
      <w:r w:rsidR="00D92E13">
        <w:t xml:space="preserve"> </w:t>
      </w:r>
      <w:r w:rsidR="00D92E13">
        <w:fldChar w:fldCharType="begin"/>
      </w:r>
      <w:r w:rsidR="00D92E13">
        <w:instrText xml:space="preserve"> REF _Ref153465953 \h </w:instrText>
      </w:r>
      <w:r w:rsidR="00D92E13">
        <w:fldChar w:fldCharType="separate"/>
      </w:r>
      <w:r w:rsidR="00D92E13">
        <w:t xml:space="preserve">Figure </w:t>
      </w:r>
      <w:r w:rsidR="00D92E13">
        <w:rPr>
          <w:noProof/>
        </w:rPr>
        <w:t>4</w:t>
      </w:r>
      <w:r w:rsidR="00D92E13">
        <w:t>.</w:t>
      </w:r>
      <w:r w:rsidR="00D92E13">
        <w:rPr>
          <w:noProof/>
        </w:rPr>
        <w:t>60</w:t>
      </w:r>
      <w:r w:rsidR="00D92E13">
        <w:fldChar w:fldCharType="end"/>
      </w:r>
      <w:r w:rsidR="00FB7E28">
        <w:t>.</w:t>
      </w:r>
      <w:r w:rsidRPr="00A33AE8">
        <w:t xml:space="preserve"> The estimation of these costs involved an analysis of the foreseeable investments pertinent </w:t>
      </w:r>
      <w:r w:rsidR="0016563B" w:rsidRPr="00A33AE8">
        <w:t>to the</w:t>
      </w:r>
      <w:r w:rsidRPr="00A33AE8">
        <w:t xml:space="preserve"> construction of new power plants, as well as projections and assumptions on the fuel costs and other operating costs of all power plants. The estimate does not include the annuities of plants that are already in operation</w:t>
      </w:r>
      <w:r w:rsidR="000313A4" w:rsidRPr="00A33AE8">
        <w:t xml:space="preserve"> and does not include any carbon price, since this is not considered in the WEM analysis</w:t>
      </w:r>
      <w:r w:rsidRPr="00A33AE8">
        <w:t>.</w:t>
      </w:r>
    </w:p>
    <w:p w14:paraId="762DED89" w14:textId="47496F04" w:rsidR="00D92E13" w:rsidRDefault="00D92E13" w:rsidP="0087794A">
      <w:pPr>
        <w:pStyle w:val="Caption"/>
        <w:keepNext/>
        <w:jc w:val="center"/>
      </w:pPr>
      <w:bookmarkStart w:id="378" w:name="_Ref153465953"/>
      <w:bookmarkStart w:id="379" w:name="_Toc154575267"/>
      <w:bookmarkEnd w:id="377"/>
      <w:r>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60</w:t>
      </w:r>
      <w:r w:rsidR="006E0533">
        <w:rPr>
          <w:noProof/>
        </w:rPr>
        <w:fldChar w:fldCharType="end"/>
      </w:r>
      <w:bookmarkEnd w:id="378"/>
      <w:r>
        <w:t xml:space="preserve">: </w:t>
      </w:r>
      <w:r w:rsidRPr="00D92E13">
        <w:t>Estimated average electricity supply cost in the scenario with existing measures (WEM)</w:t>
      </w:r>
      <w:bookmarkEnd w:id="379"/>
    </w:p>
    <w:p w14:paraId="1E9D38C0" w14:textId="3DC39BAC" w:rsidR="00F774FA" w:rsidRDefault="00DB73D4" w:rsidP="0087794A">
      <w:pPr>
        <w:jc w:val="center"/>
      </w:pPr>
      <w:r w:rsidRPr="000007D2">
        <w:rPr>
          <w:noProof/>
          <w:lang w:val="en-US"/>
        </w:rPr>
        <w:drawing>
          <wp:inline distT="0" distB="0" distL="0" distR="0" wp14:anchorId="45FD9B22" wp14:editId="2D354936">
            <wp:extent cx="5414010" cy="2889885"/>
            <wp:effectExtent l="0" t="0" r="0" b="5715"/>
            <wp:docPr id="406751841" name="Picture 40675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14010" cy="2889885"/>
                    </a:xfrm>
                    <a:prstGeom prst="rect">
                      <a:avLst/>
                    </a:prstGeom>
                    <a:noFill/>
                  </pic:spPr>
                </pic:pic>
              </a:graphicData>
            </a:graphic>
          </wp:inline>
        </w:drawing>
      </w:r>
    </w:p>
    <w:p w14:paraId="1096E5FC" w14:textId="77777777" w:rsidR="00DA0D9E" w:rsidRPr="00A33AE8" w:rsidRDefault="00DA0D9E" w:rsidP="00DA0D9E">
      <w:pPr>
        <w:pStyle w:val="LDKBody1"/>
      </w:pPr>
      <w:r w:rsidRPr="00A33AE8">
        <w:t>Natural gas sector in Serbia is expected to undergo a reform of the wholesale market with a view to foster competition, establish of a natural gas exchange and unbundle the supply from distribution activities.</w:t>
      </w:r>
    </w:p>
    <w:p w14:paraId="0801ABEC" w14:textId="77777777" w:rsidR="008F3D7A" w:rsidRPr="00A33AE8" w:rsidRDefault="00D54F5F" w:rsidP="00DA0D9E">
      <w:pPr>
        <w:pStyle w:val="LDKBody1"/>
      </w:pPr>
      <w:r w:rsidRPr="00A33AE8">
        <w:t xml:space="preserve">In </w:t>
      </w:r>
      <w:r w:rsidR="00DA0D9E" w:rsidRPr="00A33AE8">
        <w:t xml:space="preserve">respect to natural gas price development projections, the average annual import prices are shown in the following figure. </w:t>
      </w:r>
      <w:r w:rsidR="00AB01E9">
        <w:rPr>
          <w:rFonts w:asciiTheme="majorHAnsi" w:hAnsiTheme="majorHAnsi" w:cstheme="majorHAnsi"/>
        </w:rPr>
        <w:t xml:space="preserve">The </w:t>
      </w:r>
      <w:r w:rsidR="0008649A" w:rsidRPr="00A33AE8">
        <w:rPr>
          <w:rFonts w:asciiTheme="majorHAnsi" w:hAnsiTheme="majorHAnsi" w:cstheme="majorHAnsi"/>
        </w:rPr>
        <w:t>projections of international gas</w:t>
      </w:r>
      <w:r w:rsidR="00DA0D9E" w:rsidRPr="00A33AE8">
        <w:rPr>
          <w:rFonts w:asciiTheme="majorHAnsi" w:hAnsiTheme="majorHAnsi"/>
        </w:rPr>
        <w:t xml:space="preserve"> prices </w:t>
      </w:r>
      <w:r w:rsidR="0008649A" w:rsidRPr="000007D2">
        <w:rPr>
          <w:rFonts w:asciiTheme="majorHAnsi" w:hAnsiTheme="majorHAnsi" w:cstheme="majorHAnsi"/>
        </w:rPr>
        <w:t xml:space="preserve">follows </w:t>
      </w:r>
      <w:r w:rsidR="0008649A" w:rsidRPr="00A33AE8">
        <w:rPr>
          <w:rFonts w:asciiTheme="majorHAnsi" w:hAnsiTheme="majorHAnsi" w:cstheme="majorHAnsi"/>
        </w:rPr>
        <w:t xml:space="preserve">the “Recommended parameters </w:t>
      </w:r>
      <w:r w:rsidR="00DA0D9E" w:rsidRPr="00A33AE8">
        <w:rPr>
          <w:rFonts w:asciiTheme="majorHAnsi" w:hAnsiTheme="majorHAnsi"/>
        </w:rPr>
        <w:t xml:space="preserve">for </w:t>
      </w:r>
      <w:r w:rsidR="0008649A" w:rsidRPr="00A33AE8">
        <w:rPr>
          <w:rFonts w:asciiTheme="majorHAnsi" w:hAnsiTheme="majorHAnsi" w:cstheme="majorHAnsi"/>
        </w:rPr>
        <w:t>reporting on GHG projections in 2023” by EC DG Climate Action</w:t>
      </w:r>
      <w:r w:rsidR="00DA0D9E" w:rsidRPr="00A33AE8">
        <w:rPr>
          <w:rFonts w:asciiTheme="majorHAnsi" w:hAnsiTheme="majorHAnsi"/>
        </w:rPr>
        <w:t xml:space="preserve"> which </w:t>
      </w:r>
      <w:r w:rsidR="0008649A" w:rsidRPr="00A33AE8">
        <w:rPr>
          <w:rFonts w:asciiTheme="majorHAnsi" w:hAnsiTheme="majorHAnsi" w:cstheme="majorHAnsi"/>
        </w:rPr>
        <w:t>was provided by the EC in order to support Member States and other bodies (e.g.</w:t>
      </w:r>
      <w:r w:rsidR="00DA0D9E" w:rsidRPr="00A33AE8">
        <w:rPr>
          <w:rFonts w:asciiTheme="majorHAnsi" w:hAnsiTheme="majorHAnsi"/>
        </w:rPr>
        <w:t xml:space="preserve"> the </w:t>
      </w:r>
      <w:r w:rsidR="0008649A" w:rsidRPr="00A33AE8">
        <w:rPr>
          <w:rFonts w:asciiTheme="majorHAnsi" w:hAnsiTheme="majorHAnsi" w:cstheme="majorHAnsi"/>
        </w:rPr>
        <w:t xml:space="preserve">EnC Secretariat) to revise their </w:t>
      </w:r>
      <w:r w:rsidR="00730A10">
        <w:rPr>
          <w:rFonts w:asciiTheme="majorHAnsi" w:hAnsiTheme="majorHAnsi" w:cstheme="majorHAnsi"/>
        </w:rPr>
        <w:t>I</w:t>
      </w:r>
      <w:r w:rsidR="0008649A" w:rsidRPr="00A33AE8">
        <w:rPr>
          <w:rFonts w:asciiTheme="majorHAnsi" w:hAnsiTheme="majorHAnsi" w:cstheme="majorHAnsi"/>
        </w:rPr>
        <w:t>NECPs</w:t>
      </w:r>
      <w:r w:rsidR="00DA0D9E" w:rsidRPr="00A33AE8">
        <w:t>.</w:t>
      </w:r>
    </w:p>
    <w:p w14:paraId="432D3920" w14:textId="5D0D0B38" w:rsidR="00A0633D" w:rsidRPr="00A33AE8" w:rsidRDefault="00A0633D" w:rsidP="005B2C66">
      <w:pPr>
        <w:pStyle w:val="Caption"/>
      </w:pPr>
      <w:bookmarkStart w:id="380" w:name="_Toc118992331"/>
      <w:bookmarkStart w:id="381" w:name="_Toc154575268"/>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61</w:t>
      </w:r>
      <w:r w:rsidR="006E0533">
        <w:rPr>
          <w:noProof/>
        </w:rPr>
        <w:fldChar w:fldCharType="end"/>
      </w:r>
      <w:r w:rsidRPr="00A33AE8">
        <w:t>:</w:t>
      </w:r>
      <w:r w:rsidR="00927A32" w:rsidRPr="00A33AE8">
        <w:t xml:space="preserve"> Natural gas average annual import prices</w:t>
      </w:r>
      <w:bookmarkEnd w:id="380"/>
      <w:r w:rsidR="00913221" w:rsidRPr="00913221">
        <w:t xml:space="preserve"> in the scenario with existing measures (WEM)</w:t>
      </w:r>
      <w:bookmarkEnd w:id="381"/>
    </w:p>
    <w:p w14:paraId="39EC7E43" w14:textId="58EADF1B" w:rsidR="00F774FA" w:rsidRDefault="000830A3" w:rsidP="00D92E13">
      <w:pPr>
        <w:jc w:val="center"/>
      </w:pPr>
      <w:r w:rsidRPr="000007D2">
        <w:rPr>
          <w:noProof/>
          <w:lang w:val="en-US"/>
        </w:rPr>
        <w:drawing>
          <wp:inline distT="0" distB="0" distL="0" distR="0" wp14:anchorId="3B6E4F41" wp14:editId="11E34330">
            <wp:extent cx="5450205" cy="2536190"/>
            <wp:effectExtent l="0" t="0" r="0" b="0"/>
            <wp:docPr id="1366895671" name="Picture 136689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50205" cy="2536190"/>
                    </a:xfrm>
                    <a:prstGeom prst="rect">
                      <a:avLst/>
                    </a:prstGeom>
                    <a:noFill/>
                  </pic:spPr>
                </pic:pic>
              </a:graphicData>
            </a:graphic>
          </wp:inline>
        </w:drawing>
      </w:r>
    </w:p>
    <w:p w14:paraId="40B4A4C9" w14:textId="77777777" w:rsidR="00F774FA" w:rsidRPr="00AB01E9" w:rsidRDefault="00F774FA" w:rsidP="00884F3B">
      <w:pPr>
        <w:pStyle w:val="Heading4"/>
        <w:numPr>
          <w:ilvl w:val="0"/>
          <w:numId w:val="35"/>
        </w:numPr>
        <w:jc w:val="both"/>
      </w:pPr>
      <w:r w:rsidRPr="00AB01E9">
        <w:t>Breakdown of current price elements that make up the main three price components</w:t>
      </w:r>
    </w:p>
    <w:p w14:paraId="6D2281B1" w14:textId="77777777" w:rsidR="00F774FA" w:rsidRPr="00A33AE8" w:rsidRDefault="00F774FA" w:rsidP="00F774FA">
      <w:pPr>
        <w:pStyle w:val="LDKbody"/>
        <w:rPr>
          <w:rFonts w:asciiTheme="majorHAnsi" w:hAnsiTheme="majorHAnsi" w:cstheme="majorHAnsi"/>
          <w:b/>
          <w:lang w:val="en-GB"/>
        </w:rPr>
      </w:pPr>
      <w:bookmarkStart w:id="382" w:name="_heading=h.261ztfg" w:colFirst="0" w:colLast="0"/>
      <w:bookmarkStart w:id="383" w:name="_heading=h.l7a3n9" w:colFirst="0" w:colLast="0"/>
      <w:bookmarkStart w:id="384" w:name="_heading=h.356xmb2" w:colFirst="0" w:colLast="0"/>
      <w:bookmarkStart w:id="385" w:name="_heading=h.1kc7wiv" w:colFirst="0" w:colLast="0"/>
      <w:bookmarkEnd w:id="382"/>
      <w:bookmarkEnd w:id="383"/>
      <w:bookmarkEnd w:id="384"/>
      <w:bookmarkEnd w:id="385"/>
      <w:r w:rsidRPr="00A33AE8">
        <w:rPr>
          <w:rFonts w:asciiTheme="majorHAnsi" w:hAnsiTheme="majorHAnsi" w:cstheme="majorHAnsi"/>
          <w:b/>
          <w:lang w:val="en-GB"/>
        </w:rPr>
        <w:t>Electricity</w:t>
      </w:r>
    </w:p>
    <w:p w14:paraId="5FD658DD" w14:textId="457E00ED" w:rsidR="00F774FA" w:rsidRPr="00A33AE8" w:rsidRDefault="00F774FA" w:rsidP="00F774FA">
      <w:pPr>
        <w:pStyle w:val="LDKbody"/>
        <w:rPr>
          <w:rFonts w:asciiTheme="majorHAnsi" w:hAnsiTheme="majorHAnsi" w:cstheme="majorHAnsi"/>
          <w:lang w:val="en-GB"/>
        </w:rPr>
      </w:pPr>
      <w:r w:rsidRPr="00A33AE8">
        <w:rPr>
          <w:rFonts w:asciiTheme="majorHAnsi" w:hAnsiTheme="majorHAnsi" w:cstheme="majorHAnsi"/>
          <w:bCs/>
          <w:lang w:val="en-GB"/>
        </w:rPr>
        <w:t xml:space="preserve">Based on the </w:t>
      </w:r>
      <w:r w:rsidRPr="000007D2">
        <w:rPr>
          <w:lang w:val="en-GB"/>
        </w:rPr>
        <w:t>Methodology for determining price of power for guaranteed supply</w:t>
      </w:r>
      <w:r w:rsidRPr="00A33AE8">
        <w:rPr>
          <w:rFonts w:asciiTheme="majorHAnsi" w:hAnsiTheme="majorHAnsi" w:cstheme="majorHAnsi"/>
          <w:bCs/>
          <w:lang w:val="en-GB"/>
        </w:rPr>
        <w:t xml:space="preserve"> from the Energy Agency of the Republic of Serbia, the structure of the price of electricity consists of the fixed part and the consumption-based part, varying depending on the consumer type and category. </w:t>
      </w:r>
      <w:r w:rsidRPr="00A33AE8">
        <w:rPr>
          <w:rFonts w:asciiTheme="majorHAnsi" w:hAnsiTheme="majorHAnsi" w:cstheme="majorHAnsi"/>
          <w:lang w:val="en-GB"/>
        </w:rPr>
        <w:t xml:space="preserve">Electricity tariff for public supply prescribes three consumer categories – low voltage consumption, households and public lighting. In case of low voltage consumption category, </w:t>
      </w:r>
      <w:r w:rsidRPr="000007D2">
        <w:rPr>
          <w:rFonts w:asciiTheme="majorHAnsi" w:hAnsiTheme="majorHAnsi" w:cstheme="majorHAnsi"/>
          <w:lang w:val="en-GB"/>
        </w:rPr>
        <w:t>cust</w:t>
      </w:r>
      <w:r w:rsidRPr="00A33AE8">
        <w:rPr>
          <w:rFonts w:asciiTheme="majorHAnsi" w:hAnsiTheme="majorHAnsi" w:cstheme="majorHAnsi"/>
          <w:lang w:val="en-GB"/>
        </w:rPr>
        <w:t>omers are obliged to pay public supplier charges which is fixed part, and consumption-based part for calculated and excessive power, reactive and excessive reactive energy, as well as active energy which are divided in high daily tariff and low daily tariff.</w:t>
      </w:r>
    </w:p>
    <w:p w14:paraId="3D1BEFFA" w14:textId="0DF65014" w:rsidR="00F774FA" w:rsidRPr="00A33AE8" w:rsidRDefault="00F774FA" w:rsidP="00F774FA">
      <w:pPr>
        <w:pStyle w:val="LDKbody"/>
        <w:rPr>
          <w:rFonts w:asciiTheme="majorHAnsi" w:hAnsiTheme="majorHAnsi" w:cstheme="majorHAnsi"/>
          <w:lang w:val="en-GB"/>
        </w:rPr>
      </w:pPr>
      <w:r w:rsidRPr="00A33AE8">
        <w:rPr>
          <w:rFonts w:asciiTheme="majorHAnsi" w:hAnsiTheme="majorHAnsi" w:cstheme="majorHAnsi"/>
          <w:bCs/>
          <w:lang w:val="en-GB"/>
        </w:rPr>
        <w:lastRenderedPageBreak/>
        <w:t xml:space="preserve">In case of households, the fixed part includes public supplier charges, while consumption-based part includes active energy and calculated power. Electricity consumed has several categories, based on metering principles - one-tariff metering, two-tariff metering, controlled consumption and controlled consumption with specific metering. </w:t>
      </w:r>
      <w:r w:rsidRPr="00A33AE8">
        <w:rPr>
          <w:rFonts w:asciiTheme="majorHAnsi" w:hAnsiTheme="majorHAnsi" w:cstheme="majorHAnsi"/>
          <w:lang w:val="en-GB"/>
        </w:rPr>
        <w:t>The higher and lower tariff are differently calculated depending on part of country. Serbia is divided into three zones - Vojvodina, Belgrade and Central Serbia. Thus, the lower tariff applies in in period 22.00h – 06.00h for Central Serbia, in period 23.00h – 07.00h for Vojvodina, and in period 24.00h – 08.00h for Belgrade. Furthermore, electricity consumed is calculated as per three different pricing zones – green, blue and red. Those pricing zones define level of consumption, where green zone is up to 350 kWh, blue 351 - 1,600 kWh and red over 1,600 kWh.</w:t>
      </w:r>
    </w:p>
    <w:p w14:paraId="73D20D8D" w14:textId="3D6AC9C9" w:rsidR="00F774FA" w:rsidRPr="00A33AE8" w:rsidRDefault="00F774FA" w:rsidP="00F774FA">
      <w:pPr>
        <w:pStyle w:val="LDKbody"/>
        <w:rPr>
          <w:rFonts w:asciiTheme="majorHAnsi" w:hAnsiTheme="majorHAnsi" w:cstheme="majorHAnsi"/>
          <w:bCs/>
          <w:lang w:val="en-GB"/>
        </w:rPr>
      </w:pPr>
      <w:r w:rsidRPr="00A33AE8">
        <w:rPr>
          <w:rFonts w:asciiTheme="majorHAnsi" w:hAnsiTheme="majorHAnsi" w:cstheme="majorHAnsi"/>
          <w:lang w:val="en-GB"/>
        </w:rPr>
        <w:t xml:space="preserve">When it comes to other elements, both fee for incentive of privileged electricity producers and fee for improvement of energy efficiency are applied as unit price in relation to consumption, as defined in Decree on the Amount of the Fee for Incentives for Privileged Electricity Producers and </w:t>
      </w:r>
      <w:r>
        <w:rPr>
          <w:rFonts w:asciiTheme="majorHAnsi" w:hAnsiTheme="majorHAnsi" w:cstheme="majorHAnsi"/>
          <w:lang w:val="en-GB"/>
        </w:rPr>
        <w:t>n</w:t>
      </w:r>
      <w:r w:rsidRPr="00A33AE8">
        <w:rPr>
          <w:rFonts w:asciiTheme="majorHAnsi" w:hAnsiTheme="majorHAnsi" w:cstheme="majorHAnsi"/>
          <w:lang w:val="en-GB"/>
        </w:rPr>
        <w:t xml:space="preserve">ew Law on Fees for use of Public Goods. </w:t>
      </w:r>
      <w:r w:rsidRPr="00A33AE8">
        <w:rPr>
          <w:rFonts w:asciiTheme="majorHAnsi" w:hAnsiTheme="majorHAnsi" w:cstheme="majorHAnsi"/>
          <w:bCs/>
          <w:lang w:val="en-GB"/>
        </w:rPr>
        <w:t>Finally, pricing includes excise tax (7.5%) and VAT (20%) as well.</w:t>
      </w:r>
    </w:p>
    <w:p w14:paraId="5C5EE237" w14:textId="44CBF88A" w:rsidR="00F774FA" w:rsidRPr="00A33AE8" w:rsidRDefault="00F774FA" w:rsidP="00F774FA">
      <w:pPr>
        <w:pStyle w:val="LDKbody"/>
        <w:rPr>
          <w:rFonts w:asciiTheme="majorHAnsi" w:hAnsiTheme="majorHAnsi" w:cstheme="majorHAnsi"/>
          <w:bCs/>
          <w:lang w:val="en-GB"/>
        </w:rPr>
      </w:pPr>
      <w:r w:rsidRPr="00A33AE8">
        <w:rPr>
          <w:rFonts w:asciiTheme="majorHAnsi" w:hAnsiTheme="majorHAnsi" w:cstheme="majorHAnsi"/>
          <w:bCs/>
          <w:lang w:val="en-GB"/>
        </w:rPr>
        <w:t>In case of industry, pricing includes part for costs related to distribution system as defined per Pricelist for access to distribution system, electricity consumed, fees for privileged producers and energy efficiency, and excise tax and VAT. The electricity consumed for industry is calculated as per contracted price.</w:t>
      </w:r>
    </w:p>
    <w:p w14:paraId="3F194BE5" w14:textId="77777777" w:rsidR="00F774FA" w:rsidRPr="00A33AE8" w:rsidRDefault="00F774FA" w:rsidP="00F774FA">
      <w:pPr>
        <w:pStyle w:val="LDKbody"/>
        <w:rPr>
          <w:rFonts w:asciiTheme="majorHAnsi" w:hAnsiTheme="majorHAnsi" w:cstheme="majorHAnsi"/>
          <w:b/>
          <w:bCs/>
          <w:lang w:val="en-GB"/>
        </w:rPr>
      </w:pPr>
      <w:r w:rsidRPr="00A33AE8">
        <w:rPr>
          <w:rFonts w:asciiTheme="majorHAnsi" w:hAnsiTheme="majorHAnsi" w:cstheme="majorHAnsi"/>
          <w:b/>
          <w:bCs/>
          <w:lang w:val="en-GB"/>
        </w:rPr>
        <w:t>Natural gas</w:t>
      </w:r>
    </w:p>
    <w:p w14:paraId="488169F5" w14:textId="77777777" w:rsidR="00F774FA" w:rsidRPr="00A33AE8" w:rsidRDefault="00F774FA" w:rsidP="00F774FA">
      <w:pPr>
        <w:pStyle w:val="LDKbody"/>
        <w:rPr>
          <w:lang w:val="en-GB"/>
        </w:rPr>
      </w:pPr>
      <w:r w:rsidRPr="00A33AE8">
        <w:rPr>
          <w:rFonts w:asciiTheme="majorHAnsi" w:hAnsiTheme="majorHAnsi" w:cstheme="majorHAnsi"/>
          <w:lang w:val="en-GB"/>
        </w:rPr>
        <w:t xml:space="preserve">Transmission system connection costs are set by TSO on the basis of elements from the connection application and on the Methodology for Setting Costs of Connection to Natural Gas Transmission and Distribution System adopted by the AERS. Distribution system connection costs are set by DSO on the basis of elements from the connection application and on the Methodology for Setting Costs of Connection to Natural Gas Transmission and Distribution System adopted </w:t>
      </w:r>
      <w:r w:rsidRPr="000007D2">
        <w:rPr>
          <w:rFonts w:asciiTheme="majorHAnsi" w:hAnsiTheme="majorHAnsi" w:cstheme="majorHAnsi"/>
          <w:lang w:val="en-GB"/>
        </w:rPr>
        <w:t xml:space="preserve">by the </w:t>
      </w:r>
      <w:r w:rsidRPr="00A33AE8">
        <w:rPr>
          <w:rFonts w:asciiTheme="majorHAnsi" w:hAnsiTheme="majorHAnsi" w:cstheme="majorHAnsi"/>
          <w:lang w:val="en-GB"/>
        </w:rPr>
        <w:t>AERS. The variation in distribution use-of-system charges with different DSOs is the result of the size and features of the distribution systems, the structure and number of customers, the age of the distribution system and other factors.</w:t>
      </w:r>
    </w:p>
    <w:p w14:paraId="27CAA6B6" w14:textId="77777777" w:rsidR="00F774FA" w:rsidRPr="00A33AE8" w:rsidRDefault="00F774FA" w:rsidP="00884F3B">
      <w:pPr>
        <w:pStyle w:val="Heading4"/>
        <w:numPr>
          <w:ilvl w:val="0"/>
          <w:numId w:val="35"/>
        </w:numPr>
      </w:pPr>
      <w:r w:rsidRPr="00AB01E9">
        <w:t>Description of energy subsidies, including for fossil fuels</w:t>
      </w:r>
    </w:p>
    <w:p w14:paraId="246A4B44" w14:textId="77777777" w:rsidR="00F774FA" w:rsidRPr="00A33AE8" w:rsidRDefault="00F774FA" w:rsidP="00F774FA">
      <w:pPr>
        <w:pStyle w:val="LDKbody"/>
        <w:rPr>
          <w:rFonts w:asciiTheme="majorHAnsi" w:hAnsiTheme="majorHAnsi" w:cstheme="majorHAnsi"/>
          <w:lang w:val="en-GB"/>
        </w:rPr>
      </w:pPr>
      <w:r w:rsidRPr="00A33AE8">
        <w:rPr>
          <w:rFonts w:asciiTheme="majorHAnsi" w:hAnsiTheme="majorHAnsi" w:cstheme="majorHAnsi"/>
          <w:lang w:val="en-GB"/>
        </w:rPr>
        <w:t>In Serbia, a system to encourage the use of renewable energy sources for the electricity production was introduced in 2009, enabling RES electricity producers to receive feed-in-tariffs for the kilowatt-hour of electricity produced, depending on the renewable energy source used and technology. Since 2021, with adoption of the Law on the Use of Renewable Energy Sources, the Decree on Market Premiums and Feed-in Tariffs and the Decree on the Model for Market Premium Agreement, Serbia set up new incentive framework in the form of premium system. In addition to the market premium, the Law on the Use of Renewable Energy Sources also envisages feed-in tariff system remaining available only for small plants and demonstration projects. The same law introduced concept of prosumers as well, enabling consumers to act as a producer and stipulating to deliver surplus to network. Furthermore, the Regulation on assuming balance responsibility and a contract model on assuming balance responsibility was formulated</w:t>
      </w:r>
      <w:r w:rsidRPr="00A33AE8">
        <w:rPr>
          <w:rStyle w:val="FootnoteReference"/>
          <w:rFonts w:asciiTheme="majorHAnsi" w:hAnsiTheme="majorHAnsi" w:cstheme="majorHAnsi"/>
        </w:rPr>
        <w:footnoteReference w:id="132"/>
      </w:r>
      <w:r w:rsidRPr="00A33AE8">
        <w:rPr>
          <w:rFonts w:asciiTheme="majorHAnsi" w:hAnsiTheme="majorHAnsi" w:cstheme="majorHAnsi"/>
          <w:lang w:val="en-GB"/>
        </w:rPr>
        <w:t>.</w:t>
      </w:r>
    </w:p>
    <w:p w14:paraId="1CD63D8E" w14:textId="77777777" w:rsidR="00F774FA" w:rsidRPr="00A33AE8" w:rsidRDefault="00F774FA" w:rsidP="00F774FA">
      <w:pPr>
        <w:pStyle w:val="LDKbody"/>
        <w:rPr>
          <w:rFonts w:asciiTheme="majorHAnsi" w:hAnsiTheme="majorHAnsi" w:cstheme="majorHAnsi"/>
          <w:lang w:val="en-GB"/>
        </w:rPr>
      </w:pPr>
      <w:r w:rsidRPr="00A33AE8">
        <w:rPr>
          <w:rFonts w:asciiTheme="majorHAnsi" w:hAnsiTheme="majorHAnsi" w:cstheme="majorHAnsi"/>
          <w:lang w:val="en-GB"/>
        </w:rPr>
        <w:t>With aim to support energy transition through energy savings, Serbia introduced households-orientated mechanism, providing subsidies for increase of energy efficiency. In cooperation with local governments, by securing funds Government stimulates citizens to invest in replacement of doors and windows, the installation of insulation, the installation of boilers and stoves using cleaner fuels, as well as the installation of solar collectors and solar panels.</w:t>
      </w:r>
    </w:p>
    <w:p w14:paraId="62043FDC" w14:textId="77777777" w:rsidR="00F774FA" w:rsidRPr="000007D2" w:rsidRDefault="00F774FA" w:rsidP="00F774FA">
      <w:pPr>
        <w:pStyle w:val="LDKbody"/>
        <w:rPr>
          <w:rFonts w:asciiTheme="majorHAnsi" w:hAnsiTheme="majorHAnsi" w:cstheme="majorHAnsi"/>
          <w:lang w:val="en-GB"/>
        </w:rPr>
      </w:pPr>
      <w:r w:rsidRPr="00A33AE8">
        <w:rPr>
          <w:rFonts w:asciiTheme="majorHAnsi" w:hAnsiTheme="majorHAnsi" w:cstheme="majorHAnsi"/>
          <w:lang w:val="en-GB"/>
        </w:rPr>
        <w:t>In 202</w:t>
      </w:r>
      <w:r w:rsidRPr="000007D2">
        <w:rPr>
          <w:rFonts w:asciiTheme="majorHAnsi" w:hAnsiTheme="majorHAnsi" w:cstheme="majorHAnsi"/>
          <w:lang w:val="en-GB"/>
        </w:rPr>
        <w:t>3</w:t>
      </w:r>
      <w:r w:rsidRPr="00A33AE8">
        <w:rPr>
          <w:rFonts w:asciiTheme="majorHAnsi" w:hAnsiTheme="majorHAnsi" w:cstheme="majorHAnsi"/>
          <w:lang w:val="en-GB"/>
        </w:rPr>
        <w:t>, Serbia adopted Decree on the conditions and the manner of carrying out a subsidized purchase of new electric and hybrid vehicles</w:t>
      </w:r>
      <w:r w:rsidRPr="00A33AE8">
        <w:rPr>
          <w:rStyle w:val="FootnoteReference"/>
          <w:rFonts w:asciiTheme="majorHAnsi" w:hAnsiTheme="majorHAnsi" w:cstheme="majorHAnsi"/>
        </w:rPr>
        <w:footnoteReference w:id="133"/>
      </w:r>
      <w:r w:rsidRPr="00A33AE8">
        <w:rPr>
          <w:rFonts w:asciiTheme="majorHAnsi" w:hAnsiTheme="majorHAnsi" w:cstheme="majorHAnsi"/>
          <w:lang w:val="en-GB"/>
        </w:rPr>
        <w:t xml:space="preserve"> which prescribes incentive scheme for purchase of new environmentally friendly vehicles - electric and hybrid, providing a subsidy which ranges from 250 euro to 5,000 euro depending on the type of vehicle. System includes five categories of vehicles, covering mopeds and light tricycles, motorbikes, passenger cars and light trucks exclusively electricity-powered, vehicles running on hybrid traction </w:t>
      </w:r>
      <w:r w:rsidRPr="00A33AE8">
        <w:rPr>
          <w:rFonts w:asciiTheme="majorHAnsi" w:hAnsiTheme="majorHAnsi" w:cstheme="majorHAnsi"/>
          <w:lang w:val="en-GB"/>
        </w:rPr>
        <w:lastRenderedPageBreak/>
        <w:t xml:space="preserve">with the obligation that recharging </w:t>
      </w:r>
      <w:r w:rsidRPr="000007D2">
        <w:rPr>
          <w:rFonts w:asciiTheme="majorHAnsi" w:hAnsiTheme="majorHAnsi" w:cstheme="majorHAnsi"/>
          <w:lang w:val="en-GB"/>
        </w:rPr>
        <w:t>can</w:t>
      </w:r>
      <w:r w:rsidRPr="00A33AE8">
        <w:rPr>
          <w:rFonts w:asciiTheme="majorHAnsi" w:hAnsiTheme="majorHAnsi" w:cstheme="majorHAnsi"/>
          <w:lang w:val="en-GB"/>
        </w:rPr>
        <w:t xml:space="preserve"> be carried out from an external source of electricity, as well as electric vehicles with integrated composition to extend their range with CO2/km emissions of up to 50 g/km, and vehicles with hybrid traction which have at least one electric motor in addition to the internal combustion engine and can drive without running the internal combustion engine for a certain time and exclusively on electric traction, whereby the generation of electricity to recharge the battery is carried out inside the vehicle.</w:t>
      </w:r>
    </w:p>
    <w:p w14:paraId="5812BB81" w14:textId="77777777" w:rsidR="00F774FA" w:rsidRPr="00A33AE8" w:rsidRDefault="00F774FA" w:rsidP="00F774FA">
      <w:pPr>
        <w:pStyle w:val="LDKbody"/>
        <w:rPr>
          <w:lang w:val="en-GB"/>
        </w:rPr>
      </w:pPr>
    </w:p>
    <w:p w14:paraId="61B022DF" w14:textId="77777777" w:rsidR="00386771" w:rsidRPr="00A33AE8" w:rsidRDefault="00386771" w:rsidP="00386771">
      <w:pPr>
        <w:pStyle w:val="Heading2"/>
      </w:pPr>
      <w:bookmarkStart w:id="386" w:name="_Toc79772564"/>
      <w:bookmarkStart w:id="387" w:name="_Toc118991784"/>
      <w:bookmarkStart w:id="388" w:name="_Toc153545056"/>
      <w:r w:rsidRPr="00A33AE8">
        <w:t>Dimension Research, Innovation and Competitiveness</w:t>
      </w:r>
      <w:bookmarkEnd w:id="386"/>
      <w:bookmarkEnd w:id="387"/>
      <w:bookmarkEnd w:id="388"/>
    </w:p>
    <w:p w14:paraId="3D36AB24" w14:textId="77777777" w:rsidR="00524F38" w:rsidRPr="00A33AE8" w:rsidRDefault="00524F38" w:rsidP="00884F3B">
      <w:pPr>
        <w:pStyle w:val="Heading4"/>
        <w:numPr>
          <w:ilvl w:val="0"/>
          <w:numId w:val="38"/>
        </w:numPr>
        <w:spacing w:after="120"/>
        <w:ind w:left="714" w:hanging="357"/>
      </w:pPr>
      <w:r w:rsidRPr="00A33AE8">
        <w:t>Current situation of the low-carbon-technologies sector and its position on the global market</w:t>
      </w:r>
    </w:p>
    <w:p w14:paraId="75504DA8" w14:textId="77777777" w:rsidR="002E4C9F" w:rsidRPr="00A33AE8" w:rsidRDefault="002E4C9F" w:rsidP="00507954">
      <w:pPr>
        <w:jc w:val="both"/>
        <w:rPr>
          <w:rFonts w:asciiTheme="majorHAnsi" w:hAnsiTheme="majorHAnsi" w:cstheme="majorHAnsi"/>
        </w:rPr>
      </w:pPr>
      <w:r w:rsidRPr="00A33AE8">
        <w:rPr>
          <w:rFonts w:asciiTheme="majorHAnsi" w:hAnsiTheme="majorHAnsi" w:cstheme="majorHAnsi"/>
        </w:rPr>
        <w:t>Currently, in Serbia there are limited activities regarding R&amp;D in the energy sector and limited number of producers of low-carbon technologies. In recent years, there has been a strong focus on more extensive use of alternative sources, partly driven by environmental obligations that have provided impetus for new technological demand. Current key priorities of energy research in Serbia are energy efficiency and renewable energy, smart cities and mobility, as well as energy storage, but still, most of the companies in the energy sector are service-orientated, mainly in RES and EE. Therefore, there is a significant potential for scaling up low-carbon and energy-efficient solutions, starting from the demonstration and pivotal stage up to the market of renewable energy technologies and achieving more significant energy savings.</w:t>
      </w:r>
    </w:p>
    <w:p w14:paraId="24C00E1C" w14:textId="77777777" w:rsidR="00524F38" w:rsidRPr="00A33AE8" w:rsidRDefault="00524F38" w:rsidP="00884F3B">
      <w:pPr>
        <w:pStyle w:val="Heading4"/>
        <w:numPr>
          <w:ilvl w:val="0"/>
          <w:numId w:val="35"/>
        </w:numPr>
        <w:spacing w:after="120"/>
        <w:ind w:left="714" w:hanging="357"/>
      </w:pPr>
      <w:r w:rsidRPr="00A33AE8">
        <w:t>Current level of public and private research and innovation spending on low-carbon-technologies, current number of patents, and current number of researchers</w:t>
      </w:r>
    </w:p>
    <w:p w14:paraId="76EA072F" w14:textId="600A9BC6" w:rsidR="002E4C9F" w:rsidRPr="00A33AE8" w:rsidRDefault="002E4C9F" w:rsidP="002E4C9F">
      <w:pPr>
        <w:jc w:val="both"/>
        <w:rPr>
          <w:rFonts w:asciiTheme="majorHAnsi" w:hAnsiTheme="majorHAnsi" w:cstheme="majorHAnsi"/>
        </w:rPr>
      </w:pPr>
      <w:r w:rsidRPr="00A33AE8">
        <w:rPr>
          <w:rFonts w:asciiTheme="majorHAnsi" w:hAnsiTheme="majorHAnsi" w:cstheme="majorHAnsi"/>
        </w:rPr>
        <w:t>Total expenditures for research and development activities in 2020 amounted to 0.91% of GDP. The share of total budgetary funds for R&amp;D in GDP reached 0.46% in 2020. The largest percentage of budget funds for R&amp;D went to the government sector (64.4%), followed by the higher education sector (23%). Funds from international organizations participate with 9.3% in the total funds for financing scientific research work, the non-financial (business) sector participates with 2.1%, while 1.1% of funds were allocated for the non-profit sector. In 2020, Serbia had 335 organizations active in research and development, with majority operational within business sector, while one-third belongs to tertiary education sector.</w:t>
      </w:r>
    </w:p>
    <w:p w14:paraId="0B228D10" w14:textId="50E6581C" w:rsidR="002E4C9F" w:rsidRPr="00A33AE8" w:rsidRDefault="002E4C9F" w:rsidP="002E4C9F">
      <w:pPr>
        <w:pStyle w:val="Caption"/>
        <w:keepNext/>
      </w:pPr>
      <w:bookmarkStart w:id="389" w:name="_Toc118992332"/>
      <w:bookmarkStart w:id="390" w:name="_Toc154575269"/>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62</w:t>
      </w:r>
      <w:r w:rsidR="006E0533">
        <w:rPr>
          <w:noProof/>
        </w:rPr>
        <w:fldChar w:fldCharType="end"/>
      </w:r>
      <w:r w:rsidR="00295998" w:rsidRPr="00A33AE8">
        <w:t>:</w:t>
      </w:r>
      <w:r w:rsidRPr="00A33AE8">
        <w:t xml:space="preserve"> Breakdown of R&amp;D organizations per sector (</w:t>
      </w:r>
      <w:r w:rsidR="008E40F4" w:rsidRPr="00A33AE8">
        <w:t xml:space="preserve">source: </w:t>
      </w:r>
      <w:r w:rsidR="002B7B0C" w:rsidRPr="00A33AE8">
        <w:t>Statistical Office of the Republic of Serbia</w:t>
      </w:r>
      <w:r w:rsidRPr="00A33AE8">
        <w:t>)</w:t>
      </w:r>
      <w:bookmarkEnd w:id="389"/>
      <w:bookmarkEnd w:id="390"/>
    </w:p>
    <w:p w14:paraId="23131512" w14:textId="77777777" w:rsidR="002E4C9F" w:rsidRPr="00A33AE8" w:rsidRDefault="002E4C9F" w:rsidP="002E4C9F">
      <w:pPr>
        <w:jc w:val="center"/>
      </w:pPr>
      <w:r w:rsidRPr="000007D2">
        <w:rPr>
          <w:noProof/>
          <w:lang w:val="en-US"/>
        </w:rPr>
        <w:drawing>
          <wp:inline distT="0" distB="0" distL="0" distR="0" wp14:anchorId="0BE7E258" wp14:editId="59E30B74">
            <wp:extent cx="4830793" cy="2181860"/>
            <wp:effectExtent l="0" t="0" r="8255" b="8890"/>
            <wp:docPr id="138" name="Chart 138">
              <a:extLst xmlns:a="http://schemas.openxmlformats.org/drawingml/2006/main">
                <a:ext uri="{FF2B5EF4-FFF2-40B4-BE49-F238E27FC236}">
                  <a16:creationId xmlns:a16="http://schemas.microsoft.com/office/drawing/2014/main" id="{26BBF70B-397F-6922-6E24-774D60751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E1C1A0C" w14:textId="440DD18A" w:rsidR="002E4C9F" w:rsidRPr="00A33AE8" w:rsidRDefault="002E4C9F" w:rsidP="002E4C9F">
      <w:pPr>
        <w:jc w:val="both"/>
        <w:rPr>
          <w:rFonts w:asciiTheme="majorHAnsi" w:hAnsiTheme="majorHAnsi" w:cstheme="majorHAnsi"/>
        </w:rPr>
      </w:pPr>
      <w:r w:rsidRPr="00A33AE8">
        <w:rPr>
          <w:rFonts w:asciiTheme="majorHAnsi" w:hAnsiTheme="majorHAnsi" w:cstheme="majorHAnsi"/>
        </w:rPr>
        <w:t xml:space="preserve">Looking at fields of science, most of organizations are focused on engineering and technology (128), together with social sciences (72) and natural sciences (63). Detailed breakdown is presented in </w:t>
      </w:r>
      <w:r w:rsidRPr="00A33AE8">
        <w:fldChar w:fldCharType="begin"/>
      </w:r>
      <w:r w:rsidRPr="00A33AE8">
        <w:instrText xml:space="preserve"> REF _Ref113537041 \h  \* MERGEFORMAT </w:instrText>
      </w:r>
      <w:r w:rsidRPr="00A33AE8">
        <w:fldChar w:fldCharType="separate"/>
      </w:r>
      <w:r w:rsidR="00D45204" w:rsidRPr="00A33AE8">
        <w:rPr>
          <w:rFonts w:asciiTheme="majorHAnsi" w:hAnsiTheme="majorHAnsi" w:cstheme="majorHAnsi"/>
        </w:rPr>
        <w:t>Figure 4.63</w:t>
      </w:r>
      <w:r w:rsidRPr="00A33AE8">
        <w:fldChar w:fldCharType="end"/>
      </w:r>
      <w:r w:rsidR="00863E32" w:rsidRPr="00A33AE8">
        <w:t xml:space="preserve"> </w:t>
      </w:r>
      <w:r w:rsidRPr="00A33AE8">
        <w:rPr>
          <w:rFonts w:asciiTheme="majorHAnsi" w:hAnsiTheme="majorHAnsi" w:cstheme="majorHAnsi"/>
        </w:rPr>
        <w:t>below</w:t>
      </w:r>
      <w:r w:rsidR="00AA18DE" w:rsidRPr="00A33AE8">
        <w:rPr>
          <w:rFonts w:asciiTheme="majorHAnsi" w:hAnsiTheme="majorHAnsi" w:cstheme="majorHAnsi"/>
        </w:rPr>
        <w:t>.</w:t>
      </w:r>
    </w:p>
    <w:p w14:paraId="07201548" w14:textId="3FE7F4AE" w:rsidR="002E4C9F" w:rsidRPr="00A33AE8" w:rsidRDefault="002E4C9F" w:rsidP="002E4C9F">
      <w:pPr>
        <w:pStyle w:val="Caption"/>
        <w:keepNext/>
      </w:pPr>
      <w:bookmarkStart w:id="391" w:name="_Ref113537041"/>
      <w:bookmarkStart w:id="392" w:name="_Toc118992333"/>
      <w:bookmarkStart w:id="393" w:name="_Toc154575270"/>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63</w:t>
      </w:r>
      <w:r w:rsidR="006E0533">
        <w:rPr>
          <w:noProof/>
        </w:rPr>
        <w:fldChar w:fldCharType="end"/>
      </w:r>
      <w:bookmarkEnd w:id="391"/>
      <w:r w:rsidR="00295998" w:rsidRPr="00A33AE8">
        <w:t>:</w:t>
      </w:r>
      <w:r w:rsidRPr="00A33AE8">
        <w:t xml:space="preserve"> Breakdown of R&amp;D organizations per fields of science (</w:t>
      </w:r>
      <w:r w:rsidR="008E40F4" w:rsidRPr="00A33AE8">
        <w:t xml:space="preserve">source: </w:t>
      </w:r>
      <w:r w:rsidR="002B7B0C" w:rsidRPr="00A33AE8">
        <w:t>Statistical Office of the Republic of Serbia</w:t>
      </w:r>
      <w:r w:rsidRPr="00A33AE8">
        <w:t>)</w:t>
      </w:r>
      <w:bookmarkEnd w:id="392"/>
      <w:bookmarkEnd w:id="393"/>
    </w:p>
    <w:p w14:paraId="6038122E" w14:textId="77777777" w:rsidR="002E4C9F" w:rsidRPr="00A33AE8" w:rsidRDefault="002E4C9F" w:rsidP="002E4C9F">
      <w:pPr>
        <w:jc w:val="center"/>
      </w:pPr>
      <w:r w:rsidRPr="000007D2">
        <w:rPr>
          <w:noProof/>
          <w:lang w:val="en-US"/>
        </w:rPr>
        <w:drawing>
          <wp:inline distT="0" distB="0" distL="0" distR="0" wp14:anchorId="763B57E6" wp14:editId="5DA80EEF">
            <wp:extent cx="4572000" cy="2743200"/>
            <wp:effectExtent l="0" t="0" r="0" b="0"/>
            <wp:docPr id="141" name="Chart 141">
              <a:extLst xmlns:a="http://schemas.openxmlformats.org/drawingml/2006/main">
                <a:ext uri="{FF2B5EF4-FFF2-40B4-BE49-F238E27FC236}">
                  <a16:creationId xmlns:a16="http://schemas.microsoft.com/office/drawing/2014/main" id="{2F876462-0457-F14B-18E8-A01A52F81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21E54D6" w14:textId="5CAF5662" w:rsidR="002E4C9F" w:rsidRPr="00A33AE8" w:rsidRDefault="002E4C9F" w:rsidP="002E4C9F">
      <w:pPr>
        <w:jc w:val="both"/>
        <w:rPr>
          <w:rFonts w:asciiTheme="majorHAnsi" w:hAnsiTheme="majorHAnsi" w:cstheme="majorHAnsi"/>
        </w:rPr>
      </w:pPr>
      <w:r w:rsidRPr="00A33AE8">
        <w:rPr>
          <w:rFonts w:asciiTheme="majorHAnsi" w:hAnsiTheme="majorHAnsi" w:cstheme="majorHAnsi"/>
        </w:rPr>
        <w:t xml:space="preserve">In 2020, Serbia had 23,524 full-time and part-time employees engaged in R&amp;D activities, with 62.4% employed in tertiary education sector, 23.5% in government sector and 14.1% in business sector. Detailed breakdown of employees per sector and field is given in </w:t>
      </w:r>
      <w:r w:rsidRPr="00A33AE8">
        <w:fldChar w:fldCharType="begin"/>
      </w:r>
      <w:r w:rsidRPr="00A33AE8">
        <w:instrText xml:space="preserve"> REF _Ref113537053 \h  \* MERGEFORMAT </w:instrText>
      </w:r>
      <w:r w:rsidRPr="00A33AE8">
        <w:fldChar w:fldCharType="separate"/>
      </w:r>
      <w:r w:rsidR="00D45204" w:rsidRPr="00A33AE8">
        <w:rPr>
          <w:rFonts w:asciiTheme="majorHAnsi" w:hAnsiTheme="majorHAnsi" w:cstheme="majorHAnsi"/>
        </w:rPr>
        <w:t>Figure 4.64</w:t>
      </w:r>
      <w:r w:rsidRPr="00A33AE8">
        <w:fldChar w:fldCharType="end"/>
      </w:r>
      <w:r w:rsidR="00FB7E28">
        <w:t xml:space="preserve"> </w:t>
      </w:r>
      <w:r w:rsidRPr="00A33AE8">
        <w:rPr>
          <w:rFonts w:asciiTheme="majorHAnsi" w:hAnsiTheme="majorHAnsi" w:cstheme="majorHAnsi"/>
        </w:rPr>
        <w:t>below.</w:t>
      </w:r>
    </w:p>
    <w:p w14:paraId="40A985AF" w14:textId="2A6C950E" w:rsidR="002E4C9F" w:rsidRPr="00A33AE8" w:rsidRDefault="002E4C9F" w:rsidP="001B1BB6">
      <w:pPr>
        <w:pStyle w:val="Caption"/>
        <w:keepNext/>
        <w:jc w:val="both"/>
      </w:pPr>
      <w:bookmarkStart w:id="394" w:name="_Ref113537053"/>
      <w:bookmarkStart w:id="395" w:name="_Toc118992334"/>
      <w:bookmarkStart w:id="396" w:name="_Toc154575271"/>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64</w:t>
      </w:r>
      <w:r w:rsidR="006E0533">
        <w:rPr>
          <w:noProof/>
        </w:rPr>
        <w:fldChar w:fldCharType="end"/>
      </w:r>
      <w:bookmarkEnd w:id="394"/>
      <w:r w:rsidR="00295998" w:rsidRPr="00A33AE8">
        <w:t>:</w:t>
      </w:r>
      <w:r w:rsidRPr="00A33AE8">
        <w:t xml:space="preserve"> Number of employees engaged in R&amp;D activities (</w:t>
      </w:r>
      <w:r w:rsidR="008E40F4" w:rsidRPr="00A33AE8">
        <w:t xml:space="preserve">source: </w:t>
      </w:r>
      <w:r w:rsidR="002B7B0C" w:rsidRPr="00A33AE8">
        <w:t>Statistical Office of the Republic of Serbia</w:t>
      </w:r>
      <w:r w:rsidRPr="00A33AE8">
        <w:t>)</w:t>
      </w:r>
      <w:bookmarkEnd w:id="395"/>
      <w:bookmarkEnd w:id="396"/>
    </w:p>
    <w:p w14:paraId="427A72A6" w14:textId="77777777" w:rsidR="002E4C9F" w:rsidRPr="00A33AE8" w:rsidRDefault="002E4C9F" w:rsidP="002E4C9F">
      <w:pPr>
        <w:jc w:val="center"/>
      </w:pPr>
      <w:r w:rsidRPr="000007D2">
        <w:rPr>
          <w:noProof/>
          <w:lang w:val="en-US"/>
        </w:rPr>
        <w:drawing>
          <wp:inline distT="0" distB="0" distL="0" distR="0" wp14:anchorId="1351D4BF" wp14:editId="455B68C5">
            <wp:extent cx="6124755" cy="2855343"/>
            <wp:effectExtent l="0" t="0" r="9525" b="2540"/>
            <wp:docPr id="148" name="Chart 148">
              <a:extLst xmlns:a="http://schemas.openxmlformats.org/drawingml/2006/main">
                <a:ext uri="{FF2B5EF4-FFF2-40B4-BE49-F238E27FC236}">
                  <a16:creationId xmlns:a16="http://schemas.microsoft.com/office/drawing/2014/main" id="{8457AEC3-3162-6273-09B3-FC084F767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E8D2F9B" w14:textId="3A859599" w:rsidR="002E4C9F" w:rsidRPr="00A33AE8" w:rsidRDefault="002E4C9F" w:rsidP="002E4C9F">
      <w:pPr>
        <w:jc w:val="both"/>
        <w:rPr>
          <w:rFonts w:asciiTheme="majorHAnsi" w:hAnsiTheme="majorHAnsi" w:cstheme="majorHAnsi"/>
        </w:rPr>
      </w:pPr>
      <w:r w:rsidRPr="00A33AE8">
        <w:rPr>
          <w:rFonts w:asciiTheme="majorHAnsi" w:hAnsiTheme="majorHAnsi" w:cstheme="majorHAnsi"/>
        </w:rPr>
        <w:t xml:space="preserve">In 2020, the basic research works have dominated (54.3%), while applied research works has significant share (29.8%), and development research works the lowest (15.9%). However, tertiary education sector has been the most productive in terms of number of research works performed (7,731 projects and studies), followed by the government sector (3,860 projects and studies). In both sectors, the basic research works were priority, 60.2% in government sector and 59.2% in tertiary education sector. Finally, business sector has been applied-focused, with 54.7% of applied research works and 34.9% of development projects and studies. </w:t>
      </w:r>
      <w:r w:rsidRPr="00A33AE8">
        <w:fldChar w:fldCharType="begin"/>
      </w:r>
      <w:r w:rsidRPr="00A33AE8">
        <w:instrText xml:space="preserve"> REF _Ref113537068 \h  \* MERGEFORMAT </w:instrText>
      </w:r>
      <w:r w:rsidRPr="00A33AE8">
        <w:fldChar w:fldCharType="separate"/>
      </w:r>
      <w:r w:rsidR="00D45204" w:rsidRPr="00A33AE8">
        <w:rPr>
          <w:rFonts w:asciiTheme="majorHAnsi" w:hAnsiTheme="majorHAnsi" w:cstheme="majorHAnsi"/>
        </w:rPr>
        <w:t>Figure 4.65</w:t>
      </w:r>
      <w:r w:rsidRPr="00A33AE8">
        <w:fldChar w:fldCharType="end"/>
      </w:r>
      <w:r w:rsidR="00FB7E28">
        <w:t xml:space="preserve"> </w:t>
      </w:r>
      <w:r w:rsidRPr="00A33AE8">
        <w:rPr>
          <w:rFonts w:asciiTheme="majorHAnsi" w:hAnsiTheme="majorHAnsi" w:cstheme="majorHAnsi"/>
        </w:rPr>
        <w:t>below presents country-level breakdown of research works per type and field.</w:t>
      </w:r>
    </w:p>
    <w:p w14:paraId="39683D54" w14:textId="13A00D2D" w:rsidR="002E4C9F" w:rsidRPr="00A33AE8" w:rsidRDefault="002E4C9F" w:rsidP="001B1BB6">
      <w:pPr>
        <w:pStyle w:val="Caption"/>
        <w:keepNext/>
        <w:jc w:val="both"/>
      </w:pPr>
      <w:bookmarkStart w:id="397" w:name="_Ref113537068"/>
      <w:bookmarkStart w:id="398" w:name="_Toc118992335"/>
      <w:bookmarkStart w:id="399" w:name="_Toc154575272"/>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65</w:t>
      </w:r>
      <w:r w:rsidR="006E0533">
        <w:rPr>
          <w:noProof/>
        </w:rPr>
        <w:fldChar w:fldCharType="end"/>
      </w:r>
      <w:bookmarkEnd w:id="397"/>
      <w:r w:rsidR="00295998" w:rsidRPr="00A33AE8">
        <w:t>:</w:t>
      </w:r>
      <w:r w:rsidRPr="00A33AE8">
        <w:t xml:space="preserve"> Breakdown of research works by fields of science and type (</w:t>
      </w:r>
      <w:r w:rsidR="008E40F4" w:rsidRPr="00A33AE8">
        <w:t xml:space="preserve">source: </w:t>
      </w:r>
      <w:r w:rsidR="002B7B0C" w:rsidRPr="00A33AE8">
        <w:t>Statistical Office of the Republic of Serbia</w:t>
      </w:r>
      <w:r w:rsidRPr="00A33AE8">
        <w:t>)</w:t>
      </w:r>
      <w:bookmarkEnd w:id="398"/>
      <w:bookmarkEnd w:id="399"/>
    </w:p>
    <w:p w14:paraId="6F058845" w14:textId="77777777" w:rsidR="002E4C9F" w:rsidRPr="00A33AE8" w:rsidRDefault="002E4C9F" w:rsidP="002E4C9F">
      <w:pPr>
        <w:jc w:val="center"/>
      </w:pPr>
      <w:r w:rsidRPr="000007D2">
        <w:rPr>
          <w:noProof/>
          <w:lang w:val="en-US"/>
        </w:rPr>
        <w:drawing>
          <wp:inline distT="0" distB="0" distL="0" distR="0" wp14:anchorId="5ECF2F0C" wp14:editId="4D4CC543">
            <wp:extent cx="6124131" cy="3795395"/>
            <wp:effectExtent l="0" t="0" r="10160" b="14605"/>
            <wp:docPr id="154" name="Chart 154">
              <a:extLst xmlns:a="http://schemas.openxmlformats.org/drawingml/2006/main">
                <a:ext uri="{FF2B5EF4-FFF2-40B4-BE49-F238E27FC236}">
                  <a16:creationId xmlns:a16="http://schemas.microsoft.com/office/drawing/2014/main" id="{E541ADEB-C1A0-5F71-7558-6671180A8C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249A738" w14:textId="06A02B57" w:rsidR="002E4C9F" w:rsidRPr="00A33AE8" w:rsidRDefault="002E4C9F" w:rsidP="002E4C9F">
      <w:pPr>
        <w:jc w:val="both"/>
        <w:rPr>
          <w:rFonts w:asciiTheme="majorHAnsi" w:hAnsiTheme="majorHAnsi" w:cstheme="majorHAnsi"/>
        </w:rPr>
      </w:pPr>
      <w:r w:rsidRPr="00A33AE8">
        <w:rPr>
          <w:rFonts w:asciiTheme="majorHAnsi" w:hAnsiTheme="majorHAnsi" w:cstheme="majorHAnsi"/>
        </w:rPr>
        <w:t xml:space="preserve">As per official statistics, there were 21,877 enterprises in 2020, of which 84% are large enterprises, 13% medium enterprises and 3% small enterprises. The share of those business entities with at least one type of innovation is 54.79%. More than 69% of large business entities are innovative, about 58% of medium-sized business entities and about 54% small business entities. </w:t>
      </w:r>
      <w:r w:rsidRPr="00A33AE8">
        <w:fldChar w:fldCharType="begin"/>
      </w:r>
      <w:r w:rsidRPr="00A33AE8">
        <w:instrText xml:space="preserve"> REF _Ref113537082 \h  \* MERGEFORMAT </w:instrText>
      </w:r>
      <w:r w:rsidRPr="00A33AE8">
        <w:fldChar w:fldCharType="separate"/>
      </w:r>
      <w:r w:rsidR="00D45204" w:rsidRPr="00A33AE8">
        <w:rPr>
          <w:rFonts w:asciiTheme="majorHAnsi" w:hAnsiTheme="majorHAnsi" w:cstheme="majorHAnsi"/>
        </w:rPr>
        <w:t>Figure 4.66</w:t>
      </w:r>
      <w:r w:rsidRPr="00A33AE8">
        <w:fldChar w:fldCharType="end"/>
      </w:r>
      <w:r w:rsidR="00FF12E3" w:rsidRPr="00A33AE8">
        <w:t xml:space="preserve"> </w:t>
      </w:r>
      <w:r w:rsidRPr="00A33AE8">
        <w:rPr>
          <w:rFonts w:asciiTheme="majorHAnsi" w:hAnsiTheme="majorHAnsi" w:cstheme="majorHAnsi"/>
        </w:rPr>
        <w:t>below presents breakdown of innovative enterprises per sector.</w:t>
      </w:r>
    </w:p>
    <w:p w14:paraId="1EA0D567" w14:textId="705A6979" w:rsidR="002E4C9F" w:rsidRPr="00A33AE8" w:rsidRDefault="002E4C9F" w:rsidP="002E4C9F">
      <w:pPr>
        <w:pStyle w:val="Caption"/>
        <w:keepNext/>
        <w:jc w:val="both"/>
      </w:pPr>
      <w:bookmarkStart w:id="400" w:name="_Ref113537082"/>
      <w:bookmarkStart w:id="401" w:name="_Toc118992336"/>
      <w:bookmarkStart w:id="402" w:name="_Toc154575273"/>
      <w:r w:rsidRPr="00A33AE8">
        <w:t xml:space="preserve">Figure </w:t>
      </w:r>
      <w:r w:rsidR="006E0533">
        <w:fldChar w:fldCharType="begin"/>
      </w:r>
      <w:r w:rsidR="006E0533">
        <w:instrText xml:space="preserve"> STYLEREF 1 \s </w:instrText>
      </w:r>
      <w:r w:rsidR="006E0533">
        <w:fldChar w:fldCharType="separate"/>
      </w:r>
      <w:r w:rsidR="00B62877">
        <w:rPr>
          <w:noProof/>
        </w:rPr>
        <w:t>4</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66</w:t>
      </w:r>
      <w:r w:rsidR="006E0533">
        <w:rPr>
          <w:noProof/>
        </w:rPr>
        <w:fldChar w:fldCharType="end"/>
      </w:r>
      <w:bookmarkEnd w:id="400"/>
      <w:r w:rsidR="00295998" w:rsidRPr="00A33AE8">
        <w:t>:</w:t>
      </w:r>
      <w:r w:rsidRPr="00A33AE8">
        <w:t xml:space="preserve"> Breakdown of innovative enterprises per industry</w:t>
      </w:r>
      <w:r w:rsidR="008E40F4" w:rsidRPr="00A33AE8">
        <w:t xml:space="preserve"> (source: </w:t>
      </w:r>
      <w:r w:rsidR="002B7B0C" w:rsidRPr="00A33AE8">
        <w:t>Intellectual Property Office of the Republic of Serbia)</w:t>
      </w:r>
      <w:bookmarkEnd w:id="401"/>
      <w:bookmarkEnd w:id="402"/>
    </w:p>
    <w:p w14:paraId="1B27A3E4" w14:textId="77777777" w:rsidR="002E4C9F" w:rsidRPr="00A33AE8" w:rsidRDefault="002E4C9F" w:rsidP="002E4C9F">
      <w:pPr>
        <w:jc w:val="both"/>
      </w:pPr>
      <w:r w:rsidRPr="000007D2">
        <w:rPr>
          <w:noProof/>
          <w:lang w:val="en-US"/>
        </w:rPr>
        <w:drawing>
          <wp:inline distT="0" distB="0" distL="0" distR="0" wp14:anchorId="15387661" wp14:editId="32223551">
            <wp:extent cx="6120130" cy="2294890"/>
            <wp:effectExtent l="0" t="0" r="13970" b="10160"/>
            <wp:docPr id="135" name="Chart 135">
              <a:extLst xmlns:a="http://schemas.openxmlformats.org/drawingml/2006/main">
                <a:ext uri="{FF2B5EF4-FFF2-40B4-BE49-F238E27FC236}">
                  <a16:creationId xmlns:a16="http://schemas.microsoft.com/office/drawing/2014/main" id="{7EB6ADE7-3C2B-A596-B795-E9D90CB11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AC722A4" w14:textId="77777777" w:rsidR="002E4C9F" w:rsidRPr="00A33AE8" w:rsidRDefault="002E4C9F" w:rsidP="00507954">
      <w:pPr>
        <w:jc w:val="both"/>
        <w:rPr>
          <w:rFonts w:asciiTheme="majorHAnsi" w:hAnsiTheme="majorHAnsi" w:cstheme="majorHAnsi"/>
        </w:rPr>
      </w:pPr>
      <w:r w:rsidRPr="00A33AE8">
        <w:rPr>
          <w:rFonts w:asciiTheme="majorHAnsi" w:hAnsiTheme="majorHAnsi" w:cstheme="majorHAnsi"/>
        </w:rPr>
        <w:t xml:space="preserve">In 2020, the total number of patents registered were 1,546 patents including 56 granted according to the national procedure, 28 entered into the Register on the basis of the Cooperation and Extension Agreement with the European Patent Office and 1,462 on the basis of the law on the ratification of the Convention on the Grant of European Patents. Out of 56 granted patents, 52 were patents of residents and 4 of non-residents. </w:t>
      </w:r>
      <w:r w:rsidRPr="00A33AE8">
        <w:rPr>
          <w:rFonts w:asciiTheme="majorHAnsi" w:hAnsiTheme="majorHAnsi" w:cstheme="majorHAnsi"/>
        </w:rPr>
        <w:lastRenderedPageBreak/>
        <w:t>Out of the total number of patents granted in the national procedure, 84.2% were those invented by natural persons and 15.8% those invented by legal entities.</w:t>
      </w:r>
    </w:p>
    <w:p w14:paraId="2488CBFD" w14:textId="77777777" w:rsidR="00895DC4" w:rsidRPr="00A33AE8" w:rsidRDefault="00895DC4">
      <w:pPr>
        <w:spacing w:line="259" w:lineRule="auto"/>
        <w:rPr>
          <w:lang w:eastAsia="el-GR"/>
        </w:rPr>
      </w:pPr>
      <w:r w:rsidRPr="00A33AE8">
        <w:rPr>
          <w:lang w:eastAsia="el-GR"/>
        </w:rPr>
        <w:br w:type="page"/>
      </w:r>
    </w:p>
    <w:p w14:paraId="2F067DA8" w14:textId="77777777" w:rsidR="00895DC4" w:rsidRPr="00A33AE8" w:rsidRDefault="00895DC4" w:rsidP="00895DC4">
      <w:pPr>
        <w:pStyle w:val="Heading1"/>
      </w:pPr>
      <w:bookmarkStart w:id="403" w:name="_Toc79772565"/>
      <w:bookmarkStart w:id="404" w:name="_Toc118991785"/>
      <w:bookmarkStart w:id="405" w:name="_Toc153545057"/>
      <w:r w:rsidRPr="00A33AE8">
        <w:lastRenderedPageBreak/>
        <w:t>IMPACT ASSESSMENT OF PLANNED POLICIES AND MEASURES</w:t>
      </w:r>
      <w:bookmarkEnd w:id="403"/>
      <w:bookmarkEnd w:id="404"/>
      <w:bookmarkEnd w:id="405"/>
    </w:p>
    <w:p w14:paraId="270F5A38" w14:textId="0323C0B8" w:rsidR="009538C1" w:rsidRPr="00A33AE8" w:rsidRDefault="008403EF" w:rsidP="00C20CCA">
      <w:pPr>
        <w:jc w:val="both"/>
        <w:rPr>
          <w:rFonts w:ascii="Calibri Light" w:hAnsi="Calibri Light" w:cs="Calibri Light"/>
          <w:highlight w:val="yellow"/>
        </w:rPr>
      </w:pPr>
      <w:bookmarkStart w:id="406" w:name="_Toc79772566"/>
      <w:r w:rsidRPr="008403EF">
        <w:rPr>
          <w:rFonts w:ascii="Calibri Light" w:hAnsi="Calibri Light" w:cs="Calibri Light"/>
        </w:rPr>
        <w:t xml:space="preserve">The impact assessment of the additional, </w:t>
      </w:r>
      <w:r w:rsidRPr="005B2C66">
        <w:rPr>
          <w:rFonts w:ascii="Calibri Light" w:hAnsi="Calibri Light" w:cs="Calibri Light"/>
          <w:b/>
          <w:bCs/>
        </w:rPr>
        <w:t>planned policies and measures</w:t>
      </w:r>
      <w:r w:rsidRPr="008403EF">
        <w:rPr>
          <w:rFonts w:ascii="Calibri Light" w:hAnsi="Calibri Light" w:cs="Calibri Light"/>
        </w:rPr>
        <w:t xml:space="preserve">, quantified with the use of the modelling tools, is presented in the current chapter. As was mentioned before, this projection corresponds to </w:t>
      </w:r>
      <w:r>
        <w:rPr>
          <w:rFonts w:ascii="Calibri Light" w:hAnsi="Calibri Light" w:cs="Calibri Light"/>
        </w:rPr>
        <w:t>t</w:t>
      </w:r>
      <w:r w:rsidR="00C20CCA" w:rsidRPr="00A33AE8">
        <w:rPr>
          <w:rFonts w:ascii="Calibri Light" w:hAnsi="Calibri Light" w:cs="Calibri Light"/>
        </w:rPr>
        <w:t xml:space="preserve">he </w:t>
      </w:r>
      <w:r w:rsidRPr="008403EF">
        <w:rPr>
          <w:rFonts w:ascii="Calibri Light" w:hAnsi="Calibri Light" w:cs="Calibri Light"/>
        </w:rPr>
        <w:t>implementation of</w:t>
      </w:r>
      <w:r w:rsidR="00C20CCA" w:rsidRPr="00A33AE8">
        <w:rPr>
          <w:rFonts w:ascii="Calibri Light" w:hAnsi="Calibri Light" w:cs="Calibri Light"/>
        </w:rPr>
        <w:t xml:space="preserve"> additional measures</w:t>
      </w:r>
      <w:r>
        <w:rPr>
          <w:rFonts w:ascii="Calibri Light" w:hAnsi="Calibri Light" w:cs="Calibri Light"/>
        </w:rPr>
        <w:t>,</w:t>
      </w:r>
      <w:r w:rsidR="00C20CCA" w:rsidRPr="00A33AE8">
        <w:rPr>
          <w:rFonts w:ascii="Calibri Light" w:hAnsi="Calibri Light" w:cs="Calibri Light"/>
        </w:rPr>
        <w:t xml:space="preserve"> aiming to reduce emissions and increase RES and EE by 2030</w:t>
      </w:r>
      <w:r>
        <w:rPr>
          <w:rFonts w:ascii="Calibri Light" w:hAnsi="Calibri Light" w:cs="Calibri Light"/>
        </w:rPr>
        <w:t xml:space="preserve"> and</w:t>
      </w:r>
      <w:r w:rsidR="00C20CCA" w:rsidRPr="00A33AE8">
        <w:rPr>
          <w:rFonts w:ascii="Calibri Light" w:hAnsi="Calibri Light" w:cs="Calibri Light"/>
        </w:rPr>
        <w:t xml:space="preserve"> is denoted as </w:t>
      </w:r>
      <w:r w:rsidR="00C20CCA" w:rsidRPr="00A33AE8">
        <w:rPr>
          <w:rFonts w:ascii="Calibri Light" w:hAnsi="Calibri Light" w:cs="Calibri Light"/>
          <w:b/>
          <w:bCs/>
          <w:i/>
          <w:iCs/>
        </w:rPr>
        <w:t xml:space="preserve">Scenario S </w:t>
      </w:r>
      <w:r w:rsidR="00C20CCA" w:rsidRPr="00A33AE8">
        <w:rPr>
          <w:rFonts w:ascii="Calibri Light" w:hAnsi="Calibri Light" w:cs="Calibri Light"/>
        </w:rPr>
        <w:t>in the following sections. In this scenario, a number of measures are put into place, aiming at a gradual reduction of emissions until 2030, and the process of decarbonization is intensified, afterwards targeting at low emissions level by 2050. A variation of scenario S</w:t>
      </w:r>
      <w:r>
        <w:rPr>
          <w:rFonts w:ascii="Calibri Light" w:hAnsi="Calibri Light" w:cs="Calibri Light"/>
        </w:rPr>
        <w:t>,</w:t>
      </w:r>
      <w:r w:rsidR="00C20CCA" w:rsidRPr="00A33AE8">
        <w:rPr>
          <w:rFonts w:ascii="Calibri Light" w:hAnsi="Calibri Light" w:cs="Calibri Light"/>
        </w:rPr>
        <w:t xml:space="preserve"> denoted as </w:t>
      </w:r>
      <w:r w:rsidR="00C20CCA" w:rsidRPr="005B2C66">
        <w:rPr>
          <w:rFonts w:ascii="Calibri Light" w:hAnsi="Calibri Light" w:cs="Calibri Light"/>
          <w:b/>
          <w:bCs/>
          <w:i/>
          <w:iCs/>
        </w:rPr>
        <w:t>S</w:t>
      </w:r>
      <w:r w:rsidR="00C20CCA" w:rsidRPr="00A33AE8">
        <w:rPr>
          <w:rFonts w:ascii="Calibri Light" w:hAnsi="Calibri Light" w:cs="Calibri Light"/>
          <w:b/>
          <w:bCs/>
          <w:i/>
          <w:iCs/>
        </w:rPr>
        <w:t>cenario S-N</w:t>
      </w:r>
      <w:r w:rsidR="00C20CCA" w:rsidRPr="00A33AE8">
        <w:rPr>
          <w:rFonts w:ascii="Calibri Light" w:hAnsi="Calibri Light" w:cs="Calibri Light"/>
        </w:rPr>
        <w:t xml:space="preserve"> considers the introduction of </w:t>
      </w:r>
      <w:r w:rsidR="009538C1" w:rsidRPr="00A33AE8">
        <w:rPr>
          <w:rFonts w:ascii="Calibri Light" w:hAnsi="Calibri Light" w:cs="Calibri Light"/>
        </w:rPr>
        <w:t>Nuclear Power Plan</w:t>
      </w:r>
      <w:r w:rsidR="0065375A" w:rsidRPr="00A33AE8">
        <w:rPr>
          <w:rFonts w:ascii="Calibri Light" w:hAnsi="Calibri Light" w:cs="Calibri Light"/>
        </w:rPr>
        <w:t>t</w:t>
      </w:r>
      <w:r w:rsidR="009538C1" w:rsidRPr="00A33AE8">
        <w:rPr>
          <w:rFonts w:ascii="Calibri Light" w:hAnsi="Calibri Light" w:cs="Calibri Light"/>
        </w:rPr>
        <w:t xml:space="preserve">s of </w:t>
      </w:r>
      <w:r w:rsidR="0065375A" w:rsidRPr="00A33AE8">
        <w:rPr>
          <w:rFonts w:ascii="Calibri Light" w:hAnsi="Calibri Light" w:cs="Calibri Light"/>
        </w:rPr>
        <w:t xml:space="preserve">a total capacity of </w:t>
      </w:r>
      <w:r w:rsidR="009538C1" w:rsidRPr="00A33AE8">
        <w:rPr>
          <w:rFonts w:ascii="Calibri Light" w:hAnsi="Calibri Light" w:cs="Calibri Light"/>
        </w:rPr>
        <w:t>1,</w:t>
      </w:r>
      <w:r w:rsidR="00EB5CD8" w:rsidRPr="000007D2">
        <w:rPr>
          <w:rFonts w:ascii="Calibri Light" w:hAnsi="Calibri Light" w:cs="Calibri Light"/>
        </w:rPr>
        <w:t>0</w:t>
      </w:r>
      <w:r w:rsidR="009538C1" w:rsidRPr="00A33AE8">
        <w:rPr>
          <w:rFonts w:ascii="Calibri Light" w:hAnsi="Calibri Light" w:cs="Calibri Light"/>
        </w:rPr>
        <w:t xml:space="preserve">00 MW after 2040 </w:t>
      </w:r>
      <w:r w:rsidR="00C20CCA" w:rsidRPr="00A33AE8">
        <w:rPr>
          <w:rFonts w:ascii="Calibri Light" w:hAnsi="Calibri Light" w:cs="Calibri Light"/>
        </w:rPr>
        <w:t xml:space="preserve">in the Serbian power system, to </w:t>
      </w:r>
      <w:r w:rsidRPr="008403EF">
        <w:rPr>
          <w:rFonts w:ascii="Calibri Light" w:hAnsi="Calibri Light" w:cs="Calibri Light"/>
        </w:rPr>
        <w:t>examine their possible contribution to</w:t>
      </w:r>
      <w:r w:rsidR="00C20CCA" w:rsidRPr="00A33AE8">
        <w:rPr>
          <w:rFonts w:ascii="Calibri Light" w:hAnsi="Calibri Light" w:cs="Calibri Light"/>
        </w:rPr>
        <w:t xml:space="preserve"> the decarbonisation pathway towards 2050.</w:t>
      </w:r>
      <w:r w:rsidRPr="008403EF">
        <w:rPr>
          <w:rFonts w:ascii="Calibri Light" w:hAnsi="Calibri Light" w:cs="Calibri Light"/>
        </w:rPr>
        <w:t xml:space="preserve"> In the next sections the projections for Scenario S are </w:t>
      </w:r>
      <w:r w:rsidRPr="005B2C66">
        <w:rPr>
          <w:rFonts w:ascii="Calibri Light" w:hAnsi="Calibri Light" w:cs="Calibri Light"/>
          <w:b/>
          <w:bCs/>
        </w:rPr>
        <w:t>compared</w:t>
      </w:r>
      <w:r w:rsidRPr="008403EF">
        <w:rPr>
          <w:rFonts w:ascii="Calibri Light" w:hAnsi="Calibri Light" w:cs="Calibri Light"/>
        </w:rPr>
        <w:t xml:space="preserve"> with the projections of scenario WEM (described in detail in Chapter 4) in order to show the extra effort which is required in each dimension for the achievement of the targets and objectives of the INECP.</w:t>
      </w:r>
    </w:p>
    <w:p w14:paraId="1304D510" w14:textId="0DA50E6A" w:rsidR="00C20CCA" w:rsidRPr="00A33AE8" w:rsidRDefault="008403EF" w:rsidP="00C20CCA">
      <w:pPr>
        <w:jc w:val="both"/>
        <w:rPr>
          <w:rFonts w:ascii="Calibri Light" w:hAnsi="Calibri Light" w:cs="Calibri Light"/>
        </w:rPr>
      </w:pPr>
      <w:r w:rsidRPr="008403EF">
        <w:rPr>
          <w:rFonts w:ascii="Calibri Light" w:hAnsi="Calibri Light" w:cs="Calibri Light"/>
        </w:rPr>
        <w:t xml:space="preserve">Some of the key inputs to this scenario include </w:t>
      </w:r>
      <w:r>
        <w:rPr>
          <w:rFonts w:ascii="Calibri Light" w:hAnsi="Calibri Light" w:cs="Calibri Light"/>
        </w:rPr>
        <w:t>b</w:t>
      </w:r>
      <w:r w:rsidRPr="00A33AE8">
        <w:rPr>
          <w:rFonts w:ascii="Calibri Light" w:hAnsi="Calibri Light" w:cs="Calibri Light"/>
        </w:rPr>
        <w:t xml:space="preserve">uilding </w:t>
      </w:r>
      <w:r w:rsidR="00C20CCA" w:rsidRPr="00A33AE8">
        <w:rPr>
          <w:rFonts w:ascii="Calibri Light" w:hAnsi="Calibri Light" w:cs="Calibri Light"/>
        </w:rPr>
        <w:t>renovations</w:t>
      </w:r>
      <w:r w:rsidRPr="008403EF">
        <w:rPr>
          <w:rFonts w:ascii="Calibri Light" w:hAnsi="Calibri Light" w:cs="Calibri Light"/>
        </w:rPr>
        <w:t>, which</w:t>
      </w:r>
      <w:r>
        <w:rPr>
          <w:rFonts w:ascii="Calibri Light" w:hAnsi="Calibri Light" w:cs="Calibri Light"/>
        </w:rPr>
        <w:t xml:space="preserve"> </w:t>
      </w:r>
      <w:r w:rsidR="00C20CCA" w:rsidRPr="00A33AE8">
        <w:rPr>
          <w:rFonts w:ascii="Calibri Light" w:hAnsi="Calibri Light" w:cs="Calibri Light"/>
        </w:rPr>
        <w:t xml:space="preserve">are actively promoted both for residential buildings (with 1% </w:t>
      </w:r>
      <w:r w:rsidR="00EB5CD8" w:rsidRPr="00A33AE8">
        <w:rPr>
          <w:rFonts w:ascii="Calibri Light" w:hAnsi="Calibri Light" w:cs="Calibri Light"/>
        </w:rPr>
        <w:t xml:space="preserve">to 1.5% </w:t>
      </w:r>
      <w:r w:rsidR="00C20CCA" w:rsidRPr="00A33AE8">
        <w:rPr>
          <w:rFonts w:ascii="Calibri Light" w:hAnsi="Calibri Light" w:cs="Calibri Light"/>
        </w:rPr>
        <w:t>annual rate</w:t>
      </w:r>
      <w:r w:rsidR="00EB5CD8" w:rsidRPr="000007D2">
        <w:rPr>
          <w:rFonts w:ascii="Calibri Light" w:hAnsi="Calibri Light" w:cs="Calibri Light"/>
        </w:rPr>
        <w:t xml:space="preserve"> for multi-family buildings and 0.5% for single-family</w:t>
      </w:r>
      <w:r w:rsidR="00C20CCA" w:rsidRPr="00A33AE8">
        <w:rPr>
          <w:rFonts w:ascii="Calibri Light" w:hAnsi="Calibri Light" w:cs="Calibri Light"/>
        </w:rPr>
        <w:t>) and mainly public sector buildings (3</w:t>
      </w:r>
      <w:r w:rsidR="00EB5CD8" w:rsidRPr="00A33AE8">
        <w:rPr>
          <w:rFonts w:ascii="Calibri Light" w:hAnsi="Calibri Light" w:cs="Calibri Light"/>
        </w:rPr>
        <w:t>.3</w:t>
      </w:r>
      <w:r w:rsidR="00C20CCA" w:rsidRPr="00A33AE8">
        <w:rPr>
          <w:rFonts w:ascii="Calibri Light" w:hAnsi="Calibri Light" w:cs="Calibri Light"/>
        </w:rPr>
        <w:t xml:space="preserve">% annual renovation rate until 2030) </w:t>
      </w:r>
      <w:r w:rsidR="00EB5CD8" w:rsidRPr="00A33AE8">
        <w:rPr>
          <w:rFonts w:ascii="Calibri Light" w:hAnsi="Calibri Light" w:cs="Calibri Light"/>
        </w:rPr>
        <w:t>and other non-residential buildings (2.3</w:t>
      </w:r>
      <w:r w:rsidR="00C20CCA" w:rsidRPr="00A33AE8">
        <w:rPr>
          <w:rFonts w:ascii="Calibri Light" w:hAnsi="Calibri Light" w:cs="Calibri Light"/>
        </w:rPr>
        <w:t xml:space="preserve">% annual renovation rate until 2030) and is intensified toward 2050 by doubling the renovation rates. Electrification of heating and transport is coupled with increased share of RES in electricity generation, while </w:t>
      </w:r>
      <w:r w:rsidR="004B4124">
        <w:rPr>
          <w:rFonts w:ascii="Calibri Light" w:hAnsi="Calibri Light" w:cs="Calibri Light"/>
        </w:rPr>
        <w:t>renewable</w:t>
      </w:r>
      <w:r w:rsidR="00B01436">
        <w:rPr>
          <w:rFonts w:ascii="Calibri Light" w:hAnsi="Calibri Light" w:cs="Calibri Light"/>
          <w:lang w:val="sr-Cyrl-RS"/>
        </w:rPr>
        <w:t xml:space="preserve"> </w:t>
      </w:r>
      <w:r w:rsidR="00C20CCA" w:rsidRPr="00A33AE8">
        <w:rPr>
          <w:rFonts w:ascii="Calibri Light" w:hAnsi="Calibri Light" w:cs="Calibri Light"/>
        </w:rPr>
        <w:t xml:space="preserve">hydrogen </w:t>
      </w:r>
      <w:r w:rsidR="009F4622" w:rsidRPr="00A33AE8">
        <w:rPr>
          <w:rFonts w:ascii="Calibri Light" w:hAnsi="Calibri Light" w:cs="Calibri Light"/>
        </w:rPr>
        <w:t>is</w:t>
      </w:r>
      <w:r w:rsidR="00C20CCA" w:rsidRPr="00A33AE8">
        <w:rPr>
          <w:rFonts w:ascii="Calibri Light" w:hAnsi="Calibri Light" w:cs="Calibri Light"/>
        </w:rPr>
        <w:t xml:space="preserve"> introduced initially </w:t>
      </w:r>
      <w:r w:rsidR="009F4622" w:rsidRPr="00A33AE8">
        <w:rPr>
          <w:rFonts w:ascii="Calibri Light" w:hAnsi="Calibri Light" w:cs="Calibri Light"/>
        </w:rPr>
        <w:t>in demonstration projects</w:t>
      </w:r>
      <w:r w:rsidR="00C20CCA" w:rsidRPr="00A33AE8">
        <w:rPr>
          <w:rFonts w:ascii="Calibri Light" w:hAnsi="Calibri Light" w:cs="Calibri Light"/>
        </w:rPr>
        <w:t xml:space="preserve"> and after 2030 in larger quantities. </w:t>
      </w:r>
      <w:r w:rsidR="009F4622" w:rsidRPr="00A33AE8">
        <w:rPr>
          <w:rFonts w:ascii="Calibri Light" w:hAnsi="Calibri Light" w:cs="Calibri Light"/>
        </w:rPr>
        <w:t xml:space="preserve">Biomethane is gradually introduced in the thermal applications and included in blending with natural gas, together with </w:t>
      </w:r>
      <w:r w:rsidR="004B4124" w:rsidRPr="004B4124">
        <w:rPr>
          <w:rFonts w:ascii="Calibri Light" w:hAnsi="Calibri Light" w:cs="Calibri Light"/>
        </w:rPr>
        <w:t>renewable</w:t>
      </w:r>
      <w:r w:rsidR="009F4622" w:rsidRPr="00A33AE8">
        <w:rPr>
          <w:rFonts w:ascii="Calibri Light" w:hAnsi="Calibri Light" w:cs="Calibri Light"/>
        </w:rPr>
        <w:t xml:space="preserve"> hydrogen after 2030.</w:t>
      </w:r>
    </w:p>
    <w:p w14:paraId="3B6E7B90" w14:textId="77777777" w:rsidR="00C20CCA" w:rsidRPr="00A33AE8" w:rsidRDefault="00C20CCA" w:rsidP="00C20CCA">
      <w:pPr>
        <w:jc w:val="both"/>
        <w:rPr>
          <w:rFonts w:ascii="Calibri Light" w:hAnsi="Calibri Light" w:cs="Calibri Light"/>
        </w:rPr>
      </w:pPr>
      <w:r w:rsidRPr="00A33AE8">
        <w:rPr>
          <w:rFonts w:ascii="Calibri Light" w:hAnsi="Calibri Light" w:cs="Calibri Light"/>
        </w:rPr>
        <w:t xml:space="preserve">Carbon pricing is included in this scenario for the sectors which are identified in the EU-ETS scheme according to the values in the following table. </w:t>
      </w:r>
      <w:r w:rsidR="0065375A" w:rsidRPr="00A33AE8">
        <w:rPr>
          <w:rFonts w:ascii="Calibri Light" w:hAnsi="Calibri Light" w:cs="Calibri Light"/>
        </w:rPr>
        <w:t>The background assumption</w:t>
      </w:r>
      <w:r w:rsidR="008403EF" w:rsidRPr="008403EF">
        <w:t xml:space="preserve"> </w:t>
      </w:r>
      <w:r w:rsidR="008403EF" w:rsidRPr="008403EF">
        <w:rPr>
          <w:rFonts w:ascii="Calibri Light" w:hAnsi="Calibri Light" w:cs="Calibri Light"/>
        </w:rPr>
        <w:t>of these prices</w:t>
      </w:r>
      <w:r w:rsidR="008403EF">
        <w:rPr>
          <w:rFonts w:ascii="Calibri Light" w:hAnsi="Calibri Light" w:cs="Calibri Light"/>
        </w:rPr>
        <w:t xml:space="preserve"> </w:t>
      </w:r>
      <w:r w:rsidR="0065375A" w:rsidRPr="00A33AE8">
        <w:rPr>
          <w:rFonts w:ascii="Calibri Light" w:hAnsi="Calibri Light" w:cs="Calibri Light"/>
        </w:rPr>
        <w:t xml:space="preserve">is that carbon </w:t>
      </w:r>
      <w:r w:rsidR="00B21F97">
        <w:rPr>
          <w:rFonts w:ascii="Calibri Light" w:hAnsi="Calibri Light" w:cs="Calibri Light"/>
        </w:rPr>
        <w:t>pricing</w:t>
      </w:r>
      <w:r w:rsidR="0065375A" w:rsidRPr="00A33AE8">
        <w:rPr>
          <w:rFonts w:ascii="Calibri Light" w:hAnsi="Calibri Light" w:cs="Calibri Light"/>
        </w:rPr>
        <w:t xml:space="preserve"> is first introduced in Serbia in 2027 at a low rate of 4€/ton. It is subsequently increased to 40€/ton in 2030, corresponding to half of the EU-ETS price as projected in the document “Recommended parameters for reporting on GHG projections in 2023” (EC DG Climate Action), and reaches the full projected EU-ETS price, by 2045.</w:t>
      </w:r>
    </w:p>
    <w:p w14:paraId="1887185C" w14:textId="7C90B965" w:rsidR="009F4622" w:rsidRPr="00A33AE8" w:rsidRDefault="009F4622" w:rsidP="006441FB">
      <w:pPr>
        <w:jc w:val="center"/>
        <w:rPr>
          <w:rFonts w:ascii="Calibri Light" w:hAnsi="Calibri Light" w:cs="Calibri Light"/>
        </w:rPr>
      </w:pPr>
      <w:bookmarkStart w:id="407" w:name="_Toc153545075"/>
      <w:r w:rsidRPr="00A33AE8">
        <w:t xml:space="preserve">Table </w:t>
      </w:r>
      <w:r w:rsidR="006E0533">
        <w:fldChar w:fldCharType="begin"/>
      </w:r>
      <w:r w:rsidR="006E0533">
        <w:instrText xml:space="preserve"> STYLEREF 1 \s </w:instrText>
      </w:r>
      <w:r w:rsidR="006E0533">
        <w:fldChar w:fldCharType="separate"/>
      </w:r>
      <w:r w:rsidR="00A84B9C">
        <w:rPr>
          <w:noProof/>
        </w:rPr>
        <w:t>5</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r w:rsidRPr="00A33AE8">
        <w:t>: Carbon pricing</w:t>
      </w:r>
      <w:r w:rsidR="00A011EA" w:rsidRPr="00A33AE8">
        <w:t xml:space="preserve"> projections</w:t>
      </w:r>
      <w:bookmarkEnd w:id="407"/>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26"/>
        <w:gridCol w:w="926"/>
        <w:gridCol w:w="926"/>
        <w:gridCol w:w="926"/>
        <w:gridCol w:w="926"/>
      </w:tblGrid>
      <w:tr w:rsidR="00611046" w:rsidRPr="00A33AE8" w14:paraId="1D995F87" w14:textId="77777777" w:rsidTr="006E2C2A">
        <w:trPr>
          <w:trHeight w:val="353"/>
          <w:jc w:val="center"/>
        </w:trPr>
        <w:tc>
          <w:tcPr>
            <w:tcW w:w="1165" w:type="dxa"/>
            <w:shd w:val="clear" w:color="auto" w:fill="auto"/>
            <w:vAlign w:val="center"/>
            <w:hideMark/>
          </w:tcPr>
          <w:p w14:paraId="11BE3B1F" w14:textId="77777777" w:rsidR="00611046" w:rsidRPr="00A33AE8" w:rsidRDefault="00611046" w:rsidP="005F342E">
            <w:pPr>
              <w:spacing w:after="0" w:line="240" w:lineRule="auto"/>
              <w:jc w:val="center"/>
              <w:rPr>
                <w:rFonts w:ascii="Calibri Light" w:eastAsia="Times New Roman" w:hAnsi="Calibri Light" w:cs="Calibri Light"/>
                <w:b/>
                <w:bCs/>
                <w:color w:val="000000"/>
                <w:lang w:eastAsia="en-GB"/>
              </w:rPr>
            </w:pPr>
          </w:p>
        </w:tc>
        <w:tc>
          <w:tcPr>
            <w:tcW w:w="926" w:type="dxa"/>
            <w:shd w:val="clear" w:color="auto" w:fill="auto"/>
            <w:vAlign w:val="center"/>
            <w:hideMark/>
          </w:tcPr>
          <w:p w14:paraId="49EEC27E" w14:textId="77777777" w:rsidR="00611046" w:rsidRPr="00A33AE8" w:rsidRDefault="00611046" w:rsidP="005F342E">
            <w:pPr>
              <w:spacing w:after="0" w:line="240" w:lineRule="auto"/>
              <w:jc w:val="center"/>
              <w:rPr>
                <w:rFonts w:ascii="Calibri Light" w:eastAsia="Times New Roman" w:hAnsi="Calibri Light" w:cs="Calibri Light"/>
                <w:b/>
                <w:bCs/>
                <w:color w:val="000000"/>
                <w:lang w:eastAsia="en-GB"/>
              </w:rPr>
            </w:pPr>
            <w:r w:rsidRPr="00A33AE8">
              <w:rPr>
                <w:rFonts w:ascii="Calibri Light" w:eastAsia="Times New Roman" w:hAnsi="Calibri Light" w:cs="Calibri Light"/>
                <w:b/>
                <w:bCs/>
                <w:color w:val="000000"/>
                <w:lang w:eastAsia="en-GB"/>
              </w:rPr>
              <w:t>2030</w:t>
            </w:r>
          </w:p>
        </w:tc>
        <w:tc>
          <w:tcPr>
            <w:tcW w:w="926" w:type="dxa"/>
            <w:shd w:val="clear" w:color="auto" w:fill="auto"/>
            <w:vAlign w:val="center"/>
            <w:hideMark/>
          </w:tcPr>
          <w:p w14:paraId="67A83862" w14:textId="77777777" w:rsidR="00611046" w:rsidRPr="00A33AE8" w:rsidRDefault="00611046" w:rsidP="005F342E">
            <w:pPr>
              <w:spacing w:after="0" w:line="240" w:lineRule="auto"/>
              <w:jc w:val="center"/>
              <w:rPr>
                <w:rFonts w:ascii="Calibri Light" w:eastAsia="Times New Roman" w:hAnsi="Calibri Light" w:cs="Calibri Light"/>
                <w:b/>
                <w:bCs/>
                <w:color w:val="000000"/>
                <w:lang w:eastAsia="en-GB"/>
              </w:rPr>
            </w:pPr>
            <w:r w:rsidRPr="00A33AE8">
              <w:rPr>
                <w:rFonts w:ascii="Calibri Light" w:eastAsia="Times New Roman" w:hAnsi="Calibri Light" w:cs="Calibri Light"/>
                <w:b/>
                <w:bCs/>
                <w:color w:val="000000"/>
                <w:lang w:eastAsia="en-GB"/>
              </w:rPr>
              <w:t>2035</w:t>
            </w:r>
          </w:p>
        </w:tc>
        <w:tc>
          <w:tcPr>
            <w:tcW w:w="926" w:type="dxa"/>
            <w:shd w:val="clear" w:color="auto" w:fill="auto"/>
            <w:vAlign w:val="center"/>
            <w:hideMark/>
          </w:tcPr>
          <w:p w14:paraId="3B87F4EC" w14:textId="77777777" w:rsidR="00611046" w:rsidRPr="00A33AE8" w:rsidRDefault="00611046" w:rsidP="005F342E">
            <w:pPr>
              <w:spacing w:after="0" w:line="240" w:lineRule="auto"/>
              <w:jc w:val="center"/>
              <w:rPr>
                <w:rFonts w:ascii="Calibri Light" w:eastAsia="Times New Roman" w:hAnsi="Calibri Light" w:cs="Calibri Light"/>
                <w:b/>
                <w:bCs/>
                <w:color w:val="000000"/>
                <w:lang w:eastAsia="en-GB"/>
              </w:rPr>
            </w:pPr>
            <w:r w:rsidRPr="00A33AE8">
              <w:rPr>
                <w:rFonts w:ascii="Calibri Light" w:eastAsia="Times New Roman" w:hAnsi="Calibri Light" w:cs="Calibri Light"/>
                <w:b/>
                <w:bCs/>
                <w:color w:val="000000"/>
                <w:lang w:eastAsia="en-GB"/>
              </w:rPr>
              <w:t>2040</w:t>
            </w:r>
          </w:p>
        </w:tc>
        <w:tc>
          <w:tcPr>
            <w:tcW w:w="926" w:type="dxa"/>
            <w:shd w:val="clear" w:color="auto" w:fill="auto"/>
            <w:vAlign w:val="center"/>
            <w:hideMark/>
          </w:tcPr>
          <w:p w14:paraId="69CBDC18" w14:textId="77777777" w:rsidR="00611046" w:rsidRPr="00A33AE8" w:rsidRDefault="00611046" w:rsidP="005F342E">
            <w:pPr>
              <w:spacing w:after="0" w:line="240" w:lineRule="auto"/>
              <w:jc w:val="center"/>
              <w:rPr>
                <w:rFonts w:ascii="Calibri Light" w:eastAsia="Times New Roman" w:hAnsi="Calibri Light" w:cs="Calibri Light"/>
                <w:b/>
                <w:bCs/>
                <w:color w:val="000000"/>
                <w:lang w:eastAsia="en-GB"/>
              </w:rPr>
            </w:pPr>
            <w:r w:rsidRPr="00A33AE8">
              <w:rPr>
                <w:rFonts w:ascii="Calibri Light" w:eastAsia="Times New Roman" w:hAnsi="Calibri Light" w:cs="Calibri Light"/>
                <w:b/>
                <w:bCs/>
                <w:color w:val="000000"/>
                <w:lang w:eastAsia="en-GB"/>
              </w:rPr>
              <w:t>2045</w:t>
            </w:r>
          </w:p>
        </w:tc>
        <w:tc>
          <w:tcPr>
            <w:tcW w:w="926" w:type="dxa"/>
            <w:shd w:val="clear" w:color="auto" w:fill="auto"/>
            <w:vAlign w:val="center"/>
            <w:hideMark/>
          </w:tcPr>
          <w:p w14:paraId="4CC7872B" w14:textId="77777777" w:rsidR="00611046" w:rsidRPr="00A33AE8" w:rsidRDefault="00611046" w:rsidP="005F342E">
            <w:pPr>
              <w:spacing w:after="0" w:line="240" w:lineRule="auto"/>
              <w:jc w:val="center"/>
              <w:rPr>
                <w:rFonts w:ascii="Calibri Light" w:eastAsia="Times New Roman" w:hAnsi="Calibri Light" w:cs="Calibri Light"/>
                <w:b/>
                <w:bCs/>
                <w:color w:val="000000"/>
                <w:lang w:eastAsia="en-GB"/>
              </w:rPr>
            </w:pPr>
            <w:r w:rsidRPr="00A33AE8">
              <w:rPr>
                <w:rFonts w:ascii="Calibri Light" w:eastAsia="Times New Roman" w:hAnsi="Calibri Light" w:cs="Calibri Light"/>
                <w:b/>
                <w:bCs/>
                <w:color w:val="000000"/>
                <w:lang w:eastAsia="en-GB"/>
              </w:rPr>
              <w:t>2050</w:t>
            </w:r>
          </w:p>
        </w:tc>
      </w:tr>
      <w:tr w:rsidR="00611046" w:rsidRPr="00A33AE8" w14:paraId="349B6AC8" w14:textId="77777777" w:rsidTr="006E2C2A">
        <w:trPr>
          <w:trHeight w:val="85"/>
          <w:jc w:val="center"/>
        </w:trPr>
        <w:tc>
          <w:tcPr>
            <w:tcW w:w="1165" w:type="dxa"/>
            <w:shd w:val="clear" w:color="auto" w:fill="auto"/>
            <w:vAlign w:val="center"/>
            <w:hideMark/>
          </w:tcPr>
          <w:p w14:paraId="1FF28EE5" w14:textId="77777777" w:rsidR="00611046" w:rsidRPr="00A33AE8" w:rsidRDefault="00611046" w:rsidP="005F342E">
            <w:pPr>
              <w:spacing w:after="0" w:line="240" w:lineRule="auto"/>
              <w:jc w:val="center"/>
              <w:rPr>
                <w:rFonts w:ascii="Calibri Light" w:eastAsia="Times New Roman" w:hAnsi="Calibri Light" w:cs="Calibri Light"/>
                <w:color w:val="000000"/>
                <w:lang w:eastAsia="en-GB"/>
              </w:rPr>
            </w:pPr>
            <w:r w:rsidRPr="00A33AE8">
              <w:rPr>
                <w:rFonts w:ascii="Calibri Light" w:eastAsia="Times New Roman" w:hAnsi="Calibri Light" w:cs="Calibri Light"/>
                <w:color w:val="000000"/>
                <w:lang w:eastAsia="en-GB"/>
              </w:rPr>
              <w:t>Euro/tCO2</w:t>
            </w:r>
          </w:p>
        </w:tc>
        <w:tc>
          <w:tcPr>
            <w:tcW w:w="926" w:type="dxa"/>
            <w:shd w:val="clear" w:color="auto" w:fill="auto"/>
            <w:vAlign w:val="center"/>
            <w:hideMark/>
          </w:tcPr>
          <w:p w14:paraId="37609A4B" w14:textId="77777777" w:rsidR="00611046" w:rsidRPr="00A33AE8" w:rsidRDefault="00611046" w:rsidP="005F342E">
            <w:pPr>
              <w:spacing w:after="0" w:line="240" w:lineRule="auto"/>
              <w:jc w:val="center"/>
              <w:rPr>
                <w:rFonts w:ascii="Calibri Light" w:eastAsia="Times New Roman" w:hAnsi="Calibri Light" w:cs="Calibri Light"/>
                <w:color w:val="000000"/>
                <w:lang w:eastAsia="en-GB"/>
              </w:rPr>
            </w:pPr>
            <w:r w:rsidRPr="00A33AE8">
              <w:rPr>
                <w:rFonts w:ascii="Calibri Light" w:eastAsia="Times New Roman" w:hAnsi="Calibri Light" w:cs="Calibri Light"/>
                <w:color w:val="000000"/>
                <w:lang w:eastAsia="en-GB"/>
              </w:rPr>
              <w:t>40</w:t>
            </w:r>
          </w:p>
        </w:tc>
        <w:tc>
          <w:tcPr>
            <w:tcW w:w="926" w:type="dxa"/>
            <w:shd w:val="clear" w:color="auto" w:fill="auto"/>
            <w:vAlign w:val="center"/>
            <w:hideMark/>
          </w:tcPr>
          <w:p w14:paraId="100C0471" w14:textId="77777777" w:rsidR="00611046" w:rsidRPr="00A33AE8" w:rsidRDefault="00611046" w:rsidP="005F342E">
            <w:pPr>
              <w:spacing w:after="0" w:line="240" w:lineRule="auto"/>
              <w:jc w:val="center"/>
              <w:rPr>
                <w:rFonts w:ascii="Calibri Light" w:eastAsia="Times New Roman" w:hAnsi="Calibri Light" w:cs="Calibri Light"/>
                <w:color w:val="000000"/>
                <w:lang w:eastAsia="en-GB"/>
              </w:rPr>
            </w:pPr>
            <w:r w:rsidRPr="00A33AE8">
              <w:rPr>
                <w:rFonts w:ascii="Calibri Light" w:eastAsia="Times New Roman" w:hAnsi="Calibri Light" w:cs="Calibri Light"/>
                <w:color w:val="000000"/>
                <w:lang w:eastAsia="en-GB"/>
              </w:rPr>
              <w:t>41</w:t>
            </w:r>
          </w:p>
        </w:tc>
        <w:tc>
          <w:tcPr>
            <w:tcW w:w="926" w:type="dxa"/>
            <w:shd w:val="clear" w:color="auto" w:fill="auto"/>
            <w:vAlign w:val="center"/>
            <w:hideMark/>
          </w:tcPr>
          <w:p w14:paraId="38132AAF" w14:textId="77777777" w:rsidR="00611046" w:rsidRPr="00A33AE8" w:rsidRDefault="00611046" w:rsidP="005F342E">
            <w:pPr>
              <w:spacing w:after="0" w:line="240" w:lineRule="auto"/>
              <w:jc w:val="center"/>
              <w:rPr>
                <w:rFonts w:ascii="Calibri Light" w:eastAsia="Times New Roman" w:hAnsi="Calibri Light" w:cs="Calibri Light"/>
                <w:color w:val="000000"/>
                <w:lang w:eastAsia="en-GB"/>
              </w:rPr>
            </w:pPr>
            <w:r w:rsidRPr="00A33AE8">
              <w:rPr>
                <w:rFonts w:ascii="Calibri Light" w:eastAsia="Times New Roman" w:hAnsi="Calibri Light" w:cs="Calibri Light"/>
                <w:color w:val="000000"/>
                <w:lang w:eastAsia="en-GB"/>
              </w:rPr>
              <w:t>45</w:t>
            </w:r>
          </w:p>
        </w:tc>
        <w:tc>
          <w:tcPr>
            <w:tcW w:w="926" w:type="dxa"/>
            <w:shd w:val="clear" w:color="auto" w:fill="auto"/>
            <w:vAlign w:val="center"/>
            <w:hideMark/>
          </w:tcPr>
          <w:p w14:paraId="525947ED" w14:textId="77777777" w:rsidR="00611046" w:rsidRPr="00A33AE8" w:rsidRDefault="00611046" w:rsidP="005F342E">
            <w:pPr>
              <w:spacing w:after="0" w:line="240" w:lineRule="auto"/>
              <w:jc w:val="center"/>
              <w:rPr>
                <w:rFonts w:ascii="Calibri Light" w:eastAsia="Times New Roman" w:hAnsi="Calibri Light" w:cs="Calibri Light"/>
                <w:color w:val="000000"/>
                <w:lang w:eastAsia="en-GB"/>
              </w:rPr>
            </w:pPr>
            <w:r w:rsidRPr="00A33AE8">
              <w:rPr>
                <w:rFonts w:ascii="Calibri Light" w:eastAsia="Times New Roman" w:hAnsi="Calibri Light" w:cs="Calibri Light"/>
                <w:color w:val="000000"/>
                <w:lang w:eastAsia="en-GB"/>
              </w:rPr>
              <w:t>130</w:t>
            </w:r>
          </w:p>
        </w:tc>
        <w:tc>
          <w:tcPr>
            <w:tcW w:w="926" w:type="dxa"/>
            <w:shd w:val="clear" w:color="auto" w:fill="auto"/>
            <w:vAlign w:val="center"/>
            <w:hideMark/>
          </w:tcPr>
          <w:p w14:paraId="46292C75" w14:textId="77777777" w:rsidR="00611046" w:rsidRPr="00A33AE8" w:rsidRDefault="00611046" w:rsidP="005F342E">
            <w:pPr>
              <w:spacing w:after="0" w:line="240" w:lineRule="auto"/>
              <w:jc w:val="center"/>
              <w:rPr>
                <w:rFonts w:ascii="Calibri Light" w:eastAsia="Times New Roman" w:hAnsi="Calibri Light" w:cs="Calibri Light"/>
                <w:color w:val="000000"/>
                <w:lang w:eastAsia="en-GB"/>
              </w:rPr>
            </w:pPr>
            <w:r w:rsidRPr="00A33AE8">
              <w:rPr>
                <w:rFonts w:ascii="Calibri Light" w:eastAsia="Times New Roman" w:hAnsi="Calibri Light" w:cs="Calibri Light"/>
                <w:color w:val="000000"/>
                <w:lang w:eastAsia="en-GB"/>
              </w:rPr>
              <w:t>160</w:t>
            </w:r>
          </w:p>
        </w:tc>
      </w:tr>
    </w:tbl>
    <w:p w14:paraId="495C522C" w14:textId="77777777" w:rsidR="00C20CCA" w:rsidRPr="00A33AE8" w:rsidRDefault="00C20CCA" w:rsidP="007A0028">
      <w:pPr>
        <w:rPr>
          <w:rFonts w:ascii="Calibri Light" w:hAnsi="Calibri Light" w:cs="Calibri Light"/>
        </w:rPr>
      </w:pPr>
    </w:p>
    <w:p w14:paraId="75C941D1" w14:textId="77777777" w:rsidR="00C20CCA" w:rsidRPr="00A33AE8" w:rsidRDefault="00C20CCA" w:rsidP="00C20CCA">
      <w:pPr>
        <w:rPr>
          <w:rFonts w:ascii="Calibri Light" w:hAnsi="Calibri Light" w:cs="Calibri Light"/>
        </w:rPr>
      </w:pPr>
      <w:r w:rsidRPr="00A33AE8">
        <w:rPr>
          <w:rFonts w:ascii="Calibri Light" w:hAnsi="Calibri Light" w:cs="Calibri Light"/>
        </w:rPr>
        <w:t>The assumptions regarding</w:t>
      </w:r>
      <w:r w:rsidR="008403EF" w:rsidRPr="008403EF">
        <w:t xml:space="preserve"> </w:t>
      </w:r>
      <w:r w:rsidR="008403EF" w:rsidRPr="008403EF">
        <w:rPr>
          <w:rFonts w:ascii="Calibri Light" w:hAnsi="Calibri Light" w:cs="Calibri Light"/>
        </w:rPr>
        <w:t>the key exogenous parameters that are driving the development of the energy sector and emissions as well as</w:t>
      </w:r>
      <w:r w:rsidR="008403EF">
        <w:rPr>
          <w:rFonts w:ascii="Calibri Light" w:hAnsi="Calibri Light" w:cs="Calibri Light"/>
        </w:rPr>
        <w:t xml:space="preserve"> </w:t>
      </w:r>
      <w:r w:rsidRPr="00A33AE8">
        <w:rPr>
          <w:rFonts w:ascii="Calibri Light" w:hAnsi="Calibri Light" w:cs="Calibri Light"/>
        </w:rPr>
        <w:t>international fuel prices and evolution of costs of technologies are the same as those used in the WEM scenario</w:t>
      </w:r>
      <w:r w:rsidR="00161AF1" w:rsidRPr="00A33AE8">
        <w:rPr>
          <w:rFonts w:ascii="Calibri Light" w:hAnsi="Calibri Light" w:cs="Calibri Light"/>
        </w:rPr>
        <w:t>, as shown in Chapter 4.1.</w:t>
      </w:r>
    </w:p>
    <w:p w14:paraId="44EED4FA" w14:textId="77777777" w:rsidR="00185B2B" w:rsidRPr="00A33AE8" w:rsidRDefault="00185B2B" w:rsidP="00185B2B">
      <w:pPr>
        <w:pStyle w:val="Heading2"/>
      </w:pPr>
      <w:bookmarkStart w:id="408" w:name="_Toc153545058"/>
      <w:bookmarkStart w:id="409" w:name="_Toc118991786"/>
      <w:r w:rsidRPr="00A33AE8">
        <w:t>Impacts of planned policies and measures described on energy system and GHG emissions and removals</w:t>
      </w:r>
      <w:bookmarkEnd w:id="408"/>
    </w:p>
    <w:p w14:paraId="196D63F3" w14:textId="57254DED" w:rsidR="00185B2B" w:rsidRPr="00A33AE8" w:rsidRDefault="00185B2B" w:rsidP="00185B2B">
      <w:pPr>
        <w:spacing w:line="240" w:lineRule="auto"/>
        <w:jc w:val="both"/>
        <w:rPr>
          <w:rFonts w:asciiTheme="majorHAnsi" w:hAnsiTheme="majorHAnsi" w:cstheme="majorHAnsi"/>
        </w:rPr>
      </w:pPr>
      <w:r w:rsidRPr="00A33AE8">
        <w:rPr>
          <w:rFonts w:asciiTheme="majorHAnsi" w:hAnsiTheme="majorHAnsi" w:cstheme="majorHAnsi"/>
        </w:rPr>
        <w:t>The overall GHG emissions, including agriculture, waste and LULUCF</w:t>
      </w:r>
      <w:r w:rsidR="003E3931">
        <w:rPr>
          <w:rFonts w:asciiTheme="majorHAnsi" w:hAnsiTheme="majorHAnsi" w:cstheme="majorHAnsi"/>
        </w:rPr>
        <w:t xml:space="preserve"> (</w:t>
      </w:r>
      <w:r w:rsidR="003E3931" w:rsidRPr="003E3931">
        <w:rPr>
          <w:rFonts w:asciiTheme="majorHAnsi" w:hAnsiTheme="majorHAnsi" w:cstheme="majorHAnsi"/>
        </w:rPr>
        <w:t>The projection of emissions from agriculture, waste and LULUCF are taken from scenario M2 of the Climate Strategy and Action Plan, elaborated by the Ministry of Environmental Protection</w:t>
      </w:r>
      <w:r w:rsidR="003E3931">
        <w:rPr>
          <w:rFonts w:asciiTheme="majorHAnsi" w:hAnsiTheme="majorHAnsi" w:cstheme="majorHAnsi"/>
        </w:rPr>
        <w:t>)</w:t>
      </w:r>
      <w:r w:rsidRPr="00A33AE8">
        <w:rPr>
          <w:rFonts w:asciiTheme="majorHAnsi" w:hAnsiTheme="majorHAnsi" w:cstheme="majorHAnsi"/>
        </w:rPr>
        <w:t>, present a different trend between WEM and scenarios S and S-N by 2050. More specifically, the overall GHG emissions in WEM are expected to increase from 2026 to 2045 before decreasing in 2050, while the total GHG emissions in scenarios S and S-N are moving constantly downwards over 2026-2050; at a lower pace by 2029 and at a higher one between 2030 and 2050.</w:t>
      </w:r>
    </w:p>
    <w:p w14:paraId="14A00EB0" w14:textId="0A3903E4" w:rsidR="00185B2B" w:rsidRPr="00A33AE8" w:rsidRDefault="00185B2B" w:rsidP="00185B2B">
      <w:pPr>
        <w:spacing w:line="240" w:lineRule="auto"/>
        <w:jc w:val="both"/>
        <w:rPr>
          <w:rFonts w:asciiTheme="majorHAnsi" w:hAnsiTheme="majorHAnsi" w:cstheme="majorHAnsi"/>
        </w:rPr>
      </w:pPr>
      <w:r w:rsidRPr="00A33AE8">
        <w:rPr>
          <w:rFonts w:asciiTheme="majorHAnsi" w:hAnsiTheme="majorHAnsi" w:cstheme="majorHAnsi"/>
        </w:rPr>
        <w:lastRenderedPageBreak/>
        <w:t>The total GHG emissions, including agriculture, waste and LULUCF, stood at</w:t>
      </w:r>
      <w:r w:rsidR="00DB72D3" w:rsidRPr="00A33AE8">
        <w:rPr>
          <w:rFonts w:asciiTheme="majorHAnsi" w:hAnsiTheme="majorHAnsi" w:cstheme="majorHAnsi"/>
        </w:rPr>
        <w:t xml:space="preserve"> </w:t>
      </w:r>
      <w:r w:rsidRPr="00A33AE8">
        <w:rPr>
          <w:rFonts w:asciiTheme="majorHAnsi" w:hAnsiTheme="majorHAnsi" w:cstheme="majorHAnsi"/>
        </w:rPr>
        <w:t>47,</w:t>
      </w:r>
      <w:r w:rsidR="00DB72D3" w:rsidRPr="00A33AE8">
        <w:rPr>
          <w:rFonts w:asciiTheme="majorHAnsi" w:hAnsiTheme="majorHAnsi" w:cstheme="majorHAnsi"/>
        </w:rPr>
        <w:t>765</w:t>
      </w:r>
      <w:r w:rsidRPr="00A33AE8">
        <w:rPr>
          <w:rFonts w:asciiTheme="majorHAnsi" w:hAnsiTheme="majorHAnsi" w:cstheme="majorHAnsi"/>
        </w:rPr>
        <w:t xml:space="preserve"> ktons of CO2-eq in 2030 in both scenarios S and S-N (</w:t>
      </w:r>
      <w:r w:rsidR="00D92E13">
        <w:rPr>
          <w:rFonts w:asciiTheme="majorHAnsi" w:hAnsiTheme="majorHAnsi" w:cstheme="majorHAnsi"/>
        </w:rPr>
        <w:fldChar w:fldCharType="begin"/>
      </w:r>
      <w:r w:rsidR="00D92E13">
        <w:rPr>
          <w:rFonts w:asciiTheme="majorHAnsi" w:hAnsiTheme="majorHAnsi" w:cstheme="majorHAnsi"/>
        </w:rPr>
        <w:instrText xml:space="preserve"> REF _Ref153466178 \h  \* MERGEFORMAT </w:instrText>
      </w:r>
      <w:r w:rsidR="00D92E13">
        <w:rPr>
          <w:rFonts w:asciiTheme="majorHAnsi" w:hAnsiTheme="majorHAnsi" w:cstheme="majorHAnsi"/>
        </w:rPr>
      </w:r>
      <w:r w:rsidR="00D92E13">
        <w:rPr>
          <w:rFonts w:asciiTheme="majorHAnsi" w:hAnsiTheme="majorHAnsi" w:cstheme="majorHAnsi"/>
        </w:rPr>
        <w:fldChar w:fldCharType="separate"/>
      </w:r>
      <w:r w:rsidR="00D92E13" w:rsidRPr="0087794A">
        <w:rPr>
          <w:rFonts w:asciiTheme="majorHAnsi" w:hAnsiTheme="majorHAnsi" w:cstheme="majorHAnsi"/>
        </w:rPr>
        <w:t>Figure 5.1</w:t>
      </w:r>
      <w:r w:rsidR="00D92E13">
        <w:rPr>
          <w:rFonts w:asciiTheme="majorHAnsi" w:hAnsiTheme="majorHAnsi" w:cstheme="majorHAnsi"/>
        </w:rPr>
        <w:fldChar w:fldCharType="end"/>
      </w:r>
      <w:r w:rsidRPr="00A33AE8">
        <w:rPr>
          <w:rFonts w:asciiTheme="majorHAnsi" w:hAnsiTheme="majorHAnsi" w:cstheme="majorHAnsi"/>
        </w:rPr>
        <w:t>). A reduction of 40% in 2030 has been recorded in scenarios S and S-N (</w:t>
      </w:r>
      <w:r w:rsidR="00D92E13">
        <w:rPr>
          <w:rFonts w:asciiTheme="majorHAnsi" w:hAnsiTheme="majorHAnsi" w:cstheme="majorHAnsi"/>
        </w:rPr>
        <w:fldChar w:fldCharType="begin"/>
      </w:r>
      <w:r w:rsidR="00D92E13">
        <w:rPr>
          <w:rFonts w:asciiTheme="majorHAnsi" w:hAnsiTheme="majorHAnsi" w:cstheme="majorHAnsi"/>
        </w:rPr>
        <w:instrText xml:space="preserve"> REF _Ref153466295 \h  \* MERGEFORMAT </w:instrText>
      </w:r>
      <w:r w:rsidR="00D92E13">
        <w:rPr>
          <w:rFonts w:asciiTheme="majorHAnsi" w:hAnsiTheme="majorHAnsi" w:cstheme="majorHAnsi"/>
        </w:rPr>
      </w:r>
      <w:r w:rsidR="00D92E13">
        <w:rPr>
          <w:rFonts w:asciiTheme="majorHAnsi" w:hAnsiTheme="majorHAnsi" w:cstheme="majorHAnsi"/>
        </w:rPr>
        <w:fldChar w:fldCharType="separate"/>
      </w:r>
      <w:r w:rsidR="00D92E13" w:rsidRPr="0087794A">
        <w:rPr>
          <w:rFonts w:asciiTheme="majorHAnsi" w:hAnsiTheme="majorHAnsi" w:cstheme="majorHAnsi"/>
        </w:rPr>
        <w:t>Figure 5.2</w:t>
      </w:r>
      <w:r w:rsidR="00D92E13">
        <w:rPr>
          <w:rFonts w:asciiTheme="majorHAnsi" w:hAnsiTheme="majorHAnsi" w:cstheme="majorHAnsi"/>
        </w:rPr>
        <w:fldChar w:fldCharType="end"/>
      </w:r>
      <w:r w:rsidR="00D92E13">
        <w:rPr>
          <w:rFonts w:asciiTheme="majorHAnsi" w:hAnsiTheme="majorHAnsi" w:cstheme="majorHAnsi"/>
        </w:rPr>
        <w:fldChar w:fldCharType="begin"/>
      </w:r>
      <w:r w:rsidR="00D92E13">
        <w:rPr>
          <w:rFonts w:asciiTheme="majorHAnsi" w:hAnsiTheme="majorHAnsi" w:cstheme="majorHAnsi"/>
        </w:rPr>
        <w:instrText xml:space="preserve"> REF _Ref153466187 \h  \* MERGEFORMAT </w:instrText>
      </w:r>
      <w:r w:rsidR="00D92E13">
        <w:rPr>
          <w:rFonts w:asciiTheme="majorHAnsi" w:hAnsiTheme="majorHAnsi" w:cstheme="majorHAnsi"/>
        </w:rPr>
      </w:r>
      <w:r w:rsidR="00D92E13">
        <w:rPr>
          <w:rFonts w:asciiTheme="majorHAnsi" w:hAnsiTheme="majorHAnsi" w:cstheme="majorHAnsi"/>
        </w:rPr>
        <w:fldChar w:fldCharType="end"/>
      </w:r>
      <w:r w:rsidRPr="00A33AE8">
        <w:rPr>
          <w:rFonts w:asciiTheme="majorHAnsi" w:hAnsiTheme="majorHAnsi" w:cstheme="majorHAnsi"/>
        </w:rPr>
        <w:t xml:space="preserve">), compared to the 1990 </w:t>
      </w:r>
      <w:r w:rsidR="00A011EA" w:rsidRPr="00A33AE8">
        <w:rPr>
          <w:rFonts w:asciiTheme="majorHAnsi" w:hAnsiTheme="majorHAnsi" w:cstheme="majorHAnsi"/>
        </w:rPr>
        <w:t xml:space="preserve">levels </w:t>
      </w:r>
      <w:r w:rsidRPr="00A33AE8">
        <w:rPr>
          <w:rFonts w:asciiTheme="majorHAnsi" w:hAnsiTheme="majorHAnsi" w:cstheme="majorHAnsi"/>
        </w:rPr>
        <w:t>due to the increased penetration of RES and the implementation of energy efficiency measures, while at the same time a reduction of 19% is recorded in 2030 in WEM scenario, compared to 1990.</w:t>
      </w:r>
    </w:p>
    <w:p w14:paraId="5B602C42" w14:textId="77777777" w:rsidR="00DB72D3" w:rsidRPr="00A33AE8" w:rsidRDefault="00185B2B" w:rsidP="00DB72D3">
      <w:pPr>
        <w:spacing w:line="240" w:lineRule="auto"/>
        <w:jc w:val="both"/>
        <w:rPr>
          <w:rFonts w:asciiTheme="majorHAnsi" w:hAnsiTheme="majorHAnsi" w:cstheme="majorHAnsi"/>
        </w:rPr>
      </w:pPr>
      <w:r w:rsidRPr="00A33AE8">
        <w:rPr>
          <w:rFonts w:asciiTheme="majorHAnsi" w:hAnsiTheme="majorHAnsi" w:cstheme="majorHAnsi"/>
        </w:rPr>
        <w:t xml:space="preserve">In 2050, the total GHG emissions, including agriculture, waste and LULUCF, </w:t>
      </w:r>
      <w:r w:rsidR="00DB72D3" w:rsidRPr="00A33AE8">
        <w:rPr>
          <w:rFonts w:asciiTheme="majorHAnsi" w:hAnsiTheme="majorHAnsi" w:cstheme="majorHAnsi"/>
        </w:rPr>
        <w:t>reach 21,330</w:t>
      </w:r>
      <w:r w:rsidRPr="00A33AE8">
        <w:rPr>
          <w:rFonts w:asciiTheme="majorHAnsi" w:hAnsiTheme="majorHAnsi" w:cstheme="majorHAnsi"/>
        </w:rPr>
        <w:t xml:space="preserve"> ktons of CO2-eq in scenario S and</w:t>
      </w:r>
      <w:r w:rsidR="00DB72D3" w:rsidRPr="00A33AE8">
        <w:rPr>
          <w:rFonts w:asciiTheme="majorHAnsi" w:hAnsiTheme="majorHAnsi" w:cstheme="majorHAnsi"/>
        </w:rPr>
        <w:t xml:space="preserve"> 19,745</w:t>
      </w:r>
      <w:r w:rsidRPr="00A33AE8">
        <w:rPr>
          <w:rFonts w:asciiTheme="majorHAnsi" w:hAnsiTheme="majorHAnsi" w:cstheme="majorHAnsi"/>
        </w:rPr>
        <w:t xml:space="preserve"> ktons of CO2-eq in scenario S-N. A reduction of </w:t>
      </w:r>
      <w:r w:rsidR="00DB72D3" w:rsidRPr="00A33AE8">
        <w:rPr>
          <w:rFonts w:asciiTheme="majorHAnsi" w:hAnsiTheme="majorHAnsi" w:cstheme="majorHAnsi"/>
        </w:rPr>
        <w:t xml:space="preserve">73% and </w:t>
      </w:r>
      <w:r w:rsidRPr="00A33AE8">
        <w:rPr>
          <w:rFonts w:asciiTheme="majorHAnsi" w:hAnsiTheme="majorHAnsi" w:cstheme="majorHAnsi"/>
        </w:rPr>
        <w:t xml:space="preserve">75% </w:t>
      </w:r>
      <w:r w:rsidR="00DB72D3" w:rsidRPr="00A33AE8">
        <w:rPr>
          <w:rFonts w:asciiTheme="majorHAnsi" w:hAnsiTheme="majorHAnsi" w:cstheme="majorHAnsi"/>
        </w:rPr>
        <w:t>has been recorded in scenarios S and S-N respectively in 2050, compared to the 1990, while the corresponding decline in WEM scenario compared to 1990 is equal to 9% demonstrating the impact of the additional policies and measures.</w:t>
      </w:r>
    </w:p>
    <w:p w14:paraId="138ED445" w14:textId="4AE05EE1" w:rsidR="00DB72D3" w:rsidRPr="00A33AE8" w:rsidRDefault="00DB72D3" w:rsidP="00DB72D3">
      <w:pPr>
        <w:pStyle w:val="Caption"/>
      </w:pPr>
      <w:bookmarkStart w:id="410" w:name="_Ref153466178"/>
      <w:bookmarkStart w:id="411" w:name="_Toc154575274"/>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w:t>
      </w:r>
      <w:r w:rsidR="006E0533">
        <w:rPr>
          <w:noProof/>
        </w:rPr>
        <w:fldChar w:fldCharType="end"/>
      </w:r>
      <w:bookmarkEnd w:id="410"/>
      <w:r w:rsidRPr="00A33AE8">
        <w:t>: Total GHG emissions (including agriculture, waste and LULUCF)</w:t>
      </w:r>
      <w:bookmarkEnd w:id="411"/>
    </w:p>
    <w:bookmarkStart w:id="412" w:name="_heading=h.4hr1b5p" w:colFirst="0" w:colLast="0"/>
    <w:bookmarkEnd w:id="412"/>
    <w:p w14:paraId="2C0D4022" w14:textId="126190E6" w:rsidR="00F774FA" w:rsidRDefault="00DB72D3" w:rsidP="0087794A">
      <w:pPr>
        <w:pStyle w:val="LDKbody"/>
        <w:jc w:val="center"/>
      </w:pPr>
      <w:r w:rsidRPr="000007D2">
        <w:rPr>
          <w:noProof/>
          <w:lang w:val="en-US" w:eastAsia="en-US"/>
        </w:rPr>
        <mc:AlternateContent>
          <mc:Choice Requires="wps">
            <w:drawing>
              <wp:anchor distT="0" distB="0" distL="114300" distR="114300" simplePos="0" relativeHeight="251737088" behindDoc="0" locked="0" layoutInCell="1" allowOverlap="1" wp14:anchorId="57BDDC35" wp14:editId="29B5CAF3">
                <wp:simplePos x="0" y="0"/>
                <wp:positionH relativeFrom="column">
                  <wp:posOffset>996415</wp:posOffset>
                </wp:positionH>
                <wp:positionV relativeFrom="paragraph">
                  <wp:posOffset>674571</wp:posOffset>
                </wp:positionV>
                <wp:extent cx="2876550" cy="3416968"/>
                <wp:effectExtent l="0" t="0" r="0" b="0"/>
                <wp:wrapNone/>
                <wp:docPr id="256109483" name="Text Box 256109483"/>
                <wp:cNvGraphicFramePr/>
                <a:graphic xmlns:a="http://schemas.openxmlformats.org/drawingml/2006/main">
                  <a:graphicData uri="http://schemas.microsoft.com/office/word/2010/wordprocessingShape">
                    <wps:wsp>
                      <wps:cNvSpPr txBox="1"/>
                      <wps:spPr>
                        <a:xfrm>
                          <a:off x="0" y="0"/>
                          <a:ext cx="2876550" cy="3416968"/>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4B30F1" id="Text Box 256109483" o:spid="_x0000_s1026" type="#_x0000_t202" style="position:absolute;margin-left:78.45pt;margin-top:53.1pt;width:226.5pt;height:269.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" fillcolor="#a6a6a6" stroked="f">
                <v:fill opacity="32896f"/>
              </v:shape>
            </w:pict>
          </mc:Fallback>
        </mc:AlternateContent>
      </w:r>
      <w:r w:rsidRPr="000007D2">
        <w:rPr>
          <w:rFonts w:asciiTheme="majorHAnsi" w:hAnsiTheme="majorHAnsi" w:cstheme="majorHAnsi"/>
          <w:noProof/>
          <w:lang w:val="en-US" w:eastAsia="en-US"/>
        </w:rPr>
        <w:drawing>
          <wp:inline distT="0" distB="0" distL="0" distR="0" wp14:anchorId="3E37A31F" wp14:editId="7779A3BE">
            <wp:extent cx="5446295" cy="4690740"/>
            <wp:effectExtent l="0" t="0" r="2540" b="0"/>
            <wp:docPr id="256109440" name="Picture 2561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48667" cy="4692783"/>
                    </a:xfrm>
                    <a:prstGeom prst="rect">
                      <a:avLst/>
                    </a:prstGeom>
                    <a:noFill/>
                  </pic:spPr>
                </pic:pic>
              </a:graphicData>
            </a:graphic>
          </wp:inline>
        </w:drawing>
      </w:r>
    </w:p>
    <w:p w14:paraId="6542F609" w14:textId="565C548C" w:rsidR="00D92E13" w:rsidRDefault="00D92E13" w:rsidP="0087794A">
      <w:pPr>
        <w:pStyle w:val="Caption"/>
        <w:keepNext/>
      </w:pPr>
      <w:bookmarkStart w:id="413" w:name="_Ref153466295"/>
      <w:bookmarkStart w:id="414" w:name="_Toc154575275"/>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w:t>
      </w:r>
      <w:r w:rsidR="006E0533">
        <w:rPr>
          <w:noProof/>
        </w:rPr>
        <w:fldChar w:fldCharType="end"/>
      </w:r>
      <w:bookmarkEnd w:id="413"/>
      <w:r w:rsidRPr="00D92E13">
        <w:t>: Total GHG emissions (including agriculture, waste and LULUCF) reductions as percentages with respect to 1990</w:t>
      </w:r>
      <w:bookmarkEnd w:id="414"/>
    </w:p>
    <w:p w14:paraId="3909D506" w14:textId="71081815" w:rsidR="00DB72D3" w:rsidRPr="000007D2" w:rsidRDefault="00D92E13" w:rsidP="00DB72D3">
      <w:pPr>
        <w:jc w:val="center"/>
        <w:rPr>
          <w:b/>
          <w:bCs/>
        </w:rPr>
      </w:pPr>
      <w:r w:rsidRPr="000007D2">
        <w:rPr>
          <w:noProof/>
          <w:lang w:val="en-US"/>
        </w:rPr>
        <mc:AlternateContent>
          <mc:Choice Requires="wps">
            <w:drawing>
              <wp:anchor distT="0" distB="0" distL="114300" distR="114300" simplePos="0" relativeHeight="251739136" behindDoc="0" locked="0" layoutInCell="1" allowOverlap="1" wp14:anchorId="73DEEB32" wp14:editId="4EA32921">
                <wp:simplePos x="0" y="0"/>
                <wp:positionH relativeFrom="column">
                  <wp:posOffset>607561</wp:posOffset>
                </wp:positionH>
                <wp:positionV relativeFrom="paragraph">
                  <wp:posOffset>375620</wp:posOffset>
                </wp:positionV>
                <wp:extent cx="3209925" cy="2657475"/>
                <wp:effectExtent l="0" t="0" r="9525" b="9525"/>
                <wp:wrapNone/>
                <wp:docPr id="256109484" name="Text Box 256109484"/>
                <wp:cNvGraphicFramePr/>
                <a:graphic xmlns:a="http://schemas.openxmlformats.org/drawingml/2006/main">
                  <a:graphicData uri="http://schemas.microsoft.com/office/word/2010/wordprocessingShape">
                    <wps:wsp>
                      <wps:cNvSpPr txBox="1"/>
                      <wps:spPr>
                        <a:xfrm>
                          <a:off x="0" y="0"/>
                          <a:ext cx="3209925" cy="265747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E82ED" id="Text Box 256109484" o:spid="_x0000_s1026" type="#_x0000_t202" style="position:absolute;margin-left:47.85pt;margin-top:29.6pt;width:252.75pt;height:20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" fillcolor="#a6a6a6" stroked="f">
                <v:fill opacity="32896f"/>
              </v:shape>
            </w:pict>
          </mc:Fallback>
        </mc:AlternateContent>
      </w:r>
      <w:r w:rsidR="00DB72D3" w:rsidRPr="000007D2">
        <w:rPr>
          <w:b/>
          <w:bCs/>
          <w:noProof/>
          <w:lang w:val="en-US"/>
        </w:rPr>
        <w:drawing>
          <wp:inline distT="0" distB="0" distL="0" distR="0" wp14:anchorId="5F89A819" wp14:editId="3F02C21D">
            <wp:extent cx="6070954" cy="3853874"/>
            <wp:effectExtent l="0" t="0" r="6350" b="0"/>
            <wp:docPr id="256109444" name="Picture 25610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81285" cy="3860432"/>
                    </a:xfrm>
                    <a:prstGeom prst="rect">
                      <a:avLst/>
                    </a:prstGeom>
                    <a:noFill/>
                  </pic:spPr>
                </pic:pic>
              </a:graphicData>
            </a:graphic>
          </wp:inline>
        </w:drawing>
      </w:r>
    </w:p>
    <w:p w14:paraId="493E2BA9" w14:textId="66B7D8D8" w:rsidR="00185B2B" w:rsidRPr="00A33AE8" w:rsidRDefault="00DB72D3" w:rsidP="00185B2B">
      <w:pPr>
        <w:jc w:val="both"/>
        <w:rPr>
          <w:rFonts w:asciiTheme="majorHAnsi" w:hAnsiTheme="majorHAnsi" w:cstheme="majorHAnsi"/>
        </w:rPr>
      </w:pPr>
      <w:r w:rsidRPr="00A33AE8">
        <w:rPr>
          <w:rFonts w:asciiTheme="majorHAnsi" w:hAnsiTheme="majorHAnsi" w:cstheme="majorHAnsi"/>
        </w:rPr>
        <w:t xml:space="preserve">In scenarios S and S-N, the GHG emissions from energy use, processes, and fugitive </w:t>
      </w:r>
      <w:r w:rsidR="00A011EA" w:rsidRPr="00A33AE8">
        <w:rPr>
          <w:rFonts w:asciiTheme="majorHAnsi" w:hAnsiTheme="majorHAnsi" w:cstheme="majorHAnsi"/>
        </w:rPr>
        <w:t xml:space="preserve">emissions </w:t>
      </w:r>
      <w:r w:rsidRPr="00A33AE8">
        <w:rPr>
          <w:rFonts w:asciiTheme="majorHAnsi" w:hAnsiTheme="majorHAnsi" w:cstheme="majorHAnsi"/>
        </w:rPr>
        <w:t>are equal to 47,477 ktons of CO2-eq in 2030</w:t>
      </w:r>
      <w:r w:rsidR="0001335D">
        <w:rPr>
          <w:rFonts w:asciiTheme="majorHAnsi" w:hAnsiTheme="majorHAnsi" w:cstheme="majorHAnsi"/>
          <w:lang w:val="sr-Cyrl-RS"/>
        </w:rPr>
        <w:t>.</w:t>
      </w:r>
      <w:r w:rsidRPr="00A33AE8">
        <w:rPr>
          <w:rFonts w:asciiTheme="majorHAnsi" w:hAnsiTheme="majorHAnsi" w:cstheme="majorHAnsi"/>
        </w:rPr>
        <w:t xml:space="preserve"> </w:t>
      </w:r>
      <w:r w:rsidR="00185B2B" w:rsidRPr="00A33AE8">
        <w:rPr>
          <w:rFonts w:asciiTheme="majorHAnsi" w:hAnsiTheme="majorHAnsi" w:cstheme="majorHAnsi"/>
        </w:rPr>
        <w:t>A reduction of 34% in 2030 has been noted in scenarios S and S-N, compared to the 1990 due to the increased penetration of RES and the implementation of energy efficiency measures, while at the same time a reduction of 10% is recorded in 2030 in WEM scenario, compared to the 1990.</w:t>
      </w:r>
    </w:p>
    <w:p w14:paraId="5370F6F4" w14:textId="009B8B05" w:rsidR="00D92E13" w:rsidRDefault="00D92E13" w:rsidP="0087794A">
      <w:pPr>
        <w:pStyle w:val="Caption"/>
        <w:keepNext/>
      </w:pPr>
      <w:bookmarkStart w:id="415" w:name="_Toc154575276"/>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w:t>
      </w:r>
      <w:r w:rsidR="006E0533">
        <w:rPr>
          <w:noProof/>
        </w:rPr>
        <w:fldChar w:fldCharType="end"/>
      </w:r>
      <w:r w:rsidRPr="00D92E13">
        <w:t>: GHG emissions from energy use, processes, and fugitive per sector</w:t>
      </w:r>
      <w:bookmarkEnd w:id="415"/>
    </w:p>
    <w:p w14:paraId="5C8EA1BE" w14:textId="26E0C456" w:rsidR="00DB72D3" w:rsidRPr="00A33AE8" w:rsidRDefault="00D92E13" w:rsidP="00DB72D3">
      <w:pPr>
        <w:jc w:val="center"/>
        <w:rPr>
          <w:b/>
          <w:bCs/>
        </w:rPr>
      </w:pPr>
      <w:r w:rsidRPr="000007D2">
        <w:rPr>
          <w:noProof/>
          <w:lang w:val="en-US"/>
        </w:rPr>
        <mc:AlternateContent>
          <mc:Choice Requires="wps">
            <w:drawing>
              <wp:anchor distT="0" distB="0" distL="114300" distR="114300" simplePos="0" relativeHeight="251741184" behindDoc="0" locked="0" layoutInCell="1" allowOverlap="1" wp14:anchorId="3656070B" wp14:editId="4DC73ADE">
                <wp:simplePos x="0" y="0"/>
                <wp:positionH relativeFrom="column">
                  <wp:posOffset>727275</wp:posOffset>
                </wp:positionH>
                <wp:positionV relativeFrom="paragraph">
                  <wp:posOffset>591820</wp:posOffset>
                </wp:positionV>
                <wp:extent cx="3124200" cy="3276600"/>
                <wp:effectExtent l="0" t="0" r="0" b="0"/>
                <wp:wrapNone/>
                <wp:docPr id="256109485" name="Text Box 256109485"/>
                <wp:cNvGraphicFramePr/>
                <a:graphic xmlns:a="http://schemas.openxmlformats.org/drawingml/2006/main">
                  <a:graphicData uri="http://schemas.microsoft.com/office/word/2010/wordprocessingShape">
                    <wps:wsp>
                      <wps:cNvSpPr txBox="1"/>
                      <wps:spPr>
                        <a:xfrm>
                          <a:off x="0" y="0"/>
                          <a:ext cx="3124200" cy="32766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F3F16A" id="Text Box 256109485" o:spid="_x0000_s1026" type="#_x0000_t202" style="position:absolute;margin-left:57.25pt;margin-top:46.6pt;width:246pt;height:2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" fillcolor="#a6a6a6" stroked="f">
                <v:fill opacity="32896f"/>
              </v:shape>
            </w:pict>
          </mc:Fallback>
        </mc:AlternateContent>
      </w:r>
      <w:r w:rsidR="00DB72D3" w:rsidRPr="000007D2">
        <w:rPr>
          <w:b/>
          <w:bCs/>
          <w:noProof/>
          <w:lang w:val="en-US"/>
        </w:rPr>
        <w:drawing>
          <wp:inline distT="0" distB="0" distL="0" distR="0" wp14:anchorId="7AF071B2" wp14:editId="7546C148">
            <wp:extent cx="6004924" cy="4676864"/>
            <wp:effectExtent l="0" t="0" r="0" b="0"/>
            <wp:docPr id="256109445" name="Picture 25610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13596" cy="4683618"/>
                    </a:xfrm>
                    <a:prstGeom prst="rect">
                      <a:avLst/>
                    </a:prstGeom>
                    <a:noFill/>
                  </pic:spPr>
                </pic:pic>
              </a:graphicData>
            </a:graphic>
          </wp:inline>
        </w:drawing>
      </w:r>
    </w:p>
    <w:p w14:paraId="510751F4" w14:textId="5406B25F" w:rsidR="004D2B85" w:rsidRDefault="00DB72D3" w:rsidP="0087794A">
      <w:pPr>
        <w:jc w:val="both"/>
      </w:pPr>
      <w:r w:rsidRPr="00A33AE8">
        <w:rPr>
          <w:rFonts w:asciiTheme="majorHAnsi" w:hAnsiTheme="majorHAnsi" w:cstheme="majorHAnsi"/>
        </w:rPr>
        <w:t>Although the projected GHG emissions from energy use, processes, and fugitive decrease by 52% in</w:t>
      </w:r>
      <w:r w:rsidR="00A011EA" w:rsidRPr="00A33AE8">
        <w:rPr>
          <w:rFonts w:asciiTheme="majorHAnsi" w:hAnsiTheme="majorHAnsi" w:cstheme="majorHAnsi"/>
        </w:rPr>
        <w:t xml:space="preserve"> both</w:t>
      </w:r>
      <w:r w:rsidRPr="00A33AE8">
        <w:rPr>
          <w:rFonts w:asciiTheme="majorHAnsi" w:hAnsiTheme="majorHAnsi" w:cstheme="majorHAnsi"/>
        </w:rPr>
        <w:t xml:space="preserve"> scenarios S and S-N in 2040, compared to the 1990, they are differentiated in 2050 leading to 18,376 ktons of CO2-eq in scenario S and 16,791 ktons of CO2-eq in scenario S-N due to the introduction of the nuclear power plants in scenario S-N. A reduction of 74% and </w:t>
      </w:r>
      <w:r w:rsidR="00185B2B" w:rsidRPr="00A33AE8">
        <w:rPr>
          <w:rFonts w:asciiTheme="majorHAnsi" w:hAnsiTheme="majorHAnsi" w:cstheme="majorHAnsi"/>
        </w:rPr>
        <w:t xml:space="preserve">77% has been recorded in scenarios S and S-N respectively in 2050, compared to the 1990, while the corresponding decline in WEM scenario compared to 1990 is equal to </w:t>
      </w:r>
      <w:r w:rsidRPr="00A33AE8">
        <w:rPr>
          <w:rFonts w:asciiTheme="majorHAnsi" w:hAnsiTheme="majorHAnsi" w:cstheme="majorHAnsi"/>
        </w:rPr>
        <w:t>2</w:t>
      </w:r>
      <w:r w:rsidR="00185B2B" w:rsidRPr="00A33AE8">
        <w:rPr>
          <w:rFonts w:asciiTheme="majorHAnsi" w:hAnsiTheme="majorHAnsi" w:cstheme="majorHAnsi"/>
        </w:rPr>
        <w:t>% demonstrating the impact of the additional policies and measures.</w:t>
      </w:r>
    </w:p>
    <w:p w14:paraId="20DFEAF7" w14:textId="574492CA" w:rsidR="004D2B85" w:rsidRDefault="004D2B85" w:rsidP="0087794A">
      <w:pPr>
        <w:pStyle w:val="Caption"/>
        <w:keepNext/>
      </w:pPr>
      <w:bookmarkStart w:id="416" w:name="_Toc154575277"/>
      <w:r>
        <w:lastRenderedPageBreak/>
        <w:t xml:space="preserve">Figure </w:t>
      </w:r>
      <w:r w:rsidR="006E0533">
        <w:fldChar w:fldCharType="begin"/>
      </w:r>
      <w:r w:rsidR="006E0533">
        <w:instrText xml:space="preserve"> STYLEREF 1 </w:instrText>
      </w:r>
      <w:r w:rsidR="006E0533">
        <w:instrText xml:space="preserve">\s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w:t>
      </w:r>
      <w:r w:rsidR="006E0533">
        <w:rPr>
          <w:noProof/>
        </w:rPr>
        <w:fldChar w:fldCharType="end"/>
      </w:r>
      <w:r w:rsidRPr="004D2B85">
        <w:t>: GHG emissions from energy use, processes, and fugitive reductions as percentages with respect to 1990</w:t>
      </w:r>
      <w:bookmarkEnd w:id="416"/>
    </w:p>
    <w:p w14:paraId="2E2D1495" w14:textId="69C44058" w:rsidR="00DB72D3" w:rsidRPr="00A33AE8" w:rsidRDefault="004D2B85" w:rsidP="00DB72D3">
      <w:pPr>
        <w:jc w:val="center"/>
        <w:rPr>
          <w:b/>
          <w:bCs/>
        </w:rPr>
      </w:pPr>
      <w:r w:rsidRPr="000007D2">
        <w:rPr>
          <w:noProof/>
          <w:lang w:val="en-US"/>
        </w:rPr>
        <mc:AlternateContent>
          <mc:Choice Requires="wps">
            <w:drawing>
              <wp:anchor distT="0" distB="0" distL="114300" distR="114300" simplePos="0" relativeHeight="251743232" behindDoc="0" locked="0" layoutInCell="1" allowOverlap="1" wp14:anchorId="2352EE35" wp14:editId="171FB444">
                <wp:simplePos x="0" y="0"/>
                <wp:positionH relativeFrom="column">
                  <wp:posOffset>723699</wp:posOffset>
                </wp:positionH>
                <wp:positionV relativeFrom="paragraph">
                  <wp:posOffset>312387</wp:posOffset>
                </wp:positionV>
                <wp:extent cx="3152775" cy="2393782"/>
                <wp:effectExtent l="0" t="0" r="9525" b="6985"/>
                <wp:wrapNone/>
                <wp:docPr id="256109486" name="Text Box 256109486"/>
                <wp:cNvGraphicFramePr/>
                <a:graphic xmlns:a="http://schemas.openxmlformats.org/drawingml/2006/main">
                  <a:graphicData uri="http://schemas.microsoft.com/office/word/2010/wordprocessingShape">
                    <wps:wsp>
                      <wps:cNvSpPr txBox="1"/>
                      <wps:spPr>
                        <a:xfrm>
                          <a:off x="0" y="0"/>
                          <a:ext cx="3152775" cy="2393782"/>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4EF94" id="Text Box 256109486" o:spid="_x0000_s1026" type="#_x0000_t202" style="position:absolute;margin-left:57pt;margin-top:24.6pt;width:248.25pt;height:18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" fillcolor="#a6a6a6" stroked="f">
                <v:fill opacity="32896f"/>
              </v:shape>
            </w:pict>
          </mc:Fallback>
        </mc:AlternateContent>
      </w:r>
      <w:r w:rsidR="00DB72D3" w:rsidRPr="000007D2">
        <w:rPr>
          <w:b/>
          <w:bCs/>
          <w:noProof/>
          <w:lang w:val="en-US"/>
        </w:rPr>
        <w:drawing>
          <wp:inline distT="0" distB="0" distL="0" distR="0" wp14:anchorId="0EB89139" wp14:editId="59A7F107">
            <wp:extent cx="5827262" cy="3722574"/>
            <wp:effectExtent l="0" t="0" r="2540" b="0"/>
            <wp:docPr id="256109446" name="Picture 25610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31199" cy="3725089"/>
                    </a:xfrm>
                    <a:prstGeom prst="rect">
                      <a:avLst/>
                    </a:prstGeom>
                    <a:noFill/>
                  </pic:spPr>
                </pic:pic>
              </a:graphicData>
            </a:graphic>
          </wp:inline>
        </w:drawing>
      </w:r>
    </w:p>
    <w:p w14:paraId="127B617D" w14:textId="77777777" w:rsidR="00185B2B" w:rsidRPr="00A33AE8" w:rsidRDefault="00A011EA" w:rsidP="00185B2B">
      <w:pPr>
        <w:jc w:val="both"/>
        <w:rPr>
          <w:rFonts w:asciiTheme="majorHAnsi" w:hAnsiTheme="majorHAnsi" w:cstheme="majorHAnsi"/>
        </w:rPr>
      </w:pPr>
      <w:r w:rsidRPr="00A33AE8">
        <w:rPr>
          <w:rFonts w:asciiTheme="majorHAnsi" w:hAnsiTheme="majorHAnsi" w:cstheme="majorHAnsi"/>
        </w:rPr>
        <w:t>T</w:t>
      </w:r>
      <w:r w:rsidR="00DB72D3" w:rsidRPr="00A33AE8">
        <w:rPr>
          <w:rFonts w:asciiTheme="majorHAnsi" w:hAnsiTheme="majorHAnsi" w:cstheme="majorHAnsi"/>
        </w:rPr>
        <w:t xml:space="preserve">he total GHG emissions from energy use, processes, and fugitive for all sectors stand at 47,477 ktons of CO2-eq in scenarios S and S-N in 2030. More specifically, 23,865 ktons of CO2-eq are resulted by the power and heat sector, 9,858 ktons of CO2-eq by the industrial sector, 7,617 ktons of CO2-eq by the transport sector, 2,147 ktons of CO2-eq by the residential and services sectors and 3,990 ktons of CO2-eq by the other sectors. </w:t>
      </w:r>
      <w:r w:rsidR="00185B2B" w:rsidRPr="00A33AE8">
        <w:rPr>
          <w:rFonts w:asciiTheme="majorHAnsi" w:hAnsiTheme="majorHAnsi" w:cstheme="majorHAnsi"/>
        </w:rPr>
        <w:t>The total emissions from the above-mentioned sectors in scenarios S and S-N in 2030 are 26% lower, compared to the WEM scenario over the same year.</w:t>
      </w:r>
    </w:p>
    <w:p w14:paraId="2257A538" w14:textId="77777777" w:rsidR="00185B2B" w:rsidRPr="000007D2" w:rsidRDefault="00DB72D3" w:rsidP="007A0028">
      <w:pPr>
        <w:jc w:val="both"/>
      </w:pPr>
      <w:r w:rsidRPr="00A33AE8">
        <w:rPr>
          <w:rFonts w:asciiTheme="majorHAnsi" w:hAnsiTheme="majorHAnsi" w:cstheme="majorHAnsi"/>
        </w:rPr>
        <w:t xml:space="preserve">Similarly, in 2050, the total GHG emissions </w:t>
      </w:r>
      <w:r w:rsidR="00A011EA" w:rsidRPr="00A33AE8">
        <w:rPr>
          <w:rFonts w:asciiTheme="majorHAnsi" w:hAnsiTheme="majorHAnsi" w:cstheme="majorHAnsi"/>
        </w:rPr>
        <w:t xml:space="preserve">from energy use, processes, and fugitive </w:t>
      </w:r>
      <w:r w:rsidRPr="00A33AE8">
        <w:rPr>
          <w:rFonts w:asciiTheme="majorHAnsi" w:hAnsiTheme="majorHAnsi" w:cstheme="majorHAnsi"/>
        </w:rPr>
        <w:t>for all sectors amount to 18,376 ktons of CO2-eq in scenario S and 16,791 ktons of CO2-eq in scenario S-N considerably less than the respective figures in 2040 depicting the intensification of the policies and measures for the promotion of decarbonization process. More specifically, 3,365 ktons of CO2-eq are derived by the power and heat sector, 8,045 ktons of CO2-eq by the</w:t>
      </w:r>
      <w:r w:rsidRPr="00A33AE8" w:rsidDel="00987CCF">
        <w:rPr>
          <w:rFonts w:asciiTheme="majorHAnsi" w:hAnsiTheme="majorHAnsi" w:cstheme="majorHAnsi"/>
        </w:rPr>
        <w:t xml:space="preserve"> </w:t>
      </w:r>
      <w:r w:rsidRPr="00A33AE8">
        <w:rPr>
          <w:rFonts w:asciiTheme="majorHAnsi" w:hAnsiTheme="majorHAnsi" w:cstheme="majorHAnsi"/>
        </w:rPr>
        <w:t>industrial sector, 4,206 ktons of CO2-eq by the</w:t>
      </w:r>
      <w:r w:rsidRPr="00A33AE8" w:rsidDel="00987CCF">
        <w:rPr>
          <w:rFonts w:asciiTheme="majorHAnsi" w:hAnsiTheme="majorHAnsi" w:cstheme="majorHAnsi"/>
        </w:rPr>
        <w:t xml:space="preserve"> </w:t>
      </w:r>
      <w:r w:rsidRPr="00A33AE8">
        <w:rPr>
          <w:rFonts w:asciiTheme="majorHAnsi" w:hAnsiTheme="majorHAnsi" w:cstheme="majorHAnsi"/>
        </w:rPr>
        <w:t>transport sector, 1,311 ktons of CO2-eq by the</w:t>
      </w:r>
      <w:r w:rsidRPr="00A33AE8" w:rsidDel="00987CCF">
        <w:rPr>
          <w:rFonts w:asciiTheme="majorHAnsi" w:hAnsiTheme="majorHAnsi" w:cstheme="majorHAnsi"/>
        </w:rPr>
        <w:t xml:space="preserve"> </w:t>
      </w:r>
      <w:r w:rsidRPr="00A33AE8">
        <w:rPr>
          <w:rFonts w:asciiTheme="majorHAnsi" w:hAnsiTheme="majorHAnsi" w:cstheme="majorHAnsi"/>
        </w:rPr>
        <w:t>residential and services sectors and 1,448 ktons of CO2-eq by the</w:t>
      </w:r>
      <w:r w:rsidRPr="00A33AE8" w:rsidDel="00987CCF">
        <w:rPr>
          <w:rFonts w:asciiTheme="majorHAnsi" w:hAnsiTheme="majorHAnsi" w:cstheme="majorHAnsi"/>
        </w:rPr>
        <w:t xml:space="preserve"> </w:t>
      </w:r>
      <w:r w:rsidRPr="00A33AE8">
        <w:rPr>
          <w:rFonts w:asciiTheme="majorHAnsi" w:hAnsiTheme="majorHAnsi" w:cstheme="majorHAnsi"/>
        </w:rPr>
        <w:t>other sectors for the case of scenario S. The respective figures for scenario S-N consist of 2,471 ktons of CO2-eq for the power and heat sector, 8,080 ktons of CO2-eq for the industrial sector, 3,736 ktons of CO2-eq for the transport sector, 1,300 ktons of CO2-eq for the residential and services sectors and 1,204 ktons of CO2-eq for the other sectors. The total emissions for the above-mentioned sectors in scenarios S and S-N in 2050 are 74% and 76% lower respectively, compared to the WEM scenario over the same year.</w:t>
      </w:r>
    </w:p>
    <w:p w14:paraId="44C44EEB" w14:textId="715D89E4" w:rsidR="006C0591" w:rsidRDefault="006C0591" w:rsidP="0087794A">
      <w:pPr>
        <w:pStyle w:val="Caption"/>
        <w:keepNext/>
      </w:pPr>
      <w:bookmarkStart w:id="417" w:name="_Toc154575278"/>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w:t>
      </w:r>
      <w:r w:rsidR="006E0533">
        <w:rPr>
          <w:noProof/>
        </w:rPr>
        <w:fldChar w:fldCharType="end"/>
      </w:r>
      <w:r>
        <w:t xml:space="preserve">: </w:t>
      </w:r>
      <w:r w:rsidRPr="006C0591">
        <w:t>GHG emissions (from energy use, processes, and fugitive) per sector</w:t>
      </w:r>
      <w:bookmarkEnd w:id="417"/>
    </w:p>
    <w:p w14:paraId="46D4822E" w14:textId="190D6339" w:rsidR="00DB72D3" w:rsidRPr="00A33AE8" w:rsidRDefault="006C0591" w:rsidP="00DB72D3">
      <w:pPr>
        <w:ind w:left="-142"/>
        <w:jc w:val="center"/>
        <w:rPr>
          <w:b/>
          <w:bCs/>
        </w:rPr>
      </w:pPr>
      <w:r w:rsidRPr="000007D2">
        <w:rPr>
          <w:noProof/>
          <w:lang w:val="en-US"/>
        </w:rPr>
        <mc:AlternateContent>
          <mc:Choice Requires="wps">
            <w:drawing>
              <wp:anchor distT="0" distB="0" distL="114300" distR="114300" simplePos="0" relativeHeight="251745280" behindDoc="0" locked="0" layoutInCell="1" allowOverlap="1" wp14:anchorId="06A19639" wp14:editId="0DE46255">
                <wp:simplePos x="0" y="0"/>
                <wp:positionH relativeFrom="column">
                  <wp:posOffset>680085</wp:posOffset>
                </wp:positionH>
                <wp:positionV relativeFrom="paragraph">
                  <wp:posOffset>164130</wp:posOffset>
                </wp:positionV>
                <wp:extent cx="3124200" cy="2000250"/>
                <wp:effectExtent l="0" t="0" r="0" b="0"/>
                <wp:wrapNone/>
                <wp:docPr id="256109487" name="Text Box 256109487"/>
                <wp:cNvGraphicFramePr/>
                <a:graphic xmlns:a="http://schemas.openxmlformats.org/drawingml/2006/main">
                  <a:graphicData uri="http://schemas.microsoft.com/office/word/2010/wordprocessingShape">
                    <wps:wsp>
                      <wps:cNvSpPr txBox="1"/>
                      <wps:spPr>
                        <a:xfrm>
                          <a:off x="0" y="0"/>
                          <a:ext cx="3124200" cy="20002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0BF6D2" id="Text Box 256109487" o:spid="_x0000_s1026" type="#_x0000_t202" style="position:absolute;margin-left:53.55pt;margin-top:12.9pt;width:246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" fillcolor="#a6a6a6" stroked="f">
                <v:fill opacity="32896f"/>
              </v:shape>
            </w:pict>
          </mc:Fallback>
        </mc:AlternateContent>
      </w:r>
      <w:r w:rsidR="00DB72D3" w:rsidRPr="000007D2">
        <w:rPr>
          <w:b/>
          <w:bCs/>
          <w:noProof/>
          <w:lang w:val="en-US"/>
        </w:rPr>
        <w:drawing>
          <wp:inline distT="0" distB="0" distL="0" distR="0" wp14:anchorId="0390A944" wp14:editId="5FBA5937">
            <wp:extent cx="5983020" cy="3921907"/>
            <wp:effectExtent l="0" t="0" r="0" b="2540"/>
            <wp:docPr id="256109447" name="Picture 25610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96070" cy="3930461"/>
                    </a:xfrm>
                    <a:prstGeom prst="rect">
                      <a:avLst/>
                    </a:prstGeom>
                    <a:noFill/>
                  </pic:spPr>
                </pic:pic>
              </a:graphicData>
            </a:graphic>
          </wp:inline>
        </w:drawing>
      </w:r>
    </w:p>
    <w:p w14:paraId="3932B37D" w14:textId="53DEDB9B" w:rsidR="006C0591" w:rsidRDefault="00760854" w:rsidP="00760854">
      <w:pPr>
        <w:jc w:val="both"/>
      </w:pPr>
      <w:r>
        <w:rPr>
          <w:rFonts w:asciiTheme="majorHAnsi" w:hAnsiTheme="majorHAnsi" w:cstheme="majorHAnsi"/>
        </w:rPr>
        <w:t>The non-energy related emissions from agriculture are projected to reach 4493 ktonsCO2eq in 2030 in the Scenario S and increase to a level of 5432 ktons CO2eq in 2050 (the same trajectory is followed in Scenario-SN). Emissions from waste would reach a level of 2371 ktons CO2eq in 2030 and would be reduced to 1936 ktonsCO2eq in 2050. Land Use, Land Use Change and forests are expected to contribute considerably to a reduction of emissions by -6576 ktons CO2eq in 2030. However, this contribution is expected to be reduced towards 2050, when it is projected to reach -4414 ktonsCO2eq.</w:t>
      </w:r>
    </w:p>
    <w:p w14:paraId="691C8BA6" w14:textId="233D9023" w:rsidR="006C0591" w:rsidRDefault="006C0591" w:rsidP="0087794A">
      <w:pPr>
        <w:pStyle w:val="Caption"/>
        <w:keepNext/>
      </w:pPr>
      <w:bookmarkStart w:id="418" w:name="_Toc154575279"/>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6</w:t>
      </w:r>
      <w:r w:rsidR="006E0533">
        <w:rPr>
          <w:noProof/>
        </w:rPr>
        <w:fldChar w:fldCharType="end"/>
      </w:r>
      <w:r>
        <w:t>:</w:t>
      </w:r>
      <w:r w:rsidRPr="006C0591">
        <w:t xml:space="preserve"> GHG emissions from agriculture (non-energy related), waste and LULUCF</w:t>
      </w:r>
      <w:bookmarkEnd w:id="418"/>
    </w:p>
    <w:p w14:paraId="3623090D" w14:textId="06922B09" w:rsidR="00760854" w:rsidRDefault="006C0591" w:rsidP="00760854">
      <w:pPr>
        <w:jc w:val="both"/>
        <w:rPr>
          <w:rFonts w:asciiTheme="majorHAnsi" w:hAnsiTheme="majorHAnsi" w:cstheme="majorHAnsi"/>
        </w:rPr>
      </w:pPr>
      <w:r w:rsidRPr="000007D2">
        <w:rPr>
          <w:noProof/>
          <w:lang w:val="en-US"/>
        </w:rPr>
        <mc:AlternateContent>
          <mc:Choice Requires="wps">
            <w:drawing>
              <wp:anchor distT="0" distB="0" distL="114300" distR="114300" simplePos="0" relativeHeight="251812864" behindDoc="0" locked="0" layoutInCell="1" allowOverlap="1" wp14:anchorId="0AFD6D5E" wp14:editId="41EDF95D">
                <wp:simplePos x="0" y="0"/>
                <wp:positionH relativeFrom="column">
                  <wp:posOffset>737235</wp:posOffset>
                </wp:positionH>
                <wp:positionV relativeFrom="paragraph">
                  <wp:posOffset>159653</wp:posOffset>
                </wp:positionV>
                <wp:extent cx="2881223" cy="3036498"/>
                <wp:effectExtent l="0" t="0" r="0" b="0"/>
                <wp:wrapNone/>
                <wp:docPr id="372833912" name="Text Box 372833912"/>
                <wp:cNvGraphicFramePr/>
                <a:graphic xmlns:a="http://schemas.openxmlformats.org/drawingml/2006/main">
                  <a:graphicData uri="http://schemas.microsoft.com/office/word/2010/wordprocessingShape">
                    <wps:wsp>
                      <wps:cNvSpPr txBox="1"/>
                      <wps:spPr>
                        <a:xfrm>
                          <a:off x="0" y="0"/>
                          <a:ext cx="2881223" cy="3036498"/>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CC6A2B" id="Text Box 372833912" o:spid="_x0000_s1026" type="#_x0000_t202" style="position:absolute;margin-left:58.05pt;margin-top:12.55pt;width:226.85pt;height:239.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" fillcolor="#a6a6a6" stroked="f">
                <v:fill opacity="32896f"/>
              </v:shape>
            </w:pict>
          </mc:Fallback>
        </mc:AlternateContent>
      </w:r>
      <w:r w:rsidR="00760854">
        <w:rPr>
          <w:rFonts w:asciiTheme="majorHAnsi" w:hAnsiTheme="majorHAnsi" w:cstheme="majorHAnsi"/>
          <w:noProof/>
          <w:lang w:val="en-US"/>
        </w:rPr>
        <w:drawing>
          <wp:inline distT="0" distB="0" distL="0" distR="0" wp14:anchorId="7A51CF7E" wp14:editId="2F9216B3">
            <wp:extent cx="5773420" cy="3615055"/>
            <wp:effectExtent l="0" t="0" r="0" b="4445"/>
            <wp:docPr id="1559557906" name="Picture 1559557906" descr="A graph of a number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57906" name="Picture 3" descr="A graph of a number of different colored bars&#10;&#10;Description automatically generated with medium confidenc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73420" cy="3615055"/>
                    </a:xfrm>
                    <a:prstGeom prst="rect">
                      <a:avLst/>
                    </a:prstGeom>
                    <a:noFill/>
                  </pic:spPr>
                </pic:pic>
              </a:graphicData>
            </a:graphic>
          </wp:inline>
        </w:drawing>
      </w:r>
    </w:p>
    <w:p w14:paraId="26E4C321" w14:textId="5789D635" w:rsidR="006C0591" w:rsidRDefault="00DB72D3" w:rsidP="0087794A">
      <w:pPr>
        <w:jc w:val="both"/>
      </w:pPr>
      <w:r w:rsidRPr="00A33AE8">
        <w:rPr>
          <w:rFonts w:asciiTheme="majorHAnsi" w:hAnsiTheme="majorHAnsi" w:cstheme="majorHAnsi"/>
        </w:rPr>
        <w:t xml:space="preserve">In WEM scenario, CO2 emissions are equal to </w:t>
      </w:r>
      <w:r w:rsidRPr="000007D2">
        <w:rPr>
          <w:rFonts w:asciiTheme="majorHAnsi" w:hAnsiTheme="majorHAnsi" w:cstheme="majorHAnsi"/>
        </w:rPr>
        <w:t>60.4</w:t>
      </w:r>
      <w:r w:rsidRPr="00A33AE8">
        <w:rPr>
          <w:rFonts w:asciiTheme="majorHAnsi" w:hAnsiTheme="majorHAnsi" w:cstheme="majorHAnsi"/>
        </w:rPr>
        <w:t xml:space="preserve"> Mt in 2030, higher than</w:t>
      </w:r>
      <w:r w:rsidRPr="000007D2">
        <w:rPr>
          <w:rFonts w:asciiTheme="majorHAnsi" w:hAnsiTheme="majorHAnsi" w:cstheme="majorHAnsi"/>
        </w:rPr>
        <w:t xml:space="preserve"> 44.3</w:t>
      </w:r>
      <w:r w:rsidRPr="00A33AE8">
        <w:rPr>
          <w:rFonts w:asciiTheme="majorHAnsi" w:hAnsiTheme="majorHAnsi" w:cstheme="majorHAnsi"/>
        </w:rPr>
        <w:t xml:space="preserve"> Mt in scenarios S and S-N over the same year. In 2050, total CO2 emissions will increase only in WEM scenario by </w:t>
      </w:r>
      <w:r w:rsidRPr="000007D2">
        <w:rPr>
          <w:rFonts w:asciiTheme="majorHAnsi" w:hAnsiTheme="majorHAnsi" w:cstheme="majorHAnsi"/>
        </w:rPr>
        <w:t>10.7%</w:t>
      </w:r>
      <w:r w:rsidRPr="00A33AE8">
        <w:rPr>
          <w:rFonts w:asciiTheme="majorHAnsi" w:hAnsiTheme="majorHAnsi" w:cstheme="majorHAnsi"/>
        </w:rPr>
        <w:t xml:space="preserve"> at</w:t>
      </w:r>
      <w:r w:rsidRPr="000007D2">
        <w:rPr>
          <w:rFonts w:asciiTheme="majorHAnsi" w:hAnsiTheme="majorHAnsi" w:cstheme="majorHAnsi"/>
        </w:rPr>
        <w:t xml:space="preserve"> 66.9</w:t>
      </w:r>
      <w:r w:rsidRPr="00A33AE8">
        <w:rPr>
          <w:rFonts w:asciiTheme="majorHAnsi" w:hAnsiTheme="majorHAnsi" w:cstheme="majorHAnsi"/>
        </w:rPr>
        <w:t xml:space="preserve"> Mt, compared to 2030 level, while a</w:t>
      </w:r>
      <w:r w:rsidRPr="000007D2">
        <w:rPr>
          <w:rFonts w:asciiTheme="majorHAnsi" w:hAnsiTheme="majorHAnsi" w:cstheme="majorHAnsi"/>
        </w:rPr>
        <w:t xml:space="preserve"> 61.3%</w:t>
      </w:r>
      <w:r w:rsidRPr="00A33AE8">
        <w:rPr>
          <w:rFonts w:asciiTheme="majorHAnsi" w:hAnsiTheme="majorHAnsi" w:cstheme="majorHAnsi"/>
        </w:rPr>
        <w:t xml:space="preserve"> decrease (at</w:t>
      </w:r>
      <w:r w:rsidRPr="000007D2">
        <w:rPr>
          <w:rFonts w:asciiTheme="majorHAnsi" w:hAnsiTheme="majorHAnsi" w:cstheme="majorHAnsi"/>
        </w:rPr>
        <w:t xml:space="preserve"> 17.1</w:t>
      </w:r>
      <w:r w:rsidRPr="00A33AE8">
        <w:rPr>
          <w:rFonts w:asciiTheme="majorHAnsi" w:hAnsiTheme="majorHAnsi" w:cstheme="majorHAnsi"/>
        </w:rPr>
        <w:t xml:space="preserve"> Mt) in scenario S and a</w:t>
      </w:r>
      <w:r w:rsidRPr="000007D2">
        <w:rPr>
          <w:rFonts w:asciiTheme="majorHAnsi" w:hAnsiTheme="majorHAnsi" w:cstheme="majorHAnsi"/>
        </w:rPr>
        <w:t xml:space="preserve"> 64.9%</w:t>
      </w:r>
      <w:r w:rsidRPr="00A33AE8">
        <w:rPr>
          <w:rFonts w:asciiTheme="majorHAnsi" w:hAnsiTheme="majorHAnsi" w:cstheme="majorHAnsi"/>
        </w:rPr>
        <w:t xml:space="preserve"> fall (at</w:t>
      </w:r>
      <w:r w:rsidRPr="000007D2">
        <w:rPr>
          <w:rFonts w:asciiTheme="majorHAnsi" w:hAnsiTheme="majorHAnsi" w:cstheme="majorHAnsi"/>
        </w:rPr>
        <w:t xml:space="preserve"> 15.6</w:t>
      </w:r>
      <w:r w:rsidRPr="00A33AE8">
        <w:rPr>
          <w:rFonts w:asciiTheme="majorHAnsi" w:hAnsiTheme="majorHAnsi" w:cstheme="majorHAnsi"/>
        </w:rPr>
        <w:t xml:space="preserve"> Mt) in scenario S-N are anticipated. </w:t>
      </w:r>
      <w:r w:rsidR="00185B2B" w:rsidRPr="00A33AE8">
        <w:rPr>
          <w:rFonts w:asciiTheme="majorHAnsi" w:hAnsiTheme="majorHAnsi" w:cstheme="majorHAnsi"/>
        </w:rPr>
        <w:t>Electricity and CHP as well as industry are the sectors with the highest CO2 emissions in both 2030 and 2050 in all scenarios, followed by transport.</w:t>
      </w:r>
    </w:p>
    <w:p w14:paraId="311E89A7" w14:textId="3682BD8F" w:rsidR="006C0591" w:rsidRDefault="006C0591" w:rsidP="0087794A">
      <w:pPr>
        <w:pStyle w:val="Caption"/>
        <w:keepNext/>
      </w:pPr>
      <w:bookmarkStart w:id="419" w:name="_Toc154575280"/>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7</w:t>
      </w:r>
      <w:r w:rsidR="006E0533">
        <w:rPr>
          <w:noProof/>
        </w:rPr>
        <w:fldChar w:fldCharType="end"/>
      </w:r>
      <w:r w:rsidRPr="006C0591">
        <w:t>: Total CO2 emissions per sector</w:t>
      </w:r>
      <w:bookmarkEnd w:id="419"/>
    </w:p>
    <w:p w14:paraId="798D6E86" w14:textId="4F9E5EE9" w:rsidR="00DB72D3" w:rsidRPr="00A33AE8" w:rsidRDefault="006C0591" w:rsidP="00DB72D3">
      <w:pPr>
        <w:tabs>
          <w:tab w:val="left" w:pos="2744"/>
        </w:tabs>
        <w:jc w:val="center"/>
      </w:pPr>
      <w:r w:rsidRPr="000007D2">
        <w:rPr>
          <w:noProof/>
          <w:lang w:val="en-US"/>
        </w:rPr>
        <mc:AlternateContent>
          <mc:Choice Requires="wps">
            <w:drawing>
              <wp:anchor distT="0" distB="0" distL="114300" distR="114300" simplePos="0" relativeHeight="251747328" behindDoc="0" locked="0" layoutInCell="1" allowOverlap="1" wp14:anchorId="796189E7" wp14:editId="2AB287B4">
                <wp:simplePos x="0" y="0"/>
                <wp:positionH relativeFrom="column">
                  <wp:posOffset>578753</wp:posOffset>
                </wp:positionH>
                <wp:positionV relativeFrom="paragraph">
                  <wp:posOffset>553720</wp:posOffset>
                </wp:positionV>
                <wp:extent cx="3219450" cy="2171700"/>
                <wp:effectExtent l="0" t="0" r="0" b="0"/>
                <wp:wrapNone/>
                <wp:docPr id="256109488" name="Text Box 256109488"/>
                <wp:cNvGraphicFramePr/>
                <a:graphic xmlns:a="http://schemas.openxmlformats.org/drawingml/2006/main">
                  <a:graphicData uri="http://schemas.microsoft.com/office/word/2010/wordprocessingShape">
                    <wps:wsp>
                      <wps:cNvSpPr txBox="1"/>
                      <wps:spPr>
                        <a:xfrm>
                          <a:off x="0" y="0"/>
                          <a:ext cx="3219450" cy="21717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30C0E4" id="Text Box 256109488" o:spid="_x0000_s1026" type="#_x0000_t202" style="position:absolute;margin-left:45.55pt;margin-top:43.6pt;width:253.5pt;height:17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" fillcolor="#a6a6a6" stroked="f">
                <v:fill opacity="32896f"/>
              </v:shape>
            </w:pict>
          </mc:Fallback>
        </mc:AlternateContent>
      </w:r>
      <w:r w:rsidR="00DB72D3" w:rsidRPr="000007D2">
        <w:rPr>
          <w:noProof/>
          <w:lang w:val="en-US"/>
        </w:rPr>
        <w:drawing>
          <wp:inline distT="0" distB="0" distL="0" distR="0" wp14:anchorId="144365BC" wp14:editId="78A29C15">
            <wp:extent cx="5979633" cy="3732437"/>
            <wp:effectExtent l="0" t="0" r="2540" b="1905"/>
            <wp:docPr id="256109448" name="Picture 25610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91213" cy="3739665"/>
                    </a:xfrm>
                    <a:prstGeom prst="rect">
                      <a:avLst/>
                    </a:prstGeom>
                    <a:noFill/>
                  </pic:spPr>
                </pic:pic>
              </a:graphicData>
            </a:graphic>
          </wp:inline>
        </w:drawing>
      </w:r>
    </w:p>
    <w:p w14:paraId="41D61200" w14:textId="77777777" w:rsidR="00185B2B" w:rsidRDefault="00DB72D3" w:rsidP="00185B2B">
      <w:pPr>
        <w:jc w:val="both"/>
        <w:rPr>
          <w:rFonts w:asciiTheme="majorHAnsi" w:hAnsiTheme="majorHAnsi" w:cstheme="majorHAnsi"/>
        </w:rPr>
      </w:pPr>
      <w:r w:rsidRPr="00A33AE8">
        <w:rPr>
          <w:rFonts w:asciiTheme="majorHAnsi" w:hAnsiTheme="majorHAnsi" w:cstheme="majorHAnsi"/>
        </w:rPr>
        <w:lastRenderedPageBreak/>
        <w:t>In WEM scenario, total CH4 emissions</w:t>
      </w:r>
      <w:r w:rsidR="0065375A" w:rsidRPr="00A33AE8">
        <w:rPr>
          <w:rFonts w:asciiTheme="majorHAnsi" w:hAnsiTheme="majorHAnsi" w:cstheme="majorHAnsi"/>
        </w:rPr>
        <w:t xml:space="preserve"> from energy use, fugitive and industrial products, </w:t>
      </w:r>
      <w:r w:rsidRPr="00A33AE8">
        <w:rPr>
          <w:rFonts w:asciiTheme="majorHAnsi" w:hAnsiTheme="majorHAnsi" w:cstheme="majorHAnsi"/>
        </w:rPr>
        <w:t xml:space="preserve">are equal to 116 Mt in 2030, higher than 93 Mt in scenarios S and S-N over the same year. In 2050, total CH4 emissions will decrease by 29.5%, 79.9% and 80.3% in scenarios WEM, S and S-N respectively, compared to 2030 level. </w:t>
      </w:r>
      <w:r w:rsidR="00185B2B" w:rsidRPr="00A33AE8">
        <w:rPr>
          <w:rFonts w:asciiTheme="majorHAnsi" w:hAnsiTheme="majorHAnsi" w:cstheme="majorHAnsi"/>
        </w:rPr>
        <w:t>Coal extraction and treatment as well as oil and gas extraction and treatment are the sectors with the highest CH4 emissions in both 2030 and 2050 in all scenarios, followed by residential sector.</w:t>
      </w:r>
    </w:p>
    <w:p w14:paraId="25C50F48" w14:textId="3B822FD7" w:rsidR="006C0591" w:rsidRDefault="00760854" w:rsidP="0087794A">
      <w:pPr>
        <w:jc w:val="both"/>
      </w:pPr>
      <w:r>
        <w:rPr>
          <w:rFonts w:asciiTheme="majorHAnsi" w:hAnsiTheme="majorHAnsi" w:cstheme="majorHAnsi"/>
        </w:rPr>
        <w:t xml:space="preserve">The CH4 emissions reduction from fugitive emissions </w:t>
      </w:r>
      <w:r w:rsidRPr="00CD1928">
        <w:rPr>
          <w:rFonts w:asciiTheme="majorHAnsi" w:hAnsiTheme="majorHAnsi" w:cstheme="majorHAnsi"/>
        </w:rPr>
        <w:t>in coal mines, oil and gas sector</w:t>
      </w:r>
      <w:r>
        <w:rPr>
          <w:rFonts w:asciiTheme="majorHAnsi" w:hAnsiTheme="majorHAnsi" w:cstheme="majorHAnsi"/>
        </w:rPr>
        <w:t>, is projected to decrease by 20% between 2020 and 2030 in Scenarios S and S-N. This part of methane emissions is estimated to be close to 30% of the total CH4 emissions in 2020. In view of the participation of Serbia in the Methane Pledge several policies and measures mentioned in Chapter 3 are expected to contribute to the reduction of CH4 emissions by at least 30% in 2030 compared to 2020 levels, through manure management, reduction of enteric fermentation of animals, composting, and utilisation of methane from sanitary landfills.</w:t>
      </w:r>
    </w:p>
    <w:p w14:paraId="13E80A69" w14:textId="4F0D188B" w:rsidR="006C0591" w:rsidRDefault="006C0591" w:rsidP="0087794A">
      <w:pPr>
        <w:pStyle w:val="Caption"/>
        <w:keepNext/>
      </w:pPr>
      <w:bookmarkStart w:id="420" w:name="_Toc154575281"/>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8</w:t>
      </w:r>
      <w:r w:rsidR="006E0533">
        <w:rPr>
          <w:noProof/>
        </w:rPr>
        <w:fldChar w:fldCharType="end"/>
      </w:r>
      <w:r>
        <w:t xml:space="preserve">: </w:t>
      </w:r>
      <w:r w:rsidRPr="006C0591">
        <w:t>Total CH4 emissions per sector</w:t>
      </w:r>
      <w:bookmarkEnd w:id="420"/>
    </w:p>
    <w:p w14:paraId="2152D71C" w14:textId="37E1A3DD" w:rsidR="00DB72D3" w:rsidRPr="00A33AE8" w:rsidRDefault="006C0591" w:rsidP="00DB72D3">
      <w:pPr>
        <w:jc w:val="center"/>
        <w:rPr>
          <w:b/>
          <w:bCs/>
        </w:rPr>
      </w:pPr>
      <w:r w:rsidRPr="000007D2">
        <w:rPr>
          <w:noProof/>
          <w:lang w:val="en-US"/>
        </w:rPr>
        <mc:AlternateContent>
          <mc:Choice Requires="wps">
            <w:drawing>
              <wp:anchor distT="0" distB="0" distL="114300" distR="114300" simplePos="0" relativeHeight="251749376" behindDoc="0" locked="0" layoutInCell="1" allowOverlap="1" wp14:anchorId="525F2B62" wp14:editId="0C948311">
                <wp:simplePos x="0" y="0"/>
                <wp:positionH relativeFrom="column">
                  <wp:posOffset>667552</wp:posOffset>
                </wp:positionH>
                <wp:positionV relativeFrom="paragraph">
                  <wp:posOffset>226896</wp:posOffset>
                </wp:positionV>
                <wp:extent cx="3028950" cy="1941094"/>
                <wp:effectExtent l="0" t="0" r="0" b="2540"/>
                <wp:wrapNone/>
                <wp:docPr id="256109489" name="Text Box 256109489"/>
                <wp:cNvGraphicFramePr/>
                <a:graphic xmlns:a="http://schemas.openxmlformats.org/drawingml/2006/main">
                  <a:graphicData uri="http://schemas.microsoft.com/office/word/2010/wordprocessingShape">
                    <wps:wsp>
                      <wps:cNvSpPr txBox="1"/>
                      <wps:spPr>
                        <a:xfrm>
                          <a:off x="0" y="0"/>
                          <a:ext cx="3028950" cy="1941094"/>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01AF05" id="Text Box 256109489" o:spid="_x0000_s1026" type="#_x0000_t202" style="position:absolute;margin-left:52.55pt;margin-top:17.85pt;width:238.5pt;height:15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" fillcolor="#a6a6a6" stroked="f">
                <v:fill opacity="32896f"/>
              </v:shape>
            </w:pict>
          </mc:Fallback>
        </mc:AlternateContent>
      </w:r>
      <w:r w:rsidR="00DB72D3" w:rsidRPr="000007D2">
        <w:rPr>
          <w:b/>
          <w:bCs/>
          <w:noProof/>
          <w:lang w:val="en-US"/>
        </w:rPr>
        <w:drawing>
          <wp:inline distT="0" distB="0" distL="0" distR="0" wp14:anchorId="119869F2" wp14:editId="1F252C94">
            <wp:extent cx="5518298" cy="3443565"/>
            <wp:effectExtent l="0" t="0" r="6350" b="5080"/>
            <wp:docPr id="256109449" name="Picture 25610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32513" cy="3452436"/>
                    </a:xfrm>
                    <a:prstGeom prst="rect">
                      <a:avLst/>
                    </a:prstGeom>
                    <a:noFill/>
                  </pic:spPr>
                </pic:pic>
              </a:graphicData>
            </a:graphic>
          </wp:inline>
        </w:drawing>
      </w:r>
    </w:p>
    <w:p w14:paraId="0213157B" w14:textId="77777777" w:rsidR="00185B2B" w:rsidRPr="00A33AE8" w:rsidRDefault="00DB72D3" w:rsidP="00185B2B">
      <w:pPr>
        <w:jc w:val="both"/>
        <w:rPr>
          <w:rFonts w:asciiTheme="majorHAnsi" w:hAnsiTheme="majorHAnsi" w:cstheme="majorHAnsi"/>
        </w:rPr>
      </w:pPr>
      <w:r w:rsidRPr="00A33AE8">
        <w:rPr>
          <w:rFonts w:asciiTheme="majorHAnsi" w:hAnsiTheme="majorHAnsi" w:cstheme="majorHAnsi"/>
        </w:rPr>
        <w:t xml:space="preserve">Similarly, total N2O emissions are equal to 3.2 kt in 2030 in WEM scenario, higher than 3.0 kt in scenarios S and S-N over the same year. In 2050, total N2O emissions will increase only in WEM scenario by 8.8% at 3.5 kt, compared to 2030 level, while a 10.2% decrease (at 2.7 kt) in scenario S and a 11.9% fall (at 2.6 kt) in scenario S-N are anticipated. </w:t>
      </w:r>
      <w:r w:rsidR="00185B2B" w:rsidRPr="00A33AE8">
        <w:rPr>
          <w:rFonts w:asciiTheme="majorHAnsi" w:hAnsiTheme="majorHAnsi" w:cstheme="majorHAnsi"/>
        </w:rPr>
        <w:t>Industry and transport are the sectors with the highest N2O emissions in both 2030 and 2050 in all scenarios, followed by electricity and CHP.</w:t>
      </w:r>
    </w:p>
    <w:p w14:paraId="479AF390" w14:textId="22E9EFB1" w:rsidR="006C0591" w:rsidRDefault="006C0591" w:rsidP="00DB72D3">
      <w:pPr>
        <w:jc w:val="center"/>
      </w:pPr>
    </w:p>
    <w:p w14:paraId="1E7EAEB6" w14:textId="3D3B19B3" w:rsidR="006C0591" w:rsidRDefault="006C0591" w:rsidP="0087794A">
      <w:pPr>
        <w:pStyle w:val="Caption"/>
        <w:keepNext/>
        <w:jc w:val="center"/>
      </w:pPr>
      <w:bookmarkStart w:id="421" w:name="_Toc154575282"/>
      <w:r>
        <w:lastRenderedPageBreak/>
        <w:t xml:space="preserve">Figure </w:t>
      </w:r>
      <w:r w:rsidR="006E0533">
        <w:fldChar w:fldCharType="begin"/>
      </w:r>
      <w:r w:rsidR="006E0533">
        <w:instrText xml:space="preserve"> ST</w:instrText>
      </w:r>
      <w:r w:rsidR="006E0533">
        <w:instrText xml:space="preserve">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9</w:t>
      </w:r>
      <w:r w:rsidR="006E0533">
        <w:rPr>
          <w:noProof/>
        </w:rPr>
        <w:fldChar w:fldCharType="end"/>
      </w:r>
      <w:r w:rsidRPr="006C0591">
        <w:t>: Total N2O emissions per sector</w:t>
      </w:r>
      <w:bookmarkEnd w:id="421"/>
    </w:p>
    <w:p w14:paraId="788B9AD0" w14:textId="408E7461" w:rsidR="00DB72D3" w:rsidRPr="00A33AE8" w:rsidRDefault="006C0591" w:rsidP="00DB72D3">
      <w:pPr>
        <w:jc w:val="center"/>
        <w:rPr>
          <w:b/>
          <w:bCs/>
        </w:rPr>
      </w:pPr>
      <w:r w:rsidRPr="000007D2">
        <w:rPr>
          <w:noProof/>
          <w:lang w:val="en-US"/>
        </w:rPr>
        <mc:AlternateContent>
          <mc:Choice Requires="wps">
            <w:drawing>
              <wp:anchor distT="0" distB="0" distL="114300" distR="114300" simplePos="0" relativeHeight="251751424" behindDoc="0" locked="0" layoutInCell="1" allowOverlap="1" wp14:anchorId="28178B44" wp14:editId="232C72BC">
                <wp:simplePos x="0" y="0"/>
                <wp:positionH relativeFrom="column">
                  <wp:posOffset>556260</wp:posOffset>
                </wp:positionH>
                <wp:positionV relativeFrom="paragraph">
                  <wp:posOffset>402156</wp:posOffset>
                </wp:positionV>
                <wp:extent cx="3171825" cy="2381250"/>
                <wp:effectExtent l="0" t="0" r="9525" b="0"/>
                <wp:wrapNone/>
                <wp:docPr id="256109490" name="Text Box 256109490"/>
                <wp:cNvGraphicFramePr/>
                <a:graphic xmlns:a="http://schemas.openxmlformats.org/drawingml/2006/main">
                  <a:graphicData uri="http://schemas.microsoft.com/office/word/2010/wordprocessingShape">
                    <wps:wsp>
                      <wps:cNvSpPr txBox="1"/>
                      <wps:spPr>
                        <a:xfrm>
                          <a:off x="0" y="0"/>
                          <a:ext cx="3171825" cy="23812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120A2" id="Text Box 256109490" o:spid="_x0000_s1026" type="#_x0000_t202" style="position:absolute;margin-left:43.8pt;margin-top:31.65pt;width:249.75pt;height:18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" fillcolor="#a6a6a6" stroked="f">
                <v:fill opacity="32896f"/>
              </v:shape>
            </w:pict>
          </mc:Fallback>
        </mc:AlternateContent>
      </w:r>
      <w:r w:rsidR="00DB72D3" w:rsidRPr="000007D2">
        <w:rPr>
          <w:b/>
          <w:bCs/>
          <w:noProof/>
          <w:lang w:val="en-US"/>
        </w:rPr>
        <w:drawing>
          <wp:inline distT="0" distB="0" distL="0" distR="0" wp14:anchorId="6D991C5E" wp14:editId="21D9771B">
            <wp:extent cx="5752214" cy="3709486"/>
            <wp:effectExtent l="0" t="0" r="1270" b="5715"/>
            <wp:docPr id="256109450" name="Picture 25610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8723" cy="3713684"/>
                    </a:xfrm>
                    <a:prstGeom prst="rect">
                      <a:avLst/>
                    </a:prstGeom>
                    <a:noFill/>
                  </pic:spPr>
                </pic:pic>
              </a:graphicData>
            </a:graphic>
          </wp:inline>
        </w:drawing>
      </w:r>
    </w:p>
    <w:p w14:paraId="1EBF1E37" w14:textId="17747B43" w:rsidR="00DB72D3" w:rsidRPr="00A33AE8" w:rsidRDefault="00DB72D3" w:rsidP="00DB72D3">
      <w:pPr>
        <w:spacing w:line="259" w:lineRule="auto"/>
        <w:jc w:val="both"/>
        <w:rPr>
          <w:rFonts w:asciiTheme="majorHAnsi" w:eastAsia="Calibri" w:hAnsiTheme="majorHAnsi" w:cstheme="majorHAnsi"/>
        </w:rPr>
      </w:pPr>
      <w:r w:rsidRPr="00A33AE8">
        <w:rPr>
          <w:rFonts w:asciiTheme="majorHAnsi" w:eastAsia="Calibri" w:hAnsiTheme="majorHAnsi" w:cstheme="majorHAnsi"/>
        </w:rPr>
        <w:t>The share of RES in gross final energy consumption in scenarios S and S-N is equal to 3</w:t>
      </w:r>
      <w:r w:rsidR="0019222B" w:rsidRPr="00A33AE8">
        <w:rPr>
          <w:rFonts w:asciiTheme="majorHAnsi" w:eastAsia="Calibri" w:hAnsiTheme="majorHAnsi" w:cstheme="majorHAnsi"/>
        </w:rPr>
        <w:t>3.6</w:t>
      </w:r>
      <w:r w:rsidRPr="00A33AE8">
        <w:rPr>
          <w:rFonts w:asciiTheme="majorHAnsi" w:eastAsia="Calibri" w:hAnsiTheme="majorHAnsi" w:cstheme="majorHAnsi"/>
        </w:rPr>
        <w:t>% in 2030 and approximately 62% in 2050 for scenario S and about 60% for scenario S-N. This means a 35% in scenario S and a 33% in scenario S-N higher penetration of RES in 2050 respectively, compared to the WEM scenario</w:t>
      </w:r>
      <w:r w:rsidRPr="00A33AE8">
        <w:t xml:space="preserve"> </w:t>
      </w:r>
      <w:r w:rsidRPr="00A33AE8">
        <w:rPr>
          <w:rFonts w:asciiTheme="majorHAnsi" w:eastAsia="Calibri" w:hAnsiTheme="majorHAnsi" w:cstheme="majorHAnsi"/>
        </w:rPr>
        <w:t>and a respective 6% higher RES penetration in 2030 for both scenarios.</w:t>
      </w:r>
    </w:p>
    <w:p w14:paraId="24F6F92D" w14:textId="77777777" w:rsidR="00185B2B" w:rsidRPr="00A33AE8" w:rsidRDefault="00185B2B" w:rsidP="00185B2B">
      <w:pPr>
        <w:spacing w:line="259" w:lineRule="auto"/>
        <w:jc w:val="both"/>
        <w:rPr>
          <w:rFonts w:asciiTheme="majorHAnsi" w:eastAsia="Calibri" w:hAnsiTheme="majorHAnsi" w:cstheme="majorHAnsi"/>
        </w:rPr>
      </w:pPr>
      <w:r w:rsidRPr="00A33AE8">
        <w:rPr>
          <w:rFonts w:asciiTheme="majorHAnsi" w:eastAsia="Calibri" w:hAnsiTheme="majorHAnsi" w:cstheme="majorHAnsi"/>
        </w:rPr>
        <w:t>The penetration of RES in the three sub-targets is higher in 2030 for both the examined scenarios S and S-N compared to WEM scenario by:</w:t>
      </w:r>
    </w:p>
    <w:p w14:paraId="31C1FAFB" w14:textId="77777777" w:rsidR="00DB72D3" w:rsidRPr="00A33AE8" w:rsidRDefault="003A26BB" w:rsidP="00884F3B">
      <w:pPr>
        <w:numPr>
          <w:ilvl w:val="0"/>
          <w:numId w:val="233"/>
        </w:numPr>
        <w:spacing w:line="259" w:lineRule="auto"/>
        <w:contextualSpacing/>
        <w:jc w:val="both"/>
        <w:rPr>
          <w:rFonts w:asciiTheme="majorHAnsi" w:eastAsia="Calibri" w:hAnsiTheme="majorHAnsi" w:cstheme="majorHAnsi"/>
        </w:rPr>
      </w:pPr>
      <w:r w:rsidRPr="003A26BB">
        <w:rPr>
          <w:rFonts w:asciiTheme="majorHAnsi" w:eastAsia="Calibri" w:hAnsiTheme="majorHAnsi" w:cstheme="majorHAnsi"/>
        </w:rPr>
        <w:t>At least</w:t>
      </w:r>
      <w:r>
        <w:rPr>
          <w:rFonts w:asciiTheme="majorHAnsi" w:eastAsia="Calibri" w:hAnsiTheme="majorHAnsi" w:cstheme="majorHAnsi"/>
        </w:rPr>
        <w:t xml:space="preserve"> </w:t>
      </w:r>
      <w:r w:rsidR="00DB72D3" w:rsidRPr="000007D2">
        <w:rPr>
          <w:rFonts w:asciiTheme="majorHAnsi" w:eastAsia="Calibri" w:hAnsiTheme="majorHAnsi" w:cstheme="majorHAnsi"/>
        </w:rPr>
        <w:t>45%</w:t>
      </w:r>
      <w:r w:rsidR="00DB72D3" w:rsidRPr="00A33AE8">
        <w:rPr>
          <w:rFonts w:asciiTheme="majorHAnsi" w:eastAsia="Calibri" w:hAnsiTheme="majorHAnsi" w:cstheme="majorHAnsi"/>
        </w:rPr>
        <w:t xml:space="preserve"> in the electricity generation sector as the result of the installation of additional PV and wind power plants</w:t>
      </w:r>
      <w:r w:rsidR="008753FA" w:rsidRPr="00A33AE8">
        <w:rPr>
          <w:rFonts w:asciiTheme="majorHAnsi" w:eastAsia="Calibri" w:hAnsiTheme="majorHAnsi" w:cstheme="majorHAnsi"/>
        </w:rPr>
        <w:t>.</w:t>
      </w:r>
    </w:p>
    <w:p w14:paraId="79C63B88" w14:textId="77777777" w:rsidR="00185B2B" w:rsidRPr="00A33AE8" w:rsidRDefault="003A26BB" w:rsidP="00884F3B">
      <w:pPr>
        <w:numPr>
          <w:ilvl w:val="0"/>
          <w:numId w:val="233"/>
        </w:numPr>
        <w:spacing w:line="259" w:lineRule="auto"/>
        <w:contextualSpacing/>
        <w:jc w:val="both"/>
        <w:rPr>
          <w:rFonts w:asciiTheme="majorHAnsi" w:eastAsia="Calibri" w:hAnsiTheme="majorHAnsi" w:cstheme="majorHAnsi"/>
        </w:rPr>
      </w:pPr>
      <w:r w:rsidRPr="003A26BB">
        <w:rPr>
          <w:rFonts w:asciiTheme="majorHAnsi" w:eastAsia="Calibri" w:hAnsiTheme="majorHAnsi" w:cstheme="majorHAnsi"/>
        </w:rPr>
        <w:t>At least</w:t>
      </w:r>
      <w:r>
        <w:rPr>
          <w:rFonts w:asciiTheme="majorHAnsi" w:eastAsia="Calibri" w:hAnsiTheme="majorHAnsi" w:cstheme="majorHAnsi"/>
        </w:rPr>
        <w:t xml:space="preserve"> </w:t>
      </w:r>
      <w:r w:rsidR="00DB72D3" w:rsidRPr="00A33AE8">
        <w:rPr>
          <w:rFonts w:asciiTheme="majorHAnsi" w:eastAsia="Calibri" w:hAnsiTheme="majorHAnsi" w:cstheme="majorHAnsi"/>
        </w:rPr>
        <w:t>3</w:t>
      </w:r>
      <w:r w:rsidR="0019222B" w:rsidRPr="00A33AE8">
        <w:rPr>
          <w:rFonts w:asciiTheme="majorHAnsi" w:eastAsia="Calibri" w:hAnsiTheme="majorHAnsi" w:cstheme="majorHAnsi"/>
        </w:rPr>
        <w:t>.2</w:t>
      </w:r>
      <w:r w:rsidR="00185B2B" w:rsidRPr="00A33AE8">
        <w:rPr>
          <w:rFonts w:asciiTheme="majorHAnsi" w:eastAsia="Calibri" w:hAnsiTheme="majorHAnsi" w:cstheme="majorHAnsi"/>
        </w:rPr>
        <w:t>% in the transport sector (without multipliers) due to the increased penetration promotion of electrification</w:t>
      </w:r>
      <w:r w:rsidR="008753FA" w:rsidRPr="00A33AE8">
        <w:rPr>
          <w:rFonts w:asciiTheme="majorHAnsi" w:eastAsia="Calibri" w:hAnsiTheme="majorHAnsi" w:cstheme="majorHAnsi"/>
        </w:rPr>
        <w:t>.</w:t>
      </w:r>
    </w:p>
    <w:p w14:paraId="44E6D421" w14:textId="77777777" w:rsidR="008753FA" w:rsidRPr="00A33AE8" w:rsidRDefault="003A26BB" w:rsidP="00884F3B">
      <w:pPr>
        <w:numPr>
          <w:ilvl w:val="0"/>
          <w:numId w:val="233"/>
        </w:numPr>
        <w:spacing w:line="259" w:lineRule="auto"/>
        <w:ind w:left="714" w:hanging="357"/>
        <w:jc w:val="both"/>
        <w:rPr>
          <w:rFonts w:asciiTheme="majorHAnsi" w:eastAsia="Calibri" w:hAnsiTheme="majorHAnsi" w:cstheme="majorHAnsi"/>
        </w:rPr>
      </w:pPr>
      <w:r w:rsidRPr="003A26BB">
        <w:rPr>
          <w:rFonts w:asciiTheme="majorHAnsi" w:eastAsia="Calibri" w:hAnsiTheme="majorHAnsi" w:cstheme="majorHAnsi"/>
        </w:rPr>
        <w:t>At least</w:t>
      </w:r>
      <w:r>
        <w:rPr>
          <w:rFonts w:asciiTheme="majorHAnsi" w:eastAsia="Calibri" w:hAnsiTheme="majorHAnsi" w:cstheme="majorHAnsi"/>
        </w:rPr>
        <w:t xml:space="preserve"> </w:t>
      </w:r>
      <w:r w:rsidR="00DB72D3" w:rsidRPr="00A33AE8">
        <w:rPr>
          <w:rFonts w:asciiTheme="majorHAnsi" w:eastAsia="Calibri" w:hAnsiTheme="majorHAnsi" w:cstheme="majorHAnsi"/>
        </w:rPr>
        <w:t>41</w:t>
      </w:r>
      <w:r w:rsidR="00185B2B" w:rsidRPr="00A33AE8">
        <w:rPr>
          <w:rFonts w:asciiTheme="majorHAnsi" w:eastAsia="Calibri" w:hAnsiTheme="majorHAnsi" w:cstheme="majorHAnsi"/>
        </w:rPr>
        <w:t>% in the heating sector, mainly as the result of the installation of heat pumps and the promotion of other type of RES in buildings, such as solar thermal and geothermal energy</w:t>
      </w:r>
      <w:r w:rsidR="008753FA" w:rsidRPr="00A33AE8">
        <w:rPr>
          <w:rFonts w:asciiTheme="majorHAnsi" w:eastAsia="Calibri" w:hAnsiTheme="majorHAnsi" w:cstheme="majorHAnsi"/>
        </w:rPr>
        <w:t>.</w:t>
      </w:r>
    </w:p>
    <w:p w14:paraId="6664DC6A" w14:textId="77777777" w:rsidR="00185B2B" w:rsidRPr="00A33AE8" w:rsidRDefault="00185B2B" w:rsidP="000007D2">
      <w:pPr>
        <w:spacing w:line="259" w:lineRule="auto"/>
        <w:jc w:val="both"/>
        <w:rPr>
          <w:rFonts w:asciiTheme="majorHAnsi" w:eastAsia="Calibri" w:hAnsiTheme="majorHAnsi" w:cstheme="majorHAnsi"/>
        </w:rPr>
      </w:pPr>
      <w:r w:rsidRPr="00A33AE8">
        <w:rPr>
          <w:rFonts w:asciiTheme="majorHAnsi" w:eastAsia="Calibri" w:hAnsiTheme="majorHAnsi" w:cstheme="majorHAnsi"/>
        </w:rPr>
        <w:t>In 2050, the respective RES share in scenarios S and S-N is considerably higher than in the WEM scenario mainly due to the initiation of additional measures for the promotion of RES by:</w:t>
      </w:r>
    </w:p>
    <w:p w14:paraId="4668B3F6" w14:textId="77777777" w:rsidR="00DB72D3" w:rsidRPr="00A33AE8" w:rsidRDefault="00DB72D3" w:rsidP="00884F3B">
      <w:pPr>
        <w:numPr>
          <w:ilvl w:val="0"/>
          <w:numId w:val="233"/>
        </w:numPr>
        <w:spacing w:line="259" w:lineRule="auto"/>
        <w:contextualSpacing/>
        <w:jc w:val="both"/>
        <w:rPr>
          <w:rFonts w:asciiTheme="majorHAnsi" w:eastAsia="Calibri" w:hAnsiTheme="majorHAnsi" w:cstheme="majorHAnsi"/>
        </w:rPr>
      </w:pPr>
      <w:r w:rsidRPr="00A33AE8">
        <w:rPr>
          <w:rFonts w:asciiTheme="majorHAnsi" w:eastAsia="Calibri" w:hAnsiTheme="majorHAnsi" w:cstheme="majorHAnsi"/>
        </w:rPr>
        <w:t>94% and 87% in the electricity generation sector in scenarios S and S-N respectively.</w:t>
      </w:r>
    </w:p>
    <w:p w14:paraId="39CCBBF6" w14:textId="77777777" w:rsidR="00DB72D3" w:rsidRPr="00A33AE8" w:rsidRDefault="00DB72D3" w:rsidP="00884F3B">
      <w:pPr>
        <w:numPr>
          <w:ilvl w:val="0"/>
          <w:numId w:val="233"/>
        </w:numPr>
        <w:spacing w:line="259" w:lineRule="auto"/>
        <w:contextualSpacing/>
        <w:jc w:val="both"/>
        <w:rPr>
          <w:rFonts w:asciiTheme="majorHAnsi" w:eastAsia="Calibri" w:hAnsiTheme="majorHAnsi" w:cstheme="majorHAnsi"/>
        </w:rPr>
      </w:pPr>
      <w:r w:rsidRPr="00A33AE8">
        <w:rPr>
          <w:rFonts w:asciiTheme="majorHAnsi" w:eastAsia="Calibri" w:hAnsiTheme="majorHAnsi" w:cstheme="majorHAnsi"/>
        </w:rPr>
        <w:t>45% and 49% in the transport sector (without multipliers) in scenarios S and S-N respectively.</w:t>
      </w:r>
    </w:p>
    <w:p w14:paraId="7E538CCD" w14:textId="77777777" w:rsidR="00185B2B" w:rsidRPr="00A33AE8" w:rsidRDefault="00DB72D3" w:rsidP="00884F3B">
      <w:pPr>
        <w:numPr>
          <w:ilvl w:val="0"/>
          <w:numId w:val="233"/>
        </w:numPr>
        <w:spacing w:line="259" w:lineRule="auto"/>
        <w:contextualSpacing/>
        <w:jc w:val="both"/>
        <w:rPr>
          <w:rFonts w:asciiTheme="majorHAnsi" w:eastAsia="Calibri" w:hAnsiTheme="majorHAnsi" w:cstheme="majorHAnsi"/>
        </w:rPr>
      </w:pPr>
      <w:r w:rsidRPr="00A33AE8">
        <w:rPr>
          <w:rFonts w:asciiTheme="majorHAnsi" w:eastAsia="Calibri" w:hAnsiTheme="majorHAnsi" w:cstheme="majorHAnsi"/>
        </w:rPr>
        <w:t>39</w:t>
      </w:r>
      <w:r w:rsidR="00185B2B" w:rsidRPr="00A33AE8">
        <w:rPr>
          <w:rFonts w:asciiTheme="majorHAnsi" w:eastAsia="Calibri" w:hAnsiTheme="majorHAnsi" w:cstheme="majorHAnsi"/>
        </w:rPr>
        <w:t>% in the heating sector in both scenarios S and S-N.</w:t>
      </w:r>
    </w:p>
    <w:p w14:paraId="664D9CC4" w14:textId="6AA981DE" w:rsidR="00185B2B" w:rsidRPr="00A33AE8" w:rsidRDefault="00185B2B" w:rsidP="00185B2B">
      <w:pPr>
        <w:pStyle w:val="LDKbody"/>
        <w:rPr>
          <w:rFonts w:asciiTheme="majorHAnsi" w:hAnsiTheme="majorHAnsi" w:cstheme="majorHAnsi"/>
          <w:lang w:val="en-GB"/>
        </w:rPr>
      </w:pPr>
      <w:r w:rsidRPr="00A33AE8">
        <w:rPr>
          <w:rFonts w:asciiTheme="majorHAnsi" w:eastAsia="Calibri" w:hAnsiTheme="majorHAnsi" w:cstheme="majorHAnsi"/>
          <w:lang w:val="en-GB" w:eastAsia="en-US"/>
        </w:rPr>
        <w:t xml:space="preserve">It should be noted that scenario </w:t>
      </w:r>
      <w:r w:rsidRPr="00A33AE8">
        <w:rPr>
          <w:rFonts w:asciiTheme="majorHAnsi" w:eastAsia="Calibri" w:hAnsiTheme="majorHAnsi" w:cstheme="majorHAnsi"/>
          <w:lang w:val="en-GB"/>
        </w:rPr>
        <w:t>S leads to higher deployment of RES in gross final energy consumption</w:t>
      </w:r>
      <w:r w:rsidRPr="00A33AE8">
        <w:rPr>
          <w:rFonts w:asciiTheme="minorHAnsi" w:eastAsiaTheme="minorHAnsi" w:hAnsiTheme="minorHAnsi" w:cstheme="minorBidi"/>
          <w:lang w:val="en-GB" w:eastAsia="en-US"/>
        </w:rPr>
        <w:t xml:space="preserve"> </w:t>
      </w:r>
      <w:r w:rsidRPr="00A33AE8">
        <w:rPr>
          <w:rFonts w:asciiTheme="majorHAnsi" w:eastAsia="Calibri" w:hAnsiTheme="majorHAnsi" w:cstheme="majorHAnsi"/>
          <w:lang w:val="en-GB"/>
        </w:rPr>
        <w:t>by 2050 due to the increased promotion of RES in electricity generation and transport sector.</w:t>
      </w:r>
    </w:p>
    <w:p w14:paraId="41B7EFA6" w14:textId="4EE231DC" w:rsidR="00E43922" w:rsidRDefault="00E43922" w:rsidP="0087794A">
      <w:pPr>
        <w:pStyle w:val="Caption"/>
        <w:keepNext/>
        <w:jc w:val="center"/>
      </w:pPr>
      <w:bookmarkStart w:id="422" w:name="_heading=h.49gfa85" w:colFirst="0" w:colLast="0"/>
      <w:bookmarkStart w:id="423" w:name="_Toc154575283"/>
      <w:bookmarkEnd w:id="422"/>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10</w:t>
      </w:r>
      <w:r w:rsidR="006E0533">
        <w:rPr>
          <w:noProof/>
        </w:rPr>
        <w:fldChar w:fldCharType="end"/>
      </w:r>
      <w:r w:rsidRPr="00E43922">
        <w:t>: Share of RES in GFEC</w:t>
      </w:r>
      <w:bookmarkEnd w:id="423"/>
    </w:p>
    <w:p w14:paraId="434C8DC5" w14:textId="3BE54733" w:rsidR="00DB72D3" w:rsidRPr="000007D2" w:rsidRDefault="00E43922" w:rsidP="00DB72D3">
      <w:pPr>
        <w:pStyle w:val="LDKbody"/>
        <w:jc w:val="center"/>
        <w:rPr>
          <w:lang w:val="en-GB"/>
        </w:rPr>
      </w:pPr>
      <w:r w:rsidRPr="000007D2">
        <w:rPr>
          <w:noProof/>
          <w:lang w:val="en-US" w:eastAsia="en-US"/>
        </w:rPr>
        <mc:AlternateContent>
          <mc:Choice Requires="wps">
            <w:drawing>
              <wp:anchor distT="0" distB="0" distL="114300" distR="114300" simplePos="0" relativeHeight="251753472" behindDoc="0" locked="0" layoutInCell="1" allowOverlap="1" wp14:anchorId="7C1357F7" wp14:editId="18E34F0B">
                <wp:simplePos x="0" y="0"/>
                <wp:positionH relativeFrom="column">
                  <wp:posOffset>958215</wp:posOffset>
                </wp:positionH>
                <wp:positionV relativeFrom="paragraph">
                  <wp:posOffset>310414</wp:posOffset>
                </wp:positionV>
                <wp:extent cx="2771775" cy="2286000"/>
                <wp:effectExtent l="0" t="0" r="9525" b="0"/>
                <wp:wrapNone/>
                <wp:docPr id="256109491" name="Text Box 256109491"/>
                <wp:cNvGraphicFramePr/>
                <a:graphic xmlns:a="http://schemas.openxmlformats.org/drawingml/2006/main">
                  <a:graphicData uri="http://schemas.microsoft.com/office/word/2010/wordprocessingShape">
                    <wps:wsp>
                      <wps:cNvSpPr txBox="1"/>
                      <wps:spPr>
                        <a:xfrm>
                          <a:off x="0" y="0"/>
                          <a:ext cx="2771775" cy="22860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0497E" id="Text Box 256109491" o:spid="_x0000_s1026" type="#_x0000_t202" style="position:absolute;margin-left:75.45pt;margin-top:24.45pt;width:218.25pt;height:18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" fillcolor="#a6a6a6" stroked="f">
                <v:fill opacity="32896f"/>
              </v:shape>
            </w:pict>
          </mc:Fallback>
        </mc:AlternateContent>
      </w:r>
      <w:r w:rsidR="00DB72D3" w:rsidRPr="000007D2">
        <w:rPr>
          <w:noProof/>
          <w:lang w:val="en-US" w:eastAsia="en-US"/>
        </w:rPr>
        <w:drawing>
          <wp:inline distT="0" distB="0" distL="0" distR="0" wp14:anchorId="01104CFE" wp14:editId="6E99EB01">
            <wp:extent cx="5158618" cy="3290296"/>
            <wp:effectExtent l="0" t="0" r="4445" b="5715"/>
            <wp:docPr id="256109451" name="Picture 25610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72627" cy="3299231"/>
                    </a:xfrm>
                    <a:prstGeom prst="rect">
                      <a:avLst/>
                    </a:prstGeom>
                    <a:noFill/>
                  </pic:spPr>
                </pic:pic>
              </a:graphicData>
            </a:graphic>
          </wp:inline>
        </w:drawing>
      </w:r>
    </w:p>
    <w:p w14:paraId="4FC376FD" w14:textId="52D94339" w:rsidR="00DB72D3" w:rsidRPr="00A33AE8" w:rsidRDefault="00D3105E" w:rsidP="00DB72D3">
      <w:pPr>
        <w:pStyle w:val="Caption"/>
        <w:keepNext/>
        <w:rPr>
          <w:iCs/>
          <w:lang w:eastAsia="el-GR"/>
        </w:rPr>
      </w:pPr>
      <w:bookmarkStart w:id="424" w:name="_Toc154575284"/>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11</w:t>
      </w:r>
      <w:r w:rsidR="006E0533">
        <w:rPr>
          <w:noProof/>
        </w:rPr>
        <w:fldChar w:fldCharType="end"/>
      </w:r>
      <w:r w:rsidR="00DB72D3" w:rsidRPr="00A33AE8">
        <w:t xml:space="preserve">: </w:t>
      </w:r>
      <w:r w:rsidR="00DB72D3" w:rsidRPr="00A33AE8">
        <w:rPr>
          <w:iCs/>
          <w:lang w:eastAsia="el-GR"/>
        </w:rPr>
        <w:t>Share of RES in Electricity Generation</w:t>
      </w:r>
      <w:bookmarkEnd w:id="424"/>
    </w:p>
    <w:bookmarkStart w:id="425" w:name="_heading=h.2olpkfy" w:colFirst="0" w:colLast="0"/>
    <w:bookmarkEnd w:id="425"/>
    <w:p w14:paraId="18B8B66F" w14:textId="77777777" w:rsidR="00185B2B" w:rsidRPr="00A33AE8" w:rsidRDefault="00DB72D3" w:rsidP="007A0028">
      <w:pPr>
        <w:jc w:val="center"/>
      </w:pPr>
      <w:r w:rsidRPr="000007D2">
        <w:rPr>
          <w:noProof/>
          <w:lang w:val="en-US"/>
        </w:rPr>
        <mc:AlternateContent>
          <mc:Choice Requires="wps">
            <w:drawing>
              <wp:anchor distT="0" distB="0" distL="114300" distR="114300" simplePos="0" relativeHeight="251754496" behindDoc="0" locked="0" layoutInCell="1" allowOverlap="1" wp14:anchorId="65E397F3" wp14:editId="674934FE">
                <wp:simplePos x="0" y="0"/>
                <wp:positionH relativeFrom="column">
                  <wp:posOffset>1032510</wp:posOffset>
                </wp:positionH>
                <wp:positionV relativeFrom="paragraph">
                  <wp:posOffset>326390</wp:posOffset>
                </wp:positionV>
                <wp:extent cx="2705100" cy="2228850"/>
                <wp:effectExtent l="0" t="0" r="0" b="0"/>
                <wp:wrapNone/>
                <wp:docPr id="256109492" name="Text Box 256109492"/>
                <wp:cNvGraphicFramePr/>
                <a:graphic xmlns:a="http://schemas.openxmlformats.org/drawingml/2006/main">
                  <a:graphicData uri="http://schemas.microsoft.com/office/word/2010/wordprocessingShape">
                    <wps:wsp>
                      <wps:cNvSpPr txBox="1"/>
                      <wps:spPr>
                        <a:xfrm>
                          <a:off x="0" y="0"/>
                          <a:ext cx="2705100" cy="22288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FAF09" id="Text Box 256109492" o:spid="_x0000_s1026" type="#_x0000_t202" style="position:absolute;margin-left:81.3pt;margin-top:25.7pt;width:213pt;height:1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" fillcolor="#a6a6a6" stroked="f">
                <v:fill opacity="32896f"/>
              </v:shape>
            </w:pict>
          </mc:Fallback>
        </mc:AlternateContent>
      </w:r>
      <w:r w:rsidRPr="000007D2">
        <w:rPr>
          <w:noProof/>
          <w:lang w:val="en-US"/>
        </w:rPr>
        <w:drawing>
          <wp:inline distT="0" distB="0" distL="0" distR="0" wp14:anchorId="7E82EDCE" wp14:editId="3BDB7EBD">
            <wp:extent cx="5050466" cy="3228993"/>
            <wp:effectExtent l="0" t="0" r="0" b="0"/>
            <wp:docPr id="256109452" name="Picture 25610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58252" cy="3233971"/>
                    </a:xfrm>
                    <a:prstGeom prst="rect">
                      <a:avLst/>
                    </a:prstGeom>
                    <a:noFill/>
                  </pic:spPr>
                </pic:pic>
              </a:graphicData>
            </a:graphic>
          </wp:inline>
        </w:drawing>
      </w:r>
    </w:p>
    <w:p w14:paraId="013B70BB" w14:textId="5A3437E3" w:rsidR="00185B2B" w:rsidRPr="00A33AE8" w:rsidRDefault="00D3105E" w:rsidP="00185B2B">
      <w:pPr>
        <w:pStyle w:val="Caption"/>
        <w:keepNext/>
      </w:pPr>
      <w:bookmarkStart w:id="426" w:name="_Toc154575285"/>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12</w:t>
      </w:r>
      <w:r w:rsidR="006E0533">
        <w:rPr>
          <w:noProof/>
        </w:rPr>
        <w:fldChar w:fldCharType="end"/>
      </w:r>
      <w:r w:rsidR="00185B2B" w:rsidRPr="00A33AE8">
        <w:t>:</w:t>
      </w:r>
      <w:r w:rsidR="00185B2B" w:rsidRPr="00A33AE8">
        <w:rPr>
          <w:iCs/>
          <w:lang w:eastAsia="el-GR"/>
        </w:rPr>
        <w:t xml:space="preserve"> Share of RES in Transport (without multipliers)</w:t>
      </w:r>
      <w:bookmarkEnd w:id="426"/>
    </w:p>
    <w:bookmarkStart w:id="427" w:name="_heading=h.13qzunr" w:colFirst="0" w:colLast="0"/>
    <w:bookmarkEnd w:id="427"/>
    <w:p w14:paraId="60607672" w14:textId="77777777" w:rsidR="00185B2B" w:rsidRPr="00A33AE8" w:rsidRDefault="00DB72D3" w:rsidP="00185B2B">
      <w:pPr>
        <w:pStyle w:val="LDKbody"/>
        <w:jc w:val="center"/>
        <w:rPr>
          <w:lang w:val="en-GB"/>
        </w:rPr>
      </w:pPr>
      <w:r w:rsidRPr="000007D2">
        <w:rPr>
          <w:noProof/>
          <w:lang w:val="en-US" w:eastAsia="en-US"/>
        </w:rPr>
        <mc:AlternateContent>
          <mc:Choice Requires="wps">
            <w:drawing>
              <wp:anchor distT="0" distB="0" distL="114300" distR="114300" simplePos="0" relativeHeight="251756544" behindDoc="0" locked="0" layoutInCell="1" allowOverlap="1" wp14:anchorId="6858620F" wp14:editId="21B6BD68">
                <wp:simplePos x="0" y="0"/>
                <wp:positionH relativeFrom="column">
                  <wp:posOffset>899159</wp:posOffset>
                </wp:positionH>
                <wp:positionV relativeFrom="paragraph">
                  <wp:posOffset>318135</wp:posOffset>
                </wp:positionV>
                <wp:extent cx="2886075" cy="2352675"/>
                <wp:effectExtent l="0" t="0" r="9525" b="9525"/>
                <wp:wrapNone/>
                <wp:docPr id="256109493" name="Text Box 256109493"/>
                <wp:cNvGraphicFramePr/>
                <a:graphic xmlns:a="http://schemas.openxmlformats.org/drawingml/2006/main">
                  <a:graphicData uri="http://schemas.microsoft.com/office/word/2010/wordprocessingShape">
                    <wps:wsp>
                      <wps:cNvSpPr txBox="1"/>
                      <wps:spPr>
                        <a:xfrm>
                          <a:off x="0" y="0"/>
                          <a:ext cx="2886075" cy="235267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7FAD7" id="Text Box 256109493" o:spid="_x0000_s1026" type="#_x0000_t202" style="position:absolute;margin-left:70.8pt;margin-top:25.05pt;width:227.25pt;height:18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" fillcolor="#a6a6a6" stroked="f">
                <v:fill opacity="32896f"/>
              </v:shape>
            </w:pict>
          </mc:Fallback>
        </mc:AlternateContent>
      </w:r>
      <w:r w:rsidRPr="000007D2">
        <w:rPr>
          <w:noProof/>
          <w:lang w:val="en-US" w:eastAsia="en-US"/>
        </w:rPr>
        <w:drawing>
          <wp:inline distT="0" distB="0" distL="0" distR="0" wp14:anchorId="7A8CFE18" wp14:editId="0DFCCB38">
            <wp:extent cx="5308731" cy="3386041"/>
            <wp:effectExtent l="0" t="0" r="6350" b="5080"/>
            <wp:docPr id="256109453" name="Picture 25610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18546" cy="3392301"/>
                    </a:xfrm>
                    <a:prstGeom prst="rect">
                      <a:avLst/>
                    </a:prstGeom>
                    <a:noFill/>
                  </pic:spPr>
                </pic:pic>
              </a:graphicData>
            </a:graphic>
          </wp:inline>
        </w:drawing>
      </w:r>
    </w:p>
    <w:p w14:paraId="558CD9C1" w14:textId="0129116B" w:rsidR="00185B2B" w:rsidRPr="000007D2" w:rsidRDefault="00D3105E" w:rsidP="00185B2B">
      <w:pPr>
        <w:pStyle w:val="Caption"/>
        <w:keepNext/>
      </w:pPr>
      <w:bookmarkStart w:id="428" w:name="_Toc154575286"/>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13</w:t>
      </w:r>
      <w:r w:rsidR="006E0533">
        <w:rPr>
          <w:noProof/>
        </w:rPr>
        <w:fldChar w:fldCharType="end"/>
      </w:r>
      <w:r w:rsidR="00185B2B" w:rsidRPr="00A33AE8">
        <w:t xml:space="preserve">: </w:t>
      </w:r>
      <w:r w:rsidR="00185B2B" w:rsidRPr="00A33AE8">
        <w:rPr>
          <w:iCs/>
          <w:lang w:eastAsia="el-GR"/>
        </w:rPr>
        <w:t>Share of RES in Heating</w:t>
      </w:r>
      <w:bookmarkEnd w:id="428"/>
    </w:p>
    <w:p w14:paraId="178AA226" w14:textId="77777777" w:rsidR="00DB72D3" w:rsidRPr="000007D2" w:rsidRDefault="00DB72D3" w:rsidP="00DB72D3">
      <w:pPr>
        <w:pStyle w:val="LDKbody"/>
        <w:jc w:val="center"/>
        <w:rPr>
          <w:lang w:val="en-GB"/>
        </w:rPr>
      </w:pPr>
      <w:r w:rsidRPr="000007D2">
        <w:rPr>
          <w:noProof/>
          <w:lang w:val="en-US" w:eastAsia="en-US"/>
        </w:rPr>
        <mc:AlternateContent>
          <mc:Choice Requires="wps">
            <w:drawing>
              <wp:anchor distT="0" distB="0" distL="114300" distR="114300" simplePos="0" relativeHeight="251758592" behindDoc="0" locked="0" layoutInCell="1" allowOverlap="1" wp14:anchorId="1384E919" wp14:editId="6CEF24BE">
                <wp:simplePos x="0" y="0"/>
                <wp:positionH relativeFrom="column">
                  <wp:posOffset>927735</wp:posOffset>
                </wp:positionH>
                <wp:positionV relativeFrom="paragraph">
                  <wp:posOffset>335915</wp:posOffset>
                </wp:positionV>
                <wp:extent cx="2819400" cy="2324100"/>
                <wp:effectExtent l="0" t="0" r="0" b="0"/>
                <wp:wrapNone/>
                <wp:docPr id="256109494" name="Text Box 256109494"/>
                <wp:cNvGraphicFramePr/>
                <a:graphic xmlns:a="http://schemas.openxmlformats.org/drawingml/2006/main">
                  <a:graphicData uri="http://schemas.microsoft.com/office/word/2010/wordprocessingShape">
                    <wps:wsp>
                      <wps:cNvSpPr txBox="1"/>
                      <wps:spPr>
                        <a:xfrm>
                          <a:off x="0" y="0"/>
                          <a:ext cx="2819400" cy="23241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F1A202" id="Text Box 256109494" o:spid="_x0000_s1026" type="#_x0000_t202" style="position:absolute;margin-left:73.05pt;margin-top:26.45pt;width:222pt;height:18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" fillcolor="#a6a6a6" stroked="f">
                <v:fill opacity="32896f"/>
              </v:shape>
            </w:pict>
          </mc:Fallback>
        </mc:AlternateContent>
      </w:r>
      <w:r w:rsidRPr="000007D2">
        <w:rPr>
          <w:noProof/>
          <w:lang w:val="en-US" w:eastAsia="en-US"/>
        </w:rPr>
        <w:drawing>
          <wp:inline distT="0" distB="0" distL="0" distR="0" wp14:anchorId="2D6183DC" wp14:editId="110C6C10">
            <wp:extent cx="5288732" cy="3370521"/>
            <wp:effectExtent l="0" t="0" r="7620" b="1905"/>
            <wp:docPr id="256109454" name="Picture 25610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09636" cy="3383843"/>
                    </a:xfrm>
                    <a:prstGeom prst="rect">
                      <a:avLst/>
                    </a:prstGeom>
                    <a:noFill/>
                  </pic:spPr>
                </pic:pic>
              </a:graphicData>
            </a:graphic>
          </wp:inline>
        </w:drawing>
      </w:r>
    </w:p>
    <w:p w14:paraId="60820FF4" w14:textId="386AF8AF" w:rsidR="00185B2B" w:rsidRPr="00A33AE8" w:rsidRDefault="00185B2B" w:rsidP="00185B2B">
      <w:pPr>
        <w:jc w:val="both"/>
        <w:rPr>
          <w:rFonts w:asciiTheme="majorHAnsi" w:hAnsiTheme="majorHAnsi" w:cstheme="majorHAnsi"/>
          <w:bCs/>
        </w:rPr>
      </w:pPr>
      <w:r w:rsidRPr="00A33AE8">
        <w:rPr>
          <w:rFonts w:asciiTheme="majorHAnsi" w:hAnsiTheme="majorHAnsi" w:cstheme="majorHAnsi"/>
          <w:bCs/>
        </w:rPr>
        <w:t>In WEM scenario, the total installed capacity for electricity production is projected to increase from</w:t>
      </w:r>
      <w:r w:rsidR="00DB72D3" w:rsidRPr="00A33AE8">
        <w:rPr>
          <w:rFonts w:asciiTheme="majorHAnsi" w:hAnsiTheme="majorHAnsi" w:cstheme="majorHAnsi"/>
          <w:bCs/>
        </w:rPr>
        <w:t xml:space="preserve"> 9 GW in 2025 and 10 GW in 2030 to 13 GW in 2050. </w:t>
      </w:r>
      <w:r w:rsidRPr="00A33AE8">
        <w:rPr>
          <w:rFonts w:asciiTheme="majorHAnsi" w:hAnsiTheme="majorHAnsi" w:cstheme="majorHAnsi"/>
          <w:bCs/>
        </w:rPr>
        <w:t>The expected increase is mainly attributed to the penetration of RES technologies for electricity generation, which generally have a lower utilization or capacity factor than conventional technologies and therefore require more capacity installed than conventional power plants for the same electricity production.</w:t>
      </w:r>
    </w:p>
    <w:p w14:paraId="78AAF5D4" w14:textId="77777777" w:rsidR="0095692A" w:rsidRPr="00A33AE8" w:rsidRDefault="00185B2B" w:rsidP="000007D2">
      <w:pPr>
        <w:spacing w:line="259" w:lineRule="auto"/>
        <w:jc w:val="both"/>
        <w:rPr>
          <w:b/>
          <w:bCs/>
        </w:rPr>
      </w:pPr>
      <w:r w:rsidRPr="00A33AE8">
        <w:rPr>
          <w:rFonts w:asciiTheme="majorHAnsi" w:hAnsiTheme="majorHAnsi" w:cstheme="majorHAnsi"/>
          <w:bCs/>
        </w:rPr>
        <w:t xml:space="preserve">Similarly, in both scenarios S and S-N, the total installed capacity for electricity production is expected to rise from 10 GW in 2025 and </w:t>
      </w:r>
      <w:r w:rsidR="00DB72D3" w:rsidRPr="00A33AE8">
        <w:rPr>
          <w:rFonts w:asciiTheme="majorHAnsi" w:hAnsiTheme="majorHAnsi" w:cstheme="majorHAnsi"/>
          <w:bCs/>
        </w:rPr>
        <w:t>11 GW in 2030 to about 36 GW in 2050.</w:t>
      </w:r>
    </w:p>
    <w:p w14:paraId="51A5BF53" w14:textId="30FD0BEA" w:rsidR="00185B2B" w:rsidRPr="00A33AE8" w:rsidRDefault="00185B2B" w:rsidP="00185B2B">
      <w:pPr>
        <w:jc w:val="both"/>
        <w:rPr>
          <w:rFonts w:asciiTheme="majorHAnsi" w:hAnsiTheme="majorHAnsi" w:cstheme="majorHAnsi"/>
          <w:bCs/>
        </w:rPr>
      </w:pPr>
      <w:r w:rsidRPr="00A33AE8">
        <w:rPr>
          <w:rFonts w:asciiTheme="majorHAnsi" w:hAnsiTheme="majorHAnsi" w:cstheme="majorHAnsi"/>
          <w:bCs/>
        </w:rPr>
        <w:lastRenderedPageBreak/>
        <w:t>In WEM scenario, the total installed RES capacity is projected to reach 4 GW in 2025 and 2030 and 7 GW in 2050 (</w:t>
      </w:r>
      <w:r w:rsidR="00030E99">
        <w:rPr>
          <w:rFonts w:asciiTheme="majorHAnsi" w:hAnsiTheme="majorHAnsi" w:cstheme="majorHAnsi"/>
          <w:bCs/>
        </w:rPr>
        <w:fldChar w:fldCharType="begin"/>
      </w:r>
      <w:r w:rsidR="00030E99">
        <w:rPr>
          <w:rFonts w:asciiTheme="majorHAnsi" w:hAnsiTheme="majorHAnsi" w:cstheme="majorHAnsi"/>
          <w:bCs/>
        </w:rPr>
        <w:instrText xml:space="preserve"> REF _Ref153526010 \h  \* MERGEFORMAT </w:instrText>
      </w:r>
      <w:r w:rsidR="00030E99">
        <w:rPr>
          <w:rFonts w:asciiTheme="majorHAnsi" w:hAnsiTheme="majorHAnsi" w:cstheme="majorHAnsi"/>
          <w:bCs/>
        </w:rPr>
      </w:r>
      <w:r w:rsidR="00030E99">
        <w:rPr>
          <w:rFonts w:asciiTheme="majorHAnsi" w:hAnsiTheme="majorHAnsi" w:cstheme="majorHAnsi"/>
          <w:bCs/>
        </w:rPr>
        <w:fldChar w:fldCharType="separate"/>
      </w:r>
      <w:r w:rsidR="00030E99" w:rsidRPr="0087794A">
        <w:rPr>
          <w:rFonts w:asciiTheme="majorHAnsi" w:hAnsiTheme="majorHAnsi" w:cstheme="majorHAnsi"/>
          <w:bCs/>
        </w:rPr>
        <w:t>Figure 5.14</w:t>
      </w:r>
      <w:r w:rsidR="00030E99">
        <w:rPr>
          <w:rFonts w:asciiTheme="majorHAnsi" w:hAnsiTheme="majorHAnsi" w:cstheme="majorHAnsi"/>
          <w:bCs/>
        </w:rPr>
        <w:fldChar w:fldCharType="end"/>
      </w:r>
      <w:r w:rsidRPr="00A33AE8">
        <w:rPr>
          <w:rFonts w:asciiTheme="majorHAnsi" w:hAnsiTheme="majorHAnsi" w:cstheme="majorHAnsi"/>
          <w:bCs/>
        </w:rPr>
        <w:t xml:space="preserve">). Similarly, in both scenarios S and S-N, the total installed RES capacity is expected to rise from </w:t>
      </w:r>
      <w:r w:rsidR="00DB72D3" w:rsidRPr="00A33AE8">
        <w:rPr>
          <w:rFonts w:asciiTheme="majorHAnsi" w:hAnsiTheme="majorHAnsi" w:cstheme="majorHAnsi"/>
          <w:bCs/>
        </w:rPr>
        <w:t>6 GW, excluding hydro pump storage plants, in 2030 to about 30 GW in 2050. Solar and wind are anticipated to have the largest contribution in all scenarios in 2030 and 2050</w:t>
      </w:r>
      <w:r w:rsidRPr="00A33AE8">
        <w:rPr>
          <w:rFonts w:asciiTheme="majorHAnsi" w:hAnsiTheme="majorHAnsi" w:cstheme="majorHAnsi"/>
          <w:bCs/>
        </w:rPr>
        <w:t xml:space="preserve">. </w:t>
      </w:r>
      <w:r w:rsidR="00BC0654" w:rsidRPr="00BC0654">
        <w:rPr>
          <w:rFonts w:asciiTheme="majorHAnsi" w:hAnsiTheme="majorHAnsi" w:cstheme="majorHAnsi"/>
          <w:bCs/>
        </w:rPr>
        <w:t>It must be noted that the capacity of RES projected for 2030 is considered as a minimum for renewable energy penetration.</w:t>
      </w:r>
    </w:p>
    <w:p w14:paraId="5EA9AFFD" w14:textId="7566060F" w:rsidR="00185B2B" w:rsidRPr="00A33AE8" w:rsidRDefault="00D3105E" w:rsidP="00823286">
      <w:pPr>
        <w:pStyle w:val="Caption"/>
        <w:keepNext/>
        <w:rPr>
          <w:b w:val="0"/>
          <w:bCs w:val="0"/>
          <w:iCs/>
          <w:lang w:eastAsia="el-GR"/>
        </w:rPr>
      </w:pPr>
      <w:bookmarkStart w:id="429" w:name="_Ref153526010"/>
      <w:bookmarkStart w:id="430" w:name="_Toc154575287"/>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w:instrText>
      </w:r>
      <w:r w:rsidR="006E0533">
        <w:instrText xml:space="preserve">\s 1 </w:instrText>
      </w:r>
      <w:r w:rsidR="006E0533">
        <w:fldChar w:fldCharType="separate"/>
      </w:r>
      <w:r w:rsidR="00B62877">
        <w:rPr>
          <w:noProof/>
        </w:rPr>
        <w:t>14</w:t>
      </w:r>
      <w:r w:rsidR="006E0533">
        <w:rPr>
          <w:noProof/>
        </w:rPr>
        <w:fldChar w:fldCharType="end"/>
      </w:r>
      <w:bookmarkEnd w:id="429"/>
      <w:r w:rsidR="00185B2B" w:rsidRPr="00A33AE8">
        <w:rPr>
          <w:iCs/>
          <w:lang w:eastAsia="el-GR"/>
        </w:rPr>
        <w:t>: Installed RES capacity per technology</w:t>
      </w:r>
      <w:bookmarkEnd w:id="430"/>
    </w:p>
    <w:p w14:paraId="2ED158C6"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762688" behindDoc="0" locked="0" layoutInCell="1" allowOverlap="1" wp14:anchorId="6BE5A57D" wp14:editId="640A9A07">
                <wp:simplePos x="0" y="0"/>
                <wp:positionH relativeFrom="column">
                  <wp:posOffset>337185</wp:posOffset>
                </wp:positionH>
                <wp:positionV relativeFrom="paragraph">
                  <wp:posOffset>158115</wp:posOffset>
                </wp:positionV>
                <wp:extent cx="3629025" cy="1990725"/>
                <wp:effectExtent l="0" t="0" r="9525" b="9525"/>
                <wp:wrapNone/>
                <wp:docPr id="256109496" name="Text Box 256109496"/>
                <wp:cNvGraphicFramePr/>
                <a:graphic xmlns:a="http://schemas.openxmlformats.org/drawingml/2006/main">
                  <a:graphicData uri="http://schemas.microsoft.com/office/word/2010/wordprocessingShape">
                    <wps:wsp>
                      <wps:cNvSpPr txBox="1"/>
                      <wps:spPr>
                        <a:xfrm>
                          <a:off x="0" y="0"/>
                          <a:ext cx="3629025" cy="199072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8F0566" id="Text Box 256109496" o:spid="_x0000_s1026" type="#_x0000_t202" style="position:absolute;margin-left:26.55pt;margin-top:12.45pt;width:285.75pt;height:15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" fillcolor="#a6a6a6" stroked="f">
                <v:fill opacity="32896f"/>
              </v:shape>
            </w:pict>
          </mc:Fallback>
        </mc:AlternateContent>
      </w:r>
      <w:r w:rsidRPr="000007D2">
        <w:rPr>
          <w:b/>
          <w:bCs/>
          <w:noProof/>
          <w:lang w:val="en-US"/>
        </w:rPr>
        <w:drawing>
          <wp:inline distT="0" distB="0" distL="0" distR="0" wp14:anchorId="05C3F4DC" wp14:editId="49954821">
            <wp:extent cx="6493584" cy="3607081"/>
            <wp:effectExtent l="0" t="0" r="2540" b="0"/>
            <wp:docPr id="256109456" name="Picture 25610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04856" cy="3613342"/>
                    </a:xfrm>
                    <a:prstGeom prst="rect">
                      <a:avLst/>
                    </a:prstGeom>
                    <a:noFill/>
                  </pic:spPr>
                </pic:pic>
              </a:graphicData>
            </a:graphic>
          </wp:inline>
        </w:drawing>
      </w:r>
    </w:p>
    <w:p w14:paraId="304771EE" w14:textId="77777777" w:rsidR="00DB72D3" w:rsidRPr="00A33AE8" w:rsidRDefault="00DB72D3" w:rsidP="00DB72D3">
      <w:pPr>
        <w:jc w:val="both"/>
        <w:rPr>
          <w:rFonts w:asciiTheme="majorHAnsi" w:hAnsiTheme="majorHAnsi" w:cstheme="majorHAnsi"/>
          <w:bCs/>
        </w:rPr>
      </w:pPr>
    </w:p>
    <w:p w14:paraId="3FEA94AC" w14:textId="7BA39670" w:rsidR="00DB72D3" w:rsidRPr="00A33AE8" w:rsidRDefault="00DB72D3" w:rsidP="00DB72D3">
      <w:pPr>
        <w:pStyle w:val="Caption"/>
      </w:pPr>
      <w:bookmarkStart w:id="431" w:name="_Toc153545076"/>
      <w:r w:rsidRPr="00A33AE8">
        <w:t xml:space="preserve">Table </w:t>
      </w:r>
      <w:r w:rsidR="006E0533">
        <w:fldChar w:fldCharType="begin"/>
      </w:r>
      <w:r w:rsidR="006E0533">
        <w:instrText xml:space="preserve"> STYLEREF 1 \s </w:instrText>
      </w:r>
      <w:r w:rsidR="006E0533">
        <w:fldChar w:fldCharType="separate"/>
      </w:r>
      <w:r w:rsidR="00A84B9C">
        <w:rPr>
          <w:noProof/>
        </w:rPr>
        <w:t>5</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w:t>
      </w:r>
      <w:r w:rsidR="006E0533">
        <w:rPr>
          <w:noProof/>
        </w:rPr>
        <w:fldChar w:fldCharType="end"/>
      </w:r>
      <w:r w:rsidRPr="00A33AE8">
        <w:t>: Installed RES capacity per technology per scenario</w:t>
      </w:r>
      <w:bookmarkEnd w:id="431"/>
    </w:p>
    <w:tbl>
      <w:tblPr>
        <w:tblStyle w:val="TableGrid"/>
        <w:tblW w:w="0" w:type="auto"/>
        <w:jc w:val="center"/>
        <w:tblLook w:val="04A0" w:firstRow="1" w:lastRow="0" w:firstColumn="1" w:lastColumn="0" w:noHBand="0" w:noVBand="1"/>
      </w:tblPr>
      <w:tblGrid>
        <w:gridCol w:w="906"/>
        <w:gridCol w:w="2633"/>
        <w:gridCol w:w="2963"/>
        <w:gridCol w:w="1054"/>
        <w:gridCol w:w="1166"/>
      </w:tblGrid>
      <w:tr w:rsidR="00DB72D3" w:rsidRPr="00A33AE8" w14:paraId="69B6F99B" w14:textId="77777777" w:rsidTr="000007D2">
        <w:trPr>
          <w:trHeight w:val="315"/>
          <w:jc w:val="center"/>
        </w:trPr>
        <w:tc>
          <w:tcPr>
            <w:tcW w:w="906" w:type="dxa"/>
            <w:noWrap/>
            <w:hideMark/>
          </w:tcPr>
          <w:p w14:paraId="255662D4" w14:textId="77777777" w:rsidR="00DB72D3" w:rsidRPr="00A33AE8" w:rsidRDefault="00DB72D3" w:rsidP="007D277C">
            <w:pPr>
              <w:rPr>
                <w:rFonts w:asciiTheme="minorHAnsi" w:hAnsiTheme="minorHAnsi" w:cstheme="minorHAnsi"/>
              </w:rPr>
            </w:pPr>
          </w:p>
        </w:tc>
        <w:tc>
          <w:tcPr>
            <w:tcW w:w="2633" w:type="dxa"/>
            <w:noWrap/>
            <w:hideMark/>
          </w:tcPr>
          <w:p w14:paraId="7E1A1868" w14:textId="77777777" w:rsidR="00DB72D3" w:rsidRPr="00A33AE8" w:rsidRDefault="00DB72D3" w:rsidP="007D277C">
            <w:pPr>
              <w:rPr>
                <w:rFonts w:asciiTheme="minorHAnsi" w:hAnsiTheme="minorHAnsi" w:cstheme="minorHAnsi"/>
              </w:rPr>
            </w:pPr>
          </w:p>
        </w:tc>
        <w:tc>
          <w:tcPr>
            <w:tcW w:w="2963" w:type="dxa"/>
            <w:noWrap/>
            <w:hideMark/>
          </w:tcPr>
          <w:p w14:paraId="4A27533A" w14:textId="77777777" w:rsidR="00DB72D3" w:rsidRPr="00A33AE8" w:rsidRDefault="00DB72D3" w:rsidP="007D277C">
            <w:pPr>
              <w:rPr>
                <w:rFonts w:asciiTheme="minorHAnsi" w:hAnsiTheme="minorHAnsi" w:cstheme="minorHAnsi"/>
              </w:rPr>
            </w:pPr>
            <w:r w:rsidRPr="00A33AE8">
              <w:rPr>
                <w:rFonts w:asciiTheme="minorHAnsi" w:hAnsiTheme="minorHAnsi" w:cstheme="minorHAnsi"/>
              </w:rPr>
              <w:t>Hydro Plants</w:t>
            </w:r>
          </w:p>
        </w:tc>
        <w:tc>
          <w:tcPr>
            <w:tcW w:w="1054" w:type="dxa"/>
            <w:noWrap/>
            <w:hideMark/>
          </w:tcPr>
          <w:p w14:paraId="61B0C53D" w14:textId="77777777" w:rsidR="00DB72D3" w:rsidRPr="00A33AE8" w:rsidRDefault="00DB72D3" w:rsidP="007D277C">
            <w:pPr>
              <w:rPr>
                <w:rFonts w:asciiTheme="minorHAnsi" w:hAnsiTheme="minorHAnsi" w:cstheme="minorHAnsi"/>
              </w:rPr>
            </w:pPr>
            <w:r w:rsidRPr="00A33AE8">
              <w:rPr>
                <w:rFonts w:asciiTheme="minorHAnsi" w:hAnsiTheme="minorHAnsi" w:cstheme="minorHAnsi"/>
              </w:rPr>
              <w:t>Wind</w:t>
            </w:r>
          </w:p>
        </w:tc>
        <w:tc>
          <w:tcPr>
            <w:tcW w:w="1166" w:type="dxa"/>
            <w:noWrap/>
            <w:hideMark/>
          </w:tcPr>
          <w:p w14:paraId="558BA7F3" w14:textId="77777777" w:rsidR="00DB72D3" w:rsidRPr="00A33AE8" w:rsidRDefault="00DB72D3" w:rsidP="007D277C">
            <w:pPr>
              <w:rPr>
                <w:rFonts w:asciiTheme="minorHAnsi" w:hAnsiTheme="minorHAnsi" w:cstheme="minorHAnsi"/>
              </w:rPr>
            </w:pPr>
            <w:r w:rsidRPr="00A33AE8">
              <w:rPr>
                <w:rFonts w:asciiTheme="minorHAnsi" w:hAnsiTheme="minorHAnsi" w:cstheme="minorHAnsi"/>
              </w:rPr>
              <w:t>Solar</w:t>
            </w:r>
          </w:p>
        </w:tc>
      </w:tr>
      <w:tr w:rsidR="00DB72D3" w:rsidRPr="00A33AE8" w14:paraId="12E7D7F4" w14:textId="77777777" w:rsidTr="000007D2">
        <w:trPr>
          <w:trHeight w:val="300"/>
          <w:jc w:val="center"/>
        </w:trPr>
        <w:tc>
          <w:tcPr>
            <w:tcW w:w="906" w:type="dxa"/>
            <w:noWrap/>
            <w:hideMark/>
          </w:tcPr>
          <w:p w14:paraId="2B929177" w14:textId="77777777" w:rsidR="00DB72D3" w:rsidRPr="00A33AE8" w:rsidRDefault="00DB72D3" w:rsidP="007D277C">
            <w:pPr>
              <w:jc w:val="left"/>
              <w:rPr>
                <w:rFonts w:asciiTheme="minorHAnsi" w:hAnsiTheme="minorHAnsi" w:cstheme="minorHAnsi"/>
              </w:rPr>
            </w:pPr>
            <w:r w:rsidRPr="00A33AE8">
              <w:rPr>
                <w:rFonts w:asciiTheme="minorHAnsi" w:hAnsiTheme="minorHAnsi" w:cstheme="minorHAnsi"/>
              </w:rPr>
              <w:t>2025</w:t>
            </w:r>
          </w:p>
        </w:tc>
        <w:tc>
          <w:tcPr>
            <w:tcW w:w="2633" w:type="dxa"/>
            <w:noWrap/>
            <w:hideMark/>
          </w:tcPr>
          <w:p w14:paraId="30E35A1F" w14:textId="77777777" w:rsidR="00DB72D3" w:rsidRPr="00A33AE8" w:rsidRDefault="00DB72D3" w:rsidP="007D277C">
            <w:pPr>
              <w:jc w:val="left"/>
              <w:rPr>
                <w:rFonts w:asciiTheme="minorHAnsi" w:hAnsiTheme="minorHAnsi" w:cstheme="minorHAnsi"/>
              </w:rPr>
            </w:pPr>
            <w:r w:rsidRPr="00A33AE8">
              <w:rPr>
                <w:rFonts w:asciiTheme="minorHAnsi" w:hAnsiTheme="minorHAnsi" w:cstheme="minorHAnsi"/>
              </w:rPr>
              <w:t>WEM</w:t>
            </w:r>
          </w:p>
        </w:tc>
        <w:tc>
          <w:tcPr>
            <w:tcW w:w="2963" w:type="dxa"/>
            <w:noWrap/>
            <w:hideMark/>
          </w:tcPr>
          <w:p w14:paraId="1D053393" w14:textId="77777777" w:rsidR="00DB72D3" w:rsidRPr="00A33AE8" w:rsidRDefault="00DB72D3" w:rsidP="007D277C">
            <w:pPr>
              <w:jc w:val="left"/>
              <w:rPr>
                <w:rFonts w:asciiTheme="minorHAnsi" w:hAnsiTheme="minorHAnsi" w:cstheme="minorHAnsi"/>
              </w:rPr>
            </w:pPr>
            <w:r w:rsidRPr="00A33AE8">
              <w:rPr>
                <w:rFonts w:asciiTheme="minorHAnsi" w:hAnsiTheme="minorHAnsi" w:cstheme="minorHAnsi"/>
              </w:rPr>
              <w:t>2,48</w:t>
            </w:r>
          </w:p>
        </w:tc>
        <w:tc>
          <w:tcPr>
            <w:tcW w:w="1054" w:type="dxa"/>
            <w:noWrap/>
            <w:hideMark/>
          </w:tcPr>
          <w:p w14:paraId="6B985FD9" w14:textId="77777777" w:rsidR="00DB72D3" w:rsidRPr="00A33AE8" w:rsidRDefault="00DB72D3" w:rsidP="007D277C">
            <w:pPr>
              <w:jc w:val="left"/>
              <w:rPr>
                <w:rFonts w:asciiTheme="minorHAnsi" w:hAnsiTheme="minorHAnsi" w:cstheme="minorHAnsi"/>
              </w:rPr>
            </w:pPr>
            <w:r w:rsidRPr="00A33AE8">
              <w:rPr>
                <w:rFonts w:asciiTheme="minorHAnsi" w:hAnsiTheme="minorHAnsi" w:cstheme="minorHAnsi"/>
              </w:rPr>
              <w:t>0,75</w:t>
            </w:r>
          </w:p>
        </w:tc>
        <w:tc>
          <w:tcPr>
            <w:tcW w:w="1166" w:type="dxa"/>
            <w:noWrap/>
            <w:hideMark/>
          </w:tcPr>
          <w:p w14:paraId="4FA1F2AE" w14:textId="77777777" w:rsidR="00DB72D3" w:rsidRPr="00A33AE8" w:rsidRDefault="00DB72D3" w:rsidP="007D277C">
            <w:pPr>
              <w:jc w:val="left"/>
              <w:rPr>
                <w:rFonts w:asciiTheme="minorHAnsi" w:hAnsiTheme="minorHAnsi" w:cstheme="minorHAnsi"/>
              </w:rPr>
            </w:pPr>
            <w:r w:rsidRPr="00A33AE8">
              <w:rPr>
                <w:rFonts w:asciiTheme="minorHAnsi" w:hAnsiTheme="minorHAnsi" w:cstheme="minorHAnsi"/>
              </w:rPr>
              <w:t>0,30</w:t>
            </w:r>
          </w:p>
        </w:tc>
      </w:tr>
      <w:tr w:rsidR="00DB72D3" w:rsidRPr="00A33AE8" w14:paraId="3DEB9A5E" w14:textId="77777777" w:rsidTr="000007D2">
        <w:trPr>
          <w:trHeight w:val="300"/>
          <w:jc w:val="center"/>
        </w:trPr>
        <w:tc>
          <w:tcPr>
            <w:tcW w:w="906" w:type="dxa"/>
            <w:noWrap/>
            <w:hideMark/>
          </w:tcPr>
          <w:p w14:paraId="63545DD7" w14:textId="77777777" w:rsidR="00DB72D3" w:rsidRPr="00A33AE8" w:rsidRDefault="00DB72D3" w:rsidP="007D277C">
            <w:pPr>
              <w:jc w:val="left"/>
              <w:rPr>
                <w:rFonts w:asciiTheme="minorHAnsi" w:hAnsiTheme="minorHAnsi" w:cstheme="minorHAnsi"/>
              </w:rPr>
            </w:pPr>
          </w:p>
        </w:tc>
        <w:tc>
          <w:tcPr>
            <w:tcW w:w="2633" w:type="dxa"/>
            <w:noWrap/>
            <w:hideMark/>
          </w:tcPr>
          <w:p w14:paraId="36A0F5C5"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58015949"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46CB33BD" w14:textId="77777777" w:rsidR="00DB72D3" w:rsidRPr="00A33AE8" w:rsidRDefault="00DB72D3" w:rsidP="007D277C">
            <w:pPr>
              <w:jc w:val="left"/>
              <w:rPr>
                <w:rFonts w:asciiTheme="minorHAnsi" w:hAnsiTheme="minorHAnsi" w:cstheme="minorHAnsi"/>
              </w:rPr>
            </w:pPr>
            <w:r w:rsidRPr="00A33AE8">
              <w:rPr>
                <w:rFonts w:cstheme="minorHAnsi"/>
              </w:rPr>
              <w:t>0,90</w:t>
            </w:r>
          </w:p>
        </w:tc>
        <w:tc>
          <w:tcPr>
            <w:tcW w:w="1166" w:type="dxa"/>
            <w:noWrap/>
            <w:hideMark/>
          </w:tcPr>
          <w:p w14:paraId="7C8CBAEA" w14:textId="77777777" w:rsidR="00DB72D3" w:rsidRPr="00A33AE8" w:rsidRDefault="00DB72D3" w:rsidP="007D277C">
            <w:pPr>
              <w:jc w:val="left"/>
              <w:rPr>
                <w:rFonts w:asciiTheme="minorHAnsi" w:hAnsiTheme="minorHAnsi" w:cstheme="minorHAnsi"/>
              </w:rPr>
            </w:pPr>
            <w:r w:rsidRPr="00A33AE8">
              <w:rPr>
                <w:rFonts w:cstheme="minorHAnsi"/>
              </w:rPr>
              <w:t>0,51</w:t>
            </w:r>
          </w:p>
        </w:tc>
      </w:tr>
      <w:tr w:rsidR="00DB72D3" w:rsidRPr="00A33AE8" w14:paraId="0C558935" w14:textId="77777777" w:rsidTr="000007D2">
        <w:trPr>
          <w:trHeight w:val="300"/>
          <w:jc w:val="center"/>
        </w:trPr>
        <w:tc>
          <w:tcPr>
            <w:tcW w:w="906" w:type="dxa"/>
            <w:noWrap/>
            <w:hideMark/>
          </w:tcPr>
          <w:p w14:paraId="128DEFA1" w14:textId="77777777" w:rsidR="00DB72D3" w:rsidRPr="00A33AE8" w:rsidRDefault="00DB72D3" w:rsidP="007D277C">
            <w:pPr>
              <w:jc w:val="left"/>
              <w:rPr>
                <w:rFonts w:asciiTheme="minorHAnsi" w:hAnsiTheme="minorHAnsi" w:cstheme="minorHAnsi"/>
              </w:rPr>
            </w:pPr>
          </w:p>
        </w:tc>
        <w:tc>
          <w:tcPr>
            <w:tcW w:w="2633" w:type="dxa"/>
            <w:noWrap/>
            <w:hideMark/>
          </w:tcPr>
          <w:p w14:paraId="6A2EA10B"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19E50D9F"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03485273" w14:textId="77777777" w:rsidR="00DB72D3" w:rsidRPr="00A33AE8" w:rsidRDefault="00DB72D3" w:rsidP="007D277C">
            <w:pPr>
              <w:jc w:val="left"/>
              <w:rPr>
                <w:rFonts w:asciiTheme="minorHAnsi" w:hAnsiTheme="minorHAnsi" w:cstheme="minorHAnsi"/>
              </w:rPr>
            </w:pPr>
            <w:r w:rsidRPr="00A33AE8">
              <w:rPr>
                <w:rFonts w:cstheme="minorHAnsi"/>
              </w:rPr>
              <w:t>0,90</w:t>
            </w:r>
          </w:p>
        </w:tc>
        <w:tc>
          <w:tcPr>
            <w:tcW w:w="1166" w:type="dxa"/>
            <w:noWrap/>
            <w:hideMark/>
          </w:tcPr>
          <w:p w14:paraId="088FB669" w14:textId="77777777" w:rsidR="00DB72D3" w:rsidRPr="00A33AE8" w:rsidRDefault="00DB72D3" w:rsidP="007D277C">
            <w:pPr>
              <w:jc w:val="left"/>
              <w:rPr>
                <w:rFonts w:asciiTheme="minorHAnsi" w:hAnsiTheme="minorHAnsi" w:cstheme="minorHAnsi"/>
              </w:rPr>
            </w:pPr>
            <w:r w:rsidRPr="00A33AE8">
              <w:rPr>
                <w:rFonts w:cstheme="minorHAnsi"/>
              </w:rPr>
              <w:t>0,51</w:t>
            </w:r>
          </w:p>
        </w:tc>
      </w:tr>
      <w:tr w:rsidR="00DB72D3" w:rsidRPr="00A33AE8" w14:paraId="4710C199" w14:textId="77777777" w:rsidTr="000007D2">
        <w:trPr>
          <w:trHeight w:val="300"/>
          <w:jc w:val="center"/>
        </w:trPr>
        <w:tc>
          <w:tcPr>
            <w:tcW w:w="906" w:type="dxa"/>
            <w:noWrap/>
            <w:hideMark/>
          </w:tcPr>
          <w:p w14:paraId="487D5D0F" w14:textId="77777777" w:rsidR="00DB72D3" w:rsidRPr="00A33AE8" w:rsidRDefault="00DB72D3" w:rsidP="007D277C">
            <w:pPr>
              <w:jc w:val="left"/>
              <w:rPr>
                <w:rFonts w:asciiTheme="minorHAnsi" w:hAnsiTheme="minorHAnsi" w:cstheme="minorHAnsi"/>
              </w:rPr>
            </w:pPr>
            <w:r w:rsidRPr="00A33AE8">
              <w:rPr>
                <w:rFonts w:cstheme="minorHAnsi"/>
              </w:rPr>
              <w:t>2026</w:t>
            </w:r>
          </w:p>
        </w:tc>
        <w:tc>
          <w:tcPr>
            <w:tcW w:w="2633" w:type="dxa"/>
            <w:noWrap/>
            <w:hideMark/>
          </w:tcPr>
          <w:p w14:paraId="0C67D67B"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069BEAF4"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269143F2"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2DE86252" w14:textId="77777777" w:rsidR="00DB72D3" w:rsidRPr="00A33AE8" w:rsidRDefault="00DB72D3" w:rsidP="007D277C">
            <w:pPr>
              <w:jc w:val="left"/>
              <w:rPr>
                <w:rFonts w:asciiTheme="minorHAnsi" w:hAnsiTheme="minorHAnsi" w:cstheme="minorHAnsi"/>
              </w:rPr>
            </w:pPr>
            <w:r w:rsidRPr="00A33AE8">
              <w:rPr>
                <w:rFonts w:cstheme="minorHAnsi"/>
              </w:rPr>
              <w:t>0,30</w:t>
            </w:r>
          </w:p>
        </w:tc>
      </w:tr>
      <w:tr w:rsidR="00DB72D3" w:rsidRPr="00A33AE8" w14:paraId="70BF8F0B" w14:textId="77777777" w:rsidTr="000007D2">
        <w:trPr>
          <w:trHeight w:val="300"/>
          <w:jc w:val="center"/>
        </w:trPr>
        <w:tc>
          <w:tcPr>
            <w:tcW w:w="906" w:type="dxa"/>
            <w:noWrap/>
            <w:hideMark/>
          </w:tcPr>
          <w:p w14:paraId="68DFF44E" w14:textId="77777777" w:rsidR="00DB72D3" w:rsidRPr="00A33AE8" w:rsidRDefault="00DB72D3" w:rsidP="007D277C">
            <w:pPr>
              <w:jc w:val="left"/>
              <w:rPr>
                <w:rFonts w:asciiTheme="minorHAnsi" w:hAnsiTheme="minorHAnsi" w:cstheme="minorHAnsi"/>
              </w:rPr>
            </w:pPr>
          </w:p>
        </w:tc>
        <w:tc>
          <w:tcPr>
            <w:tcW w:w="2633" w:type="dxa"/>
            <w:noWrap/>
            <w:hideMark/>
          </w:tcPr>
          <w:p w14:paraId="72AC397D"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5426527E"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5D377CC5" w14:textId="77777777" w:rsidR="00DB72D3" w:rsidRPr="00A33AE8" w:rsidRDefault="00DB72D3" w:rsidP="007D277C">
            <w:pPr>
              <w:jc w:val="left"/>
              <w:rPr>
                <w:rFonts w:asciiTheme="minorHAnsi" w:hAnsiTheme="minorHAnsi" w:cstheme="minorHAnsi"/>
              </w:rPr>
            </w:pPr>
            <w:r w:rsidRPr="00A33AE8">
              <w:rPr>
                <w:rFonts w:cstheme="minorHAnsi"/>
              </w:rPr>
              <w:t>1,05</w:t>
            </w:r>
          </w:p>
        </w:tc>
        <w:tc>
          <w:tcPr>
            <w:tcW w:w="1166" w:type="dxa"/>
            <w:noWrap/>
            <w:hideMark/>
          </w:tcPr>
          <w:p w14:paraId="34BA78F8" w14:textId="77777777" w:rsidR="00DB72D3" w:rsidRPr="00A33AE8" w:rsidRDefault="00DB72D3" w:rsidP="007D277C">
            <w:pPr>
              <w:jc w:val="left"/>
              <w:rPr>
                <w:rFonts w:asciiTheme="minorHAnsi" w:hAnsiTheme="minorHAnsi" w:cstheme="minorHAnsi"/>
              </w:rPr>
            </w:pPr>
            <w:r w:rsidRPr="00A33AE8">
              <w:rPr>
                <w:rFonts w:cstheme="minorHAnsi"/>
              </w:rPr>
              <w:t>0,75</w:t>
            </w:r>
          </w:p>
        </w:tc>
      </w:tr>
      <w:tr w:rsidR="00DB72D3" w:rsidRPr="00A33AE8" w14:paraId="330356F6" w14:textId="77777777" w:rsidTr="000007D2">
        <w:trPr>
          <w:trHeight w:val="300"/>
          <w:jc w:val="center"/>
        </w:trPr>
        <w:tc>
          <w:tcPr>
            <w:tcW w:w="906" w:type="dxa"/>
            <w:noWrap/>
            <w:hideMark/>
          </w:tcPr>
          <w:p w14:paraId="7FDF87BD" w14:textId="77777777" w:rsidR="00DB72D3" w:rsidRPr="00A33AE8" w:rsidRDefault="00DB72D3" w:rsidP="007D277C">
            <w:pPr>
              <w:jc w:val="left"/>
              <w:rPr>
                <w:rFonts w:asciiTheme="minorHAnsi" w:hAnsiTheme="minorHAnsi" w:cstheme="minorHAnsi"/>
              </w:rPr>
            </w:pPr>
          </w:p>
        </w:tc>
        <w:tc>
          <w:tcPr>
            <w:tcW w:w="2633" w:type="dxa"/>
            <w:noWrap/>
            <w:hideMark/>
          </w:tcPr>
          <w:p w14:paraId="3D67497C"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3E7ADC35"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0A5EC602" w14:textId="77777777" w:rsidR="00DB72D3" w:rsidRPr="00A33AE8" w:rsidRDefault="00DB72D3" w:rsidP="007D277C">
            <w:pPr>
              <w:jc w:val="left"/>
              <w:rPr>
                <w:rFonts w:asciiTheme="minorHAnsi" w:hAnsiTheme="minorHAnsi" w:cstheme="minorHAnsi"/>
              </w:rPr>
            </w:pPr>
            <w:r w:rsidRPr="00A33AE8">
              <w:rPr>
                <w:rFonts w:cstheme="minorHAnsi"/>
              </w:rPr>
              <w:t>1,05</w:t>
            </w:r>
          </w:p>
        </w:tc>
        <w:tc>
          <w:tcPr>
            <w:tcW w:w="1166" w:type="dxa"/>
            <w:noWrap/>
            <w:hideMark/>
          </w:tcPr>
          <w:p w14:paraId="70DEEBA7" w14:textId="77777777" w:rsidR="00DB72D3" w:rsidRPr="00A33AE8" w:rsidRDefault="00DB72D3" w:rsidP="007D277C">
            <w:pPr>
              <w:jc w:val="left"/>
              <w:rPr>
                <w:rFonts w:asciiTheme="minorHAnsi" w:hAnsiTheme="minorHAnsi" w:cstheme="minorHAnsi"/>
              </w:rPr>
            </w:pPr>
            <w:r w:rsidRPr="00A33AE8">
              <w:rPr>
                <w:rFonts w:cstheme="minorHAnsi"/>
              </w:rPr>
              <w:t>0,75</w:t>
            </w:r>
          </w:p>
        </w:tc>
      </w:tr>
      <w:tr w:rsidR="00DB72D3" w:rsidRPr="00A33AE8" w14:paraId="5DA6CC49" w14:textId="77777777" w:rsidTr="000007D2">
        <w:trPr>
          <w:trHeight w:val="300"/>
          <w:jc w:val="center"/>
        </w:trPr>
        <w:tc>
          <w:tcPr>
            <w:tcW w:w="906" w:type="dxa"/>
            <w:noWrap/>
            <w:hideMark/>
          </w:tcPr>
          <w:p w14:paraId="222BE76C" w14:textId="77777777" w:rsidR="00DB72D3" w:rsidRPr="00A33AE8" w:rsidRDefault="00DB72D3" w:rsidP="007D277C">
            <w:pPr>
              <w:jc w:val="left"/>
              <w:rPr>
                <w:rFonts w:asciiTheme="minorHAnsi" w:hAnsiTheme="minorHAnsi" w:cstheme="minorHAnsi"/>
              </w:rPr>
            </w:pPr>
            <w:r w:rsidRPr="00A33AE8">
              <w:rPr>
                <w:rFonts w:cstheme="minorHAnsi"/>
              </w:rPr>
              <w:t>2027</w:t>
            </w:r>
          </w:p>
        </w:tc>
        <w:tc>
          <w:tcPr>
            <w:tcW w:w="2633" w:type="dxa"/>
            <w:noWrap/>
            <w:hideMark/>
          </w:tcPr>
          <w:p w14:paraId="0959DBBA"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574F189B"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106FC854"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2B650613" w14:textId="77777777" w:rsidR="00DB72D3" w:rsidRPr="00A33AE8" w:rsidRDefault="00DB72D3" w:rsidP="007D277C">
            <w:pPr>
              <w:jc w:val="left"/>
              <w:rPr>
                <w:rFonts w:asciiTheme="minorHAnsi" w:hAnsiTheme="minorHAnsi" w:cstheme="minorHAnsi"/>
              </w:rPr>
            </w:pPr>
            <w:r w:rsidRPr="00A33AE8">
              <w:rPr>
                <w:rFonts w:cstheme="minorHAnsi"/>
              </w:rPr>
              <w:t>0,38</w:t>
            </w:r>
          </w:p>
        </w:tc>
      </w:tr>
      <w:tr w:rsidR="00DB72D3" w:rsidRPr="00A33AE8" w14:paraId="514E70B5" w14:textId="77777777" w:rsidTr="000007D2">
        <w:trPr>
          <w:trHeight w:val="300"/>
          <w:jc w:val="center"/>
        </w:trPr>
        <w:tc>
          <w:tcPr>
            <w:tcW w:w="906" w:type="dxa"/>
            <w:noWrap/>
            <w:hideMark/>
          </w:tcPr>
          <w:p w14:paraId="62F7EE00" w14:textId="77777777" w:rsidR="00DB72D3" w:rsidRPr="00A33AE8" w:rsidRDefault="00DB72D3" w:rsidP="007D277C">
            <w:pPr>
              <w:jc w:val="left"/>
              <w:rPr>
                <w:rFonts w:asciiTheme="minorHAnsi" w:hAnsiTheme="minorHAnsi" w:cstheme="minorHAnsi"/>
              </w:rPr>
            </w:pPr>
          </w:p>
        </w:tc>
        <w:tc>
          <w:tcPr>
            <w:tcW w:w="2633" w:type="dxa"/>
            <w:noWrap/>
            <w:hideMark/>
          </w:tcPr>
          <w:p w14:paraId="5C725BE7"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2A3C87F5"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6F389014" w14:textId="77777777" w:rsidR="00DB72D3" w:rsidRPr="00A33AE8" w:rsidRDefault="00DB72D3" w:rsidP="007D277C">
            <w:pPr>
              <w:jc w:val="left"/>
              <w:rPr>
                <w:rFonts w:asciiTheme="minorHAnsi" w:hAnsiTheme="minorHAnsi" w:cstheme="minorHAnsi"/>
              </w:rPr>
            </w:pPr>
            <w:r w:rsidRPr="00A33AE8">
              <w:rPr>
                <w:rFonts w:cstheme="minorHAnsi"/>
              </w:rPr>
              <w:t>1,21</w:t>
            </w:r>
          </w:p>
        </w:tc>
        <w:tc>
          <w:tcPr>
            <w:tcW w:w="1166" w:type="dxa"/>
            <w:noWrap/>
            <w:hideMark/>
          </w:tcPr>
          <w:p w14:paraId="67FC3371" w14:textId="77777777" w:rsidR="00DB72D3" w:rsidRPr="00A33AE8" w:rsidRDefault="00DB72D3" w:rsidP="007D277C">
            <w:pPr>
              <w:jc w:val="left"/>
              <w:rPr>
                <w:rFonts w:asciiTheme="minorHAnsi" w:hAnsiTheme="minorHAnsi" w:cstheme="minorHAnsi"/>
              </w:rPr>
            </w:pPr>
            <w:r w:rsidRPr="00A33AE8">
              <w:rPr>
                <w:rFonts w:cstheme="minorHAnsi"/>
              </w:rPr>
              <w:t>0,99</w:t>
            </w:r>
          </w:p>
        </w:tc>
      </w:tr>
      <w:tr w:rsidR="00DB72D3" w:rsidRPr="00A33AE8" w14:paraId="0456D92B" w14:textId="77777777" w:rsidTr="000007D2">
        <w:trPr>
          <w:trHeight w:val="300"/>
          <w:jc w:val="center"/>
        </w:trPr>
        <w:tc>
          <w:tcPr>
            <w:tcW w:w="906" w:type="dxa"/>
            <w:noWrap/>
            <w:hideMark/>
          </w:tcPr>
          <w:p w14:paraId="4946B6DB" w14:textId="77777777" w:rsidR="00DB72D3" w:rsidRPr="00A33AE8" w:rsidRDefault="00DB72D3" w:rsidP="007D277C">
            <w:pPr>
              <w:jc w:val="left"/>
              <w:rPr>
                <w:rFonts w:asciiTheme="minorHAnsi" w:hAnsiTheme="minorHAnsi" w:cstheme="minorHAnsi"/>
              </w:rPr>
            </w:pPr>
          </w:p>
        </w:tc>
        <w:tc>
          <w:tcPr>
            <w:tcW w:w="2633" w:type="dxa"/>
            <w:noWrap/>
            <w:hideMark/>
          </w:tcPr>
          <w:p w14:paraId="38E1C700"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489C23DD"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2918BF76" w14:textId="77777777" w:rsidR="00DB72D3" w:rsidRPr="00A33AE8" w:rsidRDefault="00DB72D3" w:rsidP="007D277C">
            <w:pPr>
              <w:jc w:val="left"/>
              <w:rPr>
                <w:rFonts w:asciiTheme="minorHAnsi" w:hAnsiTheme="minorHAnsi" w:cstheme="minorHAnsi"/>
              </w:rPr>
            </w:pPr>
            <w:r w:rsidRPr="00A33AE8">
              <w:rPr>
                <w:rFonts w:cstheme="minorHAnsi"/>
              </w:rPr>
              <w:t>1,21</w:t>
            </w:r>
          </w:p>
        </w:tc>
        <w:tc>
          <w:tcPr>
            <w:tcW w:w="1166" w:type="dxa"/>
            <w:noWrap/>
            <w:hideMark/>
          </w:tcPr>
          <w:p w14:paraId="3575D41B" w14:textId="77777777" w:rsidR="00DB72D3" w:rsidRPr="00A33AE8" w:rsidRDefault="00DB72D3" w:rsidP="007D277C">
            <w:pPr>
              <w:jc w:val="left"/>
              <w:rPr>
                <w:rFonts w:asciiTheme="minorHAnsi" w:hAnsiTheme="minorHAnsi" w:cstheme="minorHAnsi"/>
              </w:rPr>
            </w:pPr>
            <w:r w:rsidRPr="00A33AE8">
              <w:rPr>
                <w:rFonts w:cstheme="minorHAnsi"/>
              </w:rPr>
              <w:t>0,99</w:t>
            </w:r>
          </w:p>
        </w:tc>
      </w:tr>
      <w:tr w:rsidR="00DB72D3" w:rsidRPr="00A33AE8" w14:paraId="1B8F977A" w14:textId="77777777" w:rsidTr="000007D2">
        <w:trPr>
          <w:trHeight w:val="300"/>
          <w:jc w:val="center"/>
        </w:trPr>
        <w:tc>
          <w:tcPr>
            <w:tcW w:w="906" w:type="dxa"/>
            <w:noWrap/>
            <w:hideMark/>
          </w:tcPr>
          <w:p w14:paraId="12D5F36E" w14:textId="77777777" w:rsidR="00DB72D3" w:rsidRPr="00A33AE8" w:rsidRDefault="00DB72D3" w:rsidP="007D277C">
            <w:pPr>
              <w:jc w:val="left"/>
              <w:rPr>
                <w:rFonts w:asciiTheme="minorHAnsi" w:hAnsiTheme="minorHAnsi" w:cstheme="minorHAnsi"/>
              </w:rPr>
            </w:pPr>
            <w:r w:rsidRPr="00A33AE8">
              <w:rPr>
                <w:rFonts w:cstheme="minorHAnsi"/>
              </w:rPr>
              <w:t>2028</w:t>
            </w:r>
          </w:p>
        </w:tc>
        <w:tc>
          <w:tcPr>
            <w:tcW w:w="2633" w:type="dxa"/>
            <w:noWrap/>
            <w:hideMark/>
          </w:tcPr>
          <w:p w14:paraId="34E88E44"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58A68F3C"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08D1C40C"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725AAC44" w14:textId="77777777" w:rsidR="00DB72D3" w:rsidRPr="00A33AE8" w:rsidRDefault="00DB72D3" w:rsidP="007D277C">
            <w:pPr>
              <w:jc w:val="left"/>
              <w:rPr>
                <w:rFonts w:asciiTheme="minorHAnsi" w:hAnsiTheme="minorHAnsi" w:cstheme="minorHAnsi"/>
              </w:rPr>
            </w:pPr>
            <w:r w:rsidRPr="00A33AE8">
              <w:rPr>
                <w:rFonts w:cstheme="minorHAnsi"/>
              </w:rPr>
              <w:t>0,38</w:t>
            </w:r>
          </w:p>
        </w:tc>
      </w:tr>
      <w:tr w:rsidR="00DB72D3" w:rsidRPr="00A33AE8" w14:paraId="151701A3" w14:textId="77777777" w:rsidTr="000007D2">
        <w:trPr>
          <w:trHeight w:val="300"/>
          <w:jc w:val="center"/>
        </w:trPr>
        <w:tc>
          <w:tcPr>
            <w:tcW w:w="906" w:type="dxa"/>
            <w:noWrap/>
            <w:hideMark/>
          </w:tcPr>
          <w:p w14:paraId="6EB2F703" w14:textId="77777777" w:rsidR="00DB72D3" w:rsidRPr="00A33AE8" w:rsidRDefault="00DB72D3" w:rsidP="007D277C">
            <w:pPr>
              <w:jc w:val="left"/>
              <w:rPr>
                <w:rFonts w:asciiTheme="minorHAnsi" w:hAnsiTheme="minorHAnsi" w:cstheme="minorHAnsi"/>
              </w:rPr>
            </w:pPr>
          </w:p>
        </w:tc>
        <w:tc>
          <w:tcPr>
            <w:tcW w:w="2633" w:type="dxa"/>
            <w:noWrap/>
            <w:hideMark/>
          </w:tcPr>
          <w:p w14:paraId="62BB2A2B"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414DAC08" w14:textId="77777777" w:rsidR="00DB72D3" w:rsidRPr="00A33AE8" w:rsidRDefault="00DB72D3" w:rsidP="007D277C">
            <w:pPr>
              <w:jc w:val="left"/>
              <w:rPr>
                <w:rFonts w:asciiTheme="minorHAnsi" w:hAnsiTheme="minorHAnsi" w:cstheme="minorHAnsi"/>
              </w:rPr>
            </w:pPr>
            <w:r w:rsidRPr="00A33AE8">
              <w:rPr>
                <w:rFonts w:cstheme="minorHAnsi"/>
              </w:rPr>
              <w:t>2,52</w:t>
            </w:r>
          </w:p>
        </w:tc>
        <w:tc>
          <w:tcPr>
            <w:tcW w:w="1054" w:type="dxa"/>
            <w:noWrap/>
            <w:hideMark/>
          </w:tcPr>
          <w:p w14:paraId="5BCD84C6" w14:textId="77777777" w:rsidR="00DB72D3" w:rsidRPr="00A33AE8" w:rsidRDefault="00DB72D3" w:rsidP="007D277C">
            <w:pPr>
              <w:jc w:val="left"/>
              <w:rPr>
                <w:rFonts w:asciiTheme="minorHAnsi" w:hAnsiTheme="minorHAnsi" w:cstheme="minorHAnsi"/>
              </w:rPr>
            </w:pPr>
            <w:r w:rsidRPr="00A33AE8">
              <w:rPr>
                <w:rFonts w:cstheme="minorHAnsi"/>
              </w:rPr>
              <w:t>1,38</w:t>
            </w:r>
          </w:p>
        </w:tc>
        <w:tc>
          <w:tcPr>
            <w:tcW w:w="1166" w:type="dxa"/>
            <w:noWrap/>
            <w:hideMark/>
          </w:tcPr>
          <w:p w14:paraId="766B7FE9" w14:textId="77777777" w:rsidR="00DB72D3" w:rsidRPr="00A33AE8" w:rsidRDefault="00DB72D3" w:rsidP="007D277C">
            <w:pPr>
              <w:jc w:val="left"/>
              <w:rPr>
                <w:rFonts w:asciiTheme="minorHAnsi" w:hAnsiTheme="minorHAnsi" w:cstheme="minorHAnsi"/>
              </w:rPr>
            </w:pPr>
            <w:r w:rsidRPr="00A33AE8">
              <w:rPr>
                <w:rFonts w:cstheme="minorHAnsi"/>
              </w:rPr>
              <w:t>1,23</w:t>
            </w:r>
          </w:p>
        </w:tc>
      </w:tr>
      <w:tr w:rsidR="00DB72D3" w:rsidRPr="00A33AE8" w14:paraId="35DA5943" w14:textId="77777777" w:rsidTr="000007D2">
        <w:trPr>
          <w:trHeight w:val="300"/>
          <w:jc w:val="center"/>
        </w:trPr>
        <w:tc>
          <w:tcPr>
            <w:tcW w:w="906" w:type="dxa"/>
            <w:noWrap/>
            <w:hideMark/>
          </w:tcPr>
          <w:p w14:paraId="2EA68496" w14:textId="77777777" w:rsidR="00DB72D3" w:rsidRPr="00A33AE8" w:rsidRDefault="00DB72D3" w:rsidP="007D277C">
            <w:pPr>
              <w:jc w:val="left"/>
              <w:rPr>
                <w:rFonts w:asciiTheme="minorHAnsi" w:hAnsiTheme="minorHAnsi" w:cstheme="minorHAnsi"/>
              </w:rPr>
            </w:pPr>
          </w:p>
        </w:tc>
        <w:tc>
          <w:tcPr>
            <w:tcW w:w="2633" w:type="dxa"/>
            <w:noWrap/>
            <w:hideMark/>
          </w:tcPr>
          <w:p w14:paraId="45393513"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3EB5F7CA" w14:textId="77777777" w:rsidR="00DB72D3" w:rsidRPr="00A33AE8" w:rsidRDefault="00DB72D3" w:rsidP="007D277C">
            <w:pPr>
              <w:jc w:val="left"/>
              <w:rPr>
                <w:rFonts w:asciiTheme="minorHAnsi" w:hAnsiTheme="minorHAnsi" w:cstheme="minorHAnsi"/>
              </w:rPr>
            </w:pPr>
            <w:r w:rsidRPr="00A33AE8">
              <w:rPr>
                <w:rFonts w:cstheme="minorHAnsi"/>
              </w:rPr>
              <w:t>2,52</w:t>
            </w:r>
          </w:p>
        </w:tc>
        <w:tc>
          <w:tcPr>
            <w:tcW w:w="1054" w:type="dxa"/>
            <w:noWrap/>
            <w:hideMark/>
          </w:tcPr>
          <w:p w14:paraId="65EFCAB6" w14:textId="77777777" w:rsidR="00DB72D3" w:rsidRPr="00A33AE8" w:rsidRDefault="00DB72D3" w:rsidP="007D277C">
            <w:pPr>
              <w:jc w:val="left"/>
              <w:rPr>
                <w:rFonts w:asciiTheme="minorHAnsi" w:hAnsiTheme="minorHAnsi" w:cstheme="minorHAnsi"/>
              </w:rPr>
            </w:pPr>
            <w:r w:rsidRPr="00A33AE8">
              <w:rPr>
                <w:rFonts w:cstheme="minorHAnsi"/>
              </w:rPr>
              <w:t>1,38</w:t>
            </w:r>
          </w:p>
        </w:tc>
        <w:tc>
          <w:tcPr>
            <w:tcW w:w="1166" w:type="dxa"/>
            <w:noWrap/>
            <w:hideMark/>
          </w:tcPr>
          <w:p w14:paraId="3B408926" w14:textId="77777777" w:rsidR="00DB72D3" w:rsidRPr="00A33AE8" w:rsidRDefault="00DB72D3" w:rsidP="007D277C">
            <w:pPr>
              <w:jc w:val="left"/>
              <w:rPr>
                <w:rFonts w:asciiTheme="minorHAnsi" w:hAnsiTheme="minorHAnsi" w:cstheme="minorHAnsi"/>
              </w:rPr>
            </w:pPr>
            <w:r w:rsidRPr="00A33AE8">
              <w:rPr>
                <w:rFonts w:cstheme="minorHAnsi"/>
              </w:rPr>
              <w:t>1,23</w:t>
            </w:r>
          </w:p>
        </w:tc>
      </w:tr>
      <w:tr w:rsidR="00DB72D3" w:rsidRPr="00A33AE8" w14:paraId="7BB64A1E" w14:textId="77777777" w:rsidTr="000007D2">
        <w:trPr>
          <w:trHeight w:val="300"/>
          <w:jc w:val="center"/>
        </w:trPr>
        <w:tc>
          <w:tcPr>
            <w:tcW w:w="906" w:type="dxa"/>
            <w:noWrap/>
            <w:hideMark/>
          </w:tcPr>
          <w:p w14:paraId="149F2CBE" w14:textId="77777777" w:rsidR="00DB72D3" w:rsidRPr="00A33AE8" w:rsidRDefault="00DB72D3" w:rsidP="007D277C">
            <w:pPr>
              <w:jc w:val="left"/>
              <w:rPr>
                <w:rFonts w:asciiTheme="minorHAnsi" w:hAnsiTheme="minorHAnsi" w:cstheme="minorHAnsi"/>
              </w:rPr>
            </w:pPr>
            <w:r w:rsidRPr="00A33AE8">
              <w:rPr>
                <w:rFonts w:cstheme="minorHAnsi"/>
              </w:rPr>
              <w:t>2029</w:t>
            </w:r>
          </w:p>
        </w:tc>
        <w:tc>
          <w:tcPr>
            <w:tcW w:w="2633" w:type="dxa"/>
            <w:noWrap/>
            <w:hideMark/>
          </w:tcPr>
          <w:p w14:paraId="398440DA"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21B8BE25"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476347D7"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46C7D800" w14:textId="77777777" w:rsidR="00DB72D3" w:rsidRPr="00A33AE8" w:rsidRDefault="00DB72D3" w:rsidP="007D277C">
            <w:pPr>
              <w:jc w:val="left"/>
              <w:rPr>
                <w:rFonts w:asciiTheme="minorHAnsi" w:hAnsiTheme="minorHAnsi" w:cstheme="minorHAnsi"/>
              </w:rPr>
            </w:pPr>
            <w:r w:rsidRPr="00A33AE8">
              <w:rPr>
                <w:rFonts w:cstheme="minorHAnsi"/>
              </w:rPr>
              <w:t>0,38</w:t>
            </w:r>
          </w:p>
        </w:tc>
      </w:tr>
      <w:tr w:rsidR="00DB72D3" w:rsidRPr="00A33AE8" w14:paraId="19A7117C" w14:textId="77777777" w:rsidTr="000007D2">
        <w:trPr>
          <w:trHeight w:val="300"/>
          <w:jc w:val="center"/>
        </w:trPr>
        <w:tc>
          <w:tcPr>
            <w:tcW w:w="906" w:type="dxa"/>
            <w:noWrap/>
            <w:hideMark/>
          </w:tcPr>
          <w:p w14:paraId="1B46641A" w14:textId="77777777" w:rsidR="00DB72D3" w:rsidRPr="00A33AE8" w:rsidRDefault="00DB72D3" w:rsidP="007D277C">
            <w:pPr>
              <w:jc w:val="left"/>
              <w:rPr>
                <w:rFonts w:asciiTheme="minorHAnsi" w:hAnsiTheme="minorHAnsi" w:cstheme="minorHAnsi"/>
              </w:rPr>
            </w:pPr>
          </w:p>
        </w:tc>
        <w:tc>
          <w:tcPr>
            <w:tcW w:w="2633" w:type="dxa"/>
            <w:noWrap/>
            <w:hideMark/>
          </w:tcPr>
          <w:p w14:paraId="767AEF04"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653067C8" w14:textId="77777777" w:rsidR="00DB72D3" w:rsidRPr="00A33AE8" w:rsidRDefault="00DB72D3" w:rsidP="007D277C">
            <w:pPr>
              <w:jc w:val="left"/>
              <w:rPr>
                <w:rFonts w:asciiTheme="minorHAnsi" w:hAnsiTheme="minorHAnsi" w:cstheme="minorHAnsi"/>
              </w:rPr>
            </w:pPr>
            <w:r w:rsidRPr="00A33AE8">
              <w:rPr>
                <w:rFonts w:cstheme="minorHAnsi"/>
              </w:rPr>
              <w:t>2,52</w:t>
            </w:r>
          </w:p>
        </w:tc>
        <w:tc>
          <w:tcPr>
            <w:tcW w:w="1054" w:type="dxa"/>
            <w:noWrap/>
            <w:hideMark/>
          </w:tcPr>
          <w:p w14:paraId="0D0A6343" w14:textId="77777777" w:rsidR="00DB72D3" w:rsidRPr="00A33AE8" w:rsidRDefault="00DB72D3" w:rsidP="007D277C">
            <w:pPr>
              <w:jc w:val="left"/>
              <w:rPr>
                <w:rFonts w:asciiTheme="minorHAnsi" w:hAnsiTheme="minorHAnsi" w:cstheme="minorHAnsi"/>
              </w:rPr>
            </w:pPr>
            <w:r w:rsidRPr="00A33AE8">
              <w:rPr>
                <w:rFonts w:cstheme="minorHAnsi"/>
              </w:rPr>
              <w:t>1,57</w:t>
            </w:r>
          </w:p>
        </w:tc>
        <w:tc>
          <w:tcPr>
            <w:tcW w:w="1166" w:type="dxa"/>
            <w:noWrap/>
            <w:hideMark/>
          </w:tcPr>
          <w:p w14:paraId="628EC1A0" w14:textId="77777777" w:rsidR="00DB72D3" w:rsidRPr="00A33AE8" w:rsidRDefault="00DB72D3" w:rsidP="007D277C">
            <w:pPr>
              <w:jc w:val="left"/>
              <w:rPr>
                <w:rFonts w:asciiTheme="minorHAnsi" w:hAnsiTheme="minorHAnsi" w:cstheme="minorHAnsi"/>
              </w:rPr>
            </w:pPr>
            <w:r w:rsidRPr="00A33AE8">
              <w:rPr>
                <w:rFonts w:cstheme="minorHAnsi"/>
              </w:rPr>
              <w:t>1,48</w:t>
            </w:r>
          </w:p>
        </w:tc>
      </w:tr>
      <w:tr w:rsidR="00DB72D3" w:rsidRPr="00A33AE8" w14:paraId="7E6A0366" w14:textId="77777777" w:rsidTr="000007D2">
        <w:trPr>
          <w:trHeight w:val="300"/>
          <w:jc w:val="center"/>
        </w:trPr>
        <w:tc>
          <w:tcPr>
            <w:tcW w:w="906" w:type="dxa"/>
            <w:noWrap/>
            <w:hideMark/>
          </w:tcPr>
          <w:p w14:paraId="39568D47" w14:textId="77777777" w:rsidR="00DB72D3" w:rsidRPr="00A33AE8" w:rsidRDefault="00DB72D3" w:rsidP="007D277C">
            <w:pPr>
              <w:jc w:val="left"/>
              <w:rPr>
                <w:rFonts w:asciiTheme="minorHAnsi" w:hAnsiTheme="minorHAnsi" w:cstheme="minorHAnsi"/>
              </w:rPr>
            </w:pPr>
          </w:p>
        </w:tc>
        <w:tc>
          <w:tcPr>
            <w:tcW w:w="2633" w:type="dxa"/>
            <w:noWrap/>
            <w:hideMark/>
          </w:tcPr>
          <w:p w14:paraId="48769E5B"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09A5E06E" w14:textId="77777777" w:rsidR="00DB72D3" w:rsidRPr="00A33AE8" w:rsidRDefault="00DB72D3" w:rsidP="007D277C">
            <w:pPr>
              <w:jc w:val="left"/>
              <w:rPr>
                <w:rFonts w:asciiTheme="minorHAnsi" w:hAnsiTheme="minorHAnsi" w:cstheme="minorHAnsi"/>
              </w:rPr>
            </w:pPr>
            <w:r w:rsidRPr="00A33AE8">
              <w:rPr>
                <w:rFonts w:cstheme="minorHAnsi"/>
              </w:rPr>
              <w:t>2,52</w:t>
            </w:r>
          </w:p>
        </w:tc>
        <w:tc>
          <w:tcPr>
            <w:tcW w:w="1054" w:type="dxa"/>
            <w:noWrap/>
            <w:hideMark/>
          </w:tcPr>
          <w:p w14:paraId="3B9F877F" w14:textId="77777777" w:rsidR="00DB72D3" w:rsidRPr="00A33AE8" w:rsidRDefault="00DB72D3" w:rsidP="007D277C">
            <w:pPr>
              <w:jc w:val="left"/>
              <w:rPr>
                <w:rFonts w:asciiTheme="minorHAnsi" w:hAnsiTheme="minorHAnsi" w:cstheme="minorHAnsi"/>
              </w:rPr>
            </w:pPr>
            <w:r w:rsidRPr="00A33AE8">
              <w:rPr>
                <w:rFonts w:cstheme="minorHAnsi"/>
              </w:rPr>
              <w:t>1,57</w:t>
            </w:r>
          </w:p>
        </w:tc>
        <w:tc>
          <w:tcPr>
            <w:tcW w:w="1166" w:type="dxa"/>
            <w:noWrap/>
            <w:hideMark/>
          </w:tcPr>
          <w:p w14:paraId="721DDB11" w14:textId="77777777" w:rsidR="00DB72D3" w:rsidRPr="00A33AE8" w:rsidRDefault="00DB72D3" w:rsidP="007D277C">
            <w:pPr>
              <w:jc w:val="left"/>
              <w:rPr>
                <w:rFonts w:asciiTheme="minorHAnsi" w:hAnsiTheme="minorHAnsi" w:cstheme="minorHAnsi"/>
              </w:rPr>
            </w:pPr>
            <w:r w:rsidRPr="00A33AE8">
              <w:rPr>
                <w:rFonts w:cstheme="minorHAnsi"/>
              </w:rPr>
              <w:t>1,48</w:t>
            </w:r>
          </w:p>
        </w:tc>
      </w:tr>
      <w:tr w:rsidR="00DB72D3" w:rsidRPr="00A33AE8" w14:paraId="34EA6D92" w14:textId="77777777" w:rsidTr="000007D2">
        <w:trPr>
          <w:trHeight w:val="300"/>
          <w:jc w:val="center"/>
        </w:trPr>
        <w:tc>
          <w:tcPr>
            <w:tcW w:w="906" w:type="dxa"/>
            <w:noWrap/>
            <w:hideMark/>
          </w:tcPr>
          <w:p w14:paraId="4411535F" w14:textId="77777777" w:rsidR="00DB72D3" w:rsidRPr="00A33AE8" w:rsidRDefault="00DB72D3" w:rsidP="007D277C">
            <w:pPr>
              <w:jc w:val="left"/>
              <w:rPr>
                <w:rFonts w:asciiTheme="minorHAnsi" w:hAnsiTheme="minorHAnsi" w:cstheme="minorHAnsi"/>
              </w:rPr>
            </w:pPr>
            <w:r w:rsidRPr="00A33AE8">
              <w:rPr>
                <w:rFonts w:cstheme="minorHAnsi"/>
              </w:rPr>
              <w:t>2030</w:t>
            </w:r>
          </w:p>
        </w:tc>
        <w:tc>
          <w:tcPr>
            <w:tcW w:w="2633" w:type="dxa"/>
            <w:noWrap/>
            <w:hideMark/>
          </w:tcPr>
          <w:p w14:paraId="67B82BF7"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1F7B9560" w14:textId="77777777" w:rsidR="00DB72D3" w:rsidRPr="00A33AE8" w:rsidRDefault="00DB72D3" w:rsidP="007D277C">
            <w:pPr>
              <w:jc w:val="left"/>
              <w:rPr>
                <w:rFonts w:asciiTheme="minorHAnsi" w:hAnsiTheme="minorHAnsi" w:cstheme="minorHAnsi"/>
              </w:rPr>
            </w:pPr>
            <w:r w:rsidRPr="00A33AE8">
              <w:rPr>
                <w:rFonts w:cstheme="minorHAnsi"/>
              </w:rPr>
              <w:t>2,48</w:t>
            </w:r>
          </w:p>
        </w:tc>
        <w:tc>
          <w:tcPr>
            <w:tcW w:w="1054" w:type="dxa"/>
            <w:noWrap/>
            <w:hideMark/>
          </w:tcPr>
          <w:p w14:paraId="631E33E7"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18BA0F52" w14:textId="77777777" w:rsidR="00DB72D3" w:rsidRPr="00A33AE8" w:rsidRDefault="00DB72D3" w:rsidP="007D277C">
            <w:pPr>
              <w:jc w:val="left"/>
              <w:rPr>
                <w:rFonts w:asciiTheme="minorHAnsi" w:hAnsiTheme="minorHAnsi" w:cstheme="minorHAnsi"/>
              </w:rPr>
            </w:pPr>
            <w:r w:rsidRPr="00A33AE8">
              <w:rPr>
                <w:rFonts w:cstheme="minorHAnsi"/>
              </w:rPr>
              <w:t>0,38</w:t>
            </w:r>
          </w:p>
        </w:tc>
      </w:tr>
      <w:tr w:rsidR="00DB72D3" w:rsidRPr="00A33AE8" w14:paraId="06583954" w14:textId="77777777" w:rsidTr="000007D2">
        <w:trPr>
          <w:trHeight w:val="300"/>
          <w:jc w:val="center"/>
        </w:trPr>
        <w:tc>
          <w:tcPr>
            <w:tcW w:w="906" w:type="dxa"/>
            <w:noWrap/>
            <w:hideMark/>
          </w:tcPr>
          <w:p w14:paraId="207A3708" w14:textId="77777777" w:rsidR="00DB72D3" w:rsidRPr="00A33AE8" w:rsidRDefault="00DB72D3" w:rsidP="007D277C">
            <w:pPr>
              <w:jc w:val="left"/>
              <w:rPr>
                <w:rFonts w:asciiTheme="minorHAnsi" w:hAnsiTheme="minorHAnsi" w:cstheme="minorHAnsi"/>
              </w:rPr>
            </w:pPr>
          </w:p>
        </w:tc>
        <w:tc>
          <w:tcPr>
            <w:tcW w:w="2633" w:type="dxa"/>
            <w:noWrap/>
            <w:hideMark/>
          </w:tcPr>
          <w:p w14:paraId="0B9E0234"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47C745A1" w14:textId="77777777" w:rsidR="00DB72D3" w:rsidRPr="00A33AE8" w:rsidRDefault="00DB72D3" w:rsidP="007D277C">
            <w:pPr>
              <w:jc w:val="left"/>
              <w:rPr>
                <w:rFonts w:asciiTheme="minorHAnsi" w:hAnsiTheme="minorHAnsi" w:cstheme="minorHAnsi"/>
              </w:rPr>
            </w:pPr>
            <w:r w:rsidRPr="00A33AE8">
              <w:rPr>
                <w:rFonts w:cstheme="minorHAnsi"/>
              </w:rPr>
              <w:t>2,62</w:t>
            </w:r>
          </w:p>
        </w:tc>
        <w:tc>
          <w:tcPr>
            <w:tcW w:w="1054" w:type="dxa"/>
            <w:noWrap/>
            <w:hideMark/>
          </w:tcPr>
          <w:p w14:paraId="42C708EE" w14:textId="77777777" w:rsidR="00DB72D3" w:rsidRPr="00A33AE8" w:rsidRDefault="00DB72D3" w:rsidP="007D277C">
            <w:pPr>
              <w:jc w:val="left"/>
              <w:rPr>
                <w:rFonts w:asciiTheme="minorHAnsi" w:hAnsiTheme="minorHAnsi" w:cstheme="minorHAnsi"/>
              </w:rPr>
            </w:pPr>
            <w:r w:rsidRPr="00A33AE8">
              <w:rPr>
                <w:rFonts w:cstheme="minorHAnsi"/>
              </w:rPr>
              <w:t>1,77</w:t>
            </w:r>
          </w:p>
        </w:tc>
        <w:tc>
          <w:tcPr>
            <w:tcW w:w="1166" w:type="dxa"/>
            <w:noWrap/>
            <w:hideMark/>
          </w:tcPr>
          <w:p w14:paraId="68AE6B53" w14:textId="77777777" w:rsidR="00DB72D3" w:rsidRPr="00A33AE8" w:rsidRDefault="00DB72D3" w:rsidP="007D277C">
            <w:pPr>
              <w:jc w:val="left"/>
              <w:rPr>
                <w:rFonts w:asciiTheme="minorHAnsi" w:hAnsiTheme="minorHAnsi" w:cstheme="minorHAnsi"/>
              </w:rPr>
            </w:pPr>
            <w:r w:rsidRPr="00A33AE8">
              <w:rPr>
                <w:rFonts w:cstheme="minorHAnsi"/>
              </w:rPr>
              <w:t>1,73</w:t>
            </w:r>
          </w:p>
        </w:tc>
      </w:tr>
      <w:tr w:rsidR="00DB72D3" w:rsidRPr="00A33AE8" w14:paraId="577453FE" w14:textId="77777777" w:rsidTr="000007D2">
        <w:trPr>
          <w:trHeight w:val="300"/>
          <w:jc w:val="center"/>
        </w:trPr>
        <w:tc>
          <w:tcPr>
            <w:tcW w:w="906" w:type="dxa"/>
            <w:noWrap/>
            <w:hideMark/>
          </w:tcPr>
          <w:p w14:paraId="019C0DC2" w14:textId="77777777" w:rsidR="00DB72D3" w:rsidRPr="00A33AE8" w:rsidRDefault="00DB72D3" w:rsidP="007D277C">
            <w:pPr>
              <w:jc w:val="left"/>
              <w:rPr>
                <w:rFonts w:asciiTheme="minorHAnsi" w:hAnsiTheme="minorHAnsi" w:cstheme="minorHAnsi"/>
              </w:rPr>
            </w:pPr>
          </w:p>
        </w:tc>
        <w:tc>
          <w:tcPr>
            <w:tcW w:w="2633" w:type="dxa"/>
            <w:noWrap/>
            <w:hideMark/>
          </w:tcPr>
          <w:p w14:paraId="5AC86E77"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5642C4C4" w14:textId="77777777" w:rsidR="00DB72D3" w:rsidRPr="00A33AE8" w:rsidRDefault="00DB72D3" w:rsidP="007D277C">
            <w:pPr>
              <w:jc w:val="left"/>
              <w:rPr>
                <w:rFonts w:asciiTheme="minorHAnsi" w:hAnsiTheme="minorHAnsi" w:cstheme="minorHAnsi"/>
              </w:rPr>
            </w:pPr>
            <w:r w:rsidRPr="00A33AE8">
              <w:rPr>
                <w:rFonts w:cstheme="minorHAnsi"/>
              </w:rPr>
              <w:t>2,62</w:t>
            </w:r>
          </w:p>
        </w:tc>
        <w:tc>
          <w:tcPr>
            <w:tcW w:w="1054" w:type="dxa"/>
            <w:noWrap/>
            <w:hideMark/>
          </w:tcPr>
          <w:p w14:paraId="5A8369F8" w14:textId="77777777" w:rsidR="00DB72D3" w:rsidRPr="00A33AE8" w:rsidRDefault="00DB72D3" w:rsidP="007D277C">
            <w:pPr>
              <w:jc w:val="left"/>
              <w:rPr>
                <w:rFonts w:asciiTheme="minorHAnsi" w:hAnsiTheme="minorHAnsi" w:cstheme="minorHAnsi"/>
              </w:rPr>
            </w:pPr>
            <w:r w:rsidRPr="00A33AE8">
              <w:rPr>
                <w:rFonts w:cstheme="minorHAnsi"/>
              </w:rPr>
              <w:t>1,77</w:t>
            </w:r>
          </w:p>
        </w:tc>
        <w:tc>
          <w:tcPr>
            <w:tcW w:w="1166" w:type="dxa"/>
            <w:noWrap/>
            <w:hideMark/>
          </w:tcPr>
          <w:p w14:paraId="7E8535F8" w14:textId="77777777" w:rsidR="00DB72D3" w:rsidRPr="00A33AE8" w:rsidRDefault="00DB72D3" w:rsidP="007D277C">
            <w:pPr>
              <w:jc w:val="left"/>
              <w:rPr>
                <w:rFonts w:asciiTheme="minorHAnsi" w:hAnsiTheme="minorHAnsi" w:cstheme="minorHAnsi"/>
              </w:rPr>
            </w:pPr>
            <w:r w:rsidRPr="00A33AE8">
              <w:rPr>
                <w:rFonts w:cstheme="minorHAnsi"/>
              </w:rPr>
              <w:t>1,73</w:t>
            </w:r>
          </w:p>
        </w:tc>
      </w:tr>
      <w:tr w:rsidR="00DB72D3" w:rsidRPr="00A33AE8" w14:paraId="15A5D2B6" w14:textId="77777777" w:rsidTr="000007D2">
        <w:trPr>
          <w:trHeight w:val="300"/>
          <w:jc w:val="center"/>
        </w:trPr>
        <w:tc>
          <w:tcPr>
            <w:tcW w:w="906" w:type="dxa"/>
            <w:noWrap/>
            <w:hideMark/>
          </w:tcPr>
          <w:p w14:paraId="24C71C81" w14:textId="77777777" w:rsidR="00DB72D3" w:rsidRPr="00A33AE8" w:rsidRDefault="00DB72D3" w:rsidP="007D277C">
            <w:pPr>
              <w:jc w:val="left"/>
              <w:rPr>
                <w:rFonts w:asciiTheme="minorHAnsi" w:hAnsiTheme="minorHAnsi" w:cstheme="minorHAnsi"/>
              </w:rPr>
            </w:pPr>
            <w:r w:rsidRPr="00A33AE8">
              <w:rPr>
                <w:rFonts w:cstheme="minorHAnsi"/>
              </w:rPr>
              <w:t>2035</w:t>
            </w:r>
          </w:p>
        </w:tc>
        <w:tc>
          <w:tcPr>
            <w:tcW w:w="2633" w:type="dxa"/>
            <w:noWrap/>
            <w:hideMark/>
          </w:tcPr>
          <w:p w14:paraId="059D438E"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7D354505" w14:textId="77777777" w:rsidR="00DB72D3" w:rsidRPr="00A33AE8" w:rsidRDefault="00DB72D3" w:rsidP="007D277C">
            <w:pPr>
              <w:jc w:val="left"/>
              <w:rPr>
                <w:rFonts w:asciiTheme="minorHAnsi" w:hAnsiTheme="minorHAnsi" w:cstheme="minorHAnsi"/>
              </w:rPr>
            </w:pPr>
            <w:r w:rsidRPr="00A33AE8">
              <w:rPr>
                <w:rFonts w:cstheme="minorHAnsi"/>
              </w:rPr>
              <w:t>2,62</w:t>
            </w:r>
          </w:p>
        </w:tc>
        <w:tc>
          <w:tcPr>
            <w:tcW w:w="1054" w:type="dxa"/>
            <w:noWrap/>
            <w:hideMark/>
          </w:tcPr>
          <w:p w14:paraId="7FA5D7FC"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185BD277" w14:textId="77777777" w:rsidR="00DB72D3" w:rsidRPr="00A33AE8" w:rsidRDefault="00DB72D3" w:rsidP="007D277C">
            <w:pPr>
              <w:jc w:val="left"/>
              <w:rPr>
                <w:rFonts w:asciiTheme="minorHAnsi" w:hAnsiTheme="minorHAnsi" w:cstheme="minorHAnsi"/>
              </w:rPr>
            </w:pPr>
            <w:r w:rsidRPr="00A33AE8">
              <w:rPr>
                <w:rFonts w:cstheme="minorHAnsi"/>
              </w:rPr>
              <w:t>0,38</w:t>
            </w:r>
          </w:p>
        </w:tc>
      </w:tr>
      <w:tr w:rsidR="00DB72D3" w:rsidRPr="00A33AE8" w14:paraId="38438BCB" w14:textId="77777777" w:rsidTr="000007D2">
        <w:trPr>
          <w:trHeight w:val="300"/>
          <w:jc w:val="center"/>
        </w:trPr>
        <w:tc>
          <w:tcPr>
            <w:tcW w:w="906" w:type="dxa"/>
            <w:noWrap/>
            <w:hideMark/>
          </w:tcPr>
          <w:p w14:paraId="15913B6E" w14:textId="77777777" w:rsidR="00DB72D3" w:rsidRPr="00A33AE8" w:rsidRDefault="00DB72D3" w:rsidP="007D277C">
            <w:pPr>
              <w:jc w:val="left"/>
              <w:rPr>
                <w:rFonts w:asciiTheme="minorHAnsi" w:hAnsiTheme="minorHAnsi" w:cstheme="minorHAnsi"/>
              </w:rPr>
            </w:pPr>
          </w:p>
        </w:tc>
        <w:tc>
          <w:tcPr>
            <w:tcW w:w="2633" w:type="dxa"/>
            <w:noWrap/>
            <w:hideMark/>
          </w:tcPr>
          <w:p w14:paraId="7FA19DFC"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7636C122" w14:textId="77777777" w:rsidR="00DB72D3" w:rsidRPr="00A33AE8" w:rsidRDefault="00DB72D3" w:rsidP="007D277C">
            <w:pPr>
              <w:jc w:val="left"/>
              <w:rPr>
                <w:rFonts w:asciiTheme="minorHAnsi" w:hAnsiTheme="minorHAnsi" w:cstheme="minorHAnsi"/>
              </w:rPr>
            </w:pPr>
            <w:r w:rsidRPr="00A33AE8">
              <w:rPr>
                <w:rFonts w:cstheme="minorHAnsi"/>
              </w:rPr>
              <w:t>2,95</w:t>
            </w:r>
          </w:p>
        </w:tc>
        <w:tc>
          <w:tcPr>
            <w:tcW w:w="1054" w:type="dxa"/>
            <w:noWrap/>
            <w:hideMark/>
          </w:tcPr>
          <w:p w14:paraId="2D9C2778" w14:textId="77777777" w:rsidR="00DB72D3" w:rsidRPr="00A33AE8" w:rsidRDefault="00DB72D3" w:rsidP="007D277C">
            <w:pPr>
              <w:jc w:val="left"/>
              <w:rPr>
                <w:rFonts w:asciiTheme="minorHAnsi" w:hAnsiTheme="minorHAnsi" w:cstheme="minorHAnsi"/>
              </w:rPr>
            </w:pPr>
            <w:r w:rsidRPr="00A33AE8">
              <w:rPr>
                <w:rFonts w:cstheme="minorHAnsi"/>
              </w:rPr>
              <w:t>3,07</w:t>
            </w:r>
          </w:p>
        </w:tc>
        <w:tc>
          <w:tcPr>
            <w:tcW w:w="1166" w:type="dxa"/>
            <w:noWrap/>
            <w:hideMark/>
          </w:tcPr>
          <w:p w14:paraId="5AA2F2A5" w14:textId="77777777" w:rsidR="00DB72D3" w:rsidRPr="00A33AE8" w:rsidRDefault="00DB72D3" w:rsidP="007D277C">
            <w:pPr>
              <w:jc w:val="left"/>
              <w:rPr>
                <w:rFonts w:asciiTheme="minorHAnsi" w:hAnsiTheme="minorHAnsi" w:cstheme="minorHAnsi"/>
              </w:rPr>
            </w:pPr>
            <w:r w:rsidRPr="00A33AE8">
              <w:rPr>
                <w:rFonts w:cstheme="minorHAnsi"/>
              </w:rPr>
              <w:t>3,93</w:t>
            </w:r>
          </w:p>
        </w:tc>
      </w:tr>
      <w:tr w:rsidR="00DB72D3" w:rsidRPr="00A33AE8" w14:paraId="21AD2DBD" w14:textId="77777777" w:rsidTr="000007D2">
        <w:trPr>
          <w:trHeight w:val="300"/>
          <w:jc w:val="center"/>
        </w:trPr>
        <w:tc>
          <w:tcPr>
            <w:tcW w:w="906" w:type="dxa"/>
            <w:noWrap/>
            <w:hideMark/>
          </w:tcPr>
          <w:p w14:paraId="1256BB26" w14:textId="77777777" w:rsidR="00DB72D3" w:rsidRPr="00A33AE8" w:rsidRDefault="00DB72D3" w:rsidP="007D277C">
            <w:pPr>
              <w:jc w:val="left"/>
              <w:rPr>
                <w:rFonts w:asciiTheme="minorHAnsi" w:hAnsiTheme="minorHAnsi" w:cstheme="minorHAnsi"/>
              </w:rPr>
            </w:pPr>
          </w:p>
        </w:tc>
        <w:tc>
          <w:tcPr>
            <w:tcW w:w="2633" w:type="dxa"/>
            <w:noWrap/>
            <w:hideMark/>
          </w:tcPr>
          <w:p w14:paraId="24565076"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1E59866D" w14:textId="77777777" w:rsidR="00DB72D3" w:rsidRPr="00A33AE8" w:rsidRDefault="00DB72D3" w:rsidP="007D277C">
            <w:pPr>
              <w:jc w:val="left"/>
              <w:rPr>
                <w:rFonts w:asciiTheme="minorHAnsi" w:hAnsiTheme="minorHAnsi" w:cstheme="minorHAnsi"/>
              </w:rPr>
            </w:pPr>
            <w:r w:rsidRPr="00A33AE8">
              <w:rPr>
                <w:rFonts w:cstheme="minorHAnsi"/>
              </w:rPr>
              <w:t>2,95</w:t>
            </w:r>
          </w:p>
        </w:tc>
        <w:tc>
          <w:tcPr>
            <w:tcW w:w="1054" w:type="dxa"/>
            <w:noWrap/>
            <w:hideMark/>
          </w:tcPr>
          <w:p w14:paraId="6B86C8FB" w14:textId="77777777" w:rsidR="00DB72D3" w:rsidRPr="00A33AE8" w:rsidRDefault="00DB72D3" w:rsidP="007D277C">
            <w:pPr>
              <w:jc w:val="left"/>
              <w:rPr>
                <w:rFonts w:asciiTheme="minorHAnsi" w:hAnsiTheme="minorHAnsi" w:cstheme="minorHAnsi"/>
              </w:rPr>
            </w:pPr>
            <w:r w:rsidRPr="00A33AE8">
              <w:rPr>
                <w:rFonts w:cstheme="minorHAnsi"/>
              </w:rPr>
              <w:t>3,11</w:t>
            </w:r>
          </w:p>
        </w:tc>
        <w:tc>
          <w:tcPr>
            <w:tcW w:w="1166" w:type="dxa"/>
            <w:noWrap/>
            <w:hideMark/>
          </w:tcPr>
          <w:p w14:paraId="2CD926AB" w14:textId="77777777" w:rsidR="00DB72D3" w:rsidRPr="00A33AE8" w:rsidRDefault="00DB72D3" w:rsidP="007D277C">
            <w:pPr>
              <w:jc w:val="left"/>
              <w:rPr>
                <w:rFonts w:asciiTheme="minorHAnsi" w:hAnsiTheme="minorHAnsi" w:cstheme="minorHAnsi"/>
              </w:rPr>
            </w:pPr>
            <w:r w:rsidRPr="00A33AE8">
              <w:rPr>
                <w:rFonts w:cstheme="minorHAnsi"/>
              </w:rPr>
              <w:t>3,93</w:t>
            </w:r>
          </w:p>
        </w:tc>
      </w:tr>
      <w:tr w:rsidR="00DB72D3" w:rsidRPr="00A33AE8" w14:paraId="41330CFE" w14:textId="77777777" w:rsidTr="000007D2">
        <w:trPr>
          <w:trHeight w:val="300"/>
          <w:jc w:val="center"/>
        </w:trPr>
        <w:tc>
          <w:tcPr>
            <w:tcW w:w="906" w:type="dxa"/>
            <w:noWrap/>
            <w:hideMark/>
          </w:tcPr>
          <w:p w14:paraId="0BC0674E" w14:textId="77777777" w:rsidR="00DB72D3" w:rsidRPr="00A33AE8" w:rsidRDefault="00DB72D3" w:rsidP="007D277C">
            <w:pPr>
              <w:jc w:val="left"/>
              <w:rPr>
                <w:rFonts w:asciiTheme="minorHAnsi" w:hAnsiTheme="minorHAnsi" w:cstheme="minorHAnsi"/>
              </w:rPr>
            </w:pPr>
            <w:r w:rsidRPr="00A33AE8">
              <w:rPr>
                <w:rFonts w:cstheme="minorHAnsi"/>
              </w:rPr>
              <w:t>2040</w:t>
            </w:r>
          </w:p>
        </w:tc>
        <w:tc>
          <w:tcPr>
            <w:tcW w:w="2633" w:type="dxa"/>
            <w:noWrap/>
            <w:hideMark/>
          </w:tcPr>
          <w:p w14:paraId="6F47E54A"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34342C70" w14:textId="77777777" w:rsidR="00DB72D3" w:rsidRPr="00A33AE8" w:rsidRDefault="00DB72D3" w:rsidP="007D277C">
            <w:pPr>
              <w:jc w:val="left"/>
              <w:rPr>
                <w:rFonts w:asciiTheme="minorHAnsi" w:hAnsiTheme="minorHAnsi" w:cstheme="minorHAnsi"/>
              </w:rPr>
            </w:pPr>
            <w:r w:rsidRPr="00A33AE8">
              <w:rPr>
                <w:rFonts w:cstheme="minorHAnsi"/>
              </w:rPr>
              <w:t>2,94</w:t>
            </w:r>
          </w:p>
        </w:tc>
        <w:tc>
          <w:tcPr>
            <w:tcW w:w="1054" w:type="dxa"/>
            <w:noWrap/>
            <w:hideMark/>
          </w:tcPr>
          <w:p w14:paraId="50999589" w14:textId="77777777" w:rsidR="00DB72D3" w:rsidRPr="00A33AE8" w:rsidRDefault="00DB72D3" w:rsidP="007D277C">
            <w:pPr>
              <w:jc w:val="left"/>
              <w:rPr>
                <w:rFonts w:asciiTheme="minorHAnsi" w:hAnsiTheme="minorHAnsi" w:cstheme="minorHAnsi"/>
              </w:rPr>
            </w:pPr>
            <w:r w:rsidRPr="00A33AE8">
              <w:rPr>
                <w:rFonts w:cstheme="minorHAnsi"/>
              </w:rPr>
              <w:t>0,75</w:t>
            </w:r>
          </w:p>
        </w:tc>
        <w:tc>
          <w:tcPr>
            <w:tcW w:w="1166" w:type="dxa"/>
            <w:noWrap/>
            <w:hideMark/>
          </w:tcPr>
          <w:p w14:paraId="2F0A823C" w14:textId="77777777" w:rsidR="00DB72D3" w:rsidRPr="00A33AE8" w:rsidRDefault="00DB72D3" w:rsidP="007D277C">
            <w:pPr>
              <w:jc w:val="left"/>
              <w:rPr>
                <w:rFonts w:asciiTheme="minorHAnsi" w:hAnsiTheme="minorHAnsi" w:cstheme="minorHAnsi"/>
              </w:rPr>
            </w:pPr>
            <w:r w:rsidRPr="00A33AE8">
              <w:rPr>
                <w:rFonts w:cstheme="minorHAnsi"/>
              </w:rPr>
              <w:t>0,38</w:t>
            </w:r>
          </w:p>
        </w:tc>
      </w:tr>
      <w:tr w:rsidR="00DB72D3" w:rsidRPr="00A33AE8" w14:paraId="46CCA796" w14:textId="77777777" w:rsidTr="000007D2">
        <w:trPr>
          <w:trHeight w:val="300"/>
          <w:jc w:val="center"/>
        </w:trPr>
        <w:tc>
          <w:tcPr>
            <w:tcW w:w="906" w:type="dxa"/>
            <w:noWrap/>
            <w:hideMark/>
          </w:tcPr>
          <w:p w14:paraId="5E8633E7" w14:textId="77777777" w:rsidR="00DB72D3" w:rsidRPr="00A33AE8" w:rsidRDefault="00DB72D3" w:rsidP="007D277C">
            <w:pPr>
              <w:jc w:val="left"/>
              <w:rPr>
                <w:rFonts w:asciiTheme="minorHAnsi" w:hAnsiTheme="minorHAnsi" w:cstheme="minorHAnsi"/>
              </w:rPr>
            </w:pPr>
          </w:p>
        </w:tc>
        <w:tc>
          <w:tcPr>
            <w:tcW w:w="2633" w:type="dxa"/>
            <w:noWrap/>
            <w:hideMark/>
          </w:tcPr>
          <w:p w14:paraId="5D8217A2"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62D17F36" w14:textId="77777777" w:rsidR="00DB72D3" w:rsidRPr="00A33AE8" w:rsidRDefault="00DB72D3" w:rsidP="007D277C">
            <w:pPr>
              <w:jc w:val="left"/>
              <w:rPr>
                <w:rFonts w:asciiTheme="minorHAnsi" w:hAnsiTheme="minorHAnsi" w:cstheme="minorHAnsi"/>
              </w:rPr>
            </w:pPr>
            <w:r w:rsidRPr="00A33AE8">
              <w:rPr>
                <w:rFonts w:cstheme="minorHAnsi"/>
              </w:rPr>
              <w:t>3,27</w:t>
            </w:r>
          </w:p>
        </w:tc>
        <w:tc>
          <w:tcPr>
            <w:tcW w:w="1054" w:type="dxa"/>
            <w:noWrap/>
            <w:hideMark/>
          </w:tcPr>
          <w:p w14:paraId="1A0A20E6" w14:textId="77777777" w:rsidR="00DB72D3" w:rsidRPr="00A33AE8" w:rsidRDefault="00DB72D3" w:rsidP="007D277C">
            <w:pPr>
              <w:jc w:val="left"/>
              <w:rPr>
                <w:rFonts w:asciiTheme="minorHAnsi" w:hAnsiTheme="minorHAnsi" w:cstheme="minorHAnsi"/>
              </w:rPr>
            </w:pPr>
            <w:r w:rsidRPr="00A33AE8">
              <w:rPr>
                <w:rFonts w:cstheme="minorHAnsi"/>
              </w:rPr>
              <w:t>3,12</w:t>
            </w:r>
          </w:p>
        </w:tc>
        <w:tc>
          <w:tcPr>
            <w:tcW w:w="1166" w:type="dxa"/>
            <w:noWrap/>
            <w:hideMark/>
          </w:tcPr>
          <w:p w14:paraId="119CC8B6" w14:textId="77777777" w:rsidR="00DB72D3" w:rsidRPr="00A33AE8" w:rsidRDefault="00DB72D3" w:rsidP="007D277C">
            <w:pPr>
              <w:jc w:val="left"/>
              <w:rPr>
                <w:rFonts w:asciiTheme="minorHAnsi" w:hAnsiTheme="minorHAnsi" w:cstheme="minorHAnsi"/>
              </w:rPr>
            </w:pPr>
            <w:r w:rsidRPr="00A33AE8">
              <w:rPr>
                <w:rFonts w:cstheme="minorHAnsi"/>
              </w:rPr>
              <w:t>7,36</w:t>
            </w:r>
          </w:p>
        </w:tc>
      </w:tr>
      <w:tr w:rsidR="00DB72D3" w:rsidRPr="00A33AE8" w14:paraId="63913C51" w14:textId="77777777" w:rsidTr="000007D2">
        <w:trPr>
          <w:trHeight w:val="300"/>
          <w:jc w:val="center"/>
        </w:trPr>
        <w:tc>
          <w:tcPr>
            <w:tcW w:w="906" w:type="dxa"/>
            <w:noWrap/>
            <w:hideMark/>
          </w:tcPr>
          <w:p w14:paraId="34460B8C" w14:textId="77777777" w:rsidR="00DB72D3" w:rsidRPr="00A33AE8" w:rsidRDefault="00DB72D3" w:rsidP="007D277C">
            <w:pPr>
              <w:jc w:val="left"/>
              <w:rPr>
                <w:rFonts w:asciiTheme="minorHAnsi" w:hAnsiTheme="minorHAnsi" w:cstheme="minorHAnsi"/>
              </w:rPr>
            </w:pPr>
          </w:p>
        </w:tc>
        <w:tc>
          <w:tcPr>
            <w:tcW w:w="2633" w:type="dxa"/>
            <w:noWrap/>
            <w:hideMark/>
          </w:tcPr>
          <w:p w14:paraId="7E35BC78"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6E8C33CA" w14:textId="77777777" w:rsidR="00DB72D3" w:rsidRPr="00A33AE8" w:rsidRDefault="00DB72D3" w:rsidP="007D277C">
            <w:pPr>
              <w:jc w:val="left"/>
              <w:rPr>
                <w:rFonts w:asciiTheme="minorHAnsi" w:hAnsiTheme="minorHAnsi" w:cstheme="minorHAnsi"/>
              </w:rPr>
            </w:pPr>
            <w:r w:rsidRPr="00A33AE8">
              <w:rPr>
                <w:rFonts w:cstheme="minorHAnsi"/>
              </w:rPr>
              <w:t>3,27</w:t>
            </w:r>
          </w:p>
        </w:tc>
        <w:tc>
          <w:tcPr>
            <w:tcW w:w="1054" w:type="dxa"/>
            <w:noWrap/>
            <w:hideMark/>
          </w:tcPr>
          <w:p w14:paraId="13ABB150" w14:textId="77777777" w:rsidR="00DB72D3" w:rsidRPr="00A33AE8" w:rsidRDefault="00DB72D3" w:rsidP="007D277C">
            <w:pPr>
              <w:jc w:val="left"/>
              <w:rPr>
                <w:rFonts w:asciiTheme="minorHAnsi" w:hAnsiTheme="minorHAnsi" w:cstheme="minorHAnsi"/>
              </w:rPr>
            </w:pPr>
            <w:r w:rsidRPr="00A33AE8">
              <w:rPr>
                <w:rFonts w:cstheme="minorHAnsi"/>
              </w:rPr>
              <w:t>3,16</w:t>
            </w:r>
          </w:p>
        </w:tc>
        <w:tc>
          <w:tcPr>
            <w:tcW w:w="1166" w:type="dxa"/>
            <w:noWrap/>
            <w:hideMark/>
          </w:tcPr>
          <w:p w14:paraId="3CBE1750" w14:textId="77777777" w:rsidR="00DB72D3" w:rsidRPr="00A33AE8" w:rsidRDefault="00DB72D3" w:rsidP="007D277C">
            <w:pPr>
              <w:jc w:val="left"/>
              <w:rPr>
                <w:rFonts w:asciiTheme="minorHAnsi" w:hAnsiTheme="minorHAnsi" w:cstheme="minorHAnsi"/>
              </w:rPr>
            </w:pPr>
            <w:r w:rsidRPr="00A33AE8">
              <w:rPr>
                <w:rFonts w:cstheme="minorHAnsi"/>
              </w:rPr>
              <w:t>7,37</w:t>
            </w:r>
          </w:p>
        </w:tc>
      </w:tr>
      <w:tr w:rsidR="00DB72D3" w:rsidRPr="00A33AE8" w14:paraId="32D9AD04" w14:textId="77777777" w:rsidTr="000007D2">
        <w:trPr>
          <w:trHeight w:val="300"/>
          <w:jc w:val="center"/>
        </w:trPr>
        <w:tc>
          <w:tcPr>
            <w:tcW w:w="906" w:type="dxa"/>
            <w:noWrap/>
            <w:hideMark/>
          </w:tcPr>
          <w:p w14:paraId="55C3CA9D" w14:textId="77777777" w:rsidR="00DB72D3" w:rsidRPr="00A33AE8" w:rsidRDefault="00DB72D3" w:rsidP="007D277C">
            <w:pPr>
              <w:jc w:val="left"/>
              <w:rPr>
                <w:rFonts w:asciiTheme="minorHAnsi" w:hAnsiTheme="minorHAnsi" w:cstheme="minorHAnsi"/>
              </w:rPr>
            </w:pPr>
            <w:r w:rsidRPr="00A33AE8">
              <w:rPr>
                <w:rFonts w:cstheme="minorHAnsi"/>
              </w:rPr>
              <w:t>2045</w:t>
            </w:r>
          </w:p>
        </w:tc>
        <w:tc>
          <w:tcPr>
            <w:tcW w:w="2633" w:type="dxa"/>
            <w:noWrap/>
            <w:hideMark/>
          </w:tcPr>
          <w:p w14:paraId="5340C50C"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76D4394B" w14:textId="77777777" w:rsidR="00DB72D3" w:rsidRPr="00A33AE8" w:rsidRDefault="00DB72D3" w:rsidP="007D277C">
            <w:pPr>
              <w:jc w:val="left"/>
              <w:rPr>
                <w:rFonts w:asciiTheme="minorHAnsi" w:hAnsiTheme="minorHAnsi" w:cstheme="minorHAnsi"/>
              </w:rPr>
            </w:pPr>
            <w:r w:rsidRPr="00A33AE8">
              <w:rPr>
                <w:rFonts w:cstheme="minorHAnsi"/>
              </w:rPr>
              <w:t>2,94</w:t>
            </w:r>
          </w:p>
        </w:tc>
        <w:tc>
          <w:tcPr>
            <w:tcW w:w="1054" w:type="dxa"/>
            <w:noWrap/>
            <w:hideMark/>
          </w:tcPr>
          <w:p w14:paraId="46A6ED94" w14:textId="77777777" w:rsidR="00DB72D3" w:rsidRPr="00A33AE8" w:rsidRDefault="00DB72D3" w:rsidP="007D277C">
            <w:pPr>
              <w:jc w:val="left"/>
              <w:rPr>
                <w:rFonts w:asciiTheme="minorHAnsi" w:hAnsiTheme="minorHAnsi" w:cstheme="minorHAnsi"/>
              </w:rPr>
            </w:pPr>
            <w:r w:rsidRPr="00A33AE8">
              <w:rPr>
                <w:rFonts w:cstheme="minorHAnsi"/>
              </w:rPr>
              <w:t>0,74</w:t>
            </w:r>
          </w:p>
        </w:tc>
        <w:tc>
          <w:tcPr>
            <w:tcW w:w="1166" w:type="dxa"/>
            <w:noWrap/>
            <w:hideMark/>
          </w:tcPr>
          <w:p w14:paraId="0CF52002" w14:textId="77777777" w:rsidR="00DB72D3" w:rsidRPr="00A33AE8" w:rsidRDefault="00DB72D3" w:rsidP="007D277C">
            <w:pPr>
              <w:jc w:val="left"/>
              <w:rPr>
                <w:rFonts w:asciiTheme="minorHAnsi" w:hAnsiTheme="minorHAnsi" w:cstheme="minorHAnsi"/>
              </w:rPr>
            </w:pPr>
            <w:r w:rsidRPr="00A33AE8">
              <w:rPr>
                <w:rFonts w:cstheme="minorHAnsi"/>
              </w:rPr>
              <w:t>0,37</w:t>
            </w:r>
          </w:p>
        </w:tc>
      </w:tr>
      <w:tr w:rsidR="00DB72D3" w:rsidRPr="00A33AE8" w14:paraId="571E47BC" w14:textId="77777777" w:rsidTr="000007D2">
        <w:trPr>
          <w:trHeight w:val="300"/>
          <w:jc w:val="center"/>
        </w:trPr>
        <w:tc>
          <w:tcPr>
            <w:tcW w:w="906" w:type="dxa"/>
            <w:noWrap/>
            <w:hideMark/>
          </w:tcPr>
          <w:p w14:paraId="63CF4672" w14:textId="77777777" w:rsidR="00DB72D3" w:rsidRPr="00A33AE8" w:rsidRDefault="00DB72D3" w:rsidP="007D277C">
            <w:pPr>
              <w:jc w:val="left"/>
              <w:rPr>
                <w:rFonts w:asciiTheme="minorHAnsi" w:hAnsiTheme="minorHAnsi" w:cstheme="minorHAnsi"/>
              </w:rPr>
            </w:pPr>
          </w:p>
        </w:tc>
        <w:tc>
          <w:tcPr>
            <w:tcW w:w="2633" w:type="dxa"/>
            <w:noWrap/>
            <w:hideMark/>
          </w:tcPr>
          <w:p w14:paraId="21CE7502"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086B8F4B" w14:textId="77777777" w:rsidR="00DB72D3" w:rsidRPr="00A33AE8" w:rsidRDefault="00DB72D3" w:rsidP="007D277C">
            <w:pPr>
              <w:jc w:val="left"/>
              <w:rPr>
                <w:rFonts w:asciiTheme="minorHAnsi" w:hAnsiTheme="minorHAnsi" w:cstheme="minorHAnsi"/>
              </w:rPr>
            </w:pPr>
            <w:r w:rsidRPr="00A33AE8">
              <w:rPr>
                <w:rFonts w:cstheme="minorHAnsi"/>
              </w:rPr>
              <w:t>3,39</w:t>
            </w:r>
          </w:p>
        </w:tc>
        <w:tc>
          <w:tcPr>
            <w:tcW w:w="1054" w:type="dxa"/>
            <w:noWrap/>
            <w:hideMark/>
          </w:tcPr>
          <w:p w14:paraId="2164E140" w14:textId="77777777" w:rsidR="00DB72D3" w:rsidRPr="00A33AE8" w:rsidRDefault="00DB72D3" w:rsidP="007D277C">
            <w:pPr>
              <w:jc w:val="left"/>
              <w:rPr>
                <w:rFonts w:asciiTheme="minorHAnsi" w:hAnsiTheme="minorHAnsi" w:cstheme="minorHAnsi"/>
              </w:rPr>
            </w:pPr>
            <w:r w:rsidRPr="00A33AE8">
              <w:rPr>
                <w:rFonts w:cstheme="minorHAnsi"/>
              </w:rPr>
              <w:t>5,42</w:t>
            </w:r>
          </w:p>
        </w:tc>
        <w:tc>
          <w:tcPr>
            <w:tcW w:w="1166" w:type="dxa"/>
            <w:noWrap/>
            <w:hideMark/>
          </w:tcPr>
          <w:p w14:paraId="36222626" w14:textId="77777777" w:rsidR="00DB72D3" w:rsidRPr="00A33AE8" w:rsidRDefault="00DB72D3" w:rsidP="007D277C">
            <w:pPr>
              <w:jc w:val="left"/>
              <w:rPr>
                <w:rFonts w:asciiTheme="minorHAnsi" w:hAnsiTheme="minorHAnsi" w:cstheme="minorHAnsi"/>
              </w:rPr>
            </w:pPr>
            <w:r w:rsidRPr="00A33AE8">
              <w:rPr>
                <w:rFonts w:cstheme="minorHAnsi"/>
              </w:rPr>
              <w:t>11,98</w:t>
            </w:r>
          </w:p>
        </w:tc>
      </w:tr>
      <w:tr w:rsidR="00DB72D3" w:rsidRPr="00A33AE8" w14:paraId="7CF97471" w14:textId="77777777" w:rsidTr="000007D2">
        <w:trPr>
          <w:trHeight w:val="300"/>
          <w:jc w:val="center"/>
        </w:trPr>
        <w:tc>
          <w:tcPr>
            <w:tcW w:w="906" w:type="dxa"/>
            <w:noWrap/>
            <w:hideMark/>
          </w:tcPr>
          <w:p w14:paraId="3FB2DF86" w14:textId="77777777" w:rsidR="00DB72D3" w:rsidRPr="00A33AE8" w:rsidRDefault="00DB72D3" w:rsidP="007D277C">
            <w:pPr>
              <w:jc w:val="left"/>
              <w:rPr>
                <w:rFonts w:asciiTheme="minorHAnsi" w:hAnsiTheme="minorHAnsi" w:cstheme="minorHAnsi"/>
              </w:rPr>
            </w:pPr>
          </w:p>
        </w:tc>
        <w:tc>
          <w:tcPr>
            <w:tcW w:w="2633" w:type="dxa"/>
            <w:noWrap/>
            <w:hideMark/>
          </w:tcPr>
          <w:p w14:paraId="4C35E48E"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4A8E035C" w14:textId="77777777" w:rsidR="00DB72D3" w:rsidRPr="00A33AE8" w:rsidRDefault="00DB72D3" w:rsidP="007D277C">
            <w:pPr>
              <w:jc w:val="left"/>
              <w:rPr>
                <w:rFonts w:asciiTheme="minorHAnsi" w:hAnsiTheme="minorHAnsi" w:cstheme="minorHAnsi"/>
              </w:rPr>
            </w:pPr>
            <w:r w:rsidRPr="00A33AE8">
              <w:rPr>
                <w:rFonts w:cstheme="minorHAnsi"/>
              </w:rPr>
              <w:t>3,39</w:t>
            </w:r>
          </w:p>
        </w:tc>
        <w:tc>
          <w:tcPr>
            <w:tcW w:w="1054" w:type="dxa"/>
            <w:noWrap/>
            <w:hideMark/>
          </w:tcPr>
          <w:p w14:paraId="4523D037" w14:textId="77777777" w:rsidR="00DB72D3" w:rsidRPr="00A33AE8" w:rsidRDefault="00DB72D3" w:rsidP="007D277C">
            <w:pPr>
              <w:jc w:val="left"/>
              <w:rPr>
                <w:rFonts w:asciiTheme="minorHAnsi" w:hAnsiTheme="minorHAnsi" w:cstheme="minorHAnsi"/>
              </w:rPr>
            </w:pPr>
            <w:r w:rsidRPr="00A33AE8">
              <w:rPr>
                <w:rFonts w:cstheme="minorHAnsi"/>
              </w:rPr>
              <w:t>5,46</w:t>
            </w:r>
          </w:p>
        </w:tc>
        <w:tc>
          <w:tcPr>
            <w:tcW w:w="1166" w:type="dxa"/>
            <w:noWrap/>
            <w:hideMark/>
          </w:tcPr>
          <w:p w14:paraId="09F7A81F" w14:textId="77777777" w:rsidR="00DB72D3" w:rsidRPr="00A33AE8" w:rsidRDefault="00DB72D3" w:rsidP="007D277C">
            <w:pPr>
              <w:jc w:val="left"/>
              <w:rPr>
                <w:rFonts w:asciiTheme="minorHAnsi" w:hAnsiTheme="minorHAnsi" w:cstheme="minorHAnsi"/>
              </w:rPr>
            </w:pPr>
            <w:r w:rsidRPr="00A33AE8">
              <w:rPr>
                <w:rFonts w:cstheme="minorHAnsi"/>
              </w:rPr>
              <w:t>11,70</w:t>
            </w:r>
          </w:p>
        </w:tc>
      </w:tr>
      <w:tr w:rsidR="00DB72D3" w:rsidRPr="00A33AE8" w14:paraId="55EA4AB1" w14:textId="77777777" w:rsidTr="000007D2">
        <w:trPr>
          <w:trHeight w:val="300"/>
          <w:jc w:val="center"/>
        </w:trPr>
        <w:tc>
          <w:tcPr>
            <w:tcW w:w="906" w:type="dxa"/>
            <w:noWrap/>
            <w:hideMark/>
          </w:tcPr>
          <w:p w14:paraId="08F50253" w14:textId="77777777" w:rsidR="00DB72D3" w:rsidRPr="00A33AE8" w:rsidRDefault="00DB72D3" w:rsidP="007D277C">
            <w:pPr>
              <w:jc w:val="left"/>
              <w:rPr>
                <w:rFonts w:asciiTheme="minorHAnsi" w:hAnsiTheme="minorHAnsi" w:cstheme="minorHAnsi"/>
              </w:rPr>
            </w:pPr>
            <w:r w:rsidRPr="00A33AE8">
              <w:rPr>
                <w:rFonts w:cstheme="minorHAnsi"/>
              </w:rPr>
              <w:t>2050</w:t>
            </w:r>
          </w:p>
        </w:tc>
        <w:tc>
          <w:tcPr>
            <w:tcW w:w="2633" w:type="dxa"/>
            <w:noWrap/>
            <w:hideMark/>
          </w:tcPr>
          <w:p w14:paraId="3A66D397" w14:textId="77777777" w:rsidR="00DB72D3" w:rsidRPr="00A33AE8" w:rsidRDefault="00DB72D3" w:rsidP="007D277C">
            <w:pPr>
              <w:jc w:val="left"/>
              <w:rPr>
                <w:rFonts w:asciiTheme="minorHAnsi" w:hAnsiTheme="minorHAnsi" w:cstheme="minorHAnsi"/>
              </w:rPr>
            </w:pPr>
            <w:r w:rsidRPr="00A33AE8">
              <w:rPr>
                <w:rFonts w:cstheme="minorHAnsi"/>
              </w:rPr>
              <w:t>WEM</w:t>
            </w:r>
          </w:p>
        </w:tc>
        <w:tc>
          <w:tcPr>
            <w:tcW w:w="2963" w:type="dxa"/>
            <w:noWrap/>
            <w:hideMark/>
          </w:tcPr>
          <w:p w14:paraId="15D00C7E" w14:textId="77777777" w:rsidR="00DB72D3" w:rsidRPr="00A33AE8" w:rsidRDefault="00DB72D3" w:rsidP="007D277C">
            <w:pPr>
              <w:jc w:val="left"/>
              <w:rPr>
                <w:rFonts w:asciiTheme="minorHAnsi" w:hAnsiTheme="minorHAnsi" w:cstheme="minorHAnsi"/>
              </w:rPr>
            </w:pPr>
            <w:r w:rsidRPr="00A33AE8">
              <w:rPr>
                <w:rFonts w:cstheme="minorHAnsi"/>
              </w:rPr>
              <w:t>3,29</w:t>
            </w:r>
          </w:p>
        </w:tc>
        <w:tc>
          <w:tcPr>
            <w:tcW w:w="1054" w:type="dxa"/>
            <w:noWrap/>
            <w:hideMark/>
          </w:tcPr>
          <w:p w14:paraId="697BFFEF" w14:textId="77777777" w:rsidR="00DB72D3" w:rsidRPr="00A33AE8" w:rsidRDefault="00DB72D3" w:rsidP="007D277C">
            <w:pPr>
              <w:jc w:val="left"/>
              <w:rPr>
                <w:rFonts w:asciiTheme="minorHAnsi" w:hAnsiTheme="minorHAnsi" w:cstheme="minorHAnsi"/>
              </w:rPr>
            </w:pPr>
            <w:r w:rsidRPr="00A33AE8">
              <w:rPr>
                <w:rFonts w:cstheme="minorHAnsi"/>
              </w:rPr>
              <w:t>1,66</w:t>
            </w:r>
          </w:p>
        </w:tc>
        <w:tc>
          <w:tcPr>
            <w:tcW w:w="1166" w:type="dxa"/>
            <w:noWrap/>
            <w:hideMark/>
          </w:tcPr>
          <w:p w14:paraId="55165C93" w14:textId="77777777" w:rsidR="00DB72D3" w:rsidRPr="00A33AE8" w:rsidRDefault="00DB72D3" w:rsidP="007D277C">
            <w:pPr>
              <w:jc w:val="left"/>
              <w:rPr>
                <w:rFonts w:asciiTheme="minorHAnsi" w:hAnsiTheme="minorHAnsi" w:cstheme="minorHAnsi"/>
              </w:rPr>
            </w:pPr>
            <w:r w:rsidRPr="00A33AE8">
              <w:rPr>
                <w:rFonts w:cstheme="minorHAnsi"/>
              </w:rPr>
              <w:t>1,77</w:t>
            </w:r>
          </w:p>
        </w:tc>
      </w:tr>
      <w:tr w:rsidR="00DB72D3" w:rsidRPr="00A33AE8" w14:paraId="7B7841D4" w14:textId="77777777" w:rsidTr="000007D2">
        <w:trPr>
          <w:trHeight w:val="300"/>
          <w:jc w:val="center"/>
        </w:trPr>
        <w:tc>
          <w:tcPr>
            <w:tcW w:w="906" w:type="dxa"/>
            <w:noWrap/>
            <w:hideMark/>
          </w:tcPr>
          <w:p w14:paraId="18405998" w14:textId="77777777" w:rsidR="00DB72D3" w:rsidRPr="00A33AE8" w:rsidRDefault="00DB72D3" w:rsidP="007D277C">
            <w:pPr>
              <w:jc w:val="left"/>
              <w:rPr>
                <w:rFonts w:asciiTheme="minorHAnsi" w:hAnsiTheme="minorHAnsi" w:cstheme="minorHAnsi"/>
              </w:rPr>
            </w:pPr>
          </w:p>
        </w:tc>
        <w:tc>
          <w:tcPr>
            <w:tcW w:w="2633" w:type="dxa"/>
            <w:noWrap/>
            <w:hideMark/>
          </w:tcPr>
          <w:p w14:paraId="77B9E845" w14:textId="77777777" w:rsidR="00DB72D3" w:rsidRPr="00A33AE8" w:rsidRDefault="00DB72D3" w:rsidP="007D277C">
            <w:pPr>
              <w:rPr>
                <w:rFonts w:asciiTheme="minorHAnsi" w:hAnsiTheme="minorHAnsi" w:cstheme="minorHAnsi"/>
              </w:rPr>
            </w:pPr>
            <w:r w:rsidRPr="00A33AE8">
              <w:rPr>
                <w:rFonts w:cstheme="minorHAnsi"/>
              </w:rPr>
              <w:t>S</w:t>
            </w:r>
          </w:p>
        </w:tc>
        <w:tc>
          <w:tcPr>
            <w:tcW w:w="2963" w:type="dxa"/>
            <w:noWrap/>
            <w:hideMark/>
          </w:tcPr>
          <w:p w14:paraId="321086EB" w14:textId="77777777" w:rsidR="00DB72D3" w:rsidRPr="00A33AE8" w:rsidRDefault="00DB72D3" w:rsidP="007D277C">
            <w:pPr>
              <w:jc w:val="left"/>
              <w:rPr>
                <w:rFonts w:asciiTheme="minorHAnsi" w:hAnsiTheme="minorHAnsi" w:cstheme="minorHAnsi"/>
              </w:rPr>
            </w:pPr>
            <w:r w:rsidRPr="00A33AE8">
              <w:rPr>
                <w:rFonts w:cstheme="minorHAnsi"/>
              </w:rPr>
              <w:t>3,39</w:t>
            </w:r>
          </w:p>
        </w:tc>
        <w:tc>
          <w:tcPr>
            <w:tcW w:w="1054" w:type="dxa"/>
            <w:noWrap/>
            <w:hideMark/>
          </w:tcPr>
          <w:p w14:paraId="3F14B5EB" w14:textId="77777777" w:rsidR="00DB72D3" w:rsidRPr="00A33AE8" w:rsidRDefault="00DB72D3" w:rsidP="007D277C">
            <w:pPr>
              <w:jc w:val="left"/>
              <w:rPr>
                <w:rFonts w:asciiTheme="minorHAnsi" w:hAnsiTheme="minorHAnsi" w:cstheme="minorHAnsi"/>
              </w:rPr>
            </w:pPr>
            <w:r w:rsidRPr="00A33AE8">
              <w:rPr>
                <w:rFonts w:cstheme="minorHAnsi"/>
              </w:rPr>
              <w:t>7,97</w:t>
            </w:r>
          </w:p>
        </w:tc>
        <w:tc>
          <w:tcPr>
            <w:tcW w:w="1166" w:type="dxa"/>
            <w:noWrap/>
            <w:hideMark/>
          </w:tcPr>
          <w:p w14:paraId="1893DC54" w14:textId="77777777" w:rsidR="00DB72D3" w:rsidRPr="00A33AE8" w:rsidRDefault="00DB72D3" w:rsidP="007D277C">
            <w:pPr>
              <w:jc w:val="left"/>
              <w:rPr>
                <w:rFonts w:asciiTheme="minorHAnsi" w:hAnsiTheme="minorHAnsi" w:cstheme="minorHAnsi"/>
              </w:rPr>
            </w:pPr>
            <w:r w:rsidRPr="00A33AE8">
              <w:rPr>
                <w:rFonts w:cstheme="minorHAnsi"/>
              </w:rPr>
              <w:t>18,50</w:t>
            </w:r>
          </w:p>
        </w:tc>
      </w:tr>
      <w:tr w:rsidR="00DB72D3" w:rsidRPr="00A33AE8" w14:paraId="52334674" w14:textId="77777777" w:rsidTr="000007D2">
        <w:trPr>
          <w:trHeight w:val="300"/>
          <w:jc w:val="center"/>
        </w:trPr>
        <w:tc>
          <w:tcPr>
            <w:tcW w:w="906" w:type="dxa"/>
            <w:noWrap/>
            <w:hideMark/>
          </w:tcPr>
          <w:p w14:paraId="4F824E83" w14:textId="77777777" w:rsidR="00DB72D3" w:rsidRPr="00A33AE8" w:rsidRDefault="00DB72D3" w:rsidP="007D277C">
            <w:pPr>
              <w:jc w:val="left"/>
              <w:rPr>
                <w:rFonts w:asciiTheme="minorHAnsi" w:hAnsiTheme="minorHAnsi" w:cstheme="minorHAnsi"/>
              </w:rPr>
            </w:pPr>
          </w:p>
        </w:tc>
        <w:tc>
          <w:tcPr>
            <w:tcW w:w="2633" w:type="dxa"/>
            <w:noWrap/>
            <w:hideMark/>
          </w:tcPr>
          <w:p w14:paraId="550AD207" w14:textId="77777777" w:rsidR="00DB72D3" w:rsidRPr="00A33AE8" w:rsidRDefault="00DB72D3" w:rsidP="007D277C">
            <w:pPr>
              <w:rPr>
                <w:rFonts w:asciiTheme="minorHAnsi" w:hAnsiTheme="minorHAnsi" w:cstheme="minorHAnsi"/>
              </w:rPr>
            </w:pPr>
            <w:r w:rsidRPr="00A33AE8">
              <w:rPr>
                <w:rFonts w:cstheme="minorHAnsi"/>
              </w:rPr>
              <w:t>S-N</w:t>
            </w:r>
          </w:p>
        </w:tc>
        <w:tc>
          <w:tcPr>
            <w:tcW w:w="2963" w:type="dxa"/>
            <w:noWrap/>
            <w:hideMark/>
          </w:tcPr>
          <w:p w14:paraId="1B28399A" w14:textId="77777777" w:rsidR="00DB72D3" w:rsidRPr="00A33AE8" w:rsidRDefault="00DB72D3" w:rsidP="007D277C">
            <w:pPr>
              <w:jc w:val="left"/>
              <w:rPr>
                <w:rFonts w:asciiTheme="minorHAnsi" w:hAnsiTheme="minorHAnsi" w:cstheme="minorHAnsi"/>
              </w:rPr>
            </w:pPr>
            <w:r w:rsidRPr="00A33AE8">
              <w:rPr>
                <w:rFonts w:cstheme="minorHAnsi"/>
              </w:rPr>
              <w:t>3,39</w:t>
            </w:r>
          </w:p>
        </w:tc>
        <w:tc>
          <w:tcPr>
            <w:tcW w:w="1054" w:type="dxa"/>
            <w:noWrap/>
            <w:hideMark/>
          </w:tcPr>
          <w:p w14:paraId="7136815D" w14:textId="77777777" w:rsidR="00DB72D3" w:rsidRPr="00A33AE8" w:rsidRDefault="00DB72D3" w:rsidP="007D277C">
            <w:pPr>
              <w:jc w:val="left"/>
              <w:rPr>
                <w:rFonts w:asciiTheme="minorHAnsi" w:hAnsiTheme="minorHAnsi" w:cstheme="minorHAnsi"/>
              </w:rPr>
            </w:pPr>
            <w:r w:rsidRPr="00A33AE8">
              <w:rPr>
                <w:rFonts w:cstheme="minorHAnsi"/>
              </w:rPr>
              <w:t>8,01</w:t>
            </w:r>
          </w:p>
        </w:tc>
        <w:tc>
          <w:tcPr>
            <w:tcW w:w="1166" w:type="dxa"/>
            <w:noWrap/>
            <w:hideMark/>
          </w:tcPr>
          <w:p w14:paraId="530DC45F" w14:textId="77777777" w:rsidR="00DB72D3" w:rsidRPr="00A33AE8" w:rsidRDefault="00DB72D3" w:rsidP="007D277C">
            <w:pPr>
              <w:jc w:val="left"/>
              <w:rPr>
                <w:rFonts w:asciiTheme="minorHAnsi" w:hAnsiTheme="minorHAnsi" w:cstheme="minorHAnsi"/>
              </w:rPr>
            </w:pPr>
            <w:r w:rsidRPr="00A33AE8">
              <w:rPr>
                <w:rFonts w:cstheme="minorHAnsi"/>
              </w:rPr>
              <w:t>16,66</w:t>
            </w:r>
          </w:p>
        </w:tc>
      </w:tr>
    </w:tbl>
    <w:p w14:paraId="1422B718" w14:textId="77777777" w:rsidR="00DB72D3" w:rsidRDefault="00DB72D3" w:rsidP="00DB72D3"/>
    <w:p w14:paraId="12D6DD3A" w14:textId="7D217A8F" w:rsidR="00D8706E" w:rsidRDefault="00D8706E" w:rsidP="00DB72D3">
      <w:pPr>
        <w:rPr>
          <w:rFonts w:asciiTheme="majorHAnsi" w:hAnsiTheme="majorHAnsi" w:cstheme="majorHAnsi"/>
          <w:bCs/>
        </w:rPr>
      </w:pPr>
      <w:r w:rsidRPr="000007D2">
        <w:rPr>
          <w:rFonts w:asciiTheme="majorHAnsi" w:hAnsiTheme="majorHAnsi" w:cstheme="majorHAnsi"/>
          <w:bCs/>
        </w:rPr>
        <w:t xml:space="preserve">The electricity generation by </w:t>
      </w:r>
      <w:r w:rsidR="00826B77">
        <w:rPr>
          <w:rFonts w:asciiTheme="majorHAnsi" w:hAnsiTheme="majorHAnsi" w:cstheme="majorHAnsi"/>
          <w:bCs/>
        </w:rPr>
        <w:t xml:space="preserve">source </w:t>
      </w:r>
      <w:r w:rsidRPr="000007D2">
        <w:rPr>
          <w:rFonts w:asciiTheme="majorHAnsi" w:hAnsiTheme="majorHAnsi" w:cstheme="majorHAnsi"/>
          <w:bCs/>
        </w:rPr>
        <w:t xml:space="preserve">type in Scenario S can be seen in </w:t>
      </w:r>
      <w:r w:rsidRPr="00760854">
        <w:rPr>
          <w:rFonts w:asciiTheme="majorHAnsi" w:hAnsiTheme="majorHAnsi" w:cstheme="majorHAnsi"/>
          <w:bCs/>
        </w:rPr>
        <w:t>the</w:t>
      </w:r>
      <w:r w:rsidR="00030E99">
        <w:rPr>
          <w:rFonts w:asciiTheme="majorHAnsi" w:hAnsiTheme="majorHAnsi" w:cstheme="majorHAnsi"/>
          <w:bCs/>
        </w:rPr>
        <w:t xml:space="preserve"> </w:t>
      </w:r>
      <w:r w:rsidR="00030E99">
        <w:rPr>
          <w:rFonts w:asciiTheme="majorHAnsi" w:hAnsiTheme="majorHAnsi" w:cstheme="majorHAnsi"/>
          <w:bCs/>
        </w:rPr>
        <w:fldChar w:fldCharType="begin"/>
      </w:r>
      <w:r w:rsidR="00030E99">
        <w:rPr>
          <w:rFonts w:asciiTheme="majorHAnsi" w:hAnsiTheme="majorHAnsi" w:cstheme="majorHAnsi"/>
          <w:bCs/>
        </w:rPr>
        <w:instrText xml:space="preserve"> REF _Ref153526168 \h  \* MERGEFORMAT </w:instrText>
      </w:r>
      <w:r w:rsidR="00030E99">
        <w:rPr>
          <w:rFonts w:asciiTheme="majorHAnsi" w:hAnsiTheme="majorHAnsi" w:cstheme="majorHAnsi"/>
          <w:bCs/>
        </w:rPr>
      </w:r>
      <w:r w:rsidR="00030E99">
        <w:rPr>
          <w:rFonts w:asciiTheme="majorHAnsi" w:hAnsiTheme="majorHAnsi" w:cstheme="majorHAnsi"/>
          <w:bCs/>
        </w:rPr>
        <w:fldChar w:fldCharType="separate"/>
      </w:r>
      <w:r w:rsidR="00030E99" w:rsidRPr="0087794A">
        <w:rPr>
          <w:rFonts w:asciiTheme="majorHAnsi" w:hAnsiTheme="majorHAnsi" w:cstheme="majorHAnsi"/>
          <w:bCs/>
        </w:rPr>
        <w:t>Figure 5.15</w:t>
      </w:r>
      <w:r w:rsidR="00030E99">
        <w:rPr>
          <w:rFonts w:asciiTheme="majorHAnsi" w:hAnsiTheme="majorHAnsi" w:cstheme="majorHAnsi"/>
          <w:bCs/>
        </w:rPr>
        <w:fldChar w:fldCharType="end"/>
      </w:r>
      <w:r w:rsidRPr="000007D2">
        <w:rPr>
          <w:rFonts w:asciiTheme="majorHAnsi" w:hAnsiTheme="majorHAnsi" w:cstheme="majorHAnsi"/>
          <w:bCs/>
        </w:rPr>
        <w:t>. As can be seen there is no generation from lignite fired power plants by 20</w:t>
      </w:r>
      <w:r>
        <w:rPr>
          <w:rFonts w:asciiTheme="majorHAnsi" w:hAnsiTheme="majorHAnsi" w:cstheme="majorHAnsi"/>
          <w:bCs/>
        </w:rPr>
        <w:t>5</w:t>
      </w:r>
      <w:r w:rsidRPr="000007D2">
        <w:rPr>
          <w:rFonts w:asciiTheme="majorHAnsi" w:hAnsiTheme="majorHAnsi" w:cstheme="majorHAnsi"/>
          <w:bCs/>
        </w:rPr>
        <w:t>0, and only a small amount of generation from gas fired power plants continues to exist for generation adequacy reason.</w:t>
      </w:r>
    </w:p>
    <w:p w14:paraId="57F1B4D0" w14:textId="4030ACF7" w:rsidR="00D8706E" w:rsidRDefault="00D8706E" w:rsidP="00D8706E">
      <w:pPr>
        <w:pStyle w:val="Caption"/>
        <w:keepNext/>
        <w:rPr>
          <w:iCs/>
          <w:lang w:eastAsia="el-GR"/>
        </w:rPr>
      </w:pPr>
      <w:bookmarkStart w:id="432" w:name="_Ref153526168"/>
      <w:bookmarkStart w:id="433" w:name="_Toc154575288"/>
      <w:r w:rsidRPr="005B2C66">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15</w:t>
      </w:r>
      <w:r w:rsidR="006E0533">
        <w:rPr>
          <w:noProof/>
        </w:rPr>
        <w:fldChar w:fldCharType="end"/>
      </w:r>
      <w:bookmarkEnd w:id="432"/>
      <w:r w:rsidRPr="00760854">
        <w:rPr>
          <w:iCs/>
          <w:lang w:eastAsia="el-GR"/>
        </w:rPr>
        <w:t>:</w:t>
      </w:r>
      <w:r w:rsidRPr="00823286">
        <w:rPr>
          <w:iCs/>
          <w:lang w:eastAsia="el-GR"/>
        </w:rPr>
        <w:t xml:space="preserve"> Electricity </w:t>
      </w:r>
      <w:r>
        <w:rPr>
          <w:iCs/>
          <w:lang w:eastAsia="el-GR"/>
        </w:rPr>
        <w:t>generation by source in Scenario S</w:t>
      </w:r>
      <w:bookmarkEnd w:id="433"/>
    </w:p>
    <w:p w14:paraId="6EB278FC" w14:textId="77777777" w:rsidR="00D8706E" w:rsidRPr="00D8706E" w:rsidRDefault="00801901" w:rsidP="000007D2">
      <w:pPr>
        <w:jc w:val="center"/>
        <w:rPr>
          <w:lang w:eastAsia="el-GR"/>
        </w:rPr>
      </w:pPr>
      <w:r>
        <w:rPr>
          <w:noProof/>
          <w:lang w:val="en-US"/>
        </w:rPr>
        <w:drawing>
          <wp:inline distT="0" distB="0" distL="0" distR="0" wp14:anchorId="7EFCFA45" wp14:editId="4A1A1291">
            <wp:extent cx="6120130" cy="4800600"/>
            <wp:effectExtent l="0" t="0" r="13970" b="0"/>
            <wp:docPr id="158959373" name="Chart 158959373">
              <a:extLst xmlns:a="http://schemas.openxmlformats.org/drawingml/2006/main">
                <a:ext uri="{FF2B5EF4-FFF2-40B4-BE49-F238E27FC236}">
                  <a16:creationId xmlns:a16="http://schemas.microsoft.com/office/drawing/2014/main" id="{57F68632-A3EC-F9B4-CE2B-AC653222F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FD84B30" w14:textId="77777777" w:rsidR="00DB72D3" w:rsidRPr="00A33AE8" w:rsidRDefault="0000450D" w:rsidP="007A0028">
      <w:pPr>
        <w:jc w:val="both"/>
        <w:rPr>
          <w:rFonts w:asciiTheme="majorHAnsi" w:hAnsiTheme="majorHAnsi"/>
        </w:rPr>
      </w:pPr>
      <w:r w:rsidRPr="00A33AE8">
        <w:rPr>
          <w:rFonts w:asciiTheme="majorHAnsi" w:hAnsiTheme="majorHAnsi" w:cstheme="majorHAnsi"/>
          <w:bCs/>
        </w:rPr>
        <w:t xml:space="preserve">A detailed analysis of the operation of the power system </w:t>
      </w:r>
      <w:r w:rsidR="000A7D1B" w:rsidRPr="00A33AE8">
        <w:rPr>
          <w:rFonts w:asciiTheme="majorHAnsi" w:hAnsiTheme="majorHAnsi" w:cstheme="majorHAnsi"/>
          <w:bCs/>
        </w:rPr>
        <w:t>under the S scenario, on an hourly basis was performed for two milestone years (2030 and 2040) using the ANTARES software (</w:t>
      </w:r>
      <w:r w:rsidR="002743B3" w:rsidRPr="00A33AE8">
        <w:rPr>
          <w:rFonts w:asciiTheme="majorHAnsi" w:hAnsiTheme="majorHAnsi" w:cstheme="majorHAnsi"/>
          <w:bCs/>
        </w:rPr>
        <w:t>Annex II</w:t>
      </w:r>
      <w:r w:rsidR="000A7D1B" w:rsidRPr="00A33AE8">
        <w:rPr>
          <w:rFonts w:asciiTheme="majorHAnsi" w:hAnsiTheme="majorHAnsi" w:cstheme="majorHAnsi"/>
          <w:bCs/>
        </w:rPr>
        <w:t xml:space="preserve">). For 2030 the results indicate that the unsupplied energy is practically zero, which means that the generation adequacy of the system is robust. Furthermore, there is no spilled energy (no </w:t>
      </w:r>
      <w:r w:rsidR="00081D7A" w:rsidRPr="00A33AE8">
        <w:rPr>
          <w:rFonts w:asciiTheme="majorHAnsi" w:hAnsiTheme="majorHAnsi" w:cstheme="majorHAnsi"/>
          <w:bCs/>
        </w:rPr>
        <w:t>curtailment</w:t>
      </w:r>
      <w:r w:rsidR="000A7D1B" w:rsidRPr="00A33AE8">
        <w:rPr>
          <w:rFonts w:asciiTheme="majorHAnsi" w:hAnsiTheme="majorHAnsi" w:cstheme="majorHAnsi"/>
          <w:bCs/>
        </w:rPr>
        <w:t xml:space="preserve"> of electricity generation from variable renewables), therefore the system is flexible enough to accommodate the modelled variable RES capacities, at least at the Day-Ahead market level. The analysis for 2040, indicates that unsupplied energy is zero, signifying generation adequacy of the system. There is some spilled energy in 2040 but the level is negligible and does not exceed 0.01% of the total available wind and solar generation. This means that the system is flexible enough to accommodate the modelled variable RES </w:t>
      </w:r>
      <w:r w:rsidR="00081D7A" w:rsidRPr="00A33AE8">
        <w:rPr>
          <w:rFonts w:asciiTheme="majorHAnsi" w:hAnsiTheme="majorHAnsi" w:cstheme="majorHAnsi"/>
          <w:bCs/>
        </w:rPr>
        <w:t>capacities for</w:t>
      </w:r>
      <w:r w:rsidR="000A7D1B" w:rsidRPr="00A33AE8">
        <w:rPr>
          <w:rFonts w:asciiTheme="majorHAnsi" w:hAnsiTheme="majorHAnsi" w:cstheme="majorHAnsi"/>
          <w:bCs/>
        </w:rPr>
        <w:t xml:space="preserve"> 2040, at least at the Day-Ahead market level.</w:t>
      </w:r>
    </w:p>
    <w:p w14:paraId="37C96327" w14:textId="202B2F2A" w:rsidR="00DB72D3" w:rsidRPr="00A33AE8" w:rsidRDefault="00185B2B" w:rsidP="00DB72D3">
      <w:pPr>
        <w:jc w:val="both"/>
        <w:rPr>
          <w:rFonts w:asciiTheme="majorHAnsi" w:hAnsiTheme="majorHAnsi" w:cstheme="majorHAnsi"/>
          <w:bCs/>
        </w:rPr>
      </w:pPr>
      <w:r w:rsidRPr="00A33AE8">
        <w:rPr>
          <w:rFonts w:asciiTheme="majorHAnsi" w:hAnsiTheme="majorHAnsi" w:cstheme="majorHAnsi"/>
          <w:bCs/>
        </w:rPr>
        <w:t xml:space="preserve">In WEM scenario, the non-road RE electricity consumption in transport is expected to reach 14 ktoe in 2030, while it will stand at </w:t>
      </w:r>
      <w:r w:rsidR="00DB72D3" w:rsidRPr="00A33AE8">
        <w:rPr>
          <w:rFonts w:asciiTheme="majorHAnsi" w:hAnsiTheme="majorHAnsi" w:cstheme="majorHAnsi"/>
          <w:bCs/>
        </w:rPr>
        <w:t>11 ktoe in both scenarios S and S-N over the same year (</w:t>
      </w:r>
      <w:r w:rsidR="00030E99">
        <w:rPr>
          <w:rFonts w:asciiTheme="majorHAnsi" w:hAnsiTheme="majorHAnsi" w:cstheme="majorHAnsi"/>
          <w:bCs/>
        </w:rPr>
        <w:fldChar w:fldCharType="begin"/>
      </w:r>
      <w:r w:rsidR="00030E99">
        <w:rPr>
          <w:rFonts w:asciiTheme="majorHAnsi" w:hAnsiTheme="majorHAnsi" w:cstheme="majorHAnsi"/>
          <w:bCs/>
        </w:rPr>
        <w:instrText xml:space="preserve"> REF _Ref153526207 \h  \* MERGEFORMAT </w:instrText>
      </w:r>
      <w:r w:rsidR="00030E99">
        <w:rPr>
          <w:rFonts w:asciiTheme="majorHAnsi" w:hAnsiTheme="majorHAnsi" w:cstheme="majorHAnsi"/>
          <w:bCs/>
        </w:rPr>
      </w:r>
      <w:r w:rsidR="00030E99">
        <w:rPr>
          <w:rFonts w:asciiTheme="majorHAnsi" w:hAnsiTheme="majorHAnsi" w:cstheme="majorHAnsi"/>
          <w:bCs/>
        </w:rPr>
        <w:fldChar w:fldCharType="separate"/>
      </w:r>
      <w:r w:rsidR="00030E99" w:rsidRPr="0087794A">
        <w:rPr>
          <w:rFonts w:asciiTheme="majorHAnsi" w:hAnsiTheme="majorHAnsi" w:cstheme="majorHAnsi"/>
          <w:bCs/>
        </w:rPr>
        <w:t>Figure 5.16</w:t>
      </w:r>
      <w:r w:rsidR="00030E99">
        <w:rPr>
          <w:rFonts w:asciiTheme="majorHAnsi" w:hAnsiTheme="majorHAnsi" w:cstheme="majorHAnsi"/>
          <w:bCs/>
        </w:rPr>
        <w:fldChar w:fldCharType="end"/>
      </w:r>
      <w:r w:rsidR="00DB72D3" w:rsidRPr="00A33AE8">
        <w:rPr>
          <w:rFonts w:asciiTheme="majorHAnsi" w:hAnsiTheme="majorHAnsi" w:cstheme="majorHAnsi"/>
          <w:bCs/>
        </w:rPr>
        <w:t>). In 2050, an increase of the non-road RE electricity consumption in transport is anticipated in WEM scenario, reaching 19 ktoe, compared to scenarios S and S-N, where it will significantly rise to 41 ktoe in scenario S and 38 ktoe in scenario S-N respectively. The increase is even higher for road RE electricity consumption, especially for scenarios S and S-N, where a rise from 13 ktoe in 2030 to 415 ktoe in scenario S in 2050 and from 13 ktoe in 2030 to 422 ktoe in 2050 in scenario S-N is expected.</w:t>
      </w:r>
    </w:p>
    <w:p w14:paraId="43EDAC87" w14:textId="4E9487BB" w:rsidR="00185B2B" w:rsidRPr="00A33AE8" w:rsidRDefault="00D3105E" w:rsidP="00823286">
      <w:pPr>
        <w:pStyle w:val="Caption"/>
        <w:keepNext/>
        <w:rPr>
          <w:b w:val="0"/>
          <w:bCs w:val="0"/>
          <w:iCs/>
          <w:lang w:eastAsia="el-GR"/>
        </w:rPr>
      </w:pPr>
      <w:bookmarkStart w:id="434" w:name="_Ref153526207"/>
      <w:bookmarkStart w:id="435" w:name="_Toc154575289"/>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16</w:t>
      </w:r>
      <w:r w:rsidR="006E0533">
        <w:rPr>
          <w:noProof/>
        </w:rPr>
        <w:fldChar w:fldCharType="end"/>
      </w:r>
      <w:bookmarkEnd w:id="434"/>
      <w:r w:rsidR="00185B2B" w:rsidRPr="00A33AE8">
        <w:rPr>
          <w:iCs/>
          <w:lang w:eastAsia="el-GR"/>
        </w:rPr>
        <w:t>: Electricity consumption from RES in transport</w:t>
      </w:r>
      <w:bookmarkEnd w:id="435"/>
    </w:p>
    <w:p w14:paraId="10009D53"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764736" behindDoc="0" locked="0" layoutInCell="1" allowOverlap="1" wp14:anchorId="0EC2851B" wp14:editId="57791B13">
                <wp:simplePos x="0" y="0"/>
                <wp:positionH relativeFrom="column">
                  <wp:posOffset>432435</wp:posOffset>
                </wp:positionH>
                <wp:positionV relativeFrom="paragraph">
                  <wp:posOffset>1906270</wp:posOffset>
                </wp:positionV>
                <wp:extent cx="3495675" cy="1847850"/>
                <wp:effectExtent l="0" t="0" r="9525" b="0"/>
                <wp:wrapNone/>
                <wp:docPr id="256109497" name="Text Box 256109497"/>
                <wp:cNvGraphicFramePr/>
                <a:graphic xmlns:a="http://schemas.openxmlformats.org/drawingml/2006/main">
                  <a:graphicData uri="http://schemas.microsoft.com/office/word/2010/wordprocessingShape">
                    <wps:wsp>
                      <wps:cNvSpPr txBox="1"/>
                      <wps:spPr>
                        <a:xfrm>
                          <a:off x="0" y="0"/>
                          <a:ext cx="3495675" cy="18478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7EEC28" id="Text Box 256109497" o:spid="_x0000_s1026" type="#_x0000_t202" style="position:absolute;margin-left:34.05pt;margin-top:150.1pt;width:275.25pt;height:14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" fillcolor="#a6a6a6" stroked="f">
                <v:fill opacity="32896f"/>
              </v:shape>
            </w:pict>
          </mc:Fallback>
        </mc:AlternateContent>
      </w:r>
      <w:r w:rsidRPr="000007D2">
        <w:rPr>
          <w:b/>
          <w:bCs/>
          <w:noProof/>
          <w:lang w:val="en-US"/>
        </w:rPr>
        <w:drawing>
          <wp:inline distT="0" distB="0" distL="0" distR="0" wp14:anchorId="5C107F91" wp14:editId="7FFACB71">
            <wp:extent cx="6347297" cy="4896636"/>
            <wp:effectExtent l="0" t="0" r="0" b="0"/>
            <wp:docPr id="256109457" name="Picture 25610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357314" cy="4904363"/>
                    </a:xfrm>
                    <a:prstGeom prst="rect">
                      <a:avLst/>
                    </a:prstGeom>
                    <a:noFill/>
                  </pic:spPr>
                </pic:pic>
              </a:graphicData>
            </a:graphic>
          </wp:inline>
        </w:drawing>
      </w:r>
    </w:p>
    <w:p w14:paraId="02A02A4F" w14:textId="6DCDCCEE" w:rsidR="00185B2B" w:rsidRPr="00A33AE8" w:rsidRDefault="00185B2B" w:rsidP="00185B2B">
      <w:pPr>
        <w:jc w:val="both"/>
        <w:rPr>
          <w:bCs/>
        </w:rPr>
      </w:pPr>
      <w:r w:rsidRPr="00A33AE8">
        <w:rPr>
          <w:rFonts w:asciiTheme="majorHAnsi" w:hAnsiTheme="majorHAnsi" w:cstheme="majorHAnsi"/>
          <w:bCs/>
        </w:rPr>
        <w:t xml:space="preserve">In WEM scenario, the total installed capacity in the district heating sector is projected to reach 8 GW in 2030 and 6 GW in 2050. Similarly, it will reach </w:t>
      </w:r>
      <w:r w:rsidR="00585ED9">
        <w:rPr>
          <w:rFonts w:asciiTheme="majorHAnsi" w:hAnsiTheme="majorHAnsi" w:cstheme="majorHAnsi"/>
          <w:bCs/>
        </w:rPr>
        <w:t>8</w:t>
      </w:r>
      <w:r w:rsidR="00585ED9" w:rsidRPr="00A33AE8">
        <w:rPr>
          <w:rFonts w:asciiTheme="majorHAnsi" w:hAnsiTheme="majorHAnsi" w:cstheme="majorHAnsi"/>
          <w:bCs/>
        </w:rPr>
        <w:t xml:space="preserve"> </w:t>
      </w:r>
      <w:r w:rsidRPr="00A33AE8">
        <w:rPr>
          <w:rFonts w:asciiTheme="majorHAnsi" w:hAnsiTheme="majorHAnsi" w:cstheme="majorHAnsi"/>
          <w:bCs/>
        </w:rPr>
        <w:t xml:space="preserve">GW </w:t>
      </w:r>
      <w:r w:rsidR="00585ED9" w:rsidRPr="00585ED9">
        <w:rPr>
          <w:rFonts w:asciiTheme="majorHAnsi" w:hAnsiTheme="majorHAnsi" w:cstheme="majorHAnsi"/>
          <w:bCs/>
        </w:rPr>
        <w:t>in scenarios S and S-N</w:t>
      </w:r>
      <w:r w:rsidR="00585ED9">
        <w:rPr>
          <w:rFonts w:asciiTheme="majorHAnsi" w:hAnsiTheme="majorHAnsi" w:cstheme="majorHAnsi"/>
          <w:bCs/>
        </w:rPr>
        <w:t xml:space="preserve"> </w:t>
      </w:r>
      <w:r w:rsidRPr="00A33AE8">
        <w:rPr>
          <w:rFonts w:asciiTheme="majorHAnsi" w:hAnsiTheme="majorHAnsi" w:cstheme="majorHAnsi"/>
          <w:bCs/>
        </w:rPr>
        <w:t xml:space="preserve">in 2030 and </w:t>
      </w:r>
      <w:r w:rsidR="00585ED9">
        <w:rPr>
          <w:rFonts w:asciiTheme="majorHAnsi" w:hAnsiTheme="majorHAnsi" w:cstheme="majorHAnsi"/>
          <w:bCs/>
        </w:rPr>
        <w:t>7</w:t>
      </w:r>
      <w:r w:rsidRPr="00A33AE8">
        <w:rPr>
          <w:rFonts w:asciiTheme="majorHAnsi" w:hAnsiTheme="majorHAnsi" w:cstheme="majorHAnsi"/>
          <w:bCs/>
        </w:rPr>
        <w:t xml:space="preserve"> GW </w:t>
      </w:r>
      <w:r w:rsidR="00585ED9" w:rsidRPr="00585ED9">
        <w:rPr>
          <w:rFonts w:asciiTheme="majorHAnsi" w:hAnsiTheme="majorHAnsi" w:cstheme="majorHAnsi"/>
          <w:bCs/>
        </w:rPr>
        <w:t>in scenario S and 8 GW in scenario S-N</w:t>
      </w:r>
      <w:r w:rsidR="00585ED9">
        <w:rPr>
          <w:rFonts w:asciiTheme="majorHAnsi" w:hAnsiTheme="majorHAnsi" w:cstheme="majorHAnsi"/>
          <w:bCs/>
        </w:rPr>
        <w:t xml:space="preserve"> </w:t>
      </w:r>
      <w:r w:rsidRPr="00A33AE8">
        <w:rPr>
          <w:rFonts w:asciiTheme="majorHAnsi" w:hAnsiTheme="majorHAnsi" w:cstheme="majorHAnsi"/>
          <w:bCs/>
        </w:rPr>
        <w:t>in 2050 (</w:t>
      </w:r>
      <w:r w:rsidR="00030E99">
        <w:rPr>
          <w:rFonts w:asciiTheme="majorHAnsi" w:hAnsiTheme="majorHAnsi" w:cstheme="majorHAnsi"/>
          <w:bCs/>
        </w:rPr>
        <w:fldChar w:fldCharType="begin"/>
      </w:r>
      <w:r w:rsidR="00030E99">
        <w:rPr>
          <w:rFonts w:asciiTheme="majorHAnsi" w:hAnsiTheme="majorHAnsi" w:cstheme="majorHAnsi"/>
          <w:bCs/>
        </w:rPr>
        <w:instrText xml:space="preserve"> REF _Ref153526233 \h  \* MERGEFORMAT </w:instrText>
      </w:r>
      <w:r w:rsidR="00030E99">
        <w:rPr>
          <w:rFonts w:asciiTheme="majorHAnsi" w:hAnsiTheme="majorHAnsi" w:cstheme="majorHAnsi"/>
          <w:bCs/>
        </w:rPr>
      </w:r>
      <w:r w:rsidR="00030E99">
        <w:rPr>
          <w:rFonts w:asciiTheme="majorHAnsi" w:hAnsiTheme="majorHAnsi" w:cstheme="majorHAnsi"/>
          <w:bCs/>
        </w:rPr>
        <w:fldChar w:fldCharType="separate"/>
      </w:r>
      <w:r w:rsidR="00030E99" w:rsidRPr="0087794A">
        <w:rPr>
          <w:rFonts w:asciiTheme="majorHAnsi" w:hAnsiTheme="majorHAnsi" w:cstheme="majorHAnsi"/>
          <w:bCs/>
        </w:rPr>
        <w:t>Figure 5.17</w:t>
      </w:r>
      <w:r w:rsidR="00030E99">
        <w:rPr>
          <w:rFonts w:asciiTheme="majorHAnsi" w:hAnsiTheme="majorHAnsi" w:cstheme="majorHAnsi"/>
          <w:bCs/>
        </w:rPr>
        <w:fldChar w:fldCharType="end"/>
      </w:r>
      <w:r w:rsidRPr="00A33AE8">
        <w:rPr>
          <w:rFonts w:asciiTheme="majorHAnsi" w:hAnsiTheme="majorHAnsi" w:cstheme="majorHAnsi"/>
          <w:bCs/>
        </w:rPr>
        <w:t xml:space="preserve">). </w:t>
      </w:r>
      <w:r w:rsidR="00DB72D3" w:rsidRPr="00A33AE8">
        <w:rPr>
          <w:rFonts w:asciiTheme="majorHAnsi" w:hAnsiTheme="majorHAnsi" w:cstheme="majorHAnsi"/>
          <w:bCs/>
        </w:rPr>
        <w:t xml:space="preserve">Natural gas </w:t>
      </w:r>
      <w:r w:rsidR="00342859">
        <w:rPr>
          <w:rFonts w:asciiTheme="majorHAnsi" w:hAnsiTheme="majorHAnsi" w:cstheme="majorHAnsi"/>
          <w:bCs/>
        </w:rPr>
        <w:t>is</w:t>
      </w:r>
      <w:r w:rsidR="00DB72D3" w:rsidRPr="00A33AE8">
        <w:rPr>
          <w:rFonts w:asciiTheme="majorHAnsi" w:hAnsiTheme="majorHAnsi" w:cstheme="majorHAnsi"/>
          <w:bCs/>
        </w:rPr>
        <w:t xml:space="preserve"> anticipated to have the largest contribution in all scenarios in 2030 and</w:t>
      </w:r>
      <w:r w:rsidRPr="00A33AE8">
        <w:rPr>
          <w:rFonts w:asciiTheme="majorHAnsi" w:hAnsiTheme="majorHAnsi" w:cstheme="majorHAnsi"/>
          <w:bCs/>
        </w:rPr>
        <w:t xml:space="preserve"> 2050</w:t>
      </w:r>
      <w:r w:rsidR="00342859">
        <w:rPr>
          <w:rFonts w:asciiTheme="majorHAnsi" w:hAnsiTheme="majorHAnsi" w:cstheme="majorHAnsi"/>
          <w:bCs/>
        </w:rPr>
        <w:t>, as a transitional fuel, replacing the polluting solid fuels used in heat stations and respecting the sustainable utilisation of biomass in Serbia. The options of centralised heat pumps and other clean technologies for centralised heat production were included in the analysis but their relative costs remain high within the considered time period</w:t>
      </w:r>
      <w:r w:rsidR="00043385">
        <w:rPr>
          <w:rFonts w:asciiTheme="majorHAnsi" w:hAnsiTheme="majorHAnsi" w:cstheme="majorHAnsi"/>
          <w:bCs/>
        </w:rPr>
        <w:t>.</w:t>
      </w:r>
    </w:p>
    <w:p w14:paraId="5583D22B" w14:textId="44EECCBC" w:rsidR="00F774FA" w:rsidRDefault="00D3105E" w:rsidP="000007D2">
      <w:pPr>
        <w:pStyle w:val="Caption"/>
        <w:keepNext/>
        <w:rPr>
          <w:iCs/>
          <w:lang w:eastAsia="el-GR"/>
        </w:rPr>
      </w:pPr>
      <w:bookmarkStart w:id="436" w:name="_heading=h.320vgez" w:colFirst="0" w:colLast="0"/>
      <w:bookmarkStart w:id="437" w:name="_Ref153526233"/>
      <w:bookmarkStart w:id="438" w:name="_Toc154575290"/>
      <w:bookmarkEnd w:id="436"/>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17</w:t>
      </w:r>
      <w:r w:rsidR="006E0533">
        <w:rPr>
          <w:noProof/>
        </w:rPr>
        <w:fldChar w:fldCharType="end"/>
      </w:r>
      <w:bookmarkEnd w:id="437"/>
      <w:r w:rsidR="00185B2B" w:rsidRPr="005B2C66">
        <w:t>: Installed</w:t>
      </w:r>
      <w:r w:rsidR="00185B2B" w:rsidRPr="00A33AE8">
        <w:rPr>
          <w:iCs/>
          <w:lang w:eastAsia="el-GR"/>
        </w:rPr>
        <w:t xml:space="preserve"> capacity per technology in the district heating sector</w:t>
      </w:r>
      <w:bookmarkEnd w:id="438"/>
    </w:p>
    <w:p w14:paraId="3D22A1AD" w14:textId="18310FB5" w:rsidR="00DB72D3" w:rsidRPr="00A33AE8" w:rsidRDefault="00585ED9" w:rsidP="000007D2">
      <w:pPr>
        <w:pStyle w:val="Caption"/>
        <w:keepNext/>
      </w:pPr>
      <w:r>
        <w:rPr>
          <w:noProof/>
          <w:lang w:val="en-US"/>
        </w:rPr>
        <mc:AlternateContent>
          <mc:Choice Requires="wps">
            <w:drawing>
              <wp:anchor distT="0" distB="0" distL="114300" distR="114300" simplePos="0" relativeHeight="251814912" behindDoc="0" locked="0" layoutInCell="1" allowOverlap="1" wp14:anchorId="54468664" wp14:editId="7D9141A1">
                <wp:simplePos x="0" y="0"/>
                <wp:positionH relativeFrom="column">
                  <wp:posOffset>368481</wp:posOffset>
                </wp:positionH>
                <wp:positionV relativeFrom="paragraph">
                  <wp:posOffset>48895</wp:posOffset>
                </wp:positionV>
                <wp:extent cx="3370218" cy="4657725"/>
                <wp:effectExtent l="0" t="0" r="1905" b="9525"/>
                <wp:wrapNone/>
                <wp:docPr id="930102848" name="Text Box 256109498"/>
                <wp:cNvGraphicFramePr/>
                <a:graphic xmlns:a="http://schemas.openxmlformats.org/drawingml/2006/main">
                  <a:graphicData uri="http://schemas.microsoft.com/office/word/2010/wordprocessingShape">
                    <wps:wsp>
                      <wps:cNvSpPr txBox="1"/>
                      <wps:spPr>
                        <a:xfrm>
                          <a:off x="0" y="0"/>
                          <a:ext cx="3370218" cy="4657725"/>
                        </a:xfrm>
                        <a:prstGeom prst="rect">
                          <a:avLst/>
                        </a:prstGeom>
                        <a:solidFill>
                          <a:sysClr val="window" lastClr="FFFFFF">
                            <a:lumMod val="65000"/>
                            <a:alpha val="50000"/>
                          </a:sysClr>
                        </a:solidFill>
                        <a:ln>
                          <a:noFill/>
                        </a:ln>
                        <a:effectLst/>
                      </wps:spPr>
                      <wps:bodyPr vertOverflow="clip" horzOverflow="clip" wrap="square" rtlCol="0"/>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F12A7D" id="_x0000_t202" coordsize="21600,21600" o:spt="202" path="m,l,21600r21600,l21600,xe">
                <v:stroke joinstyle="miter"/>
                <v:path gradientshapeok="t" o:connecttype="rect"/>
              </v:shapetype>
              <v:shape id="Text Box 256109498" o:spid="_x0000_s1026" type="#_x0000_t202" style="position:absolute;margin-left:29pt;margin-top:3.85pt;width:265.35pt;height:366.7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" fillcolor="#a6a6a6" stroked="f">
                <v:fill opacity="32896f"/>
              </v:shape>
            </w:pict>
          </mc:Fallback>
        </mc:AlternateContent>
      </w:r>
      <w:r>
        <w:rPr>
          <w:noProof/>
          <w:lang w:val="en-US"/>
        </w:rPr>
        <w:drawing>
          <wp:inline distT="0" distB="0" distL="0" distR="0" wp14:anchorId="7020DB93" wp14:editId="3794963B">
            <wp:extent cx="6104255" cy="5011420"/>
            <wp:effectExtent l="0" t="0" r="0" b="0"/>
            <wp:docPr id="630379463" name="Εικόνα 2" descr="A graph with blue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79463" name="Εικόνα 2" descr="A graph with blue and red dots&#10;&#10;Description automatically generated"/>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04255" cy="5011420"/>
                    </a:xfrm>
                    <a:prstGeom prst="rect">
                      <a:avLst/>
                    </a:prstGeom>
                    <a:noFill/>
                  </pic:spPr>
                </pic:pic>
              </a:graphicData>
            </a:graphic>
          </wp:inline>
        </w:drawing>
      </w:r>
    </w:p>
    <w:p w14:paraId="74A14376" w14:textId="77777777" w:rsidR="00DB72D3" w:rsidRPr="00A33AE8" w:rsidRDefault="00DB72D3" w:rsidP="00DB72D3">
      <w:pPr>
        <w:spacing w:line="259" w:lineRule="auto"/>
        <w:jc w:val="both"/>
        <w:rPr>
          <w:rFonts w:asciiTheme="majorHAnsi" w:eastAsia="Calibri" w:hAnsiTheme="majorHAnsi" w:cstheme="majorHAnsi"/>
        </w:rPr>
      </w:pPr>
      <w:r w:rsidRPr="00A33AE8">
        <w:rPr>
          <w:rFonts w:asciiTheme="majorHAnsi" w:eastAsia="Calibri" w:hAnsiTheme="majorHAnsi" w:cstheme="majorHAnsi"/>
        </w:rPr>
        <w:t>In 2030, the primary and the final energy consumption are equal to 14.</w:t>
      </w:r>
      <w:r w:rsidR="00CF316E" w:rsidRPr="00A33AE8">
        <w:rPr>
          <w:rFonts w:asciiTheme="majorHAnsi" w:eastAsia="Calibri" w:hAnsiTheme="majorHAnsi" w:cstheme="majorHAnsi"/>
        </w:rPr>
        <w:t xml:space="preserve">68 </w:t>
      </w:r>
      <w:r w:rsidRPr="00A33AE8">
        <w:rPr>
          <w:rFonts w:asciiTheme="majorHAnsi" w:eastAsia="Calibri" w:hAnsiTheme="majorHAnsi" w:cstheme="majorHAnsi"/>
        </w:rPr>
        <w:t xml:space="preserve">Mtoe and 9.7 Mtoe respectively in scenarios S and S-N leading to lower levels by 17% and 9% </w:t>
      </w:r>
      <w:r w:rsidR="00CF316E" w:rsidRPr="00A33AE8">
        <w:rPr>
          <w:rFonts w:asciiTheme="majorHAnsi" w:eastAsia="Calibri" w:hAnsiTheme="majorHAnsi" w:cstheme="majorHAnsi"/>
        </w:rPr>
        <w:t xml:space="preserve">respectively </w:t>
      </w:r>
      <w:r w:rsidRPr="00A33AE8">
        <w:rPr>
          <w:rFonts w:asciiTheme="majorHAnsi" w:eastAsia="Calibri" w:hAnsiTheme="majorHAnsi" w:cstheme="majorHAnsi"/>
        </w:rPr>
        <w:t xml:space="preserve">compared to the WEM scenario. </w:t>
      </w:r>
      <w:r w:rsidR="00185B2B" w:rsidRPr="00A33AE8">
        <w:rPr>
          <w:rFonts w:asciiTheme="majorHAnsi" w:eastAsia="Calibri" w:hAnsiTheme="majorHAnsi" w:cstheme="majorHAnsi"/>
        </w:rPr>
        <w:t>The reduction in the primary and final energy consumption is mostly due to the implementation of additional policies and measures for the promotion of energy efficiency and RES. The difference in the final energy consumption among WEM and scenarios S and S-N is distributed on average among the residential (</w:t>
      </w:r>
      <w:r w:rsidRPr="00A33AE8">
        <w:rPr>
          <w:rFonts w:asciiTheme="majorHAnsi" w:eastAsia="Calibri" w:hAnsiTheme="majorHAnsi" w:cstheme="majorHAnsi"/>
        </w:rPr>
        <w:t>36%), industry (27%) and transport (26%) sectors in 2030.</w:t>
      </w:r>
    </w:p>
    <w:p w14:paraId="16643B57" w14:textId="5C6FF86C" w:rsidR="00185B2B" w:rsidRPr="00A33AE8" w:rsidRDefault="00DB72D3" w:rsidP="00185B2B">
      <w:pPr>
        <w:pStyle w:val="LDKbody"/>
        <w:rPr>
          <w:rFonts w:eastAsia="Calibri" w:cs="Times New Roman"/>
          <w:lang w:val="en-GB" w:eastAsia="en-US"/>
        </w:rPr>
      </w:pPr>
      <w:r w:rsidRPr="00A33AE8">
        <w:rPr>
          <w:rFonts w:asciiTheme="majorHAnsi" w:eastAsia="Calibri" w:hAnsiTheme="majorHAnsi" w:cstheme="majorHAnsi"/>
          <w:lang w:val="en-GB" w:eastAsia="en-US"/>
        </w:rPr>
        <w:t>In 2050, the primary energy consumption is equal to 11.5 Mtoe and 12.5 Mtoe in scenarios S and S-N respectively leading to reduced levels by 40% and 35% compared to the WEM scenario. The same tendency is observed for the case of final energy consumption leading to approximately identical level (9.5 Mtoe presenting 27% reduction compared to WEM scenario).</w:t>
      </w:r>
      <w:r w:rsidR="00185B2B" w:rsidRPr="00A33AE8">
        <w:rPr>
          <w:rFonts w:asciiTheme="majorHAnsi" w:eastAsia="Calibri" w:hAnsiTheme="majorHAnsi" w:cstheme="majorHAnsi"/>
          <w:lang w:val="en-GB" w:eastAsia="en-US"/>
        </w:rPr>
        <w:t xml:space="preserve"> The reduction in the primary and final energy consumption is mostly due to the </w:t>
      </w:r>
      <w:r w:rsidR="00185B2B" w:rsidRPr="00A33AE8">
        <w:rPr>
          <w:rFonts w:asciiTheme="majorHAnsi" w:eastAsia="Calibri" w:hAnsiTheme="majorHAnsi" w:cstheme="majorHAnsi"/>
          <w:lang w:val="en-GB"/>
        </w:rPr>
        <w:t>intensified implementation of additional policies and measures for the promotion of energy efficiency and RES</w:t>
      </w:r>
      <w:r w:rsidR="00185B2B" w:rsidRPr="00A33AE8">
        <w:rPr>
          <w:rFonts w:asciiTheme="majorHAnsi" w:eastAsia="Calibri" w:hAnsiTheme="majorHAnsi" w:cstheme="majorHAnsi"/>
          <w:lang w:val="en-GB" w:eastAsia="en-US"/>
        </w:rPr>
        <w:t>.</w:t>
      </w:r>
    </w:p>
    <w:p w14:paraId="1E4546FC" w14:textId="4BA4F22B" w:rsidR="00185B2B" w:rsidRPr="00A33AE8" w:rsidRDefault="00D3105E" w:rsidP="00185B2B">
      <w:pPr>
        <w:pStyle w:val="Caption"/>
        <w:keepNext/>
      </w:pPr>
      <w:bookmarkStart w:id="439" w:name="_Toc154575291"/>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18</w:t>
      </w:r>
      <w:r w:rsidR="006E0533">
        <w:rPr>
          <w:noProof/>
        </w:rPr>
        <w:fldChar w:fldCharType="end"/>
      </w:r>
      <w:r w:rsidR="00185B2B" w:rsidRPr="00A33AE8">
        <w:t xml:space="preserve">: </w:t>
      </w:r>
      <w:r w:rsidR="00185B2B" w:rsidRPr="00A33AE8">
        <w:rPr>
          <w:iCs/>
          <w:lang w:eastAsia="el-GR"/>
        </w:rPr>
        <w:t>Primary Energy Consumption</w:t>
      </w:r>
      <w:bookmarkEnd w:id="439"/>
    </w:p>
    <w:bookmarkStart w:id="440" w:name="_heading=h.415t9al" w:colFirst="0" w:colLast="0"/>
    <w:bookmarkEnd w:id="440"/>
    <w:p w14:paraId="62C0E4DF" w14:textId="77777777" w:rsidR="00185B2B" w:rsidRPr="00A33AE8" w:rsidRDefault="00DB72D3" w:rsidP="00185B2B">
      <w:pPr>
        <w:pStyle w:val="LDKbody"/>
        <w:jc w:val="center"/>
        <w:rPr>
          <w:rFonts w:eastAsia="Calibri" w:cs="Times New Roman"/>
          <w:lang w:val="en-GB" w:eastAsia="en-US"/>
        </w:rPr>
      </w:pPr>
      <w:r w:rsidRPr="000007D2">
        <w:rPr>
          <w:noProof/>
          <w:lang w:val="en-US" w:eastAsia="en-US"/>
        </w:rPr>
        <mc:AlternateContent>
          <mc:Choice Requires="wps">
            <w:drawing>
              <wp:anchor distT="0" distB="0" distL="114300" distR="114300" simplePos="0" relativeHeight="251768832" behindDoc="0" locked="0" layoutInCell="1" allowOverlap="1" wp14:anchorId="4C6E7AB8" wp14:editId="4566D443">
                <wp:simplePos x="0" y="0"/>
                <wp:positionH relativeFrom="column">
                  <wp:posOffset>775336</wp:posOffset>
                </wp:positionH>
                <wp:positionV relativeFrom="paragraph">
                  <wp:posOffset>346710</wp:posOffset>
                </wp:positionV>
                <wp:extent cx="3009900" cy="2381250"/>
                <wp:effectExtent l="0" t="0" r="0" b="0"/>
                <wp:wrapNone/>
                <wp:docPr id="256109499" name="Text Box 256109499"/>
                <wp:cNvGraphicFramePr/>
                <a:graphic xmlns:a="http://schemas.openxmlformats.org/drawingml/2006/main">
                  <a:graphicData uri="http://schemas.microsoft.com/office/word/2010/wordprocessingShape">
                    <wps:wsp>
                      <wps:cNvSpPr txBox="1"/>
                      <wps:spPr>
                        <a:xfrm>
                          <a:off x="0" y="0"/>
                          <a:ext cx="3009900" cy="23812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C59714" id="Text Box 256109499" o:spid="_x0000_s1026" type="#_x0000_t202" style="position:absolute;margin-left:61.05pt;margin-top:27.3pt;width:237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" fillcolor="#a6a6a6" stroked="f">
                <v:fill opacity="32896f"/>
              </v:shape>
            </w:pict>
          </mc:Fallback>
        </mc:AlternateContent>
      </w:r>
      <w:r w:rsidRPr="000007D2">
        <w:rPr>
          <w:rFonts w:eastAsia="Calibri" w:cs="Times New Roman"/>
          <w:noProof/>
          <w:lang w:val="en-US" w:eastAsia="en-US"/>
        </w:rPr>
        <w:drawing>
          <wp:inline distT="0" distB="0" distL="0" distR="0" wp14:anchorId="14E9EC01" wp14:editId="6D0F97C9">
            <wp:extent cx="5462905" cy="3481522"/>
            <wp:effectExtent l="0" t="0" r="4445" b="5080"/>
            <wp:docPr id="256109461" name="Picture 25610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75102" cy="3489295"/>
                    </a:xfrm>
                    <a:prstGeom prst="rect">
                      <a:avLst/>
                    </a:prstGeom>
                    <a:noFill/>
                  </pic:spPr>
                </pic:pic>
              </a:graphicData>
            </a:graphic>
          </wp:inline>
        </w:drawing>
      </w:r>
    </w:p>
    <w:p w14:paraId="1D19291D" w14:textId="0367875E" w:rsidR="00185B2B" w:rsidRPr="00A33AE8" w:rsidRDefault="00D3105E" w:rsidP="00185B2B">
      <w:pPr>
        <w:pStyle w:val="Caption"/>
        <w:keepNext/>
      </w:pPr>
      <w:bookmarkStart w:id="441" w:name="_Toc154575292"/>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19</w:t>
      </w:r>
      <w:r w:rsidR="006E0533">
        <w:rPr>
          <w:noProof/>
        </w:rPr>
        <w:fldChar w:fldCharType="end"/>
      </w:r>
      <w:r w:rsidR="00185B2B" w:rsidRPr="00A33AE8">
        <w:t xml:space="preserve">: </w:t>
      </w:r>
      <w:r w:rsidR="00185B2B" w:rsidRPr="00A33AE8">
        <w:rPr>
          <w:iCs/>
          <w:lang w:eastAsia="el-GR"/>
        </w:rPr>
        <w:t>Final Energy Consumption</w:t>
      </w:r>
      <w:bookmarkEnd w:id="441"/>
    </w:p>
    <w:p w14:paraId="694AF8CD" w14:textId="77777777" w:rsidR="00185B2B" w:rsidRPr="00A33AE8" w:rsidRDefault="00DB72D3" w:rsidP="00185B2B">
      <w:pPr>
        <w:pStyle w:val="LDKbody"/>
        <w:jc w:val="center"/>
        <w:rPr>
          <w:rFonts w:eastAsia="Calibri" w:cs="Times New Roman"/>
          <w:lang w:val="en-GB" w:eastAsia="en-US"/>
        </w:rPr>
      </w:pPr>
      <w:r w:rsidRPr="000007D2">
        <w:rPr>
          <w:noProof/>
          <w:lang w:val="en-US" w:eastAsia="en-US"/>
        </w:rPr>
        <mc:AlternateContent>
          <mc:Choice Requires="wps">
            <w:drawing>
              <wp:anchor distT="0" distB="0" distL="114300" distR="114300" simplePos="0" relativeHeight="251770880" behindDoc="0" locked="0" layoutInCell="1" allowOverlap="1" wp14:anchorId="10585C9E" wp14:editId="28E5DE42">
                <wp:simplePos x="0" y="0"/>
                <wp:positionH relativeFrom="column">
                  <wp:posOffset>537210</wp:posOffset>
                </wp:positionH>
                <wp:positionV relativeFrom="paragraph">
                  <wp:posOffset>316230</wp:posOffset>
                </wp:positionV>
                <wp:extent cx="3190875" cy="2400300"/>
                <wp:effectExtent l="0" t="0" r="9525" b="0"/>
                <wp:wrapNone/>
                <wp:docPr id="256109500" name="Text Box 256109500"/>
                <wp:cNvGraphicFramePr/>
                <a:graphic xmlns:a="http://schemas.openxmlformats.org/drawingml/2006/main">
                  <a:graphicData uri="http://schemas.microsoft.com/office/word/2010/wordprocessingShape">
                    <wps:wsp>
                      <wps:cNvSpPr txBox="1"/>
                      <wps:spPr>
                        <a:xfrm>
                          <a:off x="0" y="0"/>
                          <a:ext cx="3190875" cy="24003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20425D" id="Text Box 256109500" o:spid="_x0000_s1026" type="#_x0000_t202" style="position:absolute;margin-left:42.3pt;margin-top:24.9pt;width:251.25pt;height:1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" fillcolor="#a6a6a6" stroked="f">
                <v:fill opacity="32896f"/>
              </v:shape>
            </w:pict>
          </mc:Fallback>
        </mc:AlternateContent>
      </w:r>
      <w:r w:rsidRPr="000007D2">
        <w:rPr>
          <w:rFonts w:eastAsia="Calibri" w:cs="Times New Roman"/>
          <w:noProof/>
          <w:lang w:val="en-US" w:eastAsia="en-US"/>
        </w:rPr>
        <w:drawing>
          <wp:inline distT="0" distB="0" distL="0" distR="0" wp14:anchorId="158C610C" wp14:editId="06BDD686">
            <wp:extent cx="5784702" cy="3168143"/>
            <wp:effectExtent l="0" t="0" r="6985" b="0"/>
            <wp:docPr id="256109462" name="Picture 25610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88722" cy="3170345"/>
                    </a:xfrm>
                    <a:prstGeom prst="rect">
                      <a:avLst/>
                    </a:prstGeom>
                    <a:noFill/>
                  </pic:spPr>
                </pic:pic>
              </a:graphicData>
            </a:graphic>
          </wp:inline>
        </w:drawing>
      </w:r>
    </w:p>
    <w:p w14:paraId="7C37C44F" w14:textId="77777777" w:rsidR="00185B2B" w:rsidRPr="00A33AE8" w:rsidRDefault="00185B2B" w:rsidP="007A0028">
      <w:pPr>
        <w:pStyle w:val="LDKbody"/>
        <w:jc w:val="center"/>
        <w:rPr>
          <w:rFonts w:eastAsia="Calibri" w:cs="Times New Roman"/>
          <w:lang w:val="en-GB"/>
        </w:rPr>
      </w:pPr>
    </w:p>
    <w:p w14:paraId="027303DD" w14:textId="3EAD3233" w:rsidR="00DB72D3" w:rsidRPr="00A33AE8" w:rsidRDefault="00185B2B" w:rsidP="00DB72D3">
      <w:pPr>
        <w:spacing w:after="200" w:line="240" w:lineRule="auto"/>
        <w:jc w:val="both"/>
        <w:rPr>
          <w:rFonts w:asciiTheme="majorHAnsi" w:hAnsiTheme="majorHAnsi" w:cstheme="majorHAnsi"/>
        </w:rPr>
      </w:pPr>
      <w:r w:rsidRPr="00A33AE8">
        <w:rPr>
          <w:rFonts w:asciiTheme="majorHAnsi" w:eastAsia="Calibri" w:hAnsiTheme="majorHAnsi" w:cstheme="majorHAnsi"/>
          <w:lang w:eastAsia="el-GR"/>
        </w:rPr>
        <w:t>The final energy consumption of the industrial sector stands at</w:t>
      </w:r>
      <w:r w:rsidRPr="00A33AE8">
        <w:rPr>
          <w:rFonts w:asciiTheme="majorHAnsi" w:eastAsia="Calibri" w:hAnsiTheme="majorHAnsi" w:cstheme="majorHAnsi"/>
        </w:rPr>
        <w:t xml:space="preserve"> </w:t>
      </w:r>
      <w:r w:rsidR="00DB72D3" w:rsidRPr="00A33AE8">
        <w:rPr>
          <w:rFonts w:asciiTheme="majorHAnsi" w:eastAsia="Calibri" w:hAnsiTheme="majorHAnsi" w:cstheme="majorHAnsi"/>
        </w:rPr>
        <w:t xml:space="preserve">2,547 </w:t>
      </w:r>
      <w:r w:rsidR="00DB72D3" w:rsidRPr="00A33AE8">
        <w:rPr>
          <w:rFonts w:asciiTheme="majorHAnsi" w:eastAsia="Calibri" w:hAnsiTheme="majorHAnsi" w:cstheme="majorHAnsi"/>
          <w:lang w:eastAsia="el-GR"/>
        </w:rPr>
        <w:t xml:space="preserve">ktoe in 2030 in scenarios S and S-N leading to 9% lower consumption compared to WEM scenario due to the promotion of energy efficient equipment, the </w:t>
      </w:r>
      <w:r w:rsidR="00DB72D3" w:rsidRPr="00A33AE8">
        <w:rPr>
          <w:rFonts w:asciiTheme="majorHAnsi" w:eastAsia="Calibri" w:hAnsiTheme="majorHAnsi" w:cstheme="majorHAnsi"/>
        </w:rPr>
        <w:t>further development</w:t>
      </w:r>
      <w:r w:rsidR="00DB72D3" w:rsidRPr="00A33AE8">
        <w:rPr>
          <w:rFonts w:asciiTheme="majorHAnsi" w:eastAsia="Calibri" w:hAnsiTheme="majorHAnsi" w:cstheme="majorHAnsi"/>
          <w:lang w:eastAsia="el-GR"/>
        </w:rPr>
        <w:t xml:space="preserve"> of energy management systems and the exploitation of the waste heat. The respective reduction will be increased to 11% in 2050 compared to WEM scenario as the final energy consumption will be equal to about 3.4</w:t>
      </w:r>
      <w:r w:rsidRPr="00A33AE8">
        <w:rPr>
          <w:rFonts w:asciiTheme="majorHAnsi" w:eastAsia="Calibri" w:hAnsiTheme="majorHAnsi" w:cstheme="majorHAnsi"/>
          <w:lang w:eastAsia="el-GR"/>
        </w:rPr>
        <w:t xml:space="preserve"> Mtoe due to the intensification of the energy efficiency measures counterbalancing the increased industrial output due to the GDP’s growth. Electricity, natural gas and oil products consist the fuels with the highest contribution in scenarios S and S-N for both 2030 and 2050.</w:t>
      </w:r>
    </w:p>
    <w:p w14:paraId="6BF64FDF" w14:textId="47575EBB" w:rsidR="0067076B" w:rsidRPr="0087794A" w:rsidRDefault="0067076B" w:rsidP="0087794A">
      <w:pPr>
        <w:pStyle w:val="Caption"/>
        <w:keepNext/>
        <w:rPr>
          <w:lang w:val="en-US"/>
        </w:rPr>
      </w:pPr>
      <w:bookmarkStart w:id="442" w:name="_Toc154575293"/>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20</w:t>
      </w:r>
      <w:r w:rsidR="006E0533">
        <w:rPr>
          <w:noProof/>
        </w:rPr>
        <w:fldChar w:fldCharType="end"/>
      </w:r>
      <w:r>
        <w:rPr>
          <w:lang w:val="en-US"/>
        </w:rPr>
        <w:t xml:space="preserve">: </w:t>
      </w:r>
      <w:r w:rsidRPr="0067076B">
        <w:rPr>
          <w:lang w:val="en-US"/>
        </w:rPr>
        <w:t>FEC Industry by energy source</w:t>
      </w:r>
      <w:bookmarkEnd w:id="442"/>
    </w:p>
    <w:p w14:paraId="58B5A565" w14:textId="15F642C6" w:rsidR="00DB72D3" w:rsidRPr="00A33AE8" w:rsidRDefault="0067076B" w:rsidP="00DB72D3">
      <w:pPr>
        <w:pStyle w:val="LDKbody"/>
        <w:jc w:val="center"/>
        <w:rPr>
          <w:rFonts w:eastAsia="Calibri" w:cs="Times New Roman"/>
          <w:lang w:val="en-GB" w:eastAsia="en-US"/>
        </w:rPr>
      </w:pPr>
      <w:r w:rsidRPr="000007D2">
        <w:rPr>
          <w:noProof/>
          <w:lang w:val="en-US" w:eastAsia="en-US"/>
        </w:rPr>
        <mc:AlternateContent>
          <mc:Choice Requires="wps">
            <w:drawing>
              <wp:anchor distT="0" distB="0" distL="114300" distR="114300" simplePos="0" relativeHeight="251772928" behindDoc="0" locked="0" layoutInCell="1" allowOverlap="1" wp14:anchorId="7537D1F0" wp14:editId="55A3B54B">
                <wp:simplePos x="0" y="0"/>
                <wp:positionH relativeFrom="column">
                  <wp:posOffset>518160</wp:posOffset>
                </wp:positionH>
                <wp:positionV relativeFrom="paragraph">
                  <wp:posOffset>346643</wp:posOffset>
                </wp:positionV>
                <wp:extent cx="3267075" cy="2362200"/>
                <wp:effectExtent l="0" t="0" r="9525" b="0"/>
                <wp:wrapNone/>
                <wp:docPr id="256109501" name="Text Box 256109501"/>
                <wp:cNvGraphicFramePr/>
                <a:graphic xmlns:a="http://schemas.openxmlformats.org/drawingml/2006/main">
                  <a:graphicData uri="http://schemas.microsoft.com/office/word/2010/wordprocessingShape">
                    <wps:wsp>
                      <wps:cNvSpPr txBox="1"/>
                      <wps:spPr>
                        <a:xfrm>
                          <a:off x="0" y="0"/>
                          <a:ext cx="3267075" cy="23622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84B3D" id="Text Box 256109501" o:spid="_x0000_s1026" type="#_x0000_t202" style="position:absolute;margin-left:40.8pt;margin-top:27.3pt;width:257.25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" fillcolor="#a6a6a6" stroked="f">
                <v:fill opacity="32896f"/>
              </v:shape>
            </w:pict>
          </mc:Fallback>
        </mc:AlternateContent>
      </w:r>
      <w:r w:rsidR="00DB72D3" w:rsidRPr="000007D2">
        <w:rPr>
          <w:rFonts w:eastAsia="Calibri" w:cs="Times New Roman"/>
          <w:noProof/>
          <w:lang w:val="en-US" w:eastAsia="en-US"/>
        </w:rPr>
        <w:drawing>
          <wp:inline distT="0" distB="0" distL="0" distR="0" wp14:anchorId="6CC9AC6B" wp14:editId="0FE87C16">
            <wp:extent cx="5930767" cy="3412135"/>
            <wp:effectExtent l="0" t="0" r="0" b="0"/>
            <wp:docPr id="256109463" name="Picture 25610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35718" cy="3414984"/>
                    </a:xfrm>
                    <a:prstGeom prst="rect">
                      <a:avLst/>
                    </a:prstGeom>
                    <a:noFill/>
                  </pic:spPr>
                </pic:pic>
              </a:graphicData>
            </a:graphic>
          </wp:inline>
        </w:drawing>
      </w:r>
    </w:p>
    <w:p w14:paraId="77F43B9D" w14:textId="43DD3BC1" w:rsidR="0067076B" w:rsidRDefault="00185B2B" w:rsidP="0087794A">
      <w:pPr>
        <w:pStyle w:val="LDKbody"/>
      </w:pPr>
      <w:r w:rsidRPr="00A33AE8">
        <w:rPr>
          <w:rFonts w:asciiTheme="majorHAnsi" w:hAnsiTheme="majorHAnsi" w:cstheme="majorHAnsi"/>
        </w:rPr>
        <w:t>In residential sector, the final energy consumption amounts to 3,</w:t>
      </w:r>
      <w:r w:rsidR="00DB72D3" w:rsidRPr="00A33AE8">
        <w:rPr>
          <w:rFonts w:asciiTheme="majorHAnsi" w:hAnsiTheme="majorHAnsi" w:cstheme="majorHAnsi"/>
        </w:rPr>
        <w:t>798 ktoe in WEM scenario and about 3,523</w:t>
      </w:r>
      <w:r w:rsidRPr="00A33AE8">
        <w:rPr>
          <w:rFonts w:asciiTheme="majorHAnsi" w:hAnsiTheme="majorHAnsi" w:cstheme="majorHAnsi"/>
        </w:rPr>
        <w:t xml:space="preserve"> ktoe in scenarios S and S-N in 2030 mainly due to the increased energy renovation of the buildings, the installation of aerothermal heat pumps and the promotion of energy efficient appliances and lighting. The reduction of the final energy consumption is higher in 2050 for the case of scenarios S and S-N reaching 2.5 Mtoe compared to 3.7 Mtoe in WEM scenario due to the enhanced implementation of energy efficiency measures</w:t>
      </w:r>
      <w:r w:rsidR="005E6E7B">
        <w:rPr>
          <w:rFonts w:asciiTheme="majorHAnsi" w:hAnsiTheme="majorHAnsi" w:cstheme="majorHAnsi"/>
        </w:rPr>
        <w:t>.</w:t>
      </w:r>
      <w:r w:rsidRPr="00A33AE8">
        <w:fldChar w:fldCharType="begin"/>
      </w:r>
      <w:r w:rsidRPr="00A33AE8">
        <w:instrText xml:space="preserve"> REF _Ref113536861 \h  \* MERGEFORMAT </w:instrText>
      </w:r>
      <w:r w:rsidRPr="00A33AE8">
        <w:fldChar w:fldCharType="end"/>
      </w:r>
      <w:r w:rsidRPr="00A33AE8">
        <w:rPr>
          <w:rFonts w:asciiTheme="majorHAnsi" w:hAnsiTheme="majorHAnsi" w:cstheme="majorHAnsi"/>
        </w:rPr>
        <w:t xml:space="preserve"> </w:t>
      </w:r>
      <w:r w:rsidR="00DB72D3" w:rsidRPr="00A33AE8">
        <w:rPr>
          <w:rFonts w:asciiTheme="majorHAnsi" w:hAnsiTheme="majorHAnsi" w:cstheme="majorHAnsi"/>
        </w:rPr>
        <w:t>Biomass/biogas, electricity and derived heat present the highest contribution in both 2030 and 2050.</w:t>
      </w:r>
    </w:p>
    <w:p w14:paraId="6F9FF915" w14:textId="5689C125" w:rsidR="0067076B" w:rsidRDefault="0067076B" w:rsidP="0087794A">
      <w:pPr>
        <w:pStyle w:val="Caption"/>
        <w:keepNext/>
      </w:pPr>
      <w:bookmarkStart w:id="443" w:name="_Toc154575294"/>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21</w:t>
      </w:r>
      <w:r w:rsidR="006E0533">
        <w:rPr>
          <w:noProof/>
        </w:rPr>
        <w:fldChar w:fldCharType="end"/>
      </w:r>
      <w:r>
        <w:t xml:space="preserve">: </w:t>
      </w:r>
      <w:r w:rsidRPr="0067076B">
        <w:t>FEC Residential by energy source</w:t>
      </w:r>
      <w:bookmarkEnd w:id="443"/>
    </w:p>
    <w:p w14:paraId="5E72E305" w14:textId="1B0FD1FA" w:rsidR="00DB72D3" w:rsidRPr="00A33AE8" w:rsidRDefault="0067076B" w:rsidP="00DB72D3">
      <w:pPr>
        <w:pStyle w:val="LDKbody"/>
        <w:jc w:val="center"/>
        <w:rPr>
          <w:rFonts w:eastAsia="Calibri" w:cs="Times New Roman"/>
          <w:lang w:val="en-GB" w:eastAsia="en-US"/>
        </w:rPr>
      </w:pPr>
      <w:r w:rsidRPr="000007D2">
        <w:rPr>
          <w:noProof/>
          <w:lang w:val="en-US" w:eastAsia="en-US"/>
        </w:rPr>
        <mc:AlternateContent>
          <mc:Choice Requires="wps">
            <w:drawing>
              <wp:anchor distT="0" distB="0" distL="114300" distR="114300" simplePos="0" relativeHeight="251774976" behindDoc="0" locked="0" layoutInCell="1" allowOverlap="1" wp14:anchorId="35F77610" wp14:editId="5D57269C">
                <wp:simplePos x="0" y="0"/>
                <wp:positionH relativeFrom="column">
                  <wp:posOffset>474044</wp:posOffset>
                </wp:positionH>
                <wp:positionV relativeFrom="paragraph">
                  <wp:posOffset>62497</wp:posOffset>
                </wp:positionV>
                <wp:extent cx="3305175" cy="2676525"/>
                <wp:effectExtent l="0" t="0" r="9525" b="9525"/>
                <wp:wrapNone/>
                <wp:docPr id="256109502" name="Text Box 256109502"/>
                <wp:cNvGraphicFramePr/>
                <a:graphic xmlns:a="http://schemas.openxmlformats.org/drawingml/2006/main">
                  <a:graphicData uri="http://schemas.microsoft.com/office/word/2010/wordprocessingShape">
                    <wps:wsp>
                      <wps:cNvSpPr txBox="1"/>
                      <wps:spPr>
                        <a:xfrm>
                          <a:off x="0" y="0"/>
                          <a:ext cx="3305175" cy="267652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CC13A5" id="Text Box 256109502" o:spid="_x0000_s1026" type="#_x0000_t202" style="position:absolute;margin-left:37.35pt;margin-top:4.9pt;width:260.25pt;height:210.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" fillcolor="#a6a6a6" stroked="f">
                <v:fill opacity="32896f"/>
              </v:shape>
            </w:pict>
          </mc:Fallback>
        </mc:AlternateContent>
      </w:r>
      <w:r w:rsidR="00DB72D3" w:rsidRPr="000007D2">
        <w:rPr>
          <w:rFonts w:eastAsia="Calibri" w:cs="Times New Roman"/>
          <w:noProof/>
          <w:lang w:val="en-US" w:eastAsia="en-US"/>
        </w:rPr>
        <w:drawing>
          <wp:inline distT="0" distB="0" distL="0" distR="0" wp14:anchorId="4C9BF68C" wp14:editId="164E4A14">
            <wp:extent cx="6058358" cy="3481741"/>
            <wp:effectExtent l="0" t="0" r="0" b="4445"/>
            <wp:docPr id="256109464" name="Picture 25610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70543" cy="3488744"/>
                    </a:xfrm>
                    <a:prstGeom prst="rect">
                      <a:avLst/>
                    </a:prstGeom>
                    <a:noFill/>
                  </pic:spPr>
                </pic:pic>
              </a:graphicData>
            </a:graphic>
          </wp:inline>
        </w:drawing>
      </w:r>
    </w:p>
    <w:p w14:paraId="4A7B0FFF" w14:textId="77777777" w:rsidR="00185B2B" w:rsidRPr="00A33AE8" w:rsidRDefault="00185B2B" w:rsidP="00185B2B">
      <w:pPr>
        <w:jc w:val="both"/>
        <w:rPr>
          <w:rFonts w:asciiTheme="majorHAnsi" w:hAnsiTheme="majorHAnsi" w:cstheme="majorHAnsi"/>
        </w:rPr>
      </w:pPr>
      <w:r w:rsidRPr="00A33AE8">
        <w:rPr>
          <w:rFonts w:asciiTheme="majorHAnsi" w:hAnsiTheme="majorHAnsi" w:cstheme="majorHAnsi"/>
        </w:rPr>
        <w:lastRenderedPageBreak/>
        <w:t>The final energy consumption of the tertiary sector</w:t>
      </w:r>
      <w:r w:rsidR="00814061">
        <w:rPr>
          <w:rFonts w:asciiTheme="majorHAnsi" w:hAnsiTheme="majorHAnsi" w:cstheme="majorHAnsi"/>
          <w:lang w:val="en-US"/>
        </w:rPr>
        <w:t xml:space="preserve"> in 2030</w:t>
      </w:r>
      <w:r w:rsidRPr="00A33AE8">
        <w:rPr>
          <w:rFonts w:asciiTheme="majorHAnsi" w:hAnsiTheme="majorHAnsi" w:cstheme="majorHAnsi"/>
        </w:rPr>
        <w:t xml:space="preserve"> is equal to</w:t>
      </w:r>
      <w:r w:rsidR="00DB72D3" w:rsidRPr="00A33AE8">
        <w:rPr>
          <w:rFonts w:asciiTheme="majorHAnsi" w:hAnsiTheme="majorHAnsi" w:cstheme="majorHAnsi"/>
        </w:rPr>
        <w:t xml:space="preserve"> 1,097 ktoe in WEM scenario, while a meaningful reduction up to 17% is observed in scenarios S and S-N reaching 910 ktoe in absolute levels due to the increased energy renovation of the buildings, the installation of aerothermal and geothermal heat pumps and the promotion of energy efficient appliances and lighting. The intensification of the energy efficiency measures leads to a 24% reduction in 2050, as the final energy consumption reaches 1,579 ktoe in WEM scenario and about 1,200 ktoe in scenarios S and S-N (</w:t>
      </w:r>
      <w:r w:rsidRPr="00A33AE8">
        <w:t>21</w:t>
      </w:r>
      <w:r w:rsidRPr="00A33AE8">
        <w:rPr>
          <w:rFonts w:asciiTheme="majorHAnsi" w:hAnsiTheme="majorHAnsi" w:cstheme="majorHAnsi"/>
        </w:rPr>
        <w:t>). Electricity and natural gas comprise the fuels with the highest contribution in both 2030 and 2050 retaining also almost identical shares in scenarios S and S-N.</w:t>
      </w:r>
    </w:p>
    <w:p w14:paraId="6E2185DF" w14:textId="14B1138E" w:rsidR="00185B2B" w:rsidRPr="00A33AE8" w:rsidRDefault="00D3105E" w:rsidP="00185B2B">
      <w:pPr>
        <w:pStyle w:val="Caption"/>
        <w:keepNext/>
      </w:pPr>
      <w:bookmarkStart w:id="444" w:name="_Toc154575295"/>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22</w:t>
      </w:r>
      <w:r w:rsidR="006E0533">
        <w:rPr>
          <w:noProof/>
        </w:rPr>
        <w:fldChar w:fldCharType="end"/>
      </w:r>
      <w:r w:rsidR="00185B2B" w:rsidRPr="00A33AE8">
        <w:t>:</w:t>
      </w:r>
      <w:r w:rsidR="00185B2B" w:rsidRPr="00A33AE8">
        <w:rPr>
          <w:iCs/>
          <w:lang w:eastAsia="el-GR"/>
        </w:rPr>
        <w:t xml:space="preserve"> FEC Services by energy source</w:t>
      </w:r>
      <w:bookmarkEnd w:id="444"/>
    </w:p>
    <w:p w14:paraId="1719ACDB" w14:textId="77777777" w:rsidR="00DB72D3" w:rsidRPr="000007D2" w:rsidRDefault="00DB72D3" w:rsidP="00DB72D3">
      <w:pPr>
        <w:pStyle w:val="LDKbody"/>
        <w:jc w:val="center"/>
        <w:rPr>
          <w:rFonts w:eastAsia="Calibri" w:cs="Times New Roman"/>
          <w:lang w:val="en-GB" w:eastAsia="en-US"/>
        </w:rPr>
      </w:pPr>
      <w:r w:rsidRPr="000007D2">
        <w:rPr>
          <w:noProof/>
          <w:lang w:val="en-US" w:eastAsia="en-US"/>
        </w:rPr>
        <mc:AlternateContent>
          <mc:Choice Requires="wps">
            <w:drawing>
              <wp:anchor distT="0" distB="0" distL="114300" distR="114300" simplePos="0" relativeHeight="251777024" behindDoc="0" locked="0" layoutInCell="1" allowOverlap="1" wp14:anchorId="1647E388" wp14:editId="5EF09BEA">
                <wp:simplePos x="0" y="0"/>
                <wp:positionH relativeFrom="column">
                  <wp:posOffset>470535</wp:posOffset>
                </wp:positionH>
                <wp:positionV relativeFrom="paragraph">
                  <wp:posOffset>108585</wp:posOffset>
                </wp:positionV>
                <wp:extent cx="3314700" cy="2647950"/>
                <wp:effectExtent l="0" t="0" r="0" b="0"/>
                <wp:wrapNone/>
                <wp:docPr id="256109503" name="Text Box 256109503"/>
                <wp:cNvGraphicFramePr/>
                <a:graphic xmlns:a="http://schemas.openxmlformats.org/drawingml/2006/main">
                  <a:graphicData uri="http://schemas.microsoft.com/office/word/2010/wordprocessingShape">
                    <wps:wsp>
                      <wps:cNvSpPr txBox="1"/>
                      <wps:spPr>
                        <a:xfrm>
                          <a:off x="0" y="0"/>
                          <a:ext cx="3314700" cy="26479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ACFE6" id="Text Box 256109503" o:spid="_x0000_s1026" type="#_x0000_t202" style="position:absolute;margin-left:37.05pt;margin-top:8.55pt;width:261pt;height:20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" fillcolor="#a6a6a6" stroked="f">
                <v:fill opacity="32896f"/>
              </v:shape>
            </w:pict>
          </mc:Fallback>
        </mc:AlternateContent>
      </w:r>
      <w:r w:rsidRPr="000007D2">
        <w:rPr>
          <w:rFonts w:eastAsia="Calibri" w:cs="Times New Roman"/>
          <w:noProof/>
          <w:lang w:val="en-US" w:eastAsia="en-US"/>
        </w:rPr>
        <w:drawing>
          <wp:inline distT="0" distB="0" distL="0" distR="0" wp14:anchorId="4F9A5319" wp14:editId="6E72BFEB">
            <wp:extent cx="6046293" cy="3482753"/>
            <wp:effectExtent l="0" t="0" r="0" b="3810"/>
            <wp:docPr id="256109465" name="Picture 25610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55667" cy="3488153"/>
                    </a:xfrm>
                    <a:prstGeom prst="rect">
                      <a:avLst/>
                    </a:prstGeom>
                    <a:noFill/>
                  </pic:spPr>
                </pic:pic>
              </a:graphicData>
            </a:graphic>
          </wp:inline>
        </w:drawing>
      </w:r>
    </w:p>
    <w:p w14:paraId="4F091650" w14:textId="27DAFB72" w:rsidR="00DB72D3" w:rsidRPr="00A33AE8" w:rsidRDefault="00DB72D3" w:rsidP="00DB72D3">
      <w:pPr>
        <w:pStyle w:val="LDKbody"/>
        <w:rPr>
          <w:rFonts w:asciiTheme="majorHAnsi" w:hAnsiTheme="majorHAnsi" w:cstheme="majorHAnsi"/>
          <w:lang w:val="en-GB"/>
        </w:rPr>
      </w:pPr>
      <w:r w:rsidRPr="00A33AE8">
        <w:rPr>
          <w:rFonts w:asciiTheme="majorHAnsi" w:hAnsiTheme="majorHAnsi" w:cstheme="majorHAnsi"/>
          <w:lang w:val="en-GB"/>
        </w:rPr>
        <w:t>The final energy consumption of the transport sector in 2030 stands at 2,748 ktoe in WEM scenario, which is 9% higher compared to scenarios S and S-N (2,512 ktoe) due to the promotion of electromobility and the further penetration of hybrid diesel and gasoline vehicles in scenarios S and S-N. The final energy consumption is reduced by approximately 40% in 2050 for the case of scenarios S and S-N (about 2.2 Mtoe) compared to WEM scenario ( 3.7 Mtoe) due to the further deployment of electromobility and the promotion of hydrogen (</w:t>
      </w:r>
      <w:r w:rsidRPr="00A33AE8">
        <w:rPr>
          <w:rFonts w:asciiTheme="majorHAnsi" w:hAnsiTheme="majorHAnsi" w:cstheme="majorHAnsi"/>
          <w:lang w:val="en-GB"/>
        </w:rPr>
        <w:fldChar w:fldCharType="begin"/>
      </w:r>
      <w:r w:rsidRPr="00A33AE8">
        <w:rPr>
          <w:rFonts w:asciiTheme="majorHAnsi" w:hAnsiTheme="majorHAnsi" w:cstheme="majorHAnsi"/>
          <w:lang w:val="en-GB"/>
        </w:rPr>
        <w:instrText xml:space="preserve"> REF _Ref113536926 \h  \* MERGEFORMAT </w:instrText>
      </w:r>
      <w:r w:rsidRPr="00A33AE8">
        <w:rPr>
          <w:rFonts w:asciiTheme="majorHAnsi" w:hAnsiTheme="majorHAnsi" w:cstheme="majorHAnsi"/>
          <w:lang w:val="en-GB"/>
        </w:rPr>
      </w:r>
      <w:r w:rsidRPr="00A33AE8">
        <w:rPr>
          <w:rFonts w:asciiTheme="majorHAnsi" w:hAnsiTheme="majorHAnsi" w:cstheme="majorHAnsi"/>
          <w:lang w:val="en-GB"/>
        </w:rPr>
        <w:fldChar w:fldCharType="end"/>
      </w:r>
      <w:r w:rsidRPr="00A33AE8">
        <w:rPr>
          <w:rFonts w:asciiTheme="majorHAnsi" w:hAnsiTheme="majorHAnsi" w:cstheme="majorHAnsi"/>
          <w:lang w:val="en-GB"/>
        </w:rPr>
        <w:t>22). Oil products is the most prevailing fuel in scenarios S and S-N for both 2030 and 2050.</w:t>
      </w:r>
    </w:p>
    <w:p w14:paraId="2AA9E337" w14:textId="7A978658" w:rsidR="00185B2B" w:rsidRPr="00A33AE8" w:rsidRDefault="00D3105E" w:rsidP="00823286">
      <w:pPr>
        <w:pStyle w:val="Caption"/>
        <w:keepNext/>
        <w:rPr>
          <w:b w:val="0"/>
          <w:bCs w:val="0"/>
          <w:iCs/>
          <w:lang w:eastAsia="el-GR"/>
        </w:rPr>
      </w:pPr>
      <w:bookmarkStart w:id="445" w:name="_Toc154575296"/>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23</w:t>
      </w:r>
      <w:r w:rsidR="006E0533">
        <w:rPr>
          <w:noProof/>
        </w:rPr>
        <w:fldChar w:fldCharType="end"/>
      </w:r>
      <w:r w:rsidR="00185B2B" w:rsidRPr="00A33AE8">
        <w:rPr>
          <w:iCs/>
          <w:lang w:eastAsia="el-GR"/>
        </w:rPr>
        <w:t>: FEC Transport by Fuel</w:t>
      </w:r>
      <w:bookmarkEnd w:id="445"/>
    </w:p>
    <w:p w14:paraId="527E7AE3" w14:textId="77777777" w:rsidR="00DB72D3" w:rsidRPr="00A33AE8" w:rsidRDefault="00DB72D3" w:rsidP="00DB72D3">
      <w:pPr>
        <w:jc w:val="center"/>
        <w:rPr>
          <w:b/>
          <w:bCs/>
          <w:iCs/>
        </w:rPr>
      </w:pPr>
      <w:r w:rsidRPr="000007D2">
        <w:rPr>
          <w:noProof/>
          <w:lang w:val="en-US"/>
        </w:rPr>
        <mc:AlternateContent>
          <mc:Choice Requires="wps">
            <w:drawing>
              <wp:anchor distT="0" distB="0" distL="114300" distR="114300" simplePos="0" relativeHeight="251779072" behindDoc="0" locked="0" layoutInCell="1" allowOverlap="1" wp14:anchorId="478992E5" wp14:editId="03D53509">
                <wp:simplePos x="0" y="0"/>
                <wp:positionH relativeFrom="column">
                  <wp:posOffset>499110</wp:posOffset>
                </wp:positionH>
                <wp:positionV relativeFrom="paragraph">
                  <wp:posOffset>80011</wp:posOffset>
                </wp:positionV>
                <wp:extent cx="3286125" cy="266700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3286125" cy="26670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70D2E" id="Text Box 67" o:spid="_x0000_s1026" type="#_x0000_t202" style="position:absolute;margin-left:39.3pt;margin-top:6.3pt;width:258.75pt;height:21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" fillcolor="#a6a6a6" stroked="f">
                <v:fill opacity="32896f"/>
              </v:shape>
            </w:pict>
          </mc:Fallback>
        </mc:AlternateContent>
      </w:r>
      <w:r w:rsidRPr="000007D2">
        <w:rPr>
          <w:b/>
          <w:bCs/>
          <w:iCs/>
          <w:noProof/>
          <w:lang w:val="en-US"/>
        </w:rPr>
        <w:drawing>
          <wp:inline distT="0" distB="0" distL="0" distR="0" wp14:anchorId="25604594" wp14:editId="795A1827">
            <wp:extent cx="5999480" cy="3449852"/>
            <wp:effectExtent l="0" t="0" r="1270" b="0"/>
            <wp:docPr id="256109466" name="Picture 25610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13729" cy="3458045"/>
                    </a:xfrm>
                    <a:prstGeom prst="rect">
                      <a:avLst/>
                    </a:prstGeom>
                    <a:noFill/>
                  </pic:spPr>
                </pic:pic>
              </a:graphicData>
            </a:graphic>
          </wp:inline>
        </w:drawing>
      </w:r>
    </w:p>
    <w:p w14:paraId="593D425C" w14:textId="77777777" w:rsidR="00185B2B" w:rsidRPr="00A33AE8" w:rsidRDefault="00DB72D3" w:rsidP="00185B2B">
      <w:pPr>
        <w:jc w:val="both"/>
        <w:rPr>
          <w:rFonts w:asciiTheme="majorHAnsi" w:hAnsiTheme="majorHAnsi" w:cstheme="majorHAnsi"/>
        </w:rPr>
      </w:pPr>
      <w:r w:rsidRPr="00A33AE8">
        <w:rPr>
          <w:rFonts w:asciiTheme="majorHAnsi" w:hAnsiTheme="majorHAnsi" w:cstheme="majorHAnsi"/>
        </w:rPr>
        <w:t>In agriculture sector, the final energy consumption amounts to 159 ktoe in WEM scenario and 150 ktoe in scenarios S and S-N in 2030 due to the promotion of energy efficient machinery and the installation of energy efficiency equipment in greenhouses and pumping stations. The final energy consumption is increased slightly in 2050, as it will reach 169 ktoe in WEM scenario and 159 ktoe in scenarios S and S-N</w:t>
      </w:r>
      <w:r w:rsidR="005E6E7B">
        <w:rPr>
          <w:rFonts w:asciiTheme="majorHAnsi" w:hAnsiTheme="majorHAnsi" w:cstheme="majorHAnsi"/>
        </w:rPr>
        <w:t xml:space="preserve">. </w:t>
      </w:r>
      <w:r w:rsidR="00185B2B" w:rsidRPr="00A33AE8">
        <w:rPr>
          <w:rFonts w:asciiTheme="majorHAnsi" w:hAnsiTheme="majorHAnsi" w:cstheme="majorHAnsi"/>
        </w:rPr>
        <w:t>Oil products and electricity consist the fuels with the highest contribution in both 2030 and 2050 in scenarios S and S-N retaining identical shares.</w:t>
      </w:r>
    </w:p>
    <w:p w14:paraId="1E27B2D8" w14:textId="1AE48583" w:rsidR="00185B2B" w:rsidRPr="00A33AE8" w:rsidRDefault="00D3105E" w:rsidP="00823286">
      <w:pPr>
        <w:pStyle w:val="Caption"/>
        <w:keepNext/>
        <w:rPr>
          <w:b w:val="0"/>
          <w:bCs w:val="0"/>
          <w:iCs/>
          <w:lang w:eastAsia="el-GR"/>
        </w:rPr>
      </w:pPr>
      <w:bookmarkStart w:id="446" w:name="_Toc154575297"/>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24</w:t>
      </w:r>
      <w:r w:rsidR="006E0533">
        <w:rPr>
          <w:noProof/>
        </w:rPr>
        <w:fldChar w:fldCharType="end"/>
      </w:r>
      <w:r w:rsidR="00185B2B" w:rsidRPr="00A33AE8">
        <w:rPr>
          <w:iCs/>
          <w:lang w:eastAsia="el-GR"/>
        </w:rPr>
        <w:t>: FEC Agriculture by Fuel</w:t>
      </w:r>
      <w:bookmarkEnd w:id="446"/>
    </w:p>
    <w:p w14:paraId="7404BFC3"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781120" behindDoc="0" locked="0" layoutInCell="1" allowOverlap="1" wp14:anchorId="41D0BECE" wp14:editId="0034B23E">
                <wp:simplePos x="0" y="0"/>
                <wp:positionH relativeFrom="column">
                  <wp:posOffset>527685</wp:posOffset>
                </wp:positionH>
                <wp:positionV relativeFrom="paragraph">
                  <wp:posOffset>85725</wp:posOffset>
                </wp:positionV>
                <wp:extent cx="3209925" cy="255270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3209925" cy="25527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FACB8" id="Text Box 68" o:spid="_x0000_s1026" type="#_x0000_t202" style="position:absolute;margin-left:41.55pt;margin-top:6.75pt;width:252.75pt;height:20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" fillcolor="#a6a6a6" stroked="f">
                <v:fill opacity="32896f"/>
              </v:shape>
            </w:pict>
          </mc:Fallback>
        </mc:AlternateContent>
      </w:r>
      <w:r w:rsidRPr="000007D2">
        <w:rPr>
          <w:b/>
          <w:bCs/>
          <w:noProof/>
          <w:lang w:val="en-US"/>
        </w:rPr>
        <w:drawing>
          <wp:inline distT="0" distB="0" distL="0" distR="0" wp14:anchorId="00A699FE" wp14:editId="126E51DC">
            <wp:extent cx="5770591" cy="3323944"/>
            <wp:effectExtent l="0" t="0" r="1905" b="0"/>
            <wp:docPr id="256109467" name="Picture 25610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85372" cy="3332458"/>
                    </a:xfrm>
                    <a:prstGeom prst="rect">
                      <a:avLst/>
                    </a:prstGeom>
                    <a:noFill/>
                  </pic:spPr>
                </pic:pic>
              </a:graphicData>
            </a:graphic>
          </wp:inline>
        </w:drawing>
      </w:r>
    </w:p>
    <w:p w14:paraId="753D9DFD" w14:textId="77777777" w:rsidR="00DB72D3" w:rsidRPr="00A33AE8" w:rsidRDefault="00DB72D3" w:rsidP="00DB72D3">
      <w:pPr>
        <w:jc w:val="both"/>
        <w:rPr>
          <w:rFonts w:asciiTheme="majorHAnsi" w:hAnsiTheme="majorHAnsi" w:cstheme="majorHAnsi"/>
        </w:rPr>
      </w:pPr>
      <w:r w:rsidRPr="00A33AE8">
        <w:rPr>
          <w:rFonts w:asciiTheme="majorHAnsi" w:hAnsiTheme="majorHAnsi" w:cstheme="majorHAnsi"/>
        </w:rPr>
        <w:t xml:space="preserve">In WEM scenario, the final energy intensity is equal to 0.17 toe/000 Euro in 2030, almost similar to 0.16 toe/000 Euro, which corresponds to scenarios S and S-N over the same year. Similarly, the final energy intensity </w:t>
      </w:r>
      <w:r w:rsidRPr="00A33AE8">
        <w:rPr>
          <w:rFonts w:asciiTheme="majorHAnsi" w:hAnsiTheme="majorHAnsi" w:cstheme="majorHAnsi"/>
        </w:rPr>
        <w:lastRenderedPageBreak/>
        <w:t>is equal to 0.12 toe/000 Euro in 2050 in WEM scenario, compared to about 0.09 toe/000 Euro in scenarios S and S-N.</w:t>
      </w:r>
    </w:p>
    <w:p w14:paraId="57E2E061" w14:textId="4363454C" w:rsidR="00DB72D3" w:rsidRPr="00A33AE8" w:rsidRDefault="00D3105E" w:rsidP="00DB72D3">
      <w:pPr>
        <w:pStyle w:val="Caption"/>
        <w:keepNext/>
        <w:rPr>
          <w:b w:val="0"/>
          <w:bCs w:val="0"/>
          <w:iCs/>
          <w:lang w:eastAsia="el-GR"/>
        </w:rPr>
      </w:pPr>
      <w:bookmarkStart w:id="447" w:name="_Toc154575298"/>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25</w:t>
      </w:r>
      <w:r w:rsidR="006E0533">
        <w:rPr>
          <w:noProof/>
        </w:rPr>
        <w:fldChar w:fldCharType="end"/>
      </w:r>
      <w:r w:rsidR="00185B2B" w:rsidRPr="00A33AE8">
        <w:rPr>
          <w:iCs/>
          <w:lang w:eastAsia="el-GR"/>
        </w:rPr>
        <w:t>: Final energy intensity</w:t>
      </w:r>
      <w:r w:rsidR="00DB72D3" w:rsidRPr="00A33AE8">
        <w:rPr>
          <w:rStyle w:val="FootnoteReference"/>
          <w:iCs/>
          <w:lang w:eastAsia="el-GR"/>
        </w:rPr>
        <w:footnoteReference w:id="134"/>
      </w:r>
      <w:bookmarkEnd w:id="447"/>
    </w:p>
    <w:p w14:paraId="35C6D19D"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783168" behindDoc="0" locked="0" layoutInCell="1" allowOverlap="1" wp14:anchorId="3DE1C3F1" wp14:editId="1926CA55">
                <wp:simplePos x="0" y="0"/>
                <wp:positionH relativeFrom="column">
                  <wp:posOffset>680085</wp:posOffset>
                </wp:positionH>
                <wp:positionV relativeFrom="paragraph">
                  <wp:posOffset>485775</wp:posOffset>
                </wp:positionV>
                <wp:extent cx="3171825" cy="3390900"/>
                <wp:effectExtent l="0" t="0" r="9525" b="0"/>
                <wp:wrapNone/>
                <wp:docPr id="733531026" name="Text Box 733531026"/>
                <wp:cNvGraphicFramePr/>
                <a:graphic xmlns:a="http://schemas.openxmlformats.org/drawingml/2006/main">
                  <a:graphicData uri="http://schemas.microsoft.com/office/word/2010/wordprocessingShape">
                    <wps:wsp>
                      <wps:cNvSpPr txBox="1"/>
                      <wps:spPr>
                        <a:xfrm>
                          <a:off x="0" y="0"/>
                          <a:ext cx="3171825" cy="339090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81D9A" id="Text Box 733531026" o:spid="_x0000_s1026" type="#_x0000_t202" style="position:absolute;margin-left:53.55pt;margin-top:38.25pt;width:249.75pt;height:2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" fillcolor="#a6a6a6" stroked="f">
                <v:fill opacity="32896f"/>
              </v:shape>
            </w:pict>
          </mc:Fallback>
        </mc:AlternateContent>
      </w:r>
      <w:r w:rsidRPr="000007D2">
        <w:rPr>
          <w:b/>
          <w:bCs/>
          <w:noProof/>
          <w:lang w:val="en-US"/>
        </w:rPr>
        <w:drawing>
          <wp:inline distT="0" distB="0" distL="0" distR="0" wp14:anchorId="002CEC82" wp14:editId="391571DC">
            <wp:extent cx="5931984" cy="4915712"/>
            <wp:effectExtent l="0" t="0" r="0" b="0"/>
            <wp:docPr id="256109468" name="Picture 25610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1920" cy="4923946"/>
                    </a:xfrm>
                    <a:prstGeom prst="rect">
                      <a:avLst/>
                    </a:prstGeom>
                    <a:noFill/>
                  </pic:spPr>
                </pic:pic>
              </a:graphicData>
            </a:graphic>
          </wp:inline>
        </w:drawing>
      </w:r>
    </w:p>
    <w:p w14:paraId="27644EDA" w14:textId="77777777" w:rsidR="00185B2B" w:rsidRPr="00A33AE8" w:rsidRDefault="00DB72D3" w:rsidP="00185B2B">
      <w:pPr>
        <w:jc w:val="both"/>
        <w:rPr>
          <w:rFonts w:asciiTheme="majorHAnsi" w:hAnsiTheme="majorHAnsi" w:cstheme="majorHAnsi"/>
          <w:b/>
          <w:bCs/>
        </w:rPr>
      </w:pPr>
      <w:r w:rsidRPr="00A33AE8">
        <w:rPr>
          <w:rFonts w:asciiTheme="majorHAnsi" w:hAnsiTheme="majorHAnsi" w:cstheme="majorHAnsi"/>
        </w:rPr>
        <w:t>In WEM scenario, gross inland consumption is equal to 18.5 Mtoe in 2030, higher than 15.5 Mtoe, which corresponds to scenarios S and S-N over the same year</w:t>
      </w:r>
      <w:r w:rsidR="003A2835" w:rsidRPr="000007D2">
        <w:rPr>
          <w:rFonts w:asciiTheme="majorHAnsi" w:hAnsiTheme="majorHAnsi" w:cstheme="majorHAnsi"/>
        </w:rPr>
        <w:t xml:space="preserve">. </w:t>
      </w:r>
      <w:r w:rsidRPr="00A33AE8">
        <w:rPr>
          <w:rFonts w:asciiTheme="majorHAnsi" w:hAnsiTheme="majorHAnsi" w:cstheme="majorHAnsi"/>
        </w:rPr>
        <w:t>Similarly, gross inland consumption is equal to 20.6 Mtoe in 2050 in WEM scenario, compared to 12.7 Mtoe in scenario S and 11.8 Mtoe in scenario S-N.</w:t>
      </w:r>
      <w:r w:rsidR="00185B2B" w:rsidRPr="00A33AE8">
        <w:rPr>
          <w:rFonts w:asciiTheme="majorHAnsi" w:hAnsiTheme="majorHAnsi" w:cstheme="majorHAnsi"/>
        </w:rPr>
        <w:t xml:space="preserve"> Solid fuels as well as renewables and wastes comprise the fuels with the highest contribution in both 2030 and 2050.</w:t>
      </w:r>
    </w:p>
    <w:p w14:paraId="4E31BA5D" w14:textId="55567F6C" w:rsidR="00185B2B" w:rsidRPr="00A33AE8" w:rsidRDefault="00D3105E" w:rsidP="00823286">
      <w:pPr>
        <w:pStyle w:val="Caption"/>
        <w:keepNext/>
        <w:rPr>
          <w:b w:val="0"/>
          <w:bCs w:val="0"/>
          <w:iCs/>
          <w:lang w:eastAsia="el-GR"/>
        </w:rPr>
      </w:pPr>
      <w:bookmarkStart w:id="448" w:name="_Toc154575299"/>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26</w:t>
      </w:r>
      <w:r w:rsidR="006E0533">
        <w:rPr>
          <w:noProof/>
        </w:rPr>
        <w:fldChar w:fldCharType="end"/>
      </w:r>
      <w:r w:rsidR="00185B2B" w:rsidRPr="00A33AE8">
        <w:rPr>
          <w:iCs/>
          <w:lang w:eastAsia="el-GR"/>
        </w:rPr>
        <w:t>: Gross inland consumption by fuel</w:t>
      </w:r>
      <w:bookmarkEnd w:id="448"/>
    </w:p>
    <w:p w14:paraId="64C77253"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785216" behindDoc="0" locked="0" layoutInCell="1" allowOverlap="1" wp14:anchorId="2CEA9FF8" wp14:editId="4007C908">
                <wp:simplePos x="0" y="0"/>
                <wp:positionH relativeFrom="column">
                  <wp:posOffset>422910</wp:posOffset>
                </wp:positionH>
                <wp:positionV relativeFrom="paragraph">
                  <wp:posOffset>222885</wp:posOffset>
                </wp:positionV>
                <wp:extent cx="3362325" cy="3438525"/>
                <wp:effectExtent l="0" t="0" r="9525" b="9525"/>
                <wp:wrapNone/>
                <wp:docPr id="70" name="Text Box 70"/>
                <wp:cNvGraphicFramePr/>
                <a:graphic xmlns:a="http://schemas.openxmlformats.org/drawingml/2006/main">
                  <a:graphicData uri="http://schemas.microsoft.com/office/word/2010/wordprocessingShape">
                    <wps:wsp>
                      <wps:cNvSpPr txBox="1"/>
                      <wps:spPr>
                        <a:xfrm>
                          <a:off x="0" y="0"/>
                          <a:ext cx="3362325" cy="343852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6F18E" id="Text Box 70" o:spid="_x0000_s1026" type="#_x0000_t202" style="position:absolute;margin-left:33.3pt;margin-top:17.55pt;width:264.75pt;height:270.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" fillcolor="#a6a6a6" stroked="f">
                <v:fill opacity="32896f"/>
              </v:shape>
            </w:pict>
          </mc:Fallback>
        </mc:AlternateContent>
      </w:r>
      <w:r w:rsidRPr="000007D2">
        <w:rPr>
          <w:b/>
          <w:bCs/>
          <w:noProof/>
          <w:lang w:val="en-US"/>
        </w:rPr>
        <w:drawing>
          <wp:inline distT="0" distB="0" distL="0" distR="0" wp14:anchorId="05B80CE1" wp14:editId="00D2C678">
            <wp:extent cx="6113721" cy="3893037"/>
            <wp:effectExtent l="0" t="0" r="1905" b="0"/>
            <wp:docPr id="256109469" name="Picture 25610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31405" cy="3904297"/>
                    </a:xfrm>
                    <a:prstGeom prst="rect">
                      <a:avLst/>
                    </a:prstGeom>
                    <a:noFill/>
                  </pic:spPr>
                </pic:pic>
              </a:graphicData>
            </a:graphic>
          </wp:inline>
        </w:drawing>
      </w:r>
    </w:p>
    <w:p w14:paraId="5279D39C" w14:textId="64284958" w:rsidR="00DB72D3" w:rsidRPr="000007D2" w:rsidRDefault="00185B2B" w:rsidP="00DB72D3">
      <w:pPr>
        <w:pStyle w:val="LDKbody"/>
        <w:rPr>
          <w:rFonts w:ascii="Calibri Light" w:eastAsia="Calibri" w:hAnsi="Calibri Light" w:cs="Calibri Light"/>
          <w:lang w:val="en-GB"/>
        </w:rPr>
      </w:pPr>
      <w:r w:rsidRPr="00A33AE8">
        <w:rPr>
          <w:rFonts w:ascii="Calibri Light" w:eastAsia="Calibri" w:hAnsi="Calibri Light" w:cs="Calibri Light"/>
          <w:lang w:val="en-GB"/>
        </w:rPr>
        <w:t>For the case of residential buildings, the renovation rate</w:t>
      </w:r>
      <w:r w:rsidR="008753FA" w:rsidRPr="00A33AE8">
        <w:rPr>
          <w:rFonts w:ascii="Calibri Light" w:eastAsia="Calibri" w:hAnsi="Calibri Light" w:cs="Calibri Light"/>
          <w:lang w:val="en-GB"/>
        </w:rPr>
        <w:t xml:space="preserve"> of the building envelope</w:t>
      </w:r>
      <w:r w:rsidRPr="00A33AE8">
        <w:rPr>
          <w:rFonts w:ascii="Calibri Light" w:eastAsia="Calibri" w:hAnsi="Calibri Light" w:cs="Calibri Light"/>
          <w:lang w:val="en-GB"/>
        </w:rPr>
        <w:t xml:space="preserve"> is similar and almost stable in all examined scenarios over 2025-2030</w:t>
      </w:r>
      <w:r w:rsidR="005E6E7B">
        <w:rPr>
          <w:rFonts w:ascii="Calibri Light" w:eastAsia="Calibri" w:hAnsi="Calibri Light" w:cs="Calibri Light"/>
          <w:lang w:val="en-GB"/>
        </w:rPr>
        <w:t>.</w:t>
      </w:r>
      <w:r w:rsidRPr="00A33AE8">
        <w:rPr>
          <w:rFonts w:ascii="Calibri Light" w:eastAsia="Calibri" w:hAnsi="Calibri Light" w:cs="Calibri Light"/>
          <w:lang w:val="en-GB"/>
        </w:rPr>
        <w:t xml:space="preserve"> </w:t>
      </w:r>
      <w:r w:rsidR="002C6408" w:rsidRPr="00A33AE8">
        <w:rPr>
          <w:rFonts w:ascii="Calibri Light" w:eastAsia="Calibri" w:hAnsi="Calibri Light" w:cs="Calibri Light"/>
          <w:lang w:val="en-GB"/>
        </w:rPr>
        <w:t>A doubling of the annual renovation rate is seen in scenarios S and S-N after 2030 towards 2050</w:t>
      </w:r>
      <w:r w:rsidR="005E6E7B">
        <w:rPr>
          <w:rFonts w:ascii="Calibri Light" w:eastAsia="Calibri" w:hAnsi="Calibri Light" w:cs="Calibri Light"/>
          <w:lang w:val="en-GB"/>
        </w:rPr>
        <w:t>.</w:t>
      </w:r>
      <w:r w:rsidR="005E6E7B">
        <w:rPr>
          <w:lang w:val="en-GB"/>
        </w:rPr>
        <w:t xml:space="preserve"> </w:t>
      </w:r>
      <w:r w:rsidR="00DB72D3" w:rsidRPr="000007D2">
        <w:rPr>
          <w:rFonts w:ascii="Calibri Light" w:eastAsia="Calibri" w:hAnsi="Calibri Light" w:cs="Calibri Light"/>
          <w:lang w:val="en-GB"/>
        </w:rPr>
        <w:t xml:space="preserve">It is </w:t>
      </w:r>
      <w:r w:rsidR="002C6408" w:rsidRPr="000007D2">
        <w:rPr>
          <w:rFonts w:ascii="Calibri Light" w:eastAsia="Calibri" w:hAnsi="Calibri Light" w:cs="Calibri Light"/>
          <w:lang w:val="en-GB"/>
        </w:rPr>
        <w:t xml:space="preserve">important to note that in the </w:t>
      </w:r>
      <w:r w:rsidR="00523659">
        <w:rPr>
          <w:rFonts w:ascii="Calibri Light" w:eastAsia="Calibri" w:hAnsi="Calibri Light" w:cs="Calibri Light"/>
          <w:lang w:val="en-GB"/>
        </w:rPr>
        <w:fldChar w:fldCharType="begin"/>
      </w:r>
      <w:r w:rsidR="00523659">
        <w:rPr>
          <w:rFonts w:ascii="Calibri Light" w:eastAsia="Calibri" w:hAnsi="Calibri Light" w:cs="Calibri Light"/>
          <w:lang w:val="en-GB"/>
        </w:rPr>
        <w:instrText xml:space="preserve"> REF _Ref153526968 \h  \* MERGEFORMAT </w:instrText>
      </w:r>
      <w:r w:rsidR="00523659">
        <w:rPr>
          <w:rFonts w:ascii="Calibri Light" w:eastAsia="Calibri" w:hAnsi="Calibri Light" w:cs="Calibri Light"/>
          <w:lang w:val="en-GB"/>
        </w:rPr>
      </w:r>
      <w:r w:rsidR="00523659">
        <w:rPr>
          <w:rFonts w:ascii="Calibri Light" w:eastAsia="Calibri" w:hAnsi="Calibri Light" w:cs="Calibri Light"/>
          <w:lang w:val="en-GB"/>
        </w:rPr>
        <w:fldChar w:fldCharType="separate"/>
      </w:r>
      <w:r w:rsidR="00523659" w:rsidRPr="0087794A">
        <w:rPr>
          <w:rFonts w:ascii="Calibri Light" w:eastAsia="Calibri" w:hAnsi="Calibri Light" w:cs="Calibri Light"/>
          <w:lang w:val="en-GB"/>
        </w:rPr>
        <w:t>Figure 5.27</w:t>
      </w:r>
      <w:r w:rsidR="00523659">
        <w:rPr>
          <w:rFonts w:ascii="Calibri Light" w:eastAsia="Calibri" w:hAnsi="Calibri Light" w:cs="Calibri Light"/>
          <w:lang w:val="en-GB"/>
        </w:rPr>
        <w:fldChar w:fldCharType="end"/>
      </w:r>
      <w:r w:rsidR="00523659">
        <w:rPr>
          <w:rFonts w:ascii="Calibri Light" w:eastAsia="Calibri" w:hAnsi="Calibri Light" w:cs="Calibri Light"/>
          <w:lang w:val="en-GB"/>
        </w:rPr>
        <w:t xml:space="preserve"> </w:t>
      </w:r>
      <w:r w:rsidR="00DB72D3" w:rsidRPr="000007D2">
        <w:rPr>
          <w:rFonts w:ascii="Calibri Light" w:eastAsia="Calibri" w:hAnsi="Calibri Light" w:cs="Calibri Light"/>
          <w:lang w:val="en-GB"/>
        </w:rPr>
        <w:t xml:space="preserve">until 2030 the renovation rates </w:t>
      </w:r>
      <w:r w:rsidR="002C6408" w:rsidRPr="000007D2">
        <w:rPr>
          <w:rFonts w:ascii="Calibri Light" w:eastAsia="Calibri" w:hAnsi="Calibri Light" w:cs="Calibri Light"/>
          <w:lang w:val="en-GB"/>
        </w:rPr>
        <w:t xml:space="preserve">presented </w:t>
      </w:r>
      <w:r w:rsidR="00DB72D3" w:rsidRPr="000007D2">
        <w:rPr>
          <w:rFonts w:ascii="Calibri Light" w:eastAsia="Calibri" w:hAnsi="Calibri Light" w:cs="Calibri Light"/>
          <w:lang w:val="en-GB"/>
        </w:rPr>
        <w:t xml:space="preserve">are annual, while after 2030 the renovation rates </w:t>
      </w:r>
      <w:r w:rsidR="002C6408" w:rsidRPr="000007D2">
        <w:rPr>
          <w:rFonts w:ascii="Calibri Light" w:eastAsia="Calibri" w:hAnsi="Calibri Light" w:cs="Calibri Light"/>
          <w:lang w:val="en-GB"/>
        </w:rPr>
        <w:t xml:space="preserve">presented </w:t>
      </w:r>
      <w:r w:rsidR="00DB72D3" w:rsidRPr="000007D2">
        <w:rPr>
          <w:rFonts w:ascii="Calibri Light" w:eastAsia="Calibri" w:hAnsi="Calibri Light" w:cs="Calibri Light"/>
          <w:lang w:val="en-GB"/>
        </w:rPr>
        <w:t>correspond to 5-year periods.</w:t>
      </w:r>
    </w:p>
    <w:p w14:paraId="26B7F25F" w14:textId="17E510C1" w:rsidR="00185B2B" w:rsidRPr="00A33AE8" w:rsidRDefault="00D3105E" w:rsidP="00185B2B">
      <w:pPr>
        <w:pStyle w:val="Caption"/>
        <w:keepNext/>
      </w:pPr>
      <w:bookmarkStart w:id="449" w:name="_Ref153526968"/>
      <w:bookmarkStart w:id="450" w:name="_Toc154575300"/>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27</w:t>
      </w:r>
      <w:r w:rsidR="006E0533">
        <w:rPr>
          <w:noProof/>
        </w:rPr>
        <w:fldChar w:fldCharType="end"/>
      </w:r>
      <w:bookmarkEnd w:id="449"/>
      <w:r w:rsidR="00185B2B" w:rsidRPr="00A33AE8">
        <w:t>:</w:t>
      </w:r>
      <w:r w:rsidR="00185B2B" w:rsidRPr="00A33AE8">
        <w:rPr>
          <w:lang w:eastAsia="el-GR"/>
        </w:rPr>
        <w:t xml:space="preserve"> R</w:t>
      </w:r>
      <w:r w:rsidR="00185B2B" w:rsidRPr="00A33AE8">
        <w:rPr>
          <w:iCs/>
          <w:lang w:eastAsia="el-GR"/>
        </w:rPr>
        <w:t>efurbishment in residential buildings</w:t>
      </w:r>
      <w:bookmarkEnd w:id="450"/>
    </w:p>
    <w:p w14:paraId="79D9F329" w14:textId="77777777" w:rsidR="00D37CB9" w:rsidRPr="00A33AE8" w:rsidRDefault="00DB72D3" w:rsidP="007A0028">
      <w:pPr>
        <w:spacing w:after="200" w:line="240" w:lineRule="auto"/>
        <w:jc w:val="center"/>
        <w:rPr>
          <w:rFonts w:ascii="Calibri Light" w:hAnsi="Calibri Light"/>
          <w:b/>
          <w:color w:val="01406B"/>
        </w:rPr>
      </w:pPr>
      <w:r w:rsidRPr="000007D2">
        <w:rPr>
          <w:noProof/>
          <w:lang w:val="en-US"/>
        </w:rPr>
        <mc:AlternateContent>
          <mc:Choice Requires="wps">
            <w:drawing>
              <wp:anchor distT="0" distB="0" distL="114300" distR="114300" simplePos="0" relativeHeight="251788288" behindDoc="0" locked="0" layoutInCell="1" allowOverlap="1" wp14:anchorId="2DAF07EE" wp14:editId="2ED00603">
                <wp:simplePos x="0" y="0"/>
                <wp:positionH relativeFrom="column">
                  <wp:posOffset>260985</wp:posOffset>
                </wp:positionH>
                <wp:positionV relativeFrom="paragraph">
                  <wp:posOffset>99061</wp:posOffset>
                </wp:positionV>
                <wp:extent cx="3495675" cy="3562350"/>
                <wp:effectExtent l="0" t="0" r="9525" b="0"/>
                <wp:wrapNone/>
                <wp:docPr id="1673167797" name="Text Box 1673167797"/>
                <wp:cNvGraphicFramePr/>
                <a:graphic xmlns:a="http://schemas.openxmlformats.org/drawingml/2006/main">
                  <a:graphicData uri="http://schemas.microsoft.com/office/word/2010/wordprocessingShape">
                    <wps:wsp>
                      <wps:cNvSpPr txBox="1"/>
                      <wps:spPr>
                        <a:xfrm>
                          <a:off x="0" y="0"/>
                          <a:ext cx="3495675" cy="35623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43863" id="Text Box 1673167797" o:spid="_x0000_s1026" type="#_x0000_t202" style="position:absolute;margin-left:20.55pt;margin-top:7.8pt;width:275.25pt;height:28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" fillcolor="#a6a6a6" stroked="f">
                <v:fill opacity="32896f"/>
              </v:shape>
            </w:pict>
          </mc:Fallback>
        </mc:AlternateContent>
      </w:r>
      <w:r w:rsidRPr="000007D2">
        <w:rPr>
          <w:noProof/>
          <w:lang w:val="en-US"/>
        </w:rPr>
        <mc:AlternateContent>
          <mc:Choice Requires="wps">
            <w:drawing>
              <wp:anchor distT="45720" distB="45720" distL="114300" distR="114300" simplePos="0" relativeHeight="251787264" behindDoc="0" locked="0" layoutInCell="1" allowOverlap="1" wp14:anchorId="7D835EAD" wp14:editId="33D41EE4">
                <wp:simplePos x="0" y="0"/>
                <wp:positionH relativeFrom="column">
                  <wp:posOffset>943610</wp:posOffset>
                </wp:positionH>
                <wp:positionV relativeFrom="paragraph">
                  <wp:posOffset>190500</wp:posOffset>
                </wp:positionV>
                <wp:extent cx="2360930" cy="1404620"/>
                <wp:effectExtent l="0" t="0" r="28575" b="19685"/>
                <wp:wrapNone/>
                <wp:docPr id="691822673" name="Text Box 69182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0E3207" w14:textId="77777777" w:rsidR="00750F3D" w:rsidRPr="000007D2" w:rsidRDefault="00750F3D" w:rsidP="00DB72D3">
                            <w:pPr>
                              <w:pStyle w:val="LDKbody"/>
                              <w:rPr>
                                <w:rFonts w:asciiTheme="majorHAnsi" w:hAnsiTheme="majorHAnsi" w:cstheme="majorHAnsi"/>
                                <w:lang w:val="en-GB"/>
                              </w:rPr>
                            </w:pPr>
                            <w:r w:rsidRPr="000007D2">
                              <w:rPr>
                                <w:rFonts w:asciiTheme="majorHAnsi" w:hAnsiTheme="majorHAnsi" w:cstheme="majorHAnsi"/>
                                <w:lang w:val="en-GB"/>
                              </w:rPr>
                              <w:t>the renovation rates until 2030 are annual, while after 2030 they correspond to 5-year periods.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835EAD" id="_x0000_t202" coordsize="21600,21600" o:spt="202" path="m,l,21600r21600,l21600,xe">
                <v:stroke joinstyle="miter"/>
                <v:path gradientshapeok="t" o:connecttype="rect"/>
              </v:shapetype>
              <v:shape id="Text Box 691822673" o:spid="_x0000_s1026" type="#_x0000_t202" style="position:absolute;left:0;text-align:left;margin-left:74.3pt;margin-top:15pt;width:185.9pt;height:110.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">
                <v:textbox style="mso-fit-shape-to-text:t">
                  <w:txbxContent>
                    <w:p w14:paraId="590E3207" w14:textId="77777777" w:rsidR="00750F3D" w:rsidRPr="000007D2" w:rsidRDefault="00750F3D" w:rsidP="00DB72D3">
                      <w:pPr>
                        <w:pStyle w:val="LDKbody"/>
                        <w:rPr>
                          <w:rFonts w:asciiTheme="majorHAnsi" w:hAnsiTheme="majorHAnsi" w:cstheme="majorHAnsi"/>
                          <w:lang w:val="en-GB"/>
                        </w:rPr>
                      </w:pPr>
                      <w:r w:rsidRPr="000007D2">
                        <w:rPr>
                          <w:rFonts w:asciiTheme="majorHAnsi" w:hAnsiTheme="majorHAnsi" w:cstheme="majorHAnsi"/>
                          <w:lang w:val="en-GB"/>
                        </w:rPr>
                        <w:t>the renovation rates until 2030 are annual, while after 2030 they correspond to 5-year periods.</w:t>
                      </w:r>
                    </w:p>
                  </w:txbxContent>
                </v:textbox>
              </v:shape>
            </w:pict>
          </mc:Fallback>
        </mc:AlternateContent>
      </w:r>
      <w:r w:rsidRPr="000007D2">
        <w:rPr>
          <w:rFonts w:ascii="Calibri Light" w:hAnsi="Calibri Light" w:cs="Times New Roman"/>
          <w:b/>
          <w:bCs/>
          <w:iCs/>
          <w:noProof/>
          <w:color w:val="01406B"/>
          <w:lang w:val="en-US"/>
        </w:rPr>
        <w:drawing>
          <wp:inline distT="0" distB="0" distL="0" distR="0" wp14:anchorId="6BB1D709" wp14:editId="209355AE">
            <wp:extent cx="6175286" cy="4153068"/>
            <wp:effectExtent l="0" t="0" r="0" b="0"/>
            <wp:docPr id="256109471" name="Picture 25610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185682" cy="4160060"/>
                    </a:xfrm>
                    <a:prstGeom prst="rect">
                      <a:avLst/>
                    </a:prstGeom>
                    <a:noFill/>
                  </pic:spPr>
                </pic:pic>
              </a:graphicData>
            </a:graphic>
          </wp:inline>
        </w:drawing>
      </w:r>
    </w:p>
    <w:p w14:paraId="39526521" w14:textId="49C08731" w:rsidR="00185B2B" w:rsidRPr="00A33AE8" w:rsidRDefault="00185B2B" w:rsidP="00185B2B">
      <w:pPr>
        <w:pStyle w:val="LDKbody"/>
        <w:rPr>
          <w:rFonts w:asciiTheme="majorHAnsi" w:hAnsiTheme="majorHAnsi" w:cstheme="majorHAnsi"/>
          <w:lang w:val="en-GB"/>
        </w:rPr>
      </w:pPr>
      <w:r w:rsidRPr="00A33AE8">
        <w:rPr>
          <w:rFonts w:asciiTheme="majorHAnsi" w:hAnsiTheme="majorHAnsi" w:cstheme="majorHAnsi"/>
          <w:lang w:val="en-GB"/>
        </w:rPr>
        <w:t>For the case of buildings in the tertiary sector, several variations in renovation rate for the different building types are observed. In WEM scenario, the renovation rate is stable at 0.5% for all building types over 2025-2030, while a renovation rate of 2.5% is expected between 2035 and 2050. In scenarios S and S-N, an intensification of the renovation rate is observed in the period 2035-2050</w:t>
      </w:r>
      <w:r w:rsidR="008753FA" w:rsidRPr="00A33AE8">
        <w:rPr>
          <w:rFonts w:asciiTheme="majorHAnsi" w:hAnsiTheme="majorHAnsi" w:cstheme="majorHAnsi"/>
          <w:lang w:val="en-GB"/>
        </w:rPr>
        <w:t>, consistent with the renovation rates foreseen in the Long Term Building Renovation Strategy, corresponding to 2.3% per year for private sector buildings and 3.3% for public sector buildings, indicating the exemplary role of the public sector in building renovation</w:t>
      </w:r>
      <w:r w:rsidR="002C6408" w:rsidRPr="00A33AE8">
        <w:rPr>
          <w:rFonts w:asciiTheme="majorHAnsi" w:hAnsiTheme="majorHAnsi" w:cstheme="majorHAnsi"/>
          <w:lang w:val="en-GB"/>
        </w:rPr>
        <w:t>.</w:t>
      </w:r>
      <w:r w:rsidR="00DB72D3" w:rsidRPr="00A33AE8">
        <w:rPr>
          <w:rFonts w:asciiTheme="minorHAnsi" w:eastAsiaTheme="minorHAnsi" w:hAnsiTheme="minorHAnsi" w:cstheme="minorBidi"/>
          <w:lang w:val="en-GB" w:eastAsia="en-US"/>
        </w:rPr>
        <w:t xml:space="preserve"> </w:t>
      </w:r>
      <w:r w:rsidR="00DB72D3" w:rsidRPr="00A33AE8">
        <w:rPr>
          <w:rFonts w:asciiTheme="majorHAnsi" w:hAnsiTheme="majorHAnsi" w:cstheme="majorHAnsi"/>
          <w:lang w:val="en-GB"/>
        </w:rPr>
        <w:t xml:space="preserve">As mentioned earlier, </w:t>
      </w:r>
      <w:r w:rsidR="00DB72D3" w:rsidRPr="000007D2">
        <w:rPr>
          <w:rFonts w:asciiTheme="majorHAnsi" w:hAnsiTheme="majorHAnsi" w:cstheme="majorHAnsi"/>
          <w:lang w:val="en-GB"/>
        </w:rPr>
        <w:t xml:space="preserve">the renovation rates </w:t>
      </w:r>
      <w:r w:rsidR="002C6408" w:rsidRPr="000007D2">
        <w:rPr>
          <w:rFonts w:asciiTheme="majorHAnsi" w:hAnsiTheme="majorHAnsi" w:cstheme="majorHAnsi"/>
          <w:lang w:val="en-GB"/>
        </w:rPr>
        <w:t xml:space="preserve">shown in the </w:t>
      </w:r>
      <w:r w:rsidR="00523659">
        <w:rPr>
          <w:rFonts w:asciiTheme="majorHAnsi" w:hAnsiTheme="majorHAnsi" w:cstheme="majorHAnsi"/>
          <w:lang w:val="en-GB"/>
        </w:rPr>
        <w:fldChar w:fldCharType="begin"/>
      </w:r>
      <w:r w:rsidR="00523659">
        <w:rPr>
          <w:rFonts w:asciiTheme="majorHAnsi" w:hAnsiTheme="majorHAnsi" w:cstheme="majorHAnsi"/>
          <w:lang w:val="en-GB"/>
        </w:rPr>
        <w:instrText xml:space="preserve"> REF _Ref153527074 \h  \* MERGEFORMAT </w:instrText>
      </w:r>
      <w:r w:rsidR="00523659">
        <w:rPr>
          <w:rFonts w:asciiTheme="majorHAnsi" w:hAnsiTheme="majorHAnsi" w:cstheme="majorHAnsi"/>
          <w:lang w:val="en-GB"/>
        </w:rPr>
      </w:r>
      <w:r w:rsidR="00523659">
        <w:rPr>
          <w:rFonts w:asciiTheme="majorHAnsi" w:hAnsiTheme="majorHAnsi" w:cstheme="majorHAnsi"/>
          <w:lang w:val="en-GB"/>
        </w:rPr>
        <w:fldChar w:fldCharType="separate"/>
      </w:r>
      <w:r w:rsidR="00523659" w:rsidRPr="0087794A">
        <w:rPr>
          <w:rFonts w:asciiTheme="majorHAnsi" w:hAnsiTheme="majorHAnsi" w:cstheme="majorHAnsi"/>
          <w:lang w:val="en-GB"/>
        </w:rPr>
        <w:t>Figure 5.28</w:t>
      </w:r>
      <w:r w:rsidR="00523659">
        <w:rPr>
          <w:rFonts w:asciiTheme="majorHAnsi" w:hAnsiTheme="majorHAnsi" w:cstheme="majorHAnsi"/>
          <w:lang w:val="en-GB"/>
        </w:rPr>
        <w:fldChar w:fldCharType="end"/>
      </w:r>
      <w:r w:rsidR="00523659">
        <w:rPr>
          <w:rFonts w:asciiTheme="majorHAnsi" w:hAnsiTheme="majorHAnsi" w:cstheme="majorHAnsi"/>
          <w:lang w:val="en-GB"/>
        </w:rPr>
        <w:t xml:space="preserve"> </w:t>
      </w:r>
      <w:r w:rsidR="002C6408" w:rsidRPr="000007D2">
        <w:rPr>
          <w:rFonts w:asciiTheme="majorHAnsi" w:hAnsiTheme="majorHAnsi" w:cstheme="majorHAnsi"/>
          <w:lang w:val="en-GB"/>
        </w:rPr>
        <w:t xml:space="preserve">until </w:t>
      </w:r>
      <w:r w:rsidRPr="000007D2">
        <w:rPr>
          <w:rFonts w:asciiTheme="majorHAnsi" w:hAnsiTheme="majorHAnsi" w:cstheme="majorHAnsi"/>
          <w:lang w:val="en-GB"/>
        </w:rPr>
        <w:t>2030 are annual, while after 2030 they correspond to 5-year periods.</w:t>
      </w:r>
    </w:p>
    <w:p w14:paraId="28FE78EF" w14:textId="3A79116C" w:rsidR="00185B2B" w:rsidRPr="000007D2" w:rsidRDefault="00D3105E" w:rsidP="00185B2B">
      <w:pPr>
        <w:pStyle w:val="Caption"/>
        <w:keepNext/>
      </w:pPr>
      <w:bookmarkStart w:id="451" w:name="_Ref153527074"/>
      <w:bookmarkStart w:id="452" w:name="_Toc154575301"/>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28</w:t>
      </w:r>
      <w:r w:rsidR="006E0533">
        <w:rPr>
          <w:noProof/>
        </w:rPr>
        <w:fldChar w:fldCharType="end"/>
      </w:r>
      <w:bookmarkEnd w:id="451"/>
      <w:r w:rsidR="00185B2B" w:rsidRPr="00A33AE8">
        <w:t>:</w:t>
      </w:r>
      <w:r w:rsidR="00185B2B" w:rsidRPr="00A33AE8">
        <w:rPr>
          <w:lang w:eastAsia="el-GR"/>
        </w:rPr>
        <w:t xml:space="preserve"> R</w:t>
      </w:r>
      <w:r w:rsidR="00185B2B" w:rsidRPr="00A33AE8">
        <w:rPr>
          <w:iCs/>
          <w:lang w:eastAsia="el-GR"/>
        </w:rPr>
        <w:t>efurbishment in commercial buildings</w:t>
      </w:r>
      <w:bookmarkEnd w:id="452"/>
    </w:p>
    <w:p w14:paraId="4572296A" w14:textId="77777777" w:rsidR="00DB72D3" w:rsidRPr="00A33AE8" w:rsidRDefault="00DB72D3" w:rsidP="00DB72D3">
      <w:pPr>
        <w:jc w:val="center"/>
      </w:pPr>
      <w:r w:rsidRPr="000007D2">
        <w:rPr>
          <w:noProof/>
          <w:lang w:val="en-US"/>
        </w:rPr>
        <mc:AlternateContent>
          <mc:Choice Requires="wps">
            <w:drawing>
              <wp:anchor distT="0" distB="0" distL="114300" distR="114300" simplePos="0" relativeHeight="251791360" behindDoc="0" locked="0" layoutInCell="1" allowOverlap="1" wp14:anchorId="259BC337" wp14:editId="24C0BFBE">
                <wp:simplePos x="0" y="0"/>
                <wp:positionH relativeFrom="column">
                  <wp:posOffset>306605</wp:posOffset>
                </wp:positionH>
                <wp:positionV relativeFrom="paragraph">
                  <wp:posOffset>89000</wp:posOffset>
                </wp:positionV>
                <wp:extent cx="3390900" cy="3152274"/>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390900" cy="3152274"/>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E8FA19" id="Text Box 72" o:spid="_x0000_s1026" type="#_x0000_t202" style="position:absolute;margin-left:24.15pt;margin-top:7pt;width:267pt;height:248.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" fillcolor="#a6a6a6" stroked="f">
                <v:fill opacity="32896f"/>
              </v:shape>
            </w:pict>
          </mc:Fallback>
        </mc:AlternateContent>
      </w:r>
      <w:r w:rsidRPr="000007D2">
        <w:rPr>
          <w:noProof/>
          <w:lang w:val="en-US"/>
        </w:rPr>
        <mc:AlternateContent>
          <mc:Choice Requires="wps">
            <w:drawing>
              <wp:anchor distT="45720" distB="45720" distL="114300" distR="114300" simplePos="0" relativeHeight="251790336" behindDoc="0" locked="0" layoutInCell="1" allowOverlap="1" wp14:anchorId="15075109" wp14:editId="54BC8030">
                <wp:simplePos x="0" y="0"/>
                <wp:positionH relativeFrom="column">
                  <wp:posOffset>659765</wp:posOffset>
                </wp:positionH>
                <wp:positionV relativeFrom="paragraph">
                  <wp:posOffset>361950</wp:posOffset>
                </wp:positionV>
                <wp:extent cx="2360930" cy="1404620"/>
                <wp:effectExtent l="0" t="0" r="28575" b="19685"/>
                <wp:wrapNone/>
                <wp:docPr id="339823339" name="Text Box 339823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4DC950" w14:textId="77777777" w:rsidR="00750F3D" w:rsidRPr="000007D2" w:rsidRDefault="00750F3D" w:rsidP="00DB72D3">
                            <w:pPr>
                              <w:pStyle w:val="LDKbody"/>
                              <w:rPr>
                                <w:rFonts w:asciiTheme="majorHAnsi" w:hAnsiTheme="majorHAnsi" w:cstheme="majorHAnsi"/>
                                <w:lang w:val="en-GB"/>
                              </w:rPr>
                            </w:pPr>
                            <w:r w:rsidRPr="000007D2">
                              <w:rPr>
                                <w:rFonts w:asciiTheme="majorHAnsi" w:hAnsiTheme="majorHAnsi" w:cstheme="majorHAnsi"/>
                                <w:lang w:val="en-GB"/>
                              </w:rPr>
                              <w:t>the renovation rates until 2030 are annual, while after 2030 they correspond to 5-year periods.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075109" id="Text Box 339823339" o:spid="_x0000_s1027" type="#_x0000_t202" style="position:absolute;left:0;text-align:left;margin-left:51.95pt;margin-top:28.5pt;width:185.9pt;height:110.6pt;z-index:251790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">
                <v:textbox style="mso-fit-shape-to-text:t">
                  <w:txbxContent>
                    <w:p w14:paraId="274DC950" w14:textId="77777777" w:rsidR="00750F3D" w:rsidRPr="000007D2" w:rsidRDefault="00750F3D" w:rsidP="00DB72D3">
                      <w:pPr>
                        <w:pStyle w:val="LDKbody"/>
                        <w:rPr>
                          <w:rFonts w:asciiTheme="majorHAnsi" w:hAnsiTheme="majorHAnsi" w:cstheme="majorHAnsi"/>
                          <w:lang w:val="en-GB"/>
                        </w:rPr>
                      </w:pPr>
                      <w:r w:rsidRPr="000007D2">
                        <w:rPr>
                          <w:rFonts w:asciiTheme="majorHAnsi" w:hAnsiTheme="majorHAnsi" w:cstheme="majorHAnsi"/>
                          <w:lang w:val="en-GB"/>
                        </w:rPr>
                        <w:t>the renovation rates until 2030 are annual, while after 2030 they correspond to 5-year periods.</w:t>
                      </w:r>
                    </w:p>
                  </w:txbxContent>
                </v:textbox>
              </v:shape>
            </w:pict>
          </mc:Fallback>
        </mc:AlternateContent>
      </w:r>
      <w:r w:rsidRPr="000007D2">
        <w:rPr>
          <w:noProof/>
          <w:lang w:val="en-US"/>
        </w:rPr>
        <w:drawing>
          <wp:inline distT="0" distB="0" distL="0" distR="0" wp14:anchorId="5E8E9AEF" wp14:editId="1FDAB970">
            <wp:extent cx="5925096" cy="4267377"/>
            <wp:effectExtent l="0" t="0" r="0" b="0"/>
            <wp:docPr id="256109472" name="Picture 25610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0240" cy="4271082"/>
                    </a:xfrm>
                    <a:prstGeom prst="rect">
                      <a:avLst/>
                    </a:prstGeom>
                    <a:noFill/>
                  </pic:spPr>
                </pic:pic>
              </a:graphicData>
            </a:graphic>
          </wp:inline>
        </w:drawing>
      </w:r>
    </w:p>
    <w:p w14:paraId="47AB9103" w14:textId="7285D850" w:rsidR="00BC0654" w:rsidRDefault="00BC0654" w:rsidP="00185B2B">
      <w:pPr>
        <w:jc w:val="both"/>
        <w:rPr>
          <w:rFonts w:asciiTheme="majorHAnsi" w:hAnsiTheme="majorHAnsi" w:cstheme="majorHAnsi"/>
        </w:rPr>
      </w:pPr>
      <w:r w:rsidRPr="00BC0654">
        <w:rPr>
          <w:rFonts w:asciiTheme="majorHAnsi" w:hAnsiTheme="majorHAnsi" w:cstheme="majorHAnsi"/>
        </w:rPr>
        <w:t>Focussing in the change of unit consumption, in WEM scenario, the unit consumption of existing commercial buildings is projected to increase from 0.</w:t>
      </w:r>
      <w:r w:rsidR="007F2E89">
        <w:rPr>
          <w:rFonts w:asciiTheme="majorHAnsi" w:hAnsiTheme="majorHAnsi" w:cstheme="majorHAnsi"/>
        </w:rPr>
        <w:t>0</w:t>
      </w:r>
      <w:r w:rsidR="007F2E89" w:rsidRPr="00BC0654">
        <w:rPr>
          <w:rFonts w:asciiTheme="majorHAnsi" w:hAnsiTheme="majorHAnsi" w:cstheme="majorHAnsi"/>
        </w:rPr>
        <w:t xml:space="preserve">2 </w:t>
      </w:r>
      <w:r w:rsidRPr="00BC0654">
        <w:rPr>
          <w:rFonts w:asciiTheme="majorHAnsi" w:hAnsiTheme="majorHAnsi" w:cstheme="majorHAnsi"/>
        </w:rPr>
        <w:t>ktoe/m</w:t>
      </w:r>
      <w:r w:rsidRPr="0087794A">
        <w:rPr>
          <w:rFonts w:asciiTheme="majorHAnsi" w:hAnsiTheme="majorHAnsi" w:cstheme="majorHAnsi"/>
          <w:vertAlign w:val="superscript"/>
        </w:rPr>
        <w:t>2</w:t>
      </w:r>
      <w:r w:rsidRPr="00BC0654">
        <w:rPr>
          <w:rFonts w:asciiTheme="majorHAnsi" w:hAnsiTheme="majorHAnsi" w:cstheme="majorHAnsi"/>
        </w:rPr>
        <w:t xml:space="preserve"> in 2025 to 0.</w:t>
      </w:r>
      <w:r w:rsidR="007F2E89">
        <w:rPr>
          <w:rFonts w:asciiTheme="majorHAnsi" w:hAnsiTheme="majorHAnsi" w:cstheme="majorHAnsi"/>
        </w:rPr>
        <w:t>035</w:t>
      </w:r>
      <w:r w:rsidR="007F2E89" w:rsidRPr="00BC0654">
        <w:rPr>
          <w:rFonts w:asciiTheme="majorHAnsi" w:hAnsiTheme="majorHAnsi" w:cstheme="majorHAnsi"/>
        </w:rPr>
        <w:t xml:space="preserve"> </w:t>
      </w:r>
      <w:r w:rsidRPr="00BC0654">
        <w:rPr>
          <w:rFonts w:asciiTheme="majorHAnsi" w:hAnsiTheme="majorHAnsi" w:cstheme="majorHAnsi"/>
        </w:rPr>
        <w:t>ktoe/m</w:t>
      </w:r>
      <w:r w:rsidRPr="000007D2">
        <w:rPr>
          <w:rFonts w:asciiTheme="majorHAnsi" w:hAnsiTheme="majorHAnsi" w:cstheme="majorHAnsi"/>
          <w:vertAlign w:val="superscript"/>
        </w:rPr>
        <w:t>2</w:t>
      </w:r>
      <w:r w:rsidRPr="00BC0654">
        <w:rPr>
          <w:rFonts w:asciiTheme="majorHAnsi" w:hAnsiTheme="majorHAnsi" w:cstheme="majorHAnsi"/>
        </w:rPr>
        <w:t xml:space="preserve"> in 2050, while it is maintaining almost stable </w:t>
      </w:r>
      <w:r w:rsidR="003D0396">
        <w:rPr>
          <w:rFonts w:asciiTheme="majorHAnsi" w:hAnsiTheme="majorHAnsi" w:cstheme="majorHAnsi"/>
          <w:lang w:val="en-US"/>
        </w:rPr>
        <w:t xml:space="preserve">level </w:t>
      </w:r>
      <w:r w:rsidRPr="00BC0654">
        <w:rPr>
          <w:rFonts w:asciiTheme="majorHAnsi" w:hAnsiTheme="majorHAnsi" w:cstheme="majorHAnsi"/>
        </w:rPr>
        <w:t xml:space="preserve">in the other two scenarios at about </w:t>
      </w:r>
      <w:bookmarkStart w:id="453" w:name="_Hlk148783677"/>
      <w:r w:rsidRPr="00BC0654">
        <w:rPr>
          <w:rFonts w:asciiTheme="majorHAnsi" w:hAnsiTheme="majorHAnsi" w:cstheme="majorHAnsi"/>
        </w:rPr>
        <w:t>0.</w:t>
      </w:r>
      <w:r w:rsidR="007F2E89">
        <w:rPr>
          <w:rFonts w:asciiTheme="majorHAnsi" w:hAnsiTheme="majorHAnsi" w:cstheme="majorHAnsi"/>
        </w:rPr>
        <w:t>02</w:t>
      </w:r>
      <w:r w:rsidR="007F2E89" w:rsidRPr="00BC0654">
        <w:rPr>
          <w:rFonts w:asciiTheme="majorHAnsi" w:hAnsiTheme="majorHAnsi" w:cstheme="majorHAnsi"/>
        </w:rPr>
        <w:t xml:space="preserve"> </w:t>
      </w:r>
      <w:r w:rsidRPr="00BC0654">
        <w:rPr>
          <w:rFonts w:asciiTheme="majorHAnsi" w:hAnsiTheme="majorHAnsi" w:cstheme="majorHAnsi"/>
        </w:rPr>
        <w:t>ktoe/m</w:t>
      </w:r>
      <w:r w:rsidRPr="000007D2">
        <w:rPr>
          <w:rFonts w:asciiTheme="majorHAnsi" w:hAnsiTheme="majorHAnsi" w:cstheme="majorHAnsi"/>
          <w:vertAlign w:val="superscript"/>
        </w:rPr>
        <w:t>2</w:t>
      </w:r>
      <w:bookmarkEnd w:id="453"/>
      <w:r w:rsidRPr="00BC0654">
        <w:rPr>
          <w:rFonts w:asciiTheme="majorHAnsi" w:hAnsiTheme="majorHAnsi" w:cstheme="majorHAnsi"/>
        </w:rPr>
        <w:t xml:space="preserve"> over 2025-</w:t>
      </w:r>
      <w:r w:rsidR="007F2E89" w:rsidRPr="00BC0654">
        <w:rPr>
          <w:rFonts w:asciiTheme="majorHAnsi" w:hAnsiTheme="majorHAnsi" w:cstheme="majorHAnsi"/>
        </w:rPr>
        <w:t>20</w:t>
      </w:r>
      <w:r w:rsidR="007F2E89">
        <w:rPr>
          <w:rFonts w:asciiTheme="majorHAnsi" w:hAnsiTheme="majorHAnsi" w:cstheme="majorHAnsi"/>
        </w:rPr>
        <w:t>4</w:t>
      </w:r>
      <w:r w:rsidR="007F2E89" w:rsidRPr="00BC0654">
        <w:rPr>
          <w:rFonts w:asciiTheme="majorHAnsi" w:hAnsiTheme="majorHAnsi" w:cstheme="majorHAnsi"/>
        </w:rPr>
        <w:t>0</w:t>
      </w:r>
      <w:r w:rsidR="007F2E89" w:rsidRPr="007F2E89">
        <w:rPr>
          <w:rFonts w:asciiTheme="majorHAnsi" w:hAnsiTheme="majorHAnsi" w:cstheme="majorHAnsi"/>
        </w:rPr>
        <w:t>, as a higher rise is expected over 2045-2050, reaching 0.023 ktoe/m</w:t>
      </w:r>
      <w:r w:rsidR="007F2E89" w:rsidRPr="0087794A">
        <w:rPr>
          <w:rFonts w:asciiTheme="majorHAnsi" w:hAnsiTheme="majorHAnsi" w:cstheme="majorHAnsi"/>
          <w:vertAlign w:val="superscript"/>
        </w:rPr>
        <w:t>2</w:t>
      </w:r>
      <w:r w:rsidR="007F2E89" w:rsidRPr="007F2E89">
        <w:rPr>
          <w:rFonts w:asciiTheme="majorHAnsi" w:hAnsiTheme="majorHAnsi" w:cstheme="majorHAnsi"/>
        </w:rPr>
        <w:t xml:space="preserve"> in 2045 and 0.026 ktoe/m</w:t>
      </w:r>
      <w:r w:rsidR="007F2E89" w:rsidRPr="0087794A">
        <w:rPr>
          <w:rFonts w:asciiTheme="majorHAnsi" w:hAnsiTheme="majorHAnsi" w:cstheme="majorHAnsi"/>
          <w:vertAlign w:val="superscript"/>
        </w:rPr>
        <w:t>2</w:t>
      </w:r>
      <w:r w:rsidR="007F2E89" w:rsidRPr="007F2E89">
        <w:rPr>
          <w:rFonts w:asciiTheme="majorHAnsi" w:hAnsiTheme="majorHAnsi" w:cstheme="majorHAnsi"/>
        </w:rPr>
        <w:t xml:space="preserve"> in 2050</w:t>
      </w:r>
      <w:r w:rsidRPr="00BC0654">
        <w:rPr>
          <w:rFonts w:asciiTheme="majorHAnsi" w:hAnsiTheme="majorHAnsi" w:cstheme="majorHAnsi"/>
        </w:rPr>
        <w:t xml:space="preserve">. Similarly, the unit consumption of residential dwellings existing in 2020 increases with almost the same growth rate between scenarios S and S-N over 2025-2050, from </w:t>
      </w:r>
      <w:r w:rsidR="007F2E89">
        <w:rPr>
          <w:rFonts w:asciiTheme="majorHAnsi" w:hAnsiTheme="majorHAnsi" w:cstheme="majorHAnsi"/>
        </w:rPr>
        <w:t>1.56</w:t>
      </w:r>
      <w:r w:rsidRPr="00BC0654">
        <w:rPr>
          <w:rFonts w:asciiTheme="majorHAnsi" w:hAnsiTheme="majorHAnsi" w:cstheme="majorHAnsi"/>
        </w:rPr>
        <w:t xml:space="preserve"> </w:t>
      </w:r>
      <w:bookmarkStart w:id="454" w:name="_Hlk148783875"/>
      <w:r w:rsidRPr="00BC0654">
        <w:rPr>
          <w:rFonts w:asciiTheme="majorHAnsi" w:hAnsiTheme="majorHAnsi" w:cstheme="majorHAnsi"/>
        </w:rPr>
        <w:t>ktoe</w:t>
      </w:r>
      <w:bookmarkStart w:id="455" w:name="_Hlk148785852"/>
      <w:r w:rsidRPr="00BC0654">
        <w:rPr>
          <w:rFonts w:asciiTheme="majorHAnsi" w:hAnsiTheme="majorHAnsi" w:cstheme="majorHAnsi"/>
        </w:rPr>
        <w:t>/’000</w:t>
      </w:r>
      <w:bookmarkEnd w:id="454"/>
      <w:r w:rsidR="005E6E7B">
        <w:rPr>
          <w:rFonts w:asciiTheme="majorHAnsi" w:hAnsiTheme="majorHAnsi" w:cstheme="majorHAnsi"/>
        </w:rPr>
        <w:t xml:space="preserve"> </w:t>
      </w:r>
      <w:r w:rsidRPr="00BC0654">
        <w:rPr>
          <w:rFonts w:asciiTheme="majorHAnsi" w:hAnsiTheme="majorHAnsi" w:cstheme="majorHAnsi"/>
        </w:rPr>
        <w:t xml:space="preserve">dwellings </w:t>
      </w:r>
      <w:bookmarkEnd w:id="455"/>
      <w:r w:rsidRPr="00BC0654">
        <w:rPr>
          <w:rFonts w:asciiTheme="majorHAnsi" w:hAnsiTheme="majorHAnsi" w:cstheme="majorHAnsi"/>
        </w:rPr>
        <w:t xml:space="preserve">in 2025 to about </w:t>
      </w:r>
      <w:bookmarkStart w:id="456" w:name="_Hlk148783955"/>
      <w:r w:rsidR="007F2E89">
        <w:rPr>
          <w:rFonts w:asciiTheme="majorHAnsi" w:hAnsiTheme="majorHAnsi" w:cstheme="majorHAnsi"/>
        </w:rPr>
        <w:t>1.72</w:t>
      </w:r>
      <w:r w:rsidRPr="00BC0654">
        <w:rPr>
          <w:rFonts w:asciiTheme="majorHAnsi" w:hAnsiTheme="majorHAnsi" w:cstheme="majorHAnsi"/>
        </w:rPr>
        <w:t xml:space="preserve"> ktoe/’000</w:t>
      </w:r>
      <w:bookmarkEnd w:id="456"/>
      <w:r w:rsidRPr="00BC0654">
        <w:rPr>
          <w:rFonts w:asciiTheme="majorHAnsi" w:hAnsiTheme="majorHAnsi" w:cstheme="majorHAnsi"/>
        </w:rPr>
        <w:t xml:space="preserve"> dwellings in 2050, while the scenario WEM follows a higher growth rate; from </w:t>
      </w:r>
      <w:bookmarkStart w:id="457" w:name="_Hlk148784161"/>
      <w:r w:rsidR="007F2E89">
        <w:rPr>
          <w:rFonts w:asciiTheme="majorHAnsi" w:hAnsiTheme="majorHAnsi" w:cstheme="majorHAnsi"/>
        </w:rPr>
        <w:t>1.66</w:t>
      </w:r>
      <w:r w:rsidRPr="00BC0654">
        <w:rPr>
          <w:rFonts w:asciiTheme="majorHAnsi" w:hAnsiTheme="majorHAnsi" w:cstheme="majorHAnsi"/>
        </w:rPr>
        <w:t xml:space="preserve"> ktoe/’000</w:t>
      </w:r>
      <w:r w:rsidR="005E6E7B">
        <w:rPr>
          <w:rFonts w:asciiTheme="majorHAnsi" w:hAnsiTheme="majorHAnsi" w:cstheme="majorHAnsi"/>
        </w:rPr>
        <w:t xml:space="preserve"> </w:t>
      </w:r>
      <w:r w:rsidRPr="00BC0654">
        <w:rPr>
          <w:rFonts w:asciiTheme="majorHAnsi" w:hAnsiTheme="majorHAnsi" w:cstheme="majorHAnsi"/>
        </w:rPr>
        <w:t xml:space="preserve">dwellings in 2025 to </w:t>
      </w:r>
      <w:r w:rsidR="007F2E89">
        <w:rPr>
          <w:rFonts w:asciiTheme="majorHAnsi" w:hAnsiTheme="majorHAnsi" w:cstheme="majorHAnsi"/>
        </w:rPr>
        <w:t>2.52</w:t>
      </w:r>
      <w:r w:rsidRPr="00BC0654">
        <w:rPr>
          <w:rFonts w:asciiTheme="majorHAnsi" w:hAnsiTheme="majorHAnsi" w:cstheme="majorHAnsi"/>
        </w:rPr>
        <w:t xml:space="preserve"> ktoe/’000</w:t>
      </w:r>
      <w:r w:rsidR="005E6E7B">
        <w:rPr>
          <w:rFonts w:asciiTheme="majorHAnsi" w:hAnsiTheme="majorHAnsi" w:cstheme="majorHAnsi"/>
        </w:rPr>
        <w:t xml:space="preserve"> </w:t>
      </w:r>
      <w:r w:rsidRPr="00BC0654">
        <w:rPr>
          <w:rFonts w:asciiTheme="majorHAnsi" w:hAnsiTheme="majorHAnsi" w:cstheme="majorHAnsi"/>
        </w:rPr>
        <w:t>dwellings in 2050</w:t>
      </w:r>
      <w:bookmarkEnd w:id="457"/>
      <w:r w:rsidRPr="00BC0654">
        <w:rPr>
          <w:rFonts w:asciiTheme="majorHAnsi" w:hAnsiTheme="majorHAnsi" w:cstheme="majorHAnsi"/>
        </w:rPr>
        <w:t>. The growth in the unit consumption is connected to the increase in heat comfort conditions in the existing buildings, connected with the increase of available income per capita, as the corresponding GDP per capita increases.</w:t>
      </w:r>
    </w:p>
    <w:p w14:paraId="1BE70133" w14:textId="7B25B7C3" w:rsidR="00BC0654" w:rsidRDefault="00BC0654" w:rsidP="00BC0654">
      <w:pPr>
        <w:pStyle w:val="Caption"/>
        <w:keepNext/>
      </w:pPr>
      <w:bookmarkStart w:id="458" w:name="_Toc154575302"/>
      <w:bookmarkStart w:id="459" w:name="_Hlk148786080"/>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29</w:t>
      </w:r>
      <w:r w:rsidR="006E0533">
        <w:rPr>
          <w:noProof/>
        </w:rPr>
        <w:fldChar w:fldCharType="end"/>
      </w:r>
      <w:r w:rsidRPr="00A33AE8">
        <w:t>:</w:t>
      </w:r>
      <w:r w:rsidRPr="00EE3143">
        <w:t xml:space="preserve"> </w:t>
      </w:r>
      <w:r w:rsidRPr="008B26DB">
        <w:t>Unit consumption of commercial buildings</w:t>
      </w:r>
      <w:bookmarkEnd w:id="458"/>
    </w:p>
    <w:bookmarkEnd w:id="459"/>
    <w:p w14:paraId="0825C498" w14:textId="7107A4E7" w:rsidR="00BC0654" w:rsidRDefault="007F2E89" w:rsidP="000007D2">
      <w:pPr>
        <w:jc w:val="center"/>
        <w:rPr>
          <w:rFonts w:asciiTheme="majorHAnsi" w:hAnsiTheme="majorHAnsi" w:cstheme="majorHAnsi"/>
        </w:rPr>
      </w:pPr>
      <w:r>
        <w:rPr>
          <w:rFonts w:asciiTheme="majorHAnsi" w:hAnsiTheme="majorHAnsi" w:cstheme="majorHAnsi"/>
          <w:noProof/>
          <w:lang w:val="en-US"/>
        </w:rPr>
        <w:drawing>
          <wp:inline distT="0" distB="0" distL="0" distR="0" wp14:anchorId="71AF1062" wp14:editId="64147EFA">
            <wp:extent cx="4584700" cy="2755900"/>
            <wp:effectExtent l="0" t="0" r="6350" b="6350"/>
            <wp:docPr id="536157176" name="Εικόνα 1" descr="A graph of a number of commercia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57176" name="Εικόνα 1" descr="A graph of a number of commercial buildings&#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5EBF4BD" w14:textId="09D566B2" w:rsidR="00523659" w:rsidRDefault="00523659" w:rsidP="0087794A">
      <w:pPr>
        <w:pStyle w:val="Caption"/>
        <w:keepNext/>
      </w:pPr>
      <w:bookmarkStart w:id="460" w:name="_Toc154575303"/>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w:instrText>
      </w:r>
      <w:r w:rsidR="006E0533">
        <w:instrText xml:space="preserve">igure \* ARABIC \s 1 </w:instrText>
      </w:r>
      <w:r w:rsidR="006E0533">
        <w:fldChar w:fldCharType="separate"/>
      </w:r>
      <w:r w:rsidR="00B62877">
        <w:rPr>
          <w:noProof/>
        </w:rPr>
        <w:t>30</w:t>
      </w:r>
      <w:r w:rsidR="006E0533">
        <w:rPr>
          <w:noProof/>
        </w:rPr>
        <w:fldChar w:fldCharType="end"/>
      </w:r>
      <w:r>
        <w:t xml:space="preserve">: </w:t>
      </w:r>
      <w:r w:rsidRPr="00523659">
        <w:t>Unit consumption of residential dwellings</w:t>
      </w:r>
      <w:bookmarkEnd w:id="460"/>
    </w:p>
    <w:p w14:paraId="3C0670EB" w14:textId="7D766141" w:rsidR="00BC0654" w:rsidRDefault="00D51E5A" w:rsidP="00CC1C1C">
      <w:pPr>
        <w:jc w:val="center"/>
        <w:rPr>
          <w:rFonts w:asciiTheme="majorHAnsi" w:hAnsiTheme="majorHAnsi" w:cstheme="majorHAnsi"/>
        </w:rPr>
      </w:pPr>
      <w:r>
        <w:rPr>
          <w:rFonts w:asciiTheme="majorHAnsi" w:hAnsiTheme="majorHAnsi" w:cstheme="majorHAnsi"/>
          <w:noProof/>
          <w:lang w:val="en-US"/>
        </w:rPr>
        <w:drawing>
          <wp:inline distT="0" distB="0" distL="0" distR="0" wp14:anchorId="5CA36AB5" wp14:editId="796DA412">
            <wp:extent cx="4535805" cy="2676525"/>
            <wp:effectExtent l="0" t="0" r="0" b="9525"/>
            <wp:docPr id="2045074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35805" cy="2676525"/>
                    </a:xfrm>
                    <a:prstGeom prst="rect">
                      <a:avLst/>
                    </a:prstGeom>
                    <a:noFill/>
                  </pic:spPr>
                </pic:pic>
              </a:graphicData>
            </a:graphic>
          </wp:inline>
        </w:drawing>
      </w:r>
    </w:p>
    <w:p w14:paraId="57AF8085" w14:textId="2EB1DA25" w:rsidR="00A85712" w:rsidRDefault="009865ED" w:rsidP="00CC1C1C">
      <w:pPr>
        <w:jc w:val="both"/>
        <w:rPr>
          <w:rFonts w:asciiTheme="majorHAnsi" w:hAnsiTheme="majorHAnsi" w:cstheme="majorHAnsi"/>
        </w:rPr>
      </w:pPr>
      <w:r w:rsidRPr="0087794A">
        <w:rPr>
          <w:rFonts w:asciiTheme="majorHAnsi" w:hAnsiTheme="majorHAnsi" w:cstheme="majorHAnsi"/>
        </w:rPr>
        <w:t>The penetration of heat pumps is expected to reach 7.05 GWth in 2030 (2.03 GWth in residential sector and 5.02 GWth in tertiary sector). A</w:t>
      </w:r>
      <w:r w:rsidR="00CC1C1C" w:rsidRPr="00523659">
        <w:rPr>
          <w:rFonts w:asciiTheme="majorHAnsi" w:hAnsiTheme="majorHAnsi" w:cstheme="majorHAnsi"/>
        </w:rPr>
        <w:t xml:space="preserve"> substantial growth is expected from 2035 onwards up to 2050 in all the scenarios. The residential heat pumps will increase from </w:t>
      </w:r>
      <w:bookmarkStart w:id="461" w:name="_Hlk148786525"/>
      <w:r w:rsidRPr="00523659">
        <w:rPr>
          <w:rFonts w:asciiTheme="majorHAnsi" w:hAnsiTheme="majorHAnsi" w:cstheme="majorHAnsi"/>
        </w:rPr>
        <w:t>4</w:t>
      </w:r>
      <w:r w:rsidR="00CC1C1C" w:rsidRPr="00523659">
        <w:rPr>
          <w:rFonts w:asciiTheme="majorHAnsi" w:hAnsiTheme="majorHAnsi" w:cstheme="majorHAnsi"/>
        </w:rPr>
        <w:t>.</w:t>
      </w:r>
      <w:r w:rsidRPr="00523659">
        <w:rPr>
          <w:rFonts w:asciiTheme="majorHAnsi" w:hAnsiTheme="majorHAnsi" w:cstheme="majorHAnsi"/>
        </w:rPr>
        <w:t xml:space="preserve">34 </w:t>
      </w:r>
      <w:r w:rsidR="00CC1C1C" w:rsidRPr="00523659">
        <w:rPr>
          <w:rFonts w:asciiTheme="majorHAnsi" w:hAnsiTheme="majorHAnsi" w:cstheme="majorHAnsi"/>
        </w:rPr>
        <w:t xml:space="preserve">GWth in 2035 in scenarios S and S-N to </w:t>
      </w:r>
      <w:r w:rsidRPr="00523659">
        <w:rPr>
          <w:rFonts w:asciiTheme="majorHAnsi" w:hAnsiTheme="majorHAnsi" w:cstheme="majorHAnsi"/>
        </w:rPr>
        <w:t>24.88</w:t>
      </w:r>
      <w:r w:rsidR="00CC1C1C" w:rsidRPr="00523659">
        <w:rPr>
          <w:rFonts w:asciiTheme="majorHAnsi" w:hAnsiTheme="majorHAnsi" w:cstheme="majorHAnsi"/>
        </w:rPr>
        <w:t xml:space="preserve"> GWth in scenario S and </w:t>
      </w:r>
      <w:r w:rsidRPr="00523659">
        <w:rPr>
          <w:rFonts w:asciiTheme="majorHAnsi" w:hAnsiTheme="majorHAnsi" w:cstheme="majorHAnsi"/>
        </w:rPr>
        <w:t>25.16</w:t>
      </w:r>
      <w:r w:rsidR="00CC1C1C" w:rsidRPr="00523659">
        <w:rPr>
          <w:rFonts w:asciiTheme="majorHAnsi" w:hAnsiTheme="majorHAnsi" w:cstheme="majorHAnsi"/>
        </w:rPr>
        <w:t xml:space="preserve"> GWth in scenario S-N in 2050. </w:t>
      </w:r>
      <w:bookmarkEnd w:id="461"/>
      <w:r w:rsidRPr="0087794A">
        <w:rPr>
          <w:rFonts w:asciiTheme="majorHAnsi" w:hAnsiTheme="majorHAnsi" w:cstheme="majorHAnsi"/>
        </w:rPr>
        <w:t>Similarly, t</w:t>
      </w:r>
      <w:r w:rsidRPr="00523659">
        <w:rPr>
          <w:rFonts w:asciiTheme="majorHAnsi" w:hAnsiTheme="majorHAnsi" w:cstheme="majorHAnsi"/>
        </w:rPr>
        <w:t xml:space="preserve">he </w:t>
      </w:r>
      <w:r w:rsidR="00CC1C1C" w:rsidRPr="00523659">
        <w:rPr>
          <w:rFonts w:asciiTheme="majorHAnsi" w:hAnsiTheme="majorHAnsi" w:cstheme="majorHAnsi"/>
        </w:rPr>
        <w:t xml:space="preserve">heat pumps in the tertiary sector </w:t>
      </w:r>
      <w:r w:rsidRPr="0087794A">
        <w:rPr>
          <w:rFonts w:asciiTheme="majorHAnsi" w:hAnsiTheme="majorHAnsi" w:cstheme="majorHAnsi"/>
        </w:rPr>
        <w:t>will increase from 8.42 GWth in 2035 in scenarios S and S-N to 31.62 GWth in scenario S and 31.51 GWth in scenario S-N in 2050</w:t>
      </w:r>
      <w:r w:rsidR="00CC1C1C" w:rsidRPr="00523659">
        <w:rPr>
          <w:rFonts w:asciiTheme="majorHAnsi" w:hAnsiTheme="majorHAnsi" w:cstheme="majorHAnsi"/>
        </w:rPr>
        <w:t>.</w:t>
      </w:r>
      <w:r w:rsidR="00D51E5A" w:rsidRPr="00523659">
        <w:rPr>
          <w:rFonts w:asciiTheme="majorHAnsi" w:hAnsiTheme="majorHAnsi" w:cstheme="majorHAnsi"/>
        </w:rPr>
        <w:t xml:space="preserve"> As can be seen in the following figures, which show the capacity additions per year until 2030 and over five-year periods after 2030, the capacity additions are expected to increase considerably after 2040 and mainly towards 2050.</w:t>
      </w:r>
    </w:p>
    <w:p w14:paraId="079311AC" w14:textId="22498E97" w:rsidR="00764522" w:rsidRDefault="00764522" w:rsidP="0087794A">
      <w:pPr>
        <w:pStyle w:val="Caption"/>
        <w:keepNext/>
      </w:pPr>
      <w:bookmarkStart w:id="462" w:name="_Toc154575304"/>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31</w:t>
      </w:r>
      <w:r w:rsidR="006E0533">
        <w:rPr>
          <w:noProof/>
        </w:rPr>
        <w:fldChar w:fldCharType="end"/>
      </w:r>
      <w:r>
        <w:t xml:space="preserve">: </w:t>
      </w:r>
      <w:r w:rsidRPr="00764522">
        <w:t>Annual capacity additions of heat pumps per sector, technology, and scenario until 2030 and capacity additions for five-year periods after 2030</w:t>
      </w:r>
      <w:bookmarkEnd w:id="462"/>
    </w:p>
    <w:p w14:paraId="33F59F79" w14:textId="4955D6B6" w:rsidR="00CC1C1C" w:rsidRDefault="00F01821" w:rsidP="000007D2">
      <w:pPr>
        <w:jc w:val="center"/>
        <w:rPr>
          <w:rFonts w:asciiTheme="majorHAnsi" w:hAnsiTheme="majorHAnsi" w:cstheme="majorHAnsi"/>
        </w:rPr>
      </w:pPr>
      <w:r>
        <w:rPr>
          <w:rFonts w:asciiTheme="majorHAnsi" w:hAnsiTheme="majorHAnsi" w:cstheme="majorHAnsi"/>
          <w:noProof/>
          <w:lang w:val="en-US"/>
        </w:rPr>
        <w:drawing>
          <wp:inline distT="0" distB="0" distL="0" distR="0" wp14:anchorId="58FE6D27" wp14:editId="263A6A26">
            <wp:extent cx="5670000" cy="3276173"/>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70000" cy="3276173"/>
                    </a:xfrm>
                    <a:prstGeom prst="rect">
                      <a:avLst/>
                    </a:prstGeom>
                    <a:noFill/>
                  </pic:spPr>
                </pic:pic>
              </a:graphicData>
            </a:graphic>
          </wp:inline>
        </w:drawing>
      </w:r>
    </w:p>
    <w:p w14:paraId="70F3A578" w14:textId="1831C4EB" w:rsidR="00CC1C1C" w:rsidRPr="00185B2B" w:rsidRDefault="00CC1C1C" w:rsidP="00CC1C1C">
      <w:pPr>
        <w:pStyle w:val="Caption"/>
        <w:keepNext/>
      </w:pPr>
      <w:bookmarkStart w:id="463" w:name="_Toc154575305"/>
      <w:r w:rsidRPr="00523659">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32</w:t>
      </w:r>
      <w:r w:rsidR="006E0533">
        <w:rPr>
          <w:noProof/>
        </w:rPr>
        <w:fldChar w:fldCharType="end"/>
      </w:r>
      <w:r w:rsidRPr="00523659">
        <w:t xml:space="preserve">: </w:t>
      </w:r>
      <w:r w:rsidR="00D854A3" w:rsidRPr="00523659">
        <w:t>Annual capacity additions of heat pumps per sector, technology, and scenario (with differences from WEM) until 2030 and for five-year periods after 2030</w:t>
      </w:r>
      <w:bookmarkEnd w:id="463"/>
    </w:p>
    <w:p w14:paraId="4E1FD57E" w14:textId="485C3074" w:rsidR="00CC1C1C" w:rsidRDefault="00F01821" w:rsidP="000007D2">
      <w:pPr>
        <w:jc w:val="center"/>
        <w:rPr>
          <w:rFonts w:asciiTheme="majorHAnsi" w:hAnsiTheme="majorHAnsi" w:cstheme="majorHAnsi"/>
        </w:rPr>
      </w:pPr>
      <w:r w:rsidDel="00F01821">
        <w:rPr>
          <w:rFonts w:asciiTheme="majorHAnsi" w:hAnsiTheme="majorHAnsi" w:cstheme="majorHAnsi"/>
          <w:noProof/>
          <w:lang w:val="el-GR" w:eastAsia="el-GR"/>
        </w:rPr>
        <w:t xml:space="preserve"> </w:t>
      </w:r>
      <w:r>
        <w:rPr>
          <w:rFonts w:asciiTheme="majorHAnsi" w:hAnsiTheme="majorHAnsi" w:cstheme="majorHAnsi"/>
          <w:noProof/>
          <w:lang w:val="en-US"/>
        </w:rPr>
        <w:drawing>
          <wp:inline distT="0" distB="0" distL="0" distR="0" wp14:anchorId="6C6C36F9" wp14:editId="63464826">
            <wp:extent cx="5670000" cy="37194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670000" cy="3719425"/>
                    </a:xfrm>
                    <a:prstGeom prst="rect">
                      <a:avLst/>
                    </a:prstGeom>
                    <a:noFill/>
                  </pic:spPr>
                </pic:pic>
              </a:graphicData>
            </a:graphic>
          </wp:inline>
        </w:drawing>
      </w:r>
    </w:p>
    <w:p w14:paraId="0F8D5063" w14:textId="4BEA4902" w:rsidR="00764522" w:rsidRDefault="00DB72D3" w:rsidP="0087794A">
      <w:pPr>
        <w:jc w:val="both"/>
      </w:pPr>
      <w:r w:rsidRPr="00A33AE8">
        <w:rPr>
          <w:rFonts w:asciiTheme="majorHAnsi" w:hAnsiTheme="majorHAnsi" w:cstheme="majorHAnsi"/>
        </w:rPr>
        <w:t>The cumulative number of electric vehicles is equal to 45 thousand, 507 thousand and about 2,000</w:t>
      </w:r>
      <w:r w:rsidR="00185B2B" w:rsidRPr="00A33AE8">
        <w:rPr>
          <w:rFonts w:asciiTheme="majorHAnsi" w:hAnsiTheme="majorHAnsi" w:cstheme="majorHAnsi"/>
        </w:rPr>
        <w:t xml:space="preserve"> thousand in 2030, 2040 and 2050 respectively in both scenarios S and S-N indicating the impact of the targeted policies and measures for the promotion of electromobility (8). A huge deployment in EVs is anticipated from 2030 to 2050 in both scenarios S and S-N, compared to an insignificant one in WEM scenario.</w:t>
      </w:r>
    </w:p>
    <w:p w14:paraId="3B519D0A" w14:textId="65A6E791" w:rsidR="00764522" w:rsidRDefault="00764522" w:rsidP="0087794A">
      <w:pPr>
        <w:pStyle w:val="Caption"/>
        <w:keepNext/>
      </w:pPr>
      <w:bookmarkStart w:id="464" w:name="_Toc154575306"/>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33</w:t>
      </w:r>
      <w:r w:rsidR="006E0533">
        <w:rPr>
          <w:noProof/>
        </w:rPr>
        <w:fldChar w:fldCharType="end"/>
      </w:r>
      <w:r w:rsidRPr="00764522">
        <w:t>: Number of EVs</w:t>
      </w:r>
      <w:bookmarkEnd w:id="464"/>
    </w:p>
    <w:p w14:paraId="083ACC87" w14:textId="5F830DBE" w:rsidR="00DB72D3" w:rsidRPr="00A33AE8" w:rsidRDefault="00764522" w:rsidP="00DB72D3">
      <w:pPr>
        <w:jc w:val="center"/>
        <w:rPr>
          <w:b/>
          <w:bCs/>
          <w:iCs/>
        </w:rPr>
      </w:pPr>
      <w:r w:rsidRPr="000007D2">
        <w:rPr>
          <w:noProof/>
          <w:lang w:val="en-US"/>
        </w:rPr>
        <mc:AlternateContent>
          <mc:Choice Requires="wps">
            <w:drawing>
              <wp:anchor distT="0" distB="0" distL="114300" distR="114300" simplePos="0" relativeHeight="251793408" behindDoc="0" locked="0" layoutInCell="1" allowOverlap="1" wp14:anchorId="6408B64D" wp14:editId="74631601">
                <wp:simplePos x="0" y="0"/>
                <wp:positionH relativeFrom="column">
                  <wp:posOffset>615817</wp:posOffset>
                </wp:positionH>
                <wp:positionV relativeFrom="paragraph">
                  <wp:posOffset>365125</wp:posOffset>
                </wp:positionV>
                <wp:extent cx="3286125" cy="264795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3286125" cy="2647950"/>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F4770" id="Text Box 73" o:spid="_x0000_s1026" type="#_x0000_t202" style="position:absolute;margin-left:48.5pt;margin-top:28.75pt;width:258.75pt;height:2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" fillcolor="#a6a6a6" stroked="f">
                <v:fill opacity="32896f"/>
              </v:shape>
            </w:pict>
          </mc:Fallback>
        </mc:AlternateContent>
      </w:r>
      <w:r w:rsidR="00DB72D3" w:rsidRPr="000007D2">
        <w:rPr>
          <w:b/>
          <w:bCs/>
          <w:iCs/>
          <w:noProof/>
          <w:lang w:val="en-US"/>
        </w:rPr>
        <w:drawing>
          <wp:inline distT="0" distB="0" distL="0" distR="0" wp14:anchorId="56112D2C" wp14:editId="6BFED024">
            <wp:extent cx="6064708" cy="3819975"/>
            <wp:effectExtent l="0" t="0" r="0" b="9525"/>
            <wp:docPr id="256109473" name="Picture 25610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72990" cy="3825192"/>
                    </a:xfrm>
                    <a:prstGeom prst="rect">
                      <a:avLst/>
                    </a:prstGeom>
                    <a:noFill/>
                  </pic:spPr>
                </pic:pic>
              </a:graphicData>
            </a:graphic>
          </wp:inline>
        </w:drawing>
      </w:r>
    </w:p>
    <w:p w14:paraId="4B13BF43" w14:textId="7C3B0AC2" w:rsidR="00764522" w:rsidRDefault="00DB72D3" w:rsidP="0087794A">
      <w:pPr>
        <w:jc w:val="both"/>
      </w:pPr>
      <w:r w:rsidRPr="00A33AE8">
        <w:rPr>
          <w:rFonts w:asciiTheme="majorHAnsi" w:hAnsiTheme="majorHAnsi" w:cstheme="majorHAnsi"/>
        </w:rPr>
        <w:t xml:space="preserve">Furthermore, the energy import dependency is equal in 2030 to 35% in WEM and 41% in scenarios S and S-N, depicting that the reduced utilization of lignite for electricity production is counterbalanced by the combination of the increased penetration of RES and the promotion of energy efficiency. </w:t>
      </w:r>
      <w:r w:rsidR="002C6408" w:rsidRPr="00A33AE8">
        <w:rPr>
          <w:rFonts w:asciiTheme="majorHAnsi" w:hAnsiTheme="majorHAnsi" w:cstheme="majorHAnsi"/>
        </w:rPr>
        <w:t xml:space="preserve">In </w:t>
      </w:r>
      <w:r w:rsidRPr="00A33AE8">
        <w:rPr>
          <w:rFonts w:asciiTheme="majorHAnsi" w:hAnsiTheme="majorHAnsi" w:cstheme="majorHAnsi"/>
        </w:rPr>
        <w:t>Scenario S energy import dependency</w:t>
      </w:r>
      <w:r w:rsidR="002C6408" w:rsidRPr="00A33AE8">
        <w:rPr>
          <w:rFonts w:asciiTheme="majorHAnsi" w:hAnsiTheme="majorHAnsi" w:cstheme="majorHAnsi"/>
        </w:rPr>
        <w:t xml:space="preserve"> is increased</w:t>
      </w:r>
      <w:r w:rsidRPr="00A33AE8">
        <w:rPr>
          <w:rFonts w:asciiTheme="majorHAnsi" w:hAnsiTheme="majorHAnsi" w:cstheme="majorHAnsi"/>
        </w:rPr>
        <w:t xml:space="preserve"> </w:t>
      </w:r>
      <w:r w:rsidR="002C6408" w:rsidRPr="00A33AE8">
        <w:rPr>
          <w:rFonts w:asciiTheme="majorHAnsi" w:hAnsiTheme="majorHAnsi" w:cstheme="majorHAnsi"/>
        </w:rPr>
        <w:t xml:space="preserve">towards 44% </w:t>
      </w:r>
      <w:r w:rsidRPr="00A33AE8">
        <w:rPr>
          <w:rFonts w:asciiTheme="majorHAnsi" w:hAnsiTheme="majorHAnsi" w:cstheme="majorHAnsi"/>
        </w:rPr>
        <w:t xml:space="preserve">in 2050. </w:t>
      </w:r>
      <w:r w:rsidR="002C6408" w:rsidRPr="00A33AE8">
        <w:rPr>
          <w:rFonts w:asciiTheme="majorHAnsi" w:hAnsiTheme="majorHAnsi" w:cstheme="majorHAnsi"/>
        </w:rPr>
        <w:t>In S</w:t>
      </w:r>
      <w:r w:rsidRPr="00A33AE8">
        <w:rPr>
          <w:rFonts w:asciiTheme="majorHAnsi" w:hAnsiTheme="majorHAnsi" w:cstheme="majorHAnsi"/>
        </w:rPr>
        <w:t xml:space="preserve">cenario S-N energy import dependency in 2050 </w:t>
      </w:r>
      <w:r w:rsidR="002C6408" w:rsidRPr="00A33AE8">
        <w:rPr>
          <w:rFonts w:asciiTheme="majorHAnsi" w:hAnsiTheme="majorHAnsi" w:cstheme="majorHAnsi"/>
        </w:rPr>
        <w:t xml:space="preserve">remains at the level of </w:t>
      </w:r>
      <w:r w:rsidRPr="00A33AE8">
        <w:rPr>
          <w:rFonts w:asciiTheme="majorHAnsi" w:hAnsiTheme="majorHAnsi" w:cstheme="majorHAnsi"/>
        </w:rPr>
        <w:t>37% due to the introduction of the nuclear plants for electricity production</w:t>
      </w:r>
      <w:r w:rsidR="00713035">
        <w:rPr>
          <w:rFonts w:asciiTheme="majorHAnsi" w:hAnsiTheme="majorHAnsi" w:cstheme="majorHAnsi"/>
        </w:rPr>
        <w:t xml:space="preserve"> (</w:t>
      </w:r>
      <w:r w:rsidR="00713035" w:rsidRPr="00713035">
        <w:rPr>
          <w:rFonts w:asciiTheme="majorHAnsi" w:hAnsiTheme="majorHAnsi" w:cstheme="majorHAnsi"/>
        </w:rPr>
        <w:t>According to the Eurostat energy balance reporting rules, nuclear heat used in electricity generation is not considered as import but as primary production (local production)</w:t>
      </w:r>
      <w:r w:rsidR="00713035">
        <w:rPr>
          <w:rFonts w:asciiTheme="majorHAnsi" w:hAnsiTheme="majorHAnsi" w:cstheme="majorHAnsi"/>
        </w:rPr>
        <w:t>)</w:t>
      </w:r>
      <w:r w:rsidRPr="00A33AE8">
        <w:rPr>
          <w:rFonts w:asciiTheme="majorHAnsi" w:hAnsiTheme="majorHAnsi" w:cstheme="majorHAnsi"/>
        </w:rPr>
        <w:t>.</w:t>
      </w:r>
      <w:r w:rsidR="004E774D" w:rsidRPr="00A33AE8">
        <w:rPr>
          <w:rFonts w:asciiTheme="majorHAnsi" w:hAnsiTheme="majorHAnsi" w:cstheme="majorHAnsi"/>
        </w:rPr>
        <w:t xml:space="preserve"> Overall, the main reason of lower energy import dependency in the medium-term time horizon in WEM is the use of local lignite instead of imported gas which however leads to a significant increase of GHG emissions. In the Scenarios S the transitional role of gas in the medium term leads to an increase on import dependency until the local renewable energy resources are extensively utilised, leading to a stabilisation and slight reduction of import dependency towards 2050.</w:t>
      </w:r>
    </w:p>
    <w:p w14:paraId="4F9D4BD3" w14:textId="24FE2724" w:rsidR="00764522" w:rsidRDefault="00764522" w:rsidP="0087794A">
      <w:pPr>
        <w:pStyle w:val="Caption"/>
        <w:keepNext/>
      </w:pPr>
      <w:bookmarkStart w:id="465" w:name="_Toc154575307"/>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w:instrText>
      </w:r>
      <w:r w:rsidR="006E0533">
        <w:instrText xml:space="preserve">gure \* ARABIC \s 1 </w:instrText>
      </w:r>
      <w:r w:rsidR="006E0533">
        <w:fldChar w:fldCharType="separate"/>
      </w:r>
      <w:r w:rsidR="00B62877">
        <w:rPr>
          <w:noProof/>
        </w:rPr>
        <w:t>34</w:t>
      </w:r>
      <w:r w:rsidR="006E0533">
        <w:rPr>
          <w:noProof/>
        </w:rPr>
        <w:fldChar w:fldCharType="end"/>
      </w:r>
      <w:r>
        <w:t xml:space="preserve">: </w:t>
      </w:r>
      <w:r w:rsidRPr="00764522">
        <w:t>Energy Import Dependency</w:t>
      </w:r>
      <w:bookmarkEnd w:id="465"/>
    </w:p>
    <w:p w14:paraId="3B63E206" w14:textId="7AD8F0F2" w:rsidR="00DB72D3" w:rsidRPr="00A33AE8" w:rsidRDefault="00764522" w:rsidP="00DB72D3">
      <w:pPr>
        <w:jc w:val="center"/>
        <w:rPr>
          <w:b/>
          <w:bCs/>
        </w:rPr>
      </w:pPr>
      <w:r w:rsidRPr="000007D2">
        <w:rPr>
          <w:noProof/>
          <w:lang w:val="en-US"/>
        </w:rPr>
        <mc:AlternateContent>
          <mc:Choice Requires="wps">
            <w:drawing>
              <wp:anchor distT="0" distB="0" distL="114300" distR="114300" simplePos="0" relativeHeight="251794432" behindDoc="0" locked="0" layoutInCell="1" allowOverlap="1" wp14:anchorId="7B438CFA" wp14:editId="79B03092">
                <wp:simplePos x="0" y="0"/>
                <wp:positionH relativeFrom="column">
                  <wp:posOffset>680085</wp:posOffset>
                </wp:positionH>
                <wp:positionV relativeFrom="paragraph">
                  <wp:posOffset>362585</wp:posOffset>
                </wp:positionV>
                <wp:extent cx="3162300" cy="2562225"/>
                <wp:effectExtent l="0" t="0" r="0" b="9525"/>
                <wp:wrapNone/>
                <wp:docPr id="75" name="Text Box 75"/>
                <wp:cNvGraphicFramePr/>
                <a:graphic xmlns:a="http://schemas.openxmlformats.org/drawingml/2006/main">
                  <a:graphicData uri="http://schemas.microsoft.com/office/word/2010/wordprocessingShape">
                    <wps:wsp>
                      <wps:cNvSpPr txBox="1"/>
                      <wps:spPr>
                        <a:xfrm>
                          <a:off x="0" y="0"/>
                          <a:ext cx="3162300" cy="256222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3ABC2" id="Text Box 75" o:spid="_x0000_s1026" type="#_x0000_t202" style="position:absolute;margin-left:53.55pt;margin-top:28.55pt;width:249pt;height:20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" fillcolor="#a6a6a6" stroked="f">
                <v:fill opacity="32896f"/>
              </v:shape>
            </w:pict>
          </mc:Fallback>
        </mc:AlternateContent>
      </w:r>
      <w:r w:rsidR="00DB72D3" w:rsidRPr="000007D2">
        <w:rPr>
          <w:b/>
          <w:bCs/>
          <w:noProof/>
          <w:lang w:val="en-US"/>
        </w:rPr>
        <w:drawing>
          <wp:inline distT="0" distB="0" distL="0" distR="0" wp14:anchorId="12F39034" wp14:editId="24EFE6DF">
            <wp:extent cx="5899080" cy="3715651"/>
            <wp:effectExtent l="0" t="0" r="6985" b="0"/>
            <wp:docPr id="256109474" name="Picture 25610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05326" cy="3719585"/>
                    </a:xfrm>
                    <a:prstGeom prst="rect">
                      <a:avLst/>
                    </a:prstGeom>
                    <a:noFill/>
                  </pic:spPr>
                </pic:pic>
              </a:graphicData>
            </a:graphic>
          </wp:inline>
        </w:drawing>
      </w:r>
    </w:p>
    <w:p w14:paraId="01E2CB56" w14:textId="77777777" w:rsidR="00185B2B" w:rsidRPr="00A33AE8" w:rsidRDefault="00DB72D3" w:rsidP="00185B2B">
      <w:pPr>
        <w:jc w:val="both"/>
        <w:rPr>
          <w:rFonts w:asciiTheme="majorHAnsi" w:hAnsiTheme="majorHAnsi" w:cstheme="majorHAnsi"/>
        </w:rPr>
      </w:pPr>
      <w:r w:rsidRPr="00A33AE8">
        <w:rPr>
          <w:rFonts w:asciiTheme="majorHAnsi" w:hAnsiTheme="majorHAnsi" w:cstheme="majorHAnsi"/>
        </w:rPr>
        <w:t xml:space="preserve">In WEM scenario, primary production is equal to 11.8 Mtoe in 2030, higher than 9.1 Mtoe, which corresponds to scenarios S and S-N over the same year. In 2050, primary production will decrease by 4.5% at 11.3 Mtoe in WEM scenario, compared to 2030 level, while a 23.9% fall in scenario S at 6.9 Mtoe and a 27.1% decline in scenario S-N at about 6.6 Mtoe are anticipated. </w:t>
      </w:r>
      <w:r w:rsidR="00185B2B" w:rsidRPr="00A33AE8">
        <w:rPr>
          <w:rFonts w:asciiTheme="majorHAnsi" w:hAnsiTheme="majorHAnsi" w:cstheme="majorHAnsi"/>
        </w:rPr>
        <w:t>Solid fuels as well as renewables and wastes comprise the fuels with the highest contribution in both 2030 and 2050.</w:t>
      </w:r>
    </w:p>
    <w:p w14:paraId="56B22F19" w14:textId="7287265A" w:rsidR="00764522" w:rsidRDefault="00764522" w:rsidP="00DB72D3">
      <w:pPr>
        <w:jc w:val="center"/>
      </w:pPr>
    </w:p>
    <w:p w14:paraId="0CC5B54A" w14:textId="386EC6A5" w:rsidR="00764522" w:rsidRDefault="00764522" w:rsidP="0087794A">
      <w:pPr>
        <w:pStyle w:val="Caption"/>
        <w:keepNext/>
      </w:pPr>
      <w:bookmarkStart w:id="466" w:name="_Toc154575308"/>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35</w:t>
      </w:r>
      <w:r w:rsidR="006E0533">
        <w:rPr>
          <w:noProof/>
        </w:rPr>
        <w:fldChar w:fldCharType="end"/>
      </w:r>
      <w:r>
        <w:t xml:space="preserve">: </w:t>
      </w:r>
      <w:r w:rsidRPr="00764522">
        <w:t>Primary production</w:t>
      </w:r>
      <w:bookmarkEnd w:id="466"/>
    </w:p>
    <w:p w14:paraId="20B9593C" w14:textId="39DD44E2" w:rsidR="00DB72D3" w:rsidRPr="00A33AE8" w:rsidRDefault="00764522" w:rsidP="00DB72D3">
      <w:pPr>
        <w:jc w:val="center"/>
        <w:rPr>
          <w:b/>
          <w:bCs/>
        </w:rPr>
      </w:pPr>
      <w:r w:rsidRPr="000007D2">
        <w:rPr>
          <w:noProof/>
          <w:lang w:val="en-US"/>
        </w:rPr>
        <mc:AlternateContent>
          <mc:Choice Requires="wps">
            <w:drawing>
              <wp:anchor distT="0" distB="0" distL="114300" distR="114300" simplePos="0" relativeHeight="251796480" behindDoc="0" locked="0" layoutInCell="1" allowOverlap="1" wp14:anchorId="476E806F" wp14:editId="74726ED8">
                <wp:simplePos x="0" y="0"/>
                <wp:positionH relativeFrom="column">
                  <wp:posOffset>516890</wp:posOffset>
                </wp:positionH>
                <wp:positionV relativeFrom="paragraph">
                  <wp:posOffset>474345</wp:posOffset>
                </wp:positionV>
                <wp:extent cx="3248025" cy="3038475"/>
                <wp:effectExtent l="0" t="0" r="9525" b="9525"/>
                <wp:wrapNone/>
                <wp:docPr id="76" name="Text Box 76"/>
                <wp:cNvGraphicFramePr/>
                <a:graphic xmlns:a="http://schemas.openxmlformats.org/drawingml/2006/main">
                  <a:graphicData uri="http://schemas.microsoft.com/office/word/2010/wordprocessingShape">
                    <wps:wsp>
                      <wps:cNvSpPr txBox="1"/>
                      <wps:spPr>
                        <a:xfrm>
                          <a:off x="0" y="0"/>
                          <a:ext cx="3248025" cy="303847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02DAF" id="Text Box 76" o:spid="_x0000_s1026" type="#_x0000_t202" style="position:absolute;margin-left:40.7pt;margin-top:37.35pt;width:255.75pt;height:23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" fillcolor="#a6a6a6" stroked="f">
                <v:fill opacity="32896f"/>
              </v:shape>
            </w:pict>
          </mc:Fallback>
        </mc:AlternateContent>
      </w:r>
      <w:r w:rsidR="00DB72D3" w:rsidRPr="000007D2">
        <w:rPr>
          <w:b/>
          <w:bCs/>
          <w:noProof/>
          <w:lang w:val="en-US"/>
        </w:rPr>
        <w:drawing>
          <wp:inline distT="0" distB="0" distL="0" distR="0" wp14:anchorId="0050FEFA" wp14:editId="3E526582">
            <wp:extent cx="5975498" cy="4323231"/>
            <wp:effectExtent l="0" t="0" r="6350" b="1270"/>
            <wp:docPr id="256109475" name="Picture 25610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93298" cy="4336109"/>
                    </a:xfrm>
                    <a:prstGeom prst="rect">
                      <a:avLst/>
                    </a:prstGeom>
                    <a:noFill/>
                  </pic:spPr>
                </pic:pic>
              </a:graphicData>
            </a:graphic>
          </wp:inline>
        </w:drawing>
      </w:r>
    </w:p>
    <w:p w14:paraId="6E9D416E" w14:textId="27874131" w:rsidR="003D67BA" w:rsidRDefault="00DB72D3" w:rsidP="0087794A">
      <w:pPr>
        <w:jc w:val="both"/>
      </w:pPr>
      <w:r w:rsidRPr="00A33AE8">
        <w:rPr>
          <w:rFonts w:asciiTheme="majorHAnsi" w:hAnsiTheme="majorHAnsi" w:cstheme="majorHAnsi"/>
        </w:rPr>
        <w:t>In all scenarios, total energy imports are equal to 7.6 Mtoe in 2030 (</w:t>
      </w:r>
      <w:r w:rsidR="003D67BA">
        <w:rPr>
          <w:rFonts w:asciiTheme="majorHAnsi" w:hAnsiTheme="majorHAnsi" w:cstheme="majorHAnsi"/>
        </w:rPr>
        <w:fldChar w:fldCharType="begin"/>
      </w:r>
      <w:r w:rsidR="003D67BA">
        <w:rPr>
          <w:rFonts w:asciiTheme="majorHAnsi" w:hAnsiTheme="majorHAnsi" w:cstheme="majorHAnsi"/>
        </w:rPr>
        <w:instrText xml:space="preserve"> REF _Ref153527847 \h  \* MERGEFORMAT </w:instrText>
      </w:r>
      <w:r w:rsidR="003D67BA">
        <w:rPr>
          <w:rFonts w:asciiTheme="majorHAnsi" w:hAnsiTheme="majorHAnsi" w:cstheme="majorHAnsi"/>
        </w:rPr>
      </w:r>
      <w:r w:rsidR="003D67BA">
        <w:rPr>
          <w:rFonts w:asciiTheme="majorHAnsi" w:hAnsiTheme="majorHAnsi" w:cstheme="majorHAnsi"/>
        </w:rPr>
        <w:fldChar w:fldCharType="separate"/>
      </w:r>
      <w:r w:rsidR="003D67BA" w:rsidRPr="0087794A">
        <w:rPr>
          <w:rFonts w:asciiTheme="majorHAnsi" w:hAnsiTheme="majorHAnsi" w:cstheme="majorHAnsi"/>
        </w:rPr>
        <w:t>Figure 5.36</w:t>
      </w:r>
      <w:r w:rsidR="003D67BA">
        <w:rPr>
          <w:rFonts w:asciiTheme="majorHAnsi" w:hAnsiTheme="majorHAnsi" w:cstheme="majorHAnsi"/>
        </w:rPr>
        <w:fldChar w:fldCharType="end"/>
      </w:r>
      <w:r w:rsidRPr="00A33AE8">
        <w:rPr>
          <w:rFonts w:asciiTheme="majorHAnsi" w:hAnsiTheme="majorHAnsi" w:cstheme="majorHAnsi"/>
        </w:rPr>
        <w:t xml:space="preserve">). In 2050, total energy imports will increase only in WEM scenario by 29.2% at 9.8 Mtoe, compared to 2030 level, while a 11% fall (at 6.7 Mtoe) in scenario S and a 18.2% decline (at 6.1 Mtoe) in scenario S-N are anticipated. </w:t>
      </w:r>
      <w:r w:rsidR="00185B2B" w:rsidRPr="00A33AE8">
        <w:rPr>
          <w:rFonts w:asciiTheme="majorHAnsi" w:hAnsiTheme="majorHAnsi" w:cstheme="majorHAnsi"/>
        </w:rPr>
        <w:t>Oil and natural gas are the fuels with the highest contribution in both 2030 and 2050 in scenarios S and S-N.</w:t>
      </w:r>
    </w:p>
    <w:p w14:paraId="21E40AEE" w14:textId="024FF697" w:rsidR="003D67BA" w:rsidRDefault="003D67BA" w:rsidP="0087794A">
      <w:pPr>
        <w:pStyle w:val="Caption"/>
        <w:keepNext/>
        <w:jc w:val="center"/>
      </w:pPr>
      <w:bookmarkStart w:id="467" w:name="_Ref153527847"/>
      <w:bookmarkStart w:id="468" w:name="_Toc154575309"/>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36</w:t>
      </w:r>
      <w:r w:rsidR="006E0533">
        <w:rPr>
          <w:noProof/>
        </w:rPr>
        <w:fldChar w:fldCharType="end"/>
      </w:r>
      <w:bookmarkEnd w:id="467"/>
      <w:r>
        <w:t xml:space="preserve">: </w:t>
      </w:r>
      <w:r w:rsidRPr="003D67BA">
        <w:t>Energy imports per fuel</w:t>
      </w:r>
      <w:bookmarkEnd w:id="468"/>
    </w:p>
    <w:p w14:paraId="79073A67" w14:textId="3637EC41" w:rsidR="00DB72D3" w:rsidRPr="00A33AE8" w:rsidRDefault="003D67BA" w:rsidP="00DB72D3">
      <w:pPr>
        <w:jc w:val="center"/>
        <w:rPr>
          <w:b/>
          <w:bCs/>
        </w:rPr>
      </w:pPr>
      <w:r w:rsidRPr="000007D2">
        <w:rPr>
          <w:noProof/>
          <w:lang w:val="en-US"/>
        </w:rPr>
        <mc:AlternateContent>
          <mc:Choice Requires="wps">
            <w:drawing>
              <wp:anchor distT="0" distB="0" distL="114300" distR="114300" simplePos="0" relativeHeight="251798528" behindDoc="0" locked="0" layoutInCell="1" allowOverlap="1" wp14:anchorId="67CAA9A8" wp14:editId="71B47A73">
                <wp:simplePos x="0" y="0"/>
                <wp:positionH relativeFrom="column">
                  <wp:posOffset>895985</wp:posOffset>
                </wp:positionH>
                <wp:positionV relativeFrom="paragraph">
                  <wp:posOffset>262054</wp:posOffset>
                </wp:positionV>
                <wp:extent cx="2771775" cy="2048256"/>
                <wp:effectExtent l="0" t="0" r="9525" b="9525"/>
                <wp:wrapNone/>
                <wp:docPr id="77" name="Text Box 77"/>
                <wp:cNvGraphicFramePr/>
                <a:graphic xmlns:a="http://schemas.openxmlformats.org/drawingml/2006/main">
                  <a:graphicData uri="http://schemas.microsoft.com/office/word/2010/wordprocessingShape">
                    <wps:wsp>
                      <wps:cNvSpPr txBox="1"/>
                      <wps:spPr>
                        <a:xfrm>
                          <a:off x="0" y="0"/>
                          <a:ext cx="2771775" cy="2048256"/>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331058" id="Text Box 77" o:spid="_x0000_s1026" type="#_x0000_t202" style="position:absolute;margin-left:70.55pt;margin-top:20.65pt;width:218.25pt;height:161.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" fillcolor="#a6a6a6" stroked="f">
                <v:fill opacity="32896f"/>
              </v:shape>
            </w:pict>
          </mc:Fallback>
        </mc:AlternateContent>
      </w:r>
      <w:r w:rsidR="00DB72D3" w:rsidRPr="000007D2">
        <w:rPr>
          <w:b/>
          <w:bCs/>
          <w:noProof/>
          <w:lang w:val="en-US"/>
        </w:rPr>
        <w:drawing>
          <wp:inline distT="0" distB="0" distL="0" distR="0" wp14:anchorId="53DF77FD" wp14:editId="41B0DCDA">
            <wp:extent cx="5092995" cy="2965700"/>
            <wp:effectExtent l="0" t="0" r="0" b="6350"/>
            <wp:docPr id="256109476" name="Picture 25610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12935" cy="2977311"/>
                    </a:xfrm>
                    <a:prstGeom prst="rect">
                      <a:avLst/>
                    </a:prstGeom>
                    <a:noFill/>
                  </pic:spPr>
                </pic:pic>
              </a:graphicData>
            </a:graphic>
          </wp:inline>
        </w:drawing>
      </w:r>
    </w:p>
    <w:p w14:paraId="25587E37" w14:textId="20B430DF" w:rsidR="00185B2B" w:rsidRPr="00A33AE8" w:rsidRDefault="00DB72D3" w:rsidP="00185B2B">
      <w:pPr>
        <w:jc w:val="both"/>
        <w:rPr>
          <w:rFonts w:asciiTheme="majorHAnsi" w:hAnsiTheme="majorHAnsi" w:cstheme="majorHAnsi"/>
        </w:rPr>
      </w:pPr>
      <w:r w:rsidRPr="00A33AE8">
        <w:rPr>
          <w:rFonts w:asciiTheme="majorHAnsi" w:hAnsiTheme="majorHAnsi" w:cstheme="majorHAnsi"/>
        </w:rPr>
        <w:lastRenderedPageBreak/>
        <w:t>Similarly, in WEM scenario, total energy exports are equal to 914 ktoe in 2030, about 12% lower than 1,034</w:t>
      </w:r>
      <w:r w:rsidR="00185B2B" w:rsidRPr="00A33AE8">
        <w:rPr>
          <w:rFonts w:asciiTheme="majorHAnsi" w:hAnsiTheme="majorHAnsi" w:cstheme="majorHAnsi"/>
        </w:rPr>
        <w:t xml:space="preserve"> ktoe in scenarios S and S-N over the same year</w:t>
      </w:r>
      <w:r w:rsidR="000E3675">
        <w:rPr>
          <w:rFonts w:asciiTheme="majorHAnsi" w:hAnsiTheme="majorHAnsi" w:cstheme="majorHAnsi"/>
        </w:rPr>
        <w:t xml:space="preserve"> (</w:t>
      </w:r>
      <w:r w:rsidR="000E3675">
        <w:rPr>
          <w:rFonts w:asciiTheme="majorHAnsi" w:hAnsiTheme="majorHAnsi" w:cstheme="majorHAnsi"/>
        </w:rPr>
        <w:fldChar w:fldCharType="begin"/>
      </w:r>
      <w:r w:rsidR="000E3675">
        <w:rPr>
          <w:rFonts w:asciiTheme="majorHAnsi" w:hAnsiTheme="majorHAnsi" w:cstheme="majorHAnsi"/>
        </w:rPr>
        <w:instrText xml:space="preserve"> REF _Ref153527906 \h  \* MERGEFORMAT </w:instrText>
      </w:r>
      <w:r w:rsidR="000E3675">
        <w:rPr>
          <w:rFonts w:asciiTheme="majorHAnsi" w:hAnsiTheme="majorHAnsi" w:cstheme="majorHAnsi"/>
        </w:rPr>
      </w:r>
      <w:r w:rsidR="000E3675">
        <w:rPr>
          <w:rFonts w:asciiTheme="majorHAnsi" w:hAnsiTheme="majorHAnsi" w:cstheme="majorHAnsi"/>
        </w:rPr>
        <w:fldChar w:fldCharType="separate"/>
      </w:r>
      <w:r w:rsidR="000E3675" w:rsidRPr="0087794A">
        <w:rPr>
          <w:rFonts w:asciiTheme="majorHAnsi" w:hAnsiTheme="majorHAnsi" w:cstheme="majorHAnsi"/>
        </w:rPr>
        <w:t>Figure 5.37</w:t>
      </w:r>
      <w:r w:rsidR="000E3675">
        <w:rPr>
          <w:rFonts w:asciiTheme="majorHAnsi" w:hAnsiTheme="majorHAnsi" w:cstheme="majorHAnsi"/>
        </w:rPr>
        <w:fldChar w:fldCharType="end"/>
      </w:r>
      <w:r w:rsidR="000E3675">
        <w:rPr>
          <w:rFonts w:asciiTheme="majorHAnsi" w:hAnsiTheme="majorHAnsi" w:cstheme="majorHAnsi"/>
        </w:rPr>
        <w:t>)</w:t>
      </w:r>
      <w:r w:rsidR="00185B2B" w:rsidRPr="00A33AE8">
        <w:rPr>
          <w:rFonts w:asciiTheme="majorHAnsi" w:hAnsiTheme="majorHAnsi" w:cstheme="majorHAnsi"/>
        </w:rPr>
        <w:t xml:space="preserve">. </w:t>
      </w:r>
      <w:r w:rsidRPr="00A33AE8">
        <w:rPr>
          <w:rFonts w:asciiTheme="majorHAnsi" w:hAnsiTheme="majorHAnsi" w:cstheme="majorHAnsi"/>
        </w:rPr>
        <w:t>In 2050, total energy exports will decrease by 48.6%, 15.8% and 12.7% at 470 ktoe, 870 ktoe and 903 ktoe in scenarios WEM, S and S-N respectively.</w:t>
      </w:r>
      <w:r w:rsidR="00185B2B" w:rsidRPr="00A33AE8">
        <w:rPr>
          <w:rFonts w:asciiTheme="majorHAnsi" w:hAnsiTheme="majorHAnsi" w:cstheme="majorHAnsi"/>
        </w:rPr>
        <w:t xml:space="preserve"> Electricity and oil are the fuels with the highest contribution in both 2030 and 2050 in all scenarios, while it is worth noting the increase of solid fuels in total energy exports in 2050 in scenario S-N.</w:t>
      </w:r>
    </w:p>
    <w:p w14:paraId="4EEEB85B" w14:textId="58029532" w:rsidR="00185B2B" w:rsidRPr="00A33AE8" w:rsidRDefault="00D3105E" w:rsidP="00823286">
      <w:pPr>
        <w:pStyle w:val="Caption"/>
        <w:keepNext/>
        <w:rPr>
          <w:b w:val="0"/>
          <w:bCs w:val="0"/>
          <w:iCs/>
          <w:lang w:eastAsia="el-GR"/>
        </w:rPr>
      </w:pPr>
      <w:bookmarkStart w:id="469" w:name="_Ref153527906"/>
      <w:bookmarkStart w:id="470" w:name="_Toc154575310"/>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37</w:t>
      </w:r>
      <w:r w:rsidR="006E0533">
        <w:rPr>
          <w:noProof/>
        </w:rPr>
        <w:fldChar w:fldCharType="end"/>
      </w:r>
      <w:bookmarkEnd w:id="469"/>
      <w:r w:rsidR="00185B2B" w:rsidRPr="00A33AE8">
        <w:rPr>
          <w:iCs/>
          <w:lang w:eastAsia="el-GR"/>
        </w:rPr>
        <w:t>: Energy exports per fuel</w:t>
      </w:r>
      <w:bookmarkEnd w:id="470"/>
    </w:p>
    <w:p w14:paraId="372353A0"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800576" behindDoc="0" locked="0" layoutInCell="1" allowOverlap="1" wp14:anchorId="69A04679" wp14:editId="44BC83DF">
                <wp:simplePos x="0" y="0"/>
                <wp:positionH relativeFrom="column">
                  <wp:posOffset>991667</wp:posOffset>
                </wp:positionH>
                <wp:positionV relativeFrom="paragraph">
                  <wp:posOffset>230353</wp:posOffset>
                </wp:positionV>
                <wp:extent cx="2633472" cy="3137865"/>
                <wp:effectExtent l="0" t="0" r="0" b="5715"/>
                <wp:wrapNone/>
                <wp:docPr id="78" name="Text Box 78"/>
                <wp:cNvGraphicFramePr/>
                <a:graphic xmlns:a="http://schemas.openxmlformats.org/drawingml/2006/main">
                  <a:graphicData uri="http://schemas.microsoft.com/office/word/2010/wordprocessingShape">
                    <wps:wsp>
                      <wps:cNvSpPr txBox="1"/>
                      <wps:spPr>
                        <a:xfrm>
                          <a:off x="0" y="0"/>
                          <a:ext cx="2633472" cy="313786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0D468" id="Text Box 78" o:spid="_x0000_s1026" type="#_x0000_t202" style="position:absolute;margin-left:78.1pt;margin-top:18.15pt;width:207.35pt;height:247.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" fillcolor="#a6a6a6" stroked="f">
                <v:fill opacity="32896f"/>
              </v:shape>
            </w:pict>
          </mc:Fallback>
        </mc:AlternateContent>
      </w:r>
      <w:r w:rsidRPr="000007D2">
        <w:rPr>
          <w:b/>
          <w:bCs/>
          <w:noProof/>
          <w:lang w:val="en-US"/>
        </w:rPr>
        <w:drawing>
          <wp:inline distT="0" distB="0" distL="0" distR="0" wp14:anchorId="0F1BDBC7" wp14:editId="3ACB2BFF">
            <wp:extent cx="4816549" cy="3750142"/>
            <wp:effectExtent l="0" t="0" r="3175" b="3175"/>
            <wp:docPr id="256109477" name="Picture 25610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27171" cy="3758412"/>
                    </a:xfrm>
                    <a:prstGeom prst="rect">
                      <a:avLst/>
                    </a:prstGeom>
                    <a:noFill/>
                  </pic:spPr>
                </pic:pic>
              </a:graphicData>
            </a:graphic>
          </wp:inline>
        </w:drawing>
      </w:r>
    </w:p>
    <w:p w14:paraId="614BEF6C" w14:textId="74BCE865" w:rsidR="00DB72D3" w:rsidRPr="00A33AE8" w:rsidRDefault="00DB72D3" w:rsidP="00DB72D3">
      <w:pPr>
        <w:jc w:val="both"/>
        <w:rPr>
          <w:rFonts w:asciiTheme="majorHAnsi" w:hAnsiTheme="majorHAnsi" w:cstheme="majorHAnsi"/>
          <w:b/>
          <w:bCs/>
        </w:rPr>
      </w:pPr>
      <w:r w:rsidRPr="00A33AE8">
        <w:rPr>
          <w:rFonts w:asciiTheme="majorHAnsi" w:hAnsiTheme="majorHAnsi" w:cstheme="majorHAnsi"/>
        </w:rPr>
        <w:t>Total net energy imports in WEM scenario are equal to 6.7 Mtoe in 2030, almost the same, compared with scenarios S and S-N over the same year</w:t>
      </w:r>
      <w:r w:rsidR="007E19B3">
        <w:rPr>
          <w:rFonts w:asciiTheme="majorHAnsi" w:hAnsiTheme="majorHAnsi" w:cstheme="majorHAnsi"/>
        </w:rPr>
        <w:t xml:space="preserve"> (</w:t>
      </w:r>
      <w:r w:rsidR="007E19B3">
        <w:rPr>
          <w:rFonts w:asciiTheme="majorHAnsi" w:hAnsiTheme="majorHAnsi" w:cstheme="majorHAnsi"/>
        </w:rPr>
        <w:fldChar w:fldCharType="begin"/>
      </w:r>
      <w:r w:rsidR="007E19B3">
        <w:rPr>
          <w:rFonts w:asciiTheme="majorHAnsi" w:hAnsiTheme="majorHAnsi" w:cstheme="majorHAnsi"/>
        </w:rPr>
        <w:instrText xml:space="preserve"> REF _Ref153527978 \h  \* MERGEFORMAT </w:instrText>
      </w:r>
      <w:r w:rsidR="007E19B3">
        <w:rPr>
          <w:rFonts w:asciiTheme="majorHAnsi" w:hAnsiTheme="majorHAnsi" w:cstheme="majorHAnsi"/>
        </w:rPr>
      </w:r>
      <w:r w:rsidR="007E19B3">
        <w:rPr>
          <w:rFonts w:asciiTheme="majorHAnsi" w:hAnsiTheme="majorHAnsi" w:cstheme="majorHAnsi"/>
        </w:rPr>
        <w:fldChar w:fldCharType="separate"/>
      </w:r>
      <w:r w:rsidR="007E19B3" w:rsidRPr="0087794A">
        <w:rPr>
          <w:rFonts w:asciiTheme="majorHAnsi" w:hAnsiTheme="majorHAnsi" w:cstheme="majorHAnsi"/>
        </w:rPr>
        <w:t>Figure 5.38</w:t>
      </w:r>
      <w:r w:rsidR="007E19B3">
        <w:rPr>
          <w:rFonts w:asciiTheme="majorHAnsi" w:hAnsiTheme="majorHAnsi" w:cstheme="majorHAnsi"/>
        </w:rPr>
        <w:fldChar w:fldCharType="end"/>
      </w:r>
      <w:r w:rsidR="007E19B3">
        <w:rPr>
          <w:rFonts w:asciiTheme="majorHAnsi" w:hAnsiTheme="majorHAnsi" w:cstheme="majorHAnsi"/>
        </w:rPr>
        <w:t>)</w:t>
      </w:r>
      <w:r w:rsidRPr="00A33AE8">
        <w:rPr>
          <w:rFonts w:asciiTheme="majorHAnsi" w:hAnsiTheme="majorHAnsi" w:cstheme="majorHAnsi"/>
        </w:rPr>
        <w:t>. In 2050, total net energy imports will increase only in WEM scenario by 39.9% at 9.3 Mtoe, compared to 2030 level, while a 10.2% fall (at 5.8 Mtoe) in scenario S and a 19.1% decline (at 3.7 Mtoe) in scenario S-N are anticipated.</w:t>
      </w:r>
    </w:p>
    <w:p w14:paraId="392CFB52" w14:textId="19774A83" w:rsidR="00185B2B" w:rsidRPr="00A33AE8" w:rsidRDefault="00D3105E" w:rsidP="00823286">
      <w:pPr>
        <w:pStyle w:val="Caption"/>
        <w:keepNext/>
        <w:rPr>
          <w:b w:val="0"/>
          <w:bCs w:val="0"/>
          <w:iCs/>
          <w:lang w:eastAsia="el-GR"/>
        </w:rPr>
      </w:pPr>
      <w:bookmarkStart w:id="471" w:name="_Ref153527978"/>
      <w:bookmarkStart w:id="472" w:name="_Toc154575311"/>
      <w:bookmarkStart w:id="473" w:name="_Hlk148953328"/>
      <w:r w:rsidRPr="00A33AE8">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38</w:t>
      </w:r>
      <w:r w:rsidR="006E0533">
        <w:rPr>
          <w:noProof/>
        </w:rPr>
        <w:fldChar w:fldCharType="end"/>
      </w:r>
      <w:bookmarkEnd w:id="471"/>
      <w:r w:rsidR="00185B2B" w:rsidRPr="00A33AE8">
        <w:rPr>
          <w:iCs/>
          <w:lang w:eastAsia="el-GR"/>
        </w:rPr>
        <w:t>: Imports, exports and net imports</w:t>
      </w:r>
      <w:bookmarkEnd w:id="472"/>
    </w:p>
    <w:bookmarkEnd w:id="473"/>
    <w:p w14:paraId="0DB240A6" w14:textId="77777777" w:rsidR="00DB72D3" w:rsidRPr="00A33AE8" w:rsidRDefault="00DB72D3" w:rsidP="00DB72D3">
      <w:pPr>
        <w:ind w:left="-567"/>
        <w:jc w:val="center"/>
        <w:rPr>
          <w:b/>
          <w:bCs/>
        </w:rPr>
      </w:pPr>
      <w:r w:rsidRPr="000007D2">
        <w:rPr>
          <w:noProof/>
          <w:lang w:val="en-US"/>
        </w:rPr>
        <mc:AlternateContent>
          <mc:Choice Requires="wps">
            <w:drawing>
              <wp:anchor distT="0" distB="0" distL="114300" distR="114300" simplePos="0" relativeHeight="251802624" behindDoc="0" locked="0" layoutInCell="1" allowOverlap="1" wp14:anchorId="3D59E075" wp14:editId="3C04AF3D">
                <wp:simplePos x="0" y="0"/>
                <wp:positionH relativeFrom="margin">
                  <wp:posOffset>55321</wp:posOffset>
                </wp:positionH>
                <wp:positionV relativeFrom="paragraph">
                  <wp:posOffset>263195</wp:posOffset>
                </wp:positionV>
                <wp:extent cx="3613684" cy="2677363"/>
                <wp:effectExtent l="0" t="0" r="6350" b="8890"/>
                <wp:wrapNone/>
                <wp:docPr id="79" name="Text Box 79"/>
                <wp:cNvGraphicFramePr/>
                <a:graphic xmlns:a="http://schemas.openxmlformats.org/drawingml/2006/main">
                  <a:graphicData uri="http://schemas.microsoft.com/office/word/2010/wordprocessingShape">
                    <wps:wsp>
                      <wps:cNvSpPr txBox="1"/>
                      <wps:spPr>
                        <a:xfrm>
                          <a:off x="0" y="0"/>
                          <a:ext cx="3613684" cy="2677363"/>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5359B" id="Text Box 79" o:spid="_x0000_s1026" type="#_x0000_t202" style="position:absolute;margin-left:4.35pt;margin-top:20.7pt;width:284.55pt;height:210.8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" fillcolor="#a6a6a6" stroked="f">
                <v:fill opacity="32896f"/>
                <w10:wrap anchorx="margin"/>
              </v:shape>
            </w:pict>
          </mc:Fallback>
        </mc:AlternateContent>
      </w:r>
      <w:r w:rsidRPr="000007D2">
        <w:rPr>
          <w:b/>
          <w:bCs/>
          <w:noProof/>
          <w:lang w:val="en-US"/>
        </w:rPr>
        <w:drawing>
          <wp:inline distT="0" distB="0" distL="0" distR="0" wp14:anchorId="1AC37C9F" wp14:editId="2BDC68E5">
            <wp:extent cx="6751254" cy="3197869"/>
            <wp:effectExtent l="0" t="0" r="0" b="2540"/>
            <wp:docPr id="256109478" name="Picture 25610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785568" cy="3214122"/>
                    </a:xfrm>
                    <a:prstGeom prst="rect">
                      <a:avLst/>
                    </a:prstGeom>
                    <a:noFill/>
                  </pic:spPr>
                </pic:pic>
              </a:graphicData>
            </a:graphic>
          </wp:inline>
        </w:drawing>
      </w:r>
    </w:p>
    <w:p w14:paraId="0A66DB34" w14:textId="0A80644A" w:rsidR="00185B2B" w:rsidRPr="00A33AE8" w:rsidRDefault="00DB72D3" w:rsidP="00185B2B">
      <w:pPr>
        <w:jc w:val="both"/>
        <w:rPr>
          <w:rFonts w:asciiTheme="majorHAnsi" w:hAnsiTheme="majorHAnsi" w:cstheme="majorHAnsi"/>
        </w:rPr>
      </w:pPr>
      <w:r w:rsidRPr="00A33AE8">
        <w:rPr>
          <w:rFonts w:asciiTheme="majorHAnsi" w:hAnsiTheme="majorHAnsi" w:cstheme="majorHAnsi"/>
        </w:rPr>
        <w:t>In WEM scenario, total transformation input in electricity sector reaches 7.9 Mtoe in 2030, decreasing by 0.9% at 7.8 Mtoe in 2050</w:t>
      </w:r>
      <w:r w:rsidR="00906782">
        <w:rPr>
          <w:rFonts w:asciiTheme="majorHAnsi" w:hAnsiTheme="majorHAnsi" w:cstheme="majorHAnsi"/>
        </w:rPr>
        <w:t xml:space="preserve"> (</w:t>
      </w:r>
      <w:r w:rsidR="00906782">
        <w:rPr>
          <w:rFonts w:asciiTheme="majorHAnsi" w:hAnsiTheme="majorHAnsi" w:cstheme="majorHAnsi"/>
        </w:rPr>
        <w:fldChar w:fldCharType="begin"/>
      </w:r>
      <w:r w:rsidR="00906782">
        <w:rPr>
          <w:rFonts w:asciiTheme="majorHAnsi" w:hAnsiTheme="majorHAnsi" w:cstheme="majorHAnsi"/>
        </w:rPr>
        <w:instrText xml:space="preserve"> REF _Ref153528041 \h  \* MERGEFORMAT </w:instrText>
      </w:r>
      <w:r w:rsidR="00906782">
        <w:rPr>
          <w:rFonts w:asciiTheme="majorHAnsi" w:hAnsiTheme="majorHAnsi" w:cstheme="majorHAnsi"/>
        </w:rPr>
      </w:r>
      <w:r w:rsidR="00906782">
        <w:rPr>
          <w:rFonts w:asciiTheme="majorHAnsi" w:hAnsiTheme="majorHAnsi" w:cstheme="majorHAnsi"/>
        </w:rPr>
        <w:fldChar w:fldCharType="separate"/>
      </w:r>
      <w:r w:rsidR="00906782" w:rsidRPr="0087794A">
        <w:rPr>
          <w:rFonts w:asciiTheme="majorHAnsi" w:hAnsiTheme="majorHAnsi" w:cstheme="majorHAnsi"/>
        </w:rPr>
        <w:t>Figure 5.39</w:t>
      </w:r>
      <w:r w:rsidR="00906782">
        <w:rPr>
          <w:rFonts w:asciiTheme="majorHAnsi" w:hAnsiTheme="majorHAnsi" w:cstheme="majorHAnsi"/>
        </w:rPr>
        <w:fldChar w:fldCharType="end"/>
      </w:r>
      <w:r w:rsidR="00906782">
        <w:rPr>
          <w:rFonts w:asciiTheme="majorHAnsi" w:hAnsiTheme="majorHAnsi" w:cstheme="majorHAnsi"/>
        </w:rPr>
        <w:t>)</w:t>
      </w:r>
      <w:r w:rsidRPr="00A33AE8">
        <w:rPr>
          <w:rFonts w:asciiTheme="majorHAnsi" w:hAnsiTheme="majorHAnsi" w:cstheme="majorHAnsi"/>
        </w:rPr>
        <w:t xml:space="preserve">. </w:t>
      </w:r>
      <w:r w:rsidR="00B83F90">
        <w:rPr>
          <w:rFonts w:asciiTheme="majorHAnsi" w:hAnsiTheme="majorHAnsi" w:cstheme="majorHAnsi"/>
        </w:rPr>
        <w:t xml:space="preserve">It should be noted that this refers only to conventional and bioenergy fuel inputs to the electricity plants, while wind, solar and hydro plants are not included, as they do not have any fuel input. </w:t>
      </w:r>
      <w:r w:rsidRPr="00A33AE8">
        <w:rPr>
          <w:rFonts w:asciiTheme="majorHAnsi" w:hAnsiTheme="majorHAnsi" w:cstheme="majorHAnsi"/>
        </w:rPr>
        <w:t xml:space="preserve">By 2050, total transformation input in electricity sector decreases substantially in scenarios S and S-N by 77.5% and 86.7% respectively, reaching 1.1 Mtoe and 670 ktoe accordingly. </w:t>
      </w:r>
      <w:r w:rsidR="00185B2B" w:rsidRPr="00A33AE8">
        <w:rPr>
          <w:rFonts w:asciiTheme="majorHAnsi" w:hAnsiTheme="majorHAnsi" w:cstheme="majorHAnsi"/>
        </w:rPr>
        <w:t>Main activity producer’ conventional thermal power stations contributes the majority of the</w:t>
      </w:r>
      <w:r w:rsidR="00185B2B" w:rsidRPr="000007D2">
        <w:rPr>
          <w:rFonts w:asciiTheme="majorHAnsi" w:hAnsiTheme="majorHAnsi" w:cstheme="majorHAnsi"/>
        </w:rPr>
        <w:t xml:space="preserve"> </w:t>
      </w:r>
      <w:r w:rsidR="00185B2B" w:rsidRPr="00A33AE8">
        <w:rPr>
          <w:rFonts w:asciiTheme="majorHAnsi" w:hAnsiTheme="majorHAnsi" w:cstheme="majorHAnsi"/>
        </w:rPr>
        <w:t>transformation input in electricity sector throughout the projection period.</w:t>
      </w:r>
    </w:p>
    <w:p w14:paraId="26F40487" w14:textId="2240DE53" w:rsidR="00185B2B" w:rsidRPr="00A33AE8" w:rsidRDefault="00D3105E" w:rsidP="00823286">
      <w:pPr>
        <w:pStyle w:val="Caption"/>
        <w:keepNext/>
        <w:rPr>
          <w:b w:val="0"/>
          <w:bCs w:val="0"/>
          <w:iCs/>
          <w:lang w:eastAsia="el-GR"/>
        </w:rPr>
      </w:pPr>
      <w:bookmarkStart w:id="474" w:name="_Ref153528041"/>
      <w:bookmarkStart w:id="475" w:name="_Toc154575312"/>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39</w:t>
      </w:r>
      <w:r w:rsidR="006E0533">
        <w:rPr>
          <w:noProof/>
        </w:rPr>
        <w:fldChar w:fldCharType="end"/>
      </w:r>
      <w:bookmarkEnd w:id="474"/>
      <w:r w:rsidR="00185B2B" w:rsidRPr="00A33AE8">
        <w:rPr>
          <w:iCs/>
          <w:lang w:eastAsia="el-GR"/>
        </w:rPr>
        <w:t>: Transformation input in electricity sector</w:t>
      </w:r>
      <w:bookmarkEnd w:id="475"/>
    </w:p>
    <w:p w14:paraId="7A5E7014" w14:textId="77777777" w:rsidR="00DB72D3" w:rsidRPr="00A33AE8" w:rsidRDefault="00DB72D3" w:rsidP="00DB72D3">
      <w:pPr>
        <w:jc w:val="center"/>
        <w:rPr>
          <w:b/>
          <w:bCs/>
        </w:rPr>
      </w:pPr>
      <w:r w:rsidRPr="000007D2">
        <w:rPr>
          <w:noProof/>
          <w:lang w:val="en-US"/>
        </w:rPr>
        <mc:AlternateContent>
          <mc:Choice Requires="wps">
            <w:drawing>
              <wp:anchor distT="0" distB="0" distL="114300" distR="114300" simplePos="0" relativeHeight="251804672" behindDoc="0" locked="0" layoutInCell="1" allowOverlap="1" wp14:anchorId="3DB0073C" wp14:editId="25125753">
                <wp:simplePos x="0" y="0"/>
                <wp:positionH relativeFrom="margin">
                  <wp:posOffset>443027</wp:posOffset>
                </wp:positionH>
                <wp:positionV relativeFrom="paragraph">
                  <wp:posOffset>235915</wp:posOffset>
                </wp:positionV>
                <wp:extent cx="3350361" cy="2691994"/>
                <wp:effectExtent l="0" t="0" r="2540" b="0"/>
                <wp:wrapNone/>
                <wp:docPr id="80" name="Text Box 80"/>
                <wp:cNvGraphicFramePr/>
                <a:graphic xmlns:a="http://schemas.openxmlformats.org/drawingml/2006/main">
                  <a:graphicData uri="http://schemas.microsoft.com/office/word/2010/wordprocessingShape">
                    <wps:wsp>
                      <wps:cNvSpPr txBox="1"/>
                      <wps:spPr>
                        <a:xfrm>
                          <a:off x="0" y="0"/>
                          <a:ext cx="3350361" cy="2691994"/>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F3D38" id="Text Box 80" o:spid="_x0000_s1026" type="#_x0000_t202" style="position:absolute;margin-left:34.9pt;margin-top:18.6pt;width:263.8pt;height:211.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" fillcolor="#a6a6a6" stroked="f">
                <v:fill opacity="32896f"/>
                <w10:wrap anchorx="margin"/>
              </v:shape>
            </w:pict>
          </mc:Fallback>
        </mc:AlternateContent>
      </w:r>
      <w:r w:rsidRPr="000007D2">
        <w:rPr>
          <w:b/>
          <w:bCs/>
          <w:noProof/>
          <w:lang w:val="en-US"/>
        </w:rPr>
        <w:drawing>
          <wp:inline distT="0" distB="0" distL="0" distR="0" wp14:anchorId="4BACCC6A" wp14:editId="3F2AE05D">
            <wp:extent cx="6057900" cy="3611147"/>
            <wp:effectExtent l="0" t="0" r="0" b="8890"/>
            <wp:docPr id="256109479" name="Picture 25610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68413" cy="3617414"/>
                    </a:xfrm>
                    <a:prstGeom prst="rect">
                      <a:avLst/>
                    </a:prstGeom>
                    <a:noFill/>
                  </pic:spPr>
                </pic:pic>
              </a:graphicData>
            </a:graphic>
          </wp:inline>
        </w:drawing>
      </w:r>
    </w:p>
    <w:p w14:paraId="7FDBE4E5" w14:textId="405A703F" w:rsidR="00FA03DD" w:rsidRDefault="00DB72D3" w:rsidP="0087794A">
      <w:pPr>
        <w:jc w:val="both"/>
      </w:pPr>
      <w:r w:rsidRPr="00A33AE8">
        <w:rPr>
          <w:rFonts w:asciiTheme="majorHAnsi" w:hAnsiTheme="majorHAnsi" w:cstheme="majorHAnsi"/>
        </w:rPr>
        <w:lastRenderedPageBreak/>
        <w:t xml:space="preserve">Similarly, total transformation output in electricity sector in WEM scenario reaches </w:t>
      </w:r>
      <w:r w:rsidR="00320911">
        <w:rPr>
          <w:rFonts w:asciiTheme="majorHAnsi" w:hAnsiTheme="majorHAnsi" w:cstheme="majorHAnsi"/>
        </w:rPr>
        <w:t>2</w:t>
      </w:r>
      <w:r w:rsidRPr="00A33AE8">
        <w:rPr>
          <w:rFonts w:asciiTheme="majorHAnsi" w:hAnsiTheme="majorHAnsi" w:cstheme="majorHAnsi"/>
        </w:rPr>
        <w:t>.</w:t>
      </w:r>
      <w:r w:rsidR="00320911">
        <w:rPr>
          <w:rFonts w:asciiTheme="majorHAnsi" w:hAnsiTheme="majorHAnsi" w:cstheme="majorHAnsi"/>
        </w:rPr>
        <w:t>8</w:t>
      </w:r>
      <w:r w:rsidRPr="00A33AE8">
        <w:rPr>
          <w:rFonts w:asciiTheme="majorHAnsi" w:hAnsiTheme="majorHAnsi" w:cstheme="majorHAnsi"/>
        </w:rPr>
        <w:t xml:space="preserve"> Mtoe in 2030, </w:t>
      </w:r>
      <w:r w:rsidR="00320911">
        <w:rPr>
          <w:rFonts w:asciiTheme="majorHAnsi" w:hAnsiTheme="majorHAnsi" w:cstheme="majorHAnsi"/>
        </w:rPr>
        <w:t>in</w:t>
      </w:r>
      <w:r w:rsidRPr="00A33AE8">
        <w:rPr>
          <w:rFonts w:asciiTheme="majorHAnsi" w:hAnsiTheme="majorHAnsi" w:cstheme="majorHAnsi"/>
        </w:rPr>
        <w:t xml:space="preserve">creasing by </w:t>
      </w:r>
      <w:r w:rsidR="00320911">
        <w:rPr>
          <w:rFonts w:asciiTheme="majorHAnsi" w:hAnsiTheme="majorHAnsi" w:cstheme="majorHAnsi"/>
        </w:rPr>
        <w:t>3</w:t>
      </w:r>
      <w:r w:rsidRPr="00A33AE8">
        <w:rPr>
          <w:rFonts w:asciiTheme="majorHAnsi" w:hAnsiTheme="majorHAnsi" w:cstheme="majorHAnsi"/>
        </w:rPr>
        <w:t xml:space="preserve">% at </w:t>
      </w:r>
      <w:r w:rsidR="00320911">
        <w:rPr>
          <w:rFonts w:asciiTheme="majorHAnsi" w:hAnsiTheme="majorHAnsi" w:cstheme="majorHAnsi"/>
        </w:rPr>
        <w:t>2.9</w:t>
      </w:r>
      <w:r w:rsidRPr="00A33AE8">
        <w:rPr>
          <w:rFonts w:asciiTheme="majorHAnsi" w:hAnsiTheme="majorHAnsi" w:cstheme="majorHAnsi"/>
        </w:rPr>
        <w:t xml:space="preserve"> </w:t>
      </w:r>
      <w:r w:rsidR="00320911">
        <w:rPr>
          <w:rFonts w:asciiTheme="majorHAnsi" w:hAnsiTheme="majorHAnsi" w:cstheme="majorHAnsi"/>
        </w:rPr>
        <w:t>M</w:t>
      </w:r>
      <w:r w:rsidRPr="00A33AE8">
        <w:rPr>
          <w:rFonts w:asciiTheme="majorHAnsi" w:hAnsiTheme="majorHAnsi" w:cstheme="majorHAnsi"/>
        </w:rPr>
        <w:t>toe in 2050</w:t>
      </w:r>
      <w:r w:rsidR="00FA03DD">
        <w:rPr>
          <w:rFonts w:asciiTheme="majorHAnsi" w:hAnsiTheme="majorHAnsi" w:cstheme="majorHAnsi"/>
        </w:rPr>
        <w:t xml:space="preserve"> (</w:t>
      </w:r>
      <w:r w:rsidR="00FA03DD">
        <w:rPr>
          <w:rFonts w:asciiTheme="majorHAnsi" w:hAnsiTheme="majorHAnsi" w:cstheme="majorHAnsi"/>
        </w:rPr>
        <w:fldChar w:fldCharType="begin"/>
      </w:r>
      <w:r w:rsidR="00FA03DD">
        <w:rPr>
          <w:rFonts w:asciiTheme="majorHAnsi" w:hAnsiTheme="majorHAnsi" w:cstheme="majorHAnsi"/>
        </w:rPr>
        <w:instrText xml:space="preserve"> REF _Ref153528165 \h  \* MERGEFORMAT </w:instrText>
      </w:r>
      <w:r w:rsidR="00FA03DD">
        <w:rPr>
          <w:rFonts w:asciiTheme="majorHAnsi" w:hAnsiTheme="majorHAnsi" w:cstheme="majorHAnsi"/>
        </w:rPr>
      </w:r>
      <w:r w:rsidR="00FA03DD">
        <w:rPr>
          <w:rFonts w:asciiTheme="majorHAnsi" w:hAnsiTheme="majorHAnsi" w:cstheme="majorHAnsi"/>
        </w:rPr>
        <w:fldChar w:fldCharType="separate"/>
      </w:r>
      <w:r w:rsidR="00FA03DD" w:rsidRPr="0087794A">
        <w:rPr>
          <w:rFonts w:asciiTheme="majorHAnsi" w:hAnsiTheme="majorHAnsi" w:cstheme="majorHAnsi"/>
        </w:rPr>
        <w:t>Figure 5.40</w:t>
      </w:r>
      <w:r w:rsidR="00FA03DD">
        <w:rPr>
          <w:rFonts w:asciiTheme="majorHAnsi" w:hAnsiTheme="majorHAnsi" w:cstheme="majorHAnsi"/>
        </w:rPr>
        <w:fldChar w:fldCharType="end"/>
      </w:r>
      <w:r w:rsidR="00FA03DD">
        <w:rPr>
          <w:rFonts w:asciiTheme="majorHAnsi" w:hAnsiTheme="majorHAnsi" w:cstheme="majorHAnsi"/>
        </w:rPr>
        <w:t>)</w:t>
      </w:r>
      <w:r w:rsidRPr="00A33AE8">
        <w:rPr>
          <w:rFonts w:asciiTheme="majorHAnsi" w:hAnsiTheme="majorHAnsi" w:cstheme="majorHAnsi"/>
        </w:rPr>
        <w:t>. By 2050, total transformation output in electricity sector decreases substantially in scenarios S and S-N by 71.7% and 84.6% respectively, reaching 551 ktoe and 300 ktoe accordingly.</w:t>
      </w:r>
      <w:r w:rsidR="00185B2B" w:rsidRPr="00A33AE8">
        <w:rPr>
          <w:rFonts w:asciiTheme="majorHAnsi" w:hAnsiTheme="majorHAnsi" w:cstheme="majorHAnsi"/>
        </w:rPr>
        <w:t xml:space="preserve"> Main activity producer’ conventional thermal power stations </w:t>
      </w:r>
      <w:r w:rsidR="00B83F90" w:rsidRPr="00A33AE8">
        <w:rPr>
          <w:rFonts w:asciiTheme="majorHAnsi" w:hAnsiTheme="majorHAnsi" w:cstheme="majorHAnsi"/>
        </w:rPr>
        <w:t>contribute</w:t>
      </w:r>
      <w:r w:rsidR="00185B2B" w:rsidRPr="00A33AE8">
        <w:rPr>
          <w:rFonts w:asciiTheme="majorHAnsi" w:hAnsiTheme="majorHAnsi" w:cstheme="majorHAnsi"/>
        </w:rPr>
        <w:t xml:space="preserve"> the majority of the</w:t>
      </w:r>
      <w:r w:rsidR="00185B2B" w:rsidRPr="000007D2">
        <w:rPr>
          <w:rFonts w:asciiTheme="majorHAnsi" w:hAnsiTheme="majorHAnsi" w:cstheme="majorHAnsi"/>
        </w:rPr>
        <w:t xml:space="preserve"> t</w:t>
      </w:r>
      <w:r w:rsidR="00185B2B" w:rsidRPr="00A33AE8">
        <w:rPr>
          <w:rFonts w:asciiTheme="majorHAnsi" w:hAnsiTheme="majorHAnsi" w:cstheme="majorHAnsi"/>
        </w:rPr>
        <w:t>ransformation output in electricity sector throughout the projection period.</w:t>
      </w:r>
      <w:r w:rsidR="00B83F90">
        <w:rPr>
          <w:rFonts w:asciiTheme="majorHAnsi" w:hAnsiTheme="majorHAnsi" w:cstheme="majorHAnsi"/>
        </w:rPr>
        <w:t xml:space="preserve"> It should be noted that this refers only to conventional and bioenergy fired plants outputs and does not include the output of wind, solar and hydro plants.</w:t>
      </w:r>
    </w:p>
    <w:p w14:paraId="31E92638" w14:textId="69ED7647" w:rsidR="00FA03DD" w:rsidRDefault="00FA03DD" w:rsidP="0087794A">
      <w:pPr>
        <w:pStyle w:val="Caption"/>
        <w:keepNext/>
      </w:pPr>
      <w:bookmarkStart w:id="476" w:name="_Ref153528165"/>
      <w:bookmarkStart w:id="477" w:name="_Toc154575313"/>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40</w:t>
      </w:r>
      <w:r w:rsidR="006E0533">
        <w:rPr>
          <w:noProof/>
        </w:rPr>
        <w:fldChar w:fldCharType="end"/>
      </w:r>
      <w:bookmarkEnd w:id="476"/>
      <w:r>
        <w:t xml:space="preserve">: </w:t>
      </w:r>
      <w:r w:rsidRPr="00FA03DD">
        <w:t>Transformation output in electricity sector</w:t>
      </w:r>
      <w:bookmarkEnd w:id="477"/>
    </w:p>
    <w:p w14:paraId="3B93A4C5" w14:textId="6890FB8C" w:rsidR="00DB72D3" w:rsidRDefault="00FA03DD" w:rsidP="00DB72D3">
      <w:pPr>
        <w:jc w:val="center"/>
        <w:rPr>
          <w:b/>
          <w:bCs/>
        </w:rPr>
      </w:pPr>
      <w:r w:rsidRPr="000007D2">
        <w:rPr>
          <w:noProof/>
          <w:lang w:val="en-US"/>
        </w:rPr>
        <mc:AlternateContent>
          <mc:Choice Requires="wps">
            <w:drawing>
              <wp:anchor distT="0" distB="0" distL="114300" distR="114300" simplePos="0" relativeHeight="251806720" behindDoc="0" locked="0" layoutInCell="1" allowOverlap="1" wp14:anchorId="37239264" wp14:editId="3639273B">
                <wp:simplePos x="0" y="0"/>
                <wp:positionH relativeFrom="margin">
                  <wp:posOffset>1018540</wp:posOffset>
                </wp:positionH>
                <wp:positionV relativeFrom="paragraph">
                  <wp:posOffset>159451</wp:posOffset>
                </wp:positionV>
                <wp:extent cx="2591439" cy="2719185"/>
                <wp:effectExtent l="0" t="0" r="0" b="5080"/>
                <wp:wrapNone/>
                <wp:docPr id="1583571707" name="Text Box 1583571707"/>
                <wp:cNvGraphicFramePr/>
                <a:graphic xmlns:a="http://schemas.openxmlformats.org/drawingml/2006/main">
                  <a:graphicData uri="http://schemas.microsoft.com/office/word/2010/wordprocessingShape">
                    <wps:wsp>
                      <wps:cNvSpPr txBox="1"/>
                      <wps:spPr>
                        <a:xfrm>
                          <a:off x="0" y="0"/>
                          <a:ext cx="2591439" cy="2719185"/>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9C9F5" id="Text Box 1583571707" o:spid="_x0000_s1026" type="#_x0000_t202" style="position:absolute;margin-left:80.2pt;margin-top:12.55pt;width:204.05pt;height:214.1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" fillcolor="#a6a6a6" stroked="f">
                <v:fill opacity="32896f"/>
                <w10:wrap anchorx="margin"/>
              </v:shape>
            </w:pict>
          </mc:Fallback>
        </mc:AlternateContent>
      </w:r>
      <w:r w:rsidR="00320911">
        <w:rPr>
          <w:b/>
          <w:bCs/>
          <w:noProof/>
          <w:lang w:val="en-US"/>
        </w:rPr>
        <w:drawing>
          <wp:inline distT="0" distB="0" distL="0" distR="0" wp14:anchorId="0BB1969B" wp14:editId="474121BA">
            <wp:extent cx="4644580" cy="3060000"/>
            <wp:effectExtent l="0" t="0" r="3810" b="7620"/>
            <wp:docPr id="78120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44580" cy="3060000"/>
                    </a:xfrm>
                    <a:prstGeom prst="rect">
                      <a:avLst/>
                    </a:prstGeom>
                    <a:noFill/>
                  </pic:spPr>
                </pic:pic>
              </a:graphicData>
            </a:graphic>
          </wp:inline>
        </w:drawing>
      </w:r>
    </w:p>
    <w:p w14:paraId="10389915" w14:textId="0BE092D2" w:rsidR="0032005E" w:rsidRDefault="00DB72D3" w:rsidP="0087794A">
      <w:pPr>
        <w:jc w:val="both"/>
      </w:pPr>
      <w:r w:rsidRPr="00A33AE8">
        <w:rPr>
          <w:rFonts w:asciiTheme="majorHAnsi" w:hAnsiTheme="majorHAnsi" w:cstheme="majorHAnsi"/>
        </w:rPr>
        <w:t>In</w:t>
      </w:r>
      <w:r w:rsidR="007611F6" w:rsidRPr="00A33AE8">
        <w:rPr>
          <w:rFonts w:asciiTheme="majorHAnsi" w:hAnsiTheme="majorHAnsi" w:cstheme="majorHAnsi"/>
        </w:rPr>
        <w:t xml:space="preserve"> </w:t>
      </w:r>
      <w:r w:rsidRPr="00A33AE8">
        <w:rPr>
          <w:rFonts w:asciiTheme="majorHAnsi" w:hAnsiTheme="majorHAnsi" w:cstheme="majorHAnsi"/>
        </w:rPr>
        <w:t>scenarios</w:t>
      </w:r>
      <w:r w:rsidR="007611F6" w:rsidRPr="00A33AE8">
        <w:rPr>
          <w:rFonts w:asciiTheme="majorHAnsi" w:hAnsiTheme="majorHAnsi" w:cstheme="majorHAnsi"/>
        </w:rPr>
        <w:t xml:space="preserve"> S and S-N</w:t>
      </w:r>
      <w:r w:rsidRPr="00A33AE8">
        <w:rPr>
          <w:rFonts w:asciiTheme="majorHAnsi" w:hAnsiTheme="majorHAnsi" w:cstheme="majorHAnsi"/>
        </w:rPr>
        <w:t xml:space="preserve">, total electricity network losses as a percentage of total electricity generation reach about </w:t>
      </w:r>
      <w:r w:rsidR="007611F6" w:rsidRPr="00A33AE8">
        <w:rPr>
          <w:rFonts w:asciiTheme="majorHAnsi" w:hAnsiTheme="majorHAnsi" w:cstheme="majorHAnsi"/>
        </w:rPr>
        <w:t>14%</w:t>
      </w:r>
      <w:r w:rsidRPr="00A33AE8">
        <w:rPr>
          <w:rFonts w:asciiTheme="majorHAnsi" w:hAnsiTheme="majorHAnsi" w:cstheme="majorHAnsi"/>
        </w:rPr>
        <w:t xml:space="preserve"> in 2030, </w:t>
      </w:r>
      <w:r w:rsidR="007611F6" w:rsidRPr="00A33AE8">
        <w:rPr>
          <w:rFonts w:asciiTheme="majorHAnsi" w:hAnsiTheme="majorHAnsi" w:cstheme="majorHAnsi"/>
        </w:rPr>
        <w:t>while decreasing</w:t>
      </w:r>
      <w:r w:rsidRPr="00A33AE8">
        <w:rPr>
          <w:rFonts w:asciiTheme="majorHAnsi" w:hAnsiTheme="majorHAnsi" w:cstheme="majorHAnsi"/>
        </w:rPr>
        <w:t xml:space="preserve"> by 2050 </w:t>
      </w:r>
      <w:r w:rsidR="007611F6" w:rsidRPr="00A33AE8">
        <w:rPr>
          <w:rFonts w:asciiTheme="majorHAnsi" w:hAnsiTheme="majorHAnsi" w:cstheme="majorHAnsi"/>
        </w:rPr>
        <w:t>at about 10%</w:t>
      </w:r>
      <w:r w:rsidR="0032005E">
        <w:rPr>
          <w:rFonts w:asciiTheme="majorHAnsi" w:hAnsiTheme="majorHAnsi" w:cstheme="majorHAnsi"/>
        </w:rPr>
        <w:t xml:space="preserve"> (</w:t>
      </w:r>
      <w:r w:rsidR="0032005E">
        <w:rPr>
          <w:rFonts w:asciiTheme="majorHAnsi" w:hAnsiTheme="majorHAnsi" w:cstheme="majorHAnsi"/>
        </w:rPr>
        <w:fldChar w:fldCharType="begin"/>
      </w:r>
      <w:r w:rsidR="0032005E">
        <w:rPr>
          <w:rFonts w:asciiTheme="majorHAnsi" w:hAnsiTheme="majorHAnsi" w:cstheme="majorHAnsi"/>
        </w:rPr>
        <w:instrText xml:space="preserve"> REF _Ref153528263 \h  \* MERGEFORMAT </w:instrText>
      </w:r>
      <w:r w:rsidR="0032005E">
        <w:rPr>
          <w:rFonts w:asciiTheme="majorHAnsi" w:hAnsiTheme="majorHAnsi" w:cstheme="majorHAnsi"/>
        </w:rPr>
      </w:r>
      <w:r w:rsidR="0032005E">
        <w:rPr>
          <w:rFonts w:asciiTheme="majorHAnsi" w:hAnsiTheme="majorHAnsi" w:cstheme="majorHAnsi"/>
        </w:rPr>
        <w:fldChar w:fldCharType="separate"/>
      </w:r>
      <w:r w:rsidR="0032005E" w:rsidRPr="0087794A">
        <w:rPr>
          <w:rFonts w:asciiTheme="majorHAnsi" w:hAnsiTheme="majorHAnsi" w:cstheme="majorHAnsi"/>
        </w:rPr>
        <w:t>Figure 5.41</w:t>
      </w:r>
      <w:r w:rsidR="0032005E">
        <w:rPr>
          <w:rFonts w:asciiTheme="majorHAnsi" w:hAnsiTheme="majorHAnsi" w:cstheme="majorHAnsi"/>
        </w:rPr>
        <w:fldChar w:fldCharType="end"/>
      </w:r>
      <w:r w:rsidR="0032005E">
        <w:rPr>
          <w:rFonts w:asciiTheme="majorHAnsi" w:hAnsiTheme="majorHAnsi" w:cstheme="majorHAnsi"/>
        </w:rPr>
        <w:t>)</w:t>
      </w:r>
      <w:r w:rsidRPr="0087794A">
        <w:rPr>
          <w:rFonts w:asciiTheme="majorHAnsi" w:hAnsiTheme="majorHAnsi" w:cstheme="majorHAnsi"/>
        </w:rPr>
        <w:t>.</w:t>
      </w:r>
      <w:r w:rsidRPr="00A33AE8">
        <w:rPr>
          <w:rFonts w:asciiTheme="majorHAnsi" w:hAnsiTheme="majorHAnsi" w:cstheme="majorHAnsi"/>
          <w:color w:val="44546A" w:themeColor="text2"/>
        </w:rPr>
        <w:t xml:space="preserve"> </w:t>
      </w:r>
      <w:r w:rsidR="007611F6" w:rsidRPr="000007D2">
        <w:rPr>
          <w:rFonts w:asciiTheme="majorHAnsi" w:hAnsiTheme="majorHAnsi" w:cstheme="majorHAnsi"/>
        </w:rPr>
        <w:t>In WEM scenario, total electricity network losses remain stable at 1</w:t>
      </w:r>
      <w:r w:rsidR="009857B9" w:rsidRPr="000007D2">
        <w:rPr>
          <w:rFonts w:asciiTheme="majorHAnsi" w:hAnsiTheme="majorHAnsi" w:cstheme="majorHAnsi"/>
        </w:rPr>
        <w:t xml:space="preserve">2% </w:t>
      </w:r>
      <w:r w:rsidR="00F15D14" w:rsidRPr="000007D2">
        <w:rPr>
          <w:rFonts w:asciiTheme="majorHAnsi" w:hAnsiTheme="majorHAnsi" w:cstheme="majorHAnsi"/>
        </w:rPr>
        <w:t>in</w:t>
      </w:r>
      <w:r w:rsidR="009857B9" w:rsidRPr="000007D2">
        <w:rPr>
          <w:rFonts w:asciiTheme="majorHAnsi" w:hAnsiTheme="majorHAnsi" w:cstheme="majorHAnsi"/>
        </w:rPr>
        <w:t xml:space="preserve"> 2030</w:t>
      </w:r>
      <w:r w:rsidR="00F15D14" w:rsidRPr="000007D2">
        <w:rPr>
          <w:rFonts w:asciiTheme="majorHAnsi" w:hAnsiTheme="majorHAnsi" w:cstheme="majorHAnsi"/>
        </w:rPr>
        <w:t>, 2035</w:t>
      </w:r>
      <w:r w:rsidR="009857B9" w:rsidRPr="000007D2">
        <w:rPr>
          <w:rFonts w:asciiTheme="majorHAnsi" w:hAnsiTheme="majorHAnsi" w:cstheme="majorHAnsi"/>
        </w:rPr>
        <w:t xml:space="preserve"> and 204</w:t>
      </w:r>
      <w:r w:rsidR="007611F6" w:rsidRPr="000007D2">
        <w:rPr>
          <w:rFonts w:asciiTheme="majorHAnsi" w:hAnsiTheme="majorHAnsi" w:cstheme="majorHAnsi"/>
        </w:rPr>
        <w:t>0</w:t>
      </w:r>
      <w:r w:rsidR="009857B9" w:rsidRPr="000007D2">
        <w:rPr>
          <w:rFonts w:asciiTheme="majorHAnsi" w:hAnsiTheme="majorHAnsi" w:cstheme="majorHAnsi"/>
        </w:rPr>
        <w:t xml:space="preserve"> and at 11% </w:t>
      </w:r>
      <w:r w:rsidR="00F15D14" w:rsidRPr="000007D2">
        <w:rPr>
          <w:rFonts w:asciiTheme="majorHAnsi" w:hAnsiTheme="majorHAnsi" w:cstheme="majorHAnsi"/>
        </w:rPr>
        <w:t>in</w:t>
      </w:r>
      <w:r w:rsidR="009857B9" w:rsidRPr="000007D2">
        <w:rPr>
          <w:rFonts w:asciiTheme="majorHAnsi" w:hAnsiTheme="majorHAnsi" w:cstheme="majorHAnsi"/>
        </w:rPr>
        <w:t xml:space="preserve"> 2045 and 2050</w:t>
      </w:r>
      <w:r w:rsidR="007611F6" w:rsidRPr="000007D2">
        <w:rPr>
          <w:rFonts w:asciiTheme="majorHAnsi" w:hAnsiTheme="majorHAnsi" w:cstheme="majorHAnsi"/>
        </w:rPr>
        <w:t>.</w:t>
      </w:r>
      <w:r w:rsidR="00185B2B" w:rsidRPr="000007D2">
        <w:rPr>
          <w:rFonts w:asciiTheme="majorHAnsi" w:hAnsiTheme="majorHAnsi" w:cstheme="majorHAnsi"/>
        </w:rPr>
        <w:t xml:space="preserve"> </w:t>
      </w:r>
      <w:r w:rsidR="00185B2B" w:rsidRPr="00A33AE8">
        <w:rPr>
          <w:rFonts w:asciiTheme="majorHAnsi" w:hAnsiTheme="majorHAnsi" w:cstheme="majorHAnsi"/>
        </w:rPr>
        <w:t>Distribution network losses contribute the majority of the total electricity network losses throughout the projection period.</w:t>
      </w:r>
    </w:p>
    <w:p w14:paraId="66557479" w14:textId="42C36D7E" w:rsidR="0032005E" w:rsidRDefault="0032005E" w:rsidP="0087794A">
      <w:pPr>
        <w:pStyle w:val="Caption"/>
        <w:keepNext/>
      </w:pPr>
      <w:bookmarkStart w:id="478" w:name="_Ref153528263"/>
      <w:bookmarkStart w:id="479" w:name="_Toc154575314"/>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41</w:t>
      </w:r>
      <w:r w:rsidR="006E0533">
        <w:rPr>
          <w:noProof/>
        </w:rPr>
        <w:fldChar w:fldCharType="end"/>
      </w:r>
      <w:bookmarkEnd w:id="478"/>
      <w:r>
        <w:t xml:space="preserve">: </w:t>
      </w:r>
      <w:r w:rsidRPr="0032005E">
        <w:t>Total electricity network losses</w:t>
      </w:r>
      <w:bookmarkEnd w:id="479"/>
    </w:p>
    <w:p w14:paraId="067C6A90" w14:textId="330526F0" w:rsidR="00DB72D3" w:rsidRPr="00A33AE8" w:rsidRDefault="0032005E" w:rsidP="00DB72D3">
      <w:pPr>
        <w:jc w:val="center"/>
        <w:rPr>
          <w:b/>
          <w:bCs/>
        </w:rPr>
      </w:pPr>
      <w:r w:rsidRPr="000007D2">
        <w:rPr>
          <w:noProof/>
          <w:lang w:val="en-US"/>
        </w:rPr>
        <mc:AlternateContent>
          <mc:Choice Requires="wps">
            <w:drawing>
              <wp:anchor distT="0" distB="0" distL="114300" distR="114300" simplePos="0" relativeHeight="251808768" behindDoc="0" locked="0" layoutInCell="1" allowOverlap="1" wp14:anchorId="411D7A70" wp14:editId="5C2D2B80">
                <wp:simplePos x="0" y="0"/>
                <wp:positionH relativeFrom="margin">
                  <wp:posOffset>354731</wp:posOffset>
                </wp:positionH>
                <wp:positionV relativeFrom="paragraph">
                  <wp:posOffset>230838</wp:posOffset>
                </wp:positionV>
                <wp:extent cx="3343275" cy="2138079"/>
                <wp:effectExtent l="0" t="0" r="9525" b="0"/>
                <wp:wrapNone/>
                <wp:docPr id="85" name="Text Box 85"/>
                <wp:cNvGraphicFramePr/>
                <a:graphic xmlns:a="http://schemas.openxmlformats.org/drawingml/2006/main">
                  <a:graphicData uri="http://schemas.microsoft.com/office/word/2010/wordprocessingShape">
                    <wps:wsp>
                      <wps:cNvSpPr txBox="1"/>
                      <wps:spPr>
                        <a:xfrm>
                          <a:off x="0" y="0"/>
                          <a:ext cx="3343275" cy="2138079"/>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5FC711" id="Text Box 85" o:spid="_x0000_s1026" type="#_x0000_t202" style="position:absolute;margin-left:27.95pt;margin-top:18.2pt;width:263.25pt;height:168.3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" fillcolor="#a6a6a6" stroked="f">
                <v:fill opacity="32896f"/>
                <w10:wrap anchorx="margin"/>
              </v:shape>
            </w:pict>
          </mc:Fallback>
        </mc:AlternateContent>
      </w:r>
      <w:r w:rsidR="004000E3" w:rsidRPr="000007D2">
        <w:rPr>
          <w:b/>
          <w:bCs/>
          <w:noProof/>
          <w:lang w:val="en-US"/>
        </w:rPr>
        <w:drawing>
          <wp:inline distT="0" distB="0" distL="0" distR="0" wp14:anchorId="41649087" wp14:editId="4A0974C4">
            <wp:extent cx="5880735" cy="2899969"/>
            <wp:effectExtent l="0" t="0" r="5715" b="0"/>
            <wp:docPr id="1119868800" name="Picture 111986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897235" cy="2908106"/>
                    </a:xfrm>
                    <a:prstGeom prst="rect">
                      <a:avLst/>
                    </a:prstGeom>
                    <a:noFill/>
                  </pic:spPr>
                </pic:pic>
              </a:graphicData>
            </a:graphic>
          </wp:inline>
        </w:drawing>
      </w:r>
    </w:p>
    <w:p w14:paraId="0B674B39" w14:textId="7882A8A4" w:rsidR="0032005E" w:rsidRDefault="00185B2B" w:rsidP="0087794A">
      <w:pPr>
        <w:jc w:val="both"/>
      </w:pPr>
      <w:r w:rsidRPr="00A33AE8">
        <w:rPr>
          <w:rFonts w:asciiTheme="majorHAnsi" w:hAnsiTheme="majorHAnsi" w:cstheme="majorHAnsi"/>
        </w:rPr>
        <w:lastRenderedPageBreak/>
        <w:t>In all scenarios, total gas network losses as a percentage of total gas transferred reach 1% in 2030, remaining stable by 2050</w:t>
      </w:r>
      <w:r w:rsidR="0032005E">
        <w:rPr>
          <w:rFonts w:asciiTheme="majorHAnsi" w:hAnsiTheme="majorHAnsi" w:cstheme="majorHAnsi"/>
        </w:rPr>
        <w:t xml:space="preserve"> (</w:t>
      </w:r>
      <w:r w:rsidR="0032005E">
        <w:rPr>
          <w:rFonts w:asciiTheme="majorHAnsi" w:hAnsiTheme="majorHAnsi" w:cstheme="majorHAnsi"/>
        </w:rPr>
        <w:fldChar w:fldCharType="begin"/>
      </w:r>
      <w:r w:rsidR="0032005E">
        <w:rPr>
          <w:rFonts w:asciiTheme="majorHAnsi" w:hAnsiTheme="majorHAnsi" w:cstheme="majorHAnsi"/>
        </w:rPr>
        <w:instrText xml:space="preserve"> REF _Ref153528349 \h  \* MERGEFORMAT </w:instrText>
      </w:r>
      <w:r w:rsidR="0032005E">
        <w:rPr>
          <w:rFonts w:asciiTheme="majorHAnsi" w:hAnsiTheme="majorHAnsi" w:cstheme="majorHAnsi"/>
        </w:rPr>
      </w:r>
      <w:r w:rsidR="0032005E">
        <w:rPr>
          <w:rFonts w:asciiTheme="majorHAnsi" w:hAnsiTheme="majorHAnsi" w:cstheme="majorHAnsi"/>
        </w:rPr>
        <w:fldChar w:fldCharType="separate"/>
      </w:r>
      <w:r w:rsidR="0032005E" w:rsidRPr="0087794A">
        <w:rPr>
          <w:rFonts w:asciiTheme="majorHAnsi" w:hAnsiTheme="majorHAnsi" w:cstheme="majorHAnsi"/>
        </w:rPr>
        <w:t>Figure 5.42</w:t>
      </w:r>
      <w:r w:rsidR="0032005E">
        <w:rPr>
          <w:rFonts w:asciiTheme="majorHAnsi" w:hAnsiTheme="majorHAnsi" w:cstheme="majorHAnsi"/>
        </w:rPr>
        <w:fldChar w:fldCharType="end"/>
      </w:r>
      <w:r w:rsidRPr="00A33AE8">
        <w:rPr>
          <w:rFonts w:asciiTheme="majorHAnsi" w:hAnsiTheme="majorHAnsi" w:cstheme="majorHAnsi"/>
        </w:rPr>
        <w:t>). Gas losses’ LP Network contribute the majority of the total gas network losses throughout the projection period.</w:t>
      </w:r>
    </w:p>
    <w:p w14:paraId="14BD6D9A" w14:textId="2E54E430" w:rsidR="0032005E" w:rsidRDefault="0032005E" w:rsidP="0087794A">
      <w:pPr>
        <w:pStyle w:val="Caption"/>
        <w:keepNext/>
        <w:jc w:val="center"/>
      </w:pPr>
      <w:bookmarkStart w:id="480" w:name="_Ref153528349"/>
      <w:bookmarkStart w:id="481" w:name="_Toc154575315"/>
      <w:r>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42</w:t>
      </w:r>
      <w:r w:rsidR="006E0533">
        <w:rPr>
          <w:noProof/>
        </w:rPr>
        <w:fldChar w:fldCharType="end"/>
      </w:r>
      <w:bookmarkEnd w:id="480"/>
      <w:r>
        <w:t xml:space="preserve">: </w:t>
      </w:r>
      <w:r w:rsidRPr="0032005E">
        <w:t>Total gas network losses</w:t>
      </w:r>
      <w:bookmarkEnd w:id="481"/>
    </w:p>
    <w:p w14:paraId="5AA1A6AA" w14:textId="5648840B" w:rsidR="00185B2B" w:rsidRPr="00A33AE8" w:rsidRDefault="0032005E" w:rsidP="005B2C66">
      <w:pPr>
        <w:jc w:val="center"/>
        <w:rPr>
          <w:rFonts w:asciiTheme="majorHAnsi" w:hAnsiTheme="majorHAnsi" w:cstheme="majorHAnsi"/>
        </w:rPr>
      </w:pPr>
      <w:r w:rsidRPr="000007D2">
        <w:rPr>
          <w:noProof/>
          <w:lang w:val="en-US"/>
        </w:rPr>
        <mc:AlternateContent>
          <mc:Choice Requires="wps">
            <w:drawing>
              <wp:anchor distT="0" distB="0" distL="114300" distR="114300" simplePos="0" relativeHeight="251810816" behindDoc="0" locked="0" layoutInCell="1" allowOverlap="1" wp14:anchorId="366FBA66" wp14:editId="224582F3">
                <wp:simplePos x="0" y="0"/>
                <wp:positionH relativeFrom="margin">
                  <wp:posOffset>386815</wp:posOffset>
                </wp:positionH>
                <wp:positionV relativeFrom="paragraph">
                  <wp:posOffset>240463</wp:posOffset>
                </wp:positionV>
                <wp:extent cx="3336758" cy="2331453"/>
                <wp:effectExtent l="0" t="0" r="0" b="0"/>
                <wp:wrapNone/>
                <wp:docPr id="29335645" name="Text Box 29335645"/>
                <wp:cNvGraphicFramePr/>
                <a:graphic xmlns:a="http://schemas.openxmlformats.org/drawingml/2006/main">
                  <a:graphicData uri="http://schemas.microsoft.com/office/word/2010/wordprocessingShape">
                    <wps:wsp>
                      <wps:cNvSpPr txBox="1"/>
                      <wps:spPr>
                        <a:xfrm>
                          <a:off x="0" y="0"/>
                          <a:ext cx="3336758" cy="2331453"/>
                        </a:xfrm>
                        <a:prstGeom prst="rect">
                          <a:avLst/>
                        </a:prstGeom>
                        <a:solidFill>
                          <a:sysClr val="window" lastClr="FFFFFF">
                            <a:lumMod val="65000"/>
                            <a:alpha val="50000"/>
                          </a:sysClr>
                        </a:solidFill>
                        <a:ln>
                          <a:noFill/>
                        </a:ln>
                        <a:effectLst/>
                      </wps:spPr>
                      <wps:bodyPr vertOverflow="clip" wrap="square" rtlCol="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C8D58" id="Text Box 29335645" o:spid="_x0000_s1026" type="#_x0000_t202" style="position:absolute;margin-left:30.45pt;margin-top:18.95pt;width:262.75pt;height:183.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" fillcolor="#a6a6a6" stroked="f">
                <v:fill opacity="32896f"/>
                <w10:wrap anchorx="margin"/>
              </v:shape>
            </w:pict>
          </mc:Fallback>
        </mc:AlternateContent>
      </w:r>
      <w:r w:rsidR="00DB72D3" w:rsidRPr="000007D2">
        <w:rPr>
          <w:b/>
          <w:bCs/>
          <w:noProof/>
          <w:lang w:val="en-US"/>
        </w:rPr>
        <w:drawing>
          <wp:inline distT="0" distB="0" distL="0" distR="0" wp14:anchorId="1ED265A5" wp14:editId="089233B3">
            <wp:extent cx="5940425" cy="2973642"/>
            <wp:effectExtent l="0" t="0" r="3175" b="0"/>
            <wp:docPr id="256109482" name="Picture 25610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55441" cy="2981158"/>
                    </a:xfrm>
                    <a:prstGeom prst="rect">
                      <a:avLst/>
                    </a:prstGeom>
                    <a:noFill/>
                  </pic:spPr>
                </pic:pic>
              </a:graphicData>
            </a:graphic>
          </wp:inline>
        </w:drawing>
      </w:r>
    </w:p>
    <w:p w14:paraId="038A945E" w14:textId="77777777" w:rsidR="00895DC4" w:rsidRPr="00A33AE8" w:rsidRDefault="00895DC4" w:rsidP="00895DC4">
      <w:pPr>
        <w:pStyle w:val="Heading2"/>
      </w:pPr>
      <w:bookmarkStart w:id="482" w:name="_Toc136173042"/>
      <w:bookmarkStart w:id="483" w:name="_Toc136173043"/>
      <w:bookmarkStart w:id="484" w:name="_Toc136173044"/>
      <w:bookmarkStart w:id="485" w:name="_Toc136173045"/>
      <w:bookmarkStart w:id="486" w:name="_Toc136173058"/>
      <w:bookmarkStart w:id="487" w:name="_Toc136173061"/>
      <w:bookmarkStart w:id="488" w:name="_Toc136173062"/>
      <w:bookmarkStart w:id="489" w:name="_Toc136173063"/>
      <w:bookmarkStart w:id="490" w:name="_Toc136173064"/>
      <w:bookmarkStart w:id="491" w:name="_Toc136173066"/>
      <w:bookmarkStart w:id="492" w:name="_Toc136173067"/>
      <w:bookmarkStart w:id="493" w:name="_Toc136173068"/>
      <w:bookmarkStart w:id="494" w:name="_Toc136173070"/>
      <w:bookmarkStart w:id="495" w:name="_Toc136173073"/>
      <w:bookmarkStart w:id="496" w:name="_Toc136173076"/>
      <w:bookmarkStart w:id="497" w:name="_Toc136173078"/>
      <w:bookmarkStart w:id="498" w:name="_Toc136173079"/>
      <w:bookmarkStart w:id="499" w:name="_Toc136173080"/>
      <w:bookmarkStart w:id="500" w:name="_Toc136173081"/>
      <w:bookmarkStart w:id="501" w:name="_Toc136173082"/>
      <w:bookmarkStart w:id="502" w:name="_Toc136173083"/>
      <w:bookmarkStart w:id="503" w:name="_Toc136173084"/>
      <w:bookmarkStart w:id="504" w:name="_Toc136173085"/>
      <w:bookmarkStart w:id="505" w:name="_Toc136173086"/>
      <w:bookmarkStart w:id="506" w:name="_Toc136173087"/>
      <w:bookmarkStart w:id="507" w:name="_Toc136173088"/>
      <w:bookmarkStart w:id="508" w:name="_Toc136173089"/>
      <w:bookmarkStart w:id="509" w:name="_Toc136173090"/>
      <w:bookmarkStart w:id="510" w:name="_Toc136173091"/>
      <w:bookmarkStart w:id="511" w:name="_Toc136173093"/>
      <w:bookmarkStart w:id="512" w:name="_Toc136173097"/>
      <w:bookmarkStart w:id="513" w:name="_Toc136173098"/>
      <w:bookmarkStart w:id="514" w:name="_Toc136173102"/>
      <w:bookmarkStart w:id="515" w:name="_Toc136173103"/>
      <w:bookmarkStart w:id="516" w:name="_Toc136173109"/>
      <w:bookmarkStart w:id="517" w:name="_Toc136173110"/>
      <w:bookmarkStart w:id="518" w:name="_Toc136173111"/>
      <w:bookmarkStart w:id="519" w:name="_Toc136173113"/>
      <w:bookmarkStart w:id="520" w:name="_Toc136173114"/>
      <w:bookmarkStart w:id="521" w:name="_Toc136173115"/>
      <w:bookmarkStart w:id="522" w:name="_Toc136173118"/>
      <w:bookmarkStart w:id="523" w:name="_Toc136173119"/>
      <w:bookmarkStart w:id="524" w:name="_Toc136173121"/>
      <w:bookmarkStart w:id="525" w:name="_Toc136173123"/>
      <w:bookmarkStart w:id="526" w:name="_Toc136173124"/>
      <w:bookmarkStart w:id="527" w:name="_Toc136173149"/>
      <w:bookmarkStart w:id="528" w:name="_Toc136173161"/>
      <w:bookmarkStart w:id="529" w:name="_Toc136173185"/>
      <w:bookmarkStart w:id="530" w:name="_Toc136173197"/>
      <w:bookmarkStart w:id="531" w:name="_Toc136173221"/>
      <w:bookmarkStart w:id="532" w:name="_Toc136173233"/>
      <w:bookmarkStart w:id="533" w:name="_Toc136173257"/>
      <w:bookmarkStart w:id="534" w:name="_Toc136173269"/>
      <w:bookmarkStart w:id="535" w:name="_Toc136173293"/>
      <w:bookmarkStart w:id="536" w:name="_Toc136173305"/>
      <w:bookmarkStart w:id="537" w:name="_Toc136173329"/>
      <w:bookmarkStart w:id="538" w:name="_Toc136173341"/>
      <w:bookmarkStart w:id="539" w:name="_Toc136173365"/>
      <w:bookmarkStart w:id="540" w:name="_Toc136173377"/>
      <w:bookmarkStart w:id="541" w:name="_Toc136173401"/>
      <w:bookmarkStart w:id="542" w:name="_Toc136173413"/>
      <w:bookmarkStart w:id="543" w:name="_Toc136173437"/>
      <w:bookmarkStart w:id="544" w:name="_Toc136173449"/>
      <w:bookmarkStart w:id="545" w:name="_Toc136173473"/>
      <w:bookmarkStart w:id="546" w:name="_Toc136173485"/>
      <w:bookmarkStart w:id="547" w:name="_Toc136173497"/>
      <w:bookmarkStart w:id="548" w:name="_Toc136173500"/>
      <w:bookmarkStart w:id="549" w:name="_Toc136173501"/>
      <w:bookmarkStart w:id="550" w:name="_Toc136173502"/>
      <w:bookmarkStart w:id="551" w:name="_Toc136173503"/>
      <w:bookmarkStart w:id="552" w:name="_Toc136173518"/>
      <w:bookmarkStart w:id="553" w:name="_Toc136173525"/>
      <w:bookmarkStart w:id="554" w:name="_Toc136173539"/>
      <w:bookmarkStart w:id="555" w:name="_Toc136173546"/>
      <w:bookmarkStart w:id="556" w:name="_Toc136173560"/>
      <w:bookmarkStart w:id="557" w:name="_Toc136173567"/>
      <w:bookmarkStart w:id="558" w:name="_Toc136173581"/>
      <w:bookmarkStart w:id="559" w:name="_Toc136173588"/>
      <w:bookmarkStart w:id="560" w:name="_Toc136173602"/>
      <w:bookmarkStart w:id="561" w:name="_Toc136173609"/>
      <w:bookmarkStart w:id="562" w:name="_Toc136173623"/>
      <w:bookmarkStart w:id="563" w:name="_Toc136173630"/>
      <w:bookmarkStart w:id="564" w:name="_Toc136173644"/>
      <w:bookmarkStart w:id="565" w:name="_Toc136173651"/>
      <w:bookmarkStart w:id="566" w:name="_Toc136173665"/>
      <w:bookmarkStart w:id="567" w:name="_Toc136173672"/>
      <w:bookmarkStart w:id="568" w:name="_Toc136173686"/>
      <w:bookmarkStart w:id="569" w:name="_Toc136173693"/>
      <w:bookmarkStart w:id="570" w:name="_Toc136173707"/>
      <w:bookmarkStart w:id="571" w:name="_Toc136173714"/>
      <w:bookmarkStart w:id="572" w:name="_Toc136173721"/>
      <w:bookmarkStart w:id="573" w:name="_Toc136173722"/>
      <w:bookmarkStart w:id="574" w:name="_Toc136173724"/>
      <w:bookmarkStart w:id="575" w:name="_Toc136173730"/>
      <w:bookmarkStart w:id="576" w:name="_Toc136173731"/>
      <w:bookmarkStart w:id="577" w:name="_Toc136173732"/>
      <w:bookmarkStart w:id="578" w:name="_Toc136173733"/>
      <w:bookmarkStart w:id="579" w:name="_Toc136173735"/>
      <w:bookmarkStart w:id="580" w:name="_Toc136173736"/>
      <w:bookmarkStart w:id="581" w:name="_Toc136173743"/>
      <w:bookmarkStart w:id="582" w:name="_Toc136173744"/>
      <w:bookmarkStart w:id="583" w:name="_Toc136173746"/>
      <w:bookmarkStart w:id="584" w:name="_Toc136173747"/>
      <w:bookmarkStart w:id="585" w:name="_Toc136173749"/>
      <w:bookmarkStart w:id="586" w:name="_Toc136173750"/>
      <w:bookmarkStart w:id="587" w:name="_Toc136173752"/>
      <w:bookmarkStart w:id="588" w:name="_Toc136173754"/>
      <w:bookmarkStart w:id="589" w:name="_Toc136173755"/>
      <w:bookmarkStart w:id="590" w:name="_Toc136173756"/>
      <w:bookmarkStart w:id="591" w:name="_Toc136173757"/>
      <w:bookmarkStart w:id="592" w:name="_Toc136173759"/>
      <w:bookmarkStart w:id="593" w:name="_Toc136173760"/>
      <w:bookmarkStart w:id="594" w:name="_Toc136173763"/>
      <w:bookmarkStart w:id="595" w:name="_Toc136173764"/>
      <w:bookmarkStart w:id="596" w:name="_Toc136173766"/>
      <w:bookmarkStart w:id="597" w:name="_Toc136173769"/>
      <w:bookmarkStart w:id="598" w:name="_Toc136173770"/>
      <w:bookmarkStart w:id="599" w:name="_Toc136173771"/>
      <w:bookmarkStart w:id="600" w:name="_Toc136173772"/>
      <w:bookmarkStart w:id="601" w:name="_Toc136173775"/>
      <w:bookmarkStart w:id="602" w:name="_Toc136173776"/>
      <w:bookmarkStart w:id="603" w:name="_Toc136173778"/>
      <w:bookmarkStart w:id="604" w:name="_Toc136173779"/>
      <w:bookmarkStart w:id="605" w:name="_Toc136173782"/>
      <w:bookmarkStart w:id="606" w:name="_Toc136173785"/>
      <w:bookmarkStart w:id="607" w:name="_Toc136173786"/>
      <w:bookmarkStart w:id="608" w:name="_Toc136173787"/>
      <w:bookmarkStart w:id="609" w:name="_Toc136173788"/>
      <w:bookmarkStart w:id="610" w:name="_Toc136173791"/>
      <w:bookmarkStart w:id="611" w:name="_Toc136173794"/>
      <w:bookmarkStart w:id="612" w:name="_Toc136173797"/>
      <w:bookmarkStart w:id="613" w:name="_Toc136173798"/>
      <w:bookmarkStart w:id="614" w:name="_Toc136173800"/>
      <w:bookmarkStart w:id="615" w:name="_Toc136173802"/>
      <w:bookmarkStart w:id="616" w:name="_Toc136173803"/>
      <w:bookmarkStart w:id="617" w:name="_Toc136173804"/>
      <w:bookmarkStart w:id="618" w:name="_Toc136173805"/>
      <w:bookmarkStart w:id="619" w:name="_Toc136173806"/>
      <w:bookmarkStart w:id="620" w:name="_Toc136173807"/>
      <w:bookmarkStart w:id="621" w:name="_Toc136173808"/>
      <w:bookmarkStart w:id="622" w:name="_Toc136173809"/>
      <w:bookmarkStart w:id="623" w:name="_Toc136173810"/>
      <w:bookmarkStart w:id="624" w:name="_Toc136173812"/>
      <w:bookmarkStart w:id="625" w:name="_Toc136173815"/>
      <w:bookmarkStart w:id="626" w:name="_Toc136173818"/>
      <w:bookmarkStart w:id="627" w:name="_Toc136173821"/>
      <w:bookmarkStart w:id="628" w:name="_Toc136173822"/>
      <w:bookmarkStart w:id="629" w:name="_Toc136173823"/>
      <w:bookmarkStart w:id="630" w:name="_Toc79772567"/>
      <w:bookmarkStart w:id="631" w:name="_Toc118991787"/>
      <w:bookmarkStart w:id="632" w:name="_Toc153545059"/>
      <w:bookmarkEnd w:id="406"/>
      <w:bookmarkEnd w:id="409"/>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A33AE8">
        <w:t>Macroeconomic and, to the extent feasible, the health, environmental, employment and education, skills and social impacts, of the planned policies and measures</w:t>
      </w:r>
      <w:bookmarkEnd w:id="630"/>
      <w:bookmarkEnd w:id="631"/>
      <w:bookmarkEnd w:id="632"/>
    </w:p>
    <w:p w14:paraId="766A9E55" w14:textId="28C90851" w:rsidR="00B20132" w:rsidRPr="00A33AE8" w:rsidRDefault="00435E0E" w:rsidP="00435E0E">
      <w:pPr>
        <w:pStyle w:val="LDKBody1"/>
      </w:pPr>
      <w:bookmarkStart w:id="633" w:name="_Ref113460841"/>
      <w:r w:rsidRPr="00A33AE8">
        <w:rPr>
          <w:rFonts w:asciiTheme="majorHAnsi" w:hAnsiTheme="majorHAnsi" w:cstheme="majorHAnsi"/>
        </w:rPr>
        <w:t>As readily shown in</w:t>
      </w:r>
      <w:r w:rsidR="00051CA6">
        <w:rPr>
          <w:rFonts w:asciiTheme="majorHAnsi" w:hAnsiTheme="majorHAnsi" w:cstheme="majorHAnsi"/>
        </w:rPr>
        <w:t xml:space="preserve"> </w:t>
      </w:r>
      <w:r w:rsidR="00051CA6">
        <w:rPr>
          <w:rFonts w:asciiTheme="majorHAnsi" w:hAnsiTheme="majorHAnsi" w:cstheme="majorHAnsi"/>
        </w:rPr>
        <w:fldChar w:fldCharType="begin"/>
      </w:r>
      <w:r w:rsidR="00051CA6">
        <w:rPr>
          <w:rFonts w:asciiTheme="majorHAnsi" w:hAnsiTheme="majorHAnsi" w:cstheme="majorHAnsi"/>
        </w:rPr>
        <w:instrText xml:space="preserve"> REF _Ref153528522 \h </w:instrText>
      </w:r>
      <w:r w:rsidR="00051CA6">
        <w:rPr>
          <w:rFonts w:asciiTheme="majorHAnsi" w:hAnsiTheme="majorHAnsi" w:cstheme="majorHAnsi"/>
        </w:rPr>
      </w:r>
      <w:r w:rsidR="00051CA6">
        <w:rPr>
          <w:rFonts w:asciiTheme="majorHAnsi" w:hAnsiTheme="majorHAnsi" w:cstheme="majorHAnsi"/>
        </w:rPr>
        <w:fldChar w:fldCharType="separate"/>
      </w:r>
      <w:r w:rsidR="00051CA6">
        <w:t xml:space="preserve">Figure </w:t>
      </w:r>
      <w:r w:rsidR="00051CA6">
        <w:rPr>
          <w:noProof/>
        </w:rPr>
        <w:t>5</w:t>
      </w:r>
      <w:r w:rsidR="00051CA6">
        <w:t>.</w:t>
      </w:r>
      <w:r w:rsidR="00051CA6">
        <w:rPr>
          <w:noProof/>
        </w:rPr>
        <w:t>43</w:t>
      </w:r>
      <w:r w:rsidR="00051CA6">
        <w:rPr>
          <w:rFonts w:asciiTheme="majorHAnsi" w:hAnsiTheme="majorHAnsi" w:cstheme="majorHAnsi"/>
        </w:rPr>
        <w:fldChar w:fldCharType="end"/>
      </w:r>
      <w:r w:rsidRPr="00A33AE8">
        <w:rPr>
          <w:rFonts w:asciiTheme="majorHAnsi" w:hAnsiTheme="majorHAnsi" w:cstheme="majorHAnsi"/>
        </w:rPr>
        <w:t xml:space="preserve">, until 2030, </w:t>
      </w:r>
      <w:r w:rsidRPr="00A33AE8">
        <w:t>Scenario S (WAM) leads to a continuous increase of the GDP with respect to WEM</w:t>
      </w:r>
      <w:r w:rsidR="00AE2AEB" w:rsidRPr="00A33AE8">
        <w:t>.</w:t>
      </w:r>
      <w:r w:rsidRPr="00A33AE8">
        <w:t xml:space="preserve"> Then, the positive change </w:t>
      </w:r>
      <w:r w:rsidR="00AE2AEB" w:rsidRPr="00A33AE8">
        <w:t xml:space="preserve">becomes more aggressive </w:t>
      </w:r>
      <w:r w:rsidRPr="00A33AE8">
        <w:t>by 2045 (slightly oscillating between +1.</w:t>
      </w:r>
      <w:r w:rsidR="00AE2AEB" w:rsidRPr="00A33AE8">
        <w:t>7</w:t>
      </w:r>
      <w:r w:rsidRPr="00A33AE8">
        <w:t>% and +</w:t>
      </w:r>
      <w:r w:rsidR="00AE2AEB" w:rsidRPr="00A33AE8">
        <w:t>2.2</w:t>
      </w:r>
      <w:r w:rsidRPr="00A33AE8">
        <w:t>%) and presents a negligible descent between 2045 and 2050. However, the change is always greater than +</w:t>
      </w:r>
      <w:r w:rsidR="00AE2AEB" w:rsidRPr="00A33AE8">
        <w:t>1.2</w:t>
      </w:r>
      <w:r w:rsidRPr="00A33AE8">
        <w:t xml:space="preserve">%, with respect to the WEM scenario, through the whole-time horizon. </w:t>
      </w:r>
      <w:r w:rsidR="00AE2AEB" w:rsidRPr="00A33AE8">
        <w:t xml:space="preserve">This means that the policy and technology options included in the WAM scenario have a positive impact on the economy leading to higher GDP growth rates compared to the WEM scenario. </w:t>
      </w:r>
      <w:r w:rsidR="00B20132" w:rsidRPr="00A33AE8">
        <w:t>In the post 2040 period, Scenario S-N (the nuclear option of Scenario S) leads to an almost constant moderate slow-down, due to the emerged costs of relying on the nuclear power technology in conjunction with the posed high mitigation targets.</w:t>
      </w:r>
    </w:p>
    <w:p w14:paraId="734907F4" w14:textId="77777777" w:rsidR="00B20132" w:rsidRPr="00A33AE8" w:rsidRDefault="00BC44AD" w:rsidP="00435E0E">
      <w:pPr>
        <w:pStyle w:val="LDKBody1"/>
      </w:pPr>
      <w:r w:rsidRPr="00A33AE8">
        <w:t xml:space="preserve">The </w:t>
      </w:r>
      <w:r w:rsidR="00B20132" w:rsidRPr="00A33AE8">
        <w:t xml:space="preserve">situation regarding GDP’s growth </w:t>
      </w:r>
      <w:r w:rsidR="00AE2AEB" w:rsidRPr="00A33AE8">
        <w:t xml:space="preserve">rates </w:t>
      </w:r>
      <w:r w:rsidR="00B20132" w:rsidRPr="00A33AE8">
        <w:t xml:space="preserve">is quite clear. The implementation of scenario S tends to increase GDP, with respect to the WEM scenario. On the other hand, the introduction of nuclear power generation </w:t>
      </w:r>
      <w:r w:rsidR="00AE2AEB" w:rsidRPr="00A33AE8">
        <w:t>leads to</w:t>
      </w:r>
      <w:r w:rsidR="00B20132" w:rsidRPr="00A33AE8">
        <w:t xml:space="preserve"> a moderate reduction in GDP, with respect to the WEM scenario, which follows a constant downward trajectory </w:t>
      </w:r>
      <w:r w:rsidR="00AE2AEB" w:rsidRPr="00A33AE8">
        <w:t>after 2040</w:t>
      </w:r>
      <w:r w:rsidR="00B20132" w:rsidRPr="00A33AE8">
        <w:t>. In general, it is costlier to rely on nuclear power (including higher operational and construction costs</w:t>
      </w:r>
      <w:r w:rsidR="00AE2AEB" w:rsidRPr="00A33AE8">
        <w:t>) therefore</w:t>
      </w:r>
      <w:r w:rsidR="00B20132" w:rsidRPr="00A33AE8">
        <w:t>, forcing to rely also on this more expensive technology, in conjunction with ambitious mitigation targets, restrains GDP’s growth in some extent.</w:t>
      </w:r>
    </w:p>
    <w:p w14:paraId="5BBDF11A" w14:textId="0A0B7A23" w:rsidR="00051CA6" w:rsidRDefault="00051CA6" w:rsidP="0087794A">
      <w:pPr>
        <w:pStyle w:val="Caption"/>
        <w:keepNext/>
      </w:pPr>
      <w:bookmarkStart w:id="634" w:name="_Ref153528522"/>
      <w:bookmarkStart w:id="635" w:name="_Toc154575316"/>
      <w:bookmarkEnd w:id="633"/>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43</w:t>
      </w:r>
      <w:r w:rsidR="006E0533">
        <w:rPr>
          <w:noProof/>
        </w:rPr>
        <w:fldChar w:fldCharType="end"/>
      </w:r>
      <w:bookmarkEnd w:id="634"/>
      <w:r w:rsidRPr="00051CA6">
        <w:t>: Impact of scenarios S and S-N implementation on the GDP of Serbian economy over the 2025-2050 period</w:t>
      </w:r>
      <w:bookmarkEnd w:id="635"/>
    </w:p>
    <w:p w14:paraId="1410E7A9" w14:textId="77777777" w:rsidR="00AE2AEB" w:rsidRPr="00A33AE8" w:rsidRDefault="00AE2AEB" w:rsidP="00AE2AEB">
      <w:r w:rsidRPr="000007D2">
        <w:rPr>
          <w:noProof/>
          <w:lang w:val="en-US"/>
        </w:rPr>
        <w:drawing>
          <wp:inline distT="0" distB="0" distL="0" distR="0" wp14:anchorId="67A56559" wp14:editId="49EF5357">
            <wp:extent cx="6120130" cy="3939540"/>
            <wp:effectExtent l="0" t="0" r="13970" b="3810"/>
            <wp:docPr id="1082357229" name="Chart 1082357229">
              <a:extLst xmlns:a="http://schemas.openxmlformats.org/drawingml/2006/main">
                <a:ext uri="{FF2B5EF4-FFF2-40B4-BE49-F238E27FC236}">
                  <a16:creationId xmlns:a16="http://schemas.microsoft.com/office/drawing/2014/main" id="{95545911-C799-C0FE-AB8A-722D09C2D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67940606" w14:textId="77777777" w:rsidR="00AE2AEB" w:rsidRPr="00A33AE8" w:rsidRDefault="00AE2AEB" w:rsidP="00AE2AEB">
      <w:pPr>
        <w:pStyle w:val="xmsonormal"/>
        <w:rPr>
          <w:rFonts w:asciiTheme="majorHAnsi" w:hAnsiTheme="majorHAnsi" w:cstheme="majorHAnsi"/>
          <w:highlight w:val="yellow"/>
          <w:lang w:val="en-GB"/>
        </w:rPr>
      </w:pPr>
    </w:p>
    <w:p w14:paraId="34B806E5" w14:textId="5CCACCC8" w:rsidR="00323AA9" w:rsidRPr="00A33AE8" w:rsidRDefault="003666EF" w:rsidP="00435E0E">
      <w:pPr>
        <w:pStyle w:val="LDKBody1"/>
        <w:spacing w:before="160"/>
      </w:pPr>
      <w:r>
        <w:fldChar w:fldCharType="begin"/>
      </w:r>
      <w:r>
        <w:instrText xml:space="preserve"> REF _Ref153528626 \h </w:instrText>
      </w:r>
      <w:r>
        <w:fldChar w:fldCharType="separate"/>
      </w:r>
      <w:r>
        <w:t xml:space="preserve">Figure </w:t>
      </w:r>
      <w:r>
        <w:rPr>
          <w:noProof/>
        </w:rPr>
        <w:t>5</w:t>
      </w:r>
      <w:r>
        <w:t>.</w:t>
      </w:r>
      <w:r>
        <w:rPr>
          <w:noProof/>
        </w:rPr>
        <w:t>44</w:t>
      </w:r>
      <w:r>
        <w:fldChar w:fldCharType="end"/>
      </w:r>
      <w:r w:rsidR="00713035" w:rsidRPr="00A33AE8">
        <w:t xml:space="preserve"> </w:t>
      </w:r>
      <w:r w:rsidR="000901D4" w:rsidRPr="00A33AE8">
        <w:t>shows how the scenarios under consideration are projected to impact the unemployment levels of Serbian economy. In general,</w:t>
      </w:r>
      <w:r w:rsidR="00435E0E" w:rsidRPr="00A33AE8">
        <w:t xml:space="preserve"> </w:t>
      </w:r>
      <w:r w:rsidR="00323AA9" w:rsidRPr="00A33AE8">
        <w:t xml:space="preserve">the </w:t>
      </w:r>
      <w:r w:rsidR="00AE2AEB" w:rsidRPr="00A33AE8">
        <w:t xml:space="preserve">impact on the </w:t>
      </w:r>
      <w:r w:rsidR="00323AA9" w:rsidRPr="00A33AE8">
        <w:t xml:space="preserve">aggregated unemployment is </w:t>
      </w:r>
      <w:r w:rsidR="00AE2AEB" w:rsidRPr="00A33AE8">
        <w:t>limited.</w:t>
      </w:r>
    </w:p>
    <w:p w14:paraId="12ED5C8E" w14:textId="6B1F0486" w:rsidR="002F51CF" w:rsidRPr="00A33AE8" w:rsidRDefault="00323AA9" w:rsidP="007A0028">
      <w:pPr>
        <w:pStyle w:val="LDKBody1"/>
        <w:spacing w:before="160"/>
      </w:pPr>
      <w:r w:rsidRPr="00A33AE8">
        <w:t xml:space="preserve">Regarding scenario S, the impacts are observed </w:t>
      </w:r>
      <w:r w:rsidR="00AE2AEB" w:rsidRPr="00A33AE8">
        <w:t>prior to 2030</w:t>
      </w:r>
      <w:r w:rsidR="00860ACC">
        <w:t xml:space="preserve"> (where a Just Transition Plan is expected to minimise the consequences of such impact)</w:t>
      </w:r>
      <w:r w:rsidRPr="00A33AE8">
        <w:t xml:space="preserve">. Regarding scenario S-N, we observe a slight increase in the unemployment in the medium to long term </w:t>
      </w:r>
      <w:r w:rsidR="00AE2AEB" w:rsidRPr="00A33AE8">
        <w:t xml:space="preserve">towards 2045 </w:t>
      </w:r>
      <w:r w:rsidRPr="00A33AE8">
        <w:t>(less than 0.4</w:t>
      </w:r>
      <w:r w:rsidR="00AE2AEB" w:rsidRPr="00A33AE8">
        <w:t>% compared to WEM levels).</w:t>
      </w:r>
      <w:r w:rsidRPr="00A33AE8">
        <w:t xml:space="preserve"> This fact is somehow expected, since the present study relies on a computable general equilibrium framework, which is actually a demand-driven approach. Nuclear option constitutes an expensive alternative mainly due to the construction, operational, and maintenance costs. Under this situation, market clearing constraints of the modelling direct the demand to slow-down until the adjustment. The downward demand in conjunction with the high mitigation targets that have been set – thus causing recession to the carbon-intensive activities – and the fact that alternatives such as solar and wind power technologies are less labor-intensive, lead to a slight employment decrease. However, the </w:t>
      </w:r>
      <w:r w:rsidR="00AE2AEB" w:rsidRPr="00A33AE8">
        <w:t xml:space="preserve">overall </w:t>
      </w:r>
      <w:r w:rsidRPr="00A33AE8">
        <w:t xml:space="preserve">impact is </w:t>
      </w:r>
      <w:r w:rsidR="00AE2AEB" w:rsidRPr="000007D2">
        <w:t xml:space="preserve">extremely small </w:t>
      </w:r>
      <w:r w:rsidR="00AE2AEB" w:rsidRPr="00A33AE8">
        <w:t>(less than 0.4%).</w:t>
      </w:r>
    </w:p>
    <w:p w14:paraId="470B3282" w14:textId="5750E05E" w:rsidR="003666EF" w:rsidRDefault="003666EF" w:rsidP="0087794A">
      <w:pPr>
        <w:pStyle w:val="Caption"/>
        <w:keepNext/>
      </w:pPr>
      <w:bookmarkStart w:id="636" w:name="_Ref153528626"/>
      <w:bookmarkStart w:id="637" w:name="_Toc154575317"/>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44</w:t>
      </w:r>
      <w:r w:rsidR="006E0533">
        <w:rPr>
          <w:noProof/>
        </w:rPr>
        <w:fldChar w:fldCharType="end"/>
      </w:r>
      <w:bookmarkEnd w:id="636"/>
      <w:r>
        <w:t xml:space="preserve">: </w:t>
      </w:r>
      <w:r w:rsidRPr="003666EF">
        <w:t>Impact of Scenarios’ S and S-N implementation on the unemployment rate of Serbian economy over the 2025-2050 period</w:t>
      </w:r>
      <w:bookmarkEnd w:id="637"/>
    </w:p>
    <w:p w14:paraId="5CD3C6AA" w14:textId="77777777" w:rsidR="00AE2AEB" w:rsidRPr="00A33AE8" w:rsidRDefault="00AE2AEB" w:rsidP="00AE2AEB">
      <w:r w:rsidRPr="000007D2">
        <w:rPr>
          <w:noProof/>
          <w:lang w:val="en-US"/>
        </w:rPr>
        <w:drawing>
          <wp:inline distT="0" distB="0" distL="0" distR="0" wp14:anchorId="49D45EB7" wp14:editId="73425F34">
            <wp:extent cx="6120130" cy="3600450"/>
            <wp:effectExtent l="0" t="0" r="13970" b="0"/>
            <wp:docPr id="790866037" name="Chart 790866037">
              <a:extLst xmlns:a="http://schemas.openxmlformats.org/drawingml/2006/main">
                <a:ext uri="{FF2B5EF4-FFF2-40B4-BE49-F238E27FC236}">
                  <a16:creationId xmlns:a16="http://schemas.microsoft.com/office/drawing/2014/main" id="{18C8CD8F-5EF4-52F0-2692-3636EC874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7072F791" w14:textId="35C64EA3" w:rsidR="00F774FA" w:rsidRDefault="003666EF" w:rsidP="0087794A">
      <w:pPr>
        <w:pStyle w:val="LDKBody1"/>
      </w:pPr>
      <w:r>
        <w:rPr>
          <w:rStyle w:val="LDKFigureChar"/>
          <w:lang w:val="en-GB"/>
        </w:rPr>
        <w:fldChar w:fldCharType="begin"/>
      </w:r>
      <w:r>
        <w:rPr>
          <w:rStyle w:val="LDKFigureChar"/>
          <w:lang w:val="en-GB"/>
        </w:rPr>
        <w:instrText xml:space="preserve"> REF _Ref153528807 \h </w:instrText>
      </w:r>
      <w:r>
        <w:rPr>
          <w:rStyle w:val="LDKFigureChar"/>
          <w:lang w:val="en-GB"/>
        </w:rPr>
      </w:r>
      <w:r>
        <w:rPr>
          <w:rStyle w:val="LDKFigureChar"/>
          <w:lang w:val="en-GB"/>
        </w:rPr>
        <w:fldChar w:fldCharType="separate"/>
      </w:r>
      <w:r>
        <w:t xml:space="preserve">Figure </w:t>
      </w:r>
      <w:r>
        <w:rPr>
          <w:noProof/>
        </w:rPr>
        <w:t>5</w:t>
      </w:r>
      <w:r>
        <w:t>.</w:t>
      </w:r>
      <w:r>
        <w:rPr>
          <w:noProof/>
        </w:rPr>
        <w:t>45</w:t>
      </w:r>
      <w:r>
        <w:rPr>
          <w:rStyle w:val="LDKFigureChar"/>
          <w:lang w:val="en-GB"/>
        </w:rPr>
        <w:fldChar w:fldCharType="end"/>
      </w:r>
      <w:r w:rsidR="00713035" w:rsidRPr="00A33AE8">
        <w:fldChar w:fldCharType="begin"/>
      </w:r>
      <w:r w:rsidR="00713035" w:rsidRPr="00A33AE8">
        <w:instrText xml:space="preserve"> REF _Ref113462180 \h  \* MERGEFORMAT </w:instrText>
      </w:r>
      <w:r w:rsidR="00713035" w:rsidRPr="00A33AE8">
        <w:fldChar w:fldCharType="end"/>
      </w:r>
      <w:r w:rsidR="00713035" w:rsidRPr="00A33AE8">
        <w:t xml:space="preserve"> </w:t>
      </w:r>
      <w:r w:rsidR="001B1BB6" w:rsidRPr="00A33AE8">
        <w:t>illustrates the estimated impact under scenario S on the employment of key sector</w:t>
      </w:r>
      <w:r w:rsidR="003F03D5" w:rsidRPr="00A33AE8">
        <w:t>s</w:t>
      </w:r>
      <w:r w:rsidR="001B1BB6" w:rsidRPr="00A33AE8">
        <w:t xml:space="preserve"> of the Serbian economy in terms of thousand employees. </w:t>
      </w:r>
      <w:r w:rsidR="003F03D5" w:rsidRPr="00A33AE8">
        <w:t xml:space="preserve">We observe that coal mining sector demands constantly less employees in the labor market, which is an expected result of the process of decarbonization. Petroleum products follow the pattern of coal mining, however, in a quite lower scale. Electricity sector also reduces its labor force, which is an impact of </w:t>
      </w:r>
      <w:r w:rsidR="00AE2AEB" w:rsidRPr="00A33AE8">
        <w:t xml:space="preserve">the change of the generation mix of </w:t>
      </w:r>
      <w:r w:rsidR="003F03D5" w:rsidRPr="00A33AE8">
        <w:t>electricity demand towards 2050</w:t>
      </w:r>
      <w:r w:rsidR="00AE2AEB" w:rsidRPr="00A33AE8">
        <w:t>, from labor intensite lignite fired power plants to less labor</w:t>
      </w:r>
      <w:r w:rsidR="00713035">
        <w:t xml:space="preserve"> </w:t>
      </w:r>
      <w:r w:rsidR="00AE2AEB" w:rsidRPr="00A33AE8">
        <w:t>intensive renewable energy technologies.</w:t>
      </w:r>
      <w:r w:rsidR="003F03D5" w:rsidRPr="00A33AE8">
        <w:t xml:space="preserve"> Heavy manufacturing is affected negatively only in the long term (2050). </w:t>
      </w:r>
      <w:r w:rsidR="00AE2AEB" w:rsidRPr="00A33AE8">
        <w:t xml:space="preserve">Based on the outcomes of the macroeconomic analysis tool, </w:t>
      </w:r>
      <w:r w:rsidR="003F03D5" w:rsidRPr="00A33AE8">
        <w:t xml:space="preserve">the greater part of lost jobs in sectors </w:t>
      </w:r>
      <w:r w:rsidR="00AE2AEB" w:rsidRPr="00A33AE8">
        <w:t xml:space="preserve">where employment is reduced </w:t>
      </w:r>
      <w:r w:rsidR="003F03D5" w:rsidRPr="00A33AE8">
        <w:t xml:space="preserve">moves towards </w:t>
      </w:r>
      <w:r w:rsidR="00AE2AEB" w:rsidRPr="00A33AE8">
        <w:t xml:space="preserve">the </w:t>
      </w:r>
      <w:r w:rsidR="003F03D5" w:rsidRPr="00A33AE8">
        <w:t>services sector.</w:t>
      </w:r>
      <w:r w:rsidR="00713035" w:rsidRPr="00713035">
        <w:t xml:space="preserve"> A more detailed analysis on the employment effects in the specific regions </w:t>
      </w:r>
      <w:r w:rsidR="00052CAE">
        <w:t xml:space="preserve">will be </w:t>
      </w:r>
      <w:r w:rsidR="00713035" w:rsidRPr="00713035">
        <w:t>considered in the Just Transition Diagnostics Study.</w:t>
      </w:r>
      <w:bookmarkStart w:id="638" w:name="_Ref113462180"/>
      <w:bookmarkStart w:id="639" w:name="_Toc118992356"/>
    </w:p>
    <w:p w14:paraId="305F4DBC" w14:textId="248EC02F" w:rsidR="003666EF" w:rsidRDefault="003666EF" w:rsidP="0087794A">
      <w:pPr>
        <w:pStyle w:val="Caption"/>
        <w:keepNext/>
      </w:pPr>
      <w:bookmarkStart w:id="640" w:name="_Ref153528807"/>
      <w:bookmarkStart w:id="641" w:name="_Toc154575318"/>
      <w:bookmarkEnd w:id="638"/>
      <w:bookmarkEnd w:id="639"/>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45</w:t>
      </w:r>
      <w:r w:rsidR="006E0533">
        <w:rPr>
          <w:noProof/>
        </w:rPr>
        <w:fldChar w:fldCharType="end"/>
      </w:r>
      <w:bookmarkEnd w:id="640"/>
      <w:r>
        <w:t xml:space="preserve">: </w:t>
      </w:r>
      <w:r w:rsidRPr="003666EF">
        <w:t>Impact on employment by sector under the implementation of Scenario S</w:t>
      </w:r>
      <w:bookmarkEnd w:id="641"/>
    </w:p>
    <w:p w14:paraId="7E7CA95F" w14:textId="7F470348" w:rsidR="001B1BB6" w:rsidRPr="00A33AE8" w:rsidRDefault="00AE2AEB" w:rsidP="0087794A">
      <w:r w:rsidRPr="000007D2">
        <w:rPr>
          <w:noProof/>
          <w:lang w:val="en-US"/>
        </w:rPr>
        <w:drawing>
          <wp:inline distT="0" distB="0" distL="0" distR="0" wp14:anchorId="59877596" wp14:editId="3CB6EBF6">
            <wp:extent cx="6120130" cy="3508375"/>
            <wp:effectExtent l="0" t="0" r="13970" b="15875"/>
            <wp:docPr id="149931283" name="Chart 149931283">
              <a:extLst xmlns:a="http://schemas.openxmlformats.org/drawingml/2006/main">
                <a:ext uri="{FF2B5EF4-FFF2-40B4-BE49-F238E27FC236}">
                  <a16:creationId xmlns:a16="http://schemas.microsoft.com/office/drawing/2014/main" id="{85897B2D-3DD9-545E-B026-A67ACC6BC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933B5F6" w14:textId="10C24598" w:rsidR="00F774FA" w:rsidRDefault="001B1BB6" w:rsidP="0087794A">
      <w:pPr>
        <w:spacing w:line="240" w:lineRule="auto"/>
        <w:jc w:val="both"/>
      </w:pPr>
      <w:r w:rsidRPr="00A33AE8">
        <w:rPr>
          <w:rFonts w:asciiTheme="majorHAnsi" w:hAnsiTheme="majorHAnsi" w:cstheme="majorHAnsi"/>
        </w:rPr>
        <w:t>It is also interesting to investigate the job creation specifically from power generation technologies. Those jobs are linked either to the</w:t>
      </w:r>
      <w:r w:rsidRPr="00A33AE8">
        <w:rPr>
          <w:rFonts w:asciiTheme="majorHAnsi" w:hAnsiTheme="majorHAnsi" w:cstheme="majorHAnsi"/>
          <w:lang w:eastAsia="el-GR"/>
        </w:rPr>
        <w:t xml:space="preserve"> manufacturing and installation of power generation technologies</w:t>
      </w:r>
      <w:r w:rsidRPr="00A33AE8">
        <w:rPr>
          <w:rFonts w:asciiTheme="majorHAnsi" w:hAnsiTheme="majorHAnsi" w:cstheme="majorHAnsi"/>
        </w:rPr>
        <w:t xml:space="preserve"> or to the O&amp;M of the </w:t>
      </w:r>
      <w:r w:rsidRPr="00A33AE8">
        <w:rPr>
          <w:rFonts w:asciiTheme="majorHAnsi" w:hAnsiTheme="majorHAnsi" w:cstheme="majorHAnsi"/>
          <w:lang w:eastAsia="el-GR"/>
        </w:rPr>
        <w:t>power plants</w:t>
      </w:r>
      <w:r w:rsidRPr="00A33AE8">
        <w:rPr>
          <w:rFonts w:asciiTheme="majorHAnsi" w:hAnsiTheme="majorHAnsi" w:cstheme="majorHAnsi"/>
        </w:rPr>
        <w:t xml:space="preserve">. </w:t>
      </w:r>
      <w:r w:rsidR="005715E2">
        <w:rPr>
          <w:rFonts w:asciiTheme="majorHAnsi" w:hAnsiTheme="majorHAnsi" w:cstheme="majorHAnsi"/>
        </w:rPr>
        <w:t>T</w:t>
      </w:r>
      <w:r w:rsidRPr="00A33AE8">
        <w:rPr>
          <w:rFonts w:asciiTheme="majorHAnsi" w:hAnsiTheme="majorHAnsi" w:cstheme="majorHAnsi"/>
        </w:rPr>
        <w:t>he jobs estimated to be created in scenario S due to the deployment of new RES capacity for solar PV, wind and biomass</w:t>
      </w:r>
      <w:r w:rsidR="00713035">
        <w:rPr>
          <w:rFonts w:asciiTheme="majorHAnsi" w:hAnsiTheme="majorHAnsi" w:cstheme="majorHAnsi"/>
        </w:rPr>
        <w:t xml:space="preserve"> (</w:t>
      </w:r>
      <w:r w:rsidR="00713035" w:rsidRPr="00713035">
        <w:rPr>
          <w:rFonts w:asciiTheme="majorHAnsi" w:hAnsiTheme="majorHAnsi" w:cstheme="majorHAnsi"/>
        </w:rPr>
        <w:t>It is assumed that the installation of a large-scale PV plant on average is 1 year, wind plant 2 years and biomass plant 2 years</w:t>
      </w:r>
      <w:r w:rsidR="00713035">
        <w:rPr>
          <w:rFonts w:asciiTheme="majorHAnsi" w:hAnsiTheme="majorHAnsi" w:cstheme="majorHAnsi"/>
        </w:rPr>
        <w:t>)</w:t>
      </w:r>
      <w:r w:rsidRPr="00A33AE8">
        <w:rPr>
          <w:rFonts w:asciiTheme="majorHAnsi" w:hAnsiTheme="majorHAnsi" w:cstheme="majorHAnsi"/>
        </w:rPr>
        <w:t xml:space="preserve"> have been calculated. The results are illustrated in </w:t>
      </w:r>
      <w:r w:rsidR="00713035" w:rsidRPr="00A33AE8">
        <w:fldChar w:fldCharType="begin"/>
      </w:r>
      <w:r w:rsidR="00713035" w:rsidRPr="00A33AE8">
        <w:instrText xml:space="preserve"> REF _Ref113465034 \h  \* MERGEFORMAT </w:instrText>
      </w:r>
      <w:r w:rsidR="00713035" w:rsidRPr="00A33AE8">
        <w:fldChar w:fldCharType="separate"/>
      </w:r>
      <w:r w:rsidR="00713035" w:rsidRPr="00A33AE8">
        <w:rPr>
          <w:rFonts w:asciiTheme="majorHAnsi" w:hAnsiTheme="majorHAnsi" w:cstheme="majorHAnsi"/>
        </w:rPr>
        <w:t>Figure 5.4</w:t>
      </w:r>
      <w:r w:rsidR="00713035">
        <w:rPr>
          <w:rFonts w:asciiTheme="majorHAnsi" w:hAnsiTheme="majorHAnsi" w:cstheme="majorHAnsi"/>
        </w:rPr>
        <w:t>6</w:t>
      </w:r>
      <w:r w:rsidR="00713035" w:rsidRPr="00A33AE8">
        <w:fldChar w:fldCharType="end"/>
      </w:r>
      <w:r w:rsidRPr="00A33AE8">
        <w:rPr>
          <w:rFonts w:asciiTheme="majorHAnsi" w:hAnsiTheme="majorHAnsi" w:cstheme="majorHAnsi"/>
        </w:rPr>
        <w:t>.</w:t>
      </w:r>
      <w:bookmarkStart w:id="642" w:name="_heading=h.4bewzdj" w:colFirst="0" w:colLast="0"/>
      <w:bookmarkStart w:id="643" w:name="_Ref113465034"/>
      <w:bookmarkStart w:id="644" w:name="_Toc118992357"/>
      <w:bookmarkEnd w:id="642"/>
    </w:p>
    <w:p w14:paraId="0FD8633B" w14:textId="26357390" w:rsidR="001B1BB6" w:rsidRPr="00A33AE8" w:rsidRDefault="001B1BB6" w:rsidP="001B1BB6">
      <w:pPr>
        <w:pStyle w:val="Caption"/>
      </w:pPr>
      <w:bookmarkStart w:id="645" w:name="_Ref153528887"/>
      <w:bookmarkStart w:id="646" w:name="_Toc154575319"/>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46</w:t>
      </w:r>
      <w:r w:rsidR="006E0533">
        <w:rPr>
          <w:noProof/>
        </w:rPr>
        <w:fldChar w:fldCharType="end"/>
      </w:r>
      <w:bookmarkEnd w:id="643"/>
      <w:bookmarkEnd w:id="645"/>
      <w:r w:rsidRPr="00A33AE8">
        <w:t>: Estimation of the number of jobs created in scenario S due to the deployment of new RES capacity for solar PV, wind and biomass</w:t>
      </w:r>
      <w:bookmarkEnd w:id="644"/>
      <w:bookmarkEnd w:id="6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53"/>
      </w:tblGrid>
      <w:tr w:rsidR="001B1BB6" w:rsidRPr="00A33AE8" w14:paraId="378843F0" w14:textId="77777777" w:rsidTr="005F342E">
        <w:tc>
          <w:tcPr>
            <w:tcW w:w="4552" w:type="dxa"/>
          </w:tcPr>
          <w:p w14:paraId="7B637F22" w14:textId="77777777" w:rsidR="001B1BB6" w:rsidRPr="00A33AE8" w:rsidRDefault="00AE2AEB" w:rsidP="005F342E">
            <w:r w:rsidRPr="000007D2">
              <w:rPr>
                <w:noProof/>
                <w:lang w:val="en-US"/>
              </w:rPr>
              <w:drawing>
                <wp:inline distT="0" distB="0" distL="0" distR="0" wp14:anchorId="117F6B80" wp14:editId="604BBD87">
                  <wp:extent cx="2731142" cy="1638300"/>
                  <wp:effectExtent l="0" t="0" r="12065" b="0"/>
                  <wp:docPr id="1085791642" name="Chart 1085791642">
                    <a:extLst xmlns:a="http://schemas.openxmlformats.org/drawingml/2006/main">
                      <a:ext uri="{FF2B5EF4-FFF2-40B4-BE49-F238E27FC236}">
                        <a16:creationId xmlns:a16="http://schemas.microsoft.com/office/drawing/2014/main" id="{3F399170-24EE-4784-A835-EE657803F85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4553" w:type="dxa"/>
          </w:tcPr>
          <w:p w14:paraId="33113E1A" w14:textId="77777777" w:rsidR="001B1BB6" w:rsidRPr="00A33AE8" w:rsidRDefault="00AE2AEB" w:rsidP="005F342E">
            <w:r w:rsidRPr="000007D2">
              <w:rPr>
                <w:noProof/>
                <w:lang w:val="en-US"/>
              </w:rPr>
              <w:drawing>
                <wp:inline distT="0" distB="0" distL="0" distR="0" wp14:anchorId="14C2E729" wp14:editId="142ABDD4">
                  <wp:extent cx="2730500" cy="1638300"/>
                  <wp:effectExtent l="0" t="0" r="12700" b="0"/>
                  <wp:docPr id="77781589" name="Chart 77781589">
                    <a:extLst xmlns:a="http://schemas.openxmlformats.org/drawingml/2006/main">
                      <a:ext uri="{FF2B5EF4-FFF2-40B4-BE49-F238E27FC236}">
                        <a16:creationId xmlns:a16="http://schemas.microsoft.com/office/drawing/2014/main" id="{35438632-27C6-471E-9AE1-6B117B4EAC0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1B1BB6" w:rsidRPr="00A33AE8" w14:paraId="2DC4FA61" w14:textId="77777777" w:rsidTr="005F342E">
        <w:tc>
          <w:tcPr>
            <w:tcW w:w="4552" w:type="dxa"/>
          </w:tcPr>
          <w:p w14:paraId="01A31586" w14:textId="77777777" w:rsidR="001B1BB6" w:rsidRPr="00A33AE8" w:rsidRDefault="001B1BB6" w:rsidP="005F342E"/>
        </w:tc>
        <w:tc>
          <w:tcPr>
            <w:tcW w:w="4553" w:type="dxa"/>
          </w:tcPr>
          <w:p w14:paraId="687D6628" w14:textId="77777777" w:rsidR="001B1BB6" w:rsidRPr="00A33AE8" w:rsidRDefault="001B1BB6" w:rsidP="005F342E"/>
        </w:tc>
      </w:tr>
      <w:tr w:rsidR="001B1BB6" w:rsidRPr="00A33AE8" w14:paraId="3BF9E2F1" w14:textId="77777777" w:rsidTr="005F342E">
        <w:tc>
          <w:tcPr>
            <w:tcW w:w="4552" w:type="dxa"/>
          </w:tcPr>
          <w:p w14:paraId="78C6251D" w14:textId="77777777" w:rsidR="001B1BB6" w:rsidRPr="00A33AE8" w:rsidRDefault="00AE2AEB" w:rsidP="005F342E">
            <w:r w:rsidRPr="000007D2">
              <w:rPr>
                <w:noProof/>
                <w:lang w:val="en-US"/>
              </w:rPr>
              <w:drawing>
                <wp:inline distT="0" distB="0" distL="0" distR="0" wp14:anchorId="2AE31574" wp14:editId="64BAC719">
                  <wp:extent cx="2728800" cy="1638000"/>
                  <wp:effectExtent l="0" t="0" r="14605" b="635"/>
                  <wp:docPr id="227043216" name="Chart 227043216">
                    <a:extLst xmlns:a="http://schemas.openxmlformats.org/drawingml/2006/main">
                      <a:ext uri="{FF2B5EF4-FFF2-40B4-BE49-F238E27FC236}">
                        <a16:creationId xmlns:a16="http://schemas.microsoft.com/office/drawing/2014/main" id="{DBF2A01A-A882-4DBB-8CF9-96ACE86CF47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c>
          <w:tcPr>
            <w:tcW w:w="4553" w:type="dxa"/>
          </w:tcPr>
          <w:p w14:paraId="648ACD7B" w14:textId="77777777" w:rsidR="001B1BB6" w:rsidRPr="00A33AE8" w:rsidRDefault="001B1BB6" w:rsidP="005F342E"/>
        </w:tc>
      </w:tr>
    </w:tbl>
    <w:p w14:paraId="7C8409AB" w14:textId="359F72A9" w:rsidR="001B1BB6" w:rsidRPr="00A33AE8" w:rsidRDefault="001B1BB6" w:rsidP="001B1BB6">
      <w:pPr>
        <w:spacing w:before="120" w:line="240" w:lineRule="auto"/>
        <w:jc w:val="both"/>
        <w:rPr>
          <w:rFonts w:ascii="Calibri Light" w:eastAsia="Times New Roman" w:hAnsi="Calibri Light" w:cs="Arial"/>
          <w:szCs w:val="20"/>
          <w:lang w:eastAsia="el-GR"/>
        </w:rPr>
      </w:pPr>
      <w:r w:rsidRPr="00A33AE8">
        <w:rPr>
          <w:rFonts w:ascii="Calibri Light" w:eastAsia="Times New Roman" w:hAnsi="Calibri Light" w:cs="Arial"/>
          <w:szCs w:val="20"/>
          <w:lang w:eastAsia="el-GR"/>
        </w:rPr>
        <w:lastRenderedPageBreak/>
        <w:t xml:space="preserve">It </w:t>
      </w:r>
      <w:r w:rsidR="00AE2AEB" w:rsidRPr="00A33AE8">
        <w:rPr>
          <w:rFonts w:ascii="Calibri Light" w:eastAsia="Times New Roman" w:hAnsi="Calibri Light" w:cs="Arial"/>
          <w:szCs w:val="20"/>
          <w:lang w:eastAsia="el-GR"/>
        </w:rPr>
        <w:t>must be</w:t>
      </w:r>
      <w:r w:rsidRPr="00A33AE8">
        <w:rPr>
          <w:rFonts w:ascii="Calibri Light" w:eastAsia="Times New Roman" w:hAnsi="Calibri Light" w:cs="Arial"/>
          <w:szCs w:val="20"/>
          <w:lang w:eastAsia="el-GR"/>
        </w:rPr>
        <w:t xml:space="preserve"> noted that the values presented in </w:t>
      </w:r>
      <w:r w:rsidR="003666EF">
        <w:rPr>
          <w:rFonts w:ascii="Calibri Light" w:eastAsia="Times New Roman" w:hAnsi="Calibri Light" w:cs="Arial"/>
          <w:szCs w:val="20"/>
          <w:lang w:eastAsia="el-GR"/>
        </w:rPr>
        <w:fldChar w:fldCharType="begin"/>
      </w:r>
      <w:r w:rsidR="003666EF">
        <w:rPr>
          <w:rFonts w:ascii="Calibri Light" w:eastAsia="Times New Roman" w:hAnsi="Calibri Light" w:cs="Arial"/>
          <w:szCs w:val="20"/>
          <w:lang w:eastAsia="el-GR"/>
        </w:rPr>
        <w:instrText xml:space="preserve"> REF _Ref153528887 \h  \* MERGEFORMAT </w:instrText>
      </w:r>
      <w:r w:rsidR="003666EF">
        <w:rPr>
          <w:rFonts w:ascii="Calibri Light" w:eastAsia="Times New Roman" w:hAnsi="Calibri Light" w:cs="Arial"/>
          <w:szCs w:val="20"/>
          <w:lang w:eastAsia="el-GR"/>
        </w:rPr>
      </w:r>
      <w:r w:rsidR="003666EF">
        <w:rPr>
          <w:rFonts w:ascii="Calibri Light" w:eastAsia="Times New Roman" w:hAnsi="Calibri Light" w:cs="Arial"/>
          <w:szCs w:val="20"/>
          <w:lang w:eastAsia="el-GR"/>
        </w:rPr>
        <w:fldChar w:fldCharType="separate"/>
      </w:r>
      <w:r w:rsidR="003666EF" w:rsidRPr="0087794A">
        <w:rPr>
          <w:rFonts w:ascii="Calibri Light" w:eastAsia="Times New Roman" w:hAnsi="Calibri Light" w:cs="Arial"/>
          <w:szCs w:val="20"/>
          <w:lang w:eastAsia="el-GR"/>
        </w:rPr>
        <w:t>Figure 5.46</w:t>
      </w:r>
      <w:r w:rsidR="003666EF">
        <w:rPr>
          <w:rFonts w:ascii="Calibri Light" w:eastAsia="Times New Roman" w:hAnsi="Calibri Light" w:cs="Arial"/>
          <w:szCs w:val="20"/>
          <w:lang w:eastAsia="el-GR"/>
        </w:rPr>
        <w:fldChar w:fldCharType="end"/>
      </w:r>
      <w:r w:rsidR="003666EF">
        <w:rPr>
          <w:rFonts w:ascii="Calibri Light" w:eastAsia="Times New Roman" w:hAnsi="Calibri Light" w:cs="Arial"/>
          <w:szCs w:val="20"/>
          <w:lang w:eastAsia="el-GR"/>
        </w:rPr>
        <w:t xml:space="preserve"> </w:t>
      </w:r>
      <w:r w:rsidR="00AE2AEB" w:rsidRPr="00A33AE8">
        <w:rPr>
          <w:rFonts w:ascii="Calibri Light" w:eastAsia="Times New Roman" w:hAnsi="Calibri Light" w:cs="Arial"/>
          <w:szCs w:val="20"/>
          <w:lang w:eastAsia="el-GR"/>
        </w:rPr>
        <w:t>refer to</w:t>
      </w:r>
      <w:r w:rsidRPr="00A33AE8">
        <w:rPr>
          <w:rFonts w:ascii="Calibri Light" w:eastAsia="Times New Roman" w:hAnsi="Calibri Light" w:cs="Arial"/>
          <w:szCs w:val="20"/>
          <w:lang w:eastAsia="el-GR"/>
        </w:rPr>
        <w:t xml:space="preserve"> the upper and lower limit of full-time jobs created in the entire country to install, operate and maintain new RES capacity until 2030 (from the beginning of 2023 until end of 2030). Out of </w:t>
      </w:r>
      <w:r w:rsidR="00AE2AEB" w:rsidRPr="00A33AE8">
        <w:rPr>
          <w:rFonts w:ascii="Calibri Light" w:eastAsia="Times New Roman" w:hAnsi="Calibri Light" w:cs="Arial"/>
          <w:szCs w:val="20"/>
          <w:lang w:eastAsia="el-GR"/>
        </w:rPr>
        <w:t>these</w:t>
      </w:r>
      <w:r w:rsidRPr="00A33AE8">
        <w:rPr>
          <w:rFonts w:ascii="Calibri Light" w:eastAsia="Times New Roman" w:hAnsi="Calibri Light" w:cs="Arial"/>
          <w:szCs w:val="20"/>
          <w:lang w:eastAsia="el-GR"/>
        </w:rPr>
        <w:t xml:space="preserve"> jobs, it is anticipated that </w:t>
      </w:r>
      <w:r w:rsidR="00AE2AEB" w:rsidRPr="00A33AE8">
        <w:rPr>
          <w:rFonts w:ascii="Calibri Light" w:eastAsia="Times New Roman" w:hAnsi="Calibri Light" w:cs="Arial"/>
          <w:szCs w:val="20"/>
          <w:lang w:eastAsia="el-GR"/>
        </w:rPr>
        <w:t xml:space="preserve">a </w:t>
      </w:r>
      <w:r w:rsidRPr="00A33AE8">
        <w:rPr>
          <w:rFonts w:ascii="Calibri Light" w:eastAsia="Times New Roman" w:hAnsi="Calibri Light" w:cs="Arial"/>
          <w:szCs w:val="20"/>
          <w:lang w:eastAsia="el-GR"/>
        </w:rPr>
        <w:t xml:space="preserve">large number if not all of them for solar and biomass plants can be created in the impacted lignite territories, </w:t>
      </w:r>
      <w:r w:rsidR="00AE2AEB" w:rsidRPr="00A33AE8">
        <w:rPr>
          <w:rFonts w:ascii="Calibri Light" w:eastAsia="Times New Roman" w:hAnsi="Calibri Light" w:cs="Arial"/>
          <w:szCs w:val="20"/>
          <w:lang w:eastAsia="el-GR"/>
        </w:rPr>
        <w:t>while</w:t>
      </w:r>
      <w:r w:rsidRPr="00A33AE8">
        <w:rPr>
          <w:rFonts w:ascii="Calibri Light" w:eastAsia="Times New Roman" w:hAnsi="Calibri Light" w:cs="Arial"/>
          <w:szCs w:val="20"/>
          <w:lang w:eastAsia="el-GR"/>
        </w:rPr>
        <w:t xml:space="preserve"> jobs related to wind farms which will be deployed in areas with high wind potential. It is also anticipated that the jobs to be created in general and in the lignite regions </w:t>
      </w:r>
      <w:r w:rsidR="00AE2AEB" w:rsidRPr="00A33AE8">
        <w:rPr>
          <w:rFonts w:ascii="Calibri Light" w:eastAsia="Times New Roman" w:hAnsi="Calibri Light" w:cs="Arial"/>
          <w:szCs w:val="20"/>
          <w:lang w:eastAsia="el-GR"/>
        </w:rPr>
        <w:t xml:space="preserve">specifically </w:t>
      </w:r>
      <w:r w:rsidRPr="00A33AE8">
        <w:rPr>
          <w:rFonts w:ascii="Calibri Light" w:eastAsia="Times New Roman" w:hAnsi="Calibri Light" w:cs="Arial"/>
          <w:szCs w:val="20"/>
          <w:lang w:eastAsia="el-GR"/>
        </w:rPr>
        <w:t xml:space="preserve">will be retained due to </w:t>
      </w:r>
      <w:r w:rsidR="00AE2AEB" w:rsidRPr="00A33AE8">
        <w:rPr>
          <w:rFonts w:ascii="Calibri Light" w:eastAsia="Times New Roman" w:hAnsi="Calibri Light" w:cs="Arial"/>
          <w:szCs w:val="20"/>
          <w:lang w:eastAsia="el-GR"/>
        </w:rPr>
        <w:t xml:space="preserve">the </w:t>
      </w:r>
      <w:r w:rsidRPr="00A33AE8">
        <w:rPr>
          <w:rFonts w:ascii="Calibri Light" w:eastAsia="Times New Roman" w:hAnsi="Calibri Light" w:cs="Arial"/>
          <w:szCs w:val="20"/>
          <w:lang w:eastAsia="el-GR"/>
        </w:rPr>
        <w:t xml:space="preserve">constantly </w:t>
      </w:r>
      <w:r w:rsidR="00AE2AEB" w:rsidRPr="00A33AE8">
        <w:rPr>
          <w:rFonts w:ascii="Calibri Light" w:eastAsia="Times New Roman" w:hAnsi="Calibri Light" w:cs="Arial"/>
          <w:szCs w:val="20"/>
          <w:lang w:eastAsia="el-GR"/>
        </w:rPr>
        <w:t>expanding</w:t>
      </w:r>
      <w:r w:rsidRPr="00A33AE8">
        <w:rPr>
          <w:rFonts w:ascii="Calibri Light" w:eastAsia="Times New Roman" w:hAnsi="Calibri Light" w:cs="Arial"/>
          <w:szCs w:val="20"/>
          <w:lang w:eastAsia="el-GR"/>
        </w:rPr>
        <w:t xml:space="preserve"> RES sector.</w:t>
      </w:r>
      <w:r w:rsidR="00597DD3" w:rsidRPr="00A33AE8">
        <w:rPr>
          <w:rFonts w:ascii="Calibri Light" w:eastAsia="Times New Roman" w:hAnsi="Calibri Light" w:cs="Arial"/>
          <w:szCs w:val="20"/>
          <w:lang w:eastAsia="el-GR"/>
        </w:rPr>
        <w:t xml:space="preserve"> </w:t>
      </w:r>
      <w:r w:rsidRPr="00A33AE8">
        <w:rPr>
          <w:rFonts w:ascii="Calibri Light" w:eastAsia="Times New Roman" w:hAnsi="Calibri Light" w:cs="Arial"/>
          <w:szCs w:val="20"/>
          <w:lang w:eastAsia="el-GR"/>
        </w:rPr>
        <w:t>From the analysis it is derived that up to 3300 and 4900 jobs can be created in the region due to the deployment of new solar and biomass plants.</w:t>
      </w:r>
    </w:p>
    <w:p w14:paraId="7073E851" w14:textId="31D087DF" w:rsidR="009753D7" w:rsidRPr="00A33AE8" w:rsidRDefault="001B1BB6" w:rsidP="005B2C66">
      <w:pPr>
        <w:pStyle w:val="Caption"/>
        <w:jc w:val="both"/>
      </w:pPr>
      <w:r w:rsidRPr="00A33AE8">
        <w:rPr>
          <w:rFonts w:eastAsia="Times New Roman" w:cs="Calibri Light"/>
          <w:b w:val="0"/>
          <w:bCs w:val="0"/>
          <w:color w:val="auto"/>
          <w:szCs w:val="20"/>
          <w:lang w:eastAsia="el-GR"/>
        </w:rPr>
        <w:t xml:space="preserve">Scenario S will also impact the average generation (electricity supply) cost that includes the fuel, variable and fixed operating costs plus the annualised investment costs of new investments (after 2016) only. This influence is presented in </w:t>
      </w:r>
      <w:r w:rsidR="00E42E4E">
        <w:rPr>
          <w:rFonts w:eastAsia="Times New Roman" w:cs="Calibri Light"/>
          <w:b w:val="0"/>
          <w:bCs w:val="0"/>
          <w:color w:val="auto"/>
          <w:szCs w:val="20"/>
          <w:lang w:eastAsia="el-GR"/>
        </w:rPr>
        <w:fldChar w:fldCharType="begin"/>
      </w:r>
      <w:r w:rsidR="00E42E4E">
        <w:rPr>
          <w:rFonts w:eastAsia="Times New Roman" w:cs="Calibri Light"/>
          <w:b w:val="0"/>
          <w:bCs w:val="0"/>
          <w:color w:val="auto"/>
          <w:szCs w:val="20"/>
          <w:lang w:eastAsia="el-GR"/>
        </w:rPr>
        <w:instrText xml:space="preserve"> REF _Ref153528925 \h  \* MERGEFORMAT </w:instrText>
      </w:r>
      <w:r w:rsidR="00E42E4E">
        <w:rPr>
          <w:rFonts w:eastAsia="Times New Roman" w:cs="Calibri Light"/>
          <w:b w:val="0"/>
          <w:bCs w:val="0"/>
          <w:color w:val="auto"/>
          <w:szCs w:val="20"/>
          <w:lang w:eastAsia="el-GR"/>
        </w:rPr>
      </w:r>
      <w:r w:rsidR="00E42E4E">
        <w:rPr>
          <w:rFonts w:eastAsia="Times New Roman" w:cs="Calibri Light"/>
          <w:b w:val="0"/>
          <w:bCs w:val="0"/>
          <w:color w:val="auto"/>
          <w:szCs w:val="20"/>
          <w:lang w:eastAsia="el-GR"/>
        </w:rPr>
        <w:fldChar w:fldCharType="separate"/>
      </w:r>
      <w:r w:rsidR="00E42E4E" w:rsidRPr="0087794A">
        <w:rPr>
          <w:rFonts w:eastAsia="Times New Roman" w:cs="Calibri Light"/>
          <w:b w:val="0"/>
          <w:bCs w:val="0"/>
          <w:color w:val="auto"/>
          <w:szCs w:val="20"/>
          <w:lang w:eastAsia="el-GR"/>
        </w:rPr>
        <w:t>Figure 5.47</w:t>
      </w:r>
      <w:r w:rsidR="00E42E4E">
        <w:rPr>
          <w:rFonts w:eastAsia="Times New Roman" w:cs="Calibri Light"/>
          <w:b w:val="0"/>
          <w:bCs w:val="0"/>
          <w:color w:val="auto"/>
          <w:szCs w:val="20"/>
          <w:lang w:eastAsia="el-GR"/>
        </w:rPr>
        <w:fldChar w:fldCharType="end"/>
      </w:r>
      <w:r w:rsidR="00E42E4E">
        <w:rPr>
          <w:rFonts w:eastAsia="Times New Roman" w:cs="Calibri Light"/>
          <w:b w:val="0"/>
          <w:bCs w:val="0"/>
          <w:color w:val="auto"/>
          <w:szCs w:val="20"/>
          <w:lang w:eastAsia="el-GR"/>
        </w:rPr>
        <w:t xml:space="preserve"> </w:t>
      </w:r>
      <w:r w:rsidRPr="00A33AE8">
        <w:rPr>
          <w:rFonts w:eastAsia="Times New Roman" w:cs="Calibri Light"/>
          <w:b w:val="0"/>
          <w:bCs w:val="0"/>
          <w:color w:val="auto"/>
          <w:szCs w:val="20"/>
          <w:lang w:eastAsia="el-GR"/>
        </w:rPr>
        <w:t>and it can be shown that scenario S will specifically lead to an overall increase in the costs towards 2050. It is important to note that average electricity supply cost is not equivalent to the wholesale electricity prices.</w:t>
      </w:r>
      <w:bookmarkStart w:id="647" w:name="_Ref113465623"/>
      <w:bookmarkStart w:id="648" w:name="_Toc118992358"/>
    </w:p>
    <w:p w14:paraId="29A46DBA" w14:textId="3774CC98" w:rsidR="001B1BB6" w:rsidRPr="00A33AE8" w:rsidRDefault="001B1BB6" w:rsidP="001B1BB6">
      <w:pPr>
        <w:pStyle w:val="Caption"/>
        <w:rPr>
          <w:highlight w:val="green"/>
        </w:rPr>
      </w:pPr>
      <w:bookmarkStart w:id="649" w:name="_heading=h.2qk79lc" w:colFirst="0" w:colLast="0"/>
      <w:bookmarkStart w:id="650" w:name="_Ref153528925"/>
      <w:bookmarkStart w:id="651" w:name="_Toc154575320"/>
      <w:bookmarkEnd w:id="649"/>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47</w:t>
      </w:r>
      <w:r w:rsidR="006E0533">
        <w:rPr>
          <w:noProof/>
        </w:rPr>
        <w:fldChar w:fldCharType="end"/>
      </w:r>
      <w:bookmarkEnd w:id="647"/>
      <w:bookmarkEnd w:id="650"/>
      <w:r w:rsidRPr="00A33AE8">
        <w:t>: Evolution of the average electricity supply cost in scenario S</w:t>
      </w:r>
      <w:bookmarkEnd w:id="648"/>
      <w:bookmarkEnd w:id="651"/>
    </w:p>
    <w:p w14:paraId="24124D9E" w14:textId="77777777" w:rsidR="00AE2AEB" w:rsidRPr="00A33AE8" w:rsidRDefault="00AE2AEB" w:rsidP="000007D2">
      <w:pPr>
        <w:pStyle w:val="LDKBody1"/>
        <w:spacing w:before="120"/>
        <w:jc w:val="center"/>
        <w:rPr>
          <w:highlight w:val="green"/>
        </w:rPr>
      </w:pPr>
      <w:r w:rsidRPr="000007D2">
        <w:rPr>
          <w:noProof/>
          <w:lang w:val="en-US" w:eastAsia="en-US"/>
        </w:rPr>
        <w:drawing>
          <wp:inline distT="0" distB="0" distL="0" distR="0" wp14:anchorId="6E4D295E" wp14:editId="2138ECBE">
            <wp:extent cx="3416300" cy="1987550"/>
            <wp:effectExtent l="0" t="0" r="12700" b="12700"/>
            <wp:docPr id="1386066152" name="Chart 1386066152">
              <a:extLst xmlns:a="http://schemas.openxmlformats.org/drawingml/2006/main">
                <a:ext uri="{FF2B5EF4-FFF2-40B4-BE49-F238E27FC236}">
                  <a16:creationId xmlns:a16="http://schemas.microsoft.com/office/drawing/2014/main" id="{2C2B34E5-E482-4B62-AAC2-762423B79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6D386017" w14:textId="77777777" w:rsidR="00895DC4" w:rsidRPr="00A33AE8" w:rsidRDefault="00895DC4" w:rsidP="00895DC4">
      <w:pPr>
        <w:pStyle w:val="Heading2"/>
      </w:pPr>
      <w:bookmarkStart w:id="652" w:name="_Toc136173825"/>
      <w:bookmarkStart w:id="653" w:name="_Toc136173826"/>
      <w:bookmarkStart w:id="654" w:name="_Toc79772568"/>
      <w:bookmarkStart w:id="655" w:name="_Toc118991788"/>
      <w:bookmarkStart w:id="656" w:name="_Toc153545060"/>
      <w:bookmarkEnd w:id="652"/>
      <w:bookmarkEnd w:id="653"/>
      <w:r w:rsidRPr="00A33AE8">
        <w:t>Overview of investment needs</w:t>
      </w:r>
      <w:bookmarkEnd w:id="654"/>
      <w:bookmarkEnd w:id="655"/>
      <w:bookmarkEnd w:id="656"/>
    </w:p>
    <w:p w14:paraId="26CB4D51" w14:textId="5BC89C94" w:rsidR="00527C81" w:rsidRDefault="00BC44AD" w:rsidP="007A0028">
      <w:pPr>
        <w:pStyle w:val="xmsonormal"/>
        <w:spacing w:after="120"/>
        <w:jc w:val="both"/>
        <w:rPr>
          <w:rFonts w:ascii="Calibri Light" w:hAnsi="Calibri Light" w:cs="Calibri Light"/>
          <w:lang w:val="en-GB"/>
        </w:rPr>
      </w:pPr>
      <w:bookmarkStart w:id="657" w:name="_Toc113919403"/>
      <w:bookmarkStart w:id="658" w:name="_Ref113535317"/>
      <w:r w:rsidRPr="00A33AE8">
        <w:rPr>
          <w:rFonts w:ascii="Calibri Light" w:hAnsi="Calibri Light" w:cs="Calibri Light"/>
          <w:lang w:val="en-GB"/>
        </w:rPr>
        <w:t>The</w:t>
      </w:r>
      <w:r w:rsidRPr="000007D2">
        <w:rPr>
          <w:rFonts w:ascii="Calibri Light" w:hAnsi="Calibri Light" w:cs="Calibri Light"/>
          <w:lang w:val="en-GB"/>
        </w:rPr>
        <w:t xml:space="preserve"> </w:t>
      </w:r>
      <w:r w:rsidR="00296611" w:rsidRPr="000007D2">
        <w:rPr>
          <w:rFonts w:ascii="Calibri Light" w:hAnsi="Calibri Light" w:cs="Calibri Light"/>
          <w:lang w:val="en-GB"/>
        </w:rPr>
        <w:t xml:space="preserve">Serbian </w:t>
      </w:r>
      <w:r w:rsidR="002873C7">
        <w:rPr>
          <w:rFonts w:ascii="Calibri Light" w:hAnsi="Calibri Light" w:cs="Calibri Light"/>
          <w:lang w:val="en-GB"/>
        </w:rPr>
        <w:t>I</w:t>
      </w:r>
      <w:r w:rsidR="00296611" w:rsidRPr="000007D2">
        <w:rPr>
          <w:rFonts w:ascii="Calibri Light" w:hAnsi="Calibri Light" w:cs="Calibri Light"/>
          <w:lang w:val="en-GB"/>
        </w:rPr>
        <w:t xml:space="preserve">NECP includes bold efforts towards the decarbonization of the energy sector, associated as expected with high costs. The overall investment needs (referring both to public and </w:t>
      </w:r>
      <w:r w:rsidR="002561DD" w:rsidRPr="000007D2">
        <w:rPr>
          <w:rFonts w:ascii="Calibri Light" w:hAnsi="Calibri Light" w:cs="Calibri Light"/>
          <w:lang w:val="en-GB"/>
        </w:rPr>
        <w:t>own fund</w:t>
      </w:r>
      <w:r w:rsidR="00296611" w:rsidRPr="000007D2">
        <w:rPr>
          <w:rFonts w:ascii="Calibri Light" w:hAnsi="Calibri Light" w:cs="Calibri Light"/>
          <w:lang w:val="en-GB"/>
        </w:rPr>
        <w:t xml:space="preserve"> CAPEX needs) included under the </w:t>
      </w:r>
      <w:r w:rsidR="001E370D">
        <w:rPr>
          <w:rFonts w:ascii="Calibri Light" w:hAnsi="Calibri Light" w:cs="Calibri Light"/>
          <w:lang w:val="en-GB"/>
        </w:rPr>
        <w:t xml:space="preserve">additional cost of the </w:t>
      </w:r>
      <w:r w:rsidR="00296611" w:rsidRPr="000007D2">
        <w:rPr>
          <w:rFonts w:ascii="Calibri Light" w:hAnsi="Calibri Light" w:cs="Calibri Light"/>
          <w:lang w:val="en-GB"/>
        </w:rPr>
        <w:t xml:space="preserve">WAM scenario amount to approximately </w:t>
      </w:r>
      <w:r w:rsidR="003851A2">
        <w:rPr>
          <w:rFonts w:ascii="Calibri Light" w:hAnsi="Calibri Light" w:cs="Calibri Light"/>
          <w:lang w:val="en-GB"/>
        </w:rPr>
        <w:t>13.79</w:t>
      </w:r>
      <w:r w:rsidR="007F4A03" w:rsidRPr="00527C81">
        <w:rPr>
          <w:rFonts w:ascii="Calibri Light" w:hAnsi="Calibri Light" w:cs="Calibri Light"/>
          <w:lang w:val="en-GB"/>
        </w:rPr>
        <w:t xml:space="preserve"> </w:t>
      </w:r>
      <w:r w:rsidR="00527C81" w:rsidRPr="00527C81">
        <w:rPr>
          <w:rFonts w:ascii="Calibri Light" w:hAnsi="Calibri Light" w:cs="Calibri Light"/>
          <w:lang w:val="en-GB"/>
        </w:rPr>
        <w:t xml:space="preserve">billion EUR until 2030, while overall investments needs under WEM scenario are </w:t>
      </w:r>
      <w:r w:rsidR="000F1F99">
        <w:rPr>
          <w:rFonts w:ascii="Calibri Light" w:hAnsi="Calibri Light" w:cs="Calibri Light"/>
          <w:lang w:val="en-GB"/>
        </w:rPr>
        <w:t>16.</w:t>
      </w:r>
      <w:r w:rsidR="003851A2">
        <w:rPr>
          <w:rFonts w:ascii="Calibri Light" w:hAnsi="Calibri Light" w:cs="Calibri Light"/>
          <w:lang w:val="en-US"/>
        </w:rPr>
        <w:t>7</w:t>
      </w:r>
      <w:r w:rsidR="000145AC">
        <w:rPr>
          <w:rFonts w:ascii="Calibri Light" w:hAnsi="Calibri Light" w:cs="Calibri Light"/>
          <w:lang w:val="en-US"/>
        </w:rPr>
        <w:t>6</w:t>
      </w:r>
      <w:r w:rsidR="003851A2" w:rsidRPr="00527C81">
        <w:rPr>
          <w:rFonts w:ascii="Calibri Light" w:hAnsi="Calibri Light" w:cs="Calibri Light"/>
          <w:lang w:val="en-GB"/>
        </w:rPr>
        <w:t xml:space="preserve"> </w:t>
      </w:r>
      <w:r w:rsidR="00527C81" w:rsidRPr="00527C81">
        <w:rPr>
          <w:rFonts w:ascii="Calibri Light" w:hAnsi="Calibri Light" w:cs="Calibri Light"/>
          <w:lang w:val="en-GB"/>
        </w:rPr>
        <w:t>billion EUR until 2030. It should be highlighted that the implementation of INECP can be achieved with the deployment of additional measures as foreseen in the WAM scenario, which complement the measures foreseen in the WEM scenario.</w:t>
      </w:r>
    </w:p>
    <w:p w14:paraId="6061D2BF" w14:textId="4CC76F0A" w:rsidR="00527C81" w:rsidRPr="005B2C66" w:rsidRDefault="00527C81" w:rsidP="00527C81">
      <w:pPr>
        <w:pStyle w:val="xmsonormal"/>
        <w:spacing w:after="120"/>
        <w:jc w:val="both"/>
        <w:rPr>
          <w:rFonts w:ascii="Calibri Light" w:hAnsi="Calibri Light" w:cs="Calibri Light"/>
          <w:b/>
          <w:bCs/>
          <w:lang w:val="en-GB"/>
        </w:rPr>
      </w:pPr>
      <w:r w:rsidRPr="005B2C66">
        <w:rPr>
          <w:rFonts w:ascii="Calibri Light" w:hAnsi="Calibri Light" w:cs="Calibri Light"/>
          <w:b/>
          <w:bCs/>
          <w:lang w:val="en-GB"/>
        </w:rPr>
        <w:t xml:space="preserve">The Total overall investment needs for implementation of INECP are estimated of approx. </w:t>
      </w:r>
      <w:r w:rsidR="003851A2">
        <w:rPr>
          <w:rFonts w:ascii="Calibri Light" w:hAnsi="Calibri Light" w:cs="Calibri Light"/>
          <w:b/>
          <w:bCs/>
          <w:lang w:val="en-GB"/>
        </w:rPr>
        <w:t>30.5</w:t>
      </w:r>
      <w:r w:rsidR="000145AC">
        <w:rPr>
          <w:rFonts w:ascii="Calibri Light" w:hAnsi="Calibri Light" w:cs="Calibri Light"/>
          <w:b/>
          <w:bCs/>
          <w:lang w:val="en-GB"/>
        </w:rPr>
        <w:t>5</w:t>
      </w:r>
      <w:r w:rsidR="000F1F99" w:rsidRPr="005B2C66">
        <w:rPr>
          <w:rFonts w:ascii="Calibri Light" w:hAnsi="Calibri Light" w:cs="Calibri Light"/>
          <w:b/>
          <w:bCs/>
          <w:lang w:val="en-GB"/>
        </w:rPr>
        <w:t xml:space="preserve"> </w:t>
      </w:r>
      <w:r w:rsidRPr="005B2C66">
        <w:rPr>
          <w:rFonts w:ascii="Calibri Light" w:hAnsi="Calibri Light" w:cs="Calibri Light"/>
          <w:b/>
          <w:bCs/>
          <w:lang w:val="en-GB"/>
        </w:rPr>
        <w:t xml:space="preserve">billion EUR, taking into consideration that some </w:t>
      </w:r>
      <w:r w:rsidR="001E370D">
        <w:rPr>
          <w:rFonts w:ascii="Calibri Light" w:hAnsi="Calibri Light" w:cs="Calibri Light"/>
          <w:b/>
          <w:bCs/>
          <w:lang w:val="en-GB"/>
        </w:rPr>
        <w:t xml:space="preserve">key </w:t>
      </w:r>
      <w:r w:rsidRPr="005B2C66">
        <w:rPr>
          <w:rFonts w:ascii="Calibri Light" w:hAnsi="Calibri Light" w:cs="Calibri Light"/>
          <w:b/>
          <w:bCs/>
          <w:lang w:val="en-GB"/>
        </w:rPr>
        <w:t xml:space="preserve">measures </w:t>
      </w:r>
      <w:r w:rsidR="001E370D">
        <w:rPr>
          <w:rFonts w:ascii="Calibri Light" w:hAnsi="Calibri Light" w:cs="Calibri Light"/>
          <w:b/>
          <w:bCs/>
          <w:lang w:val="en-GB"/>
        </w:rPr>
        <w:t xml:space="preserve">that need further studies </w:t>
      </w:r>
      <w:r w:rsidRPr="005B2C66">
        <w:rPr>
          <w:rFonts w:ascii="Calibri Light" w:hAnsi="Calibri Light" w:cs="Calibri Light"/>
          <w:b/>
          <w:bCs/>
          <w:lang w:val="en-GB"/>
        </w:rPr>
        <w:t>are still under budget examination.</w:t>
      </w:r>
    </w:p>
    <w:p w14:paraId="23DEDDAD" w14:textId="19FBA787" w:rsidR="00527C81" w:rsidRPr="00527C81" w:rsidRDefault="00527C81" w:rsidP="00527C81">
      <w:pPr>
        <w:pStyle w:val="xmsonormal"/>
        <w:spacing w:after="120"/>
        <w:jc w:val="both"/>
        <w:rPr>
          <w:rFonts w:ascii="Calibri Light" w:hAnsi="Calibri Light" w:cs="Calibri Light"/>
          <w:lang w:val="en-GB"/>
        </w:rPr>
      </w:pPr>
      <w:r w:rsidRPr="00527C81">
        <w:rPr>
          <w:rFonts w:ascii="Calibri Light" w:hAnsi="Calibri Light" w:cs="Calibri Light"/>
          <w:lang w:val="en-GB"/>
        </w:rPr>
        <w:t>In addition, it is necessary to highlight links and dependencies with the “Basic Principles of Energy Infrastructure Development Plan and Energy Efficiency Measures for the period until 2028 with projections until 2030“ (Government’s Conclusion on adoption 05 no. 312-5262/2023-1 from 15/6/2023) - “EIDP&amp;EEM”</w:t>
      </w:r>
      <w:r>
        <w:rPr>
          <w:rFonts w:ascii="Calibri Light" w:hAnsi="Calibri Light" w:cs="Calibri Light"/>
          <w:lang w:val="en-GB"/>
        </w:rPr>
        <w:t>.</w:t>
      </w:r>
    </w:p>
    <w:p w14:paraId="37EB0C17" w14:textId="77777777" w:rsidR="00527C81" w:rsidRPr="00527C81" w:rsidRDefault="00527C81" w:rsidP="00527C81">
      <w:pPr>
        <w:pStyle w:val="xmsonormal"/>
        <w:spacing w:after="120"/>
        <w:jc w:val="both"/>
        <w:rPr>
          <w:rFonts w:ascii="Calibri Light" w:hAnsi="Calibri Light" w:cs="Calibri Light"/>
          <w:lang w:val="en-GB"/>
        </w:rPr>
      </w:pPr>
      <w:r w:rsidRPr="00527C81">
        <w:rPr>
          <w:rFonts w:ascii="Calibri Light" w:hAnsi="Calibri Light" w:cs="Calibri Light"/>
          <w:lang w:val="en-GB"/>
        </w:rPr>
        <w:t>The aforementioned “EIDP&amp;EEM” includes the basic directions of strategic development until 2030 and 2050. The “EIDP&amp;EEM” refers to various projects at different stages of development and maturity. Due to volatile circumstances in the energy sector worldwide, a lot of these projects could potentially progress to implementation, while other projects are still at the initial stages of development and some even at the very early conceptual stage.</w:t>
      </w:r>
    </w:p>
    <w:p w14:paraId="4F3BAAD1" w14:textId="77777777" w:rsidR="00527C81" w:rsidRPr="00527C81" w:rsidRDefault="00527C81" w:rsidP="00527C81">
      <w:pPr>
        <w:pStyle w:val="xmsonormal"/>
        <w:spacing w:after="120"/>
        <w:jc w:val="both"/>
        <w:rPr>
          <w:rFonts w:ascii="Calibri Light" w:hAnsi="Calibri Light" w:cs="Calibri Light"/>
          <w:lang w:val="en-GB"/>
        </w:rPr>
      </w:pPr>
      <w:r w:rsidRPr="00527C81">
        <w:rPr>
          <w:rFonts w:ascii="Calibri Light" w:hAnsi="Calibri Light" w:cs="Calibri Light"/>
          <w:lang w:val="en-GB"/>
        </w:rPr>
        <w:t>However, this only reinforces the commitment of the Government of the Republic Serbia to go above and beyond regarding the safe and reliable supply of energy (including its quality).</w:t>
      </w:r>
    </w:p>
    <w:p w14:paraId="3F14F34F" w14:textId="77777777" w:rsidR="00527C81" w:rsidRPr="00527C81" w:rsidRDefault="00527C81" w:rsidP="00527C81">
      <w:pPr>
        <w:pStyle w:val="xmsonormal"/>
        <w:spacing w:after="120"/>
        <w:jc w:val="both"/>
        <w:rPr>
          <w:rFonts w:ascii="Calibri Light" w:hAnsi="Calibri Light" w:cs="Calibri Light"/>
          <w:lang w:val="en-GB"/>
        </w:rPr>
      </w:pPr>
      <w:r w:rsidRPr="00527C81">
        <w:rPr>
          <w:rFonts w:ascii="Calibri Light" w:hAnsi="Calibri Light" w:cs="Calibri Light"/>
          <w:lang w:val="en-GB"/>
        </w:rPr>
        <w:lastRenderedPageBreak/>
        <w:t xml:space="preserve">In order to highlight the strategic direction that the Government of the Republic of Serbia needs to take to fulfil its energy transition ambitions, an indicative estimate of the additional investment costs from the Infrastructure Development Plan compared to INECP is presented in </w:t>
      </w:r>
      <w:r w:rsidRPr="005B2C66">
        <w:rPr>
          <w:rFonts w:ascii="Calibri Light" w:hAnsi="Calibri Light" w:cs="Calibri Light"/>
          <w:b/>
          <w:bCs/>
          <w:lang w:val="en-GB"/>
        </w:rPr>
        <w:t>Annex IV.</w:t>
      </w:r>
    </w:p>
    <w:p w14:paraId="21C7004F" w14:textId="77777777" w:rsidR="00527C81" w:rsidRPr="005B2C66" w:rsidRDefault="00527C81" w:rsidP="00527C81">
      <w:pPr>
        <w:pStyle w:val="xmsonormal"/>
        <w:spacing w:after="120"/>
        <w:jc w:val="both"/>
        <w:rPr>
          <w:rFonts w:ascii="Calibri Light" w:hAnsi="Calibri Light" w:cs="Calibri Light"/>
          <w:b/>
          <w:bCs/>
          <w:lang w:val="en-GB"/>
        </w:rPr>
      </w:pPr>
      <w:r w:rsidRPr="005B2C66">
        <w:rPr>
          <w:rFonts w:ascii="Calibri Light" w:hAnsi="Calibri Light" w:cs="Calibri Light"/>
          <w:b/>
          <w:bCs/>
          <w:lang w:val="en-GB"/>
        </w:rPr>
        <w:t>Following to Annex IV, the investment costs for the period up to 2030 are in the range of 4.71 billion EUR, while the investment costs for the period after 2030 and up to 2050 are in the range 3.14 billion EUR.</w:t>
      </w:r>
    </w:p>
    <w:p w14:paraId="6A638BAC" w14:textId="77777777" w:rsidR="00592043" w:rsidRPr="000007D2" w:rsidRDefault="00296611" w:rsidP="007A0028">
      <w:pPr>
        <w:pStyle w:val="xmsonormal"/>
        <w:spacing w:after="120"/>
        <w:jc w:val="both"/>
        <w:rPr>
          <w:rFonts w:ascii="Calibri Light" w:hAnsi="Calibri Light" w:cs="Calibri Light"/>
          <w:lang w:val="en-GB"/>
        </w:rPr>
      </w:pPr>
      <w:r w:rsidRPr="000007D2">
        <w:rPr>
          <w:rFonts w:ascii="Calibri Light" w:hAnsi="Calibri Light" w:cs="Calibri Light"/>
          <w:lang w:val="en-GB"/>
        </w:rPr>
        <w:t>The deployment of new large-scale projects shall also create the respective OPEX needs which are however not included in the present analysis.</w:t>
      </w:r>
      <w:r w:rsidR="00723D84" w:rsidRPr="000007D2">
        <w:rPr>
          <w:rFonts w:ascii="Calibri Light" w:hAnsi="Calibri Light" w:cs="Calibri Light"/>
          <w:lang w:val="en-GB"/>
        </w:rPr>
        <w:t xml:space="preserve"> </w:t>
      </w:r>
      <w:r w:rsidR="00713035" w:rsidRPr="000007D2">
        <w:rPr>
          <w:rFonts w:ascii="Calibri Light" w:hAnsi="Calibri Light" w:cs="Calibri Light"/>
          <w:lang w:val="en-GB"/>
        </w:rPr>
        <w:fldChar w:fldCharType="begin"/>
      </w:r>
      <w:r w:rsidR="00713035" w:rsidRPr="000007D2">
        <w:rPr>
          <w:rFonts w:ascii="Calibri Light" w:hAnsi="Calibri Light" w:cs="Calibri Light"/>
          <w:lang w:val="en-GB"/>
        </w:rPr>
        <w:instrText xml:space="preserve"> REF _Ref118992030 \h  \* MERGEFORMAT </w:instrText>
      </w:r>
      <w:r w:rsidR="00713035" w:rsidRPr="000007D2">
        <w:rPr>
          <w:rFonts w:ascii="Calibri Light" w:hAnsi="Calibri Light" w:cs="Calibri Light"/>
          <w:lang w:val="en-GB"/>
        </w:rPr>
      </w:r>
      <w:r w:rsidR="00713035" w:rsidRPr="000007D2">
        <w:rPr>
          <w:rFonts w:ascii="Calibri Light" w:hAnsi="Calibri Light" w:cs="Calibri Light"/>
          <w:lang w:val="en-GB"/>
        </w:rPr>
        <w:fldChar w:fldCharType="separate"/>
      </w:r>
      <w:r w:rsidR="00713035" w:rsidRPr="005B2C66">
        <w:rPr>
          <w:rFonts w:ascii="Calibri Light" w:hAnsi="Calibri Light" w:cs="Calibri Light"/>
          <w:lang w:val="en-GB"/>
        </w:rPr>
        <w:t>Figure 5.48</w:t>
      </w:r>
      <w:r w:rsidR="00713035" w:rsidRPr="000007D2">
        <w:rPr>
          <w:rFonts w:ascii="Calibri Light" w:hAnsi="Calibri Light" w:cs="Calibri Light"/>
          <w:lang w:val="en-GB"/>
        </w:rPr>
        <w:fldChar w:fldCharType="end"/>
      </w:r>
      <w:r w:rsidR="00713035" w:rsidRPr="000007D2">
        <w:rPr>
          <w:rFonts w:ascii="Calibri Light" w:hAnsi="Calibri Light" w:cs="Calibri Light"/>
          <w:lang w:val="en-GB"/>
        </w:rPr>
        <w:t xml:space="preserve"> </w:t>
      </w:r>
      <w:r w:rsidRPr="000007D2">
        <w:rPr>
          <w:rFonts w:ascii="Calibri Light" w:hAnsi="Calibri Light" w:cs="Calibri Light"/>
          <w:lang w:val="en-GB"/>
        </w:rPr>
        <w:t>illustrates the distribution of implementation costs per dimension.</w:t>
      </w:r>
      <w:bookmarkEnd w:id="657"/>
    </w:p>
    <w:p w14:paraId="07B885EA" w14:textId="07594622" w:rsidR="00B71CE2" w:rsidRDefault="00296611" w:rsidP="0087794A">
      <w:pPr>
        <w:pStyle w:val="xmsonormal"/>
        <w:spacing w:after="120"/>
        <w:jc w:val="both"/>
        <w:rPr>
          <w:rFonts w:ascii="Calibri Light" w:hAnsi="Calibri Light" w:cs="Calibri Light"/>
          <w:lang w:val="en-GB"/>
        </w:rPr>
      </w:pPr>
      <w:r w:rsidRPr="000007D2">
        <w:rPr>
          <w:rFonts w:ascii="Calibri Light" w:hAnsi="Calibri Light" w:cs="Calibri Light"/>
          <w:lang w:val="en-GB"/>
        </w:rPr>
        <w:t xml:space="preserve">As it can be obtained, the related measures included in the Energy Efficiency dimension account for the vast majority of the implementation costs representing around </w:t>
      </w:r>
      <w:r w:rsidR="003851A2">
        <w:rPr>
          <w:rFonts w:ascii="Calibri Light" w:hAnsi="Calibri Light" w:cs="Calibri Light"/>
          <w:lang w:val="en-GB"/>
        </w:rPr>
        <w:t>68.5</w:t>
      </w:r>
      <w:r w:rsidR="000145AC">
        <w:rPr>
          <w:rFonts w:ascii="Calibri Light" w:hAnsi="Calibri Light" w:cs="Calibri Light"/>
          <w:lang w:val="en-GB"/>
        </w:rPr>
        <w:t>4</w:t>
      </w:r>
      <w:r w:rsidRPr="000007D2">
        <w:rPr>
          <w:rFonts w:ascii="Calibri Light" w:hAnsi="Calibri Light" w:cs="Calibri Light"/>
          <w:lang w:val="en-GB"/>
        </w:rPr>
        <w:t>% of them. This is reasonable considering that projects categorized under this dimension are related to massive investments required for the promotion of energy efficiency in the industrial, transport sectors as well as the building sector. These sectors need intensive investments in the form of support schemes through subsidies for the energy renovation of existing commercial, public and residential buildings, as well as the construction of new ones, subsidies and tax advantages for the purchase of energy efficient commercial vehicles and financial/fiscal measures for the replacement of the conventional light-duty and heavy-duty vehicles</w:t>
      </w:r>
      <w:r w:rsidR="00FF2984" w:rsidRPr="000007D2">
        <w:rPr>
          <w:rFonts w:ascii="Calibri Light" w:hAnsi="Calibri Light" w:cs="Calibri Light"/>
          <w:lang w:val="en-GB"/>
        </w:rPr>
        <w:t xml:space="preserve"> </w:t>
      </w:r>
      <w:r w:rsidRPr="000007D2">
        <w:rPr>
          <w:rFonts w:ascii="Calibri Light" w:hAnsi="Calibri Light" w:cs="Calibri Light"/>
          <w:lang w:val="en-GB"/>
        </w:rPr>
        <w:t>for the freight transport as well as for the modernization of the existing railway infrastructure in the country.</w:t>
      </w:r>
    </w:p>
    <w:p w14:paraId="71128904" w14:textId="16801590" w:rsidR="00F774FA" w:rsidRDefault="001D0634" w:rsidP="0087794A">
      <w:pPr>
        <w:pStyle w:val="xmsonormal"/>
        <w:spacing w:after="120"/>
        <w:jc w:val="both"/>
      </w:pPr>
      <w:r w:rsidRPr="001D0634">
        <w:rPr>
          <w:rFonts w:ascii="Calibri Light" w:hAnsi="Calibri Light" w:cs="Calibri Light"/>
          <w:lang w:val="en-GB"/>
        </w:rPr>
        <w:t>It is important to mention that out of the total cost of 20.94</w:t>
      </w:r>
      <w:r>
        <w:rPr>
          <w:rFonts w:ascii="Calibri Light" w:hAnsi="Calibri Light" w:cs="Calibri Light"/>
          <w:lang w:val="en-GB"/>
        </w:rPr>
        <w:t xml:space="preserve"> billion EUR</w:t>
      </w:r>
      <w:r w:rsidRPr="001D0634">
        <w:rPr>
          <w:rFonts w:ascii="Calibri Light" w:hAnsi="Calibri Light" w:cs="Calibri Light"/>
          <w:lang w:val="en-GB"/>
        </w:rPr>
        <w:t xml:space="preserve">, </w:t>
      </w:r>
      <w:r w:rsidR="00B71CE2">
        <w:rPr>
          <w:rFonts w:ascii="Calibri Light" w:hAnsi="Calibri Light" w:cs="Calibri Light"/>
          <w:lang w:val="en-GB"/>
        </w:rPr>
        <w:t xml:space="preserve">the </w:t>
      </w:r>
      <w:r w:rsidRPr="001D0634">
        <w:rPr>
          <w:rFonts w:ascii="Calibri Light" w:hAnsi="Calibri Light" w:cs="Calibri Light"/>
          <w:lang w:val="en-GB"/>
        </w:rPr>
        <w:t>19.0</w:t>
      </w:r>
      <w:r w:rsidR="000145AC">
        <w:rPr>
          <w:rFonts w:ascii="Calibri Light" w:hAnsi="Calibri Light" w:cs="Calibri Light"/>
          <w:lang w:val="en-GB"/>
        </w:rPr>
        <w:t>7</w:t>
      </w:r>
      <w:r w:rsidRPr="001D0634">
        <w:rPr>
          <w:rFonts w:ascii="Calibri Light" w:hAnsi="Calibri Light" w:cs="Calibri Light"/>
          <w:lang w:val="en-GB"/>
        </w:rPr>
        <w:t xml:space="preserve">% (5.83 billion) refers to measures </w:t>
      </w:r>
      <w:r w:rsidR="00B71CE2">
        <w:rPr>
          <w:rFonts w:ascii="Calibri Light" w:hAnsi="Calibri Light" w:cs="Calibri Light"/>
          <w:lang w:val="en-GB"/>
        </w:rPr>
        <w:t xml:space="preserve">that affect also </w:t>
      </w:r>
      <w:r w:rsidRPr="001D0634">
        <w:rPr>
          <w:rFonts w:ascii="Calibri Light" w:hAnsi="Calibri Light" w:cs="Calibri Light"/>
          <w:lang w:val="en-GB"/>
        </w:rPr>
        <w:t>the Decarbonization dimension</w:t>
      </w:r>
      <w:r w:rsidR="00B71CE2">
        <w:rPr>
          <w:rFonts w:ascii="Calibri Light" w:hAnsi="Calibri Light" w:cs="Calibri Light"/>
          <w:lang w:val="en-GB"/>
        </w:rPr>
        <w:t xml:space="preserve">, but the implementation cost has not been double counted. </w:t>
      </w:r>
      <w:r w:rsidRPr="001D0634">
        <w:rPr>
          <w:rFonts w:ascii="Calibri Light" w:hAnsi="Calibri Light" w:cs="Calibri Light"/>
          <w:lang w:val="en-GB"/>
        </w:rPr>
        <w:t xml:space="preserve">More specifically, it </w:t>
      </w:r>
      <w:r w:rsidR="00B71CE2">
        <w:rPr>
          <w:rFonts w:ascii="Calibri Light" w:hAnsi="Calibri Light" w:cs="Calibri Light"/>
          <w:lang w:val="en-GB"/>
        </w:rPr>
        <w:t>affects</w:t>
      </w:r>
      <w:r w:rsidRPr="001D0634">
        <w:rPr>
          <w:rFonts w:ascii="Calibri Light" w:hAnsi="Calibri Light" w:cs="Calibri Light"/>
          <w:lang w:val="en-GB"/>
        </w:rPr>
        <w:t xml:space="preserve"> measures </w:t>
      </w:r>
      <w:r w:rsidRPr="00D617CC">
        <w:rPr>
          <w:rFonts w:ascii="Calibri Light" w:hAnsi="Calibri Light" w:cs="Calibri Light"/>
          <w:b/>
          <w:bCs/>
          <w:lang w:val="en-GB"/>
        </w:rPr>
        <w:t>PM_D29</w:t>
      </w:r>
      <w:r w:rsidRPr="001D0634">
        <w:rPr>
          <w:rFonts w:ascii="Calibri Light" w:hAnsi="Calibri Light" w:cs="Calibri Light"/>
          <w:lang w:val="en-GB"/>
        </w:rPr>
        <w:t xml:space="preserve">, </w:t>
      </w:r>
      <w:r w:rsidRPr="00D617CC">
        <w:rPr>
          <w:rFonts w:ascii="Calibri Light" w:hAnsi="Calibri Light" w:cs="Calibri Light"/>
          <w:b/>
          <w:bCs/>
          <w:lang w:val="en-GB"/>
        </w:rPr>
        <w:t>PM_D30</w:t>
      </w:r>
      <w:r w:rsidRPr="001D0634">
        <w:rPr>
          <w:rFonts w:ascii="Calibri Light" w:hAnsi="Calibri Light" w:cs="Calibri Light"/>
          <w:lang w:val="en-GB"/>
        </w:rPr>
        <w:t xml:space="preserve">, </w:t>
      </w:r>
      <w:r w:rsidRPr="00D617CC">
        <w:rPr>
          <w:rFonts w:ascii="Calibri Light" w:hAnsi="Calibri Light" w:cs="Calibri Light"/>
          <w:b/>
          <w:bCs/>
          <w:lang w:val="en-GB"/>
        </w:rPr>
        <w:t>PM_D35</w:t>
      </w:r>
      <w:r w:rsidRPr="001D0634">
        <w:rPr>
          <w:rFonts w:ascii="Calibri Light" w:hAnsi="Calibri Light" w:cs="Calibri Light"/>
          <w:lang w:val="en-GB"/>
        </w:rPr>
        <w:t xml:space="preserve"> and </w:t>
      </w:r>
      <w:r w:rsidRPr="00D617CC">
        <w:rPr>
          <w:rFonts w:ascii="Calibri Light" w:hAnsi="Calibri Light" w:cs="Calibri Light"/>
          <w:b/>
          <w:bCs/>
          <w:lang w:val="en-GB"/>
        </w:rPr>
        <w:t>PM_D43</w:t>
      </w:r>
      <w:r w:rsidRPr="001D0634">
        <w:rPr>
          <w:rFonts w:ascii="Calibri Light" w:hAnsi="Calibri Light" w:cs="Calibri Light"/>
          <w:lang w:val="en-GB"/>
        </w:rPr>
        <w:t xml:space="preserve">. </w:t>
      </w:r>
      <w:r w:rsidR="00B71CE2">
        <w:rPr>
          <w:rFonts w:ascii="Calibri Light" w:hAnsi="Calibri Light" w:cs="Calibri Light"/>
          <w:lang w:val="en-GB"/>
        </w:rPr>
        <w:t>Further to that cost, i</w:t>
      </w:r>
      <w:r w:rsidR="00296611" w:rsidRPr="000007D2">
        <w:rPr>
          <w:rFonts w:ascii="Calibri Light" w:hAnsi="Calibri Light" w:cs="Calibri Light"/>
          <w:lang w:val="en-GB"/>
        </w:rPr>
        <w:t xml:space="preserve">nvestment needs related to Decarbonization, more specifically to GHG emissions and renewable energy amount to approximately </w:t>
      </w:r>
      <w:r w:rsidR="003851A2">
        <w:rPr>
          <w:rFonts w:ascii="Calibri Light" w:hAnsi="Calibri Light" w:cs="Calibri Light"/>
          <w:lang w:val="en-GB"/>
        </w:rPr>
        <w:t>5.</w:t>
      </w:r>
      <w:r w:rsidR="000145AC">
        <w:rPr>
          <w:rFonts w:ascii="Calibri Light" w:hAnsi="Calibri Light" w:cs="Calibri Light"/>
          <w:lang w:val="en-GB"/>
        </w:rPr>
        <w:t>19</w:t>
      </w:r>
      <w:r w:rsidR="00296611" w:rsidRPr="000007D2">
        <w:rPr>
          <w:rFonts w:ascii="Calibri Light" w:hAnsi="Calibri Light" w:cs="Calibri Light"/>
          <w:lang w:val="en-GB"/>
        </w:rPr>
        <w:t xml:space="preserve"> billion EUR until 2030.</w:t>
      </w:r>
      <w:bookmarkStart w:id="659" w:name="_Ref118992030"/>
      <w:bookmarkStart w:id="660" w:name="_Toc118992359"/>
    </w:p>
    <w:p w14:paraId="6F1F5A88" w14:textId="22B21037" w:rsidR="00B17E5B" w:rsidRPr="00A33AE8" w:rsidRDefault="00B17E5B" w:rsidP="00C81CDC">
      <w:pPr>
        <w:pStyle w:val="Caption"/>
      </w:pPr>
      <w:bookmarkStart w:id="661" w:name="_Toc154575321"/>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48</w:t>
      </w:r>
      <w:r w:rsidR="006E0533">
        <w:rPr>
          <w:noProof/>
        </w:rPr>
        <w:fldChar w:fldCharType="end"/>
      </w:r>
      <w:bookmarkEnd w:id="658"/>
      <w:bookmarkEnd w:id="659"/>
      <w:r w:rsidRPr="00A33AE8">
        <w:t>: Distribution of implementation costs per dimension</w:t>
      </w:r>
      <w:bookmarkEnd w:id="660"/>
      <w:bookmarkEnd w:id="661"/>
    </w:p>
    <w:p w14:paraId="748F26DE" w14:textId="31C75176" w:rsidR="006E61D8" w:rsidRPr="000007D2" w:rsidRDefault="002F7114" w:rsidP="0087794A">
      <w:pPr>
        <w:pStyle w:val="xmsonormal"/>
        <w:jc w:val="center"/>
        <w:rPr>
          <w:rFonts w:ascii="Calibri Light" w:hAnsi="Calibri Light" w:cs="Calibri Light"/>
          <w:lang w:val="en-GB"/>
        </w:rPr>
      </w:pPr>
      <w:r>
        <w:rPr>
          <w:noProof/>
          <w:lang w:val="en-US" w:eastAsia="en-US"/>
        </w:rPr>
        <w:drawing>
          <wp:inline distT="0" distB="0" distL="0" distR="0" wp14:anchorId="1AF27A27" wp14:editId="6344F638">
            <wp:extent cx="5080000" cy="3693581"/>
            <wp:effectExtent l="0" t="0" r="6350" b="2540"/>
            <wp:docPr id="1271886313" name="Chart 1">
              <a:extLst xmlns:a="http://schemas.openxmlformats.org/drawingml/2006/main">
                <a:ext uri="{FF2B5EF4-FFF2-40B4-BE49-F238E27FC236}">
                  <a16:creationId xmlns:a16="http://schemas.microsoft.com/office/drawing/2014/main" id="{9EC7BEE9-82B1-4973-896B-73A0B673FB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2D2F99A" w14:textId="4C32C23D" w:rsidR="003E2A7A" w:rsidRPr="000007D2" w:rsidRDefault="003E2A7A" w:rsidP="0087794A">
      <w:pPr>
        <w:pStyle w:val="xmsonormal"/>
        <w:spacing w:before="120" w:after="120"/>
        <w:jc w:val="both"/>
        <w:rPr>
          <w:rFonts w:ascii="Calibri Light" w:hAnsi="Calibri Light" w:cs="Calibri Light"/>
          <w:lang w:val="en-GB"/>
        </w:rPr>
      </w:pPr>
      <w:bookmarkStart w:id="662" w:name="_Toc113919416"/>
      <w:r w:rsidRPr="000007D2">
        <w:rPr>
          <w:rFonts w:ascii="Calibri Light" w:hAnsi="Calibri Light" w:cs="Calibri Light"/>
          <w:lang w:val="en-GB"/>
        </w:rPr>
        <w:t>An overview of the individual measures listed under the 5 dimensions (i.e. Decarbonization, Energy Efficiency, Energy Security, Internal Energy Market, Research, Innovation and Competitiveness), alongside their implementation costs are summarized in</w:t>
      </w:r>
      <w:r w:rsidR="00FF2984" w:rsidRPr="000007D2">
        <w:rPr>
          <w:rFonts w:ascii="Calibri Light" w:hAnsi="Calibri Light" w:cs="Calibri Light"/>
          <w:lang w:val="en-GB"/>
        </w:rPr>
        <w:t xml:space="preserve"> </w:t>
      </w:r>
      <w:r w:rsidR="00713035" w:rsidRPr="000007D2">
        <w:rPr>
          <w:rFonts w:ascii="Calibri Light" w:hAnsi="Calibri Light" w:cs="Calibri Light"/>
          <w:lang w:val="en-GB"/>
        </w:rPr>
        <w:fldChar w:fldCharType="begin"/>
      </w:r>
      <w:r w:rsidR="00713035" w:rsidRPr="000007D2">
        <w:rPr>
          <w:rFonts w:ascii="Calibri Light" w:hAnsi="Calibri Light" w:cs="Calibri Light"/>
          <w:lang w:val="en-GB"/>
        </w:rPr>
        <w:instrText xml:space="preserve"> REF _Ref118992144 \h  \* MERGEFORMAT </w:instrText>
      </w:r>
      <w:r w:rsidR="00713035" w:rsidRPr="000007D2">
        <w:rPr>
          <w:rFonts w:ascii="Calibri Light" w:hAnsi="Calibri Light" w:cs="Calibri Light"/>
          <w:lang w:val="en-GB"/>
        </w:rPr>
      </w:r>
      <w:r w:rsidR="00713035" w:rsidRPr="000007D2">
        <w:rPr>
          <w:rFonts w:ascii="Calibri Light" w:hAnsi="Calibri Light" w:cs="Calibri Light"/>
          <w:lang w:val="en-GB"/>
        </w:rPr>
        <w:fldChar w:fldCharType="separate"/>
      </w:r>
      <w:r w:rsidR="00713035" w:rsidRPr="000007D2">
        <w:rPr>
          <w:rFonts w:ascii="Calibri Light" w:hAnsi="Calibri Light" w:cs="Calibri Light"/>
          <w:lang w:val="en-GB"/>
        </w:rPr>
        <w:t>Figure 5.4</w:t>
      </w:r>
      <w:r w:rsidR="00713035">
        <w:rPr>
          <w:rFonts w:ascii="Calibri Light" w:hAnsi="Calibri Light" w:cs="Calibri Light"/>
          <w:lang w:val="en-GB"/>
        </w:rPr>
        <w:t>9</w:t>
      </w:r>
      <w:r w:rsidR="00713035" w:rsidRPr="000007D2">
        <w:rPr>
          <w:rFonts w:ascii="Calibri Light" w:hAnsi="Calibri Light" w:cs="Calibri Light"/>
          <w:lang w:val="en-GB"/>
        </w:rPr>
        <w:fldChar w:fldCharType="end"/>
      </w:r>
      <w:r w:rsidRPr="000007D2">
        <w:rPr>
          <w:rFonts w:ascii="Calibri Light" w:hAnsi="Calibri Light" w:cs="Calibri Light"/>
          <w:lang w:val="en-GB"/>
        </w:rPr>
        <w:t xml:space="preserve">, </w:t>
      </w:r>
      <w:r w:rsidR="00B940E7" w:rsidRPr="000007D2">
        <w:rPr>
          <w:rFonts w:ascii="Calibri Light" w:hAnsi="Calibri Light" w:cs="Calibri Light"/>
          <w:lang w:val="en-GB"/>
        </w:rPr>
        <w:t>while the detailed list of measures is included in Annex I</w:t>
      </w:r>
      <w:r w:rsidRPr="000007D2">
        <w:rPr>
          <w:rFonts w:ascii="Calibri Light" w:hAnsi="Calibri Light" w:cs="Calibri Light"/>
          <w:lang w:val="en-GB"/>
        </w:rPr>
        <w:t xml:space="preserve">. </w:t>
      </w:r>
      <w:r w:rsidRPr="000007D2">
        <w:rPr>
          <w:rFonts w:ascii="Calibri Light" w:hAnsi="Calibri Light"/>
          <w:lang w:val="en-GB"/>
        </w:rPr>
        <w:t xml:space="preserve">In the cases that the measure is implemented </w:t>
      </w:r>
      <w:r w:rsidR="00527C81" w:rsidRPr="00527C81">
        <w:rPr>
          <w:rFonts w:ascii="Calibri Light" w:hAnsi="Calibri Light"/>
          <w:lang w:val="en-GB"/>
        </w:rPr>
        <w:t>partially</w:t>
      </w:r>
      <w:r w:rsidRPr="000007D2">
        <w:rPr>
          <w:rFonts w:ascii="Calibri Light" w:hAnsi="Calibri Light"/>
          <w:lang w:val="en-GB"/>
        </w:rPr>
        <w:t xml:space="preserve"> under WEM and WAM scenarios, it has been assumed that implementation costs are split between WEM and WAM, according to the specific measure provisions. </w:t>
      </w:r>
      <w:r w:rsidRPr="000007D2">
        <w:rPr>
          <w:rFonts w:ascii="Calibri Light" w:hAnsi="Calibri Light" w:cs="Calibri Light"/>
          <w:lang w:val="en-GB"/>
        </w:rPr>
        <w:t xml:space="preserve">It </w:t>
      </w:r>
      <w:r w:rsidRPr="000007D2">
        <w:rPr>
          <w:rFonts w:ascii="Calibri Light" w:hAnsi="Calibri Light" w:cs="Calibri Light"/>
          <w:lang w:val="en-GB"/>
        </w:rPr>
        <w:lastRenderedPageBreak/>
        <w:t xml:space="preserve">can be obtained that in the WEM </w:t>
      </w:r>
      <w:r w:rsidR="00F774FA">
        <w:rPr>
          <w:rFonts w:ascii="Calibri Light" w:hAnsi="Calibri Light" w:cs="Calibri Light"/>
          <w:lang w:val="en-GB"/>
        </w:rPr>
        <w:t>cost is</w:t>
      </w:r>
      <w:r w:rsidR="00F774FA" w:rsidRPr="000007D2">
        <w:rPr>
          <w:rFonts w:ascii="Calibri Light" w:hAnsi="Calibri Light" w:cs="Calibri Light"/>
          <w:lang w:val="en-GB"/>
        </w:rPr>
        <w:t xml:space="preserve"> </w:t>
      </w:r>
      <w:r w:rsidRPr="000007D2">
        <w:rPr>
          <w:rFonts w:ascii="Calibri Light" w:hAnsi="Calibri Light" w:cs="Calibri Light"/>
          <w:lang w:val="en-GB"/>
        </w:rPr>
        <w:t xml:space="preserve">approximately </w:t>
      </w:r>
      <w:r w:rsidR="003851A2">
        <w:rPr>
          <w:rFonts w:ascii="Calibri Light" w:hAnsi="Calibri Light" w:cs="Calibri Light"/>
          <w:lang w:val="en-GB"/>
        </w:rPr>
        <w:t>16.7</w:t>
      </w:r>
      <w:r w:rsidR="000145AC">
        <w:rPr>
          <w:rFonts w:ascii="Calibri Light" w:hAnsi="Calibri Light" w:cs="Calibri Light"/>
          <w:lang w:val="en-GB"/>
        </w:rPr>
        <w:t>6</w:t>
      </w:r>
      <w:r w:rsidR="007F4A03" w:rsidRPr="000007D2">
        <w:rPr>
          <w:rFonts w:ascii="Calibri Light" w:hAnsi="Calibri Light" w:cs="Calibri Light"/>
          <w:lang w:val="en-GB"/>
        </w:rPr>
        <w:t xml:space="preserve"> </w:t>
      </w:r>
      <w:r w:rsidRPr="000007D2">
        <w:rPr>
          <w:rFonts w:ascii="Calibri Light" w:hAnsi="Calibri Light" w:cs="Calibri Light"/>
          <w:lang w:val="en-GB"/>
        </w:rPr>
        <w:t xml:space="preserve">billion EUR of investments are included, while the </w:t>
      </w:r>
      <w:r w:rsidR="00F774FA">
        <w:rPr>
          <w:rFonts w:ascii="Calibri Light" w:hAnsi="Calibri Light" w:cs="Calibri Light"/>
          <w:lang w:val="en-GB"/>
        </w:rPr>
        <w:t xml:space="preserve">additional </w:t>
      </w:r>
      <w:r w:rsidRPr="000007D2">
        <w:rPr>
          <w:rFonts w:ascii="Calibri Light" w:hAnsi="Calibri Light" w:cs="Calibri Light"/>
          <w:lang w:val="en-GB"/>
        </w:rPr>
        <w:t xml:space="preserve">WAM </w:t>
      </w:r>
      <w:r w:rsidR="00F774FA">
        <w:rPr>
          <w:rFonts w:ascii="Calibri Light" w:hAnsi="Calibri Light" w:cs="Calibri Light"/>
          <w:lang w:val="en-GB"/>
        </w:rPr>
        <w:t>cost</w:t>
      </w:r>
      <w:r w:rsidR="00F774FA" w:rsidRPr="000007D2">
        <w:rPr>
          <w:rFonts w:ascii="Calibri Light" w:hAnsi="Calibri Light" w:cs="Calibri Light"/>
          <w:lang w:val="en-GB"/>
        </w:rPr>
        <w:t xml:space="preserve"> </w:t>
      </w:r>
      <w:r w:rsidR="003851A2">
        <w:rPr>
          <w:rFonts w:ascii="Calibri Light" w:hAnsi="Calibri Light" w:cs="Calibri Light"/>
          <w:lang w:val="en-GB"/>
        </w:rPr>
        <w:t>13.79</w:t>
      </w:r>
      <w:r w:rsidR="007F4A03" w:rsidRPr="00527C81">
        <w:rPr>
          <w:rFonts w:ascii="Calibri Light" w:hAnsi="Calibri Light" w:cs="Calibri Light"/>
          <w:lang w:val="en-GB"/>
        </w:rPr>
        <w:t xml:space="preserve"> </w:t>
      </w:r>
      <w:r w:rsidRPr="000007D2">
        <w:rPr>
          <w:rFonts w:ascii="Calibri Light" w:hAnsi="Calibri Light" w:cs="Calibri Light"/>
          <w:lang w:val="en-GB"/>
        </w:rPr>
        <w:t>billion EUR.</w:t>
      </w:r>
      <w:bookmarkEnd w:id="662"/>
    </w:p>
    <w:p w14:paraId="62BE5299" w14:textId="77777777" w:rsidR="003E2A7A" w:rsidRPr="000007D2" w:rsidRDefault="003E2A7A" w:rsidP="007A0028">
      <w:pPr>
        <w:pStyle w:val="xmsonormal"/>
        <w:jc w:val="both"/>
        <w:rPr>
          <w:rFonts w:ascii="Calibri Light" w:hAnsi="Calibri Light" w:cs="Calibri Light"/>
          <w:lang w:val="en-GB"/>
        </w:rPr>
      </w:pPr>
      <w:bookmarkStart w:id="663" w:name="_Toc113919405"/>
      <w:r w:rsidRPr="000007D2">
        <w:rPr>
          <w:rFonts w:ascii="Calibri Light" w:hAnsi="Calibri Light" w:cs="Calibri Light"/>
          <w:lang w:val="en-GB"/>
        </w:rPr>
        <w:t xml:space="preserve">This allocation essentially indicates that </w:t>
      </w:r>
      <w:r w:rsidR="009177FC" w:rsidRPr="000007D2">
        <w:rPr>
          <w:rFonts w:ascii="Calibri Light" w:hAnsi="Calibri Light" w:cs="Calibri Light"/>
          <w:lang w:val="en-GB"/>
        </w:rPr>
        <w:t xml:space="preserve">already </w:t>
      </w:r>
      <w:r w:rsidRPr="000007D2">
        <w:rPr>
          <w:rFonts w:ascii="Calibri Light" w:hAnsi="Calibri Light" w:cs="Calibri Light"/>
          <w:lang w:val="en-GB"/>
        </w:rPr>
        <w:t>under the WEM scenario considerable decarbonization efforts were included</w:t>
      </w:r>
      <w:r w:rsidR="00B940E7" w:rsidRPr="000007D2">
        <w:rPr>
          <w:rFonts w:ascii="Calibri Light" w:hAnsi="Calibri Light" w:cs="Calibri Light"/>
          <w:lang w:val="en-GB"/>
        </w:rPr>
        <w:t xml:space="preserve"> (</w:t>
      </w:r>
      <w:r w:rsidR="00713035" w:rsidRPr="000007D2">
        <w:rPr>
          <w:rFonts w:ascii="Calibri Light" w:hAnsi="Calibri Light" w:cs="Calibri Light"/>
          <w:lang w:val="en-GB"/>
        </w:rPr>
        <w:fldChar w:fldCharType="begin"/>
      </w:r>
      <w:r w:rsidR="00713035" w:rsidRPr="000007D2">
        <w:rPr>
          <w:rFonts w:ascii="Calibri Light" w:hAnsi="Calibri Light" w:cs="Calibri Light"/>
          <w:lang w:val="en-GB"/>
        </w:rPr>
        <w:instrText xml:space="preserve"> REF _Ref118992144 \h  \* MERGEFORMAT </w:instrText>
      </w:r>
      <w:r w:rsidR="00713035" w:rsidRPr="000007D2">
        <w:rPr>
          <w:rFonts w:ascii="Calibri Light" w:hAnsi="Calibri Light" w:cs="Calibri Light"/>
          <w:lang w:val="en-GB"/>
        </w:rPr>
      </w:r>
      <w:r w:rsidR="00713035" w:rsidRPr="000007D2">
        <w:rPr>
          <w:rFonts w:ascii="Calibri Light" w:hAnsi="Calibri Light" w:cs="Calibri Light"/>
          <w:lang w:val="en-GB"/>
        </w:rPr>
        <w:fldChar w:fldCharType="separate"/>
      </w:r>
      <w:r w:rsidR="00713035" w:rsidRPr="005B2C66">
        <w:rPr>
          <w:rFonts w:ascii="Calibri Light" w:hAnsi="Calibri Light" w:cs="Calibri Light"/>
          <w:lang w:val="en-GB"/>
        </w:rPr>
        <w:t>Figure 5.49</w:t>
      </w:r>
      <w:r w:rsidR="00713035" w:rsidRPr="000007D2">
        <w:rPr>
          <w:rFonts w:ascii="Calibri Light" w:hAnsi="Calibri Light" w:cs="Calibri Light"/>
          <w:lang w:val="en-GB"/>
        </w:rPr>
        <w:fldChar w:fldCharType="end"/>
      </w:r>
      <w:r w:rsidR="00B940E7" w:rsidRPr="000007D2">
        <w:rPr>
          <w:rFonts w:ascii="Calibri Light" w:hAnsi="Calibri Light" w:cs="Calibri Light"/>
          <w:lang w:val="en-GB"/>
        </w:rPr>
        <w:t>)</w:t>
      </w:r>
      <w:r w:rsidRPr="000007D2">
        <w:rPr>
          <w:rFonts w:ascii="Calibri Light" w:hAnsi="Calibri Light" w:cs="Calibri Light"/>
          <w:lang w:val="en-GB"/>
        </w:rPr>
        <w:t>. It should be stressed also that large part of the costs of the WAM scenario shall come from private sector investments, implying that the feasibility of the scenario is strongly related to affordability for consumers and the ability of the private sector to deliver projects.</w:t>
      </w:r>
      <w:bookmarkEnd w:id="663"/>
    </w:p>
    <w:p w14:paraId="3A73A6A0" w14:textId="77777777" w:rsidR="003E2A7A" w:rsidRPr="00A33AE8" w:rsidRDefault="003E2A7A" w:rsidP="00FD77F1">
      <w:pPr>
        <w:pStyle w:val="Caption"/>
      </w:pPr>
    </w:p>
    <w:p w14:paraId="01CC2950" w14:textId="038EDBC0" w:rsidR="003E2A7A" w:rsidRPr="00A33AE8" w:rsidRDefault="003E2A7A" w:rsidP="003E2A7A">
      <w:pPr>
        <w:pStyle w:val="Caption"/>
      </w:pPr>
      <w:bookmarkStart w:id="664" w:name="_Ref118992144"/>
      <w:bookmarkStart w:id="665" w:name="_Toc118992360"/>
      <w:bookmarkStart w:id="666" w:name="_Toc154575322"/>
      <w:r w:rsidRPr="00A33AE8">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49</w:t>
      </w:r>
      <w:r w:rsidR="006E0533">
        <w:rPr>
          <w:noProof/>
        </w:rPr>
        <w:fldChar w:fldCharType="end"/>
      </w:r>
      <w:bookmarkEnd w:id="664"/>
      <w:r w:rsidRPr="00A33AE8">
        <w:t xml:space="preserve">: Distribution of implementation costs per </w:t>
      </w:r>
      <w:r w:rsidR="006E61D8" w:rsidRPr="00A33AE8">
        <w:t>WEM /WAM</w:t>
      </w:r>
      <w:bookmarkEnd w:id="665"/>
      <w:bookmarkEnd w:id="666"/>
    </w:p>
    <w:p w14:paraId="556C1C18" w14:textId="1157F35E" w:rsidR="003E2A7A" w:rsidRPr="00A33AE8" w:rsidRDefault="000145AC" w:rsidP="007A0028">
      <w:pPr>
        <w:jc w:val="center"/>
      </w:pPr>
      <w:r>
        <w:rPr>
          <w:noProof/>
          <w:lang w:val="en-US"/>
        </w:rPr>
        <mc:AlternateContent>
          <mc:Choice Requires="cx1">
            <w:drawing>
              <wp:inline distT="0" distB="0" distL="0" distR="0" wp14:anchorId="28AEE397" wp14:editId="585DF002">
                <wp:extent cx="5591175" cy="2352675"/>
                <wp:effectExtent l="0" t="0" r="9525" b="9525"/>
                <wp:docPr id="342613336" name="Chart 1">
                  <a:extLst xmlns:a="http://schemas.openxmlformats.org/drawingml/2006/main">
                    <a:ext uri="{FF2B5EF4-FFF2-40B4-BE49-F238E27FC236}">
                      <a16:creationId xmlns:a16="http://schemas.microsoft.com/office/drawing/2014/main" id="{980BB3C4-497C-4F08-BF54-E6A64ABFD80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8"/>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T="0" distB="0" distL="0" distR="0" wp14:anchorId="28AEE397" wp14:editId="585DF002">
                <wp:extent cx="5591175" cy="2352675"/>
                <wp:effectExtent l="0" t="0" r="9525" b="9525"/>
                <wp:docPr id="342613336" name="Chart 1">
                  <a:extLst xmlns:a="http://schemas.openxmlformats.org/drawingml/2006/main">
                    <a:ext uri="{FF2B5EF4-FFF2-40B4-BE49-F238E27FC236}">
                      <a16:creationId xmlns:a16="http://schemas.microsoft.com/office/drawing/2014/main" id="{980BB3C4-497C-4F08-BF54-E6A64ABFD80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42613336" name="Chart 1">
                          <a:extLst>
                            <a:ext uri="{FF2B5EF4-FFF2-40B4-BE49-F238E27FC236}">
                              <a16:creationId xmlns:a16="http://schemas.microsoft.com/office/drawing/2014/main" id="{980BB3C4-497C-4F08-BF54-E6A64ABFD806}"/>
                            </a:ext>
                          </a:extLst>
                        </pic:cNvPr>
                        <pic:cNvPicPr>
                          <a:picLocks noGrp="1" noRot="1" noChangeAspect="1" noMove="1" noResize="1" noEditPoints="1" noAdjustHandles="1" noChangeArrowheads="1" noChangeShapeType="1"/>
                        </pic:cNvPicPr>
                      </pic:nvPicPr>
                      <pic:blipFill>
                        <a:blip r:embed="rId161"/>
                        <a:stretch>
                          <a:fillRect/>
                        </a:stretch>
                      </pic:blipFill>
                      <pic:spPr>
                        <a:xfrm>
                          <a:off x="0" y="0"/>
                          <a:ext cx="5591175" cy="2352675"/>
                        </a:xfrm>
                        <a:prstGeom prst="rect">
                          <a:avLst/>
                        </a:prstGeom>
                      </pic:spPr>
                    </pic:pic>
                  </a:graphicData>
                </a:graphic>
              </wp:inline>
            </w:drawing>
          </mc:Fallback>
        </mc:AlternateContent>
      </w:r>
    </w:p>
    <w:p w14:paraId="043D531F" w14:textId="7E64DD8B" w:rsidR="00617255" w:rsidRDefault="00617255" w:rsidP="0087794A">
      <w:pPr>
        <w:pStyle w:val="Caption"/>
        <w:keepNext/>
      </w:pPr>
      <w:bookmarkStart w:id="667" w:name="_Toc153545077"/>
      <w:r>
        <w:t xml:space="preserve">Table </w:t>
      </w:r>
      <w:r w:rsidR="006E0533">
        <w:fldChar w:fldCharType="begin"/>
      </w:r>
      <w:r w:rsidR="006E0533">
        <w:instrText xml:space="preserve"> STYLEREF 1 \s </w:instrText>
      </w:r>
      <w:r w:rsidR="006E0533">
        <w:fldChar w:fldCharType="separate"/>
      </w:r>
      <w:r w:rsidR="00A84B9C">
        <w:rPr>
          <w:noProof/>
        </w:rPr>
        <w:t>5</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3</w:t>
      </w:r>
      <w:r w:rsidR="006E0533">
        <w:rPr>
          <w:noProof/>
        </w:rPr>
        <w:fldChar w:fldCharType="end"/>
      </w:r>
      <w:r>
        <w:t xml:space="preserve">: </w:t>
      </w:r>
      <w:r w:rsidRPr="00617255">
        <w:t>Dimension of Measures and implementation costs (Extended table with measures and their respective costs is included in Annex I)</w:t>
      </w:r>
      <w:bookmarkEnd w:id="667"/>
    </w:p>
    <w:tbl>
      <w:tblPr>
        <w:tblW w:w="10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1527"/>
        <w:gridCol w:w="1545"/>
        <w:gridCol w:w="1277"/>
        <w:gridCol w:w="1497"/>
        <w:gridCol w:w="1329"/>
        <w:gridCol w:w="1329"/>
      </w:tblGrid>
      <w:tr w:rsidR="00261E67" w:rsidRPr="00722822" w14:paraId="55197E4D" w14:textId="77777777" w:rsidTr="000007D2">
        <w:trPr>
          <w:trHeight w:val="589"/>
        </w:trPr>
        <w:tc>
          <w:tcPr>
            <w:tcW w:w="1571" w:type="dxa"/>
            <w:tcBorders>
              <w:right w:val="single" w:sz="4" w:space="0" w:color="auto"/>
            </w:tcBorders>
            <w:shd w:val="clear" w:color="auto" w:fill="244062"/>
            <w:hideMark/>
          </w:tcPr>
          <w:p w14:paraId="290B54CF"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Dimension of Measures</w:t>
            </w:r>
          </w:p>
        </w:tc>
        <w:tc>
          <w:tcPr>
            <w:tcW w:w="1527" w:type="dxa"/>
            <w:tcBorders>
              <w:left w:val="single" w:sz="4" w:space="0" w:color="auto"/>
            </w:tcBorders>
            <w:shd w:val="clear" w:color="auto" w:fill="244062"/>
          </w:tcPr>
          <w:p w14:paraId="32C163F0"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Implementation Cost (billion €)</w:t>
            </w:r>
          </w:p>
        </w:tc>
        <w:tc>
          <w:tcPr>
            <w:tcW w:w="1545" w:type="dxa"/>
            <w:shd w:val="clear" w:color="auto" w:fill="244062"/>
          </w:tcPr>
          <w:p w14:paraId="4023C6C1"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Planned public aid (billion €)</w:t>
            </w:r>
          </w:p>
        </w:tc>
        <w:tc>
          <w:tcPr>
            <w:tcW w:w="1277" w:type="dxa"/>
            <w:shd w:val="clear" w:color="auto" w:fill="244062"/>
          </w:tcPr>
          <w:p w14:paraId="378CA86A" w14:textId="5EEA95A9"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Own funds</w:t>
            </w:r>
          </w:p>
          <w:p w14:paraId="2A25BD3B"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(billion €)</w:t>
            </w:r>
          </w:p>
        </w:tc>
        <w:tc>
          <w:tcPr>
            <w:tcW w:w="1497" w:type="dxa"/>
            <w:shd w:val="clear" w:color="auto" w:fill="244062"/>
          </w:tcPr>
          <w:p w14:paraId="04D9484B"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 xml:space="preserve">Own funds over total implementation cost </w:t>
            </w:r>
          </w:p>
        </w:tc>
        <w:tc>
          <w:tcPr>
            <w:tcW w:w="1329" w:type="dxa"/>
            <w:shd w:val="clear" w:color="auto" w:fill="244062"/>
          </w:tcPr>
          <w:p w14:paraId="1EB72024"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CAPEX WEM (billion €)</w:t>
            </w:r>
          </w:p>
        </w:tc>
        <w:tc>
          <w:tcPr>
            <w:tcW w:w="1329" w:type="dxa"/>
            <w:shd w:val="clear" w:color="auto" w:fill="244062"/>
            <w:hideMark/>
          </w:tcPr>
          <w:p w14:paraId="7258D613" w14:textId="77777777" w:rsidR="00261E67" w:rsidRPr="00722822" w:rsidRDefault="00261E67" w:rsidP="007F4A03">
            <w:pPr>
              <w:pStyle w:val="xmsonormal"/>
              <w:rPr>
                <w:rFonts w:asciiTheme="majorHAnsi" w:hAnsiTheme="majorHAnsi" w:cstheme="majorHAnsi"/>
                <w:b/>
                <w:bCs/>
                <w:sz w:val="18"/>
                <w:szCs w:val="18"/>
                <w:lang w:val="en-GB"/>
              </w:rPr>
            </w:pPr>
            <w:r w:rsidRPr="00722822">
              <w:rPr>
                <w:rFonts w:asciiTheme="majorHAnsi" w:hAnsiTheme="majorHAnsi" w:cstheme="majorHAnsi"/>
                <w:b/>
                <w:bCs/>
                <w:sz w:val="18"/>
                <w:szCs w:val="18"/>
                <w:lang w:val="en-GB"/>
              </w:rPr>
              <w:t>CAPEX WAM (billion €)</w:t>
            </w:r>
          </w:p>
        </w:tc>
      </w:tr>
      <w:tr w:rsidR="00B40249" w:rsidRPr="00722822" w14:paraId="57E77553" w14:textId="77777777" w:rsidTr="000007D2">
        <w:trPr>
          <w:trHeight w:val="418"/>
        </w:trPr>
        <w:tc>
          <w:tcPr>
            <w:tcW w:w="1571" w:type="dxa"/>
            <w:tcBorders>
              <w:right w:val="single" w:sz="4" w:space="0" w:color="auto"/>
            </w:tcBorders>
            <w:shd w:val="clear" w:color="auto" w:fill="E7E6E6" w:themeFill="background2"/>
          </w:tcPr>
          <w:p w14:paraId="4E0F4349" w14:textId="77777777" w:rsidR="00B40249" w:rsidRPr="00A33AE8" w:rsidRDefault="00B40249" w:rsidP="00B40249">
            <w:pPr>
              <w:pStyle w:val="xmsonormal"/>
              <w:rPr>
                <w:rFonts w:asciiTheme="majorHAnsi" w:eastAsia="Times New Roman" w:hAnsiTheme="majorHAnsi" w:cstheme="majorHAnsi"/>
                <w:b/>
                <w:color w:val="000000"/>
                <w:sz w:val="18"/>
                <w:szCs w:val="18"/>
                <w:lang w:val="en-GB" w:eastAsia="en-GB"/>
              </w:rPr>
            </w:pPr>
            <w:r w:rsidRPr="00A33AE8">
              <w:rPr>
                <w:rFonts w:asciiTheme="majorHAnsi" w:eastAsia="Times New Roman" w:hAnsiTheme="majorHAnsi" w:cstheme="majorHAnsi"/>
                <w:b/>
                <w:color w:val="000000"/>
                <w:sz w:val="18"/>
                <w:szCs w:val="18"/>
                <w:lang w:val="en-GB" w:eastAsia="en-GB"/>
              </w:rPr>
              <w:t>Decarbonisation</w:t>
            </w:r>
          </w:p>
        </w:tc>
        <w:tc>
          <w:tcPr>
            <w:tcW w:w="1527" w:type="dxa"/>
            <w:tcBorders>
              <w:left w:val="single" w:sz="4" w:space="0" w:color="auto"/>
            </w:tcBorders>
          </w:tcPr>
          <w:p w14:paraId="3A953644" w14:textId="076FBBD4" w:rsidR="00B40249" w:rsidRPr="005B2C66" w:rsidRDefault="00B40249" w:rsidP="00B40249">
            <w:pPr>
              <w:pStyle w:val="xmsonormal"/>
              <w:jc w:val="right"/>
              <w:rPr>
                <w:sz w:val="20"/>
                <w:szCs w:val="20"/>
                <w:lang w:val="en-GB"/>
              </w:rPr>
            </w:pPr>
            <w:r>
              <w:rPr>
                <w:sz w:val="20"/>
                <w:szCs w:val="20"/>
                <w:lang w:val="en-GB"/>
              </w:rPr>
              <w:t>5.</w:t>
            </w:r>
            <w:r>
              <w:rPr>
                <w:sz w:val="20"/>
                <w:szCs w:val="20"/>
              </w:rPr>
              <w:t>19</w:t>
            </w:r>
          </w:p>
        </w:tc>
        <w:tc>
          <w:tcPr>
            <w:tcW w:w="1545" w:type="dxa"/>
          </w:tcPr>
          <w:p w14:paraId="094F9404" w14:textId="4D193680" w:rsidR="00B40249" w:rsidRPr="005B2C66" w:rsidRDefault="00B40249" w:rsidP="00B40249">
            <w:pPr>
              <w:pStyle w:val="xmsonormal"/>
              <w:jc w:val="right"/>
              <w:rPr>
                <w:sz w:val="20"/>
                <w:szCs w:val="20"/>
                <w:lang w:val="en-GB"/>
              </w:rPr>
            </w:pPr>
            <w:r>
              <w:rPr>
                <w:sz w:val="20"/>
                <w:szCs w:val="20"/>
                <w:lang w:val="en-GB"/>
              </w:rPr>
              <w:t>1.</w:t>
            </w:r>
            <w:r>
              <w:rPr>
                <w:sz w:val="20"/>
                <w:szCs w:val="20"/>
              </w:rPr>
              <w:t>19</w:t>
            </w:r>
          </w:p>
        </w:tc>
        <w:tc>
          <w:tcPr>
            <w:tcW w:w="1277" w:type="dxa"/>
          </w:tcPr>
          <w:p w14:paraId="4CEE119A" w14:textId="5A450775" w:rsidR="00B40249" w:rsidRPr="005B2C66" w:rsidRDefault="00B40249" w:rsidP="00B40249">
            <w:pPr>
              <w:pStyle w:val="xmsonormal"/>
              <w:jc w:val="right"/>
              <w:rPr>
                <w:sz w:val="20"/>
                <w:szCs w:val="20"/>
                <w:lang w:val="en-GB"/>
              </w:rPr>
            </w:pPr>
            <w:r>
              <w:rPr>
                <w:sz w:val="20"/>
                <w:szCs w:val="20"/>
                <w:lang w:val="en-GB"/>
              </w:rPr>
              <w:t>4.00</w:t>
            </w:r>
          </w:p>
        </w:tc>
        <w:tc>
          <w:tcPr>
            <w:tcW w:w="1497" w:type="dxa"/>
          </w:tcPr>
          <w:p w14:paraId="64262AF8" w14:textId="247E8C55" w:rsidR="00B40249" w:rsidRPr="005B2C66" w:rsidRDefault="00B40249" w:rsidP="00B40249">
            <w:pPr>
              <w:pStyle w:val="xmsonormal"/>
              <w:jc w:val="right"/>
              <w:rPr>
                <w:sz w:val="20"/>
                <w:szCs w:val="20"/>
                <w:lang w:val="en-GB"/>
              </w:rPr>
            </w:pPr>
            <w:r>
              <w:rPr>
                <w:sz w:val="20"/>
                <w:szCs w:val="20"/>
                <w:lang w:val="en-GB"/>
              </w:rPr>
              <w:t>7</w:t>
            </w:r>
            <w:r>
              <w:rPr>
                <w:sz w:val="20"/>
                <w:szCs w:val="20"/>
              </w:rPr>
              <w:t>7</w:t>
            </w:r>
            <w:r w:rsidRPr="005B2C66">
              <w:rPr>
                <w:sz w:val="20"/>
                <w:szCs w:val="20"/>
                <w:lang w:val="en-GB"/>
              </w:rPr>
              <w:t>%</w:t>
            </w:r>
          </w:p>
        </w:tc>
        <w:tc>
          <w:tcPr>
            <w:tcW w:w="1329" w:type="dxa"/>
          </w:tcPr>
          <w:p w14:paraId="274B46C2" w14:textId="4561F1B1" w:rsidR="00B40249" w:rsidRPr="005B2C66" w:rsidRDefault="00B40249" w:rsidP="00B40249">
            <w:pPr>
              <w:pStyle w:val="xmsonormal"/>
              <w:jc w:val="right"/>
              <w:rPr>
                <w:sz w:val="20"/>
                <w:szCs w:val="20"/>
                <w:lang w:val="en-GB"/>
              </w:rPr>
            </w:pPr>
            <w:r>
              <w:rPr>
                <w:sz w:val="20"/>
                <w:szCs w:val="20"/>
                <w:lang w:val="en-GB"/>
              </w:rPr>
              <w:t>1.1</w:t>
            </w:r>
            <w:r>
              <w:rPr>
                <w:sz w:val="20"/>
                <w:szCs w:val="20"/>
              </w:rPr>
              <w:t>6</w:t>
            </w:r>
          </w:p>
        </w:tc>
        <w:tc>
          <w:tcPr>
            <w:tcW w:w="1329" w:type="dxa"/>
          </w:tcPr>
          <w:p w14:paraId="0DE65214" w14:textId="69A4020A" w:rsidR="00B40249" w:rsidRPr="005B2C66" w:rsidRDefault="00B40249" w:rsidP="00B40249">
            <w:pPr>
              <w:pStyle w:val="xmsonormal"/>
              <w:jc w:val="right"/>
              <w:rPr>
                <w:sz w:val="20"/>
                <w:szCs w:val="20"/>
                <w:lang w:val="en-GB"/>
              </w:rPr>
            </w:pPr>
            <w:r>
              <w:rPr>
                <w:sz w:val="20"/>
                <w:szCs w:val="20"/>
                <w:lang w:val="en-GB"/>
              </w:rPr>
              <w:t>4.03</w:t>
            </w:r>
          </w:p>
        </w:tc>
      </w:tr>
      <w:tr w:rsidR="00CF799C" w:rsidRPr="00722822" w14:paraId="7C01AA01" w14:textId="77777777" w:rsidTr="000007D2">
        <w:trPr>
          <w:trHeight w:val="410"/>
        </w:trPr>
        <w:tc>
          <w:tcPr>
            <w:tcW w:w="1571" w:type="dxa"/>
            <w:tcBorders>
              <w:right w:val="single" w:sz="4" w:space="0" w:color="auto"/>
            </w:tcBorders>
            <w:shd w:val="clear" w:color="auto" w:fill="E7E6E6" w:themeFill="background2"/>
          </w:tcPr>
          <w:p w14:paraId="658CC37F" w14:textId="77777777" w:rsidR="00CF799C" w:rsidRPr="00A33AE8" w:rsidRDefault="00CF799C" w:rsidP="00CF799C">
            <w:pPr>
              <w:pStyle w:val="xmsonormal"/>
              <w:rPr>
                <w:rFonts w:asciiTheme="majorHAnsi" w:eastAsia="Times New Roman" w:hAnsiTheme="majorHAnsi" w:cstheme="majorHAnsi"/>
                <w:b/>
                <w:color w:val="000000"/>
                <w:sz w:val="18"/>
                <w:szCs w:val="18"/>
                <w:lang w:val="en-GB" w:eastAsia="en-GB"/>
              </w:rPr>
            </w:pPr>
            <w:r w:rsidRPr="00A33AE8">
              <w:rPr>
                <w:rFonts w:asciiTheme="majorHAnsi" w:eastAsia="Times New Roman" w:hAnsiTheme="majorHAnsi" w:cstheme="majorHAnsi"/>
                <w:b/>
                <w:color w:val="000000"/>
                <w:sz w:val="18"/>
                <w:szCs w:val="18"/>
                <w:lang w:val="en-GB" w:eastAsia="en-GB"/>
              </w:rPr>
              <w:t>Energy Efficiency</w:t>
            </w:r>
          </w:p>
        </w:tc>
        <w:tc>
          <w:tcPr>
            <w:tcW w:w="1527" w:type="dxa"/>
            <w:tcBorders>
              <w:left w:val="single" w:sz="4" w:space="0" w:color="auto"/>
            </w:tcBorders>
          </w:tcPr>
          <w:p w14:paraId="6434D0E0" w14:textId="77777777" w:rsidR="00CF799C" w:rsidRPr="005B2C66" w:rsidRDefault="00CF799C" w:rsidP="00CF799C">
            <w:pPr>
              <w:pStyle w:val="xmsonormal"/>
              <w:jc w:val="right"/>
              <w:rPr>
                <w:sz w:val="20"/>
                <w:szCs w:val="20"/>
                <w:lang w:val="en-GB"/>
              </w:rPr>
            </w:pPr>
            <w:r w:rsidRPr="005B2C66">
              <w:rPr>
                <w:sz w:val="20"/>
                <w:szCs w:val="20"/>
                <w:lang w:val="en-GB"/>
              </w:rPr>
              <w:t>20.94</w:t>
            </w:r>
          </w:p>
        </w:tc>
        <w:tc>
          <w:tcPr>
            <w:tcW w:w="1545" w:type="dxa"/>
          </w:tcPr>
          <w:p w14:paraId="593E173C" w14:textId="77777777" w:rsidR="00CF799C" w:rsidRPr="005B2C66" w:rsidRDefault="00CF799C" w:rsidP="00CF799C">
            <w:pPr>
              <w:pStyle w:val="xmsonormal"/>
              <w:jc w:val="right"/>
              <w:rPr>
                <w:sz w:val="20"/>
                <w:szCs w:val="20"/>
                <w:lang w:val="en-GB"/>
              </w:rPr>
            </w:pPr>
            <w:r w:rsidRPr="005B2C66">
              <w:rPr>
                <w:sz w:val="20"/>
                <w:szCs w:val="20"/>
                <w:lang w:val="en-GB"/>
              </w:rPr>
              <w:t>8.12</w:t>
            </w:r>
          </w:p>
        </w:tc>
        <w:tc>
          <w:tcPr>
            <w:tcW w:w="1277" w:type="dxa"/>
          </w:tcPr>
          <w:p w14:paraId="3E0E4E49" w14:textId="77777777" w:rsidR="00CF799C" w:rsidRPr="005B2C66" w:rsidRDefault="00CF799C" w:rsidP="00CF799C">
            <w:pPr>
              <w:pStyle w:val="xmsonormal"/>
              <w:jc w:val="right"/>
              <w:rPr>
                <w:sz w:val="20"/>
                <w:szCs w:val="20"/>
                <w:lang w:val="en-GB"/>
              </w:rPr>
            </w:pPr>
            <w:r w:rsidRPr="005B2C66">
              <w:rPr>
                <w:sz w:val="20"/>
                <w:szCs w:val="20"/>
                <w:lang w:val="en-GB"/>
              </w:rPr>
              <w:t>12.82</w:t>
            </w:r>
          </w:p>
        </w:tc>
        <w:tc>
          <w:tcPr>
            <w:tcW w:w="1497" w:type="dxa"/>
          </w:tcPr>
          <w:p w14:paraId="45DE192A" w14:textId="77777777" w:rsidR="00CF799C" w:rsidRPr="005B2C66" w:rsidRDefault="00CF799C" w:rsidP="00CF799C">
            <w:pPr>
              <w:pStyle w:val="xmsonormal"/>
              <w:jc w:val="right"/>
              <w:rPr>
                <w:sz w:val="20"/>
                <w:szCs w:val="20"/>
                <w:lang w:val="en-GB"/>
              </w:rPr>
            </w:pPr>
            <w:r w:rsidRPr="005B2C66">
              <w:rPr>
                <w:sz w:val="20"/>
                <w:szCs w:val="20"/>
                <w:lang w:val="en-GB"/>
              </w:rPr>
              <w:t>61.2%</w:t>
            </w:r>
          </w:p>
        </w:tc>
        <w:tc>
          <w:tcPr>
            <w:tcW w:w="1329" w:type="dxa"/>
          </w:tcPr>
          <w:p w14:paraId="74784782" w14:textId="77777777" w:rsidR="00CF799C" w:rsidRPr="005B2C66" w:rsidRDefault="00315428" w:rsidP="00CF799C">
            <w:pPr>
              <w:pStyle w:val="xmsonormal"/>
              <w:jc w:val="right"/>
              <w:rPr>
                <w:sz w:val="20"/>
                <w:szCs w:val="20"/>
                <w:lang w:val="en-GB"/>
              </w:rPr>
            </w:pPr>
            <w:r>
              <w:rPr>
                <w:sz w:val="20"/>
                <w:szCs w:val="20"/>
                <w:lang w:val="en-GB"/>
              </w:rPr>
              <w:t>12.</w:t>
            </w:r>
            <w:r w:rsidR="0084595E">
              <w:rPr>
                <w:sz w:val="20"/>
                <w:szCs w:val="20"/>
                <w:lang w:val="en-GB"/>
              </w:rPr>
              <w:t>31</w:t>
            </w:r>
          </w:p>
        </w:tc>
        <w:tc>
          <w:tcPr>
            <w:tcW w:w="1329" w:type="dxa"/>
          </w:tcPr>
          <w:p w14:paraId="455C2B9B" w14:textId="77777777" w:rsidR="00CF799C" w:rsidRPr="005B2C66" w:rsidRDefault="00315428" w:rsidP="00CF799C">
            <w:pPr>
              <w:pStyle w:val="xmsonormal"/>
              <w:jc w:val="right"/>
              <w:rPr>
                <w:sz w:val="20"/>
                <w:szCs w:val="20"/>
                <w:lang w:val="en-GB"/>
              </w:rPr>
            </w:pPr>
            <w:r>
              <w:rPr>
                <w:sz w:val="20"/>
                <w:szCs w:val="20"/>
                <w:lang w:val="en-GB"/>
              </w:rPr>
              <w:t>8.</w:t>
            </w:r>
            <w:r w:rsidR="0084595E">
              <w:rPr>
                <w:sz w:val="20"/>
                <w:szCs w:val="20"/>
                <w:lang w:val="en-GB"/>
              </w:rPr>
              <w:t>62</w:t>
            </w:r>
          </w:p>
        </w:tc>
      </w:tr>
      <w:tr w:rsidR="00CF799C" w:rsidRPr="00722822" w14:paraId="11C7B616" w14:textId="77777777" w:rsidTr="000007D2">
        <w:trPr>
          <w:trHeight w:val="416"/>
        </w:trPr>
        <w:tc>
          <w:tcPr>
            <w:tcW w:w="1571" w:type="dxa"/>
            <w:tcBorders>
              <w:right w:val="single" w:sz="4" w:space="0" w:color="auto"/>
            </w:tcBorders>
            <w:shd w:val="clear" w:color="auto" w:fill="E7E6E6" w:themeFill="background2"/>
          </w:tcPr>
          <w:p w14:paraId="66E3DA41" w14:textId="77777777" w:rsidR="00CF799C" w:rsidRPr="00A33AE8" w:rsidRDefault="00CF799C" w:rsidP="00CF799C">
            <w:pPr>
              <w:pStyle w:val="xmsonormal"/>
              <w:rPr>
                <w:rFonts w:asciiTheme="majorHAnsi" w:eastAsia="Times New Roman" w:hAnsiTheme="majorHAnsi" w:cstheme="majorHAnsi"/>
                <w:b/>
                <w:color w:val="000000"/>
                <w:sz w:val="18"/>
                <w:szCs w:val="18"/>
                <w:lang w:val="en-GB" w:eastAsia="en-GB"/>
              </w:rPr>
            </w:pPr>
            <w:r w:rsidRPr="00A33AE8">
              <w:rPr>
                <w:rFonts w:asciiTheme="majorHAnsi" w:eastAsia="Times New Roman" w:hAnsiTheme="majorHAnsi" w:cstheme="majorHAnsi"/>
                <w:b/>
                <w:color w:val="000000"/>
                <w:sz w:val="18"/>
                <w:szCs w:val="18"/>
                <w:lang w:val="en-GB" w:eastAsia="en-GB"/>
              </w:rPr>
              <w:t>Energy Security</w:t>
            </w:r>
          </w:p>
        </w:tc>
        <w:tc>
          <w:tcPr>
            <w:tcW w:w="1527" w:type="dxa"/>
            <w:tcBorders>
              <w:left w:val="single" w:sz="4" w:space="0" w:color="auto"/>
            </w:tcBorders>
          </w:tcPr>
          <w:p w14:paraId="4E38CD0C" w14:textId="77777777" w:rsidR="00CF799C" w:rsidRPr="005B2C66" w:rsidRDefault="00894AA2" w:rsidP="00CF799C">
            <w:pPr>
              <w:pStyle w:val="xmsonormal"/>
              <w:jc w:val="right"/>
              <w:rPr>
                <w:sz w:val="20"/>
                <w:szCs w:val="20"/>
              </w:rPr>
            </w:pPr>
            <w:r>
              <w:rPr>
                <w:sz w:val="20"/>
                <w:szCs w:val="20"/>
                <w:lang w:val="en-GB"/>
              </w:rPr>
              <w:t>3.</w:t>
            </w:r>
            <w:r w:rsidR="00317824">
              <w:rPr>
                <w:sz w:val="20"/>
                <w:szCs w:val="20"/>
              </w:rPr>
              <w:t>13</w:t>
            </w:r>
          </w:p>
        </w:tc>
        <w:tc>
          <w:tcPr>
            <w:tcW w:w="1545" w:type="dxa"/>
          </w:tcPr>
          <w:p w14:paraId="741F329A" w14:textId="77777777" w:rsidR="00CF799C" w:rsidRPr="005B2C66" w:rsidRDefault="0084595E" w:rsidP="00CF799C">
            <w:pPr>
              <w:pStyle w:val="xmsonormal"/>
              <w:jc w:val="right"/>
              <w:rPr>
                <w:sz w:val="20"/>
                <w:szCs w:val="20"/>
                <w:lang w:val="en-GB"/>
              </w:rPr>
            </w:pPr>
            <w:r>
              <w:rPr>
                <w:sz w:val="20"/>
                <w:szCs w:val="20"/>
                <w:lang w:val="en-GB"/>
              </w:rPr>
              <w:t>1.3</w:t>
            </w:r>
            <w:r w:rsidR="00317824">
              <w:rPr>
                <w:sz w:val="20"/>
                <w:szCs w:val="20"/>
              </w:rPr>
              <w:t>2</w:t>
            </w:r>
          </w:p>
        </w:tc>
        <w:tc>
          <w:tcPr>
            <w:tcW w:w="1277" w:type="dxa"/>
          </w:tcPr>
          <w:p w14:paraId="6BE537B4" w14:textId="77777777" w:rsidR="00CF799C" w:rsidRPr="005B2C66" w:rsidRDefault="0084595E" w:rsidP="00CF799C">
            <w:pPr>
              <w:pStyle w:val="xmsonormal"/>
              <w:jc w:val="right"/>
              <w:rPr>
                <w:sz w:val="20"/>
                <w:szCs w:val="20"/>
              </w:rPr>
            </w:pPr>
            <w:r>
              <w:rPr>
                <w:sz w:val="20"/>
                <w:szCs w:val="20"/>
                <w:lang w:val="en-GB"/>
              </w:rPr>
              <w:t>1.8</w:t>
            </w:r>
            <w:r w:rsidR="00317824">
              <w:rPr>
                <w:sz w:val="20"/>
                <w:szCs w:val="20"/>
              </w:rPr>
              <w:t>0</w:t>
            </w:r>
          </w:p>
        </w:tc>
        <w:tc>
          <w:tcPr>
            <w:tcW w:w="1497" w:type="dxa"/>
          </w:tcPr>
          <w:p w14:paraId="5396D4AC" w14:textId="77777777" w:rsidR="00CF799C" w:rsidRPr="005B2C66" w:rsidRDefault="00317824" w:rsidP="00CF799C">
            <w:pPr>
              <w:pStyle w:val="xmsonormal"/>
              <w:jc w:val="right"/>
              <w:rPr>
                <w:sz w:val="20"/>
                <w:szCs w:val="20"/>
                <w:lang w:val="en-GB"/>
              </w:rPr>
            </w:pPr>
            <w:r>
              <w:rPr>
                <w:sz w:val="20"/>
                <w:szCs w:val="20"/>
              </w:rPr>
              <w:t>57.6</w:t>
            </w:r>
            <w:r w:rsidR="0084595E">
              <w:rPr>
                <w:sz w:val="20"/>
                <w:szCs w:val="20"/>
                <w:lang w:val="en-GB"/>
              </w:rPr>
              <w:t>%</w:t>
            </w:r>
          </w:p>
        </w:tc>
        <w:tc>
          <w:tcPr>
            <w:tcW w:w="1329" w:type="dxa"/>
          </w:tcPr>
          <w:p w14:paraId="5C69B40F" w14:textId="77777777" w:rsidR="00CF799C" w:rsidRPr="005B2C66" w:rsidRDefault="00317824" w:rsidP="00CF799C">
            <w:pPr>
              <w:pStyle w:val="xmsonormal"/>
              <w:jc w:val="right"/>
              <w:rPr>
                <w:sz w:val="20"/>
                <w:szCs w:val="20"/>
                <w:lang w:val="en-GB"/>
              </w:rPr>
            </w:pPr>
            <w:r>
              <w:rPr>
                <w:sz w:val="20"/>
                <w:szCs w:val="20"/>
                <w:lang w:val="en-GB"/>
              </w:rPr>
              <w:t>1.99</w:t>
            </w:r>
          </w:p>
        </w:tc>
        <w:tc>
          <w:tcPr>
            <w:tcW w:w="1329" w:type="dxa"/>
          </w:tcPr>
          <w:p w14:paraId="5E2D7AAA" w14:textId="77777777" w:rsidR="00CF799C" w:rsidRPr="005B2C66" w:rsidRDefault="00CF799C" w:rsidP="00CF799C">
            <w:pPr>
              <w:pStyle w:val="xmsonormal"/>
              <w:jc w:val="right"/>
              <w:rPr>
                <w:sz w:val="20"/>
                <w:szCs w:val="20"/>
                <w:lang w:val="en-GB"/>
              </w:rPr>
            </w:pPr>
            <w:r w:rsidRPr="005B2C66">
              <w:rPr>
                <w:sz w:val="20"/>
                <w:szCs w:val="20"/>
                <w:lang w:val="en-GB"/>
              </w:rPr>
              <w:t>1.14</w:t>
            </w:r>
          </w:p>
        </w:tc>
      </w:tr>
      <w:tr w:rsidR="00CF799C" w:rsidRPr="00722822" w14:paraId="1CCBF578" w14:textId="77777777" w:rsidTr="000007D2">
        <w:trPr>
          <w:trHeight w:val="564"/>
        </w:trPr>
        <w:tc>
          <w:tcPr>
            <w:tcW w:w="1571" w:type="dxa"/>
            <w:tcBorders>
              <w:right w:val="single" w:sz="4" w:space="0" w:color="auto"/>
            </w:tcBorders>
            <w:shd w:val="clear" w:color="auto" w:fill="E7E6E6" w:themeFill="background2"/>
          </w:tcPr>
          <w:p w14:paraId="35A113CE" w14:textId="77777777" w:rsidR="00CF799C" w:rsidRPr="00A33AE8" w:rsidRDefault="00CF799C" w:rsidP="00CF799C">
            <w:pPr>
              <w:pStyle w:val="xmsonormal"/>
              <w:rPr>
                <w:rFonts w:asciiTheme="majorHAnsi" w:eastAsia="Times New Roman" w:hAnsiTheme="majorHAnsi" w:cstheme="majorHAnsi"/>
                <w:b/>
                <w:color w:val="000000"/>
                <w:sz w:val="18"/>
                <w:szCs w:val="18"/>
                <w:lang w:val="en-GB" w:eastAsia="en-GB"/>
              </w:rPr>
            </w:pPr>
            <w:r w:rsidRPr="00A33AE8">
              <w:rPr>
                <w:rFonts w:asciiTheme="majorHAnsi" w:eastAsia="Times New Roman" w:hAnsiTheme="majorHAnsi" w:cstheme="majorHAnsi"/>
                <w:b/>
                <w:color w:val="000000"/>
                <w:sz w:val="18"/>
                <w:szCs w:val="18"/>
                <w:lang w:val="en-GB" w:eastAsia="en-GB"/>
              </w:rPr>
              <w:t>Internal Energy Market</w:t>
            </w:r>
          </w:p>
        </w:tc>
        <w:tc>
          <w:tcPr>
            <w:tcW w:w="1527" w:type="dxa"/>
            <w:tcBorders>
              <w:left w:val="single" w:sz="4" w:space="0" w:color="auto"/>
            </w:tcBorders>
          </w:tcPr>
          <w:p w14:paraId="7F8186F2" w14:textId="77777777" w:rsidR="00CF799C" w:rsidRPr="005B2C66" w:rsidRDefault="00894AA2" w:rsidP="00CF799C">
            <w:pPr>
              <w:pStyle w:val="xmsonormal"/>
              <w:jc w:val="right"/>
              <w:rPr>
                <w:sz w:val="20"/>
                <w:szCs w:val="20"/>
              </w:rPr>
            </w:pPr>
            <w:r>
              <w:rPr>
                <w:sz w:val="20"/>
                <w:szCs w:val="20"/>
                <w:lang w:val="en-GB"/>
              </w:rPr>
              <w:t>1.</w:t>
            </w:r>
            <w:r w:rsidR="00317824">
              <w:rPr>
                <w:sz w:val="20"/>
                <w:szCs w:val="20"/>
              </w:rPr>
              <w:t>19</w:t>
            </w:r>
          </w:p>
        </w:tc>
        <w:tc>
          <w:tcPr>
            <w:tcW w:w="1545" w:type="dxa"/>
          </w:tcPr>
          <w:p w14:paraId="2722EC33" w14:textId="77777777" w:rsidR="00CF799C" w:rsidRPr="005B2C66" w:rsidRDefault="00CF799C" w:rsidP="00CF799C">
            <w:pPr>
              <w:pStyle w:val="xmsonormal"/>
              <w:jc w:val="right"/>
              <w:rPr>
                <w:sz w:val="20"/>
                <w:szCs w:val="20"/>
                <w:lang w:val="en-GB"/>
              </w:rPr>
            </w:pPr>
            <w:r w:rsidRPr="005B2C66">
              <w:rPr>
                <w:sz w:val="20"/>
                <w:szCs w:val="20"/>
                <w:lang w:val="en-GB"/>
              </w:rPr>
              <w:t>0.1</w:t>
            </w:r>
            <w:r w:rsidR="00317824">
              <w:rPr>
                <w:sz w:val="20"/>
                <w:szCs w:val="20"/>
              </w:rPr>
              <w:t>8</w:t>
            </w:r>
          </w:p>
        </w:tc>
        <w:tc>
          <w:tcPr>
            <w:tcW w:w="1277" w:type="dxa"/>
          </w:tcPr>
          <w:p w14:paraId="01CC24CB" w14:textId="77777777" w:rsidR="00CF799C" w:rsidRPr="005B2C66" w:rsidRDefault="00894AA2" w:rsidP="00CF799C">
            <w:pPr>
              <w:pStyle w:val="xmsonormal"/>
              <w:jc w:val="right"/>
              <w:rPr>
                <w:sz w:val="20"/>
                <w:szCs w:val="20"/>
                <w:lang w:val="en-GB"/>
              </w:rPr>
            </w:pPr>
            <w:r>
              <w:rPr>
                <w:sz w:val="20"/>
                <w:szCs w:val="20"/>
                <w:lang w:val="en-GB"/>
              </w:rPr>
              <w:t>1.</w:t>
            </w:r>
            <w:r w:rsidR="00317824">
              <w:rPr>
                <w:sz w:val="20"/>
                <w:szCs w:val="20"/>
              </w:rPr>
              <w:t>0</w:t>
            </w:r>
            <w:r>
              <w:rPr>
                <w:sz w:val="20"/>
                <w:szCs w:val="20"/>
                <w:lang w:val="en-GB"/>
              </w:rPr>
              <w:t>1</w:t>
            </w:r>
          </w:p>
        </w:tc>
        <w:tc>
          <w:tcPr>
            <w:tcW w:w="1497" w:type="dxa"/>
          </w:tcPr>
          <w:p w14:paraId="0FAC1F12" w14:textId="77777777" w:rsidR="00CF799C" w:rsidRPr="005B2C66" w:rsidRDefault="00CF799C" w:rsidP="00CF799C">
            <w:pPr>
              <w:pStyle w:val="xmsonormal"/>
              <w:jc w:val="right"/>
              <w:rPr>
                <w:sz w:val="20"/>
                <w:szCs w:val="20"/>
                <w:lang w:val="en-GB"/>
              </w:rPr>
            </w:pPr>
            <w:r w:rsidRPr="005B2C66">
              <w:rPr>
                <w:sz w:val="20"/>
                <w:szCs w:val="20"/>
                <w:lang w:val="en-GB"/>
              </w:rPr>
              <w:t>85.</w:t>
            </w:r>
            <w:r w:rsidR="00317824">
              <w:rPr>
                <w:sz w:val="20"/>
                <w:szCs w:val="20"/>
                <w:lang w:val="en-GB"/>
              </w:rPr>
              <w:t>0</w:t>
            </w:r>
            <w:r w:rsidRPr="005B2C66">
              <w:rPr>
                <w:sz w:val="20"/>
                <w:szCs w:val="20"/>
                <w:lang w:val="en-GB"/>
              </w:rPr>
              <w:t>%</w:t>
            </w:r>
          </w:p>
        </w:tc>
        <w:tc>
          <w:tcPr>
            <w:tcW w:w="1329" w:type="dxa"/>
          </w:tcPr>
          <w:p w14:paraId="5930A62B" w14:textId="77777777" w:rsidR="00CF799C" w:rsidRPr="005B2C66" w:rsidRDefault="00317824" w:rsidP="00CF799C">
            <w:pPr>
              <w:pStyle w:val="xmsonormal"/>
              <w:jc w:val="right"/>
              <w:rPr>
                <w:sz w:val="20"/>
                <w:szCs w:val="20"/>
                <w:lang w:val="en-GB"/>
              </w:rPr>
            </w:pPr>
            <w:r>
              <w:rPr>
                <w:sz w:val="20"/>
                <w:szCs w:val="20"/>
                <w:lang w:val="en-GB"/>
              </w:rPr>
              <w:t>1.19</w:t>
            </w:r>
          </w:p>
        </w:tc>
        <w:tc>
          <w:tcPr>
            <w:tcW w:w="1329" w:type="dxa"/>
          </w:tcPr>
          <w:p w14:paraId="3A63AC0B" w14:textId="77777777" w:rsidR="00CF799C" w:rsidRPr="005B2C66" w:rsidRDefault="00CF799C" w:rsidP="00CF799C">
            <w:pPr>
              <w:pStyle w:val="xmsonormal"/>
              <w:jc w:val="right"/>
              <w:rPr>
                <w:sz w:val="20"/>
                <w:szCs w:val="20"/>
                <w:lang w:val="en-GB"/>
              </w:rPr>
            </w:pPr>
            <w:r w:rsidRPr="005B2C66">
              <w:rPr>
                <w:sz w:val="20"/>
                <w:szCs w:val="20"/>
                <w:lang w:val="en-GB"/>
              </w:rPr>
              <w:t>0.00</w:t>
            </w:r>
          </w:p>
        </w:tc>
      </w:tr>
      <w:tr w:rsidR="00CF799C" w:rsidRPr="00722822" w14:paraId="6EE0FA04" w14:textId="77777777" w:rsidTr="000007D2">
        <w:trPr>
          <w:trHeight w:val="544"/>
        </w:trPr>
        <w:tc>
          <w:tcPr>
            <w:tcW w:w="1571" w:type="dxa"/>
            <w:tcBorders>
              <w:right w:val="single" w:sz="4" w:space="0" w:color="auto"/>
            </w:tcBorders>
            <w:shd w:val="clear" w:color="auto" w:fill="E7E6E6" w:themeFill="background2"/>
          </w:tcPr>
          <w:p w14:paraId="5794BD68" w14:textId="77777777" w:rsidR="00CF799C" w:rsidRPr="00A33AE8" w:rsidRDefault="00CF799C" w:rsidP="00CF799C">
            <w:pPr>
              <w:pStyle w:val="xmsonormal"/>
              <w:rPr>
                <w:rFonts w:asciiTheme="majorHAnsi" w:eastAsia="Times New Roman" w:hAnsiTheme="majorHAnsi" w:cstheme="majorHAnsi"/>
                <w:b/>
                <w:color w:val="000000"/>
                <w:sz w:val="18"/>
                <w:szCs w:val="18"/>
                <w:lang w:val="en-GB" w:eastAsia="en-GB"/>
              </w:rPr>
            </w:pPr>
            <w:r w:rsidRPr="00A33AE8">
              <w:rPr>
                <w:rFonts w:asciiTheme="majorHAnsi" w:eastAsia="Times New Roman" w:hAnsiTheme="majorHAnsi" w:cstheme="majorHAnsi"/>
                <w:b/>
                <w:color w:val="000000"/>
                <w:sz w:val="18"/>
                <w:szCs w:val="18"/>
                <w:lang w:val="en-GB" w:eastAsia="en-GB"/>
              </w:rPr>
              <w:t>Research Innovation and Competitiveness</w:t>
            </w:r>
          </w:p>
        </w:tc>
        <w:tc>
          <w:tcPr>
            <w:tcW w:w="1527" w:type="dxa"/>
            <w:tcBorders>
              <w:left w:val="single" w:sz="4" w:space="0" w:color="auto"/>
            </w:tcBorders>
          </w:tcPr>
          <w:p w14:paraId="00331D32" w14:textId="77777777" w:rsidR="00CF799C" w:rsidRPr="005B2C66" w:rsidRDefault="00CF799C" w:rsidP="00CF799C">
            <w:pPr>
              <w:pStyle w:val="xmsonormal"/>
              <w:jc w:val="right"/>
              <w:rPr>
                <w:sz w:val="20"/>
                <w:szCs w:val="20"/>
                <w:lang w:val="en-GB"/>
              </w:rPr>
            </w:pPr>
            <w:r w:rsidRPr="005B2C66">
              <w:rPr>
                <w:sz w:val="20"/>
                <w:szCs w:val="20"/>
                <w:lang w:val="en-GB"/>
              </w:rPr>
              <w:t>0.11</w:t>
            </w:r>
          </w:p>
        </w:tc>
        <w:tc>
          <w:tcPr>
            <w:tcW w:w="1545" w:type="dxa"/>
          </w:tcPr>
          <w:p w14:paraId="43F3B58B" w14:textId="77777777" w:rsidR="00CF799C" w:rsidRPr="005B2C66" w:rsidRDefault="00CF799C" w:rsidP="00CF799C">
            <w:pPr>
              <w:pStyle w:val="xmsonormal"/>
              <w:jc w:val="right"/>
              <w:rPr>
                <w:sz w:val="20"/>
                <w:szCs w:val="20"/>
                <w:lang w:val="en-GB"/>
              </w:rPr>
            </w:pPr>
            <w:r w:rsidRPr="005B2C66">
              <w:rPr>
                <w:sz w:val="20"/>
                <w:szCs w:val="20"/>
                <w:lang w:val="en-GB"/>
              </w:rPr>
              <w:t>0.06</w:t>
            </w:r>
          </w:p>
        </w:tc>
        <w:tc>
          <w:tcPr>
            <w:tcW w:w="1277" w:type="dxa"/>
          </w:tcPr>
          <w:p w14:paraId="7788800B" w14:textId="77777777" w:rsidR="00CF799C" w:rsidRPr="005B2C66" w:rsidRDefault="00CF799C" w:rsidP="00CF799C">
            <w:pPr>
              <w:pStyle w:val="xmsonormal"/>
              <w:jc w:val="right"/>
              <w:rPr>
                <w:sz w:val="20"/>
                <w:szCs w:val="20"/>
                <w:lang w:val="en-GB"/>
              </w:rPr>
            </w:pPr>
            <w:r w:rsidRPr="005B2C66">
              <w:rPr>
                <w:sz w:val="20"/>
                <w:szCs w:val="20"/>
                <w:lang w:val="en-GB"/>
              </w:rPr>
              <w:t>0.05</w:t>
            </w:r>
          </w:p>
        </w:tc>
        <w:tc>
          <w:tcPr>
            <w:tcW w:w="1497" w:type="dxa"/>
          </w:tcPr>
          <w:p w14:paraId="4AA51976" w14:textId="77777777" w:rsidR="00CF799C" w:rsidRPr="005B2C66" w:rsidRDefault="00CF799C" w:rsidP="00CF799C">
            <w:pPr>
              <w:pStyle w:val="xmsonormal"/>
              <w:jc w:val="right"/>
              <w:rPr>
                <w:sz w:val="20"/>
                <w:szCs w:val="20"/>
                <w:lang w:val="en-GB"/>
              </w:rPr>
            </w:pPr>
            <w:r w:rsidRPr="005B2C66">
              <w:rPr>
                <w:sz w:val="20"/>
                <w:szCs w:val="20"/>
                <w:lang w:val="en-GB"/>
              </w:rPr>
              <w:t>45.7%</w:t>
            </w:r>
          </w:p>
        </w:tc>
        <w:tc>
          <w:tcPr>
            <w:tcW w:w="1329" w:type="dxa"/>
          </w:tcPr>
          <w:p w14:paraId="3ACE9A43" w14:textId="77777777" w:rsidR="00CF799C" w:rsidRPr="005B2C66" w:rsidRDefault="00CF799C" w:rsidP="00CF799C">
            <w:pPr>
              <w:pStyle w:val="xmsonormal"/>
              <w:jc w:val="right"/>
              <w:rPr>
                <w:sz w:val="20"/>
                <w:szCs w:val="20"/>
                <w:lang w:val="en-GB"/>
              </w:rPr>
            </w:pPr>
            <w:r w:rsidRPr="005B2C66">
              <w:rPr>
                <w:sz w:val="20"/>
                <w:szCs w:val="20"/>
                <w:lang w:val="en-GB"/>
              </w:rPr>
              <w:t>0.11</w:t>
            </w:r>
          </w:p>
        </w:tc>
        <w:tc>
          <w:tcPr>
            <w:tcW w:w="1329" w:type="dxa"/>
          </w:tcPr>
          <w:p w14:paraId="2300C060" w14:textId="77777777" w:rsidR="00CF799C" w:rsidRPr="005B2C66" w:rsidRDefault="00CF799C" w:rsidP="00CF799C">
            <w:pPr>
              <w:pStyle w:val="xmsonormal"/>
              <w:jc w:val="right"/>
              <w:rPr>
                <w:sz w:val="20"/>
                <w:szCs w:val="20"/>
                <w:lang w:val="en-GB"/>
              </w:rPr>
            </w:pPr>
            <w:r w:rsidRPr="005B2C66">
              <w:rPr>
                <w:sz w:val="20"/>
                <w:szCs w:val="20"/>
                <w:lang w:val="en-GB"/>
              </w:rPr>
              <w:t>0.00</w:t>
            </w:r>
          </w:p>
        </w:tc>
      </w:tr>
      <w:tr w:rsidR="00CF799C" w:rsidRPr="00722822" w14:paraId="0C7C4B1B" w14:textId="77777777" w:rsidTr="000007D2">
        <w:trPr>
          <w:trHeight w:val="272"/>
        </w:trPr>
        <w:tc>
          <w:tcPr>
            <w:tcW w:w="1571" w:type="dxa"/>
            <w:tcBorders>
              <w:right w:val="single" w:sz="4" w:space="0" w:color="auto"/>
            </w:tcBorders>
            <w:shd w:val="clear" w:color="auto" w:fill="E7E6E6" w:themeFill="background2"/>
          </w:tcPr>
          <w:p w14:paraId="47E44ECF" w14:textId="77777777" w:rsidR="00CF799C" w:rsidRPr="00A33AE8" w:rsidRDefault="00CF799C" w:rsidP="00CF799C">
            <w:pPr>
              <w:pStyle w:val="xmsonormal"/>
              <w:rPr>
                <w:rFonts w:asciiTheme="majorHAnsi" w:eastAsia="Times New Roman" w:hAnsiTheme="majorHAnsi" w:cstheme="majorHAnsi"/>
                <w:b/>
                <w:color w:val="000000"/>
                <w:sz w:val="18"/>
                <w:szCs w:val="18"/>
                <w:lang w:val="en-GB" w:eastAsia="en-GB"/>
              </w:rPr>
            </w:pPr>
            <w:r w:rsidRPr="00A33AE8">
              <w:rPr>
                <w:rFonts w:asciiTheme="majorHAnsi" w:eastAsia="Times New Roman" w:hAnsiTheme="majorHAnsi" w:cstheme="majorHAnsi"/>
                <w:b/>
                <w:color w:val="000000"/>
                <w:sz w:val="18"/>
                <w:szCs w:val="18"/>
                <w:lang w:val="en-GB" w:eastAsia="en-GB"/>
              </w:rPr>
              <w:t xml:space="preserve">Total (billion </w:t>
            </w:r>
            <w:r w:rsidRPr="00722822">
              <w:rPr>
                <w:rFonts w:asciiTheme="majorHAnsi" w:hAnsiTheme="majorHAnsi" w:cstheme="majorHAnsi"/>
                <w:b/>
                <w:bCs/>
                <w:sz w:val="18"/>
                <w:szCs w:val="18"/>
                <w:lang w:val="en-GB"/>
              </w:rPr>
              <w:t>€)</w:t>
            </w:r>
          </w:p>
        </w:tc>
        <w:tc>
          <w:tcPr>
            <w:tcW w:w="1527" w:type="dxa"/>
            <w:tcBorders>
              <w:left w:val="single" w:sz="4" w:space="0" w:color="auto"/>
            </w:tcBorders>
            <w:shd w:val="clear" w:color="auto" w:fill="E7E6E6" w:themeFill="background2"/>
          </w:tcPr>
          <w:p w14:paraId="1CB02FA5" w14:textId="4EE99234" w:rsidR="00CF799C" w:rsidRPr="005B2C66" w:rsidRDefault="00445441" w:rsidP="00CF799C">
            <w:pPr>
              <w:pStyle w:val="xmsonormal"/>
              <w:jc w:val="right"/>
              <w:rPr>
                <w:sz w:val="20"/>
                <w:szCs w:val="20"/>
              </w:rPr>
            </w:pPr>
            <w:r>
              <w:rPr>
                <w:sz w:val="20"/>
                <w:szCs w:val="20"/>
                <w:lang w:val="en-GB"/>
              </w:rPr>
              <w:t>30.5</w:t>
            </w:r>
            <w:r w:rsidR="00B40249">
              <w:rPr>
                <w:sz w:val="20"/>
                <w:szCs w:val="20"/>
                <w:lang w:val="en-GB"/>
              </w:rPr>
              <w:t>5</w:t>
            </w:r>
          </w:p>
        </w:tc>
        <w:tc>
          <w:tcPr>
            <w:tcW w:w="1545" w:type="dxa"/>
            <w:shd w:val="clear" w:color="auto" w:fill="E7E6E6" w:themeFill="background2"/>
          </w:tcPr>
          <w:p w14:paraId="2E209B9E" w14:textId="3CD54E82" w:rsidR="00CF799C" w:rsidRPr="005B2C66" w:rsidRDefault="00445441" w:rsidP="00CF799C">
            <w:pPr>
              <w:pStyle w:val="xmsonormal"/>
              <w:jc w:val="right"/>
              <w:rPr>
                <w:sz w:val="20"/>
                <w:szCs w:val="20"/>
                <w:lang w:val="en-GB"/>
              </w:rPr>
            </w:pPr>
            <w:r>
              <w:rPr>
                <w:sz w:val="20"/>
                <w:szCs w:val="20"/>
                <w:lang w:val="en-GB"/>
              </w:rPr>
              <w:t>10.8</w:t>
            </w:r>
            <w:r w:rsidR="00B40249">
              <w:rPr>
                <w:sz w:val="20"/>
                <w:szCs w:val="20"/>
                <w:lang w:val="en-GB"/>
              </w:rPr>
              <w:t>7</w:t>
            </w:r>
          </w:p>
        </w:tc>
        <w:tc>
          <w:tcPr>
            <w:tcW w:w="1277" w:type="dxa"/>
            <w:shd w:val="clear" w:color="auto" w:fill="E7E6E6" w:themeFill="background2"/>
          </w:tcPr>
          <w:p w14:paraId="33FECB99" w14:textId="2EF5E575" w:rsidR="00445441" w:rsidRPr="0087794A" w:rsidRDefault="00445441" w:rsidP="00445441">
            <w:pPr>
              <w:pStyle w:val="xmsonormal"/>
              <w:jc w:val="right"/>
              <w:rPr>
                <w:sz w:val="20"/>
                <w:szCs w:val="20"/>
                <w:lang w:val="en-GB"/>
              </w:rPr>
            </w:pPr>
            <w:r>
              <w:rPr>
                <w:sz w:val="20"/>
                <w:szCs w:val="20"/>
                <w:lang w:val="en-GB"/>
              </w:rPr>
              <w:t>19.68</w:t>
            </w:r>
          </w:p>
        </w:tc>
        <w:tc>
          <w:tcPr>
            <w:tcW w:w="1497" w:type="dxa"/>
            <w:shd w:val="clear" w:color="auto" w:fill="E7E6E6" w:themeFill="background2"/>
          </w:tcPr>
          <w:p w14:paraId="50D58632" w14:textId="640CA4B6" w:rsidR="00CF799C" w:rsidRPr="005B2C66" w:rsidDel="009646E6" w:rsidRDefault="00445441" w:rsidP="00CF799C">
            <w:pPr>
              <w:pStyle w:val="xmsonormal"/>
              <w:jc w:val="right"/>
              <w:rPr>
                <w:sz w:val="20"/>
                <w:szCs w:val="20"/>
                <w:lang w:val="en-GB"/>
              </w:rPr>
            </w:pPr>
            <w:r>
              <w:rPr>
                <w:sz w:val="20"/>
                <w:szCs w:val="20"/>
                <w:lang w:val="en-GB"/>
              </w:rPr>
              <w:t>64.4</w:t>
            </w:r>
            <w:r w:rsidR="005525A8">
              <w:rPr>
                <w:sz w:val="20"/>
                <w:szCs w:val="20"/>
                <w:lang w:val="en-GB"/>
              </w:rPr>
              <w:t>%</w:t>
            </w:r>
          </w:p>
        </w:tc>
        <w:tc>
          <w:tcPr>
            <w:tcW w:w="1329" w:type="dxa"/>
            <w:shd w:val="clear" w:color="auto" w:fill="E7E6E6" w:themeFill="background2"/>
          </w:tcPr>
          <w:p w14:paraId="2A8A0F4C" w14:textId="2E0BDC68" w:rsidR="00CF799C" w:rsidRPr="005B2C66" w:rsidRDefault="00445441" w:rsidP="00CF799C">
            <w:pPr>
              <w:pStyle w:val="xmsonormal"/>
              <w:jc w:val="right"/>
              <w:rPr>
                <w:sz w:val="20"/>
                <w:szCs w:val="20"/>
                <w:lang w:val="en-GB"/>
              </w:rPr>
            </w:pPr>
            <w:r>
              <w:rPr>
                <w:sz w:val="20"/>
                <w:szCs w:val="20"/>
                <w:lang w:val="en-GB"/>
              </w:rPr>
              <w:t>16.7</w:t>
            </w:r>
            <w:r w:rsidR="00B40249">
              <w:rPr>
                <w:sz w:val="20"/>
                <w:szCs w:val="20"/>
                <w:lang w:val="en-GB"/>
              </w:rPr>
              <w:t>6</w:t>
            </w:r>
          </w:p>
        </w:tc>
        <w:tc>
          <w:tcPr>
            <w:tcW w:w="1329" w:type="dxa"/>
            <w:shd w:val="clear" w:color="auto" w:fill="E7E6E6" w:themeFill="background2"/>
          </w:tcPr>
          <w:p w14:paraId="0D799601" w14:textId="3994D599" w:rsidR="00CF799C" w:rsidRPr="005B2C66" w:rsidRDefault="00445441" w:rsidP="00CF799C">
            <w:pPr>
              <w:pStyle w:val="xmsonormal"/>
              <w:jc w:val="right"/>
              <w:rPr>
                <w:sz w:val="20"/>
                <w:szCs w:val="20"/>
                <w:lang w:val="en-GB"/>
              </w:rPr>
            </w:pPr>
            <w:r>
              <w:rPr>
                <w:sz w:val="20"/>
                <w:szCs w:val="20"/>
                <w:lang w:val="en-GB"/>
              </w:rPr>
              <w:t>13.79</w:t>
            </w:r>
          </w:p>
        </w:tc>
      </w:tr>
    </w:tbl>
    <w:p w14:paraId="09F06B6E" w14:textId="2D2F0389" w:rsidR="00425A3B" w:rsidRDefault="0008702F" w:rsidP="0087794A">
      <w:pPr>
        <w:spacing w:before="160"/>
        <w:jc w:val="both"/>
      </w:pPr>
      <w:bookmarkStart w:id="668" w:name="_Toc113919407"/>
      <w:r w:rsidRPr="000007D2">
        <w:rPr>
          <w:rFonts w:asciiTheme="majorHAnsi" w:hAnsiTheme="majorHAnsi" w:cstheme="majorHAnsi"/>
        </w:rPr>
        <w:t xml:space="preserve">Out of the cumulative investment needs of </w:t>
      </w:r>
      <w:r w:rsidR="00445441">
        <w:rPr>
          <w:rFonts w:asciiTheme="majorHAnsi" w:hAnsiTheme="majorHAnsi" w:cstheme="majorHAnsi"/>
        </w:rPr>
        <w:t>30.57</w:t>
      </w:r>
      <w:r w:rsidR="00CF799C" w:rsidRPr="00261E67">
        <w:rPr>
          <w:rFonts w:asciiTheme="majorHAnsi" w:hAnsiTheme="majorHAnsi" w:cstheme="majorHAnsi"/>
        </w:rPr>
        <w:t xml:space="preserve"> </w:t>
      </w:r>
      <w:r w:rsidRPr="000007D2">
        <w:rPr>
          <w:rFonts w:asciiTheme="majorHAnsi" w:hAnsiTheme="majorHAnsi" w:cstheme="majorHAnsi"/>
        </w:rPr>
        <w:t xml:space="preserve">billion EUR up to 2030, approximately </w:t>
      </w:r>
      <w:r w:rsidR="00445441">
        <w:rPr>
          <w:rFonts w:asciiTheme="majorHAnsi" w:hAnsiTheme="majorHAnsi" w:cstheme="majorHAnsi"/>
        </w:rPr>
        <w:t>35.6</w:t>
      </w:r>
      <w:r w:rsidRPr="000007D2">
        <w:rPr>
          <w:rFonts w:asciiTheme="majorHAnsi" w:hAnsiTheme="majorHAnsi" w:cstheme="majorHAnsi"/>
        </w:rPr>
        <w:t>% refers to public sector investments</w:t>
      </w:r>
      <w:r w:rsidR="00723D84" w:rsidRPr="000007D2">
        <w:rPr>
          <w:rFonts w:asciiTheme="majorHAnsi" w:hAnsiTheme="majorHAnsi" w:cstheme="majorHAnsi"/>
        </w:rPr>
        <w:t xml:space="preserve"> (</w:t>
      </w:r>
      <w:r w:rsidR="00425A3B">
        <w:rPr>
          <w:rFonts w:asciiTheme="majorHAnsi" w:hAnsiTheme="majorHAnsi" w:cstheme="majorHAnsi"/>
          <w:lang w:val="el-GR" w:eastAsia="el-GR"/>
        </w:rPr>
        <w:fldChar w:fldCharType="begin"/>
      </w:r>
      <w:r w:rsidR="00425A3B">
        <w:rPr>
          <w:rFonts w:asciiTheme="majorHAnsi" w:hAnsiTheme="majorHAnsi" w:cstheme="majorHAnsi"/>
        </w:rPr>
        <w:instrText xml:space="preserve"> REF _Ref153529201 \h  \* MERGEFORMAT </w:instrText>
      </w:r>
      <w:r w:rsidR="00425A3B">
        <w:rPr>
          <w:rFonts w:asciiTheme="majorHAnsi" w:hAnsiTheme="majorHAnsi" w:cstheme="majorHAnsi"/>
          <w:lang w:val="el-GR" w:eastAsia="el-GR"/>
        </w:rPr>
      </w:r>
      <w:r w:rsidR="00425A3B">
        <w:rPr>
          <w:rFonts w:asciiTheme="majorHAnsi" w:hAnsiTheme="majorHAnsi" w:cstheme="majorHAnsi"/>
          <w:lang w:val="el-GR" w:eastAsia="el-GR"/>
        </w:rPr>
        <w:fldChar w:fldCharType="separate"/>
      </w:r>
      <w:r w:rsidR="00425A3B" w:rsidRPr="0087794A">
        <w:rPr>
          <w:rFonts w:asciiTheme="majorHAnsi" w:hAnsiTheme="majorHAnsi" w:cstheme="majorHAnsi"/>
          <w:lang w:eastAsia="el-GR"/>
        </w:rPr>
        <w:t>Figure 5.50</w:t>
      </w:r>
      <w:r w:rsidR="00425A3B">
        <w:rPr>
          <w:rFonts w:asciiTheme="majorHAnsi" w:hAnsiTheme="majorHAnsi" w:cstheme="majorHAnsi"/>
          <w:lang w:val="el-GR" w:eastAsia="el-GR"/>
        </w:rPr>
        <w:fldChar w:fldCharType="end"/>
      </w:r>
      <w:r w:rsidR="00723D84" w:rsidRPr="000007D2">
        <w:rPr>
          <w:rFonts w:asciiTheme="majorHAnsi" w:hAnsiTheme="majorHAnsi" w:cstheme="majorHAnsi"/>
        </w:rPr>
        <w:t>)</w:t>
      </w:r>
      <w:r w:rsidRPr="000007D2">
        <w:rPr>
          <w:rFonts w:asciiTheme="majorHAnsi" w:hAnsiTheme="majorHAnsi" w:cstheme="majorHAnsi"/>
        </w:rPr>
        <w:t xml:space="preserve"> The remaining almost </w:t>
      </w:r>
      <w:r w:rsidR="00445441">
        <w:rPr>
          <w:rFonts w:asciiTheme="majorHAnsi" w:hAnsiTheme="majorHAnsi" w:cstheme="majorHAnsi"/>
        </w:rPr>
        <w:t>64.4</w:t>
      </w:r>
      <w:r w:rsidRPr="000007D2">
        <w:rPr>
          <w:rFonts w:asciiTheme="majorHAnsi" w:hAnsiTheme="majorHAnsi" w:cstheme="majorHAnsi"/>
        </w:rPr>
        <w:t xml:space="preserve">% shall come from </w:t>
      </w:r>
      <w:r w:rsidR="00312333" w:rsidRPr="000007D2">
        <w:rPr>
          <w:rFonts w:asciiTheme="majorHAnsi" w:hAnsiTheme="majorHAnsi" w:cstheme="majorHAnsi"/>
        </w:rPr>
        <w:t>own funds</w:t>
      </w:r>
      <w:r w:rsidRPr="000007D2">
        <w:rPr>
          <w:rFonts w:asciiTheme="majorHAnsi" w:hAnsiTheme="majorHAnsi" w:cstheme="majorHAnsi"/>
        </w:rPr>
        <w:t xml:space="preserve"> investments including the projects promoted by the Transmission and Distribution System Operators that will be eventually socialized through the tariffs. Particularly, large scale transmission projects will be further assessed with respect to the financial capacity of the project promoters to implement them, as well as with respect to their stress on the transmission and distribution tariffs.</w:t>
      </w:r>
      <w:bookmarkEnd w:id="668"/>
    </w:p>
    <w:p w14:paraId="67561E65" w14:textId="3021294F" w:rsidR="00425A3B" w:rsidRDefault="00425A3B" w:rsidP="0087794A">
      <w:pPr>
        <w:pStyle w:val="Caption"/>
        <w:keepNext/>
      </w:pPr>
      <w:bookmarkStart w:id="669" w:name="_Ref153529201"/>
      <w:bookmarkStart w:id="670" w:name="_Toc154575323"/>
      <w:r>
        <w:lastRenderedPageBreak/>
        <w:t xml:space="preserve">Figure </w:t>
      </w:r>
      <w:r w:rsidR="006E0533">
        <w:fldChar w:fldCharType="begin"/>
      </w:r>
      <w:r w:rsidR="006E0533">
        <w:instrText xml:space="preserve"> STYLEREF 1 \s </w:instrText>
      </w:r>
      <w:r w:rsidR="006E0533">
        <w:fldChar w:fldCharType="separate"/>
      </w:r>
      <w:r w:rsidR="00B62877">
        <w:rPr>
          <w:noProof/>
        </w:rPr>
        <w:t>5</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50</w:t>
      </w:r>
      <w:r w:rsidR="006E0533">
        <w:rPr>
          <w:noProof/>
        </w:rPr>
        <w:fldChar w:fldCharType="end"/>
      </w:r>
      <w:bookmarkEnd w:id="669"/>
      <w:r>
        <w:t xml:space="preserve">: </w:t>
      </w:r>
      <w:r w:rsidRPr="00425A3B">
        <w:t>Distribution of implementation costs per for public and private (own resources) investments</w:t>
      </w:r>
      <w:bookmarkEnd w:id="670"/>
    </w:p>
    <w:p w14:paraId="743A7CB2" w14:textId="26E18556" w:rsidR="00A51ACB" w:rsidRPr="000007D2" w:rsidRDefault="00B40249" w:rsidP="007A0028">
      <w:pPr>
        <w:jc w:val="center"/>
        <w:rPr>
          <w:lang w:eastAsia="el-GR"/>
        </w:rPr>
      </w:pPr>
      <w:r>
        <w:rPr>
          <w:noProof/>
          <w:lang w:val="en-US"/>
        </w:rPr>
        <w:drawing>
          <wp:inline distT="0" distB="0" distL="0" distR="0" wp14:anchorId="02DE0456" wp14:editId="1A591523">
            <wp:extent cx="4951941" cy="3127059"/>
            <wp:effectExtent l="0" t="0" r="1270" b="0"/>
            <wp:docPr id="724920869" name="Chart 1">
              <a:extLst xmlns:a="http://schemas.openxmlformats.org/drawingml/2006/main">
                <a:ext uri="{FF2B5EF4-FFF2-40B4-BE49-F238E27FC236}">
                  <a16:creationId xmlns:a16="http://schemas.microsoft.com/office/drawing/2014/main" id="{8DEBFCF5-9673-8D7E-0B62-39E39614F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4B60C56C" w14:textId="5FEF6E26" w:rsidR="0008702F" w:rsidRPr="000007D2" w:rsidRDefault="0008702F" w:rsidP="007A0028">
      <w:pPr>
        <w:pStyle w:val="xmsonormal"/>
        <w:spacing w:after="120"/>
        <w:jc w:val="both"/>
        <w:rPr>
          <w:rFonts w:asciiTheme="majorHAnsi" w:hAnsiTheme="majorHAnsi" w:cstheme="majorHAnsi"/>
          <w:lang w:val="en-GB"/>
        </w:rPr>
      </w:pPr>
      <w:r w:rsidRPr="000007D2">
        <w:rPr>
          <w:rFonts w:asciiTheme="majorHAnsi" w:hAnsiTheme="majorHAnsi" w:cstheme="majorHAnsi"/>
          <w:lang w:val="en-GB"/>
        </w:rPr>
        <w:t>The blending of private</w:t>
      </w:r>
      <w:r w:rsidR="00AB0203" w:rsidRPr="000007D2">
        <w:rPr>
          <w:rFonts w:asciiTheme="majorHAnsi" w:hAnsiTheme="majorHAnsi" w:cstheme="majorHAnsi"/>
          <w:lang w:val="en-GB"/>
        </w:rPr>
        <w:t xml:space="preserve"> (own resources)</w:t>
      </w:r>
      <w:r w:rsidRPr="000007D2">
        <w:rPr>
          <w:rFonts w:asciiTheme="majorHAnsi" w:hAnsiTheme="majorHAnsi" w:cstheme="majorHAnsi"/>
          <w:lang w:val="en-GB"/>
        </w:rPr>
        <w:t xml:space="preserve"> and public funds will be the prevalent option for the financing of those measures subject to public budget and private sector affordability constraints. Part of the investment needs related to green transition can be covered by the earmarking of public revenues from the imposition of the </w:t>
      </w:r>
      <w:r w:rsidR="00BC44AD" w:rsidRPr="00A33AE8">
        <w:rPr>
          <w:rFonts w:asciiTheme="majorHAnsi" w:hAnsiTheme="majorHAnsi" w:cstheme="majorHAnsi"/>
          <w:lang w:val="en-GB"/>
        </w:rPr>
        <w:t>carbon</w:t>
      </w:r>
      <w:r w:rsidR="00BC44AD" w:rsidRPr="000007D2">
        <w:rPr>
          <w:rFonts w:asciiTheme="majorHAnsi" w:hAnsiTheme="majorHAnsi" w:cstheme="majorHAnsi"/>
          <w:lang w:val="en-GB"/>
        </w:rPr>
        <w:t xml:space="preserve"> </w:t>
      </w:r>
      <w:r w:rsidR="00837097">
        <w:rPr>
          <w:rFonts w:asciiTheme="majorHAnsi" w:hAnsiTheme="majorHAnsi" w:cstheme="majorHAnsi"/>
          <w:lang w:val="en-GB"/>
        </w:rPr>
        <w:t>pricing</w:t>
      </w:r>
      <w:r w:rsidRPr="000007D2">
        <w:rPr>
          <w:rFonts w:asciiTheme="majorHAnsi" w:hAnsiTheme="majorHAnsi" w:cstheme="majorHAnsi"/>
          <w:lang w:val="en-GB"/>
        </w:rPr>
        <w:t>. Also, the instrument of Public and Private Partnerships could be key to leveraging private sector investments.</w:t>
      </w:r>
    </w:p>
    <w:p w14:paraId="5A829F3F" w14:textId="7F618BD5" w:rsidR="005D13C4" w:rsidRPr="000007D2" w:rsidRDefault="0008702F" w:rsidP="0087794A">
      <w:pPr>
        <w:pStyle w:val="xmsonormal"/>
        <w:spacing w:after="160"/>
        <w:jc w:val="both"/>
        <w:rPr>
          <w:lang w:val="en-GB"/>
        </w:rPr>
      </w:pPr>
      <w:bookmarkStart w:id="671" w:name="_Toc113919418"/>
      <w:r w:rsidRPr="000007D2">
        <w:rPr>
          <w:rFonts w:asciiTheme="majorHAnsi" w:hAnsiTheme="majorHAnsi" w:cstheme="majorHAnsi"/>
          <w:lang w:val="en-GB"/>
        </w:rPr>
        <w:t>In this context, the role of IFIs is critical to support the green transition of the Serbian energy sector.</w:t>
      </w:r>
      <w:r w:rsidR="00C15C9C" w:rsidRPr="000007D2">
        <w:rPr>
          <w:rFonts w:asciiTheme="majorHAnsi" w:hAnsiTheme="majorHAnsi" w:cstheme="majorHAnsi"/>
          <w:lang w:val="en-GB"/>
        </w:rPr>
        <w:t xml:space="preserve"> </w:t>
      </w:r>
      <w:r w:rsidRPr="000007D2">
        <w:rPr>
          <w:rFonts w:asciiTheme="majorHAnsi" w:hAnsiTheme="majorHAnsi" w:cstheme="majorHAnsi"/>
          <w:lang w:val="en-GB"/>
        </w:rPr>
        <w:t xml:space="preserve">Whereas there is a number of green financing activities in terms of grants and loans, these are quite limited compared to the overall investment needs. An </w:t>
      </w:r>
      <w:r w:rsidR="00C23BD9" w:rsidRPr="00C23BD9">
        <w:rPr>
          <w:rFonts w:asciiTheme="majorHAnsi" w:hAnsiTheme="majorHAnsi" w:cstheme="majorHAnsi"/>
          <w:lang w:val="en-GB"/>
        </w:rPr>
        <w:t xml:space="preserve">indicative </w:t>
      </w:r>
      <w:r w:rsidRPr="000007D2">
        <w:rPr>
          <w:rFonts w:asciiTheme="majorHAnsi" w:eastAsia="Arial" w:hAnsiTheme="majorHAnsi" w:cstheme="majorHAnsi"/>
          <w:lang w:val="en-GB"/>
        </w:rPr>
        <w:t>overview of available green funding instruments for Serbia and the entire Western Balkans regions is present</w:t>
      </w:r>
      <w:r w:rsidRPr="0087794A">
        <w:rPr>
          <w:rFonts w:asciiTheme="majorHAnsi" w:hAnsiTheme="majorHAnsi" w:cstheme="majorHAnsi"/>
          <w:lang w:val="en-GB"/>
        </w:rPr>
        <w:t xml:space="preserve">ed in </w:t>
      </w:r>
      <w:r w:rsidR="00617255" w:rsidRPr="0087794A">
        <w:rPr>
          <w:rFonts w:asciiTheme="majorHAnsi" w:hAnsiTheme="majorHAnsi" w:cstheme="majorHAnsi"/>
          <w:lang w:val="en-GB"/>
        </w:rPr>
        <w:fldChar w:fldCharType="begin"/>
      </w:r>
      <w:r w:rsidR="00617255" w:rsidRPr="0087794A">
        <w:rPr>
          <w:rFonts w:asciiTheme="majorHAnsi" w:hAnsiTheme="majorHAnsi" w:cstheme="majorHAnsi"/>
          <w:lang w:val="en-GB"/>
        </w:rPr>
        <w:instrText xml:space="preserve"> REF _Ref153529477 \h </w:instrText>
      </w:r>
      <w:r w:rsidR="00617255">
        <w:rPr>
          <w:rFonts w:asciiTheme="majorHAnsi" w:hAnsiTheme="majorHAnsi" w:cstheme="majorHAnsi"/>
          <w:lang w:val="en-GB"/>
        </w:rPr>
        <w:instrText xml:space="preserve"> \* MERGEFORMAT </w:instrText>
      </w:r>
      <w:r w:rsidR="00617255" w:rsidRPr="0087794A">
        <w:rPr>
          <w:rFonts w:asciiTheme="majorHAnsi" w:hAnsiTheme="majorHAnsi" w:cstheme="majorHAnsi"/>
          <w:lang w:val="en-GB"/>
        </w:rPr>
      </w:r>
      <w:r w:rsidR="00617255" w:rsidRPr="0087794A">
        <w:rPr>
          <w:rFonts w:asciiTheme="majorHAnsi" w:hAnsiTheme="majorHAnsi" w:cstheme="majorHAnsi"/>
          <w:lang w:val="en-GB"/>
        </w:rPr>
        <w:fldChar w:fldCharType="separate"/>
      </w:r>
      <w:r w:rsidR="00617255" w:rsidRPr="0087794A">
        <w:rPr>
          <w:rFonts w:asciiTheme="majorHAnsi" w:hAnsiTheme="majorHAnsi" w:cstheme="majorHAnsi"/>
          <w:lang w:val="en-GB"/>
        </w:rPr>
        <w:t>Table 5.4</w:t>
      </w:r>
      <w:r w:rsidR="00617255" w:rsidRPr="0087794A">
        <w:rPr>
          <w:rFonts w:asciiTheme="majorHAnsi" w:hAnsiTheme="majorHAnsi" w:cstheme="majorHAnsi"/>
          <w:lang w:val="en-GB"/>
        </w:rPr>
        <w:fldChar w:fldCharType="end"/>
      </w:r>
      <w:r w:rsidR="00617255" w:rsidRPr="0087794A">
        <w:rPr>
          <w:rFonts w:asciiTheme="majorHAnsi" w:hAnsiTheme="majorHAnsi" w:cstheme="majorHAnsi"/>
          <w:lang w:val="en-GB"/>
        </w:rPr>
        <w:t>.</w:t>
      </w:r>
      <w:bookmarkEnd w:id="671"/>
    </w:p>
    <w:p w14:paraId="47BDAEDA" w14:textId="05F1B523" w:rsidR="00617255" w:rsidRDefault="00617255" w:rsidP="0087794A">
      <w:pPr>
        <w:pStyle w:val="Caption"/>
        <w:keepNext/>
      </w:pPr>
      <w:bookmarkStart w:id="672" w:name="_Ref153529477"/>
      <w:bookmarkStart w:id="673" w:name="_Toc153545078"/>
      <w:r>
        <w:t xml:space="preserve">Table </w:t>
      </w:r>
      <w:r w:rsidR="006E0533">
        <w:fldChar w:fldCharType="begin"/>
      </w:r>
      <w:r w:rsidR="006E0533">
        <w:instrText xml:space="preserve"> STYLEREF 1 \s </w:instrText>
      </w:r>
      <w:r w:rsidR="006E0533">
        <w:fldChar w:fldCharType="separate"/>
      </w:r>
      <w:r w:rsidR="00A84B9C">
        <w:rPr>
          <w:noProof/>
        </w:rPr>
        <w:t>5</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4</w:t>
      </w:r>
      <w:r w:rsidR="006E0533">
        <w:rPr>
          <w:noProof/>
        </w:rPr>
        <w:fldChar w:fldCharType="end"/>
      </w:r>
      <w:bookmarkEnd w:id="672"/>
      <w:r>
        <w:t xml:space="preserve">: </w:t>
      </w:r>
      <w:r w:rsidRPr="00617255">
        <w:t>Indicative Overview of Serbia's green transition support programs</w:t>
      </w:r>
      <w:bookmarkEnd w:id="6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60"/>
        <w:gridCol w:w="1290"/>
        <w:gridCol w:w="6983"/>
      </w:tblGrid>
      <w:tr w:rsidR="000154A5" w:rsidRPr="00A33AE8" w14:paraId="4EDC8B09" w14:textId="77777777" w:rsidTr="005F342E">
        <w:trPr>
          <w:trHeight w:val="398"/>
          <w:tblHeader/>
        </w:trPr>
        <w:tc>
          <w:tcPr>
            <w:tcW w:w="0" w:type="auto"/>
            <w:shd w:val="clear" w:color="auto" w:fill="244062"/>
            <w:vAlign w:val="center"/>
            <w:hideMark/>
          </w:tcPr>
          <w:p w14:paraId="26C4B066"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sz w:val="18"/>
              </w:rPr>
            </w:pPr>
            <w:r w:rsidRPr="00A33AE8">
              <w:rPr>
                <w:rFonts w:asciiTheme="majorHAnsi" w:eastAsia="Arial" w:hAnsiTheme="majorHAnsi" w:cstheme="majorHAnsi"/>
                <w:b/>
                <w:color w:val="FFFFFF"/>
                <w:spacing w:val="-2"/>
                <w:sz w:val="18"/>
              </w:rPr>
              <w:t>Donor</w:t>
            </w:r>
          </w:p>
        </w:tc>
        <w:tc>
          <w:tcPr>
            <w:tcW w:w="1290" w:type="dxa"/>
            <w:shd w:val="clear" w:color="auto" w:fill="244062"/>
            <w:vAlign w:val="center"/>
            <w:hideMark/>
          </w:tcPr>
          <w:p w14:paraId="62AFF7EB" w14:textId="77777777" w:rsidR="000154A5" w:rsidRPr="00A33AE8" w:rsidRDefault="000154A5" w:rsidP="005F342E">
            <w:pPr>
              <w:widowControl w:val="0"/>
              <w:autoSpaceDE w:val="0"/>
              <w:autoSpaceDN w:val="0"/>
              <w:spacing w:before="28" w:after="0" w:line="240" w:lineRule="auto"/>
              <w:ind w:left="245"/>
              <w:jc w:val="center"/>
              <w:rPr>
                <w:rFonts w:asciiTheme="majorHAnsi" w:eastAsia="Arial" w:hAnsiTheme="majorHAnsi" w:cstheme="majorHAnsi"/>
                <w:b/>
                <w:sz w:val="18"/>
              </w:rPr>
            </w:pPr>
            <w:r w:rsidRPr="00A33AE8">
              <w:rPr>
                <w:rFonts w:asciiTheme="majorHAnsi" w:eastAsia="Arial" w:hAnsiTheme="majorHAnsi" w:cstheme="majorHAnsi"/>
                <w:b/>
                <w:sz w:val="18"/>
              </w:rPr>
              <w:t>Field</w:t>
            </w:r>
          </w:p>
        </w:tc>
        <w:tc>
          <w:tcPr>
            <w:tcW w:w="6983" w:type="dxa"/>
            <w:shd w:val="clear" w:color="auto" w:fill="244062"/>
            <w:vAlign w:val="center"/>
            <w:hideMark/>
          </w:tcPr>
          <w:p w14:paraId="13C6DB6C" w14:textId="77777777" w:rsidR="000154A5" w:rsidRPr="00A33AE8" w:rsidRDefault="000154A5" w:rsidP="005F342E">
            <w:pPr>
              <w:widowControl w:val="0"/>
              <w:autoSpaceDE w:val="0"/>
              <w:autoSpaceDN w:val="0"/>
              <w:spacing w:before="28" w:after="0" w:line="240" w:lineRule="auto"/>
              <w:ind w:right="491"/>
              <w:jc w:val="center"/>
              <w:rPr>
                <w:rFonts w:asciiTheme="majorHAnsi" w:eastAsia="Arial" w:hAnsiTheme="majorHAnsi" w:cstheme="majorHAnsi"/>
                <w:b/>
                <w:sz w:val="18"/>
              </w:rPr>
            </w:pPr>
            <w:r w:rsidRPr="00A33AE8">
              <w:rPr>
                <w:rFonts w:asciiTheme="majorHAnsi" w:eastAsia="Arial" w:hAnsiTheme="majorHAnsi" w:cstheme="majorHAnsi"/>
                <w:b/>
                <w:sz w:val="18"/>
              </w:rPr>
              <w:t>Description</w:t>
            </w:r>
          </w:p>
        </w:tc>
      </w:tr>
      <w:tr w:rsidR="000154A5" w:rsidRPr="00A33AE8" w14:paraId="47F482A3" w14:textId="77777777" w:rsidTr="005F342E">
        <w:trPr>
          <w:trHeight w:val="280"/>
        </w:trPr>
        <w:tc>
          <w:tcPr>
            <w:tcW w:w="0" w:type="auto"/>
            <w:vMerge w:val="restart"/>
            <w:vAlign w:val="center"/>
            <w:hideMark/>
          </w:tcPr>
          <w:p w14:paraId="7DCEB913"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z w:val="16"/>
              </w:rPr>
              <w:t>WB,</w:t>
            </w:r>
            <w:r w:rsidRPr="00A33AE8">
              <w:rPr>
                <w:rFonts w:asciiTheme="majorHAnsi" w:eastAsia="Arial" w:hAnsiTheme="majorHAnsi" w:cstheme="majorHAnsi"/>
                <w:spacing w:val="-2"/>
                <w:sz w:val="16"/>
              </w:rPr>
              <w:t>EBRD,</w:t>
            </w:r>
          </w:p>
          <w:p w14:paraId="7E9F01D0" w14:textId="77777777" w:rsidR="000154A5" w:rsidRPr="00A33AE8" w:rsidRDefault="000154A5" w:rsidP="005F342E">
            <w:pPr>
              <w:widowControl w:val="0"/>
              <w:autoSpaceDE w:val="0"/>
              <w:autoSpaceDN w:val="0"/>
              <w:spacing w:before="56" w:after="0" w:line="240" w:lineRule="auto"/>
              <w:ind w:left="171"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KfW</w:t>
            </w:r>
          </w:p>
        </w:tc>
        <w:tc>
          <w:tcPr>
            <w:tcW w:w="1290" w:type="dxa"/>
            <w:shd w:val="clear" w:color="auto" w:fill="BFBFBF" w:themeFill="background1" w:themeFillShade="BF"/>
            <w:vAlign w:val="center"/>
            <w:hideMark/>
          </w:tcPr>
          <w:p w14:paraId="351588C4"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hideMark/>
          </w:tcPr>
          <w:p w14:paraId="162C98F4" w14:textId="73F339BE" w:rsidR="000154A5" w:rsidRPr="00A33AE8" w:rsidRDefault="006904D8" w:rsidP="005F342E">
            <w:pPr>
              <w:widowControl w:val="0"/>
              <w:autoSpaceDE w:val="0"/>
              <w:autoSpaceDN w:val="0"/>
              <w:spacing w:before="60" w:after="0" w:line="240" w:lineRule="auto"/>
              <w:ind w:left="148" w:right="256"/>
              <w:rPr>
                <w:rFonts w:asciiTheme="majorHAnsi" w:eastAsia="Arial" w:hAnsiTheme="majorHAnsi" w:cstheme="majorHAnsi"/>
                <w:sz w:val="16"/>
              </w:rPr>
            </w:pPr>
            <w:r w:rsidRPr="006904D8">
              <w:rPr>
                <w:rFonts w:asciiTheme="majorHAnsi" w:eastAsia="Arial" w:hAnsiTheme="majorHAnsi" w:cstheme="majorHAnsi"/>
                <w:sz w:val="16"/>
              </w:rPr>
              <w:t xml:space="preserve">Directorate for Financing and Promoting </w:t>
            </w:r>
            <w:r w:rsidR="000154A5" w:rsidRPr="00A33AE8">
              <w:rPr>
                <w:rFonts w:asciiTheme="majorHAnsi" w:eastAsia="Arial" w:hAnsiTheme="majorHAnsi" w:cstheme="majorHAnsi"/>
                <w:spacing w:val="-2"/>
                <w:sz w:val="16"/>
              </w:rPr>
              <w:t>Energy Efficiency</w:t>
            </w:r>
          </w:p>
        </w:tc>
      </w:tr>
      <w:tr w:rsidR="000154A5" w:rsidRPr="00A33AE8" w14:paraId="1B008183" w14:textId="77777777" w:rsidTr="005F342E">
        <w:trPr>
          <w:trHeight w:val="824"/>
        </w:trPr>
        <w:tc>
          <w:tcPr>
            <w:tcW w:w="0" w:type="auto"/>
            <w:vMerge/>
            <w:vAlign w:val="center"/>
          </w:tcPr>
          <w:p w14:paraId="0A447153"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7EBC22EA"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6046E65E" w14:textId="588F31D8" w:rsidR="000154A5" w:rsidRPr="00A33AE8" w:rsidRDefault="000154A5" w:rsidP="006904D8">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The fund is allocated from the central budget of the Government of Serbia, on an annual basis, in the approximate amount of EUR 20 million. As of 2019, an EE levy has been introduced on energy bills.</w:t>
            </w:r>
          </w:p>
        </w:tc>
      </w:tr>
      <w:tr w:rsidR="000154A5" w:rsidRPr="00A33AE8" w14:paraId="0C137F98" w14:textId="77777777" w:rsidTr="005F342E">
        <w:trPr>
          <w:trHeight w:val="473"/>
        </w:trPr>
        <w:tc>
          <w:tcPr>
            <w:tcW w:w="0" w:type="auto"/>
            <w:vMerge/>
            <w:vAlign w:val="center"/>
          </w:tcPr>
          <w:p w14:paraId="7D753E80"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15EBB262"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0E271313"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Support the implementation of EE measures in energy efficiency</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public</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buildings, households</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commercial </w:t>
            </w:r>
            <w:r w:rsidRPr="00A33AE8">
              <w:rPr>
                <w:rFonts w:asciiTheme="majorHAnsi" w:eastAsia="Arial" w:hAnsiTheme="majorHAnsi" w:cstheme="majorHAnsi"/>
                <w:spacing w:val="-2"/>
                <w:sz w:val="16"/>
              </w:rPr>
              <w:t>facilities</w:t>
            </w:r>
          </w:p>
        </w:tc>
      </w:tr>
      <w:tr w:rsidR="000154A5" w:rsidRPr="00A33AE8" w14:paraId="3CAAA909" w14:textId="77777777" w:rsidTr="005F342E">
        <w:trPr>
          <w:trHeight w:val="353"/>
        </w:trPr>
        <w:tc>
          <w:tcPr>
            <w:tcW w:w="0" w:type="auto"/>
            <w:vMerge/>
            <w:vAlign w:val="center"/>
          </w:tcPr>
          <w:p w14:paraId="6312ACD4"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5E7D2D36"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033C558D"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0CF359C8" w14:textId="77777777" w:rsidTr="005F342E">
        <w:trPr>
          <w:trHeight w:val="353"/>
        </w:trPr>
        <w:tc>
          <w:tcPr>
            <w:tcW w:w="0" w:type="auto"/>
            <w:vMerge w:val="restart"/>
            <w:vAlign w:val="center"/>
          </w:tcPr>
          <w:p w14:paraId="7A239B8E"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4"/>
                <w:sz w:val="16"/>
              </w:rPr>
              <w:t>UNDP</w:t>
            </w:r>
          </w:p>
        </w:tc>
        <w:tc>
          <w:tcPr>
            <w:tcW w:w="1290" w:type="dxa"/>
            <w:shd w:val="clear" w:color="auto" w:fill="BFBFBF" w:themeFill="background1" w:themeFillShade="BF"/>
            <w:vAlign w:val="center"/>
          </w:tcPr>
          <w:p w14:paraId="43138CE6"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60112633"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pacing w:val="-2"/>
                <w:sz w:val="16"/>
              </w:rPr>
              <w:t xml:space="preserve">Advancing </w:t>
            </w:r>
            <w:r w:rsidRPr="00A33AE8">
              <w:rPr>
                <w:rFonts w:asciiTheme="majorHAnsi" w:eastAsia="Arial" w:hAnsiTheme="majorHAnsi" w:cstheme="majorHAnsi"/>
                <w:sz w:val="16"/>
              </w:rPr>
              <w:t xml:space="preserve">Medium and </w:t>
            </w:r>
            <w:r w:rsidRPr="00A33AE8">
              <w:rPr>
                <w:rFonts w:asciiTheme="majorHAnsi" w:eastAsia="Arial" w:hAnsiTheme="majorHAnsi" w:cstheme="majorHAnsi"/>
                <w:spacing w:val="-2"/>
                <w:sz w:val="16"/>
              </w:rPr>
              <w:t xml:space="preserve">Long-Term Adaptation </w:t>
            </w:r>
            <w:r w:rsidRPr="00A33AE8">
              <w:rPr>
                <w:rFonts w:asciiTheme="majorHAnsi" w:eastAsia="Arial" w:hAnsiTheme="majorHAnsi" w:cstheme="majorHAnsi"/>
                <w:sz w:val="16"/>
              </w:rPr>
              <w:t>Planning</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the Republic of </w:t>
            </w:r>
            <w:r w:rsidRPr="00A33AE8">
              <w:rPr>
                <w:rFonts w:asciiTheme="majorHAnsi" w:eastAsia="Arial" w:hAnsiTheme="majorHAnsi" w:cstheme="majorHAnsi"/>
                <w:spacing w:val="-2"/>
                <w:sz w:val="16"/>
              </w:rPr>
              <w:t>Serbia</w:t>
            </w:r>
          </w:p>
        </w:tc>
      </w:tr>
      <w:tr w:rsidR="000154A5" w:rsidRPr="00A33AE8" w14:paraId="43E6107E" w14:textId="77777777" w:rsidTr="005F342E">
        <w:trPr>
          <w:trHeight w:val="353"/>
        </w:trPr>
        <w:tc>
          <w:tcPr>
            <w:tcW w:w="0" w:type="auto"/>
            <w:vMerge/>
            <w:vAlign w:val="center"/>
          </w:tcPr>
          <w:p w14:paraId="6EC80CAB"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0B9AF31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526D3DBB"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0D53CE21" w14:textId="77777777" w:rsidTr="005F342E">
        <w:trPr>
          <w:trHeight w:val="353"/>
        </w:trPr>
        <w:tc>
          <w:tcPr>
            <w:tcW w:w="0" w:type="auto"/>
            <w:vMerge/>
            <w:vAlign w:val="center"/>
          </w:tcPr>
          <w:p w14:paraId="6C137847"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41FA3913"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376C5C5A"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Strengthening legal and institutional framework for climate change adaptation (CCA);</w:t>
            </w:r>
          </w:p>
          <w:p w14:paraId="531FC95A"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Assessing and addressing immediate national and subnational CCA policy and institutional capacity gaps;</w:t>
            </w:r>
          </w:p>
          <w:p w14:paraId="057C67AD"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Developing of the National Climate Change Adaptation Plan (NAP) and integration of the CCA into national and subnational planning processes;</w:t>
            </w:r>
          </w:p>
          <w:p w14:paraId="10A2137E"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Improving of the Nationally Determined Contributions (NDC);</w:t>
            </w:r>
          </w:p>
          <w:p w14:paraId="34D292BB"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sz w:val="16"/>
              </w:rPr>
            </w:pPr>
            <w:r w:rsidRPr="00A33AE8">
              <w:rPr>
                <w:rFonts w:asciiTheme="majorHAnsi" w:eastAsia="Arial" w:hAnsiTheme="majorHAnsi" w:cstheme="majorHAnsi"/>
                <w:bCs/>
                <w:sz w:val="16"/>
              </w:rPr>
              <w:t>Developing of web-based application and platform for Climate Change Vulnerability Assessments and Adaptation (CCA)</w:t>
            </w:r>
          </w:p>
        </w:tc>
      </w:tr>
      <w:tr w:rsidR="000154A5" w:rsidRPr="00A33AE8" w14:paraId="62CE642F" w14:textId="77777777" w:rsidTr="005F342E">
        <w:trPr>
          <w:trHeight w:val="353"/>
        </w:trPr>
        <w:tc>
          <w:tcPr>
            <w:tcW w:w="0" w:type="auto"/>
            <w:vMerge/>
            <w:vAlign w:val="center"/>
          </w:tcPr>
          <w:p w14:paraId="63177252"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1589A5AF"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5CA5E1A5"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Till</w:t>
            </w:r>
            <w:r w:rsidRPr="00A33AE8">
              <w:rPr>
                <w:rFonts w:asciiTheme="majorHAnsi" w:eastAsia="Arial" w:hAnsiTheme="majorHAnsi" w:cstheme="majorHAnsi"/>
                <w:spacing w:val="-4"/>
                <w:sz w:val="16"/>
              </w:rPr>
              <w:t>2023</w:t>
            </w:r>
          </w:p>
        </w:tc>
      </w:tr>
      <w:tr w:rsidR="000154A5" w:rsidRPr="00A33AE8" w14:paraId="3EFE9EA0" w14:textId="77777777" w:rsidTr="005F342E">
        <w:trPr>
          <w:trHeight w:val="353"/>
        </w:trPr>
        <w:tc>
          <w:tcPr>
            <w:tcW w:w="0" w:type="auto"/>
            <w:vMerge w:val="restart"/>
            <w:vAlign w:val="center"/>
          </w:tcPr>
          <w:p w14:paraId="22E658D6"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KfW</w:t>
            </w:r>
          </w:p>
        </w:tc>
        <w:tc>
          <w:tcPr>
            <w:tcW w:w="1290" w:type="dxa"/>
            <w:shd w:val="clear" w:color="auto" w:fill="BFBFBF" w:themeFill="background1" w:themeFillShade="BF"/>
            <w:vAlign w:val="center"/>
          </w:tcPr>
          <w:p w14:paraId="79EAC395"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3E5E3406"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Supporting Sustainable National Guarantee Institutions</w:t>
            </w:r>
          </w:p>
        </w:tc>
      </w:tr>
      <w:tr w:rsidR="000154A5" w:rsidRPr="00A33AE8" w14:paraId="2019A737" w14:textId="77777777" w:rsidTr="005F342E">
        <w:trPr>
          <w:trHeight w:val="353"/>
        </w:trPr>
        <w:tc>
          <w:tcPr>
            <w:tcW w:w="0" w:type="auto"/>
            <w:vMerge/>
            <w:vAlign w:val="center"/>
          </w:tcPr>
          <w:p w14:paraId="49182ECD"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3FC83DA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7FF2C918" w14:textId="77777777" w:rsidR="000154A5" w:rsidRPr="00A33AE8" w:rsidRDefault="005E6E7B"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U</w:t>
            </w:r>
            <w:r w:rsidR="000154A5" w:rsidRPr="00A33AE8">
              <w:rPr>
                <w:rFonts w:asciiTheme="majorHAnsi" w:eastAsia="Arial" w:hAnsiTheme="majorHAnsi" w:cstheme="majorHAnsi"/>
                <w:sz w:val="16"/>
              </w:rPr>
              <w:t>p</w:t>
            </w:r>
            <w:r>
              <w:rPr>
                <w:rFonts w:asciiTheme="majorHAnsi" w:eastAsia="Arial" w:hAnsiTheme="majorHAnsi" w:cstheme="majorHAnsi"/>
                <w:sz w:val="16"/>
              </w:rPr>
              <w:t xml:space="preserve"> </w:t>
            </w:r>
            <w:r w:rsidR="000154A5" w:rsidRPr="00A33AE8">
              <w:rPr>
                <w:rFonts w:asciiTheme="majorHAnsi" w:eastAsia="Arial" w:hAnsiTheme="majorHAnsi" w:cstheme="majorHAnsi"/>
                <w:sz w:val="16"/>
              </w:rPr>
              <w:t>to</w:t>
            </w:r>
            <w:r>
              <w:rPr>
                <w:rFonts w:asciiTheme="majorHAnsi" w:eastAsia="Arial" w:hAnsiTheme="majorHAnsi" w:cstheme="majorHAnsi"/>
                <w:sz w:val="16"/>
              </w:rPr>
              <w:t xml:space="preserve"> </w:t>
            </w:r>
            <w:r w:rsidR="000154A5" w:rsidRPr="00A33AE8">
              <w:rPr>
                <w:rFonts w:asciiTheme="majorHAnsi" w:eastAsia="Arial" w:hAnsiTheme="majorHAnsi" w:cstheme="majorHAnsi"/>
                <w:sz w:val="16"/>
              </w:rPr>
              <w:t>EUR</w:t>
            </w:r>
            <w:r>
              <w:rPr>
                <w:rFonts w:asciiTheme="majorHAnsi" w:eastAsia="Arial" w:hAnsiTheme="majorHAnsi" w:cstheme="majorHAnsi"/>
                <w:sz w:val="16"/>
              </w:rPr>
              <w:t xml:space="preserve"> </w:t>
            </w:r>
            <w:r w:rsidR="000154A5" w:rsidRPr="00A33AE8">
              <w:rPr>
                <w:rFonts w:asciiTheme="majorHAnsi" w:eastAsia="Arial" w:hAnsiTheme="majorHAnsi" w:cstheme="majorHAnsi"/>
                <w:sz w:val="16"/>
              </w:rPr>
              <w:t>50</w:t>
            </w:r>
            <w:r w:rsidR="000154A5" w:rsidRPr="00A33AE8">
              <w:rPr>
                <w:rFonts w:asciiTheme="majorHAnsi" w:eastAsia="Arial" w:hAnsiTheme="majorHAnsi" w:cstheme="majorHAnsi"/>
                <w:spacing w:val="-2"/>
                <w:sz w:val="16"/>
              </w:rPr>
              <w:t xml:space="preserve"> million</w:t>
            </w:r>
          </w:p>
        </w:tc>
      </w:tr>
      <w:tr w:rsidR="000154A5" w:rsidRPr="00A33AE8" w14:paraId="307CD254" w14:textId="77777777" w:rsidTr="005F342E">
        <w:trPr>
          <w:trHeight w:val="353"/>
        </w:trPr>
        <w:tc>
          <w:tcPr>
            <w:tcW w:w="0" w:type="auto"/>
            <w:vMerge/>
            <w:vAlign w:val="center"/>
          </w:tcPr>
          <w:p w14:paraId="1330A873"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4CBAF17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3ACEF43E"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Unlocking</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EUR</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140+</w:t>
            </w:r>
            <w:r w:rsidR="00E53039" w:rsidRPr="00A33AE8">
              <w:rPr>
                <w:rFonts w:asciiTheme="majorHAnsi" w:eastAsia="Arial" w:hAnsiTheme="majorHAnsi" w:cstheme="majorHAnsi"/>
                <w:sz w:val="16"/>
              </w:rPr>
              <w:t xml:space="preserve"> millions</w:t>
            </w:r>
            <w:r w:rsidRPr="00A33AE8">
              <w:rPr>
                <w:rFonts w:asciiTheme="majorHAnsi" w:eastAsia="Arial" w:hAnsiTheme="majorHAnsi" w:cstheme="majorHAnsi"/>
                <w:sz w:val="16"/>
              </w:rPr>
              <w:t xml:space="preserve"> of financing, Reaching</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4700+MSMEs and Entrepreneurs and </w:t>
            </w:r>
            <w:r w:rsidR="00E53039" w:rsidRPr="00A33AE8">
              <w:rPr>
                <w:rFonts w:asciiTheme="majorHAnsi" w:eastAsia="Arial" w:hAnsiTheme="majorHAnsi" w:cstheme="majorHAnsi"/>
                <w:sz w:val="16"/>
              </w:rPr>
              <w:t>Investing in</w:t>
            </w:r>
            <w:r w:rsidRPr="00A33AE8">
              <w:rPr>
                <w:rFonts w:asciiTheme="majorHAnsi" w:eastAsia="Arial" w:hAnsiTheme="majorHAnsi" w:cstheme="majorHAnsi"/>
                <w:sz w:val="16"/>
              </w:rPr>
              <w:t xml:space="preserve"> </w:t>
            </w:r>
            <w:r w:rsidR="00E53039" w:rsidRPr="00A33AE8">
              <w:rPr>
                <w:rFonts w:asciiTheme="majorHAnsi" w:eastAsia="Arial" w:hAnsiTheme="majorHAnsi" w:cstheme="majorHAnsi"/>
                <w:sz w:val="16"/>
              </w:rPr>
              <w:t>a sustainable</w:t>
            </w:r>
            <w:r w:rsidRPr="00A33AE8">
              <w:rPr>
                <w:rFonts w:asciiTheme="majorHAnsi" w:eastAsia="Arial" w:hAnsiTheme="majorHAnsi" w:cstheme="majorHAnsi"/>
                <w:sz w:val="16"/>
              </w:rPr>
              <w:t xml:space="preserve"> </w:t>
            </w:r>
            <w:r w:rsidRPr="00A33AE8">
              <w:rPr>
                <w:rFonts w:asciiTheme="majorHAnsi" w:eastAsia="Arial" w:hAnsiTheme="majorHAnsi" w:cstheme="majorHAnsi"/>
                <w:spacing w:val="-2"/>
                <w:sz w:val="16"/>
              </w:rPr>
              <w:t>recovery</w:t>
            </w:r>
          </w:p>
        </w:tc>
      </w:tr>
      <w:tr w:rsidR="000154A5" w:rsidRPr="00A33AE8" w14:paraId="4E8131B3" w14:textId="77777777" w:rsidTr="005F342E">
        <w:trPr>
          <w:trHeight w:val="353"/>
        </w:trPr>
        <w:tc>
          <w:tcPr>
            <w:tcW w:w="0" w:type="auto"/>
            <w:vMerge/>
            <w:vAlign w:val="center"/>
          </w:tcPr>
          <w:p w14:paraId="3F9DB842"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20B28A5B"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7C727862" w14:textId="77777777" w:rsidR="000154A5" w:rsidRPr="00A33AE8" w:rsidRDefault="00E53039"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ongoing</w:t>
            </w:r>
            <w:r w:rsidRPr="00A33AE8">
              <w:rPr>
                <w:rFonts w:asciiTheme="majorHAnsi" w:eastAsia="Arial" w:hAnsiTheme="majorHAnsi" w:cstheme="majorHAnsi"/>
                <w:spacing w:val="-2"/>
                <w:sz w:val="16"/>
              </w:rPr>
              <w:t xml:space="preserve"> support</w:t>
            </w:r>
          </w:p>
        </w:tc>
      </w:tr>
      <w:tr w:rsidR="000154A5" w:rsidRPr="00A33AE8" w14:paraId="492BA219" w14:textId="77777777" w:rsidTr="005F342E">
        <w:trPr>
          <w:trHeight w:val="353"/>
        </w:trPr>
        <w:tc>
          <w:tcPr>
            <w:tcW w:w="0" w:type="auto"/>
            <w:vMerge w:val="restart"/>
            <w:vAlign w:val="center"/>
          </w:tcPr>
          <w:p w14:paraId="4D5C81A9"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EC</w:t>
            </w:r>
          </w:p>
        </w:tc>
        <w:tc>
          <w:tcPr>
            <w:tcW w:w="1290" w:type="dxa"/>
            <w:shd w:val="clear" w:color="auto" w:fill="BFBFBF" w:themeFill="background1" w:themeFillShade="BF"/>
            <w:vAlign w:val="center"/>
          </w:tcPr>
          <w:p w14:paraId="70E6FDDE"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68A626CE" w14:textId="77777777" w:rsidR="000154A5" w:rsidRPr="00A33AE8" w:rsidRDefault="00E53039"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Instrument for</w:t>
            </w:r>
            <w:r w:rsidR="000154A5" w:rsidRPr="00A33AE8">
              <w:rPr>
                <w:rFonts w:asciiTheme="majorHAnsi" w:eastAsia="Arial" w:hAnsiTheme="majorHAnsi" w:cstheme="majorHAnsi"/>
                <w:sz w:val="16"/>
              </w:rPr>
              <w:t xml:space="preserve"> </w:t>
            </w:r>
            <w:r w:rsidR="000154A5" w:rsidRPr="00A33AE8">
              <w:rPr>
                <w:rFonts w:asciiTheme="majorHAnsi" w:eastAsia="Arial" w:hAnsiTheme="majorHAnsi" w:cstheme="majorHAnsi"/>
                <w:spacing w:val="-2"/>
                <w:w w:val="95"/>
                <w:sz w:val="16"/>
              </w:rPr>
              <w:t xml:space="preserve">Pre-accession </w:t>
            </w:r>
            <w:r w:rsidR="000154A5" w:rsidRPr="00A33AE8">
              <w:rPr>
                <w:rFonts w:asciiTheme="majorHAnsi" w:eastAsia="Arial" w:hAnsiTheme="majorHAnsi" w:cstheme="majorHAnsi"/>
                <w:sz w:val="16"/>
              </w:rPr>
              <w:t>Assistance</w:t>
            </w:r>
            <w:r w:rsidRPr="00A33AE8">
              <w:rPr>
                <w:rFonts w:asciiTheme="majorHAnsi" w:eastAsia="Arial" w:hAnsiTheme="majorHAnsi" w:cstheme="majorHAnsi"/>
                <w:sz w:val="16"/>
              </w:rPr>
              <w:t xml:space="preserve"> </w:t>
            </w:r>
            <w:r w:rsidR="000154A5" w:rsidRPr="00A33AE8">
              <w:rPr>
                <w:rFonts w:asciiTheme="majorHAnsi" w:eastAsia="Arial" w:hAnsiTheme="majorHAnsi" w:cstheme="majorHAnsi"/>
                <w:sz w:val="16"/>
              </w:rPr>
              <w:t>III (IPA III)</w:t>
            </w:r>
          </w:p>
        </w:tc>
      </w:tr>
      <w:tr w:rsidR="000154A5" w:rsidRPr="00A33AE8" w14:paraId="3E20C624" w14:textId="77777777" w:rsidTr="005F342E">
        <w:trPr>
          <w:trHeight w:val="353"/>
        </w:trPr>
        <w:tc>
          <w:tcPr>
            <w:tcW w:w="0" w:type="auto"/>
            <w:vMerge/>
            <w:vAlign w:val="center"/>
          </w:tcPr>
          <w:p w14:paraId="29F67D30"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702D67B0"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18EFAF32"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Up</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to</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EUR</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9 </w:t>
            </w:r>
            <w:r w:rsidRPr="00A33AE8">
              <w:rPr>
                <w:rFonts w:asciiTheme="majorHAnsi" w:eastAsia="Arial" w:hAnsiTheme="majorHAnsi" w:cstheme="majorHAnsi"/>
                <w:spacing w:val="-2"/>
                <w:sz w:val="16"/>
              </w:rPr>
              <w:t>billion</w:t>
            </w:r>
          </w:p>
        </w:tc>
      </w:tr>
      <w:tr w:rsidR="000154A5" w:rsidRPr="00A33AE8" w14:paraId="5343A7F8" w14:textId="77777777" w:rsidTr="005F342E">
        <w:trPr>
          <w:trHeight w:val="353"/>
        </w:trPr>
        <w:tc>
          <w:tcPr>
            <w:tcW w:w="0" w:type="auto"/>
            <w:vMerge/>
            <w:vAlign w:val="center"/>
          </w:tcPr>
          <w:p w14:paraId="0A5E16AB"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56984B74"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2B9376DC"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Reinforcing instruments to foster public and private- sector investment (support economic convergence with the EU through investments and support to competitiveness</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inclusive growth, sustainable connectivity, and the twin green and digital transition)</w:t>
            </w:r>
          </w:p>
        </w:tc>
      </w:tr>
      <w:tr w:rsidR="000154A5" w:rsidRPr="00A33AE8" w14:paraId="46D6C385" w14:textId="77777777" w:rsidTr="005F342E">
        <w:trPr>
          <w:trHeight w:val="353"/>
        </w:trPr>
        <w:tc>
          <w:tcPr>
            <w:tcW w:w="0" w:type="auto"/>
            <w:vMerge/>
            <w:vAlign w:val="center"/>
          </w:tcPr>
          <w:p w14:paraId="658FAAF6"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539E7F59"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02886D53"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w w:val="95"/>
                <w:sz w:val="16"/>
              </w:rPr>
              <w:t>2021-</w:t>
            </w:r>
            <w:r w:rsidRPr="00A33AE8">
              <w:rPr>
                <w:rFonts w:asciiTheme="majorHAnsi" w:eastAsia="Arial" w:hAnsiTheme="majorHAnsi" w:cstheme="majorHAnsi"/>
                <w:spacing w:val="-4"/>
                <w:sz w:val="16"/>
              </w:rPr>
              <w:t>2027</w:t>
            </w:r>
          </w:p>
        </w:tc>
      </w:tr>
      <w:tr w:rsidR="000154A5" w:rsidRPr="00A33AE8" w14:paraId="78677785" w14:textId="77777777" w:rsidTr="005F342E">
        <w:trPr>
          <w:trHeight w:val="353"/>
        </w:trPr>
        <w:tc>
          <w:tcPr>
            <w:tcW w:w="0" w:type="auto"/>
            <w:vMerge w:val="restart"/>
            <w:vAlign w:val="center"/>
          </w:tcPr>
          <w:p w14:paraId="3817B244"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EC</w:t>
            </w:r>
          </w:p>
        </w:tc>
        <w:tc>
          <w:tcPr>
            <w:tcW w:w="1290" w:type="dxa"/>
            <w:shd w:val="clear" w:color="auto" w:fill="BFBFBF" w:themeFill="background1" w:themeFillShade="BF"/>
            <w:vAlign w:val="center"/>
          </w:tcPr>
          <w:p w14:paraId="001EA93B"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334EFDB2"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Instrument for Pre-accession Assistance III (IPA III)</w:t>
            </w:r>
          </w:p>
        </w:tc>
      </w:tr>
      <w:tr w:rsidR="000154A5" w:rsidRPr="00A33AE8" w14:paraId="7FFFD351" w14:textId="77777777" w:rsidTr="005F342E">
        <w:trPr>
          <w:trHeight w:val="353"/>
        </w:trPr>
        <w:tc>
          <w:tcPr>
            <w:tcW w:w="0" w:type="auto"/>
            <w:vMerge/>
            <w:vAlign w:val="center"/>
          </w:tcPr>
          <w:p w14:paraId="34611A16"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0C327FB5"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085A01B3"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Over</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EUR</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14</w:t>
            </w:r>
            <w:r w:rsidR="005E6E7B">
              <w:rPr>
                <w:rFonts w:asciiTheme="majorHAnsi" w:eastAsia="Arial" w:hAnsiTheme="majorHAnsi" w:cstheme="majorHAnsi"/>
                <w:sz w:val="16"/>
              </w:rPr>
              <w:t xml:space="preserve"> </w:t>
            </w:r>
            <w:r w:rsidRPr="00A33AE8">
              <w:rPr>
                <w:rFonts w:asciiTheme="majorHAnsi" w:eastAsia="Arial" w:hAnsiTheme="majorHAnsi" w:cstheme="majorHAnsi"/>
                <w:spacing w:val="-2"/>
                <w:sz w:val="16"/>
              </w:rPr>
              <w:t>billion</w:t>
            </w:r>
          </w:p>
        </w:tc>
      </w:tr>
      <w:tr w:rsidR="000154A5" w:rsidRPr="00A33AE8" w14:paraId="223D0E3F" w14:textId="77777777" w:rsidTr="005F342E">
        <w:trPr>
          <w:trHeight w:val="353"/>
        </w:trPr>
        <w:tc>
          <w:tcPr>
            <w:tcW w:w="0" w:type="auto"/>
            <w:vMerge/>
            <w:vAlign w:val="center"/>
          </w:tcPr>
          <w:p w14:paraId="145AB979"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778A11E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06DE8911"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Increasing public and private investment in the region by the EIB, EBRD and other IFIs, DFIs, the Western Balkans governments and private investors, including foreign direct investment, as well as integrating markets</w:t>
            </w:r>
          </w:p>
        </w:tc>
      </w:tr>
      <w:tr w:rsidR="000154A5" w:rsidRPr="00A33AE8" w14:paraId="01CFFB46" w14:textId="77777777" w:rsidTr="005F342E">
        <w:trPr>
          <w:trHeight w:val="353"/>
        </w:trPr>
        <w:tc>
          <w:tcPr>
            <w:tcW w:w="0" w:type="auto"/>
            <w:vMerge/>
            <w:vAlign w:val="center"/>
          </w:tcPr>
          <w:p w14:paraId="1B583BCA"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22FA7100"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7CCDE4D0"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w w:val="95"/>
                <w:sz w:val="16"/>
              </w:rPr>
              <w:t>2021-</w:t>
            </w:r>
            <w:r w:rsidRPr="00A33AE8">
              <w:rPr>
                <w:rFonts w:asciiTheme="majorHAnsi" w:eastAsia="Arial" w:hAnsiTheme="majorHAnsi" w:cstheme="majorHAnsi"/>
                <w:spacing w:val="-4"/>
                <w:sz w:val="16"/>
              </w:rPr>
              <w:t>2027</w:t>
            </w:r>
          </w:p>
        </w:tc>
      </w:tr>
      <w:tr w:rsidR="000154A5" w:rsidRPr="00A33AE8" w14:paraId="7E984812" w14:textId="77777777" w:rsidTr="005F342E">
        <w:trPr>
          <w:trHeight w:val="353"/>
        </w:trPr>
        <w:tc>
          <w:tcPr>
            <w:tcW w:w="0" w:type="auto"/>
            <w:vMerge w:val="restart"/>
            <w:vAlign w:val="center"/>
          </w:tcPr>
          <w:p w14:paraId="22E75BB6"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EC</w:t>
            </w:r>
          </w:p>
        </w:tc>
        <w:tc>
          <w:tcPr>
            <w:tcW w:w="1290" w:type="dxa"/>
            <w:shd w:val="clear" w:color="auto" w:fill="BFBFBF" w:themeFill="background1" w:themeFillShade="BF"/>
            <w:vAlign w:val="center"/>
          </w:tcPr>
          <w:p w14:paraId="20B62033"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05FE0F29"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 xml:space="preserve">Facilitating the increase of </w:t>
            </w:r>
            <w:r w:rsidRPr="00A33AE8">
              <w:rPr>
                <w:rFonts w:asciiTheme="majorHAnsi" w:eastAsia="Arial" w:hAnsiTheme="majorHAnsi" w:cstheme="majorHAnsi"/>
                <w:spacing w:val="-2"/>
                <w:sz w:val="16"/>
              </w:rPr>
              <w:t>energy</w:t>
            </w:r>
            <w:r w:rsidR="00C15C9C" w:rsidRPr="00A33AE8">
              <w:rPr>
                <w:rFonts w:asciiTheme="majorHAnsi" w:eastAsia="Arial" w:hAnsiTheme="majorHAnsi" w:cstheme="majorHAnsi"/>
                <w:spacing w:val="-2"/>
                <w:sz w:val="16"/>
              </w:rPr>
              <w:t xml:space="preserve"> </w:t>
            </w:r>
            <w:r w:rsidRPr="00A33AE8">
              <w:rPr>
                <w:rFonts w:asciiTheme="majorHAnsi" w:eastAsia="Arial" w:hAnsiTheme="majorHAnsi" w:cstheme="majorHAnsi"/>
                <w:sz w:val="16"/>
              </w:rPr>
              <w:t xml:space="preserve">efficiency - </w:t>
            </w:r>
            <w:r w:rsidR="00E53039" w:rsidRPr="00A33AE8">
              <w:rPr>
                <w:rFonts w:asciiTheme="majorHAnsi" w:eastAsia="Arial" w:hAnsiTheme="majorHAnsi" w:cstheme="majorHAnsi"/>
                <w:sz w:val="16"/>
              </w:rPr>
              <w:t>in the</w:t>
            </w:r>
            <w:r w:rsidRPr="00A33AE8">
              <w:rPr>
                <w:rFonts w:asciiTheme="majorHAnsi" w:eastAsia="Arial" w:hAnsiTheme="majorHAnsi" w:cstheme="majorHAnsi"/>
                <w:sz w:val="16"/>
              </w:rPr>
              <w:t xml:space="preserve"> context of the EU Green Deal, </w:t>
            </w:r>
            <w:r w:rsidRPr="00A33AE8">
              <w:rPr>
                <w:rFonts w:asciiTheme="majorHAnsi" w:eastAsia="Arial" w:hAnsiTheme="majorHAnsi" w:cstheme="majorHAnsi"/>
                <w:i/>
                <w:sz w:val="16"/>
                <w:u w:val="single"/>
              </w:rPr>
              <w:t>EU</w:t>
            </w:r>
            <w:r w:rsidR="00E53039" w:rsidRPr="00A33AE8">
              <w:rPr>
                <w:rFonts w:asciiTheme="majorHAnsi" w:eastAsia="Arial" w:hAnsiTheme="majorHAnsi" w:cstheme="majorHAnsi"/>
                <w:i/>
                <w:sz w:val="16"/>
                <w:u w:val="single"/>
              </w:rPr>
              <w:t xml:space="preserve"> </w:t>
            </w:r>
            <w:r w:rsidRPr="00A33AE8">
              <w:rPr>
                <w:rFonts w:asciiTheme="majorHAnsi" w:eastAsia="Arial" w:hAnsiTheme="majorHAnsi" w:cstheme="majorHAnsi"/>
                <w:i/>
                <w:sz w:val="16"/>
                <w:u w:val="single"/>
              </w:rPr>
              <w:t>renovation</w:t>
            </w:r>
            <w:r w:rsidR="00E53039" w:rsidRPr="00A33AE8">
              <w:rPr>
                <w:rFonts w:asciiTheme="majorHAnsi" w:eastAsia="Arial" w:hAnsiTheme="majorHAnsi" w:cstheme="majorHAnsi"/>
                <w:i/>
                <w:sz w:val="16"/>
                <w:u w:val="single"/>
              </w:rPr>
              <w:t xml:space="preserve"> </w:t>
            </w:r>
            <w:r w:rsidRPr="00A33AE8">
              <w:rPr>
                <w:rFonts w:asciiTheme="majorHAnsi" w:eastAsia="Arial" w:hAnsiTheme="majorHAnsi" w:cstheme="majorHAnsi"/>
                <w:i/>
                <w:sz w:val="16"/>
                <w:u w:val="single"/>
              </w:rPr>
              <w:t>wave</w:t>
            </w:r>
            <w:r w:rsidR="00E53039" w:rsidRPr="00A33AE8">
              <w:rPr>
                <w:rFonts w:asciiTheme="majorHAnsi" w:eastAsia="Arial" w:hAnsiTheme="majorHAnsi" w:cstheme="majorHAnsi"/>
                <w:i/>
                <w:sz w:val="16"/>
                <w:u w:val="single"/>
              </w:rPr>
              <w:t xml:space="preserve"> </w:t>
            </w:r>
            <w:r w:rsidRPr="00A33AE8">
              <w:rPr>
                <w:rFonts w:asciiTheme="majorHAnsi" w:eastAsia="Arial" w:hAnsiTheme="majorHAnsi" w:cstheme="majorHAnsi"/>
                <w:sz w:val="16"/>
              </w:rPr>
              <w:t xml:space="preserve">support will be </w:t>
            </w:r>
            <w:r w:rsidRPr="00A33AE8">
              <w:rPr>
                <w:rFonts w:asciiTheme="majorHAnsi" w:eastAsia="Arial" w:hAnsiTheme="majorHAnsi" w:cstheme="majorHAnsi"/>
                <w:spacing w:val="-2"/>
                <w:sz w:val="16"/>
              </w:rPr>
              <w:t>extended</w:t>
            </w:r>
          </w:p>
        </w:tc>
      </w:tr>
      <w:tr w:rsidR="000154A5" w:rsidRPr="00A33AE8" w14:paraId="7D44DFCC" w14:textId="77777777" w:rsidTr="005F342E">
        <w:trPr>
          <w:trHeight w:val="353"/>
        </w:trPr>
        <w:tc>
          <w:tcPr>
            <w:tcW w:w="0" w:type="auto"/>
            <w:vMerge/>
            <w:vAlign w:val="center"/>
          </w:tcPr>
          <w:p w14:paraId="3311D2E0"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4DD3AA6D"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4C3DE346" w14:textId="77777777" w:rsidR="000154A5" w:rsidRPr="00A33AE8" w:rsidRDefault="00E53039"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so far</w:t>
            </w:r>
            <w:r w:rsidR="000154A5" w:rsidRPr="00A33AE8">
              <w:rPr>
                <w:rFonts w:asciiTheme="majorHAnsi" w:eastAsia="Arial" w:hAnsiTheme="majorHAnsi" w:cstheme="majorHAnsi"/>
                <w:sz w:val="16"/>
              </w:rPr>
              <w:t xml:space="preserve"> enabled green investments</w:t>
            </w:r>
            <w:r w:rsidRPr="00A33AE8">
              <w:rPr>
                <w:rFonts w:asciiTheme="majorHAnsi" w:eastAsia="Arial" w:hAnsiTheme="majorHAnsi" w:cstheme="majorHAnsi"/>
                <w:sz w:val="16"/>
              </w:rPr>
              <w:t xml:space="preserve"> </w:t>
            </w:r>
            <w:r w:rsidR="000154A5" w:rsidRPr="00A33AE8">
              <w:rPr>
                <w:rFonts w:asciiTheme="majorHAnsi" w:eastAsia="Arial" w:hAnsiTheme="majorHAnsi" w:cstheme="majorHAnsi"/>
                <w:sz w:val="16"/>
              </w:rPr>
              <w:t>of</w:t>
            </w:r>
            <w:r w:rsidRPr="00A33AE8">
              <w:rPr>
                <w:rFonts w:asciiTheme="majorHAnsi" w:eastAsia="Arial" w:hAnsiTheme="majorHAnsi" w:cstheme="majorHAnsi"/>
                <w:sz w:val="16"/>
              </w:rPr>
              <w:t xml:space="preserve"> </w:t>
            </w:r>
            <w:r w:rsidR="000154A5" w:rsidRPr="00A33AE8">
              <w:rPr>
                <w:rFonts w:asciiTheme="majorHAnsi" w:eastAsia="Arial" w:hAnsiTheme="majorHAnsi" w:cstheme="majorHAnsi"/>
                <w:sz w:val="16"/>
              </w:rPr>
              <w:t>a</w:t>
            </w:r>
            <w:r w:rsidRPr="00A33AE8">
              <w:rPr>
                <w:rFonts w:asciiTheme="majorHAnsi" w:eastAsia="Arial" w:hAnsiTheme="majorHAnsi" w:cstheme="majorHAnsi"/>
                <w:sz w:val="16"/>
              </w:rPr>
              <w:t xml:space="preserve"> </w:t>
            </w:r>
            <w:r w:rsidR="000154A5" w:rsidRPr="00A33AE8">
              <w:rPr>
                <w:rFonts w:asciiTheme="majorHAnsi" w:eastAsia="Arial" w:hAnsiTheme="majorHAnsi" w:cstheme="majorHAnsi"/>
                <w:sz w:val="16"/>
              </w:rPr>
              <w:t>total of EUR 700 million</w:t>
            </w:r>
          </w:p>
        </w:tc>
      </w:tr>
      <w:tr w:rsidR="000154A5" w:rsidRPr="00A33AE8" w14:paraId="06A35461" w14:textId="77777777" w:rsidTr="005F342E">
        <w:trPr>
          <w:trHeight w:val="353"/>
        </w:trPr>
        <w:tc>
          <w:tcPr>
            <w:tcW w:w="0" w:type="auto"/>
            <w:vMerge/>
            <w:vAlign w:val="center"/>
          </w:tcPr>
          <w:p w14:paraId="564AA07A"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07FB3C78"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4C4B7A65"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 xml:space="preserve">Purpose is: transition from coal to sustainable and clean energy. Commission proposes to expand the “EU renovation wave” to the </w:t>
            </w:r>
            <w:r w:rsidR="00BE5DEF" w:rsidRPr="00A33AE8">
              <w:rPr>
                <w:rFonts w:asciiTheme="majorHAnsi" w:eastAsia="Arial" w:hAnsiTheme="majorHAnsi" w:cstheme="majorHAnsi"/>
                <w:sz w:val="16"/>
              </w:rPr>
              <w:t xml:space="preserve">region of the </w:t>
            </w:r>
            <w:r w:rsidRPr="00A33AE8">
              <w:rPr>
                <w:rFonts w:asciiTheme="majorHAnsi" w:eastAsia="Arial" w:hAnsiTheme="majorHAnsi" w:cstheme="majorHAnsi"/>
                <w:sz w:val="16"/>
              </w:rPr>
              <w:t xml:space="preserve">Western Balkans. A refurbished and improved building stock will help pave the way for a decarbonized and clean energy system, as the building sector is one of the largest energy consumers in Europe. For this purpose, the EU will use, among others, the existing platforms such as </w:t>
            </w:r>
            <w:r w:rsidRPr="00A33AE8">
              <w:rPr>
                <w:rFonts w:asciiTheme="majorHAnsi" w:eastAsia="Arial" w:hAnsiTheme="majorHAnsi" w:cstheme="majorHAnsi"/>
                <w:sz w:val="16"/>
                <w:u w:val="single"/>
              </w:rPr>
              <w:t>Green for Growth Fund</w:t>
            </w:r>
            <w:r w:rsidRPr="00A33AE8">
              <w:rPr>
                <w:rFonts w:asciiTheme="majorHAnsi" w:eastAsia="Arial" w:hAnsiTheme="majorHAnsi" w:cstheme="majorHAnsi"/>
                <w:sz w:val="16"/>
              </w:rPr>
              <w:t xml:space="preserve"> and </w:t>
            </w:r>
            <w:r w:rsidRPr="00A33AE8">
              <w:rPr>
                <w:rFonts w:asciiTheme="majorHAnsi" w:eastAsia="Arial" w:hAnsiTheme="majorHAnsi" w:cstheme="majorHAnsi"/>
                <w:sz w:val="16"/>
                <w:u w:val="single"/>
              </w:rPr>
              <w:t xml:space="preserve">Regional Energy Efficiency </w:t>
            </w:r>
            <w:r w:rsidRPr="00A33AE8">
              <w:rPr>
                <w:rFonts w:asciiTheme="majorHAnsi" w:eastAsia="Arial" w:hAnsiTheme="majorHAnsi" w:cstheme="majorHAnsi"/>
                <w:spacing w:val="-2"/>
                <w:sz w:val="16"/>
                <w:u w:val="single"/>
              </w:rPr>
              <w:t>Programme</w:t>
            </w:r>
          </w:p>
        </w:tc>
      </w:tr>
      <w:tr w:rsidR="000154A5" w:rsidRPr="00A33AE8" w14:paraId="1A41C2AA" w14:textId="77777777" w:rsidTr="005F342E">
        <w:trPr>
          <w:trHeight w:val="353"/>
        </w:trPr>
        <w:tc>
          <w:tcPr>
            <w:tcW w:w="0" w:type="auto"/>
            <w:vMerge/>
            <w:vAlign w:val="center"/>
          </w:tcPr>
          <w:p w14:paraId="42E8BEFE"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75F3E120"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28107413"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 xml:space="preserve">4 years for </w:t>
            </w:r>
            <w:r w:rsidRPr="00A33AE8">
              <w:rPr>
                <w:rFonts w:asciiTheme="majorHAnsi" w:eastAsia="Arial" w:hAnsiTheme="majorHAnsi" w:cstheme="majorHAnsi"/>
                <w:spacing w:val="-2"/>
                <w:sz w:val="16"/>
              </w:rPr>
              <w:t>contractual commitments</w:t>
            </w:r>
            <w:r w:rsidR="005E6E7B">
              <w:rPr>
                <w:rFonts w:asciiTheme="majorHAnsi" w:eastAsia="Arial" w:hAnsiTheme="majorHAnsi" w:cstheme="majorHAnsi"/>
                <w:spacing w:val="-2"/>
                <w:sz w:val="16"/>
              </w:rPr>
              <w:t xml:space="preserve"> </w:t>
            </w:r>
            <w:r w:rsidRPr="00A33AE8">
              <w:rPr>
                <w:rFonts w:asciiTheme="majorHAnsi" w:eastAsia="Arial" w:hAnsiTheme="majorHAnsi" w:cstheme="majorHAnsi"/>
                <w:sz w:val="16"/>
              </w:rPr>
              <w:t>and</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5-7</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years</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for </w:t>
            </w:r>
            <w:r w:rsidRPr="00A33AE8">
              <w:rPr>
                <w:rFonts w:asciiTheme="majorHAnsi" w:eastAsia="Arial" w:hAnsiTheme="majorHAnsi" w:cstheme="majorHAnsi"/>
                <w:spacing w:val="-2"/>
                <w:sz w:val="16"/>
              </w:rPr>
              <w:t>implementation</w:t>
            </w:r>
          </w:p>
        </w:tc>
      </w:tr>
      <w:tr w:rsidR="000154A5" w:rsidRPr="00A33AE8" w14:paraId="23D99AED" w14:textId="77777777" w:rsidTr="005F342E">
        <w:trPr>
          <w:trHeight w:val="353"/>
        </w:trPr>
        <w:tc>
          <w:tcPr>
            <w:tcW w:w="0" w:type="auto"/>
            <w:vMerge w:val="restart"/>
            <w:vAlign w:val="center"/>
          </w:tcPr>
          <w:p w14:paraId="67D5AB5A"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EC</w:t>
            </w:r>
          </w:p>
        </w:tc>
        <w:tc>
          <w:tcPr>
            <w:tcW w:w="1290" w:type="dxa"/>
            <w:shd w:val="clear" w:color="auto" w:fill="BFBFBF" w:themeFill="background1" w:themeFillShade="BF"/>
            <w:vAlign w:val="center"/>
          </w:tcPr>
          <w:p w14:paraId="0B1B935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3BF0E6F8"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pacing w:val="-2"/>
                <w:sz w:val="16"/>
              </w:rPr>
              <w:t xml:space="preserve">Western Balkans </w:t>
            </w:r>
            <w:r w:rsidRPr="00A33AE8">
              <w:rPr>
                <w:rFonts w:asciiTheme="majorHAnsi" w:eastAsia="Arial" w:hAnsiTheme="majorHAnsi" w:cstheme="majorHAnsi"/>
                <w:spacing w:val="-2"/>
                <w:w w:val="95"/>
                <w:sz w:val="16"/>
              </w:rPr>
              <w:t xml:space="preserve">Guarantee </w:t>
            </w:r>
            <w:r w:rsidRPr="00A33AE8">
              <w:rPr>
                <w:rFonts w:asciiTheme="majorHAnsi" w:eastAsia="Arial" w:hAnsiTheme="majorHAnsi" w:cstheme="majorHAnsi"/>
                <w:spacing w:val="-2"/>
                <w:sz w:val="16"/>
              </w:rPr>
              <w:t>facility</w:t>
            </w:r>
          </w:p>
        </w:tc>
      </w:tr>
      <w:tr w:rsidR="000154A5" w:rsidRPr="00A33AE8" w14:paraId="27736FF9" w14:textId="77777777" w:rsidTr="005F342E">
        <w:trPr>
          <w:trHeight w:val="353"/>
        </w:trPr>
        <w:tc>
          <w:tcPr>
            <w:tcW w:w="0" w:type="auto"/>
            <w:vMerge/>
            <w:vAlign w:val="center"/>
          </w:tcPr>
          <w:p w14:paraId="6E193FF9"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59B83768"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0B3265AE"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Mobilizing</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cca</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EUR 20 billion of </w:t>
            </w:r>
            <w:r w:rsidRPr="00A33AE8">
              <w:rPr>
                <w:rFonts w:asciiTheme="majorHAnsi" w:eastAsia="Arial" w:hAnsiTheme="majorHAnsi" w:cstheme="majorHAnsi"/>
                <w:spacing w:val="-2"/>
                <w:sz w:val="16"/>
              </w:rPr>
              <w:t>investments</w:t>
            </w:r>
          </w:p>
        </w:tc>
      </w:tr>
      <w:tr w:rsidR="000154A5" w:rsidRPr="00A33AE8" w14:paraId="6E0A2E74" w14:textId="77777777" w:rsidTr="005F342E">
        <w:trPr>
          <w:trHeight w:val="353"/>
        </w:trPr>
        <w:tc>
          <w:tcPr>
            <w:tcW w:w="0" w:type="auto"/>
            <w:vMerge/>
            <w:vAlign w:val="center"/>
          </w:tcPr>
          <w:p w14:paraId="129B59EF"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CD5DB52"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634BCD27" w14:textId="77777777" w:rsidR="000154A5" w:rsidRPr="00A33AE8" w:rsidRDefault="000154A5" w:rsidP="005F342E">
            <w:pPr>
              <w:widowControl w:val="0"/>
              <w:autoSpaceDE w:val="0"/>
              <w:autoSpaceDN w:val="0"/>
              <w:spacing w:before="56" w:after="0" w:line="240" w:lineRule="auto"/>
              <w:ind w:left="128" w:right="146"/>
              <w:rPr>
                <w:rFonts w:asciiTheme="majorHAnsi" w:eastAsia="Arial" w:hAnsiTheme="majorHAnsi" w:cstheme="majorHAnsi"/>
                <w:sz w:val="16"/>
              </w:rPr>
            </w:pPr>
            <w:r w:rsidRPr="00A33AE8">
              <w:rPr>
                <w:rFonts w:asciiTheme="majorHAnsi" w:eastAsia="Arial" w:hAnsiTheme="majorHAnsi" w:cstheme="majorHAnsi"/>
                <w:sz w:val="16"/>
              </w:rPr>
              <w:t>Improvement of the investment capacity of the region: reducing the cost of financing for</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both</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public and private investments and reducing the risk for investors, support the green and digital twin transitions; increase competitiveness of the private sector, boost innovation</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development of social sectors, connecting economies through</w:t>
            </w:r>
            <w:r w:rsidR="00E53039"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strengthened regional</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economic</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integration and integration with the EU.</w:t>
            </w:r>
          </w:p>
        </w:tc>
      </w:tr>
      <w:tr w:rsidR="000154A5" w:rsidRPr="00A33AE8" w14:paraId="5015EC4E" w14:textId="77777777" w:rsidTr="005F342E">
        <w:trPr>
          <w:trHeight w:val="353"/>
        </w:trPr>
        <w:tc>
          <w:tcPr>
            <w:tcW w:w="0" w:type="auto"/>
            <w:vMerge/>
            <w:vAlign w:val="center"/>
          </w:tcPr>
          <w:p w14:paraId="17A4F774"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2EB5D26B"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10560BF8"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w w:val="95"/>
                <w:sz w:val="16"/>
              </w:rPr>
              <w:t>2022-</w:t>
            </w:r>
            <w:r w:rsidRPr="00A33AE8">
              <w:rPr>
                <w:rFonts w:asciiTheme="majorHAnsi" w:eastAsia="Arial" w:hAnsiTheme="majorHAnsi" w:cstheme="majorHAnsi"/>
                <w:spacing w:val="-4"/>
                <w:sz w:val="16"/>
              </w:rPr>
              <w:t>2032</w:t>
            </w:r>
          </w:p>
        </w:tc>
      </w:tr>
      <w:tr w:rsidR="000154A5" w:rsidRPr="00A33AE8" w14:paraId="6F49049A" w14:textId="77777777" w:rsidTr="005F342E">
        <w:trPr>
          <w:trHeight w:val="353"/>
        </w:trPr>
        <w:tc>
          <w:tcPr>
            <w:tcW w:w="0" w:type="auto"/>
            <w:vMerge w:val="restart"/>
            <w:vAlign w:val="center"/>
          </w:tcPr>
          <w:p w14:paraId="7417438D"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EIB</w:t>
            </w:r>
          </w:p>
        </w:tc>
        <w:tc>
          <w:tcPr>
            <w:tcW w:w="1290" w:type="dxa"/>
            <w:shd w:val="clear" w:color="auto" w:fill="BFBFBF" w:themeFill="background1" w:themeFillShade="BF"/>
            <w:vAlign w:val="center"/>
          </w:tcPr>
          <w:p w14:paraId="3B87628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53DC651B"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€88million for the health and water sectors</w:t>
            </w:r>
          </w:p>
          <w:p w14:paraId="491FAB41"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€761million for the socioeconomic recovery (€385 million from it to ensure survival in the short- term, and recovery in the medium-term of businesses in the private sector</w:t>
            </w:r>
            <w:r w:rsidR="005E6E7B">
              <w:rPr>
                <w:rFonts w:asciiTheme="majorHAnsi" w:eastAsia="Arial" w:hAnsiTheme="majorHAnsi" w:cstheme="majorHAnsi"/>
                <w:bCs/>
                <w:sz w:val="16"/>
              </w:rPr>
              <w:t>)</w:t>
            </w:r>
          </w:p>
          <w:p w14:paraId="5EF9AC69"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€750million macro-financial assistance (Western Balkan governments support in payment crisis)</w:t>
            </w:r>
          </w:p>
          <w:p w14:paraId="2B582325" w14:textId="77777777" w:rsidR="000154A5" w:rsidRPr="00A33AE8" w:rsidRDefault="000154A5" w:rsidP="00884F3B">
            <w:pPr>
              <w:pStyle w:val="ListParagraph"/>
              <w:widowControl w:val="0"/>
              <w:numPr>
                <w:ilvl w:val="0"/>
                <w:numId w:val="237"/>
              </w:numPr>
              <w:autoSpaceDE w:val="0"/>
              <w:autoSpaceDN w:val="0"/>
              <w:spacing w:before="56" w:after="0" w:line="240" w:lineRule="auto"/>
              <w:ind w:right="243"/>
              <w:rPr>
                <w:rFonts w:asciiTheme="majorHAnsi" w:eastAsia="Arial" w:hAnsiTheme="majorHAnsi" w:cstheme="majorHAnsi"/>
                <w:bCs/>
                <w:sz w:val="16"/>
              </w:rPr>
            </w:pPr>
            <w:r w:rsidRPr="00A33AE8">
              <w:rPr>
                <w:rFonts w:asciiTheme="majorHAnsi" w:eastAsia="Arial" w:hAnsiTheme="majorHAnsi" w:cstheme="majorHAnsi"/>
                <w:bCs/>
                <w:sz w:val="16"/>
              </w:rPr>
              <w:t>€1.7 billion of EIB investment (for additional loans for public sector investments, and further credit to enterprises, to help safeguard jobs for the many people working in SMEs in the region)</w:t>
            </w:r>
          </w:p>
        </w:tc>
      </w:tr>
      <w:tr w:rsidR="000154A5" w:rsidRPr="00A33AE8" w14:paraId="006858A9" w14:textId="77777777" w:rsidTr="005F342E">
        <w:trPr>
          <w:trHeight w:val="353"/>
        </w:trPr>
        <w:tc>
          <w:tcPr>
            <w:tcW w:w="0" w:type="auto"/>
            <w:vMerge/>
            <w:vAlign w:val="center"/>
          </w:tcPr>
          <w:p w14:paraId="5F4270B2"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12EA341C"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3DDDC8AD"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over EUR 3.3 billion</w:t>
            </w:r>
          </w:p>
        </w:tc>
      </w:tr>
      <w:tr w:rsidR="000154A5" w:rsidRPr="00A33AE8" w14:paraId="0D900D13" w14:textId="77777777" w:rsidTr="005F342E">
        <w:trPr>
          <w:trHeight w:val="353"/>
        </w:trPr>
        <w:tc>
          <w:tcPr>
            <w:tcW w:w="0" w:type="auto"/>
            <w:vMerge/>
            <w:vAlign w:val="center"/>
          </w:tcPr>
          <w:p w14:paraId="3E1E0DA2"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21FDC936"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201CD7D0"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Bringing under control coronavirus</w:t>
            </w:r>
            <w:r w:rsidR="0022195F"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health</w:t>
            </w:r>
            <w:r w:rsidR="0022195F"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crisis </w:t>
            </w:r>
            <w:r w:rsidRPr="00A33AE8">
              <w:rPr>
                <w:rFonts w:asciiTheme="majorHAnsi" w:eastAsia="Arial" w:hAnsiTheme="majorHAnsi" w:cstheme="majorHAnsi"/>
                <w:spacing w:val="-4"/>
                <w:sz w:val="16"/>
              </w:rPr>
              <w:t xml:space="preserve">and </w:t>
            </w:r>
            <w:r w:rsidRPr="00A33AE8">
              <w:rPr>
                <w:rFonts w:asciiTheme="majorHAnsi" w:eastAsia="Arial" w:hAnsiTheme="majorHAnsi" w:cstheme="majorHAnsi"/>
                <w:sz w:val="16"/>
              </w:rPr>
              <w:t>post-pandemic</w:t>
            </w:r>
            <w:r w:rsidR="0022195F"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socio- economic recovery</w:t>
            </w:r>
          </w:p>
        </w:tc>
      </w:tr>
      <w:tr w:rsidR="000154A5" w:rsidRPr="00A33AE8" w14:paraId="6A4F26BC" w14:textId="77777777" w:rsidTr="005F342E">
        <w:trPr>
          <w:trHeight w:val="353"/>
        </w:trPr>
        <w:tc>
          <w:tcPr>
            <w:tcW w:w="0" w:type="auto"/>
            <w:vMerge/>
            <w:vAlign w:val="center"/>
          </w:tcPr>
          <w:p w14:paraId="6A524274"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70CC50F4"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694A814C" w14:textId="77777777" w:rsidR="000154A5" w:rsidRPr="00A33AE8" w:rsidRDefault="0022195F"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O</w:t>
            </w:r>
            <w:r w:rsidR="000154A5" w:rsidRPr="00A33AE8">
              <w:rPr>
                <w:rFonts w:asciiTheme="majorHAnsi" w:eastAsia="Arial" w:hAnsiTheme="majorHAnsi" w:cstheme="majorHAnsi"/>
                <w:sz w:val="16"/>
              </w:rPr>
              <w:t>ngoing</w:t>
            </w:r>
            <w:r w:rsidRPr="00A33AE8">
              <w:rPr>
                <w:rFonts w:asciiTheme="majorHAnsi" w:eastAsia="Arial" w:hAnsiTheme="majorHAnsi" w:cstheme="majorHAnsi"/>
                <w:sz w:val="16"/>
              </w:rPr>
              <w:t xml:space="preserve"> </w:t>
            </w:r>
            <w:r w:rsidR="000154A5" w:rsidRPr="00A33AE8">
              <w:rPr>
                <w:rFonts w:asciiTheme="majorHAnsi" w:eastAsia="Arial" w:hAnsiTheme="majorHAnsi" w:cstheme="majorHAnsi"/>
                <w:spacing w:val="-2"/>
                <w:sz w:val="16"/>
              </w:rPr>
              <w:t>support</w:t>
            </w:r>
          </w:p>
        </w:tc>
      </w:tr>
      <w:tr w:rsidR="000154A5" w:rsidRPr="00A33AE8" w14:paraId="3CC27499" w14:textId="77777777" w:rsidTr="005F342E">
        <w:trPr>
          <w:trHeight w:val="353"/>
        </w:trPr>
        <w:tc>
          <w:tcPr>
            <w:tcW w:w="0" w:type="auto"/>
            <w:vMerge w:val="restart"/>
            <w:vAlign w:val="center"/>
          </w:tcPr>
          <w:p w14:paraId="798DEA3D" w14:textId="77777777" w:rsidR="000154A5" w:rsidRPr="00A33AE8" w:rsidRDefault="000154A5" w:rsidP="005F342E">
            <w:pPr>
              <w:widowControl w:val="0"/>
              <w:autoSpaceDE w:val="0"/>
              <w:autoSpaceDN w:val="0"/>
              <w:spacing w:before="56" w:after="0" w:line="240" w:lineRule="auto"/>
              <w:ind w:left="154" w:right="118"/>
              <w:jc w:val="center"/>
              <w:rPr>
                <w:rFonts w:asciiTheme="majorHAnsi" w:eastAsia="Arial" w:hAnsiTheme="majorHAnsi" w:cstheme="majorHAnsi"/>
                <w:sz w:val="16"/>
              </w:rPr>
            </w:pPr>
            <w:r w:rsidRPr="00A33AE8">
              <w:rPr>
                <w:rFonts w:asciiTheme="majorHAnsi" w:eastAsia="Arial" w:hAnsiTheme="majorHAnsi" w:cstheme="majorHAnsi"/>
                <w:sz w:val="16"/>
              </w:rPr>
              <w:t>EBRD,</w:t>
            </w:r>
            <w:r w:rsidRPr="00A33AE8">
              <w:rPr>
                <w:rFonts w:asciiTheme="majorHAnsi" w:eastAsia="Arial" w:hAnsiTheme="majorHAnsi" w:cstheme="majorHAnsi"/>
                <w:spacing w:val="-4"/>
                <w:sz w:val="16"/>
              </w:rPr>
              <w:t>KfW,</w:t>
            </w:r>
          </w:p>
          <w:p w14:paraId="54600E3C"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pacing w:val="-5"/>
                <w:sz w:val="16"/>
              </w:rPr>
              <w:t>EU</w:t>
            </w:r>
          </w:p>
        </w:tc>
        <w:tc>
          <w:tcPr>
            <w:tcW w:w="1290" w:type="dxa"/>
            <w:shd w:val="clear" w:color="auto" w:fill="BFBFBF" w:themeFill="background1" w:themeFillShade="BF"/>
            <w:vAlign w:val="center"/>
          </w:tcPr>
          <w:p w14:paraId="040EF92E"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4D7A03F8" w14:textId="77777777" w:rsidR="000154A5" w:rsidRPr="00A33AE8" w:rsidRDefault="000154A5" w:rsidP="005F342E">
            <w:pPr>
              <w:widowControl w:val="0"/>
              <w:autoSpaceDE w:val="0"/>
              <w:autoSpaceDN w:val="0"/>
              <w:spacing w:before="56" w:after="0" w:line="240" w:lineRule="auto"/>
              <w:ind w:left="128" w:right="287"/>
              <w:rPr>
                <w:rFonts w:asciiTheme="majorHAnsi" w:eastAsia="Arial" w:hAnsiTheme="majorHAnsi" w:cstheme="majorHAnsi"/>
                <w:sz w:val="16"/>
              </w:rPr>
            </w:pPr>
            <w:r w:rsidRPr="00A33AE8">
              <w:rPr>
                <w:rFonts w:asciiTheme="majorHAnsi" w:eastAsia="Arial" w:hAnsiTheme="majorHAnsi" w:cstheme="majorHAnsi"/>
                <w:sz w:val="16"/>
              </w:rPr>
              <w:t>BOX 2:</w:t>
            </w:r>
          </w:p>
          <w:p w14:paraId="5CF72C04" w14:textId="77777777" w:rsidR="000154A5" w:rsidRPr="00A33AE8" w:rsidRDefault="000154A5" w:rsidP="005F342E">
            <w:pPr>
              <w:widowControl w:val="0"/>
              <w:autoSpaceDE w:val="0"/>
              <w:autoSpaceDN w:val="0"/>
              <w:spacing w:before="56" w:after="0" w:line="240" w:lineRule="auto"/>
              <w:ind w:left="128" w:right="287"/>
              <w:rPr>
                <w:rFonts w:asciiTheme="majorHAnsi" w:eastAsia="Arial" w:hAnsiTheme="majorHAnsi" w:cstheme="majorHAnsi"/>
                <w:sz w:val="16"/>
              </w:rPr>
            </w:pPr>
            <w:r w:rsidRPr="00A33AE8">
              <w:rPr>
                <w:rFonts w:asciiTheme="majorHAnsi" w:eastAsia="Arial" w:hAnsiTheme="majorHAnsi" w:cstheme="majorHAnsi"/>
                <w:sz w:val="16"/>
              </w:rPr>
              <w:t xml:space="preserve">IFI/Donor programmes in the </w:t>
            </w:r>
            <w:r w:rsidR="00BE5DEF" w:rsidRPr="00A33AE8">
              <w:rPr>
                <w:rFonts w:asciiTheme="majorHAnsi" w:eastAsia="Arial" w:hAnsiTheme="majorHAnsi" w:cstheme="majorHAnsi"/>
                <w:sz w:val="16"/>
              </w:rPr>
              <w:t xml:space="preserve">region of the </w:t>
            </w:r>
            <w:r w:rsidRPr="00A33AE8">
              <w:rPr>
                <w:rFonts w:asciiTheme="majorHAnsi" w:eastAsia="Arial" w:hAnsiTheme="majorHAnsi" w:cstheme="majorHAnsi"/>
                <w:sz w:val="16"/>
              </w:rPr>
              <w:t>Western Balkans (ECS Donor Coordination Platform)</w:t>
            </w:r>
          </w:p>
          <w:p w14:paraId="11607703" w14:textId="77777777" w:rsidR="000154A5" w:rsidRPr="00A33AE8" w:rsidRDefault="000154A5" w:rsidP="005F342E">
            <w:pPr>
              <w:widowControl w:val="0"/>
              <w:autoSpaceDE w:val="0"/>
              <w:autoSpaceDN w:val="0"/>
              <w:spacing w:before="56" w:after="0" w:line="240" w:lineRule="auto"/>
              <w:ind w:left="128" w:right="287"/>
              <w:rPr>
                <w:rFonts w:asciiTheme="majorHAnsi" w:eastAsia="Arial" w:hAnsiTheme="majorHAnsi" w:cstheme="majorHAnsi"/>
                <w:sz w:val="16"/>
              </w:rPr>
            </w:pPr>
            <w:r w:rsidRPr="00A33AE8">
              <w:rPr>
                <w:rFonts w:asciiTheme="majorHAnsi" w:eastAsia="Arial" w:hAnsiTheme="majorHAnsi" w:cstheme="majorHAnsi"/>
                <w:sz w:val="16"/>
              </w:rPr>
              <w:t xml:space="preserve">It is a regional </w:t>
            </w:r>
            <w:r w:rsidRPr="00A33AE8">
              <w:rPr>
                <w:rFonts w:asciiTheme="majorHAnsi" w:eastAsia="Arial" w:hAnsiTheme="majorHAnsi" w:cstheme="majorHAnsi"/>
                <w:spacing w:val="-2"/>
                <w:sz w:val="16"/>
              </w:rPr>
              <w:t xml:space="preserve">programme </w:t>
            </w:r>
            <w:r w:rsidRPr="00A33AE8">
              <w:rPr>
                <w:rFonts w:asciiTheme="majorHAnsi" w:eastAsia="Arial" w:hAnsiTheme="majorHAnsi" w:cstheme="majorHAnsi"/>
                <w:sz w:val="16"/>
              </w:rPr>
              <w:t xml:space="preserve">blending IFI financing from the EBRD and KfW with EU grant financing to support an </w:t>
            </w:r>
            <w:r w:rsidRPr="00A33AE8">
              <w:rPr>
                <w:rFonts w:asciiTheme="majorHAnsi" w:eastAsia="Arial" w:hAnsiTheme="majorHAnsi" w:cstheme="majorHAnsi"/>
                <w:spacing w:val="-2"/>
                <w:sz w:val="16"/>
              </w:rPr>
              <w:t xml:space="preserve">integrated </w:t>
            </w:r>
            <w:r w:rsidRPr="00A33AE8">
              <w:rPr>
                <w:rFonts w:asciiTheme="majorHAnsi" w:eastAsia="Arial" w:hAnsiTheme="majorHAnsi" w:cstheme="majorHAnsi"/>
                <w:sz w:val="16"/>
              </w:rPr>
              <w:t xml:space="preserve">package of targeted policy </w:t>
            </w:r>
            <w:r w:rsidRPr="00A33AE8">
              <w:rPr>
                <w:rFonts w:asciiTheme="majorHAnsi" w:eastAsia="Arial" w:hAnsiTheme="majorHAnsi" w:cstheme="majorHAnsi"/>
                <w:spacing w:val="-2"/>
                <w:sz w:val="16"/>
              </w:rPr>
              <w:t>dialogue (</w:t>
            </w:r>
            <w:r w:rsidR="0022195F" w:rsidRPr="00A33AE8">
              <w:rPr>
                <w:rFonts w:asciiTheme="majorHAnsi" w:eastAsia="Arial" w:hAnsiTheme="majorHAnsi" w:cstheme="majorHAnsi"/>
                <w:spacing w:val="-2"/>
                <w:sz w:val="16"/>
              </w:rPr>
              <w:t>transposition of</w:t>
            </w:r>
            <w:r w:rsidRPr="00A33AE8">
              <w:rPr>
                <w:rFonts w:asciiTheme="majorHAnsi" w:eastAsia="Arial" w:hAnsiTheme="majorHAnsi" w:cstheme="majorHAnsi"/>
                <w:spacing w:val="-2"/>
                <w:sz w:val="16"/>
              </w:rPr>
              <w:t xml:space="preserve"> </w:t>
            </w:r>
            <w:r w:rsidRPr="00A33AE8">
              <w:rPr>
                <w:rFonts w:asciiTheme="majorHAnsi" w:eastAsia="Arial" w:hAnsiTheme="majorHAnsi" w:cstheme="majorHAnsi"/>
                <w:sz w:val="16"/>
              </w:rPr>
              <w:t xml:space="preserve">the EU Energy </w:t>
            </w:r>
            <w:r w:rsidR="0022195F" w:rsidRPr="00A33AE8">
              <w:rPr>
                <w:rFonts w:asciiTheme="majorHAnsi" w:eastAsia="Arial" w:hAnsiTheme="majorHAnsi" w:cstheme="majorHAnsi"/>
                <w:sz w:val="16"/>
              </w:rPr>
              <w:t>Performance of</w:t>
            </w:r>
            <w:r w:rsidRPr="00A33AE8">
              <w:rPr>
                <w:rFonts w:asciiTheme="majorHAnsi" w:eastAsia="Arial" w:hAnsiTheme="majorHAnsi" w:cstheme="majorHAnsi"/>
                <w:sz w:val="16"/>
              </w:rPr>
              <w:t xml:space="preserve"> </w:t>
            </w:r>
            <w:r w:rsidRPr="00A33AE8">
              <w:rPr>
                <w:rFonts w:asciiTheme="majorHAnsi" w:eastAsia="Arial" w:hAnsiTheme="majorHAnsi" w:cstheme="majorHAnsi"/>
                <w:spacing w:val="-2"/>
                <w:sz w:val="16"/>
              </w:rPr>
              <w:t xml:space="preserve">Buildings directive), technical </w:t>
            </w:r>
            <w:r w:rsidR="0022195F" w:rsidRPr="00A33AE8">
              <w:rPr>
                <w:rFonts w:asciiTheme="majorHAnsi" w:eastAsia="Arial" w:hAnsiTheme="majorHAnsi" w:cstheme="majorHAnsi"/>
                <w:sz w:val="16"/>
              </w:rPr>
              <w:t>assistance, and</w:t>
            </w:r>
            <w:r w:rsidRPr="00A33AE8">
              <w:rPr>
                <w:rFonts w:asciiTheme="majorHAnsi" w:eastAsia="Arial" w:hAnsiTheme="majorHAnsi" w:cstheme="majorHAnsi"/>
                <w:sz w:val="16"/>
              </w:rPr>
              <w:t xml:space="preserve"> financing with the aim to </w:t>
            </w:r>
            <w:r w:rsidRPr="00A33AE8">
              <w:rPr>
                <w:rFonts w:asciiTheme="majorHAnsi" w:eastAsia="Arial" w:hAnsiTheme="majorHAnsi" w:cstheme="majorHAnsi"/>
                <w:spacing w:val="-2"/>
                <w:sz w:val="16"/>
              </w:rPr>
              <w:t>Stimulate sustainable growth</w:t>
            </w:r>
          </w:p>
        </w:tc>
      </w:tr>
      <w:tr w:rsidR="000154A5" w:rsidRPr="00A33AE8" w14:paraId="167CFCCE" w14:textId="77777777" w:rsidTr="005F342E">
        <w:trPr>
          <w:trHeight w:val="353"/>
        </w:trPr>
        <w:tc>
          <w:tcPr>
            <w:tcW w:w="0" w:type="auto"/>
            <w:vMerge/>
            <w:vAlign w:val="center"/>
          </w:tcPr>
          <w:p w14:paraId="0AFFE881"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168744F4"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5E6CFEEF" w14:textId="77777777" w:rsidR="000154A5" w:rsidRPr="00A33AE8" w:rsidRDefault="000154A5" w:rsidP="005F342E">
            <w:pPr>
              <w:widowControl w:val="0"/>
              <w:autoSpaceDE w:val="0"/>
              <w:autoSpaceDN w:val="0"/>
              <w:spacing w:before="56" w:after="0" w:line="240" w:lineRule="auto"/>
              <w:ind w:left="158" w:right="243"/>
              <w:rPr>
                <w:rFonts w:asciiTheme="majorHAnsi" w:eastAsia="Arial" w:hAnsiTheme="majorHAnsi" w:cstheme="majorHAnsi"/>
                <w:sz w:val="16"/>
              </w:rPr>
            </w:pPr>
            <w:r w:rsidRPr="00A33AE8">
              <w:rPr>
                <w:rFonts w:asciiTheme="majorHAnsi" w:eastAsia="Arial" w:hAnsiTheme="majorHAnsi" w:cstheme="majorHAnsi"/>
                <w:bCs/>
                <w:sz w:val="16"/>
              </w:rPr>
              <w:t>EUR 45 million EBRD with EUR 6.7 million of EU grant co-financing; up to EUR 85 million KfW financing and EUR 15.6 million of EU grants</w:t>
            </w:r>
          </w:p>
        </w:tc>
      </w:tr>
      <w:tr w:rsidR="000154A5" w:rsidRPr="00A33AE8" w14:paraId="4D317944" w14:textId="77777777" w:rsidTr="005F342E">
        <w:trPr>
          <w:trHeight w:val="353"/>
        </w:trPr>
        <w:tc>
          <w:tcPr>
            <w:tcW w:w="0" w:type="auto"/>
            <w:vMerge/>
            <w:vAlign w:val="center"/>
          </w:tcPr>
          <w:p w14:paraId="53FB267A"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50006A3"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4D0B7FC5"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b/>
                <w:sz w:val="16"/>
              </w:rPr>
              <w:t xml:space="preserve">Public Finance Window </w:t>
            </w:r>
            <w:r w:rsidRPr="00A33AE8">
              <w:rPr>
                <w:rFonts w:asciiTheme="majorHAnsi" w:eastAsia="Arial" w:hAnsiTheme="majorHAnsi" w:cstheme="majorHAnsi"/>
                <w:sz w:val="16"/>
              </w:rPr>
              <w:t>finances EE renovations of public buildings owned by municipalities</w:t>
            </w:r>
            <w:r w:rsidR="0022195F"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or</w:t>
            </w:r>
            <w:r w:rsidR="0022195F"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governments (schools, hospitals, central and local administration offices). This window comprises of: up to EUR 45 million EBRD financing</w:t>
            </w:r>
          </w:p>
        </w:tc>
      </w:tr>
      <w:tr w:rsidR="000154A5" w:rsidRPr="00A33AE8" w14:paraId="2993DA75" w14:textId="77777777" w:rsidTr="005F342E">
        <w:trPr>
          <w:trHeight w:val="353"/>
        </w:trPr>
        <w:tc>
          <w:tcPr>
            <w:tcW w:w="0" w:type="auto"/>
            <w:vMerge/>
            <w:vAlign w:val="center"/>
          </w:tcPr>
          <w:p w14:paraId="7E05F13A"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450441DF"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4F5FCEF8"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55582B8E" w14:textId="77777777" w:rsidTr="005F342E">
        <w:trPr>
          <w:trHeight w:val="353"/>
        </w:trPr>
        <w:tc>
          <w:tcPr>
            <w:tcW w:w="0" w:type="auto"/>
            <w:vMerge w:val="restart"/>
            <w:vAlign w:val="center"/>
          </w:tcPr>
          <w:p w14:paraId="28309698"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sz w:val="16"/>
              </w:rPr>
              <w:t>EIB</w:t>
            </w:r>
          </w:p>
        </w:tc>
        <w:tc>
          <w:tcPr>
            <w:tcW w:w="1290" w:type="dxa"/>
            <w:shd w:val="clear" w:color="auto" w:fill="BFBFBF" w:themeFill="background1" w:themeFillShade="BF"/>
            <w:vAlign w:val="center"/>
          </w:tcPr>
          <w:p w14:paraId="6B0E01C2"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136666B1" w14:textId="77777777" w:rsidR="000154A5" w:rsidRPr="00A33AE8" w:rsidRDefault="000154A5" w:rsidP="005F342E">
            <w:pPr>
              <w:widowControl w:val="0"/>
              <w:autoSpaceDE w:val="0"/>
              <w:autoSpaceDN w:val="0"/>
              <w:spacing w:before="56" w:after="0" w:line="240" w:lineRule="auto"/>
              <w:ind w:left="128" w:right="287"/>
              <w:rPr>
                <w:rFonts w:asciiTheme="majorHAnsi" w:eastAsia="Arial" w:hAnsiTheme="majorHAnsi" w:cstheme="majorHAnsi"/>
                <w:sz w:val="16"/>
              </w:rPr>
            </w:pPr>
            <w:r w:rsidRPr="00A33AE8">
              <w:rPr>
                <w:rFonts w:asciiTheme="majorHAnsi" w:eastAsia="Arial" w:hAnsiTheme="majorHAnsi" w:cstheme="majorHAnsi"/>
                <w:sz w:val="16"/>
              </w:rPr>
              <w:t>BOX 2:</w:t>
            </w:r>
          </w:p>
          <w:p w14:paraId="5A7E477A" w14:textId="77777777" w:rsidR="000154A5" w:rsidRPr="00A33AE8" w:rsidRDefault="000154A5" w:rsidP="005F342E">
            <w:pPr>
              <w:widowControl w:val="0"/>
              <w:autoSpaceDE w:val="0"/>
              <w:autoSpaceDN w:val="0"/>
              <w:spacing w:before="56" w:after="0" w:line="240" w:lineRule="auto"/>
              <w:ind w:left="128" w:right="287"/>
              <w:rPr>
                <w:rFonts w:asciiTheme="majorHAnsi" w:eastAsia="Arial" w:hAnsiTheme="majorHAnsi" w:cstheme="majorHAnsi"/>
                <w:sz w:val="16"/>
              </w:rPr>
            </w:pPr>
            <w:r w:rsidRPr="00A33AE8">
              <w:rPr>
                <w:rFonts w:asciiTheme="majorHAnsi" w:eastAsia="Arial" w:hAnsiTheme="majorHAnsi" w:cstheme="majorHAnsi"/>
                <w:sz w:val="16"/>
              </w:rPr>
              <w:t xml:space="preserve">IFI/Donor programmes in the </w:t>
            </w:r>
            <w:r w:rsidR="00BE5DEF" w:rsidRPr="00A33AE8">
              <w:rPr>
                <w:rFonts w:asciiTheme="majorHAnsi" w:eastAsia="Arial" w:hAnsiTheme="majorHAnsi" w:cstheme="majorHAnsi"/>
                <w:sz w:val="16"/>
              </w:rPr>
              <w:t xml:space="preserve">region of the </w:t>
            </w:r>
            <w:r w:rsidRPr="00A33AE8">
              <w:rPr>
                <w:rFonts w:asciiTheme="majorHAnsi" w:eastAsia="Arial" w:hAnsiTheme="majorHAnsi" w:cstheme="majorHAnsi"/>
                <w:sz w:val="16"/>
              </w:rPr>
              <w:t>Western Balkans (ECS Donor Coordination Platform)</w:t>
            </w:r>
          </w:p>
          <w:p w14:paraId="3988EF7C"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 xml:space="preserve">It is a regional </w:t>
            </w:r>
            <w:r w:rsidRPr="00A33AE8">
              <w:rPr>
                <w:rFonts w:asciiTheme="majorHAnsi" w:eastAsia="Arial" w:hAnsiTheme="majorHAnsi" w:cstheme="majorHAnsi"/>
                <w:spacing w:val="-2"/>
                <w:sz w:val="16"/>
              </w:rPr>
              <w:t xml:space="preserve">programme </w:t>
            </w:r>
            <w:r w:rsidRPr="00A33AE8">
              <w:rPr>
                <w:rFonts w:asciiTheme="majorHAnsi" w:eastAsia="Arial" w:hAnsiTheme="majorHAnsi" w:cstheme="majorHAnsi"/>
                <w:sz w:val="16"/>
              </w:rPr>
              <w:t xml:space="preserve">blending IFI financing from the EBRD and KfW with EU grant financing to support an </w:t>
            </w:r>
            <w:r w:rsidRPr="00A33AE8">
              <w:rPr>
                <w:rFonts w:asciiTheme="majorHAnsi" w:eastAsia="Arial" w:hAnsiTheme="majorHAnsi" w:cstheme="majorHAnsi"/>
                <w:spacing w:val="-2"/>
                <w:sz w:val="16"/>
              </w:rPr>
              <w:t xml:space="preserve">integrated </w:t>
            </w:r>
            <w:r w:rsidRPr="00A33AE8">
              <w:rPr>
                <w:rFonts w:asciiTheme="majorHAnsi" w:eastAsia="Arial" w:hAnsiTheme="majorHAnsi" w:cstheme="majorHAnsi"/>
                <w:sz w:val="16"/>
              </w:rPr>
              <w:t xml:space="preserve">package of targeted policy </w:t>
            </w:r>
            <w:r w:rsidRPr="00A33AE8">
              <w:rPr>
                <w:rFonts w:asciiTheme="majorHAnsi" w:eastAsia="Arial" w:hAnsiTheme="majorHAnsi" w:cstheme="majorHAnsi"/>
                <w:spacing w:val="-2"/>
                <w:sz w:val="16"/>
              </w:rPr>
              <w:t>dialogue (</w:t>
            </w:r>
            <w:r w:rsidR="004F142B" w:rsidRPr="00A33AE8">
              <w:rPr>
                <w:rFonts w:asciiTheme="majorHAnsi" w:eastAsia="Arial" w:hAnsiTheme="majorHAnsi" w:cstheme="majorHAnsi"/>
                <w:spacing w:val="-2"/>
                <w:sz w:val="16"/>
              </w:rPr>
              <w:t>transposition of</w:t>
            </w:r>
            <w:r w:rsidRPr="00A33AE8">
              <w:rPr>
                <w:rFonts w:asciiTheme="majorHAnsi" w:eastAsia="Arial" w:hAnsiTheme="majorHAnsi" w:cstheme="majorHAnsi"/>
                <w:spacing w:val="-2"/>
                <w:sz w:val="16"/>
              </w:rPr>
              <w:t xml:space="preserve"> </w:t>
            </w:r>
            <w:r w:rsidRPr="00A33AE8">
              <w:rPr>
                <w:rFonts w:asciiTheme="majorHAnsi" w:eastAsia="Arial" w:hAnsiTheme="majorHAnsi" w:cstheme="majorHAnsi"/>
                <w:sz w:val="16"/>
              </w:rPr>
              <w:t xml:space="preserve">the EU Energy </w:t>
            </w:r>
            <w:r w:rsidR="004F142B" w:rsidRPr="00A33AE8">
              <w:rPr>
                <w:rFonts w:asciiTheme="majorHAnsi" w:eastAsia="Arial" w:hAnsiTheme="majorHAnsi" w:cstheme="majorHAnsi"/>
                <w:sz w:val="16"/>
              </w:rPr>
              <w:t>Performance of</w:t>
            </w:r>
            <w:r w:rsidRPr="00A33AE8">
              <w:rPr>
                <w:rFonts w:asciiTheme="majorHAnsi" w:eastAsia="Arial" w:hAnsiTheme="majorHAnsi" w:cstheme="majorHAnsi"/>
                <w:sz w:val="16"/>
              </w:rPr>
              <w:t xml:space="preserve"> </w:t>
            </w:r>
            <w:r w:rsidRPr="00A33AE8">
              <w:rPr>
                <w:rFonts w:asciiTheme="majorHAnsi" w:eastAsia="Arial" w:hAnsiTheme="majorHAnsi" w:cstheme="majorHAnsi"/>
                <w:spacing w:val="-2"/>
                <w:sz w:val="16"/>
              </w:rPr>
              <w:t xml:space="preserve">Buildings directive), technical </w:t>
            </w:r>
            <w:r w:rsidR="004F142B" w:rsidRPr="00A33AE8">
              <w:rPr>
                <w:rFonts w:asciiTheme="majorHAnsi" w:eastAsia="Arial" w:hAnsiTheme="majorHAnsi" w:cstheme="majorHAnsi"/>
                <w:sz w:val="16"/>
              </w:rPr>
              <w:t>assistance, and</w:t>
            </w:r>
            <w:r w:rsidRPr="00A33AE8">
              <w:rPr>
                <w:rFonts w:asciiTheme="majorHAnsi" w:eastAsia="Arial" w:hAnsiTheme="majorHAnsi" w:cstheme="majorHAnsi"/>
                <w:sz w:val="16"/>
              </w:rPr>
              <w:t xml:space="preserve"> financing with the aim to </w:t>
            </w:r>
            <w:r w:rsidRPr="00A33AE8">
              <w:rPr>
                <w:rFonts w:asciiTheme="majorHAnsi" w:eastAsia="Arial" w:hAnsiTheme="majorHAnsi" w:cstheme="majorHAnsi"/>
                <w:spacing w:val="-2"/>
                <w:sz w:val="16"/>
              </w:rPr>
              <w:t>Stimulate sustainable growth</w:t>
            </w:r>
          </w:p>
        </w:tc>
      </w:tr>
      <w:tr w:rsidR="000154A5" w:rsidRPr="00A33AE8" w14:paraId="0E89BA11" w14:textId="77777777" w:rsidTr="005F342E">
        <w:trPr>
          <w:trHeight w:val="353"/>
        </w:trPr>
        <w:tc>
          <w:tcPr>
            <w:tcW w:w="0" w:type="auto"/>
            <w:vMerge/>
            <w:vAlign w:val="center"/>
          </w:tcPr>
          <w:p w14:paraId="328BD9AD"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3A2A9BB0"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tcPr>
          <w:p w14:paraId="0FA3809D" w14:textId="77777777" w:rsidR="000154A5" w:rsidRPr="00A33AE8" w:rsidRDefault="000154A5" w:rsidP="005F342E">
            <w:pPr>
              <w:widowControl w:val="0"/>
              <w:autoSpaceDE w:val="0"/>
              <w:autoSpaceDN w:val="0"/>
              <w:spacing w:before="56" w:after="0" w:line="240" w:lineRule="auto"/>
              <w:ind w:left="158" w:right="243"/>
              <w:rPr>
                <w:rFonts w:asciiTheme="majorHAnsi" w:eastAsia="Arial" w:hAnsiTheme="majorHAnsi" w:cstheme="majorHAnsi"/>
                <w:bCs/>
                <w:sz w:val="16"/>
              </w:rPr>
            </w:pPr>
            <w:r w:rsidRPr="00A33AE8">
              <w:rPr>
                <w:rFonts w:asciiTheme="majorHAnsi" w:eastAsia="Arial" w:hAnsiTheme="majorHAnsi" w:cstheme="majorHAnsi"/>
                <w:bCs/>
                <w:sz w:val="16"/>
              </w:rPr>
              <w:t>EUR 135 million EBRD credit line supported by technical assistance and incentives and provided through local financial institutions, EUR 35,1 million grants from donors</w:t>
            </w:r>
          </w:p>
        </w:tc>
      </w:tr>
      <w:tr w:rsidR="000154A5" w:rsidRPr="00A33AE8" w14:paraId="1AEB3C70" w14:textId="77777777" w:rsidTr="005F342E">
        <w:trPr>
          <w:trHeight w:val="353"/>
        </w:trPr>
        <w:tc>
          <w:tcPr>
            <w:tcW w:w="0" w:type="auto"/>
            <w:vMerge/>
            <w:vAlign w:val="center"/>
          </w:tcPr>
          <w:p w14:paraId="54B3C609"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0FC13963"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02C356F2"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b/>
                <w:sz w:val="16"/>
              </w:rPr>
              <w:t>Western Balkans Green Economy</w:t>
            </w:r>
            <w:r w:rsidR="004F142B" w:rsidRPr="00A33AE8">
              <w:rPr>
                <w:rFonts w:asciiTheme="majorHAnsi" w:eastAsia="Arial" w:hAnsiTheme="majorHAnsi" w:cstheme="majorHAnsi"/>
                <w:b/>
                <w:sz w:val="16"/>
              </w:rPr>
              <w:t xml:space="preserve"> </w:t>
            </w:r>
            <w:r w:rsidRPr="00A33AE8">
              <w:rPr>
                <w:rFonts w:asciiTheme="majorHAnsi" w:eastAsia="Arial" w:hAnsiTheme="majorHAnsi" w:cstheme="majorHAnsi"/>
                <w:b/>
                <w:sz w:val="16"/>
              </w:rPr>
              <w:t>Financing</w:t>
            </w:r>
            <w:r w:rsidR="004F142B" w:rsidRPr="00A33AE8">
              <w:rPr>
                <w:rFonts w:asciiTheme="majorHAnsi" w:eastAsia="Arial" w:hAnsiTheme="majorHAnsi" w:cstheme="majorHAnsi"/>
                <w:b/>
                <w:sz w:val="16"/>
              </w:rPr>
              <w:t xml:space="preserve"> </w:t>
            </w:r>
            <w:r w:rsidRPr="00A33AE8">
              <w:rPr>
                <w:rFonts w:asciiTheme="majorHAnsi" w:eastAsia="Arial" w:hAnsiTheme="majorHAnsi" w:cstheme="majorHAnsi"/>
                <w:b/>
                <w:sz w:val="16"/>
              </w:rPr>
              <w:t>Facility (WBGEFF I and</w:t>
            </w:r>
            <w:r w:rsidR="004F142B" w:rsidRPr="00A33AE8">
              <w:rPr>
                <w:rFonts w:asciiTheme="majorHAnsi" w:eastAsia="Arial" w:hAnsiTheme="majorHAnsi" w:cstheme="majorHAnsi"/>
                <w:b/>
                <w:sz w:val="16"/>
              </w:rPr>
              <w:t xml:space="preserve"> </w:t>
            </w:r>
            <w:r w:rsidRPr="00A33AE8">
              <w:rPr>
                <w:rFonts w:asciiTheme="majorHAnsi" w:eastAsia="Arial" w:hAnsiTheme="majorHAnsi" w:cstheme="majorHAnsi"/>
                <w:b/>
                <w:sz w:val="16"/>
              </w:rPr>
              <w:t xml:space="preserve">II) </w:t>
            </w:r>
            <w:r w:rsidRPr="00A33AE8">
              <w:rPr>
                <w:rFonts w:asciiTheme="majorHAnsi" w:eastAsia="Arial" w:hAnsiTheme="majorHAnsi" w:cstheme="majorHAnsi"/>
                <w:sz w:val="16"/>
              </w:rPr>
              <w:t>promotes EE renovations in the residential sector and the construction of new high performing buildings</w:t>
            </w:r>
          </w:p>
        </w:tc>
      </w:tr>
      <w:tr w:rsidR="000154A5" w:rsidRPr="00A33AE8" w14:paraId="28D63276" w14:textId="77777777" w:rsidTr="005F342E">
        <w:trPr>
          <w:trHeight w:val="353"/>
        </w:trPr>
        <w:tc>
          <w:tcPr>
            <w:tcW w:w="0" w:type="auto"/>
            <w:vMerge/>
            <w:vAlign w:val="center"/>
          </w:tcPr>
          <w:p w14:paraId="4D7A42D8"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663451D"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095F51EA"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w w:val="95"/>
                <w:sz w:val="16"/>
              </w:rPr>
              <w:t>2021-</w:t>
            </w:r>
            <w:r w:rsidRPr="00A33AE8">
              <w:rPr>
                <w:rFonts w:asciiTheme="majorHAnsi" w:eastAsia="Arial" w:hAnsiTheme="majorHAnsi" w:cstheme="majorHAnsi"/>
                <w:spacing w:val="-4"/>
                <w:sz w:val="16"/>
              </w:rPr>
              <w:t>2027</w:t>
            </w:r>
          </w:p>
        </w:tc>
      </w:tr>
      <w:tr w:rsidR="000154A5" w:rsidRPr="00A33AE8" w14:paraId="08C688CF" w14:textId="77777777" w:rsidTr="005F342E">
        <w:trPr>
          <w:trHeight w:val="353"/>
        </w:trPr>
        <w:tc>
          <w:tcPr>
            <w:tcW w:w="0" w:type="auto"/>
            <w:vMerge w:val="restart"/>
            <w:vAlign w:val="center"/>
          </w:tcPr>
          <w:p w14:paraId="3C5A920A"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color w:val="375522"/>
                <w:sz w:val="16"/>
              </w:rPr>
              <w:t>EIB,</w:t>
            </w:r>
            <w:r w:rsidRPr="00A33AE8">
              <w:rPr>
                <w:rFonts w:asciiTheme="majorHAnsi" w:eastAsia="Arial" w:hAnsiTheme="majorHAnsi" w:cstheme="majorHAnsi"/>
                <w:color w:val="375522"/>
                <w:spacing w:val="-5"/>
                <w:sz w:val="16"/>
              </w:rPr>
              <w:t>EC</w:t>
            </w:r>
          </w:p>
        </w:tc>
        <w:tc>
          <w:tcPr>
            <w:tcW w:w="1290" w:type="dxa"/>
            <w:shd w:val="clear" w:color="auto" w:fill="BFBFBF" w:themeFill="background1" w:themeFillShade="BF"/>
            <w:vAlign w:val="center"/>
          </w:tcPr>
          <w:p w14:paraId="79A153CF"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3D1925A9"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51F50626" w14:textId="77777777" w:rsidTr="005F342E">
        <w:trPr>
          <w:trHeight w:val="353"/>
        </w:trPr>
        <w:tc>
          <w:tcPr>
            <w:tcW w:w="0" w:type="auto"/>
            <w:vMerge/>
            <w:vAlign w:val="center"/>
          </w:tcPr>
          <w:p w14:paraId="437B1A75"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4B2C940"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39DF98C8"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EUR</w:t>
            </w:r>
            <w:r w:rsidR="005E6E7B">
              <w:rPr>
                <w:rFonts w:asciiTheme="majorHAnsi" w:eastAsia="Arial" w:hAnsiTheme="majorHAnsi" w:cstheme="majorHAnsi"/>
                <w:sz w:val="16"/>
              </w:rPr>
              <w:t xml:space="preserve"> </w:t>
            </w:r>
            <w:r w:rsidRPr="00A33AE8">
              <w:rPr>
                <w:rFonts w:asciiTheme="majorHAnsi" w:eastAsia="Arial" w:hAnsiTheme="majorHAnsi" w:cstheme="majorHAnsi"/>
                <w:sz w:val="16"/>
              </w:rPr>
              <w:t>80</w:t>
            </w:r>
            <w:r w:rsidR="005E6E7B">
              <w:rPr>
                <w:rFonts w:asciiTheme="majorHAnsi" w:eastAsia="Arial" w:hAnsiTheme="majorHAnsi" w:cstheme="majorHAnsi"/>
                <w:sz w:val="16"/>
              </w:rPr>
              <w:t xml:space="preserve"> </w:t>
            </w:r>
            <w:r w:rsidRPr="00A33AE8">
              <w:rPr>
                <w:rFonts w:asciiTheme="majorHAnsi" w:eastAsia="Arial" w:hAnsiTheme="majorHAnsi" w:cstheme="majorHAnsi"/>
                <w:spacing w:val="-2"/>
                <w:sz w:val="16"/>
              </w:rPr>
              <w:t>million</w:t>
            </w:r>
          </w:p>
        </w:tc>
      </w:tr>
      <w:tr w:rsidR="000154A5" w:rsidRPr="00A33AE8" w14:paraId="178A2E22" w14:textId="77777777" w:rsidTr="005F342E">
        <w:trPr>
          <w:trHeight w:val="353"/>
        </w:trPr>
        <w:tc>
          <w:tcPr>
            <w:tcW w:w="0" w:type="auto"/>
            <w:vMerge/>
            <w:vAlign w:val="center"/>
          </w:tcPr>
          <w:p w14:paraId="3FF9C34F"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BC68FEE"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3B8C7C52" w14:textId="77777777" w:rsidR="000154A5" w:rsidRPr="00A33AE8" w:rsidRDefault="000154A5" w:rsidP="005F342E">
            <w:pPr>
              <w:widowControl w:val="0"/>
              <w:autoSpaceDE w:val="0"/>
              <w:autoSpaceDN w:val="0"/>
              <w:spacing w:before="56" w:after="0" w:line="240" w:lineRule="auto"/>
              <w:ind w:left="158" w:right="243"/>
              <w:rPr>
                <w:rFonts w:asciiTheme="majorHAnsi" w:eastAsia="Arial" w:hAnsiTheme="majorHAnsi" w:cstheme="majorHAnsi"/>
                <w:sz w:val="16"/>
              </w:rPr>
            </w:pPr>
            <w:r w:rsidRPr="00A33AE8">
              <w:rPr>
                <w:rFonts w:asciiTheme="majorHAnsi" w:eastAsia="Arial" w:hAnsiTheme="majorHAnsi" w:cstheme="majorHAnsi"/>
                <w:b/>
                <w:sz w:val="16"/>
              </w:rPr>
              <w:t xml:space="preserve">The Private Financing for Energy Efficiency (PF4EE) </w:t>
            </w:r>
            <w:r w:rsidRPr="00A33AE8">
              <w:rPr>
                <w:rFonts w:asciiTheme="majorHAnsi" w:eastAsia="Arial" w:hAnsiTheme="majorHAnsi" w:cstheme="majorHAnsi"/>
                <w:sz w:val="16"/>
              </w:rPr>
              <w:t>is a joint initiative between the EIB and the European Commission. Through the LIFE Programme the instrument’s credit risk protection</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expert</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support services will be funded. The EIB leverages this amount, making a minimum of EUR 480 million available in</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long-term</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pacing w:val="-2"/>
                <w:sz w:val="16"/>
              </w:rPr>
              <w:t>financing</w:t>
            </w:r>
          </w:p>
        </w:tc>
      </w:tr>
      <w:tr w:rsidR="000154A5" w:rsidRPr="00A33AE8" w14:paraId="495E24C2" w14:textId="77777777" w:rsidTr="005F342E">
        <w:trPr>
          <w:trHeight w:val="353"/>
        </w:trPr>
        <w:tc>
          <w:tcPr>
            <w:tcW w:w="0" w:type="auto"/>
            <w:vMerge/>
            <w:vAlign w:val="center"/>
          </w:tcPr>
          <w:p w14:paraId="2B1887C0"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71C8978"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4CD2ADB0"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w w:val="95"/>
                <w:sz w:val="16"/>
              </w:rPr>
              <w:t>2021-</w:t>
            </w:r>
            <w:r w:rsidRPr="00A33AE8">
              <w:rPr>
                <w:rFonts w:asciiTheme="majorHAnsi" w:eastAsia="Arial" w:hAnsiTheme="majorHAnsi" w:cstheme="majorHAnsi"/>
                <w:spacing w:val="-4"/>
                <w:sz w:val="16"/>
              </w:rPr>
              <w:t>2027</w:t>
            </w:r>
          </w:p>
        </w:tc>
      </w:tr>
      <w:tr w:rsidR="000154A5" w:rsidRPr="00A33AE8" w14:paraId="7AD99CB8" w14:textId="77777777" w:rsidTr="005F342E">
        <w:trPr>
          <w:trHeight w:val="353"/>
        </w:trPr>
        <w:tc>
          <w:tcPr>
            <w:tcW w:w="0" w:type="auto"/>
            <w:vMerge w:val="restart"/>
            <w:vAlign w:val="center"/>
          </w:tcPr>
          <w:p w14:paraId="3BB50EED"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color w:val="375522"/>
                <w:sz w:val="16"/>
              </w:rPr>
              <w:t>EC,</w:t>
            </w:r>
            <w:r w:rsidRPr="00A33AE8">
              <w:rPr>
                <w:rFonts w:asciiTheme="majorHAnsi" w:eastAsia="Arial" w:hAnsiTheme="majorHAnsi" w:cstheme="majorHAnsi"/>
                <w:color w:val="375522"/>
                <w:spacing w:val="-2"/>
                <w:sz w:val="16"/>
              </w:rPr>
              <w:t>EEFIG</w:t>
            </w:r>
          </w:p>
        </w:tc>
        <w:tc>
          <w:tcPr>
            <w:tcW w:w="1290" w:type="dxa"/>
            <w:shd w:val="clear" w:color="auto" w:fill="BFBFBF" w:themeFill="background1" w:themeFillShade="BF"/>
            <w:vAlign w:val="center"/>
          </w:tcPr>
          <w:p w14:paraId="2C0A7BE1"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293F4227"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45DFBEFD" w14:textId="77777777" w:rsidTr="005F342E">
        <w:trPr>
          <w:trHeight w:val="353"/>
        </w:trPr>
        <w:tc>
          <w:tcPr>
            <w:tcW w:w="0" w:type="auto"/>
            <w:vMerge/>
            <w:vAlign w:val="center"/>
          </w:tcPr>
          <w:p w14:paraId="095E34C9"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7E1BB2E5"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07AAFE05" w14:textId="77777777" w:rsidR="000154A5" w:rsidRPr="00A33AE8" w:rsidRDefault="000154A5" w:rsidP="006D037F">
            <w:pPr>
              <w:widowControl w:val="0"/>
              <w:autoSpaceDE w:val="0"/>
              <w:autoSpaceDN w:val="0"/>
              <w:spacing w:before="60" w:after="0" w:line="240" w:lineRule="auto"/>
              <w:ind w:right="256"/>
              <w:rPr>
                <w:rFonts w:asciiTheme="majorHAnsi" w:eastAsia="Arial" w:hAnsiTheme="majorHAnsi" w:cstheme="majorHAnsi"/>
                <w:sz w:val="16"/>
              </w:rPr>
            </w:pPr>
            <w:r w:rsidRPr="00A33AE8">
              <w:rPr>
                <w:rFonts w:asciiTheme="majorHAnsi" w:eastAsia="Arial" w:hAnsiTheme="majorHAnsi" w:cstheme="majorHAnsi"/>
                <w:sz w:val="16"/>
              </w:rPr>
              <w:t>Horizon</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EU's</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pacing w:val="-5"/>
                <w:sz w:val="16"/>
              </w:rPr>
              <w:t>EUR</w:t>
            </w:r>
            <w:r w:rsidR="004F142B" w:rsidRPr="00A33AE8">
              <w:rPr>
                <w:rFonts w:asciiTheme="majorHAnsi" w:eastAsia="Arial" w:hAnsiTheme="majorHAnsi" w:cstheme="majorHAnsi"/>
                <w:spacing w:val="-5"/>
                <w:sz w:val="16"/>
              </w:rPr>
              <w:t xml:space="preserve"> </w:t>
            </w:r>
            <w:r w:rsidRPr="00A33AE8">
              <w:rPr>
                <w:rFonts w:asciiTheme="majorHAnsi" w:eastAsia="Arial" w:hAnsiTheme="majorHAnsi" w:cstheme="majorHAnsi"/>
                <w:sz w:val="16"/>
              </w:rPr>
              <w:t xml:space="preserve">95.5 billion worth research and </w:t>
            </w:r>
            <w:r w:rsidRPr="00A33AE8">
              <w:rPr>
                <w:rFonts w:asciiTheme="majorHAnsi" w:eastAsia="Arial" w:hAnsiTheme="majorHAnsi" w:cstheme="majorHAnsi"/>
                <w:spacing w:val="-2"/>
                <w:sz w:val="16"/>
              </w:rPr>
              <w:t xml:space="preserve">innovation </w:t>
            </w:r>
            <w:r w:rsidRPr="00A33AE8">
              <w:rPr>
                <w:rFonts w:asciiTheme="majorHAnsi" w:eastAsia="Arial" w:hAnsiTheme="majorHAnsi" w:cstheme="majorHAnsi"/>
                <w:sz w:val="16"/>
              </w:rPr>
              <w:t>programme</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total</w:t>
            </w:r>
          </w:p>
        </w:tc>
      </w:tr>
      <w:tr w:rsidR="000154A5" w:rsidRPr="00A33AE8" w14:paraId="53E37054" w14:textId="77777777" w:rsidTr="005F342E">
        <w:trPr>
          <w:trHeight w:val="353"/>
        </w:trPr>
        <w:tc>
          <w:tcPr>
            <w:tcW w:w="0" w:type="auto"/>
            <w:vMerge/>
            <w:vAlign w:val="center"/>
          </w:tcPr>
          <w:p w14:paraId="33AEBA17"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5125D773"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33C7417A" w14:textId="77777777" w:rsidR="000154A5" w:rsidRPr="00A33AE8" w:rsidRDefault="000154A5" w:rsidP="005F342E">
            <w:pPr>
              <w:widowControl w:val="0"/>
              <w:autoSpaceDE w:val="0"/>
              <w:autoSpaceDN w:val="0"/>
              <w:spacing w:before="56" w:after="0" w:line="240" w:lineRule="auto"/>
              <w:ind w:left="158" w:right="219"/>
              <w:rPr>
                <w:rFonts w:asciiTheme="majorHAnsi" w:eastAsia="Arial" w:hAnsiTheme="majorHAnsi" w:cstheme="majorHAnsi"/>
                <w:sz w:val="16"/>
              </w:rPr>
            </w:pPr>
            <w:r w:rsidRPr="00A33AE8">
              <w:rPr>
                <w:rFonts w:asciiTheme="majorHAnsi" w:eastAsia="Arial" w:hAnsiTheme="majorHAnsi" w:cstheme="majorHAnsi"/>
                <w:sz w:val="16"/>
              </w:rPr>
              <w:t xml:space="preserve">Through </w:t>
            </w:r>
            <w:r w:rsidRPr="00A33AE8">
              <w:rPr>
                <w:rFonts w:asciiTheme="majorHAnsi" w:eastAsia="Arial" w:hAnsiTheme="majorHAnsi" w:cstheme="majorHAnsi"/>
                <w:b/>
                <w:sz w:val="16"/>
              </w:rPr>
              <w:t>EU Horizon 2020</w:t>
            </w:r>
            <w:r w:rsidRPr="00A33AE8">
              <w:rPr>
                <w:rFonts w:asciiTheme="majorHAnsi" w:eastAsia="Arial" w:hAnsiTheme="majorHAnsi" w:cstheme="majorHAnsi"/>
                <w:sz w:val="16"/>
              </w:rPr>
              <w:t>, the</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Commission</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has</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setup</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a series of facilities funding </w:t>
            </w:r>
            <w:r w:rsidR="004F142B" w:rsidRPr="00A33AE8">
              <w:rPr>
                <w:rFonts w:asciiTheme="majorHAnsi" w:eastAsia="Arial" w:hAnsiTheme="majorHAnsi" w:cstheme="majorHAnsi"/>
                <w:sz w:val="16"/>
              </w:rPr>
              <w:t>Project Development</w:t>
            </w:r>
            <w:r w:rsidRPr="00A33AE8">
              <w:rPr>
                <w:rFonts w:asciiTheme="majorHAnsi" w:eastAsia="Arial" w:hAnsiTheme="majorHAnsi" w:cstheme="majorHAnsi"/>
                <w:sz w:val="16"/>
              </w:rPr>
              <w:t xml:space="preserve"> Assistance (PDA) </w:t>
            </w:r>
            <w:r w:rsidR="004F142B" w:rsidRPr="00A33AE8">
              <w:rPr>
                <w:rFonts w:asciiTheme="majorHAnsi" w:eastAsia="Arial" w:hAnsiTheme="majorHAnsi" w:cstheme="majorHAnsi"/>
                <w:sz w:val="16"/>
              </w:rPr>
              <w:t>to support</w:t>
            </w:r>
            <w:r w:rsidRPr="00A33AE8">
              <w:rPr>
                <w:rFonts w:asciiTheme="majorHAnsi" w:eastAsia="Arial" w:hAnsiTheme="majorHAnsi" w:cstheme="majorHAnsi"/>
                <w:sz w:val="16"/>
              </w:rPr>
              <w:t xml:space="preserve"> public authorities - regions, cities, municipalities and public bodies in developing bankable</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sustainable</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energy </w:t>
            </w:r>
            <w:r w:rsidRPr="00A33AE8">
              <w:rPr>
                <w:rFonts w:asciiTheme="majorHAnsi" w:eastAsia="Arial" w:hAnsiTheme="majorHAnsi" w:cstheme="majorHAnsi"/>
                <w:spacing w:val="-2"/>
                <w:sz w:val="16"/>
              </w:rPr>
              <w:t>projects.</w:t>
            </w:r>
          </w:p>
          <w:p w14:paraId="7E27B1F8" w14:textId="77777777" w:rsidR="000154A5" w:rsidRPr="00A33AE8" w:rsidRDefault="000154A5" w:rsidP="005F342E">
            <w:pPr>
              <w:widowControl w:val="0"/>
              <w:autoSpaceDE w:val="0"/>
              <w:autoSpaceDN w:val="0"/>
              <w:spacing w:before="8" w:after="0" w:line="240" w:lineRule="auto"/>
              <w:ind w:left="158" w:right="219"/>
              <w:rPr>
                <w:rFonts w:asciiTheme="majorHAnsi" w:eastAsia="Arial" w:hAnsiTheme="majorHAnsi" w:cstheme="majorHAnsi"/>
                <w:sz w:val="16"/>
              </w:rPr>
            </w:pPr>
            <w:r w:rsidRPr="00A33AE8">
              <w:rPr>
                <w:rFonts w:asciiTheme="majorHAnsi" w:eastAsia="Arial" w:hAnsiTheme="majorHAnsi" w:cstheme="majorHAnsi"/>
                <w:sz w:val="16"/>
              </w:rPr>
              <w:t>The Commission, in collaboration</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with</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the</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Energy Efficiency</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Financial Institutions Group (EEFIG), has developed </w:t>
            </w:r>
            <w:r w:rsidR="004F142B" w:rsidRPr="00A33AE8">
              <w:rPr>
                <w:rFonts w:asciiTheme="majorHAnsi" w:eastAsia="Arial" w:hAnsiTheme="majorHAnsi" w:cstheme="majorHAnsi"/>
                <w:sz w:val="16"/>
              </w:rPr>
              <w:t>products that</w:t>
            </w:r>
            <w:r w:rsidRPr="00A33AE8">
              <w:rPr>
                <w:rFonts w:asciiTheme="majorHAnsi" w:eastAsia="Arial" w:hAnsiTheme="majorHAnsi" w:cstheme="majorHAnsi"/>
                <w:sz w:val="16"/>
              </w:rPr>
              <w:t xml:space="preserve"> aim to inform financial institutions, investors and project</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promoters</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about</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pacing w:val="-5"/>
                <w:sz w:val="16"/>
              </w:rPr>
              <w:t xml:space="preserve">the </w:t>
            </w:r>
            <w:r w:rsidRPr="00A33AE8">
              <w:rPr>
                <w:rFonts w:asciiTheme="majorHAnsi" w:eastAsia="Arial" w:hAnsiTheme="majorHAnsi" w:cstheme="majorHAnsi"/>
                <w:sz w:val="16"/>
              </w:rPr>
              <w:t>real</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benefits</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risks</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of energy efficiency </w:t>
            </w:r>
            <w:r w:rsidRPr="00A33AE8">
              <w:rPr>
                <w:rFonts w:asciiTheme="majorHAnsi" w:eastAsia="Arial" w:hAnsiTheme="majorHAnsi" w:cstheme="majorHAnsi"/>
                <w:spacing w:val="-2"/>
                <w:sz w:val="16"/>
              </w:rPr>
              <w:t>investments</w:t>
            </w:r>
          </w:p>
        </w:tc>
      </w:tr>
      <w:tr w:rsidR="000154A5" w:rsidRPr="00A33AE8" w14:paraId="6FB2AAD5" w14:textId="77777777" w:rsidTr="005F342E">
        <w:trPr>
          <w:trHeight w:val="353"/>
        </w:trPr>
        <w:tc>
          <w:tcPr>
            <w:tcW w:w="0" w:type="auto"/>
            <w:vMerge/>
            <w:vAlign w:val="center"/>
          </w:tcPr>
          <w:p w14:paraId="57591C75"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10A59B75"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3C49A102"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w w:val="95"/>
                <w:sz w:val="16"/>
              </w:rPr>
              <w:t>2021-</w:t>
            </w:r>
            <w:r w:rsidRPr="00A33AE8">
              <w:rPr>
                <w:rFonts w:asciiTheme="majorHAnsi" w:eastAsia="Arial" w:hAnsiTheme="majorHAnsi" w:cstheme="majorHAnsi"/>
                <w:spacing w:val="-4"/>
                <w:sz w:val="16"/>
              </w:rPr>
              <w:t>2027</w:t>
            </w:r>
          </w:p>
        </w:tc>
      </w:tr>
      <w:tr w:rsidR="000154A5" w:rsidRPr="00A33AE8" w14:paraId="74D333C2" w14:textId="77777777" w:rsidTr="005F342E">
        <w:trPr>
          <w:trHeight w:val="353"/>
        </w:trPr>
        <w:tc>
          <w:tcPr>
            <w:tcW w:w="0" w:type="auto"/>
            <w:vMerge w:val="restart"/>
            <w:vAlign w:val="center"/>
          </w:tcPr>
          <w:p w14:paraId="345096CE"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r w:rsidRPr="00A33AE8">
              <w:rPr>
                <w:rFonts w:asciiTheme="majorHAnsi" w:eastAsia="Arial" w:hAnsiTheme="majorHAnsi" w:cstheme="majorHAnsi"/>
                <w:color w:val="375522"/>
                <w:sz w:val="16"/>
              </w:rPr>
              <w:t>EC,</w:t>
            </w:r>
            <w:r w:rsidRPr="00A33AE8">
              <w:rPr>
                <w:rFonts w:asciiTheme="majorHAnsi" w:eastAsia="Arial" w:hAnsiTheme="majorHAnsi" w:cstheme="majorHAnsi"/>
                <w:color w:val="375522"/>
                <w:spacing w:val="-2"/>
                <w:sz w:val="16"/>
              </w:rPr>
              <w:t>EEFIG</w:t>
            </w:r>
          </w:p>
        </w:tc>
        <w:tc>
          <w:tcPr>
            <w:tcW w:w="1290" w:type="dxa"/>
            <w:shd w:val="clear" w:color="auto" w:fill="BFBFBF" w:themeFill="background1" w:themeFillShade="BF"/>
            <w:vAlign w:val="center"/>
          </w:tcPr>
          <w:p w14:paraId="12B62632"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Type of aid</w:t>
            </w:r>
          </w:p>
        </w:tc>
        <w:tc>
          <w:tcPr>
            <w:tcW w:w="6983" w:type="dxa"/>
            <w:vAlign w:val="center"/>
          </w:tcPr>
          <w:p w14:paraId="70E3F8F8"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7BA98740" w14:textId="77777777" w:rsidTr="005F342E">
        <w:trPr>
          <w:trHeight w:val="353"/>
        </w:trPr>
        <w:tc>
          <w:tcPr>
            <w:tcW w:w="0" w:type="auto"/>
            <w:vMerge/>
            <w:vAlign w:val="center"/>
          </w:tcPr>
          <w:p w14:paraId="65758872"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690057B3"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Amount</w:t>
            </w:r>
          </w:p>
        </w:tc>
        <w:tc>
          <w:tcPr>
            <w:tcW w:w="6983" w:type="dxa"/>
            <w:vAlign w:val="center"/>
          </w:tcPr>
          <w:p w14:paraId="4D316982"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r w:rsidR="000154A5" w:rsidRPr="00A33AE8" w14:paraId="138EB24E" w14:textId="77777777" w:rsidTr="005F342E">
        <w:trPr>
          <w:trHeight w:val="353"/>
        </w:trPr>
        <w:tc>
          <w:tcPr>
            <w:tcW w:w="0" w:type="auto"/>
            <w:vMerge/>
            <w:vAlign w:val="center"/>
          </w:tcPr>
          <w:p w14:paraId="31B69916"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451BBE21"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Purpose</w:t>
            </w:r>
          </w:p>
        </w:tc>
        <w:tc>
          <w:tcPr>
            <w:tcW w:w="6983" w:type="dxa"/>
            <w:vAlign w:val="center"/>
          </w:tcPr>
          <w:p w14:paraId="5459C95C" w14:textId="08781D70" w:rsidR="000154A5" w:rsidRPr="00A33AE8" w:rsidRDefault="000154A5" w:rsidP="005F342E">
            <w:pPr>
              <w:widowControl w:val="0"/>
              <w:autoSpaceDE w:val="0"/>
              <w:autoSpaceDN w:val="0"/>
              <w:spacing w:before="56" w:after="0" w:line="240" w:lineRule="auto"/>
              <w:ind w:left="207" w:right="135" w:hanging="16"/>
              <w:rPr>
                <w:rFonts w:asciiTheme="majorHAnsi" w:eastAsia="Arial" w:hAnsiTheme="majorHAnsi" w:cstheme="majorHAnsi"/>
                <w:sz w:val="16"/>
              </w:rPr>
            </w:pPr>
            <w:r w:rsidRPr="00A33AE8">
              <w:rPr>
                <w:rFonts w:asciiTheme="majorHAnsi" w:eastAsia="Arial" w:hAnsiTheme="majorHAnsi" w:cstheme="majorHAnsi"/>
                <w:b/>
                <w:sz w:val="16"/>
              </w:rPr>
              <w:t>The De-risking Energy Efficiency Platform</w:t>
            </w:r>
            <w:r w:rsidR="0096620E" w:rsidRPr="00A33AE8">
              <w:rPr>
                <w:rFonts w:asciiTheme="majorHAnsi" w:eastAsia="Arial" w:hAnsiTheme="majorHAnsi" w:cstheme="majorHAnsi"/>
                <w:b/>
                <w:sz w:val="16"/>
              </w:rPr>
              <w:t xml:space="preserve"> </w:t>
            </w:r>
            <w:r w:rsidRPr="00A33AE8">
              <w:rPr>
                <w:rFonts w:asciiTheme="majorHAnsi" w:eastAsia="Arial" w:hAnsiTheme="majorHAnsi" w:cstheme="majorHAnsi"/>
                <w:b/>
                <w:sz w:val="16"/>
              </w:rPr>
              <w:t xml:space="preserve">(DEEP) </w:t>
            </w:r>
            <w:r w:rsidRPr="00A33AE8">
              <w:rPr>
                <w:rFonts w:asciiTheme="majorHAnsi" w:eastAsia="Arial" w:hAnsiTheme="majorHAnsi" w:cstheme="majorHAnsi"/>
                <w:sz w:val="16"/>
              </w:rPr>
              <w:t>is a</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pan-EU open-source database containing detailed information and analysis of over 10,000</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industrial</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buildings-related</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EE</w:t>
            </w:r>
            <w:r w:rsidR="004F142B"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projects.</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It</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builds</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performance track records and helps project developers, financiers, and</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investors</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better</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assess</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the</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risks</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and</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benefits</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of</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energy</w:t>
            </w:r>
            <w:r w:rsidR="0096620E" w:rsidRPr="00A33AE8">
              <w:rPr>
                <w:rFonts w:asciiTheme="majorHAnsi" w:eastAsia="Arial" w:hAnsiTheme="majorHAnsi" w:cstheme="majorHAnsi"/>
                <w:sz w:val="16"/>
              </w:rPr>
              <w:t xml:space="preserve"> </w:t>
            </w:r>
            <w:r w:rsidRPr="00A33AE8">
              <w:rPr>
                <w:rFonts w:asciiTheme="majorHAnsi" w:eastAsia="Arial" w:hAnsiTheme="majorHAnsi" w:cstheme="majorHAnsi"/>
                <w:sz w:val="16"/>
              </w:rPr>
              <w:t xml:space="preserve">efficiency </w:t>
            </w:r>
            <w:r w:rsidRPr="00A33AE8">
              <w:rPr>
                <w:rFonts w:asciiTheme="majorHAnsi" w:eastAsia="Arial" w:hAnsiTheme="majorHAnsi" w:cstheme="majorHAnsi"/>
                <w:spacing w:val="-2"/>
                <w:sz w:val="16"/>
              </w:rPr>
              <w:t>investments.</w:t>
            </w:r>
          </w:p>
        </w:tc>
      </w:tr>
      <w:tr w:rsidR="000154A5" w:rsidRPr="00A33AE8" w14:paraId="678F5DD7" w14:textId="77777777" w:rsidTr="005F342E">
        <w:trPr>
          <w:trHeight w:val="353"/>
        </w:trPr>
        <w:tc>
          <w:tcPr>
            <w:tcW w:w="0" w:type="auto"/>
            <w:vMerge/>
            <w:vAlign w:val="center"/>
          </w:tcPr>
          <w:p w14:paraId="645B12AE" w14:textId="77777777" w:rsidR="000154A5" w:rsidRPr="00A33AE8" w:rsidRDefault="000154A5" w:rsidP="005F342E">
            <w:pPr>
              <w:widowControl w:val="0"/>
              <w:autoSpaceDE w:val="0"/>
              <w:autoSpaceDN w:val="0"/>
              <w:spacing w:before="60" w:after="0" w:line="240" w:lineRule="auto"/>
              <w:ind w:left="172" w:right="132"/>
              <w:jc w:val="center"/>
              <w:rPr>
                <w:rFonts w:asciiTheme="majorHAnsi" w:eastAsia="Arial" w:hAnsiTheme="majorHAnsi" w:cstheme="majorHAnsi"/>
                <w:sz w:val="16"/>
              </w:rPr>
            </w:pPr>
          </w:p>
        </w:tc>
        <w:tc>
          <w:tcPr>
            <w:tcW w:w="1290" w:type="dxa"/>
            <w:shd w:val="clear" w:color="auto" w:fill="BFBFBF" w:themeFill="background1" w:themeFillShade="BF"/>
            <w:vAlign w:val="center"/>
          </w:tcPr>
          <w:p w14:paraId="14E88DD5" w14:textId="77777777" w:rsidR="000154A5" w:rsidRPr="00A33AE8" w:rsidRDefault="000154A5" w:rsidP="005F342E">
            <w:pPr>
              <w:widowControl w:val="0"/>
              <w:autoSpaceDE w:val="0"/>
              <w:autoSpaceDN w:val="0"/>
              <w:spacing w:before="28" w:after="0" w:line="240" w:lineRule="auto"/>
              <w:ind w:left="172" w:right="130"/>
              <w:jc w:val="center"/>
              <w:rPr>
                <w:rFonts w:asciiTheme="majorHAnsi" w:eastAsia="Arial" w:hAnsiTheme="majorHAnsi" w:cstheme="majorHAnsi"/>
                <w:b/>
                <w:color w:val="FFFFFF"/>
                <w:spacing w:val="-2"/>
                <w:sz w:val="18"/>
              </w:rPr>
            </w:pPr>
            <w:r w:rsidRPr="00A33AE8">
              <w:rPr>
                <w:rFonts w:asciiTheme="majorHAnsi" w:eastAsia="Arial" w:hAnsiTheme="majorHAnsi" w:cstheme="majorHAnsi"/>
                <w:b/>
                <w:color w:val="FFFFFF"/>
                <w:spacing w:val="-2"/>
                <w:sz w:val="18"/>
              </w:rPr>
              <w:t>Duration</w:t>
            </w:r>
          </w:p>
        </w:tc>
        <w:tc>
          <w:tcPr>
            <w:tcW w:w="6983" w:type="dxa"/>
            <w:vAlign w:val="center"/>
          </w:tcPr>
          <w:p w14:paraId="3895D815" w14:textId="77777777" w:rsidR="000154A5" w:rsidRPr="00A33AE8" w:rsidRDefault="000154A5" w:rsidP="005F342E">
            <w:pPr>
              <w:widowControl w:val="0"/>
              <w:autoSpaceDE w:val="0"/>
              <w:autoSpaceDN w:val="0"/>
              <w:spacing w:before="60" w:after="0" w:line="240" w:lineRule="auto"/>
              <w:ind w:left="148" w:right="256"/>
              <w:rPr>
                <w:rFonts w:asciiTheme="majorHAnsi" w:eastAsia="Arial" w:hAnsiTheme="majorHAnsi" w:cstheme="majorHAnsi"/>
                <w:sz w:val="16"/>
              </w:rPr>
            </w:pPr>
            <w:r w:rsidRPr="00A33AE8">
              <w:rPr>
                <w:rFonts w:asciiTheme="majorHAnsi" w:eastAsia="Arial" w:hAnsiTheme="majorHAnsi" w:cstheme="majorHAnsi"/>
                <w:sz w:val="16"/>
              </w:rPr>
              <w:t>n.a.</w:t>
            </w:r>
          </w:p>
        </w:tc>
      </w:tr>
    </w:tbl>
    <w:p w14:paraId="39237B7D" w14:textId="030E0FBB" w:rsidR="00C41B94" w:rsidRPr="000007D2" w:rsidRDefault="00274EDA" w:rsidP="00C41B94">
      <w:pPr>
        <w:autoSpaceDE w:val="0"/>
        <w:autoSpaceDN w:val="0"/>
        <w:adjustRightInd w:val="0"/>
        <w:spacing w:before="120" w:after="0" w:line="276" w:lineRule="auto"/>
        <w:jc w:val="both"/>
        <w:rPr>
          <w:rFonts w:asciiTheme="majorHAnsi" w:hAnsiTheme="majorHAnsi" w:cstheme="majorHAnsi"/>
        </w:rPr>
      </w:pPr>
      <w:r w:rsidRPr="000007D2">
        <w:rPr>
          <w:rFonts w:asciiTheme="majorHAnsi" w:hAnsiTheme="majorHAnsi" w:cstheme="majorHAnsi"/>
        </w:rPr>
        <w:t xml:space="preserve">It is noted that as of today, </w:t>
      </w:r>
      <w:r w:rsidRPr="005B2C66">
        <w:rPr>
          <w:rFonts w:asciiTheme="majorHAnsi" w:hAnsiTheme="majorHAnsi" w:cstheme="majorHAnsi"/>
          <w:b/>
          <w:bCs/>
        </w:rPr>
        <w:t xml:space="preserve">a draft </w:t>
      </w:r>
      <w:r w:rsidR="006856B7" w:rsidRPr="005B2C66">
        <w:rPr>
          <w:rFonts w:asciiTheme="majorHAnsi" w:hAnsiTheme="majorHAnsi" w:cstheme="majorHAnsi"/>
          <w:b/>
          <w:bCs/>
        </w:rPr>
        <w:t xml:space="preserve">Just Transition </w:t>
      </w:r>
      <w:r w:rsidRPr="005B2C66">
        <w:rPr>
          <w:rFonts w:asciiTheme="majorHAnsi" w:hAnsiTheme="majorHAnsi" w:cstheme="majorHAnsi"/>
          <w:b/>
          <w:bCs/>
        </w:rPr>
        <w:t>Action Plan</w:t>
      </w:r>
      <w:r w:rsidR="00B85B7C">
        <w:rPr>
          <w:rFonts w:asciiTheme="majorHAnsi" w:hAnsiTheme="majorHAnsi" w:cstheme="majorHAnsi"/>
        </w:rPr>
        <w:t xml:space="preserve"> </w:t>
      </w:r>
      <w:r w:rsidR="00F444A2">
        <w:rPr>
          <w:rFonts w:asciiTheme="majorHAnsi" w:hAnsiTheme="majorHAnsi" w:cstheme="majorHAnsi"/>
        </w:rPr>
        <w:t>should be</w:t>
      </w:r>
      <w:r w:rsidR="00AB2447" w:rsidRPr="00AB2447">
        <w:rPr>
          <w:rFonts w:asciiTheme="majorHAnsi" w:hAnsiTheme="majorHAnsi" w:cstheme="majorHAnsi"/>
        </w:rPr>
        <w:t xml:space="preserve"> finalised </w:t>
      </w:r>
      <w:r w:rsidR="001E702A">
        <w:rPr>
          <w:rFonts w:asciiTheme="majorHAnsi" w:hAnsiTheme="majorHAnsi" w:cstheme="majorHAnsi"/>
        </w:rPr>
        <w:t xml:space="preserve">and adopted by the Government of RS </w:t>
      </w:r>
      <w:r w:rsidR="009A5857">
        <w:rPr>
          <w:rFonts w:asciiTheme="majorHAnsi" w:hAnsiTheme="majorHAnsi" w:cstheme="majorHAnsi"/>
        </w:rPr>
        <w:t xml:space="preserve">during </w:t>
      </w:r>
      <w:r w:rsidR="00AB2447" w:rsidRPr="00AB2447">
        <w:rPr>
          <w:rFonts w:asciiTheme="majorHAnsi" w:hAnsiTheme="majorHAnsi" w:cstheme="majorHAnsi"/>
        </w:rPr>
        <w:t>202</w:t>
      </w:r>
      <w:r w:rsidR="009A5857">
        <w:rPr>
          <w:rFonts w:asciiTheme="majorHAnsi" w:hAnsiTheme="majorHAnsi" w:cstheme="majorHAnsi"/>
        </w:rPr>
        <w:t>4</w:t>
      </w:r>
      <w:r w:rsidRPr="000007D2">
        <w:rPr>
          <w:rFonts w:asciiTheme="majorHAnsi" w:hAnsiTheme="majorHAnsi" w:cstheme="majorHAnsi"/>
        </w:rPr>
        <w:t xml:space="preserve">. </w:t>
      </w:r>
      <w:r w:rsidR="00904707" w:rsidRPr="000007D2">
        <w:rPr>
          <w:rFonts w:asciiTheme="majorHAnsi" w:hAnsiTheme="majorHAnsi" w:cstheme="majorHAnsi"/>
        </w:rPr>
        <w:t>As regards to its development, t</w:t>
      </w:r>
      <w:r w:rsidR="00C41B94" w:rsidRPr="000007D2">
        <w:rPr>
          <w:rFonts w:asciiTheme="majorHAnsi" w:hAnsiTheme="majorHAnsi" w:cstheme="majorHAnsi"/>
        </w:rPr>
        <w:t>he following principles are used to drive decisions under the assessment for infrastructures and interventions needed:</w:t>
      </w:r>
    </w:p>
    <w:p w14:paraId="21452B9A" w14:textId="77777777" w:rsidR="00C41B94" w:rsidRPr="00A33AE8" w:rsidRDefault="00C41B94" w:rsidP="00884F3B">
      <w:pPr>
        <w:pStyle w:val="ListParagraph"/>
        <w:numPr>
          <w:ilvl w:val="0"/>
          <w:numId w:val="245"/>
        </w:numPr>
        <w:autoSpaceDE w:val="0"/>
        <w:autoSpaceDN w:val="0"/>
        <w:adjustRightInd w:val="0"/>
        <w:spacing w:before="120" w:after="0" w:line="276" w:lineRule="auto"/>
        <w:jc w:val="both"/>
        <w:rPr>
          <w:rFonts w:asciiTheme="majorHAnsi" w:hAnsiTheme="majorHAnsi" w:cstheme="majorHAnsi"/>
          <w:szCs w:val="20"/>
        </w:rPr>
      </w:pPr>
      <w:r w:rsidRPr="00A33AE8">
        <w:rPr>
          <w:rFonts w:asciiTheme="majorHAnsi" w:hAnsiTheme="majorHAnsi" w:cstheme="majorHAnsi"/>
          <w:szCs w:val="20"/>
        </w:rPr>
        <w:t xml:space="preserve">Public infrastructure investment decisions will be aligned with the policies and strategies set by the government such as </w:t>
      </w:r>
      <w:r w:rsidR="001F5F85">
        <w:rPr>
          <w:rFonts w:asciiTheme="majorHAnsi" w:hAnsiTheme="majorHAnsi" w:cstheme="majorHAnsi"/>
          <w:szCs w:val="20"/>
        </w:rPr>
        <w:t>I</w:t>
      </w:r>
      <w:r w:rsidRPr="00A33AE8">
        <w:rPr>
          <w:rFonts w:asciiTheme="majorHAnsi" w:hAnsiTheme="majorHAnsi" w:cstheme="majorHAnsi"/>
          <w:szCs w:val="20"/>
        </w:rPr>
        <w:t>NECP, especially the major time milestones</w:t>
      </w:r>
    </w:p>
    <w:p w14:paraId="75A67E78" w14:textId="4D7E3BB2" w:rsidR="00C41B94" w:rsidRPr="00A33AE8" w:rsidRDefault="00C41B94" w:rsidP="00884F3B">
      <w:pPr>
        <w:pStyle w:val="ListParagraph"/>
        <w:numPr>
          <w:ilvl w:val="0"/>
          <w:numId w:val="245"/>
        </w:numPr>
        <w:autoSpaceDE w:val="0"/>
        <w:autoSpaceDN w:val="0"/>
        <w:adjustRightInd w:val="0"/>
        <w:spacing w:before="120" w:after="0" w:line="276" w:lineRule="auto"/>
        <w:jc w:val="both"/>
        <w:rPr>
          <w:rFonts w:asciiTheme="majorHAnsi" w:hAnsiTheme="majorHAnsi" w:cstheme="majorHAnsi"/>
          <w:szCs w:val="20"/>
        </w:rPr>
      </w:pPr>
      <w:r w:rsidRPr="00A33AE8">
        <w:rPr>
          <w:rFonts w:asciiTheme="majorHAnsi" w:hAnsiTheme="majorHAnsi" w:cstheme="majorHAnsi"/>
          <w:szCs w:val="20"/>
        </w:rPr>
        <w:t>Only some economic inclusion problems can be effectively addressed by infrastructures, while targeted intangible interventions are being considered, although further reforms are being explored.</w:t>
      </w:r>
    </w:p>
    <w:p w14:paraId="0F4EC565" w14:textId="7EC4EF6F" w:rsidR="00C41B94" w:rsidRPr="00A33AE8" w:rsidRDefault="00C41B94" w:rsidP="00884F3B">
      <w:pPr>
        <w:pStyle w:val="ListParagraph"/>
        <w:numPr>
          <w:ilvl w:val="0"/>
          <w:numId w:val="245"/>
        </w:numPr>
        <w:autoSpaceDE w:val="0"/>
        <w:autoSpaceDN w:val="0"/>
        <w:adjustRightInd w:val="0"/>
        <w:spacing w:before="120" w:after="0" w:line="276" w:lineRule="auto"/>
        <w:jc w:val="both"/>
        <w:rPr>
          <w:rFonts w:asciiTheme="majorHAnsi" w:hAnsiTheme="majorHAnsi" w:cstheme="majorHAnsi"/>
          <w:szCs w:val="20"/>
        </w:rPr>
      </w:pPr>
      <w:r w:rsidRPr="00A33AE8">
        <w:rPr>
          <w:rFonts w:asciiTheme="majorHAnsi" w:hAnsiTheme="majorHAnsi" w:cstheme="majorHAnsi"/>
          <w:szCs w:val="20"/>
        </w:rPr>
        <w:t>Fit-for-purpose, accessibility and affordability are key variables in the assessment process for the selection of the actions.</w:t>
      </w:r>
    </w:p>
    <w:p w14:paraId="5BF77AA6" w14:textId="64226903" w:rsidR="00C41B94" w:rsidRPr="00A33AE8" w:rsidRDefault="00C41B94" w:rsidP="00884F3B">
      <w:pPr>
        <w:pStyle w:val="ListParagraph"/>
        <w:numPr>
          <w:ilvl w:val="0"/>
          <w:numId w:val="245"/>
        </w:numPr>
        <w:autoSpaceDE w:val="0"/>
        <w:autoSpaceDN w:val="0"/>
        <w:adjustRightInd w:val="0"/>
        <w:spacing w:before="120" w:after="0" w:line="276" w:lineRule="auto"/>
        <w:jc w:val="both"/>
        <w:rPr>
          <w:rFonts w:asciiTheme="majorHAnsi" w:hAnsiTheme="majorHAnsi" w:cstheme="majorHAnsi"/>
          <w:szCs w:val="20"/>
        </w:rPr>
      </w:pPr>
      <w:r w:rsidRPr="00A33AE8">
        <w:rPr>
          <w:rFonts w:asciiTheme="majorHAnsi" w:hAnsiTheme="majorHAnsi" w:cstheme="majorHAnsi"/>
          <w:szCs w:val="20"/>
        </w:rPr>
        <w:t>Individuals, enterprises and the community must have the capacity, capability and willingness to access/support the infrastructures and any interventions.</w:t>
      </w:r>
    </w:p>
    <w:p w14:paraId="40290CAB" w14:textId="17238351" w:rsidR="00C41B94" w:rsidRPr="00A33AE8" w:rsidRDefault="00C41B94" w:rsidP="00884F3B">
      <w:pPr>
        <w:pStyle w:val="ListParagraph"/>
        <w:numPr>
          <w:ilvl w:val="0"/>
          <w:numId w:val="245"/>
        </w:numPr>
        <w:autoSpaceDE w:val="0"/>
        <w:autoSpaceDN w:val="0"/>
        <w:adjustRightInd w:val="0"/>
        <w:spacing w:before="120" w:after="0" w:line="276" w:lineRule="auto"/>
        <w:jc w:val="both"/>
        <w:rPr>
          <w:rFonts w:asciiTheme="majorHAnsi" w:hAnsiTheme="majorHAnsi" w:cstheme="majorHAnsi"/>
          <w:szCs w:val="20"/>
        </w:rPr>
      </w:pPr>
      <w:r w:rsidRPr="00A33AE8">
        <w:rPr>
          <w:rFonts w:asciiTheme="majorHAnsi" w:hAnsiTheme="majorHAnsi" w:cstheme="majorHAnsi"/>
          <w:szCs w:val="20"/>
        </w:rPr>
        <w:t>Flexibility to meet the complex and changing nature of the impacts due to transition over the time schedule</w:t>
      </w:r>
      <w:r w:rsidR="00B62877">
        <w:rPr>
          <w:rFonts w:asciiTheme="majorHAnsi" w:hAnsiTheme="majorHAnsi" w:cstheme="majorHAnsi"/>
          <w:szCs w:val="20"/>
        </w:rPr>
        <w:t>.</w:t>
      </w:r>
    </w:p>
    <w:p w14:paraId="01D7D836" w14:textId="75A83868" w:rsidR="00C41B94" w:rsidRPr="00A33AE8" w:rsidRDefault="00C41B94" w:rsidP="00884F3B">
      <w:pPr>
        <w:pStyle w:val="ListParagraph"/>
        <w:numPr>
          <w:ilvl w:val="0"/>
          <w:numId w:val="245"/>
        </w:numPr>
        <w:autoSpaceDE w:val="0"/>
        <w:autoSpaceDN w:val="0"/>
        <w:adjustRightInd w:val="0"/>
        <w:spacing w:before="120" w:after="0" w:line="276" w:lineRule="auto"/>
        <w:jc w:val="both"/>
        <w:rPr>
          <w:rFonts w:asciiTheme="majorHAnsi" w:hAnsiTheme="majorHAnsi" w:cstheme="majorHAnsi"/>
          <w:szCs w:val="20"/>
        </w:rPr>
      </w:pPr>
      <w:r w:rsidRPr="00A33AE8">
        <w:rPr>
          <w:rFonts w:asciiTheme="majorHAnsi" w:hAnsiTheme="majorHAnsi" w:cstheme="majorHAnsi"/>
          <w:szCs w:val="20"/>
        </w:rPr>
        <w:lastRenderedPageBreak/>
        <w:t>Infrastructure investments should leverage the comparative advantages of enterprises operating in the territories and support those that are required to transform their activities so that to demonstrate the potential to grow in the future</w:t>
      </w:r>
      <w:r w:rsidR="00B62877">
        <w:rPr>
          <w:rFonts w:asciiTheme="majorHAnsi" w:hAnsiTheme="majorHAnsi" w:cstheme="majorHAnsi"/>
          <w:szCs w:val="20"/>
        </w:rPr>
        <w:t>.</w:t>
      </w:r>
    </w:p>
    <w:p w14:paraId="7E0C91BE" w14:textId="48716B21" w:rsidR="00274EDA" w:rsidRPr="000007D2" w:rsidRDefault="00904707" w:rsidP="0087794A">
      <w:pPr>
        <w:pStyle w:val="xmsonormal"/>
        <w:spacing w:before="160"/>
        <w:jc w:val="both"/>
        <w:rPr>
          <w:rFonts w:asciiTheme="majorHAnsi" w:hAnsiTheme="majorHAnsi" w:cstheme="majorHAnsi"/>
          <w:lang w:val="en-GB"/>
        </w:rPr>
      </w:pPr>
      <w:r w:rsidRPr="000007D2">
        <w:rPr>
          <w:rFonts w:asciiTheme="majorHAnsi" w:hAnsiTheme="majorHAnsi" w:cstheme="majorHAnsi"/>
          <w:lang w:val="en-GB"/>
        </w:rPr>
        <w:t xml:space="preserve">As a result of the aforementioned </w:t>
      </w:r>
      <w:r w:rsidR="00823286" w:rsidRPr="000007D2">
        <w:rPr>
          <w:rFonts w:asciiTheme="majorHAnsi" w:hAnsiTheme="majorHAnsi" w:cstheme="majorHAnsi"/>
          <w:lang w:val="en-GB"/>
        </w:rPr>
        <w:t>methodology</w:t>
      </w:r>
      <w:r w:rsidRPr="000007D2">
        <w:rPr>
          <w:rFonts w:asciiTheme="majorHAnsi" w:hAnsiTheme="majorHAnsi" w:cstheme="majorHAnsi"/>
          <w:lang w:val="en-GB"/>
        </w:rPr>
        <w:t>, the proposed Action Plan</w:t>
      </w:r>
      <w:r w:rsidR="00274EDA" w:rsidRPr="000007D2">
        <w:rPr>
          <w:rFonts w:asciiTheme="majorHAnsi" w:hAnsiTheme="majorHAnsi" w:cstheme="majorHAnsi"/>
          <w:lang w:val="en-GB"/>
        </w:rPr>
        <w:t xml:space="preserve"> encompasses actions across a number of pillars, such as Governance, Policy &amp; Reforms (Laws/Regulations), Investments/Interventions and capacity building. </w:t>
      </w:r>
      <w:r w:rsidR="00C3259B" w:rsidRPr="000007D2">
        <w:rPr>
          <w:rFonts w:asciiTheme="majorHAnsi" w:hAnsiTheme="majorHAnsi" w:cstheme="majorHAnsi"/>
          <w:lang w:val="en-GB"/>
        </w:rPr>
        <w:t>Specifically w</w:t>
      </w:r>
      <w:r w:rsidR="00274EDA" w:rsidRPr="000007D2">
        <w:rPr>
          <w:rFonts w:asciiTheme="majorHAnsi" w:hAnsiTheme="majorHAnsi" w:cstheme="majorHAnsi"/>
          <w:lang w:val="en-GB"/>
        </w:rPr>
        <w:t>ith respect to investments, those are linked to infrastructure (e.g., energy transition, green transition, building of infrastructure, etc.), innovation &amp;</w:t>
      </w:r>
      <w:r w:rsidR="005E6E7B">
        <w:rPr>
          <w:rFonts w:asciiTheme="majorHAnsi" w:hAnsiTheme="majorHAnsi" w:cstheme="majorHAnsi"/>
          <w:lang w:val="en-GB"/>
        </w:rPr>
        <w:t xml:space="preserve"> </w:t>
      </w:r>
      <w:r w:rsidR="00274EDA" w:rsidRPr="000007D2">
        <w:rPr>
          <w:rFonts w:asciiTheme="majorHAnsi" w:hAnsiTheme="majorHAnsi" w:cstheme="majorHAnsi"/>
          <w:lang w:val="en-GB"/>
        </w:rPr>
        <w:t xml:space="preserve">research, entrepreneurship, labour force skilling, social inclusion, as well as to regeneration of brownfields. </w:t>
      </w:r>
      <w:r w:rsidR="009A3243" w:rsidRPr="000007D2">
        <w:rPr>
          <w:rFonts w:asciiTheme="majorHAnsi" w:hAnsiTheme="majorHAnsi" w:cstheme="majorHAnsi"/>
          <w:lang w:val="en-GB"/>
        </w:rPr>
        <w:t xml:space="preserve">According to the same Draft Action Plan, the </w:t>
      </w:r>
      <w:r w:rsidR="00BF5797" w:rsidRPr="000007D2">
        <w:rPr>
          <w:rFonts w:asciiTheme="majorHAnsi" w:hAnsiTheme="majorHAnsi" w:cstheme="majorHAnsi"/>
          <w:lang w:val="en-GB"/>
        </w:rPr>
        <w:t xml:space="preserve">modes of financing for those </w:t>
      </w:r>
      <w:r w:rsidR="00353B1D" w:rsidRPr="000007D2">
        <w:rPr>
          <w:rFonts w:asciiTheme="majorHAnsi" w:hAnsiTheme="majorHAnsi" w:cstheme="majorHAnsi"/>
          <w:lang w:val="en-GB"/>
        </w:rPr>
        <w:t>investments can be either of public or of privat</w:t>
      </w:r>
      <w:r w:rsidR="00045259" w:rsidRPr="000007D2">
        <w:rPr>
          <w:rFonts w:asciiTheme="majorHAnsi" w:hAnsiTheme="majorHAnsi" w:cstheme="majorHAnsi"/>
          <w:lang w:val="en-GB"/>
        </w:rPr>
        <w:t>e</w:t>
      </w:r>
      <w:r w:rsidR="00955322" w:rsidRPr="000007D2">
        <w:rPr>
          <w:rFonts w:asciiTheme="majorHAnsi" w:hAnsiTheme="majorHAnsi" w:cstheme="majorHAnsi"/>
          <w:lang w:val="en-GB"/>
        </w:rPr>
        <w:t xml:space="preserve"> (own resources)</w:t>
      </w:r>
      <w:r w:rsidR="00353B1D" w:rsidRPr="000007D2">
        <w:rPr>
          <w:rFonts w:asciiTheme="majorHAnsi" w:hAnsiTheme="majorHAnsi" w:cstheme="majorHAnsi"/>
          <w:lang w:val="en-GB"/>
        </w:rPr>
        <w:t xml:space="preserve"> origin or a combination of both.</w:t>
      </w:r>
    </w:p>
    <w:p w14:paraId="0CABABFB" w14:textId="77777777" w:rsidR="00895DC4" w:rsidRPr="00A33AE8" w:rsidRDefault="00895DC4" w:rsidP="00895DC4">
      <w:pPr>
        <w:pStyle w:val="Heading2"/>
      </w:pPr>
      <w:bookmarkStart w:id="674" w:name="_Toc79772569"/>
      <w:bookmarkStart w:id="675" w:name="_Toc118991789"/>
      <w:bookmarkStart w:id="676" w:name="_Toc153545061"/>
      <w:r w:rsidRPr="00A33AE8">
        <w:t>Impacts of planned policies and measures on other Contracting Parties of the Energy Community and Member States of the European Union, and regional cooperation</w:t>
      </w:r>
      <w:bookmarkEnd w:id="674"/>
      <w:bookmarkEnd w:id="675"/>
      <w:bookmarkEnd w:id="676"/>
    </w:p>
    <w:p w14:paraId="30F1653F" w14:textId="77777777" w:rsidR="000154A5" w:rsidRPr="00A33AE8" w:rsidRDefault="000154A5" w:rsidP="00884F3B">
      <w:pPr>
        <w:pStyle w:val="Heading4"/>
        <w:numPr>
          <w:ilvl w:val="0"/>
          <w:numId w:val="238"/>
        </w:numPr>
        <w:spacing w:after="120"/>
        <w:ind w:left="714" w:hanging="357"/>
        <w:jc w:val="both"/>
      </w:pPr>
      <w:r w:rsidRPr="00A33AE8">
        <w:t xml:space="preserve">Impacts on the energy system in </w:t>
      </w:r>
      <w:r w:rsidR="0016563B" w:rsidRPr="00A33AE8">
        <w:t>neighbouring</w:t>
      </w:r>
      <w:r w:rsidRPr="00A33AE8">
        <w:t xml:space="preserve"> and other Member States in the region to the extent possible</w:t>
      </w:r>
    </w:p>
    <w:p w14:paraId="37C5EA0B" w14:textId="4227AD60" w:rsidR="000154A5" w:rsidRPr="00A33AE8" w:rsidRDefault="000154A5" w:rsidP="00507954">
      <w:pPr>
        <w:pStyle w:val="LDKBody1"/>
        <w:rPr>
          <w:rFonts w:asciiTheme="majorHAnsi" w:hAnsiTheme="majorHAnsi" w:cstheme="majorHAnsi"/>
        </w:rPr>
      </w:pPr>
      <w:r w:rsidRPr="00A33AE8">
        <w:rPr>
          <w:rFonts w:asciiTheme="majorHAnsi" w:hAnsiTheme="majorHAnsi" w:cstheme="majorHAnsi"/>
        </w:rPr>
        <w:t>The Serbian energy market is the largest in the Balkan region of the EnC. The energy sector is highly dependent on fossil fuels, which are mostly used in inefficient infrastructure, such as power plants, heat plants and passenger vehicles.</w:t>
      </w:r>
    </w:p>
    <w:p w14:paraId="3EB07EC3" w14:textId="77777777" w:rsidR="000154A5" w:rsidRPr="00A33AE8" w:rsidRDefault="000154A5" w:rsidP="00507954">
      <w:pPr>
        <w:pStyle w:val="LDKBody1"/>
        <w:rPr>
          <w:rFonts w:asciiTheme="majorHAnsi" w:hAnsiTheme="majorHAnsi" w:cstheme="majorHAnsi"/>
        </w:rPr>
      </w:pPr>
      <w:r w:rsidRPr="00A33AE8">
        <w:rPr>
          <w:rFonts w:asciiTheme="majorHAnsi" w:hAnsiTheme="majorHAnsi" w:cstheme="majorHAnsi"/>
        </w:rPr>
        <w:t>Nevertheless, Serbia has a well meshed Transmission System designed as the backbone of a much larger system. The Transmission System does not exhibit “structural constraints” and the fact that Serbia has 8 electrical Borders with a large interconnection capacity is a measure of how well the Serbian System can integrate a relatively large level of variable RES. On the other hand, the relatively inflexible generation fleet, calls for enhanced Flexibility solutions (like for example Energy Storage) in order to cope with increased capacity levels of variable RES.</w:t>
      </w:r>
    </w:p>
    <w:p w14:paraId="13FBE5B8" w14:textId="77777777" w:rsidR="000154A5" w:rsidRPr="00A33AE8" w:rsidRDefault="000154A5" w:rsidP="00507954">
      <w:pPr>
        <w:pStyle w:val="LDKBody1"/>
        <w:rPr>
          <w:rFonts w:asciiTheme="majorHAnsi" w:hAnsiTheme="majorHAnsi" w:cstheme="majorHAnsi"/>
        </w:rPr>
      </w:pPr>
      <w:r w:rsidRPr="00A33AE8">
        <w:rPr>
          <w:rFonts w:asciiTheme="majorHAnsi" w:hAnsiTheme="majorHAnsi" w:cstheme="majorHAnsi"/>
        </w:rPr>
        <w:t xml:space="preserve">EMS plans extensive investments for the upgrade of existing infrastructure as well as for new transmission capacities. Such infrastructure will improve the security of supply of the transmission system users and increase cross-border capacities. This is of great importance since Serbia is connected with eight </w:t>
      </w:r>
      <w:r w:rsidR="0016563B" w:rsidRPr="00A33AE8">
        <w:rPr>
          <w:rFonts w:asciiTheme="majorHAnsi" w:hAnsiTheme="majorHAnsi" w:cstheme="majorHAnsi"/>
        </w:rPr>
        <w:t>neighbouring</w:t>
      </w:r>
      <w:r w:rsidRPr="00A33AE8">
        <w:rPr>
          <w:rFonts w:asciiTheme="majorHAnsi" w:hAnsiTheme="majorHAnsi" w:cstheme="majorHAnsi"/>
        </w:rPr>
        <w:t xml:space="preserve"> countries (Romania, Hungary, Croatia, Bosnia, Montenegro, Northern Macedonia, Albania, Bulgaria). </w:t>
      </w:r>
      <w:r w:rsidR="004F77E8" w:rsidRPr="00A33AE8">
        <w:rPr>
          <w:rFonts w:asciiTheme="majorHAnsi" w:hAnsiTheme="majorHAnsi" w:cstheme="majorHAnsi"/>
        </w:rPr>
        <w:t>The</w:t>
      </w:r>
      <w:r w:rsidRPr="00A33AE8">
        <w:rPr>
          <w:rFonts w:asciiTheme="majorHAnsi" w:hAnsiTheme="majorHAnsi" w:cstheme="majorHAnsi"/>
        </w:rPr>
        <w:t xml:space="preserve"> </w:t>
      </w:r>
      <w:r w:rsidR="00FF2669" w:rsidRPr="00A33AE8">
        <w:rPr>
          <w:rFonts w:asciiTheme="majorHAnsi" w:hAnsiTheme="majorHAnsi" w:cstheme="majorHAnsi"/>
        </w:rPr>
        <w:t xml:space="preserve">existing and the planned </w:t>
      </w:r>
      <w:r w:rsidRPr="00A33AE8">
        <w:rPr>
          <w:rFonts w:asciiTheme="majorHAnsi" w:hAnsiTheme="majorHAnsi" w:cstheme="majorHAnsi"/>
        </w:rPr>
        <w:t>interconnectors</w:t>
      </w:r>
      <w:r w:rsidR="00FF2669" w:rsidRPr="00A33AE8">
        <w:rPr>
          <w:rFonts w:asciiTheme="majorHAnsi" w:hAnsiTheme="majorHAnsi" w:cstheme="majorHAnsi"/>
        </w:rPr>
        <w:t>,</w:t>
      </w:r>
      <w:r w:rsidRPr="00A33AE8">
        <w:rPr>
          <w:rFonts w:asciiTheme="majorHAnsi" w:hAnsiTheme="majorHAnsi" w:cstheme="majorHAnsi"/>
        </w:rPr>
        <w:t xml:space="preserve"> </w:t>
      </w:r>
      <w:r w:rsidR="00FF2669" w:rsidRPr="00A33AE8">
        <w:rPr>
          <w:rFonts w:asciiTheme="majorHAnsi" w:hAnsiTheme="majorHAnsi" w:cstheme="majorHAnsi"/>
        </w:rPr>
        <w:t xml:space="preserve">are </w:t>
      </w:r>
      <w:r w:rsidRPr="00A33AE8">
        <w:rPr>
          <w:rFonts w:asciiTheme="majorHAnsi" w:hAnsiTheme="majorHAnsi" w:cstheme="majorHAnsi"/>
        </w:rPr>
        <w:t xml:space="preserve">highlighting </w:t>
      </w:r>
      <w:r w:rsidR="00FF2669" w:rsidRPr="00A33AE8">
        <w:rPr>
          <w:rFonts w:asciiTheme="majorHAnsi" w:hAnsiTheme="majorHAnsi" w:cstheme="majorHAnsi"/>
        </w:rPr>
        <w:t>the</w:t>
      </w:r>
      <w:r w:rsidRPr="00A33AE8">
        <w:rPr>
          <w:rFonts w:asciiTheme="majorHAnsi" w:hAnsiTheme="majorHAnsi" w:cstheme="majorHAnsi"/>
        </w:rPr>
        <w:t xml:space="preserve"> role </w:t>
      </w:r>
      <w:r w:rsidR="00FF2669" w:rsidRPr="00A33AE8">
        <w:rPr>
          <w:rFonts w:asciiTheme="majorHAnsi" w:hAnsiTheme="majorHAnsi" w:cstheme="majorHAnsi"/>
        </w:rPr>
        <w:t xml:space="preserve">of Serbia </w:t>
      </w:r>
      <w:r w:rsidRPr="00A33AE8">
        <w:rPr>
          <w:rFonts w:asciiTheme="majorHAnsi" w:hAnsiTheme="majorHAnsi" w:cstheme="majorHAnsi"/>
        </w:rPr>
        <w:t xml:space="preserve">as an energy transit country </w:t>
      </w:r>
      <w:r w:rsidR="00FF2669" w:rsidRPr="00A33AE8">
        <w:rPr>
          <w:rFonts w:asciiTheme="majorHAnsi" w:hAnsiTheme="majorHAnsi" w:cstheme="majorHAnsi"/>
        </w:rPr>
        <w:t xml:space="preserve">in the Balkans </w:t>
      </w:r>
      <w:r w:rsidRPr="00A33AE8">
        <w:rPr>
          <w:rFonts w:asciiTheme="majorHAnsi" w:hAnsiTheme="majorHAnsi" w:cstheme="majorHAnsi"/>
        </w:rPr>
        <w:t>and potentially energy hub.</w:t>
      </w:r>
    </w:p>
    <w:p w14:paraId="41A88661" w14:textId="0733144B" w:rsidR="000154A5" w:rsidRPr="00A33AE8" w:rsidRDefault="000154A5" w:rsidP="00884F3B">
      <w:pPr>
        <w:pStyle w:val="Heading4"/>
        <w:numPr>
          <w:ilvl w:val="0"/>
          <w:numId w:val="238"/>
        </w:numPr>
      </w:pPr>
      <w:r w:rsidRPr="00A33AE8">
        <w:t>Impacts on energy prices, utilities and energy market integration</w:t>
      </w:r>
    </w:p>
    <w:p w14:paraId="79381C77" w14:textId="4D9E419C" w:rsidR="000154A5" w:rsidRPr="000007D2" w:rsidRDefault="000154A5" w:rsidP="00507954">
      <w:pPr>
        <w:pStyle w:val="LDKbody"/>
        <w:rPr>
          <w:rFonts w:asciiTheme="majorHAnsi" w:hAnsiTheme="majorHAnsi" w:cstheme="majorHAnsi"/>
          <w:lang w:val="en-GB"/>
        </w:rPr>
      </w:pPr>
      <w:r w:rsidRPr="00A33AE8">
        <w:rPr>
          <w:rFonts w:asciiTheme="majorHAnsi" w:hAnsiTheme="majorHAnsi" w:cstheme="majorHAnsi"/>
          <w:lang w:val="en-GB"/>
        </w:rPr>
        <w:t>The import dependency of oil and oil products</w:t>
      </w:r>
      <w:r w:rsidR="002F2B96" w:rsidRPr="00A33AE8">
        <w:rPr>
          <w:rFonts w:asciiTheme="majorHAnsi" w:hAnsiTheme="majorHAnsi" w:cstheme="majorHAnsi"/>
          <w:lang w:val="en-GB"/>
        </w:rPr>
        <w:t xml:space="preserve"> is projected to increase from</w:t>
      </w:r>
      <w:r w:rsidRPr="00A33AE8">
        <w:rPr>
          <w:rFonts w:asciiTheme="majorHAnsi" w:hAnsiTheme="majorHAnsi" w:cstheme="majorHAnsi"/>
          <w:lang w:val="en-GB"/>
        </w:rPr>
        <w:t xml:space="preserve"> </w:t>
      </w:r>
      <w:r w:rsidR="002F2B96" w:rsidRPr="00A33AE8">
        <w:rPr>
          <w:rFonts w:asciiTheme="majorHAnsi" w:hAnsiTheme="majorHAnsi" w:cstheme="majorHAnsi"/>
          <w:lang w:val="en-GB"/>
        </w:rPr>
        <w:t>76% in 2019 to 97% in 2050, while the import dependency of</w:t>
      </w:r>
      <w:r w:rsidRPr="00A33AE8">
        <w:rPr>
          <w:rFonts w:asciiTheme="majorHAnsi" w:hAnsiTheme="majorHAnsi" w:cstheme="majorHAnsi"/>
          <w:lang w:val="en-GB"/>
        </w:rPr>
        <w:t xml:space="preserve"> natural gas is </w:t>
      </w:r>
      <w:r w:rsidR="002F2B96" w:rsidRPr="00A33AE8">
        <w:rPr>
          <w:rFonts w:asciiTheme="majorHAnsi" w:hAnsiTheme="majorHAnsi" w:cstheme="majorHAnsi"/>
          <w:lang w:val="en-GB"/>
        </w:rPr>
        <w:t xml:space="preserve">projected </w:t>
      </w:r>
      <w:r w:rsidRPr="00A33AE8">
        <w:rPr>
          <w:rFonts w:asciiTheme="majorHAnsi" w:hAnsiTheme="majorHAnsi" w:cstheme="majorHAnsi"/>
          <w:lang w:val="en-GB"/>
        </w:rPr>
        <w:t xml:space="preserve">to follow </w:t>
      </w:r>
      <w:r w:rsidR="002F2B96" w:rsidRPr="00A33AE8">
        <w:rPr>
          <w:rFonts w:asciiTheme="majorHAnsi" w:hAnsiTheme="majorHAnsi" w:cstheme="majorHAnsi"/>
          <w:lang w:val="en-GB"/>
        </w:rPr>
        <w:t xml:space="preserve">a similar </w:t>
      </w:r>
      <w:r w:rsidRPr="00A33AE8">
        <w:rPr>
          <w:rFonts w:asciiTheme="majorHAnsi" w:hAnsiTheme="majorHAnsi" w:cstheme="majorHAnsi"/>
          <w:lang w:val="en-GB"/>
        </w:rPr>
        <w:t xml:space="preserve">upward trend from 84% in 2019 to 94% in 2050. </w:t>
      </w:r>
      <w:r w:rsidR="002F2B96" w:rsidRPr="00A33AE8">
        <w:rPr>
          <w:rFonts w:asciiTheme="majorHAnsi" w:hAnsiTheme="majorHAnsi" w:cstheme="majorHAnsi"/>
          <w:lang w:val="en-GB"/>
        </w:rPr>
        <w:t>T</w:t>
      </w:r>
      <w:r w:rsidRPr="00A33AE8">
        <w:rPr>
          <w:rFonts w:asciiTheme="majorHAnsi" w:hAnsiTheme="majorHAnsi" w:cstheme="majorHAnsi"/>
          <w:lang w:val="en-GB"/>
        </w:rPr>
        <w:t xml:space="preserve">he import dependency of electricity </w:t>
      </w:r>
      <w:r w:rsidR="002F2B96" w:rsidRPr="00A33AE8">
        <w:rPr>
          <w:rFonts w:asciiTheme="majorHAnsi" w:hAnsiTheme="majorHAnsi" w:cstheme="majorHAnsi"/>
          <w:lang w:val="en-GB"/>
        </w:rPr>
        <w:t xml:space="preserve">is projected to be at the levels observed until now, ranging between </w:t>
      </w:r>
      <w:r w:rsidRPr="00A33AE8">
        <w:rPr>
          <w:rFonts w:asciiTheme="majorHAnsi" w:hAnsiTheme="majorHAnsi" w:cstheme="majorHAnsi"/>
          <w:lang w:val="en-GB"/>
        </w:rPr>
        <w:t xml:space="preserve">0% in 2019 </w:t>
      </w:r>
      <w:r w:rsidR="002F2B96" w:rsidRPr="00A33AE8">
        <w:rPr>
          <w:rFonts w:asciiTheme="majorHAnsi" w:hAnsiTheme="majorHAnsi" w:cstheme="majorHAnsi"/>
          <w:lang w:val="en-GB"/>
        </w:rPr>
        <w:t>to small negative numbers in the period until 2050</w:t>
      </w:r>
      <w:r w:rsidRPr="00A33AE8">
        <w:rPr>
          <w:rFonts w:asciiTheme="majorHAnsi" w:hAnsiTheme="majorHAnsi" w:cstheme="majorHAnsi"/>
          <w:lang w:val="en-GB"/>
        </w:rPr>
        <w:t xml:space="preserve">, </w:t>
      </w:r>
      <w:r w:rsidR="002F2B96" w:rsidRPr="00A33AE8">
        <w:rPr>
          <w:rFonts w:asciiTheme="majorHAnsi" w:hAnsiTheme="majorHAnsi" w:cstheme="majorHAnsi"/>
          <w:lang w:val="en-GB"/>
        </w:rPr>
        <w:t>ensuring the self-sufficiency</w:t>
      </w:r>
      <w:r w:rsidRPr="00A33AE8">
        <w:rPr>
          <w:rFonts w:asciiTheme="majorHAnsi" w:hAnsiTheme="majorHAnsi" w:cstheme="majorHAnsi"/>
          <w:lang w:val="en-GB"/>
        </w:rPr>
        <w:t xml:space="preserve"> </w:t>
      </w:r>
      <w:r w:rsidR="002F2B96" w:rsidRPr="00A33AE8">
        <w:rPr>
          <w:rFonts w:asciiTheme="majorHAnsi" w:hAnsiTheme="majorHAnsi" w:cstheme="majorHAnsi"/>
          <w:lang w:val="en-GB"/>
        </w:rPr>
        <w:t>of</w:t>
      </w:r>
      <w:r w:rsidRPr="00A33AE8">
        <w:rPr>
          <w:rFonts w:asciiTheme="majorHAnsi" w:hAnsiTheme="majorHAnsi" w:cstheme="majorHAnsi"/>
          <w:lang w:val="en-GB"/>
        </w:rPr>
        <w:t xml:space="preserve"> the Republic of Serbia </w:t>
      </w:r>
      <w:r w:rsidR="002F2B96" w:rsidRPr="00A33AE8">
        <w:rPr>
          <w:rFonts w:asciiTheme="majorHAnsi" w:hAnsiTheme="majorHAnsi" w:cstheme="majorHAnsi"/>
          <w:lang w:val="en-GB"/>
        </w:rPr>
        <w:t xml:space="preserve">in electricity. This is achieved through the utilisation of the lignite fired power plants in the medium term until 2030 and the gradual shift to </w:t>
      </w:r>
      <w:r w:rsidRPr="00A33AE8">
        <w:rPr>
          <w:rFonts w:asciiTheme="majorHAnsi" w:hAnsiTheme="majorHAnsi" w:cstheme="majorHAnsi"/>
          <w:lang w:val="en-GB"/>
        </w:rPr>
        <w:t>RES</w:t>
      </w:r>
      <w:r w:rsidR="002F2B96" w:rsidRPr="00A33AE8">
        <w:rPr>
          <w:rFonts w:asciiTheme="majorHAnsi" w:hAnsiTheme="majorHAnsi" w:cstheme="majorHAnsi"/>
          <w:lang w:val="en-GB"/>
        </w:rPr>
        <w:t xml:space="preserve"> (mainly wind and solar PV) in the period until 2050</w:t>
      </w:r>
      <w:r w:rsidRPr="00A33AE8">
        <w:rPr>
          <w:rFonts w:asciiTheme="majorHAnsi" w:hAnsiTheme="majorHAnsi" w:cstheme="majorHAnsi"/>
          <w:lang w:val="en-GB"/>
        </w:rPr>
        <w:t>.</w:t>
      </w:r>
    </w:p>
    <w:p w14:paraId="78A8EA47" w14:textId="4B47D8A2" w:rsidR="000154A5" w:rsidRPr="00A33AE8" w:rsidRDefault="000154A5" w:rsidP="00507954">
      <w:pPr>
        <w:pStyle w:val="LDKbody"/>
        <w:rPr>
          <w:rFonts w:asciiTheme="majorHAnsi" w:hAnsiTheme="majorHAnsi" w:cstheme="majorHAnsi"/>
          <w:lang w:val="en-GB"/>
        </w:rPr>
      </w:pPr>
      <w:r w:rsidRPr="00A33AE8">
        <w:rPr>
          <w:rFonts w:asciiTheme="majorHAnsi" w:hAnsiTheme="majorHAnsi" w:cstheme="majorHAnsi"/>
          <w:lang w:val="en-GB"/>
        </w:rPr>
        <w:t xml:space="preserve">Moreover, the organised day-ahead market/power exchange in Serbia (JSC “SEEPEX”) (established in February 2016 on the basis of partnership between EMS and European Power Exchange), could play a significant role in further promoting regional market integration, particularly in the absence of </w:t>
      </w:r>
      <w:r w:rsidR="005E6E7B" w:rsidRPr="00A33AE8">
        <w:rPr>
          <w:rFonts w:asciiTheme="majorHAnsi" w:hAnsiTheme="majorHAnsi" w:cstheme="majorHAnsi"/>
          <w:lang w:val="en-GB"/>
        </w:rPr>
        <w:t>exchange</w:t>
      </w:r>
      <w:r w:rsidR="005E6E7B">
        <w:rPr>
          <w:rFonts w:asciiTheme="majorHAnsi" w:hAnsiTheme="majorHAnsi" w:cstheme="majorHAnsi"/>
          <w:lang w:val="en-GB"/>
        </w:rPr>
        <w:t>s</w:t>
      </w:r>
      <w:r w:rsidR="005E6E7B" w:rsidRPr="00A33AE8">
        <w:rPr>
          <w:rFonts w:asciiTheme="majorHAnsi" w:hAnsiTheme="majorHAnsi" w:cstheme="majorHAnsi"/>
          <w:lang w:val="en-GB"/>
        </w:rPr>
        <w:t xml:space="preserve"> </w:t>
      </w:r>
      <w:r w:rsidRPr="00A33AE8">
        <w:rPr>
          <w:rFonts w:asciiTheme="majorHAnsi" w:hAnsiTheme="majorHAnsi" w:cstheme="majorHAnsi"/>
          <w:lang w:val="en-GB"/>
        </w:rPr>
        <w:t>in neighbouring markets.</w:t>
      </w:r>
    </w:p>
    <w:p w14:paraId="0330991D" w14:textId="1E4EAC53" w:rsidR="000154A5" w:rsidRPr="00A33AE8" w:rsidRDefault="000154A5" w:rsidP="00884F3B">
      <w:pPr>
        <w:pStyle w:val="Heading4"/>
        <w:numPr>
          <w:ilvl w:val="0"/>
          <w:numId w:val="238"/>
        </w:numPr>
        <w:spacing w:after="120"/>
        <w:ind w:left="714" w:hanging="357"/>
      </w:pPr>
      <w:r w:rsidRPr="00A33AE8">
        <w:t>Where relevant impacts on regional cooperation</w:t>
      </w:r>
    </w:p>
    <w:p w14:paraId="7A6E8FA0" w14:textId="4B35AE17" w:rsidR="000154A5" w:rsidRPr="00A33AE8" w:rsidRDefault="000154A5" w:rsidP="00507954">
      <w:pPr>
        <w:spacing w:line="240" w:lineRule="auto"/>
        <w:jc w:val="both"/>
        <w:rPr>
          <w:rFonts w:asciiTheme="majorHAnsi" w:hAnsiTheme="majorHAnsi" w:cstheme="majorHAnsi"/>
        </w:rPr>
      </w:pPr>
      <w:r w:rsidRPr="00A33AE8">
        <w:rPr>
          <w:rFonts w:asciiTheme="majorHAnsi" w:hAnsiTheme="majorHAnsi" w:cstheme="majorHAnsi"/>
        </w:rPr>
        <w:t xml:space="preserve">The importance of regional cooperation is emphasized throughout the </w:t>
      </w:r>
      <w:r w:rsidR="001F5F85">
        <w:rPr>
          <w:rFonts w:asciiTheme="majorHAnsi" w:hAnsiTheme="majorHAnsi" w:cstheme="majorHAnsi"/>
        </w:rPr>
        <w:t>I</w:t>
      </w:r>
      <w:r w:rsidRPr="00A33AE8">
        <w:rPr>
          <w:rFonts w:asciiTheme="majorHAnsi" w:hAnsiTheme="majorHAnsi" w:cstheme="majorHAnsi"/>
        </w:rPr>
        <w:t xml:space="preserve">NECP and reflected on a number of cross-border interconnection projects which will enhance the country’s energy security and create new energy </w:t>
      </w:r>
      <w:r w:rsidRPr="00A33AE8">
        <w:rPr>
          <w:rFonts w:asciiTheme="majorHAnsi" w:hAnsiTheme="majorHAnsi" w:cstheme="majorHAnsi"/>
        </w:rPr>
        <w:lastRenderedPageBreak/>
        <w:t>flows within the Balkan area. The development and implementation of such complex projects constitutes an excellent example of regional cooperation either at national or TSO level.</w:t>
      </w:r>
    </w:p>
    <w:p w14:paraId="42856761" w14:textId="6E7AC302" w:rsidR="00F023DB" w:rsidRDefault="00F023DB" w:rsidP="0087794A">
      <w:pPr>
        <w:pStyle w:val="Caption"/>
        <w:keepNext/>
      </w:pPr>
      <w:bookmarkStart w:id="677" w:name="_Toc153545079"/>
      <w:r>
        <w:t xml:space="preserve">Table </w:t>
      </w:r>
      <w:r w:rsidR="006E0533">
        <w:fldChar w:fldCharType="begin"/>
      </w:r>
      <w:r w:rsidR="006E0533">
        <w:instrText xml:space="preserve"> STYLEREF 1 \s </w:instrText>
      </w:r>
      <w:r w:rsidR="006E0533">
        <w:fldChar w:fldCharType="separate"/>
      </w:r>
      <w:r w:rsidR="00A84B9C">
        <w:rPr>
          <w:noProof/>
        </w:rPr>
        <w:t>5</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5</w:t>
      </w:r>
      <w:r w:rsidR="006E0533">
        <w:rPr>
          <w:noProof/>
        </w:rPr>
        <w:fldChar w:fldCharType="end"/>
      </w:r>
      <w:r>
        <w:t xml:space="preserve">: </w:t>
      </w:r>
      <w:r w:rsidRPr="00F023DB">
        <w:t>List of most important regional cooperation-related projects</w:t>
      </w:r>
      <w:bookmarkEnd w:id="677"/>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27"/>
        <w:gridCol w:w="7087"/>
      </w:tblGrid>
      <w:tr w:rsidR="00B17E5B" w:rsidRPr="00A33AE8" w14:paraId="2C450FBD" w14:textId="77777777" w:rsidTr="00B17E5B">
        <w:trPr>
          <w:trHeight w:val="275"/>
        </w:trPr>
        <w:tc>
          <w:tcPr>
            <w:tcW w:w="2127" w:type="dxa"/>
            <w:shd w:val="clear" w:color="auto" w:fill="002060"/>
            <w:vAlign w:val="bottom"/>
          </w:tcPr>
          <w:p w14:paraId="63FD4FAC" w14:textId="77777777" w:rsidR="00B17E5B" w:rsidRPr="00A33AE8" w:rsidRDefault="00B17E5B" w:rsidP="005F342E">
            <w:pPr>
              <w:spacing w:after="0" w:line="240" w:lineRule="auto"/>
              <w:rPr>
                <w:rFonts w:asciiTheme="majorHAnsi" w:eastAsia="Times New Roman" w:hAnsiTheme="majorHAnsi" w:cstheme="majorHAnsi"/>
                <w:b/>
                <w:bCs/>
                <w:color w:val="FFFFFF" w:themeColor="background1"/>
                <w:lang w:eastAsia="el-GR"/>
              </w:rPr>
            </w:pPr>
            <w:r w:rsidRPr="00A33AE8">
              <w:rPr>
                <w:rFonts w:asciiTheme="majorHAnsi" w:eastAsia="Times New Roman" w:hAnsiTheme="majorHAnsi" w:cstheme="majorHAnsi"/>
                <w:b/>
                <w:bCs/>
                <w:color w:val="FFFFFF" w:themeColor="background1"/>
                <w:lang w:eastAsia="el-GR"/>
              </w:rPr>
              <w:t>Policy Measure Code</w:t>
            </w:r>
          </w:p>
        </w:tc>
        <w:tc>
          <w:tcPr>
            <w:tcW w:w="7087" w:type="dxa"/>
            <w:shd w:val="clear" w:color="auto" w:fill="002060"/>
            <w:vAlign w:val="bottom"/>
          </w:tcPr>
          <w:p w14:paraId="07E661DD" w14:textId="77777777" w:rsidR="00B17E5B" w:rsidRPr="00A33AE8" w:rsidRDefault="00B17E5B" w:rsidP="005F342E">
            <w:pPr>
              <w:spacing w:after="0" w:line="240" w:lineRule="auto"/>
              <w:rPr>
                <w:rFonts w:asciiTheme="majorHAnsi" w:eastAsia="Times New Roman" w:hAnsiTheme="majorHAnsi" w:cstheme="majorHAnsi"/>
                <w:b/>
                <w:bCs/>
                <w:color w:val="FFFFFF" w:themeColor="background1"/>
                <w:lang w:eastAsia="el-GR"/>
              </w:rPr>
            </w:pPr>
            <w:r w:rsidRPr="00A33AE8">
              <w:rPr>
                <w:rFonts w:asciiTheme="majorHAnsi" w:eastAsia="Times New Roman" w:hAnsiTheme="majorHAnsi" w:cstheme="majorHAnsi"/>
                <w:b/>
                <w:bCs/>
                <w:color w:val="FFFFFF" w:themeColor="background1"/>
                <w:lang w:eastAsia="el-GR"/>
              </w:rPr>
              <w:t>Policy Measure Name</w:t>
            </w:r>
          </w:p>
        </w:tc>
      </w:tr>
      <w:tr w:rsidR="000154A5" w:rsidRPr="00567DAD" w14:paraId="20A7F032" w14:textId="77777777" w:rsidTr="00B17E5B">
        <w:trPr>
          <w:trHeight w:val="275"/>
        </w:trPr>
        <w:tc>
          <w:tcPr>
            <w:tcW w:w="2127" w:type="dxa"/>
            <w:shd w:val="clear" w:color="auto" w:fill="E7E6E6" w:themeFill="background2"/>
            <w:vAlign w:val="bottom"/>
            <w:hideMark/>
          </w:tcPr>
          <w:p w14:paraId="70797ED4"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PM_IEM3</w:t>
            </w:r>
          </w:p>
        </w:tc>
        <w:tc>
          <w:tcPr>
            <w:tcW w:w="7087" w:type="dxa"/>
            <w:shd w:val="clear" w:color="auto" w:fill="FFFFFF" w:themeFill="background1"/>
            <w:vAlign w:val="bottom"/>
            <w:hideMark/>
          </w:tcPr>
          <w:p w14:paraId="00037B90" w14:textId="77777777" w:rsidR="000154A5" w:rsidRPr="005B2C66" w:rsidRDefault="000154A5" w:rsidP="005F342E">
            <w:pPr>
              <w:spacing w:after="0" w:line="240" w:lineRule="auto"/>
              <w:rPr>
                <w:rFonts w:asciiTheme="majorHAnsi" w:hAnsiTheme="majorHAnsi"/>
                <w:color w:val="000000"/>
                <w:lang w:val="pt-PT"/>
              </w:rPr>
            </w:pPr>
            <w:r w:rsidRPr="005B2C66">
              <w:rPr>
                <w:rFonts w:asciiTheme="majorHAnsi" w:hAnsiTheme="majorHAnsi"/>
                <w:color w:val="000000"/>
                <w:lang w:val="pt-PT"/>
              </w:rPr>
              <w:t>Transbalkan Corridor: OHL B.Basta (RS) – Visegrad (BA) – Pljevlja (ME)</w:t>
            </w:r>
          </w:p>
        </w:tc>
      </w:tr>
      <w:tr w:rsidR="000154A5" w:rsidRPr="00A33AE8" w14:paraId="7297A3CD" w14:textId="77777777" w:rsidTr="00B17E5B">
        <w:trPr>
          <w:trHeight w:val="297"/>
        </w:trPr>
        <w:tc>
          <w:tcPr>
            <w:tcW w:w="2127" w:type="dxa"/>
            <w:shd w:val="clear" w:color="auto" w:fill="E7E6E6" w:themeFill="background2"/>
            <w:vAlign w:val="bottom"/>
            <w:hideMark/>
          </w:tcPr>
          <w:p w14:paraId="65B6806F"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PM_IEM4</w:t>
            </w:r>
          </w:p>
        </w:tc>
        <w:tc>
          <w:tcPr>
            <w:tcW w:w="7087" w:type="dxa"/>
            <w:shd w:val="clear" w:color="auto" w:fill="FFFFFF" w:themeFill="background1"/>
            <w:vAlign w:val="bottom"/>
            <w:hideMark/>
          </w:tcPr>
          <w:p w14:paraId="256A1AEC" w14:textId="7BBF30AB"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Interconnection between Resita (RO) and Pancevo (RS)</w:t>
            </w:r>
          </w:p>
        </w:tc>
      </w:tr>
      <w:tr w:rsidR="000154A5" w:rsidRPr="00A33AE8" w14:paraId="39D623BB" w14:textId="77777777" w:rsidTr="00B17E5B">
        <w:trPr>
          <w:trHeight w:val="288"/>
        </w:trPr>
        <w:tc>
          <w:tcPr>
            <w:tcW w:w="2127" w:type="dxa"/>
            <w:shd w:val="clear" w:color="auto" w:fill="E7E6E6" w:themeFill="background2"/>
            <w:vAlign w:val="bottom"/>
            <w:hideMark/>
          </w:tcPr>
          <w:p w14:paraId="3E73E808"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PM_IEM5</w:t>
            </w:r>
          </w:p>
        </w:tc>
        <w:tc>
          <w:tcPr>
            <w:tcW w:w="7087" w:type="dxa"/>
            <w:shd w:val="clear" w:color="auto" w:fill="FFFFFF" w:themeFill="background1"/>
            <w:vAlign w:val="bottom"/>
            <w:hideMark/>
          </w:tcPr>
          <w:p w14:paraId="7F995EC8" w14:textId="77777777"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Pannonian Corridor</w:t>
            </w:r>
          </w:p>
        </w:tc>
      </w:tr>
      <w:tr w:rsidR="000154A5" w:rsidRPr="00A33AE8" w14:paraId="552C1313" w14:textId="77777777" w:rsidTr="00B17E5B">
        <w:trPr>
          <w:trHeight w:val="288"/>
        </w:trPr>
        <w:tc>
          <w:tcPr>
            <w:tcW w:w="2127" w:type="dxa"/>
            <w:shd w:val="clear" w:color="auto" w:fill="E7E6E6" w:themeFill="background2"/>
            <w:vAlign w:val="bottom"/>
            <w:hideMark/>
          </w:tcPr>
          <w:p w14:paraId="6725872F"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PM_IEM6</w:t>
            </w:r>
          </w:p>
        </w:tc>
        <w:tc>
          <w:tcPr>
            <w:tcW w:w="7087" w:type="dxa"/>
            <w:shd w:val="clear" w:color="auto" w:fill="FFFFFF" w:themeFill="background1"/>
            <w:vAlign w:val="bottom"/>
            <w:hideMark/>
          </w:tcPr>
          <w:p w14:paraId="25C01681" w14:textId="77777777"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Central Balkan Corridor</w:t>
            </w:r>
          </w:p>
        </w:tc>
      </w:tr>
      <w:tr w:rsidR="000154A5" w:rsidRPr="00A33AE8" w14:paraId="635F95C5" w14:textId="77777777" w:rsidTr="00B17E5B">
        <w:trPr>
          <w:trHeight w:val="229"/>
        </w:trPr>
        <w:tc>
          <w:tcPr>
            <w:tcW w:w="2127" w:type="dxa"/>
            <w:shd w:val="clear" w:color="auto" w:fill="E7E6E6" w:themeFill="background2"/>
            <w:vAlign w:val="bottom"/>
            <w:hideMark/>
          </w:tcPr>
          <w:p w14:paraId="16E4B34B"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PM_IEM7</w:t>
            </w:r>
          </w:p>
        </w:tc>
        <w:tc>
          <w:tcPr>
            <w:tcW w:w="7087" w:type="dxa"/>
            <w:shd w:val="clear" w:color="auto" w:fill="FFFFFF" w:themeFill="background1"/>
            <w:vAlign w:val="bottom"/>
            <w:hideMark/>
          </w:tcPr>
          <w:p w14:paraId="5EBF1398" w14:textId="77777777"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RES integration cluster of projects - North Corridor</w:t>
            </w:r>
          </w:p>
        </w:tc>
      </w:tr>
      <w:tr w:rsidR="000154A5" w:rsidRPr="00A33AE8" w14:paraId="1D40F100" w14:textId="77777777" w:rsidTr="00B17E5B">
        <w:trPr>
          <w:trHeight w:val="225"/>
        </w:trPr>
        <w:tc>
          <w:tcPr>
            <w:tcW w:w="2127" w:type="dxa"/>
            <w:shd w:val="clear" w:color="auto" w:fill="E7E6E6" w:themeFill="background2"/>
            <w:vAlign w:val="bottom"/>
            <w:hideMark/>
          </w:tcPr>
          <w:p w14:paraId="65018174"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w:t>
            </w:r>
          </w:p>
        </w:tc>
        <w:tc>
          <w:tcPr>
            <w:tcW w:w="7087" w:type="dxa"/>
            <w:shd w:val="clear" w:color="auto" w:fill="FFFFFF" w:themeFill="background1"/>
            <w:vAlign w:val="bottom"/>
            <w:hideMark/>
          </w:tcPr>
          <w:p w14:paraId="05D025A5" w14:textId="77777777"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Regional connection through the implementation of interconnection projects</w:t>
            </w:r>
          </w:p>
        </w:tc>
      </w:tr>
      <w:tr w:rsidR="000154A5" w:rsidRPr="00A33AE8" w14:paraId="1E53DDFA" w14:textId="77777777" w:rsidTr="00B17E5B">
        <w:trPr>
          <w:trHeight w:val="307"/>
        </w:trPr>
        <w:tc>
          <w:tcPr>
            <w:tcW w:w="2127" w:type="dxa"/>
            <w:shd w:val="clear" w:color="auto" w:fill="E7E6E6" w:themeFill="background2"/>
            <w:vAlign w:val="bottom"/>
            <w:hideMark/>
          </w:tcPr>
          <w:p w14:paraId="5F6A6078"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PM_IEM8.1</w:t>
            </w:r>
          </w:p>
        </w:tc>
        <w:tc>
          <w:tcPr>
            <w:tcW w:w="7087" w:type="dxa"/>
            <w:shd w:val="clear" w:color="auto" w:fill="FFFFFF" w:themeFill="background1"/>
            <w:vAlign w:val="bottom"/>
            <w:hideMark/>
          </w:tcPr>
          <w:p w14:paraId="0F03C2C6" w14:textId="77777777"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Serbia-Bulgaria gas interconnection project</w:t>
            </w:r>
          </w:p>
        </w:tc>
      </w:tr>
      <w:tr w:rsidR="000154A5" w:rsidRPr="00A33AE8" w14:paraId="4990D700" w14:textId="77777777" w:rsidTr="00B17E5B">
        <w:trPr>
          <w:trHeight w:val="159"/>
        </w:trPr>
        <w:tc>
          <w:tcPr>
            <w:tcW w:w="2127" w:type="dxa"/>
            <w:shd w:val="clear" w:color="auto" w:fill="E7E6E6" w:themeFill="background2"/>
            <w:vAlign w:val="bottom"/>
            <w:hideMark/>
          </w:tcPr>
          <w:p w14:paraId="12779491"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PM_IEM8.2</w:t>
            </w:r>
          </w:p>
        </w:tc>
        <w:tc>
          <w:tcPr>
            <w:tcW w:w="7087" w:type="dxa"/>
            <w:shd w:val="clear" w:color="auto" w:fill="FFFFFF" w:themeFill="background1"/>
            <w:vAlign w:val="bottom"/>
            <w:hideMark/>
          </w:tcPr>
          <w:p w14:paraId="108B42DD" w14:textId="70BB1B56"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Serbia-Romania gas interconnection</w:t>
            </w:r>
          </w:p>
        </w:tc>
      </w:tr>
      <w:tr w:rsidR="000154A5" w:rsidRPr="00A33AE8" w14:paraId="69A18CD2" w14:textId="77777777" w:rsidTr="00B17E5B">
        <w:trPr>
          <w:trHeight w:val="132"/>
        </w:trPr>
        <w:tc>
          <w:tcPr>
            <w:tcW w:w="2127" w:type="dxa"/>
            <w:shd w:val="clear" w:color="auto" w:fill="E7E6E6" w:themeFill="background2"/>
            <w:vAlign w:val="bottom"/>
            <w:hideMark/>
          </w:tcPr>
          <w:p w14:paraId="5494F61D"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PM_IEM8.3</w:t>
            </w:r>
          </w:p>
        </w:tc>
        <w:tc>
          <w:tcPr>
            <w:tcW w:w="7087" w:type="dxa"/>
            <w:shd w:val="clear" w:color="auto" w:fill="FFFFFF" w:themeFill="background1"/>
            <w:vAlign w:val="bottom"/>
            <w:hideMark/>
          </w:tcPr>
          <w:p w14:paraId="71B28B93" w14:textId="55149EF6"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Serbia-Croatia gas interconnection</w:t>
            </w:r>
          </w:p>
        </w:tc>
      </w:tr>
      <w:tr w:rsidR="000154A5" w:rsidRPr="00A33AE8" w14:paraId="3B89C964" w14:textId="77777777" w:rsidTr="00B17E5B">
        <w:trPr>
          <w:trHeight w:val="116"/>
        </w:trPr>
        <w:tc>
          <w:tcPr>
            <w:tcW w:w="2127" w:type="dxa"/>
            <w:shd w:val="clear" w:color="auto" w:fill="E7E6E6" w:themeFill="background2"/>
            <w:vAlign w:val="bottom"/>
            <w:hideMark/>
          </w:tcPr>
          <w:p w14:paraId="75A44F65"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PM_IEM8.4</w:t>
            </w:r>
          </w:p>
        </w:tc>
        <w:tc>
          <w:tcPr>
            <w:tcW w:w="7087" w:type="dxa"/>
            <w:shd w:val="clear" w:color="auto" w:fill="FFFFFF" w:themeFill="background1"/>
            <w:vAlign w:val="bottom"/>
            <w:hideMark/>
          </w:tcPr>
          <w:p w14:paraId="3B86C03D" w14:textId="132332CA"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Serbia-BiH gas interconnection</w:t>
            </w:r>
          </w:p>
        </w:tc>
      </w:tr>
      <w:tr w:rsidR="000154A5" w:rsidRPr="00A33AE8" w14:paraId="2B9D906C" w14:textId="77777777" w:rsidTr="00B17E5B">
        <w:trPr>
          <w:trHeight w:val="238"/>
        </w:trPr>
        <w:tc>
          <w:tcPr>
            <w:tcW w:w="2127" w:type="dxa"/>
            <w:shd w:val="clear" w:color="auto" w:fill="E7E6E6" w:themeFill="background2"/>
            <w:vAlign w:val="bottom"/>
            <w:hideMark/>
          </w:tcPr>
          <w:p w14:paraId="2FFFC404"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PM_IEM8.5</w:t>
            </w:r>
          </w:p>
        </w:tc>
        <w:tc>
          <w:tcPr>
            <w:tcW w:w="7087" w:type="dxa"/>
            <w:shd w:val="clear" w:color="auto" w:fill="FFFFFF" w:themeFill="background1"/>
            <w:vAlign w:val="bottom"/>
            <w:hideMark/>
          </w:tcPr>
          <w:p w14:paraId="020F9A42" w14:textId="486026AE" w:rsidR="000154A5" w:rsidRPr="00A33AE8" w:rsidRDefault="00956278" w:rsidP="005F342E">
            <w:pPr>
              <w:spacing w:after="0" w:line="240" w:lineRule="auto"/>
              <w:rPr>
                <w:rFonts w:asciiTheme="majorHAnsi" w:eastAsia="Times New Roman" w:hAnsiTheme="majorHAnsi" w:cstheme="majorHAnsi"/>
                <w:color w:val="000000"/>
                <w:lang w:eastAsia="el-GR"/>
              </w:rPr>
            </w:pPr>
            <w:r w:rsidRPr="000007D2">
              <w:rPr>
                <w:rFonts w:asciiTheme="majorHAnsi" w:eastAsia="Times New Roman" w:hAnsiTheme="majorHAnsi" w:cstheme="majorHAnsi"/>
                <w:color w:val="000000"/>
                <w:lang w:eastAsia="el-GR"/>
              </w:rPr>
              <w:t>Regional</w:t>
            </w:r>
            <w:r w:rsidRPr="00A33AE8">
              <w:rPr>
                <w:rFonts w:asciiTheme="majorHAnsi" w:eastAsia="Times New Roman" w:hAnsiTheme="majorHAnsi" w:cstheme="majorHAnsi"/>
                <w:color w:val="000000"/>
                <w:lang w:eastAsia="el-GR"/>
              </w:rPr>
              <w:t xml:space="preserve"> </w:t>
            </w:r>
            <w:r w:rsidR="000154A5" w:rsidRPr="00A33AE8">
              <w:rPr>
                <w:rFonts w:asciiTheme="majorHAnsi" w:eastAsia="Times New Roman" w:hAnsiTheme="majorHAnsi" w:cstheme="majorHAnsi"/>
                <w:color w:val="000000"/>
                <w:lang w:eastAsia="el-GR"/>
              </w:rPr>
              <w:t>gas pipeline Leskovac-Vladi</w:t>
            </w:r>
            <w:r w:rsidR="004F142B" w:rsidRPr="00A33AE8">
              <w:rPr>
                <w:rFonts w:asciiTheme="majorHAnsi" w:eastAsia="Times New Roman" w:hAnsiTheme="majorHAnsi" w:cstheme="majorHAnsi"/>
                <w:color w:val="000000"/>
                <w:lang w:eastAsia="el-GR"/>
              </w:rPr>
              <w:t>c</w:t>
            </w:r>
            <w:r w:rsidR="000154A5" w:rsidRPr="00A33AE8">
              <w:rPr>
                <w:rFonts w:asciiTheme="majorHAnsi" w:eastAsia="Times New Roman" w:hAnsiTheme="majorHAnsi" w:cstheme="majorHAnsi"/>
                <w:color w:val="000000"/>
                <w:lang w:eastAsia="el-GR"/>
              </w:rPr>
              <w:t>in Han-Vranje</w:t>
            </w:r>
          </w:p>
        </w:tc>
      </w:tr>
      <w:tr w:rsidR="000154A5" w:rsidRPr="00A33AE8" w14:paraId="346B2605" w14:textId="77777777" w:rsidTr="00B17E5B">
        <w:trPr>
          <w:trHeight w:val="207"/>
        </w:trPr>
        <w:tc>
          <w:tcPr>
            <w:tcW w:w="2127" w:type="dxa"/>
            <w:shd w:val="clear" w:color="auto" w:fill="E7E6E6" w:themeFill="background2"/>
            <w:vAlign w:val="bottom"/>
            <w:hideMark/>
          </w:tcPr>
          <w:p w14:paraId="56BA4CC9"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PM_IEM8.6</w:t>
            </w:r>
          </w:p>
        </w:tc>
        <w:tc>
          <w:tcPr>
            <w:tcW w:w="7087" w:type="dxa"/>
            <w:shd w:val="clear" w:color="auto" w:fill="FFFFFF" w:themeFill="background1"/>
            <w:vAlign w:val="bottom"/>
            <w:hideMark/>
          </w:tcPr>
          <w:p w14:paraId="4420ABC9" w14:textId="77777777"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Gas pipeline - interconnection with Montenegro</w:t>
            </w:r>
          </w:p>
        </w:tc>
      </w:tr>
      <w:tr w:rsidR="000154A5" w:rsidRPr="00A33AE8" w14:paraId="7093C938" w14:textId="77777777" w:rsidTr="00B17E5B">
        <w:trPr>
          <w:trHeight w:val="187"/>
        </w:trPr>
        <w:tc>
          <w:tcPr>
            <w:tcW w:w="2127" w:type="dxa"/>
            <w:shd w:val="clear" w:color="auto" w:fill="E7E6E6" w:themeFill="background2"/>
            <w:vAlign w:val="bottom"/>
            <w:hideMark/>
          </w:tcPr>
          <w:p w14:paraId="0D9E6C28"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PM_IEM8.7</w:t>
            </w:r>
          </w:p>
        </w:tc>
        <w:tc>
          <w:tcPr>
            <w:tcW w:w="7087" w:type="dxa"/>
            <w:shd w:val="clear" w:color="auto" w:fill="FFFFFF" w:themeFill="background1"/>
            <w:vAlign w:val="bottom"/>
            <w:hideMark/>
          </w:tcPr>
          <w:p w14:paraId="11A7E1F2" w14:textId="2BB8BD00"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Serbia-Macedonia gas interconnection</w:t>
            </w:r>
          </w:p>
        </w:tc>
      </w:tr>
      <w:tr w:rsidR="000154A5" w:rsidRPr="00A33AE8" w14:paraId="6148F9FF" w14:textId="77777777" w:rsidTr="00B17E5B">
        <w:trPr>
          <w:trHeight w:val="50"/>
        </w:trPr>
        <w:tc>
          <w:tcPr>
            <w:tcW w:w="2127" w:type="dxa"/>
            <w:shd w:val="clear" w:color="auto" w:fill="E7E6E6" w:themeFill="background2"/>
            <w:vAlign w:val="bottom"/>
            <w:hideMark/>
          </w:tcPr>
          <w:p w14:paraId="709B4E0B" w14:textId="77777777" w:rsidR="000154A5" w:rsidRPr="00A33AE8" w:rsidRDefault="000154A5" w:rsidP="005F342E">
            <w:pPr>
              <w:spacing w:after="0" w:line="240" w:lineRule="auto"/>
              <w:rPr>
                <w:rFonts w:asciiTheme="majorHAnsi" w:eastAsia="Times New Roman" w:hAnsiTheme="majorHAnsi" w:cstheme="majorHAnsi"/>
                <w:b/>
                <w:bCs/>
                <w:color w:val="000000" w:themeColor="text1"/>
                <w:lang w:eastAsia="el-GR"/>
              </w:rPr>
            </w:pPr>
            <w:r w:rsidRPr="00A33AE8">
              <w:rPr>
                <w:rFonts w:asciiTheme="majorHAnsi" w:eastAsia="Times New Roman" w:hAnsiTheme="majorHAnsi" w:cstheme="majorHAnsi"/>
                <w:b/>
                <w:bCs/>
                <w:color w:val="000000" w:themeColor="text1"/>
                <w:lang w:eastAsia="el-GR"/>
              </w:rPr>
              <w:t>PM_IEM8.8</w:t>
            </w:r>
          </w:p>
        </w:tc>
        <w:tc>
          <w:tcPr>
            <w:tcW w:w="7087" w:type="dxa"/>
            <w:shd w:val="clear" w:color="auto" w:fill="FFFFFF" w:themeFill="background1"/>
            <w:vAlign w:val="bottom"/>
            <w:hideMark/>
          </w:tcPr>
          <w:p w14:paraId="110E00FF" w14:textId="69377008" w:rsidR="000154A5" w:rsidRPr="00A33AE8" w:rsidRDefault="000154A5" w:rsidP="005F342E">
            <w:pPr>
              <w:spacing w:after="0" w:line="240" w:lineRule="auto"/>
              <w:rPr>
                <w:rFonts w:asciiTheme="majorHAnsi" w:eastAsia="Times New Roman" w:hAnsiTheme="majorHAnsi" w:cstheme="majorHAnsi"/>
                <w:color w:val="000000"/>
                <w:lang w:eastAsia="el-GR"/>
              </w:rPr>
            </w:pPr>
            <w:r w:rsidRPr="00A33AE8">
              <w:rPr>
                <w:rFonts w:asciiTheme="majorHAnsi" w:eastAsia="Times New Roman" w:hAnsiTheme="majorHAnsi" w:cstheme="majorHAnsi"/>
                <w:color w:val="000000"/>
                <w:lang w:eastAsia="el-GR"/>
              </w:rPr>
              <w:t>Ni</w:t>
            </w:r>
            <w:r w:rsidR="004F142B" w:rsidRPr="00A33AE8">
              <w:rPr>
                <w:rFonts w:asciiTheme="majorHAnsi" w:eastAsia="Times New Roman" w:hAnsiTheme="majorHAnsi" w:cstheme="majorHAnsi"/>
                <w:color w:val="000000"/>
                <w:lang w:eastAsia="el-GR"/>
              </w:rPr>
              <w:t>s</w:t>
            </w:r>
            <w:r w:rsidRPr="00A33AE8">
              <w:rPr>
                <w:rFonts w:asciiTheme="majorHAnsi" w:eastAsia="Times New Roman" w:hAnsiTheme="majorHAnsi" w:cstheme="majorHAnsi"/>
                <w:color w:val="000000"/>
                <w:lang w:eastAsia="el-GR"/>
              </w:rPr>
              <w:t>-Pri</w:t>
            </w:r>
            <w:r w:rsidR="004F142B" w:rsidRPr="00A33AE8">
              <w:rPr>
                <w:rFonts w:asciiTheme="majorHAnsi" w:eastAsia="Times New Roman" w:hAnsiTheme="majorHAnsi" w:cstheme="majorHAnsi"/>
                <w:color w:val="000000"/>
                <w:lang w:eastAsia="el-GR"/>
              </w:rPr>
              <w:t>s</w:t>
            </w:r>
            <w:r w:rsidRPr="00A33AE8">
              <w:rPr>
                <w:rFonts w:asciiTheme="majorHAnsi" w:eastAsia="Times New Roman" w:hAnsiTheme="majorHAnsi" w:cstheme="majorHAnsi"/>
                <w:color w:val="000000"/>
                <w:lang w:eastAsia="el-GR"/>
              </w:rPr>
              <w:t>tina gas pipeline</w:t>
            </w:r>
          </w:p>
        </w:tc>
      </w:tr>
    </w:tbl>
    <w:p w14:paraId="1BDE7777" w14:textId="77777777" w:rsidR="000154A5" w:rsidRPr="00A33AE8" w:rsidRDefault="000154A5" w:rsidP="00507954">
      <w:pPr>
        <w:pStyle w:val="xmsonormal"/>
        <w:spacing w:before="120"/>
        <w:jc w:val="both"/>
        <w:rPr>
          <w:rFonts w:asciiTheme="majorHAnsi" w:hAnsiTheme="majorHAnsi" w:cstheme="majorHAnsi"/>
          <w:lang w:val="en-GB"/>
        </w:rPr>
      </w:pPr>
      <w:r w:rsidRPr="00A33AE8">
        <w:rPr>
          <w:rFonts w:asciiTheme="majorHAnsi" w:hAnsiTheme="majorHAnsi" w:cstheme="majorHAnsi"/>
          <w:lang w:val="en-GB"/>
        </w:rPr>
        <w:t>Similarly, at market level, the South-East European Gas (SEEGAS) Initiative, launched by the Energy Community Secretariat in December 2020, is a response to stakeholders’ increasing interest to establish organized gas exchanges and improve cross-border trading. The initiative aims to foster closer cooperation between national gas exchanges and TSOs in the region to enable further market opening, better services for traders and ultimately benefit end-consumers through increased competition in gas trading.</w:t>
      </w:r>
    </w:p>
    <w:p w14:paraId="4099E127" w14:textId="77777777" w:rsidR="00142438" w:rsidRPr="00A33AE8" w:rsidRDefault="00142438">
      <w:pPr>
        <w:spacing w:line="259" w:lineRule="auto"/>
        <w:rPr>
          <w:rFonts w:ascii="Calibri" w:eastAsia="Times New Roman" w:hAnsi="Calibri" w:cs="Arial"/>
          <w:lang w:eastAsia="el-GR"/>
        </w:rPr>
      </w:pPr>
      <w:r w:rsidRPr="00A33AE8">
        <w:br w:type="page"/>
      </w:r>
    </w:p>
    <w:p w14:paraId="6A5F7599" w14:textId="77777777" w:rsidR="00663039" w:rsidRDefault="00663039" w:rsidP="007A0028">
      <w:pPr>
        <w:pStyle w:val="Heading1"/>
        <w:numPr>
          <w:ilvl w:val="0"/>
          <w:numId w:val="0"/>
        </w:numPr>
        <w:ind w:left="432" w:hanging="432"/>
        <w:sectPr w:rsidR="00663039" w:rsidSect="0087794A">
          <w:footerReference w:type="default" r:id="rId163"/>
          <w:pgSz w:w="11906" w:h="16838"/>
          <w:pgMar w:top="1134" w:right="1134" w:bottom="1134" w:left="1134" w:header="720" w:footer="720" w:gutter="0"/>
          <w:cols w:space="720"/>
          <w:titlePg/>
          <w:docGrid w:linePitch="360"/>
        </w:sectPr>
      </w:pPr>
      <w:bookmarkStart w:id="678" w:name="_Hlk148602291"/>
    </w:p>
    <w:p w14:paraId="6B2F6604" w14:textId="71DD1EE7" w:rsidR="00CB4256" w:rsidRPr="00A33AE8" w:rsidRDefault="001E2100" w:rsidP="0087794A">
      <w:pPr>
        <w:pStyle w:val="Heading1"/>
        <w:numPr>
          <w:ilvl w:val="0"/>
          <w:numId w:val="349"/>
        </w:numPr>
      </w:pPr>
      <w:r>
        <w:lastRenderedPageBreak/>
        <w:t xml:space="preserve"> </w:t>
      </w:r>
      <w:bookmarkStart w:id="679" w:name="_Toc153545062"/>
      <w:r w:rsidR="00CB4256" w:rsidRPr="00A33AE8">
        <w:t>Annex</w:t>
      </w:r>
      <w:r w:rsidR="00DB5046" w:rsidRPr="00A33AE8">
        <w:t xml:space="preserve">: </w:t>
      </w:r>
      <w:r w:rsidR="00CB4256" w:rsidRPr="00A33AE8">
        <w:t>Summary Table of Measure</w:t>
      </w:r>
      <w:r w:rsidR="0022195F" w:rsidRPr="00A33AE8">
        <w:t>s</w:t>
      </w:r>
      <w:r w:rsidR="00CB4256" w:rsidRPr="00A33AE8">
        <w:t xml:space="preserve"> </w:t>
      </w:r>
      <w:r w:rsidR="00445B75" w:rsidRPr="00A33AE8">
        <w:t xml:space="preserve">with </w:t>
      </w:r>
      <w:r w:rsidR="00DB5046" w:rsidRPr="00A33AE8">
        <w:t>implementation</w:t>
      </w:r>
      <w:r w:rsidR="00445B75" w:rsidRPr="00A33AE8">
        <w:t xml:space="preserve"> cost</w:t>
      </w:r>
      <w:bookmarkEnd w:id="679"/>
    </w:p>
    <w:p w14:paraId="3D09E520" w14:textId="363269F1" w:rsidR="00845457" w:rsidRDefault="00845457" w:rsidP="0087794A">
      <w:pPr>
        <w:pStyle w:val="Caption"/>
        <w:keepNext/>
      </w:pPr>
      <w:bookmarkStart w:id="680" w:name="_Toc153545080"/>
      <w:r>
        <w:t xml:space="preserve">Table </w:t>
      </w:r>
      <w:r w:rsidR="006E0533">
        <w:fldChar w:fldCharType="begin"/>
      </w:r>
      <w:r w:rsidR="006E0533">
        <w:instrText xml:space="preserve"> STYLEREF 1 \s </w:instrText>
      </w:r>
      <w:r w:rsidR="006E0533">
        <w:fldChar w:fldCharType="separate"/>
      </w:r>
      <w:r w:rsidR="00A84B9C">
        <w:rPr>
          <w:noProof/>
        </w:rPr>
        <w:t>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r>
        <w:t xml:space="preserve">: </w:t>
      </w:r>
      <w:r w:rsidRPr="00845457">
        <w:t>Decarbonisation</w:t>
      </w:r>
      <w:r>
        <w:t xml:space="preserve"> </w:t>
      </w:r>
      <w:r w:rsidRPr="00845457">
        <w:t>policy measure</w:t>
      </w:r>
      <w:r>
        <w:t>s</w:t>
      </w:r>
      <w:bookmarkEnd w:id="680"/>
    </w:p>
    <w:tbl>
      <w:tblPr>
        <w:tblW w:w="5000" w:type="pct"/>
        <w:tblCellMar>
          <w:left w:w="57" w:type="dxa"/>
          <w:right w:w="57" w:type="dxa"/>
        </w:tblCellMar>
        <w:tblLook w:val="04A0" w:firstRow="1" w:lastRow="0" w:firstColumn="1" w:lastColumn="0" w:noHBand="0" w:noVBand="1"/>
      </w:tblPr>
      <w:tblGrid>
        <w:gridCol w:w="1138"/>
        <w:gridCol w:w="1230"/>
        <w:gridCol w:w="2354"/>
        <w:gridCol w:w="1486"/>
        <w:gridCol w:w="1450"/>
        <w:gridCol w:w="1226"/>
        <w:gridCol w:w="1031"/>
        <w:gridCol w:w="1092"/>
        <w:gridCol w:w="1220"/>
        <w:gridCol w:w="1229"/>
        <w:gridCol w:w="1104"/>
      </w:tblGrid>
      <w:tr w:rsidR="00663039" w:rsidRPr="00207220" w14:paraId="03BD4622" w14:textId="77777777" w:rsidTr="0087794A">
        <w:trPr>
          <w:cantSplit/>
          <w:trHeight w:val="20"/>
        </w:trPr>
        <w:tc>
          <w:tcPr>
            <w:tcW w:w="390" w:type="pct"/>
            <w:tcBorders>
              <w:top w:val="single" w:sz="4" w:space="0" w:color="auto"/>
              <w:left w:val="single" w:sz="4" w:space="0" w:color="auto"/>
              <w:bottom w:val="single" w:sz="4" w:space="0" w:color="auto"/>
              <w:right w:val="single" w:sz="4" w:space="0" w:color="auto"/>
            </w:tcBorders>
            <w:shd w:val="clear" w:color="000000" w:fill="BFBFBF"/>
            <w:vAlign w:val="center"/>
            <w:hideMark/>
          </w:tcPr>
          <w:bookmarkEnd w:id="678"/>
          <w:p w14:paraId="146995D3"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Dimension</w:t>
            </w:r>
          </w:p>
        </w:tc>
        <w:tc>
          <w:tcPr>
            <w:tcW w:w="422" w:type="pct"/>
            <w:tcBorders>
              <w:top w:val="single" w:sz="4" w:space="0" w:color="auto"/>
              <w:left w:val="nil"/>
              <w:bottom w:val="single" w:sz="4" w:space="0" w:color="auto"/>
              <w:right w:val="single" w:sz="4" w:space="0" w:color="auto"/>
            </w:tcBorders>
            <w:shd w:val="clear" w:color="000000" w:fill="BFBFBF"/>
            <w:vAlign w:val="center"/>
            <w:hideMark/>
          </w:tcPr>
          <w:p w14:paraId="31A5888F"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PAM number</w:t>
            </w:r>
          </w:p>
        </w:tc>
        <w:tc>
          <w:tcPr>
            <w:tcW w:w="808" w:type="pct"/>
            <w:tcBorders>
              <w:top w:val="single" w:sz="4" w:space="0" w:color="auto"/>
              <w:left w:val="nil"/>
              <w:bottom w:val="single" w:sz="4" w:space="0" w:color="auto"/>
              <w:right w:val="single" w:sz="4" w:space="0" w:color="auto"/>
            </w:tcBorders>
            <w:shd w:val="clear" w:color="000000" w:fill="BFBFBF"/>
            <w:vAlign w:val="center"/>
            <w:hideMark/>
          </w:tcPr>
          <w:p w14:paraId="3674A5AD"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Name of policy or measure</w:t>
            </w:r>
          </w:p>
        </w:tc>
        <w:tc>
          <w:tcPr>
            <w:tcW w:w="510" w:type="pct"/>
            <w:tcBorders>
              <w:top w:val="single" w:sz="4" w:space="0" w:color="auto"/>
              <w:left w:val="nil"/>
              <w:bottom w:val="single" w:sz="4" w:space="0" w:color="auto"/>
              <w:right w:val="single" w:sz="4" w:space="0" w:color="auto"/>
            </w:tcBorders>
            <w:shd w:val="clear" w:color="000000" w:fill="BFBFBF"/>
            <w:vAlign w:val="center"/>
            <w:hideMark/>
          </w:tcPr>
          <w:p w14:paraId="34049B84"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Type of measure</w:t>
            </w:r>
          </w:p>
        </w:tc>
        <w:tc>
          <w:tcPr>
            <w:tcW w:w="498" w:type="pct"/>
            <w:tcBorders>
              <w:top w:val="single" w:sz="4" w:space="0" w:color="auto"/>
              <w:left w:val="nil"/>
              <w:bottom w:val="single" w:sz="4" w:space="0" w:color="auto"/>
              <w:right w:val="single" w:sz="4" w:space="0" w:color="auto"/>
            </w:tcBorders>
            <w:shd w:val="clear" w:color="000000" w:fill="BFBFBF"/>
            <w:vAlign w:val="center"/>
            <w:hideMark/>
          </w:tcPr>
          <w:p w14:paraId="2FCEDD3D"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Synergetic effects</w:t>
            </w:r>
          </w:p>
        </w:tc>
        <w:tc>
          <w:tcPr>
            <w:tcW w:w="421" w:type="pct"/>
            <w:tcBorders>
              <w:top w:val="single" w:sz="4" w:space="0" w:color="auto"/>
              <w:left w:val="nil"/>
              <w:bottom w:val="single" w:sz="4" w:space="0" w:color="auto"/>
              <w:right w:val="single" w:sz="4" w:space="0" w:color="auto"/>
            </w:tcBorders>
            <w:shd w:val="clear" w:color="000000" w:fill="BFBFBF"/>
            <w:vAlign w:val="center"/>
            <w:hideMark/>
          </w:tcPr>
          <w:p w14:paraId="2E0A2F2C"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Implementation Cost (million €)</w:t>
            </w:r>
          </w:p>
        </w:tc>
        <w:tc>
          <w:tcPr>
            <w:tcW w:w="354" w:type="pct"/>
            <w:tcBorders>
              <w:top w:val="single" w:sz="4" w:space="0" w:color="auto"/>
              <w:left w:val="nil"/>
              <w:bottom w:val="single" w:sz="4" w:space="0" w:color="auto"/>
              <w:right w:val="single" w:sz="4" w:space="0" w:color="auto"/>
            </w:tcBorders>
            <w:shd w:val="clear" w:color="000000" w:fill="BFBFBF"/>
            <w:vAlign w:val="center"/>
            <w:hideMark/>
          </w:tcPr>
          <w:p w14:paraId="57C085CC"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Planned public aid (million €)</w:t>
            </w:r>
          </w:p>
        </w:tc>
        <w:tc>
          <w:tcPr>
            <w:tcW w:w="375" w:type="pct"/>
            <w:tcBorders>
              <w:top w:val="single" w:sz="4" w:space="0" w:color="auto"/>
              <w:left w:val="nil"/>
              <w:bottom w:val="single" w:sz="4" w:space="0" w:color="auto"/>
              <w:right w:val="single" w:sz="4" w:space="0" w:color="auto"/>
            </w:tcBorders>
            <w:shd w:val="clear" w:color="000000" w:fill="BFBFBF"/>
            <w:vAlign w:val="center"/>
            <w:hideMark/>
          </w:tcPr>
          <w:p w14:paraId="0FD9C2A5"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own Funds (million €)</w:t>
            </w:r>
          </w:p>
        </w:tc>
        <w:tc>
          <w:tcPr>
            <w:tcW w:w="419" w:type="pct"/>
            <w:tcBorders>
              <w:top w:val="single" w:sz="4" w:space="0" w:color="auto"/>
              <w:left w:val="nil"/>
              <w:bottom w:val="single" w:sz="4" w:space="0" w:color="auto"/>
              <w:right w:val="single" w:sz="4" w:space="0" w:color="auto"/>
            </w:tcBorders>
            <w:shd w:val="clear" w:color="000000" w:fill="BFBFBF"/>
            <w:vAlign w:val="center"/>
            <w:hideMark/>
          </w:tcPr>
          <w:p w14:paraId="300CFE1F"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Projections scenario in which the PAM is included</w:t>
            </w:r>
          </w:p>
        </w:tc>
        <w:tc>
          <w:tcPr>
            <w:tcW w:w="422" w:type="pct"/>
            <w:tcBorders>
              <w:top w:val="single" w:sz="4" w:space="0" w:color="auto"/>
              <w:left w:val="nil"/>
              <w:bottom w:val="single" w:sz="4" w:space="0" w:color="auto"/>
              <w:right w:val="single" w:sz="4" w:space="0" w:color="auto"/>
            </w:tcBorders>
            <w:shd w:val="clear" w:color="000000" w:fill="BFBFBF"/>
            <w:vAlign w:val="center"/>
            <w:hideMark/>
          </w:tcPr>
          <w:p w14:paraId="7D7DBE5B"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WEM (million €)</w:t>
            </w:r>
          </w:p>
        </w:tc>
        <w:tc>
          <w:tcPr>
            <w:tcW w:w="379" w:type="pct"/>
            <w:tcBorders>
              <w:top w:val="single" w:sz="4" w:space="0" w:color="auto"/>
              <w:left w:val="nil"/>
              <w:bottom w:val="single" w:sz="4" w:space="0" w:color="auto"/>
              <w:right w:val="single" w:sz="4" w:space="0" w:color="auto"/>
            </w:tcBorders>
            <w:shd w:val="clear" w:color="000000" w:fill="BFBFBF"/>
            <w:vAlign w:val="center"/>
            <w:hideMark/>
          </w:tcPr>
          <w:p w14:paraId="5BFC93C1"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WAM (million €)</w:t>
            </w:r>
          </w:p>
        </w:tc>
      </w:tr>
      <w:tr w:rsidR="006E2AEA" w:rsidRPr="00207220" w14:paraId="5566874F" w14:textId="77777777" w:rsidTr="00845457">
        <w:trPr>
          <w:cantSplit/>
          <w:trHeight w:val="20"/>
        </w:trPr>
        <w:tc>
          <w:tcPr>
            <w:tcW w:w="390" w:type="pct"/>
            <w:vMerge w:val="restart"/>
            <w:tcBorders>
              <w:top w:val="nil"/>
              <w:left w:val="single" w:sz="4" w:space="0" w:color="auto"/>
              <w:right w:val="single" w:sz="4" w:space="0" w:color="auto"/>
            </w:tcBorders>
            <w:shd w:val="clear" w:color="000000" w:fill="BFBFBF"/>
            <w:vAlign w:val="center"/>
            <w:hideMark/>
          </w:tcPr>
          <w:p w14:paraId="0F3832DD"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Decarbonisation</w:t>
            </w:r>
          </w:p>
          <w:p w14:paraId="05430080" w14:textId="77777777" w:rsidR="00663039" w:rsidRPr="00673450" w:rsidRDefault="00663039" w:rsidP="0087794A">
            <w:pPr>
              <w:spacing w:after="0" w:line="240" w:lineRule="auto"/>
              <w:rPr>
                <w:rFonts w:ascii="Calibri" w:eastAsia="Times New Roman" w:hAnsi="Calibri" w:cs="Calibri"/>
                <w:b/>
                <w:bCs/>
                <w:sz w:val="15"/>
                <w:szCs w:val="15"/>
              </w:rPr>
            </w:pPr>
            <w:r w:rsidRPr="00673450">
              <w:rPr>
                <w:rFonts w:ascii="Calibri" w:eastAsia="Times New Roman" w:hAnsi="Calibri" w:cs="Calibri"/>
                <w:b/>
                <w:bCs/>
                <w:sz w:val="15"/>
                <w:szCs w:val="15"/>
              </w:rPr>
              <w:t> </w:t>
            </w:r>
          </w:p>
        </w:tc>
        <w:tc>
          <w:tcPr>
            <w:tcW w:w="422" w:type="pct"/>
            <w:tcBorders>
              <w:top w:val="nil"/>
              <w:left w:val="nil"/>
              <w:bottom w:val="nil"/>
              <w:right w:val="single" w:sz="2" w:space="0" w:color="auto"/>
            </w:tcBorders>
            <w:shd w:val="clear" w:color="auto" w:fill="auto"/>
            <w:noWrap/>
            <w:vAlign w:val="bottom"/>
            <w:hideMark/>
          </w:tcPr>
          <w:p w14:paraId="7676D9E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w:t>
            </w:r>
          </w:p>
        </w:tc>
        <w:tc>
          <w:tcPr>
            <w:tcW w:w="808" w:type="pct"/>
            <w:tcBorders>
              <w:top w:val="single" w:sz="4" w:space="0" w:color="auto"/>
              <w:left w:val="single" w:sz="2" w:space="0" w:color="auto"/>
              <w:bottom w:val="single" w:sz="4" w:space="0" w:color="auto"/>
              <w:right w:val="nil"/>
            </w:tcBorders>
            <w:shd w:val="clear" w:color="auto" w:fill="auto"/>
            <w:vAlign w:val="bottom"/>
            <w:hideMark/>
          </w:tcPr>
          <w:p w14:paraId="4891937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Introduction of carbon pricing on energy</w:t>
            </w:r>
          </w:p>
        </w:tc>
        <w:tc>
          <w:tcPr>
            <w:tcW w:w="510" w:type="pct"/>
            <w:tcBorders>
              <w:top w:val="nil"/>
              <w:left w:val="single" w:sz="4" w:space="0" w:color="auto"/>
              <w:bottom w:val="single" w:sz="4" w:space="0" w:color="auto"/>
              <w:right w:val="single" w:sz="4" w:space="0" w:color="auto"/>
            </w:tcBorders>
            <w:shd w:val="clear" w:color="auto" w:fill="auto"/>
            <w:vAlign w:val="center"/>
            <w:hideMark/>
          </w:tcPr>
          <w:p w14:paraId="13D2E02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498" w:type="pct"/>
            <w:tcBorders>
              <w:top w:val="nil"/>
              <w:left w:val="nil"/>
              <w:bottom w:val="single" w:sz="4" w:space="0" w:color="auto"/>
              <w:right w:val="single" w:sz="4" w:space="0" w:color="auto"/>
            </w:tcBorders>
            <w:shd w:val="clear" w:color="auto" w:fill="auto"/>
            <w:vAlign w:val="center"/>
            <w:hideMark/>
          </w:tcPr>
          <w:p w14:paraId="1BECDF5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694059B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54" w:type="pct"/>
            <w:tcBorders>
              <w:top w:val="nil"/>
              <w:left w:val="nil"/>
              <w:bottom w:val="single" w:sz="4" w:space="0" w:color="auto"/>
              <w:right w:val="single" w:sz="4" w:space="0" w:color="auto"/>
            </w:tcBorders>
            <w:shd w:val="clear" w:color="000000" w:fill="E2EFDA"/>
            <w:vAlign w:val="center"/>
            <w:hideMark/>
          </w:tcPr>
          <w:p w14:paraId="64BF27F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5" w:type="pct"/>
            <w:tcBorders>
              <w:top w:val="nil"/>
              <w:left w:val="nil"/>
              <w:bottom w:val="single" w:sz="4" w:space="0" w:color="auto"/>
              <w:right w:val="single" w:sz="4" w:space="0" w:color="auto"/>
            </w:tcBorders>
            <w:shd w:val="clear" w:color="000000" w:fill="E2EFDA"/>
            <w:vAlign w:val="center"/>
            <w:hideMark/>
          </w:tcPr>
          <w:p w14:paraId="146CD7B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2E9C6F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D7D31"/>
            <w:vAlign w:val="center"/>
            <w:hideMark/>
          </w:tcPr>
          <w:p w14:paraId="425C60C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D7D31"/>
            <w:vAlign w:val="center"/>
            <w:hideMark/>
          </w:tcPr>
          <w:p w14:paraId="6CFA323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r>
      <w:tr w:rsidR="00663039" w:rsidRPr="00207220" w14:paraId="790DDDA4" w14:textId="77777777" w:rsidTr="0087794A">
        <w:trPr>
          <w:cantSplit/>
          <w:trHeight w:val="20"/>
        </w:trPr>
        <w:tc>
          <w:tcPr>
            <w:tcW w:w="390" w:type="pct"/>
            <w:vMerge/>
            <w:tcBorders>
              <w:left w:val="single" w:sz="4" w:space="0" w:color="auto"/>
              <w:right w:val="single" w:sz="4" w:space="0" w:color="auto"/>
            </w:tcBorders>
            <w:vAlign w:val="center"/>
            <w:hideMark/>
          </w:tcPr>
          <w:p w14:paraId="5961B53E"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1472F9A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19E0EF6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Monitoring and revision of the Low-carbon Development Strategy and implementation of the Climate Change Adaptation Programme with Action Plan</w:t>
            </w:r>
          </w:p>
        </w:tc>
        <w:tc>
          <w:tcPr>
            <w:tcW w:w="510" w:type="pct"/>
            <w:tcBorders>
              <w:top w:val="nil"/>
              <w:left w:val="nil"/>
              <w:bottom w:val="single" w:sz="4" w:space="0" w:color="auto"/>
              <w:right w:val="single" w:sz="4" w:space="0" w:color="auto"/>
            </w:tcBorders>
            <w:shd w:val="clear" w:color="auto" w:fill="auto"/>
            <w:vAlign w:val="center"/>
            <w:hideMark/>
          </w:tcPr>
          <w:p w14:paraId="654D644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498" w:type="pct"/>
            <w:tcBorders>
              <w:top w:val="nil"/>
              <w:left w:val="nil"/>
              <w:bottom w:val="single" w:sz="4" w:space="0" w:color="auto"/>
              <w:right w:val="single" w:sz="4" w:space="0" w:color="auto"/>
            </w:tcBorders>
            <w:shd w:val="clear" w:color="auto" w:fill="auto"/>
            <w:vAlign w:val="center"/>
            <w:hideMark/>
          </w:tcPr>
          <w:p w14:paraId="650C455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22CDF7A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1.40</w:t>
            </w:r>
          </w:p>
        </w:tc>
        <w:tc>
          <w:tcPr>
            <w:tcW w:w="354" w:type="pct"/>
            <w:tcBorders>
              <w:top w:val="nil"/>
              <w:left w:val="nil"/>
              <w:bottom w:val="single" w:sz="4" w:space="0" w:color="auto"/>
              <w:right w:val="single" w:sz="4" w:space="0" w:color="auto"/>
            </w:tcBorders>
            <w:shd w:val="clear" w:color="000000" w:fill="E2EFDA"/>
            <w:vAlign w:val="center"/>
            <w:hideMark/>
          </w:tcPr>
          <w:p w14:paraId="52A16BB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1.40</w:t>
            </w:r>
          </w:p>
        </w:tc>
        <w:tc>
          <w:tcPr>
            <w:tcW w:w="375" w:type="pct"/>
            <w:tcBorders>
              <w:top w:val="nil"/>
              <w:left w:val="nil"/>
              <w:bottom w:val="single" w:sz="4" w:space="0" w:color="auto"/>
              <w:right w:val="single" w:sz="4" w:space="0" w:color="auto"/>
            </w:tcBorders>
            <w:shd w:val="clear" w:color="000000" w:fill="E2EFDA"/>
            <w:vAlign w:val="center"/>
            <w:hideMark/>
          </w:tcPr>
          <w:p w14:paraId="15AF683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053CBF3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067FBF2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1.40</w:t>
            </w:r>
          </w:p>
        </w:tc>
        <w:tc>
          <w:tcPr>
            <w:tcW w:w="379" w:type="pct"/>
            <w:tcBorders>
              <w:top w:val="nil"/>
              <w:left w:val="nil"/>
              <w:bottom w:val="single" w:sz="4" w:space="0" w:color="auto"/>
              <w:right w:val="single" w:sz="4" w:space="0" w:color="auto"/>
            </w:tcBorders>
            <w:shd w:val="clear" w:color="000000" w:fill="ED7D31"/>
            <w:vAlign w:val="center"/>
            <w:hideMark/>
          </w:tcPr>
          <w:p w14:paraId="6DD3FFE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0BBC8B57" w14:textId="77777777" w:rsidTr="0087794A">
        <w:trPr>
          <w:cantSplit/>
          <w:trHeight w:val="20"/>
        </w:trPr>
        <w:tc>
          <w:tcPr>
            <w:tcW w:w="390" w:type="pct"/>
            <w:vMerge/>
            <w:tcBorders>
              <w:left w:val="single" w:sz="4" w:space="0" w:color="auto"/>
              <w:right w:val="single" w:sz="4" w:space="0" w:color="auto"/>
            </w:tcBorders>
            <w:vAlign w:val="center"/>
            <w:hideMark/>
          </w:tcPr>
          <w:p w14:paraId="23FCE5C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3807A6E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w:t>
            </w:r>
          </w:p>
        </w:tc>
        <w:tc>
          <w:tcPr>
            <w:tcW w:w="808" w:type="pct"/>
            <w:tcBorders>
              <w:top w:val="nil"/>
              <w:left w:val="nil"/>
              <w:bottom w:val="single" w:sz="4" w:space="0" w:color="auto"/>
              <w:right w:val="single" w:sz="4" w:space="0" w:color="auto"/>
            </w:tcBorders>
            <w:shd w:val="clear" w:color="auto" w:fill="auto"/>
            <w:vAlign w:val="center"/>
            <w:hideMark/>
          </w:tcPr>
          <w:p w14:paraId="189A10A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Promoting circular economy</w:t>
            </w:r>
          </w:p>
        </w:tc>
        <w:tc>
          <w:tcPr>
            <w:tcW w:w="510" w:type="pct"/>
            <w:tcBorders>
              <w:top w:val="nil"/>
              <w:left w:val="nil"/>
              <w:bottom w:val="single" w:sz="4" w:space="0" w:color="auto"/>
              <w:right w:val="single" w:sz="4" w:space="0" w:color="auto"/>
            </w:tcBorders>
            <w:shd w:val="clear" w:color="auto" w:fill="auto"/>
            <w:vAlign w:val="center"/>
            <w:hideMark/>
          </w:tcPr>
          <w:p w14:paraId="697DCDB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1A4A4A7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2F176E4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354" w:type="pct"/>
            <w:tcBorders>
              <w:top w:val="nil"/>
              <w:left w:val="nil"/>
              <w:bottom w:val="single" w:sz="4" w:space="0" w:color="auto"/>
              <w:right w:val="single" w:sz="4" w:space="0" w:color="auto"/>
            </w:tcBorders>
            <w:shd w:val="clear" w:color="000000" w:fill="ED7D31"/>
            <w:vAlign w:val="center"/>
            <w:hideMark/>
          </w:tcPr>
          <w:p w14:paraId="30EF6D3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375" w:type="pct"/>
            <w:tcBorders>
              <w:top w:val="nil"/>
              <w:left w:val="nil"/>
              <w:bottom w:val="single" w:sz="4" w:space="0" w:color="auto"/>
              <w:right w:val="single" w:sz="4" w:space="0" w:color="auto"/>
            </w:tcBorders>
            <w:shd w:val="clear" w:color="000000" w:fill="ED7D31"/>
            <w:vAlign w:val="center"/>
            <w:hideMark/>
          </w:tcPr>
          <w:p w14:paraId="6C3DD0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1A7DC2D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65A9A12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379" w:type="pct"/>
            <w:tcBorders>
              <w:top w:val="nil"/>
              <w:left w:val="nil"/>
              <w:bottom w:val="single" w:sz="4" w:space="0" w:color="auto"/>
              <w:right w:val="single" w:sz="4" w:space="0" w:color="auto"/>
            </w:tcBorders>
            <w:shd w:val="clear" w:color="000000" w:fill="ED7D31"/>
            <w:vAlign w:val="center"/>
            <w:hideMark/>
          </w:tcPr>
          <w:p w14:paraId="3799361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72E75EEE" w14:textId="77777777" w:rsidTr="0087794A">
        <w:trPr>
          <w:cantSplit/>
          <w:trHeight w:val="20"/>
        </w:trPr>
        <w:tc>
          <w:tcPr>
            <w:tcW w:w="390" w:type="pct"/>
            <w:vMerge/>
            <w:tcBorders>
              <w:left w:val="single" w:sz="4" w:space="0" w:color="auto"/>
              <w:right w:val="single" w:sz="4" w:space="0" w:color="auto"/>
            </w:tcBorders>
            <w:vAlign w:val="center"/>
            <w:hideMark/>
          </w:tcPr>
          <w:p w14:paraId="5B3A359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325AE8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w:t>
            </w:r>
          </w:p>
        </w:tc>
        <w:tc>
          <w:tcPr>
            <w:tcW w:w="808" w:type="pct"/>
            <w:tcBorders>
              <w:top w:val="nil"/>
              <w:left w:val="nil"/>
              <w:bottom w:val="single" w:sz="4" w:space="0" w:color="auto"/>
              <w:right w:val="single" w:sz="4" w:space="0" w:color="auto"/>
            </w:tcBorders>
            <w:shd w:val="clear" w:color="auto" w:fill="auto"/>
            <w:vAlign w:val="center"/>
            <w:hideMark/>
          </w:tcPr>
          <w:p w14:paraId="37A63DE0" w14:textId="2D0A6EF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Organizing awareness campaigns for better information dissemination about climate change</w:t>
            </w:r>
          </w:p>
        </w:tc>
        <w:tc>
          <w:tcPr>
            <w:tcW w:w="510" w:type="pct"/>
            <w:tcBorders>
              <w:top w:val="nil"/>
              <w:left w:val="nil"/>
              <w:bottom w:val="single" w:sz="4" w:space="0" w:color="auto"/>
              <w:right w:val="single" w:sz="4" w:space="0" w:color="auto"/>
            </w:tcBorders>
            <w:shd w:val="clear" w:color="auto" w:fill="auto"/>
            <w:vAlign w:val="center"/>
            <w:hideMark/>
          </w:tcPr>
          <w:p w14:paraId="7FA08E5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4D829D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D7D31"/>
            <w:vAlign w:val="center"/>
            <w:hideMark/>
          </w:tcPr>
          <w:p w14:paraId="26EA439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354" w:type="pct"/>
            <w:tcBorders>
              <w:top w:val="nil"/>
              <w:left w:val="nil"/>
              <w:bottom w:val="single" w:sz="4" w:space="0" w:color="auto"/>
              <w:right w:val="single" w:sz="4" w:space="0" w:color="auto"/>
            </w:tcBorders>
            <w:shd w:val="clear" w:color="000000" w:fill="ED7D31"/>
            <w:vAlign w:val="center"/>
            <w:hideMark/>
          </w:tcPr>
          <w:p w14:paraId="042FA8D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ED7D31"/>
            <w:vAlign w:val="center"/>
            <w:hideMark/>
          </w:tcPr>
          <w:p w14:paraId="336DD1D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D7D31"/>
            <w:vAlign w:val="center"/>
            <w:hideMark/>
          </w:tcPr>
          <w:p w14:paraId="17172D3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6F2EA59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379" w:type="pct"/>
            <w:tcBorders>
              <w:top w:val="nil"/>
              <w:left w:val="nil"/>
              <w:bottom w:val="single" w:sz="4" w:space="0" w:color="auto"/>
              <w:right w:val="single" w:sz="4" w:space="0" w:color="auto"/>
            </w:tcBorders>
            <w:shd w:val="clear" w:color="000000" w:fill="ED7D31"/>
            <w:vAlign w:val="center"/>
            <w:hideMark/>
          </w:tcPr>
          <w:p w14:paraId="6B929EE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3D128100" w14:textId="77777777" w:rsidTr="0087794A">
        <w:trPr>
          <w:cantSplit/>
          <w:trHeight w:val="20"/>
        </w:trPr>
        <w:tc>
          <w:tcPr>
            <w:tcW w:w="390" w:type="pct"/>
            <w:vMerge/>
            <w:tcBorders>
              <w:left w:val="single" w:sz="4" w:space="0" w:color="auto"/>
              <w:right w:val="single" w:sz="4" w:space="0" w:color="auto"/>
            </w:tcBorders>
            <w:vAlign w:val="center"/>
            <w:hideMark/>
          </w:tcPr>
          <w:p w14:paraId="3131CE44"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5EC2DFA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PM_D6</w:t>
            </w:r>
          </w:p>
        </w:tc>
        <w:tc>
          <w:tcPr>
            <w:tcW w:w="808" w:type="pct"/>
            <w:tcBorders>
              <w:top w:val="nil"/>
              <w:left w:val="nil"/>
              <w:bottom w:val="single" w:sz="4" w:space="0" w:color="auto"/>
              <w:right w:val="single" w:sz="4" w:space="0" w:color="auto"/>
            </w:tcBorders>
            <w:shd w:val="clear" w:color="auto" w:fill="auto"/>
            <w:vAlign w:val="center"/>
            <w:hideMark/>
          </w:tcPr>
          <w:p w14:paraId="750A87B8" w14:textId="044FBEF8"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Monitoring and revision of Just Transition Plan </w:t>
            </w:r>
          </w:p>
        </w:tc>
        <w:tc>
          <w:tcPr>
            <w:tcW w:w="510" w:type="pct"/>
            <w:tcBorders>
              <w:top w:val="nil"/>
              <w:left w:val="nil"/>
              <w:bottom w:val="single" w:sz="4" w:space="0" w:color="auto"/>
              <w:right w:val="single" w:sz="4" w:space="0" w:color="auto"/>
            </w:tcBorders>
            <w:shd w:val="clear" w:color="auto" w:fill="auto"/>
            <w:vAlign w:val="center"/>
            <w:hideMark/>
          </w:tcPr>
          <w:p w14:paraId="3005825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5E6573F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51E549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2.00</w:t>
            </w:r>
          </w:p>
        </w:tc>
        <w:tc>
          <w:tcPr>
            <w:tcW w:w="354" w:type="pct"/>
            <w:tcBorders>
              <w:top w:val="nil"/>
              <w:left w:val="nil"/>
              <w:bottom w:val="single" w:sz="4" w:space="0" w:color="auto"/>
              <w:right w:val="single" w:sz="4" w:space="0" w:color="auto"/>
            </w:tcBorders>
            <w:shd w:val="clear" w:color="000000" w:fill="E2EFDA"/>
            <w:vAlign w:val="center"/>
            <w:hideMark/>
          </w:tcPr>
          <w:p w14:paraId="27A130B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375" w:type="pct"/>
            <w:tcBorders>
              <w:top w:val="nil"/>
              <w:left w:val="nil"/>
              <w:bottom w:val="single" w:sz="4" w:space="0" w:color="auto"/>
              <w:right w:val="single" w:sz="4" w:space="0" w:color="auto"/>
            </w:tcBorders>
            <w:shd w:val="clear" w:color="000000" w:fill="E2EFDA"/>
            <w:vAlign w:val="center"/>
            <w:hideMark/>
          </w:tcPr>
          <w:p w14:paraId="6DD6343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419" w:type="pct"/>
            <w:tcBorders>
              <w:top w:val="nil"/>
              <w:left w:val="nil"/>
              <w:bottom w:val="single" w:sz="4" w:space="0" w:color="auto"/>
              <w:right w:val="single" w:sz="4" w:space="0" w:color="auto"/>
            </w:tcBorders>
            <w:shd w:val="clear" w:color="000000" w:fill="ED7D31"/>
            <w:vAlign w:val="center"/>
            <w:hideMark/>
          </w:tcPr>
          <w:p w14:paraId="4D9F19F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6BB42B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2.00</w:t>
            </w:r>
          </w:p>
        </w:tc>
        <w:tc>
          <w:tcPr>
            <w:tcW w:w="379" w:type="pct"/>
            <w:tcBorders>
              <w:top w:val="nil"/>
              <w:left w:val="nil"/>
              <w:bottom w:val="single" w:sz="4" w:space="0" w:color="auto"/>
              <w:right w:val="single" w:sz="4" w:space="0" w:color="auto"/>
            </w:tcBorders>
            <w:shd w:val="clear" w:color="000000" w:fill="ED7D31"/>
            <w:vAlign w:val="center"/>
            <w:hideMark/>
          </w:tcPr>
          <w:p w14:paraId="79EABAF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5A7F936" w14:textId="77777777" w:rsidTr="0087794A">
        <w:trPr>
          <w:cantSplit/>
          <w:trHeight w:val="20"/>
        </w:trPr>
        <w:tc>
          <w:tcPr>
            <w:tcW w:w="390" w:type="pct"/>
            <w:vMerge/>
            <w:tcBorders>
              <w:left w:val="single" w:sz="4" w:space="0" w:color="auto"/>
              <w:right w:val="single" w:sz="4" w:space="0" w:color="auto"/>
            </w:tcBorders>
            <w:vAlign w:val="center"/>
            <w:hideMark/>
          </w:tcPr>
          <w:p w14:paraId="09EBA19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FA1CC8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PM_D5</w:t>
            </w:r>
          </w:p>
        </w:tc>
        <w:tc>
          <w:tcPr>
            <w:tcW w:w="808" w:type="pct"/>
            <w:tcBorders>
              <w:top w:val="nil"/>
              <w:left w:val="nil"/>
              <w:bottom w:val="single" w:sz="4" w:space="0" w:color="auto"/>
              <w:right w:val="single" w:sz="4" w:space="0" w:color="auto"/>
            </w:tcBorders>
            <w:shd w:val="clear" w:color="auto" w:fill="auto"/>
            <w:vAlign w:val="center"/>
            <w:hideMark/>
          </w:tcPr>
          <w:p w14:paraId="6D2F5DB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Implementation of best available technologies in production processes in specific industries</w:t>
            </w:r>
          </w:p>
        </w:tc>
        <w:tc>
          <w:tcPr>
            <w:tcW w:w="510" w:type="pct"/>
            <w:tcBorders>
              <w:top w:val="nil"/>
              <w:left w:val="nil"/>
              <w:bottom w:val="single" w:sz="4" w:space="0" w:color="auto"/>
              <w:right w:val="single" w:sz="4" w:space="0" w:color="auto"/>
            </w:tcBorders>
            <w:shd w:val="clear" w:color="auto" w:fill="auto"/>
            <w:vAlign w:val="center"/>
            <w:hideMark/>
          </w:tcPr>
          <w:p w14:paraId="4D2BCC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2446286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3289E49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29.00</w:t>
            </w:r>
          </w:p>
        </w:tc>
        <w:tc>
          <w:tcPr>
            <w:tcW w:w="354" w:type="pct"/>
            <w:tcBorders>
              <w:top w:val="nil"/>
              <w:left w:val="nil"/>
              <w:bottom w:val="single" w:sz="4" w:space="0" w:color="auto"/>
              <w:right w:val="single" w:sz="4" w:space="0" w:color="auto"/>
            </w:tcBorders>
            <w:shd w:val="clear" w:color="000000" w:fill="E2EFDA"/>
            <w:vAlign w:val="center"/>
            <w:hideMark/>
          </w:tcPr>
          <w:p w14:paraId="6F14676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29.00</w:t>
            </w:r>
          </w:p>
        </w:tc>
        <w:tc>
          <w:tcPr>
            <w:tcW w:w="375" w:type="pct"/>
            <w:tcBorders>
              <w:top w:val="nil"/>
              <w:left w:val="nil"/>
              <w:bottom w:val="single" w:sz="4" w:space="0" w:color="auto"/>
              <w:right w:val="single" w:sz="4" w:space="0" w:color="auto"/>
            </w:tcBorders>
            <w:shd w:val="clear" w:color="000000" w:fill="E2EFDA"/>
            <w:vAlign w:val="center"/>
            <w:hideMark/>
          </w:tcPr>
          <w:p w14:paraId="7CCEAFE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203E3B0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0E6C6CB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29.00</w:t>
            </w:r>
          </w:p>
        </w:tc>
        <w:tc>
          <w:tcPr>
            <w:tcW w:w="379" w:type="pct"/>
            <w:tcBorders>
              <w:top w:val="nil"/>
              <w:left w:val="nil"/>
              <w:bottom w:val="single" w:sz="4" w:space="0" w:color="auto"/>
              <w:right w:val="single" w:sz="4" w:space="0" w:color="auto"/>
            </w:tcBorders>
            <w:shd w:val="clear" w:color="000000" w:fill="ED7D31"/>
            <w:vAlign w:val="center"/>
            <w:hideMark/>
          </w:tcPr>
          <w:p w14:paraId="7093802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3F58C1" w:rsidRPr="00207220" w14:paraId="7D23A864" w14:textId="77777777" w:rsidTr="0087794A">
        <w:trPr>
          <w:cantSplit/>
          <w:trHeight w:val="20"/>
        </w:trPr>
        <w:tc>
          <w:tcPr>
            <w:tcW w:w="390" w:type="pct"/>
            <w:vMerge/>
            <w:tcBorders>
              <w:left w:val="single" w:sz="4" w:space="0" w:color="auto"/>
              <w:right w:val="single" w:sz="4" w:space="0" w:color="auto"/>
            </w:tcBorders>
            <w:vAlign w:val="center"/>
            <w:hideMark/>
          </w:tcPr>
          <w:p w14:paraId="78106A80" w14:textId="77777777" w:rsidR="003F58C1" w:rsidRPr="00673450" w:rsidRDefault="003F58C1" w:rsidP="003F58C1">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8D2A132" w14:textId="77777777" w:rsidR="003F58C1" w:rsidRPr="00673450" w:rsidRDefault="003F58C1" w:rsidP="003F58C1">
            <w:pPr>
              <w:spacing w:after="0" w:line="240" w:lineRule="auto"/>
              <w:rPr>
                <w:rFonts w:ascii="Calibri" w:eastAsia="Times New Roman" w:hAnsi="Calibri" w:cs="Calibri"/>
                <w:sz w:val="15"/>
                <w:szCs w:val="15"/>
              </w:rPr>
            </w:pPr>
            <w:r w:rsidRPr="00673450">
              <w:rPr>
                <w:rFonts w:ascii="Calibri" w:hAnsi="Calibri" w:cs="Calibri"/>
                <w:sz w:val="15"/>
                <w:szCs w:val="15"/>
              </w:rPr>
              <w:t>PM_D5.1</w:t>
            </w:r>
          </w:p>
        </w:tc>
        <w:tc>
          <w:tcPr>
            <w:tcW w:w="808" w:type="pct"/>
            <w:tcBorders>
              <w:top w:val="nil"/>
              <w:left w:val="nil"/>
              <w:bottom w:val="single" w:sz="4" w:space="0" w:color="auto"/>
              <w:right w:val="single" w:sz="4" w:space="0" w:color="auto"/>
            </w:tcBorders>
            <w:shd w:val="clear" w:color="auto" w:fill="auto"/>
            <w:vAlign w:val="center"/>
            <w:hideMark/>
          </w:tcPr>
          <w:p w14:paraId="337EB5D6" w14:textId="77777777" w:rsidR="003F58C1" w:rsidRPr="00673450" w:rsidRDefault="003F58C1" w:rsidP="003F58C1">
            <w:pPr>
              <w:spacing w:after="0" w:line="240" w:lineRule="auto"/>
              <w:rPr>
                <w:rFonts w:ascii="Calibri" w:eastAsia="Times New Roman" w:hAnsi="Calibri" w:cs="Calibri"/>
                <w:sz w:val="15"/>
                <w:szCs w:val="15"/>
              </w:rPr>
            </w:pPr>
            <w:r w:rsidRPr="00673450">
              <w:rPr>
                <w:rFonts w:ascii="Calibri" w:hAnsi="Calibri" w:cs="Calibri"/>
                <w:sz w:val="15"/>
                <w:szCs w:val="15"/>
              </w:rPr>
              <w:t>Measures for the reduction of emissions of fluorinated gases with greenhouse effect in the refrigeration and air conditioning equipment</w:t>
            </w:r>
          </w:p>
        </w:tc>
        <w:tc>
          <w:tcPr>
            <w:tcW w:w="510" w:type="pct"/>
            <w:tcBorders>
              <w:top w:val="nil"/>
              <w:left w:val="nil"/>
              <w:bottom w:val="single" w:sz="4" w:space="0" w:color="auto"/>
              <w:right w:val="single" w:sz="4" w:space="0" w:color="auto"/>
            </w:tcBorders>
            <w:shd w:val="clear" w:color="auto" w:fill="auto"/>
            <w:vAlign w:val="center"/>
            <w:hideMark/>
          </w:tcPr>
          <w:p w14:paraId="1F128ED6" w14:textId="77777777" w:rsidR="003F58C1" w:rsidRPr="00673450" w:rsidRDefault="003F58C1" w:rsidP="003F58C1">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25FE7525" w14:textId="77777777" w:rsidR="003F58C1" w:rsidRPr="00673450" w:rsidRDefault="003F58C1" w:rsidP="003F58C1">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2DE0D845" w14:textId="77777777" w:rsidR="003F58C1" w:rsidRPr="003F58C1" w:rsidRDefault="003F58C1" w:rsidP="003F58C1">
            <w:pPr>
              <w:spacing w:after="0" w:line="240" w:lineRule="auto"/>
              <w:jc w:val="center"/>
              <w:rPr>
                <w:rFonts w:ascii="Calibri" w:hAnsi="Calibri" w:cs="Calibri"/>
                <w:sz w:val="15"/>
                <w:szCs w:val="15"/>
              </w:rPr>
            </w:pPr>
            <w:r w:rsidRPr="00673450">
              <w:rPr>
                <w:rFonts w:ascii="Calibri" w:hAnsi="Calibri" w:cs="Calibri"/>
                <w:sz w:val="15"/>
                <w:szCs w:val="15"/>
              </w:rPr>
              <w:t>under examination</w:t>
            </w:r>
          </w:p>
        </w:tc>
        <w:tc>
          <w:tcPr>
            <w:tcW w:w="354" w:type="pct"/>
            <w:tcBorders>
              <w:top w:val="nil"/>
              <w:left w:val="nil"/>
              <w:bottom w:val="single" w:sz="4" w:space="0" w:color="auto"/>
              <w:right w:val="single" w:sz="4" w:space="0" w:color="auto"/>
            </w:tcBorders>
            <w:shd w:val="clear" w:color="000000" w:fill="E2EFDA"/>
            <w:vAlign w:val="center"/>
            <w:hideMark/>
          </w:tcPr>
          <w:p w14:paraId="25D5A204" w14:textId="77777777" w:rsidR="003F58C1" w:rsidRPr="003F58C1" w:rsidRDefault="003F58C1" w:rsidP="003F58C1">
            <w:pPr>
              <w:spacing w:after="0" w:line="240" w:lineRule="auto"/>
              <w:jc w:val="center"/>
              <w:rPr>
                <w:rFonts w:ascii="Calibri"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E2EFDA"/>
            <w:vAlign w:val="center"/>
            <w:hideMark/>
          </w:tcPr>
          <w:p w14:paraId="0FB529DB" w14:textId="77777777" w:rsidR="003F58C1" w:rsidRPr="003F58C1" w:rsidRDefault="003F58C1" w:rsidP="003F58C1">
            <w:pPr>
              <w:spacing w:after="0" w:line="240" w:lineRule="auto"/>
              <w:jc w:val="center"/>
              <w:rPr>
                <w:rFonts w:ascii="Calibri"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D7D31"/>
            <w:vAlign w:val="center"/>
            <w:hideMark/>
          </w:tcPr>
          <w:p w14:paraId="34136517" w14:textId="77777777" w:rsidR="003F58C1" w:rsidRPr="003F58C1" w:rsidRDefault="003F58C1" w:rsidP="003F58C1">
            <w:pPr>
              <w:spacing w:after="0" w:line="240" w:lineRule="auto"/>
              <w:jc w:val="center"/>
              <w:rPr>
                <w:rFonts w:ascii="Calibri"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6719F57A" w14:textId="77777777" w:rsidR="003F58C1" w:rsidRPr="003F58C1" w:rsidRDefault="003F58C1" w:rsidP="003F58C1">
            <w:pPr>
              <w:spacing w:after="0" w:line="240" w:lineRule="auto"/>
              <w:jc w:val="center"/>
              <w:rPr>
                <w:rFonts w:ascii="Calibri" w:hAnsi="Calibri" w:cs="Calibri"/>
                <w:sz w:val="15"/>
                <w:szCs w:val="15"/>
              </w:rPr>
            </w:pPr>
            <w:r w:rsidRPr="00673450">
              <w:rPr>
                <w:rFonts w:ascii="Calibri" w:hAnsi="Calibri" w:cs="Calibri"/>
                <w:sz w:val="15"/>
                <w:szCs w:val="15"/>
              </w:rPr>
              <w:t>under examination</w:t>
            </w:r>
          </w:p>
        </w:tc>
        <w:tc>
          <w:tcPr>
            <w:tcW w:w="379" w:type="pct"/>
            <w:tcBorders>
              <w:top w:val="nil"/>
              <w:left w:val="nil"/>
              <w:bottom w:val="single" w:sz="4" w:space="0" w:color="auto"/>
              <w:right w:val="single" w:sz="4" w:space="0" w:color="auto"/>
            </w:tcBorders>
            <w:shd w:val="clear" w:color="000000" w:fill="ED7D31"/>
            <w:vAlign w:val="center"/>
            <w:hideMark/>
          </w:tcPr>
          <w:p w14:paraId="69EB2627" w14:textId="77777777" w:rsidR="003F58C1" w:rsidRPr="003F58C1" w:rsidRDefault="003F58C1" w:rsidP="003F58C1">
            <w:pPr>
              <w:spacing w:after="0" w:line="240" w:lineRule="auto"/>
              <w:jc w:val="center"/>
              <w:rPr>
                <w:rFonts w:ascii="Calibri" w:hAnsi="Calibri" w:cs="Calibri"/>
                <w:sz w:val="15"/>
                <w:szCs w:val="15"/>
              </w:rPr>
            </w:pPr>
            <w:r w:rsidRPr="00673450">
              <w:rPr>
                <w:rFonts w:ascii="Calibri" w:hAnsi="Calibri" w:cs="Calibri"/>
                <w:sz w:val="15"/>
                <w:szCs w:val="15"/>
              </w:rPr>
              <w:t>0.00</w:t>
            </w:r>
          </w:p>
        </w:tc>
      </w:tr>
      <w:tr w:rsidR="00663039" w:rsidRPr="00207220" w14:paraId="7128AAFB" w14:textId="77777777" w:rsidTr="0087794A">
        <w:trPr>
          <w:cantSplit/>
          <w:trHeight w:val="20"/>
        </w:trPr>
        <w:tc>
          <w:tcPr>
            <w:tcW w:w="390" w:type="pct"/>
            <w:vMerge/>
            <w:tcBorders>
              <w:left w:val="single" w:sz="4" w:space="0" w:color="auto"/>
              <w:right w:val="single" w:sz="4" w:space="0" w:color="auto"/>
            </w:tcBorders>
            <w:vAlign w:val="center"/>
            <w:hideMark/>
          </w:tcPr>
          <w:p w14:paraId="5BFFF8B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05F47B9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PM_D14</w:t>
            </w:r>
          </w:p>
        </w:tc>
        <w:tc>
          <w:tcPr>
            <w:tcW w:w="808" w:type="pct"/>
            <w:tcBorders>
              <w:top w:val="nil"/>
              <w:left w:val="nil"/>
              <w:bottom w:val="single" w:sz="4" w:space="0" w:color="auto"/>
              <w:right w:val="single" w:sz="4" w:space="0" w:color="auto"/>
            </w:tcBorders>
            <w:shd w:val="clear" w:color="auto" w:fill="auto"/>
            <w:vAlign w:val="center"/>
            <w:hideMark/>
          </w:tcPr>
          <w:p w14:paraId="0F3608C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Improvement of wastewater treatment and discharge system</w:t>
            </w:r>
          </w:p>
        </w:tc>
        <w:tc>
          <w:tcPr>
            <w:tcW w:w="510" w:type="pct"/>
            <w:tcBorders>
              <w:top w:val="nil"/>
              <w:left w:val="nil"/>
              <w:bottom w:val="single" w:sz="4" w:space="0" w:color="auto"/>
              <w:right w:val="single" w:sz="4" w:space="0" w:color="auto"/>
            </w:tcBorders>
            <w:shd w:val="clear" w:color="auto" w:fill="auto"/>
            <w:vAlign w:val="center"/>
            <w:hideMark/>
          </w:tcPr>
          <w:p w14:paraId="26FC7C1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3F321D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00A7931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90.00</w:t>
            </w:r>
          </w:p>
        </w:tc>
        <w:tc>
          <w:tcPr>
            <w:tcW w:w="354" w:type="pct"/>
            <w:tcBorders>
              <w:top w:val="nil"/>
              <w:left w:val="nil"/>
              <w:bottom w:val="single" w:sz="4" w:space="0" w:color="auto"/>
              <w:right w:val="single" w:sz="4" w:space="0" w:color="auto"/>
            </w:tcBorders>
            <w:shd w:val="clear" w:color="000000" w:fill="E2EFDA"/>
            <w:vAlign w:val="center"/>
            <w:hideMark/>
          </w:tcPr>
          <w:p w14:paraId="37C1A4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90.00</w:t>
            </w:r>
          </w:p>
        </w:tc>
        <w:tc>
          <w:tcPr>
            <w:tcW w:w="375" w:type="pct"/>
            <w:tcBorders>
              <w:top w:val="nil"/>
              <w:left w:val="nil"/>
              <w:bottom w:val="single" w:sz="4" w:space="0" w:color="auto"/>
              <w:right w:val="single" w:sz="4" w:space="0" w:color="auto"/>
            </w:tcBorders>
            <w:shd w:val="clear" w:color="000000" w:fill="E2EFDA"/>
            <w:vAlign w:val="center"/>
            <w:hideMark/>
          </w:tcPr>
          <w:p w14:paraId="1ABE8AD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1AE2424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7515C9F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90.00</w:t>
            </w:r>
          </w:p>
        </w:tc>
        <w:tc>
          <w:tcPr>
            <w:tcW w:w="379" w:type="pct"/>
            <w:tcBorders>
              <w:top w:val="nil"/>
              <w:left w:val="nil"/>
              <w:bottom w:val="single" w:sz="4" w:space="0" w:color="auto"/>
              <w:right w:val="single" w:sz="4" w:space="0" w:color="auto"/>
            </w:tcBorders>
            <w:shd w:val="clear" w:color="000000" w:fill="ED7D31"/>
            <w:vAlign w:val="center"/>
            <w:hideMark/>
          </w:tcPr>
          <w:p w14:paraId="5FF2656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293520A" w14:textId="77777777" w:rsidTr="0087794A">
        <w:trPr>
          <w:cantSplit/>
          <w:trHeight w:val="20"/>
        </w:trPr>
        <w:tc>
          <w:tcPr>
            <w:tcW w:w="390" w:type="pct"/>
            <w:vMerge/>
            <w:tcBorders>
              <w:left w:val="single" w:sz="4" w:space="0" w:color="auto"/>
              <w:right w:val="single" w:sz="4" w:space="0" w:color="auto"/>
            </w:tcBorders>
            <w:vAlign w:val="center"/>
            <w:hideMark/>
          </w:tcPr>
          <w:p w14:paraId="4034507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3200246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PM_D15</w:t>
            </w:r>
          </w:p>
        </w:tc>
        <w:tc>
          <w:tcPr>
            <w:tcW w:w="808" w:type="pct"/>
            <w:tcBorders>
              <w:top w:val="nil"/>
              <w:left w:val="nil"/>
              <w:bottom w:val="single" w:sz="4" w:space="0" w:color="auto"/>
              <w:right w:val="single" w:sz="4" w:space="0" w:color="auto"/>
            </w:tcBorders>
            <w:shd w:val="clear" w:color="auto" w:fill="auto"/>
            <w:vAlign w:val="center"/>
            <w:hideMark/>
          </w:tcPr>
          <w:p w14:paraId="4A80385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Improvement of municipal waste management system, through increased recycling rates, reduced disposal of biodegradable waste on landfills and unsanitary landfills</w:t>
            </w:r>
          </w:p>
        </w:tc>
        <w:tc>
          <w:tcPr>
            <w:tcW w:w="510" w:type="pct"/>
            <w:tcBorders>
              <w:top w:val="nil"/>
              <w:left w:val="nil"/>
              <w:bottom w:val="single" w:sz="4" w:space="0" w:color="auto"/>
              <w:right w:val="single" w:sz="4" w:space="0" w:color="auto"/>
            </w:tcBorders>
            <w:shd w:val="clear" w:color="auto" w:fill="auto"/>
            <w:vAlign w:val="center"/>
            <w:hideMark/>
          </w:tcPr>
          <w:p w14:paraId="33FF182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5C4F991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4B0F54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80.00</w:t>
            </w:r>
          </w:p>
        </w:tc>
        <w:tc>
          <w:tcPr>
            <w:tcW w:w="354" w:type="pct"/>
            <w:tcBorders>
              <w:top w:val="nil"/>
              <w:left w:val="nil"/>
              <w:bottom w:val="single" w:sz="4" w:space="0" w:color="auto"/>
              <w:right w:val="single" w:sz="4" w:space="0" w:color="auto"/>
            </w:tcBorders>
            <w:shd w:val="clear" w:color="000000" w:fill="E2EFDA"/>
            <w:vAlign w:val="center"/>
            <w:hideMark/>
          </w:tcPr>
          <w:p w14:paraId="43BE6A2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80.00</w:t>
            </w:r>
          </w:p>
        </w:tc>
        <w:tc>
          <w:tcPr>
            <w:tcW w:w="375" w:type="pct"/>
            <w:tcBorders>
              <w:top w:val="nil"/>
              <w:left w:val="nil"/>
              <w:bottom w:val="single" w:sz="4" w:space="0" w:color="auto"/>
              <w:right w:val="single" w:sz="4" w:space="0" w:color="auto"/>
            </w:tcBorders>
            <w:shd w:val="clear" w:color="000000" w:fill="E2EFDA"/>
            <w:vAlign w:val="center"/>
            <w:hideMark/>
          </w:tcPr>
          <w:p w14:paraId="7AFC21F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35B067A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4B85915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80.00</w:t>
            </w:r>
          </w:p>
        </w:tc>
        <w:tc>
          <w:tcPr>
            <w:tcW w:w="379" w:type="pct"/>
            <w:tcBorders>
              <w:top w:val="nil"/>
              <w:left w:val="nil"/>
              <w:bottom w:val="single" w:sz="4" w:space="0" w:color="auto"/>
              <w:right w:val="single" w:sz="4" w:space="0" w:color="auto"/>
            </w:tcBorders>
            <w:shd w:val="clear" w:color="000000" w:fill="ED7D31"/>
            <w:vAlign w:val="center"/>
            <w:hideMark/>
          </w:tcPr>
          <w:p w14:paraId="5E25935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F613512" w14:textId="77777777" w:rsidTr="0087794A">
        <w:trPr>
          <w:cantSplit/>
          <w:trHeight w:val="20"/>
        </w:trPr>
        <w:tc>
          <w:tcPr>
            <w:tcW w:w="390" w:type="pct"/>
            <w:vMerge/>
            <w:tcBorders>
              <w:left w:val="single" w:sz="4" w:space="0" w:color="auto"/>
              <w:right w:val="single" w:sz="4" w:space="0" w:color="auto"/>
            </w:tcBorders>
            <w:vAlign w:val="center"/>
            <w:hideMark/>
          </w:tcPr>
          <w:p w14:paraId="48BF421E"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C5855B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PM_D16</w:t>
            </w:r>
          </w:p>
        </w:tc>
        <w:tc>
          <w:tcPr>
            <w:tcW w:w="808" w:type="pct"/>
            <w:tcBorders>
              <w:top w:val="nil"/>
              <w:left w:val="nil"/>
              <w:bottom w:val="single" w:sz="4" w:space="0" w:color="auto"/>
              <w:right w:val="single" w:sz="4" w:space="0" w:color="auto"/>
            </w:tcBorders>
            <w:shd w:val="clear" w:color="auto" w:fill="auto"/>
            <w:vAlign w:val="center"/>
            <w:hideMark/>
          </w:tcPr>
          <w:p w14:paraId="13DDE92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Higher percentage of municipal solid waste treated by biological treatment options </w:t>
            </w:r>
          </w:p>
        </w:tc>
        <w:tc>
          <w:tcPr>
            <w:tcW w:w="510" w:type="pct"/>
            <w:tcBorders>
              <w:top w:val="nil"/>
              <w:left w:val="nil"/>
              <w:bottom w:val="single" w:sz="4" w:space="0" w:color="auto"/>
              <w:right w:val="single" w:sz="4" w:space="0" w:color="auto"/>
            </w:tcBorders>
            <w:shd w:val="clear" w:color="auto" w:fill="auto"/>
            <w:vAlign w:val="center"/>
            <w:hideMark/>
          </w:tcPr>
          <w:p w14:paraId="4346980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0643C92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188608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c>
          <w:tcPr>
            <w:tcW w:w="354" w:type="pct"/>
            <w:tcBorders>
              <w:top w:val="nil"/>
              <w:left w:val="nil"/>
              <w:bottom w:val="single" w:sz="4" w:space="0" w:color="auto"/>
              <w:right w:val="single" w:sz="4" w:space="0" w:color="auto"/>
            </w:tcBorders>
            <w:shd w:val="clear" w:color="000000" w:fill="E2EFDA"/>
            <w:vAlign w:val="center"/>
            <w:hideMark/>
          </w:tcPr>
          <w:p w14:paraId="17EC6EA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c>
          <w:tcPr>
            <w:tcW w:w="375" w:type="pct"/>
            <w:tcBorders>
              <w:top w:val="nil"/>
              <w:left w:val="nil"/>
              <w:bottom w:val="single" w:sz="4" w:space="0" w:color="auto"/>
              <w:right w:val="single" w:sz="4" w:space="0" w:color="auto"/>
            </w:tcBorders>
            <w:shd w:val="clear" w:color="000000" w:fill="E2EFDA"/>
            <w:vAlign w:val="center"/>
            <w:hideMark/>
          </w:tcPr>
          <w:p w14:paraId="645D619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6D76D4A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02C8AD8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c>
          <w:tcPr>
            <w:tcW w:w="379" w:type="pct"/>
            <w:tcBorders>
              <w:top w:val="nil"/>
              <w:left w:val="nil"/>
              <w:bottom w:val="single" w:sz="4" w:space="0" w:color="auto"/>
              <w:right w:val="single" w:sz="4" w:space="0" w:color="auto"/>
            </w:tcBorders>
            <w:shd w:val="clear" w:color="000000" w:fill="ED7D31"/>
            <w:vAlign w:val="center"/>
            <w:hideMark/>
          </w:tcPr>
          <w:p w14:paraId="67B53FE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18D890C9" w14:textId="77777777" w:rsidTr="0087794A">
        <w:trPr>
          <w:cantSplit/>
          <w:trHeight w:val="20"/>
        </w:trPr>
        <w:tc>
          <w:tcPr>
            <w:tcW w:w="390" w:type="pct"/>
            <w:vMerge/>
            <w:tcBorders>
              <w:left w:val="single" w:sz="4" w:space="0" w:color="auto"/>
              <w:right w:val="single" w:sz="4" w:space="0" w:color="auto"/>
            </w:tcBorders>
            <w:vAlign w:val="center"/>
            <w:hideMark/>
          </w:tcPr>
          <w:p w14:paraId="3F3DCE34"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411C727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PM_D17</w:t>
            </w:r>
          </w:p>
        </w:tc>
        <w:tc>
          <w:tcPr>
            <w:tcW w:w="808" w:type="pct"/>
            <w:tcBorders>
              <w:top w:val="nil"/>
              <w:left w:val="nil"/>
              <w:bottom w:val="single" w:sz="4" w:space="0" w:color="auto"/>
              <w:right w:val="single" w:sz="4" w:space="0" w:color="auto"/>
            </w:tcBorders>
            <w:shd w:val="clear" w:color="auto" w:fill="auto"/>
            <w:vAlign w:val="center"/>
            <w:hideMark/>
          </w:tcPr>
          <w:p w14:paraId="7B60F7D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Utilisation of the entire amount of methane (CH4) generated from all the dumped quantities of waste that end up in sanitary landfills </w:t>
            </w:r>
          </w:p>
        </w:tc>
        <w:tc>
          <w:tcPr>
            <w:tcW w:w="510" w:type="pct"/>
            <w:tcBorders>
              <w:top w:val="nil"/>
              <w:left w:val="nil"/>
              <w:bottom w:val="single" w:sz="4" w:space="0" w:color="auto"/>
              <w:right w:val="single" w:sz="4" w:space="0" w:color="auto"/>
            </w:tcBorders>
            <w:shd w:val="clear" w:color="auto" w:fill="auto"/>
            <w:vAlign w:val="center"/>
            <w:hideMark/>
          </w:tcPr>
          <w:p w14:paraId="521078B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5CF4430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21BC13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48.00</w:t>
            </w:r>
          </w:p>
        </w:tc>
        <w:tc>
          <w:tcPr>
            <w:tcW w:w="354" w:type="pct"/>
            <w:tcBorders>
              <w:top w:val="nil"/>
              <w:left w:val="nil"/>
              <w:bottom w:val="single" w:sz="4" w:space="0" w:color="auto"/>
              <w:right w:val="single" w:sz="4" w:space="0" w:color="auto"/>
            </w:tcBorders>
            <w:shd w:val="clear" w:color="000000" w:fill="E2EFDA"/>
            <w:vAlign w:val="center"/>
            <w:hideMark/>
          </w:tcPr>
          <w:p w14:paraId="474A924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48.00</w:t>
            </w:r>
          </w:p>
        </w:tc>
        <w:tc>
          <w:tcPr>
            <w:tcW w:w="375" w:type="pct"/>
            <w:tcBorders>
              <w:top w:val="nil"/>
              <w:left w:val="nil"/>
              <w:bottom w:val="single" w:sz="4" w:space="0" w:color="auto"/>
              <w:right w:val="single" w:sz="4" w:space="0" w:color="auto"/>
            </w:tcBorders>
            <w:shd w:val="clear" w:color="000000" w:fill="E2EFDA"/>
            <w:vAlign w:val="center"/>
            <w:hideMark/>
          </w:tcPr>
          <w:p w14:paraId="12DBB3B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118A7D9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090041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48.00</w:t>
            </w:r>
          </w:p>
        </w:tc>
        <w:tc>
          <w:tcPr>
            <w:tcW w:w="379" w:type="pct"/>
            <w:tcBorders>
              <w:top w:val="nil"/>
              <w:left w:val="nil"/>
              <w:bottom w:val="single" w:sz="4" w:space="0" w:color="auto"/>
              <w:right w:val="single" w:sz="4" w:space="0" w:color="auto"/>
            </w:tcBorders>
            <w:shd w:val="clear" w:color="000000" w:fill="ED7D31"/>
            <w:vAlign w:val="center"/>
            <w:hideMark/>
          </w:tcPr>
          <w:p w14:paraId="69D12DD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AA62877" w14:textId="77777777" w:rsidTr="0087794A">
        <w:trPr>
          <w:cantSplit/>
          <w:trHeight w:val="20"/>
        </w:trPr>
        <w:tc>
          <w:tcPr>
            <w:tcW w:w="390" w:type="pct"/>
            <w:vMerge/>
            <w:tcBorders>
              <w:left w:val="single" w:sz="4" w:space="0" w:color="auto"/>
              <w:right w:val="single" w:sz="4" w:space="0" w:color="auto"/>
            </w:tcBorders>
            <w:vAlign w:val="center"/>
            <w:hideMark/>
          </w:tcPr>
          <w:p w14:paraId="4737364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C2A11A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PM_D18</w:t>
            </w:r>
          </w:p>
        </w:tc>
        <w:tc>
          <w:tcPr>
            <w:tcW w:w="808" w:type="pct"/>
            <w:tcBorders>
              <w:top w:val="nil"/>
              <w:left w:val="nil"/>
              <w:bottom w:val="single" w:sz="4" w:space="0" w:color="auto"/>
              <w:right w:val="single" w:sz="4" w:space="0" w:color="auto"/>
            </w:tcBorders>
            <w:shd w:val="clear" w:color="auto" w:fill="auto"/>
            <w:vAlign w:val="center"/>
            <w:hideMark/>
          </w:tcPr>
          <w:p w14:paraId="64F498B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composting in both centralised and household perspectives</w:t>
            </w:r>
          </w:p>
        </w:tc>
        <w:tc>
          <w:tcPr>
            <w:tcW w:w="510" w:type="pct"/>
            <w:tcBorders>
              <w:top w:val="nil"/>
              <w:left w:val="nil"/>
              <w:bottom w:val="single" w:sz="4" w:space="0" w:color="auto"/>
              <w:right w:val="single" w:sz="4" w:space="0" w:color="auto"/>
            </w:tcBorders>
            <w:shd w:val="clear" w:color="auto" w:fill="auto"/>
            <w:vAlign w:val="center"/>
            <w:hideMark/>
          </w:tcPr>
          <w:p w14:paraId="1693D59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4076AAC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238327E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60.00</w:t>
            </w:r>
          </w:p>
        </w:tc>
        <w:tc>
          <w:tcPr>
            <w:tcW w:w="354" w:type="pct"/>
            <w:tcBorders>
              <w:top w:val="nil"/>
              <w:left w:val="nil"/>
              <w:bottom w:val="single" w:sz="4" w:space="0" w:color="auto"/>
              <w:right w:val="single" w:sz="4" w:space="0" w:color="auto"/>
            </w:tcBorders>
            <w:shd w:val="clear" w:color="000000" w:fill="E2EFDA"/>
            <w:vAlign w:val="center"/>
            <w:hideMark/>
          </w:tcPr>
          <w:p w14:paraId="799DBF6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60.00</w:t>
            </w:r>
          </w:p>
        </w:tc>
        <w:tc>
          <w:tcPr>
            <w:tcW w:w="375" w:type="pct"/>
            <w:tcBorders>
              <w:top w:val="nil"/>
              <w:left w:val="nil"/>
              <w:bottom w:val="single" w:sz="4" w:space="0" w:color="auto"/>
              <w:right w:val="single" w:sz="4" w:space="0" w:color="auto"/>
            </w:tcBorders>
            <w:shd w:val="clear" w:color="000000" w:fill="E2EFDA"/>
            <w:vAlign w:val="center"/>
            <w:hideMark/>
          </w:tcPr>
          <w:p w14:paraId="33C5868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3BC698E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4CE5723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60.00</w:t>
            </w:r>
          </w:p>
        </w:tc>
        <w:tc>
          <w:tcPr>
            <w:tcW w:w="379" w:type="pct"/>
            <w:tcBorders>
              <w:top w:val="nil"/>
              <w:left w:val="nil"/>
              <w:bottom w:val="single" w:sz="4" w:space="0" w:color="auto"/>
              <w:right w:val="single" w:sz="4" w:space="0" w:color="auto"/>
            </w:tcBorders>
            <w:shd w:val="clear" w:color="000000" w:fill="ED7D31"/>
            <w:vAlign w:val="center"/>
            <w:hideMark/>
          </w:tcPr>
          <w:p w14:paraId="195AC78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5772594C" w14:textId="77777777" w:rsidTr="0087794A">
        <w:trPr>
          <w:cantSplit/>
          <w:trHeight w:val="20"/>
        </w:trPr>
        <w:tc>
          <w:tcPr>
            <w:tcW w:w="390" w:type="pct"/>
            <w:vMerge/>
            <w:tcBorders>
              <w:left w:val="single" w:sz="4" w:space="0" w:color="auto"/>
              <w:right w:val="single" w:sz="4" w:space="0" w:color="auto"/>
            </w:tcBorders>
            <w:vAlign w:val="center"/>
            <w:hideMark/>
          </w:tcPr>
          <w:p w14:paraId="636B389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365FCA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PM_D7</w:t>
            </w:r>
          </w:p>
        </w:tc>
        <w:tc>
          <w:tcPr>
            <w:tcW w:w="808" w:type="pct"/>
            <w:tcBorders>
              <w:top w:val="nil"/>
              <w:left w:val="nil"/>
              <w:bottom w:val="single" w:sz="4" w:space="0" w:color="auto"/>
              <w:right w:val="single" w:sz="4" w:space="0" w:color="auto"/>
            </w:tcBorders>
            <w:shd w:val="clear" w:color="auto" w:fill="auto"/>
            <w:vAlign w:val="center"/>
            <w:hideMark/>
          </w:tcPr>
          <w:p w14:paraId="1A9959D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Sustainable forest management (forest land remaining forest land)</w:t>
            </w:r>
          </w:p>
        </w:tc>
        <w:tc>
          <w:tcPr>
            <w:tcW w:w="510" w:type="pct"/>
            <w:tcBorders>
              <w:top w:val="nil"/>
              <w:left w:val="nil"/>
              <w:bottom w:val="single" w:sz="4" w:space="0" w:color="auto"/>
              <w:right w:val="single" w:sz="4" w:space="0" w:color="auto"/>
            </w:tcBorders>
            <w:shd w:val="clear" w:color="auto" w:fill="auto"/>
            <w:vAlign w:val="center"/>
            <w:hideMark/>
          </w:tcPr>
          <w:p w14:paraId="0817A30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0DD555C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4C4862C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354.00</w:t>
            </w:r>
          </w:p>
        </w:tc>
        <w:tc>
          <w:tcPr>
            <w:tcW w:w="354" w:type="pct"/>
            <w:tcBorders>
              <w:top w:val="nil"/>
              <w:left w:val="nil"/>
              <w:bottom w:val="single" w:sz="4" w:space="0" w:color="auto"/>
              <w:right w:val="single" w:sz="4" w:space="0" w:color="auto"/>
            </w:tcBorders>
            <w:shd w:val="clear" w:color="000000" w:fill="E2EFDA"/>
            <w:vAlign w:val="center"/>
            <w:hideMark/>
          </w:tcPr>
          <w:p w14:paraId="10030C1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354.00</w:t>
            </w:r>
          </w:p>
        </w:tc>
        <w:tc>
          <w:tcPr>
            <w:tcW w:w="375" w:type="pct"/>
            <w:tcBorders>
              <w:top w:val="nil"/>
              <w:left w:val="nil"/>
              <w:bottom w:val="single" w:sz="4" w:space="0" w:color="auto"/>
              <w:right w:val="single" w:sz="4" w:space="0" w:color="auto"/>
            </w:tcBorders>
            <w:shd w:val="clear" w:color="000000" w:fill="E2EFDA"/>
            <w:vAlign w:val="center"/>
            <w:hideMark/>
          </w:tcPr>
          <w:p w14:paraId="5FF3C25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25738AB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5C9CE1F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354.00</w:t>
            </w:r>
          </w:p>
        </w:tc>
        <w:tc>
          <w:tcPr>
            <w:tcW w:w="379" w:type="pct"/>
            <w:tcBorders>
              <w:top w:val="nil"/>
              <w:left w:val="nil"/>
              <w:bottom w:val="single" w:sz="4" w:space="0" w:color="auto"/>
              <w:right w:val="single" w:sz="4" w:space="0" w:color="auto"/>
            </w:tcBorders>
            <w:shd w:val="clear" w:color="000000" w:fill="ED7D31"/>
            <w:vAlign w:val="center"/>
            <w:hideMark/>
          </w:tcPr>
          <w:p w14:paraId="0995EB5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598BD56E" w14:textId="77777777" w:rsidTr="0087794A">
        <w:trPr>
          <w:cantSplit/>
          <w:trHeight w:val="20"/>
        </w:trPr>
        <w:tc>
          <w:tcPr>
            <w:tcW w:w="390" w:type="pct"/>
            <w:vMerge/>
            <w:tcBorders>
              <w:left w:val="single" w:sz="4" w:space="0" w:color="auto"/>
              <w:right w:val="single" w:sz="4" w:space="0" w:color="auto"/>
            </w:tcBorders>
            <w:vAlign w:val="center"/>
            <w:hideMark/>
          </w:tcPr>
          <w:p w14:paraId="58D899A4"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088B0B0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PM_D8</w:t>
            </w:r>
          </w:p>
        </w:tc>
        <w:tc>
          <w:tcPr>
            <w:tcW w:w="808" w:type="pct"/>
            <w:tcBorders>
              <w:top w:val="nil"/>
              <w:left w:val="nil"/>
              <w:bottom w:val="single" w:sz="4" w:space="0" w:color="auto"/>
              <w:right w:val="single" w:sz="4" w:space="0" w:color="auto"/>
            </w:tcBorders>
            <w:shd w:val="clear" w:color="auto" w:fill="auto"/>
            <w:vAlign w:val="center"/>
            <w:hideMark/>
          </w:tcPr>
          <w:p w14:paraId="593325A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Waste lands conversion to croplands</w:t>
            </w:r>
          </w:p>
        </w:tc>
        <w:tc>
          <w:tcPr>
            <w:tcW w:w="510" w:type="pct"/>
            <w:tcBorders>
              <w:top w:val="nil"/>
              <w:left w:val="nil"/>
              <w:bottom w:val="single" w:sz="4" w:space="0" w:color="auto"/>
              <w:right w:val="single" w:sz="4" w:space="0" w:color="auto"/>
            </w:tcBorders>
            <w:shd w:val="clear" w:color="auto" w:fill="auto"/>
            <w:vAlign w:val="center"/>
            <w:hideMark/>
          </w:tcPr>
          <w:p w14:paraId="1A39035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1840E70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0CEB147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w:t>
            </w:r>
          </w:p>
        </w:tc>
        <w:tc>
          <w:tcPr>
            <w:tcW w:w="354" w:type="pct"/>
            <w:tcBorders>
              <w:top w:val="nil"/>
              <w:left w:val="nil"/>
              <w:bottom w:val="single" w:sz="4" w:space="0" w:color="auto"/>
              <w:right w:val="single" w:sz="4" w:space="0" w:color="auto"/>
            </w:tcBorders>
            <w:shd w:val="clear" w:color="000000" w:fill="E2EFDA"/>
            <w:vAlign w:val="center"/>
            <w:hideMark/>
          </w:tcPr>
          <w:p w14:paraId="317DD44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w:t>
            </w:r>
          </w:p>
        </w:tc>
        <w:tc>
          <w:tcPr>
            <w:tcW w:w="375" w:type="pct"/>
            <w:tcBorders>
              <w:top w:val="nil"/>
              <w:left w:val="nil"/>
              <w:bottom w:val="single" w:sz="4" w:space="0" w:color="auto"/>
              <w:right w:val="single" w:sz="4" w:space="0" w:color="auto"/>
            </w:tcBorders>
            <w:shd w:val="clear" w:color="000000" w:fill="E2EFDA"/>
            <w:vAlign w:val="center"/>
            <w:hideMark/>
          </w:tcPr>
          <w:p w14:paraId="4346867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03A1135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556FCC7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w:t>
            </w:r>
          </w:p>
        </w:tc>
        <w:tc>
          <w:tcPr>
            <w:tcW w:w="379" w:type="pct"/>
            <w:tcBorders>
              <w:top w:val="nil"/>
              <w:left w:val="nil"/>
              <w:bottom w:val="single" w:sz="4" w:space="0" w:color="auto"/>
              <w:right w:val="single" w:sz="4" w:space="0" w:color="auto"/>
            </w:tcBorders>
            <w:shd w:val="clear" w:color="000000" w:fill="ED7D31"/>
            <w:vAlign w:val="center"/>
            <w:hideMark/>
          </w:tcPr>
          <w:p w14:paraId="3D03E59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5774BA3" w14:textId="77777777" w:rsidTr="0087794A">
        <w:trPr>
          <w:cantSplit/>
          <w:trHeight w:val="20"/>
        </w:trPr>
        <w:tc>
          <w:tcPr>
            <w:tcW w:w="390" w:type="pct"/>
            <w:vMerge/>
            <w:tcBorders>
              <w:left w:val="single" w:sz="4" w:space="0" w:color="auto"/>
              <w:right w:val="single" w:sz="4" w:space="0" w:color="auto"/>
            </w:tcBorders>
            <w:vAlign w:val="center"/>
            <w:hideMark/>
          </w:tcPr>
          <w:p w14:paraId="6487B54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45432AB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PM_D9</w:t>
            </w:r>
          </w:p>
        </w:tc>
        <w:tc>
          <w:tcPr>
            <w:tcW w:w="808" w:type="pct"/>
            <w:tcBorders>
              <w:top w:val="nil"/>
              <w:left w:val="nil"/>
              <w:bottom w:val="single" w:sz="4" w:space="0" w:color="auto"/>
              <w:right w:val="single" w:sz="4" w:space="0" w:color="auto"/>
            </w:tcBorders>
            <w:shd w:val="clear" w:color="auto" w:fill="auto"/>
            <w:vAlign w:val="center"/>
            <w:hideMark/>
          </w:tcPr>
          <w:p w14:paraId="3CCB270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Increase the tree-planted areas (groves / parks / green roofs, sanitary protection zones around mines and industrial buildings, wind protection belts and green zones next to highways)</w:t>
            </w:r>
          </w:p>
        </w:tc>
        <w:tc>
          <w:tcPr>
            <w:tcW w:w="510" w:type="pct"/>
            <w:tcBorders>
              <w:top w:val="nil"/>
              <w:left w:val="nil"/>
              <w:bottom w:val="single" w:sz="4" w:space="0" w:color="auto"/>
              <w:right w:val="single" w:sz="4" w:space="0" w:color="auto"/>
            </w:tcBorders>
            <w:shd w:val="clear" w:color="auto" w:fill="auto"/>
            <w:vAlign w:val="center"/>
            <w:hideMark/>
          </w:tcPr>
          <w:p w14:paraId="58A4B18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413C33A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3D9782A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6.50</w:t>
            </w:r>
          </w:p>
        </w:tc>
        <w:tc>
          <w:tcPr>
            <w:tcW w:w="354" w:type="pct"/>
            <w:tcBorders>
              <w:top w:val="nil"/>
              <w:left w:val="nil"/>
              <w:bottom w:val="single" w:sz="4" w:space="0" w:color="auto"/>
              <w:right w:val="single" w:sz="4" w:space="0" w:color="auto"/>
            </w:tcBorders>
            <w:shd w:val="clear" w:color="000000" w:fill="E2EFDA"/>
            <w:vAlign w:val="center"/>
            <w:hideMark/>
          </w:tcPr>
          <w:p w14:paraId="787C6F2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6.50</w:t>
            </w:r>
          </w:p>
        </w:tc>
        <w:tc>
          <w:tcPr>
            <w:tcW w:w="375" w:type="pct"/>
            <w:tcBorders>
              <w:top w:val="nil"/>
              <w:left w:val="nil"/>
              <w:bottom w:val="single" w:sz="4" w:space="0" w:color="auto"/>
              <w:right w:val="single" w:sz="4" w:space="0" w:color="auto"/>
            </w:tcBorders>
            <w:shd w:val="clear" w:color="000000" w:fill="E2EFDA"/>
            <w:vAlign w:val="center"/>
            <w:hideMark/>
          </w:tcPr>
          <w:p w14:paraId="58C1ECC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22A4BF6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254F554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6.50</w:t>
            </w:r>
          </w:p>
        </w:tc>
        <w:tc>
          <w:tcPr>
            <w:tcW w:w="379" w:type="pct"/>
            <w:tcBorders>
              <w:top w:val="nil"/>
              <w:left w:val="nil"/>
              <w:bottom w:val="single" w:sz="4" w:space="0" w:color="auto"/>
              <w:right w:val="single" w:sz="4" w:space="0" w:color="auto"/>
            </w:tcBorders>
            <w:shd w:val="clear" w:color="000000" w:fill="ED7D31"/>
            <w:vAlign w:val="center"/>
            <w:hideMark/>
          </w:tcPr>
          <w:p w14:paraId="6F86E7C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DBDA0B4" w14:textId="77777777" w:rsidTr="0087794A">
        <w:trPr>
          <w:cantSplit/>
          <w:trHeight w:val="20"/>
        </w:trPr>
        <w:tc>
          <w:tcPr>
            <w:tcW w:w="390" w:type="pct"/>
            <w:vMerge/>
            <w:tcBorders>
              <w:left w:val="single" w:sz="4" w:space="0" w:color="auto"/>
              <w:right w:val="single" w:sz="4" w:space="0" w:color="auto"/>
            </w:tcBorders>
            <w:vAlign w:val="center"/>
            <w:hideMark/>
          </w:tcPr>
          <w:p w14:paraId="6C9D6D7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E7DC32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PM_D10</w:t>
            </w:r>
          </w:p>
        </w:tc>
        <w:tc>
          <w:tcPr>
            <w:tcW w:w="808" w:type="pct"/>
            <w:tcBorders>
              <w:top w:val="nil"/>
              <w:left w:val="nil"/>
              <w:bottom w:val="single" w:sz="4" w:space="0" w:color="auto"/>
              <w:right w:val="single" w:sz="4" w:space="0" w:color="auto"/>
            </w:tcBorders>
            <w:shd w:val="clear" w:color="auto" w:fill="auto"/>
            <w:vAlign w:val="center"/>
            <w:hideMark/>
          </w:tcPr>
          <w:p w14:paraId="69B577E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Measures for the reduction of CH4 emissions from the enteric fermentation of animals</w:t>
            </w:r>
          </w:p>
        </w:tc>
        <w:tc>
          <w:tcPr>
            <w:tcW w:w="510" w:type="pct"/>
            <w:tcBorders>
              <w:top w:val="nil"/>
              <w:left w:val="nil"/>
              <w:bottom w:val="single" w:sz="4" w:space="0" w:color="auto"/>
              <w:right w:val="single" w:sz="4" w:space="0" w:color="auto"/>
            </w:tcBorders>
            <w:shd w:val="clear" w:color="auto" w:fill="auto"/>
            <w:vAlign w:val="center"/>
            <w:hideMark/>
          </w:tcPr>
          <w:p w14:paraId="71C4C7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498" w:type="pct"/>
            <w:tcBorders>
              <w:top w:val="nil"/>
              <w:left w:val="nil"/>
              <w:bottom w:val="single" w:sz="4" w:space="0" w:color="auto"/>
              <w:right w:val="single" w:sz="4" w:space="0" w:color="auto"/>
            </w:tcBorders>
            <w:shd w:val="clear" w:color="auto" w:fill="auto"/>
            <w:vAlign w:val="center"/>
            <w:hideMark/>
          </w:tcPr>
          <w:p w14:paraId="251A24C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700A91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54" w:type="pct"/>
            <w:tcBorders>
              <w:top w:val="nil"/>
              <w:left w:val="nil"/>
              <w:bottom w:val="single" w:sz="4" w:space="0" w:color="auto"/>
              <w:right w:val="single" w:sz="4" w:space="0" w:color="auto"/>
            </w:tcBorders>
            <w:shd w:val="clear" w:color="000000" w:fill="E2EFDA"/>
            <w:vAlign w:val="center"/>
            <w:hideMark/>
          </w:tcPr>
          <w:p w14:paraId="6F640BA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75" w:type="pct"/>
            <w:tcBorders>
              <w:top w:val="nil"/>
              <w:left w:val="nil"/>
              <w:bottom w:val="single" w:sz="4" w:space="0" w:color="auto"/>
              <w:right w:val="single" w:sz="4" w:space="0" w:color="auto"/>
            </w:tcBorders>
            <w:shd w:val="clear" w:color="000000" w:fill="E2EFDA"/>
            <w:vAlign w:val="center"/>
            <w:hideMark/>
          </w:tcPr>
          <w:p w14:paraId="6C1F20E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013D98F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33229A0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79" w:type="pct"/>
            <w:tcBorders>
              <w:top w:val="nil"/>
              <w:left w:val="nil"/>
              <w:bottom w:val="single" w:sz="4" w:space="0" w:color="auto"/>
              <w:right w:val="single" w:sz="4" w:space="0" w:color="auto"/>
            </w:tcBorders>
            <w:shd w:val="clear" w:color="000000" w:fill="ED7D31"/>
            <w:vAlign w:val="center"/>
            <w:hideMark/>
          </w:tcPr>
          <w:p w14:paraId="517C6F1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EBE8298" w14:textId="77777777" w:rsidTr="0087794A">
        <w:trPr>
          <w:cantSplit/>
          <w:trHeight w:val="20"/>
        </w:trPr>
        <w:tc>
          <w:tcPr>
            <w:tcW w:w="390" w:type="pct"/>
            <w:vMerge/>
            <w:tcBorders>
              <w:left w:val="single" w:sz="4" w:space="0" w:color="auto"/>
              <w:right w:val="single" w:sz="4" w:space="0" w:color="auto"/>
            </w:tcBorders>
            <w:vAlign w:val="center"/>
            <w:hideMark/>
          </w:tcPr>
          <w:p w14:paraId="5ECADA2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71EFB6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PM_D11</w:t>
            </w:r>
          </w:p>
        </w:tc>
        <w:tc>
          <w:tcPr>
            <w:tcW w:w="808" w:type="pct"/>
            <w:tcBorders>
              <w:top w:val="nil"/>
              <w:left w:val="nil"/>
              <w:bottom w:val="single" w:sz="4" w:space="0" w:color="auto"/>
              <w:right w:val="single" w:sz="4" w:space="0" w:color="auto"/>
            </w:tcBorders>
            <w:shd w:val="clear" w:color="auto" w:fill="auto"/>
            <w:vAlign w:val="center"/>
            <w:hideMark/>
          </w:tcPr>
          <w:p w14:paraId="6AA083D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Improvement of manure management for the reduction of CH4 and N2O emissions</w:t>
            </w:r>
          </w:p>
        </w:tc>
        <w:tc>
          <w:tcPr>
            <w:tcW w:w="510" w:type="pct"/>
            <w:tcBorders>
              <w:top w:val="nil"/>
              <w:left w:val="nil"/>
              <w:bottom w:val="single" w:sz="4" w:space="0" w:color="auto"/>
              <w:right w:val="single" w:sz="4" w:space="0" w:color="auto"/>
            </w:tcBorders>
            <w:shd w:val="clear" w:color="auto" w:fill="auto"/>
            <w:vAlign w:val="center"/>
            <w:hideMark/>
          </w:tcPr>
          <w:p w14:paraId="2AEE1FD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0C47CA4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3926E8F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354" w:type="pct"/>
            <w:tcBorders>
              <w:top w:val="nil"/>
              <w:left w:val="nil"/>
              <w:bottom w:val="single" w:sz="4" w:space="0" w:color="auto"/>
              <w:right w:val="single" w:sz="4" w:space="0" w:color="auto"/>
            </w:tcBorders>
            <w:shd w:val="clear" w:color="000000" w:fill="E2EFDA"/>
            <w:vAlign w:val="center"/>
            <w:hideMark/>
          </w:tcPr>
          <w:p w14:paraId="24C4454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375" w:type="pct"/>
            <w:tcBorders>
              <w:top w:val="nil"/>
              <w:left w:val="nil"/>
              <w:bottom w:val="single" w:sz="4" w:space="0" w:color="auto"/>
              <w:right w:val="single" w:sz="4" w:space="0" w:color="auto"/>
            </w:tcBorders>
            <w:shd w:val="clear" w:color="000000" w:fill="E2EFDA"/>
            <w:vAlign w:val="center"/>
            <w:hideMark/>
          </w:tcPr>
          <w:p w14:paraId="18A20D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1BD9CE4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0DCA8D3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379" w:type="pct"/>
            <w:tcBorders>
              <w:top w:val="nil"/>
              <w:left w:val="nil"/>
              <w:bottom w:val="single" w:sz="4" w:space="0" w:color="auto"/>
              <w:right w:val="single" w:sz="4" w:space="0" w:color="auto"/>
            </w:tcBorders>
            <w:shd w:val="clear" w:color="000000" w:fill="ED7D31"/>
            <w:vAlign w:val="center"/>
            <w:hideMark/>
          </w:tcPr>
          <w:p w14:paraId="2E9895F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7351824" w14:textId="77777777" w:rsidTr="0087794A">
        <w:trPr>
          <w:cantSplit/>
          <w:trHeight w:val="20"/>
        </w:trPr>
        <w:tc>
          <w:tcPr>
            <w:tcW w:w="390" w:type="pct"/>
            <w:vMerge/>
            <w:tcBorders>
              <w:left w:val="single" w:sz="4" w:space="0" w:color="auto"/>
              <w:right w:val="single" w:sz="4" w:space="0" w:color="auto"/>
            </w:tcBorders>
            <w:vAlign w:val="center"/>
            <w:hideMark/>
          </w:tcPr>
          <w:p w14:paraId="5DA4D4D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17860AD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PM_D12</w:t>
            </w:r>
          </w:p>
        </w:tc>
        <w:tc>
          <w:tcPr>
            <w:tcW w:w="808" w:type="pct"/>
            <w:tcBorders>
              <w:top w:val="nil"/>
              <w:left w:val="nil"/>
              <w:bottom w:val="single" w:sz="4" w:space="0" w:color="auto"/>
              <w:right w:val="single" w:sz="4" w:space="0" w:color="auto"/>
            </w:tcBorders>
            <w:shd w:val="clear" w:color="auto" w:fill="auto"/>
            <w:vAlign w:val="center"/>
            <w:hideMark/>
          </w:tcPr>
          <w:p w14:paraId="0C5B49B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Measures for the reduction of direct and indirect N2O emissions from managed soils</w:t>
            </w:r>
          </w:p>
        </w:tc>
        <w:tc>
          <w:tcPr>
            <w:tcW w:w="510" w:type="pct"/>
            <w:tcBorders>
              <w:top w:val="nil"/>
              <w:left w:val="nil"/>
              <w:bottom w:val="single" w:sz="4" w:space="0" w:color="auto"/>
              <w:right w:val="single" w:sz="4" w:space="0" w:color="auto"/>
            </w:tcBorders>
            <w:shd w:val="clear" w:color="auto" w:fill="auto"/>
            <w:vAlign w:val="center"/>
            <w:hideMark/>
          </w:tcPr>
          <w:p w14:paraId="25283A1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13485B5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59E414A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w:t>
            </w:r>
          </w:p>
        </w:tc>
        <w:tc>
          <w:tcPr>
            <w:tcW w:w="354" w:type="pct"/>
            <w:tcBorders>
              <w:top w:val="nil"/>
              <w:left w:val="nil"/>
              <w:bottom w:val="single" w:sz="4" w:space="0" w:color="auto"/>
              <w:right w:val="single" w:sz="4" w:space="0" w:color="auto"/>
            </w:tcBorders>
            <w:shd w:val="clear" w:color="000000" w:fill="E2EFDA"/>
            <w:vAlign w:val="center"/>
            <w:hideMark/>
          </w:tcPr>
          <w:p w14:paraId="1DF94FE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w:t>
            </w:r>
          </w:p>
        </w:tc>
        <w:tc>
          <w:tcPr>
            <w:tcW w:w="375" w:type="pct"/>
            <w:tcBorders>
              <w:top w:val="nil"/>
              <w:left w:val="nil"/>
              <w:bottom w:val="single" w:sz="4" w:space="0" w:color="auto"/>
              <w:right w:val="single" w:sz="4" w:space="0" w:color="auto"/>
            </w:tcBorders>
            <w:shd w:val="clear" w:color="000000" w:fill="E2EFDA"/>
            <w:vAlign w:val="center"/>
            <w:hideMark/>
          </w:tcPr>
          <w:p w14:paraId="007AB60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7EA5AF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354FE78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w:t>
            </w:r>
          </w:p>
        </w:tc>
        <w:tc>
          <w:tcPr>
            <w:tcW w:w="379" w:type="pct"/>
            <w:tcBorders>
              <w:top w:val="nil"/>
              <w:left w:val="nil"/>
              <w:bottom w:val="single" w:sz="4" w:space="0" w:color="auto"/>
              <w:right w:val="single" w:sz="4" w:space="0" w:color="auto"/>
            </w:tcBorders>
            <w:shd w:val="clear" w:color="000000" w:fill="ED7D31"/>
            <w:vAlign w:val="center"/>
            <w:hideMark/>
          </w:tcPr>
          <w:p w14:paraId="5572911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3200666" w14:textId="77777777" w:rsidTr="0087794A">
        <w:trPr>
          <w:cantSplit/>
          <w:trHeight w:val="20"/>
        </w:trPr>
        <w:tc>
          <w:tcPr>
            <w:tcW w:w="390" w:type="pct"/>
            <w:vMerge/>
            <w:tcBorders>
              <w:left w:val="single" w:sz="4" w:space="0" w:color="auto"/>
              <w:right w:val="single" w:sz="4" w:space="0" w:color="auto"/>
            </w:tcBorders>
            <w:vAlign w:val="center"/>
            <w:hideMark/>
          </w:tcPr>
          <w:p w14:paraId="3AEBEF6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084CF3F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PM_D13</w:t>
            </w:r>
          </w:p>
        </w:tc>
        <w:tc>
          <w:tcPr>
            <w:tcW w:w="808" w:type="pct"/>
            <w:tcBorders>
              <w:top w:val="nil"/>
              <w:left w:val="nil"/>
              <w:bottom w:val="single" w:sz="4" w:space="0" w:color="auto"/>
              <w:right w:val="single" w:sz="4" w:space="0" w:color="auto"/>
            </w:tcBorders>
            <w:shd w:val="clear" w:color="auto" w:fill="auto"/>
            <w:vAlign w:val="center"/>
            <w:hideMark/>
          </w:tcPr>
          <w:p w14:paraId="0B388D5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Measures for reducing emissions from fertilizers use</w:t>
            </w:r>
          </w:p>
        </w:tc>
        <w:tc>
          <w:tcPr>
            <w:tcW w:w="510" w:type="pct"/>
            <w:tcBorders>
              <w:top w:val="nil"/>
              <w:left w:val="nil"/>
              <w:bottom w:val="single" w:sz="4" w:space="0" w:color="auto"/>
              <w:right w:val="single" w:sz="4" w:space="0" w:color="auto"/>
            </w:tcBorders>
            <w:shd w:val="clear" w:color="auto" w:fill="auto"/>
            <w:vAlign w:val="center"/>
            <w:hideMark/>
          </w:tcPr>
          <w:p w14:paraId="139251E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6F5D50A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69EBFDE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28.00</w:t>
            </w:r>
          </w:p>
        </w:tc>
        <w:tc>
          <w:tcPr>
            <w:tcW w:w="354" w:type="pct"/>
            <w:tcBorders>
              <w:top w:val="nil"/>
              <w:left w:val="nil"/>
              <w:bottom w:val="single" w:sz="4" w:space="0" w:color="auto"/>
              <w:right w:val="single" w:sz="4" w:space="0" w:color="auto"/>
            </w:tcBorders>
            <w:shd w:val="clear" w:color="000000" w:fill="E2EFDA"/>
            <w:vAlign w:val="center"/>
            <w:hideMark/>
          </w:tcPr>
          <w:p w14:paraId="1D7905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28.00</w:t>
            </w:r>
          </w:p>
        </w:tc>
        <w:tc>
          <w:tcPr>
            <w:tcW w:w="375" w:type="pct"/>
            <w:tcBorders>
              <w:top w:val="nil"/>
              <w:left w:val="nil"/>
              <w:bottom w:val="single" w:sz="4" w:space="0" w:color="auto"/>
              <w:right w:val="single" w:sz="4" w:space="0" w:color="auto"/>
            </w:tcBorders>
            <w:shd w:val="clear" w:color="000000" w:fill="E2EFDA"/>
            <w:vAlign w:val="center"/>
            <w:hideMark/>
          </w:tcPr>
          <w:p w14:paraId="46E4271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D7D31"/>
            <w:vAlign w:val="center"/>
            <w:hideMark/>
          </w:tcPr>
          <w:p w14:paraId="39BD66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D7D31"/>
            <w:vAlign w:val="center"/>
            <w:hideMark/>
          </w:tcPr>
          <w:p w14:paraId="32072E4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28.00</w:t>
            </w:r>
          </w:p>
        </w:tc>
        <w:tc>
          <w:tcPr>
            <w:tcW w:w="379" w:type="pct"/>
            <w:tcBorders>
              <w:top w:val="nil"/>
              <w:left w:val="nil"/>
              <w:bottom w:val="single" w:sz="4" w:space="0" w:color="auto"/>
              <w:right w:val="single" w:sz="4" w:space="0" w:color="auto"/>
            </w:tcBorders>
            <w:shd w:val="clear" w:color="000000" w:fill="ED7D31"/>
            <w:vAlign w:val="center"/>
            <w:hideMark/>
          </w:tcPr>
          <w:p w14:paraId="58878C5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52908FEF" w14:textId="77777777" w:rsidTr="0087794A">
        <w:trPr>
          <w:cantSplit/>
          <w:trHeight w:val="20"/>
        </w:trPr>
        <w:tc>
          <w:tcPr>
            <w:tcW w:w="390" w:type="pct"/>
            <w:vMerge/>
            <w:tcBorders>
              <w:left w:val="single" w:sz="4" w:space="0" w:color="auto"/>
              <w:right w:val="single" w:sz="4" w:space="0" w:color="auto"/>
            </w:tcBorders>
            <w:vAlign w:val="center"/>
            <w:hideMark/>
          </w:tcPr>
          <w:p w14:paraId="5EA26F9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18A0BDD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PM_D19</w:t>
            </w:r>
          </w:p>
        </w:tc>
        <w:tc>
          <w:tcPr>
            <w:tcW w:w="808" w:type="pct"/>
            <w:tcBorders>
              <w:top w:val="nil"/>
              <w:left w:val="nil"/>
              <w:bottom w:val="single" w:sz="4" w:space="0" w:color="auto"/>
              <w:right w:val="single" w:sz="4" w:space="0" w:color="auto"/>
            </w:tcBorders>
            <w:shd w:val="clear" w:color="auto" w:fill="auto"/>
            <w:vAlign w:val="center"/>
            <w:hideMark/>
          </w:tcPr>
          <w:p w14:paraId="699FB8D8" w14:textId="515B5AD9"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Provision of operation aid for electricity production from renewable stations based on auction</w:t>
            </w:r>
            <w:r w:rsidR="002624BC">
              <w:rPr>
                <w:rFonts w:ascii="Calibri" w:hAnsi="Calibri" w:cs="Calibri"/>
                <w:sz w:val="15"/>
                <w:szCs w:val="15"/>
              </w:rPr>
              <w:t>s and strategic partnerships</w:t>
            </w:r>
          </w:p>
        </w:tc>
        <w:tc>
          <w:tcPr>
            <w:tcW w:w="510" w:type="pct"/>
            <w:tcBorders>
              <w:top w:val="nil"/>
              <w:left w:val="nil"/>
              <w:bottom w:val="single" w:sz="4" w:space="0" w:color="auto"/>
              <w:right w:val="single" w:sz="4" w:space="0" w:color="auto"/>
            </w:tcBorders>
            <w:shd w:val="clear" w:color="auto" w:fill="auto"/>
            <w:vAlign w:val="center"/>
            <w:hideMark/>
          </w:tcPr>
          <w:p w14:paraId="2F832B3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561D69F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41762CA6" w14:textId="025DDD48"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3000.00</w:t>
            </w:r>
          </w:p>
        </w:tc>
        <w:tc>
          <w:tcPr>
            <w:tcW w:w="354" w:type="pct"/>
            <w:tcBorders>
              <w:top w:val="nil"/>
              <w:left w:val="nil"/>
              <w:bottom w:val="single" w:sz="4" w:space="0" w:color="auto"/>
              <w:right w:val="single" w:sz="4" w:space="0" w:color="auto"/>
            </w:tcBorders>
            <w:shd w:val="clear" w:color="000000" w:fill="E2EFDA"/>
            <w:vAlign w:val="center"/>
            <w:hideMark/>
          </w:tcPr>
          <w:p w14:paraId="6D9BBDE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5" w:type="pct"/>
            <w:tcBorders>
              <w:top w:val="nil"/>
              <w:left w:val="nil"/>
              <w:bottom w:val="single" w:sz="4" w:space="0" w:color="auto"/>
              <w:right w:val="single" w:sz="4" w:space="0" w:color="auto"/>
            </w:tcBorders>
            <w:shd w:val="clear" w:color="000000" w:fill="E2EFDA"/>
            <w:vAlign w:val="center"/>
            <w:hideMark/>
          </w:tcPr>
          <w:p w14:paraId="0AD26DAB" w14:textId="65FEB493"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30</w:t>
            </w:r>
            <w:r w:rsidR="00663039" w:rsidRPr="00673450">
              <w:rPr>
                <w:rFonts w:ascii="Calibri" w:hAnsi="Calibri" w:cs="Calibri"/>
                <w:sz w:val="15"/>
                <w:szCs w:val="15"/>
              </w:rPr>
              <w:t>00.00</w:t>
            </w:r>
          </w:p>
        </w:tc>
        <w:tc>
          <w:tcPr>
            <w:tcW w:w="419" w:type="pct"/>
            <w:tcBorders>
              <w:top w:val="nil"/>
              <w:left w:val="nil"/>
              <w:bottom w:val="single" w:sz="4" w:space="0" w:color="auto"/>
              <w:right w:val="single" w:sz="4" w:space="0" w:color="auto"/>
            </w:tcBorders>
            <w:shd w:val="clear" w:color="000000" w:fill="E2EFDA"/>
            <w:vAlign w:val="center"/>
            <w:hideMark/>
          </w:tcPr>
          <w:p w14:paraId="45C5E5B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422" w:type="pct"/>
            <w:tcBorders>
              <w:top w:val="nil"/>
              <w:left w:val="nil"/>
              <w:bottom w:val="single" w:sz="4" w:space="0" w:color="auto"/>
              <w:right w:val="single" w:sz="4" w:space="0" w:color="auto"/>
            </w:tcBorders>
            <w:shd w:val="clear" w:color="000000" w:fill="ED7D31"/>
            <w:vAlign w:val="center"/>
            <w:hideMark/>
          </w:tcPr>
          <w:p w14:paraId="540A0727" w14:textId="776245B1"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344.82</w:t>
            </w:r>
          </w:p>
        </w:tc>
        <w:tc>
          <w:tcPr>
            <w:tcW w:w="379" w:type="pct"/>
            <w:tcBorders>
              <w:top w:val="nil"/>
              <w:left w:val="nil"/>
              <w:bottom w:val="single" w:sz="4" w:space="0" w:color="auto"/>
              <w:right w:val="single" w:sz="4" w:space="0" w:color="auto"/>
            </w:tcBorders>
            <w:shd w:val="clear" w:color="000000" w:fill="ED7D31"/>
            <w:vAlign w:val="center"/>
            <w:hideMark/>
          </w:tcPr>
          <w:p w14:paraId="1FC13810" w14:textId="1018836D"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2651.18</w:t>
            </w:r>
          </w:p>
        </w:tc>
      </w:tr>
      <w:tr w:rsidR="00663039" w:rsidRPr="00207220" w14:paraId="7841E425" w14:textId="77777777" w:rsidTr="0087794A">
        <w:trPr>
          <w:cantSplit/>
          <w:trHeight w:val="20"/>
        </w:trPr>
        <w:tc>
          <w:tcPr>
            <w:tcW w:w="390" w:type="pct"/>
            <w:vMerge/>
            <w:tcBorders>
              <w:left w:val="single" w:sz="4" w:space="0" w:color="auto"/>
              <w:right w:val="single" w:sz="4" w:space="0" w:color="auto"/>
            </w:tcBorders>
            <w:vAlign w:val="center"/>
            <w:hideMark/>
          </w:tcPr>
          <w:p w14:paraId="0EEEA0A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73964F4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PM_D20</w:t>
            </w:r>
          </w:p>
        </w:tc>
        <w:tc>
          <w:tcPr>
            <w:tcW w:w="808" w:type="pct"/>
            <w:tcBorders>
              <w:top w:val="nil"/>
              <w:left w:val="nil"/>
              <w:bottom w:val="single" w:sz="4" w:space="0" w:color="auto"/>
              <w:right w:val="single" w:sz="4" w:space="0" w:color="auto"/>
            </w:tcBorders>
            <w:shd w:val="clear" w:color="auto" w:fill="auto"/>
            <w:vAlign w:val="center"/>
            <w:hideMark/>
          </w:tcPr>
          <w:p w14:paraId="686B64F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legislative framework for the participation of the RES producers in electricity market</w:t>
            </w:r>
          </w:p>
        </w:tc>
        <w:tc>
          <w:tcPr>
            <w:tcW w:w="510" w:type="pct"/>
            <w:tcBorders>
              <w:top w:val="nil"/>
              <w:left w:val="nil"/>
              <w:bottom w:val="single" w:sz="4" w:space="0" w:color="auto"/>
              <w:right w:val="single" w:sz="4" w:space="0" w:color="auto"/>
            </w:tcBorders>
            <w:shd w:val="clear" w:color="auto" w:fill="auto"/>
            <w:vAlign w:val="center"/>
            <w:hideMark/>
          </w:tcPr>
          <w:p w14:paraId="7B0DA81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55F6F31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DD9A18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54" w:type="pct"/>
            <w:tcBorders>
              <w:top w:val="nil"/>
              <w:left w:val="nil"/>
              <w:bottom w:val="single" w:sz="4" w:space="0" w:color="auto"/>
              <w:right w:val="single" w:sz="4" w:space="0" w:color="auto"/>
            </w:tcBorders>
            <w:shd w:val="clear" w:color="000000" w:fill="E2EFDA"/>
            <w:vAlign w:val="center"/>
            <w:hideMark/>
          </w:tcPr>
          <w:p w14:paraId="2116E43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5" w:type="pct"/>
            <w:tcBorders>
              <w:top w:val="nil"/>
              <w:left w:val="nil"/>
              <w:bottom w:val="single" w:sz="4" w:space="0" w:color="auto"/>
              <w:right w:val="single" w:sz="4" w:space="0" w:color="auto"/>
            </w:tcBorders>
            <w:shd w:val="clear" w:color="000000" w:fill="E2EFDA"/>
            <w:vAlign w:val="center"/>
            <w:hideMark/>
          </w:tcPr>
          <w:p w14:paraId="063E6EC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242D46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422" w:type="pct"/>
            <w:tcBorders>
              <w:top w:val="nil"/>
              <w:left w:val="nil"/>
              <w:bottom w:val="single" w:sz="4" w:space="0" w:color="auto"/>
              <w:right w:val="single" w:sz="4" w:space="0" w:color="auto"/>
            </w:tcBorders>
            <w:shd w:val="clear" w:color="000000" w:fill="ED7D31"/>
            <w:vAlign w:val="center"/>
            <w:hideMark/>
          </w:tcPr>
          <w:p w14:paraId="7805C7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9" w:type="pct"/>
            <w:tcBorders>
              <w:top w:val="nil"/>
              <w:left w:val="nil"/>
              <w:bottom w:val="single" w:sz="4" w:space="0" w:color="auto"/>
              <w:right w:val="single" w:sz="4" w:space="0" w:color="auto"/>
            </w:tcBorders>
            <w:shd w:val="clear" w:color="000000" w:fill="ED7D31"/>
            <w:vAlign w:val="center"/>
            <w:hideMark/>
          </w:tcPr>
          <w:p w14:paraId="10C8892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7532D5E" w14:textId="77777777" w:rsidTr="0087794A">
        <w:trPr>
          <w:cantSplit/>
          <w:trHeight w:val="20"/>
        </w:trPr>
        <w:tc>
          <w:tcPr>
            <w:tcW w:w="390" w:type="pct"/>
            <w:vMerge/>
            <w:tcBorders>
              <w:left w:val="single" w:sz="4" w:space="0" w:color="auto"/>
              <w:right w:val="single" w:sz="4" w:space="0" w:color="auto"/>
            </w:tcBorders>
            <w:vAlign w:val="center"/>
            <w:hideMark/>
          </w:tcPr>
          <w:p w14:paraId="12DA56E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5D43BDE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PM_D21</w:t>
            </w:r>
          </w:p>
        </w:tc>
        <w:tc>
          <w:tcPr>
            <w:tcW w:w="808" w:type="pct"/>
            <w:tcBorders>
              <w:top w:val="nil"/>
              <w:left w:val="nil"/>
              <w:bottom w:val="single" w:sz="4" w:space="0" w:color="auto"/>
              <w:right w:val="single" w:sz="4" w:space="0" w:color="auto"/>
            </w:tcBorders>
            <w:shd w:val="clear" w:color="auto" w:fill="auto"/>
            <w:vAlign w:val="center"/>
            <w:hideMark/>
          </w:tcPr>
          <w:p w14:paraId="0AD8D0F6" w14:textId="1776A446" w:rsidR="00663039" w:rsidRPr="00673450" w:rsidRDefault="002624BC" w:rsidP="001544A6">
            <w:pPr>
              <w:spacing w:after="0" w:line="240" w:lineRule="auto"/>
              <w:rPr>
                <w:rFonts w:ascii="Calibri" w:eastAsia="Times New Roman" w:hAnsi="Calibri" w:cs="Calibri"/>
                <w:sz w:val="15"/>
                <w:szCs w:val="15"/>
              </w:rPr>
            </w:pPr>
            <w:r w:rsidRPr="002624BC">
              <w:rPr>
                <w:rFonts w:ascii="Calibri" w:hAnsi="Calibri" w:cs="Calibri"/>
                <w:sz w:val="15"/>
                <w:szCs w:val="15"/>
              </w:rPr>
              <w:t>Supporting electricity production from renewable stations that will not participate into the auctions including the deployment of renewables power purchase agreements</w:t>
            </w:r>
          </w:p>
        </w:tc>
        <w:tc>
          <w:tcPr>
            <w:tcW w:w="510" w:type="pct"/>
            <w:tcBorders>
              <w:top w:val="nil"/>
              <w:left w:val="nil"/>
              <w:bottom w:val="single" w:sz="4" w:space="0" w:color="auto"/>
              <w:right w:val="single" w:sz="4" w:space="0" w:color="auto"/>
            </w:tcBorders>
            <w:shd w:val="clear" w:color="auto" w:fill="auto"/>
            <w:vAlign w:val="center"/>
            <w:hideMark/>
          </w:tcPr>
          <w:p w14:paraId="3AD52DE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1F4DF9A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0D6EC77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700.00</w:t>
            </w:r>
          </w:p>
        </w:tc>
        <w:tc>
          <w:tcPr>
            <w:tcW w:w="354" w:type="pct"/>
            <w:tcBorders>
              <w:top w:val="nil"/>
              <w:left w:val="nil"/>
              <w:bottom w:val="single" w:sz="4" w:space="0" w:color="auto"/>
              <w:right w:val="single" w:sz="4" w:space="0" w:color="auto"/>
            </w:tcBorders>
            <w:shd w:val="clear" w:color="000000" w:fill="E2EFDA"/>
            <w:vAlign w:val="center"/>
            <w:hideMark/>
          </w:tcPr>
          <w:p w14:paraId="6DE6231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5" w:type="pct"/>
            <w:tcBorders>
              <w:top w:val="nil"/>
              <w:left w:val="nil"/>
              <w:bottom w:val="single" w:sz="4" w:space="0" w:color="auto"/>
              <w:right w:val="single" w:sz="4" w:space="0" w:color="auto"/>
            </w:tcBorders>
            <w:shd w:val="clear" w:color="000000" w:fill="E2EFDA"/>
            <w:vAlign w:val="center"/>
            <w:hideMark/>
          </w:tcPr>
          <w:p w14:paraId="30DD694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700.00</w:t>
            </w:r>
          </w:p>
        </w:tc>
        <w:tc>
          <w:tcPr>
            <w:tcW w:w="419" w:type="pct"/>
            <w:tcBorders>
              <w:top w:val="nil"/>
              <w:left w:val="nil"/>
              <w:bottom w:val="single" w:sz="4" w:space="0" w:color="auto"/>
              <w:right w:val="single" w:sz="4" w:space="0" w:color="auto"/>
            </w:tcBorders>
            <w:shd w:val="clear" w:color="000000" w:fill="E2EFDA"/>
            <w:vAlign w:val="center"/>
            <w:hideMark/>
          </w:tcPr>
          <w:p w14:paraId="391B76C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422" w:type="pct"/>
            <w:tcBorders>
              <w:top w:val="nil"/>
              <w:left w:val="nil"/>
              <w:bottom w:val="single" w:sz="4" w:space="0" w:color="auto"/>
              <w:right w:val="single" w:sz="4" w:space="0" w:color="auto"/>
            </w:tcBorders>
            <w:shd w:val="clear" w:color="000000" w:fill="ED7D31"/>
            <w:vAlign w:val="center"/>
            <w:hideMark/>
          </w:tcPr>
          <w:p w14:paraId="6DA8381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D7D31"/>
            <w:vAlign w:val="center"/>
            <w:hideMark/>
          </w:tcPr>
          <w:p w14:paraId="697C79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700.00</w:t>
            </w:r>
          </w:p>
        </w:tc>
      </w:tr>
      <w:tr w:rsidR="00663039" w:rsidRPr="00207220" w14:paraId="53417FF3" w14:textId="77777777" w:rsidTr="0087794A">
        <w:trPr>
          <w:cantSplit/>
          <w:trHeight w:val="20"/>
        </w:trPr>
        <w:tc>
          <w:tcPr>
            <w:tcW w:w="390" w:type="pct"/>
            <w:vMerge/>
            <w:tcBorders>
              <w:left w:val="single" w:sz="4" w:space="0" w:color="auto"/>
              <w:right w:val="single" w:sz="4" w:space="0" w:color="auto"/>
            </w:tcBorders>
            <w:vAlign w:val="center"/>
            <w:hideMark/>
          </w:tcPr>
          <w:p w14:paraId="7D00501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100DF74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PM_D22</w:t>
            </w:r>
          </w:p>
        </w:tc>
        <w:tc>
          <w:tcPr>
            <w:tcW w:w="808" w:type="pct"/>
            <w:tcBorders>
              <w:top w:val="nil"/>
              <w:left w:val="nil"/>
              <w:bottom w:val="single" w:sz="4" w:space="0" w:color="auto"/>
              <w:right w:val="single" w:sz="4" w:space="0" w:color="auto"/>
            </w:tcBorders>
            <w:shd w:val="clear" w:color="auto" w:fill="auto"/>
            <w:vAlign w:val="center"/>
            <w:hideMark/>
          </w:tcPr>
          <w:p w14:paraId="02D4F03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Provision of economic support to innovative and demonstration pilot RES projects</w:t>
            </w:r>
          </w:p>
        </w:tc>
        <w:tc>
          <w:tcPr>
            <w:tcW w:w="510" w:type="pct"/>
            <w:tcBorders>
              <w:top w:val="nil"/>
              <w:left w:val="nil"/>
              <w:bottom w:val="single" w:sz="4" w:space="0" w:color="auto"/>
              <w:right w:val="single" w:sz="4" w:space="0" w:color="auto"/>
            </w:tcBorders>
            <w:shd w:val="clear" w:color="auto" w:fill="auto"/>
            <w:vAlign w:val="center"/>
            <w:hideMark/>
          </w:tcPr>
          <w:p w14:paraId="3E0FF3A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0504063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PM_D21</w:t>
            </w:r>
          </w:p>
        </w:tc>
        <w:tc>
          <w:tcPr>
            <w:tcW w:w="421" w:type="pct"/>
            <w:tcBorders>
              <w:top w:val="nil"/>
              <w:left w:val="nil"/>
              <w:bottom w:val="single" w:sz="4" w:space="0" w:color="auto"/>
              <w:right w:val="single" w:sz="4" w:space="0" w:color="auto"/>
            </w:tcBorders>
            <w:shd w:val="clear" w:color="000000" w:fill="595959"/>
            <w:vAlign w:val="center"/>
            <w:hideMark/>
          </w:tcPr>
          <w:p w14:paraId="066E8E8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5A5F574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16A4A83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45D558B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595959"/>
            <w:vAlign w:val="center"/>
            <w:hideMark/>
          </w:tcPr>
          <w:p w14:paraId="24BA049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0F4E8B4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248C2EF0" w14:textId="77777777" w:rsidTr="0087794A">
        <w:trPr>
          <w:cantSplit/>
          <w:trHeight w:val="20"/>
        </w:trPr>
        <w:tc>
          <w:tcPr>
            <w:tcW w:w="390" w:type="pct"/>
            <w:vMerge/>
            <w:tcBorders>
              <w:left w:val="single" w:sz="4" w:space="0" w:color="auto"/>
              <w:right w:val="single" w:sz="4" w:space="0" w:color="auto"/>
            </w:tcBorders>
            <w:vAlign w:val="center"/>
            <w:hideMark/>
          </w:tcPr>
          <w:p w14:paraId="12D67BB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4955380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PM_D23</w:t>
            </w:r>
          </w:p>
        </w:tc>
        <w:tc>
          <w:tcPr>
            <w:tcW w:w="808" w:type="pct"/>
            <w:tcBorders>
              <w:top w:val="nil"/>
              <w:left w:val="nil"/>
              <w:bottom w:val="single" w:sz="4" w:space="0" w:color="auto"/>
              <w:right w:val="single" w:sz="4" w:space="0" w:color="auto"/>
            </w:tcBorders>
            <w:shd w:val="clear" w:color="auto" w:fill="auto"/>
            <w:vAlign w:val="center"/>
            <w:hideMark/>
          </w:tcPr>
          <w:p w14:paraId="6552695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Fostering the further utilization of guarantees of origin for energy from RES in all end-uses</w:t>
            </w:r>
          </w:p>
        </w:tc>
        <w:tc>
          <w:tcPr>
            <w:tcW w:w="510" w:type="pct"/>
            <w:tcBorders>
              <w:top w:val="nil"/>
              <w:left w:val="nil"/>
              <w:bottom w:val="single" w:sz="4" w:space="0" w:color="auto"/>
              <w:right w:val="single" w:sz="4" w:space="0" w:color="auto"/>
            </w:tcBorders>
            <w:shd w:val="clear" w:color="auto" w:fill="auto"/>
            <w:vAlign w:val="center"/>
            <w:hideMark/>
          </w:tcPr>
          <w:p w14:paraId="25A0D6F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2662EAA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3BD1530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54" w:type="pct"/>
            <w:tcBorders>
              <w:top w:val="nil"/>
              <w:left w:val="nil"/>
              <w:bottom w:val="single" w:sz="4" w:space="0" w:color="auto"/>
              <w:right w:val="single" w:sz="4" w:space="0" w:color="auto"/>
            </w:tcBorders>
            <w:shd w:val="clear" w:color="000000" w:fill="E2EFDA"/>
            <w:vAlign w:val="center"/>
            <w:hideMark/>
          </w:tcPr>
          <w:p w14:paraId="686BE4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75" w:type="pct"/>
            <w:tcBorders>
              <w:top w:val="nil"/>
              <w:left w:val="nil"/>
              <w:bottom w:val="single" w:sz="4" w:space="0" w:color="auto"/>
              <w:right w:val="single" w:sz="4" w:space="0" w:color="auto"/>
            </w:tcBorders>
            <w:shd w:val="clear" w:color="000000" w:fill="E2EFDA"/>
            <w:vAlign w:val="center"/>
            <w:hideMark/>
          </w:tcPr>
          <w:p w14:paraId="0E2FA6B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551BC8B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E2EFDA"/>
            <w:vAlign w:val="center"/>
            <w:hideMark/>
          </w:tcPr>
          <w:p w14:paraId="25EF251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79" w:type="pct"/>
            <w:tcBorders>
              <w:top w:val="nil"/>
              <w:left w:val="nil"/>
              <w:bottom w:val="single" w:sz="4" w:space="0" w:color="auto"/>
              <w:right w:val="single" w:sz="4" w:space="0" w:color="auto"/>
            </w:tcBorders>
            <w:shd w:val="clear" w:color="000000" w:fill="E2EFDA"/>
            <w:vAlign w:val="center"/>
            <w:hideMark/>
          </w:tcPr>
          <w:p w14:paraId="626DACD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81B4887" w14:textId="77777777" w:rsidTr="0087794A">
        <w:trPr>
          <w:cantSplit/>
          <w:trHeight w:val="20"/>
        </w:trPr>
        <w:tc>
          <w:tcPr>
            <w:tcW w:w="390" w:type="pct"/>
            <w:vMerge/>
            <w:tcBorders>
              <w:left w:val="single" w:sz="4" w:space="0" w:color="auto"/>
              <w:right w:val="single" w:sz="4" w:space="0" w:color="auto"/>
            </w:tcBorders>
            <w:vAlign w:val="center"/>
            <w:hideMark/>
          </w:tcPr>
          <w:p w14:paraId="30F17293"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39C52C8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PM_D24</w:t>
            </w:r>
          </w:p>
        </w:tc>
        <w:tc>
          <w:tcPr>
            <w:tcW w:w="808" w:type="pct"/>
            <w:tcBorders>
              <w:top w:val="nil"/>
              <w:left w:val="nil"/>
              <w:bottom w:val="single" w:sz="4" w:space="0" w:color="auto"/>
              <w:right w:val="single" w:sz="4" w:space="0" w:color="auto"/>
            </w:tcBorders>
            <w:shd w:val="clear" w:color="auto" w:fill="auto"/>
            <w:vAlign w:val="center"/>
            <w:hideMark/>
          </w:tcPr>
          <w:p w14:paraId="5C49D03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Updating, simplifying and optimizing the authorization, certification, permit-granting and licensing procedures - Establishment of One stop shop</w:t>
            </w:r>
          </w:p>
        </w:tc>
        <w:tc>
          <w:tcPr>
            <w:tcW w:w="510" w:type="pct"/>
            <w:tcBorders>
              <w:top w:val="nil"/>
              <w:left w:val="nil"/>
              <w:bottom w:val="single" w:sz="4" w:space="0" w:color="auto"/>
              <w:right w:val="single" w:sz="4" w:space="0" w:color="auto"/>
            </w:tcBorders>
            <w:shd w:val="clear" w:color="auto" w:fill="auto"/>
            <w:vAlign w:val="center"/>
            <w:hideMark/>
          </w:tcPr>
          <w:p w14:paraId="16C5CF6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3DB1B0A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64D3C10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54" w:type="pct"/>
            <w:tcBorders>
              <w:top w:val="nil"/>
              <w:left w:val="nil"/>
              <w:bottom w:val="single" w:sz="4" w:space="0" w:color="auto"/>
              <w:right w:val="single" w:sz="4" w:space="0" w:color="auto"/>
            </w:tcBorders>
            <w:shd w:val="clear" w:color="000000" w:fill="E2EFDA"/>
            <w:vAlign w:val="center"/>
            <w:hideMark/>
          </w:tcPr>
          <w:p w14:paraId="2AA0FDC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5" w:type="pct"/>
            <w:tcBorders>
              <w:top w:val="nil"/>
              <w:left w:val="nil"/>
              <w:bottom w:val="single" w:sz="4" w:space="0" w:color="auto"/>
              <w:right w:val="single" w:sz="4" w:space="0" w:color="auto"/>
            </w:tcBorders>
            <w:shd w:val="clear" w:color="000000" w:fill="E2EFDA"/>
            <w:vAlign w:val="center"/>
            <w:hideMark/>
          </w:tcPr>
          <w:p w14:paraId="7D3401F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4F3C890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60615D7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124B26C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r>
      <w:tr w:rsidR="00663039" w:rsidRPr="00207220" w14:paraId="3BC408F4" w14:textId="77777777" w:rsidTr="0087794A">
        <w:trPr>
          <w:cantSplit/>
          <w:trHeight w:val="20"/>
        </w:trPr>
        <w:tc>
          <w:tcPr>
            <w:tcW w:w="390" w:type="pct"/>
            <w:vMerge/>
            <w:tcBorders>
              <w:left w:val="single" w:sz="4" w:space="0" w:color="auto"/>
              <w:right w:val="single" w:sz="4" w:space="0" w:color="auto"/>
            </w:tcBorders>
            <w:vAlign w:val="center"/>
            <w:hideMark/>
          </w:tcPr>
          <w:p w14:paraId="79BA51A2"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7BDAB7F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PM_D25</w:t>
            </w:r>
          </w:p>
        </w:tc>
        <w:tc>
          <w:tcPr>
            <w:tcW w:w="808" w:type="pct"/>
            <w:tcBorders>
              <w:top w:val="nil"/>
              <w:left w:val="nil"/>
              <w:bottom w:val="single" w:sz="4" w:space="0" w:color="auto"/>
              <w:right w:val="single" w:sz="4" w:space="0" w:color="auto"/>
            </w:tcBorders>
            <w:shd w:val="clear" w:color="auto" w:fill="auto"/>
            <w:vAlign w:val="center"/>
            <w:hideMark/>
          </w:tcPr>
          <w:p w14:paraId="10CFC81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Updating, simplifying and optimizing the grid connection procedures and setting detailed methodology and allocation rules for RES grid connection costs</w:t>
            </w:r>
          </w:p>
        </w:tc>
        <w:tc>
          <w:tcPr>
            <w:tcW w:w="510" w:type="pct"/>
            <w:tcBorders>
              <w:top w:val="nil"/>
              <w:left w:val="nil"/>
              <w:bottom w:val="single" w:sz="4" w:space="0" w:color="auto"/>
              <w:right w:val="single" w:sz="4" w:space="0" w:color="auto"/>
            </w:tcBorders>
            <w:shd w:val="clear" w:color="auto" w:fill="auto"/>
            <w:vAlign w:val="center"/>
            <w:hideMark/>
          </w:tcPr>
          <w:p w14:paraId="0E3CA42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477144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5F51696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54" w:type="pct"/>
            <w:tcBorders>
              <w:top w:val="nil"/>
              <w:left w:val="nil"/>
              <w:bottom w:val="single" w:sz="4" w:space="0" w:color="auto"/>
              <w:right w:val="single" w:sz="4" w:space="0" w:color="auto"/>
            </w:tcBorders>
            <w:shd w:val="clear" w:color="000000" w:fill="E2EFDA"/>
            <w:vAlign w:val="center"/>
            <w:hideMark/>
          </w:tcPr>
          <w:p w14:paraId="5145ACA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75" w:type="pct"/>
            <w:tcBorders>
              <w:top w:val="nil"/>
              <w:left w:val="nil"/>
              <w:bottom w:val="single" w:sz="4" w:space="0" w:color="auto"/>
              <w:right w:val="single" w:sz="4" w:space="0" w:color="auto"/>
            </w:tcBorders>
            <w:shd w:val="clear" w:color="000000" w:fill="E2EFDA"/>
            <w:vAlign w:val="center"/>
            <w:hideMark/>
          </w:tcPr>
          <w:p w14:paraId="78FE1FE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481B679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5E62EBF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14026AB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r>
      <w:tr w:rsidR="00663039" w:rsidRPr="00207220" w14:paraId="657B88F0" w14:textId="77777777" w:rsidTr="0087794A">
        <w:trPr>
          <w:cantSplit/>
          <w:trHeight w:val="20"/>
        </w:trPr>
        <w:tc>
          <w:tcPr>
            <w:tcW w:w="390" w:type="pct"/>
            <w:vMerge/>
            <w:tcBorders>
              <w:left w:val="single" w:sz="4" w:space="0" w:color="auto"/>
              <w:right w:val="single" w:sz="4" w:space="0" w:color="auto"/>
            </w:tcBorders>
            <w:vAlign w:val="center"/>
            <w:hideMark/>
          </w:tcPr>
          <w:p w14:paraId="6A984DC2"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FEBF28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PM_D26</w:t>
            </w:r>
          </w:p>
        </w:tc>
        <w:tc>
          <w:tcPr>
            <w:tcW w:w="808" w:type="pct"/>
            <w:tcBorders>
              <w:top w:val="nil"/>
              <w:left w:val="nil"/>
              <w:bottom w:val="single" w:sz="4" w:space="0" w:color="auto"/>
              <w:right w:val="single" w:sz="4" w:space="0" w:color="auto"/>
            </w:tcBorders>
            <w:shd w:val="clear" w:color="auto" w:fill="auto"/>
            <w:vAlign w:val="center"/>
            <w:hideMark/>
          </w:tcPr>
          <w:p w14:paraId="49C30F5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Fostering the self-consumption of the produced electricity</w:t>
            </w:r>
          </w:p>
        </w:tc>
        <w:tc>
          <w:tcPr>
            <w:tcW w:w="510" w:type="pct"/>
            <w:tcBorders>
              <w:top w:val="nil"/>
              <w:left w:val="nil"/>
              <w:bottom w:val="single" w:sz="4" w:space="0" w:color="auto"/>
              <w:right w:val="single" w:sz="4" w:space="0" w:color="auto"/>
            </w:tcBorders>
            <w:shd w:val="clear" w:color="auto" w:fill="auto"/>
            <w:vAlign w:val="center"/>
            <w:hideMark/>
          </w:tcPr>
          <w:p w14:paraId="5B30336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632FE19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PM_D21</w:t>
            </w:r>
          </w:p>
        </w:tc>
        <w:tc>
          <w:tcPr>
            <w:tcW w:w="421" w:type="pct"/>
            <w:tcBorders>
              <w:top w:val="nil"/>
              <w:left w:val="nil"/>
              <w:bottom w:val="single" w:sz="4" w:space="0" w:color="auto"/>
              <w:right w:val="single" w:sz="4" w:space="0" w:color="auto"/>
            </w:tcBorders>
            <w:shd w:val="clear" w:color="000000" w:fill="595959"/>
            <w:vAlign w:val="center"/>
            <w:hideMark/>
          </w:tcPr>
          <w:p w14:paraId="3EEF018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721B5CE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1EC9071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2121646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595959"/>
            <w:vAlign w:val="center"/>
            <w:hideMark/>
          </w:tcPr>
          <w:p w14:paraId="1915B0F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7032BCA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6AD0B3B4" w14:textId="77777777" w:rsidTr="0087794A">
        <w:trPr>
          <w:cantSplit/>
          <w:trHeight w:val="20"/>
        </w:trPr>
        <w:tc>
          <w:tcPr>
            <w:tcW w:w="390" w:type="pct"/>
            <w:vMerge/>
            <w:tcBorders>
              <w:left w:val="single" w:sz="4" w:space="0" w:color="auto"/>
              <w:right w:val="single" w:sz="4" w:space="0" w:color="auto"/>
            </w:tcBorders>
            <w:vAlign w:val="center"/>
            <w:hideMark/>
          </w:tcPr>
          <w:p w14:paraId="4F41433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15BC81A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PM_D27</w:t>
            </w:r>
          </w:p>
        </w:tc>
        <w:tc>
          <w:tcPr>
            <w:tcW w:w="808" w:type="pct"/>
            <w:tcBorders>
              <w:top w:val="nil"/>
              <w:left w:val="nil"/>
              <w:bottom w:val="single" w:sz="4" w:space="0" w:color="auto"/>
              <w:right w:val="single" w:sz="4" w:space="0" w:color="auto"/>
            </w:tcBorders>
            <w:shd w:val="clear" w:color="auto" w:fill="auto"/>
            <w:vAlign w:val="center"/>
            <w:hideMark/>
          </w:tcPr>
          <w:p w14:paraId="7BC5BF7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Operating publicly accessible registries for RES electricity producers </w:t>
            </w:r>
          </w:p>
        </w:tc>
        <w:tc>
          <w:tcPr>
            <w:tcW w:w="510" w:type="pct"/>
            <w:tcBorders>
              <w:top w:val="nil"/>
              <w:left w:val="nil"/>
              <w:bottom w:val="single" w:sz="4" w:space="0" w:color="auto"/>
              <w:right w:val="single" w:sz="4" w:space="0" w:color="auto"/>
            </w:tcBorders>
            <w:shd w:val="clear" w:color="auto" w:fill="auto"/>
            <w:vAlign w:val="center"/>
            <w:hideMark/>
          </w:tcPr>
          <w:p w14:paraId="6C506C5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6458189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22B46FD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54" w:type="pct"/>
            <w:tcBorders>
              <w:top w:val="nil"/>
              <w:left w:val="nil"/>
              <w:bottom w:val="single" w:sz="4" w:space="0" w:color="auto"/>
              <w:right w:val="single" w:sz="4" w:space="0" w:color="auto"/>
            </w:tcBorders>
            <w:shd w:val="clear" w:color="000000" w:fill="E2EFDA"/>
            <w:vAlign w:val="center"/>
            <w:hideMark/>
          </w:tcPr>
          <w:p w14:paraId="7F333EC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75" w:type="pct"/>
            <w:tcBorders>
              <w:top w:val="nil"/>
              <w:left w:val="nil"/>
              <w:bottom w:val="single" w:sz="4" w:space="0" w:color="auto"/>
              <w:right w:val="single" w:sz="4" w:space="0" w:color="auto"/>
            </w:tcBorders>
            <w:shd w:val="clear" w:color="000000" w:fill="E2EFDA"/>
            <w:vAlign w:val="center"/>
            <w:hideMark/>
          </w:tcPr>
          <w:p w14:paraId="6BFD4B6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6F42EE9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422" w:type="pct"/>
            <w:tcBorders>
              <w:top w:val="nil"/>
              <w:left w:val="nil"/>
              <w:bottom w:val="single" w:sz="4" w:space="0" w:color="auto"/>
              <w:right w:val="single" w:sz="4" w:space="0" w:color="auto"/>
            </w:tcBorders>
            <w:shd w:val="clear" w:color="000000" w:fill="E2EFDA"/>
            <w:vAlign w:val="center"/>
            <w:hideMark/>
          </w:tcPr>
          <w:p w14:paraId="75C8AD1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79" w:type="pct"/>
            <w:tcBorders>
              <w:top w:val="nil"/>
              <w:left w:val="nil"/>
              <w:bottom w:val="single" w:sz="4" w:space="0" w:color="auto"/>
              <w:right w:val="single" w:sz="4" w:space="0" w:color="auto"/>
            </w:tcBorders>
            <w:shd w:val="clear" w:color="000000" w:fill="E2EFDA"/>
            <w:vAlign w:val="center"/>
            <w:hideMark/>
          </w:tcPr>
          <w:p w14:paraId="2EA4294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F4322C7" w14:textId="77777777" w:rsidTr="0087794A">
        <w:trPr>
          <w:cantSplit/>
          <w:trHeight w:val="20"/>
        </w:trPr>
        <w:tc>
          <w:tcPr>
            <w:tcW w:w="390" w:type="pct"/>
            <w:vMerge/>
            <w:tcBorders>
              <w:left w:val="single" w:sz="4" w:space="0" w:color="auto"/>
              <w:right w:val="single" w:sz="4" w:space="0" w:color="auto"/>
            </w:tcBorders>
            <w:vAlign w:val="center"/>
            <w:hideMark/>
          </w:tcPr>
          <w:p w14:paraId="638AE69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2BD25C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PM_D28</w:t>
            </w:r>
          </w:p>
        </w:tc>
        <w:tc>
          <w:tcPr>
            <w:tcW w:w="808" w:type="pct"/>
            <w:tcBorders>
              <w:top w:val="nil"/>
              <w:left w:val="nil"/>
              <w:bottom w:val="single" w:sz="4" w:space="0" w:color="auto"/>
              <w:right w:val="single" w:sz="4" w:space="0" w:color="auto"/>
            </w:tcBorders>
            <w:shd w:val="clear" w:color="auto" w:fill="auto"/>
            <w:vAlign w:val="center"/>
            <w:hideMark/>
          </w:tcPr>
          <w:p w14:paraId="0D5EB42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Adaptation, enhancement and expansion of the grid networks for avoiding congestions and enabling the optimal penetration of RES</w:t>
            </w:r>
          </w:p>
        </w:tc>
        <w:tc>
          <w:tcPr>
            <w:tcW w:w="510" w:type="pct"/>
            <w:tcBorders>
              <w:top w:val="nil"/>
              <w:left w:val="nil"/>
              <w:bottom w:val="single" w:sz="4" w:space="0" w:color="auto"/>
              <w:right w:val="single" w:sz="4" w:space="0" w:color="auto"/>
            </w:tcBorders>
            <w:shd w:val="clear" w:color="auto" w:fill="auto"/>
            <w:vAlign w:val="center"/>
            <w:hideMark/>
          </w:tcPr>
          <w:p w14:paraId="0532483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750905B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D7D31"/>
            <w:vAlign w:val="center"/>
            <w:hideMark/>
          </w:tcPr>
          <w:p w14:paraId="762E712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354" w:type="pct"/>
            <w:tcBorders>
              <w:top w:val="nil"/>
              <w:left w:val="nil"/>
              <w:bottom w:val="single" w:sz="4" w:space="0" w:color="auto"/>
              <w:right w:val="single" w:sz="4" w:space="0" w:color="auto"/>
            </w:tcBorders>
            <w:shd w:val="clear" w:color="000000" w:fill="ED7D31"/>
            <w:vAlign w:val="center"/>
            <w:hideMark/>
          </w:tcPr>
          <w:p w14:paraId="6EB9219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ED7D31"/>
            <w:vAlign w:val="center"/>
            <w:hideMark/>
          </w:tcPr>
          <w:p w14:paraId="4F499D8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562C32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78874FE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D7D31"/>
            <w:vAlign w:val="center"/>
            <w:hideMark/>
          </w:tcPr>
          <w:p w14:paraId="7A10BD8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51FC78B6" w14:textId="77777777" w:rsidTr="0087794A">
        <w:trPr>
          <w:cantSplit/>
          <w:trHeight w:val="20"/>
        </w:trPr>
        <w:tc>
          <w:tcPr>
            <w:tcW w:w="390" w:type="pct"/>
            <w:vMerge/>
            <w:tcBorders>
              <w:left w:val="single" w:sz="4" w:space="0" w:color="auto"/>
              <w:right w:val="single" w:sz="4" w:space="0" w:color="auto"/>
            </w:tcBorders>
            <w:vAlign w:val="center"/>
            <w:hideMark/>
          </w:tcPr>
          <w:p w14:paraId="7D9A248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1D79239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PM_D29</w:t>
            </w:r>
          </w:p>
        </w:tc>
        <w:tc>
          <w:tcPr>
            <w:tcW w:w="808" w:type="pct"/>
            <w:tcBorders>
              <w:top w:val="nil"/>
              <w:left w:val="nil"/>
              <w:bottom w:val="single" w:sz="4" w:space="0" w:color="auto"/>
              <w:right w:val="single" w:sz="4" w:space="0" w:color="auto"/>
            </w:tcBorders>
            <w:shd w:val="clear" w:color="auto" w:fill="auto"/>
            <w:vAlign w:val="center"/>
            <w:hideMark/>
          </w:tcPr>
          <w:p w14:paraId="4B57472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RES for heating and cooling in new and renovated buildings</w:t>
            </w:r>
          </w:p>
        </w:tc>
        <w:tc>
          <w:tcPr>
            <w:tcW w:w="510" w:type="pct"/>
            <w:tcBorders>
              <w:top w:val="nil"/>
              <w:left w:val="nil"/>
              <w:bottom w:val="single" w:sz="4" w:space="0" w:color="auto"/>
              <w:right w:val="single" w:sz="4" w:space="0" w:color="auto"/>
            </w:tcBorders>
            <w:shd w:val="clear" w:color="auto" w:fill="auto"/>
            <w:vAlign w:val="center"/>
            <w:hideMark/>
          </w:tcPr>
          <w:p w14:paraId="6E50665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1D73485D" w14:textId="3D88C355"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Budget incorporated into energy efficiency dimension measures (PM_</w:t>
            </w:r>
            <w:r w:rsidR="002624BC" w:rsidRPr="00673450">
              <w:rPr>
                <w:rFonts w:ascii="Calibri" w:hAnsi="Calibri" w:cs="Calibri"/>
                <w:sz w:val="15"/>
                <w:szCs w:val="15"/>
              </w:rPr>
              <w:t>EE</w:t>
            </w:r>
            <w:r w:rsidR="002624BC">
              <w:rPr>
                <w:rFonts w:ascii="Calibri" w:hAnsi="Calibri" w:cs="Calibri"/>
                <w:sz w:val="15"/>
                <w:szCs w:val="15"/>
              </w:rPr>
              <w:t>1</w:t>
            </w:r>
            <w:r w:rsidRPr="00673450">
              <w:rPr>
                <w:rFonts w:ascii="Calibri" w:hAnsi="Calibri" w:cs="Calibri"/>
                <w:sz w:val="15"/>
                <w:szCs w:val="15"/>
              </w:rPr>
              <w:t>-PM_EE8)</w:t>
            </w:r>
          </w:p>
        </w:tc>
        <w:tc>
          <w:tcPr>
            <w:tcW w:w="421" w:type="pct"/>
            <w:tcBorders>
              <w:top w:val="nil"/>
              <w:left w:val="nil"/>
              <w:bottom w:val="single" w:sz="4" w:space="0" w:color="auto"/>
              <w:right w:val="single" w:sz="4" w:space="0" w:color="auto"/>
            </w:tcBorders>
            <w:shd w:val="clear" w:color="000000" w:fill="595959"/>
            <w:vAlign w:val="center"/>
            <w:hideMark/>
          </w:tcPr>
          <w:p w14:paraId="6AABDE2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5E75FA6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6F14D7E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0DAC7F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595959"/>
            <w:vAlign w:val="center"/>
            <w:hideMark/>
          </w:tcPr>
          <w:p w14:paraId="2D91366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36E0327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35A9CBF" w14:textId="77777777" w:rsidTr="0087794A">
        <w:trPr>
          <w:cantSplit/>
          <w:trHeight w:val="20"/>
        </w:trPr>
        <w:tc>
          <w:tcPr>
            <w:tcW w:w="390" w:type="pct"/>
            <w:vMerge/>
            <w:tcBorders>
              <w:left w:val="single" w:sz="4" w:space="0" w:color="auto"/>
              <w:right w:val="single" w:sz="4" w:space="0" w:color="auto"/>
            </w:tcBorders>
            <w:vAlign w:val="center"/>
            <w:hideMark/>
          </w:tcPr>
          <w:p w14:paraId="5DAFBF8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3A53569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PM_D30</w:t>
            </w:r>
          </w:p>
        </w:tc>
        <w:tc>
          <w:tcPr>
            <w:tcW w:w="808" w:type="pct"/>
            <w:tcBorders>
              <w:top w:val="nil"/>
              <w:left w:val="nil"/>
              <w:bottom w:val="single" w:sz="4" w:space="0" w:color="auto"/>
              <w:right w:val="single" w:sz="4" w:space="0" w:color="auto"/>
            </w:tcBorders>
            <w:shd w:val="clear" w:color="auto" w:fill="auto"/>
            <w:vAlign w:val="center"/>
            <w:hideMark/>
          </w:tcPr>
          <w:p w14:paraId="2A2EA43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Provision of fiscal and economic incentives to foster RES in heating and cooling</w:t>
            </w:r>
          </w:p>
        </w:tc>
        <w:tc>
          <w:tcPr>
            <w:tcW w:w="510" w:type="pct"/>
            <w:tcBorders>
              <w:top w:val="nil"/>
              <w:left w:val="nil"/>
              <w:bottom w:val="single" w:sz="4" w:space="0" w:color="auto"/>
              <w:right w:val="single" w:sz="4" w:space="0" w:color="auto"/>
            </w:tcBorders>
            <w:shd w:val="clear" w:color="auto" w:fill="auto"/>
            <w:vAlign w:val="center"/>
            <w:hideMark/>
          </w:tcPr>
          <w:p w14:paraId="5A5DDFD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5E6208FC" w14:textId="42BA6CAB"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Budget incorporated into energy efficiency dimension measures (PM_EE1-, PM_EE8)</w:t>
            </w:r>
            <w:r w:rsidR="002F7114" w:rsidRPr="002F7114">
              <w:rPr>
                <w:rFonts w:ascii="Calibri" w:hAnsi="Calibri" w:cs="Calibri"/>
                <w:sz w:val="15"/>
                <w:szCs w:val="15"/>
              </w:rPr>
              <w:t xml:space="preserve"> - 2518 M€ for heat pumps and 637 M€ for solar thermal systems</w:t>
            </w:r>
          </w:p>
        </w:tc>
        <w:tc>
          <w:tcPr>
            <w:tcW w:w="421" w:type="pct"/>
            <w:tcBorders>
              <w:top w:val="nil"/>
              <w:left w:val="nil"/>
              <w:bottom w:val="single" w:sz="4" w:space="0" w:color="auto"/>
              <w:right w:val="single" w:sz="4" w:space="0" w:color="auto"/>
            </w:tcBorders>
            <w:shd w:val="clear" w:color="000000" w:fill="595959"/>
            <w:vAlign w:val="center"/>
            <w:hideMark/>
          </w:tcPr>
          <w:p w14:paraId="71FF945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74EBDEC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17CE18E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589D96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595959"/>
            <w:vAlign w:val="center"/>
            <w:hideMark/>
          </w:tcPr>
          <w:p w14:paraId="30B2FEF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5DEC753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4BF41DFA" w14:textId="77777777" w:rsidTr="0087794A">
        <w:trPr>
          <w:cantSplit/>
          <w:trHeight w:val="20"/>
        </w:trPr>
        <w:tc>
          <w:tcPr>
            <w:tcW w:w="390" w:type="pct"/>
            <w:vMerge/>
            <w:tcBorders>
              <w:left w:val="single" w:sz="4" w:space="0" w:color="auto"/>
              <w:right w:val="single" w:sz="4" w:space="0" w:color="auto"/>
            </w:tcBorders>
            <w:vAlign w:val="center"/>
            <w:hideMark/>
          </w:tcPr>
          <w:p w14:paraId="563C2154"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5BD77A7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PM_D31</w:t>
            </w:r>
          </w:p>
        </w:tc>
        <w:tc>
          <w:tcPr>
            <w:tcW w:w="808" w:type="pct"/>
            <w:tcBorders>
              <w:top w:val="nil"/>
              <w:left w:val="nil"/>
              <w:bottom w:val="single" w:sz="4" w:space="0" w:color="auto"/>
              <w:right w:val="single" w:sz="4" w:space="0" w:color="auto"/>
            </w:tcBorders>
            <w:shd w:val="clear" w:color="auto" w:fill="auto"/>
            <w:vAlign w:val="center"/>
            <w:hideMark/>
          </w:tcPr>
          <w:p w14:paraId="7482171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Facilitating the penetration of RES into district heating networks</w:t>
            </w:r>
          </w:p>
        </w:tc>
        <w:tc>
          <w:tcPr>
            <w:tcW w:w="510" w:type="pct"/>
            <w:tcBorders>
              <w:top w:val="nil"/>
              <w:left w:val="nil"/>
              <w:bottom w:val="single" w:sz="4" w:space="0" w:color="auto"/>
              <w:right w:val="single" w:sz="4" w:space="0" w:color="auto"/>
            </w:tcBorders>
            <w:shd w:val="clear" w:color="auto" w:fill="auto"/>
            <w:vAlign w:val="center"/>
            <w:hideMark/>
          </w:tcPr>
          <w:p w14:paraId="3DBCFB3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4BCF93CD" w14:textId="77777777" w:rsidR="002F7114" w:rsidRPr="002F7114" w:rsidRDefault="00663039" w:rsidP="002F7114">
            <w:pPr>
              <w:spacing w:after="0" w:line="240" w:lineRule="auto"/>
              <w:jc w:val="center"/>
              <w:rPr>
                <w:rFonts w:ascii="Calibri" w:hAnsi="Calibri" w:cs="Calibri"/>
                <w:sz w:val="15"/>
                <w:szCs w:val="15"/>
              </w:rPr>
            </w:pPr>
            <w:r w:rsidRPr="00673450">
              <w:rPr>
                <w:rFonts w:ascii="Calibri" w:hAnsi="Calibri" w:cs="Calibri"/>
                <w:sz w:val="15"/>
                <w:szCs w:val="15"/>
              </w:rPr>
              <w:t> </w:t>
            </w:r>
            <w:r w:rsidR="002F7114" w:rsidRPr="002F7114">
              <w:rPr>
                <w:rFonts w:ascii="Calibri" w:hAnsi="Calibri" w:cs="Calibri"/>
                <w:sz w:val="15"/>
                <w:szCs w:val="15"/>
              </w:rPr>
              <w:t>8 M€ for biomass</w:t>
            </w:r>
          </w:p>
          <w:p w14:paraId="15FD49DD" w14:textId="75660BD1" w:rsidR="00663039" w:rsidRPr="00673450" w:rsidRDefault="002F7114" w:rsidP="002F7114">
            <w:pPr>
              <w:spacing w:after="0" w:line="240" w:lineRule="auto"/>
              <w:jc w:val="center"/>
              <w:rPr>
                <w:rFonts w:ascii="Calibri" w:eastAsia="Times New Roman" w:hAnsi="Calibri" w:cs="Calibri"/>
                <w:sz w:val="15"/>
                <w:szCs w:val="15"/>
              </w:rPr>
            </w:pPr>
            <w:r w:rsidRPr="002F7114">
              <w:rPr>
                <w:rFonts w:ascii="Calibri" w:hAnsi="Calibri" w:cs="Calibri"/>
                <w:sz w:val="15"/>
                <w:szCs w:val="15"/>
              </w:rPr>
              <w:t>443 M€ for solar energy</w:t>
            </w:r>
          </w:p>
        </w:tc>
        <w:tc>
          <w:tcPr>
            <w:tcW w:w="421" w:type="pct"/>
            <w:tcBorders>
              <w:top w:val="nil"/>
              <w:left w:val="nil"/>
              <w:bottom w:val="single" w:sz="4" w:space="0" w:color="auto"/>
              <w:right w:val="single" w:sz="4" w:space="0" w:color="auto"/>
            </w:tcBorders>
            <w:shd w:val="clear" w:color="000000" w:fill="E2EFDA"/>
            <w:vAlign w:val="center"/>
            <w:hideMark/>
          </w:tcPr>
          <w:p w14:paraId="31076C91" w14:textId="04E7BF55"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451</w:t>
            </w:r>
          </w:p>
        </w:tc>
        <w:tc>
          <w:tcPr>
            <w:tcW w:w="354" w:type="pct"/>
            <w:tcBorders>
              <w:top w:val="nil"/>
              <w:left w:val="nil"/>
              <w:bottom w:val="single" w:sz="4" w:space="0" w:color="auto"/>
              <w:right w:val="single" w:sz="4" w:space="0" w:color="auto"/>
            </w:tcBorders>
            <w:shd w:val="clear" w:color="auto" w:fill="E2EFD9" w:themeFill="accent6" w:themeFillTint="33"/>
            <w:vAlign w:val="center"/>
            <w:hideMark/>
          </w:tcPr>
          <w:p w14:paraId="04DCC2E2" w14:textId="49A3BFDF"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225.5</w:t>
            </w:r>
          </w:p>
        </w:tc>
        <w:tc>
          <w:tcPr>
            <w:tcW w:w="375" w:type="pct"/>
            <w:tcBorders>
              <w:top w:val="nil"/>
              <w:left w:val="nil"/>
              <w:bottom w:val="single" w:sz="4" w:space="0" w:color="auto"/>
              <w:right w:val="single" w:sz="4" w:space="0" w:color="auto"/>
            </w:tcBorders>
            <w:shd w:val="clear" w:color="auto" w:fill="E2EFD9" w:themeFill="accent6" w:themeFillTint="33"/>
            <w:vAlign w:val="center"/>
            <w:hideMark/>
          </w:tcPr>
          <w:p w14:paraId="242D012A" w14:textId="2A04BD5B"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225.5</w:t>
            </w:r>
          </w:p>
        </w:tc>
        <w:tc>
          <w:tcPr>
            <w:tcW w:w="419" w:type="pct"/>
            <w:tcBorders>
              <w:top w:val="nil"/>
              <w:left w:val="nil"/>
              <w:bottom w:val="single" w:sz="4" w:space="0" w:color="auto"/>
              <w:right w:val="single" w:sz="4" w:space="0" w:color="auto"/>
            </w:tcBorders>
            <w:shd w:val="clear" w:color="auto" w:fill="E2EFD9" w:themeFill="accent6" w:themeFillTint="33"/>
            <w:vAlign w:val="center"/>
            <w:hideMark/>
          </w:tcPr>
          <w:p w14:paraId="6D92706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auto" w:fill="E2EFD9" w:themeFill="accent6" w:themeFillTint="33"/>
            <w:vAlign w:val="center"/>
            <w:hideMark/>
          </w:tcPr>
          <w:p w14:paraId="25EF6947" w14:textId="12E122C1"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auto" w:fill="E2EFD9" w:themeFill="accent6" w:themeFillTint="33"/>
            <w:vAlign w:val="center"/>
            <w:hideMark/>
          </w:tcPr>
          <w:p w14:paraId="6CA68974" w14:textId="61FEFFA8" w:rsidR="00663039" w:rsidRPr="00673450" w:rsidRDefault="002624BC" w:rsidP="001544A6">
            <w:pPr>
              <w:spacing w:after="0" w:line="240" w:lineRule="auto"/>
              <w:jc w:val="center"/>
              <w:rPr>
                <w:rFonts w:ascii="Calibri" w:eastAsia="Times New Roman" w:hAnsi="Calibri" w:cs="Calibri"/>
                <w:sz w:val="15"/>
                <w:szCs w:val="15"/>
              </w:rPr>
            </w:pPr>
            <w:r>
              <w:rPr>
                <w:rFonts w:ascii="Calibri" w:hAnsi="Calibri" w:cs="Calibri"/>
                <w:sz w:val="15"/>
                <w:szCs w:val="15"/>
              </w:rPr>
              <w:t>451.00</w:t>
            </w:r>
          </w:p>
        </w:tc>
      </w:tr>
      <w:tr w:rsidR="0087794A" w:rsidRPr="00207220" w14:paraId="24E6CB68" w14:textId="77777777" w:rsidTr="0087794A">
        <w:trPr>
          <w:cantSplit/>
          <w:trHeight w:val="20"/>
        </w:trPr>
        <w:tc>
          <w:tcPr>
            <w:tcW w:w="390" w:type="pct"/>
            <w:vMerge/>
            <w:tcBorders>
              <w:left w:val="single" w:sz="4" w:space="0" w:color="auto"/>
              <w:right w:val="single" w:sz="4" w:space="0" w:color="auto"/>
            </w:tcBorders>
            <w:vAlign w:val="center"/>
            <w:hideMark/>
          </w:tcPr>
          <w:p w14:paraId="6F2EDCF4"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73DF746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PM_D32</w:t>
            </w:r>
          </w:p>
        </w:tc>
        <w:tc>
          <w:tcPr>
            <w:tcW w:w="808" w:type="pct"/>
            <w:tcBorders>
              <w:top w:val="nil"/>
              <w:left w:val="nil"/>
              <w:bottom w:val="single" w:sz="4" w:space="0" w:color="auto"/>
              <w:right w:val="single" w:sz="4" w:space="0" w:color="auto"/>
            </w:tcBorders>
            <w:shd w:val="clear" w:color="auto" w:fill="auto"/>
            <w:vAlign w:val="center"/>
            <w:hideMark/>
          </w:tcPr>
          <w:p w14:paraId="5E806AE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Fostering the production of advanced biofuels for use in transport sector</w:t>
            </w:r>
          </w:p>
        </w:tc>
        <w:tc>
          <w:tcPr>
            <w:tcW w:w="510" w:type="pct"/>
            <w:tcBorders>
              <w:top w:val="nil"/>
              <w:left w:val="nil"/>
              <w:bottom w:val="single" w:sz="4" w:space="0" w:color="auto"/>
              <w:right w:val="single" w:sz="4" w:space="0" w:color="auto"/>
            </w:tcBorders>
            <w:shd w:val="clear" w:color="auto" w:fill="auto"/>
            <w:vAlign w:val="center"/>
            <w:hideMark/>
          </w:tcPr>
          <w:p w14:paraId="7F920CA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single" w:sz="4" w:space="0" w:color="auto"/>
              <w:left w:val="nil"/>
              <w:bottom w:val="single" w:sz="4" w:space="0" w:color="auto"/>
              <w:right w:val="single" w:sz="4" w:space="0" w:color="auto"/>
            </w:tcBorders>
            <w:shd w:val="clear" w:color="auto" w:fill="auto"/>
            <w:noWrap/>
            <w:vAlign w:val="bottom"/>
            <w:hideMark/>
          </w:tcPr>
          <w:p w14:paraId="20FBB88F"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421" w:type="pct"/>
            <w:tcBorders>
              <w:top w:val="nil"/>
              <w:left w:val="single" w:sz="4" w:space="0" w:color="auto"/>
              <w:bottom w:val="single" w:sz="4" w:space="0" w:color="auto"/>
              <w:right w:val="single" w:sz="4" w:space="0" w:color="auto"/>
            </w:tcBorders>
            <w:shd w:val="clear" w:color="000000" w:fill="E2EFDA"/>
            <w:vAlign w:val="center"/>
            <w:hideMark/>
          </w:tcPr>
          <w:p w14:paraId="73E41CCA" w14:textId="0EA2BD0E" w:rsidR="00663039" w:rsidRPr="002624BC" w:rsidRDefault="004B571B" w:rsidP="001544A6">
            <w:pPr>
              <w:spacing w:after="0" w:line="240" w:lineRule="auto"/>
              <w:jc w:val="center"/>
              <w:rPr>
                <w:rFonts w:ascii="Calibri" w:eastAsia="Times New Roman" w:hAnsi="Calibri" w:cs="Calibri"/>
                <w:sz w:val="15"/>
                <w:szCs w:val="15"/>
              </w:rPr>
            </w:pPr>
            <w:r w:rsidRPr="002624BC">
              <w:rPr>
                <w:rFonts w:ascii="Calibri" w:hAnsi="Calibri" w:cs="Calibri"/>
                <w:sz w:val="15"/>
                <w:szCs w:val="15"/>
              </w:rPr>
              <w:t>100</w:t>
            </w:r>
            <w:r w:rsidR="00663039" w:rsidRPr="002624BC">
              <w:rPr>
                <w:rFonts w:ascii="Calibri" w:hAnsi="Calibri" w:cs="Calibri"/>
                <w:sz w:val="15"/>
                <w:szCs w:val="15"/>
              </w:rPr>
              <w:t>.00</w:t>
            </w:r>
          </w:p>
        </w:tc>
        <w:tc>
          <w:tcPr>
            <w:tcW w:w="354" w:type="pct"/>
            <w:tcBorders>
              <w:top w:val="nil"/>
              <w:left w:val="nil"/>
              <w:bottom w:val="single" w:sz="4" w:space="0" w:color="auto"/>
              <w:right w:val="single" w:sz="4" w:space="0" w:color="auto"/>
            </w:tcBorders>
            <w:shd w:val="clear" w:color="auto" w:fill="E2EFD9" w:themeFill="accent6" w:themeFillTint="33"/>
            <w:vAlign w:val="center"/>
            <w:hideMark/>
          </w:tcPr>
          <w:p w14:paraId="11315F3B" w14:textId="143B8094" w:rsidR="00663039" w:rsidRPr="002624BC" w:rsidRDefault="00A2054B" w:rsidP="001544A6">
            <w:pPr>
              <w:spacing w:after="0" w:line="240" w:lineRule="auto"/>
              <w:jc w:val="center"/>
              <w:rPr>
                <w:rFonts w:ascii="Calibri" w:eastAsia="Times New Roman" w:hAnsi="Calibri" w:cs="Calibri"/>
                <w:sz w:val="15"/>
                <w:szCs w:val="15"/>
              </w:rPr>
            </w:pPr>
            <w:r w:rsidRPr="0087794A">
              <w:rPr>
                <w:rFonts w:ascii="Calibri" w:hAnsi="Calibri" w:cs="Calibri"/>
                <w:sz w:val="15"/>
                <w:szCs w:val="15"/>
              </w:rPr>
              <w:t>50</w:t>
            </w:r>
            <w:r w:rsidR="00663039" w:rsidRPr="002624BC">
              <w:rPr>
                <w:rFonts w:ascii="Calibri" w:hAnsi="Calibri" w:cs="Calibri"/>
                <w:sz w:val="15"/>
                <w:szCs w:val="15"/>
              </w:rPr>
              <w:t>.00</w:t>
            </w:r>
          </w:p>
        </w:tc>
        <w:tc>
          <w:tcPr>
            <w:tcW w:w="375" w:type="pct"/>
            <w:tcBorders>
              <w:top w:val="nil"/>
              <w:left w:val="nil"/>
              <w:bottom w:val="single" w:sz="4" w:space="0" w:color="auto"/>
              <w:right w:val="single" w:sz="4" w:space="0" w:color="auto"/>
            </w:tcBorders>
            <w:shd w:val="clear" w:color="auto" w:fill="E2EFD9" w:themeFill="accent6" w:themeFillTint="33"/>
            <w:vAlign w:val="center"/>
            <w:hideMark/>
          </w:tcPr>
          <w:p w14:paraId="2E1F1900" w14:textId="49C073F9" w:rsidR="00663039" w:rsidRPr="002624BC" w:rsidRDefault="00A2054B" w:rsidP="001544A6">
            <w:pPr>
              <w:spacing w:after="0" w:line="240" w:lineRule="auto"/>
              <w:jc w:val="center"/>
              <w:rPr>
                <w:rFonts w:ascii="Calibri" w:eastAsia="Times New Roman" w:hAnsi="Calibri" w:cs="Calibri"/>
                <w:sz w:val="15"/>
                <w:szCs w:val="15"/>
              </w:rPr>
            </w:pPr>
            <w:r w:rsidRPr="0087794A">
              <w:rPr>
                <w:rFonts w:ascii="Calibri" w:hAnsi="Calibri" w:cs="Calibri"/>
                <w:sz w:val="15"/>
                <w:szCs w:val="15"/>
              </w:rPr>
              <w:t>50</w:t>
            </w:r>
            <w:r w:rsidR="00663039" w:rsidRPr="002624BC">
              <w:rPr>
                <w:rFonts w:ascii="Calibri" w:hAnsi="Calibri" w:cs="Calibri"/>
                <w:sz w:val="15"/>
                <w:szCs w:val="15"/>
              </w:rPr>
              <w:t>.00</w:t>
            </w:r>
          </w:p>
        </w:tc>
        <w:tc>
          <w:tcPr>
            <w:tcW w:w="419" w:type="pct"/>
            <w:tcBorders>
              <w:top w:val="nil"/>
              <w:left w:val="nil"/>
              <w:bottom w:val="single" w:sz="4" w:space="0" w:color="auto"/>
              <w:right w:val="single" w:sz="4" w:space="0" w:color="auto"/>
            </w:tcBorders>
            <w:shd w:val="clear" w:color="auto" w:fill="E2EFD9" w:themeFill="accent6" w:themeFillTint="33"/>
            <w:vAlign w:val="center"/>
            <w:hideMark/>
          </w:tcPr>
          <w:p w14:paraId="7A0EE22C" w14:textId="77777777" w:rsidR="00663039" w:rsidRPr="002624BC" w:rsidRDefault="00663039" w:rsidP="001544A6">
            <w:pPr>
              <w:spacing w:after="0" w:line="240" w:lineRule="auto"/>
              <w:jc w:val="center"/>
              <w:rPr>
                <w:rFonts w:ascii="Calibri" w:eastAsia="Times New Roman" w:hAnsi="Calibri" w:cs="Calibri"/>
                <w:sz w:val="15"/>
                <w:szCs w:val="15"/>
              </w:rPr>
            </w:pPr>
            <w:r w:rsidRPr="002624BC">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auto" w:fill="E2EFD9" w:themeFill="accent6" w:themeFillTint="33"/>
            <w:vAlign w:val="center"/>
            <w:hideMark/>
          </w:tcPr>
          <w:p w14:paraId="2807B5A3" w14:textId="77777777" w:rsidR="00663039" w:rsidRPr="002624BC" w:rsidRDefault="00663039" w:rsidP="001544A6">
            <w:pPr>
              <w:spacing w:after="0" w:line="240" w:lineRule="auto"/>
              <w:jc w:val="center"/>
              <w:rPr>
                <w:rFonts w:ascii="Calibri" w:eastAsia="Times New Roman" w:hAnsi="Calibri" w:cs="Calibri"/>
                <w:sz w:val="15"/>
                <w:szCs w:val="15"/>
              </w:rPr>
            </w:pPr>
            <w:r w:rsidRPr="002624BC">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auto" w:fill="E2EFD9" w:themeFill="accent6" w:themeFillTint="33"/>
            <w:vAlign w:val="center"/>
            <w:hideMark/>
          </w:tcPr>
          <w:p w14:paraId="4ACFE73C" w14:textId="772DF8DC" w:rsidR="00663039" w:rsidRPr="002624BC" w:rsidRDefault="004B571B" w:rsidP="001544A6">
            <w:pPr>
              <w:spacing w:after="0" w:line="240" w:lineRule="auto"/>
              <w:jc w:val="center"/>
              <w:rPr>
                <w:rFonts w:ascii="Calibri" w:eastAsia="Times New Roman" w:hAnsi="Calibri" w:cs="Calibri"/>
                <w:sz w:val="15"/>
                <w:szCs w:val="15"/>
              </w:rPr>
            </w:pPr>
            <w:r w:rsidRPr="0087794A">
              <w:rPr>
                <w:rFonts w:ascii="Calibri" w:hAnsi="Calibri" w:cs="Calibri"/>
                <w:sz w:val="15"/>
                <w:szCs w:val="15"/>
              </w:rPr>
              <w:t>100</w:t>
            </w:r>
            <w:r w:rsidR="00663039" w:rsidRPr="002624BC">
              <w:rPr>
                <w:rFonts w:ascii="Calibri" w:hAnsi="Calibri" w:cs="Calibri"/>
                <w:sz w:val="15"/>
                <w:szCs w:val="15"/>
              </w:rPr>
              <w:t>.00</w:t>
            </w:r>
          </w:p>
        </w:tc>
      </w:tr>
      <w:tr w:rsidR="00663039" w:rsidRPr="00207220" w14:paraId="2E94B9C6" w14:textId="77777777" w:rsidTr="0087794A">
        <w:trPr>
          <w:cantSplit/>
          <w:trHeight w:val="20"/>
        </w:trPr>
        <w:tc>
          <w:tcPr>
            <w:tcW w:w="390" w:type="pct"/>
            <w:vMerge/>
            <w:tcBorders>
              <w:left w:val="single" w:sz="4" w:space="0" w:color="auto"/>
              <w:right w:val="single" w:sz="4" w:space="0" w:color="auto"/>
            </w:tcBorders>
            <w:vAlign w:val="center"/>
            <w:hideMark/>
          </w:tcPr>
          <w:p w14:paraId="451609C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79811B0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PM_D33</w:t>
            </w:r>
          </w:p>
        </w:tc>
        <w:tc>
          <w:tcPr>
            <w:tcW w:w="808" w:type="pct"/>
            <w:tcBorders>
              <w:top w:val="nil"/>
              <w:left w:val="nil"/>
              <w:bottom w:val="single" w:sz="4" w:space="0" w:color="auto"/>
              <w:right w:val="single" w:sz="4" w:space="0" w:color="auto"/>
            </w:tcBorders>
            <w:shd w:val="clear" w:color="auto" w:fill="auto"/>
            <w:vAlign w:val="center"/>
            <w:hideMark/>
          </w:tcPr>
          <w:p w14:paraId="68F8088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Fostering the consumption of biofuels in transport sector</w:t>
            </w:r>
          </w:p>
        </w:tc>
        <w:tc>
          <w:tcPr>
            <w:tcW w:w="510" w:type="pct"/>
            <w:tcBorders>
              <w:top w:val="nil"/>
              <w:left w:val="nil"/>
              <w:bottom w:val="single" w:sz="4" w:space="0" w:color="auto"/>
              <w:right w:val="single" w:sz="4" w:space="0" w:color="auto"/>
            </w:tcBorders>
            <w:shd w:val="clear" w:color="auto" w:fill="auto"/>
            <w:vAlign w:val="center"/>
            <w:hideMark/>
          </w:tcPr>
          <w:p w14:paraId="0E6B390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42774DD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5F1B61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54" w:type="pct"/>
            <w:tcBorders>
              <w:top w:val="nil"/>
              <w:left w:val="nil"/>
              <w:bottom w:val="single" w:sz="4" w:space="0" w:color="auto"/>
              <w:right w:val="single" w:sz="4" w:space="0" w:color="auto"/>
            </w:tcBorders>
            <w:shd w:val="clear" w:color="000000" w:fill="E2EFDA"/>
            <w:vAlign w:val="center"/>
            <w:hideMark/>
          </w:tcPr>
          <w:p w14:paraId="54E4C9F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375" w:type="pct"/>
            <w:tcBorders>
              <w:top w:val="nil"/>
              <w:left w:val="nil"/>
              <w:bottom w:val="single" w:sz="4" w:space="0" w:color="auto"/>
              <w:right w:val="single" w:sz="4" w:space="0" w:color="auto"/>
            </w:tcBorders>
            <w:shd w:val="clear" w:color="000000" w:fill="E2EFDA"/>
            <w:vAlign w:val="center"/>
            <w:hideMark/>
          </w:tcPr>
          <w:p w14:paraId="682592C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047D9C8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61EB1A5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135E955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r>
      <w:tr w:rsidR="00663039" w:rsidRPr="00207220" w14:paraId="53235F71" w14:textId="77777777" w:rsidTr="0087794A">
        <w:trPr>
          <w:cantSplit/>
          <w:trHeight w:val="20"/>
        </w:trPr>
        <w:tc>
          <w:tcPr>
            <w:tcW w:w="390" w:type="pct"/>
            <w:vMerge/>
            <w:tcBorders>
              <w:left w:val="single" w:sz="4" w:space="0" w:color="auto"/>
              <w:right w:val="single" w:sz="4" w:space="0" w:color="auto"/>
            </w:tcBorders>
            <w:vAlign w:val="center"/>
            <w:hideMark/>
          </w:tcPr>
          <w:p w14:paraId="1AA7A21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C0333C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PM_D34</w:t>
            </w:r>
          </w:p>
        </w:tc>
        <w:tc>
          <w:tcPr>
            <w:tcW w:w="808" w:type="pct"/>
            <w:tcBorders>
              <w:top w:val="nil"/>
              <w:left w:val="nil"/>
              <w:bottom w:val="single" w:sz="4" w:space="0" w:color="auto"/>
              <w:right w:val="single" w:sz="4" w:space="0" w:color="auto"/>
            </w:tcBorders>
            <w:shd w:val="clear" w:color="auto" w:fill="auto"/>
            <w:vAlign w:val="center"/>
            <w:hideMark/>
          </w:tcPr>
          <w:p w14:paraId="11E68C8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required infrastructure for recharging electric vehicles</w:t>
            </w:r>
          </w:p>
        </w:tc>
        <w:tc>
          <w:tcPr>
            <w:tcW w:w="510" w:type="pct"/>
            <w:tcBorders>
              <w:top w:val="nil"/>
              <w:left w:val="nil"/>
              <w:bottom w:val="single" w:sz="4" w:space="0" w:color="auto"/>
              <w:right w:val="single" w:sz="4" w:space="0" w:color="auto"/>
            </w:tcBorders>
            <w:shd w:val="clear" w:color="auto" w:fill="auto"/>
            <w:vAlign w:val="center"/>
            <w:hideMark/>
          </w:tcPr>
          <w:p w14:paraId="54A9B6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0DD4442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be integrated into energy efficiency dimension</w:t>
            </w:r>
          </w:p>
        </w:tc>
        <w:tc>
          <w:tcPr>
            <w:tcW w:w="421" w:type="pct"/>
            <w:tcBorders>
              <w:top w:val="nil"/>
              <w:left w:val="nil"/>
              <w:bottom w:val="single" w:sz="4" w:space="0" w:color="auto"/>
              <w:right w:val="single" w:sz="4" w:space="0" w:color="auto"/>
            </w:tcBorders>
            <w:shd w:val="clear" w:color="000000" w:fill="E2EFDA"/>
            <w:vAlign w:val="center"/>
            <w:hideMark/>
          </w:tcPr>
          <w:p w14:paraId="23468D2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c>
          <w:tcPr>
            <w:tcW w:w="354" w:type="pct"/>
            <w:tcBorders>
              <w:top w:val="nil"/>
              <w:left w:val="nil"/>
              <w:bottom w:val="single" w:sz="4" w:space="0" w:color="auto"/>
              <w:right w:val="single" w:sz="4" w:space="0" w:color="auto"/>
            </w:tcBorders>
            <w:shd w:val="clear" w:color="000000" w:fill="E2EFDA"/>
            <w:vAlign w:val="center"/>
            <w:hideMark/>
          </w:tcPr>
          <w:p w14:paraId="64A262A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c>
          <w:tcPr>
            <w:tcW w:w="375" w:type="pct"/>
            <w:tcBorders>
              <w:top w:val="nil"/>
              <w:left w:val="nil"/>
              <w:bottom w:val="single" w:sz="4" w:space="0" w:color="auto"/>
              <w:right w:val="single" w:sz="4" w:space="0" w:color="auto"/>
            </w:tcBorders>
            <w:shd w:val="clear" w:color="000000" w:fill="E2EFDA"/>
            <w:vAlign w:val="center"/>
            <w:hideMark/>
          </w:tcPr>
          <w:p w14:paraId="44B00ED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31371ED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2AA6B67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58B2819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r>
      <w:tr w:rsidR="00663039" w:rsidRPr="00207220" w14:paraId="1CAAA38F" w14:textId="77777777" w:rsidTr="0087794A">
        <w:trPr>
          <w:cantSplit/>
          <w:trHeight w:val="20"/>
        </w:trPr>
        <w:tc>
          <w:tcPr>
            <w:tcW w:w="390" w:type="pct"/>
            <w:vMerge/>
            <w:tcBorders>
              <w:left w:val="single" w:sz="4" w:space="0" w:color="auto"/>
              <w:right w:val="single" w:sz="4" w:space="0" w:color="auto"/>
            </w:tcBorders>
            <w:vAlign w:val="center"/>
            <w:hideMark/>
          </w:tcPr>
          <w:p w14:paraId="0F11521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687D0C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PM_D35</w:t>
            </w:r>
          </w:p>
        </w:tc>
        <w:tc>
          <w:tcPr>
            <w:tcW w:w="808" w:type="pct"/>
            <w:tcBorders>
              <w:top w:val="nil"/>
              <w:left w:val="nil"/>
              <w:bottom w:val="single" w:sz="4" w:space="0" w:color="auto"/>
              <w:right w:val="single" w:sz="4" w:space="0" w:color="auto"/>
            </w:tcBorders>
            <w:shd w:val="clear" w:color="auto" w:fill="auto"/>
            <w:vAlign w:val="center"/>
            <w:hideMark/>
          </w:tcPr>
          <w:p w14:paraId="4360CBD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Provision of fiscal and economic incentives to foster the further deployment of electric vehicles</w:t>
            </w:r>
          </w:p>
        </w:tc>
        <w:tc>
          <w:tcPr>
            <w:tcW w:w="510" w:type="pct"/>
            <w:tcBorders>
              <w:top w:val="nil"/>
              <w:left w:val="nil"/>
              <w:bottom w:val="single" w:sz="4" w:space="0" w:color="auto"/>
              <w:right w:val="single" w:sz="4" w:space="0" w:color="auto"/>
            </w:tcBorders>
            <w:shd w:val="clear" w:color="auto" w:fill="auto"/>
            <w:vAlign w:val="center"/>
            <w:hideMark/>
          </w:tcPr>
          <w:p w14:paraId="7377D7E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57A1D377" w14:textId="5987E494" w:rsidR="00663039" w:rsidRPr="00673450" w:rsidRDefault="002624BC" w:rsidP="001544A6">
            <w:pPr>
              <w:spacing w:after="0" w:line="240" w:lineRule="auto"/>
              <w:rPr>
                <w:rFonts w:ascii="Calibri" w:eastAsia="Times New Roman" w:hAnsi="Calibri" w:cs="Calibri"/>
                <w:sz w:val="15"/>
                <w:szCs w:val="15"/>
              </w:rPr>
            </w:pPr>
            <w:r w:rsidRPr="002624BC">
              <w:rPr>
                <w:rFonts w:ascii="Calibri" w:hAnsi="Calibri" w:cs="Calibri"/>
                <w:sz w:val="15"/>
                <w:szCs w:val="15"/>
              </w:rPr>
              <w:t>Budget incorporated into energy efficiency dimension measures (PM_EE12, PM_EE14, PM_EE18) - 570 M€ for electric vehicles, 1596 M€ for electric LDV and 505 M€ for electric buses</w:t>
            </w:r>
          </w:p>
        </w:tc>
        <w:tc>
          <w:tcPr>
            <w:tcW w:w="421" w:type="pct"/>
            <w:tcBorders>
              <w:top w:val="nil"/>
              <w:left w:val="nil"/>
              <w:bottom w:val="single" w:sz="4" w:space="0" w:color="auto"/>
              <w:right w:val="single" w:sz="4" w:space="0" w:color="auto"/>
            </w:tcBorders>
            <w:shd w:val="clear" w:color="000000" w:fill="595959"/>
            <w:vAlign w:val="center"/>
            <w:hideMark/>
          </w:tcPr>
          <w:p w14:paraId="763A587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3760BE1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1568A7A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6AF4C0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422" w:type="pct"/>
            <w:tcBorders>
              <w:top w:val="nil"/>
              <w:left w:val="nil"/>
              <w:bottom w:val="single" w:sz="4" w:space="0" w:color="auto"/>
              <w:right w:val="single" w:sz="4" w:space="0" w:color="auto"/>
            </w:tcBorders>
            <w:shd w:val="clear" w:color="000000" w:fill="595959"/>
            <w:vAlign w:val="center"/>
            <w:hideMark/>
          </w:tcPr>
          <w:p w14:paraId="4A7D90F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4E2FD92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93A7434" w14:textId="77777777" w:rsidTr="0087794A">
        <w:trPr>
          <w:cantSplit/>
          <w:trHeight w:val="20"/>
        </w:trPr>
        <w:tc>
          <w:tcPr>
            <w:tcW w:w="390" w:type="pct"/>
            <w:vMerge/>
            <w:tcBorders>
              <w:left w:val="single" w:sz="4" w:space="0" w:color="auto"/>
              <w:right w:val="single" w:sz="4" w:space="0" w:color="auto"/>
            </w:tcBorders>
            <w:vAlign w:val="center"/>
            <w:hideMark/>
          </w:tcPr>
          <w:p w14:paraId="5951582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0AE9FC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PM_D36</w:t>
            </w:r>
          </w:p>
        </w:tc>
        <w:tc>
          <w:tcPr>
            <w:tcW w:w="808" w:type="pct"/>
            <w:tcBorders>
              <w:top w:val="nil"/>
              <w:left w:val="nil"/>
              <w:bottom w:val="single" w:sz="4" w:space="0" w:color="auto"/>
              <w:right w:val="single" w:sz="4" w:space="0" w:color="auto"/>
            </w:tcBorders>
            <w:shd w:val="clear" w:color="auto" w:fill="auto"/>
            <w:vAlign w:val="center"/>
            <w:hideMark/>
          </w:tcPr>
          <w:p w14:paraId="6634CBE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renewable energy communities</w:t>
            </w:r>
          </w:p>
        </w:tc>
        <w:tc>
          <w:tcPr>
            <w:tcW w:w="510" w:type="pct"/>
            <w:tcBorders>
              <w:top w:val="nil"/>
              <w:left w:val="nil"/>
              <w:bottom w:val="single" w:sz="4" w:space="0" w:color="auto"/>
              <w:right w:val="single" w:sz="4" w:space="0" w:color="auto"/>
            </w:tcBorders>
            <w:shd w:val="clear" w:color="auto" w:fill="auto"/>
            <w:vAlign w:val="center"/>
            <w:hideMark/>
          </w:tcPr>
          <w:p w14:paraId="127EDCE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27EDFD3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PM_D21</w:t>
            </w:r>
          </w:p>
        </w:tc>
        <w:tc>
          <w:tcPr>
            <w:tcW w:w="421" w:type="pct"/>
            <w:tcBorders>
              <w:top w:val="nil"/>
              <w:left w:val="nil"/>
              <w:bottom w:val="single" w:sz="4" w:space="0" w:color="auto"/>
              <w:right w:val="single" w:sz="4" w:space="0" w:color="auto"/>
            </w:tcBorders>
            <w:shd w:val="clear" w:color="000000" w:fill="595959"/>
            <w:vAlign w:val="center"/>
            <w:hideMark/>
          </w:tcPr>
          <w:p w14:paraId="7017D24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5CEB3A4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47275DB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4C43A1A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595959"/>
            <w:vAlign w:val="center"/>
            <w:hideMark/>
          </w:tcPr>
          <w:p w14:paraId="599D71E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0826F2B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2447C5CE" w14:textId="77777777" w:rsidTr="0087794A">
        <w:trPr>
          <w:cantSplit/>
          <w:trHeight w:val="20"/>
        </w:trPr>
        <w:tc>
          <w:tcPr>
            <w:tcW w:w="390" w:type="pct"/>
            <w:vMerge/>
            <w:tcBorders>
              <w:left w:val="single" w:sz="4" w:space="0" w:color="auto"/>
              <w:right w:val="single" w:sz="4" w:space="0" w:color="auto"/>
            </w:tcBorders>
            <w:vAlign w:val="center"/>
            <w:hideMark/>
          </w:tcPr>
          <w:p w14:paraId="3288D64B"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4691C83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PM_D37</w:t>
            </w:r>
          </w:p>
        </w:tc>
        <w:tc>
          <w:tcPr>
            <w:tcW w:w="808" w:type="pct"/>
            <w:tcBorders>
              <w:top w:val="nil"/>
              <w:left w:val="nil"/>
              <w:bottom w:val="single" w:sz="4" w:space="0" w:color="auto"/>
              <w:right w:val="single" w:sz="4" w:space="0" w:color="auto"/>
            </w:tcBorders>
            <w:shd w:val="clear" w:color="auto" w:fill="auto"/>
            <w:vAlign w:val="center"/>
            <w:hideMark/>
          </w:tcPr>
          <w:p w14:paraId="61BA14E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legislative framework for the promotion of energy storage technologies</w:t>
            </w:r>
          </w:p>
        </w:tc>
        <w:tc>
          <w:tcPr>
            <w:tcW w:w="510" w:type="pct"/>
            <w:tcBorders>
              <w:top w:val="nil"/>
              <w:left w:val="nil"/>
              <w:bottom w:val="single" w:sz="4" w:space="0" w:color="auto"/>
              <w:right w:val="single" w:sz="4" w:space="0" w:color="auto"/>
            </w:tcBorders>
            <w:shd w:val="clear" w:color="auto" w:fill="auto"/>
            <w:vAlign w:val="center"/>
            <w:hideMark/>
          </w:tcPr>
          <w:p w14:paraId="3AC0F3F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175BB22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33CE6C3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354" w:type="pct"/>
            <w:tcBorders>
              <w:top w:val="nil"/>
              <w:left w:val="nil"/>
              <w:bottom w:val="single" w:sz="4" w:space="0" w:color="auto"/>
              <w:right w:val="single" w:sz="4" w:space="0" w:color="auto"/>
            </w:tcBorders>
            <w:shd w:val="clear" w:color="000000" w:fill="E2EFDA"/>
            <w:vAlign w:val="center"/>
            <w:hideMark/>
          </w:tcPr>
          <w:p w14:paraId="11196E7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5" w:type="pct"/>
            <w:tcBorders>
              <w:top w:val="nil"/>
              <w:left w:val="nil"/>
              <w:bottom w:val="single" w:sz="4" w:space="0" w:color="auto"/>
              <w:right w:val="single" w:sz="4" w:space="0" w:color="auto"/>
            </w:tcBorders>
            <w:shd w:val="clear" w:color="000000" w:fill="E2EFDA"/>
            <w:vAlign w:val="center"/>
            <w:hideMark/>
          </w:tcPr>
          <w:p w14:paraId="17AF9CD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419" w:type="pct"/>
            <w:tcBorders>
              <w:top w:val="nil"/>
              <w:left w:val="nil"/>
              <w:bottom w:val="single" w:sz="4" w:space="0" w:color="auto"/>
              <w:right w:val="single" w:sz="4" w:space="0" w:color="auto"/>
            </w:tcBorders>
            <w:shd w:val="clear" w:color="000000" w:fill="E2EFDA"/>
            <w:vAlign w:val="center"/>
            <w:hideMark/>
          </w:tcPr>
          <w:p w14:paraId="4720437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3BC7F20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009D0EA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r>
      <w:tr w:rsidR="00663039" w:rsidRPr="00207220" w14:paraId="7C864549" w14:textId="77777777" w:rsidTr="0087794A">
        <w:trPr>
          <w:cantSplit/>
          <w:trHeight w:val="20"/>
        </w:trPr>
        <w:tc>
          <w:tcPr>
            <w:tcW w:w="390" w:type="pct"/>
            <w:vMerge/>
            <w:tcBorders>
              <w:left w:val="single" w:sz="4" w:space="0" w:color="auto"/>
              <w:right w:val="single" w:sz="4" w:space="0" w:color="auto"/>
            </w:tcBorders>
            <w:vAlign w:val="center"/>
            <w:hideMark/>
          </w:tcPr>
          <w:p w14:paraId="707C3EF5"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988418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PM_D38</w:t>
            </w:r>
          </w:p>
        </w:tc>
        <w:tc>
          <w:tcPr>
            <w:tcW w:w="808" w:type="pct"/>
            <w:tcBorders>
              <w:top w:val="nil"/>
              <w:left w:val="nil"/>
              <w:bottom w:val="single" w:sz="4" w:space="0" w:color="auto"/>
              <w:right w:val="single" w:sz="4" w:space="0" w:color="auto"/>
            </w:tcBorders>
            <w:shd w:val="clear" w:color="auto" w:fill="auto"/>
            <w:vAlign w:val="center"/>
            <w:hideMark/>
          </w:tcPr>
          <w:p w14:paraId="2B46349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Supporting demonstration projects for the promotion of biomethane and renewable hydrogen</w:t>
            </w:r>
          </w:p>
        </w:tc>
        <w:tc>
          <w:tcPr>
            <w:tcW w:w="510" w:type="pct"/>
            <w:tcBorders>
              <w:top w:val="nil"/>
              <w:left w:val="nil"/>
              <w:bottom w:val="single" w:sz="4" w:space="0" w:color="auto"/>
              <w:right w:val="single" w:sz="4" w:space="0" w:color="auto"/>
            </w:tcBorders>
            <w:shd w:val="clear" w:color="auto" w:fill="auto"/>
            <w:vAlign w:val="center"/>
            <w:hideMark/>
          </w:tcPr>
          <w:p w14:paraId="3F5CD5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6764782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146171F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35.00</w:t>
            </w:r>
          </w:p>
        </w:tc>
        <w:tc>
          <w:tcPr>
            <w:tcW w:w="354" w:type="pct"/>
            <w:tcBorders>
              <w:top w:val="nil"/>
              <w:left w:val="nil"/>
              <w:bottom w:val="single" w:sz="4" w:space="0" w:color="auto"/>
              <w:right w:val="single" w:sz="4" w:space="0" w:color="auto"/>
            </w:tcBorders>
            <w:shd w:val="clear" w:color="auto" w:fill="E2EFD9" w:themeFill="accent6" w:themeFillTint="33"/>
            <w:vAlign w:val="center"/>
            <w:hideMark/>
          </w:tcPr>
          <w:p w14:paraId="795ED53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17.50</w:t>
            </w:r>
          </w:p>
        </w:tc>
        <w:tc>
          <w:tcPr>
            <w:tcW w:w="375" w:type="pct"/>
            <w:tcBorders>
              <w:top w:val="nil"/>
              <w:left w:val="nil"/>
              <w:bottom w:val="single" w:sz="4" w:space="0" w:color="auto"/>
              <w:right w:val="single" w:sz="4" w:space="0" w:color="auto"/>
            </w:tcBorders>
            <w:shd w:val="clear" w:color="auto" w:fill="E2EFD9" w:themeFill="accent6" w:themeFillTint="33"/>
            <w:vAlign w:val="center"/>
            <w:hideMark/>
          </w:tcPr>
          <w:p w14:paraId="46279FA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17.50</w:t>
            </w:r>
          </w:p>
        </w:tc>
        <w:tc>
          <w:tcPr>
            <w:tcW w:w="419" w:type="pct"/>
            <w:tcBorders>
              <w:top w:val="nil"/>
              <w:left w:val="nil"/>
              <w:bottom w:val="single" w:sz="4" w:space="0" w:color="auto"/>
              <w:right w:val="single" w:sz="4" w:space="0" w:color="auto"/>
            </w:tcBorders>
            <w:shd w:val="clear" w:color="000000" w:fill="E2EFDA"/>
            <w:vAlign w:val="center"/>
            <w:hideMark/>
          </w:tcPr>
          <w:p w14:paraId="7925053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1C45DB4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3EF9498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35.00</w:t>
            </w:r>
          </w:p>
        </w:tc>
      </w:tr>
      <w:tr w:rsidR="00663039" w:rsidRPr="00207220" w14:paraId="6EB91A9F" w14:textId="77777777" w:rsidTr="0087794A">
        <w:trPr>
          <w:cantSplit/>
          <w:trHeight w:val="20"/>
        </w:trPr>
        <w:tc>
          <w:tcPr>
            <w:tcW w:w="390" w:type="pct"/>
            <w:vMerge/>
            <w:tcBorders>
              <w:left w:val="single" w:sz="4" w:space="0" w:color="auto"/>
              <w:right w:val="single" w:sz="4" w:space="0" w:color="auto"/>
            </w:tcBorders>
            <w:vAlign w:val="center"/>
            <w:hideMark/>
          </w:tcPr>
          <w:p w14:paraId="461CF6C8"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0343AD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PM_D39</w:t>
            </w:r>
          </w:p>
        </w:tc>
        <w:tc>
          <w:tcPr>
            <w:tcW w:w="808" w:type="pct"/>
            <w:tcBorders>
              <w:top w:val="nil"/>
              <w:left w:val="nil"/>
              <w:bottom w:val="single" w:sz="4" w:space="0" w:color="auto"/>
              <w:right w:val="single" w:sz="4" w:space="0" w:color="auto"/>
            </w:tcBorders>
            <w:shd w:val="clear" w:color="auto" w:fill="auto"/>
            <w:vAlign w:val="center"/>
            <w:hideMark/>
          </w:tcPr>
          <w:p w14:paraId="4EC1F7F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required legislative framework and the required infrastructure for the deployment of biomethane and renewable hydrogen</w:t>
            </w:r>
          </w:p>
        </w:tc>
        <w:tc>
          <w:tcPr>
            <w:tcW w:w="510" w:type="pct"/>
            <w:tcBorders>
              <w:top w:val="nil"/>
              <w:left w:val="nil"/>
              <w:bottom w:val="single" w:sz="4" w:space="0" w:color="auto"/>
              <w:right w:val="single" w:sz="4" w:space="0" w:color="auto"/>
            </w:tcBorders>
            <w:shd w:val="clear" w:color="auto" w:fill="auto"/>
            <w:vAlign w:val="center"/>
            <w:hideMark/>
          </w:tcPr>
          <w:p w14:paraId="0252788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hideMark/>
          </w:tcPr>
          <w:p w14:paraId="30E5A21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487184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0.80</w:t>
            </w:r>
          </w:p>
        </w:tc>
        <w:tc>
          <w:tcPr>
            <w:tcW w:w="354" w:type="pct"/>
            <w:tcBorders>
              <w:top w:val="nil"/>
              <w:left w:val="nil"/>
              <w:bottom w:val="single" w:sz="4" w:space="0" w:color="auto"/>
              <w:right w:val="single" w:sz="4" w:space="0" w:color="auto"/>
            </w:tcBorders>
            <w:shd w:val="clear" w:color="000000" w:fill="E2EFDA"/>
            <w:vAlign w:val="center"/>
            <w:hideMark/>
          </w:tcPr>
          <w:p w14:paraId="7DBC46A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0.80</w:t>
            </w:r>
          </w:p>
        </w:tc>
        <w:tc>
          <w:tcPr>
            <w:tcW w:w="375" w:type="pct"/>
            <w:tcBorders>
              <w:top w:val="nil"/>
              <w:left w:val="nil"/>
              <w:bottom w:val="single" w:sz="4" w:space="0" w:color="auto"/>
              <w:right w:val="single" w:sz="4" w:space="0" w:color="auto"/>
            </w:tcBorders>
            <w:shd w:val="clear" w:color="000000" w:fill="E2EFDA"/>
            <w:vAlign w:val="center"/>
            <w:hideMark/>
          </w:tcPr>
          <w:p w14:paraId="3AF0025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24966C9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39D0C46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190BA4A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0.80</w:t>
            </w:r>
          </w:p>
        </w:tc>
      </w:tr>
      <w:tr w:rsidR="00663039" w:rsidRPr="00207220" w14:paraId="7EE8322A" w14:textId="77777777" w:rsidTr="0087794A">
        <w:trPr>
          <w:cantSplit/>
          <w:trHeight w:val="20"/>
        </w:trPr>
        <w:tc>
          <w:tcPr>
            <w:tcW w:w="390" w:type="pct"/>
            <w:vMerge/>
            <w:tcBorders>
              <w:left w:val="single" w:sz="4" w:space="0" w:color="auto"/>
              <w:right w:val="single" w:sz="4" w:space="0" w:color="auto"/>
            </w:tcBorders>
            <w:vAlign w:val="center"/>
            <w:hideMark/>
          </w:tcPr>
          <w:p w14:paraId="4E3F322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975089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PM_D40</w:t>
            </w:r>
          </w:p>
        </w:tc>
        <w:tc>
          <w:tcPr>
            <w:tcW w:w="808" w:type="pct"/>
            <w:tcBorders>
              <w:top w:val="nil"/>
              <w:left w:val="nil"/>
              <w:bottom w:val="single" w:sz="4" w:space="0" w:color="auto"/>
              <w:right w:val="single" w:sz="4" w:space="0" w:color="auto"/>
            </w:tcBorders>
            <w:shd w:val="clear" w:color="auto" w:fill="auto"/>
            <w:vAlign w:val="center"/>
            <w:hideMark/>
          </w:tcPr>
          <w:p w14:paraId="49D8838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effective supply chains for the exploitation of the available potential of biofuels, bioliquids and biomass</w:t>
            </w:r>
          </w:p>
        </w:tc>
        <w:tc>
          <w:tcPr>
            <w:tcW w:w="510" w:type="pct"/>
            <w:tcBorders>
              <w:top w:val="nil"/>
              <w:left w:val="nil"/>
              <w:bottom w:val="single" w:sz="4" w:space="0" w:color="auto"/>
              <w:right w:val="single" w:sz="4" w:space="0" w:color="auto"/>
            </w:tcBorders>
            <w:shd w:val="clear" w:color="auto" w:fill="auto"/>
            <w:vAlign w:val="center"/>
            <w:hideMark/>
          </w:tcPr>
          <w:p w14:paraId="123B45C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nil"/>
              <w:right w:val="single" w:sz="4" w:space="0" w:color="auto"/>
            </w:tcBorders>
            <w:shd w:val="clear" w:color="auto" w:fill="auto"/>
            <w:vAlign w:val="center"/>
            <w:hideMark/>
          </w:tcPr>
          <w:p w14:paraId="06F1052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Be integrated into PM_D29 and PM_D33</w:t>
            </w:r>
          </w:p>
        </w:tc>
        <w:tc>
          <w:tcPr>
            <w:tcW w:w="421" w:type="pct"/>
            <w:tcBorders>
              <w:top w:val="nil"/>
              <w:left w:val="nil"/>
              <w:bottom w:val="single" w:sz="4" w:space="0" w:color="auto"/>
              <w:right w:val="single" w:sz="4" w:space="0" w:color="auto"/>
            </w:tcBorders>
            <w:shd w:val="clear" w:color="000000" w:fill="595959"/>
            <w:vAlign w:val="center"/>
            <w:hideMark/>
          </w:tcPr>
          <w:p w14:paraId="675EF6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412CA77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6922901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6DFFDF0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595959"/>
            <w:vAlign w:val="center"/>
            <w:hideMark/>
          </w:tcPr>
          <w:p w14:paraId="0C1D2E9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5690751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3B8EEF22" w14:textId="77777777" w:rsidTr="0087794A">
        <w:trPr>
          <w:cantSplit/>
          <w:trHeight w:val="20"/>
        </w:trPr>
        <w:tc>
          <w:tcPr>
            <w:tcW w:w="390" w:type="pct"/>
            <w:vMerge/>
            <w:tcBorders>
              <w:left w:val="single" w:sz="4" w:space="0" w:color="auto"/>
              <w:right w:val="single" w:sz="4" w:space="0" w:color="auto"/>
            </w:tcBorders>
            <w:vAlign w:val="center"/>
            <w:hideMark/>
          </w:tcPr>
          <w:p w14:paraId="2CD9746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2D53C36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PM_D41</w:t>
            </w:r>
          </w:p>
        </w:tc>
        <w:tc>
          <w:tcPr>
            <w:tcW w:w="808" w:type="pct"/>
            <w:tcBorders>
              <w:top w:val="nil"/>
              <w:left w:val="nil"/>
              <w:bottom w:val="single" w:sz="4" w:space="0" w:color="auto"/>
              <w:right w:val="single" w:sz="4" w:space="0" w:color="auto"/>
            </w:tcBorders>
            <w:shd w:val="clear" w:color="auto" w:fill="auto"/>
            <w:vAlign w:val="center"/>
            <w:hideMark/>
          </w:tcPr>
          <w:p w14:paraId="017CF9E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Specification of the sustainability and greenhouse gas emissions saving criteria for biofuels, bioliquids and biomass fuels including the required monitoring and verification activities</w:t>
            </w:r>
          </w:p>
        </w:tc>
        <w:tc>
          <w:tcPr>
            <w:tcW w:w="510" w:type="pct"/>
            <w:tcBorders>
              <w:top w:val="nil"/>
              <w:left w:val="nil"/>
              <w:bottom w:val="single" w:sz="4" w:space="0" w:color="auto"/>
              <w:right w:val="single" w:sz="4" w:space="0" w:color="auto"/>
            </w:tcBorders>
            <w:shd w:val="clear" w:color="auto" w:fill="auto"/>
            <w:vAlign w:val="center"/>
            <w:hideMark/>
          </w:tcPr>
          <w:p w14:paraId="328CBDF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5C60371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722D956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54" w:type="pct"/>
            <w:tcBorders>
              <w:top w:val="nil"/>
              <w:left w:val="nil"/>
              <w:bottom w:val="single" w:sz="4" w:space="0" w:color="auto"/>
              <w:right w:val="single" w:sz="4" w:space="0" w:color="auto"/>
            </w:tcBorders>
            <w:shd w:val="clear" w:color="000000" w:fill="E2EFDA"/>
            <w:vAlign w:val="center"/>
            <w:hideMark/>
          </w:tcPr>
          <w:p w14:paraId="59CA5DB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5" w:type="pct"/>
            <w:tcBorders>
              <w:top w:val="nil"/>
              <w:left w:val="nil"/>
              <w:bottom w:val="single" w:sz="4" w:space="0" w:color="auto"/>
              <w:right w:val="single" w:sz="4" w:space="0" w:color="auto"/>
            </w:tcBorders>
            <w:shd w:val="clear" w:color="000000" w:fill="E2EFDA"/>
            <w:vAlign w:val="center"/>
            <w:hideMark/>
          </w:tcPr>
          <w:p w14:paraId="4379737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254F9B7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422" w:type="pct"/>
            <w:tcBorders>
              <w:top w:val="nil"/>
              <w:left w:val="nil"/>
              <w:bottom w:val="single" w:sz="4" w:space="0" w:color="auto"/>
              <w:right w:val="single" w:sz="4" w:space="0" w:color="auto"/>
            </w:tcBorders>
            <w:shd w:val="clear" w:color="000000" w:fill="E2EFDA"/>
            <w:vAlign w:val="center"/>
            <w:hideMark/>
          </w:tcPr>
          <w:p w14:paraId="7A0BC1A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9" w:type="pct"/>
            <w:tcBorders>
              <w:top w:val="nil"/>
              <w:left w:val="nil"/>
              <w:bottom w:val="single" w:sz="4" w:space="0" w:color="auto"/>
              <w:right w:val="single" w:sz="4" w:space="0" w:color="auto"/>
            </w:tcBorders>
            <w:shd w:val="clear" w:color="000000" w:fill="E2EFDA"/>
            <w:vAlign w:val="center"/>
            <w:hideMark/>
          </w:tcPr>
          <w:p w14:paraId="3011F27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1252DAB" w14:textId="77777777" w:rsidTr="0087794A">
        <w:trPr>
          <w:cantSplit/>
          <w:trHeight w:val="20"/>
        </w:trPr>
        <w:tc>
          <w:tcPr>
            <w:tcW w:w="390" w:type="pct"/>
            <w:vMerge/>
            <w:tcBorders>
              <w:left w:val="single" w:sz="4" w:space="0" w:color="auto"/>
              <w:right w:val="single" w:sz="4" w:space="0" w:color="auto"/>
            </w:tcBorders>
            <w:vAlign w:val="center"/>
            <w:hideMark/>
          </w:tcPr>
          <w:p w14:paraId="7578BE85"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3431E5F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PM_D42</w:t>
            </w:r>
          </w:p>
        </w:tc>
        <w:tc>
          <w:tcPr>
            <w:tcW w:w="808" w:type="pct"/>
            <w:tcBorders>
              <w:top w:val="nil"/>
              <w:left w:val="nil"/>
              <w:bottom w:val="single" w:sz="4" w:space="0" w:color="auto"/>
              <w:right w:val="single" w:sz="4" w:space="0" w:color="auto"/>
            </w:tcBorders>
            <w:shd w:val="clear" w:color="auto" w:fill="auto"/>
            <w:vAlign w:val="center"/>
            <w:hideMark/>
          </w:tcPr>
          <w:p w14:paraId="7950BD2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Conduction of information and training activities to all relevant actors for the use of RES</w:t>
            </w:r>
          </w:p>
        </w:tc>
        <w:tc>
          <w:tcPr>
            <w:tcW w:w="510" w:type="pct"/>
            <w:tcBorders>
              <w:top w:val="nil"/>
              <w:left w:val="nil"/>
              <w:bottom w:val="single" w:sz="4" w:space="0" w:color="auto"/>
              <w:right w:val="single" w:sz="4" w:space="0" w:color="auto"/>
            </w:tcBorders>
            <w:shd w:val="clear" w:color="auto" w:fill="auto"/>
            <w:vAlign w:val="center"/>
            <w:hideMark/>
          </w:tcPr>
          <w:p w14:paraId="29755B62" w14:textId="77777777" w:rsidR="00663039" w:rsidRPr="00673450" w:rsidRDefault="00183721"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498" w:type="pct"/>
            <w:tcBorders>
              <w:top w:val="nil"/>
              <w:left w:val="nil"/>
              <w:bottom w:val="single" w:sz="4" w:space="0" w:color="auto"/>
              <w:right w:val="single" w:sz="4" w:space="0" w:color="auto"/>
            </w:tcBorders>
            <w:shd w:val="clear" w:color="auto" w:fill="auto"/>
            <w:vAlign w:val="center"/>
            <w:hideMark/>
          </w:tcPr>
          <w:p w14:paraId="163F8CC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w:t>
            </w:r>
            <w:r w:rsidR="00183721">
              <w:rPr>
                <w:rFonts w:ascii="Calibri" w:hAnsi="Calibri" w:cs="Calibri"/>
                <w:sz w:val="15"/>
                <w:szCs w:val="15"/>
              </w:rPr>
              <w:t>i</w:t>
            </w:r>
            <w:r w:rsidRPr="00673450">
              <w:rPr>
                <w:rFonts w:ascii="Calibri" w:hAnsi="Calibri" w:cs="Calibri"/>
                <w:sz w:val="15"/>
                <w:szCs w:val="15"/>
              </w:rPr>
              <w:t>bution to all implemented measures</w:t>
            </w:r>
          </w:p>
        </w:tc>
        <w:tc>
          <w:tcPr>
            <w:tcW w:w="421" w:type="pct"/>
            <w:tcBorders>
              <w:top w:val="nil"/>
              <w:left w:val="nil"/>
              <w:bottom w:val="single" w:sz="4" w:space="0" w:color="auto"/>
              <w:right w:val="single" w:sz="4" w:space="0" w:color="auto"/>
            </w:tcBorders>
            <w:shd w:val="clear" w:color="000000" w:fill="E2EFDA"/>
            <w:vAlign w:val="center"/>
            <w:hideMark/>
          </w:tcPr>
          <w:p w14:paraId="1F078CE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54" w:type="pct"/>
            <w:tcBorders>
              <w:top w:val="nil"/>
              <w:left w:val="nil"/>
              <w:bottom w:val="single" w:sz="4" w:space="0" w:color="auto"/>
              <w:right w:val="single" w:sz="4" w:space="0" w:color="auto"/>
            </w:tcBorders>
            <w:shd w:val="clear" w:color="000000" w:fill="E2EFDA"/>
            <w:vAlign w:val="center"/>
            <w:hideMark/>
          </w:tcPr>
          <w:p w14:paraId="7FB523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5" w:type="pct"/>
            <w:tcBorders>
              <w:top w:val="nil"/>
              <w:left w:val="nil"/>
              <w:bottom w:val="single" w:sz="4" w:space="0" w:color="auto"/>
              <w:right w:val="single" w:sz="4" w:space="0" w:color="auto"/>
            </w:tcBorders>
            <w:shd w:val="clear" w:color="000000" w:fill="E2EFDA"/>
            <w:vAlign w:val="center"/>
            <w:hideMark/>
          </w:tcPr>
          <w:p w14:paraId="63259E2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3531FC6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59AC4C3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41F4A33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r>
      <w:tr w:rsidR="00663039" w:rsidRPr="00207220" w14:paraId="23DFB94B" w14:textId="77777777" w:rsidTr="0087794A">
        <w:trPr>
          <w:cantSplit/>
          <w:trHeight w:val="20"/>
        </w:trPr>
        <w:tc>
          <w:tcPr>
            <w:tcW w:w="390" w:type="pct"/>
            <w:vMerge/>
            <w:tcBorders>
              <w:left w:val="single" w:sz="4" w:space="0" w:color="auto"/>
              <w:right w:val="single" w:sz="4" w:space="0" w:color="auto"/>
            </w:tcBorders>
            <w:vAlign w:val="center"/>
            <w:hideMark/>
          </w:tcPr>
          <w:p w14:paraId="6A55F30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7E5941A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PM_D43</w:t>
            </w:r>
          </w:p>
        </w:tc>
        <w:tc>
          <w:tcPr>
            <w:tcW w:w="808" w:type="pct"/>
            <w:tcBorders>
              <w:top w:val="nil"/>
              <w:left w:val="nil"/>
              <w:bottom w:val="single" w:sz="4" w:space="0" w:color="auto"/>
              <w:right w:val="single" w:sz="4" w:space="0" w:color="auto"/>
            </w:tcBorders>
            <w:shd w:val="clear" w:color="auto" w:fill="auto"/>
            <w:vAlign w:val="center"/>
            <w:hideMark/>
          </w:tcPr>
          <w:p w14:paraId="4139D73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RES through public procurement procedures</w:t>
            </w:r>
          </w:p>
        </w:tc>
        <w:tc>
          <w:tcPr>
            <w:tcW w:w="510" w:type="pct"/>
            <w:tcBorders>
              <w:top w:val="nil"/>
              <w:left w:val="nil"/>
              <w:bottom w:val="single" w:sz="4" w:space="0" w:color="auto"/>
              <w:right w:val="single" w:sz="4" w:space="0" w:color="auto"/>
            </w:tcBorders>
            <w:shd w:val="clear" w:color="auto" w:fill="auto"/>
            <w:vAlign w:val="center"/>
            <w:hideMark/>
          </w:tcPr>
          <w:p w14:paraId="6302A14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498" w:type="pct"/>
            <w:tcBorders>
              <w:top w:val="nil"/>
              <w:left w:val="nil"/>
              <w:bottom w:val="single" w:sz="4" w:space="0" w:color="auto"/>
              <w:right w:val="single" w:sz="4" w:space="0" w:color="auto"/>
            </w:tcBorders>
            <w:shd w:val="clear" w:color="auto" w:fill="auto"/>
            <w:vAlign w:val="center"/>
            <w:hideMark/>
          </w:tcPr>
          <w:p w14:paraId="76F1755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energy efficiency dimension measures (PM_EE33)</w:t>
            </w:r>
          </w:p>
        </w:tc>
        <w:tc>
          <w:tcPr>
            <w:tcW w:w="421" w:type="pct"/>
            <w:tcBorders>
              <w:top w:val="nil"/>
              <w:left w:val="nil"/>
              <w:bottom w:val="single" w:sz="4" w:space="0" w:color="auto"/>
              <w:right w:val="single" w:sz="4" w:space="0" w:color="auto"/>
            </w:tcBorders>
            <w:shd w:val="clear" w:color="000000" w:fill="595959"/>
            <w:vAlign w:val="center"/>
            <w:hideMark/>
          </w:tcPr>
          <w:p w14:paraId="282F309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54" w:type="pct"/>
            <w:tcBorders>
              <w:top w:val="nil"/>
              <w:left w:val="nil"/>
              <w:bottom w:val="single" w:sz="4" w:space="0" w:color="auto"/>
              <w:right w:val="single" w:sz="4" w:space="0" w:color="auto"/>
            </w:tcBorders>
            <w:shd w:val="clear" w:color="000000" w:fill="595959"/>
            <w:vAlign w:val="center"/>
            <w:hideMark/>
          </w:tcPr>
          <w:p w14:paraId="356814A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5" w:type="pct"/>
            <w:tcBorders>
              <w:top w:val="nil"/>
              <w:left w:val="nil"/>
              <w:bottom w:val="single" w:sz="4" w:space="0" w:color="auto"/>
              <w:right w:val="single" w:sz="4" w:space="0" w:color="auto"/>
            </w:tcBorders>
            <w:shd w:val="clear" w:color="000000" w:fill="595959"/>
            <w:noWrap/>
            <w:vAlign w:val="bottom"/>
            <w:hideMark/>
          </w:tcPr>
          <w:p w14:paraId="74ED37E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419" w:type="pct"/>
            <w:tcBorders>
              <w:top w:val="nil"/>
              <w:left w:val="nil"/>
              <w:bottom w:val="single" w:sz="4" w:space="0" w:color="auto"/>
              <w:right w:val="single" w:sz="4" w:space="0" w:color="auto"/>
            </w:tcBorders>
            <w:shd w:val="clear" w:color="000000" w:fill="E2EFDA"/>
            <w:vAlign w:val="center"/>
            <w:hideMark/>
          </w:tcPr>
          <w:p w14:paraId="4B86DF6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422" w:type="pct"/>
            <w:tcBorders>
              <w:top w:val="nil"/>
              <w:left w:val="nil"/>
              <w:bottom w:val="single" w:sz="4" w:space="0" w:color="auto"/>
              <w:right w:val="single" w:sz="4" w:space="0" w:color="auto"/>
            </w:tcBorders>
            <w:shd w:val="clear" w:color="000000" w:fill="595959"/>
            <w:vAlign w:val="center"/>
            <w:hideMark/>
          </w:tcPr>
          <w:p w14:paraId="103552B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595959"/>
            <w:noWrap/>
            <w:vAlign w:val="bottom"/>
            <w:hideMark/>
          </w:tcPr>
          <w:p w14:paraId="68B2868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04A5043" w14:textId="77777777" w:rsidTr="0087794A">
        <w:trPr>
          <w:cantSplit/>
          <w:trHeight w:val="20"/>
        </w:trPr>
        <w:tc>
          <w:tcPr>
            <w:tcW w:w="390" w:type="pct"/>
            <w:vMerge/>
            <w:tcBorders>
              <w:left w:val="single" w:sz="4" w:space="0" w:color="auto"/>
              <w:right w:val="single" w:sz="4" w:space="0" w:color="auto"/>
            </w:tcBorders>
            <w:shd w:val="clear" w:color="000000" w:fill="BFBFBF"/>
            <w:vAlign w:val="center"/>
            <w:hideMark/>
          </w:tcPr>
          <w:p w14:paraId="58D43A53"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hideMark/>
          </w:tcPr>
          <w:p w14:paraId="60CE785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PM_D44</w:t>
            </w:r>
          </w:p>
        </w:tc>
        <w:tc>
          <w:tcPr>
            <w:tcW w:w="808" w:type="pct"/>
            <w:tcBorders>
              <w:top w:val="nil"/>
              <w:left w:val="nil"/>
              <w:bottom w:val="single" w:sz="4" w:space="0" w:color="auto"/>
              <w:right w:val="single" w:sz="4" w:space="0" w:color="auto"/>
            </w:tcBorders>
            <w:shd w:val="clear" w:color="auto" w:fill="auto"/>
            <w:vAlign w:val="center"/>
            <w:hideMark/>
          </w:tcPr>
          <w:p w14:paraId="6BEA800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a scheme for the qualification, accreditation and certification of RES professionals</w:t>
            </w:r>
          </w:p>
        </w:tc>
        <w:tc>
          <w:tcPr>
            <w:tcW w:w="510" w:type="pct"/>
            <w:tcBorders>
              <w:top w:val="nil"/>
              <w:left w:val="nil"/>
              <w:bottom w:val="single" w:sz="4" w:space="0" w:color="auto"/>
              <w:right w:val="single" w:sz="4" w:space="0" w:color="auto"/>
            </w:tcBorders>
            <w:shd w:val="clear" w:color="auto" w:fill="auto"/>
            <w:vAlign w:val="center"/>
            <w:hideMark/>
          </w:tcPr>
          <w:p w14:paraId="1E3FA7FA" w14:textId="77777777" w:rsidR="00663039" w:rsidRPr="00673450" w:rsidRDefault="00183721"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498" w:type="pct"/>
            <w:tcBorders>
              <w:top w:val="nil"/>
              <w:left w:val="nil"/>
              <w:bottom w:val="single" w:sz="4" w:space="0" w:color="auto"/>
              <w:right w:val="single" w:sz="4" w:space="0" w:color="auto"/>
            </w:tcBorders>
            <w:shd w:val="clear" w:color="auto" w:fill="auto"/>
            <w:vAlign w:val="center"/>
            <w:hideMark/>
          </w:tcPr>
          <w:p w14:paraId="0B1BE44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hideMark/>
          </w:tcPr>
          <w:p w14:paraId="48117C6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54" w:type="pct"/>
            <w:tcBorders>
              <w:top w:val="nil"/>
              <w:left w:val="nil"/>
              <w:bottom w:val="single" w:sz="4" w:space="0" w:color="auto"/>
              <w:right w:val="single" w:sz="4" w:space="0" w:color="auto"/>
            </w:tcBorders>
            <w:shd w:val="clear" w:color="000000" w:fill="E2EFDA"/>
            <w:vAlign w:val="center"/>
            <w:hideMark/>
          </w:tcPr>
          <w:p w14:paraId="61DEDBA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375" w:type="pct"/>
            <w:tcBorders>
              <w:top w:val="nil"/>
              <w:left w:val="nil"/>
              <w:bottom w:val="single" w:sz="4" w:space="0" w:color="auto"/>
              <w:right w:val="single" w:sz="4" w:space="0" w:color="auto"/>
            </w:tcBorders>
            <w:shd w:val="clear" w:color="000000" w:fill="E2EFDA"/>
            <w:vAlign w:val="center"/>
            <w:hideMark/>
          </w:tcPr>
          <w:p w14:paraId="3D9E6EA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hideMark/>
          </w:tcPr>
          <w:p w14:paraId="0207478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hideMark/>
          </w:tcPr>
          <w:p w14:paraId="6C5081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379" w:type="pct"/>
            <w:tcBorders>
              <w:top w:val="nil"/>
              <w:left w:val="nil"/>
              <w:bottom w:val="single" w:sz="4" w:space="0" w:color="auto"/>
              <w:right w:val="single" w:sz="4" w:space="0" w:color="auto"/>
            </w:tcBorders>
            <w:shd w:val="clear" w:color="000000" w:fill="E2EFDA"/>
            <w:vAlign w:val="center"/>
            <w:hideMark/>
          </w:tcPr>
          <w:p w14:paraId="678ABB8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r>
      <w:tr w:rsidR="00663039" w:rsidRPr="00207220" w14:paraId="775BE762" w14:textId="77777777" w:rsidTr="0087794A">
        <w:trPr>
          <w:cantSplit/>
          <w:trHeight w:val="20"/>
        </w:trPr>
        <w:tc>
          <w:tcPr>
            <w:tcW w:w="390" w:type="pct"/>
            <w:vMerge/>
            <w:tcBorders>
              <w:left w:val="single" w:sz="4" w:space="0" w:color="auto"/>
              <w:right w:val="single" w:sz="4" w:space="0" w:color="auto"/>
            </w:tcBorders>
            <w:shd w:val="clear" w:color="000000" w:fill="BFBFBF"/>
            <w:vAlign w:val="center"/>
          </w:tcPr>
          <w:p w14:paraId="4DF60915"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422" w:type="pct"/>
            <w:tcBorders>
              <w:top w:val="nil"/>
              <w:left w:val="nil"/>
              <w:bottom w:val="single" w:sz="4" w:space="0" w:color="auto"/>
              <w:right w:val="single" w:sz="4" w:space="0" w:color="auto"/>
            </w:tcBorders>
            <w:shd w:val="clear" w:color="auto" w:fill="auto"/>
            <w:vAlign w:val="center"/>
          </w:tcPr>
          <w:p w14:paraId="72C7564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PM_D45</w:t>
            </w:r>
          </w:p>
        </w:tc>
        <w:tc>
          <w:tcPr>
            <w:tcW w:w="808" w:type="pct"/>
            <w:tcBorders>
              <w:top w:val="nil"/>
              <w:left w:val="nil"/>
              <w:bottom w:val="single" w:sz="4" w:space="0" w:color="auto"/>
              <w:right w:val="single" w:sz="4" w:space="0" w:color="auto"/>
            </w:tcBorders>
            <w:shd w:val="clear" w:color="auto" w:fill="auto"/>
            <w:vAlign w:val="center"/>
          </w:tcPr>
          <w:p w14:paraId="6446A27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Updating and optimizing the spatial planning framework</w:t>
            </w:r>
          </w:p>
        </w:tc>
        <w:tc>
          <w:tcPr>
            <w:tcW w:w="510" w:type="pct"/>
            <w:tcBorders>
              <w:top w:val="nil"/>
              <w:left w:val="nil"/>
              <w:bottom w:val="single" w:sz="4" w:space="0" w:color="auto"/>
              <w:right w:val="single" w:sz="4" w:space="0" w:color="auto"/>
            </w:tcBorders>
            <w:shd w:val="clear" w:color="auto" w:fill="auto"/>
            <w:vAlign w:val="center"/>
          </w:tcPr>
          <w:p w14:paraId="04D4591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498" w:type="pct"/>
            <w:tcBorders>
              <w:top w:val="nil"/>
              <w:left w:val="nil"/>
              <w:bottom w:val="single" w:sz="4" w:space="0" w:color="auto"/>
              <w:right w:val="single" w:sz="4" w:space="0" w:color="auto"/>
            </w:tcBorders>
            <w:shd w:val="clear" w:color="auto" w:fill="auto"/>
            <w:vAlign w:val="center"/>
          </w:tcPr>
          <w:p w14:paraId="6169E23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421" w:type="pct"/>
            <w:tcBorders>
              <w:top w:val="nil"/>
              <w:left w:val="nil"/>
              <w:bottom w:val="single" w:sz="4" w:space="0" w:color="auto"/>
              <w:right w:val="single" w:sz="4" w:space="0" w:color="auto"/>
            </w:tcBorders>
            <w:shd w:val="clear" w:color="000000" w:fill="E2EFDA"/>
            <w:vAlign w:val="center"/>
          </w:tcPr>
          <w:p w14:paraId="3617B67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54" w:type="pct"/>
            <w:tcBorders>
              <w:top w:val="nil"/>
              <w:left w:val="nil"/>
              <w:bottom w:val="single" w:sz="4" w:space="0" w:color="auto"/>
              <w:right w:val="single" w:sz="4" w:space="0" w:color="auto"/>
            </w:tcBorders>
            <w:shd w:val="clear" w:color="000000" w:fill="E2EFDA"/>
            <w:vAlign w:val="center"/>
          </w:tcPr>
          <w:p w14:paraId="46C0ABD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375" w:type="pct"/>
            <w:tcBorders>
              <w:top w:val="nil"/>
              <w:left w:val="nil"/>
              <w:bottom w:val="single" w:sz="4" w:space="0" w:color="auto"/>
              <w:right w:val="single" w:sz="4" w:space="0" w:color="auto"/>
            </w:tcBorders>
            <w:shd w:val="clear" w:color="000000" w:fill="E2EFDA"/>
            <w:vAlign w:val="center"/>
          </w:tcPr>
          <w:p w14:paraId="688CDCB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419" w:type="pct"/>
            <w:tcBorders>
              <w:top w:val="nil"/>
              <w:left w:val="nil"/>
              <w:bottom w:val="single" w:sz="4" w:space="0" w:color="auto"/>
              <w:right w:val="single" w:sz="4" w:space="0" w:color="auto"/>
            </w:tcBorders>
            <w:shd w:val="clear" w:color="000000" w:fill="E2EFDA"/>
            <w:vAlign w:val="center"/>
          </w:tcPr>
          <w:p w14:paraId="7EFC96F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422" w:type="pct"/>
            <w:tcBorders>
              <w:top w:val="nil"/>
              <w:left w:val="nil"/>
              <w:bottom w:val="single" w:sz="4" w:space="0" w:color="auto"/>
              <w:right w:val="single" w:sz="4" w:space="0" w:color="auto"/>
            </w:tcBorders>
            <w:shd w:val="clear" w:color="000000" w:fill="E2EFDA"/>
            <w:vAlign w:val="center"/>
          </w:tcPr>
          <w:p w14:paraId="3B37B7C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379" w:type="pct"/>
            <w:tcBorders>
              <w:top w:val="nil"/>
              <w:left w:val="nil"/>
              <w:bottom w:val="single" w:sz="4" w:space="0" w:color="auto"/>
              <w:right w:val="single" w:sz="4" w:space="0" w:color="auto"/>
            </w:tcBorders>
            <w:shd w:val="clear" w:color="000000" w:fill="E2EFDA"/>
            <w:vAlign w:val="center"/>
          </w:tcPr>
          <w:p w14:paraId="63921C7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r>
      <w:tr w:rsidR="00663039" w:rsidRPr="00207220" w14:paraId="67C52511" w14:textId="77777777" w:rsidTr="0087794A">
        <w:trPr>
          <w:cantSplit/>
          <w:trHeight w:val="20"/>
        </w:trPr>
        <w:tc>
          <w:tcPr>
            <w:tcW w:w="390" w:type="pct"/>
            <w:vMerge/>
            <w:tcBorders>
              <w:left w:val="single" w:sz="4" w:space="0" w:color="auto"/>
              <w:bottom w:val="single" w:sz="4" w:space="0" w:color="auto"/>
              <w:right w:val="single" w:sz="4" w:space="0" w:color="auto"/>
            </w:tcBorders>
            <w:shd w:val="clear" w:color="000000" w:fill="BFBFBF"/>
            <w:vAlign w:val="center"/>
            <w:hideMark/>
          </w:tcPr>
          <w:p w14:paraId="1BC8A419" w14:textId="77777777" w:rsidR="00663039" w:rsidRPr="00673450" w:rsidRDefault="00663039" w:rsidP="001544A6">
            <w:pPr>
              <w:spacing w:after="0" w:line="240" w:lineRule="auto"/>
              <w:jc w:val="center"/>
              <w:rPr>
                <w:rFonts w:ascii="Calibri" w:eastAsia="Times New Roman" w:hAnsi="Calibri" w:cs="Calibri"/>
                <w:b/>
                <w:bCs/>
                <w:sz w:val="14"/>
                <w:szCs w:val="14"/>
              </w:rPr>
            </w:pPr>
          </w:p>
        </w:tc>
        <w:tc>
          <w:tcPr>
            <w:tcW w:w="422" w:type="pct"/>
            <w:tcBorders>
              <w:top w:val="nil"/>
              <w:left w:val="nil"/>
              <w:bottom w:val="single" w:sz="4" w:space="0" w:color="auto"/>
              <w:right w:val="single" w:sz="4" w:space="0" w:color="auto"/>
            </w:tcBorders>
            <w:shd w:val="clear" w:color="auto" w:fill="auto"/>
            <w:vAlign w:val="center"/>
            <w:hideMark/>
          </w:tcPr>
          <w:p w14:paraId="7B4C128B" w14:textId="77777777" w:rsidR="00663039" w:rsidRPr="00673450" w:rsidRDefault="00663039" w:rsidP="001544A6">
            <w:pPr>
              <w:spacing w:after="0" w:line="240" w:lineRule="auto"/>
              <w:rPr>
                <w:rFonts w:ascii="Calibri" w:eastAsia="Times New Roman" w:hAnsi="Calibri" w:cs="Calibri"/>
                <w:b/>
                <w:bCs/>
                <w:sz w:val="14"/>
                <w:szCs w:val="14"/>
              </w:rPr>
            </w:pPr>
            <w:r w:rsidRPr="00673450">
              <w:rPr>
                <w:rFonts w:ascii="Calibri" w:hAnsi="Calibri" w:cs="Calibri"/>
                <w:b/>
                <w:bCs/>
                <w:sz w:val="14"/>
                <w:szCs w:val="14"/>
              </w:rPr>
              <w:t> </w:t>
            </w:r>
          </w:p>
        </w:tc>
        <w:tc>
          <w:tcPr>
            <w:tcW w:w="808" w:type="pct"/>
            <w:tcBorders>
              <w:top w:val="nil"/>
              <w:left w:val="nil"/>
              <w:bottom w:val="single" w:sz="4" w:space="0" w:color="auto"/>
              <w:right w:val="single" w:sz="4" w:space="0" w:color="auto"/>
            </w:tcBorders>
            <w:shd w:val="clear" w:color="auto" w:fill="auto"/>
            <w:vAlign w:val="center"/>
            <w:hideMark/>
          </w:tcPr>
          <w:p w14:paraId="307058EE" w14:textId="77777777" w:rsidR="00663039" w:rsidRPr="00673450" w:rsidRDefault="00663039" w:rsidP="001544A6">
            <w:pPr>
              <w:spacing w:after="0" w:line="240" w:lineRule="auto"/>
              <w:rPr>
                <w:rFonts w:ascii="Calibri" w:eastAsia="Times New Roman" w:hAnsi="Calibri" w:cs="Calibri"/>
                <w:b/>
                <w:bCs/>
                <w:sz w:val="20"/>
                <w:szCs w:val="20"/>
              </w:rPr>
            </w:pPr>
            <w:r w:rsidRPr="00673450">
              <w:rPr>
                <w:rFonts w:ascii="Calibri" w:hAnsi="Calibri" w:cs="Calibri"/>
                <w:b/>
                <w:bCs/>
                <w:sz w:val="20"/>
                <w:szCs w:val="20"/>
              </w:rPr>
              <w:t>TOTAL FOR DECARBONISATION (INCLUDING RES)</w:t>
            </w:r>
          </w:p>
        </w:tc>
        <w:tc>
          <w:tcPr>
            <w:tcW w:w="510" w:type="pct"/>
            <w:tcBorders>
              <w:top w:val="nil"/>
              <w:left w:val="nil"/>
              <w:bottom w:val="single" w:sz="4" w:space="0" w:color="auto"/>
              <w:right w:val="single" w:sz="4" w:space="0" w:color="auto"/>
            </w:tcBorders>
            <w:shd w:val="clear" w:color="auto" w:fill="auto"/>
            <w:vAlign w:val="center"/>
            <w:hideMark/>
          </w:tcPr>
          <w:p w14:paraId="611074CE"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14:paraId="4F5DF494"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421" w:type="pct"/>
            <w:tcBorders>
              <w:top w:val="nil"/>
              <w:left w:val="nil"/>
              <w:bottom w:val="single" w:sz="4" w:space="0" w:color="auto"/>
              <w:right w:val="single" w:sz="4" w:space="0" w:color="auto"/>
            </w:tcBorders>
            <w:shd w:val="clear" w:color="auto" w:fill="E2EFDA"/>
            <w:vAlign w:val="center"/>
            <w:hideMark/>
          </w:tcPr>
          <w:p w14:paraId="627CA143" w14:textId="642743E7" w:rsidR="00663039" w:rsidRPr="00673450" w:rsidRDefault="001D0634" w:rsidP="001544A6">
            <w:pPr>
              <w:spacing w:after="0" w:line="240" w:lineRule="auto"/>
              <w:jc w:val="center"/>
              <w:rPr>
                <w:rFonts w:ascii="Calibri" w:eastAsia="Times New Roman" w:hAnsi="Calibri" w:cs="Calibri"/>
                <w:b/>
                <w:bCs/>
                <w:sz w:val="20"/>
                <w:szCs w:val="20"/>
              </w:rPr>
            </w:pPr>
            <w:r>
              <w:rPr>
                <w:rFonts w:ascii="Calibri" w:hAnsi="Calibri" w:cs="Calibri"/>
                <w:b/>
                <w:bCs/>
                <w:sz w:val="20"/>
                <w:szCs w:val="20"/>
              </w:rPr>
              <w:t>5.</w:t>
            </w:r>
            <w:r w:rsidR="002F7114">
              <w:rPr>
                <w:rFonts w:ascii="Calibri" w:hAnsi="Calibri" w:cs="Calibri"/>
                <w:b/>
                <w:bCs/>
                <w:sz w:val="20"/>
                <w:szCs w:val="20"/>
              </w:rPr>
              <w:t>19</w:t>
            </w:r>
          </w:p>
        </w:tc>
        <w:tc>
          <w:tcPr>
            <w:tcW w:w="354" w:type="pct"/>
            <w:tcBorders>
              <w:top w:val="nil"/>
              <w:left w:val="nil"/>
              <w:bottom w:val="single" w:sz="4" w:space="0" w:color="auto"/>
              <w:right w:val="single" w:sz="4" w:space="0" w:color="auto"/>
            </w:tcBorders>
            <w:shd w:val="clear" w:color="auto" w:fill="E2EFDA"/>
            <w:vAlign w:val="center"/>
            <w:hideMark/>
          </w:tcPr>
          <w:p w14:paraId="62437CD3" w14:textId="25A9FFA3" w:rsidR="00663039" w:rsidRPr="00673450" w:rsidRDefault="001D0634" w:rsidP="001544A6">
            <w:pPr>
              <w:spacing w:after="0" w:line="240" w:lineRule="auto"/>
              <w:jc w:val="center"/>
              <w:rPr>
                <w:rFonts w:ascii="Calibri" w:eastAsia="Times New Roman" w:hAnsi="Calibri" w:cs="Calibri"/>
                <w:b/>
                <w:bCs/>
                <w:sz w:val="20"/>
                <w:szCs w:val="20"/>
              </w:rPr>
            </w:pPr>
            <w:r>
              <w:rPr>
                <w:rFonts w:ascii="Calibri" w:hAnsi="Calibri" w:cs="Calibri"/>
                <w:b/>
                <w:bCs/>
                <w:sz w:val="20"/>
                <w:szCs w:val="20"/>
              </w:rPr>
              <w:t>1.</w:t>
            </w:r>
            <w:r w:rsidR="002F7114">
              <w:rPr>
                <w:rFonts w:ascii="Calibri" w:hAnsi="Calibri" w:cs="Calibri"/>
                <w:b/>
                <w:bCs/>
                <w:sz w:val="20"/>
                <w:szCs w:val="20"/>
              </w:rPr>
              <w:t>19</w:t>
            </w:r>
          </w:p>
        </w:tc>
        <w:tc>
          <w:tcPr>
            <w:tcW w:w="375" w:type="pct"/>
            <w:tcBorders>
              <w:top w:val="nil"/>
              <w:left w:val="nil"/>
              <w:bottom w:val="single" w:sz="4" w:space="0" w:color="auto"/>
              <w:right w:val="single" w:sz="4" w:space="0" w:color="auto"/>
            </w:tcBorders>
            <w:shd w:val="clear" w:color="auto" w:fill="E2EFDA"/>
            <w:vAlign w:val="center"/>
            <w:hideMark/>
          </w:tcPr>
          <w:p w14:paraId="5218A3A9" w14:textId="05C0E8C9" w:rsidR="00663039" w:rsidRPr="00673450" w:rsidRDefault="001D0634" w:rsidP="001544A6">
            <w:pPr>
              <w:spacing w:after="0" w:line="240" w:lineRule="auto"/>
              <w:jc w:val="center"/>
              <w:rPr>
                <w:rFonts w:ascii="Calibri" w:eastAsia="Times New Roman" w:hAnsi="Calibri" w:cs="Calibri"/>
                <w:b/>
                <w:bCs/>
                <w:sz w:val="20"/>
                <w:szCs w:val="20"/>
              </w:rPr>
            </w:pPr>
            <w:r>
              <w:rPr>
                <w:rFonts w:ascii="Calibri" w:hAnsi="Calibri" w:cs="Calibri"/>
                <w:b/>
                <w:bCs/>
                <w:sz w:val="20"/>
                <w:szCs w:val="20"/>
              </w:rPr>
              <w:t>4.00</w:t>
            </w:r>
          </w:p>
        </w:tc>
        <w:tc>
          <w:tcPr>
            <w:tcW w:w="419" w:type="pct"/>
            <w:tcBorders>
              <w:top w:val="nil"/>
              <w:left w:val="nil"/>
              <w:bottom w:val="single" w:sz="4" w:space="0" w:color="auto"/>
              <w:right w:val="single" w:sz="4" w:space="0" w:color="auto"/>
            </w:tcBorders>
            <w:shd w:val="clear" w:color="auto" w:fill="E2EFDA"/>
            <w:vAlign w:val="center"/>
            <w:hideMark/>
          </w:tcPr>
          <w:p w14:paraId="164B71A6"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422" w:type="pct"/>
            <w:tcBorders>
              <w:top w:val="nil"/>
              <w:left w:val="nil"/>
              <w:bottom w:val="single" w:sz="4" w:space="0" w:color="auto"/>
              <w:right w:val="single" w:sz="4" w:space="0" w:color="auto"/>
            </w:tcBorders>
            <w:shd w:val="clear" w:color="auto" w:fill="E2EFDA"/>
            <w:vAlign w:val="center"/>
            <w:hideMark/>
          </w:tcPr>
          <w:p w14:paraId="6753AC51" w14:textId="5ADD9FB9" w:rsidR="00663039" w:rsidRPr="00673450" w:rsidRDefault="001D0634" w:rsidP="001544A6">
            <w:pPr>
              <w:spacing w:after="0" w:line="240" w:lineRule="auto"/>
              <w:jc w:val="center"/>
              <w:rPr>
                <w:rFonts w:ascii="Calibri" w:eastAsia="Times New Roman" w:hAnsi="Calibri" w:cs="Calibri"/>
                <w:b/>
                <w:bCs/>
                <w:sz w:val="20"/>
                <w:szCs w:val="20"/>
              </w:rPr>
            </w:pPr>
            <w:r>
              <w:rPr>
                <w:rFonts w:ascii="Calibri" w:hAnsi="Calibri" w:cs="Calibri"/>
                <w:b/>
                <w:bCs/>
                <w:sz w:val="20"/>
                <w:szCs w:val="20"/>
              </w:rPr>
              <w:t>1.1</w:t>
            </w:r>
            <w:r w:rsidR="002F7114">
              <w:rPr>
                <w:rFonts w:ascii="Calibri" w:hAnsi="Calibri" w:cs="Calibri"/>
                <w:b/>
                <w:bCs/>
                <w:sz w:val="20"/>
                <w:szCs w:val="20"/>
              </w:rPr>
              <w:t>6</w:t>
            </w:r>
          </w:p>
        </w:tc>
        <w:tc>
          <w:tcPr>
            <w:tcW w:w="379" w:type="pct"/>
            <w:tcBorders>
              <w:top w:val="nil"/>
              <w:left w:val="nil"/>
              <w:bottom w:val="single" w:sz="4" w:space="0" w:color="auto"/>
              <w:right w:val="single" w:sz="4" w:space="0" w:color="auto"/>
            </w:tcBorders>
            <w:shd w:val="clear" w:color="auto" w:fill="E2EFDA"/>
            <w:vAlign w:val="center"/>
            <w:hideMark/>
          </w:tcPr>
          <w:p w14:paraId="1006966A" w14:textId="03456A6E" w:rsidR="00663039" w:rsidRPr="00673450" w:rsidRDefault="001D0634" w:rsidP="001544A6">
            <w:pPr>
              <w:spacing w:after="0" w:line="240" w:lineRule="auto"/>
              <w:jc w:val="center"/>
              <w:rPr>
                <w:rFonts w:ascii="Calibri" w:eastAsia="Times New Roman" w:hAnsi="Calibri" w:cs="Calibri"/>
                <w:b/>
                <w:bCs/>
                <w:sz w:val="20"/>
                <w:szCs w:val="20"/>
              </w:rPr>
            </w:pPr>
            <w:r>
              <w:rPr>
                <w:rFonts w:ascii="Calibri" w:hAnsi="Calibri" w:cs="Calibri"/>
                <w:b/>
                <w:bCs/>
                <w:sz w:val="20"/>
                <w:szCs w:val="20"/>
              </w:rPr>
              <w:t>4.03</w:t>
            </w:r>
          </w:p>
        </w:tc>
      </w:tr>
    </w:tbl>
    <w:p w14:paraId="112BDEBC" w14:textId="77777777" w:rsidR="00663039" w:rsidRPr="00877A35" w:rsidDel="00922141" w:rsidRDefault="00663039" w:rsidP="00663039">
      <w:pPr>
        <w:spacing w:after="0"/>
        <w:rPr>
          <w:noProof/>
        </w:rPr>
      </w:pPr>
    </w:p>
    <w:p w14:paraId="7EDFAD8C" w14:textId="1326DFB3" w:rsidR="00845457" w:rsidRDefault="00845457" w:rsidP="0087794A">
      <w:pPr>
        <w:pStyle w:val="Caption"/>
        <w:keepNext/>
      </w:pPr>
      <w:bookmarkStart w:id="681" w:name="_Toc153545081"/>
      <w:r>
        <w:t xml:space="preserve">Table </w:t>
      </w:r>
      <w:r w:rsidR="006E0533">
        <w:fldChar w:fldCharType="begin"/>
      </w:r>
      <w:r w:rsidR="006E0533">
        <w:instrText xml:space="preserve"> STYLEREF 1 \s </w:instrText>
      </w:r>
      <w:r w:rsidR="006E0533">
        <w:fldChar w:fldCharType="separate"/>
      </w:r>
      <w:r w:rsidR="00A84B9C">
        <w:rPr>
          <w:noProof/>
        </w:rPr>
        <w:t>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w:t>
      </w:r>
      <w:r w:rsidR="006E0533">
        <w:rPr>
          <w:noProof/>
        </w:rPr>
        <w:fldChar w:fldCharType="end"/>
      </w:r>
      <w:r>
        <w:t xml:space="preserve">: </w:t>
      </w:r>
      <w:r w:rsidRPr="00845457">
        <w:t>Energy Efficiency</w:t>
      </w:r>
      <w:r>
        <w:t xml:space="preserve"> p</w:t>
      </w:r>
      <w:r w:rsidRPr="00845457">
        <w:t xml:space="preserve">olicy </w:t>
      </w:r>
      <w:r>
        <w:t>m</w:t>
      </w:r>
      <w:r w:rsidRPr="00845457">
        <w:t>easures</w:t>
      </w:r>
      <w:bookmarkEnd w:id="681"/>
    </w:p>
    <w:tbl>
      <w:tblPr>
        <w:tblW w:w="14596" w:type="dxa"/>
        <w:tblLayout w:type="fixed"/>
        <w:tblLook w:val="04A0" w:firstRow="1" w:lastRow="0" w:firstColumn="1" w:lastColumn="0" w:noHBand="0" w:noVBand="1"/>
      </w:tblPr>
      <w:tblGrid>
        <w:gridCol w:w="924"/>
        <w:gridCol w:w="845"/>
        <w:gridCol w:w="3620"/>
        <w:gridCol w:w="1079"/>
        <w:gridCol w:w="1072"/>
        <w:gridCol w:w="1227"/>
        <w:gridCol w:w="1140"/>
        <w:gridCol w:w="1145"/>
        <w:gridCol w:w="1322"/>
        <w:gridCol w:w="1145"/>
        <w:gridCol w:w="1077"/>
      </w:tblGrid>
      <w:tr w:rsidR="00663039" w:rsidRPr="00207220" w14:paraId="595DA98E" w14:textId="77777777" w:rsidTr="005B2C66">
        <w:trPr>
          <w:trHeight w:val="19"/>
          <w:tblHeader/>
        </w:trPr>
        <w:tc>
          <w:tcPr>
            <w:tcW w:w="9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B0C98CE"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Dimension</w:t>
            </w:r>
          </w:p>
        </w:tc>
        <w:tc>
          <w:tcPr>
            <w:tcW w:w="845" w:type="dxa"/>
            <w:tcBorders>
              <w:top w:val="single" w:sz="4" w:space="0" w:color="auto"/>
              <w:left w:val="nil"/>
              <w:bottom w:val="single" w:sz="4" w:space="0" w:color="auto"/>
              <w:right w:val="single" w:sz="4" w:space="0" w:color="auto"/>
            </w:tcBorders>
            <w:shd w:val="clear" w:color="000000" w:fill="BFBFBF"/>
            <w:vAlign w:val="center"/>
            <w:hideMark/>
          </w:tcPr>
          <w:p w14:paraId="0D4EEDC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PAM number</w:t>
            </w:r>
          </w:p>
        </w:tc>
        <w:tc>
          <w:tcPr>
            <w:tcW w:w="3620" w:type="dxa"/>
            <w:tcBorders>
              <w:top w:val="single" w:sz="4" w:space="0" w:color="auto"/>
              <w:left w:val="nil"/>
              <w:bottom w:val="single" w:sz="4" w:space="0" w:color="auto"/>
              <w:right w:val="single" w:sz="4" w:space="0" w:color="auto"/>
            </w:tcBorders>
            <w:shd w:val="clear" w:color="000000" w:fill="BFBFBF"/>
            <w:vAlign w:val="center"/>
            <w:hideMark/>
          </w:tcPr>
          <w:p w14:paraId="2803D391"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Name of policy or measure</w:t>
            </w:r>
          </w:p>
        </w:tc>
        <w:tc>
          <w:tcPr>
            <w:tcW w:w="1079" w:type="dxa"/>
            <w:tcBorders>
              <w:top w:val="single" w:sz="4" w:space="0" w:color="auto"/>
              <w:left w:val="nil"/>
              <w:bottom w:val="single" w:sz="4" w:space="0" w:color="auto"/>
              <w:right w:val="single" w:sz="4" w:space="0" w:color="auto"/>
            </w:tcBorders>
            <w:shd w:val="clear" w:color="000000" w:fill="BFBFBF"/>
            <w:vAlign w:val="center"/>
            <w:hideMark/>
          </w:tcPr>
          <w:p w14:paraId="35D81BF9"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Type of measure</w:t>
            </w:r>
          </w:p>
        </w:tc>
        <w:tc>
          <w:tcPr>
            <w:tcW w:w="1072" w:type="dxa"/>
            <w:tcBorders>
              <w:top w:val="single" w:sz="4" w:space="0" w:color="auto"/>
              <w:left w:val="nil"/>
              <w:bottom w:val="single" w:sz="4" w:space="0" w:color="auto"/>
              <w:right w:val="single" w:sz="4" w:space="0" w:color="auto"/>
            </w:tcBorders>
            <w:shd w:val="clear" w:color="000000" w:fill="BFBFBF"/>
            <w:vAlign w:val="center"/>
            <w:hideMark/>
          </w:tcPr>
          <w:p w14:paraId="3EB5DF1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Synergetic effects</w:t>
            </w:r>
          </w:p>
        </w:tc>
        <w:tc>
          <w:tcPr>
            <w:tcW w:w="1227" w:type="dxa"/>
            <w:tcBorders>
              <w:top w:val="single" w:sz="4" w:space="0" w:color="auto"/>
              <w:left w:val="nil"/>
              <w:bottom w:val="single" w:sz="4" w:space="0" w:color="auto"/>
              <w:right w:val="single" w:sz="4" w:space="0" w:color="auto"/>
            </w:tcBorders>
            <w:shd w:val="clear" w:color="000000" w:fill="BFBFBF"/>
            <w:vAlign w:val="center"/>
            <w:hideMark/>
          </w:tcPr>
          <w:p w14:paraId="623B978B"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Implementation Cost (million €)</w:t>
            </w:r>
          </w:p>
        </w:tc>
        <w:tc>
          <w:tcPr>
            <w:tcW w:w="1140" w:type="dxa"/>
            <w:tcBorders>
              <w:top w:val="single" w:sz="4" w:space="0" w:color="auto"/>
              <w:left w:val="nil"/>
              <w:bottom w:val="single" w:sz="4" w:space="0" w:color="auto"/>
              <w:right w:val="single" w:sz="4" w:space="0" w:color="auto"/>
            </w:tcBorders>
            <w:shd w:val="clear" w:color="000000" w:fill="BFBFBF"/>
            <w:vAlign w:val="center"/>
            <w:hideMark/>
          </w:tcPr>
          <w:p w14:paraId="23319FD1"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Planned public aid (million €)</w:t>
            </w:r>
          </w:p>
        </w:tc>
        <w:tc>
          <w:tcPr>
            <w:tcW w:w="1145" w:type="dxa"/>
            <w:tcBorders>
              <w:top w:val="single" w:sz="4" w:space="0" w:color="auto"/>
              <w:left w:val="nil"/>
              <w:bottom w:val="single" w:sz="4" w:space="0" w:color="auto"/>
              <w:right w:val="single" w:sz="4" w:space="0" w:color="auto"/>
            </w:tcBorders>
            <w:shd w:val="clear" w:color="000000" w:fill="BFBFBF"/>
            <w:vAlign w:val="center"/>
            <w:hideMark/>
          </w:tcPr>
          <w:p w14:paraId="41CCD31E"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own Funds (million €)</w:t>
            </w:r>
          </w:p>
        </w:tc>
        <w:tc>
          <w:tcPr>
            <w:tcW w:w="1322" w:type="dxa"/>
            <w:tcBorders>
              <w:top w:val="single" w:sz="4" w:space="0" w:color="auto"/>
              <w:left w:val="nil"/>
              <w:bottom w:val="single" w:sz="4" w:space="0" w:color="auto"/>
              <w:right w:val="single" w:sz="4" w:space="0" w:color="auto"/>
            </w:tcBorders>
            <w:shd w:val="clear" w:color="000000" w:fill="BFBFBF"/>
            <w:vAlign w:val="center"/>
            <w:hideMark/>
          </w:tcPr>
          <w:p w14:paraId="69CBF698"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Projections scenario in which the PAM is included</w:t>
            </w:r>
          </w:p>
        </w:tc>
        <w:tc>
          <w:tcPr>
            <w:tcW w:w="1145" w:type="dxa"/>
            <w:tcBorders>
              <w:top w:val="single" w:sz="4" w:space="0" w:color="auto"/>
              <w:left w:val="nil"/>
              <w:bottom w:val="single" w:sz="4" w:space="0" w:color="auto"/>
              <w:right w:val="single" w:sz="4" w:space="0" w:color="auto"/>
            </w:tcBorders>
            <w:shd w:val="clear" w:color="000000" w:fill="BFBFBF"/>
            <w:vAlign w:val="center"/>
            <w:hideMark/>
          </w:tcPr>
          <w:p w14:paraId="50C0171C"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WEM (million €)</w:t>
            </w:r>
          </w:p>
        </w:tc>
        <w:tc>
          <w:tcPr>
            <w:tcW w:w="1077" w:type="dxa"/>
            <w:tcBorders>
              <w:top w:val="single" w:sz="4" w:space="0" w:color="auto"/>
              <w:left w:val="nil"/>
              <w:bottom w:val="single" w:sz="4" w:space="0" w:color="auto"/>
              <w:right w:val="single" w:sz="4" w:space="0" w:color="auto"/>
            </w:tcBorders>
            <w:shd w:val="clear" w:color="000000" w:fill="BFBFBF"/>
            <w:vAlign w:val="center"/>
            <w:hideMark/>
          </w:tcPr>
          <w:p w14:paraId="74436A9B"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WAM (million €)</w:t>
            </w:r>
          </w:p>
        </w:tc>
      </w:tr>
      <w:tr w:rsidR="00663039" w:rsidRPr="00207220" w14:paraId="3A9E5E21" w14:textId="77777777" w:rsidTr="005B2C66">
        <w:trPr>
          <w:trHeight w:val="19"/>
        </w:trPr>
        <w:tc>
          <w:tcPr>
            <w:tcW w:w="924" w:type="dxa"/>
            <w:vMerge w:val="restart"/>
            <w:tcBorders>
              <w:top w:val="nil"/>
              <w:left w:val="single" w:sz="4" w:space="0" w:color="auto"/>
              <w:right w:val="single" w:sz="4" w:space="0" w:color="auto"/>
            </w:tcBorders>
            <w:shd w:val="clear" w:color="000000" w:fill="BFBFBF"/>
            <w:vAlign w:val="center"/>
            <w:hideMark/>
          </w:tcPr>
          <w:p w14:paraId="793E8021"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Energy Efficiency</w:t>
            </w:r>
          </w:p>
          <w:p w14:paraId="6DC66021"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sz w:val="15"/>
                <w:szCs w:val="15"/>
              </w:rPr>
              <w:t> </w:t>
            </w:r>
          </w:p>
        </w:tc>
        <w:tc>
          <w:tcPr>
            <w:tcW w:w="845" w:type="dxa"/>
            <w:tcBorders>
              <w:top w:val="nil"/>
              <w:left w:val="nil"/>
              <w:bottom w:val="single" w:sz="4" w:space="0" w:color="auto"/>
              <w:right w:val="single" w:sz="4" w:space="0" w:color="auto"/>
            </w:tcBorders>
            <w:shd w:val="clear" w:color="auto" w:fill="auto"/>
            <w:vAlign w:val="center"/>
            <w:hideMark/>
          </w:tcPr>
          <w:p w14:paraId="6E62D2C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w:t>
            </w:r>
          </w:p>
        </w:tc>
        <w:tc>
          <w:tcPr>
            <w:tcW w:w="3620" w:type="dxa"/>
            <w:tcBorders>
              <w:top w:val="nil"/>
              <w:left w:val="nil"/>
              <w:bottom w:val="single" w:sz="4" w:space="0" w:color="auto"/>
              <w:right w:val="single" w:sz="4" w:space="0" w:color="auto"/>
            </w:tcBorders>
            <w:shd w:val="clear" w:color="000000" w:fill="FFFFFF"/>
            <w:vAlign w:val="center"/>
            <w:hideMark/>
          </w:tcPr>
          <w:p w14:paraId="603D728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Supporting financially the energy renovation of residential buildings</w:t>
            </w:r>
          </w:p>
        </w:tc>
        <w:tc>
          <w:tcPr>
            <w:tcW w:w="1079" w:type="dxa"/>
            <w:tcBorders>
              <w:top w:val="nil"/>
              <w:left w:val="nil"/>
              <w:bottom w:val="single" w:sz="4" w:space="0" w:color="auto"/>
              <w:right w:val="single" w:sz="4" w:space="0" w:color="auto"/>
            </w:tcBorders>
            <w:shd w:val="clear" w:color="000000" w:fill="FFFFFF"/>
            <w:vAlign w:val="center"/>
            <w:hideMark/>
          </w:tcPr>
          <w:p w14:paraId="305EF16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456069F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1ECD14C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1711.00</w:t>
            </w:r>
          </w:p>
        </w:tc>
        <w:tc>
          <w:tcPr>
            <w:tcW w:w="1140" w:type="dxa"/>
            <w:tcBorders>
              <w:top w:val="nil"/>
              <w:left w:val="nil"/>
              <w:bottom w:val="single" w:sz="4" w:space="0" w:color="auto"/>
              <w:right w:val="single" w:sz="4" w:space="0" w:color="auto"/>
            </w:tcBorders>
            <w:shd w:val="clear" w:color="000000" w:fill="E2EFDA"/>
            <w:vAlign w:val="center"/>
            <w:hideMark/>
          </w:tcPr>
          <w:p w14:paraId="3CA1C73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855.50</w:t>
            </w:r>
          </w:p>
        </w:tc>
        <w:tc>
          <w:tcPr>
            <w:tcW w:w="1145" w:type="dxa"/>
            <w:tcBorders>
              <w:top w:val="nil"/>
              <w:left w:val="nil"/>
              <w:bottom w:val="single" w:sz="4" w:space="0" w:color="auto"/>
              <w:right w:val="single" w:sz="4" w:space="0" w:color="auto"/>
            </w:tcBorders>
            <w:shd w:val="clear" w:color="000000" w:fill="E2EFDA"/>
            <w:vAlign w:val="center"/>
            <w:hideMark/>
          </w:tcPr>
          <w:p w14:paraId="25637A8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855.50</w:t>
            </w:r>
          </w:p>
        </w:tc>
        <w:tc>
          <w:tcPr>
            <w:tcW w:w="1322" w:type="dxa"/>
            <w:tcBorders>
              <w:top w:val="nil"/>
              <w:left w:val="nil"/>
              <w:bottom w:val="single" w:sz="4" w:space="0" w:color="auto"/>
              <w:right w:val="single" w:sz="4" w:space="0" w:color="auto"/>
            </w:tcBorders>
            <w:shd w:val="clear" w:color="000000" w:fill="E2EFDA"/>
            <w:vAlign w:val="center"/>
            <w:hideMark/>
          </w:tcPr>
          <w:p w14:paraId="7460F4D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2EFDA"/>
            <w:vAlign w:val="center"/>
            <w:hideMark/>
          </w:tcPr>
          <w:p w14:paraId="469EE8B3" w14:textId="77777777" w:rsidR="00663039" w:rsidRPr="00673450" w:rsidRDefault="0084595E" w:rsidP="001544A6">
            <w:pPr>
              <w:spacing w:after="0" w:line="240" w:lineRule="auto"/>
              <w:jc w:val="center"/>
              <w:rPr>
                <w:rFonts w:ascii="Calibri" w:eastAsia="Times New Roman" w:hAnsi="Calibri" w:cs="Calibri"/>
                <w:sz w:val="15"/>
                <w:szCs w:val="15"/>
              </w:rPr>
            </w:pPr>
            <w:r>
              <w:rPr>
                <w:rFonts w:ascii="Calibri" w:hAnsi="Calibri" w:cs="Calibri"/>
                <w:sz w:val="15"/>
                <w:szCs w:val="15"/>
              </w:rPr>
              <w:t>1063.32</w:t>
            </w:r>
          </w:p>
        </w:tc>
        <w:tc>
          <w:tcPr>
            <w:tcW w:w="1077" w:type="dxa"/>
            <w:tcBorders>
              <w:top w:val="nil"/>
              <w:left w:val="nil"/>
              <w:bottom w:val="single" w:sz="4" w:space="0" w:color="auto"/>
              <w:right w:val="single" w:sz="4" w:space="0" w:color="auto"/>
            </w:tcBorders>
            <w:shd w:val="clear" w:color="000000" w:fill="E2EFDA"/>
            <w:vAlign w:val="center"/>
            <w:hideMark/>
          </w:tcPr>
          <w:p w14:paraId="59520533" w14:textId="77777777" w:rsidR="00663039" w:rsidRPr="00673450" w:rsidRDefault="0084595E" w:rsidP="001544A6">
            <w:pPr>
              <w:spacing w:after="0" w:line="240" w:lineRule="auto"/>
              <w:jc w:val="center"/>
              <w:rPr>
                <w:rFonts w:ascii="Calibri" w:eastAsia="Times New Roman" w:hAnsi="Calibri" w:cs="Calibri"/>
                <w:sz w:val="15"/>
                <w:szCs w:val="15"/>
              </w:rPr>
            </w:pPr>
            <w:r>
              <w:rPr>
                <w:rFonts w:ascii="Calibri" w:hAnsi="Calibri" w:cs="Calibri"/>
                <w:sz w:val="15"/>
                <w:szCs w:val="15"/>
              </w:rPr>
              <w:t>647.77</w:t>
            </w:r>
          </w:p>
        </w:tc>
      </w:tr>
      <w:tr w:rsidR="00663039" w:rsidRPr="00207220" w14:paraId="259FE702" w14:textId="77777777" w:rsidTr="005B2C66">
        <w:trPr>
          <w:trHeight w:val="19"/>
        </w:trPr>
        <w:tc>
          <w:tcPr>
            <w:tcW w:w="924" w:type="dxa"/>
            <w:vMerge/>
            <w:tcBorders>
              <w:left w:val="single" w:sz="4" w:space="0" w:color="auto"/>
              <w:right w:val="single" w:sz="4" w:space="0" w:color="auto"/>
            </w:tcBorders>
            <w:vAlign w:val="center"/>
            <w:hideMark/>
          </w:tcPr>
          <w:p w14:paraId="688DE15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260AC02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w:t>
            </w:r>
          </w:p>
        </w:tc>
        <w:tc>
          <w:tcPr>
            <w:tcW w:w="3620" w:type="dxa"/>
            <w:tcBorders>
              <w:top w:val="nil"/>
              <w:left w:val="nil"/>
              <w:bottom w:val="single" w:sz="4" w:space="0" w:color="auto"/>
              <w:right w:val="single" w:sz="4" w:space="0" w:color="auto"/>
            </w:tcBorders>
            <w:shd w:val="clear" w:color="auto" w:fill="auto"/>
            <w:vAlign w:val="center"/>
            <w:hideMark/>
          </w:tcPr>
          <w:p w14:paraId="0579F06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 financially the energy renovation of public buildings</w:t>
            </w:r>
          </w:p>
        </w:tc>
        <w:tc>
          <w:tcPr>
            <w:tcW w:w="1079" w:type="dxa"/>
            <w:tcBorders>
              <w:top w:val="nil"/>
              <w:left w:val="nil"/>
              <w:bottom w:val="single" w:sz="4" w:space="0" w:color="auto"/>
              <w:right w:val="single" w:sz="4" w:space="0" w:color="auto"/>
            </w:tcBorders>
            <w:shd w:val="clear" w:color="auto" w:fill="auto"/>
            <w:vAlign w:val="center"/>
            <w:hideMark/>
          </w:tcPr>
          <w:p w14:paraId="3207A82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auto" w:fill="auto"/>
            <w:vAlign w:val="center"/>
            <w:hideMark/>
          </w:tcPr>
          <w:p w14:paraId="6AC9F39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609306D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1016</w:t>
            </w:r>
            <w:r w:rsidR="0084595E">
              <w:rPr>
                <w:rFonts w:ascii="Calibri" w:hAnsi="Calibri" w:cs="Calibri"/>
                <w:sz w:val="15"/>
                <w:szCs w:val="15"/>
              </w:rPr>
              <w:t>.29</w:t>
            </w:r>
          </w:p>
        </w:tc>
        <w:tc>
          <w:tcPr>
            <w:tcW w:w="1140" w:type="dxa"/>
            <w:tcBorders>
              <w:top w:val="nil"/>
              <w:left w:val="nil"/>
              <w:bottom w:val="single" w:sz="4" w:space="0" w:color="auto"/>
              <w:right w:val="single" w:sz="4" w:space="0" w:color="auto"/>
            </w:tcBorders>
            <w:shd w:val="clear" w:color="000000" w:fill="E2EFDA"/>
            <w:vAlign w:val="center"/>
            <w:hideMark/>
          </w:tcPr>
          <w:p w14:paraId="037AC41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1016.</w:t>
            </w:r>
            <w:r w:rsidR="0084595E">
              <w:rPr>
                <w:rFonts w:ascii="Calibri" w:hAnsi="Calibri" w:cs="Calibri"/>
                <w:sz w:val="15"/>
                <w:szCs w:val="15"/>
              </w:rPr>
              <w:t>29</w:t>
            </w:r>
          </w:p>
        </w:tc>
        <w:tc>
          <w:tcPr>
            <w:tcW w:w="1145" w:type="dxa"/>
            <w:tcBorders>
              <w:top w:val="nil"/>
              <w:left w:val="nil"/>
              <w:bottom w:val="single" w:sz="4" w:space="0" w:color="auto"/>
              <w:right w:val="single" w:sz="4" w:space="0" w:color="auto"/>
            </w:tcBorders>
            <w:shd w:val="clear" w:color="000000" w:fill="E2EFDA"/>
            <w:vAlign w:val="center"/>
            <w:hideMark/>
          </w:tcPr>
          <w:p w14:paraId="17C2947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322" w:type="dxa"/>
            <w:tcBorders>
              <w:top w:val="nil"/>
              <w:left w:val="nil"/>
              <w:bottom w:val="single" w:sz="4" w:space="0" w:color="auto"/>
              <w:right w:val="single" w:sz="4" w:space="0" w:color="auto"/>
            </w:tcBorders>
            <w:shd w:val="clear" w:color="000000" w:fill="E2EFDA"/>
            <w:vAlign w:val="center"/>
            <w:hideMark/>
          </w:tcPr>
          <w:p w14:paraId="1EC6130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2EFDA"/>
            <w:vAlign w:val="center"/>
            <w:hideMark/>
          </w:tcPr>
          <w:p w14:paraId="2FD43102" w14:textId="77777777" w:rsidR="00663039" w:rsidRPr="00673450" w:rsidRDefault="0084595E" w:rsidP="001544A6">
            <w:pPr>
              <w:spacing w:after="0" w:line="240" w:lineRule="auto"/>
              <w:jc w:val="center"/>
              <w:rPr>
                <w:rFonts w:ascii="Calibri" w:eastAsia="Times New Roman" w:hAnsi="Calibri" w:cs="Calibri"/>
                <w:sz w:val="15"/>
                <w:szCs w:val="15"/>
              </w:rPr>
            </w:pPr>
            <w:r>
              <w:rPr>
                <w:rFonts w:ascii="Calibri" w:hAnsi="Calibri" w:cs="Calibri"/>
                <w:sz w:val="15"/>
                <w:szCs w:val="15"/>
              </w:rPr>
              <w:t>633.57</w:t>
            </w:r>
          </w:p>
        </w:tc>
        <w:tc>
          <w:tcPr>
            <w:tcW w:w="1077" w:type="dxa"/>
            <w:tcBorders>
              <w:top w:val="nil"/>
              <w:left w:val="nil"/>
              <w:bottom w:val="single" w:sz="4" w:space="0" w:color="auto"/>
              <w:right w:val="single" w:sz="4" w:space="0" w:color="auto"/>
            </w:tcBorders>
            <w:shd w:val="clear" w:color="000000" w:fill="E2EFDA"/>
            <w:vAlign w:val="center"/>
            <w:hideMark/>
          </w:tcPr>
          <w:p w14:paraId="7A68E82C" w14:textId="77777777" w:rsidR="00663039" w:rsidRPr="00673450" w:rsidRDefault="0084595E" w:rsidP="001544A6">
            <w:pPr>
              <w:spacing w:after="0" w:line="240" w:lineRule="auto"/>
              <w:jc w:val="center"/>
              <w:rPr>
                <w:rFonts w:ascii="Calibri" w:eastAsia="Times New Roman" w:hAnsi="Calibri" w:cs="Calibri"/>
                <w:sz w:val="15"/>
                <w:szCs w:val="15"/>
              </w:rPr>
            </w:pPr>
            <w:r>
              <w:rPr>
                <w:rFonts w:ascii="Calibri" w:hAnsi="Calibri" w:cs="Calibri"/>
                <w:sz w:val="15"/>
                <w:szCs w:val="15"/>
              </w:rPr>
              <w:t>382.72</w:t>
            </w:r>
          </w:p>
        </w:tc>
      </w:tr>
      <w:tr w:rsidR="00663039" w:rsidRPr="00207220" w14:paraId="514CC6A1" w14:textId="77777777" w:rsidTr="005B2C66">
        <w:trPr>
          <w:trHeight w:val="19"/>
        </w:trPr>
        <w:tc>
          <w:tcPr>
            <w:tcW w:w="924" w:type="dxa"/>
            <w:vMerge/>
            <w:tcBorders>
              <w:left w:val="single" w:sz="4" w:space="0" w:color="auto"/>
              <w:right w:val="single" w:sz="4" w:space="0" w:color="auto"/>
            </w:tcBorders>
            <w:vAlign w:val="center"/>
            <w:hideMark/>
          </w:tcPr>
          <w:p w14:paraId="026DF77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4FBC665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w:t>
            </w:r>
          </w:p>
        </w:tc>
        <w:tc>
          <w:tcPr>
            <w:tcW w:w="3620" w:type="dxa"/>
            <w:tcBorders>
              <w:top w:val="nil"/>
              <w:left w:val="nil"/>
              <w:bottom w:val="single" w:sz="4" w:space="0" w:color="auto"/>
              <w:right w:val="single" w:sz="4" w:space="0" w:color="auto"/>
            </w:tcBorders>
            <w:shd w:val="clear" w:color="000000" w:fill="FFFFFF"/>
            <w:vAlign w:val="center"/>
            <w:hideMark/>
          </w:tcPr>
          <w:p w14:paraId="09AF72C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 financially the energy renovation of non-residential buildings (not public)</w:t>
            </w:r>
          </w:p>
        </w:tc>
        <w:tc>
          <w:tcPr>
            <w:tcW w:w="1079" w:type="dxa"/>
            <w:tcBorders>
              <w:top w:val="nil"/>
              <w:left w:val="nil"/>
              <w:bottom w:val="single" w:sz="4" w:space="0" w:color="auto"/>
              <w:right w:val="single" w:sz="4" w:space="0" w:color="auto"/>
            </w:tcBorders>
            <w:shd w:val="clear" w:color="000000" w:fill="FFFFFF"/>
            <w:vAlign w:val="center"/>
            <w:hideMark/>
          </w:tcPr>
          <w:p w14:paraId="2AD2EBE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78AFB0F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0724BD3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1601.</w:t>
            </w:r>
            <w:r w:rsidR="0084595E">
              <w:rPr>
                <w:rFonts w:ascii="Calibri" w:hAnsi="Calibri" w:cs="Calibri"/>
                <w:sz w:val="15"/>
                <w:szCs w:val="15"/>
              </w:rPr>
              <w:t>52</w:t>
            </w:r>
          </w:p>
        </w:tc>
        <w:tc>
          <w:tcPr>
            <w:tcW w:w="1140" w:type="dxa"/>
            <w:tcBorders>
              <w:top w:val="nil"/>
              <w:left w:val="nil"/>
              <w:bottom w:val="single" w:sz="4" w:space="0" w:color="auto"/>
              <w:right w:val="single" w:sz="4" w:space="0" w:color="auto"/>
            </w:tcBorders>
            <w:shd w:val="clear" w:color="000000" w:fill="E2EFDA"/>
            <w:vAlign w:val="center"/>
            <w:hideMark/>
          </w:tcPr>
          <w:p w14:paraId="277C87F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800.</w:t>
            </w:r>
            <w:r w:rsidR="0084595E">
              <w:rPr>
                <w:rFonts w:ascii="Calibri" w:hAnsi="Calibri" w:cs="Calibri"/>
                <w:sz w:val="15"/>
                <w:szCs w:val="15"/>
              </w:rPr>
              <w:t>76</w:t>
            </w:r>
          </w:p>
        </w:tc>
        <w:tc>
          <w:tcPr>
            <w:tcW w:w="1145" w:type="dxa"/>
            <w:tcBorders>
              <w:top w:val="nil"/>
              <w:left w:val="nil"/>
              <w:bottom w:val="single" w:sz="4" w:space="0" w:color="auto"/>
              <w:right w:val="single" w:sz="4" w:space="0" w:color="auto"/>
            </w:tcBorders>
            <w:shd w:val="clear" w:color="000000" w:fill="E2EFDA"/>
            <w:vAlign w:val="center"/>
            <w:hideMark/>
          </w:tcPr>
          <w:p w14:paraId="6F79723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800.</w:t>
            </w:r>
            <w:r w:rsidR="0084595E">
              <w:rPr>
                <w:rFonts w:ascii="Calibri" w:hAnsi="Calibri" w:cs="Calibri"/>
                <w:sz w:val="15"/>
                <w:szCs w:val="15"/>
              </w:rPr>
              <w:t>76</w:t>
            </w:r>
          </w:p>
        </w:tc>
        <w:tc>
          <w:tcPr>
            <w:tcW w:w="1322" w:type="dxa"/>
            <w:tcBorders>
              <w:top w:val="nil"/>
              <w:left w:val="nil"/>
              <w:bottom w:val="single" w:sz="4" w:space="0" w:color="auto"/>
              <w:right w:val="single" w:sz="4" w:space="0" w:color="auto"/>
            </w:tcBorders>
            <w:shd w:val="clear" w:color="000000" w:fill="E2EFDA"/>
            <w:vAlign w:val="center"/>
            <w:hideMark/>
          </w:tcPr>
          <w:p w14:paraId="211F6D2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2EFDA"/>
            <w:vAlign w:val="center"/>
            <w:hideMark/>
          </w:tcPr>
          <w:p w14:paraId="4DAACABB" w14:textId="77777777" w:rsidR="00663039" w:rsidRPr="00673450" w:rsidRDefault="0084595E" w:rsidP="001544A6">
            <w:pPr>
              <w:spacing w:after="0" w:line="240" w:lineRule="auto"/>
              <w:jc w:val="center"/>
              <w:rPr>
                <w:rFonts w:ascii="Calibri" w:eastAsia="Times New Roman" w:hAnsi="Calibri" w:cs="Calibri"/>
                <w:sz w:val="15"/>
                <w:szCs w:val="15"/>
              </w:rPr>
            </w:pPr>
            <w:r>
              <w:rPr>
                <w:rFonts w:ascii="Calibri" w:hAnsi="Calibri" w:cs="Calibri"/>
                <w:sz w:val="15"/>
                <w:szCs w:val="15"/>
              </w:rPr>
              <w:t>764.15</w:t>
            </w:r>
          </w:p>
        </w:tc>
        <w:tc>
          <w:tcPr>
            <w:tcW w:w="1077" w:type="dxa"/>
            <w:tcBorders>
              <w:top w:val="nil"/>
              <w:left w:val="nil"/>
              <w:bottom w:val="single" w:sz="4" w:space="0" w:color="auto"/>
              <w:right w:val="single" w:sz="4" w:space="0" w:color="auto"/>
            </w:tcBorders>
            <w:shd w:val="clear" w:color="000000" w:fill="E2EFDA"/>
            <w:vAlign w:val="center"/>
            <w:hideMark/>
          </w:tcPr>
          <w:p w14:paraId="2C303ACE" w14:textId="77777777" w:rsidR="00663039" w:rsidRPr="00673450" w:rsidRDefault="0084595E" w:rsidP="001544A6">
            <w:pPr>
              <w:spacing w:after="0" w:line="240" w:lineRule="auto"/>
              <w:jc w:val="center"/>
              <w:rPr>
                <w:rFonts w:ascii="Calibri" w:eastAsia="Times New Roman" w:hAnsi="Calibri" w:cs="Calibri"/>
                <w:sz w:val="15"/>
                <w:szCs w:val="15"/>
              </w:rPr>
            </w:pPr>
            <w:r>
              <w:rPr>
                <w:rFonts w:ascii="Calibri" w:hAnsi="Calibri" w:cs="Calibri"/>
                <w:sz w:val="15"/>
                <w:szCs w:val="15"/>
              </w:rPr>
              <w:t>806.37</w:t>
            </w:r>
          </w:p>
        </w:tc>
      </w:tr>
      <w:tr w:rsidR="00663039" w:rsidRPr="00207220" w14:paraId="76D3084F" w14:textId="77777777" w:rsidTr="005B2C66">
        <w:trPr>
          <w:trHeight w:val="19"/>
        </w:trPr>
        <w:tc>
          <w:tcPr>
            <w:tcW w:w="924" w:type="dxa"/>
            <w:vMerge/>
            <w:tcBorders>
              <w:left w:val="single" w:sz="4" w:space="0" w:color="auto"/>
              <w:right w:val="single" w:sz="4" w:space="0" w:color="auto"/>
            </w:tcBorders>
            <w:vAlign w:val="center"/>
            <w:hideMark/>
          </w:tcPr>
          <w:p w14:paraId="096CE782"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31FA119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PM_EE4</w:t>
            </w:r>
          </w:p>
        </w:tc>
        <w:tc>
          <w:tcPr>
            <w:tcW w:w="3620" w:type="dxa"/>
            <w:tcBorders>
              <w:top w:val="nil"/>
              <w:left w:val="nil"/>
              <w:bottom w:val="single" w:sz="4" w:space="0" w:color="auto"/>
              <w:right w:val="single" w:sz="4" w:space="0" w:color="auto"/>
            </w:tcBorders>
            <w:shd w:val="clear" w:color="auto" w:fill="auto"/>
            <w:vAlign w:val="center"/>
            <w:hideMark/>
          </w:tcPr>
          <w:p w14:paraId="61826E0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Completion of legislative framework in alignment with Directive 2018/844/EU and regulatory measures to promote near-zero energy buildings (nZEBs)</w:t>
            </w:r>
          </w:p>
        </w:tc>
        <w:tc>
          <w:tcPr>
            <w:tcW w:w="1079" w:type="dxa"/>
            <w:tcBorders>
              <w:top w:val="nil"/>
              <w:left w:val="nil"/>
              <w:bottom w:val="single" w:sz="4" w:space="0" w:color="auto"/>
              <w:right w:val="single" w:sz="4" w:space="0" w:color="auto"/>
            </w:tcBorders>
            <w:shd w:val="clear" w:color="auto" w:fill="auto"/>
            <w:vAlign w:val="center"/>
            <w:hideMark/>
          </w:tcPr>
          <w:p w14:paraId="63C3F3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6F4E86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PM_EE1-</w:t>
            </w:r>
            <w:r w:rsidRPr="00673450">
              <w:rPr>
                <w:rFonts w:ascii="Calibri" w:hAnsi="Calibri" w:cs="Calibri"/>
                <w:sz w:val="15"/>
                <w:szCs w:val="15"/>
              </w:rPr>
              <w:lastRenderedPageBreak/>
              <w:t>PM_EE2-PM_EE3</w:t>
            </w:r>
          </w:p>
        </w:tc>
        <w:tc>
          <w:tcPr>
            <w:tcW w:w="1227" w:type="dxa"/>
            <w:tcBorders>
              <w:top w:val="nil"/>
              <w:left w:val="nil"/>
              <w:bottom w:val="single" w:sz="4" w:space="0" w:color="auto"/>
              <w:right w:val="single" w:sz="4" w:space="0" w:color="auto"/>
            </w:tcBorders>
            <w:shd w:val="clear" w:color="000000" w:fill="595959"/>
            <w:vAlign w:val="center"/>
            <w:hideMark/>
          </w:tcPr>
          <w:p w14:paraId="327FDAC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lastRenderedPageBreak/>
              <w:t> </w:t>
            </w:r>
          </w:p>
        </w:tc>
        <w:tc>
          <w:tcPr>
            <w:tcW w:w="1140" w:type="dxa"/>
            <w:tcBorders>
              <w:top w:val="nil"/>
              <w:left w:val="nil"/>
              <w:bottom w:val="single" w:sz="4" w:space="0" w:color="auto"/>
              <w:right w:val="single" w:sz="4" w:space="0" w:color="auto"/>
            </w:tcBorders>
            <w:shd w:val="clear" w:color="000000" w:fill="595959"/>
            <w:vAlign w:val="center"/>
            <w:hideMark/>
          </w:tcPr>
          <w:p w14:paraId="6DF9B6D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1FE79A0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130C4B8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59B9EC6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4CAF295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67E09EA" w14:textId="77777777" w:rsidTr="005B2C66">
        <w:trPr>
          <w:trHeight w:val="19"/>
        </w:trPr>
        <w:tc>
          <w:tcPr>
            <w:tcW w:w="924" w:type="dxa"/>
            <w:vMerge/>
            <w:tcBorders>
              <w:left w:val="single" w:sz="4" w:space="0" w:color="auto"/>
              <w:right w:val="single" w:sz="4" w:space="0" w:color="auto"/>
            </w:tcBorders>
            <w:vAlign w:val="center"/>
            <w:hideMark/>
          </w:tcPr>
          <w:p w14:paraId="18F2C6F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34C8E7B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PM_EE5</w:t>
            </w:r>
          </w:p>
        </w:tc>
        <w:tc>
          <w:tcPr>
            <w:tcW w:w="3620" w:type="dxa"/>
            <w:tcBorders>
              <w:top w:val="nil"/>
              <w:left w:val="nil"/>
              <w:bottom w:val="single" w:sz="4" w:space="0" w:color="auto"/>
              <w:right w:val="single" w:sz="4" w:space="0" w:color="auto"/>
            </w:tcBorders>
            <w:shd w:val="clear" w:color="auto" w:fill="auto"/>
            <w:vAlign w:val="center"/>
            <w:hideMark/>
          </w:tcPr>
          <w:p w14:paraId="1A6D874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Financial support for the construction and energy renovation of buildings exceeding minimum energy requirements</w:t>
            </w:r>
          </w:p>
        </w:tc>
        <w:tc>
          <w:tcPr>
            <w:tcW w:w="1079" w:type="dxa"/>
            <w:tcBorders>
              <w:top w:val="nil"/>
              <w:left w:val="nil"/>
              <w:bottom w:val="single" w:sz="4" w:space="0" w:color="auto"/>
              <w:right w:val="single" w:sz="4" w:space="0" w:color="auto"/>
            </w:tcBorders>
            <w:shd w:val="clear" w:color="auto" w:fill="auto"/>
            <w:vAlign w:val="center"/>
            <w:hideMark/>
          </w:tcPr>
          <w:p w14:paraId="76ECADE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auto" w:fill="auto"/>
            <w:vAlign w:val="center"/>
            <w:hideMark/>
          </w:tcPr>
          <w:p w14:paraId="70D8465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PM_EE1-PM_EE2-PM_EE3</w:t>
            </w:r>
          </w:p>
        </w:tc>
        <w:tc>
          <w:tcPr>
            <w:tcW w:w="1227" w:type="dxa"/>
            <w:tcBorders>
              <w:top w:val="nil"/>
              <w:left w:val="nil"/>
              <w:bottom w:val="single" w:sz="4" w:space="0" w:color="auto"/>
              <w:right w:val="single" w:sz="4" w:space="0" w:color="auto"/>
            </w:tcBorders>
            <w:shd w:val="clear" w:color="000000" w:fill="595959"/>
            <w:vAlign w:val="center"/>
            <w:hideMark/>
          </w:tcPr>
          <w:p w14:paraId="340F662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4DCDB07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66F7B31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479DC4A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0A8F2CD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31B70D1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349872C4" w14:textId="77777777" w:rsidTr="005B2C66">
        <w:trPr>
          <w:trHeight w:val="19"/>
        </w:trPr>
        <w:tc>
          <w:tcPr>
            <w:tcW w:w="924" w:type="dxa"/>
            <w:vMerge/>
            <w:tcBorders>
              <w:left w:val="single" w:sz="4" w:space="0" w:color="auto"/>
              <w:right w:val="single" w:sz="4" w:space="0" w:color="auto"/>
            </w:tcBorders>
            <w:vAlign w:val="center"/>
            <w:hideMark/>
          </w:tcPr>
          <w:p w14:paraId="3C4F38B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463E9A3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PM_EE6</w:t>
            </w:r>
          </w:p>
        </w:tc>
        <w:tc>
          <w:tcPr>
            <w:tcW w:w="3620" w:type="dxa"/>
            <w:tcBorders>
              <w:top w:val="nil"/>
              <w:left w:val="nil"/>
              <w:bottom w:val="single" w:sz="4" w:space="0" w:color="auto"/>
              <w:right w:val="single" w:sz="4" w:space="0" w:color="auto"/>
            </w:tcBorders>
            <w:shd w:val="clear" w:color="auto" w:fill="auto"/>
            <w:vAlign w:val="center"/>
            <w:hideMark/>
          </w:tcPr>
          <w:p w14:paraId="6AB0225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Mandatory installation of solar thermal systems in new buildings and in buildings undergoing major renovation</w:t>
            </w:r>
          </w:p>
        </w:tc>
        <w:tc>
          <w:tcPr>
            <w:tcW w:w="1079" w:type="dxa"/>
            <w:tcBorders>
              <w:top w:val="nil"/>
              <w:left w:val="nil"/>
              <w:bottom w:val="single" w:sz="4" w:space="0" w:color="auto"/>
              <w:right w:val="single" w:sz="4" w:space="0" w:color="auto"/>
            </w:tcBorders>
            <w:shd w:val="clear" w:color="auto" w:fill="auto"/>
            <w:vAlign w:val="center"/>
            <w:hideMark/>
          </w:tcPr>
          <w:p w14:paraId="0222AAC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06FDF36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576F73D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636.74</w:t>
            </w:r>
          </w:p>
        </w:tc>
        <w:tc>
          <w:tcPr>
            <w:tcW w:w="1140" w:type="dxa"/>
            <w:tcBorders>
              <w:top w:val="nil"/>
              <w:left w:val="nil"/>
              <w:bottom w:val="single" w:sz="4" w:space="0" w:color="auto"/>
              <w:right w:val="single" w:sz="4" w:space="0" w:color="auto"/>
            </w:tcBorders>
            <w:shd w:val="clear" w:color="000000" w:fill="E2EFDA"/>
            <w:vAlign w:val="center"/>
            <w:hideMark/>
          </w:tcPr>
          <w:p w14:paraId="69BCADA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318.37</w:t>
            </w:r>
          </w:p>
        </w:tc>
        <w:tc>
          <w:tcPr>
            <w:tcW w:w="1145" w:type="dxa"/>
            <w:tcBorders>
              <w:top w:val="nil"/>
              <w:left w:val="nil"/>
              <w:bottom w:val="single" w:sz="4" w:space="0" w:color="auto"/>
              <w:right w:val="single" w:sz="4" w:space="0" w:color="auto"/>
            </w:tcBorders>
            <w:shd w:val="clear" w:color="000000" w:fill="E2EFDA"/>
            <w:vAlign w:val="center"/>
            <w:hideMark/>
          </w:tcPr>
          <w:p w14:paraId="065EE26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318.37</w:t>
            </w:r>
          </w:p>
        </w:tc>
        <w:tc>
          <w:tcPr>
            <w:tcW w:w="1322" w:type="dxa"/>
            <w:tcBorders>
              <w:top w:val="nil"/>
              <w:left w:val="nil"/>
              <w:bottom w:val="single" w:sz="4" w:space="0" w:color="auto"/>
              <w:right w:val="single" w:sz="4" w:space="0" w:color="auto"/>
            </w:tcBorders>
            <w:shd w:val="clear" w:color="000000" w:fill="E2EFDA"/>
            <w:vAlign w:val="center"/>
            <w:hideMark/>
          </w:tcPr>
          <w:p w14:paraId="0120FB4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E2EFDA"/>
            <w:vAlign w:val="center"/>
            <w:hideMark/>
          </w:tcPr>
          <w:p w14:paraId="6955063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tcBorders>
              <w:top w:val="nil"/>
              <w:left w:val="nil"/>
              <w:bottom w:val="single" w:sz="4" w:space="0" w:color="auto"/>
              <w:right w:val="single" w:sz="4" w:space="0" w:color="auto"/>
            </w:tcBorders>
            <w:shd w:val="clear" w:color="000000" w:fill="E2EFDA"/>
            <w:vAlign w:val="center"/>
            <w:hideMark/>
          </w:tcPr>
          <w:p w14:paraId="7DDD79D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636.74</w:t>
            </w:r>
          </w:p>
        </w:tc>
      </w:tr>
      <w:tr w:rsidR="00663039" w:rsidRPr="00207220" w14:paraId="367E78F0" w14:textId="77777777" w:rsidTr="005B2C66">
        <w:trPr>
          <w:trHeight w:val="19"/>
        </w:trPr>
        <w:tc>
          <w:tcPr>
            <w:tcW w:w="924" w:type="dxa"/>
            <w:vMerge/>
            <w:tcBorders>
              <w:left w:val="single" w:sz="4" w:space="0" w:color="auto"/>
              <w:right w:val="single" w:sz="4" w:space="0" w:color="auto"/>
            </w:tcBorders>
            <w:vAlign w:val="center"/>
            <w:hideMark/>
          </w:tcPr>
          <w:p w14:paraId="5777A9A2"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24B3A34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PM_EE7</w:t>
            </w:r>
          </w:p>
        </w:tc>
        <w:tc>
          <w:tcPr>
            <w:tcW w:w="3620" w:type="dxa"/>
            <w:tcBorders>
              <w:top w:val="nil"/>
              <w:left w:val="nil"/>
              <w:bottom w:val="single" w:sz="4" w:space="0" w:color="auto"/>
              <w:right w:val="single" w:sz="4" w:space="0" w:color="auto"/>
            </w:tcBorders>
            <w:shd w:val="clear" w:color="auto" w:fill="auto"/>
            <w:vAlign w:val="center"/>
            <w:hideMark/>
          </w:tcPr>
          <w:p w14:paraId="1A8C15E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Enhancing the role of the energy performance certificates</w:t>
            </w:r>
          </w:p>
        </w:tc>
        <w:tc>
          <w:tcPr>
            <w:tcW w:w="1079" w:type="dxa"/>
            <w:tcBorders>
              <w:top w:val="nil"/>
              <w:left w:val="nil"/>
              <w:bottom w:val="single" w:sz="4" w:space="0" w:color="auto"/>
              <w:right w:val="single" w:sz="4" w:space="0" w:color="auto"/>
            </w:tcBorders>
            <w:shd w:val="clear" w:color="auto" w:fill="auto"/>
            <w:vAlign w:val="center"/>
            <w:hideMark/>
          </w:tcPr>
          <w:p w14:paraId="0B3094A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61C3E02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PM_EE1-PM_EE2-PM_EE3</w:t>
            </w:r>
          </w:p>
        </w:tc>
        <w:tc>
          <w:tcPr>
            <w:tcW w:w="1227" w:type="dxa"/>
            <w:tcBorders>
              <w:top w:val="nil"/>
              <w:left w:val="nil"/>
              <w:bottom w:val="single" w:sz="4" w:space="0" w:color="auto"/>
              <w:right w:val="single" w:sz="4" w:space="0" w:color="auto"/>
            </w:tcBorders>
            <w:shd w:val="clear" w:color="000000" w:fill="595959"/>
            <w:vAlign w:val="center"/>
            <w:hideMark/>
          </w:tcPr>
          <w:p w14:paraId="327AF9F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32D3F1E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07F4638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459B948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7C9EC2E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71A733E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4B629378" w14:textId="77777777" w:rsidTr="005B2C66">
        <w:trPr>
          <w:trHeight w:val="19"/>
        </w:trPr>
        <w:tc>
          <w:tcPr>
            <w:tcW w:w="924" w:type="dxa"/>
            <w:vMerge/>
            <w:tcBorders>
              <w:left w:val="single" w:sz="4" w:space="0" w:color="auto"/>
              <w:right w:val="single" w:sz="4" w:space="0" w:color="auto"/>
            </w:tcBorders>
            <w:vAlign w:val="center"/>
            <w:hideMark/>
          </w:tcPr>
          <w:p w14:paraId="2CF25133"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6721EC5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PM_EE8</w:t>
            </w:r>
          </w:p>
        </w:tc>
        <w:tc>
          <w:tcPr>
            <w:tcW w:w="3620" w:type="dxa"/>
            <w:tcBorders>
              <w:top w:val="nil"/>
              <w:left w:val="nil"/>
              <w:bottom w:val="single" w:sz="4" w:space="0" w:color="auto"/>
              <w:right w:val="single" w:sz="4" w:space="0" w:color="auto"/>
            </w:tcBorders>
            <w:shd w:val="clear" w:color="auto" w:fill="auto"/>
            <w:vAlign w:val="center"/>
            <w:hideMark/>
          </w:tcPr>
          <w:p w14:paraId="1B74A52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Overcoming split incentive barrier</w:t>
            </w:r>
          </w:p>
        </w:tc>
        <w:tc>
          <w:tcPr>
            <w:tcW w:w="1079" w:type="dxa"/>
            <w:tcBorders>
              <w:top w:val="nil"/>
              <w:left w:val="nil"/>
              <w:bottom w:val="single" w:sz="4" w:space="0" w:color="auto"/>
              <w:right w:val="single" w:sz="4" w:space="0" w:color="auto"/>
            </w:tcBorders>
            <w:shd w:val="clear" w:color="auto" w:fill="auto"/>
            <w:vAlign w:val="center"/>
            <w:hideMark/>
          </w:tcPr>
          <w:p w14:paraId="64F0204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6B12571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PM_EE1-PM_EE2-PM_EE3</w:t>
            </w:r>
          </w:p>
        </w:tc>
        <w:tc>
          <w:tcPr>
            <w:tcW w:w="1227" w:type="dxa"/>
            <w:tcBorders>
              <w:top w:val="nil"/>
              <w:left w:val="nil"/>
              <w:bottom w:val="single" w:sz="4" w:space="0" w:color="auto"/>
              <w:right w:val="single" w:sz="4" w:space="0" w:color="auto"/>
            </w:tcBorders>
            <w:shd w:val="clear" w:color="000000" w:fill="595959"/>
            <w:vAlign w:val="center"/>
            <w:hideMark/>
          </w:tcPr>
          <w:p w14:paraId="39A3383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45B148D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3D43266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5426461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5B5CC5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112173C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61F946A4" w14:textId="77777777" w:rsidTr="005B2C66">
        <w:trPr>
          <w:trHeight w:val="19"/>
        </w:trPr>
        <w:tc>
          <w:tcPr>
            <w:tcW w:w="924" w:type="dxa"/>
            <w:vMerge/>
            <w:tcBorders>
              <w:left w:val="single" w:sz="4" w:space="0" w:color="auto"/>
              <w:right w:val="single" w:sz="4" w:space="0" w:color="auto"/>
            </w:tcBorders>
            <w:vAlign w:val="center"/>
            <w:hideMark/>
          </w:tcPr>
          <w:p w14:paraId="1FC0531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303F58F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PM_EE9</w:t>
            </w:r>
          </w:p>
        </w:tc>
        <w:tc>
          <w:tcPr>
            <w:tcW w:w="3620" w:type="dxa"/>
            <w:tcBorders>
              <w:top w:val="nil"/>
              <w:left w:val="nil"/>
              <w:bottom w:val="single" w:sz="4" w:space="0" w:color="auto"/>
              <w:right w:val="single" w:sz="4" w:space="0" w:color="auto"/>
            </w:tcBorders>
            <w:shd w:val="clear" w:color="auto" w:fill="auto"/>
            <w:vAlign w:val="center"/>
            <w:hideMark/>
          </w:tcPr>
          <w:p w14:paraId="0943DE0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efficient appliances in households</w:t>
            </w:r>
          </w:p>
        </w:tc>
        <w:tc>
          <w:tcPr>
            <w:tcW w:w="1079" w:type="dxa"/>
            <w:tcBorders>
              <w:top w:val="nil"/>
              <w:left w:val="nil"/>
              <w:bottom w:val="single" w:sz="4" w:space="0" w:color="auto"/>
              <w:right w:val="single" w:sz="4" w:space="0" w:color="auto"/>
            </w:tcBorders>
            <w:shd w:val="clear" w:color="000000" w:fill="FFFFFF"/>
            <w:vAlign w:val="center"/>
            <w:hideMark/>
          </w:tcPr>
          <w:p w14:paraId="0BA8BF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63B45FC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19CA598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1493.81</w:t>
            </w:r>
          </w:p>
        </w:tc>
        <w:tc>
          <w:tcPr>
            <w:tcW w:w="1140" w:type="dxa"/>
            <w:tcBorders>
              <w:top w:val="nil"/>
              <w:left w:val="nil"/>
              <w:bottom w:val="single" w:sz="4" w:space="0" w:color="auto"/>
              <w:right w:val="single" w:sz="4" w:space="0" w:color="auto"/>
            </w:tcBorders>
            <w:shd w:val="clear" w:color="000000" w:fill="E2EFDA"/>
            <w:vAlign w:val="center"/>
            <w:hideMark/>
          </w:tcPr>
          <w:p w14:paraId="02D8CDB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373.45</w:t>
            </w:r>
          </w:p>
        </w:tc>
        <w:tc>
          <w:tcPr>
            <w:tcW w:w="1145" w:type="dxa"/>
            <w:tcBorders>
              <w:top w:val="nil"/>
              <w:left w:val="nil"/>
              <w:bottom w:val="single" w:sz="4" w:space="0" w:color="auto"/>
              <w:right w:val="single" w:sz="4" w:space="0" w:color="auto"/>
            </w:tcBorders>
            <w:shd w:val="clear" w:color="000000" w:fill="E2EFDA"/>
            <w:vAlign w:val="center"/>
            <w:hideMark/>
          </w:tcPr>
          <w:p w14:paraId="5259624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1120.35</w:t>
            </w:r>
          </w:p>
        </w:tc>
        <w:tc>
          <w:tcPr>
            <w:tcW w:w="1322" w:type="dxa"/>
            <w:tcBorders>
              <w:top w:val="nil"/>
              <w:left w:val="nil"/>
              <w:bottom w:val="single" w:sz="4" w:space="0" w:color="auto"/>
              <w:right w:val="single" w:sz="4" w:space="0" w:color="auto"/>
            </w:tcBorders>
            <w:shd w:val="clear" w:color="000000" w:fill="E2EFDA"/>
            <w:vAlign w:val="center"/>
            <w:hideMark/>
          </w:tcPr>
          <w:p w14:paraId="4A1C85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2EFDA"/>
            <w:vAlign w:val="center"/>
            <w:hideMark/>
          </w:tcPr>
          <w:p w14:paraId="432E0D7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tcBorders>
              <w:top w:val="nil"/>
              <w:left w:val="nil"/>
              <w:bottom w:val="single" w:sz="4" w:space="0" w:color="auto"/>
              <w:right w:val="single" w:sz="4" w:space="0" w:color="auto"/>
            </w:tcBorders>
            <w:shd w:val="clear" w:color="000000" w:fill="E2EFDA"/>
            <w:vAlign w:val="center"/>
            <w:hideMark/>
          </w:tcPr>
          <w:p w14:paraId="58C6E98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1493.81</w:t>
            </w:r>
          </w:p>
        </w:tc>
      </w:tr>
      <w:tr w:rsidR="00663039" w:rsidRPr="00207220" w14:paraId="13B5F8AB" w14:textId="77777777" w:rsidTr="005B2C66">
        <w:trPr>
          <w:trHeight w:val="19"/>
        </w:trPr>
        <w:tc>
          <w:tcPr>
            <w:tcW w:w="924" w:type="dxa"/>
            <w:vMerge/>
            <w:tcBorders>
              <w:left w:val="single" w:sz="4" w:space="0" w:color="auto"/>
              <w:right w:val="single" w:sz="4" w:space="0" w:color="auto"/>
            </w:tcBorders>
            <w:vAlign w:val="center"/>
            <w:hideMark/>
          </w:tcPr>
          <w:p w14:paraId="3317EBA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37B92D7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PM_EE10</w:t>
            </w:r>
          </w:p>
        </w:tc>
        <w:tc>
          <w:tcPr>
            <w:tcW w:w="3620" w:type="dxa"/>
            <w:tcBorders>
              <w:top w:val="nil"/>
              <w:left w:val="nil"/>
              <w:bottom w:val="single" w:sz="4" w:space="0" w:color="auto"/>
              <w:right w:val="single" w:sz="4" w:space="0" w:color="auto"/>
            </w:tcBorders>
            <w:shd w:val="clear" w:color="000000" w:fill="FFFFFF"/>
            <w:vAlign w:val="center"/>
            <w:hideMark/>
          </w:tcPr>
          <w:p w14:paraId="5612952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efficient passenger and light-heavy duty vehicles</w:t>
            </w:r>
          </w:p>
        </w:tc>
        <w:tc>
          <w:tcPr>
            <w:tcW w:w="1079" w:type="dxa"/>
            <w:tcBorders>
              <w:top w:val="nil"/>
              <w:left w:val="nil"/>
              <w:bottom w:val="single" w:sz="4" w:space="0" w:color="auto"/>
              <w:right w:val="single" w:sz="4" w:space="0" w:color="auto"/>
            </w:tcBorders>
            <w:shd w:val="clear" w:color="000000" w:fill="FFFFFF"/>
            <w:vAlign w:val="center"/>
            <w:hideMark/>
          </w:tcPr>
          <w:p w14:paraId="21F118B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394D0D2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5BFD61C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3803.00</w:t>
            </w:r>
          </w:p>
        </w:tc>
        <w:tc>
          <w:tcPr>
            <w:tcW w:w="1140" w:type="dxa"/>
            <w:tcBorders>
              <w:top w:val="nil"/>
              <w:left w:val="nil"/>
              <w:bottom w:val="single" w:sz="4" w:space="0" w:color="auto"/>
              <w:right w:val="single" w:sz="4" w:space="0" w:color="auto"/>
            </w:tcBorders>
            <w:shd w:val="clear" w:color="000000" w:fill="E2EFDA"/>
            <w:vAlign w:val="center"/>
            <w:hideMark/>
          </w:tcPr>
          <w:p w14:paraId="229C47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145" w:type="dxa"/>
            <w:tcBorders>
              <w:top w:val="nil"/>
              <w:left w:val="nil"/>
              <w:bottom w:val="single" w:sz="4" w:space="0" w:color="auto"/>
              <w:right w:val="single" w:sz="4" w:space="0" w:color="auto"/>
            </w:tcBorders>
            <w:shd w:val="clear" w:color="000000" w:fill="E2EFDA"/>
            <w:vAlign w:val="center"/>
            <w:hideMark/>
          </w:tcPr>
          <w:p w14:paraId="6064C67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3803.00</w:t>
            </w:r>
          </w:p>
        </w:tc>
        <w:tc>
          <w:tcPr>
            <w:tcW w:w="1322" w:type="dxa"/>
            <w:tcBorders>
              <w:top w:val="nil"/>
              <w:left w:val="nil"/>
              <w:bottom w:val="single" w:sz="4" w:space="0" w:color="auto"/>
              <w:right w:val="single" w:sz="4" w:space="0" w:color="auto"/>
            </w:tcBorders>
            <w:shd w:val="clear" w:color="000000" w:fill="E2EFDA"/>
            <w:vAlign w:val="center"/>
            <w:hideMark/>
          </w:tcPr>
          <w:p w14:paraId="151FD4D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E2EFDA"/>
            <w:vAlign w:val="center"/>
            <w:hideMark/>
          </w:tcPr>
          <w:p w14:paraId="0135531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3803.00</w:t>
            </w:r>
          </w:p>
        </w:tc>
        <w:tc>
          <w:tcPr>
            <w:tcW w:w="1077" w:type="dxa"/>
            <w:tcBorders>
              <w:top w:val="nil"/>
              <w:left w:val="nil"/>
              <w:bottom w:val="single" w:sz="4" w:space="0" w:color="auto"/>
              <w:right w:val="single" w:sz="4" w:space="0" w:color="auto"/>
            </w:tcBorders>
            <w:shd w:val="clear" w:color="000000" w:fill="E2EFDA"/>
            <w:vAlign w:val="center"/>
            <w:hideMark/>
          </w:tcPr>
          <w:p w14:paraId="75C14D0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558F789C" w14:textId="77777777" w:rsidTr="005B2C66">
        <w:trPr>
          <w:trHeight w:val="19"/>
        </w:trPr>
        <w:tc>
          <w:tcPr>
            <w:tcW w:w="924" w:type="dxa"/>
            <w:vMerge/>
            <w:tcBorders>
              <w:left w:val="single" w:sz="4" w:space="0" w:color="auto"/>
              <w:right w:val="single" w:sz="4" w:space="0" w:color="auto"/>
            </w:tcBorders>
            <w:vAlign w:val="center"/>
            <w:hideMark/>
          </w:tcPr>
          <w:p w14:paraId="47116A6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022BA05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PM_EE11</w:t>
            </w:r>
          </w:p>
        </w:tc>
        <w:tc>
          <w:tcPr>
            <w:tcW w:w="3620" w:type="dxa"/>
            <w:tcBorders>
              <w:top w:val="nil"/>
              <w:left w:val="nil"/>
              <w:bottom w:val="single" w:sz="4" w:space="0" w:color="auto"/>
              <w:right w:val="single" w:sz="4" w:space="0" w:color="auto"/>
            </w:tcBorders>
            <w:shd w:val="clear" w:color="auto" w:fill="auto"/>
            <w:vAlign w:val="center"/>
            <w:hideMark/>
          </w:tcPr>
          <w:p w14:paraId="5EB25EC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Ensuring the energy efficiency in imported used passenger cars</w:t>
            </w:r>
          </w:p>
        </w:tc>
        <w:tc>
          <w:tcPr>
            <w:tcW w:w="1079" w:type="dxa"/>
            <w:tcBorders>
              <w:top w:val="nil"/>
              <w:left w:val="nil"/>
              <w:bottom w:val="single" w:sz="4" w:space="0" w:color="auto"/>
              <w:right w:val="single" w:sz="4" w:space="0" w:color="auto"/>
            </w:tcBorders>
            <w:shd w:val="clear" w:color="auto" w:fill="auto"/>
            <w:vAlign w:val="center"/>
            <w:hideMark/>
          </w:tcPr>
          <w:p w14:paraId="7BE9DA5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556A56B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PM_EE10-PM_EE12-PM_EE14</w:t>
            </w:r>
          </w:p>
        </w:tc>
        <w:tc>
          <w:tcPr>
            <w:tcW w:w="1227" w:type="dxa"/>
            <w:tcBorders>
              <w:top w:val="nil"/>
              <w:left w:val="nil"/>
              <w:bottom w:val="single" w:sz="4" w:space="0" w:color="auto"/>
              <w:right w:val="single" w:sz="4" w:space="0" w:color="auto"/>
            </w:tcBorders>
            <w:shd w:val="clear" w:color="000000" w:fill="595959"/>
            <w:vAlign w:val="center"/>
            <w:hideMark/>
          </w:tcPr>
          <w:p w14:paraId="6B8D379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239A93E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7C286B5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35ABD15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1B89ADB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0BDA6CE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0A4A4927" w14:textId="77777777" w:rsidTr="005B2C66">
        <w:trPr>
          <w:trHeight w:val="19"/>
        </w:trPr>
        <w:tc>
          <w:tcPr>
            <w:tcW w:w="924" w:type="dxa"/>
            <w:vMerge/>
            <w:tcBorders>
              <w:left w:val="single" w:sz="4" w:space="0" w:color="auto"/>
              <w:right w:val="single" w:sz="4" w:space="0" w:color="auto"/>
            </w:tcBorders>
            <w:vAlign w:val="center"/>
            <w:hideMark/>
          </w:tcPr>
          <w:p w14:paraId="7C12CB1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8062A1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PM_EE12</w:t>
            </w:r>
          </w:p>
        </w:tc>
        <w:tc>
          <w:tcPr>
            <w:tcW w:w="3620" w:type="dxa"/>
            <w:tcBorders>
              <w:top w:val="nil"/>
              <w:left w:val="nil"/>
              <w:bottom w:val="single" w:sz="4" w:space="0" w:color="auto"/>
              <w:right w:val="single" w:sz="4" w:space="0" w:color="auto"/>
            </w:tcBorders>
            <w:shd w:val="clear" w:color="000000" w:fill="FFFFFF"/>
            <w:vAlign w:val="center"/>
            <w:hideMark/>
          </w:tcPr>
          <w:p w14:paraId="1F8899A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Financing programs for the promotion of energy efficiency passenger vehicles</w:t>
            </w:r>
          </w:p>
        </w:tc>
        <w:tc>
          <w:tcPr>
            <w:tcW w:w="1079" w:type="dxa"/>
            <w:tcBorders>
              <w:top w:val="nil"/>
              <w:left w:val="nil"/>
              <w:bottom w:val="single" w:sz="4" w:space="0" w:color="auto"/>
              <w:right w:val="single" w:sz="4" w:space="0" w:color="auto"/>
            </w:tcBorders>
            <w:shd w:val="clear" w:color="000000" w:fill="FFFFFF"/>
            <w:vAlign w:val="center"/>
            <w:hideMark/>
          </w:tcPr>
          <w:p w14:paraId="567A8C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365AE0E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5771E6A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570.23</w:t>
            </w:r>
          </w:p>
        </w:tc>
        <w:tc>
          <w:tcPr>
            <w:tcW w:w="1140" w:type="dxa"/>
            <w:tcBorders>
              <w:top w:val="nil"/>
              <w:left w:val="nil"/>
              <w:bottom w:val="single" w:sz="4" w:space="0" w:color="auto"/>
              <w:right w:val="single" w:sz="4" w:space="0" w:color="auto"/>
            </w:tcBorders>
            <w:shd w:val="clear" w:color="000000" w:fill="E2EFDA"/>
            <w:vAlign w:val="center"/>
            <w:hideMark/>
          </w:tcPr>
          <w:p w14:paraId="47A9DF5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142.56</w:t>
            </w:r>
          </w:p>
        </w:tc>
        <w:tc>
          <w:tcPr>
            <w:tcW w:w="1145" w:type="dxa"/>
            <w:tcBorders>
              <w:top w:val="nil"/>
              <w:left w:val="nil"/>
              <w:bottom w:val="single" w:sz="4" w:space="0" w:color="auto"/>
              <w:right w:val="single" w:sz="4" w:space="0" w:color="auto"/>
            </w:tcBorders>
            <w:shd w:val="clear" w:color="000000" w:fill="E2EFDA"/>
            <w:vAlign w:val="center"/>
            <w:hideMark/>
          </w:tcPr>
          <w:p w14:paraId="5AE91A0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427.68</w:t>
            </w:r>
          </w:p>
        </w:tc>
        <w:tc>
          <w:tcPr>
            <w:tcW w:w="1322" w:type="dxa"/>
            <w:tcBorders>
              <w:top w:val="nil"/>
              <w:left w:val="nil"/>
              <w:bottom w:val="single" w:sz="4" w:space="0" w:color="auto"/>
              <w:right w:val="single" w:sz="4" w:space="0" w:color="auto"/>
            </w:tcBorders>
            <w:shd w:val="clear" w:color="000000" w:fill="E2EFDA"/>
            <w:vAlign w:val="center"/>
            <w:hideMark/>
          </w:tcPr>
          <w:p w14:paraId="3B98D5E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E2EFDA"/>
            <w:vAlign w:val="center"/>
            <w:hideMark/>
          </w:tcPr>
          <w:p w14:paraId="715240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tcBorders>
              <w:top w:val="nil"/>
              <w:left w:val="nil"/>
              <w:bottom w:val="single" w:sz="4" w:space="0" w:color="auto"/>
              <w:right w:val="single" w:sz="4" w:space="0" w:color="auto"/>
            </w:tcBorders>
            <w:shd w:val="clear" w:color="000000" w:fill="E2EFDA"/>
            <w:vAlign w:val="center"/>
            <w:hideMark/>
          </w:tcPr>
          <w:p w14:paraId="7B8722A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570.23</w:t>
            </w:r>
          </w:p>
        </w:tc>
      </w:tr>
      <w:tr w:rsidR="00663039" w:rsidRPr="00207220" w14:paraId="0FEA5BB6" w14:textId="77777777" w:rsidTr="005B2C66">
        <w:trPr>
          <w:trHeight w:val="19"/>
        </w:trPr>
        <w:tc>
          <w:tcPr>
            <w:tcW w:w="924" w:type="dxa"/>
            <w:vMerge/>
            <w:tcBorders>
              <w:left w:val="single" w:sz="4" w:space="0" w:color="auto"/>
              <w:right w:val="single" w:sz="4" w:space="0" w:color="auto"/>
            </w:tcBorders>
            <w:vAlign w:val="center"/>
            <w:hideMark/>
          </w:tcPr>
          <w:p w14:paraId="5EE50BD9"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140463E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PM_EE13</w:t>
            </w:r>
          </w:p>
        </w:tc>
        <w:tc>
          <w:tcPr>
            <w:tcW w:w="3620" w:type="dxa"/>
            <w:tcBorders>
              <w:top w:val="nil"/>
              <w:left w:val="nil"/>
              <w:bottom w:val="single" w:sz="4" w:space="0" w:color="auto"/>
              <w:right w:val="single" w:sz="4" w:space="0" w:color="auto"/>
            </w:tcBorders>
            <w:shd w:val="clear" w:color="auto" w:fill="auto"/>
            <w:vAlign w:val="center"/>
            <w:hideMark/>
          </w:tcPr>
          <w:p w14:paraId="0778F66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required infrastructure for the promotion of alternative fuels</w:t>
            </w:r>
          </w:p>
        </w:tc>
        <w:tc>
          <w:tcPr>
            <w:tcW w:w="1079" w:type="dxa"/>
            <w:tcBorders>
              <w:top w:val="nil"/>
              <w:left w:val="nil"/>
              <w:bottom w:val="single" w:sz="4" w:space="0" w:color="auto"/>
              <w:right w:val="single" w:sz="4" w:space="0" w:color="auto"/>
            </w:tcBorders>
            <w:shd w:val="clear" w:color="auto" w:fill="auto"/>
            <w:vAlign w:val="center"/>
            <w:hideMark/>
          </w:tcPr>
          <w:p w14:paraId="469269D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auto" w:fill="auto"/>
            <w:vAlign w:val="center"/>
            <w:hideMark/>
          </w:tcPr>
          <w:p w14:paraId="79F370C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PM_EE10, PM_EE12 and PM_EE14</w:t>
            </w:r>
          </w:p>
        </w:tc>
        <w:tc>
          <w:tcPr>
            <w:tcW w:w="1227" w:type="dxa"/>
            <w:tcBorders>
              <w:top w:val="nil"/>
              <w:left w:val="nil"/>
              <w:bottom w:val="single" w:sz="4" w:space="0" w:color="auto"/>
              <w:right w:val="single" w:sz="4" w:space="0" w:color="auto"/>
            </w:tcBorders>
            <w:shd w:val="clear" w:color="000000" w:fill="595959"/>
            <w:vAlign w:val="center"/>
            <w:hideMark/>
          </w:tcPr>
          <w:p w14:paraId="0B3ACFC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6A40AE9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4E77FA9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6BD5D4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0555EF3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4CC72BD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04DE1124" w14:textId="77777777" w:rsidTr="005B2C66">
        <w:trPr>
          <w:trHeight w:val="19"/>
        </w:trPr>
        <w:tc>
          <w:tcPr>
            <w:tcW w:w="924" w:type="dxa"/>
            <w:vMerge/>
            <w:tcBorders>
              <w:left w:val="single" w:sz="4" w:space="0" w:color="auto"/>
              <w:right w:val="single" w:sz="4" w:space="0" w:color="auto"/>
            </w:tcBorders>
            <w:vAlign w:val="center"/>
            <w:hideMark/>
          </w:tcPr>
          <w:p w14:paraId="2CCCFEDB"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4F59D1B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PM_EE14</w:t>
            </w:r>
          </w:p>
        </w:tc>
        <w:tc>
          <w:tcPr>
            <w:tcW w:w="3620" w:type="dxa"/>
            <w:tcBorders>
              <w:top w:val="nil"/>
              <w:left w:val="nil"/>
              <w:bottom w:val="single" w:sz="4" w:space="0" w:color="auto"/>
              <w:right w:val="single" w:sz="4" w:space="0" w:color="auto"/>
            </w:tcBorders>
            <w:shd w:val="clear" w:color="000000" w:fill="FFFFFF"/>
            <w:vAlign w:val="center"/>
            <w:hideMark/>
          </w:tcPr>
          <w:p w14:paraId="43CEBE6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Promotion of energy efficiency of the freight transport </w:t>
            </w:r>
          </w:p>
        </w:tc>
        <w:tc>
          <w:tcPr>
            <w:tcW w:w="1079" w:type="dxa"/>
            <w:tcBorders>
              <w:top w:val="nil"/>
              <w:left w:val="nil"/>
              <w:bottom w:val="single" w:sz="4" w:space="0" w:color="auto"/>
              <w:right w:val="single" w:sz="4" w:space="0" w:color="auto"/>
            </w:tcBorders>
            <w:shd w:val="clear" w:color="000000" w:fill="FFFFFF"/>
            <w:vAlign w:val="center"/>
            <w:hideMark/>
          </w:tcPr>
          <w:p w14:paraId="6D6C6C3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73801CD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14DE8FF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1596.00</w:t>
            </w:r>
          </w:p>
        </w:tc>
        <w:tc>
          <w:tcPr>
            <w:tcW w:w="1140" w:type="dxa"/>
            <w:tcBorders>
              <w:top w:val="nil"/>
              <w:left w:val="nil"/>
              <w:bottom w:val="single" w:sz="4" w:space="0" w:color="auto"/>
              <w:right w:val="single" w:sz="4" w:space="0" w:color="auto"/>
            </w:tcBorders>
            <w:shd w:val="clear" w:color="000000" w:fill="E2EFDA"/>
            <w:vAlign w:val="center"/>
            <w:hideMark/>
          </w:tcPr>
          <w:p w14:paraId="3945AAF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399.00</w:t>
            </w:r>
          </w:p>
        </w:tc>
        <w:tc>
          <w:tcPr>
            <w:tcW w:w="1145" w:type="dxa"/>
            <w:tcBorders>
              <w:top w:val="nil"/>
              <w:left w:val="nil"/>
              <w:bottom w:val="single" w:sz="4" w:space="0" w:color="auto"/>
              <w:right w:val="single" w:sz="4" w:space="0" w:color="auto"/>
            </w:tcBorders>
            <w:shd w:val="clear" w:color="000000" w:fill="E2EFDA"/>
            <w:vAlign w:val="center"/>
            <w:hideMark/>
          </w:tcPr>
          <w:p w14:paraId="40BC43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1197.00</w:t>
            </w:r>
          </w:p>
        </w:tc>
        <w:tc>
          <w:tcPr>
            <w:tcW w:w="1322" w:type="dxa"/>
            <w:tcBorders>
              <w:top w:val="nil"/>
              <w:left w:val="nil"/>
              <w:bottom w:val="single" w:sz="4" w:space="0" w:color="auto"/>
              <w:right w:val="single" w:sz="4" w:space="0" w:color="auto"/>
            </w:tcBorders>
            <w:shd w:val="clear" w:color="000000" w:fill="E2EFDA"/>
            <w:vAlign w:val="center"/>
            <w:hideMark/>
          </w:tcPr>
          <w:p w14:paraId="117B746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2EFDA"/>
            <w:vAlign w:val="center"/>
            <w:hideMark/>
          </w:tcPr>
          <w:p w14:paraId="482D18A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596.41</w:t>
            </w:r>
          </w:p>
        </w:tc>
        <w:tc>
          <w:tcPr>
            <w:tcW w:w="1077" w:type="dxa"/>
            <w:tcBorders>
              <w:top w:val="nil"/>
              <w:left w:val="nil"/>
              <w:bottom w:val="single" w:sz="4" w:space="0" w:color="auto"/>
              <w:right w:val="single" w:sz="4" w:space="0" w:color="auto"/>
            </w:tcBorders>
            <w:shd w:val="clear" w:color="000000" w:fill="E2EFDA"/>
            <w:vAlign w:val="center"/>
            <w:hideMark/>
          </w:tcPr>
          <w:p w14:paraId="051800A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999.59</w:t>
            </w:r>
          </w:p>
        </w:tc>
      </w:tr>
      <w:tr w:rsidR="00663039" w:rsidRPr="00207220" w14:paraId="544AB363" w14:textId="77777777" w:rsidTr="005B2C66">
        <w:trPr>
          <w:trHeight w:val="19"/>
        </w:trPr>
        <w:tc>
          <w:tcPr>
            <w:tcW w:w="924" w:type="dxa"/>
            <w:vMerge/>
            <w:tcBorders>
              <w:left w:val="single" w:sz="4" w:space="0" w:color="auto"/>
              <w:right w:val="single" w:sz="4" w:space="0" w:color="auto"/>
            </w:tcBorders>
            <w:vAlign w:val="center"/>
            <w:hideMark/>
          </w:tcPr>
          <w:p w14:paraId="564438F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124A3FF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PM_EE15</w:t>
            </w:r>
          </w:p>
        </w:tc>
        <w:tc>
          <w:tcPr>
            <w:tcW w:w="3620" w:type="dxa"/>
            <w:tcBorders>
              <w:top w:val="nil"/>
              <w:left w:val="nil"/>
              <w:bottom w:val="single" w:sz="4" w:space="0" w:color="auto"/>
              <w:right w:val="single" w:sz="4" w:space="0" w:color="auto"/>
            </w:tcBorders>
            <w:shd w:val="clear" w:color="auto" w:fill="auto"/>
            <w:vAlign w:val="center"/>
            <w:hideMark/>
          </w:tcPr>
          <w:p w14:paraId="458581BC" w14:textId="5AE49B08"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Promotion of modal shift both for passenger and freight transport - Enabling ‘Mobility as a Service’ (MaaS) </w:t>
            </w:r>
          </w:p>
        </w:tc>
        <w:tc>
          <w:tcPr>
            <w:tcW w:w="1079" w:type="dxa"/>
            <w:tcBorders>
              <w:top w:val="nil"/>
              <w:left w:val="nil"/>
              <w:bottom w:val="single" w:sz="4" w:space="0" w:color="auto"/>
              <w:right w:val="single" w:sz="4" w:space="0" w:color="auto"/>
            </w:tcBorders>
            <w:shd w:val="clear" w:color="auto" w:fill="auto"/>
            <w:vAlign w:val="center"/>
            <w:hideMark/>
          </w:tcPr>
          <w:p w14:paraId="2DCEE54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753FE3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PM_EE10, PM_EE12 and PM_EE14</w:t>
            </w:r>
          </w:p>
        </w:tc>
        <w:tc>
          <w:tcPr>
            <w:tcW w:w="1227" w:type="dxa"/>
            <w:tcBorders>
              <w:top w:val="nil"/>
              <w:left w:val="nil"/>
              <w:bottom w:val="single" w:sz="4" w:space="0" w:color="auto"/>
              <w:right w:val="single" w:sz="4" w:space="0" w:color="auto"/>
            </w:tcBorders>
            <w:shd w:val="clear" w:color="000000" w:fill="595959"/>
            <w:vAlign w:val="center"/>
            <w:hideMark/>
          </w:tcPr>
          <w:p w14:paraId="2F0CB92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1629195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41BCF8B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099E587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1AB50B8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2E88E1C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770F9256" w14:textId="77777777" w:rsidTr="005B2C66">
        <w:trPr>
          <w:trHeight w:val="19"/>
        </w:trPr>
        <w:tc>
          <w:tcPr>
            <w:tcW w:w="924" w:type="dxa"/>
            <w:vMerge/>
            <w:tcBorders>
              <w:left w:val="single" w:sz="4" w:space="0" w:color="auto"/>
              <w:right w:val="single" w:sz="4" w:space="0" w:color="auto"/>
            </w:tcBorders>
            <w:vAlign w:val="center"/>
            <w:hideMark/>
          </w:tcPr>
          <w:p w14:paraId="50D0AEDC"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0D11C3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PM_EE16</w:t>
            </w:r>
          </w:p>
        </w:tc>
        <w:tc>
          <w:tcPr>
            <w:tcW w:w="3620" w:type="dxa"/>
            <w:tcBorders>
              <w:top w:val="nil"/>
              <w:left w:val="nil"/>
              <w:bottom w:val="single" w:sz="4" w:space="0" w:color="auto"/>
              <w:right w:val="single" w:sz="4" w:space="0" w:color="auto"/>
            </w:tcBorders>
            <w:shd w:val="clear" w:color="000000" w:fill="FFFFFF"/>
            <w:vAlign w:val="center"/>
            <w:hideMark/>
          </w:tcPr>
          <w:p w14:paraId="2134523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efficiency in inland waterways transport</w:t>
            </w:r>
          </w:p>
        </w:tc>
        <w:tc>
          <w:tcPr>
            <w:tcW w:w="1079" w:type="dxa"/>
            <w:tcBorders>
              <w:top w:val="nil"/>
              <w:left w:val="nil"/>
              <w:bottom w:val="single" w:sz="4" w:space="0" w:color="auto"/>
              <w:right w:val="single" w:sz="4" w:space="0" w:color="auto"/>
            </w:tcBorders>
            <w:shd w:val="clear" w:color="000000" w:fill="FFFFFF"/>
            <w:vAlign w:val="center"/>
            <w:hideMark/>
          </w:tcPr>
          <w:p w14:paraId="6F42883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667021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D7D31"/>
            <w:vAlign w:val="center"/>
            <w:hideMark/>
          </w:tcPr>
          <w:p w14:paraId="76C72FA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1140" w:type="dxa"/>
            <w:tcBorders>
              <w:top w:val="nil"/>
              <w:left w:val="nil"/>
              <w:bottom w:val="single" w:sz="4" w:space="0" w:color="auto"/>
              <w:right w:val="single" w:sz="4" w:space="0" w:color="auto"/>
            </w:tcBorders>
            <w:shd w:val="clear" w:color="000000" w:fill="ED7D31"/>
            <w:vAlign w:val="center"/>
            <w:hideMark/>
          </w:tcPr>
          <w:p w14:paraId="527CC1E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ED7D31"/>
            <w:vAlign w:val="center"/>
            <w:hideMark/>
          </w:tcPr>
          <w:p w14:paraId="1728CFC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13B7087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auto" w:fill="ED7D31" w:themeFill="accent2"/>
            <w:vAlign w:val="center"/>
          </w:tcPr>
          <w:p w14:paraId="6FCC7F8A"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077" w:type="dxa"/>
            <w:tcBorders>
              <w:top w:val="nil"/>
              <w:left w:val="nil"/>
              <w:bottom w:val="single" w:sz="4" w:space="0" w:color="auto"/>
              <w:right w:val="single" w:sz="4" w:space="0" w:color="auto"/>
            </w:tcBorders>
            <w:shd w:val="clear" w:color="auto" w:fill="ED7D31" w:themeFill="accent2"/>
            <w:vAlign w:val="center"/>
          </w:tcPr>
          <w:p w14:paraId="1345C7D3" w14:textId="77777777" w:rsidR="00663039" w:rsidRPr="00673450" w:rsidRDefault="00663039" w:rsidP="001544A6">
            <w:pPr>
              <w:spacing w:after="0" w:line="240" w:lineRule="auto"/>
              <w:jc w:val="center"/>
              <w:rPr>
                <w:rFonts w:ascii="Calibri" w:eastAsia="Times New Roman" w:hAnsi="Calibri" w:cs="Calibri"/>
                <w:sz w:val="15"/>
                <w:szCs w:val="15"/>
              </w:rPr>
            </w:pPr>
          </w:p>
        </w:tc>
      </w:tr>
      <w:tr w:rsidR="00663039" w:rsidRPr="00207220" w14:paraId="543FC3BF" w14:textId="77777777" w:rsidTr="005B2C66">
        <w:trPr>
          <w:trHeight w:val="19"/>
        </w:trPr>
        <w:tc>
          <w:tcPr>
            <w:tcW w:w="924" w:type="dxa"/>
            <w:vMerge/>
            <w:tcBorders>
              <w:left w:val="single" w:sz="4" w:space="0" w:color="auto"/>
              <w:right w:val="single" w:sz="4" w:space="0" w:color="auto"/>
            </w:tcBorders>
            <w:vAlign w:val="center"/>
            <w:hideMark/>
          </w:tcPr>
          <w:p w14:paraId="2B6DDF49"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311BB8A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PM_EE17</w:t>
            </w:r>
          </w:p>
        </w:tc>
        <w:tc>
          <w:tcPr>
            <w:tcW w:w="3620" w:type="dxa"/>
            <w:tcBorders>
              <w:top w:val="nil"/>
              <w:left w:val="nil"/>
              <w:bottom w:val="single" w:sz="4" w:space="0" w:color="auto"/>
              <w:right w:val="single" w:sz="4" w:space="0" w:color="auto"/>
            </w:tcBorders>
            <w:shd w:val="clear" w:color="000000" w:fill="FFFFFF"/>
            <w:vAlign w:val="center"/>
            <w:hideMark/>
          </w:tcPr>
          <w:p w14:paraId="0F88B7C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efficiency in rail transport</w:t>
            </w:r>
          </w:p>
        </w:tc>
        <w:tc>
          <w:tcPr>
            <w:tcW w:w="1079" w:type="dxa"/>
            <w:tcBorders>
              <w:top w:val="nil"/>
              <w:left w:val="nil"/>
              <w:bottom w:val="single" w:sz="4" w:space="0" w:color="auto"/>
              <w:right w:val="single" w:sz="4" w:space="0" w:color="auto"/>
            </w:tcBorders>
            <w:shd w:val="clear" w:color="000000" w:fill="FFFFFF"/>
            <w:vAlign w:val="center"/>
            <w:hideMark/>
          </w:tcPr>
          <w:p w14:paraId="0AFF8C4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08B5A67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3BBEC8F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255.77</w:t>
            </w:r>
          </w:p>
        </w:tc>
        <w:tc>
          <w:tcPr>
            <w:tcW w:w="1140" w:type="dxa"/>
            <w:tcBorders>
              <w:top w:val="nil"/>
              <w:left w:val="nil"/>
              <w:bottom w:val="single" w:sz="4" w:space="0" w:color="auto"/>
              <w:right w:val="single" w:sz="4" w:space="0" w:color="auto"/>
            </w:tcBorders>
            <w:shd w:val="clear" w:color="000000" w:fill="E2EFDA"/>
            <w:vAlign w:val="center"/>
            <w:hideMark/>
          </w:tcPr>
          <w:p w14:paraId="2130810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255.77</w:t>
            </w:r>
          </w:p>
        </w:tc>
        <w:tc>
          <w:tcPr>
            <w:tcW w:w="1145" w:type="dxa"/>
            <w:tcBorders>
              <w:top w:val="nil"/>
              <w:left w:val="nil"/>
              <w:bottom w:val="single" w:sz="4" w:space="0" w:color="auto"/>
              <w:right w:val="single" w:sz="4" w:space="0" w:color="auto"/>
            </w:tcBorders>
            <w:shd w:val="clear" w:color="000000" w:fill="E2EFDA"/>
            <w:vAlign w:val="center"/>
            <w:hideMark/>
          </w:tcPr>
          <w:p w14:paraId="5CD1AB9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322" w:type="dxa"/>
            <w:tcBorders>
              <w:top w:val="nil"/>
              <w:left w:val="nil"/>
              <w:bottom w:val="single" w:sz="4" w:space="0" w:color="auto"/>
              <w:right w:val="single" w:sz="4" w:space="0" w:color="auto"/>
            </w:tcBorders>
            <w:shd w:val="clear" w:color="000000" w:fill="E2EFDA"/>
            <w:vAlign w:val="center"/>
            <w:hideMark/>
          </w:tcPr>
          <w:p w14:paraId="72B0FB2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E2EFDA"/>
            <w:vAlign w:val="center"/>
            <w:hideMark/>
          </w:tcPr>
          <w:p w14:paraId="0AA0CB1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255.77</w:t>
            </w:r>
          </w:p>
        </w:tc>
        <w:tc>
          <w:tcPr>
            <w:tcW w:w="1077" w:type="dxa"/>
            <w:tcBorders>
              <w:top w:val="nil"/>
              <w:left w:val="nil"/>
              <w:bottom w:val="single" w:sz="4" w:space="0" w:color="auto"/>
              <w:right w:val="single" w:sz="4" w:space="0" w:color="auto"/>
            </w:tcBorders>
            <w:shd w:val="clear" w:color="000000" w:fill="E2EFDA"/>
            <w:vAlign w:val="center"/>
            <w:hideMark/>
          </w:tcPr>
          <w:p w14:paraId="559BC77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20A7BAC" w14:textId="77777777" w:rsidTr="005B2C66">
        <w:trPr>
          <w:trHeight w:val="19"/>
        </w:trPr>
        <w:tc>
          <w:tcPr>
            <w:tcW w:w="924" w:type="dxa"/>
            <w:vMerge/>
            <w:tcBorders>
              <w:left w:val="single" w:sz="4" w:space="0" w:color="auto"/>
              <w:right w:val="single" w:sz="4" w:space="0" w:color="auto"/>
            </w:tcBorders>
            <w:vAlign w:val="center"/>
            <w:hideMark/>
          </w:tcPr>
          <w:p w14:paraId="2D4553F9"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57B34C4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PM_EE18</w:t>
            </w:r>
          </w:p>
        </w:tc>
        <w:tc>
          <w:tcPr>
            <w:tcW w:w="3620" w:type="dxa"/>
            <w:tcBorders>
              <w:top w:val="nil"/>
              <w:left w:val="nil"/>
              <w:bottom w:val="single" w:sz="4" w:space="0" w:color="auto"/>
              <w:right w:val="single" w:sz="4" w:space="0" w:color="auto"/>
            </w:tcBorders>
            <w:shd w:val="clear" w:color="000000" w:fill="FFFFFF"/>
            <w:vAlign w:val="center"/>
            <w:hideMark/>
          </w:tcPr>
          <w:p w14:paraId="14820AF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Continuous enhancement and extension of the relative infrastructure for public transport </w:t>
            </w:r>
          </w:p>
        </w:tc>
        <w:tc>
          <w:tcPr>
            <w:tcW w:w="1079" w:type="dxa"/>
            <w:tcBorders>
              <w:top w:val="nil"/>
              <w:left w:val="nil"/>
              <w:bottom w:val="single" w:sz="4" w:space="0" w:color="auto"/>
              <w:right w:val="single" w:sz="4" w:space="0" w:color="auto"/>
            </w:tcBorders>
            <w:shd w:val="clear" w:color="000000" w:fill="FFFFFF"/>
            <w:vAlign w:val="center"/>
            <w:hideMark/>
          </w:tcPr>
          <w:p w14:paraId="5BEAC6D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58DC347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12D6E40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505.39</w:t>
            </w:r>
          </w:p>
        </w:tc>
        <w:tc>
          <w:tcPr>
            <w:tcW w:w="1140" w:type="dxa"/>
            <w:tcBorders>
              <w:top w:val="nil"/>
              <w:left w:val="nil"/>
              <w:bottom w:val="single" w:sz="4" w:space="0" w:color="auto"/>
              <w:right w:val="single" w:sz="4" w:space="0" w:color="auto"/>
            </w:tcBorders>
            <w:shd w:val="clear" w:color="000000" w:fill="E2EFDA"/>
            <w:vAlign w:val="center"/>
            <w:hideMark/>
          </w:tcPr>
          <w:p w14:paraId="58F685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252.70</w:t>
            </w:r>
          </w:p>
        </w:tc>
        <w:tc>
          <w:tcPr>
            <w:tcW w:w="1145" w:type="dxa"/>
            <w:tcBorders>
              <w:top w:val="nil"/>
              <w:left w:val="nil"/>
              <w:bottom w:val="single" w:sz="4" w:space="0" w:color="auto"/>
              <w:right w:val="single" w:sz="4" w:space="0" w:color="auto"/>
            </w:tcBorders>
            <w:shd w:val="clear" w:color="000000" w:fill="E2EFDA"/>
            <w:vAlign w:val="center"/>
            <w:hideMark/>
          </w:tcPr>
          <w:p w14:paraId="04716E5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252.70</w:t>
            </w:r>
          </w:p>
        </w:tc>
        <w:tc>
          <w:tcPr>
            <w:tcW w:w="1322" w:type="dxa"/>
            <w:tcBorders>
              <w:top w:val="nil"/>
              <w:left w:val="nil"/>
              <w:bottom w:val="single" w:sz="4" w:space="0" w:color="auto"/>
              <w:right w:val="single" w:sz="4" w:space="0" w:color="auto"/>
            </w:tcBorders>
            <w:shd w:val="clear" w:color="000000" w:fill="E2EFDA"/>
            <w:vAlign w:val="center"/>
            <w:hideMark/>
          </w:tcPr>
          <w:p w14:paraId="0EA20AC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E2EFDA"/>
            <w:vAlign w:val="center"/>
            <w:hideMark/>
          </w:tcPr>
          <w:p w14:paraId="7984E0C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505.39</w:t>
            </w:r>
          </w:p>
        </w:tc>
        <w:tc>
          <w:tcPr>
            <w:tcW w:w="1077" w:type="dxa"/>
            <w:tcBorders>
              <w:top w:val="nil"/>
              <w:left w:val="nil"/>
              <w:bottom w:val="single" w:sz="4" w:space="0" w:color="auto"/>
              <w:right w:val="single" w:sz="4" w:space="0" w:color="auto"/>
            </w:tcBorders>
            <w:shd w:val="clear" w:color="000000" w:fill="E2EFDA"/>
            <w:vAlign w:val="center"/>
            <w:hideMark/>
          </w:tcPr>
          <w:p w14:paraId="79AFA2E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36A6FE14" w14:textId="77777777" w:rsidTr="005B2C66">
        <w:trPr>
          <w:trHeight w:val="19"/>
        </w:trPr>
        <w:tc>
          <w:tcPr>
            <w:tcW w:w="924" w:type="dxa"/>
            <w:vMerge/>
            <w:tcBorders>
              <w:left w:val="single" w:sz="4" w:space="0" w:color="auto"/>
              <w:right w:val="single" w:sz="4" w:space="0" w:color="auto"/>
            </w:tcBorders>
            <w:vAlign w:val="center"/>
            <w:hideMark/>
          </w:tcPr>
          <w:p w14:paraId="47374F0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2FDF755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PM_EE19</w:t>
            </w:r>
          </w:p>
        </w:tc>
        <w:tc>
          <w:tcPr>
            <w:tcW w:w="3620" w:type="dxa"/>
            <w:tcBorders>
              <w:top w:val="nil"/>
              <w:left w:val="nil"/>
              <w:bottom w:val="single" w:sz="4" w:space="0" w:color="auto"/>
              <w:right w:val="single" w:sz="4" w:space="0" w:color="auto"/>
            </w:tcBorders>
            <w:shd w:val="clear" w:color="auto" w:fill="auto"/>
            <w:vAlign w:val="center"/>
            <w:hideMark/>
          </w:tcPr>
          <w:p w14:paraId="2AA5747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sustainable regional or municipal mobility plans</w:t>
            </w:r>
          </w:p>
        </w:tc>
        <w:tc>
          <w:tcPr>
            <w:tcW w:w="1079" w:type="dxa"/>
            <w:tcBorders>
              <w:top w:val="nil"/>
              <w:left w:val="nil"/>
              <w:bottom w:val="single" w:sz="4" w:space="0" w:color="auto"/>
              <w:right w:val="single" w:sz="4" w:space="0" w:color="auto"/>
            </w:tcBorders>
            <w:shd w:val="clear" w:color="auto" w:fill="auto"/>
            <w:vAlign w:val="center"/>
            <w:hideMark/>
          </w:tcPr>
          <w:p w14:paraId="28725F6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46C318F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Be integrated into </w:t>
            </w:r>
            <w:r w:rsidRPr="00673450">
              <w:rPr>
                <w:rFonts w:ascii="Calibri" w:hAnsi="Calibri" w:cs="Calibri"/>
                <w:sz w:val="15"/>
                <w:szCs w:val="15"/>
              </w:rPr>
              <w:lastRenderedPageBreak/>
              <w:t>PM_EE10, PM_EE12 and PM_EE14</w:t>
            </w:r>
          </w:p>
        </w:tc>
        <w:tc>
          <w:tcPr>
            <w:tcW w:w="1227" w:type="dxa"/>
            <w:tcBorders>
              <w:top w:val="nil"/>
              <w:left w:val="nil"/>
              <w:bottom w:val="single" w:sz="4" w:space="0" w:color="auto"/>
              <w:right w:val="single" w:sz="4" w:space="0" w:color="auto"/>
            </w:tcBorders>
            <w:shd w:val="clear" w:color="000000" w:fill="595959"/>
            <w:vAlign w:val="center"/>
            <w:hideMark/>
          </w:tcPr>
          <w:p w14:paraId="45A24D3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lastRenderedPageBreak/>
              <w:t> </w:t>
            </w:r>
          </w:p>
        </w:tc>
        <w:tc>
          <w:tcPr>
            <w:tcW w:w="1140" w:type="dxa"/>
            <w:tcBorders>
              <w:top w:val="nil"/>
              <w:left w:val="nil"/>
              <w:bottom w:val="single" w:sz="4" w:space="0" w:color="auto"/>
              <w:right w:val="single" w:sz="4" w:space="0" w:color="auto"/>
            </w:tcBorders>
            <w:shd w:val="clear" w:color="000000" w:fill="595959"/>
            <w:vAlign w:val="center"/>
            <w:hideMark/>
          </w:tcPr>
          <w:p w14:paraId="7E7936B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0B35988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2229186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1D9B264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641938D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1F6DBF49" w14:textId="77777777" w:rsidTr="005B2C66">
        <w:trPr>
          <w:trHeight w:val="19"/>
        </w:trPr>
        <w:tc>
          <w:tcPr>
            <w:tcW w:w="924" w:type="dxa"/>
            <w:vMerge/>
            <w:tcBorders>
              <w:left w:val="single" w:sz="4" w:space="0" w:color="auto"/>
              <w:right w:val="single" w:sz="4" w:space="0" w:color="auto"/>
            </w:tcBorders>
            <w:vAlign w:val="center"/>
            <w:hideMark/>
          </w:tcPr>
          <w:p w14:paraId="3F6E1AE9"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E0B27B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PM_EE20</w:t>
            </w:r>
          </w:p>
        </w:tc>
        <w:tc>
          <w:tcPr>
            <w:tcW w:w="3620" w:type="dxa"/>
            <w:tcBorders>
              <w:top w:val="nil"/>
              <w:left w:val="nil"/>
              <w:bottom w:val="single" w:sz="4" w:space="0" w:color="auto"/>
              <w:right w:val="single" w:sz="4" w:space="0" w:color="auto"/>
            </w:tcBorders>
            <w:shd w:val="clear" w:color="auto" w:fill="auto"/>
            <w:vAlign w:val="center"/>
            <w:hideMark/>
          </w:tcPr>
          <w:p w14:paraId="0CFFBE3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Supplementary actions for the promotion of energy efficiency in transport sector </w:t>
            </w:r>
          </w:p>
        </w:tc>
        <w:tc>
          <w:tcPr>
            <w:tcW w:w="1079" w:type="dxa"/>
            <w:tcBorders>
              <w:top w:val="nil"/>
              <w:left w:val="nil"/>
              <w:bottom w:val="single" w:sz="4" w:space="0" w:color="auto"/>
              <w:right w:val="single" w:sz="4" w:space="0" w:color="auto"/>
            </w:tcBorders>
            <w:shd w:val="clear" w:color="auto" w:fill="auto"/>
            <w:vAlign w:val="center"/>
            <w:hideMark/>
          </w:tcPr>
          <w:p w14:paraId="4A3063D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3D7353F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PM_EE10, PM_EE12 and PM_EE14</w:t>
            </w:r>
          </w:p>
        </w:tc>
        <w:tc>
          <w:tcPr>
            <w:tcW w:w="1227" w:type="dxa"/>
            <w:tcBorders>
              <w:top w:val="nil"/>
              <w:left w:val="nil"/>
              <w:bottom w:val="single" w:sz="4" w:space="0" w:color="auto"/>
              <w:right w:val="single" w:sz="4" w:space="0" w:color="auto"/>
            </w:tcBorders>
            <w:shd w:val="clear" w:color="000000" w:fill="595959"/>
            <w:vAlign w:val="center"/>
            <w:hideMark/>
          </w:tcPr>
          <w:p w14:paraId="0C685C2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1AA3497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0545134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46021AA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59C4926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6530E27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D50CBE" w:rsidRPr="00207220" w14:paraId="421B1F47" w14:textId="77777777" w:rsidTr="005E7CAD">
        <w:trPr>
          <w:trHeight w:val="19"/>
        </w:trPr>
        <w:tc>
          <w:tcPr>
            <w:tcW w:w="924" w:type="dxa"/>
            <w:vMerge/>
            <w:tcBorders>
              <w:left w:val="single" w:sz="4" w:space="0" w:color="auto"/>
              <w:right w:val="single" w:sz="4" w:space="0" w:color="auto"/>
            </w:tcBorders>
            <w:vAlign w:val="center"/>
            <w:hideMark/>
          </w:tcPr>
          <w:p w14:paraId="5050203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2CF1EAB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PM_EE21</w:t>
            </w:r>
          </w:p>
        </w:tc>
        <w:tc>
          <w:tcPr>
            <w:tcW w:w="3620" w:type="dxa"/>
            <w:tcBorders>
              <w:top w:val="nil"/>
              <w:left w:val="nil"/>
              <w:bottom w:val="single" w:sz="4" w:space="0" w:color="auto"/>
              <w:right w:val="single" w:sz="4" w:space="0" w:color="auto"/>
            </w:tcBorders>
            <w:shd w:val="clear" w:color="000000" w:fill="FFFFFF"/>
            <w:vAlign w:val="center"/>
            <w:hideMark/>
          </w:tcPr>
          <w:p w14:paraId="57C6B33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 schemes for the promotion of energy efficiency in industrial sector</w:t>
            </w:r>
          </w:p>
        </w:tc>
        <w:tc>
          <w:tcPr>
            <w:tcW w:w="1079" w:type="dxa"/>
            <w:tcBorders>
              <w:top w:val="nil"/>
              <w:left w:val="nil"/>
              <w:bottom w:val="single" w:sz="4" w:space="0" w:color="auto"/>
              <w:right w:val="single" w:sz="4" w:space="0" w:color="auto"/>
            </w:tcBorders>
            <w:shd w:val="clear" w:color="000000" w:fill="FFFFFF"/>
            <w:vAlign w:val="center"/>
            <w:hideMark/>
          </w:tcPr>
          <w:p w14:paraId="7CD72A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6596213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B85C68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3366.00</w:t>
            </w:r>
          </w:p>
        </w:tc>
        <w:tc>
          <w:tcPr>
            <w:tcW w:w="11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661EDB3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1346.40</w:t>
            </w:r>
          </w:p>
        </w:tc>
        <w:tc>
          <w:tcPr>
            <w:tcW w:w="114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8CC146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2019.60</w:t>
            </w:r>
          </w:p>
        </w:tc>
        <w:tc>
          <w:tcPr>
            <w:tcW w:w="1322" w:type="dxa"/>
            <w:tcBorders>
              <w:top w:val="nil"/>
              <w:left w:val="nil"/>
              <w:bottom w:val="single" w:sz="4" w:space="0" w:color="auto"/>
              <w:right w:val="single" w:sz="4" w:space="0" w:color="auto"/>
            </w:tcBorders>
            <w:shd w:val="clear" w:color="000000" w:fill="E2EFDA"/>
            <w:vAlign w:val="center"/>
            <w:hideMark/>
          </w:tcPr>
          <w:p w14:paraId="5837D4A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70E6536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2957.11</w:t>
            </w:r>
          </w:p>
        </w:tc>
        <w:tc>
          <w:tcPr>
            <w:tcW w:w="107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F1A617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408.89</w:t>
            </w:r>
          </w:p>
        </w:tc>
      </w:tr>
      <w:tr w:rsidR="00663039" w:rsidRPr="00207220" w14:paraId="391138C4" w14:textId="77777777" w:rsidTr="005B2C66">
        <w:trPr>
          <w:trHeight w:val="19"/>
        </w:trPr>
        <w:tc>
          <w:tcPr>
            <w:tcW w:w="924" w:type="dxa"/>
            <w:vMerge/>
            <w:tcBorders>
              <w:left w:val="single" w:sz="4" w:space="0" w:color="auto"/>
              <w:right w:val="single" w:sz="4" w:space="0" w:color="auto"/>
            </w:tcBorders>
            <w:vAlign w:val="center"/>
            <w:hideMark/>
          </w:tcPr>
          <w:p w14:paraId="258BADFA"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A9E18B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PM_EE22</w:t>
            </w:r>
          </w:p>
        </w:tc>
        <w:tc>
          <w:tcPr>
            <w:tcW w:w="3620" w:type="dxa"/>
            <w:tcBorders>
              <w:top w:val="nil"/>
              <w:left w:val="nil"/>
              <w:bottom w:val="single" w:sz="4" w:space="0" w:color="auto"/>
              <w:right w:val="single" w:sz="4" w:space="0" w:color="auto"/>
            </w:tcBorders>
            <w:shd w:val="clear" w:color="000000" w:fill="FFFFFF"/>
            <w:vAlign w:val="center"/>
            <w:hideMark/>
          </w:tcPr>
          <w:p w14:paraId="1E27674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Regulatory measures for the promotion of energy efficiency in industrial sector</w:t>
            </w:r>
          </w:p>
        </w:tc>
        <w:tc>
          <w:tcPr>
            <w:tcW w:w="1079" w:type="dxa"/>
            <w:tcBorders>
              <w:top w:val="nil"/>
              <w:left w:val="nil"/>
              <w:bottom w:val="single" w:sz="4" w:space="0" w:color="auto"/>
              <w:right w:val="single" w:sz="4" w:space="0" w:color="auto"/>
            </w:tcBorders>
            <w:shd w:val="clear" w:color="000000" w:fill="FFFFFF"/>
            <w:vAlign w:val="center"/>
            <w:hideMark/>
          </w:tcPr>
          <w:p w14:paraId="68B28C4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000000" w:fill="FFFFFF"/>
            <w:vAlign w:val="center"/>
            <w:hideMark/>
          </w:tcPr>
          <w:p w14:paraId="24BC461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PM_EE21</w:t>
            </w:r>
          </w:p>
        </w:tc>
        <w:tc>
          <w:tcPr>
            <w:tcW w:w="1227" w:type="dxa"/>
            <w:vMerge/>
            <w:tcBorders>
              <w:top w:val="nil"/>
              <w:left w:val="single" w:sz="4" w:space="0" w:color="auto"/>
              <w:bottom w:val="single" w:sz="4" w:space="0" w:color="000000"/>
              <w:right w:val="single" w:sz="4" w:space="0" w:color="auto"/>
            </w:tcBorders>
            <w:vAlign w:val="center"/>
            <w:hideMark/>
          </w:tcPr>
          <w:p w14:paraId="65D92F47" w14:textId="77777777" w:rsidR="00663039" w:rsidRPr="00673450" w:rsidRDefault="00663039" w:rsidP="001544A6">
            <w:pPr>
              <w:spacing w:after="0" w:line="240" w:lineRule="auto"/>
              <w:rPr>
                <w:rFonts w:ascii="Calibri" w:eastAsia="Times New Roman" w:hAnsi="Calibri" w:cs="Calibri"/>
                <w:sz w:val="15"/>
                <w:szCs w:val="15"/>
              </w:rPr>
            </w:pPr>
          </w:p>
        </w:tc>
        <w:tc>
          <w:tcPr>
            <w:tcW w:w="1140" w:type="dxa"/>
            <w:vMerge/>
            <w:tcBorders>
              <w:top w:val="nil"/>
              <w:left w:val="single" w:sz="4" w:space="0" w:color="auto"/>
              <w:bottom w:val="single" w:sz="4" w:space="0" w:color="000000"/>
              <w:right w:val="single" w:sz="4" w:space="0" w:color="auto"/>
            </w:tcBorders>
            <w:vAlign w:val="center"/>
            <w:hideMark/>
          </w:tcPr>
          <w:p w14:paraId="57F7919B" w14:textId="77777777" w:rsidR="00663039" w:rsidRPr="00673450" w:rsidRDefault="00663039" w:rsidP="001544A6">
            <w:pPr>
              <w:spacing w:after="0" w:line="240" w:lineRule="auto"/>
              <w:rPr>
                <w:rFonts w:ascii="Calibri" w:eastAsia="Times New Roman" w:hAnsi="Calibri" w:cs="Calibri"/>
                <w:sz w:val="15"/>
                <w:szCs w:val="15"/>
              </w:rPr>
            </w:pPr>
          </w:p>
        </w:tc>
        <w:tc>
          <w:tcPr>
            <w:tcW w:w="1145" w:type="dxa"/>
            <w:vMerge/>
            <w:tcBorders>
              <w:top w:val="nil"/>
              <w:left w:val="single" w:sz="4" w:space="0" w:color="auto"/>
              <w:bottom w:val="single" w:sz="4" w:space="0" w:color="000000"/>
              <w:right w:val="single" w:sz="4" w:space="0" w:color="auto"/>
            </w:tcBorders>
            <w:vAlign w:val="center"/>
            <w:hideMark/>
          </w:tcPr>
          <w:p w14:paraId="4F99C6D7" w14:textId="77777777" w:rsidR="00663039" w:rsidRPr="00673450" w:rsidRDefault="00663039" w:rsidP="001544A6">
            <w:pPr>
              <w:spacing w:after="0" w:line="240" w:lineRule="auto"/>
              <w:rPr>
                <w:rFonts w:ascii="Calibri" w:eastAsia="Times New Roman" w:hAnsi="Calibri" w:cs="Calibri"/>
                <w:sz w:val="15"/>
                <w:szCs w:val="15"/>
              </w:rPr>
            </w:pPr>
          </w:p>
        </w:tc>
        <w:tc>
          <w:tcPr>
            <w:tcW w:w="1322" w:type="dxa"/>
            <w:tcBorders>
              <w:top w:val="nil"/>
              <w:left w:val="nil"/>
              <w:bottom w:val="single" w:sz="4" w:space="0" w:color="auto"/>
              <w:right w:val="single" w:sz="4" w:space="0" w:color="auto"/>
            </w:tcBorders>
            <w:shd w:val="clear" w:color="000000" w:fill="E2EFDA"/>
            <w:vAlign w:val="center"/>
            <w:hideMark/>
          </w:tcPr>
          <w:p w14:paraId="596E16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vMerge/>
            <w:tcBorders>
              <w:top w:val="nil"/>
              <w:left w:val="single" w:sz="4" w:space="0" w:color="auto"/>
              <w:bottom w:val="single" w:sz="4" w:space="0" w:color="000000"/>
              <w:right w:val="single" w:sz="4" w:space="0" w:color="auto"/>
            </w:tcBorders>
            <w:vAlign w:val="center"/>
            <w:hideMark/>
          </w:tcPr>
          <w:p w14:paraId="6F67B166" w14:textId="77777777" w:rsidR="00663039" w:rsidRPr="00673450" w:rsidRDefault="00663039" w:rsidP="001544A6">
            <w:pPr>
              <w:spacing w:after="0" w:line="240" w:lineRule="auto"/>
              <w:rPr>
                <w:rFonts w:ascii="Calibri" w:eastAsia="Times New Roman" w:hAnsi="Calibri" w:cs="Calibri"/>
                <w:sz w:val="15"/>
                <w:szCs w:val="15"/>
              </w:rPr>
            </w:pPr>
          </w:p>
        </w:tc>
        <w:tc>
          <w:tcPr>
            <w:tcW w:w="1077" w:type="dxa"/>
            <w:vMerge/>
            <w:tcBorders>
              <w:top w:val="nil"/>
              <w:left w:val="single" w:sz="4" w:space="0" w:color="auto"/>
              <w:bottom w:val="single" w:sz="4" w:space="0" w:color="000000"/>
              <w:right w:val="single" w:sz="4" w:space="0" w:color="auto"/>
            </w:tcBorders>
            <w:vAlign w:val="center"/>
            <w:hideMark/>
          </w:tcPr>
          <w:p w14:paraId="780D80C0" w14:textId="77777777" w:rsidR="00663039" w:rsidRPr="00673450" w:rsidRDefault="00663039" w:rsidP="001544A6">
            <w:pPr>
              <w:spacing w:after="0" w:line="240" w:lineRule="auto"/>
              <w:rPr>
                <w:rFonts w:ascii="Calibri" w:eastAsia="Times New Roman" w:hAnsi="Calibri" w:cs="Calibri"/>
                <w:sz w:val="15"/>
                <w:szCs w:val="15"/>
              </w:rPr>
            </w:pPr>
          </w:p>
        </w:tc>
      </w:tr>
      <w:tr w:rsidR="00663039" w:rsidRPr="00207220" w14:paraId="1D4FB1C1" w14:textId="77777777" w:rsidTr="005B2C66">
        <w:trPr>
          <w:trHeight w:val="19"/>
        </w:trPr>
        <w:tc>
          <w:tcPr>
            <w:tcW w:w="924" w:type="dxa"/>
            <w:vMerge/>
            <w:tcBorders>
              <w:left w:val="single" w:sz="4" w:space="0" w:color="auto"/>
              <w:right w:val="single" w:sz="4" w:space="0" w:color="auto"/>
            </w:tcBorders>
            <w:vAlign w:val="center"/>
            <w:hideMark/>
          </w:tcPr>
          <w:p w14:paraId="64BB8A2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09AFB09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PM_EE23</w:t>
            </w:r>
          </w:p>
        </w:tc>
        <w:tc>
          <w:tcPr>
            <w:tcW w:w="3620" w:type="dxa"/>
            <w:tcBorders>
              <w:top w:val="nil"/>
              <w:left w:val="nil"/>
              <w:bottom w:val="single" w:sz="4" w:space="0" w:color="auto"/>
              <w:right w:val="single" w:sz="4" w:space="0" w:color="auto"/>
            </w:tcBorders>
            <w:shd w:val="clear" w:color="000000" w:fill="FFFFFF"/>
            <w:vAlign w:val="center"/>
            <w:hideMark/>
          </w:tcPr>
          <w:p w14:paraId="34157F9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Supplementary actions for the promotion of energy efficiency in industrial sector </w:t>
            </w:r>
          </w:p>
        </w:tc>
        <w:tc>
          <w:tcPr>
            <w:tcW w:w="1079" w:type="dxa"/>
            <w:tcBorders>
              <w:top w:val="nil"/>
              <w:left w:val="nil"/>
              <w:bottom w:val="single" w:sz="4" w:space="0" w:color="auto"/>
              <w:right w:val="single" w:sz="4" w:space="0" w:color="auto"/>
            </w:tcBorders>
            <w:shd w:val="clear" w:color="000000" w:fill="FFFFFF"/>
            <w:vAlign w:val="center"/>
            <w:hideMark/>
          </w:tcPr>
          <w:p w14:paraId="37CBD62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21E3BFB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PM_EE21</w:t>
            </w:r>
          </w:p>
        </w:tc>
        <w:tc>
          <w:tcPr>
            <w:tcW w:w="1227" w:type="dxa"/>
            <w:vMerge/>
            <w:tcBorders>
              <w:top w:val="nil"/>
              <w:left w:val="single" w:sz="4" w:space="0" w:color="auto"/>
              <w:bottom w:val="single" w:sz="4" w:space="0" w:color="000000"/>
              <w:right w:val="single" w:sz="4" w:space="0" w:color="auto"/>
            </w:tcBorders>
            <w:vAlign w:val="center"/>
            <w:hideMark/>
          </w:tcPr>
          <w:p w14:paraId="393F44CC" w14:textId="77777777" w:rsidR="00663039" w:rsidRPr="00673450" w:rsidRDefault="00663039" w:rsidP="001544A6">
            <w:pPr>
              <w:spacing w:after="0" w:line="240" w:lineRule="auto"/>
              <w:rPr>
                <w:rFonts w:ascii="Calibri" w:eastAsia="Times New Roman" w:hAnsi="Calibri" w:cs="Calibri"/>
                <w:sz w:val="15"/>
                <w:szCs w:val="15"/>
              </w:rPr>
            </w:pPr>
          </w:p>
        </w:tc>
        <w:tc>
          <w:tcPr>
            <w:tcW w:w="1140" w:type="dxa"/>
            <w:vMerge/>
            <w:tcBorders>
              <w:top w:val="nil"/>
              <w:left w:val="single" w:sz="4" w:space="0" w:color="auto"/>
              <w:bottom w:val="single" w:sz="4" w:space="0" w:color="000000"/>
              <w:right w:val="single" w:sz="4" w:space="0" w:color="auto"/>
            </w:tcBorders>
            <w:vAlign w:val="center"/>
            <w:hideMark/>
          </w:tcPr>
          <w:p w14:paraId="4B3F141C" w14:textId="77777777" w:rsidR="00663039" w:rsidRPr="00673450" w:rsidRDefault="00663039" w:rsidP="001544A6">
            <w:pPr>
              <w:spacing w:after="0" w:line="240" w:lineRule="auto"/>
              <w:rPr>
                <w:rFonts w:ascii="Calibri" w:eastAsia="Times New Roman" w:hAnsi="Calibri" w:cs="Calibri"/>
                <w:sz w:val="15"/>
                <w:szCs w:val="15"/>
              </w:rPr>
            </w:pPr>
          </w:p>
        </w:tc>
        <w:tc>
          <w:tcPr>
            <w:tcW w:w="1145" w:type="dxa"/>
            <w:vMerge/>
            <w:tcBorders>
              <w:top w:val="nil"/>
              <w:left w:val="single" w:sz="4" w:space="0" w:color="auto"/>
              <w:bottom w:val="single" w:sz="4" w:space="0" w:color="000000"/>
              <w:right w:val="single" w:sz="4" w:space="0" w:color="auto"/>
            </w:tcBorders>
            <w:vAlign w:val="center"/>
            <w:hideMark/>
          </w:tcPr>
          <w:p w14:paraId="4DF35362" w14:textId="77777777" w:rsidR="00663039" w:rsidRPr="00673450" w:rsidRDefault="00663039" w:rsidP="001544A6">
            <w:pPr>
              <w:spacing w:after="0" w:line="240" w:lineRule="auto"/>
              <w:rPr>
                <w:rFonts w:ascii="Calibri" w:eastAsia="Times New Roman" w:hAnsi="Calibri" w:cs="Calibri"/>
                <w:sz w:val="15"/>
                <w:szCs w:val="15"/>
              </w:rPr>
            </w:pPr>
          </w:p>
        </w:tc>
        <w:tc>
          <w:tcPr>
            <w:tcW w:w="1322" w:type="dxa"/>
            <w:tcBorders>
              <w:top w:val="nil"/>
              <w:left w:val="nil"/>
              <w:bottom w:val="single" w:sz="4" w:space="0" w:color="auto"/>
              <w:right w:val="single" w:sz="4" w:space="0" w:color="auto"/>
            </w:tcBorders>
            <w:shd w:val="clear" w:color="000000" w:fill="E2EFDA"/>
            <w:vAlign w:val="center"/>
            <w:hideMark/>
          </w:tcPr>
          <w:p w14:paraId="0AD2AEF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vMerge/>
            <w:tcBorders>
              <w:top w:val="nil"/>
              <w:left w:val="single" w:sz="4" w:space="0" w:color="auto"/>
              <w:bottom w:val="single" w:sz="4" w:space="0" w:color="000000"/>
              <w:right w:val="single" w:sz="4" w:space="0" w:color="auto"/>
            </w:tcBorders>
            <w:vAlign w:val="center"/>
            <w:hideMark/>
          </w:tcPr>
          <w:p w14:paraId="4F8E334F" w14:textId="77777777" w:rsidR="00663039" w:rsidRPr="00673450" w:rsidRDefault="00663039" w:rsidP="001544A6">
            <w:pPr>
              <w:spacing w:after="0" w:line="240" w:lineRule="auto"/>
              <w:rPr>
                <w:rFonts w:ascii="Calibri" w:eastAsia="Times New Roman" w:hAnsi="Calibri" w:cs="Calibri"/>
                <w:sz w:val="15"/>
                <w:szCs w:val="15"/>
              </w:rPr>
            </w:pPr>
          </w:p>
        </w:tc>
        <w:tc>
          <w:tcPr>
            <w:tcW w:w="1077" w:type="dxa"/>
            <w:vMerge/>
            <w:tcBorders>
              <w:top w:val="nil"/>
              <w:left w:val="single" w:sz="4" w:space="0" w:color="auto"/>
              <w:bottom w:val="single" w:sz="4" w:space="0" w:color="000000"/>
              <w:right w:val="single" w:sz="4" w:space="0" w:color="auto"/>
            </w:tcBorders>
            <w:vAlign w:val="center"/>
            <w:hideMark/>
          </w:tcPr>
          <w:p w14:paraId="1D533CC9" w14:textId="77777777" w:rsidR="00663039" w:rsidRPr="00673450" w:rsidRDefault="00663039" w:rsidP="001544A6">
            <w:pPr>
              <w:spacing w:after="0" w:line="240" w:lineRule="auto"/>
              <w:rPr>
                <w:rFonts w:ascii="Calibri" w:eastAsia="Times New Roman" w:hAnsi="Calibri" w:cs="Calibri"/>
                <w:sz w:val="15"/>
                <w:szCs w:val="15"/>
              </w:rPr>
            </w:pPr>
          </w:p>
        </w:tc>
      </w:tr>
      <w:tr w:rsidR="00D50CBE" w:rsidRPr="00207220" w14:paraId="142575BE" w14:textId="77777777" w:rsidTr="005E7CAD">
        <w:trPr>
          <w:trHeight w:val="19"/>
        </w:trPr>
        <w:tc>
          <w:tcPr>
            <w:tcW w:w="924" w:type="dxa"/>
            <w:vMerge/>
            <w:tcBorders>
              <w:left w:val="single" w:sz="4" w:space="0" w:color="auto"/>
              <w:right w:val="single" w:sz="4" w:space="0" w:color="auto"/>
            </w:tcBorders>
            <w:vAlign w:val="center"/>
            <w:hideMark/>
          </w:tcPr>
          <w:p w14:paraId="1562FE93"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11CD0F7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PM_EE24</w:t>
            </w:r>
          </w:p>
        </w:tc>
        <w:tc>
          <w:tcPr>
            <w:tcW w:w="3620" w:type="dxa"/>
            <w:tcBorders>
              <w:top w:val="nil"/>
              <w:left w:val="nil"/>
              <w:bottom w:val="single" w:sz="4" w:space="0" w:color="auto"/>
              <w:right w:val="single" w:sz="4" w:space="0" w:color="auto"/>
            </w:tcBorders>
            <w:shd w:val="clear" w:color="000000" w:fill="FFFFFF"/>
            <w:vAlign w:val="center"/>
            <w:hideMark/>
          </w:tcPr>
          <w:p w14:paraId="02D8103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 schemes for the promotion of energy efficiency in agricultural sector</w:t>
            </w:r>
          </w:p>
        </w:tc>
        <w:tc>
          <w:tcPr>
            <w:tcW w:w="1079" w:type="dxa"/>
            <w:tcBorders>
              <w:top w:val="nil"/>
              <w:left w:val="nil"/>
              <w:bottom w:val="single" w:sz="4" w:space="0" w:color="auto"/>
              <w:right w:val="single" w:sz="4" w:space="0" w:color="auto"/>
            </w:tcBorders>
            <w:shd w:val="clear" w:color="000000" w:fill="FFFFFF"/>
            <w:vAlign w:val="center"/>
            <w:hideMark/>
          </w:tcPr>
          <w:p w14:paraId="35F203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20721F8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5530B15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2678.00</w:t>
            </w:r>
          </w:p>
        </w:tc>
        <w:tc>
          <w:tcPr>
            <w:tcW w:w="1140"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4810705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669.50</w:t>
            </w:r>
          </w:p>
        </w:tc>
        <w:tc>
          <w:tcPr>
            <w:tcW w:w="114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39B348C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2008.50</w:t>
            </w:r>
          </w:p>
        </w:tc>
        <w:tc>
          <w:tcPr>
            <w:tcW w:w="1322" w:type="dxa"/>
            <w:tcBorders>
              <w:top w:val="nil"/>
              <w:left w:val="nil"/>
              <w:bottom w:val="single" w:sz="4" w:space="0" w:color="auto"/>
              <w:right w:val="single" w:sz="4" w:space="0" w:color="auto"/>
            </w:tcBorders>
            <w:shd w:val="clear" w:color="000000" w:fill="E2EFDA"/>
            <w:vAlign w:val="center"/>
            <w:hideMark/>
          </w:tcPr>
          <w:p w14:paraId="2DFB951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27947AC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vMerge w:val="restart"/>
            <w:tcBorders>
              <w:top w:val="nil"/>
              <w:left w:val="single" w:sz="4" w:space="0" w:color="auto"/>
              <w:bottom w:val="single" w:sz="4" w:space="0" w:color="000000"/>
              <w:right w:val="single" w:sz="4" w:space="0" w:color="auto"/>
            </w:tcBorders>
            <w:shd w:val="clear" w:color="000000" w:fill="E2EFDA"/>
            <w:vAlign w:val="center"/>
            <w:hideMark/>
          </w:tcPr>
          <w:p w14:paraId="0637578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2678.00</w:t>
            </w:r>
          </w:p>
        </w:tc>
      </w:tr>
      <w:tr w:rsidR="00663039" w:rsidRPr="00207220" w14:paraId="49D6B319" w14:textId="77777777" w:rsidTr="005B2C66">
        <w:trPr>
          <w:trHeight w:val="19"/>
        </w:trPr>
        <w:tc>
          <w:tcPr>
            <w:tcW w:w="924" w:type="dxa"/>
            <w:vMerge/>
            <w:tcBorders>
              <w:left w:val="single" w:sz="4" w:space="0" w:color="auto"/>
              <w:right w:val="single" w:sz="4" w:space="0" w:color="auto"/>
            </w:tcBorders>
            <w:vAlign w:val="center"/>
            <w:hideMark/>
          </w:tcPr>
          <w:p w14:paraId="7C22A72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5872842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PM_EE25</w:t>
            </w:r>
          </w:p>
        </w:tc>
        <w:tc>
          <w:tcPr>
            <w:tcW w:w="3620" w:type="dxa"/>
            <w:tcBorders>
              <w:top w:val="nil"/>
              <w:left w:val="nil"/>
              <w:bottom w:val="single" w:sz="4" w:space="0" w:color="auto"/>
              <w:right w:val="single" w:sz="4" w:space="0" w:color="auto"/>
            </w:tcBorders>
            <w:shd w:val="clear" w:color="000000" w:fill="FFFFFF"/>
            <w:vAlign w:val="center"/>
            <w:hideMark/>
          </w:tcPr>
          <w:p w14:paraId="3C451DB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Advisory services and energy audits for farmers</w:t>
            </w:r>
          </w:p>
        </w:tc>
        <w:tc>
          <w:tcPr>
            <w:tcW w:w="1079" w:type="dxa"/>
            <w:tcBorders>
              <w:top w:val="nil"/>
              <w:left w:val="nil"/>
              <w:bottom w:val="single" w:sz="4" w:space="0" w:color="auto"/>
              <w:right w:val="single" w:sz="4" w:space="0" w:color="auto"/>
            </w:tcBorders>
            <w:shd w:val="clear" w:color="000000" w:fill="FFFFFF"/>
            <w:vAlign w:val="center"/>
            <w:hideMark/>
          </w:tcPr>
          <w:p w14:paraId="4292DDB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17515BB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PM_EE24</w:t>
            </w:r>
          </w:p>
        </w:tc>
        <w:tc>
          <w:tcPr>
            <w:tcW w:w="1227" w:type="dxa"/>
            <w:vMerge/>
            <w:tcBorders>
              <w:top w:val="nil"/>
              <w:left w:val="single" w:sz="4" w:space="0" w:color="auto"/>
              <w:bottom w:val="single" w:sz="4" w:space="0" w:color="000000"/>
              <w:right w:val="single" w:sz="4" w:space="0" w:color="auto"/>
            </w:tcBorders>
            <w:vAlign w:val="center"/>
            <w:hideMark/>
          </w:tcPr>
          <w:p w14:paraId="2738ADA9" w14:textId="77777777" w:rsidR="00663039" w:rsidRPr="00673450" w:rsidRDefault="00663039" w:rsidP="001544A6">
            <w:pPr>
              <w:spacing w:after="0" w:line="240" w:lineRule="auto"/>
              <w:rPr>
                <w:rFonts w:ascii="Calibri" w:eastAsia="Times New Roman" w:hAnsi="Calibri" w:cs="Calibri"/>
                <w:sz w:val="15"/>
                <w:szCs w:val="15"/>
              </w:rPr>
            </w:pPr>
          </w:p>
        </w:tc>
        <w:tc>
          <w:tcPr>
            <w:tcW w:w="1140" w:type="dxa"/>
            <w:vMerge/>
            <w:tcBorders>
              <w:top w:val="nil"/>
              <w:left w:val="single" w:sz="4" w:space="0" w:color="auto"/>
              <w:bottom w:val="single" w:sz="4" w:space="0" w:color="000000"/>
              <w:right w:val="single" w:sz="4" w:space="0" w:color="auto"/>
            </w:tcBorders>
            <w:vAlign w:val="center"/>
            <w:hideMark/>
          </w:tcPr>
          <w:p w14:paraId="446B03FC" w14:textId="77777777" w:rsidR="00663039" w:rsidRPr="00673450" w:rsidRDefault="00663039" w:rsidP="001544A6">
            <w:pPr>
              <w:spacing w:after="0" w:line="240" w:lineRule="auto"/>
              <w:rPr>
                <w:rFonts w:ascii="Calibri" w:eastAsia="Times New Roman" w:hAnsi="Calibri" w:cs="Calibri"/>
                <w:sz w:val="15"/>
                <w:szCs w:val="15"/>
              </w:rPr>
            </w:pPr>
          </w:p>
        </w:tc>
        <w:tc>
          <w:tcPr>
            <w:tcW w:w="1145" w:type="dxa"/>
            <w:vMerge/>
            <w:tcBorders>
              <w:top w:val="nil"/>
              <w:left w:val="single" w:sz="4" w:space="0" w:color="auto"/>
              <w:bottom w:val="single" w:sz="4" w:space="0" w:color="000000"/>
              <w:right w:val="single" w:sz="4" w:space="0" w:color="auto"/>
            </w:tcBorders>
            <w:vAlign w:val="center"/>
            <w:hideMark/>
          </w:tcPr>
          <w:p w14:paraId="5884C159" w14:textId="77777777" w:rsidR="00663039" w:rsidRPr="00673450" w:rsidRDefault="00663039" w:rsidP="001544A6">
            <w:pPr>
              <w:spacing w:after="0" w:line="240" w:lineRule="auto"/>
              <w:rPr>
                <w:rFonts w:ascii="Calibri" w:eastAsia="Times New Roman" w:hAnsi="Calibri" w:cs="Calibri"/>
                <w:sz w:val="15"/>
                <w:szCs w:val="15"/>
              </w:rPr>
            </w:pPr>
          </w:p>
        </w:tc>
        <w:tc>
          <w:tcPr>
            <w:tcW w:w="1322" w:type="dxa"/>
            <w:tcBorders>
              <w:top w:val="nil"/>
              <w:left w:val="nil"/>
              <w:bottom w:val="single" w:sz="4" w:space="0" w:color="auto"/>
              <w:right w:val="single" w:sz="4" w:space="0" w:color="auto"/>
            </w:tcBorders>
            <w:shd w:val="clear" w:color="000000" w:fill="E2EFDA"/>
            <w:vAlign w:val="center"/>
            <w:hideMark/>
          </w:tcPr>
          <w:p w14:paraId="77FA554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vMerge/>
            <w:tcBorders>
              <w:top w:val="nil"/>
              <w:left w:val="single" w:sz="4" w:space="0" w:color="auto"/>
              <w:bottom w:val="single" w:sz="4" w:space="0" w:color="000000"/>
              <w:right w:val="single" w:sz="4" w:space="0" w:color="auto"/>
            </w:tcBorders>
            <w:vAlign w:val="center"/>
            <w:hideMark/>
          </w:tcPr>
          <w:p w14:paraId="59A5D4B0" w14:textId="77777777" w:rsidR="00663039" w:rsidRPr="00673450" w:rsidRDefault="00663039" w:rsidP="001544A6">
            <w:pPr>
              <w:spacing w:after="0" w:line="240" w:lineRule="auto"/>
              <w:rPr>
                <w:rFonts w:ascii="Calibri" w:eastAsia="Times New Roman" w:hAnsi="Calibri" w:cs="Calibri"/>
                <w:sz w:val="15"/>
                <w:szCs w:val="15"/>
              </w:rPr>
            </w:pPr>
          </w:p>
        </w:tc>
        <w:tc>
          <w:tcPr>
            <w:tcW w:w="1077" w:type="dxa"/>
            <w:vMerge/>
            <w:tcBorders>
              <w:top w:val="nil"/>
              <w:left w:val="single" w:sz="4" w:space="0" w:color="auto"/>
              <w:bottom w:val="single" w:sz="4" w:space="0" w:color="000000"/>
              <w:right w:val="single" w:sz="4" w:space="0" w:color="auto"/>
            </w:tcBorders>
            <w:vAlign w:val="center"/>
            <w:hideMark/>
          </w:tcPr>
          <w:p w14:paraId="49DD4CC3" w14:textId="77777777" w:rsidR="00663039" w:rsidRPr="00673450" w:rsidRDefault="00663039" w:rsidP="001544A6">
            <w:pPr>
              <w:spacing w:after="0" w:line="240" w:lineRule="auto"/>
              <w:rPr>
                <w:rFonts w:ascii="Calibri" w:eastAsia="Times New Roman" w:hAnsi="Calibri" w:cs="Calibri"/>
                <w:sz w:val="15"/>
                <w:szCs w:val="15"/>
              </w:rPr>
            </w:pPr>
          </w:p>
        </w:tc>
      </w:tr>
      <w:tr w:rsidR="00663039" w:rsidRPr="00207220" w14:paraId="18279AC9" w14:textId="77777777" w:rsidTr="005B2C66">
        <w:trPr>
          <w:trHeight w:val="19"/>
        </w:trPr>
        <w:tc>
          <w:tcPr>
            <w:tcW w:w="924" w:type="dxa"/>
            <w:vMerge/>
            <w:tcBorders>
              <w:left w:val="single" w:sz="4" w:space="0" w:color="auto"/>
              <w:right w:val="single" w:sz="4" w:space="0" w:color="auto"/>
            </w:tcBorders>
            <w:vAlign w:val="center"/>
            <w:hideMark/>
          </w:tcPr>
          <w:p w14:paraId="4CA1B34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266910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PM_EE26</w:t>
            </w:r>
          </w:p>
        </w:tc>
        <w:tc>
          <w:tcPr>
            <w:tcW w:w="3620" w:type="dxa"/>
            <w:tcBorders>
              <w:top w:val="nil"/>
              <w:left w:val="nil"/>
              <w:bottom w:val="single" w:sz="4" w:space="0" w:color="auto"/>
              <w:right w:val="single" w:sz="4" w:space="0" w:color="auto"/>
            </w:tcBorders>
            <w:shd w:val="clear" w:color="auto" w:fill="auto"/>
            <w:vAlign w:val="center"/>
            <w:hideMark/>
          </w:tcPr>
          <w:p w14:paraId="63D710F6" w14:textId="0F1C72FA"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services and energy performance contracts through targeted financing programs</w:t>
            </w:r>
          </w:p>
        </w:tc>
        <w:tc>
          <w:tcPr>
            <w:tcW w:w="1079" w:type="dxa"/>
            <w:tcBorders>
              <w:top w:val="nil"/>
              <w:left w:val="nil"/>
              <w:bottom w:val="single" w:sz="4" w:space="0" w:color="auto"/>
              <w:right w:val="single" w:sz="4" w:space="0" w:color="auto"/>
            </w:tcBorders>
            <w:shd w:val="clear" w:color="auto" w:fill="auto"/>
            <w:vAlign w:val="center"/>
            <w:hideMark/>
          </w:tcPr>
          <w:p w14:paraId="4CB28F9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793BBF7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042C2A3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2D5D5E6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71FC1D2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6FF7BC7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0E06AE0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314DFE7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4158828F" w14:textId="77777777" w:rsidTr="005B2C66">
        <w:trPr>
          <w:trHeight w:val="19"/>
        </w:trPr>
        <w:tc>
          <w:tcPr>
            <w:tcW w:w="924" w:type="dxa"/>
            <w:vMerge/>
            <w:tcBorders>
              <w:left w:val="single" w:sz="4" w:space="0" w:color="auto"/>
              <w:right w:val="single" w:sz="4" w:space="0" w:color="auto"/>
            </w:tcBorders>
            <w:vAlign w:val="center"/>
            <w:hideMark/>
          </w:tcPr>
          <w:p w14:paraId="4269C10C"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6E1FD3C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PM_EE27</w:t>
            </w:r>
          </w:p>
        </w:tc>
        <w:tc>
          <w:tcPr>
            <w:tcW w:w="3620" w:type="dxa"/>
            <w:tcBorders>
              <w:top w:val="nil"/>
              <w:left w:val="nil"/>
              <w:bottom w:val="single" w:sz="4" w:space="0" w:color="auto"/>
              <w:right w:val="single" w:sz="4" w:space="0" w:color="auto"/>
            </w:tcBorders>
            <w:shd w:val="clear" w:color="auto" w:fill="auto"/>
            <w:vAlign w:val="center"/>
            <w:hideMark/>
          </w:tcPr>
          <w:p w14:paraId="560B909E" w14:textId="517397F8"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services and energy services contracts through supplementary activities</w:t>
            </w:r>
          </w:p>
        </w:tc>
        <w:tc>
          <w:tcPr>
            <w:tcW w:w="1079" w:type="dxa"/>
            <w:tcBorders>
              <w:top w:val="nil"/>
              <w:left w:val="nil"/>
              <w:bottom w:val="single" w:sz="4" w:space="0" w:color="auto"/>
              <w:right w:val="single" w:sz="4" w:space="0" w:color="auto"/>
            </w:tcBorders>
            <w:shd w:val="clear" w:color="auto" w:fill="auto"/>
            <w:vAlign w:val="center"/>
            <w:hideMark/>
          </w:tcPr>
          <w:p w14:paraId="14B7E0D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6D39004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Contribution to PM_EE1-PM_EE2-PM_EE3</w:t>
            </w:r>
          </w:p>
        </w:tc>
        <w:tc>
          <w:tcPr>
            <w:tcW w:w="1227" w:type="dxa"/>
            <w:tcBorders>
              <w:top w:val="nil"/>
              <w:left w:val="nil"/>
              <w:bottom w:val="single" w:sz="4" w:space="0" w:color="auto"/>
              <w:right w:val="single" w:sz="4" w:space="0" w:color="auto"/>
            </w:tcBorders>
            <w:shd w:val="clear" w:color="000000" w:fill="595959"/>
            <w:vAlign w:val="center"/>
            <w:hideMark/>
          </w:tcPr>
          <w:p w14:paraId="3ECC86C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475B31D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1093219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777CE26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0D0601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3A67F61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4C6BA4D6" w14:textId="77777777" w:rsidTr="005B2C66">
        <w:trPr>
          <w:trHeight w:val="19"/>
        </w:trPr>
        <w:tc>
          <w:tcPr>
            <w:tcW w:w="924" w:type="dxa"/>
            <w:vMerge/>
            <w:tcBorders>
              <w:left w:val="single" w:sz="4" w:space="0" w:color="auto"/>
              <w:right w:val="single" w:sz="4" w:space="0" w:color="auto"/>
            </w:tcBorders>
            <w:vAlign w:val="center"/>
            <w:hideMark/>
          </w:tcPr>
          <w:p w14:paraId="7B95763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2FE647F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PM_EE28</w:t>
            </w:r>
          </w:p>
        </w:tc>
        <w:tc>
          <w:tcPr>
            <w:tcW w:w="3620" w:type="dxa"/>
            <w:tcBorders>
              <w:top w:val="nil"/>
              <w:left w:val="nil"/>
              <w:bottom w:val="single" w:sz="4" w:space="0" w:color="auto"/>
              <w:right w:val="single" w:sz="4" w:space="0" w:color="auto"/>
            </w:tcBorders>
            <w:shd w:val="clear" w:color="auto" w:fill="auto"/>
            <w:vAlign w:val="center"/>
            <w:hideMark/>
          </w:tcPr>
          <w:p w14:paraId="3063E35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Mandatory conduction of energy audits and development of energy management systems</w:t>
            </w:r>
          </w:p>
        </w:tc>
        <w:tc>
          <w:tcPr>
            <w:tcW w:w="1079" w:type="dxa"/>
            <w:tcBorders>
              <w:top w:val="nil"/>
              <w:left w:val="nil"/>
              <w:bottom w:val="single" w:sz="4" w:space="0" w:color="auto"/>
              <w:right w:val="single" w:sz="4" w:space="0" w:color="auto"/>
            </w:tcBorders>
            <w:shd w:val="clear" w:color="auto" w:fill="auto"/>
            <w:vAlign w:val="center"/>
            <w:hideMark/>
          </w:tcPr>
          <w:p w14:paraId="0314555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3E19FBC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 – savings under consideration</w:t>
            </w:r>
          </w:p>
        </w:tc>
        <w:tc>
          <w:tcPr>
            <w:tcW w:w="1227" w:type="dxa"/>
            <w:tcBorders>
              <w:top w:val="nil"/>
              <w:left w:val="nil"/>
              <w:bottom w:val="single" w:sz="4" w:space="0" w:color="auto"/>
              <w:right w:val="single" w:sz="4" w:space="0" w:color="auto"/>
            </w:tcBorders>
            <w:shd w:val="clear" w:color="000000" w:fill="595959"/>
            <w:vAlign w:val="center"/>
            <w:hideMark/>
          </w:tcPr>
          <w:p w14:paraId="05DD356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1257543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3B459B1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785C940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12A7D15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4B17001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7CE28305" w14:textId="77777777" w:rsidTr="005B2C66">
        <w:trPr>
          <w:trHeight w:val="19"/>
        </w:trPr>
        <w:tc>
          <w:tcPr>
            <w:tcW w:w="924" w:type="dxa"/>
            <w:vMerge/>
            <w:tcBorders>
              <w:left w:val="single" w:sz="4" w:space="0" w:color="auto"/>
              <w:right w:val="single" w:sz="4" w:space="0" w:color="auto"/>
            </w:tcBorders>
            <w:vAlign w:val="center"/>
            <w:hideMark/>
          </w:tcPr>
          <w:p w14:paraId="589F72D8"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8059EC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PM_EE29</w:t>
            </w:r>
          </w:p>
        </w:tc>
        <w:tc>
          <w:tcPr>
            <w:tcW w:w="3620" w:type="dxa"/>
            <w:tcBorders>
              <w:top w:val="nil"/>
              <w:left w:val="nil"/>
              <w:bottom w:val="single" w:sz="4" w:space="0" w:color="auto"/>
              <w:right w:val="single" w:sz="4" w:space="0" w:color="auto"/>
            </w:tcBorders>
            <w:shd w:val="clear" w:color="auto" w:fill="auto"/>
            <w:vAlign w:val="center"/>
            <w:hideMark/>
          </w:tcPr>
          <w:p w14:paraId="0AA9687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audits in SMEs and in households</w:t>
            </w:r>
          </w:p>
        </w:tc>
        <w:tc>
          <w:tcPr>
            <w:tcW w:w="1079" w:type="dxa"/>
            <w:tcBorders>
              <w:top w:val="nil"/>
              <w:left w:val="nil"/>
              <w:bottom w:val="single" w:sz="4" w:space="0" w:color="auto"/>
              <w:right w:val="single" w:sz="4" w:space="0" w:color="auto"/>
            </w:tcBorders>
            <w:shd w:val="clear" w:color="auto" w:fill="auto"/>
            <w:vAlign w:val="center"/>
            <w:hideMark/>
          </w:tcPr>
          <w:p w14:paraId="2018DF1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auto" w:fill="auto"/>
            <w:vAlign w:val="center"/>
            <w:hideMark/>
          </w:tcPr>
          <w:p w14:paraId="7534457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PM_EE1 and PM_EE3</w:t>
            </w:r>
          </w:p>
        </w:tc>
        <w:tc>
          <w:tcPr>
            <w:tcW w:w="1227" w:type="dxa"/>
            <w:tcBorders>
              <w:top w:val="nil"/>
              <w:left w:val="nil"/>
              <w:bottom w:val="single" w:sz="4" w:space="0" w:color="auto"/>
              <w:right w:val="single" w:sz="4" w:space="0" w:color="auto"/>
            </w:tcBorders>
            <w:shd w:val="clear" w:color="000000" w:fill="595959"/>
            <w:vAlign w:val="center"/>
            <w:hideMark/>
          </w:tcPr>
          <w:p w14:paraId="715A79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36FD43D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2D1F820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2CCBAC2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1C98C9D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2C84C76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71211841" w14:textId="77777777" w:rsidTr="005B2C66">
        <w:trPr>
          <w:trHeight w:val="19"/>
        </w:trPr>
        <w:tc>
          <w:tcPr>
            <w:tcW w:w="924" w:type="dxa"/>
            <w:vMerge/>
            <w:tcBorders>
              <w:left w:val="single" w:sz="4" w:space="0" w:color="auto"/>
              <w:right w:val="single" w:sz="4" w:space="0" w:color="auto"/>
            </w:tcBorders>
            <w:vAlign w:val="center"/>
            <w:hideMark/>
          </w:tcPr>
          <w:p w14:paraId="18C95765"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F2A8BD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PM_EE30</w:t>
            </w:r>
          </w:p>
        </w:tc>
        <w:tc>
          <w:tcPr>
            <w:tcW w:w="3620" w:type="dxa"/>
            <w:tcBorders>
              <w:top w:val="nil"/>
              <w:left w:val="nil"/>
              <w:bottom w:val="single" w:sz="4" w:space="0" w:color="auto"/>
              <w:right w:val="single" w:sz="4" w:space="0" w:color="auto"/>
            </w:tcBorders>
            <w:shd w:val="clear" w:color="000000" w:fill="FFFFFF"/>
            <w:vAlign w:val="center"/>
            <w:hideMark/>
          </w:tcPr>
          <w:p w14:paraId="1E43A24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Financing programs for the energy upgrading of street lighting </w:t>
            </w:r>
          </w:p>
        </w:tc>
        <w:tc>
          <w:tcPr>
            <w:tcW w:w="1079" w:type="dxa"/>
            <w:tcBorders>
              <w:top w:val="nil"/>
              <w:left w:val="nil"/>
              <w:bottom w:val="single" w:sz="4" w:space="0" w:color="auto"/>
              <w:right w:val="single" w:sz="4" w:space="0" w:color="auto"/>
            </w:tcBorders>
            <w:shd w:val="clear" w:color="000000" w:fill="FFFFFF"/>
            <w:vAlign w:val="center"/>
            <w:hideMark/>
          </w:tcPr>
          <w:p w14:paraId="23B467D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000000" w:fill="FFFFFF"/>
            <w:vAlign w:val="center"/>
            <w:hideMark/>
          </w:tcPr>
          <w:p w14:paraId="5B01515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2EFDA"/>
            <w:vAlign w:val="center"/>
            <w:hideMark/>
          </w:tcPr>
          <w:p w14:paraId="5C9B52F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1668.81</w:t>
            </w:r>
          </w:p>
        </w:tc>
        <w:tc>
          <w:tcPr>
            <w:tcW w:w="1140" w:type="dxa"/>
            <w:tcBorders>
              <w:top w:val="nil"/>
              <w:left w:val="nil"/>
              <w:bottom w:val="single" w:sz="4" w:space="0" w:color="auto"/>
              <w:right w:val="single" w:sz="4" w:space="0" w:color="auto"/>
            </w:tcBorders>
            <w:shd w:val="clear" w:color="000000" w:fill="E2EFDA"/>
            <w:vAlign w:val="center"/>
            <w:hideMark/>
          </w:tcPr>
          <w:p w14:paraId="4DC9F8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1668.81</w:t>
            </w:r>
          </w:p>
        </w:tc>
        <w:tc>
          <w:tcPr>
            <w:tcW w:w="1145" w:type="dxa"/>
            <w:tcBorders>
              <w:top w:val="nil"/>
              <w:left w:val="nil"/>
              <w:bottom w:val="single" w:sz="4" w:space="0" w:color="auto"/>
              <w:right w:val="single" w:sz="4" w:space="0" w:color="auto"/>
            </w:tcBorders>
            <w:shd w:val="clear" w:color="000000" w:fill="E2EFDA"/>
            <w:vAlign w:val="center"/>
            <w:hideMark/>
          </w:tcPr>
          <w:p w14:paraId="585EEB2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322" w:type="dxa"/>
            <w:tcBorders>
              <w:top w:val="nil"/>
              <w:left w:val="nil"/>
              <w:bottom w:val="single" w:sz="4" w:space="0" w:color="auto"/>
              <w:right w:val="single" w:sz="4" w:space="0" w:color="auto"/>
            </w:tcBorders>
            <w:shd w:val="clear" w:color="000000" w:fill="E2EFDA"/>
            <w:vAlign w:val="center"/>
            <w:hideMark/>
          </w:tcPr>
          <w:p w14:paraId="4C70B95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E2EFDA"/>
            <w:vAlign w:val="center"/>
            <w:hideMark/>
          </w:tcPr>
          <w:p w14:paraId="1B8448C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1668.81</w:t>
            </w:r>
          </w:p>
        </w:tc>
        <w:tc>
          <w:tcPr>
            <w:tcW w:w="1077" w:type="dxa"/>
            <w:tcBorders>
              <w:top w:val="nil"/>
              <w:left w:val="nil"/>
              <w:bottom w:val="single" w:sz="4" w:space="0" w:color="auto"/>
              <w:right w:val="single" w:sz="4" w:space="0" w:color="auto"/>
            </w:tcBorders>
            <w:shd w:val="clear" w:color="000000" w:fill="E2EFDA"/>
            <w:vAlign w:val="center"/>
            <w:hideMark/>
          </w:tcPr>
          <w:p w14:paraId="3CE9D1C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501FC0D" w14:textId="77777777" w:rsidTr="005B2C66">
        <w:trPr>
          <w:trHeight w:val="19"/>
        </w:trPr>
        <w:tc>
          <w:tcPr>
            <w:tcW w:w="924" w:type="dxa"/>
            <w:vMerge/>
            <w:tcBorders>
              <w:left w:val="single" w:sz="4" w:space="0" w:color="auto"/>
              <w:right w:val="single" w:sz="4" w:space="0" w:color="auto"/>
            </w:tcBorders>
            <w:vAlign w:val="center"/>
            <w:hideMark/>
          </w:tcPr>
          <w:p w14:paraId="1DAC5D77"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88A6EC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PM_EE31</w:t>
            </w:r>
          </w:p>
        </w:tc>
        <w:tc>
          <w:tcPr>
            <w:tcW w:w="3620" w:type="dxa"/>
            <w:tcBorders>
              <w:top w:val="nil"/>
              <w:left w:val="nil"/>
              <w:bottom w:val="single" w:sz="4" w:space="0" w:color="auto"/>
              <w:right w:val="single" w:sz="4" w:space="0" w:color="auto"/>
            </w:tcBorders>
            <w:shd w:val="clear" w:color="auto" w:fill="auto"/>
            <w:vAlign w:val="center"/>
            <w:hideMark/>
          </w:tcPr>
          <w:p w14:paraId="71C8AC3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Conduction of awareness raising activities</w:t>
            </w:r>
          </w:p>
        </w:tc>
        <w:tc>
          <w:tcPr>
            <w:tcW w:w="1079" w:type="dxa"/>
            <w:tcBorders>
              <w:top w:val="nil"/>
              <w:left w:val="nil"/>
              <w:bottom w:val="single" w:sz="4" w:space="0" w:color="auto"/>
              <w:right w:val="single" w:sz="4" w:space="0" w:color="auto"/>
            </w:tcBorders>
            <w:shd w:val="clear" w:color="auto" w:fill="auto"/>
            <w:vAlign w:val="center"/>
            <w:hideMark/>
          </w:tcPr>
          <w:p w14:paraId="3A84D2B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14948AA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2196F54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374CF79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1EC24DC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1F2F2F9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7041EC0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2C08B48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43DE6D05" w14:textId="77777777" w:rsidTr="005B2C66">
        <w:trPr>
          <w:trHeight w:val="19"/>
        </w:trPr>
        <w:tc>
          <w:tcPr>
            <w:tcW w:w="924" w:type="dxa"/>
            <w:vMerge/>
            <w:tcBorders>
              <w:left w:val="single" w:sz="4" w:space="0" w:color="auto"/>
              <w:right w:val="single" w:sz="4" w:space="0" w:color="auto"/>
            </w:tcBorders>
            <w:vAlign w:val="center"/>
            <w:hideMark/>
          </w:tcPr>
          <w:p w14:paraId="182F5F3C"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6C65327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PM_EE32</w:t>
            </w:r>
          </w:p>
        </w:tc>
        <w:tc>
          <w:tcPr>
            <w:tcW w:w="3620" w:type="dxa"/>
            <w:tcBorders>
              <w:top w:val="nil"/>
              <w:left w:val="nil"/>
              <w:bottom w:val="single" w:sz="4" w:space="0" w:color="auto"/>
              <w:right w:val="single" w:sz="4" w:space="0" w:color="auto"/>
            </w:tcBorders>
            <w:shd w:val="clear" w:color="auto" w:fill="auto"/>
            <w:vAlign w:val="center"/>
            <w:hideMark/>
          </w:tcPr>
          <w:p w14:paraId="014E363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energy-efficient products through the implementation of energy labelling and eco-design Directives</w:t>
            </w:r>
          </w:p>
        </w:tc>
        <w:tc>
          <w:tcPr>
            <w:tcW w:w="1079" w:type="dxa"/>
            <w:tcBorders>
              <w:top w:val="nil"/>
              <w:left w:val="nil"/>
              <w:bottom w:val="single" w:sz="4" w:space="0" w:color="auto"/>
              <w:right w:val="single" w:sz="4" w:space="0" w:color="auto"/>
            </w:tcBorders>
            <w:shd w:val="clear" w:color="auto" w:fill="auto"/>
            <w:vAlign w:val="center"/>
            <w:hideMark/>
          </w:tcPr>
          <w:p w14:paraId="3082589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138E2BD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Be integrated into PM_EE1, PM_EE2, PM_EE3, PM_EE10 and measures for industrial sector</w:t>
            </w:r>
          </w:p>
        </w:tc>
        <w:tc>
          <w:tcPr>
            <w:tcW w:w="1227" w:type="dxa"/>
            <w:tcBorders>
              <w:top w:val="nil"/>
              <w:left w:val="nil"/>
              <w:bottom w:val="single" w:sz="4" w:space="0" w:color="auto"/>
              <w:right w:val="single" w:sz="4" w:space="0" w:color="auto"/>
            </w:tcBorders>
            <w:shd w:val="clear" w:color="000000" w:fill="595959"/>
            <w:vAlign w:val="center"/>
            <w:hideMark/>
          </w:tcPr>
          <w:p w14:paraId="5034D44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15C0589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0F142C4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13F4080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13E397C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1D438F5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243E5131" w14:textId="77777777" w:rsidTr="0087794A">
        <w:trPr>
          <w:trHeight w:val="19"/>
        </w:trPr>
        <w:tc>
          <w:tcPr>
            <w:tcW w:w="924" w:type="dxa"/>
            <w:vMerge/>
            <w:tcBorders>
              <w:left w:val="single" w:sz="4" w:space="0" w:color="auto"/>
              <w:right w:val="single" w:sz="4" w:space="0" w:color="auto"/>
            </w:tcBorders>
            <w:vAlign w:val="center"/>
            <w:hideMark/>
          </w:tcPr>
          <w:p w14:paraId="47093B0C"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482B1A3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PM_EE33</w:t>
            </w:r>
          </w:p>
        </w:tc>
        <w:tc>
          <w:tcPr>
            <w:tcW w:w="3620" w:type="dxa"/>
            <w:tcBorders>
              <w:top w:val="nil"/>
              <w:left w:val="nil"/>
              <w:bottom w:val="single" w:sz="4" w:space="0" w:color="auto"/>
              <w:right w:val="single" w:sz="4" w:space="0" w:color="auto"/>
            </w:tcBorders>
            <w:shd w:val="clear" w:color="auto" w:fill="auto"/>
            <w:vAlign w:val="center"/>
            <w:hideMark/>
          </w:tcPr>
          <w:p w14:paraId="3899AE8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green public procurements</w:t>
            </w:r>
          </w:p>
        </w:tc>
        <w:tc>
          <w:tcPr>
            <w:tcW w:w="1079" w:type="dxa"/>
            <w:tcBorders>
              <w:top w:val="nil"/>
              <w:left w:val="nil"/>
              <w:bottom w:val="single" w:sz="4" w:space="0" w:color="auto"/>
              <w:right w:val="single" w:sz="4" w:space="0" w:color="auto"/>
            </w:tcBorders>
            <w:shd w:val="clear" w:color="auto" w:fill="auto"/>
            <w:vAlign w:val="center"/>
            <w:hideMark/>
          </w:tcPr>
          <w:p w14:paraId="7AC98F9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21967B2F" w14:textId="5A99D2F1" w:rsidR="00663039" w:rsidRPr="00673450" w:rsidRDefault="002F7114" w:rsidP="001544A6">
            <w:pPr>
              <w:spacing w:after="0" w:line="240" w:lineRule="auto"/>
              <w:jc w:val="center"/>
              <w:rPr>
                <w:rFonts w:ascii="Calibri" w:eastAsia="Times New Roman" w:hAnsi="Calibri" w:cs="Calibri"/>
                <w:sz w:val="15"/>
                <w:szCs w:val="15"/>
              </w:rPr>
            </w:pPr>
            <w:r w:rsidRPr="002F7114">
              <w:rPr>
                <w:rFonts w:ascii="Calibri" w:hAnsi="Calibri" w:cs="Calibri"/>
                <w:sz w:val="15"/>
                <w:szCs w:val="15"/>
              </w:rPr>
              <w:t>Be integrated into PM_EE2, PM_EE4, PM_EE5, PM_EE6, PM_EE7, PM_EE12, PM_EE14 and PM_EE18</w:t>
            </w:r>
          </w:p>
        </w:tc>
        <w:tc>
          <w:tcPr>
            <w:tcW w:w="1227" w:type="dxa"/>
            <w:tcBorders>
              <w:top w:val="nil"/>
              <w:left w:val="nil"/>
              <w:bottom w:val="single" w:sz="4" w:space="0" w:color="auto"/>
              <w:right w:val="single" w:sz="4" w:space="0" w:color="auto"/>
            </w:tcBorders>
            <w:shd w:val="clear" w:color="000000" w:fill="595959"/>
            <w:vAlign w:val="center"/>
            <w:hideMark/>
          </w:tcPr>
          <w:p w14:paraId="2500802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1F406BD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05753E7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7DEA39A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1DB21D5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551BBD69"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69E31AFF" w14:textId="77777777" w:rsidTr="0087794A">
        <w:trPr>
          <w:trHeight w:val="19"/>
        </w:trPr>
        <w:tc>
          <w:tcPr>
            <w:tcW w:w="924" w:type="dxa"/>
            <w:vMerge/>
            <w:tcBorders>
              <w:left w:val="single" w:sz="4" w:space="0" w:color="auto"/>
              <w:right w:val="single" w:sz="4" w:space="0" w:color="auto"/>
            </w:tcBorders>
            <w:vAlign w:val="center"/>
            <w:hideMark/>
          </w:tcPr>
          <w:p w14:paraId="05BD9BCC"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560E902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PM_EE34</w:t>
            </w:r>
          </w:p>
        </w:tc>
        <w:tc>
          <w:tcPr>
            <w:tcW w:w="3620" w:type="dxa"/>
            <w:tcBorders>
              <w:top w:val="nil"/>
              <w:left w:val="nil"/>
              <w:bottom w:val="single" w:sz="4" w:space="0" w:color="auto"/>
              <w:right w:val="single" w:sz="4" w:space="0" w:color="auto"/>
            </w:tcBorders>
            <w:shd w:val="clear" w:color="auto" w:fill="auto"/>
            <w:vAlign w:val="center"/>
            <w:hideMark/>
          </w:tcPr>
          <w:p w14:paraId="07BD77C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Regulatory measures and financing programs for promoting/modernizing high efficient CHP units and district heating/cooling networks</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0AA98D1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6D692"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22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6B2546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35.00</w:t>
            </w:r>
          </w:p>
        </w:tc>
        <w:tc>
          <w:tcPr>
            <w:tcW w:w="1140" w:type="dxa"/>
            <w:tcBorders>
              <w:top w:val="nil"/>
              <w:left w:val="nil"/>
              <w:bottom w:val="single" w:sz="4" w:space="0" w:color="auto"/>
              <w:right w:val="single" w:sz="4" w:space="0" w:color="auto"/>
            </w:tcBorders>
            <w:shd w:val="clear" w:color="000000" w:fill="ED7D31"/>
            <w:vAlign w:val="center"/>
            <w:hideMark/>
          </w:tcPr>
          <w:p w14:paraId="225C406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17.50</w:t>
            </w:r>
          </w:p>
        </w:tc>
        <w:tc>
          <w:tcPr>
            <w:tcW w:w="1145" w:type="dxa"/>
            <w:tcBorders>
              <w:top w:val="nil"/>
              <w:left w:val="nil"/>
              <w:bottom w:val="single" w:sz="4" w:space="0" w:color="auto"/>
              <w:right w:val="single" w:sz="4" w:space="0" w:color="auto"/>
            </w:tcBorders>
            <w:shd w:val="clear" w:color="000000" w:fill="ED7D31"/>
            <w:vAlign w:val="center"/>
            <w:hideMark/>
          </w:tcPr>
          <w:p w14:paraId="481F21C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17.50</w:t>
            </w:r>
          </w:p>
        </w:tc>
        <w:tc>
          <w:tcPr>
            <w:tcW w:w="1322" w:type="dxa"/>
            <w:tcBorders>
              <w:top w:val="nil"/>
              <w:left w:val="nil"/>
              <w:bottom w:val="single" w:sz="4" w:space="0" w:color="auto"/>
              <w:right w:val="single" w:sz="4" w:space="0" w:color="auto"/>
            </w:tcBorders>
            <w:shd w:val="clear" w:color="000000" w:fill="E2EFDA"/>
            <w:vAlign w:val="center"/>
            <w:hideMark/>
          </w:tcPr>
          <w:p w14:paraId="6D5FCD3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E2EFDA"/>
            <w:vAlign w:val="center"/>
            <w:hideMark/>
          </w:tcPr>
          <w:p w14:paraId="0F51D0B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35.00</w:t>
            </w:r>
          </w:p>
        </w:tc>
        <w:tc>
          <w:tcPr>
            <w:tcW w:w="1077" w:type="dxa"/>
            <w:tcBorders>
              <w:top w:val="nil"/>
              <w:left w:val="nil"/>
              <w:bottom w:val="single" w:sz="4" w:space="0" w:color="auto"/>
              <w:right w:val="single" w:sz="4" w:space="0" w:color="auto"/>
            </w:tcBorders>
            <w:shd w:val="clear" w:color="000000" w:fill="E2EFDA"/>
            <w:vAlign w:val="center"/>
            <w:hideMark/>
          </w:tcPr>
          <w:p w14:paraId="50BFD1D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138EBB2" w14:textId="77777777" w:rsidTr="0087794A">
        <w:trPr>
          <w:trHeight w:val="19"/>
        </w:trPr>
        <w:tc>
          <w:tcPr>
            <w:tcW w:w="924" w:type="dxa"/>
            <w:vMerge/>
            <w:tcBorders>
              <w:left w:val="single" w:sz="4" w:space="0" w:color="auto"/>
              <w:right w:val="single" w:sz="4" w:space="0" w:color="auto"/>
            </w:tcBorders>
            <w:vAlign w:val="center"/>
            <w:hideMark/>
          </w:tcPr>
          <w:p w14:paraId="488F9150"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46C67A6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PM_EE35</w:t>
            </w:r>
          </w:p>
        </w:tc>
        <w:tc>
          <w:tcPr>
            <w:tcW w:w="3620" w:type="dxa"/>
            <w:tcBorders>
              <w:top w:val="nil"/>
              <w:left w:val="nil"/>
              <w:bottom w:val="single" w:sz="4" w:space="0" w:color="auto"/>
              <w:right w:val="single" w:sz="4" w:space="0" w:color="auto"/>
            </w:tcBorders>
            <w:shd w:val="clear" w:color="auto" w:fill="auto"/>
            <w:vAlign w:val="center"/>
            <w:hideMark/>
          </w:tcPr>
          <w:p w14:paraId="4751F70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Improvement and further development of a scheme for the qualification, accreditation and certification of energy efficiency professionals</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2E7E202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37A37D5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 – under consideration</w:t>
            </w:r>
          </w:p>
        </w:tc>
        <w:tc>
          <w:tcPr>
            <w:tcW w:w="1227" w:type="dxa"/>
            <w:tcBorders>
              <w:top w:val="single" w:sz="4" w:space="0" w:color="auto"/>
              <w:left w:val="nil"/>
              <w:bottom w:val="single" w:sz="4" w:space="0" w:color="auto"/>
              <w:right w:val="single" w:sz="4" w:space="0" w:color="auto"/>
            </w:tcBorders>
            <w:shd w:val="clear" w:color="000000" w:fill="595959"/>
            <w:vAlign w:val="center"/>
            <w:hideMark/>
          </w:tcPr>
          <w:p w14:paraId="160D176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0F4884B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6C19463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20A67F2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2E67A07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588353F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03A19937" w14:textId="77777777" w:rsidTr="005B2C66">
        <w:trPr>
          <w:trHeight w:val="19"/>
        </w:trPr>
        <w:tc>
          <w:tcPr>
            <w:tcW w:w="924" w:type="dxa"/>
            <w:vMerge/>
            <w:tcBorders>
              <w:left w:val="single" w:sz="4" w:space="0" w:color="auto"/>
              <w:right w:val="single" w:sz="4" w:space="0" w:color="auto"/>
            </w:tcBorders>
            <w:vAlign w:val="center"/>
            <w:hideMark/>
          </w:tcPr>
          <w:p w14:paraId="3FB6D1A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639599C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PM_EE36</w:t>
            </w:r>
          </w:p>
        </w:tc>
        <w:tc>
          <w:tcPr>
            <w:tcW w:w="3620" w:type="dxa"/>
            <w:tcBorders>
              <w:top w:val="nil"/>
              <w:left w:val="nil"/>
              <w:bottom w:val="single" w:sz="4" w:space="0" w:color="auto"/>
              <w:right w:val="single" w:sz="4" w:space="0" w:color="auto"/>
            </w:tcBorders>
            <w:shd w:val="clear" w:color="auto" w:fill="auto"/>
            <w:vAlign w:val="center"/>
            <w:hideMark/>
          </w:tcPr>
          <w:p w14:paraId="7D3A5F2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energy efficiency in water supply, distribution and consumption</w:t>
            </w:r>
          </w:p>
        </w:tc>
        <w:tc>
          <w:tcPr>
            <w:tcW w:w="1079" w:type="dxa"/>
            <w:tcBorders>
              <w:top w:val="nil"/>
              <w:left w:val="nil"/>
              <w:bottom w:val="single" w:sz="4" w:space="0" w:color="auto"/>
              <w:right w:val="single" w:sz="4" w:space="0" w:color="auto"/>
            </w:tcBorders>
            <w:shd w:val="clear" w:color="auto" w:fill="auto"/>
            <w:vAlign w:val="center"/>
            <w:hideMark/>
          </w:tcPr>
          <w:p w14:paraId="4360796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nil"/>
              <w:right w:val="nil"/>
            </w:tcBorders>
            <w:shd w:val="clear" w:color="auto" w:fill="auto"/>
            <w:noWrap/>
            <w:vAlign w:val="bottom"/>
            <w:hideMark/>
          </w:tcPr>
          <w:p w14:paraId="671DA34E"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227" w:type="dxa"/>
            <w:tcBorders>
              <w:top w:val="nil"/>
              <w:left w:val="nil"/>
              <w:bottom w:val="single" w:sz="4" w:space="0" w:color="auto"/>
              <w:right w:val="single" w:sz="4" w:space="0" w:color="auto"/>
            </w:tcBorders>
            <w:shd w:val="clear" w:color="000000" w:fill="ED7D31"/>
            <w:vAlign w:val="center"/>
            <w:hideMark/>
          </w:tcPr>
          <w:p w14:paraId="770EC71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1140" w:type="dxa"/>
            <w:tcBorders>
              <w:top w:val="nil"/>
              <w:left w:val="nil"/>
              <w:bottom w:val="single" w:sz="4" w:space="0" w:color="auto"/>
              <w:right w:val="single" w:sz="4" w:space="0" w:color="auto"/>
            </w:tcBorders>
            <w:shd w:val="clear" w:color="000000" w:fill="ED7D31"/>
            <w:vAlign w:val="center"/>
            <w:hideMark/>
          </w:tcPr>
          <w:p w14:paraId="0CF8C2C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ED7D31"/>
            <w:vAlign w:val="center"/>
            <w:hideMark/>
          </w:tcPr>
          <w:p w14:paraId="3E561FA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0908C95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auto" w:fill="ED7D31" w:themeFill="accent2"/>
            <w:vAlign w:val="center"/>
          </w:tcPr>
          <w:p w14:paraId="3121FF7B"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077" w:type="dxa"/>
            <w:tcBorders>
              <w:top w:val="nil"/>
              <w:left w:val="nil"/>
              <w:bottom w:val="single" w:sz="4" w:space="0" w:color="auto"/>
              <w:right w:val="single" w:sz="4" w:space="0" w:color="auto"/>
            </w:tcBorders>
            <w:shd w:val="clear" w:color="auto" w:fill="ED7D31" w:themeFill="accent2"/>
            <w:vAlign w:val="center"/>
          </w:tcPr>
          <w:p w14:paraId="0052CD7B" w14:textId="77777777" w:rsidR="00663039" w:rsidRPr="00673450" w:rsidRDefault="00663039" w:rsidP="001544A6">
            <w:pPr>
              <w:spacing w:after="0" w:line="240" w:lineRule="auto"/>
              <w:jc w:val="center"/>
              <w:rPr>
                <w:rFonts w:ascii="Calibri" w:eastAsia="Times New Roman" w:hAnsi="Calibri" w:cs="Calibri"/>
                <w:sz w:val="15"/>
                <w:szCs w:val="15"/>
              </w:rPr>
            </w:pPr>
          </w:p>
        </w:tc>
      </w:tr>
      <w:tr w:rsidR="00663039" w:rsidRPr="00207220" w14:paraId="583FA6AE" w14:textId="77777777" w:rsidTr="005B2C66">
        <w:trPr>
          <w:trHeight w:val="19"/>
        </w:trPr>
        <w:tc>
          <w:tcPr>
            <w:tcW w:w="924" w:type="dxa"/>
            <w:vMerge/>
            <w:tcBorders>
              <w:left w:val="single" w:sz="4" w:space="0" w:color="auto"/>
              <w:right w:val="single" w:sz="4" w:space="0" w:color="auto"/>
            </w:tcBorders>
            <w:vAlign w:val="center"/>
            <w:hideMark/>
          </w:tcPr>
          <w:p w14:paraId="697F88EE"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5CB4F24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PM_EE37</w:t>
            </w:r>
          </w:p>
        </w:tc>
        <w:tc>
          <w:tcPr>
            <w:tcW w:w="3620" w:type="dxa"/>
            <w:tcBorders>
              <w:top w:val="nil"/>
              <w:left w:val="nil"/>
              <w:bottom w:val="single" w:sz="4" w:space="0" w:color="auto"/>
              <w:right w:val="single" w:sz="4" w:space="0" w:color="auto"/>
            </w:tcBorders>
            <w:shd w:val="clear" w:color="auto" w:fill="auto"/>
            <w:vAlign w:val="center"/>
            <w:hideMark/>
          </w:tcPr>
          <w:p w14:paraId="24BF835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Strengthening the technical and administrative capacity of the involved policy makers</w:t>
            </w:r>
          </w:p>
        </w:tc>
        <w:tc>
          <w:tcPr>
            <w:tcW w:w="1079" w:type="dxa"/>
            <w:tcBorders>
              <w:top w:val="nil"/>
              <w:left w:val="nil"/>
              <w:bottom w:val="single" w:sz="4" w:space="0" w:color="auto"/>
              <w:right w:val="single" w:sz="4" w:space="0" w:color="auto"/>
            </w:tcBorders>
            <w:shd w:val="clear" w:color="auto" w:fill="auto"/>
            <w:vAlign w:val="center"/>
            <w:hideMark/>
          </w:tcPr>
          <w:p w14:paraId="621F13A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D42909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5DB2BCC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2D015E7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2892915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19DF803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2E46993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6571C28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65227431" w14:textId="77777777" w:rsidTr="005B2C66">
        <w:trPr>
          <w:trHeight w:val="19"/>
        </w:trPr>
        <w:tc>
          <w:tcPr>
            <w:tcW w:w="924" w:type="dxa"/>
            <w:vMerge/>
            <w:tcBorders>
              <w:left w:val="single" w:sz="4" w:space="0" w:color="auto"/>
              <w:right w:val="single" w:sz="4" w:space="0" w:color="auto"/>
            </w:tcBorders>
            <w:vAlign w:val="center"/>
            <w:hideMark/>
          </w:tcPr>
          <w:p w14:paraId="1CEA368F"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603BBB2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PM_EE38</w:t>
            </w:r>
          </w:p>
        </w:tc>
        <w:tc>
          <w:tcPr>
            <w:tcW w:w="3620" w:type="dxa"/>
            <w:tcBorders>
              <w:top w:val="nil"/>
              <w:left w:val="nil"/>
              <w:bottom w:val="single" w:sz="4" w:space="0" w:color="auto"/>
              <w:right w:val="single" w:sz="4" w:space="0" w:color="auto"/>
            </w:tcBorders>
            <w:shd w:val="clear" w:color="auto" w:fill="auto"/>
            <w:vAlign w:val="center"/>
            <w:hideMark/>
          </w:tcPr>
          <w:p w14:paraId="6E87B1A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sustainable and innovative financing of energy efficiency projects</w:t>
            </w:r>
          </w:p>
        </w:tc>
        <w:tc>
          <w:tcPr>
            <w:tcW w:w="1079" w:type="dxa"/>
            <w:tcBorders>
              <w:top w:val="nil"/>
              <w:left w:val="nil"/>
              <w:bottom w:val="single" w:sz="4" w:space="0" w:color="auto"/>
              <w:right w:val="single" w:sz="4" w:space="0" w:color="auto"/>
            </w:tcBorders>
            <w:shd w:val="clear" w:color="auto" w:fill="auto"/>
            <w:vAlign w:val="center"/>
            <w:hideMark/>
          </w:tcPr>
          <w:p w14:paraId="66B6BEB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0BBE452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1D707DA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7F91533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0533811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23EC03B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4" w:space="0" w:color="auto"/>
              <w:right w:val="single" w:sz="4" w:space="0" w:color="auto"/>
            </w:tcBorders>
            <w:shd w:val="clear" w:color="000000" w:fill="595959"/>
            <w:vAlign w:val="center"/>
            <w:hideMark/>
          </w:tcPr>
          <w:p w14:paraId="3057F58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3971FDC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55ABFB5" w14:textId="77777777" w:rsidTr="005B2C66">
        <w:trPr>
          <w:trHeight w:val="19"/>
        </w:trPr>
        <w:tc>
          <w:tcPr>
            <w:tcW w:w="924" w:type="dxa"/>
            <w:vMerge/>
            <w:tcBorders>
              <w:left w:val="single" w:sz="4" w:space="0" w:color="auto"/>
              <w:right w:val="single" w:sz="4" w:space="0" w:color="auto"/>
            </w:tcBorders>
            <w:vAlign w:val="center"/>
            <w:hideMark/>
          </w:tcPr>
          <w:p w14:paraId="75D06A04"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5780231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PM_EE39</w:t>
            </w:r>
          </w:p>
        </w:tc>
        <w:tc>
          <w:tcPr>
            <w:tcW w:w="3620" w:type="dxa"/>
            <w:tcBorders>
              <w:top w:val="nil"/>
              <w:left w:val="nil"/>
              <w:bottom w:val="single" w:sz="4" w:space="0" w:color="auto"/>
              <w:right w:val="single" w:sz="4" w:space="0" w:color="auto"/>
            </w:tcBorders>
            <w:shd w:val="clear" w:color="auto" w:fill="auto"/>
            <w:vAlign w:val="center"/>
            <w:hideMark/>
          </w:tcPr>
          <w:p w14:paraId="69CE610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Improve the bankability of energy efficiency projects</w:t>
            </w:r>
          </w:p>
        </w:tc>
        <w:tc>
          <w:tcPr>
            <w:tcW w:w="1079" w:type="dxa"/>
            <w:tcBorders>
              <w:top w:val="nil"/>
              <w:left w:val="nil"/>
              <w:bottom w:val="single" w:sz="4" w:space="0" w:color="auto"/>
              <w:right w:val="single" w:sz="4" w:space="0" w:color="auto"/>
            </w:tcBorders>
            <w:shd w:val="clear" w:color="auto" w:fill="auto"/>
            <w:vAlign w:val="center"/>
            <w:hideMark/>
          </w:tcPr>
          <w:p w14:paraId="2D6DFEB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4" w:space="0" w:color="auto"/>
              <w:right w:val="single" w:sz="4" w:space="0" w:color="auto"/>
            </w:tcBorders>
            <w:shd w:val="clear" w:color="auto" w:fill="auto"/>
            <w:vAlign w:val="center"/>
            <w:hideMark/>
          </w:tcPr>
          <w:p w14:paraId="6FD0DDB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3AD764C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74427E0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35E910C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4934AA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046BE0A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3996482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E00F831" w14:textId="77777777" w:rsidTr="005B2C66">
        <w:trPr>
          <w:trHeight w:val="19"/>
        </w:trPr>
        <w:tc>
          <w:tcPr>
            <w:tcW w:w="924" w:type="dxa"/>
            <w:vMerge/>
            <w:tcBorders>
              <w:left w:val="single" w:sz="4" w:space="0" w:color="auto"/>
              <w:right w:val="single" w:sz="4" w:space="0" w:color="auto"/>
            </w:tcBorders>
            <w:vAlign w:val="center"/>
            <w:hideMark/>
          </w:tcPr>
          <w:p w14:paraId="15795DCB"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6C1002D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PM_EE40</w:t>
            </w:r>
          </w:p>
        </w:tc>
        <w:tc>
          <w:tcPr>
            <w:tcW w:w="3620" w:type="dxa"/>
            <w:tcBorders>
              <w:top w:val="nil"/>
              <w:left w:val="nil"/>
              <w:bottom w:val="single" w:sz="4" w:space="0" w:color="auto"/>
              <w:right w:val="single" w:sz="4" w:space="0" w:color="auto"/>
            </w:tcBorders>
            <w:shd w:val="clear" w:color="auto" w:fill="auto"/>
            <w:vAlign w:val="center"/>
            <w:hideMark/>
          </w:tcPr>
          <w:p w14:paraId="3D49167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Deployment of smart meters (synergies with energy market dimension)</w:t>
            </w:r>
          </w:p>
        </w:tc>
        <w:tc>
          <w:tcPr>
            <w:tcW w:w="1079" w:type="dxa"/>
            <w:tcBorders>
              <w:top w:val="nil"/>
              <w:left w:val="nil"/>
              <w:bottom w:val="single" w:sz="4" w:space="0" w:color="auto"/>
              <w:right w:val="single" w:sz="4" w:space="0" w:color="auto"/>
            </w:tcBorders>
            <w:shd w:val="clear" w:color="auto" w:fill="auto"/>
            <w:vAlign w:val="center"/>
            <w:hideMark/>
          </w:tcPr>
          <w:p w14:paraId="37EFCDE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4" w:space="0" w:color="auto"/>
              <w:right w:val="single" w:sz="4" w:space="0" w:color="auto"/>
            </w:tcBorders>
            <w:shd w:val="clear" w:color="auto" w:fill="auto"/>
            <w:vAlign w:val="center"/>
            <w:hideMark/>
          </w:tcPr>
          <w:p w14:paraId="05BA649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5AB0E61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4" w:space="0" w:color="auto"/>
              <w:right w:val="single" w:sz="4" w:space="0" w:color="auto"/>
            </w:tcBorders>
            <w:shd w:val="clear" w:color="000000" w:fill="595959"/>
            <w:vAlign w:val="center"/>
            <w:hideMark/>
          </w:tcPr>
          <w:p w14:paraId="4F78E5C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6C13540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3C8ADFB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36B452A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3ED3CA3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08BA945E" w14:textId="77777777" w:rsidTr="005B2C66">
        <w:trPr>
          <w:trHeight w:val="19"/>
        </w:trPr>
        <w:tc>
          <w:tcPr>
            <w:tcW w:w="924" w:type="dxa"/>
            <w:vMerge/>
            <w:tcBorders>
              <w:left w:val="single" w:sz="4" w:space="0" w:color="auto"/>
              <w:right w:val="single" w:sz="4" w:space="0" w:color="auto"/>
            </w:tcBorders>
            <w:vAlign w:val="center"/>
            <w:hideMark/>
          </w:tcPr>
          <w:p w14:paraId="663E5EB1"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01C3A5E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PM_EE41</w:t>
            </w:r>
          </w:p>
        </w:tc>
        <w:tc>
          <w:tcPr>
            <w:tcW w:w="3620" w:type="dxa"/>
            <w:tcBorders>
              <w:top w:val="nil"/>
              <w:left w:val="nil"/>
              <w:bottom w:val="single" w:sz="4" w:space="0" w:color="auto"/>
              <w:right w:val="single" w:sz="4" w:space="0" w:color="auto"/>
            </w:tcBorders>
            <w:shd w:val="clear" w:color="auto" w:fill="auto"/>
            <w:vAlign w:val="center"/>
            <w:hideMark/>
          </w:tcPr>
          <w:p w14:paraId="49C0ADE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smart and carbon neutral cities</w:t>
            </w:r>
          </w:p>
        </w:tc>
        <w:tc>
          <w:tcPr>
            <w:tcW w:w="1079" w:type="dxa"/>
            <w:tcBorders>
              <w:top w:val="nil"/>
              <w:left w:val="nil"/>
              <w:bottom w:val="single" w:sz="4" w:space="0" w:color="auto"/>
              <w:right w:val="single" w:sz="4" w:space="0" w:color="auto"/>
            </w:tcBorders>
            <w:shd w:val="clear" w:color="auto" w:fill="auto"/>
            <w:vAlign w:val="center"/>
            <w:hideMark/>
          </w:tcPr>
          <w:p w14:paraId="7FDCD4C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1072" w:type="dxa"/>
            <w:tcBorders>
              <w:top w:val="nil"/>
              <w:left w:val="nil"/>
              <w:bottom w:val="single" w:sz="2" w:space="0" w:color="auto"/>
              <w:right w:val="single" w:sz="4" w:space="0" w:color="auto"/>
            </w:tcBorders>
            <w:shd w:val="clear" w:color="auto" w:fill="auto"/>
            <w:vAlign w:val="center"/>
            <w:hideMark/>
          </w:tcPr>
          <w:p w14:paraId="55DBE74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Budget incorporated </w:t>
            </w:r>
            <w:r w:rsidRPr="00673450">
              <w:rPr>
                <w:rFonts w:ascii="Calibri" w:hAnsi="Calibri" w:cs="Calibri"/>
                <w:sz w:val="15"/>
                <w:szCs w:val="15"/>
              </w:rPr>
              <w:lastRenderedPageBreak/>
              <w:t>into all end-use measures</w:t>
            </w:r>
          </w:p>
        </w:tc>
        <w:tc>
          <w:tcPr>
            <w:tcW w:w="1227" w:type="dxa"/>
            <w:tcBorders>
              <w:top w:val="nil"/>
              <w:left w:val="nil"/>
              <w:bottom w:val="single" w:sz="4" w:space="0" w:color="auto"/>
              <w:right w:val="single" w:sz="4" w:space="0" w:color="auto"/>
            </w:tcBorders>
            <w:shd w:val="clear" w:color="000000" w:fill="595959"/>
            <w:vAlign w:val="center"/>
            <w:hideMark/>
          </w:tcPr>
          <w:p w14:paraId="70447A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lastRenderedPageBreak/>
              <w:t> </w:t>
            </w:r>
          </w:p>
        </w:tc>
        <w:tc>
          <w:tcPr>
            <w:tcW w:w="1140" w:type="dxa"/>
            <w:tcBorders>
              <w:top w:val="nil"/>
              <w:left w:val="nil"/>
              <w:bottom w:val="single" w:sz="4" w:space="0" w:color="auto"/>
              <w:right w:val="single" w:sz="4" w:space="0" w:color="auto"/>
            </w:tcBorders>
            <w:shd w:val="clear" w:color="000000" w:fill="595959"/>
            <w:vAlign w:val="center"/>
            <w:hideMark/>
          </w:tcPr>
          <w:p w14:paraId="0E2C40F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595959"/>
            <w:noWrap/>
            <w:vAlign w:val="bottom"/>
            <w:hideMark/>
          </w:tcPr>
          <w:p w14:paraId="52C53B8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738A07F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4" w:space="0" w:color="auto"/>
              <w:right w:val="single" w:sz="4" w:space="0" w:color="auto"/>
            </w:tcBorders>
            <w:shd w:val="clear" w:color="000000" w:fill="595959"/>
            <w:vAlign w:val="center"/>
            <w:hideMark/>
          </w:tcPr>
          <w:p w14:paraId="116102C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4" w:space="0" w:color="auto"/>
              <w:right w:val="single" w:sz="4" w:space="0" w:color="auto"/>
            </w:tcBorders>
            <w:shd w:val="clear" w:color="000000" w:fill="595959"/>
            <w:noWrap/>
            <w:vAlign w:val="bottom"/>
            <w:hideMark/>
          </w:tcPr>
          <w:p w14:paraId="51B430A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71700A32" w14:textId="77777777" w:rsidTr="005B2C66">
        <w:trPr>
          <w:trHeight w:val="19"/>
        </w:trPr>
        <w:tc>
          <w:tcPr>
            <w:tcW w:w="924" w:type="dxa"/>
            <w:vMerge/>
            <w:tcBorders>
              <w:left w:val="single" w:sz="4" w:space="0" w:color="auto"/>
              <w:right w:val="single" w:sz="4" w:space="0" w:color="auto"/>
            </w:tcBorders>
            <w:vAlign w:val="center"/>
            <w:hideMark/>
          </w:tcPr>
          <w:p w14:paraId="78DA81A2"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71AC197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PM_EE42</w:t>
            </w:r>
          </w:p>
        </w:tc>
        <w:tc>
          <w:tcPr>
            <w:tcW w:w="3620" w:type="dxa"/>
            <w:tcBorders>
              <w:top w:val="nil"/>
              <w:left w:val="nil"/>
              <w:bottom w:val="single" w:sz="4" w:space="0" w:color="auto"/>
              <w:right w:val="single" w:sz="4" w:space="0" w:color="auto"/>
            </w:tcBorders>
            <w:shd w:val="clear" w:color="auto" w:fill="auto"/>
            <w:vAlign w:val="center"/>
            <w:hideMark/>
          </w:tcPr>
          <w:p w14:paraId="725AB12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measures for improving energy efficiency in electricity infrastructure</w:t>
            </w:r>
          </w:p>
        </w:tc>
        <w:tc>
          <w:tcPr>
            <w:tcW w:w="1079" w:type="dxa"/>
            <w:tcBorders>
              <w:top w:val="nil"/>
              <w:left w:val="nil"/>
              <w:bottom w:val="single" w:sz="4" w:space="0" w:color="auto"/>
              <w:right w:val="single" w:sz="2" w:space="0" w:color="auto"/>
            </w:tcBorders>
            <w:shd w:val="clear" w:color="auto" w:fill="auto"/>
            <w:vAlign w:val="center"/>
            <w:hideMark/>
          </w:tcPr>
          <w:p w14:paraId="1C4A9F1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5C66702"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227" w:type="dxa"/>
            <w:tcBorders>
              <w:top w:val="nil"/>
              <w:left w:val="single" w:sz="2" w:space="0" w:color="auto"/>
              <w:bottom w:val="single" w:sz="4" w:space="0" w:color="auto"/>
              <w:right w:val="single" w:sz="4" w:space="0" w:color="auto"/>
            </w:tcBorders>
            <w:shd w:val="clear" w:color="000000" w:fill="ED7D31"/>
            <w:vAlign w:val="center"/>
            <w:hideMark/>
          </w:tcPr>
          <w:p w14:paraId="576AAB4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1140" w:type="dxa"/>
            <w:tcBorders>
              <w:top w:val="nil"/>
              <w:left w:val="nil"/>
              <w:bottom w:val="single" w:sz="4" w:space="0" w:color="auto"/>
              <w:right w:val="single" w:sz="4" w:space="0" w:color="auto"/>
            </w:tcBorders>
            <w:shd w:val="clear" w:color="000000" w:fill="ED7D31"/>
            <w:vAlign w:val="center"/>
            <w:hideMark/>
          </w:tcPr>
          <w:p w14:paraId="32392D2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ED7D31"/>
            <w:vAlign w:val="center"/>
            <w:hideMark/>
          </w:tcPr>
          <w:p w14:paraId="568584F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5B4AA4C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D7D31"/>
            <w:vAlign w:val="center"/>
            <w:hideMark/>
          </w:tcPr>
          <w:p w14:paraId="599FAD0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tcBorders>
              <w:top w:val="nil"/>
              <w:left w:val="nil"/>
              <w:bottom w:val="single" w:sz="4" w:space="0" w:color="auto"/>
              <w:right w:val="single" w:sz="4" w:space="0" w:color="auto"/>
            </w:tcBorders>
            <w:shd w:val="clear" w:color="000000" w:fill="ED7D31"/>
            <w:vAlign w:val="center"/>
            <w:hideMark/>
          </w:tcPr>
          <w:p w14:paraId="5DBE87E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6AC61A4" w14:textId="77777777" w:rsidTr="005B2C66">
        <w:trPr>
          <w:trHeight w:val="19"/>
        </w:trPr>
        <w:tc>
          <w:tcPr>
            <w:tcW w:w="924" w:type="dxa"/>
            <w:vMerge/>
            <w:tcBorders>
              <w:left w:val="single" w:sz="4" w:space="0" w:color="auto"/>
              <w:right w:val="single" w:sz="4" w:space="0" w:color="auto"/>
            </w:tcBorders>
            <w:vAlign w:val="center"/>
            <w:hideMark/>
          </w:tcPr>
          <w:p w14:paraId="72440E3B"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4" w:space="0" w:color="auto"/>
              <w:right w:val="single" w:sz="4" w:space="0" w:color="auto"/>
            </w:tcBorders>
            <w:shd w:val="clear" w:color="auto" w:fill="auto"/>
            <w:vAlign w:val="center"/>
            <w:hideMark/>
          </w:tcPr>
          <w:p w14:paraId="37E2E73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PM_EE43</w:t>
            </w:r>
          </w:p>
        </w:tc>
        <w:tc>
          <w:tcPr>
            <w:tcW w:w="3620" w:type="dxa"/>
            <w:tcBorders>
              <w:top w:val="nil"/>
              <w:left w:val="nil"/>
              <w:bottom w:val="single" w:sz="4" w:space="0" w:color="auto"/>
              <w:right w:val="single" w:sz="4" w:space="0" w:color="auto"/>
            </w:tcBorders>
            <w:shd w:val="clear" w:color="auto" w:fill="auto"/>
            <w:vAlign w:val="center"/>
            <w:hideMark/>
          </w:tcPr>
          <w:p w14:paraId="16CC231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measures for improving energy efficiency in natural gas infrastructure</w:t>
            </w:r>
          </w:p>
        </w:tc>
        <w:tc>
          <w:tcPr>
            <w:tcW w:w="1079" w:type="dxa"/>
            <w:tcBorders>
              <w:top w:val="nil"/>
              <w:left w:val="nil"/>
              <w:bottom w:val="single" w:sz="4" w:space="0" w:color="auto"/>
              <w:right w:val="single" w:sz="4" w:space="0" w:color="auto"/>
            </w:tcBorders>
            <w:shd w:val="clear" w:color="auto" w:fill="auto"/>
            <w:vAlign w:val="center"/>
            <w:hideMark/>
          </w:tcPr>
          <w:p w14:paraId="306AC62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single" w:sz="2" w:space="0" w:color="auto"/>
              <w:left w:val="nil"/>
              <w:bottom w:val="single" w:sz="4" w:space="0" w:color="auto"/>
              <w:right w:val="single" w:sz="4" w:space="0" w:color="auto"/>
            </w:tcBorders>
            <w:shd w:val="clear" w:color="auto" w:fill="auto"/>
            <w:vAlign w:val="center"/>
            <w:hideMark/>
          </w:tcPr>
          <w:p w14:paraId="0B3FB03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227" w:type="dxa"/>
            <w:tcBorders>
              <w:top w:val="nil"/>
              <w:left w:val="nil"/>
              <w:bottom w:val="single" w:sz="4" w:space="0" w:color="auto"/>
              <w:right w:val="single" w:sz="4" w:space="0" w:color="auto"/>
            </w:tcBorders>
            <w:shd w:val="clear" w:color="000000" w:fill="ED7D31"/>
            <w:vAlign w:val="center"/>
            <w:hideMark/>
          </w:tcPr>
          <w:p w14:paraId="2558DC3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1140" w:type="dxa"/>
            <w:tcBorders>
              <w:top w:val="nil"/>
              <w:left w:val="nil"/>
              <w:bottom w:val="single" w:sz="4" w:space="0" w:color="auto"/>
              <w:right w:val="single" w:sz="4" w:space="0" w:color="auto"/>
            </w:tcBorders>
            <w:shd w:val="clear" w:color="000000" w:fill="ED7D31"/>
            <w:vAlign w:val="center"/>
            <w:hideMark/>
          </w:tcPr>
          <w:p w14:paraId="5D06065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4" w:space="0" w:color="auto"/>
              <w:right w:val="single" w:sz="4" w:space="0" w:color="auto"/>
            </w:tcBorders>
            <w:shd w:val="clear" w:color="000000" w:fill="ED7D31"/>
            <w:vAlign w:val="center"/>
            <w:hideMark/>
          </w:tcPr>
          <w:p w14:paraId="4B2D62C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4" w:space="0" w:color="auto"/>
              <w:right w:val="single" w:sz="4" w:space="0" w:color="auto"/>
            </w:tcBorders>
            <w:shd w:val="clear" w:color="000000" w:fill="E2EFDA"/>
            <w:vAlign w:val="center"/>
            <w:hideMark/>
          </w:tcPr>
          <w:p w14:paraId="2733A18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 WAM (enhancement, adjustment)</w:t>
            </w:r>
          </w:p>
        </w:tc>
        <w:tc>
          <w:tcPr>
            <w:tcW w:w="1145" w:type="dxa"/>
            <w:tcBorders>
              <w:top w:val="nil"/>
              <w:left w:val="nil"/>
              <w:bottom w:val="single" w:sz="4" w:space="0" w:color="auto"/>
              <w:right w:val="single" w:sz="4" w:space="0" w:color="auto"/>
            </w:tcBorders>
            <w:shd w:val="clear" w:color="000000" w:fill="ED7D31"/>
            <w:vAlign w:val="center"/>
            <w:hideMark/>
          </w:tcPr>
          <w:p w14:paraId="02C93A4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tcBorders>
              <w:top w:val="nil"/>
              <w:left w:val="nil"/>
              <w:bottom w:val="single" w:sz="4" w:space="0" w:color="auto"/>
              <w:right w:val="single" w:sz="4" w:space="0" w:color="auto"/>
            </w:tcBorders>
            <w:shd w:val="clear" w:color="000000" w:fill="ED7D31"/>
            <w:vAlign w:val="center"/>
            <w:hideMark/>
          </w:tcPr>
          <w:p w14:paraId="7CCC5A2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05D306F" w14:textId="77777777" w:rsidTr="005B2C66">
        <w:trPr>
          <w:trHeight w:val="19"/>
        </w:trPr>
        <w:tc>
          <w:tcPr>
            <w:tcW w:w="924" w:type="dxa"/>
            <w:vMerge/>
            <w:tcBorders>
              <w:left w:val="single" w:sz="4" w:space="0" w:color="auto"/>
              <w:right w:val="single" w:sz="4" w:space="0" w:color="auto"/>
            </w:tcBorders>
            <w:vAlign w:val="center"/>
            <w:hideMark/>
          </w:tcPr>
          <w:p w14:paraId="5E2AB3B5"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2" w:space="0" w:color="auto"/>
              <w:right w:val="single" w:sz="4" w:space="0" w:color="auto"/>
            </w:tcBorders>
            <w:shd w:val="clear" w:color="auto" w:fill="auto"/>
            <w:vAlign w:val="center"/>
            <w:hideMark/>
          </w:tcPr>
          <w:p w14:paraId="273D0C82"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PM_EE44</w:t>
            </w:r>
          </w:p>
        </w:tc>
        <w:tc>
          <w:tcPr>
            <w:tcW w:w="3620" w:type="dxa"/>
            <w:tcBorders>
              <w:top w:val="nil"/>
              <w:left w:val="nil"/>
              <w:bottom w:val="single" w:sz="2" w:space="0" w:color="auto"/>
              <w:right w:val="single" w:sz="4" w:space="0" w:color="auto"/>
            </w:tcBorders>
            <w:shd w:val="clear" w:color="auto" w:fill="auto"/>
            <w:noWrap/>
            <w:vAlign w:val="center"/>
            <w:hideMark/>
          </w:tcPr>
          <w:p w14:paraId="6C15A45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demand response and dynamic pricing and tariffs</w:t>
            </w:r>
          </w:p>
        </w:tc>
        <w:tc>
          <w:tcPr>
            <w:tcW w:w="1079" w:type="dxa"/>
            <w:tcBorders>
              <w:top w:val="nil"/>
              <w:left w:val="nil"/>
              <w:bottom w:val="single" w:sz="2" w:space="0" w:color="auto"/>
              <w:right w:val="single" w:sz="4" w:space="0" w:color="auto"/>
            </w:tcBorders>
            <w:shd w:val="clear" w:color="auto" w:fill="auto"/>
            <w:vAlign w:val="center"/>
            <w:hideMark/>
          </w:tcPr>
          <w:p w14:paraId="154E00D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1072" w:type="dxa"/>
            <w:tcBorders>
              <w:top w:val="nil"/>
              <w:left w:val="nil"/>
              <w:bottom w:val="single" w:sz="2" w:space="0" w:color="auto"/>
              <w:right w:val="single" w:sz="4" w:space="0" w:color="auto"/>
            </w:tcBorders>
            <w:shd w:val="clear" w:color="auto" w:fill="auto"/>
            <w:vAlign w:val="center"/>
            <w:hideMark/>
          </w:tcPr>
          <w:p w14:paraId="6C82CEC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Budget incorporated into all end-use measures</w:t>
            </w:r>
          </w:p>
        </w:tc>
        <w:tc>
          <w:tcPr>
            <w:tcW w:w="1227" w:type="dxa"/>
            <w:tcBorders>
              <w:top w:val="nil"/>
              <w:left w:val="nil"/>
              <w:bottom w:val="single" w:sz="2" w:space="0" w:color="auto"/>
              <w:right w:val="single" w:sz="4" w:space="0" w:color="auto"/>
            </w:tcBorders>
            <w:shd w:val="clear" w:color="000000" w:fill="595959"/>
            <w:vAlign w:val="center"/>
            <w:hideMark/>
          </w:tcPr>
          <w:p w14:paraId="7144B67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0" w:type="dxa"/>
            <w:tcBorders>
              <w:top w:val="nil"/>
              <w:left w:val="nil"/>
              <w:bottom w:val="single" w:sz="2" w:space="0" w:color="auto"/>
              <w:right w:val="single" w:sz="4" w:space="0" w:color="auto"/>
            </w:tcBorders>
            <w:shd w:val="clear" w:color="000000" w:fill="595959"/>
            <w:vAlign w:val="center"/>
            <w:hideMark/>
          </w:tcPr>
          <w:p w14:paraId="7418AFF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145" w:type="dxa"/>
            <w:tcBorders>
              <w:top w:val="nil"/>
              <w:left w:val="nil"/>
              <w:bottom w:val="single" w:sz="2" w:space="0" w:color="auto"/>
              <w:right w:val="single" w:sz="4" w:space="0" w:color="auto"/>
            </w:tcBorders>
            <w:shd w:val="clear" w:color="000000" w:fill="595959"/>
            <w:noWrap/>
            <w:vAlign w:val="bottom"/>
            <w:hideMark/>
          </w:tcPr>
          <w:p w14:paraId="7224AF7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c>
          <w:tcPr>
            <w:tcW w:w="1322" w:type="dxa"/>
            <w:tcBorders>
              <w:top w:val="nil"/>
              <w:left w:val="nil"/>
              <w:bottom w:val="single" w:sz="2" w:space="0" w:color="auto"/>
              <w:right w:val="single" w:sz="4" w:space="0" w:color="auto"/>
            </w:tcBorders>
            <w:shd w:val="clear" w:color="000000" w:fill="E2EFDA"/>
            <w:vAlign w:val="center"/>
            <w:hideMark/>
          </w:tcPr>
          <w:p w14:paraId="046C3C6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2" w:space="0" w:color="auto"/>
              <w:right w:val="single" w:sz="4" w:space="0" w:color="auto"/>
            </w:tcBorders>
            <w:shd w:val="clear" w:color="000000" w:fill="595959"/>
            <w:vAlign w:val="center"/>
            <w:hideMark/>
          </w:tcPr>
          <w:p w14:paraId="4755081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1077" w:type="dxa"/>
            <w:tcBorders>
              <w:top w:val="nil"/>
              <w:left w:val="nil"/>
              <w:bottom w:val="single" w:sz="2" w:space="0" w:color="auto"/>
              <w:right w:val="single" w:sz="4" w:space="0" w:color="auto"/>
            </w:tcBorders>
            <w:shd w:val="clear" w:color="000000" w:fill="595959"/>
            <w:noWrap/>
            <w:vAlign w:val="bottom"/>
            <w:hideMark/>
          </w:tcPr>
          <w:p w14:paraId="2425273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w:t>
            </w:r>
          </w:p>
        </w:tc>
      </w:tr>
      <w:tr w:rsidR="00663039" w:rsidRPr="00207220" w14:paraId="54F1FAD0" w14:textId="77777777" w:rsidTr="005B2C66">
        <w:trPr>
          <w:trHeight w:val="19"/>
        </w:trPr>
        <w:tc>
          <w:tcPr>
            <w:tcW w:w="924" w:type="dxa"/>
            <w:vMerge/>
            <w:tcBorders>
              <w:left w:val="single" w:sz="4" w:space="0" w:color="auto"/>
              <w:right w:val="single" w:sz="4" w:space="0" w:color="auto"/>
            </w:tcBorders>
            <w:vAlign w:val="center"/>
          </w:tcPr>
          <w:p w14:paraId="5217DD8D"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2" w:space="0" w:color="auto"/>
              <w:right w:val="single" w:sz="4" w:space="0" w:color="auto"/>
            </w:tcBorders>
            <w:shd w:val="clear" w:color="auto" w:fill="auto"/>
          </w:tcPr>
          <w:p w14:paraId="789B5225" w14:textId="77777777" w:rsidR="00663039" w:rsidRPr="00673450" w:rsidRDefault="00663039" w:rsidP="001544A6">
            <w:pPr>
              <w:rPr>
                <w:sz w:val="15"/>
                <w:szCs w:val="15"/>
              </w:rPr>
            </w:pPr>
            <w:r w:rsidRPr="00673450">
              <w:rPr>
                <w:sz w:val="15"/>
                <w:szCs w:val="15"/>
              </w:rPr>
              <w:t>PM_EE45</w:t>
            </w:r>
          </w:p>
        </w:tc>
        <w:tc>
          <w:tcPr>
            <w:tcW w:w="3620" w:type="dxa"/>
            <w:tcBorders>
              <w:top w:val="nil"/>
              <w:left w:val="nil"/>
              <w:bottom w:val="single" w:sz="2" w:space="0" w:color="auto"/>
              <w:right w:val="single" w:sz="4" w:space="0" w:color="auto"/>
            </w:tcBorders>
            <w:shd w:val="clear" w:color="auto" w:fill="auto"/>
            <w:noWrap/>
          </w:tcPr>
          <w:p w14:paraId="79AB532B" w14:textId="77777777" w:rsidR="00663039" w:rsidRPr="00673450" w:rsidRDefault="00663039" w:rsidP="001544A6">
            <w:pPr>
              <w:spacing w:after="0" w:line="240" w:lineRule="auto"/>
              <w:rPr>
                <w:rFonts w:ascii="Calibri" w:eastAsia="Times New Roman" w:hAnsi="Calibri" w:cs="Calibri"/>
                <w:sz w:val="15"/>
                <w:szCs w:val="15"/>
              </w:rPr>
            </w:pPr>
            <w:r w:rsidRPr="00673450">
              <w:rPr>
                <w:sz w:val="15"/>
                <w:szCs w:val="15"/>
              </w:rPr>
              <w:t xml:space="preserve">Preparation of comprehensive assessment for promoting efficiency in heating and cooling </w:t>
            </w:r>
          </w:p>
        </w:tc>
        <w:tc>
          <w:tcPr>
            <w:tcW w:w="1079" w:type="dxa"/>
            <w:tcBorders>
              <w:top w:val="nil"/>
              <w:left w:val="nil"/>
              <w:bottom w:val="single" w:sz="2" w:space="0" w:color="auto"/>
              <w:right w:val="single" w:sz="4" w:space="0" w:color="auto"/>
            </w:tcBorders>
            <w:shd w:val="clear" w:color="auto" w:fill="auto"/>
          </w:tcPr>
          <w:p w14:paraId="3CA291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sz w:val="15"/>
                <w:szCs w:val="15"/>
              </w:rPr>
              <w:t>Reform</w:t>
            </w:r>
          </w:p>
        </w:tc>
        <w:tc>
          <w:tcPr>
            <w:tcW w:w="1072" w:type="dxa"/>
            <w:tcBorders>
              <w:top w:val="nil"/>
              <w:left w:val="nil"/>
              <w:bottom w:val="single" w:sz="2" w:space="0" w:color="auto"/>
              <w:right w:val="single" w:sz="4" w:space="0" w:color="auto"/>
            </w:tcBorders>
            <w:shd w:val="clear" w:color="auto" w:fill="auto"/>
          </w:tcPr>
          <w:p w14:paraId="43A2B5D9"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227" w:type="dxa"/>
            <w:tcBorders>
              <w:top w:val="nil"/>
              <w:left w:val="nil"/>
              <w:bottom w:val="single" w:sz="2" w:space="0" w:color="auto"/>
              <w:right w:val="single" w:sz="4" w:space="0" w:color="auto"/>
            </w:tcBorders>
            <w:shd w:val="clear" w:color="auto" w:fill="E2EFD9" w:themeFill="accent6" w:themeFillTint="33"/>
            <w:vAlign w:val="center"/>
          </w:tcPr>
          <w:p w14:paraId="54272CC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1140" w:type="dxa"/>
            <w:tcBorders>
              <w:top w:val="nil"/>
              <w:left w:val="nil"/>
              <w:bottom w:val="single" w:sz="2" w:space="0" w:color="auto"/>
              <w:right w:val="single" w:sz="4" w:space="0" w:color="auto"/>
            </w:tcBorders>
            <w:shd w:val="clear" w:color="auto" w:fill="E2EFD9" w:themeFill="accent6" w:themeFillTint="33"/>
            <w:vAlign w:val="center"/>
          </w:tcPr>
          <w:p w14:paraId="7DEDE48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1145" w:type="dxa"/>
            <w:tcBorders>
              <w:top w:val="nil"/>
              <w:left w:val="nil"/>
              <w:bottom w:val="single" w:sz="2" w:space="0" w:color="auto"/>
              <w:right w:val="single" w:sz="4" w:space="0" w:color="auto"/>
            </w:tcBorders>
            <w:shd w:val="clear" w:color="auto" w:fill="E2EFD9" w:themeFill="accent6" w:themeFillTint="33"/>
            <w:noWrap/>
            <w:vAlign w:val="center"/>
          </w:tcPr>
          <w:p w14:paraId="2A64C9C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322" w:type="dxa"/>
            <w:tcBorders>
              <w:top w:val="nil"/>
              <w:left w:val="nil"/>
              <w:bottom w:val="single" w:sz="2" w:space="0" w:color="auto"/>
              <w:right w:val="single" w:sz="4" w:space="0" w:color="auto"/>
            </w:tcBorders>
            <w:shd w:val="clear" w:color="auto" w:fill="E2EFD9" w:themeFill="accent6" w:themeFillTint="33"/>
            <w:vAlign w:val="center"/>
          </w:tcPr>
          <w:p w14:paraId="779E0D7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1145" w:type="dxa"/>
            <w:tcBorders>
              <w:top w:val="nil"/>
              <w:left w:val="nil"/>
              <w:bottom w:val="single" w:sz="2" w:space="0" w:color="auto"/>
              <w:right w:val="single" w:sz="4" w:space="0" w:color="auto"/>
            </w:tcBorders>
            <w:shd w:val="clear" w:color="auto" w:fill="E2EFD9" w:themeFill="accent6" w:themeFillTint="33"/>
            <w:vAlign w:val="center"/>
          </w:tcPr>
          <w:p w14:paraId="057697B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077" w:type="dxa"/>
            <w:tcBorders>
              <w:top w:val="nil"/>
              <w:left w:val="nil"/>
              <w:bottom w:val="single" w:sz="2" w:space="0" w:color="auto"/>
              <w:right w:val="single" w:sz="4" w:space="0" w:color="auto"/>
            </w:tcBorders>
            <w:shd w:val="clear" w:color="auto" w:fill="E2EFD9" w:themeFill="accent6" w:themeFillTint="33"/>
            <w:noWrap/>
            <w:vAlign w:val="center"/>
          </w:tcPr>
          <w:p w14:paraId="31A6540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r>
      <w:tr w:rsidR="00663039" w:rsidRPr="00207220" w14:paraId="5D54BEC0" w14:textId="77777777" w:rsidTr="005B2C66">
        <w:trPr>
          <w:trHeight w:val="19"/>
        </w:trPr>
        <w:tc>
          <w:tcPr>
            <w:tcW w:w="924" w:type="dxa"/>
            <w:vMerge/>
            <w:tcBorders>
              <w:left w:val="single" w:sz="4" w:space="0" w:color="auto"/>
              <w:right w:val="single" w:sz="4" w:space="0" w:color="auto"/>
            </w:tcBorders>
            <w:vAlign w:val="center"/>
          </w:tcPr>
          <w:p w14:paraId="622FE3D6" w14:textId="77777777" w:rsidR="00663039" w:rsidRPr="00673450" w:rsidRDefault="00663039" w:rsidP="001544A6">
            <w:pPr>
              <w:spacing w:after="0" w:line="240" w:lineRule="auto"/>
              <w:jc w:val="center"/>
              <w:rPr>
                <w:rFonts w:ascii="Calibri" w:eastAsia="Times New Roman" w:hAnsi="Calibri" w:cs="Calibri"/>
                <w:b/>
                <w:bCs/>
                <w:sz w:val="15"/>
                <w:szCs w:val="15"/>
              </w:rPr>
            </w:pPr>
          </w:p>
        </w:tc>
        <w:tc>
          <w:tcPr>
            <w:tcW w:w="845" w:type="dxa"/>
            <w:tcBorders>
              <w:top w:val="nil"/>
              <w:left w:val="nil"/>
              <w:bottom w:val="single" w:sz="2" w:space="0" w:color="auto"/>
              <w:right w:val="single" w:sz="4" w:space="0" w:color="auto"/>
            </w:tcBorders>
            <w:shd w:val="clear" w:color="auto" w:fill="auto"/>
          </w:tcPr>
          <w:p w14:paraId="6244869F" w14:textId="77777777" w:rsidR="00663039" w:rsidRPr="00673450" w:rsidRDefault="00663039" w:rsidP="001544A6">
            <w:pPr>
              <w:rPr>
                <w:sz w:val="15"/>
                <w:szCs w:val="15"/>
              </w:rPr>
            </w:pPr>
            <w:r w:rsidRPr="00673450">
              <w:rPr>
                <w:sz w:val="15"/>
                <w:szCs w:val="15"/>
              </w:rPr>
              <w:t>PM_EE46</w:t>
            </w:r>
          </w:p>
        </w:tc>
        <w:tc>
          <w:tcPr>
            <w:tcW w:w="3620" w:type="dxa"/>
            <w:tcBorders>
              <w:top w:val="nil"/>
              <w:left w:val="nil"/>
              <w:bottom w:val="single" w:sz="2" w:space="0" w:color="auto"/>
              <w:right w:val="single" w:sz="4" w:space="0" w:color="auto"/>
            </w:tcBorders>
            <w:shd w:val="clear" w:color="auto" w:fill="auto"/>
            <w:noWrap/>
          </w:tcPr>
          <w:p w14:paraId="79ED6197" w14:textId="77777777" w:rsidR="00663039" w:rsidRPr="00673450" w:rsidRDefault="00663039" w:rsidP="001544A6">
            <w:pPr>
              <w:spacing w:after="0" w:line="240" w:lineRule="auto"/>
              <w:rPr>
                <w:rFonts w:ascii="Calibri" w:eastAsia="Times New Roman" w:hAnsi="Calibri" w:cs="Calibri"/>
                <w:sz w:val="15"/>
                <w:szCs w:val="15"/>
              </w:rPr>
            </w:pPr>
            <w:r w:rsidRPr="00673450">
              <w:rPr>
                <w:sz w:val="15"/>
                <w:szCs w:val="15"/>
              </w:rPr>
              <w:t>Monitoring the provisions for metering billing information</w:t>
            </w:r>
          </w:p>
        </w:tc>
        <w:tc>
          <w:tcPr>
            <w:tcW w:w="1079" w:type="dxa"/>
            <w:tcBorders>
              <w:top w:val="nil"/>
              <w:left w:val="nil"/>
              <w:bottom w:val="single" w:sz="2" w:space="0" w:color="auto"/>
              <w:right w:val="single" w:sz="4" w:space="0" w:color="auto"/>
            </w:tcBorders>
            <w:shd w:val="clear" w:color="auto" w:fill="auto"/>
          </w:tcPr>
          <w:p w14:paraId="22C5EA4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sz w:val="15"/>
                <w:szCs w:val="15"/>
              </w:rPr>
              <w:t>Reform</w:t>
            </w:r>
          </w:p>
        </w:tc>
        <w:tc>
          <w:tcPr>
            <w:tcW w:w="1072" w:type="dxa"/>
            <w:tcBorders>
              <w:top w:val="nil"/>
              <w:left w:val="nil"/>
              <w:bottom w:val="single" w:sz="2" w:space="0" w:color="auto"/>
              <w:right w:val="single" w:sz="4" w:space="0" w:color="auto"/>
            </w:tcBorders>
            <w:shd w:val="clear" w:color="auto" w:fill="auto"/>
          </w:tcPr>
          <w:p w14:paraId="1DB94231" w14:textId="77777777" w:rsidR="00663039" w:rsidRPr="00673450" w:rsidRDefault="00663039" w:rsidP="001544A6">
            <w:pPr>
              <w:spacing w:after="0" w:line="240" w:lineRule="auto"/>
              <w:jc w:val="center"/>
              <w:rPr>
                <w:rFonts w:ascii="Calibri" w:eastAsia="Times New Roman" w:hAnsi="Calibri" w:cs="Calibri"/>
                <w:sz w:val="15"/>
                <w:szCs w:val="15"/>
              </w:rPr>
            </w:pPr>
          </w:p>
        </w:tc>
        <w:tc>
          <w:tcPr>
            <w:tcW w:w="1227" w:type="dxa"/>
            <w:tcBorders>
              <w:top w:val="nil"/>
              <w:left w:val="nil"/>
              <w:bottom w:val="single" w:sz="2" w:space="0" w:color="auto"/>
              <w:right w:val="single" w:sz="4" w:space="0" w:color="auto"/>
            </w:tcBorders>
            <w:shd w:val="clear" w:color="auto" w:fill="E2EFD9" w:themeFill="accent6" w:themeFillTint="33"/>
            <w:vAlign w:val="center"/>
          </w:tcPr>
          <w:p w14:paraId="672D259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1140" w:type="dxa"/>
            <w:tcBorders>
              <w:top w:val="nil"/>
              <w:left w:val="nil"/>
              <w:bottom w:val="single" w:sz="2" w:space="0" w:color="auto"/>
              <w:right w:val="single" w:sz="4" w:space="0" w:color="auto"/>
            </w:tcBorders>
            <w:shd w:val="clear" w:color="auto" w:fill="E2EFD9" w:themeFill="accent6" w:themeFillTint="33"/>
            <w:vAlign w:val="center"/>
          </w:tcPr>
          <w:p w14:paraId="4A072EB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1145" w:type="dxa"/>
            <w:tcBorders>
              <w:top w:val="nil"/>
              <w:left w:val="nil"/>
              <w:bottom w:val="single" w:sz="2" w:space="0" w:color="auto"/>
              <w:right w:val="single" w:sz="4" w:space="0" w:color="auto"/>
            </w:tcBorders>
            <w:shd w:val="clear" w:color="auto" w:fill="E2EFD9" w:themeFill="accent6" w:themeFillTint="33"/>
            <w:noWrap/>
            <w:vAlign w:val="center"/>
          </w:tcPr>
          <w:p w14:paraId="1098638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1322" w:type="dxa"/>
            <w:tcBorders>
              <w:top w:val="nil"/>
              <w:left w:val="nil"/>
              <w:bottom w:val="single" w:sz="2" w:space="0" w:color="auto"/>
              <w:right w:val="single" w:sz="4" w:space="0" w:color="auto"/>
            </w:tcBorders>
            <w:shd w:val="clear" w:color="auto" w:fill="E2EFD9" w:themeFill="accent6" w:themeFillTint="33"/>
            <w:vAlign w:val="center"/>
          </w:tcPr>
          <w:p w14:paraId="412DD56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1145" w:type="dxa"/>
            <w:tcBorders>
              <w:top w:val="nil"/>
              <w:left w:val="nil"/>
              <w:bottom w:val="single" w:sz="2" w:space="0" w:color="auto"/>
              <w:right w:val="single" w:sz="4" w:space="0" w:color="auto"/>
            </w:tcBorders>
            <w:shd w:val="clear" w:color="auto" w:fill="E2EFD9" w:themeFill="accent6" w:themeFillTint="33"/>
            <w:vAlign w:val="center"/>
          </w:tcPr>
          <w:p w14:paraId="165FC6B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1077" w:type="dxa"/>
            <w:tcBorders>
              <w:top w:val="nil"/>
              <w:left w:val="nil"/>
              <w:bottom w:val="single" w:sz="2" w:space="0" w:color="auto"/>
              <w:right w:val="single" w:sz="4" w:space="0" w:color="auto"/>
            </w:tcBorders>
            <w:shd w:val="clear" w:color="auto" w:fill="E2EFD9" w:themeFill="accent6" w:themeFillTint="33"/>
            <w:noWrap/>
            <w:vAlign w:val="center"/>
          </w:tcPr>
          <w:p w14:paraId="7356A06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5A4EE185" w14:textId="77777777" w:rsidTr="005B2C66">
        <w:trPr>
          <w:trHeight w:val="19"/>
        </w:trPr>
        <w:tc>
          <w:tcPr>
            <w:tcW w:w="924" w:type="dxa"/>
            <w:vMerge/>
            <w:tcBorders>
              <w:left w:val="single" w:sz="4" w:space="0" w:color="auto"/>
              <w:bottom w:val="single" w:sz="2" w:space="0" w:color="auto"/>
              <w:right w:val="single" w:sz="4" w:space="0" w:color="auto"/>
            </w:tcBorders>
            <w:shd w:val="clear" w:color="000000" w:fill="BFBFBF"/>
            <w:vAlign w:val="center"/>
            <w:hideMark/>
          </w:tcPr>
          <w:p w14:paraId="1726A717" w14:textId="77777777" w:rsidR="00663039" w:rsidRPr="00673450" w:rsidRDefault="00663039" w:rsidP="001544A6">
            <w:pPr>
              <w:spacing w:after="0" w:line="240" w:lineRule="auto"/>
              <w:jc w:val="center"/>
              <w:rPr>
                <w:rFonts w:ascii="Calibri" w:eastAsia="Times New Roman" w:hAnsi="Calibri" w:cs="Calibri"/>
                <w:sz w:val="14"/>
                <w:szCs w:val="14"/>
              </w:rPr>
            </w:pPr>
          </w:p>
        </w:tc>
        <w:tc>
          <w:tcPr>
            <w:tcW w:w="845" w:type="dxa"/>
            <w:tcBorders>
              <w:top w:val="single" w:sz="2" w:space="0" w:color="auto"/>
              <w:left w:val="nil"/>
              <w:bottom w:val="single" w:sz="2" w:space="0" w:color="auto"/>
              <w:right w:val="single" w:sz="4" w:space="0" w:color="auto"/>
            </w:tcBorders>
            <w:shd w:val="clear" w:color="auto" w:fill="auto"/>
            <w:vAlign w:val="center"/>
            <w:hideMark/>
          </w:tcPr>
          <w:p w14:paraId="40E4E0F1" w14:textId="77777777" w:rsidR="00663039" w:rsidRPr="00673450" w:rsidRDefault="00663039" w:rsidP="001544A6">
            <w:pPr>
              <w:spacing w:after="0" w:line="240" w:lineRule="auto"/>
              <w:rPr>
                <w:rFonts w:ascii="Calibri" w:eastAsia="Times New Roman" w:hAnsi="Calibri" w:cs="Calibri"/>
                <w:sz w:val="14"/>
                <w:szCs w:val="14"/>
              </w:rPr>
            </w:pPr>
            <w:r w:rsidRPr="00673450">
              <w:rPr>
                <w:rFonts w:ascii="Calibri" w:hAnsi="Calibri" w:cs="Calibri"/>
                <w:b/>
                <w:bCs/>
                <w:sz w:val="14"/>
                <w:szCs w:val="14"/>
              </w:rPr>
              <w:t> </w:t>
            </w:r>
          </w:p>
        </w:tc>
        <w:tc>
          <w:tcPr>
            <w:tcW w:w="3620" w:type="dxa"/>
            <w:tcBorders>
              <w:top w:val="single" w:sz="2" w:space="0" w:color="auto"/>
              <w:left w:val="nil"/>
              <w:bottom w:val="single" w:sz="2" w:space="0" w:color="auto"/>
              <w:right w:val="single" w:sz="4" w:space="0" w:color="auto"/>
            </w:tcBorders>
            <w:shd w:val="clear" w:color="auto" w:fill="auto"/>
            <w:vAlign w:val="center"/>
            <w:hideMark/>
          </w:tcPr>
          <w:p w14:paraId="2796513F" w14:textId="77777777" w:rsidR="00663039" w:rsidRPr="00673450" w:rsidRDefault="00663039" w:rsidP="001544A6">
            <w:pPr>
              <w:spacing w:after="0" w:line="240" w:lineRule="auto"/>
              <w:rPr>
                <w:rFonts w:ascii="Calibri" w:eastAsia="Times New Roman" w:hAnsi="Calibri" w:cs="Calibri"/>
                <w:b/>
                <w:bCs/>
                <w:sz w:val="20"/>
                <w:szCs w:val="20"/>
              </w:rPr>
            </w:pPr>
            <w:r w:rsidRPr="00673450">
              <w:rPr>
                <w:rFonts w:ascii="Calibri" w:hAnsi="Calibri" w:cs="Calibri"/>
                <w:b/>
                <w:bCs/>
                <w:sz w:val="20"/>
                <w:szCs w:val="20"/>
              </w:rPr>
              <w:t>TOTAL FOR ENERGY EFFICIENCY</w:t>
            </w:r>
          </w:p>
        </w:tc>
        <w:tc>
          <w:tcPr>
            <w:tcW w:w="1079" w:type="dxa"/>
            <w:tcBorders>
              <w:top w:val="single" w:sz="2" w:space="0" w:color="auto"/>
              <w:left w:val="nil"/>
              <w:bottom w:val="single" w:sz="2" w:space="0" w:color="auto"/>
              <w:right w:val="single" w:sz="4" w:space="0" w:color="auto"/>
            </w:tcBorders>
            <w:shd w:val="clear" w:color="auto" w:fill="auto"/>
            <w:vAlign w:val="center"/>
            <w:hideMark/>
          </w:tcPr>
          <w:p w14:paraId="4CB7B39B"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1072" w:type="dxa"/>
            <w:tcBorders>
              <w:top w:val="single" w:sz="2" w:space="0" w:color="auto"/>
              <w:left w:val="nil"/>
              <w:bottom w:val="single" w:sz="2" w:space="0" w:color="auto"/>
              <w:right w:val="single" w:sz="4" w:space="0" w:color="auto"/>
            </w:tcBorders>
            <w:shd w:val="clear" w:color="auto" w:fill="auto"/>
            <w:vAlign w:val="center"/>
            <w:hideMark/>
          </w:tcPr>
          <w:p w14:paraId="3E72135B"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1227" w:type="dxa"/>
            <w:tcBorders>
              <w:top w:val="single" w:sz="2" w:space="0" w:color="auto"/>
              <w:left w:val="nil"/>
              <w:bottom w:val="single" w:sz="2" w:space="0" w:color="auto"/>
              <w:right w:val="single" w:sz="4" w:space="0" w:color="auto"/>
            </w:tcBorders>
            <w:shd w:val="clear" w:color="auto" w:fill="E2EFDA"/>
            <w:vAlign w:val="center"/>
            <w:hideMark/>
          </w:tcPr>
          <w:p w14:paraId="395D5FED"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20.94</w:t>
            </w:r>
          </w:p>
        </w:tc>
        <w:tc>
          <w:tcPr>
            <w:tcW w:w="1140" w:type="dxa"/>
            <w:tcBorders>
              <w:top w:val="single" w:sz="2" w:space="0" w:color="auto"/>
              <w:left w:val="nil"/>
              <w:bottom w:val="single" w:sz="2" w:space="0" w:color="auto"/>
              <w:right w:val="single" w:sz="4" w:space="0" w:color="auto"/>
            </w:tcBorders>
            <w:shd w:val="clear" w:color="auto" w:fill="E2EFDA"/>
            <w:vAlign w:val="center"/>
            <w:hideMark/>
          </w:tcPr>
          <w:p w14:paraId="4E35E715"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8.12</w:t>
            </w:r>
          </w:p>
        </w:tc>
        <w:tc>
          <w:tcPr>
            <w:tcW w:w="1145" w:type="dxa"/>
            <w:tcBorders>
              <w:top w:val="single" w:sz="2" w:space="0" w:color="auto"/>
              <w:left w:val="nil"/>
              <w:bottom w:val="single" w:sz="2" w:space="0" w:color="auto"/>
              <w:right w:val="single" w:sz="4" w:space="0" w:color="auto"/>
            </w:tcBorders>
            <w:shd w:val="clear" w:color="auto" w:fill="E2EFDA"/>
            <w:vAlign w:val="center"/>
            <w:hideMark/>
          </w:tcPr>
          <w:p w14:paraId="04EEDE42"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12.82</w:t>
            </w:r>
          </w:p>
        </w:tc>
        <w:tc>
          <w:tcPr>
            <w:tcW w:w="1322" w:type="dxa"/>
            <w:tcBorders>
              <w:top w:val="single" w:sz="2" w:space="0" w:color="auto"/>
              <w:left w:val="nil"/>
              <w:bottom w:val="single" w:sz="2" w:space="0" w:color="auto"/>
              <w:right w:val="single" w:sz="4" w:space="0" w:color="auto"/>
            </w:tcBorders>
            <w:shd w:val="clear" w:color="auto" w:fill="E2EFDA"/>
            <w:vAlign w:val="center"/>
            <w:hideMark/>
          </w:tcPr>
          <w:p w14:paraId="5AD14458"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1145" w:type="dxa"/>
            <w:tcBorders>
              <w:top w:val="single" w:sz="2" w:space="0" w:color="auto"/>
              <w:left w:val="nil"/>
              <w:bottom w:val="single" w:sz="2" w:space="0" w:color="auto"/>
              <w:right w:val="single" w:sz="4" w:space="0" w:color="auto"/>
            </w:tcBorders>
            <w:shd w:val="clear" w:color="auto" w:fill="E2EFDA"/>
            <w:vAlign w:val="center"/>
            <w:hideMark/>
          </w:tcPr>
          <w:p w14:paraId="2937D0EB"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12.</w:t>
            </w:r>
            <w:r w:rsidR="0084595E">
              <w:rPr>
                <w:rFonts w:ascii="Calibri" w:hAnsi="Calibri" w:cs="Calibri"/>
                <w:b/>
                <w:bCs/>
                <w:sz w:val="20"/>
                <w:szCs w:val="20"/>
              </w:rPr>
              <w:t>31</w:t>
            </w:r>
          </w:p>
        </w:tc>
        <w:tc>
          <w:tcPr>
            <w:tcW w:w="1077" w:type="dxa"/>
            <w:tcBorders>
              <w:top w:val="single" w:sz="2" w:space="0" w:color="auto"/>
              <w:left w:val="nil"/>
              <w:bottom w:val="single" w:sz="2" w:space="0" w:color="auto"/>
              <w:right w:val="single" w:sz="2" w:space="0" w:color="auto"/>
            </w:tcBorders>
            <w:shd w:val="clear" w:color="auto" w:fill="E2EFDA"/>
            <w:vAlign w:val="center"/>
            <w:hideMark/>
          </w:tcPr>
          <w:p w14:paraId="5D567EE4"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8.</w:t>
            </w:r>
            <w:r w:rsidR="0084595E">
              <w:rPr>
                <w:rFonts w:ascii="Calibri" w:hAnsi="Calibri" w:cs="Calibri"/>
                <w:b/>
                <w:bCs/>
                <w:sz w:val="20"/>
                <w:szCs w:val="20"/>
              </w:rPr>
              <w:t>62</w:t>
            </w:r>
          </w:p>
        </w:tc>
      </w:tr>
    </w:tbl>
    <w:p w14:paraId="1F2E8C5A" w14:textId="77777777" w:rsidR="00663039" w:rsidRPr="00ED5927" w:rsidRDefault="00663039" w:rsidP="00663039">
      <w:pPr>
        <w:pStyle w:val="LDKbody"/>
        <w:spacing w:before="0" w:after="0"/>
      </w:pPr>
    </w:p>
    <w:p w14:paraId="6A154DA8" w14:textId="7685B74C" w:rsidR="00845457" w:rsidRDefault="00845457" w:rsidP="0087794A">
      <w:pPr>
        <w:pStyle w:val="Caption"/>
        <w:keepNext/>
      </w:pPr>
      <w:bookmarkStart w:id="682" w:name="_Toc153545082"/>
      <w:r>
        <w:t xml:space="preserve">Table </w:t>
      </w:r>
      <w:r w:rsidR="006E0533">
        <w:fldChar w:fldCharType="begin"/>
      </w:r>
      <w:r w:rsidR="006E0533">
        <w:instrText xml:space="preserve"> STYLEREF 1 \s </w:instrText>
      </w:r>
      <w:r w:rsidR="006E0533">
        <w:fldChar w:fldCharType="separate"/>
      </w:r>
      <w:r w:rsidR="00A84B9C">
        <w:rPr>
          <w:noProof/>
        </w:rPr>
        <w:t>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3</w:t>
      </w:r>
      <w:r w:rsidR="006E0533">
        <w:rPr>
          <w:noProof/>
        </w:rPr>
        <w:fldChar w:fldCharType="end"/>
      </w:r>
      <w:r>
        <w:t xml:space="preserve">: </w:t>
      </w:r>
      <w:r w:rsidRPr="00845457">
        <w:t>Energy Security</w:t>
      </w:r>
      <w:r>
        <w:t xml:space="preserve"> </w:t>
      </w:r>
      <w:r w:rsidRPr="00845457">
        <w:t>policy measures</w:t>
      </w:r>
      <w:bookmarkEnd w:id="682"/>
    </w:p>
    <w:tbl>
      <w:tblPr>
        <w:tblW w:w="0" w:type="auto"/>
        <w:tblLook w:val="04A0" w:firstRow="1" w:lastRow="0" w:firstColumn="1" w:lastColumn="0" w:noHBand="0" w:noVBand="1"/>
      </w:tblPr>
      <w:tblGrid>
        <w:gridCol w:w="980"/>
        <w:gridCol w:w="900"/>
        <w:gridCol w:w="3230"/>
        <w:gridCol w:w="1021"/>
        <w:gridCol w:w="1015"/>
        <w:gridCol w:w="1544"/>
        <w:gridCol w:w="1151"/>
        <w:gridCol w:w="978"/>
        <w:gridCol w:w="1700"/>
        <w:gridCol w:w="1023"/>
        <w:gridCol w:w="1018"/>
      </w:tblGrid>
      <w:tr w:rsidR="001A6E07" w:rsidRPr="00207220" w14:paraId="471B4111" w14:textId="77777777" w:rsidTr="001E0CC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57CB14C9"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Dimension</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4E956C9"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PAM number</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6B328D9"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Name of policy or measure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232DFC7"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Type of measure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4BFB20E"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Synergetic effects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91E97FB"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Implementation Cost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5B94A4E"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Planned public aid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0646F2D"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own Funds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809C6D8"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Projections scenario in which the PAM is included</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A1E40D6"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WEM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5AA08AA"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WAM (million €)</w:t>
            </w:r>
          </w:p>
        </w:tc>
      </w:tr>
      <w:tr w:rsidR="001A6E07" w:rsidRPr="00207220" w14:paraId="5E55877E" w14:textId="77777777" w:rsidTr="001E0CC6">
        <w:trPr>
          <w:trHeight w:val="20"/>
        </w:trPr>
        <w:tc>
          <w:tcPr>
            <w:tcW w:w="0" w:type="auto"/>
            <w:vMerge w:val="restart"/>
            <w:tcBorders>
              <w:top w:val="nil"/>
              <w:left w:val="single" w:sz="4" w:space="0" w:color="auto"/>
              <w:bottom w:val="single" w:sz="4" w:space="0" w:color="000000"/>
              <w:right w:val="single" w:sz="4" w:space="0" w:color="auto"/>
            </w:tcBorders>
            <w:shd w:val="clear" w:color="000000" w:fill="BFBFBF"/>
            <w:vAlign w:val="center"/>
            <w:hideMark/>
          </w:tcPr>
          <w:p w14:paraId="7B9C04CF" w14:textId="77777777" w:rsidR="001A6E07" w:rsidRPr="00673450" w:rsidRDefault="001A6E07"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Energy Security</w:t>
            </w:r>
          </w:p>
        </w:tc>
        <w:tc>
          <w:tcPr>
            <w:tcW w:w="0" w:type="auto"/>
            <w:tcBorders>
              <w:top w:val="nil"/>
              <w:left w:val="nil"/>
              <w:bottom w:val="single" w:sz="4" w:space="0" w:color="auto"/>
              <w:right w:val="single" w:sz="4" w:space="0" w:color="auto"/>
            </w:tcBorders>
            <w:shd w:val="clear" w:color="auto" w:fill="auto"/>
            <w:vAlign w:val="center"/>
            <w:hideMark/>
          </w:tcPr>
          <w:p w14:paraId="2B717F06"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PM_ES2</w:t>
            </w:r>
          </w:p>
        </w:tc>
        <w:tc>
          <w:tcPr>
            <w:tcW w:w="0" w:type="auto"/>
            <w:tcBorders>
              <w:top w:val="nil"/>
              <w:left w:val="nil"/>
              <w:bottom w:val="single" w:sz="4" w:space="0" w:color="auto"/>
              <w:right w:val="single" w:sz="4" w:space="0" w:color="auto"/>
            </w:tcBorders>
            <w:shd w:val="clear" w:color="auto" w:fill="auto"/>
            <w:vAlign w:val="center"/>
            <w:hideMark/>
          </w:tcPr>
          <w:p w14:paraId="3C22CC8A" w14:textId="77777777" w:rsidR="001A6E07" w:rsidRPr="005B2C66" w:rsidRDefault="001A6E07" w:rsidP="001544A6">
            <w:pPr>
              <w:spacing w:after="0" w:line="240" w:lineRule="auto"/>
              <w:rPr>
                <w:rFonts w:ascii="Calibri" w:eastAsia="Times New Roman" w:hAnsi="Calibri" w:cs="Calibri"/>
                <w:sz w:val="15"/>
                <w:szCs w:val="15"/>
                <w:lang w:val="en-US"/>
              </w:rPr>
            </w:pPr>
            <w:r w:rsidRPr="00673450">
              <w:rPr>
                <w:rFonts w:ascii="Calibri" w:hAnsi="Calibri" w:cs="Calibri"/>
                <w:sz w:val="15"/>
                <w:szCs w:val="15"/>
              </w:rPr>
              <w:t>Enhancement of regional electricity and gas interconnections</w:t>
            </w:r>
          </w:p>
        </w:tc>
        <w:tc>
          <w:tcPr>
            <w:tcW w:w="0" w:type="auto"/>
            <w:tcBorders>
              <w:top w:val="nil"/>
              <w:left w:val="nil"/>
              <w:bottom w:val="single" w:sz="4" w:space="0" w:color="auto"/>
              <w:right w:val="single" w:sz="4" w:space="0" w:color="auto"/>
            </w:tcBorders>
            <w:shd w:val="clear" w:color="auto" w:fill="auto"/>
            <w:vAlign w:val="center"/>
            <w:hideMark/>
          </w:tcPr>
          <w:p w14:paraId="1E0DAF4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E0A659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FE895D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187.20</w:t>
            </w:r>
          </w:p>
        </w:tc>
        <w:tc>
          <w:tcPr>
            <w:tcW w:w="0" w:type="auto"/>
            <w:tcBorders>
              <w:top w:val="nil"/>
              <w:left w:val="nil"/>
              <w:bottom w:val="single" w:sz="4" w:space="0" w:color="auto"/>
              <w:right w:val="single" w:sz="4" w:space="0" w:color="auto"/>
            </w:tcBorders>
            <w:shd w:val="clear" w:color="000000" w:fill="E2EFDA"/>
            <w:vAlign w:val="center"/>
            <w:hideMark/>
          </w:tcPr>
          <w:p w14:paraId="58CA461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28.08</w:t>
            </w:r>
          </w:p>
        </w:tc>
        <w:tc>
          <w:tcPr>
            <w:tcW w:w="0" w:type="auto"/>
            <w:tcBorders>
              <w:top w:val="nil"/>
              <w:left w:val="nil"/>
              <w:bottom w:val="single" w:sz="4" w:space="0" w:color="auto"/>
              <w:right w:val="single" w:sz="4" w:space="0" w:color="auto"/>
            </w:tcBorders>
            <w:shd w:val="clear" w:color="000000" w:fill="E2EFDA"/>
            <w:vAlign w:val="center"/>
            <w:hideMark/>
          </w:tcPr>
          <w:p w14:paraId="62EF64B3"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159.12</w:t>
            </w:r>
          </w:p>
        </w:tc>
        <w:tc>
          <w:tcPr>
            <w:tcW w:w="0" w:type="auto"/>
            <w:tcBorders>
              <w:top w:val="nil"/>
              <w:left w:val="nil"/>
              <w:bottom w:val="single" w:sz="4" w:space="0" w:color="auto"/>
              <w:right w:val="single" w:sz="4" w:space="0" w:color="auto"/>
            </w:tcBorders>
            <w:shd w:val="clear" w:color="000000" w:fill="ED7D31"/>
            <w:vAlign w:val="center"/>
            <w:hideMark/>
          </w:tcPr>
          <w:p w14:paraId="14F7156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65FCB2E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187.20</w:t>
            </w:r>
          </w:p>
        </w:tc>
        <w:tc>
          <w:tcPr>
            <w:tcW w:w="0" w:type="auto"/>
            <w:tcBorders>
              <w:top w:val="nil"/>
              <w:left w:val="nil"/>
              <w:bottom w:val="single" w:sz="4" w:space="0" w:color="auto"/>
              <w:right w:val="single" w:sz="4" w:space="0" w:color="auto"/>
            </w:tcBorders>
            <w:shd w:val="clear" w:color="000000" w:fill="E2EFDA"/>
            <w:vAlign w:val="center"/>
            <w:hideMark/>
          </w:tcPr>
          <w:p w14:paraId="2A677739"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091620D3"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123BD90C"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D0266E5"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PM_ES3</w:t>
            </w:r>
          </w:p>
        </w:tc>
        <w:tc>
          <w:tcPr>
            <w:tcW w:w="0" w:type="auto"/>
            <w:tcBorders>
              <w:top w:val="nil"/>
              <w:left w:val="nil"/>
              <w:bottom w:val="single" w:sz="4" w:space="0" w:color="auto"/>
              <w:right w:val="single" w:sz="4" w:space="0" w:color="auto"/>
            </w:tcBorders>
            <w:shd w:val="clear" w:color="auto" w:fill="auto"/>
            <w:vAlign w:val="center"/>
            <w:hideMark/>
          </w:tcPr>
          <w:p w14:paraId="00322840"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Building capacities for electricity storage</w:t>
            </w:r>
          </w:p>
        </w:tc>
        <w:tc>
          <w:tcPr>
            <w:tcW w:w="0" w:type="auto"/>
            <w:tcBorders>
              <w:top w:val="nil"/>
              <w:left w:val="nil"/>
              <w:bottom w:val="single" w:sz="4" w:space="0" w:color="auto"/>
              <w:right w:val="single" w:sz="4" w:space="0" w:color="auto"/>
            </w:tcBorders>
            <w:shd w:val="clear" w:color="auto" w:fill="auto"/>
            <w:vAlign w:val="center"/>
            <w:hideMark/>
          </w:tcPr>
          <w:p w14:paraId="1F3ED68D"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8B994A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28879B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0" w:type="auto"/>
            <w:tcBorders>
              <w:top w:val="nil"/>
              <w:left w:val="nil"/>
              <w:bottom w:val="single" w:sz="4" w:space="0" w:color="auto"/>
              <w:right w:val="single" w:sz="4" w:space="0" w:color="auto"/>
            </w:tcBorders>
            <w:shd w:val="clear" w:color="000000" w:fill="E2EFDA"/>
            <w:vAlign w:val="center"/>
            <w:hideMark/>
          </w:tcPr>
          <w:p w14:paraId="18B28ABF"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0" w:type="auto"/>
            <w:tcBorders>
              <w:top w:val="nil"/>
              <w:left w:val="nil"/>
              <w:bottom w:val="single" w:sz="4" w:space="0" w:color="auto"/>
              <w:right w:val="single" w:sz="4" w:space="0" w:color="auto"/>
            </w:tcBorders>
            <w:shd w:val="clear" w:color="000000" w:fill="E2EFDA"/>
            <w:vAlign w:val="center"/>
            <w:hideMark/>
          </w:tcPr>
          <w:p w14:paraId="14818161"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474D1E5C"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4928B2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0" w:type="auto"/>
            <w:tcBorders>
              <w:top w:val="nil"/>
              <w:left w:val="nil"/>
              <w:bottom w:val="single" w:sz="4" w:space="0" w:color="auto"/>
              <w:right w:val="single" w:sz="4" w:space="0" w:color="auto"/>
            </w:tcBorders>
            <w:shd w:val="clear" w:color="000000" w:fill="E2EFDA"/>
            <w:vAlign w:val="center"/>
            <w:hideMark/>
          </w:tcPr>
          <w:p w14:paraId="34F07DC8"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5055F81C"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30F5F6DA"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70BC583"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PM_ES3.1</w:t>
            </w:r>
          </w:p>
        </w:tc>
        <w:tc>
          <w:tcPr>
            <w:tcW w:w="0" w:type="auto"/>
            <w:tcBorders>
              <w:top w:val="nil"/>
              <w:left w:val="nil"/>
              <w:bottom w:val="single" w:sz="4" w:space="0" w:color="auto"/>
              <w:right w:val="single" w:sz="4" w:space="0" w:color="auto"/>
            </w:tcBorders>
            <w:shd w:val="clear" w:color="auto" w:fill="auto"/>
            <w:vAlign w:val="center"/>
            <w:hideMark/>
          </w:tcPr>
          <w:p w14:paraId="49A514E5"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Banatski dvor, natural gas storage expansion</w:t>
            </w:r>
          </w:p>
        </w:tc>
        <w:tc>
          <w:tcPr>
            <w:tcW w:w="0" w:type="auto"/>
            <w:tcBorders>
              <w:top w:val="nil"/>
              <w:left w:val="nil"/>
              <w:bottom w:val="single" w:sz="4" w:space="0" w:color="auto"/>
              <w:right w:val="single" w:sz="4" w:space="0" w:color="auto"/>
            </w:tcBorders>
            <w:shd w:val="clear" w:color="auto" w:fill="auto"/>
            <w:vAlign w:val="center"/>
            <w:hideMark/>
          </w:tcPr>
          <w:p w14:paraId="5D1F7B0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1BBF42E3"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375D0A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100.00</w:t>
            </w:r>
          </w:p>
        </w:tc>
        <w:tc>
          <w:tcPr>
            <w:tcW w:w="0" w:type="auto"/>
            <w:tcBorders>
              <w:top w:val="nil"/>
              <w:left w:val="nil"/>
              <w:bottom w:val="single" w:sz="4" w:space="0" w:color="auto"/>
              <w:right w:val="single" w:sz="4" w:space="0" w:color="auto"/>
            </w:tcBorders>
            <w:shd w:val="clear" w:color="000000" w:fill="E2EFDA"/>
            <w:vAlign w:val="center"/>
            <w:hideMark/>
          </w:tcPr>
          <w:p w14:paraId="29D2C733"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15.00</w:t>
            </w:r>
          </w:p>
        </w:tc>
        <w:tc>
          <w:tcPr>
            <w:tcW w:w="0" w:type="auto"/>
            <w:tcBorders>
              <w:top w:val="nil"/>
              <w:left w:val="nil"/>
              <w:bottom w:val="single" w:sz="4" w:space="0" w:color="auto"/>
              <w:right w:val="single" w:sz="4" w:space="0" w:color="auto"/>
            </w:tcBorders>
            <w:shd w:val="clear" w:color="000000" w:fill="E2EFDA"/>
            <w:vAlign w:val="center"/>
            <w:hideMark/>
          </w:tcPr>
          <w:p w14:paraId="1630C745"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85.00</w:t>
            </w:r>
          </w:p>
        </w:tc>
        <w:tc>
          <w:tcPr>
            <w:tcW w:w="0" w:type="auto"/>
            <w:tcBorders>
              <w:top w:val="nil"/>
              <w:left w:val="nil"/>
              <w:bottom w:val="single" w:sz="4" w:space="0" w:color="auto"/>
              <w:right w:val="single" w:sz="4" w:space="0" w:color="auto"/>
            </w:tcBorders>
            <w:shd w:val="clear" w:color="000000" w:fill="ED7D31"/>
            <w:vAlign w:val="center"/>
            <w:hideMark/>
          </w:tcPr>
          <w:p w14:paraId="6859707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A3B78BD"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100.00</w:t>
            </w:r>
          </w:p>
        </w:tc>
        <w:tc>
          <w:tcPr>
            <w:tcW w:w="0" w:type="auto"/>
            <w:tcBorders>
              <w:top w:val="nil"/>
              <w:left w:val="nil"/>
              <w:bottom w:val="single" w:sz="4" w:space="0" w:color="auto"/>
              <w:right w:val="single" w:sz="4" w:space="0" w:color="auto"/>
            </w:tcBorders>
            <w:shd w:val="clear" w:color="000000" w:fill="E2EFDA"/>
            <w:vAlign w:val="center"/>
            <w:hideMark/>
          </w:tcPr>
          <w:p w14:paraId="6693D4C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1A3F6770"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0D1C17A7"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9C40E1B"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PM_ES3.2</w:t>
            </w:r>
          </w:p>
        </w:tc>
        <w:tc>
          <w:tcPr>
            <w:tcW w:w="0" w:type="auto"/>
            <w:tcBorders>
              <w:top w:val="nil"/>
              <w:left w:val="nil"/>
              <w:bottom w:val="single" w:sz="4" w:space="0" w:color="auto"/>
              <w:right w:val="single" w:sz="4" w:space="0" w:color="auto"/>
            </w:tcBorders>
            <w:shd w:val="clear" w:color="auto" w:fill="auto"/>
            <w:vAlign w:val="center"/>
            <w:hideMark/>
          </w:tcPr>
          <w:p w14:paraId="415DCA45"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Creating mandatory reserves of oil and petroleum products</w:t>
            </w:r>
          </w:p>
        </w:tc>
        <w:tc>
          <w:tcPr>
            <w:tcW w:w="0" w:type="auto"/>
            <w:tcBorders>
              <w:top w:val="nil"/>
              <w:left w:val="nil"/>
              <w:bottom w:val="single" w:sz="4" w:space="0" w:color="auto"/>
              <w:right w:val="single" w:sz="4" w:space="0" w:color="auto"/>
            </w:tcBorders>
            <w:shd w:val="clear" w:color="auto" w:fill="auto"/>
            <w:vAlign w:val="center"/>
            <w:hideMark/>
          </w:tcPr>
          <w:p w14:paraId="4625963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2B001A4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DFC6038"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1604230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37C19A57"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94AD5AC"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66F3E7B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360C8B0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0B8655BA"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0D6FF4E1"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B121044"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PM_ES4</w:t>
            </w:r>
          </w:p>
        </w:tc>
        <w:tc>
          <w:tcPr>
            <w:tcW w:w="0" w:type="auto"/>
            <w:tcBorders>
              <w:top w:val="nil"/>
              <w:left w:val="nil"/>
              <w:bottom w:val="single" w:sz="4" w:space="0" w:color="auto"/>
              <w:right w:val="single" w:sz="4" w:space="0" w:color="auto"/>
            </w:tcBorders>
            <w:shd w:val="clear" w:color="auto" w:fill="auto"/>
            <w:vAlign w:val="center"/>
            <w:hideMark/>
          </w:tcPr>
          <w:p w14:paraId="1F06C0D8"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Creating operational reserves of oil, coal and other energy derivatives</w:t>
            </w:r>
          </w:p>
        </w:tc>
        <w:tc>
          <w:tcPr>
            <w:tcW w:w="0" w:type="auto"/>
            <w:tcBorders>
              <w:top w:val="nil"/>
              <w:left w:val="nil"/>
              <w:bottom w:val="single" w:sz="4" w:space="0" w:color="auto"/>
              <w:right w:val="single" w:sz="4" w:space="0" w:color="auto"/>
            </w:tcBorders>
            <w:shd w:val="clear" w:color="auto" w:fill="auto"/>
            <w:vAlign w:val="center"/>
            <w:hideMark/>
          </w:tcPr>
          <w:p w14:paraId="6120E48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5EBE283"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55DA2C5"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743A179C"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73A8B6C7"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2A78DAE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9732F2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52E3E2F3"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26F6981B"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3B93850E"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256444AD"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PM_ES5</w:t>
            </w:r>
          </w:p>
        </w:tc>
        <w:tc>
          <w:tcPr>
            <w:tcW w:w="0" w:type="auto"/>
            <w:tcBorders>
              <w:top w:val="nil"/>
              <w:left w:val="nil"/>
              <w:bottom w:val="single" w:sz="4" w:space="0" w:color="auto"/>
              <w:right w:val="single" w:sz="4" w:space="0" w:color="auto"/>
            </w:tcBorders>
            <w:shd w:val="clear" w:color="auto" w:fill="auto"/>
            <w:vAlign w:val="center"/>
            <w:hideMark/>
          </w:tcPr>
          <w:p w14:paraId="12AB6B7B"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Creating mandatory natural gas reserves</w:t>
            </w:r>
          </w:p>
        </w:tc>
        <w:tc>
          <w:tcPr>
            <w:tcW w:w="0" w:type="auto"/>
            <w:tcBorders>
              <w:top w:val="nil"/>
              <w:left w:val="nil"/>
              <w:bottom w:val="single" w:sz="4" w:space="0" w:color="auto"/>
              <w:right w:val="single" w:sz="4" w:space="0" w:color="auto"/>
            </w:tcBorders>
            <w:shd w:val="clear" w:color="auto" w:fill="auto"/>
            <w:vAlign w:val="center"/>
            <w:hideMark/>
          </w:tcPr>
          <w:p w14:paraId="5546FDDD"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1F85D94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6CEC87E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4925807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3EBEBBEF"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363CA41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F6F6E7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00ED3428"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11344D95"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5D3618C7"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F616EE1"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PM_ES6</w:t>
            </w:r>
          </w:p>
        </w:tc>
        <w:tc>
          <w:tcPr>
            <w:tcW w:w="0" w:type="auto"/>
            <w:tcBorders>
              <w:top w:val="nil"/>
              <w:left w:val="nil"/>
              <w:bottom w:val="single" w:sz="4" w:space="0" w:color="auto"/>
              <w:right w:val="single" w:sz="4" w:space="0" w:color="auto"/>
            </w:tcBorders>
            <w:shd w:val="clear" w:color="auto" w:fill="auto"/>
            <w:vAlign w:val="center"/>
            <w:hideMark/>
          </w:tcPr>
          <w:p w14:paraId="57E7BB80"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Electricity Risk Preparedness plan</w:t>
            </w:r>
          </w:p>
        </w:tc>
        <w:tc>
          <w:tcPr>
            <w:tcW w:w="0" w:type="auto"/>
            <w:tcBorders>
              <w:top w:val="nil"/>
              <w:left w:val="nil"/>
              <w:bottom w:val="single" w:sz="4" w:space="0" w:color="auto"/>
              <w:right w:val="single" w:sz="4" w:space="0" w:color="auto"/>
            </w:tcBorders>
            <w:shd w:val="clear" w:color="auto" w:fill="auto"/>
            <w:vAlign w:val="center"/>
            <w:hideMark/>
          </w:tcPr>
          <w:p w14:paraId="701110D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59BEEA4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C2F9E29"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19D34CFC"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5A3D1AF7"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7540512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3F75C2FF"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23C6804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4A707E32"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1E911789"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F40A468"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PM_ES7</w:t>
            </w:r>
          </w:p>
        </w:tc>
        <w:tc>
          <w:tcPr>
            <w:tcW w:w="0" w:type="auto"/>
            <w:tcBorders>
              <w:top w:val="nil"/>
              <w:left w:val="nil"/>
              <w:bottom w:val="single" w:sz="4" w:space="0" w:color="auto"/>
              <w:right w:val="single" w:sz="4" w:space="0" w:color="auto"/>
            </w:tcBorders>
            <w:shd w:val="clear" w:color="auto" w:fill="auto"/>
            <w:vAlign w:val="center"/>
            <w:hideMark/>
          </w:tcPr>
          <w:p w14:paraId="2DF0081E"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Update in Security of supply regulation (at least at a national level)</w:t>
            </w:r>
          </w:p>
        </w:tc>
        <w:tc>
          <w:tcPr>
            <w:tcW w:w="0" w:type="auto"/>
            <w:tcBorders>
              <w:top w:val="nil"/>
              <w:left w:val="nil"/>
              <w:bottom w:val="single" w:sz="4" w:space="0" w:color="auto"/>
              <w:right w:val="single" w:sz="4" w:space="0" w:color="auto"/>
            </w:tcBorders>
            <w:shd w:val="clear" w:color="auto" w:fill="auto"/>
            <w:vAlign w:val="center"/>
            <w:hideMark/>
          </w:tcPr>
          <w:p w14:paraId="6C7434AC"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1159927"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4A151F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6BD1968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62882B7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CF8EC5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148EC91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0.50</w:t>
            </w:r>
          </w:p>
        </w:tc>
        <w:tc>
          <w:tcPr>
            <w:tcW w:w="0" w:type="auto"/>
            <w:tcBorders>
              <w:top w:val="nil"/>
              <w:left w:val="nil"/>
              <w:bottom w:val="single" w:sz="4" w:space="0" w:color="auto"/>
              <w:right w:val="single" w:sz="4" w:space="0" w:color="auto"/>
            </w:tcBorders>
            <w:shd w:val="clear" w:color="000000" w:fill="E2EFDA"/>
            <w:vAlign w:val="center"/>
            <w:hideMark/>
          </w:tcPr>
          <w:p w14:paraId="44C4BC1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709AC939"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58A614B6"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6756E12"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PM_ES8</w:t>
            </w:r>
          </w:p>
        </w:tc>
        <w:tc>
          <w:tcPr>
            <w:tcW w:w="0" w:type="auto"/>
            <w:tcBorders>
              <w:top w:val="nil"/>
              <w:left w:val="nil"/>
              <w:bottom w:val="single" w:sz="4" w:space="0" w:color="auto"/>
              <w:right w:val="single" w:sz="4" w:space="0" w:color="auto"/>
            </w:tcBorders>
            <w:shd w:val="clear" w:color="auto" w:fill="auto"/>
            <w:vAlign w:val="center"/>
            <w:hideMark/>
          </w:tcPr>
          <w:p w14:paraId="120C8E38"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Oil product pipeline from Pančevo refinery to Novi Sad, Sombor, Belgrade and Niš, through Smederevo and Jagodina</w:t>
            </w:r>
          </w:p>
        </w:tc>
        <w:tc>
          <w:tcPr>
            <w:tcW w:w="0" w:type="auto"/>
            <w:tcBorders>
              <w:top w:val="nil"/>
              <w:left w:val="nil"/>
              <w:bottom w:val="single" w:sz="4" w:space="0" w:color="auto"/>
              <w:right w:val="single" w:sz="4" w:space="0" w:color="auto"/>
            </w:tcBorders>
            <w:shd w:val="clear" w:color="auto" w:fill="auto"/>
            <w:vAlign w:val="center"/>
            <w:hideMark/>
          </w:tcPr>
          <w:p w14:paraId="06B8C08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78BFC2A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6F9A796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400.00</w:t>
            </w:r>
          </w:p>
        </w:tc>
        <w:tc>
          <w:tcPr>
            <w:tcW w:w="0" w:type="auto"/>
            <w:tcBorders>
              <w:top w:val="nil"/>
              <w:left w:val="nil"/>
              <w:bottom w:val="single" w:sz="4" w:space="0" w:color="auto"/>
              <w:right w:val="single" w:sz="4" w:space="0" w:color="auto"/>
            </w:tcBorders>
            <w:shd w:val="clear" w:color="000000" w:fill="E2EFDA"/>
            <w:vAlign w:val="center"/>
            <w:hideMark/>
          </w:tcPr>
          <w:p w14:paraId="14310379"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60.00</w:t>
            </w:r>
          </w:p>
        </w:tc>
        <w:tc>
          <w:tcPr>
            <w:tcW w:w="0" w:type="auto"/>
            <w:tcBorders>
              <w:top w:val="nil"/>
              <w:left w:val="nil"/>
              <w:bottom w:val="single" w:sz="4" w:space="0" w:color="auto"/>
              <w:right w:val="single" w:sz="4" w:space="0" w:color="auto"/>
            </w:tcBorders>
            <w:shd w:val="clear" w:color="000000" w:fill="E2EFDA"/>
            <w:vAlign w:val="center"/>
            <w:hideMark/>
          </w:tcPr>
          <w:p w14:paraId="375EE757"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340.00</w:t>
            </w:r>
          </w:p>
        </w:tc>
        <w:tc>
          <w:tcPr>
            <w:tcW w:w="0" w:type="auto"/>
            <w:tcBorders>
              <w:top w:val="nil"/>
              <w:left w:val="nil"/>
              <w:bottom w:val="single" w:sz="4" w:space="0" w:color="auto"/>
              <w:right w:val="single" w:sz="4" w:space="0" w:color="auto"/>
            </w:tcBorders>
            <w:shd w:val="clear" w:color="000000" w:fill="ED7D31"/>
            <w:vAlign w:val="center"/>
            <w:hideMark/>
          </w:tcPr>
          <w:p w14:paraId="4EDDB8C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2B07027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400.00</w:t>
            </w:r>
          </w:p>
        </w:tc>
        <w:tc>
          <w:tcPr>
            <w:tcW w:w="0" w:type="auto"/>
            <w:tcBorders>
              <w:top w:val="nil"/>
              <w:left w:val="nil"/>
              <w:bottom w:val="single" w:sz="4" w:space="0" w:color="auto"/>
              <w:right w:val="single" w:sz="4" w:space="0" w:color="auto"/>
            </w:tcBorders>
            <w:shd w:val="clear" w:color="000000" w:fill="E2EFDA"/>
            <w:vAlign w:val="center"/>
            <w:hideMark/>
          </w:tcPr>
          <w:p w14:paraId="46F643F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7DD7F6D8"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7D269620"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4C5A44BB"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PM_ES9</w:t>
            </w:r>
          </w:p>
        </w:tc>
        <w:tc>
          <w:tcPr>
            <w:tcW w:w="0" w:type="auto"/>
            <w:tcBorders>
              <w:top w:val="nil"/>
              <w:left w:val="nil"/>
              <w:bottom w:val="single" w:sz="4" w:space="0" w:color="auto"/>
              <w:right w:val="single" w:sz="4" w:space="0" w:color="auto"/>
            </w:tcBorders>
            <w:shd w:val="clear" w:color="auto" w:fill="auto"/>
            <w:vAlign w:val="center"/>
            <w:hideMark/>
          </w:tcPr>
          <w:p w14:paraId="3E0BA48F"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a pumped storage project in Bistrica</w:t>
            </w:r>
          </w:p>
        </w:tc>
        <w:tc>
          <w:tcPr>
            <w:tcW w:w="0" w:type="auto"/>
            <w:tcBorders>
              <w:top w:val="nil"/>
              <w:left w:val="nil"/>
              <w:bottom w:val="single" w:sz="4" w:space="0" w:color="auto"/>
              <w:right w:val="single" w:sz="4" w:space="0" w:color="auto"/>
            </w:tcBorders>
            <w:shd w:val="clear" w:color="auto" w:fill="auto"/>
            <w:vAlign w:val="center"/>
            <w:hideMark/>
          </w:tcPr>
          <w:p w14:paraId="5FB4C7A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355B68D8"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ED1FBE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835.00</w:t>
            </w:r>
          </w:p>
        </w:tc>
        <w:tc>
          <w:tcPr>
            <w:tcW w:w="0" w:type="auto"/>
            <w:tcBorders>
              <w:top w:val="nil"/>
              <w:left w:val="nil"/>
              <w:bottom w:val="single" w:sz="4" w:space="0" w:color="auto"/>
              <w:right w:val="single" w:sz="4" w:space="0" w:color="auto"/>
            </w:tcBorders>
            <w:shd w:val="clear" w:color="000000" w:fill="E2EFDA"/>
            <w:vAlign w:val="center"/>
            <w:hideMark/>
          </w:tcPr>
          <w:p w14:paraId="28B91001"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417.50</w:t>
            </w:r>
          </w:p>
        </w:tc>
        <w:tc>
          <w:tcPr>
            <w:tcW w:w="0" w:type="auto"/>
            <w:tcBorders>
              <w:top w:val="nil"/>
              <w:left w:val="nil"/>
              <w:bottom w:val="single" w:sz="4" w:space="0" w:color="auto"/>
              <w:right w:val="single" w:sz="4" w:space="0" w:color="auto"/>
            </w:tcBorders>
            <w:shd w:val="clear" w:color="000000" w:fill="E2EFDA"/>
            <w:vAlign w:val="center"/>
            <w:hideMark/>
          </w:tcPr>
          <w:p w14:paraId="5EA7B65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417.50</w:t>
            </w:r>
          </w:p>
        </w:tc>
        <w:tc>
          <w:tcPr>
            <w:tcW w:w="0" w:type="auto"/>
            <w:tcBorders>
              <w:top w:val="nil"/>
              <w:left w:val="nil"/>
              <w:bottom w:val="single" w:sz="4" w:space="0" w:color="auto"/>
              <w:right w:val="single" w:sz="4" w:space="0" w:color="auto"/>
            </w:tcBorders>
            <w:shd w:val="clear" w:color="auto" w:fill="ED7D31" w:themeFill="accent2"/>
            <w:vAlign w:val="center"/>
            <w:hideMark/>
          </w:tcPr>
          <w:p w14:paraId="630B792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4A34B56C"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other</w:t>
            </w:r>
          </w:p>
        </w:tc>
        <w:tc>
          <w:tcPr>
            <w:tcW w:w="0" w:type="auto"/>
            <w:tcBorders>
              <w:top w:val="nil"/>
              <w:left w:val="nil"/>
              <w:bottom w:val="single" w:sz="4" w:space="0" w:color="auto"/>
              <w:right w:val="single" w:sz="4" w:space="0" w:color="auto"/>
            </w:tcBorders>
            <w:shd w:val="clear" w:color="000000" w:fill="E2EFDA"/>
            <w:vAlign w:val="center"/>
            <w:hideMark/>
          </w:tcPr>
          <w:p w14:paraId="6320D6A9"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835.00</w:t>
            </w:r>
          </w:p>
        </w:tc>
      </w:tr>
      <w:tr w:rsidR="001A6E07" w:rsidRPr="00207220" w14:paraId="77F96DB2"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6125BA6C"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F6DA81B"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PM_ES10</w:t>
            </w:r>
          </w:p>
        </w:tc>
        <w:tc>
          <w:tcPr>
            <w:tcW w:w="0" w:type="auto"/>
            <w:tcBorders>
              <w:top w:val="nil"/>
              <w:left w:val="nil"/>
              <w:bottom w:val="single" w:sz="4" w:space="0" w:color="auto"/>
              <w:right w:val="single" w:sz="4" w:space="0" w:color="auto"/>
            </w:tcBorders>
            <w:shd w:val="clear" w:color="auto" w:fill="auto"/>
            <w:vAlign w:val="center"/>
            <w:hideMark/>
          </w:tcPr>
          <w:p w14:paraId="2CD72313"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additional dispatchable generation from natural gas</w:t>
            </w:r>
          </w:p>
        </w:tc>
        <w:tc>
          <w:tcPr>
            <w:tcW w:w="0" w:type="auto"/>
            <w:tcBorders>
              <w:top w:val="nil"/>
              <w:left w:val="nil"/>
              <w:bottom w:val="single" w:sz="4" w:space="0" w:color="auto"/>
              <w:right w:val="single" w:sz="4" w:space="0" w:color="auto"/>
            </w:tcBorders>
            <w:shd w:val="clear" w:color="auto" w:fill="auto"/>
            <w:vAlign w:val="center"/>
            <w:hideMark/>
          </w:tcPr>
          <w:p w14:paraId="54694EC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66FF9E4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766F069"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300.00</w:t>
            </w:r>
          </w:p>
        </w:tc>
        <w:tc>
          <w:tcPr>
            <w:tcW w:w="0" w:type="auto"/>
            <w:tcBorders>
              <w:top w:val="nil"/>
              <w:left w:val="nil"/>
              <w:bottom w:val="single" w:sz="4" w:space="0" w:color="auto"/>
              <w:right w:val="single" w:sz="4" w:space="0" w:color="auto"/>
            </w:tcBorders>
            <w:shd w:val="clear" w:color="000000" w:fill="E2EFDA"/>
            <w:vAlign w:val="center"/>
            <w:hideMark/>
          </w:tcPr>
          <w:p w14:paraId="4321F351"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150.00</w:t>
            </w:r>
          </w:p>
        </w:tc>
        <w:tc>
          <w:tcPr>
            <w:tcW w:w="0" w:type="auto"/>
            <w:tcBorders>
              <w:top w:val="nil"/>
              <w:left w:val="nil"/>
              <w:bottom w:val="single" w:sz="4" w:space="0" w:color="auto"/>
              <w:right w:val="single" w:sz="4" w:space="0" w:color="auto"/>
            </w:tcBorders>
            <w:shd w:val="clear" w:color="000000" w:fill="E2EFDA"/>
            <w:vAlign w:val="center"/>
            <w:hideMark/>
          </w:tcPr>
          <w:p w14:paraId="088037FB"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150.00</w:t>
            </w:r>
          </w:p>
        </w:tc>
        <w:tc>
          <w:tcPr>
            <w:tcW w:w="0" w:type="auto"/>
            <w:tcBorders>
              <w:top w:val="nil"/>
              <w:left w:val="nil"/>
              <w:bottom w:val="single" w:sz="4" w:space="0" w:color="auto"/>
              <w:right w:val="single" w:sz="4" w:space="0" w:color="auto"/>
            </w:tcBorders>
            <w:shd w:val="clear" w:color="auto" w:fill="ED7D31" w:themeFill="accent2"/>
            <w:vAlign w:val="center"/>
            <w:hideMark/>
          </w:tcPr>
          <w:p w14:paraId="39F04B9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5290843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other</w:t>
            </w:r>
          </w:p>
        </w:tc>
        <w:tc>
          <w:tcPr>
            <w:tcW w:w="0" w:type="auto"/>
            <w:tcBorders>
              <w:top w:val="nil"/>
              <w:left w:val="nil"/>
              <w:bottom w:val="single" w:sz="4" w:space="0" w:color="auto"/>
              <w:right w:val="single" w:sz="4" w:space="0" w:color="auto"/>
            </w:tcBorders>
            <w:shd w:val="clear" w:color="000000" w:fill="E2EFDA"/>
            <w:vAlign w:val="center"/>
            <w:hideMark/>
          </w:tcPr>
          <w:p w14:paraId="0D2C4FA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300.00</w:t>
            </w:r>
          </w:p>
        </w:tc>
      </w:tr>
      <w:tr w:rsidR="001A6E07" w:rsidRPr="00207220" w14:paraId="780A2EB6"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36F23B4D"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5D9D9B5"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PM_ES11</w:t>
            </w:r>
          </w:p>
        </w:tc>
        <w:tc>
          <w:tcPr>
            <w:tcW w:w="0" w:type="auto"/>
            <w:tcBorders>
              <w:top w:val="nil"/>
              <w:left w:val="nil"/>
              <w:bottom w:val="single" w:sz="4" w:space="0" w:color="auto"/>
              <w:right w:val="single" w:sz="4" w:space="0" w:color="auto"/>
            </w:tcBorders>
            <w:shd w:val="clear" w:color="auto" w:fill="auto"/>
            <w:vAlign w:val="center"/>
            <w:hideMark/>
          </w:tcPr>
          <w:p w14:paraId="1181BB57"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sz w:val="15"/>
                <w:szCs w:val="15"/>
              </w:rPr>
              <w:t>Modernisation of the coal mining industry</w:t>
            </w:r>
          </w:p>
        </w:tc>
        <w:tc>
          <w:tcPr>
            <w:tcW w:w="0" w:type="auto"/>
            <w:tcBorders>
              <w:top w:val="nil"/>
              <w:left w:val="nil"/>
              <w:bottom w:val="single" w:sz="4" w:space="0" w:color="auto"/>
              <w:right w:val="single" w:sz="4" w:space="0" w:color="auto"/>
            </w:tcBorders>
            <w:shd w:val="clear" w:color="auto" w:fill="auto"/>
            <w:vAlign w:val="center"/>
            <w:hideMark/>
          </w:tcPr>
          <w:p w14:paraId="38FCB021"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50FDAC51"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EC88076"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1300.00</w:t>
            </w:r>
          </w:p>
        </w:tc>
        <w:tc>
          <w:tcPr>
            <w:tcW w:w="0" w:type="auto"/>
            <w:tcBorders>
              <w:top w:val="nil"/>
              <w:left w:val="nil"/>
              <w:bottom w:val="single" w:sz="4" w:space="0" w:color="auto"/>
              <w:right w:val="single" w:sz="4" w:space="0" w:color="auto"/>
            </w:tcBorders>
            <w:shd w:val="clear" w:color="000000" w:fill="E2EFDA"/>
            <w:vAlign w:val="center"/>
            <w:hideMark/>
          </w:tcPr>
          <w:p w14:paraId="5CF4EAF5" w14:textId="77777777" w:rsidR="001A6E07" w:rsidRPr="00673450" w:rsidRDefault="001A6E07" w:rsidP="001544A6">
            <w:pPr>
              <w:spacing w:after="0" w:line="240" w:lineRule="auto"/>
              <w:jc w:val="center"/>
              <w:rPr>
                <w:rFonts w:ascii="Calibri" w:eastAsia="Times New Roman" w:hAnsi="Calibri" w:cs="Calibri"/>
                <w:sz w:val="15"/>
                <w:szCs w:val="15"/>
              </w:rPr>
            </w:pPr>
            <w:r>
              <w:rPr>
                <w:rFonts w:ascii="Calibri" w:hAnsi="Calibri" w:cs="Calibri"/>
                <w:sz w:val="15"/>
                <w:szCs w:val="15"/>
              </w:rPr>
              <w:t>650.00</w:t>
            </w:r>
          </w:p>
        </w:tc>
        <w:tc>
          <w:tcPr>
            <w:tcW w:w="0" w:type="auto"/>
            <w:tcBorders>
              <w:top w:val="nil"/>
              <w:left w:val="nil"/>
              <w:bottom w:val="single" w:sz="4" w:space="0" w:color="auto"/>
              <w:right w:val="single" w:sz="4" w:space="0" w:color="auto"/>
            </w:tcBorders>
            <w:shd w:val="clear" w:color="000000" w:fill="E2EFDA"/>
            <w:vAlign w:val="center"/>
            <w:hideMark/>
          </w:tcPr>
          <w:p w14:paraId="3AE6ACC5" w14:textId="77777777" w:rsidR="001A6E07" w:rsidRPr="00673450" w:rsidRDefault="001A6E07" w:rsidP="001544A6">
            <w:pPr>
              <w:spacing w:after="0" w:line="240" w:lineRule="auto"/>
              <w:jc w:val="center"/>
              <w:rPr>
                <w:rFonts w:ascii="Calibri" w:eastAsia="Times New Roman" w:hAnsi="Calibri" w:cs="Calibri"/>
                <w:sz w:val="15"/>
                <w:szCs w:val="15"/>
              </w:rPr>
            </w:pPr>
            <w:r>
              <w:rPr>
                <w:rFonts w:ascii="Calibri" w:hAnsi="Calibri" w:cs="Calibri"/>
                <w:sz w:val="15"/>
                <w:szCs w:val="15"/>
              </w:rPr>
              <w:t>650.00</w:t>
            </w:r>
          </w:p>
        </w:tc>
        <w:tc>
          <w:tcPr>
            <w:tcW w:w="0" w:type="auto"/>
            <w:tcBorders>
              <w:top w:val="nil"/>
              <w:left w:val="nil"/>
              <w:bottom w:val="single" w:sz="4" w:space="0" w:color="auto"/>
              <w:right w:val="single" w:sz="4" w:space="0" w:color="auto"/>
            </w:tcBorders>
            <w:shd w:val="clear" w:color="000000" w:fill="ED7D31"/>
            <w:vAlign w:val="center"/>
            <w:hideMark/>
          </w:tcPr>
          <w:p w14:paraId="3E7ECD65"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219A6EA4"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1300.00</w:t>
            </w:r>
          </w:p>
        </w:tc>
        <w:tc>
          <w:tcPr>
            <w:tcW w:w="0" w:type="auto"/>
            <w:tcBorders>
              <w:top w:val="nil"/>
              <w:left w:val="nil"/>
              <w:bottom w:val="single" w:sz="4" w:space="0" w:color="auto"/>
              <w:right w:val="single" w:sz="4" w:space="0" w:color="auto"/>
            </w:tcBorders>
            <w:shd w:val="clear" w:color="000000" w:fill="E2EFDA"/>
            <w:vAlign w:val="center"/>
            <w:hideMark/>
          </w:tcPr>
          <w:p w14:paraId="3C933FFA"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1A6E07" w:rsidRPr="00207220" w14:paraId="2FDA7843" w14:textId="77777777" w:rsidTr="001E0CC6">
        <w:trPr>
          <w:trHeight w:val="20"/>
        </w:trPr>
        <w:tc>
          <w:tcPr>
            <w:tcW w:w="0" w:type="auto"/>
            <w:vMerge/>
            <w:tcBorders>
              <w:top w:val="nil"/>
              <w:left w:val="single" w:sz="4" w:space="0" w:color="auto"/>
              <w:bottom w:val="single" w:sz="4" w:space="0" w:color="000000"/>
              <w:right w:val="single" w:sz="4" w:space="0" w:color="auto"/>
            </w:tcBorders>
            <w:vAlign w:val="center"/>
            <w:hideMark/>
          </w:tcPr>
          <w:p w14:paraId="39AEF49A" w14:textId="77777777" w:rsidR="001A6E07" w:rsidRPr="00673450" w:rsidRDefault="001A6E07"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7EA94C9"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b/>
                <w:bCs/>
                <w:sz w:val="14"/>
                <w:szCs w:val="14"/>
              </w:rPr>
              <w:t> </w:t>
            </w:r>
          </w:p>
        </w:tc>
        <w:tc>
          <w:tcPr>
            <w:tcW w:w="0" w:type="auto"/>
            <w:tcBorders>
              <w:top w:val="nil"/>
              <w:left w:val="nil"/>
              <w:bottom w:val="single" w:sz="4" w:space="0" w:color="auto"/>
              <w:right w:val="single" w:sz="4" w:space="0" w:color="auto"/>
            </w:tcBorders>
            <w:shd w:val="clear" w:color="auto" w:fill="auto"/>
            <w:vAlign w:val="center"/>
            <w:hideMark/>
          </w:tcPr>
          <w:p w14:paraId="4D5A9885" w14:textId="77777777" w:rsidR="001A6E07" w:rsidRPr="00673450" w:rsidRDefault="001A6E07" w:rsidP="001544A6">
            <w:pPr>
              <w:spacing w:after="0" w:line="240" w:lineRule="auto"/>
              <w:rPr>
                <w:rFonts w:ascii="Calibri" w:eastAsia="Times New Roman" w:hAnsi="Calibri" w:cs="Calibri"/>
                <w:sz w:val="15"/>
                <w:szCs w:val="15"/>
              </w:rPr>
            </w:pPr>
            <w:r w:rsidRPr="00673450">
              <w:rPr>
                <w:rFonts w:ascii="Calibri" w:hAnsi="Calibri" w:cs="Calibri"/>
                <w:b/>
                <w:bCs/>
                <w:sz w:val="20"/>
                <w:szCs w:val="20"/>
              </w:rPr>
              <w:t>TOTAL FOR ENERGY SECURITY</w:t>
            </w:r>
          </w:p>
        </w:tc>
        <w:tc>
          <w:tcPr>
            <w:tcW w:w="0" w:type="auto"/>
            <w:tcBorders>
              <w:top w:val="nil"/>
              <w:left w:val="nil"/>
              <w:bottom w:val="single" w:sz="4" w:space="0" w:color="auto"/>
              <w:right w:val="single" w:sz="4" w:space="0" w:color="auto"/>
            </w:tcBorders>
            <w:shd w:val="clear" w:color="auto" w:fill="auto"/>
            <w:vAlign w:val="center"/>
            <w:hideMark/>
          </w:tcPr>
          <w:p w14:paraId="2799F452"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83EA4A3"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000000" w:fill="E2EFDA"/>
            <w:vAlign w:val="center"/>
            <w:hideMark/>
          </w:tcPr>
          <w:p w14:paraId="763ED98D"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3.</w:t>
            </w:r>
            <w:r w:rsidR="00F23654">
              <w:rPr>
                <w:rFonts w:ascii="Calibri" w:hAnsi="Calibri" w:cs="Calibri"/>
                <w:b/>
                <w:bCs/>
                <w:sz w:val="20"/>
                <w:szCs w:val="20"/>
              </w:rPr>
              <w:t>13</w:t>
            </w:r>
          </w:p>
        </w:tc>
        <w:tc>
          <w:tcPr>
            <w:tcW w:w="0" w:type="auto"/>
            <w:tcBorders>
              <w:top w:val="nil"/>
              <w:left w:val="nil"/>
              <w:bottom w:val="single" w:sz="4" w:space="0" w:color="auto"/>
              <w:right w:val="single" w:sz="4" w:space="0" w:color="auto"/>
            </w:tcBorders>
            <w:shd w:val="clear" w:color="000000" w:fill="E2EFDA"/>
            <w:vAlign w:val="center"/>
            <w:hideMark/>
          </w:tcPr>
          <w:p w14:paraId="642CFC58" w14:textId="77777777" w:rsidR="001A6E07" w:rsidRPr="00673450" w:rsidRDefault="001A6E07" w:rsidP="001544A6">
            <w:pPr>
              <w:spacing w:after="0" w:line="240" w:lineRule="auto"/>
              <w:jc w:val="center"/>
              <w:rPr>
                <w:rFonts w:ascii="Calibri" w:eastAsia="Times New Roman" w:hAnsi="Calibri" w:cs="Calibri"/>
                <w:sz w:val="15"/>
                <w:szCs w:val="15"/>
              </w:rPr>
            </w:pPr>
            <w:r>
              <w:rPr>
                <w:rFonts w:ascii="Calibri" w:hAnsi="Calibri" w:cs="Calibri"/>
                <w:b/>
                <w:bCs/>
                <w:sz w:val="20"/>
                <w:szCs w:val="20"/>
              </w:rPr>
              <w:t>1.32</w:t>
            </w:r>
          </w:p>
        </w:tc>
        <w:tc>
          <w:tcPr>
            <w:tcW w:w="0" w:type="auto"/>
            <w:tcBorders>
              <w:top w:val="nil"/>
              <w:left w:val="nil"/>
              <w:bottom w:val="single" w:sz="4" w:space="0" w:color="auto"/>
              <w:right w:val="single" w:sz="4" w:space="0" w:color="auto"/>
            </w:tcBorders>
            <w:shd w:val="clear" w:color="000000" w:fill="E2EFDA"/>
            <w:vAlign w:val="center"/>
            <w:hideMark/>
          </w:tcPr>
          <w:p w14:paraId="2CD99B34" w14:textId="77777777" w:rsidR="001A6E07" w:rsidRPr="00673450" w:rsidRDefault="001A6E07" w:rsidP="001544A6">
            <w:pPr>
              <w:spacing w:after="0" w:line="240" w:lineRule="auto"/>
              <w:jc w:val="center"/>
              <w:rPr>
                <w:rFonts w:ascii="Calibri" w:eastAsia="Times New Roman" w:hAnsi="Calibri" w:cs="Calibri"/>
                <w:sz w:val="15"/>
                <w:szCs w:val="15"/>
              </w:rPr>
            </w:pPr>
            <w:r>
              <w:rPr>
                <w:rFonts w:ascii="Calibri" w:hAnsi="Calibri" w:cs="Calibri"/>
                <w:b/>
                <w:bCs/>
                <w:sz w:val="20"/>
                <w:szCs w:val="20"/>
              </w:rPr>
              <w:t>1.8</w:t>
            </w:r>
            <w:r w:rsidR="00F23654">
              <w:rPr>
                <w:rFonts w:ascii="Calibri" w:hAnsi="Calibri" w:cs="Calibri"/>
                <w:b/>
                <w:bCs/>
                <w:sz w:val="20"/>
                <w:szCs w:val="20"/>
              </w:rPr>
              <w:t>0</w:t>
            </w:r>
          </w:p>
        </w:tc>
        <w:tc>
          <w:tcPr>
            <w:tcW w:w="0" w:type="auto"/>
            <w:tcBorders>
              <w:top w:val="nil"/>
              <w:left w:val="nil"/>
              <w:bottom w:val="single" w:sz="4" w:space="0" w:color="auto"/>
              <w:right w:val="single" w:sz="4" w:space="0" w:color="auto"/>
            </w:tcBorders>
            <w:shd w:val="clear" w:color="000000" w:fill="E2EFDA"/>
            <w:vAlign w:val="center"/>
            <w:hideMark/>
          </w:tcPr>
          <w:p w14:paraId="3323EE90"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000000" w:fill="E2EFDA"/>
            <w:vAlign w:val="center"/>
            <w:hideMark/>
          </w:tcPr>
          <w:p w14:paraId="0483C788" w14:textId="77777777" w:rsidR="001A6E07" w:rsidRPr="00673450" w:rsidRDefault="001A6E07" w:rsidP="001544A6">
            <w:pPr>
              <w:spacing w:after="0" w:line="240" w:lineRule="auto"/>
              <w:jc w:val="center"/>
              <w:rPr>
                <w:rFonts w:ascii="Calibri" w:eastAsia="Times New Roman" w:hAnsi="Calibri" w:cs="Calibri"/>
                <w:sz w:val="15"/>
                <w:szCs w:val="15"/>
              </w:rPr>
            </w:pPr>
            <w:r>
              <w:rPr>
                <w:rFonts w:ascii="Calibri" w:hAnsi="Calibri" w:cs="Calibri"/>
                <w:b/>
                <w:bCs/>
                <w:sz w:val="20"/>
                <w:szCs w:val="20"/>
              </w:rPr>
              <w:t>1.99</w:t>
            </w:r>
          </w:p>
        </w:tc>
        <w:tc>
          <w:tcPr>
            <w:tcW w:w="0" w:type="auto"/>
            <w:tcBorders>
              <w:top w:val="nil"/>
              <w:left w:val="nil"/>
              <w:bottom w:val="single" w:sz="4" w:space="0" w:color="auto"/>
              <w:right w:val="single" w:sz="4" w:space="0" w:color="auto"/>
            </w:tcBorders>
            <w:shd w:val="clear" w:color="000000" w:fill="E2EFDA"/>
            <w:vAlign w:val="center"/>
            <w:hideMark/>
          </w:tcPr>
          <w:p w14:paraId="4E8A6F3E" w14:textId="77777777" w:rsidR="001A6E07" w:rsidRPr="00673450" w:rsidRDefault="001A6E07"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1.14</w:t>
            </w:r>
          </w:p>
        </w:tc>
      </w:tr>
    </w:tbl>
    <w:p w14:paraId="6B447AE7" w14:textId="77777777" w:rsidR="00663039" w:rsidRDefault="00663039" w:rsidP="00663039">
      <w:pPr>
        <w:spacing w:after="0" w:line="259" w:lineRule="auto"/>
        <w:rPr>
          <w:rFonts w:ascii="Calibri" w:eastAsia="Times New Roman" w:hAnsi="Calibri" w:cs="Arial"/>
          <w:lang w:eastAsia="el-GR"/>
        </w:rPr>
      </w:pPr>
    </w:p>
    <w:p w14:paraId="61B9745A" w14:textId="27ED9E20" w:rsidR="00A84B9C" w:rsidRDefault="00A84B9C" w:rsidP="0087794A">
      <w:pPr>
        <w:pStyle w:val="Caption"/>
        <w:keepNext/>
      </w:pPr>
      <w:bookmarkStart w:id="683" w:name="_Toc153545083"/>
      <w:r>
        <w:t xml:space="preserve">Table </w:t>
      </w:r>
      <w:r w:rsidR="006E0533">
        <w:fldChar w:fldCharType="begin"/>
      </w:r>
      <w:r w:rsidR="006E0533">
        <w:instrText xml:space="preserve"> STYLEREF 1 \s </w:instrText>
      </w:r>
      <w:r w:rsidR="006E0533">
        <w:fldChar w:fldCharType="separate"/>
      </w:r>
      <w:r>
        <w:rPr>
          <w:noProof/>
        </w:rPr>
        <w:t>I</w:t>
      </w:r>
      <w:r w:rsidR="006E0533">
        <w:rPr>
          <w:noProof/>
        </w:rPr>
        <w:fldChar w:fldCharType="end"/>
      </w:r>
      <w:r>
        <w:t>.</w:t>
      </w:r>
      <w:r w:rsidR="006E0533">
        <w:fldChar w:fldCharType="begin"/>
      </w:r>
      <w:r w:rsidR="006E0533">
        <w:instrText xml:space="preserve"> SEQ Table \* ARABIC \s 1 </w:instrText>
      </w:r>
      <w:r w:rsidR="006E0533">
        <w:fldChar w:fldCharType="separate"/>
      </w:r>
      <w:r>
        <w:rPr>
          <w:noProof/>
        </w:rPr>
        <w:t>4</w:t>
      </w:r>
      <w:r w:rsidR="006E0533">
        <w:rPr>
          <w:noProof/>
        </w:rPr>
        <w:fldChar w:fldCharType="end"/>
      </w:r>
      <w:r>
        <w:t xml:space="preserve">: </w:t>
      </w:r>
      <w:r w:rsidRPr="00A84B9C">
        <w:t>Internal Energy Market</w:t>
      </w:r>
      <w:r>
        <w:t xml:space="preserve"> </w:t>
      </w:r>
      <w:r w:rsidRPr="00A84B9C">
        <w:t>policy measures</w:t>
      </w:r>
      <w:bookmarkEnd w:id="683"/>
    </w:p>
    <w:tbl>
      <w:tblPr>
        <w:tblW w:w="0" w:type="auto"/>
        <w:tblLook w:val="04A0" w:firstRow="1" w:lastRow="0" w:firstColumn="1" w:lastColumn="0" w:noHBand="0" w:noVBand="1"/>
      </w:tblPr>
      <w:tblGrid>
        <w:gridCol w:w="1043"/>
        <w:gridCol w:w="951"/>
        <w:gridCol w:w="3827"/>
        <w:gridCol w:w="978"/>
        <w:gridCol w:w="1236"/>
        <w:gridCol w:w="1423"/>
        <w:gridCol w:w="1003"/>
        <w:gridCol w:w="908"/>
        <w:gridCol w:w="1404"/>
        <w:gridCol w:w="892"/>
        <w:gridCol w:w="895"/>
      </w:tblGrid>
      <w:tr w:rsidR="005B2C66" w:rsidRPr="00207220" w14:paraId="741CD2FA" w14:textId="77777777" w:rsidTr="005B2C6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3D2BE495"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Dimension</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7ECFAEC"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PAM number</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96324EC"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Name of policy or measure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B8C4EDF"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Type of measure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0BA926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Synergetic effects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08E9D7B"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Implementation Cost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A3C5666"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Planned public aid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7CB2AF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own Funds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83B5FFA"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Projections scenario in which the PAM is included</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8DDE065"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WEM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2F67614"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WAM (million €)</w:t>
            </w:r>
          </w:p>
        </w:tc>
      </w:tr>
      <w:tr w:rsidR="008620D0" w:rsidRPr="00207220" w14:paraId="7BF62800" w14:textId="77777777" w:rsidTr="005B2C66">
        <w:trPr>
          <w:trHeight w:val="20"/>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0D6A873" w14:textId="43007BB9" w:rsidR="008620D0" w:rsidRPr="00673450" w:rsidRDefault="008620D0"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Internal Energy Market</w:t>
            </w:r>
          </w:p>
        </w:tc>
        <w:tc>
          <w:tcPr>
            <w:tcW w:w="0" w:type="auto"/>
            <w:tcBorders>
              <w:top w:val="nil"/>
              <w:left w:val="nil"/>
              <w:bottom w:val="single" w:sz="4" w:space="0" w:color="auto"/>
              <w:right w:val="single" w:sz="4" w:space="0" w:color="auto"/>
            </w:tcBorders>
            <w:shd w:val="clear" w:color="auto" w:fill="auto"/>
            <w:vAlign w:val="center"/>
            <w:hideMark/>
          </w:tcPr>
          <w:p w14:paraId="1608FF59"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w:t>
            </w:r>
          </w:p>
        </w:tc>
        <w:tc>
          <w:tcPr>
            <w:tcW w:w="0" w:type="auto"/>
            <w:tcBorders>
              <w:top w:val="nil"/>
              <w:left w:val="nil"/>
              <w:bottom w:val="single" w:sz="4" w:space="0" w:color="auto"/>
              <w:right w:val="single" w:sz="4" w:space="0" w:color="auto"/>
            </w:tcBorders>
            <w:shd w:val="clear" w:color="auto" w:fill="auto"/>
            <w:vAlign w:val="center"/>
            <w:hideMark/>
          </w:tcPr>
          <w:p w14:paraId="7238BC5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Implementation of Transbalkan Corridor: OHL Obrenovac (RS) - Bajina Basta (RS)</w:t>
            </w:r>
          </w:p>
        </w:tc>
        <w:tc>
          <w:tcPr>
            <w:tcW w:w="0" w:type="auto"/>
            <w:tcBorders>
              <w:top w:val="nil"/>
              <w:left w:val="nil"/>
              <w:bottom w:val="single" w:sz="4" w:space="0" w:color="auto"/>
              <w:right w:val="single" w:sz="4" w:space="0" w:color="auto"/>
            </w:tcBorders>
            <w:shd w:val="clear" w:color="auto" w:fill="auto"/>
            <w:vAlign w:val="center"/>
            <w:hideMark/>
          </w:tcPr>
          <w:p w14:paraId="059D581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049ADD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59F0D7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89.68</w:t>
            </w:r>
          </w:p>
        </w:tc>
        <w:tc>
          <w:tcPr>
            <w:tcW w:w="0" w:type="auto"/>
            <w:tcBorders>
              <w:top w:val="nil"/>
              <w:left w:val="nil"/>
              <w:bottom w:val="single" w:sz="4" w:space="0" w:color="auto"/>
              <w:right w:val="single" w:sz="4" w:space="0" w:color="auto"/>
            </w:tcBorders>
            <w:shd w:val="clear" w:color="000000" w:fill="E2EFDA"/>
            <w:vAlign w:val="center"/>
            <w:hideMark/>
          </w:tcPr>
          <w:p w14:paraId="61D53BF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13.45</w:t>
            </w:r>
          </w:p>
        </w:tc>
        <w:tc>
          <w:tcPr>
            <w:tcW w:w="0" w:type="auto"/>
            <w:tcBorders>
              <w:top w:val="nil"/>
              <w:left w:val="nil"/>
              <w:bottom w:val="single" w:sz="4" w:space="0" w:color="auto"/>
              <w:right w:val="single" w:sz="4" w:space="0" w:color="auto"/>
            </w:tcBorders>
            <w:shd w:val="clear" w:color="000000" w:fill="E2EFDA"/>
            <w:vAlign w:val="center"/>
            <w:hideMark/>
          </w:tcPr>
          <w:p w14:paraId="4C6A6CD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76.23</w:t>
            </w:r>
          </w:p>
        </w:tc>
        <w:tc>
          <w:tcPr>
            <w:tcW w:w="0" w:type="auto"/>
            <w:tcBorders>
              <w:top w:val="nil"/>
              <w:left w:val="nil"/>
              <w:bottom w:val="single" w:sz="4" w:space="0" w:color="auto"/>
              <w:right w:val="single" w:sz="4" w:space="0" w:color="auto"/>
            </w:tcBorders>
            <w:shd w:val="clear" w:color="000000" w:fill="ED7D31"/>
            <w:vAlign w:val="center"/>
            <w:hideMark/>
          </w:tcPr>
          <w:p w14:paraId="29DF36F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34CBC6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89.68</w:t>
            </w:r>
          </w:p>
        </w:tc>
        <w:tc>
          <w:tcPr>
            <w:tcW w:w="0" w:type="auto"/>
            <w:tcBorders>
              <w:top w:val="nil"/>
              <w:left w:val="nil"/>
              <w:bottom w:val="single" w:sz="4" w:space="0" w:color="auto"/>
              <w:right w:val="single" w:sz="4" w:space="0" w:color="auto"/>
            </w:tcBorders>
            <w:shd w:val="clear" w:color="000000" w:fill="E2EFDA"/>
            <w:vAlign w:val="center"/>
            <w:hideMark/>
          </w:tcPr>
          <w:p w14:paraId="61E3D1D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5CD1085D"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2D6994B8"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467B0F1D"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w:t>
            </w:r>
          </w:p>
        </w:tc>
        <w:tc>
          <w:tcPr>
            <w:tcW w:w="0" w:type="auto"/>
            <w:tcBorders>
              <w:top w:val="nil"/>
              <w:left w:val="nil"/>
              <w:bottom w:val="single" w:sz="4" w:space="0" w:color="auto"/>
              <w:right w:val="single" w:sz="4" w:space="0" w:color="auto"/>
            </w:tcBorders>
            <w:shd w:val="clear" w:color="auto" w:fill="auto"/>
            <w:vAlign w:val="center"/>
            <w:hideMark/>
          </w:tcPr>
          <w:p w14:paraId="79FFB52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Implementation of Transbalkan Corridor: OHL B.Basta (RS) – Visegrad (BA) – Pljevlja (ME)</w:t>
            </w:r>
          </w:p>
        </w:tc>
        <w:tc>
          <w:tcPr>
            <w:tcW w:w="0" w:type="auto"/>
            <w:tcBorders>
              <w:top w:val="nil"/>
              <w:left w:val="nil"/>
              <w:bottom w:val="single" w:sz="4" w:space="0" w:color="auto"/>
              <w:right w:val="single" w:sz="4" w:space="0" w:color="auto"/>
            </w:tcBorders>
            <w:shd w:val="clear" w:color="auto" w:fill="auto"/>
            <w:vAlign w:val="center"/>
            <w:hideMark/>
          </w:tcPr>
          <w:p w14:paraId="61D6AA4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34E8C4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767712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52.32</w:t>
            </w:r>
          </w:p>
        </w:tc>
        <w:tc>
          <w:tcPr>
            <w:tcW w:w="0" w:type="auto"/>
            <w:tcBorders>
              <w:top w:val="nil"/>
              <w:left w:val="nil"/>
              <w:bottom w:val="single" w:sz="4" w:space="0" w:color="auto"/>
              <w:right w:val="single" w:sz="4" w:space="0" w:color="auto"/>
            </w:tcBorders>
            <w:shd w:val="clear" w:color="000000" w:fill="E2EFDA"/>
            <w:vAlign w:val="center"/>
            <w:hideMark/>
          </w:tcPr>
          <w:p w14:paraId="566BDED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7.85</w:t>
            </w:r>
          </w:p>
        </w:tc>
        <w:tc>
          <w:tcPr>
            <w:tcW w:w="0" w:type="auto"/>
            <w:tcBorders>
              <w:top w:val="nil"/>
              <w:left w:val="nil"/>
              <w:bottom w:val="single" w:sz="4" w:space="0" w:color="auto"/>
              <w:right w:val="single" w:sz="4" w:space="0" w:color="auto"/>
            </w:tcBorders>
            <w:shd w:val="clear" w:color="000000" w:fill="E2EFDA"/>
            <w:vAlign w:val="center"/>
            <w:hideMark/>
          </w:tcPr>
          <w:p w14:paraId="03501B5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44.47</w:t>
            </w:r>
          </w:p>
        </w:tc>
        <w:tc>
          <w:tcPr>
            <w:tcW w:w="0" w:type="auto"/>
            <w:tcBorders>
              <w:top w:val="nil"/>
              <w:left w:val="nil"/>
              <w:bottom w:val="single" w:sz="4" w:space="0" w:color="auto"/>
              <w:right w:val="single" w:sz="4" w:space="0" w:color="auto"/>
            </w:tcBorders>
            <w:shd w:val="clear" w:color="000000" w:fill="ED7D31"/>
            <w:vAlign w:val="center"/>
            <w:hideMark/>
          </w:tcPr>
          <w:p w14:paraId="3335DEE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34B4246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52.32</w:t>
            </w:r>
          </w:p>
        </w:tc>
        <w:tc>
          <w:tcPr>
            <w:tcW w:w="0" w:type="auto"/>
            <w:tcBorders>
              <w:top w:val="nil"/>
              <w:left w:val="nil"/>
              <w:bottom w:val="single" w:sz="4" w:space="0" w:color="auto"/>
              <w:right w:val="single" w:sz="4" w:space="0" w:color="auto"/>
            </w:tcBorders>
            <w:shd w:val="clear" w:color="000000" w:fill="E2EFDA"/>
            <w:vAlign w:val="center"/>
            <w:hideMark/>
          </w:tcPr>
          <w:p w14:paraId="7DE5328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1C40B2C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5A3ABA04"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9FF0A5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PM_IEM4</w:t>
            </w:r>
          </w:p>
        </w:tc>
        <w:tc>
          <w:tcPr>
            <w:tcW w:w="0" w:type="auto"/>
            <w:tcBorders>
              <w:top w:val="nil"/>
              <w:left w:val="nil"/>
              <w:bottom w:val="single" w:sz="4" w:space="0" w:color="auto"/>
              <w:right w:val="single" w:sz="4" w:space="0" w:color="auto"/>
            </w:tcBorders>
            <w:shd w:val="clear" w:color="auto" w:fill="auto"/>
            <w:vAlign w:val="center"/>
            <w:hideMark/>
          </w:tcPr>
          <w:p w14:paraId="683B7740"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Interconnection between Resita (RO) and Pancevo (RS) (PCI 3.22.1)</w:t>
            </w:r>
          </w:p>
        </w:tc>
        <w:tc>
          <w:tcPr>
            <w:tcW w:w="0" w:type="auto"/>
            <w:tcBorders>
              <w:top w:val="nil"/>
              <w:left w:val="nil"/>
              <w:bottom w:val="single" w:sz="4" w:space="0" w:color="auto"/>
              <w:right w:val="single" w:sz="4" w:space="0" w:color="auto"/>
            </w:tcBorders>
            <w:shd w:val="clear" w:color="auto" w:fill="auto"/>
            <w:vAlign w:val="center"/>
            <w:hideMark/>
          </w:tcPr>
          <w:p w14:paraId="4C5ACA6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5214EBA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Project completed from the Serbian end</w:t>
            </w:r>
          </w:p>
        </w:tc>
        <w:tc>
          <w:tcPr>
            <w:tcW w:w="0" w:type="auto"/>
            <w:tcBorders>
              <w:top w:val="nil"/>
              <w:left w:val="nil"/>
              <w:bottom w:val="single" w:sz="4" w:space="0" w:color="auto"/>
              <w:right w:val="single" w:sz="4" w:space="0" w:color="auto"/>
            </w:tcBorders>
            <w:shd w:val="clear" w:color="000000" w:fill="595959"/>
            <w:vAlign w:val="center"/>
            <w:hideMark/>
          </w:tcPr>
          <w:p w14:paraId="07A12BA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595959"/>
            <w:vAlign w:val="center"/>
            <w:hideMark/>
          </w:tcPr>
          <w:p w14:paraId="4D14722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None required</w:t>
            </w:r>
          </w:p>
        </w:tc>
        <w:tc>
          <w:tcPr>
            <w:tcW w:w="0" w:type="auto"/>
            <w:tcBorders>
              <w:top w:val="nil"/>
              <w:left w:val="nil"/>
              <w:bottom w:val="single" w:sz="4" w:space="0" w:color="auto"/>
              <w:right w:val="single" w:sz="4" w:space="0" w:color="auto"/>
            </w:tcBorders>
            <w:shd w:val="clear" w:color="000000" w:fill="595959"/>
            <w:vAlign w:val="center"/>
            <w:hideMark/>
          </w:tcPr>
          <w:p w14:paraId="246CC6E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None required</w:t>
            </w:r>
          </w:p>
        </w:tc>
        <w:tc>
          <w:tcPr>
            <w:tcW w:w="0" w:type="auto"/>
            <w:tcBorders>
              <w:top w:val="nil"/>
              <w:left w:val="nil"/>
              <w:bottom w:val="single" w:sz="4" w:space="0" w:color="auto"/>
              <w:right w:val="single" w:sz="4" w:space="0" w:color="auto"/>
            </w:tcBorders>
            <w:shd w:val="clear" w:color="000000" w:fill="595959"/>
            <w:vAlign w:val="center"/>
            <w:hideMark/>
          </w:tcPr>
          <w:p w14:paraId="7C18036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595959"/>
            <w:vAlign w:val="center"/>
            <w:hideMark/>
          </w:tcPr>
          <w:p w14:paraId="4047850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595959"/>
            <w:vAlign w:val="center"/>
            <w:hideMark/>
          </w:tcPr>
          <w:p w14:paraId="12C7F64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10D76A2"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916543A"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8AA2529"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PM_IEM5</w:t>
            </w:r>
          </w:p>
        </w:tc>
        <w:tc>
          <w:tcPr>
            <w:tcW w:w="0" w:type="auto"/>
            <w:tcBorders>
              <w:top w:val="nil"/>
              <w:left w:val="nil"/>
              <w:bottom w:val="single" w:sz="4" w:space="0" w:color="auto"/>
              <w:right w:val="single" w:sz="4" w:space="0" w:color="auto"/>
            </w:tcBorders>
            <w:shd w:val="clear" w:color="auto" w:fill="auto"/>
            <w:vAlign w:val="center"/>
            <w:hideMark/>
          </w:tcPr>
          <w:p w14:paraId="62608BE8"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Pannonian corridor</w:t>
            </w:r>
          </w:p>
        </w:tc>
        <w:tc>
          <w:tcPr>
            <w:tcW w:w="0" w:type="auto"/>
            <w:tcBorders>
              <w:top w:val="nil"/>
              <w:left w:val="nil"/>
              <w:bottom w:val="single" w:sz="4" w:space="0" w:color="auto"/>
              <w:right w:val="single" w:sz="4" w:space="0" w:color="auto"/>
            </w:tcBorders>
            <w:shd w:val="clear" w:color="auto" w:fill="auto"/>
            <w:vAlign w:val="center"/>
            <w:hideMark/>
          </w:tcPr>
          <w:p w14:paraId="2CE4205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6B99A5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964168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108.00</w:t>
            </w:r>
          </w:p>
        </w:tc>
        <w:tc>
          <w:tcPr>
            <w:tcW w:w="0" w:type="auto"/>
            <w:tcBorders>
              <w:top w:val="nil"/>
              <w:left w:val="nil"/>
              <w:bottom w:val="single" w:sz="4" w:space="0" w:color="auto"/>
              <w:right w:val="single" w:sz="4" w:space="0" w:color="auto"/>
            </w:tcBorders>
            <w:shd w:val="clear" w:color="000000" w:fill="E2EFDA"/>
            <w:vAlign w:val="center"/>
            <w:hideMark/>
          </w:tcPr>
          <w:p w14:paraId="6FC07DE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16.20</w:t>
            </w:r>
          </w:p>
        </w:tc>
        <w:tc>
          <w:tcPr>
            <w:tcW w:w="0" w:type="auto"/>
            <w:tcBorders>
              <w:top w:val="nil"/>
              <w:left w:val="nil"/>
              <w:bottom w:val="single" w:sz="4" w:space="0" w:color="auto"/>
              <w:right w:val="single" w:sz="4" w:space="0" w:color="auto"/>
            </w:tcBorders>
            <w:shd w:val="clear" w:color="000000" w:fill="E2EFDA"/>
            <w:vAlign w:val="center"/>
            <w:hideMark/>
          </w:tcPr>
          <w:p w14:paraId="46ABBAE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91.80</w:t>
            </w:r>
          </w:p>
        </w:tc>
        <w:tc>
          <w:tcPr>
            <w:tcW w:w="0" w:type="auto"/>
            <w:tcBorders>
              <w:top w:val="nil"/>
              <w:left w:val="nil"/>
              <w:bottom w:val="single" w:sz="4" w:space="0" w:color="auto"/>
              <w:right w:val="single" w:sz="4" w:space="0" w:color="auto"/>
            </w:tcBorders>
            <w:shd w:val="clear" w:color="000000" w:fill="ED7D31"/>
            <w:vAlign w:val="center"/>
            <w:hideMark/>
          </w:tcPr>
          <w:p w14:paraId="452CEBD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676016A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108.00</w:t>
            </w:r>
          </w:p>
        </w:tc>
        <w:tc>
          <w:tcPr>
            <w:tcW w:w="0" w:type="auto"/>
            <w:tcBorders>
              <w:top w:val="nil"/>
              <w:left w:val="nil"/>
              <w:bottom w:val="single" w:sz="4" w:space="0" w:color="auto"/>
              <w:right w:val="single" w:sz="4" w:space="0" w:color="auto"/>
            </w:tcBorders>
            <w:shd w:val="clear" w:color="000000" w:fill="E2EFDA"/>
            <w:vAlign w:val="center"/>
            <w:hideMark/>
          </w:tcPr>
          <w:p w14:paraId="6C52016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47A38CCB"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C8CFBFF"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7AC22A0"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PM_IEM6</w:t>
            </w:r>
          </w:p>
        </w:tc>
        <w:tc>
          <w:tcPr>
            <w:tcW w:w="0" w:type="auto"/>
            <w:tcBorders>
              <w:top w:val="nil"/>
              <w:left w:val="nil"/>
              <w:bottom w:val="single" w:sz="4" w:space="0" w:color="auto"/>
              <w:right w:val="single" w:sz="4" w:space="0" w:color="auto"/>
            </w:tcBorders>
            <w:shd w:val="clear" w:color="auto" w:fill="auto"/>
            <w:vAlign w:val="center"/>
            <w:hideMark/>
          </w:tcPr>
          <w:p w14:paraId="51B94EC8"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Central Balkan Corridor</w:t>
            </w:r>
          </w:p>
        </w:tc>
        <w:tc>
          <w:tcPr>
            <w:tcW w:w="0" w:type="auto"/>
            <w:tcBorders>
              <w:top w:val="nil"/>
              <w:left w:val="nil"/>
              <w:bottom w:val="single" w:sz="4" w:space="0" w:color="auto"/>
              <w:right w:val="single" w:sz="4" w:space="0" w:color="auto"/>
            </w:tcBorders>
            <w:shd w:val="clear" w:color="auto" w:fill="auto"/>
            <w:vAlign w:val="center"/>
            <w:hideMark/>
          </w:tcPr>
          <w:p w14:paraId="4D1035C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1EB2AE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5DA523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214.07</w:t>
            </w:r>
          </w:p>
        </w:tc>
        <w:tc>
          <w:tcPr>
            <w:tcW w:w="0" w:type="auto"/>
            <w:tcBorders>
              <w:top w:val="nil"/>
              <w:left w:val="nil"/>
              <w:bottom w:val="single" w:sz="4" w:space="0" w:color="auto"/>
              <w:right w:val="single" w:sz="4" w:space="0" w:color="auto"/>
            </w:tcBorders>
            <w:shd w:val="clear" w:color="000000" w:fill="E2EFDA"/>
            <w:vAlign w:val="center"/>
            <w:hideMark/>
          </w:tcPr>
          <w:p w14:paraId="1391B1F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32.11</w:t>
            </w:r>
          </w:p>
        </w:tc>
        <w:tc>
          <w:tcPr>
            <w:tcW w:w="0" w:type="auto"/>
            <w:tcBorders>
              <w:top w:val="nil"/>
              <w:left w:val="nil"/>
              <w:bottom w:val="single" w:sz="4" w:space="0" w:color="auto"/>
              <w:right w:val="single" w:sz="4" w:space="0" w:color="auto"/>
            </w:tcBorders>
            <w:shd w:val="clear" w:color="000000" w:fill="E2EFDA"/>
            <w:vAlign w:val="center"/>
            <w:hideMark/>
          </w:tcPr>
          <w:p w14:paraId="576576B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181.96</w:t>
            </w:r>
          </w:p>
        </w:tc>
        <w:tc>
          <w:tcPr>
            <w:tcW w:w="0" w:type="auto"/>
            <w:tcBorders>
              <w:top w:val="nil"/>
              <w:left w:val="nil"/>
              <w:bottom w:val="single" w:sz="4" w:space="0" w:color="auto"/>
              <w:right w:val="single" w:sz="4" w:space="0" w:color="auto"/>
            </w:tcBorders>
            <w:shd w:val="clear" w:color="000000" w:fill="ED7D31"/>
            <w:vAlign w:val="center"/>
            <w:hideMark/>
          </w:tcPr>
          <w:p w14:paraId="6A87715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6913046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214.07</w:t>
            </w:r>
          </w:p>
        </w:tc>
        <w:tc>
          <w:tcPr>
            <w:tcW w:w="0" w:type="auto"/>
            <w:tcBorders>
              <w:top w:val="nil"/>
              <w:left w:val="nil"/>
              <w:bottom w:val="single" w:sz="4" w:space="0" w:color="auto"/>
              <w:right w:val="single" w:sz="4" w:space="0" w:color="auto"/>
            </w:tcBorders>
            <w:shd w:val="clear" w:color="000000" w:fill="E2EFDA"/>
            <w:vAlign w:val="center"/>
            <w:hideMark/>
          </w:tcPr>
          <w:p w14:paraId="199D6E7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17424F26"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685D1F1C"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77F6D6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PM_IEM7</w:t>
            </w:r>
          </w:p>
        </w:tc>
        <w:tc>
          <w:tcPr>
            <w:tcW w:w="0" w:type="auto"/>
            <w:tcBorders>
              <w:top w:val="nil"/>
              <w:left w:val="nil"/>
              <w:bottom w:val="single" w:sz="4" w:space="0" w:color="auto"/>
              <w:right w:val="single" w:sz="4" w:space="0" w:color="auto"/>
            </w:tcBorders>
            <w:shd w:val="clear" w:color="auto" w:fill="auto"/>
            <w:vAlign w:val="center"/>
            <w:hideMark/>
          </w:tcPr>
          <w:p w14:paraId="4E96034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RES integration cluster of projects – North Corridor </w:t>
            </w:r>
          </w:p>
        </w:tc>
        <w:tc>
          <w:tcPr>
            <w:tcW w:w="0" w:type="auto"/>
            <w:tcBorders>
              <w:top w:val="nil"/>
              <w:left w:val="nil"/>
              <w:bottom w:val="single" w:sz="4" w:space="0" w:color="auto"/>
              <w:right w:val="single" w:sz="4" w:space="0" w:color="auto"/>
            </w:tcBorders>
            <w:shd w:val="clear" w:color="auto" w:fill="auto"/>
            <w:vAlign w:val="center"/>
            <w:hideMark/>
          </w:tcPr>
          <w:p w14:paraId="6C07BCD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7FE450F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503951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84.00</w:t>
            </w:r>
          </w:p>
        </w:tc>
        <w:tc>
          <w:tcPr>
            <w:tcW w:w="0" w:type="auto"/>
            <w:tcBorders>
              <w:top w:val="nil"/>
              <w:left w:val="nil"/>
              <w:bottom w:val="single" w:sz="4" w:space="0" w:color="auto"/>
              <w:right w:val="single" w:sz="4" w:space="0" w:color="auto"/>
            </w:tcBorders>
            <w:shd w:val="clear" w:color="000000" w:fill="E2EFDA"/>
            <w:vAlign w:val="center"/>
            <w:hideMark/>
          </w:tcPr>
          <w:p w14:paraId="257C2A9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12.60</w:t>
            </w:r>
          </w:p>
        </w:tc>
        <w:tc>
          <w:tcPr>
            <w:tcW w:w="0" w:type="auto"/>
            <w:tcBorders>
              <w:top w:val="nil"/>
              <w:left w:val="nil"/>
              <w:bottom w:val="single" w:sz="4" w:space="0" w:color="auto"/>
              <w:right w:val="single" w:sz="4" w:space="0" w:color="auto"/>
            </w:tcBorders>
            <w:shd w:val="clear" w:color="000000" w:fill="E2EFDA"/>
            <w:vAlign w:val="center"/>
            <w:hideMark/>
          </w:tcPr>
          <w:p w14:paraId="277BA1F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71.40</w:t>
            </w:r>
          </w:p>
        </w:tc>
        <w:tc>
          <w:tcPr>
            <w:tcW w:w="0" w:type="auto"/>
            <w:tcBorders>
              <w:top w:val="nil"/>
              <w:left w:val="nil"/>
              <w:bottom w:val="single" w:sz="4" w:space="0" w:color="auto"/>
              <w:right w:val="single" w:sz="4" w:space="0" w:color="auto"/>
            </w:tcBorders>
            <w:shd w:val="clear" w:color="000000" w:fill="ED7D31"/>
            <w:vAlign w:val="center"/>
            <w:hideMark/>
          </w:tcPr>
          <w:p w14:paraId="4D01BE9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56F9D80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84.00</w:t>
            </w:r>
          </w:p>
        </w:tc>
        <w:tc>
          <w:tcPr>
            <w:tcW w:w="0" w:type="auto"/>
            <w:tcBorders>
              <w:top w:val="nil"/>
              <w:left w:val="nil"/>
              <w:bottom w:val="single" w:sz="4" w:space="0" w:color="auto"/>
              <w:right w:val="single" w:sz="4" w:space="0" w:color="auto"/>
            </w:tcBorders>
            <w:shd w:val="clear" w:color="000000" w:fill="E2EFDA"/>
            <w:vAlign w:val="center"/>
            <w:hideMark/>
          </w:tcPr>
          <w:p w14:paraId="49E2A78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0DDD9667"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65E31B80"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4A2EE4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w:t>
            </w:r>
          </w:p>
        </w:tc>
        <w:tc>
          <w:tcPr>
            <w:tcW w:w="0" w:type="auto"/>
            <w:tcBorders>
              <w:top w:val="nil"/>
              <w:left w:val="nil"/>
              <w:bottom w:val="single" w:sz="4" w:space="0" w:color="auto"/>
              <w:right w:val="single" w:sz="4" w:space="0" w:color="auto"/>
            </w:tcBorders>
            <w:shd w:val="clear" w:color="auto" w:fill="auto"/>
            <w:vAlign w:val="center"/>
            <w:hideMark/>
          </w:tcPr>
          <w:p w14:paraId="099B8EB5"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Regional gas connection through the implementation of interconnection projects</w:t>
            </w:r>
          </w:p>
        </w:tc>
        <w:tc>
          <w:tcPr>
            <w:tcW w:w="0" w:type="auto"/>
            <w:tcBorders>
              <w:top w:val="nil"/>
              <w:left w:val="nil"/>
              <w:bottom w:val="single" w:sz="4" w:space="0" w:color="auto"/>
              <w:right w:val="single" w:sz="4" w:space="0" w:color="auto"/>
            </w:tcBorders>
            <w:shd w:val="clear" w:color="auto" w:fill="auto"/>
            <w:vAlign w:val="center"/>
            <w:hideMark/>
          </w:tcPr>
          <w:p w14:paraId="2FBE6DB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3784465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688B8CA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224.00</w:t>
            </w:r>
          </w:p>
        </w:tc>
        <w:tc>
          <w:tcPr>
            <w:tcW w:w="0" w:type="auto"/>
            <w:tcBorders>
              <w:top w:val="nil"/>
              <w:left w:val="nil"/>
              <w:bottom w:val="single" w:sz="4" w:space="0" w:color="auto"/>
              <w:right w:val="single" w:sz="4" w:space="0" w:color="auto"/>
            </w:tcBorders>
            <w:shd w:val="clear" w:color="000000" w:fill="E2EFDA"/>
            <w:vAlign w:val="center"/>
            <w:hideMark/>
          </w:tcPr>
          <w:p w14:paraId="4C9F2DE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33.60</w:t>
            </w:r>
          </w:p>
        </w:tc>
        <w:tc>
          <w:tcPr>
            <w:tcW w:w="0" w:type="auto"/>
            <w:tcBorders>
              <w:top w:val="nil"/>
              <w:left w:val="nil"/>
              <w:bottom w:val="single" w:sz="4" w:space="0" w:color="auto"/>
              <w:right w:val="single" w:sz="4" w:space="0" w:color="auto"/>
            </w:tcBorders>
            <w:shd w:val="clear" w:color="000000" w:fill="E2EFDA"/>
            <w:vAlign w:val="center"/>
            <w:hideMark/>
          </w:tcPr>
          <w:p w14:paraId="11B16F0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190.40</w:t>
            </w:r>
          </w:p>
        </w:tc>
        <w:tc>
          <w:tcPr>
            <w:tcW w:w="0" w:type="auto"/>
            <w:tcBorders>
              <w:top w:val="nil"/>
              <w:left w:val="nil"/>
              <w:bottom w:val="single" w:sz="4" w:space="0" w:color="auto"/>
              <w:right w:val="single" w:sz="4" w:space="0" w:color="auto"/>
            </w:tcBorders>
            <w:shd w:val="clear" w:color="000000" w:fill="ED7D31"/>
            <w:vAlign w:val="center"/>
            <w:hideMark/>
          </w:tcPr>
          <w:p w14:paraId="5EFC630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136F484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224.00</w:t>
            </w:r>
          </w:p>
        </w:tc>
        <w:tc>
          <w:tcPr>
            <w:tcW w:w="0" w:type="auto"/>
            <w:tcBorders>
              <w:top w:val="nil"/>
              <w:left w:val="nil"/>
              <w:bottom w:val="single" w:sz="4" w:space="0" w:color="auto"/>
              <w:right w:val="single" w:sz="4" w:space="0" w:color="auto"/>
            </w:tcBorders>
            <w:shd w:val="clear" w:color="000000" w:fill="E2EFDA"/>
            <w:vAlign w:val="center"/>
            <w:hideMark/>
          </w:tcPr>
          <w:p w14:paraId="2F348BA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7CC16547"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08DFAB03"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7B05168"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PM_IEM8.2</w:t>
            </w:r>
          </w:p>
        </w:tc>
        <w:tc>
          <w:tcPr>
            <w:tcW w:w="0" w:type="auto"/>
            <w:tcBorders>
              <w:top w:val="nil"/>
              <w:left w:val="nil"/>
              <w:bottom w:val="single" w:sz="4" w:space="0" w:color="auto"/>
              <w:right w:val="single" w:sz="4" w:space="0" w:color="auto"/>
            </w:tcBorders>
            <w:shd w:val="clear" w:color="auto" w:fill="auto"/>
            <w:vAlign w:val="center"/>
            <w:hideMark/>
          </w:tcPr>
          <w:p w14:paraId="122FC8EB"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Project for Serbia-Romania gas interconnection 85.5 km (out of which 12.8 km is on the territory of the Republic of Serbia), with a capacity of 1.2 billion m3/year</w:t>
            </w:r>
          </w:p>
        </w:tc>
        <w:tc>
          <w:tcPr>
            <w:tcW w:w="0" w:type="auto"/>
            <w:tcBorders>
              <w:top w:val="nil"/>
              <w:left w:val="nil"/>
              <w:bottom w:val="single" w:sz="4" w:space="0" w:color="auto"/>
              <w:right w:val="single" w:sz="4" w:space="0" w:color="auto"/>
            </w:tcBorders>
            <w:shd w:val="clear" w:color="auto" w:fill="auto"/>
            <w:vAlign w:val="center"/>
            <w:hideMark/>
          </w:tcPr>
          <w:p w14:paraId="4E3B937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5E945F7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D1F5D6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16.00</w:t>
            </w:r>
          </w:p>
        </w:tc>
        <w:tc>
          <w:tcPr>
            <w:tcW w:w="0" w:type="auto"/>
            <w:tcBorders>
              <w:top w:val="nil"/>
              <w:left w:val="nil"/>
              <w:bottom w:val="single" w:sz="4" w:space="0" w:color="auto"/>
              <w:right w:val="single" w:sz="4" w:space="0" w:color="auto"/>
            </w:tcBorders>
            <w:shd w:val="clear" w:color="000000" w:fill="E2EFDA"/>
            <w:vAlign w:val="center"/>
            <w:hideMark/>
          </w:tcPr>
          <w:p w14:paraId="374E237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2.40</w:t>
            </w:r>
          </w:p>
        </w:tc>
        <w:tc>
          <w:tcPr>
            <w:tcW w:w="0" w:type="auto"/>
            <w:tcBorders>
              <w:top w:val="nil"/>
              <w:left w:val="nil"/>
              <w:bottom w:val="single" w:sz="4" w:space="0" w:color="auto"/>
              <w:right w:val="single" w:sz="4" w:space="0" w:color="auto"/>
            </w:tcBorders>
            <w:shd w:val="clear" w:color="000000" w:fill="E2EFDA"/>
            <w:vAlign w:val="center"/>
            <w:hideMark/>
          </w:tcPr>
          <w:p w14:paraId="4BB33BC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13.60</w:t>
            </w:r>
          </w:p>
        </w:tc>
        <w:tc>
          <w:tcPr>
            <w:tcW w:w="0" w:type="auto"/>
            <w:tcBorders>
              <w:top w:val="nil"/>
              <w:left w:val="nil"/>
              <w:bottom w:val="single" w:sz="4" w:space="0" w:color="auto"/>
              <w:right w:val="single" w:sz="4" w:space="0" w:color="auto"/>
            </w:tcBorders>
            <w:shd w:val="clear" w:color="000000" w:fill="ED7D31"/>
            <w:vAlign w:val="center"/>
            <w:hideMark/>
          </w:tcPr>
          <w:p w14:paraId="360A5B2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657B0A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16.00</w:t>
            </w:r>
          </w:p>
        </w:tc>
        <w:tc>
          <w:tcPr>
            <w:tcW w:w="0" w:type="auto"/>
            <w:tcBorders>
              <w:top w:val="nil"/>
              <w:left w:val="nil"/>
              <w:bottom w:val="single" w:sz="4" w:space="0" w:color="auto"/>
              <w:right w:val="single" w:sz="4" w:space="0" w:color="auto"/>
            </w:tcBorders>
            <w:shd w:val="clear" w:color="000000" w:fill="E2EFDA"/>
            <w:vAlign w:val="center"/>
            <w:hideMark/>
          </w:tcPr>
          <w:p w14:paraId="2D21979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1D97051A"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22574470"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8E9490B"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PM_IEM8.3</w:t>
            </w:r>
          </w:p>
        </w:tc>
        <w:tc>
          <w:tcPr>
            <w:tcW w:w="0" w:type="auto"/>
            <w:tcBorders>
              <w:top w:val="nil"/>
              <w:left w:val="nil"/>
              <w:bottom w:val="single" w:sz="4" w:space="0" w:color="auto"/>
              <w:right w:val="single" w:sz="4" w:space="0" w:color="auto"/>
            </w:tcBorders>
            <w:shd w:val="clear" w:color="auto" w:fill="auto"/>
            <w:vAlign w:val="center"/>
            <w:hideMark/>
          </w:tcPr>
          <w:p w14:paraId="78A3E1F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Project for Serbia-Croatia gas interconnection (95 km, with a capacity of 1.5 billion m3/year)</w:t>
            </w:r>
          </w:p>
        </w:tc>
        <w:tc>
          <w:tcPr>
            <w:tcW w:w="0" w:type="auto"/>
            <w:tcBorders>
              <w:top w:val="nil"/>
              <w:left w:val="nil"/>
              <w:bottom w:val="single" w:sz="4" w:space="0" w:color="auto"/>
              <w:right w:val="single" w:sz="4" w:space="0" w:color="auto"/>
            </w:tcBorders>
            <w:shd w:val="clear" w:color="auto" w:fill="auto"/>
            <w:vAlign w:val="center"/>
            <w:hideMark/>
          </w:tcPr>
          <w:p w14:paraId="4221B38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21F1FFD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BEFB55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144.00</w:t>
            </w:r>
          </w:p>
        </w:tc>
        <w:tc>
          <w:tcPr>
            <w:tcW w:w="0" w:type="auto"/>
            <w:tcBorders>
              <w:top w:val="nil"/>
              <w:left w:val="nil"/>
              <w:bottom w:val="single" w:sz="4" w:space="0" w:color="auto"/>
              <w:right w:val="single" w:sz="4" w:space="0" w:color="auto"/>
            </w:tcBorders>
            <w:shd w:val="clear" w:color="000000" w:fill="E2EFDA"/>
            <w:vAlign w:val="center"/>
            <w:hideMark/>
          </w:tcPr>
          <w:p w14:paraId="160D92B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21.60</w:t>
            </w:r>
          </w:p>
        </w:tc>
        <w:tc>
          <w:tcPr>
            <w:tcW w:w="0" w:type="auto"/>
            <w:tcBorders>
              <w:top w:val="nil"/>
              <w:left w:val="nil"/>
              <w:bottom w:val="single" w:sz="4" w:space="0" w:color="auto"/>
              <w:right w:val="single" w:sz="4" w:space="0" w:color="auto"/>
            </w:tcBorders>
            <w:shd w:val="clear" w:color="000000" w:fill="E2EFDA"/>
            <w:vAlign w:val="center"/>
            <w:hideMark/>
          </w:tcPr>
          <w:p w14:paraId="21C25FD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122.40</w:t>
            </w:r>
          </w:p>
        </w:tc>
        <w:tc>
          <w:tcPr>
            <w:tcW w:w="0" w:type="auto"/>
            <w:tcBorders>
              <w:top w:val="nil"/>
              <w:left w:val="nil"/>
              <w:bottom w:val="single" w:sz="4" w:space="0" w:color="auto"/>
              <w:right w:val="single" w:sz="4" w:space="0" w:color="auto"/>
            </w:tcBorders>
            <w:shd w:val="clear" w:color="000000" w:fill="ED7D31"/>
            <w:vAlign w:val="center"/>
            <w:hideMark/>
          </w:tcPr>
          <w:p w14:paraId="38E330B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ECFC69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144.00</w:t>
            </w:r>
          </w:p>
        </w:tc>
        <w:tc>
          <w:tcPr>
            <w:tcW w:w="0" w:type="auto"/>
            <w:tcBorders>
              <w:top w:val="nil"/>
              <w:left w:val="nil"/>
              <w:bottom w:val="single" w:sz="4" w:space="0" w:color="auto"/>
              <w:right w:val="single" w:sz="4" w:space="0" w:color="auto"/>
            </w:tcBorders>
            <w:shd w:val="clear" w:color="000000" w:fill="E2EFDA"/>
            <w:vAlign w:val="center"/>
            <w:hideMark/>
          </w:tcPr>
          <w:p w14:paraId="0403B72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09B8535"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45AB826C"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FB74A1D"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PM_IEM8.4</w:t>
            </w:r>
          </w:p>
        </w:tc>
        <w:tc>
          <w:tcPr>
            <w:tcW w:w="0" w:type="auto"/>
            <w:tcBorders>
              <w:top w:val="nil"/>
              <w:left w:val="nil"/>
              <w:bottom w:val="single" w:sz="4" w:space="0" w:color="auto"/>
              <w:right w:val="single" w:sz="4" w:space="0" w:color="auto"/>
            </w:tcBorders>
            <w:shd w:val="clear" w:color="auto" w:fill="auto"/>
            <w:vAlign w:val="center"/>
            <w:hideMark/>
          </w:tcPr>
          <w:p w14:paraId="15A3356C"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Project for Serbia-BiH gas interconnection 90 km, with a capacity of 1.2 billion m3/year</w:t>
            </w:r>
          </w:p>
        </w:tc>
        <w:tc>
          <w:tcPr>
            <w:tcW w:w="0" w:type="auto"/>
            <w:tcBorders>
              <w:top w:val="nil"/>
              <w:left w:val="nil"/>
              <w:bottom w:val="single" w:sz="4" w:space="0" w:color="auto"/>
              <w:right w:val="single" w:sz="4" w:space="0" w:color="auto"/>
            </w:tcBorders>
            <w:shd w:val="clear" w:color="auto" w:fill="auto"/>
            <w:vAlign w:val="center"/>
            <w:hideMark/>
          </w:tcPr>
          <w:p w14:paraId="31451F8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3D6D60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3DDCAE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47.00</w:t>
            </w:r>
          </w:p>
        </w:tc>
        <w:tc>
          <w:tcPr>
            <w:tcW w:w="0" w:type="auto"/>
            <w:tcBorders>
              <w:top w:val="nil"/>
              <w:left w:val="nil"/>
              <w:bottom w:val="single" w:sz="4" w:space="0" w:color="auto"/>
              <w:right w:val="single" w:sz="4" w:space="0" w:color="auto"/>
            </w:tcBorders>
            <w:shd w:val="clear" w:color="000000" w:fill="E2EFDA"/>
            <w:vAlign w:val="center"/>
            <w:hideMark/>
          </w:tcPr>
          <w:p w14:paraId="0EBD92C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7.05</w:t>
            </w:r>
          </w:p>
        </w:tc>
        <w:tc>
          <w:tcPr>
            <w:tcW w:w="0" w:type="auto"/>
            <w:tcBorders>
              <w:top w:val="nil"/>
              <w:left w:val="nil"/>
              <w:bottom w:val="single" w:sz="4" w:space="0" w:color="auto"/>
              <w:right w:val="single" w:sz="4" w:space="0" w:color="auto"/>
            </w:tcBorders>
            <w:shd w:val="clear" w:color="000000" w:fill="E2EFDA"/>
            <w:vAlign w:val="center"/>
            <w:hideMark/>
          </w:tcPr>
          <w:p w14:paraId="19B5939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39.95</w:t>
            </w:r>
          </w:p>
        </w:tc>
        <w:tc>
          <w:tcPr>
            <w:tcW w:w="0" w:type="auto"/>
            <w:tcBorders>
              <w:top w:val="nil"/>
              <w:left w:val="nil"/>
              <w:bottom w:val="single" w:sz="4" w:space="0" w:color="auto"/>
              <w:right w:val="single" w:sz="4" w:space="0" w:color="auto"/>
            </w:tcBorders>
            <w:shd w:val="clear" w:color="000000" w:fill="ED7D31"/>
            <w:vAlign w:val="center"/>
            <w:hideMark/>
          </w:tcPr>
          <w:p w14:paraId="65ED09B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519B5C5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47.00</w:t>
            </w:r>
          </w:p>
        </w:tc>
        <w:tc>
          <w:tcPr>
            <w:tcW w:w="0" w:type="auto"/>
            <w:tcBorders>
              <w:top w:val="nil"/>
              <w:left w:val="nil"/>
              <w:bottom w:val="single" w:sz="4" w:space="0" w:color="auto"/>
              <w:right w:val="single" w:sz="4" w:space="0" w:color="auto"/>
            </w:tcBorders>
            <w:shd w:val="clear" w:color="000000" w:fill="E2EFDA"/>
            <w:vAlign w:val="center"/>
            <w:hideMark/>
          </w:tcPr>
          <w:p w14:paraId="503371A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D53618A"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495219EB"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DB93A23"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PM_IEM8.5</w:t>
            </w:r>
          </w:p>
        </w:tc>
        <w:tc>
          <w:tcPr>
            <w:tcW w:w="0" w:type="auto"/>
            <w:tcBorders>
              <w:top w:val="nil"/>
              <w:left w:val="nil"/>
              <w:bottom w:val="single" w:sz="4" w:space="0" w:color="auto"/>
              <w:right w:val="single" w:sz="4" w:space="0" w:color="auto"/>
            </w:tcBorders>
            <w:shd w:val="clear" w:color="auto" w:fill="auto"/>
            <w:vAlign w:val="center"/>
            <w:hideMark/>
          </w:tcPr>
          <w:p w14:paraId="75F854E3"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Distribution gas pipeline RG 11-02 Leskovac-Vladicin Han-Vranje 71 km</w:t>
            </w:r>
          </w:p>
        </w:tc>
        <w:tc>
          <w:tcPr>
            <w:tcW w:w="0" w:type="auto"/>
            <w:tcBorders>
              <w:top w:val="nil"/>
              <w:left w:val="nil"/>
              <w:bottom w:val="single" w:sz="4" w:space="0" w:color="auto"/>
              <w:right w:val="single" w:sz="4" w:space="0" w:color="auto"/>
            </w:tcBorders>
            <w:shd w:val="clear" w:color="auto" w:fill="auto"/>
            <w:vAlign w:val="center"/>
            <w:hideMark/>
          </w:tcPr>
          <w:p w14:paraId="52DD723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147280A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7BEE2D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50.00</w:t>
            </w:r>
          </w:p>
        </w:tc>
        <w:tc>
          <w:tcPr>
            <w:tcW w:w="0" w:type="auto"/>
            <w:tcBorders>
              <w:top w:val="nil"/>
              <w:left w:val="nil"/>
              <w:bottom w:val="single" w:sz="4" w:space="0" w:color="auto"/>
              <w:right w:val="single" w:sz="4" w:space="0" w:color="auto"/>
            </w:tcBorders>
            <w:shd w:val="clear" w:color="000000" w:fill="E2EFDA"/>
            <w:vAlign w:val="center"/>
            <w:hideMark/>
          </w:tcPr>
          <w:p w14:paraId="410FEC0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7.50</w:t>
            </w:r>
          </w:p>
        </w:tc>
        <w:tc>
          <w:tcPr>
            <w:tcW w:w="0" w:type="auto"/>
            <w:tcBorders>
              <w:top w:val="nil"/>
              <w:left w:val="nil"/>
              <w:bottom w:val="single" w:sz="4" w:space="0" w:color="auto"/>
              <w:right w:val="single" w:sz="4" w:space="0" w:color="auto"/>
            </w:tcBorders>
            <w:shd w:val="clear" w:color="000000" w:fill="E2EFDA"/>
            <w:vAlign w:val="center"/>
            <w:hideMark/>
          </w:tcPr>
          <w:p w14:paraId="1ADD9CC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42.50</w:t>
            </w:r>
          </w:p>
        </w:tc>
        <w:tc>
          <w:tcPr>
            <w:tcW w:w="0" w:type="auto"/>
            <w:tcBorders>
              <w:top w:val="nil"/>
              <w:left w:val="nil"/>
              <w:bottom w:val="single" w:sz="4" w:space="0" w:color="auto"/>
              <w:right w:val="single" w:sz="4" w:space="0" w:color="auto"/>
            </w:tcBorders>
            <w:shd w:val="clear" w:color="000000" w:fill="ED7D31"/>
            <w:vAlign w:val="center"/>
            <w:hideMark/>
          </w:tcPr>
          <w:p w14:paraId="42D57EC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136C658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50.00</w:t>
            </w:r>
          </w:p>
        </w:tc>
        <w:tc>
          <w:tcPr>
            <w:tcW w:w="0" w:type="auto"/>
            <w:tcBorders>
              <w:top w:val="nil"/>
              <w:left w:val="nil"/>
              <w:bottom w:val="single" w:sz="4" w:space="0" w:color="auto"/>
              <w:right w:val="single" w:sz="4" w:space="0" w:color="auto"/>
            </w:tcBorders>
            <w:shd w:val="clear" w:color="000000" w:fill="E2EFDA"/>
            <w:vAlign w:val="center"/>
            <w:hideMark/>
          </w:tcPr>
          <w:p w14:paraId="407F43A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50185F06"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32D1DF59"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87228A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PM_IEM8.6</w:t>
            </w:r>
          </w:p>
        </w:tc>
        <w:tc>
          <w:tcPr>
            <w:tcW w:w="0" w:type="auto"/>
            <w:tcBorders>
              <w:top w:val="nil"/>
              <w:left w:val="nil"/>
              <w:bottom w:val="single" w:sz="4" w:space="0" w:color="auto"/>
              <w:right w:val="single" w:sz="4" w:space="0" w:color="auto"/>
            </w:tcBorders>
            <w:shd w:val="clear" w:color="auto" w:fill="auto"/>
            <w:vAlign w:val="center"/>
            <w:hideMark/>
          </w:tcPr>
          <w:p w14:paraId="0E8F82C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Gas pipeline - interconnection with Montenegro</w:t>
            </w:r>
          </w:p>
        </w:tc>
        <w:tc>
          <w:tcPr>
            <w:tcW w:w="0" w:type="auto"/>
            <w:tcBorders>
              <w:top w:val="nil"/>
              <w:left w:val="nil"/>
              <w:bottom w:val="single" w:sz="4" w:space="0" w:color="auto"/>
              <w:right w:val="single" w:sz="4" w:space="0" w:color="auto"/>
            </w:tcBorders>
            <w:shd w:val="clear" w:color="auto" w:fill="auto"/>
            <w:vAlign w:val="center"/>
            <w:hideMark/>
          </w:tcPr>
          <w:p w14:paraId="32984DB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17EABF1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3B101F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60.00</w:t>
            </w:r>
          </w:p>
        </w:tc>
        <w:tc>
          <w:tcPr>
            <w:tcW w:w="0" w:type="auto"/>
            <w:tcBorders>
              <w:top w:val="nil"/>
              <w:left w:val="nil"/>
              <w:bottom w:val="single" w:sz="4" w:space="0" w:color="auto"/>
              <w:right w:val="single" w:sz="4" w:space="0" w:color="auto"/>
            </w:tcBorders>
            <w:shd w:val="clear" w:color="000000" w:fill="E2EFDA"/>
            <w:vAlign w:val="center"/>
            <w:hideMark/>
          </w:tcPr>
          <w:p w14:paraId="58A50DD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0" w:type="auto"/>
            <w:tcBorders>
              <w:top w:val="nil"/>
              <w:left w:val="nil"/>
              <w:bottom w:val="single" w:sz="4" w:space="0" w:color="auto"/>
              <w:right w:val="single" w:sz="4" w:space="0" w:color="auto"/>
            </w:tcBorders>
            <w:shd w:val="clear" w:color="000000" w:fill="E2EFDA"/>
            <w:vAlign w:val="center"/>
            <w:hideMark/>
          </w:tcPr>
          <w:p w14:paraId="4F10B1E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51.00</w:t>
            </w:r>
          </w:p>
        </w:tc>
        <w:tc>
          <w:tcPr>
            <w:tcW w:w="0" w:type="auto"/>
            <w:tcBorders>
              <w:top w:val="nil"/>
              <w:left w:val="nil"/>
              <w:bottom w:val="single" w:sz="4" w:space="0" w:color="auto"/>
              <w:right w:val="single" w:sz="4" w:space="0" w:color="auto"/>
            </w:tcBorders>
            <w:shd w:val="clear" w:color="000000" w:fill="ED7D31"/>
            <w:vAlign w:val="center"/>
            <w:hideMark/>
          </w:tcPr>
          <w:p w14:paraId="4E8662C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1488676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60.00</w:t>
            </w:r>
          </w:p>
        </w:tc>
        <w:tc>
          <w:tcPr>
            <w:tcW w:w="0" w:type="auto"/>
            <w:tcBorders>
              <w:top w:val="nil"/>
              <w:left w:val="nil"/>
              <w:bottom w:val="single" w:sz="4" w:space="0" w:color="auto"/>
              <w:right w:val="single" w:sz="4" w:space="0" w:color="auto"/>
            </w:tcBorders>
            <w:shd w:val="clear" w:color="000000" w:fill="E2EFDA"/>
            <w:vAlign w:val="center"/>
            <w:hideMark/>
          </w:tcPr>
          <w:p w14:paraId="4FF39E9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61488AC"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5202444B"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C02C64A"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PM_IEM8.7</w:t>
            </w:r>
          </w:p>
        </w:tc>
        <w:tc>
          <w:tcPr>
            <w:tcW w:w="0" w:type="auto"/>
            <w:tcBorders>
              <w:top w:val="nil"/>
              <w:left w:val="nil"/>
              <w:bottom w:val="single" w:sz="4" w:space="0" w:color="auto"/>
              <w:right w:val="single" w:sz="4" w:space="0" w:color="auto"/>
            </w:tcBorders>
            <w:shd w:val="clear" w:color="auto" w:fill="auto"/>
            <w:vAlign w:val="center"/>
            <w:hideMark/>
          </w:tcPr>
          <w:p w14:paraId="517DE4F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Project for Serbia-Macedonia gas interconnection 70.7 km, with a capacity of 0.8 billion m3/year</w:t>
            </w:r>
          </w:p>
        </w:tc>
        <w:tc>
          <w:tcPr>
            <w:tcW w:w="0" w:type="auto"/>
            <w:tcBorders>
              <w:top w:val="nil"/>
              <w:left w:val="nil"/>
              <w:bottom w:val="single" w:sz="4" w:space="0" w:color="auto"/>
              <w:right w:val="single" w:sz="4" w:space="0" w:color="auto"/>
            </w:tcBorders>
            <w:shd w:val="clear" w:color="auto" w:fill="auto"/>
            <w:vAlign w:val="center"/>
            <w:hideMark/>
          </w:tcPr>
          <w:p w14:paraId="65C4C62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8F2560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3DC1E0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20.00</w:t>
            </w:r>
          </w:p>
        </w:tc>
        <w:tc>
          <w:tcPr>
            <w:tcW w:w="0" w:type="auto"/>
            <w:tcBorders>
              <w:top w:val="nil"/>
              <w:left w:val="nil"/>
              <w:bottom w:val="single" w:sz="4" w:space="0" w:color="auto"/>
              <w:right w:val="single" w:sz="4" w:space="0" w:color="auto"/>
            </w:tcBorders>
            <w:shd w:val="clear" w:color="000000" w:fill="E2EFDA"/>
            <w:vAlign w:val="center"/>
            <w:hideMark/>
          </w:tcPr>
          <w:p w14:paraId="7E79665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3.00</w:t>
            </w:r>
          </w:p>
        </w:tc>
        <w:tc>
          <w:tcPr>
            <w:tcW w:w="0" w:type="auto"/>
            <w:tcBorders>
              <w:top w:val="nil"/>
              <w:left w:val="nil"/>
              <w:bottom w:val="single" w:sz="4" w:space="0" w:color="auto"/>
              <w:right w:val="single" w:sz="4" w:space="0" w:color="auto"/>
            </w:tcBorders>
            <w:shd w:val="clear" w:color="000000" w:fill="E2EFDA"/>
            <w:vAlign w:val="center"/>
            <w:hideMark/>
          </w:tcPr>
          <w:p w14:paraId="1258B38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17.00</w:t>
            </w:r>
          </w:p>
        </w:tc>
        <w:tc>
          <w:tcPr>
            <w:tcW w:w="0" w:type="auto"/>
            <w:tcBorders>
              <w:top w:val="nil"/>
              <w:left w:val="nil"/>
              <w:bottom w:val="single" w:sz="4" w:space="0" w:color="auto"/>
              <w:right w:val="single" w:sz="4" w:space="0" w:color="auto"/>
            </w:tcBorders>
            <w:shd w:val="clear" w:color="000000" w:fill="ED7D31"/>
            <w:vAlign w:val="center"/>
            <w:hideMark/>
          </w:tcPr>
          <w:p w14:paraId="6FEB653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34967A1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20.00</w:t>
            </w:r>
          </w:p>
        </w:tc>
        <w:tc>
          <w:tcPr>
            <w:tcW w:w="0" w:type="auto"/>
            <w:tcBorders>
              <w:top w:val="nil"/>
              <w:left w:val="nil"/>
              <w:bottom w:val="single" w:sz="4" w:space="0" w:color="auto"/>
              <w:right w:val="single" w:sz="4" w:space="0" w:color="auto"/>
            </w:tcBorders>
            <w:shd w:val="clear" w:color="000000" w:fill="E2EFDA"/>
            <w:vAlign w:val="center"/>
            <w:hideMark/>
          </w:tcPr>
          <w:p w14:paraId="0BD5D9E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78F60D7C"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CCBF297"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7268F5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PM_IEM8.8</w:t>
            </w:r>
          </w:p>
        </w:tc>
        <w:tc>
          <w:tcPr>
            <w:tcW w:w="0" w:type="auto"/>
            <w:tcBorders>
              <w:top w:val="nil"/>
              <w:left w:val="nil"/>
              <w:bottom w:val="single" w:sz="4" w:space="0" w:color="auto"/>
              <w:right w:val="single" w:sz="4" w:space="0" w:color="auto"/>
            </w:tcBorders>
            <w:shd w:val="clear" w:color="auto" w:fill="auto"/>
            <w:vAlign w:val="center"/>
            <w:hideMark/>
          </w:tcPr>
          <w:p w14:paraId="5D5568B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Project for Niš-Priština gas pipeline construction 65 km, with a capacity of 0.8 billion m3/year</w:t>
            </w:r>
          </w:p>
        </w:tc>
        <w:tc>
          <w:tcPr>
            <w:tcW w:w="0" w:type="auto"/>
            <w:tcBorders>
              <w:top w:val="nil"/>
              <w:left w:val="nil"/>
              <w:bottom w:val="single" w:sz="4" w:space="0" w:color="auto"/>
              <w:right w:val="single" w:sz="4" w:space="0" w:color="auto"/>
            </w:tcBorders>
            <w:shd w:val="clear" w:color="auto" w:fill="auto"/>
            <w:vAlign w:val="center"/>
            <w:hideMark/>
          </w:tcPr>
          <w:p w14:paraId="30A0626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13EC867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3EED2F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30.00</w:t>
            </w:r>
          </w:p>
        </w:tc>
        <w:tc>
          <w:tcPr>
            <w:tcW w:w="0" w:type="auto"/>
            <w:tcBorders>
              <w:top w:val="nil"/>
              <w:left w:val="nil"/>
              <w:bottom w:val="single" w:sz="4" w:space="0" w:color="auto"/>
              <w:right w:val="single" w:sz="4" w:space="0" w:color="auto"/>
            </w:tcBorders>
            <w:shd w:val="clear" w:color="000000" w:fill="E2EFDA"/>
            <w:vAlign w:val="center"/>
            <w:hideMark/>
          </w:tcPr>
          <w:p w14:paraId="2C209B8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4" w:space="0" w:color="auto"/>
              <w:right w:val="single" w:sz="4" w:space="0" w:color="auto"/>
            </w:tcBorders>
            <w:shd w:val="clear" w:color="000000" w:fill="E2EFDA"/>
            <w:vAlign w:val="center"/>
            <w:hideMark/>
          </w:tcPr>
          <w:p w14:paraId="79FC959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25.50</w:t>
            </w:r>
          </w:p>
        </w:tc>
        <w:tc>
          <w:tcPr>
            <w:tcW w:w="0" w:type="auto"/>
            <w:tcBorders>
              <w:top w:val="nil"/>
              <w:left w:val="nil"/>
              <w:bottom w:val="single" w:sz="4" w:space="0" w:color="auto"/>
              <w:right w:val="single" w:sz="4" w:space="0" w:color="auto"/>
            </w:tcBorders>
            <w:shd w:val="clear" w:color="000000" w:fill="ED7D31"/>
            <w:vAlign w:val="center"/>
            <w:hideMark/>
          </w:tcPr>
          <w:p w14:paraId="6A03971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26C9756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30.00</w:t>
            </w:r>
          </w:p>
        </w:tc>
        <w:tc>
          <w:tcPr>
            <w:tcW w:w="0" w:type="auto"/>
            <w:tcBorders>
              <w:top w:val="nil"/>
              <w:left w:val="nil"/>
              <w:bottom w:val="single" w:sz="4" w:space="0" w:color="auto"/>
              <w:right w:val="single" w:sz="4" w:space="0" w:color="auto"/>
            </w:tcBorders>
            <w:shd w:val="clear" w:color="000000" w:fill="E2EFDA"/>
            <w:vAlign w:val="center"/>
            <w:hideMark/>
          </w:tcPr>
          <w:p w14:paraId="19A8BA0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A909520"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27057EB"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AE98E3C"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PM_IEM9</w:t>
            </w:r>
          </w:p>
        </w:tc>
        <w:tc>
          <w:tcPr>
            <w:tcW w:w="0" w:type="auto"/>
            <w:tcBorders>
              <w:top w:val="nil"/>
              <w:left w:val="nil"/>
              <w:bottom w:val="single" w:sz="4" w:space="0" w:color="auto"/>
              <w:right w:val="single" w:sz="4" w:space="0" w:color="auto"/>
            </w:tcBorders>
            <w:shd w:val="clear" w:color="auto" w:fill="auto"/>
            <w:vAlign w:val="center"/>
            <w:hideMark/>
          </w:tcPr>
          <w:p w14:paraId="6D02990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Investments related to the digitalisation of the networks aiming at increasing RES integration and improvement of quality of supply</w:t>
            </w:r>
          </w:p>
        </w:tc>
        <w:tc>
          <w:tcPr>
            <w:tcW w:w="0" w:type="auto"/>
            <w:tcBorders>
              <w:top w:val="nil"/>
              <w:left w:val="nil"/>
              <w:bottom w:val="single" w:sz="4" w:space="0" w:color="auto"/>
              <w:right w:val="single" w:sz="4" w:space="0" w:color="auto"/>
            </w:tcBorders>
            <w:shd w:val="clear" w:color="auto" w:fill="auto"/>
            <w:vAlign w:val="center"/>
            <w:hideMark/>
          </w:tcPr>
          <w:p w14:paraId="17B52D2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1C92375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062D0D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10.00</w:t>
            </w:r>
          </w:p>
        </w:tc>
        <w:tc>
          <w:tcPr>
            <w:tcW w:w="0" w:type="auto"/>
            <w:tcBorders>
              <w:top w:val="nil"/>
              <w:left w:val="nil"/>
              <w:bottom w:val="single" w:sz="4" w:space="0" w:color="auto"/>
              <w:right w:val="single" w:sz="4" w:space="0" w:color="auto"/>
            </w:tcBorders>
            <w:shd w:val="clear" w:color="000000" w:fill="E2EFDA"/>
            <w:vAlign w:val="center"/>
            <w:hideMark/>
          </w:tcPr>
          <w:p w14:paraId="59F28AB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w:t>
            </w:r>
          </w:p>
        </w:tc>
        <w:tc>
          <w:tcPr>
            <w:tcW w:w="0" w:type="auto"/>
            <w:tcBorders>
              <w:top w:val="nil"/>
              <w:left w:val="nil"/>
              <w:bottom w:val="single" w:sz="4" w:space="0" w:color="auto"/>
              <w:right w:val="single" w:sz="4" w:space="0" w:color="auto"/>
            </w:tcBorders>
            <w:shd w:val="clear" w:color="000000" w:fill="E2EFDA"/>
            <w:vAlign w:val="center"/>
            <w:hideMark/>
          </w:tcPr>
          <w:p w14:paraId="48C07AA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8.50</w:t>
            </w:r>
          </w:p>
        </w:tc>
        <w:tc>
          <w:tcPr>
            <w:tcW w:w="0" w:type="auto"/>
            <w:tcBorders>
              <w:top w:val="nil"/>
              <w:left w:val="nil"/>
              <w:bottom w:val="single" w:sz="4" w:space="0" w:color="auto"/>
              <w:right w:val="single" w:sz="4" w:space="0" w:color="auto"/>
            </w:tcBorders>
            <w:shd w:val="clear" w:color="000000" w:fill="ED7D31"/>
            <w:vAlign w:val="center"/>
            <w:hideMark/>
          </w:tcPr>
          <w:p w14:paraId="1B2F23C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A7C567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10.00</w:t>
            </w:r>
          </w:p>
        </w:tc>
        <w:tc>
          <w:tcPr>
            <w:tcW w:w="0" w:type="auto"/>
            <w:tcBorders>
              <w:top w:val="nil"/>
              <w:left w:val="nil"/>
              <w:bottom w:val="single" w:sz="4" w:space="0" w:color="auto"/>
              <w:right w:val="single" w:sz="4" w:space="0" w:color="auto"/>
            </w:tcBorders>
            <w:shd w:val="clear" w:color="000000" w:fill="E2EFDA"/>
            <w:vAlign w:val="center"/>
            <w:hideMark/>
          </w:tcPr>
          <w:p w14:paraId="0F0E16E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5CF58F2C"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07B5A8DF"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F1C27FC"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PM_IEM11</w:t>
            </w:r>
          </w:p>
        </w:tc>
        <w:tc>
          <w:tcPr>
            <w:tcW w:w="0" w:type="auto"/>
            <w:tcBorders>
              <w:top w:val="nil"/>
              <w:left w:val="nil"/>
              <w:bottom w:val="single" w:sz="4" w:space="0" w:color="auto"/>
              <w:right w:val="single" w:sz="4" w:space="0" w:color="auto"/>
            </w:tcBorders>
            <w:shd w:val="clear" w:color="auto" w:fill="auto"/>
            <w:vAlign w:val="center"/>
            <w:hideMark/>
          </w:tcPr>
          <w:p w14:paraId="5636D87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Smart meters roll out in electricity Elektrodistribucija Srbije d.o.o. Beograd EPS</w:t>
            </w:r>
          </w:p>
        </w:tc>
        <w:tc>
          <w:tcPr>
            <w:tcW w:w="0" w:type="auto"/>
            <w:tcBorders>
              <w:top w:val="nil"/>
              <w:left w:val="nil"/>
              <w:bottom w:val="single" w:sz="4" w:space="0" w:color="auto"/>
              <w:right w:val="single" w:sz="4" w:space="0" w:color="auto"/>
            </w:tcBorders>
            <w:shd w:val="clear" w:color="auto" w:fill="auto"/>
            <w:vAlign w:val="center"/>
            <w:hideMark/>
          </w:tcPr>
          <w:p w14:paraId="111C53D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6C8E81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647CD92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32.20</w:t>
            </w:r>
          </w:p>
        </w:tc>
        <w:tc>
          <w:tcPr>
            <w:tcW w:w="0" w:type="auto"/>
            <w:tcBorders>
              <w:top w:val="nil"/>
              <w:left w:val="nil"/>
              <w:bottom w:val="single" w:sz="4" w:space="0" w:color="auto"/>
              <w:right w:val="single" w:sz="4" w:space="0" w:color="auto"/>
            </w:tcBorders>
            <w:shd w:val="clear" w:color="000000" w:fill="E2EFDA"/>
            <w:vAlign w:val="center"/>
            <w:hideMark/>
          </w:tcPr>
          <w:p w14:paraId="24A29CD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0D685D8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32.20</w:t>
            </w:r>
          </w:p>
        </w:tc>
        <w:tc>
          <w:tcPr>
            <w:tcW w:w="0" w:type="auto"/>
            <w:tcBorders>
              <w:top w:val="nil"/>
              <w:left w:val="nil"/>
              <w:bottom w:val="single" w:sz="4" w:space="0" w:color="auto"/>
              <w:right w:val="single" w:sz="4" w:space="0" w:color="auto"/>
            </w:tcBorders>
            <w:shd w:val="clear" w:color="000000" w:fill="ED7D31"/>
            <w:vAlign w:val="center"/>
            <w:hideMark/>
          </w:tcPr>
          <w:p w14:paraId="77D96B1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6AEF64F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32.20</w:t>
            </w:r>
          </w:p>
        </w:tc>
        <w:tc>
          <w:tcPr>
            <w:tcW w:w="0" w:type="auto"/>
            <w:tcBorders>
              <w:top w:val="nil"/>
              <w:left w:val="nil"/>
              <w:bottom w:val="single" w:sz="4" w:space="0" w:color="auto"/>
              <w:right w:val="single" w:sz="4" w:space="0" w:color="auto"/>
            </w:tcBorders>
            <w:shd w:val="clear" w:color="000000" w:fill="E2EFDA"/>
            <w:vAlign w:val="center"/>
            <w:hideMark/>
          </w:tcPr>
          <w:p w14:paraId="7D02514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3322219"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53827E99"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03F97D6"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PM_IEM12</w:t>
            </w:r>
          </w:p>
        </w:tc>
        <w:tc>
          <w:tcPr>
            <w:tcW w:w="0" w:type="auto"/>
            <w:tcBorders>
              <w:top w:val="nil"/>
              <w:left w:val="nil"/>
              <w:bottom w:val="single" w:sz="4" w:space="0" w:color="auto"/>
              <w:right w:val="single" w:sz="4" w:space="0" w:color="auto"/>
            </w:tcBorders>
            <w:shd w:val="clear" w:color="auto" w:fill="auto"/>
            <w:vAlign w:val="center"/>
            <w:hideMark/>
          </w:tcPr>
          <w:p w14:paraId="32B0C7E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Feasibility studies for smart meters roll out in natural gas distribution</w:t>
            </w:r>
          </w:p>
        </w:tc>
        <w:tc>
          <w:tcPr>
            <w:tcW w:w="0" w:type="auto"/>
            <w:tcBorders>
              <w:top w:val="nil"/>
              <w:left w:val="nil"/>
              <w:bottom w:val="single" w:sz="4" w:space="0" w:color="auto"/>
              <w:right w:val="single" w:sz="4" w:space="0" w:color="auto"/>
            </w:tcBorders>
            <w:shd w:val="clear" w:color="auto" w:fill="auto"/>
            <w:vAlign w:val="center"/>
            <w:hideMark/>
          </w:tcPr>
          <w:p w14:paraId="42F2D17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xml:space="preserve">Reform </w:t>
            </w:r>
          </w:p>
        </w:tc>
        <w:tc>
          <w:tcPr>
            <w:tcW w:w="0" w:type="auto"/>
            <w:tcBorders>
              <w:top w:val="nil"/>
              <w:left w:val="nil"/>
              <w:bottom w:val="single" w:sz="4" w:space="0" w:color="auto"/>
              <w:right w:val="single" w:sz="4" w:space="0" w:color="auto"/>
            </w:tcBorders>
            <w:shd w:val="clear" w:color="auto" w:fill="auto"/>
            <w:vAlign w:val="center"/>
            <w:hideMark/>
          </w:tcPr>
          <w:p w14:paraId="785AEAE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2F2282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0" w:type="auto"/>
            <w:tcBorders>
              <w:top w:val="nil"/>
              <w:left w:val="nil"/>
              <w:bottom w:val="single" w:sz="4" w:space="0" w:color="auto"/>
              <w:right w:val="single" w:sz="4" w:space="0" w:color="auto"/>
            </w:tcBorders>
            <w:shd w:val="clear" w:color="000000" w:fill="E2EFDA"/>
            <w:vAlign w:val="center"/>
            <w:hideMark/>
          </w:tcPr>
          <w:p w14:paraId="2EFB862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0255AD0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0" w:type="auto"/>
            <w:tcBorders>
              <w:top w:val="nil"/>
              <w:left w:val="nil"/>
              <w:bottom w:val="single" w:sz="4" w:space="0" w:color="auto"/>
              <w:right w:val="single" w:sz="4" w:space="0" w:color="auto"/>
            </w:tcBorders>
            <w:shd w:val="clear" w:color="000000" w:fill="ED7D31"/>
            <w:vAlign w:val="center"/>
            <w:hideMark/>
          </w:tcPr>
          <w:p w14:paraId="2BDAD35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04EB3BA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1.00</w:t>
            </w:r>
          </w:p>
        </w:tc>
        <w:tc>
          <w:tcPr>
            <w:tcW w:w="0" w:type="auto"/>
            <w:tcBorders>
              <w:top w:val="nil"/>
              <w:left w:val="nil"/>
              <w:bottom w:val="single" w:sz="4" w:space="0" w:color="auto"/>
              <w:right w:val="single" w:sz="4" w:space="0" w:color="auto"/>
            </w:tcBorders>
            <w:shd w:val="clear" w:color="000000" w:fill="E2EFDA"/>
            <w:vAlign w:val="center"/>
            <w:hideMark/>
          </w:tcPr>
          <w:p w14:paraId="4F5C4E3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1C2C9AD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5552EBCD"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92D05B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PM_IEM13</w:t>
            </w:r>
          </w:p>
        </w:tc>
        <w:tc>
          <w:tcPr>
            <w:tcW w:w="0" w:type="auto"/>
            <w:tcBorders>
              <w:top w:val="nil"/>
              <w:left w:val="nil"/>
              <w:bottom w:val="single" w:sz="4" w:space="0" w:color="auto"/>
              <w:right w:val="single" w:sz="4" w:space="0" w:color="auto"/>
            </w:tcBorders>
            <w:shd w:val="clear" w:color="auto" w:fill="auto"/>
            <w:vAlign w:val="center"/>
            <w:hideMark/>
          </w:tcPr>
          <w:p w14:paraId="7F40388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Design and implement market and network data management model</w:t>
            </w:r>
          </w:p>
        </w:tc>
        <w:tc>
          <w:tcPr>
            <w:tcW w:w="0" w:type="auto"/>
            <w:tcBorders>
              <w:top w:val="nil"/>
              <w:left w:val="nil"/>
              <w:bottom w:val="single" w:sz="4" w:space="0" w:color="auto"/>
              <w:right w:val="single" w:sz="4" w:space="0" w:color="auto"/>
            </w:tcBorders>
            <w:shd w:val="clear" w:color="auto" w:fill="auto"/>
            <w:vAlign w:val="center"/>
            <w:hideMark/>
          </w:tcPr>
          <w:p w14:paraId="5DC696F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2699A96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004353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0.40</w:t>
            </w:r>
          </w:p>
        </w:tc>
        <w:tc>
          <w:tcPr>
            <w:tcW w:w="0" w:type="auto"/>
            <w:tcBorders>
              <w:top w:val="nil"/>
              <w:left w:val="nil"/>
              <w:bottom w:val="single" w:sz="4" w:space="0" w:color="auto"/>
              <w:right w:val="single" w:sz="4" w:space="0" w:color="auto"/>
            </w:tcBorders>
            <w:shd w:val="clear" w:color="000000" w:fill="E2EFDA"/>
            <w:vAlign w:val="center"/>
            <w:hideMark/>
          </w:tcPr>
          <w:p w14:paraId="6C7B9C8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0.40</w:t>
            </w:r>
          </w:p>
        </w:tc>
        <w:tc>
          <w:tcPr>
            <w:tcW w:w="0" w:type="auto"/>
            <w:tcBorders>
              <w:top w:val="nil"/>
              <w:left w:val="nil"/>
              <w:bottom w:val="single" w:sz="4" w:space="0" w:color="auto"/>
              <w:right w:val="single" w:sz="4" w:space="0" w:color="auto"/>
            </w:tcBorders>
            <w:shd w:val="clear" w:color="000000" w:fill="E2EFDA"/>
            <w:vAlign w:val="center"/>
            <w:hideMark/>
          </w:tcPr>
          <w:p w14:paraId="5D30135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8631B5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2D1DBD6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0.40</w:t>
            </w:r>
          </w:p>
        </w:tc>
        <w:tc>
          <w:tcPr>
            <w:tcW w:w="0" w:type="auto"/>
            <w:tcBorders>
              <w:top w:val="nil"/>
              <w:left w:val="nil"/>
              <w:bottom w:val="single" w:sz="4" w:space="0" w:color="auto"/>
              <w:right w:val="single" w:sz="4" w:space="0" w:color="auto"/>
            </w:tcBorders>
            <w:shd w:val="clear" w:color="000000" w:fill="E2EFDA"/>
            <w:vAlign w:val="center"/>
            <w:hideMark/>
          </w:tcPr>
          <w:p w14:paraId="68F8644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2691827"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63C0A48"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8635B7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PM_IEM14</w:t>
            </w:r>
          </w:p>
        </w:tc>
        <w:tc>
          <w:tcPr>
            <w:tcW w:w="0" w:type="auto"/>
            <w:tcBorders>
              <w:top w:val="nil"/>
              <w:left w:val="nil"/>
              <w:bottom w:val="single" w:sz="4" w:space="0" w:color="auto"/>
              <w:right w:val="single" w:sz="4" w:space="0" w:color="auto"/>
            </w:tcBorders>
            <w:shd w:val="clear" w:color="auto" w:fill="auto"/>
            <w:vAlign w:val="center"/>
            <w:hideMark/>
          </w:tcPr>
          <w:p w14:paraId="16BA1458"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demand response for the end-users by use of the dynamic tariff system</w:t>
            </w:r>
          </w:p>
        </w:tc>
        <w:tc>
          <w:tcPr>
            <w:tcW w:w="0" w:type="auto"/>
            <w:tcBorders>
              <w:top w:val="nil"/>
              <w:left w:val="nil"/>
              <w:bottom w:val="single" w:sz="4" w:space="0" w:color="auto"/>
              <w:right w:val="single" w:sz="4" w:space="0" w:color="auto"/>
            </w:tcBorders>
            <w:shd w:val="clear" w:color="auto" w:fill="auto"/>
            <w:vAlign w:val="center"/>
            <w:hideMark/>
          </w:tcPr>
          <w:p w14:paraId="7BAB3B8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73176F6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651A8A3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635C6F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81F8B5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D3046C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1017AAB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6FCFC5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13F0E395"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4D070E6"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B88147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PM_IEM15</w:t>
            </w:r>
          </w:p>
        </w:tc>
        <w:tc>
          <w:tcPr>
            <w:tcW w:w="0" w:type="auto"/>
            <w:tcBorders>
              <w:top w:val="nil"/>
              <w:left w:val="nil"/>
              <w:bottom w:val="single" w:sz="4" w:space="0" w:color="auto"/>
              <w:right w:val="single" w:sz="4" w:space="0" w:color="auto"/>
            </w:tcBorders>
            <w:shd w:val="clear" w:color="auto" w:fill="auto"/>
            <w:vAlign w:val="center"/>
            <w:hideMark/>
          </w:tcPr>
          <w:p w14:paraId="2E875089"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Equipping gas distribution systems with metering and data collection devices (measuring equipment, measuring and operational platform, SCADA) necessary for the functioning and development of the gas market</w:t>
            </w:r>
          </w:p>
        </w:tc>
        <w:tc>
          <w:tcPr>
            <w:tcW w:w="0" w:type="auto"/>
            <w:tcBorders>
              <w:top w:val="nil"/>
              <w:left w:val="nil"/>
              <w:bottom w:val="single" w:sz="4" w:space="0" w:color="auto"/>
              <w:right w:val="single" w:sz="4" w:space="0" w:color="auto"/>
            </w:tcBorders>
            <w:shd w:val="clear" w:color="auto" w:fill="auto"/>
            <w:vAlign w:val="center"/>
            <w:hideMark/>
          </w:tcPr>
          <w:p w14:paraId="1829701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8BEC1E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922A68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w:t>
            </w:r>
          </w:p>
        </w:tc>
        <w:tc>
          <w:tcPr>
            <w:tcW w:w="0" w:type="auto"/>
            <w:tcBorders>
              <w:top w:val="nil"/>
              <w:left w:val="nil"/>
              <w:bottom w:val="single" w:sz="4" w:space="0" w:color="auto"/>
              <w:right w:val="single" w:sz="4" w:space="0" w:color="auto"/>
            </w:tcBorders>
            <w:shd w:val="clear" w:color="000000" w:fill="E2EFDA"/>
            <w:vAlign w:val="center"/>
            <w:hideMark/>
          </w:tcPr>
          <w:p w14:paraId="615C0F9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23CEFFA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w:t>
            </w:r>
          </w:p>
        </w:tc>
        <w:tc>
          <w:tcPr>
            <w:tcW w:w="0" w:type="auto"/>
            <w:tcBorders>
              <w:top w:val="nil"/>
              <w:left w:val="nil"/>
              <w:bottom w:val="single" w:sz="4" w:space="0" w:color="auto"/>
              <w:right w:val="single" w:sz="4" w:space="0" w:color="auto"/>
            </w:tcBorders>
            <w:shd w:val="clear" w:color="000000" w:fill="ED7D31"/>
            <w:vAlign w:val="center"/>
            <w:hideMark/>
          </w:tcPr>
          <w:p w14:paraId="5733784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6C9ADD6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3.50</w:t>
            </w:r>
          </w:p>
        </w:tc>
        <w:tc>
          <w:tcPr>
            <w:tcW w:w="0" w:type="auto"/>
            <w:tcBorders>
              <w:top w:val="nil"/>
              <w:left w:val="nil"/>
              <w:bottom w:val="single" w:sz="4" w:space="0" w:color="auto"/>
              <w:right w:val="single" w:sz="4" w:space="0" w:color="auto"/>
            </w:tcBorders>
            <w:shd w:val="clear" w:color="000000" w:fill="E2EFDA"/>
            <w:vAlign w:val="center"/>
            <w:hideMark/>
          </w:tcPr>
          <w:p w14:paraId="0C2C20B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10CF2C4A"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B577458"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51703B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PM_IEM17</w:t>
            </w:r>
          </w:p>
        </w:tc>
        <w:tc>
          <w:tcPr>
            <w:tcW w:w="0" w:type="auto"/>
            <w:tcBorders>
              <w:top w:val="nil"/>
              <w:left w:val="nil"/>
              <w:bottom w:val="single" w:sz="4" w:space="0" w:color="auto"/>
              <w:right w:val="single" w:sz="4" w:space="0" w:color="auto"/>
            </w:tcBorders>
            <w:shd w:val="clear" w:color="auto" w:fill="auto"/>
            <w:vAlign w:val="center"/>
            <w:hideMark/>
          </w:tcPr>
          <w:p w14:paraId="5EF5B88D"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regulatory framework for the operation of the “producer-consumer” (prosumer) (Article 169 in accordance to the amendments of the Energy Law and Article 58 to 61 of the Law on the use of RES)</w:t>
            </w:r>
          </w:p>
        </w:tc>
        <w:tc>
          <w:tcPr>
            <w:tcW w:w="0" w:type="auto"/>
            <w:tcBorders>
              <w:top w:val="nil"/>
              <w:left w:val="nil"/>
              <w:bottom w:val="single" w:sz="4" w:space="0" w:color="auto"/>
              <w:right w:val="single" w:sz="4" w:space="0" w:color="auto"/>
            </w:tcBorders>
            <w:shd w:val="clear" w:color="auto" w:fill="auto"/>
            <w:vAlign w:val="center"/>
            <w:hideMark/>
          </w:tcPr>
          <w:p w14:paraId="13B5E0D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37FC6B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7F6305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AA8803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0D4BDAA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3210319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324BC13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F40B79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8C85F5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6E2DAF6"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7F70587"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PM_IEM18</w:t>
            </w:r>
          </w:p>
        </w:tc>
        <w:tc>
          <w:tcPr>
            <w:tcW w:w="0" w:type="auto"/>
            <w:tcBorders>
              <w:top w:val="nil"/>
              <w:left w:val="nil"/>
              <w:bottom w:val="single" w:sz="4" w:space="0" w:color="auto"/>
              <w:right w:val="single" w:sz="4" w:space="0" w:color="auto"/>
            </w:tcBorders>
            <w:shd w:val="clear" w:color="auto" w:fill="auto"/>
            <w:vAlign w:val="center"/>
            <w:hideMark/>
          </w:tcPr>
          <w:p w14:paraId="5A9BF71D"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regulatory framework for the operation of the “electricity storage” (Article 169 in accordance to the amendments of the Energy Law)</w:t>
            </w:r>
          </w:p>
        </w:tc>
        <w:tc>
          <w:tcPr>
            <w:tcW w:w="0" w:type="auto"/>
            <w:tcBorders>
              <w:top w:val="nil"/>
              <w:left w:val="nil"/>
              <w:bottom w:val="single" w:sz="4" w:space="0" w:color="auto"/>
              <w:right w:val="single" w:sz="4" w:space="0" w:color="auto"/>
            </w:tcBorders>
            <w:shd w:val="clear" w:color="auto" w:fill="auto"/>
            <w:vAlign w:val="center"/>
            <w:hideMark/>
          </w:tcPr>
          <w:p w14:paraId="2C64031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13D7E80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CEDC18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2826B94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09EB31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34901C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2D4E36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6C2529F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B1A3816"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69FD9E3C"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41AC4EA5"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PM_IEM19</w:t>
            </w:r>
          </w:p>
        </w:tc>
        <w:tc>
          <w:tcPr>
            <w:tcW w:w="0" w:type="auto"/>
            <w:tcBorders>
              <w:top w:val="nil"/>
              <w:left w:val="nil"/>
              <w:bottom w:val="single" w:sz="4" w:space="0" w:color="auto"/>
              <w:right w:val="single" w:sz="4" w:space="0" w:color="auto"/>
            </w:tcBorders>
            <w:shd w:val="clear" w:color="auto" w:fill="auto"/>
            <w:vAlign w:val="center"/>
            <w:hideMark/>
          </w:tcPr>
          <w:p w14:paraId="0A51EA89"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regulatory framework for the operation of the “aggregator” (Article 169 in accordance to the amendments of the Energy Law)</w:t>
            </w:r>
          </w:p>
        </w:tc>
        <w:tc>
          <w:tcPr>
            <w:tcW w:w="0" w:type="auto"/>
            <w:tcBorders>
              <w:top w:val="nil"/>
              <w:left w:val="nil"/>
              <w:bottom w:val="single" w:sz="4" w:space="0" w:color="auto"/>
              <w:right w:val="single" w:sz="4" w:space="0" w:color="auto"/>
            </w:tcBorders>
            <w:shd w:val="clear" w:color="auto" w:fill="auto"/>
            <w:vAlign w:val="center"/>
            <w:hideMark/>
          </w:tcPr>
          <w:p w14:paraId="039F2E0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0CB5E5D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93E2E8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218C0CA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4CEE03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5F7CDE5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5469D40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AF8852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9E0D0E8"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27E67FEE"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0C6A26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PM_IEM20</w:t>
            </w:r>
          </w:p>
        </w:tc>
        <w:tc>
          <w:tcPr>
            <w:tcW w:w="0" w:type="auto"/>
            <w:tcBorders>
              <w:top w:val="nil"/>
              <w:left w:val="nil"/>
              <w:bottom w:val="single" w:sz="4" w:space="0" w:color="auto"/>
              <w:right w:val="single" w:sz="4" w:space="0" w:color="auto"/>
            </w:tcBorders>
            <w:shd w:val="clear" w:color="auto" w:fill="auto"/>
            <w:vAlign w:val="center"/>
            <w:hideMark/>
          </w:tcPr>
          <w:p w14:paraId="6F522F0C" w14:textId="04973935"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regulatory framework for the operation of the Renewable Energy Communities (RECs) and Citizen Energy Communities (CECs) (Article 62 to 66 and Article 77 of the Law on the use of RES)</w:t>
            </w:r>
          </w:p>
        </w:tc>
        <w:tc>
          <w:tcPr>
            <w:tcW w:w="0" w:type="auto"/>
            <w:tcBorders>
              <w:top w:val="nil"/>
              <w:left w:val="nil"/>
              <w:bottom w:val="single" w:sz="4" w:space="0" w:color="auto"/>
              <w:right w:val="single" w:sz="4" w:space="0" w:color="auto"/>
            </w:tcBorders>
            <w:shd w:val="clear" w:color="auto" w:fill="auto"/>
            <w:vAlign w:val="center"/>
            <w:hideMark/>
          </w:tcPr>
          <w:p w14:paraId="3EE3DE7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6D94AE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91C309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6980665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DE424B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3461C1B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25519B1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6B6B23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78529A4E"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0BB530F"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D6E4D2D"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PM_IEM21</w:t>
            </w:r>
          </w:p>
        </w:tc>
        <w:tc>
          <w:tcPr>
            <w:tcW w:w="0" w:type="auto"/>
            <w:tcBorders>
              <w:top w:val="nil"/>
              <w:left w:val="nil"/>
              <w:bottom w:val="single" w:sz="4" w:space="0" w:color="auto"/>
              <w:right w:val="single" w:sz="4" w:space="0" w:color="auto"/>
            </w:tcBorders>
            <w:shd w:val="clear" w:color="auto" w:fill="auto"/>
            <w:vAlign w:val="center"/>
            <w:hideMark/>
          </w:tcPr>
          <w:p w14:paraId="6B939262"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Implementation of EU Network Codes and Guidelines on electricity through appropriate amendments of the secondary legislation and adoption of additional rules, decisions and acts, where applicable. </w:t>
            </w:r>
          </w:p>
        </w:tc>
        <w:tc>
          <w:tcPr>
            <w:tcW w:w="0" w:type="auto"/>
            <w:tcBorders>
              <w:top w:val="nil"/>
              <w:left w:val="nil"/>
              <w:bottom w:val="single" w:sz="4" w:space="0" w:color="auto"/>
              <w:right w:val="single" w:sz="4" w:space="0" w:color="auto"/>
            </w:tcBorders>
            <w:shd w:val="clear" w:color="auto" w:fill="auto"/>
            <w:vAlign w:val="center"/>
            <w:hideMark/>
          </w:tcPr>
          <w:p w14:paraId="1763AE0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661899F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8D7548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7D2709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3F356D5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7FB0E72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0A03AE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E0170D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0FE8BD5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3F69701"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60BADCB"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PM_IEM22</w:t>
            </w:r>
          </w:p>
        </w:tc>
        <w:tc>
          <w:tcPr>
            <w:tcW w:w="0" w:type="auto"/>
            <w:tcBorders>
              <w:top w:val="nil"/>
              <w:left w:val="nil"/>
              <w:bottom w:val="single" w:sz="4" w:space="0" w:color="auto"/>
              <w:right w:val="single" w:sz="4" w:space="0" w:color="auto"/>
            </w:tcBorders>
            <w:shd w:val="clear" w:color="auto" w:fill="auto"/>
            <w:vAlign w:val="center"/>
            <w:hideMark/>
          </w:tcPr>
          <w:p w14:paraId="391739EF" w14:textId="387A674B"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Unbundling and Certification of Transmission System Operators</w:t>
            </w:r>
          </w:p>
        </w:tc>
        <w:tc>
          <w:tcPr>
            <w:tcW w:w="0" w:type="auto"/>
            <w:tcBorders>
              <w:top w:val="nil"/>
              <w:left w:val="nil"/>
              <w:bottom w:val="single" w:sz="4" w:space="0" w:color="auto"/>
              <w:right w:val="single" w:sz="4" w:space="0" w:color="auto"/>
            </w:tcBorders>
            <w:shd w:val="clear" w:color="auto" w:fill="auto"/>
            <w:vAlign w:val="center"/>
            <w:hideMark/>
          </w:tcPr>
          <w:p w14:paraId="4B1662F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34DF48B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4F65E8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2A95B2D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BFAD2B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7072DD4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019F86A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FFD350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F8CD32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6EB394F4"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A664E3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PM_IEM23</w:t>
            </w:r>
          </w:p>
        </w:tc>
        <w:tc>
          <w:tcPr>
            <w:tcW w:w="0" w:type="auto"/>
            <w:tcBorders>
              <w:top w:val="nil"/>
              <w:left w:val="nil"/>
              <w:bottom w:val="single" w:sz="4" w:space="0" w:color="auto"/>
              <w:right w:val="single" w:sz="4" w:space="0" w:color="auto"/>
            </w:tcBorders>
            <w:shd w:val="clear" w:color="auto" w:fill="auto"/>
            <w:vAlign w:val="center"/>
            <w:hideMark/>
          </w:tcPr>
          <w:p w14:paraId="41D4BF99"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Implementation of Regulation (EU) 2017/459</w:t>
            </w:r>
          </w:p>
        </w:tc>
        <w:tc>
          <w:tcPr>
            <w:tcW w:w="0" w:type="auto"/>
            <w:tcBorders>
              <w:top w:val="nil"/>
              <w:left w:val="nil"/>
              <w:bottom w:val="single" w:sz="4" w:space="0" w:color="auto"/>
              <w:right w:val="single" w:sz="4" w:space="0" w:color="auto"/>
            </w:tcBorders>
            <w:shd w:val="clear" w:color="auto" w:fill="auto"/>
            <w:vAlign w:val="center"/>
            <w:hideMark/>
          </w:tcPr>
          <w:p w14:paraId="19C71C0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068B5BB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B4B2CA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DFD48C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8DDDE0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729B5D0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D4CAF1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1E594D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08183064"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488C6198"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4C88DE6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PM_IEM24</w:t>
            </w:r>
          </w:p>
        </w:tc>
        <w:tc>
          <w:tcPr>
            <w:tcW w:w="0" w:type="auto"/>
            <w:tcBorders>
              <w:top w:val="nil"/>
              <w:left w:val="nil"/>
              <w:bottom w:val="single" w:sz="4" w:space="0" w:color="auto"/>
              <w:right w:val="single" w:sz="4" w:space="0" w:color="auto"/>
            </w:tcBorders>
            <w:shd w:val="clear" w:color="auto" w:fill="auto"/>
            <w:vAlign w:val="center"/>
            <w:hideMark/>
          </w:tcPr>
          <w:p w14:paraId="39CA167A"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Implementation of Regulation (EU) 2017/460</w:t>
            </w:r>
          </w:p>
        </w:tc>
        <w:tc>
          <w:tcPr>
            <w:tcW w:w="0" w:type="auto"/>
            <w:tcBorders>
              <w:top w:val="nil"/>
              <w:left w:val="nil"/>
              <w:bottom w:val="single" w:sz="4" w:space="0" w:color="auto"/>
              <w:right w:val="single" w:sz="4" w:space="0" w:color="auto"/>
            </w:tcBorders>
            <w:shd w:val="clear" w:color="auto" w:fill="auto"/>
            <w:vAlign w:val="center"/>
            <w:hideMark/>
          </w:tcPr>
          <w:p w14:paraId="18CD0B1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0D2FDAE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FEDD6C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6255DB6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2CFA89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4382461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7C8FAB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447F89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59A33D47"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23053217"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95F53F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PM_IEM25</w:t>
            </w:r>
          </w:p>
        </w:tc>
        <w:tc>
          <w:tcPr>
            <w:tcW w:w="0" w:type="auto"/>
            <w:tcBorders>
              <w:top w:val="nil"/>
              <w:left w:val="nil"/>
              <w:bottom w:val="single" w:sz="4" w:space="0" w:color="auto"/>
              <w:right w:val="single" w:sz="4" w:space="0" w:color="auto"/>
            </w:tcBorders>
            <w:shd w:val="clear" w:color="auto" w:fill="auto"/>
            <w:vAlign w:val="center"/>
            <w:hideMark/>
          </w:tcPr>
          <w:p w14:paraId="792488E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Implementation of Regulation (EU) 2014/312</w:t>
            </w:r>
          </w:p>
        </w:tc>
        <w:tc>
          <w:tcPr>
            <w:tcW w:w="0" w:type="auto"/>
            <w:tcBorders>
              <w:top w:val="nil"/>
              <w:left w:val="nil"/>
              <w:bottom w:val="single" w:sz="4" w:space="0" w:color="auto"/>
              <w:right w:val="single" w:sz="4" w:space="0" w:color="auto"/>
            </w:tcBorders>
            <w:shd w:val="clear" w:color="auto" w:fill="auto"/>
            <w:vAlign w:val="center"/>
            <w:hideMark/>
          </w:tcPr>
          <w:p w14:paraId="09A63C1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95C6DE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9F173E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3EF7A90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3E1D2C9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0457B8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04A07A2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B7B060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6866A4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6672B4AE"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98A5E50"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PM_IEM26</w:t>
            </w:r>
          </w:p>
        </w:tc>
        <w:tc>
          <w:tcPr>
            <w:tcW w:w="0" w:type="auto"/>
            <w:tcBorders>
              <w:top w:val="nil"/>
              <w:left w:val="nil"/>
              <w:bottom w:val="single" w:sz="4" w:space="0" w:color="auto"/>
              <w:right w:val="single" w:sz="4" w:space="0" w:color="auto"/>
            </w:tcBorders>
            <w:shd w:val="clear" w:color="auto" w:fill="auto"/>
            <w:vAlign w:val="center"/>
            <w:hideMark/>
          </w:tcPr>
          <w:p w14:paraId="2C50FA8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Reform of the Wholesale market to foster competition</w:t>
            </w:r>
          </w:p>
        </w:tc>
        <w:tc>
          <w:tcPr>
            <w:tcW w:w="0" w:type="auto"/>
            <w:tcBorders>
              <w:top w:val="nil"/>
              <w:left w:val="nil"/>
              <w:bottom w:val="single" w:sz="4" w:space="0" w:color="auto"/>
              <w:right w:val="single" w:sz="4" w:space="0" w:color="auto"/>
            </w:tcBorders>
            <w:shd w:val="clear" w:color="auto" w:fill="auto"/>
            <w:vAlign w:val="center"/>
            <w:hideMark/>
          </w:tcPr>
          <w:p w14:paraId="39A6FFB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56AD6CB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6319D9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878CC7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D495DD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62A265D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0B2A97D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C0F002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4CFE3928"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4DA72A89"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2117AB5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PM_IEM27</w:t>
            </w:r>
          </w:p>
        </w:tc>
        <w:tc>
          <w:tcPr>
            <w:tcW w:w="0" w:type="auto"/>
            <w:tcBorders>
              <w:top w:val="nil"/>
              <w:left w:val="nil"/>
              <w:bottom w:val="single" w:sz="4" w:space="0" w:color="auto"/>
              <w:right w:val="single" w:sz="4" w:space="0" w:color="auto"/>
            </w:tcBorders>
            <w:shd w:val="clear" w:color="auto" w:fill="auto"/>
            <w:vAlign w:val="center"/>
            <w:hideMark/>
          </w:tcPr>
          <w:p w14:paraId="24147C06"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Further development of Retail market opening</w:t>
            </w:r>
          </w:p>
        </w:tc>
        <w:tc>
          <w:tcPr>
            <w:tcW w:w="0" w:type="auto"/>
            <w:tcBorders>
              <w:top w:val="nil"/>
              <w:left w:val="nil"/>
              <w:bottom w:val="single" w:sz="4" w:space="0" w:color="auto"/>
              <w:right w:val="single" w:sz="4" w:space="0" w:color="auto"/>
            </w:tcBorders>
            <w:shd w:val="clear" w:color="auto" w:fill="auto"/>
            <w:vAlign w:val="center"/>
            <w:hideMark/>
          </w:tcPr>
          <w:p w14:paraId="40E6C91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70BD928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3AB4C1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D91E7F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17BD22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3639241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9295F3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335AB6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F635712"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4FE39516"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8DB59DC"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PM_IEM28</w:t>
            </w:r>
          </w:p>
        </w:tc>
        <w:tc>
          <w:tcPr>
            <w:tcW w:w="0" w:type="auto"/>
            <w:tcBorders>
              <w:top w:val="nil"/>
              <w:left w:val="nil"/>
              <w:bottom w:val="single" w:sz="4" w:space="0" w:color="auto"/>
              <w:right w:val="single" w:sz="4" w:space="0" w:color="auto"/>
            </w:tcBorders>
            <w:shd w:val="clear" w:color="auto" w:fill="auto"/>
            <w:vAlign w:val="center"/>
            <w:hideMark/>
          </w:tcPr>
          <w:p w14:paraId="42134A3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the Grid Code of Transportgas Serbia. Development of a grid code for Yugorosgaz Transport</w:t>
            </w:r>
          </w:p>
        </w:tc>
        <w:tc>
          <w:tcPr>
            <w:tcW w:w="0" w:type="auto"/>
            <w:tcBorders>
              <w:top w:val="nil"/>
              <w:left w:val="nil"/>
              <w:bottom w:val="single" w:sz="4" w:space="0" w:color="auto"/>
              <w:right w:val="single" w:sz="4" w:space="0" w:color="auto"/>
            </w:tcBorders>
            <w:shd w:val="clear" w:color="auto" w:fill="auto"/>
            <w:vAlign w:val="center"/>
            <w:hideMark/>
          </w:tcPr>
          <w:p w14:paraId="79127B5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5512994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58E857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07A3162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6967E1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266EEAC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0830B7C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006C93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419E16E"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1101792"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1650133"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PM_IEM10</w:t>
            </w:r>
          </w:p>
        </w:tc>
        <w:tc>
          <w:tcPr>
            <w:tcW w:w="0" w:type="auto"/>
            <w:tcBorders>
              <w:top w:val="nil"/>
              <w:left w:val="nil"/>
              <w:bottom w:val="single" w:sz="4" w:space="0" w:color="auto"/>
              <w:right w:val="single" w:sz="4" w:space="0" w:color="auto"/>
            </w:tcBorders>
            <w:shd w:val="clear" w:color="auto" w:fill="auto"/>
            <w:vAlign w:val="center"/>
            <w:hideMark/>
          </w:tcPr>
          <w:p w14:paraId="0AEBCE1C"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Intensify gasification efforts in Serbia</w:t>
            </w:r>
          </w:p>
        </w:tc>
        <w:tc>
          <w:tcPr>
            <w:tcW w:w="0" w:type="auto"/>
            <w:tcBorders>
              <w:top w:val="nil"/>
              <w:left w:val="nil"/>
              <w:bottom w:val="single" w:sz="4" w:space="0" w:color="auto"/>
              <w:right w:val="single" w:sz="4" w:space="0" w:color="auto"/>
            </w:tcBorders>
            <w:shd w:val="clear" w:color="auto" w:fill="auto"/>
            <w:vAlign w:val="center"/>
            <w:hideMark/>
          </w:tcPr>
          <w:p w14:paraId="134EADB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4C6AF90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EE0808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5B0502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7FED09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2594F91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5F249EB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1AEA285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26CFEA0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0FE9F44F"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D4E28C8"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PM_IEM29</w:t>
            </w:r>
          </w:p>
        </w:tc>
        <w:tc>
          <w:tcPr>
            <w:tcW w:w="0" w:type="auto"/>
            <w:tcBorders>
              <w:top w:val="nil"/>
              <w:left w:val="nil"/>
              <w:bottom w:val="single" w:sz="4" w:space="0" w:color="auto"/>
              <w:right w:val="single" w:sz="4" w:space="0" w:color="auto"/>
            </w:tcBorders>
            <w:shd w:val="clear" w:color="auto" w:fill="auto"/>
            <w:vAlign w:val="center"/>
            <w:hideMark/>
          </w:tcPr>
          <w:p w14:paraId="5A7F4F5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regulatory framework for biomethane</w:t>
            </w:r>
          </w:p>
        </w:tc>
        <w:tc>
          <w:tcPr>
            <w:tcW w:w="0" w:type="auto"/>
            <w:tcBorders>
              <w:top w:val="nil"/>
              <w:left w:val="nil"/>
              <w:bottom w:val="single" w:sz="4" w:space="0" w:color="auto"/>
              <w:right w:val="single" w:sz="4" w:space="0" w:color="auto"/>
            </w:tcBorders>
            <w:shd w:val="clear" w:color="auto" w:fill="auto"/>
            <w:vAlign w:val="center"/>
            <w:hideMark/>
          </w:tcPr>
          <w:p w14:paraId="61133F1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3A67BBE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89F89D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5B78EF6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49850F8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0B137A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9B0254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593166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01C9E0E5"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150E7D5"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7DA8415"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PM_IEM30</w:t>
            </w:r>
          </w:p>
        </w:tc>
        <w:tc>
          <w:tcPr>
            <w:tcW w:w="0" w:type="auto"/>
            <w:tcBorders>
              <w:top w:val="nil"/>
              <w:left w:val="nil"/>
              <w:bottom w:val="single" w:sz="4" w:space="0" w:color="auto"/>
              <w:right w:val="single" w:sz="4" w:space="0" w:color="auto"/>
            </w:tcBorders>
            <w:shd w:val="clear" w:color="auto" w:fill="auto"/>
            <w:vAlign w:val="center"/>
            <w:hideMark/>
          </w:tcPr>
          <w:p w14:paraId="450A1230"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Market coupling to the Single Day Ahead Market (SDAC) </w:t>
            </w:r>
          </w:p>
        </w:tc>
        <w:tc>
          <w:tcPr>
            <w:tcW w:w="0" w:type="auto"/>
            <w:tcBorders>
              <w:top w:val="nil"/>
              <w:left w:val="nil"/>
              <w:bottom w:val="single" w:sz="4" w:space="0" w:color="auto"/>
              <w:right w:val="single" w:sz="4" w:space="0" w:color="auto"/>
            </w:tcBorders>
            <w:shd w:val="clear" w:color="auto" w:fill="auto"/>
            <w:vAlign w:val="center"/>
            <w:hideMark/>
          </w:tcPr>
          <w:p w14:paraId="2E689F3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7EB1E54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9B5301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0702491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DBB627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8BDE21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796C13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D7EBA9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FA489CA"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38C56C29"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8D338D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PM_IEM31</w:t>
            </w:r>
          </w:p>
        </w:tc>
        <w:tc>
          <w:tcPr>
            <w:tcW w:w="0" w:type="auto"/>
            <w:tcBorders>
              <w:top w:val="nil"/>
              <w:left w:val="nil"/>
              <w:bottom w:val="single" w:sz="4" w:space="0" w:color="auto"/>
              <w:right w:val="single" w:sz="4" w:space="0" w:color="auto"/>
            </w:tcBorders>
            <w:shd w:val="clear" w:color="auto" w:fill="auto"/>
            <w:vAlign w:val="center"/>
            <w:hideMark/>
          </w:tcPr>
          <w:p w14:paraId="2A394A35"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Market coupling to the Single Intra Day Market (SIDC) </w:t>
            </w:r>
          </w:p>
        </w:tc>
        <w:tc>
          <w:tcPr>
            <w:tcW w:w="0" w:type="auto"/>
            <w:tcBorders>
              <w:top w:val="nil"/>
              <w:left w:val="nil"/>
              <w:bottom w:val="single" w:sz="4" w:space="0" w:color="auto"/>
              <w:right w:val="single" w:sz="4" w:space="0" w:color="auto"/>
            </w:tcBorders>
            <w:shd w:val="clear" w:color="auto" w:fill="auto"/>
            <w:vAlign w:val="center"/>
            <w:hideMark/>
          </w:tcPr>
          <w:p w14:paraId="72E0978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2D2168A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5B80C5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30BEE26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2600D0F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85CEF5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7055C59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258B64B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3D0B515C"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1646F023"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A773BF7"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PM_IEM32</w:t>
            </w:r>
          </w:p>
        </w:tc>
        <w:tc>
          <w:tcPr>
            <w:tcW w:w="0" w:type="auto"/>
            <w:tcBorders>
              <w:top w:val="nil"/>
              <w:left w:val="nil"/>
              <w:bottom w:val="single" w:sz="4" w:space="0" w:color="auto"/>
              <w:right w:val="single" w:sz="4" w:space="0" w:color="auto"/>
            </w:tcBorders>
            <w:shd w:val="clear" w:color="auto" w:fill="auto"/>
            <w:vAlign w:val="center"/>
            <w:hideMark/>
          </w:tcPr>
          <w:p w14:paraId="0B4456FD"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Preparation and adoption of an action plan to ensure achievement for energy poverty reduction</w:t>
            </w:r>
          </w:p>
        </w:tc>
        <w:tc>
          <w:tcPr>
            <w:tcW w:w="0" w:type="auto"/>
            <w:tcBorders>
              <w:top w:val="nil"/>
              <w:left w:val="nil"/>
              <w:bottom w:val="single" w:sz="4" w:space="0" w:color="auto"/>
              <w:right w:val="single" w:sz="4" w:space="0" w:color="auto"/>
            </w:tcBorders>
            <w:shd w:val="clear" w:color="auto" w:fill="auto"/>
            <w:vAlign w:val="center"/>
            <w:hideMark/>
          </w:tcPr>
          <w:p w14:paraId="57C9DCB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7625F44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91A56A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727A804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6097440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2619E20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2EFDA"/>
            <w:vAlign w:val="center"/>
            <w:hideMark/>
          </w:tcPr>
          <w:p w14:paraId="4A0077A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0.20</w:t>
            </w:r>
          </w:p>
        </w:tc>
        <w:tc>
          <w:tcPr>
            <w:tcW w:w="0" w:type="auto"/>
            <w:tcBorders>
              <w:top w:val="nil"/>
              <w:left w:val="nil"/>
              <w:bottom w:val="single" w:sz="4" w:space="0" w:color="auto"/>
              <w:right w:val="single" w:sz="4" w:space="0" w:color="auto"/>
            </w:tcBorders>
            <w:shd w:val="clear" w:color="000000" w:fill="E2EFDA"/>
            <w:vAlign w:val="center"/>
            <w:hideMark/>
          </w:tcPr>
          <w:p w14:paraId="0EFA8D4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65069AD3"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63D0B76"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EEDB44A"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PM_IEM33</w:t>
            </w:r>
          </w:p>
        </w:tc>
        <w:tc>
          <w:tcPr>
            <w:tcW w:w="0" w:type="auto"/>
            <w:tcBorders>
              <w:top w:val="nil"/>
              <w:left w:val="nil"/>
              <w:bottom w:val="single" w:sz="4" w:space="0" w:color="auto"/>
              <w:right w:val="single" w:sz="4" w:space="0" w:color="auto"/>
            </w:tcBorders>
            <w:shd w:val="clear" w:color="auto" w:fill="auto"/>
            <w:vAlign w:val="center"/>
            <w:hideMark/>
          </w:tcPr>
          <w:p w14:paraId="202A4FA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Regulatory measures for the protection of energy poor households and provision of allowances for the short-term alleviation of the energy poverty (i.e. energy card or social tariff)</w:t>
            </w:r>
          </w:p>
        </w:tc>
        <w:tc>
          <w:tcPr>
            <w:tcW w:w="0" w:type="auto"/>
            <w:tcBorders>
              <w:top w:val="nil"/>
              <w:left w:val="nil"/>
              <w:bottom w:val="single" w:sz="4" w:space="0" w:color="auto"/>
              <w:right w:val="single" w:sz="4" w:space="0" w:color="auto"/>
            </w:tcBorders>
            <w:shd w:val="clear" w:color="auto" w:fill="auto"/>
            <w:vAlign w:val="center"/>
            <w:hideMark/>
          </w:tcPr>
          <w:p w14:paraId="123D97A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5FF0869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29671D6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0" w:type="auto"/>
            <w:tcBorders>
              <w:top w:val="nil"/>
              <w:left w:val="nil"/>
              <w:bottom w:val="single" w:sz="4" w:space="0" w:color="auto"/>
              <w:right w:val="single" w:sz="4" w:space="0" w:color="auto"/>
            </w:tcBorders>
            <w:shd w:val="clear" w:color="000000" w:fill="ED7D31"/>
            <w:vAlign w:val="center"/>
            <w:hideMark/>
          </w:tcPr>
          <w:p w14:paraId="73E0B3A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0E587AA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736593F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1AEA088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1F56EE7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321BF8B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496E83D1"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2FC3C9BC"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PM_IEM34</w:t>
            </w:r>
          </w:p>
        </w:tc>
        <w:tc>
          <w:tcPr>
            <w:tcW w:w="0" w:type="auto"/>
            <w:tcBorders>
              <w:top w:val="nil"/>
              <w:left w:val="nil"/>
              <w:bottom w:val="single" w:sz="4" w:space="0" w:color="auto"/>
              <w:right w:val="single" w:sz="4" w:space="0" w:color="auto"/>
            </w:tcBorders>
            <w:shd w:val="clear" w:color="auto" w:fill="auto"/>
            <w:vAlign w:val="center"/>
            <w:hideMark/>
          </w:tcPr>
          <w:p w14:paraId="051EFEDA"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Preparation of special programs for the application of energy efficiency measures and the promotion of RES among energy vulnerable customers for the long-term confrontation of the energy poverty</w:t>
            </w:r>
          </w:p>
        </w:tc>
        <w:tc>
          <w:tcPr>
            <w:tcW w:w="0" w:type="auto"/>
            <w:tcBorders>
              <w:top w:val="nil"/>
              <w:left w:val="nil"/>
              <w:bottom w:val="single" w:sz="4" w:space="0" w:color="auto"/>
              <w:right w:val="single" w:sz="4" w:space="0" w:color="auto"/>
            </w:tcBorders>
            <w:shd w:val="clear" w:color="auto" w:fill="auto"/>
            <w:vAlign w:val="center"/>
            <w:hideMark/>
          </w:tcPr>
          <w:p w14:paraId="1123A49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1F6E4C4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65716A0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0" w:type="auto"/>
            <w:tcBorders>
              <w:top w:val="nil"/>
              <w:left w:val="nil"/>
              <w:bottom w:val="single" w:sz="4" w:space="0" w:color="auto"/>
              <w:right w:val="single" w:sz="4" w:space="0" w:color="auto"/>
            </w:tcBorders>
            <w:shd w:val="clear" w:color="000000" w:fill="ED7D31"/>
            <w:vAlign w:val="center"/>
            <w:hideMark/>
          </w:tcPr>
          <w:p w14:paraId="4AFD82C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7A8E1BBF"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38CB7555"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70611CF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58A0F67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7A1B7774"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76206062"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31E97B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PM_IEM35</w:t>
            </w:r>
          </w:p>
        </w:tc>
        <w:tc>
          <w:tcPr>
            <w:tcW w:w="0" w:type="auto"/>
            <w:tcBorders>
              <w:top w:val="nil"/>
              <w:left w:val="nil"/>
              <w:bottom w:val="single" w:sz="4" w:space="0" w:color="auto"/>
              <w:right w:val="single" w:sz="4" w:space="0" w:color="auto"/>
            </w:tcBorders>
            <w:shd w:val="clear" w:color="auto" w:fill="auto"/>
            <w:vAlign w:val="center"/>
            <w:hideMark/>
          </w:tcPr>
          <w:p w14:paraId="57B055DF"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Facilitate access to alternative energy sources among energy vulnerable and other customers in order to reduce energy poverty</w:t>
            </w:r>
          </w:p>
        </w:tc>
        <w:tc>
          <w:tcPr>
            <w:tcW w:w="0" w:type="auto"/>
            <w:tcBorders>
              <w:top w:val="nil"/>
              <w:left w:val="nil"/>
              <w:bottom w:val="single" w:sz="4" w:space="0" w:color="auto"/>
              <w:right w:val="single" w:sz="4" w:space="0" w:color="auto"/>
            </w:tcBorders>
            <w:shd w:val="clear" w:color="000000" w:fill="FFFFFF"/>
            <w:vAlign w:val="center"/>
            <w:hideMark/>
          </w:tcPr>
          <w:p w14:paraId="22DB43E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50C89A0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3AC91532"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Under examination</w:t>
            </w:r>
          </w:p>
        </w:tc>
        <w:tc>
          <w:tcPr>
            <w:tcW w:w="0" w:type="auto"/>
            <w:tcBorders>
              <w:top w:val="nil"/>
              <w:left w:val="nil"/>
              <w:bottom w:val="single" w:sz="4" w:space="0" w:color="auto"/>
              <w:right w:val="single" w:sz="4" w:space="0" w:color="auto"/>
            </w:tcBorders>
            <w:shd w:val="clear" w:color="000000" w:fill="ED7D31"/>
            <w:vAlign w:val="center"/>
            <w:hideMark/>
          </w:tcPr>
          <w:p w14:paraId="4F3EEA2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3BAA46A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0E64E55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4FBDD87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41266C74"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8620D0" w:rsidRPr="00207220" w14:paraId="0A76BA01"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0AC28AC4"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4522AC9"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PM_IEM36</w:t>
            </w:r>
          </w:p>
        </w:tc>
        <w:tc>
          <w:tcPr>
            <w:tcW w:w="0" w:type="auto"/>
            <w:tcBorders>
              <w:top w:val="nil"/>
              <w:left w:val="nil"/>
              <w:bottom w:val="single" w:sz="4" w:space="0" w:color="auto"/>
              <w:right w:val="single" w:sz="4" w:space="0" w:color="auto"/>
            </w:tcBorders>
            <w:shd w:val="clear" w:color="auto" w:fill="auto"/>
            <w:vAlign w:val="center"/>
            <w:hideMark/>
          </w:tcPr>
          <w:p w14:paraId="3F4059F4"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Improvement of the tools and methodology for collecting data relevant to monitoring of energy poverty</w:t>
            </w:r>
          </w:p>
        </w:tc>
        <w:tc>
          <w:tcPr>
            <w:tcW w:w="0" w:type="auto"/>
            <w:tcBorders>
              <w:top w:val="nil"/>
              <w:left w:val="nil"/>
              <w:bottom w:val="single" w:sz="4" w:space="0" w:color="auto"/>
              <w:right w:val="single" w:sz="4" w:space="0" w:color="auto"/>
            </w:tcBorders>
            <w:shd w:val="clear" w:color="000000" w:fill="FFFFFF"/>
            <w:vAlign w:val="center"/>
            <w:hideMark/>
          </w:tcPr>
          <w:p w14:paraId="22C7C5ED"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6500D83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6C74460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w:t>
            </w:r>
          </w:p>
        </w:tc>
        <w:tc>
          <w:tcPr>
            <w:tcW w:w="0" w:type="auto"/>
            <w:tcBorders>
              <w:top w:val="nil"/>
              <w:left w:val="nil"/>
              <w:bottom w:val="single" w:sz="4" w:space="0" w:color="auto"/>
              <w:right w:val="single" w:sz="4" w:space="0" w:color="auto"/>
            </w:tcBorders>
            <w:shd w:val="clear" w:color="000000" w:fill="E2EFDA"/>
            <w:vAlign w:val="center"/>
            <w:hideMark/>
          </w:tcPr>
          <w:p w14:paraId="43B0027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w:t>
            </w:r>
          </w:p>
        </w:tc>
        <w:tc>
          <w:tcPr>
            <w:tcW w:w="0" w:type="auto"/>
            <w:tcBorders>
              <w:top w:val="nil"/>
              <w:left w:val="nil"/>
              <w:bottom w:val="single" w:sz="4" w:space="0" w:color="auto"/>
              <w:right w:val="single" w:sz="4" w:space="0" w:color="auto"/>
            </w:tcBorders>
            <w:shd w:val="clear" w:color="000000" w:fill="ED7D31"/>
            <w:vAlign w:val="center"/>
            <w:hideMark/>
          </w:tcPr>
          <w:p w14:paraId="525A790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D7D31"/>
            <w:vAlign w:val="center"/>
            <w:hideMark/>
          </w:tcPr>
          <w:p w14:paraId="73E0C79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11550C53"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06C68F5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1.50</w:t>
            </w:r>
          </w:p>
        </w:tc>
      </w:tr>
      <w:tr w:rsidR="008620D0" w:rsidRPr="00207220" w14:paraId="0B43B606"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07CA7C54"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E104C52"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PM_IEM37</w:t>
            </w:r>
          </w:p>
        </w:tc>
        <w:tc>
          <w:tcPr>
            <w:tcW w:w="0" w:type="auto"/>
            <w:tcBorders>
              <w:top w:val="nil"/>
              <w:left w:val="nil"/>
              <w:bottom w:val="single" w:sz="4" w:space="0" w:color="auto"/>
              <w:right w:val="single" w:sz="4" w:space="0" w:color="auto"/>
            </w:tcBorders>
            <w:shd w:val="clear" w:color="auto" w:fill="auto"/>
            <w:vAlign w:val="center"/>
            <w:hideMark/>
          </w:tcPr>
          <w:p w14:paraId="524CF3A1"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sz w:val="15"/>
                <w:szCs w:val="15"/>
              </w:rPr>
              <w:t>Awareness and information measures for the alleviation of energy poverty</w:t>
            </w:r>
          </w:p>
        </w:tc>
        <w:tc>
          <w:tcPr>
            <w:tcW w:w="0" w:type="auto"/>
            <w:tcBorders>
              <w:top w:val="nil"/>
              <w:left w:val="nil"/>
              <w:bottom w:val="single" w:sz="4" w:space="0" w:color="auto"/>
              <w:right w:val="single" w:sz="4" w:space="0" w:color="auto"/>
            </w:tcBorders>
            <w:shd w:val="clear" w:color="auto" w:fill="auto"/>
            <w:vAlign w:val="center"/>
            <w:hideMark/>
          </w:tcPr>
          <w:p w14:paraId="6D2B3B7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2E95CF47"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43D985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0.70</w:t>
            </w:r>
          </w:p>
        </w:tc>
        <w:tc>
          <w:tcPr>
            <w:tcW w:w="0" w:type="auto"/>
            <w:tcBorders>
              <w:top w:val="nil"/>
              <w:left w:val="nil"/>
              <w:bottom w:val="single" w:sz="4" w:space="0" w:color="auto"/>
              <w:right w:val="single" w:sz="4" w:space="0" w:color="auto"/>
            </w:tcBorders>
            <w:shd w:val="clear" w:color="000000" w:fill="E2EFDA"/>
            <w:vAlign w:val="center"/>
            <w:hideMark/>
          </w:tcPr>
          <w:p w14:paraId="0A0AB26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0.35</w:t>
            </w:r>
          </w:p>
        </w:tc>
        <w:tc>
          <w:tcPr>
            <w:tcW w:w="0" w:type="auto"/>
            <w:tcBorders>
              <w:top w:val="nil"/>
              <w:left w:val="nil"/>
              <w:bottom w:val="single" w:sz="4" w:space="0" w:color="auto"/>
              <w:right w:val="single" w:sz="4" w:space="0" w:color="auto"/>
            </w:tcBorders>
            <w:shd w:val="clear" w:color="000000" w:fill="E2EFDA"/>
            <w:vAlign w:val="center"/>
            <w:hideMark/>
          </w:tcPr>
          <w:p w14:paraId="576BD17E"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0.35</w:t>
            </w:r>
          </w:p>
        </w:tc>
        <w:tc>
          <w:tcPr>
            <w:tcW w:w="0" w:type="auto"/>
            <w:tcBorders>
              <w:top w:val="nil"/>
              <w:left w:val="nil"/>
              <w:bottom w:val="single" w:sz="4" w:space="0" w:color="auto"/>
              <w:right w:val="single" w:sz="4" w:space="0" w:color="auto"/>
            </w:tcBorders>
            <w:shd w:val="clear" w:color="000000" w:fill="ED7D31"/>
            <w:vAlign w:val="center"/>
            <w:hideMark/>
          </w:tcPr>
          <w:p w14:paraId="5E50BD1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WAM</w:t>
            </w:r>
          </w:p>
        </w:tc>
        <w:tc>
          <w:tcPr>
            <w:tcW w:w="0" w:type="auto"/>
            <w:tcBorders>
              <w:top w:val="nil"/>
              <w:left w:val="nil"/>
              <w:bottom w:val="single" w:sz="4" w:space="0" w:color="auto"/>
              <w:right w:val="single" w:sz="4" w:space="0" w:color="auto"/>
            </w:tcBorders>
            <w:shd w:val="clear" w:color="000000" w:fill="E2EFDA"/>
            <w:vAlign w:val="center"/>
            <w:hideMark/>
          </w:tcPr>
          <w:p w14:paraId="5A721D66"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2EFDA"/>
            <w:vAlign w:val="center"/>
            <w:hideMark/>
          </w:tcPr>
          <w:p w14:paraId="66DEC54B"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0.70</w:t>
            </w:r>
          </w:p>
        </w:tc>
      </w:tr>
      <w:tr w:rsidR="008620D0" w:rsidRPr="00207220" w14:paraId="1FB5A898" w14:textId="77777777" w:rsidTr="005B2C66">
        <w:trPr>
          <w:trHeight w:val="20"/>
        </w:trPr>
        <w:tc>
          <w:tcPr>
            <w:tcW w:w="0" w:type="auto"/>
            <w:vMerge/>
            <w:tcBorders>
              <w:top w:val="nil"/>
              <w:left w:val="single" w:sz="4" w:space="0" w:color="auto"/>
              <w:bottom w:val="single" w:sz="4" w:space="0" w:color="auto"/>
              <w:right w:val="single" w:sz="4" w:space="0" w:color="auto"/>
            </w:tcBorders>
            <w:vAlign w:val="center"/>
            <w:hideMark/>
          </w:tcPr>
          <w:p w14:paraId="3FAACD9C" w14:textId="77777777" w:rsidR="008620D0" w:rsidRPr="00673450" w:rsidRDefault="008620D0"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69EB3D0"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b/>
                <w:bCs/>
                <w:sz w:val="14"/>
                <w:szCs w:val="14"/>
              </w:rPr>
              <w:t> </w:t>
            </w:r>
          </w:p>
        </w:tc>
        <w:tc>
          <w:tcPr>
            <w:tcW w:w="0" w:type="auto"/>
            <w:tcBorders>
              <w:top w:val="nil"/>
              <w:left w:val="nil"/>
              <w:bottom w:val="single" w:sz="4" w:space="0" w:color="auto"/>
              <w:right w:val="single" w:sz="4" w:space="0" w:color="auto"/>
            </w:tcBorders>
            <w:shd w:val="clear" w:color="auto" w:fill="auto"/>
            <w:vAlign w:val="center"/>
            <w:hideMark/>
          </w:tcPr>
          <w:p w14:paraId="6164F9BE" w14:textId="77777777" w:rsidR="008620D0" w:rsidRPr="00673450" w:rsidRDefault="008620D0" w:rsidP="001544A6">
            <w:pPr>
              <w:spacing w:after="0" w:line="240" w:lineRule="auto"/>
              <w:rPr>
                <w:rFonts w:ascii="Calibri" w:eastAsia="Times New Roman" w:hAnsi="Calibri" w:cs="Calibri"/>
                <w:sz w:val="15"/>
                <w:szCs w:val="15"/>
              </w:rPr>
            </w:pPr>
            <w:r w:rsidRPr="00673450">
              <w:rPr>
                <w:rFonts w:ascii="Calibri" w:hAnsi="Calibri" w:cs="Calibri"/>
                <w:b/>
                <w:bCs/>
                <w:sz w:val="20"/>
                <w:szCs w:val="20"/>
              </w:rPr>
              <w:t>TOTAL FOR INTEGRATION ENERGY MARKETS</w:t>
            </w:r>
          </w:p>
        </w:tc>
        <w:tc>
          <w:tcPr>
            <w:tcW w:w="0" w:type="auto"/>
            <w:tcBorders>
              <w:top w:val="nil"/>
              <w:left w:val="nil"/>
              <w:bottom w:val="single" w:sz="4" w:space="0" w:color="auto"/>
              <w:right w:val="single" w:sz="4" w:space="0" w:color="auto"/>
            </w:tcBorders>
            <w:shd w:val="clear" w:color="auto" w:fill="auto"/>
            <w:vAlign w:val="center"/>
            <w:hideMark/>
          </w:tcPr>
          <w:p w14:paraId="79CDDD4A"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9AF55F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000000" w:fill="E2EFDA"/>
            <w:vAlign w:val="center"/>
            <w:hideMark/>
          </w:tcPr>
          <w:p w14:paraId="0681EF20"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1.</w:t>
            </w:r>
            <w:r>
              <w:rPr>
                <w:rFonts w:ascii="Calibri" w:hAnsi="Calibri" w:cs="Calibri"/>
                <w:b/>
                <w:bCs/>
                <w:sz w:val="20"/>
                <w:szCs w:val="20"/>
              </w:rPr>
              <w:t>19</w:t>
            </w:r>
          </w:p>
        </w:tc>
        <w:tc>
          <w:tcPr>
            <w:tcW w:w="0" w:type="auto"/>
            <w:tcBorders>
              <w:top w:val="nil"/>
              <w:left w:val="nil"/>
              <w:bottom w:val="single" w:sz="4" w:space="0" w:color="auto"/>
              <w:right w:val="single" w:sz="4" w:space="0" w:color="auto"/>
            </w:tcBorders>
            <w:shd w:val="clear" w:color="000000" w:fill="E2EFDA"/>
            <w:vAlign w:val="center"/>
            <w:hideMark/>
          </w:tcPr>
          <w:p w14:paraId="41BF64E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0.1</w:t>
            </w:r>
            <w:r>
              <w:rPr>
                <w:rFonts w:ascii="Calibri" w:hAnsi="Calibri" w:cs="Calibri"/>
                <w:b/>
                <w:bCs/>
                <w:sz w:val="20"/>
                <w:szCs w:val="20"/>
              </w:rPr>
              <w:t>8</w:t>
            </w:r>
          </w:p>
        </w:tc>
        <w:tc>
          <w:tcPr>
            <w:tcW w:w="0" w:type="auto"/>
            <w:tcBorders>
              <w:top w:val="nil"/>
              <w:left w:val="nil"/>
              <w:bottom w:val="single" w:sz="4" w:space="0" w:color="auto"/>
              <w:right w:val="single" w:sz="4" w:space="0" w:color="auto"/>
            </w:tcBorders>
            <w:shd w:val="clear" w:color="000000" w:fill="E2EFDA"/>
            <w:vAlign w:val="center"/>
            <w:hideMark/>
          </w:tcPr>
          <w:p w14:paraId="668F00A8"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1.</w:t>
            </w:r>
            <w:r>
              <w:rPr>
                <w:rFonts w:ascii="Calibri" w:hAnsi="Calibri" w:cs="Calibri"/>
                <w:b/>
                <w:bCs/>
                <w:sz w:val="20"/>
                <w:szCs w:val="20"/>
              </w:rPr>
              <w:t>01</w:t>
            </w:r>
          </w:p>
        </w:tc>
        <w:tc>
          <w:tcPr>
            <w:tcW w:w="0" w:type="auto"/>
            <w:tcBorders>
              <w:top w:val="nil"/>
              <w:left w:val="nil"/>
              <w:bottom w:val="single" w:sz="4" w:space="0" w:color="auto"/>
              <w:right w:val="single" w:sz="4" w:space="0" w:color="auto"/>
            </w:tcBorders>
            <w:shd w:val="clear" w:color="000000" w:fill="E2EFDA"/>
            <w:vAlign w:val="center"/>
            <w:hideMark/>
          </w:tcPr>
          <w:p w14:paraId="171907D9"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 </w:t>
            </w:r>
          </w:p>
        </w:tc>
        <w:tc>
          <w:tcPr>
            <w:tcW w:w="0" w:type="auto"/>
            <w:tcBorders>
              <w:top w:val="nil"/>
              <w:left w:val="nil"/>
              <w:bottom w:val="single" w:sz="4" w:space="0" w:color="auto"/>
              <w:right w:val="single" w:sz="4" w:space="0" w:color="auto"/>
            </w:tcBorders>
            <w:shd w:val="clear" w:color="000000" w:fill="E2EFDA"/>
            <w:vAlign w:val="center"/>
            <w:hideMark/>
          </w:tcPr>
          <w:p w14:paraId="364EC901"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1.</w:t>
            </w:r>
            <w:r>
              <w:rPr>
                <w:rFonts w:ascii="Calibri" w:hAnsi="Calibri" w:cs="Calibri"/>
                <w:b/>
                <w:bCs/>
                <w:sz w:val="20"/>
                <w:szCs w:val="20"/>
              </w:rPr>
              <w:t>19</w:t>
            </w:r>
          </w:p>
        </w:tc>
        <w:tc>
          <w:tcPr>
            <w:tcW w:w="0" w:type="auto"/>
            <w:tcBorders>
              <w:top w:val="nil"/>
              <w:left w:val="nil"/>
              <w:bottom w:val="single" w:sz="4" w:space="0" w:color="auto"/>
              <w:right w:val="single" w:sz="4" w:space="0" w:color="auto"/>
            </w:tcBorders>
            <w:shd w:val="clear" w:color="000000" w:fill="E2EFDA"/>
            <w:vAlign w:val="center"/>
            <w:hideMark/>
          </w:tcPr>
          <w:p w14:paraId="0781F58C" w14:textId="77777777" w:rsidR="008620D0" w:rsidRPr="00673450" w:rsidRDefault="008620D0" w:rsidP="001544A6">
            <w:pPr>
              <w:spacing w:after="0" w:line="240" w:lineRule="auto"/>
              <w:jc w:val="center"/>
              <w:rPr>
                <w:rFonts w:ascii="Calibri" w:eastAsia="Times New Roman" w:hAnsi="Calibri" w:cs="Calibri"/>
                <w:sz w:val="15"/>
                <w:szCs w:val="15"/>
              </w:rPr>
            </w:pPr>
            <w:r w:rsidRPr="00673450">
              <w:rPr>
                <w:rFonts w:ascii="Calibri" w:hAnsi="Calibri" w:cs="Calibri"/>
                <w:b/>
                <w:bCs/>
                <w:sz w:val="20"/>
                <w:szCs w:val="20"/>
              </w:rPr>
              <w:t>0.00</w:t>
            </w:r>
          </w:p>
        </w:tc>
      </w:tr>
    </w:tbl>
    <w:p w14:paraId="1711938E" w14:textId="77777777" w:rsidR="00663039" w:rsidRPr="0087794A" w:rsidRDefault="00663039" w:rsidP="00663039">
      <w:pPr>
        <w:spacing w:after="0" w:line="259" w:lineRule="auto"/>
        <w:rPr>
          <w:rFonts w:ascii="Calibri" w:eastAsia="Times New Roman" w:hAnsi="Calibri" w:cs="Arial"/>
          <w:lang w:eastAsia="el-GR"/>
        </w:rPr>
      </w:pPr>
    </w:p>
    <w:p w14:paraId="30E4B1E7" w14:textId="374532B0" w:rsidR="00A84B9C" w:rsidRDefault="00A84B9C" w:rsidP="0087794A">
      <w:pPr>
        <w:pStyle w:val="Caption"/>
        <w:keepNext/>
      </w:pPr>
      <w:bookmarkStart w:id="684" w:name="_Toc153545084"/>
      <w:r>
        <w:t xml:space="preserve">Table </w:t>
      </w:r>
      <w:r w:rsidR="006E0533">
        <w:fldChar w:fldCharType="begin"/>
      </w:r>
      <w:r w:rsidR="006E0533">
        <w:instrText xml:space="preserve"> STYLEREF 1 \s </w:instrText>
      </w:r>
      <w:r w:rsidR="006E0533">
        <w:fldChar w:fldCharType="separate"/>
      </w:r>
      <w:r>
        <w:rPr>
          <w:noProof/>
        </w:rPr>
        <w:t>I</w:t>
      </w:r>
      <w:r w:rsidR="006E0533">
        <w:rPr>
          <w:noProof/>
        </w:rPr>
        <w:fldChar w:fldCharType="end"/>
      </w:r>
      <w:r>
        <w:t>.</w:t>
      </w:r>
      <w:r w:rsidR="006E0533">
        <w:fldChar w:fldCharType="begin"/>
      </w:r>
      <w:r w:rsidR="006E0533">
        <w:instrText xml:space="preserve"> SEQ Table \* ARABIC \s 1 </w:instrText>
      </w:r>
      <w:r w:rsidR="006E0533">
        <w:fldChar w:fldCharType="separate"/>
      </w:r>
      <w:r>
        <w:rPr>
          <w:noProof/>
        </w:rPr>
        <w:t>5</w:t>
      </w:r>
      <w:r w:rsidR="006E0533">
        <w:rPr>
          <w:noProof/>
        </w:rPr>
        <w:fldChar w:fldCharType="end"/>
      </w:r>
      <w:r>
        <w:t xml:space="preserve">: </w:t>
      </w:r>
      <w:r w:rsidRPr="00A84B9C">
        <w:t>Research, Innovation and Competitiveness policy measures</w:t>
      </w:r>
      <w:bookmarkEnd w:id="684"/>
    </w:p>
    <w:tbl>
      <w:tblPr>
        <w:tblW w:w="0" w:type="auto"/>
        <w:tblLook w:val="04A0" w:firstRow="1" w:lastRow="0" w:firstColumn="1" w:lastColumn="0" w:noHBand="0" w:noVBand="1"/>
      </w:tblPr>
      <w:tblGrid>
        <w:gridCol w:w="1567"/>
        <w:gridCol w:w="886"/>
        <w:gridCol w:w="3781"/>
        <w:gridCol w:w="975"/>
        <w:gridCol w:w="954"/>
        <w:gridCol w:w="1413"/>
        <w:gridCol w:w="976"/>
        <w:gridCol w:w="862"/>
        <w:gridCol w:w="1379"/>
        <w:gridCol w:w="882"/>
        <w:gridCol w:w="885"/>
      </w:tblGrid>
      <w:tr w:rsidR="00663039" w:rsidRPr="00207220" w14:paraId="790BEA43" w14:textId="77777777" w:rsidTr="005B2C6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18567B3E"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Dimension</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8C2A608"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PAM number</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6E6856B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Name of policy or measure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3D2EA0B"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Type of measure</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D6979BE"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Synergetic effects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2704E6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Implementation Cost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97BCFB4"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Planned public aid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DDC1EE2"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own Funds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0998C8F"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Projections scenario in which the PAM is included</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DB2163A"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WEM (million €)</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40B8576"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CAPEX WAM (million €)</w:t>
            </w:r>
          </w:p>
        </w:tc>
      </w:tr>
      <w:tr w:rsidR="00663039" w:rsidRPr="00207220" w14:paraId="09F6397E" w14:textId="77777777" w:rsidTr="001544A6">
        <w:trPr>
          <w:trHeight w:val="20"/>
        </w:trPr>
        <w:tc>
          <w:tcPr>
            <w:tcW w:w="0" w:type="auto"/>
            <w:vMerge w:val="restart"/>
            <w:tcBorders>
              <w:top w:val="nil"/>
              <w:left w:val="single" w:sz="4" w:space="0" w:color="auto"/>
              <w:bottom w:val="nil"/>
              <w:right w:val="single" w:sz="4" w:space="0" w:color="auto"/>
            </w:tcBorders>
            <w:shd w:val="clear" w:color="000000" w:fill="BFBFBF"/>
            <w:vAlign w:val="center"/>
            <w:hideMark/>
          </w:tcPr>
          <w:p w14:paraId="592709D8" w14:textId="77777777" w:rsidR="00663039" w:rsidRPr="00673450" w:rsidRDefault="00663039" w:rsidP="001544A6">
            <w:pPr>
              <w:spacing w:after="0" w:line="240" w:lineRule="auto"/>
              <w:jc w:val="center"/>
              <w:rPr>
                <w:rFonts w:ascii="Calibri" w:eastAsia="Times New Roman" w:hAnsi="Calibri" w:cs="Calibri"/>
                <w:b/>
                <w:bCs/>
                <w:sz w:val="15"/>
                <w:szCs w:val="15"/>
              </w:rPr>
            </w:pPr>
            <w:r w:rsidRPr="00673450">
              <w:rPr>
                <w:rFonts w:ascii="Calibri" w:eastAsia="Times New Roman" w:hAnsi="Calibri" w:cs="Calibri"/>
                <w:b/>
                <w:bCs/>
                <w:sz w:val="15"/>
                <w:szCs w:val="15"/>
              </w:rPr>
              <w:t>Research, Innovation and Competitiveness</w:t>
            </w:r>
          </w:p>
        </w:tc>
        <w:tc>
          <w:tcPr>
            <w:tcW w:w="0" w:type="auto"/>
            <w:tcBorders>
              <w:top w:val="nil"/>
              <w:left w:val="nil"/>
              <w:bottom w:val="single" w:sz="4" w:space="0" w:color="auto"/>
              <w:right w:val="single" w:sz="4" w:space="0" w:color="auto"/>
            </w:tcBorders>
            <w:shd w:val="clear" w:color="auto" w:fill="auto"/>
            <w:vAlign w:val="center"/>
            <w:hideMark/>
          </w:tcPr>
          <w:p w14:paraId="49B186E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w:t>
            </w:r>
          </w:p>
        </w:tc>
        <w:tc>
          <w:tcPr>
            <w:tcW w:w="0" w:type="auto"/>
            <w:tcBorders>
              <w:top w:val="nil"/>
              <w:left w:val="nil"/>
              <w:bottom w:val="single" w:sz="4" w:space="0" w:color="auto"/>
              <w:right w:val="single" w:sz="4" w:space="0" w:color="auto"/>
            </w:tcBorders>
            <w:shd w:val="clear" w:color="auto" w:fill="auto"/>
            <w:vAlign w:val="center"/>
            <w:hideMark/>
          </w:tcPr>
          <w:p w14:paraId="3A9100D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Enhancement of the legal framework to encourage Research and Innovation</w:t>
            </w:r>
          </w:p>
        </w:tc>
        <w:tc>
          <w:tcPr>
            <w:tcW w:w="0" w:type="auto"/>
            <w:tcBorders>
              <w:top w:val="nil"/>
              <w:left w:val="nil"/>
              <w:bottom w:val="single" w:sz="4" w:space="0" w:color="auto"/>
              <w:right w:val="single" w:sz="4" w:space="0" w:color="auto"/>
            </w:tcBorders>
            <w:shd w:val="clear" w:color="auto" w:fill="auto"/>
            <w:vAlign w:val="center"/>
            <w:hideMark/>
          </w:tcPr>
          <w:p w14:paraId="67D934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12CF801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D72146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2EFDA"/>
            <w:vAlign w:val="center"/>
            <w:hideMark/>
          </w:tcPr>
          <w:p w14:paraId="5C866F2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2EFDA"/>
            <w:vAlign w:val="center"/>
            <w:hideMark/>
          </w:tcPr>
          <w:p w14:paraId="2C6388B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1814C0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584F213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6EBAA91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1E991268"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460851BE"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4834BDF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PM_RIC2</w:t>
            </w:r>
          </w:p>
        </w:tc>
        <w:tc>
          <w:tcPr>
            <w:tcW w:w="0" w:type="auto"/>
            <w:tcBorders>
              <w:top w:val="nil"/>
              <w:left w:val="nil"/>
              <w:bottom w:val="single" w:sz="4" w:space="0" w:color="auto"/>
              <w:right w:val="single" w:sz="4" w:space="0" w:color="auto"/>
            </w:tcBorders>
            <w:shd w:val="clear" w:color="auto" w:fill="auto"/>
            <w:vAlign w:val="center"/>
            <w:hideMark/>
          </w:tcPr>
          <w:p w14:paraId="2A69763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Establishment of a Joint State Aid Action on Research and Innovation in the field of Εnergy</w:t>
            </w:r>
          </w:p>
        </w:tc>
        <w:tc>
          <w:tcPr>
            <w:tcW w:w="0" w:type="auto"/>
            <w:tcBorders>
              <w:top w:val="nil"/>
              <w:left w:val="nil"/>
              <w:bottom w:val="single" w:sz="4" w:space="0" w:color="auto"/>
              <w:right w:val="single" w:sz="4" w:space="0" w:color="auto"/>
            </w:tcBorders>
            <w:shd w:val="clear" w:color="auto" w:fill="auto"/>
            <w:vAlign w:val="center"/>
            <w:hideMark/>
          </w:tcPr>
          <w:p w14:paraId="2AE8032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21CCCDD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901D4E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2.70</w:t>
            </w:r>
          </w:p>
        </w:tc>
        <w:tc>
          <w:tcPr>
            <w:tcW w:w="0" w:type="auto"/>
            <w:tcBorders>
              <w:top w:val="nil"/>
              <w:left w:val="nil"/>
              <w:bottom w:val="single" w:sz="4" w:space="0" w:color="auto"/>
              <w:right w:val="single" w:sz="4" w:space="0" w:color="auto"/>
            </w:tcBorders>
            <w:shd w:val="clear" w:color="000000" w:fill="ED7D31"/>
            <w:vAlign w:val="center"/>
            <w:hideMark/>
          </w:tcPr>
          <w:p w14:paraId="665157F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2.70</w:t>
            </w:r>
          </w:p>
        </w:tc>
        <w:tc>
          <w:tcPr>
            <w:tcW w:w="0" w:type="auto"/>
            <w:tcBorders>
              <w:top w:val="nil"/>
              <w:left w:val="nil"/>
              <w:bottom w:val="single" w:sz="4" w:space="0" w:color="auto"/>
              <w:right w:val="single" w:sz="4" w:space="0" w:color="auto"/>
            </w:tcBorders>
            <w:shd w:val="clear" w:color="000000" w:fill="ED7D31"/>
            <w:vAlign w:val="center"/>
            <w:hideMark/>
          </w:tcPr>
          <w:p w14:paraId="59A790F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C713A7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6EDC757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2.70</w:t>
            </w:r>
          </w:p>
        </w:tc>
        <w:tc>
          <w:tcPr>
            <w:tcW w:w="0" w:type="auto"/>
            <w:tcBorders>
              <w:top w:val="nil"/>
              <w:left w:val="nil"/>
              <w:bottom w:val="single" w:sz="4" w:space="0" w:color="auto"/>
              <w:right w:val="single" w:sz="4" w:space="0" w:color="auto"/>
            </w:tcBorders>
            <w:shd w:val="clear" w:color="000000" w:fill="ED7D31"/>
            <w:vAlign w:val="center"/>
            <w:hideMark/>
          </w:tcPr>
          <w:p w14:paraId="1A9343B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17C35FDA"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7163D43A"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DD1BAF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PM_RIC3</w:t>
            </w:r>
          </w:p>
        </w:tc>
        <w:tc>
          <w:tcPr>
            <w:tcW w:w="0" w:type="auto"/>
            <w:tcBorders>
              <w:top w:val="nil"/>
              <w:left w:val="nil"/>
              <w:bottom w:val="single" w:sz="4" w:space="0" w:color="auto"/>
              <w:right w:val="single" w:sz="4" w:space="0" w:color="auto"/>
            </w:tcBorders>
            <w:shd w:val="clear" w:color="auto" w:fill="auto"/>
            <w:vAlign w:val="center"/>
            <w:hideMark/>
          </w:tcPr>
          <w:p w14:paraId="11FE865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Establishment of a Multiannual Investment Plan for the strengthening of R&amp;I infrastructures</w:t>
            </w:r>
          </w:p>
        </w:tc>
        <w:tc>
          <w:tcPr>
            <w:tcW w:w="0" w:type="auto"/>
            <w:tcBorders>
              <w:top w:val="nil"/>
              <w:left w:val="nil"/>
              <w:bottom w:val="single" w:sz="4" w:space="0" w:color="auto"/>
              <w:right w:val="single" w:sz="4" w:space="0" w:color="auto"/>
            </w:tcBorders>
            <w:shd w:val="clear" w:color="auto" w:fill="auto"/>
            <w:vAlign w:val="center"/>
            <w:hideMark/>
          </w:tcPr>
          <w:p w14:paraId="6C74DE6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5A84AF4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2F44B72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2EFDA"/>
            <w:vAlign w:val="center"/>
            <w:hideMark/>
          </w:tcPr>
          <w:p w14:paraId="7A33C2E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2EFDA"/>
            <w:vAlign w:val="center"/>
            <w:hideMark/>
          </w:tcPr>
          <w:p w14:paraId="2ECA549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231D0C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2C7E723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09F1AE9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C725202"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3D40D9E1"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BF3629A"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PM_RIC4</w:t>
            </w:r>
          </w:p>
        </w:tc>
        <w:tc>
          <w:tcPr>
            <w:tcW w:w="0" w:type="auto"/>
            <w:tcBorders>
              <w:top w:val="nil"/>
              <w:left w:val="nil"/>
              <w:bottom w:val="single" w:sz="4" w:space="0" w:color="auto"/>
              <w:right w:val="single" w:sz="4" w:space="0" w:color="auto"/>
            </w:tcBorders>
            <w:shd w:val="clear" w:color="auto" w:fill="auto"/>
            <w:vAlign w:val="center"/>
            <w:hideMark/>
          </w:tcPr>
          <w:p w14:paraId="431AB44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 xml:space="preserve">Integration of Serbia into the European Research Area and enhanced participation in EU’s funded Energy R&amp;I Programs </w:t>
            </w:r>
          </w:p>
        </w:tc>
        <w:tc>
          <w:tcPr>
            <w:tcW w:w="0" w:type="auto"/>
            <w:tcBorders>
              <w:top w:val="nil"/>
              <w:left w:val="nil"/>
              <w:bottom w:val="single" w:sz="4" w:space="0" w:color="auto"/>
              <w:right w:val="single" w:sz="4" w:space="0" w:color="auto"/>
            </w:tcBorders>
            <w:shd w:val="clear" w:color="auto" w:fill="auto"/>
            <w:vAlign w:val="center"/>
            <w:hideMark/>
          </w:tcPr>
          <w:p w14:paraId="72836EF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3744219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BCA6CD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2EFDA"/>
            <w:vAlign w:val="center"/>
            <w:hideMark/>
          </w:tcPr>
          <w:p w14:paraId="2FBF122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2EFDA"/>
            <w:vAlign w:val="center"/>
            <w:hideMark/>
          </w:tcPr>
          <w:p w14:paraId="50295BE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5DB6B98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45F8545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62C9A2A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188F75B2"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78C11966"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22F855D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PM_RIC5</w:t>
            </w:r>
          </w:p>
        </w:tc>
        <w:tc>
          <w:tcPr>
            <w:tcW w:w="0" w:type="auto"/>
            <w:tcBorders>
              <w:top w:val="nil"/>
              <w:left w:val="nil"/>
              <w:bottom w:val="single" w:sz="4" w:space="0" w:color="auto"/>
              <w:right w:val="single" w:sz="4" w:space="0" w:color="auto"/>
            </w:tcBorders>
            <w:shd w:val="clear" w:color="auto" w:fill="auto"/>
            <w:vAlign w:val="center"/>
            <w:hideMark/>
          </w:tcPr>
          <w:p w14:paraId="2C02EA3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Innovation Hubs / Clusters, Start-ups, Spin-offs/Spin-outs</w:t>
            </w:r>
          </w:p>
        </w:tc>
        <w:tc>
          <w:tcPr>
            <w:tcW w:w="0" w:type="auto"/>
            <w:tcBorders>
              <w:top w:val="nil"/>
              <w:left w:val="nil"/>
              <w:bottom w:val="single" w:sz="4" w:space="0" w:color="auto"/>
              <w:right w:val="single" w:sz="4" w:space="0" w:color="auto"/>
            </w:tcBorders>
            <w:shd w:val="clear" w:color="auto" w:fill="auto"/>
            <w:vAlign w:val="center"/>
            <w:hideMark/>
          </w:tcPr>
          <w:p w14:paraId="06DFD4D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53F3F61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133E77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5.40</w:t>
            </w:r>
          </w:p>
        </w:tc>
        <w:tc>
          <w:tcPr>
            <w:tcW w:w="0" w:type="auto"/>
            <w:tcBorders>
              <w:top w:val="nil"/>
              <w:left w:val="nil"/>
              <w:bottom w:val="single" w:sz="4" w:space="0" w:color="auto"/>
              <w:right w:val="single" w:sz="4" w:space="0" w:color="auto"/>
            </w:tcBorders>
            <w:shd w:val="clear" w:color="000000" w:fill="ED7D31"/>
            <w:vAlign w:val="center"/>
            <w:hideMark/>
          </w:tcPr>
          <w:p w14:paraId="4F4341F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2.70</w:t>
            </w:r>
          </w:p>
        </w:tc>
        <w:tc>
          <w:tcPr>
            <w:tcW w:w="0" w:type="auto"/>
            <w:tcBorders>
              <w:top w:val="nil"/>
              <w:left w:val="nil"/>
              <w:bottom w:val="single" w:sz="4" w:space="0" w:color="auto"/>
              <w:right w:val="single" w:sz="4" w:space="0" w:color="auto"/>
            </w:tcBorders>
            <w:shd w:val="clear" w:color="000000" w:fill="ED7D31"/>
            <w:vAlign w:val="center"/>
            <w:hideMark/>
          </w:tcPr>
          <w:p w14:paraId="62460E4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2.70</w:t>
            </w:r>
          </w:p>
        </w:tc>
        <w:tc>
          <w:tcPr>
            <w:tcW w:w="0" w:type="auto"/>
            <w:tcBorders>
              <w:top w:val="nil"/>
              <w:left w:val="nil"/>
              <w:bottom w:val="single" w:sz="4" w:space="0" w:color="auto"/>
              <w:right w:val="single" w:sz="4" w:space="0" w:color="auto"/>
            </w:tcBorders>
            <w:shd w:val="clear" w:color="000000" w:fill="ED7D31"/>
            <w:vAlign w:val="center"/>
            <w:hideMark/>
          </w:tcPr>
          <w:p w14:paraId="349F5F9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6122DF7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5.40</w:t>
            </w:r>
          </w:p>
        </w:tc>
        <w:tc>
          <w:tcPr>
            <w:tcW w:w="0" w:type="auto"/>
            <w:tcBorders>
              <w:top w:val="nil"/>
              <w:left w:val="nil"/>
              <w:bottom w:val="single" w:sz="4" w:space="0" w:color="auto"/>
              <w:right w:val="single" w:sz="4" w:space="0" w:color="auto"/>
            </w:tcBorders>
            <w:shd w:val="clear" w:color="000000" w:fill="ED7D31"/>
            <w:vAlign w:val="center"/>
            <w:hideMark/>
          </w:tcPr>
          <w:p w14:paraId="11E4FB7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34C363D1"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52A2FE5C"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205015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PM_RIC6</w:t>
            </w:r>
          </w:p>
        </w:tc>
        <w:tc>
          <w:tcPr>
            <w:tcW w:w="0" w:type="auto"/>
            <w:tcBorders>
              <w:top w:val="nil"/>
              <w:left w:val="nil"/>
              <w:bottom w:val="single" w:sz="4" w:space="0" w:color="auto"/>
              <w:right w:val="single" w:sz="4" w:space="0" w:color="auto"/>
            </w:tcBorders>
            <w:shd w:val="clear" w:color="auto" w:fill="auto"/>
            <w:vAlign w:val="center"/>
            <w:hideMark/>
          </w:tcPr>
          <w:p w14:paraId="25103780"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specialised Competence Centers</w:t>
            </w:r>
          </w:p>
        </w:tc>
        <w:tc>
          <w:tcPr>
            <w:tcW w:w="0" w:type="auto"/>
            <w:tcBorders>
              <w:top w:val="nil"/>
              <w:left w:val="nil"/>
              <w:bottom w:val="single" w:sz="4" w:space="0" w:color="auto"/>
              <w:right w:val="single" w:sz="4" w:space="0" w:color="auto"/>
            </w:tcBorders>
            <w:shd w:val="clear" w:color="auto" w:fill="auto"/>
            <w:vAlign w:val="center"/>
            <w:hideMark/>
          </w:tcPr>
          <w:p w14:paraId="7A2DF06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F6BB2F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1BEC0E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3.60</w:t>
            </w:r>
          </w:p>
        </w:tc>
        <w:tc>
          <w:tcPr>
            <w:tcW w:w="0" w:type="auto"/>
            <w:tcBorders>
              <w:top w:val="nil"/>
              <w:left w:val="nil"/>
              <w:bottom w:val="single" w:sz="4" w:space="0" w:color="auto"/>
              <w:right w:val="single" w:sz="4" w:space="0" w:color="auto"/>
            </w:tcBorders>
            <w:shd w:val="clear" w:color="000000" w:fill="ED7D31"/>
            <w:vAlign w:val="center"/>
            <w:hideMark/>
          </w:tcPr>
          <w:p w14:paraId="3DFBE0D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1.80</w:t>
            </w:r>
          </w:p>
        </w:tc>
        <w:tc>
          <w:tcPr>
            <w:tcW w:w="0" w:type="auto"/>
            <w:tcBorders>
              <w:top w:val="nil"/>
              <w:left w:val="nil"/>
              <w:bottom w:val="single" w:sz="4" w:space="0" w:color="auto"/>
              <w:right w:val="single" w:sz="4" w:space="0" w:color="auto"/>
            </w:tcBorders>
            <w:shd w:val="clear" w:color="000000" w:fill="ED7D31"/>
            <w:vAlign w:val="center"/>
            <w:hideMark/>
          </w:tcPr>
          <w:p w14:paraId="02EE9B4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1.80</w:t>
            </w:r>
          </w:p>
        </w:tc>
        <w:tc>
          <w:tcPr>
            <w:tcW w:w="0" w:type="auto"/>
            <w:tcBorders>
              <w:top w:val="nil"/>
              <w:left w:val="nil"/>
              <w:bottom w:val="single" w:sz="4" w:space="0" w:color="auto"/>
              <w:right w:val="single" w:sz="4" w:space="0" w:color="auto"/>
            </w:tcBorders>
            <w:shd w:val="clear" w:color="000000" w:fill="ED7D31"/>
            <w:vAlign w:val="center"/>
            <w:hideMark/>
          </w:tcPr>
          <w:p w14:paraId="16C7216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7059FC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3.60</w:t>
            </w:r>
          </w:p>
        </w:tc>
        <w:tc>
          <w:tcPr>
            <w:tcW w:w="0" w:type="auto"/>
            <w:tcBorders>
              <w:top w:val="nil"/>
              <w:left w:val="nil"/>
              <w:bottom w:val="single" w:sz="4" w:space="0" w:color="auto"/>
              <w:right w:val="single" w:sz="4" w:space="0" w:color="auto"/>
            </w:tcBorders>
            <w:shd w:val="clear" w:color="000000" w:fill="ED7D31"/>
            <w:vAlign w:val="center"/>
            <w:hideMark/>
          </w:tcPr>
          <w:p w14:paraId="4726C0E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1C9E8B24"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46D9131B"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0BEC5E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PM_RIC7</w:t>
            </w:r>
          </w:p>
        </w:tc>
        <w:tc>
          <w:tcPr>
            <w:tcW w:w="0" w:type="auto"/>
            <w:tcBorders>
              <w:top w:val="nil"/>
              <w:left w:val="nil"/>
              <w:bottom w:val="single" w:sz="4" w:space="0" w:color="auto"/>
              <w:right w:val="single" w:sz="4" w:space="0" w:color="auto"/>
            </w:tcBorders>
            <w:shd w:val="clear" w:color="auto" w:fill="auto"/>
            <w:vAlign w:val="center"/>
            <w:hideMark/>
          </w:tcPr>
          <w:p w14:paraId="01BB199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Facilitation of the establishment of regional centres of research excellence</w:t>
            </w:r>
          </w:p>
        </w:tc>
        <w:tc>
          <w:tcPr>
            <w:tcW w:w="0" w:type="auto"/>
            <w:tcBorders>
              <w:top w:val="nil"/>
              <w:left w:val="nil"/>
              <w:bottom w:val="single" w:sz="4" w:space="0" w:color="auto"/>
              <w:right w:val="single" w:sz="4" w:space="0" w:color="auto"/>
            </w:tcBorders>
            <w:shd w:val="clear" w:color="auto" w:fill="auto"/>
            <w:vAlign w:val="center"/>
            <w:hideMark/>
          </w:tcPr>
          <w:p w14:paraId="01D28F0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05C6B89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33A48C0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3.40</w:t>
            </w:r>
          </w:p>
        </w:tc>
        <w:tc>
          <w:tcPr>
            <w:tcW w:w="0" w:type="auto"/>
            <w:tcBorders>
              <w:top w:val="nil"/>
              <w:left w:val="nil"/>
              <w:bottom w:val="single" w:sz="4" w:space="0" w:color="auto"/>
              <w:right w:val="single" w:sz="4" w:space="0" w:color="auto"/>
            </w:tcBorders>
            <w:shd w:val="clear" w:color="000000" w:fill="ED7D31"/>
            <w:vAlign w:val="center"/>
            <w:hideMark/>
          </w:tcPr>
          <w:p w14:paraId="4A9C176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1.70</w:t>
            </w:r>
          </w:p>
        </w:tc>
        <w:tc>
          <w:tcPr>
            <w:tcW w:w="0" w:type="auto"/>
            <w:tcBorders>
              <w:top w:val="nil"/>
              <w:left w:val="nil"/>
              <w:bottom w:val="single" w:sz="4" w:space="0" w:color="auto"/>
              <w:right w:val="single" w:sz="4" w:space="0" w:color="auto"/>
            </w:tcBorders>
            <w:shd w:val="clear" w:color="000000" w:fill="ED7D31"/>
            <w:vAlign w:val="center"/>
            <w:hideMark/>
          </w:tcPr>
          <w:p w14:paraId="613AEC6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1.70</w:t>
            </w:r>
          </w:p>
        </w:tc>
        <w:tc>
          <w:tcPr>
            <w:tcW w:w="0" w:type="auto"/>
            <w:tcBorders>
              <w:top w:val="nil"/>
              <w:left w:val="nil"/>
              <w:bottom w:val="single" w:sz="4" w:space="0" w:color="auto"/>
              <w:right w:val="single" w:sz="4" w:space="0" w:color="auto"/>
            </w:tcBorders>
            <w:shd w:val="clear" w:color="000000" w:fill="ED7D31"/>
            <w:vAlign w:val="center"/>
            <w:hideMark/>
          </w:tcPr>
          <w:p w14:paraId="2C8AFD2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6B1DEE8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3.40</w:t>
            </w:r>
          </w:p>
        </w:tc>
        <w:tc>
          <w:tcPr>
            <w:tcW w:w="0" w:type="auto"/>
            <w:tcBorders>
              <w:top w:val="nil"/>
              <w:left w:val="nil"/>
              <w:bottom w:val="single" w:sz="4" w:space="0" w:color="auto"/>
              <w:right w:val="single" w:sz="4" w:space="0" w:color="auto"/>
            </w:tcBorders>
            <w:shd w:val="clear" w:color="000000" w:fill="ED7D31"/>
            <w:vAlign w:val="center"/>
            <w:hideMark/>
          </w:tcPr>
          <w:p w14:paraId="7654571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A6C5596"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094C9FF3"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BA0E5C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PM_RIC8</w:t>
            </w:r>
          </w:p>
        </w:tc>
        <w:tc>
          <w:tcPr>
            <w:tcW w:w="0" w:type="auto"/>
            <w:tcBorders>
              <w:top w:val="nil"/>
              <w:left w:val="nil"/>
              <w:bottom w:val="single" w:sz="4" w:space="0" w:color="auto"/>
              <w:right w:val="single" w:sz="4" w:space="0" w:color="auto"/>
            </w:tcBorders>
            <w:shd w:val="clear" w:color="auto" w:fill="auto"/>
            <w:vAlign w:val="center"/>
            <w:hideMark/>
          </w:tcPr>
          <w:p w14:paraId="469BB51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Establishment and networking of Technology Transfer Offices of research organisations / institutes and Science Technology Parks</w:t>
            </w:r>
          </w:p>
        </w:tc>
        <w:tc>
          <w:tcPr>
            <w:tcW w:w="0" w:type="auto"/>
            <w:tcBorders>
              <w:top w:val="nil"/>
              <w:left w:val="nil"/>
              <w:bottom w:val="single" w:sz="4" w:space="0" w:color="auto"/>
              <w:right w:val="single" w:sz="4" w:space="0" w:color="auto"/>
            </w:tcBorders>
            <w:shd w:val="clear" w:color="auto" w:fill="auto"/>
            <w:vAlign w:val="center"/>
            <w:hideMark/>
          </w:tcPr>
          <w:p w14:paraId="5E80381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77F464F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5D1D0F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15.30</w:t>
            </w:r>
          </w:p>
        </w:tc>
        <w:tc>
          <w:tcPr>
            <w:tcW w:w="0" w:type="auto"/>
            <w:tcBorders>
              <w:top w:val="nil"/>
              <w:left w:val="nil"/>
              <w:bottom w:val="single" w:sz="4" w:space="0" w:color="auto"/>
              <w:right w:val="single" w:sz="4" w:space="0" w:color="auto"/>
            </w:tcBorders>
            <w:shd w:val="clear" w:color="000000" w:fill="ED7D31"/>
            <w:vAlign w:val="center"/>
            <w:hideMark/>
          </w:tcPr>
          <w:p w14:paraId="0D4B469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7.65</w:t>
            </w:r>
          </w:p>
        </w:tc>
        <w:tc>
          <w:tcPr>
            <w:tcW w:w="0" w:type="auto"/>
            <w:tcBorders>
              <w:top w:val="nil"/>
              <w:left w:val="nil"/>
              <w:bottom w:val="single" w:sz="4" w:space="0" w:color="auto"/>
              <w:right w:val="single" w:sz="4" w:space="0" w:color="auto"/>
            </w:tcBorders>
            <w:shd w:val="clear" w:color="000000" w:fill="ED7D31"/>
            <w:vAlign w:val="center"/>
            <w:hideMark/>
          </w:tcPr>
          <w:p w14:paraId="1BDED54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7.65</w:t>
            </w:r>
          </w:p>
        </w:tc>
        <w:tc>
          <w:tcPr>
            <w:tcW w:w="0" w:type="auto"/>
            <w:tcBorders>
              <w:top w:val="nil"/>
              <w:left w:val="nil"/>
              <w:bottom w:val="single" w:sz="4" w:space="0" w:color="auto"/>
              <w:right w:val="single" w:sz="4" w:space="0" w:color="auto"/>
            </w:tcBorders>
            <w:shd w:val="clear" w:color="000000" w:fill="ED7D31"/>
            <w:vAlign w:val="center"/>
            <w:hideMark/>
          </w:tcPr>
          <w:p w14:paraId="4EA821B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2323248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15.30</w:t>
            </w:r>
          </w:p>
        </w:tc>
        <w:tc>
          <w:tcPr>
            <w:tcW w:w="0" w:type="auto"/>
            <w:tcBorders>
              <w:top w:val="nil"/>
              <w:left w:val="nil"/>
              <w:bottom w:val="single" w:sz="4" w:space="0" w:color="auto"/>
              <w:right w:val="single" w:sz="4" w:space="0" w:color="auto"/>
            </w:tcBorders>
            <w:shd w:val="clear" w:color="000000" w:fill="ED7D31"/>
            <w:vAlign w:val="center"/>
            <w:hideMark/>
          </w:tcPr>
          <w:p w14:paraId="163E2DB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3E1EE96"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591C5DB7"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04429D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PM_RIC9</w:t>
            </w:r>
          </w:p>
        </w:tc>
        <w:tc>
          <w:tcPr>
            <w:tcW w:w="0" w:type="auto"/>
            <w:tcBorders>
              <w:top w:val="nil"/>
              <w:left w:val="nil"/>
              <w:bottom w:val="single" w:sz="4" w:space="0" w:color="auto"/>
              <w:right w:val="single" w:sz="4" w:space="0" w:color="auto"/>
            </w:tcBorders>
            <w:shd w:val="clear" w:color="auto" w:fill="auto"/>
            <w:vAlign w:val="center"/>
            <w:hideMark/>
          </w:tcPr>
          <w:p w14:paraId="420620A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Support the cooperation between research institutes and businesses in the technology transfer and exploitation of research results</w:t>
            </w:r>
          </w:p>
        </w:tc>
        <w:tc>
          <w:tcPr>
            <w:tcW w:w="0" w:type="auto"/>
            <w:tcBorders>
              <w:top w:val="nil"/>
              <w:left w:val="nil"/>
              <w:bottom w:val="single" w:sz="4" w:space="0" w:color="auto"/>
              <w:right w:val="single" w:sz="4" w:space="0" w:color="auto"/>
            </w:tcBorders>
            <w:shd w:val="clear" w:color="auto" w:fill="auto"/>
            <w:vAlign w:val="center"/>
            <w:hideMark/>
          </w:tcPr>
          <w:p w14:paraId="00208B8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7B967FF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7B89F4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3.20</w:t>
            </w:r>
          </w:p>
        </w:tc>
        <w:tc>
          <w:tcPr>
            <w:tcW w:w="0" w:type="auto"/>
            <w:tcBorders>
              <w:top w:val="nil"/>
              <w:left w:val="nil"/>
              <w:bottom w:val="single" w:sz="4" w:space="0" w:color="auto"/>
              <w:right w:val="single" w:sz="4" w:space="0" w:color="auto"/>
            </w:tcBorders>
            <w:shd w:val="clear" w:color="000000" w:fill="ED7D31"/>
            <w:vAlign w:val="center"/>
            <w:hideMark/>
          </w:tcPr>
          <w:p w14:paraId="60C2EF4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3.20</w:t>
            </w:r>
          </w:p>
        </w:tc>
        <w:tc>
          <w:tcPr>
            <w:tcW w:w="0" w:type="auto"/>
            <w:tcBorders>
              <w:top w:val="nil"/>
              <w:left w:val="nil"/>
              <w:bottom w:val="single" w:sz="4" w:space="0" w:color="auto"/>
              <w:right w:val="single" w:sz="4" w:space="0" w:color="auto"/>
            </w:tcBorders>
            <w:shd w:val="clear" w:color="000000" w:fill="ED7D31"/>
            <w:vAlign w:val="center"/>
            <w:hideMark/>
          </w:tcPr>
          <w:p w14:paraId="3161A4F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A02B0D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2445D29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3.20</w:t>
            </w:r>
          </w:p>
        </w:tc>
        <w:tc>
          <w:tcPr>
            <w:tcW w:w="0" w:type="auto"/>
            <w:tcBorders>
              <w:top w:val="nil"/>
              <w:left w:val="nil"/>
              <w:bottom w:val="single" w:sz="4" w:space="0" w:color="auto"/>
              <w:right w:val="single" w:sz="4" w:space="0" w:color="auto"/>
            </w:tcBorders>
            <w:shd w:val="clear" w:color="000000" w:fill="ED7D31"/>
            <w:vAlign w:val="center"/>
            <w:hideMark/>
          </w:tcPr>
          <w:p w14:paraId="25AB9E3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7407A04"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4D8AD053"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6166E63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PM_RIC10</w:t>
            </w:r>
          </w:p>
        </w:tc>
        <w:tc>
          <w:tcPr>
            <w:tcW w:w="0" w:type="auto"/>
            <w:tcBorders>
              <w:top w:val="nil"/>
              <w:left w:val="nil"/>
              <w:bottom w:val="single" w:sz="4" w:space="0" w:color="auto"/>
              <w:right w:val="single" w:sz="4" w:space="0" w:color="auto"/>
            </w:tcBorders>
            <w:shd w:val="clear" w:color="auto" w:fill="auto"/>
            <w:vAlign w:val="center"/>
            <w:hideMark/>
          </w:tcPr>
          <w:p w14:paraId="439A41DE"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innovative energy-saving technologies</w:t>
            </w:r>
          </w:p>
        </w:tc>
        <w:tc>
          <w:tcPr>
            <w:tcW w:w="0" w:type="auto"/>
            <w:tcBorders>
              <w:top w:val="nil"/>
              <w:left w:val="nil"/>
              <w:bottom w:val="single" w:sz="4" w:space="0" w:color="auto"/>
              <w:right w:val="single" w:sz="4" w:space="0" w:color="auto"/>
            </w:tcBorders>
            <w:shd w:val="clear" w:color="auto" w:fill="auto"/>
            <w:vAlign w:val="center"/>
            <w:hideMark/>
          </w:tcPr>
          <w:p w14:paraId="0FDDA77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56EFE9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E2A9A3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7.20</w:t>
            </w:r>
          </w:p>
        </w:tc>
        <w:tc>
          <w:tcPr>
            <w:tcW w:w="0" w:type="auto"/>
            <w:tcBorders>
              <w:top w:val="nil"/>
              <w:left w:val="nil"/>
              <w:bottom w:val="single" w:sz="4" w:space="0" w:color="auto"/>
              <w:right w:val="single" w:sz="4" w:space="0" w:color="auto"/>
            </w:tcBorders>
            <w:shd w:val="clear" w:color="000000" w:fill="ED7D31"/>
            <w:vAlign w:val="center"/>
            <w:hideMark/>
          </w:tcPr>
          <w:p w14:paraId="536AE6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2.16</w:t>
            </w:r>
          </w:p>
        </w:tc>
        <w:tc>
          <w:tcPr>
            <w:tcW w:w="0" w:type="auto"/>
            <w:tcBorders>
              <w:top w:val="nil"/>
              <w:left w:val="nil"/>
              <w:bottom w:val="single" w:sz="4" w:space="0" w:color="auto"/>
              <w:right w:val="single" w:sz="4" w:space="0" w:color="auto"/>
            </w:tcBorders>
            <w:shd w:val="clear" w:color="000000" w:fill="ED7D31"/>
            <w:vAlign w:val="center"/>
            <w:hideMark/>
          </w:tcPr>
          <w:p w14:paraId="47290B3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5.04</w:t>
            </w:r>
          </w:p>
        </w:tc>
        <w:tc>
          <w:tcPr>
            <w:tcW w:w="0" w:type="auto"/>
            <w:tcBorders>
              <w:top w:val="nil"/>
              <w:left w:val="nil"/>
              <w:bottom w:val="single" w:sz="4" w:space="0" w:color="auto"/>
              <w:right w:val="single" w:sz="4" w:space="0" w:color="auto"/>
            </w:tcBorders>
            <w:shd w:val="clear" w:color="000000" w:fill="ED7D31"/>
            <w:vAlign w:val="center"/>
            <w:hideMark/>
          </w:tcPr>
          <w:p w14:paraId="0CA08BB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061C7E3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7.20</w:t>
            </w:r>
          </w:p>
        </w:tc>
        <w:tc>
          <w:tcPr>
            <w:tcW w:w="0" w:type="auto"/>
            <w:tcBorders>
              <w:top w:val="nil"/>
              <w:left w:val="nil"/>
              <w:bottom w:val="single" w:sz="4" w:space="0" w:color="auto"/>
              <w:right w:val="single" w:sz="4" w:space="0" w:color="auto"/>
            </w:tcBorders>
            <w:shd w:val="clear" w:color="000000" w:fill="ED7D31"/>
            <w:vAlign w:val="center"/>
            <w:hideMark/>
          </w:tcPr>
          <w:p w14:paraId="0E22C73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7FFF19FC"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2F95D5C7"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22370378"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PM_RIC11</w:t>
            </w:r>
          </w:p>
        </w:tc>
        <w:tc>
          <w:tcPr>
            <w:tcW w:w="0" w:type="auto"/>
            <w:tcBorders>
              <w:top w:val="nil"/>
              <w:left w:val="nil"/>
              <w:bottom w:val="single" w:sz="4" w:space="0" w:color="auto"/>
              <w:right w:val="single" w:sz="4" w:space="0" w:color="auto"/>
            </w:tcBorders>
            <w:shd w:val="clear" w:color="auto" w:fill="auto"/>
            <w:vAlign w:val="center"/>
            <w:hideMark/>
          </w:tcPr>
          <w:p w14:paraId="338CD3B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innovative decarbonisation technologies, with emphasis on RES for electricity, heating/cooling production, hydrogen production, detection of emissions, carbon capture, storage and utilisation (CCUS) technologies</w:t>
            </w:r>
          </w:p>
        </w:tc>
        <w:tc>
          <w:tcPr>
            <w:tcW w:w="0" w:type="auto"/>
            <w:tcBorders>
              <w:top w:val="nil"/>
              <w:left w:val="nil"/>
              <w:bottom w:val="single" w:sz="4" w:space="0" w:color="auto"/>
              <w:right w:val="single" w:sz="4" w:space="0" w:color="auto"/>
            </w:tcBorders>
            <w:shd w:val="clear" w:color="auto" w:fill="auto"/>
            <w:vAlign w:val="center"/>
            <w:hideMark/>
          </w:tcPr>
          <w:p w14:paraId="3CA29AA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514A31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3C22ED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25.20</w:t>
            </w:r>
          </w:p>
        </w:tc>
        <w:tc>
          <w:tcPr>
            <w:tcW w:w="0" w:type="auto"/>
            <w:tcBorders>
              <w:top w:val="nil"/>
              <w:left w:val="nil"/>
              <w:bottom w:val="single" w:sz="4" w:space="0" w:color="auto"/>
              <w:right w:val="single" w:sz="4" w:space="0" w:color="auto"/>
            </w:tcBorders>
            <w:shd w:val="clear" w:color="000000" w:fill="ED7D31"/>
            <w:vAlign w:val="center"/>
            <w:hideMark/>
          </w:tcPr>
          <w:p w14:paraId="0B8C5E8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12.60</w:t>
            </w:r>
          </w:p>
        </w:tc>
        <w:tc>
          <w:tcPr>
            <w:tcW w:w="0" w:type="auto"/>
            <w:tcBorders>
              <w:top w:val="nil"/>
              <w:left w:val="nil"/>
              <w:bottom w:val="single" w:sz="4" w:space="0" w:color="auto"/>
              <w:right w:val="single" w:sz="4" w:space="0" w:color="auto"/>
            </w:tcBorders>
            <w:shd w:val="clear" w:color="000000" w:fill="ED7D31"/>
            <w:vAlign w:val="center"/>
            <w:hideMark/>
          </w:tcPr>
          <w:p w14:paraId="23141CA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12.60</w:t>
            </w:r>
          </w:p>
        </w:tc>
        <w:tc>
          <w:tcPr>
            <w:tcW w:w="0" w:type="auto"/>
            <w:tcBorders>
              <w:top w:val="nil"/>
              <w:left w:val="nil"/>
              <w:bottom w:val="single" w:sz="4" w:space="0" w:color="auto"/>
              <w:right w:val="single" w:sz="4" w:space="0" w:color="auto"/>
            </w:tcBorders>
            <w:shd w:val="clear" w:color="000000" w:fill="ED7D31"/>
            <w:vAlign w:val="center"/>
            <w:hideMark/>
          </w:tcPr>
          <w:p w14:paraId="559B9C1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4DC0EAE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25.20</w:t>
            </w:r>
          </w:p>
        </w:tc>
        <w:tc>
          <w:tcPr>
            <w:tcW w:w="0" w:type="auto"/>
            <w:tcBorders>
              <w:top w:val="nil"/>
              <w:left w:val="nil"/>
              <w:bottom w:val="single" w:sz="4" w:space="0" w:color="auto"/>
              <w:right w:val="single" w:sz="4" w:space="0" w:color="auto"/>
            </w:tcBorders>
            <w:shd w:val="clear" w:color="000000" w:fill="ED7D31"/>
            <w:vAlign w:val="center"/>
            <w:hideMark/>
          </w:tcPr>
          <w:p w14:paraId="7CFFE4F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E8CF804"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7894E556"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32EF9C6"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PM_RIC12</w:t>
            </w:r>
          </w:p>
        </w:tc>
        <w:tc>
          <w:tcPr>
            <w:tcW w:w="0" w:type="auto"/>
            <w:tcBorders>
              <w:top w:val="nil"/>
              <w:left w:val="nil"/>
              <w:bottom w:val="single" w:sz="4" w:space="0" w:color="auto"/>
              <w:right w:val="single" w:sz="4" w:space="0" w:color="auto"/>
            </w:tcBorders>
            <w:shd w:val="clear" w:color="auto" w:fill="auto"/>
            <w:vAlign w:val="center"/>
            <w:hideMark/>
          </w:tcPr>
          <w:p w14:paraId="3C30D93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Research on the digitization of energy networks and the development of smart grids</w:t>
            </w:r>
          </w:p>
        </w:tc>
        <w:tc>
          <w:tcPr>
            <w:tcW w:w="0" w:type="auto"/>
            <w:tcBorders>
              <w:top w:val="nil"/>
              <w:left w:val="nil"/>
              <w:bottom w:val="single" w:sz="4" w:space="0" w:color="auto"/>
              <w:right w:val="single" w:sz="4" w:space="0" w:color="auto"/>
            </w:tcBorders>
            <w:shd w:val="clear" w:color="auto" w:fill="auto"/>
            <w:vAlign w:val="center"/>
            <w:hideMark/>
          </w:tcPr>
          <w:p w14:paraId="3909632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382EAA8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715126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0" w:type="auto"/>
            <w:tcBorders>
              <w:top w:val="nil"/>
              <w:left w:val="nil"/>
              <w:bottom w:val="single" w:sz="4" w:space="0" w:color="auto"/>
              <w:right w:val="single" w:sz="4" w:space="0" w:color="auto"/>
            </w:tcBorders>
            <w:shd w:val="clear" w:color="000000" w:fill="ED7D31"/>
            <w:vAlign w:val="center"/>
            <w:hideMark/>
          </w:tcPr>
          <w:p w14:paraId="514E63A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4" w:space="0" w:color="auto"/>
              <w:right w:val="single" w:sz="4" w:space="0" w:color="auto"/>
            </w:tcBorders>
            <w:shd w:val="clear" w:color="000000" w:fill="ED7D31"/>
            <w:vAlign w:val="center"/>
            <w:hideMark/>
          </w:tcPr>
          <w:p w14:paraId="4751E1B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4" w:space="0" w:color="auto"/>
              <w:right w:val="single" w:sz="4" w:space="0" w:color="auto"/>
            </w:tcBorders>
            <w:shd w:val="clear" w:color="000000" w:fill="ED7D31"/>
            <w:vAlign w:val="center"/>
            <w:hideMark/>
          </w:tcPr>
          <w:p w14:paraId="2B4C565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2A97FD1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0" w:type="auto"/>
            <w:tcBorders>
              <w:top w:val="nil"/>
              <w:left w:val="nil"/>
              <w:bottom w:val="single" w:sz="4" w:space="0" w:color="auto"/>
              <w:right w:val="single" w:sz="4" w:space="0" w:color="auto"/>
            </w:tcBorders>
            <w:shd w:val="clear" w:color="000000" w:fill="ED7D31"/>
            <w:vAlign w:val="center"/>
            <w:hideMark/>
          </w:tcPr>
          <w:p w14:paraId="23D49CB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1C22BF84"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71137BA1"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137AC8F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PM_RIC13</w:t>
            </w:r>
          </w:p>
        </w:tc>
        <w:tc>
          <w:tcPr>
            <w:tcW w:w="0" w:type="auto"/>
            <w:tcBorders>
              <w:top w:val="nil"/>
              <w:left w:val="nil"/>
              <w:bottom w:val="single" w:sz="4" w:space="0" w:color="auto"/>
              <w:right w:val="single" w:sz="4" w:space="0" w:color="auto"/>
            </w:tcBorders>
            <w:shd w:val="clear" w:color="auto" w:fill="auto"/>
            <w:vAlign w:val="center"/>
            <w:hideMark/>
          </w:tcPr>
          <w:p w14:paraId="687BD6A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innovative technologies in transport and applications for micro-mobility</w:t>
            </w:r>
          </w:p>
        </w:tc>
        <w:tc>
          <w:tcPr>
            <w:tcW w:w="0" w:type="auto"/>
            <w:tcBorders>
              <w:top w:val="nil"/>
              <w:left w:val="nil"/>
              <w:bottom w:val="single" w:sz="4" w:space="0" w:color="auto"/>
              <w:right w:val="single" w:sz="4" w:space="0" w:color="auto"/>
            </w:tcBorders>
            <w:shd w:val="clear" w:color="auto" w:fill="auto"/>
            <w:vAlign w:val="center"/>
            <w:hideMark/>
          </w:tcPr>
          <w:p w14:paraId="71E7F18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6A2AC9B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688AE4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10.90</w:t>
            </w:r>
          </w:p>
        </w:tc>
        <w:tc>
          <w:tcPr>
            <w:tcW w:w="0" w:type="auto"/>
            <w:tcBorders>
              <w:top w:val="nil"/>
              <w:left w:val="nil"/>
              <w:bottom w:val="single" w:sz="4" w:space="0" w:color="auto"/>
              <w:right w:val="single" w:sz="4" w:space="0" w:color="auto"/>
            </w:tcBorders>
            <w:shd w:val="clear" w:color="000000" w:fill="ED7D31"/>
            <w:vAlign w:val="center"/>
            <w:hideMark/>
          </w:tcPr>
          <w:p w14:paraId="4492698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5.45</w:t>
            </w:r>
          </w:p>
        </w:tc>
        <w:tc>
          <w:tcPr>
            <w:tcW w:w="0" w:type="auto"/>
            <w:tcBorders>
              <w:top w:val="nil"/>
              <w:left w:val="nil"/>
              <w:bottom w:val="single" w:sz="4" w:space="0" w:color="auto"/>
              <w:right w:val="single" w:sz="4" w:space="0" w:color="auto"/>
            </w:tcBorders>
            <w:shd w:val="clear" w:color="000000" w:fill="ED7D31"/>
            <w:vAlign w:val="center"/>
            <w:hideMark/>
          </w:tcPr>
          <w:p w14:paraId="3FE73F6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5.45</w:t>
            </w:r>
          </w:p>
        </w:tc>
        <w:tc>
          <w:tcPr>
            <w:tcW w:w="0" w:type="auto"/>
            <w:tcBorders>
              <w:top w:val="nil"/>
              <w:left w:val="nil"/>
              <w:bottom w:val="single" w:sz="4" w:space="0" w:color="auto"/>
              <w:right w:val="single" w:sz="4" w:space="0" w:color="auto"/>
            </w:tcBorders>
            <w:shd w:val="clear" w:color="000000" w:fill="ED7D31"/>
            <w:vAlign w:val="center"/>
            <w:hideMark/>
          </w:tcPr>
          <w:p w14:paraId="25791B3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3215753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10.90</w:t>
            </w:r>
          </w:p>
        </w:tc>
        <w:tc>
          <w:tcPr>
            <w:tcW w:w="0" w:type="auto"/>
            <w:tcBorders>
              <w:top w:val="nil"/>
              <w:left w:val="nil"/>
              <w:bottom w:val="single" w:sz="4" w:space="0" w:color="auto"/>
              <w:right w:val="single" w:sz="4" w:space="0" w:color="auto"/>
            </w:tcBorders>
            <w:shd w:val="clear" w:color="000000" w:fill="ED7D31"/>
            <w:vAlign w:val="center"/>
            <w:hideMark/>
          </w:tcPr>
          <w:p w14:paraId="7C3F1C0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22929C32"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7C19DA61"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6DBBA9F"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PM_RIC14</w:t>
            </w:r>
          </w:p>
        </w:tc>
        <w:tc>
          <w:tcPr>
            <w:tcW w:w="0" w:type="auto"/>
            <w:tcBorders>
              <w:top w:val="nil"/>
              <w:left w:val="nil"/>
              <w:bottom w:val="single" w:sz="4" w:space="0" w:color="auto"/>
              <w:right w:val="single" w:sz="4" w:space="0" w:color="auto"/>
            </w:tcBorders>
            <w:shd w:val="clear" w:color="auto" w:fill="auto"/>
            <w:vAlign w:val="center"/>
            <w:hideMark/>
          </w:tcPr>
          <w:p w14:paraId="36931125"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Development of innovative energy storage applications</w:t>
            </w:r>
          </w:p>
        </w:tc>
        <w:tc>
          <w:tcPr>
            <w:tcW w:w="0" w:type="auto"/>
            <w:tcBorders>
              <w:top w:val="nil"/>
              <w:left w:val="nil"/>
              <w:bottom w:val="single" w:sz="4" w:space="0" w:color="auto"/>
              <w:right w:val="single" w:sz="4" w:space="0" w:color="auto"/>
            </w:tcBorders>
            <w:shd w:val="clear" w:color="auto" w:fill="auto"/>
            <w:vAlign w:val="center"/>
            <w:hideMark/>
          </w:tcPr>
          <w:p w14:paraId="430598C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8C3BA9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7D98BE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0" w:type="auto"/>
            <w:tcBorders>
              <w:top w:val="nil"/>
              <w:left w:val="nil"/>
              <w:bottom w:val="single" w:sz="4" w:space="0" w:color="auto"/>
              <w:right w:val="single" w:sz="4" w:space="0" w:color="auto"/>
            </w:tcBorders>
            <w:shd w:val="clear" w:color="000000" w:fill="ED7D31"/>
            <w:vAlign w:val="center"/>
            <w:hideMark/>
          </w:tcPr>
          <w:p w14:paraId="0FD898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4" w:space="0" w:color="auto"/>
              <w:right w:val="single" w:sz="4" w:space="0" w:color="auto"/>
            </w:tcBorders>
            <w:shd w:val="clear" w:color="000000" w:fill="ED7D31"/>
            <w:vAlign w:val="center"/>
            <w:hideMark/>
          </w:tcPr>
          <w:p w14:paraId="0364E49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4" w:space="0" w:color="auto"/>
              <w:right w:val="single" w:sz="4" w:space="0" w:color="auto"/>
            </w:tcBorders>
            <w:shd w:val="clear" w:color="000000" w:fill="ED7D31"/>
            <w:vAlign w:val="center"/>
            <w:hideMark/>
          </w:tcPr>
          <w:p w14:paraId="50A1FE8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71AE1EB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9.00</w:t>
            </w:r>
          </w:p>
        </w:tc>
        <w:tc>
          <w:tcPr>
            <w:tcW w:w="0" w:type="auto"/>
            <w:tcBorders>
              <w:top w:val="nil"/>
              <w:left w:val="nil"/>
              <w:bottom w:val="single" w:sz="4" w:space="0" w:color="auto"/>
              <w:right w:val="single" w:sz="4" w:space="0" w:color="auto"/>
            </w:tcBorders>
            <w:shd w:val="clear" w:color="000000" w:fill="ED7D31"/>
            <w:vAlign w:val="center"/>
            <w:hideMark/>
          </w:tcPr>
          <w:p w14:paraId="3FDD299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3A05C773"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6D7EDF10"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7404BCB"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PM_RIC15</w:t>
            </w:r>
          </w:p>
        </w:tc>
        <w:tc>
          <w:tcPr>
            <w:tcW w:w="0" w:type="auto"/>
            <w:tcBorders>
              <w:top w:val="nil"/>
              <w:left w:val="nil"/>
              <w:bottom w:val="single" w:sz="4" w:space="0" w:color="auto"/>
              <w:right w:val="single" w:sz="4" w:space="0" w:color="auto"/>
            </w:tcBorders>
            <w:shd w:val="clear" w:color="auto" w:fill="auto"/>
            <w:vAlign w:val="center"/>
            <w:hideMark/>
          </w:tcPr>
          <w:p w14:paraId="38A882A3" w14:textId="3D593CEF"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Promote the inter-sectoral and geographical mobility of researchers</w:t>
            </w:r>
          </w:p>
        </w:tc>
        <w:tc>
          <w:tcPr>
            <w:tcW w:w="0" w:type="auto"/>
            <w:tcBorders>
              <w:top w:val="nil"/>
              <w:left w:val="nil"/>
              <w:bottom w:val="single" w:sz="4" w:space="0" w:color="auto"/>
              <w:right w:val="single" w:sz="4" w:space="0" w:color="auto"/>
            </w:tcBorders>
            <w:shd w:val="clear" w:color="auto" w:fill="auto"/>
            <w:vAlign w:val="center"/>
            <w:hideMark/>
          </w:tcPr>
          <w:p w14:paraId="33A8838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62CAA37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12EEDD4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1.60</w:t>
            </w:r>
          </w:p>
        </w:tc>
        <w:tc>
          <w:tcPr>
            <w:tcW w:w="0" w:type="auto"/>
            <w:tcBorders>
              <w:top w:val="nil"/>
              <w:left w:val="nil"/>
              <w:bottom w:val="single" w:sz="4" w:space="0" w:color="auto"/>
              <w:right w:val="single" w:sz="4" w:space="0" w:color="auto"/>
            </w:tcBorders>
            <w:shd w:val="clear" w:color="000000" w:fill="ED7D31"/>
            <w:vAlign w:val="center"/>
            <w:hideMark/>
          </w:tcPr>
          <w:p w14:paraId="70AB079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1.60</w:t>
            </w:r>
          </w:p>
        </w:tc>
        <w:tc>
          <w:tcPr>
            <w:tcW w:w="0" w:type="auto"/>
            <w:tcBorders>
              <w:top w:val="nil"/>
              <w:left w:val="nil"/>
              <w:bottom w:val="single" w:sz="4" w:space="0" w:color="auto"/>
              <w:right w:val="single" w:sz="4" w:space="0" w:color="auto"/>
            </w:tcBorders>
            <w:shd w:val="clear" w:color="000000" w:fill="ED7D31"/>
            <w:vAlign w:val="center"/>
            <w:hideMark/>
          </w:tcPr>
          <w:p w14:paraId="6C4E104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09D456E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3215C7C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1.60</w:t>
            </w:r>
          </w:p>
        </w:tc>
        <w:tc>
          <w:tcPr>
            <w:tcW w:w="0" w:type="auto"/>
            <w:tcBorders>
              <w:top w:val="nil"/>
              <w:left w:val="nil"/>
              <w:bottom w:val="single" w:sz="4" w:space="0" w:color="auto"/>
              <w:right w:val="single" w:sz="4" w:space="0" w:color="auto"/>
            </w:tcBorders>
            <w:shd w:val="clear" w:color="000000" w:fill="ED7D31"/>
            <w:vAlign w:val="center"/>
            <w:hideMark/>
          </w:tcPr>
          <w:p w14:paraId="089E3FE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826203C"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0AC15468"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35CFD427"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PM_RIC16</w:t>
            </w:r>
          </w:p>
        </w:tc>
        <w:tc>
          <w:tcPr>
            <w:tcW w:w="0" w:type="auto"/>
            <w:tcBorders>
              <w:top w:val="nil"/>
              <w:left w:val="nil"/>
              <w:bottom w:val="single" w:sz="4" w:space="0" w:color="auto"/>
              <w:right w:val="single" w:sz="4" w:space="0" w:color="auto"/>
            </w:tcBorders>
            <w:shd w:val="clear" w:color="auto" w:fill="auto"/>
            <w:vAlign w:val="center"/>
            <w:hideMark/>
          </w:tcPr>
          <w:p w14:paraId="010AA2C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Enhancing education / training to support the energy transition</w:t>
            </w:r>
          </w:p>
        </w:tc>
        <w:tc>
          <w:tcPr>
            <w:tcW w:w="0" w:type="auto"/>
            <w:tcBorders>
              <w:top w:val="nil"/>
              <w:left w:val="nil"/>
              <w:bottom w:val="single" w:sz="4" w:space="0" w:color="auto"/>
              <w:right w:val="single" w:sz="4" w:space="0" w:color="auto"/>
            </w:tcBorders>
            <w:shd w:val="clear" w:color="auto" w:fill="auto"/>
            <w:vAlign w:val="center"/>
            <w:hideMark/>
          </w:tcPr>
          <w:p w14:paraId="10127DA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306AA08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59DE10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2.20</w:t>
            </w:r>
          </w:p>
        </w:tc>
        <w:tc>
          <w:tcPr>
            <w:tcW w:w="0" w:type="auto"/>
            <w:tcBorders>
              <w:top w:val="nil"/>
              <w:left w:val="nil"/>
              <w:bottom w:val="single" w:sz="4" w:space="0" w:color="auto"/>
              <w:right w:val="single" w:sz="4" w:space="0" w:color="auto"/>
            </w:tcBorders>
            <w:shd w:val="clear" w:color="000000" w:fill="ED7D31"/>
            <w:vAlign w:val="center"/>
            <w:hideMark/>
          </w:tcPr>
          <w:p w14:paraId="14CEBAA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2.20</w:t>
            </w:r>
          </w:p>
        </w:tc>
        <w:tc>
          <w:tcPr>
            <w:tcW w:w="0" w:type="auto"/>
            <w:tcBorders>
              <w:top w:val="nil"/>
              <w:left w:val="nil"/>
              <w:bottom w:val="single" w:sz="4" w:space="0" w:color="auto"/>
              <w:right w:val="single" w:sz="4" w:space="0" w:color="auto"/>
            </w:tcBorders>
            <w:shd w:val="clear" w:color="000000" w:fill="ED7D31"/>
            <w:vAlign w:val="center"/>
            <w:hideMark/>
          </w:tcPr>
          <w:p w14:paraId="59DB401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4B379DD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2FB04370"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2.20</w:t>
            </w:r>
          </w:p>
        </w:tc>
        <w:tc>
          <w:tcPr>
            <w:tcW w:w="0" w:type="auto"/>
            <w:tcBorders>
              <w:top w:val="nil"/>
              <w:left w:val="nil"/>
              <w:bottom w:val="single" w:sz="4" w:space="0" w:color="auto"/>
              <w:right w:val="single" w:sz="4" w:space="0" w:color="auto"/>
            </w:tcBorders>
            <w:shd w:val="clear" w:color="000000" w:fill="ED7D31"/>
            <w:vAlign w:val="center"/>
            <w:hideMark/>
          </w:tcPr>
          <w:p w14:paraId="1817E7D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67995ED5"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19AF84AD"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7D81A361"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PM_RIC17</w:t>
            </w:r>
          </w:p>
        </w:tc>
        <w:tc>
          <w:tcPr>
            <w:tcW w:w="0" w:type="auto"/>
            <w:tcBorders>
              <w:top w:val="nil"/>
              <w:left w:val="nil"/>
              <w:bottom w:val="single" w:sz="4" w:space="0" w:color="auto"/>
              <w:right w:val="single" w:sz="4" w:space="0" w:color="auto"/>
            </w:tcBorders>
            <w:shd w:val="clear" w:color="auto" w:fill="auto"/>
            <w:vAlign w:val="center"/>
            <w:hideMark/>
          </w:tcPr>
          <w:p w14:paraId="7165CBD4" w14:textId="2383692E"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Promotion of entrepreneurship through research and innovation actions which are embedded in market functions</w:t>
            </w:r>
          </w:p>
        </w:tc>
        <w:tc>
          <w:tcPr>
            <w:tcW w:w="0" w:type="auto"/>
            <w:tcBorders>
              <w:top w:val="nil"/>
              <w:left w:val="nil"/>
              <w:bottom w:val="single" w:sz="4" w:space="0" w:color="auto"/>
              <w:right w:val="single" w:sz="4" w:space="0" w:color="auto"/>
            </w:tcBorders>
            <w:shd w:val="clear" w:color="auto" w:fill="auto"/>
            <w:vAlign w:val="center"/>
            <w:hideMark/>
          </w:tcPr>
          <w:p w14:paraId="69496D2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4" w:space="0" w:color="auto"/>
              <w:right w:val="single" w:sz="4" w:space="0" w:color="auto"/>
            </w:tcBorders>
            <w:shd w:val="clear" w:color="auto" w:fill="auto"/>
            <w:vAlign w:val="center"/>
            <w:hideMark/>
          </w:tcPr>
          <w:p w14:paraId="40ECD1EC"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583E2E6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1.80</w:t>
            </w:r>
          </w:p>
        </w:tc>
        <w:tc>
          <w:tcPr>
            <w:tcW w:w="0" w:type="auto"/>
            <w:tcBorders>
              <w:top w:val="nil"/>
              <w:left w:val="nil"/>
              <w:bottom w:val="single" w:sz="4" w:space="0" w:color="auto"/>
              <w:right w:val="single" w:sz="4" w:space="0" w:color="auto"/>
            </w:tcBorders>
            <w:shd w:val="clear" w:color="000000" w:fill="ED7D31"/>
            <w:vAlign w:val="center"/>
            <w:hideMark/>
          </w:tcPr>
          <w:p w14:paraId="64867C2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1.80</w:t>
            </w:r>
          </w:p>
        </w:tc>
        <w:tc>
          <w:tcPr>
            <w:tcW w:w="0" w:type="auto"/>
            <w:tcBorders>
              <w:top w:val="nil"/>
              <w:left w:val="nil"/>
              <w:bottom w:val="single" w:sz="4" w:space="0" w:color="auto"/>
              <w:right w:val="single" w:sz="4" w:space="0" w:color="auto"/>
            </w:tcBorders>
            <w:shd w:val="clear" w:color="000000" w:fill="ED7D31"/>
            <w:vAlign w:val="center"/>
            <w:hideMark/>
          </w:tcPr>
          <w:p w14:paraId="1654FAF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552CD508"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33F5850D"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1.80</w:t>
            </w:r>
          </w:p>
        </w:tc>
        <w:tc>
          <w:tcPr>
            <w:tcW w:w="0" w:type="auto"/>
            <w:tcBorders>
              <w:top w:val="nil"/>
              <w:left w:val="nil"/>
              <w:bottom w:val="single" w:sz="4" w:space="0" w:color="auto"/>
              <w:right w:val="single" w:sz="4" w:space="0" w:color="auto"/>
            </w:tcBorders>
            <w:shd w:val="clear" w:color="000000" w:fill="ED7D31"/>
            <w:vAlign w:val="center"/>
            <w:hideMark/>
          </w:tcPr>
          <w:p w14:paraId="6CFE01D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5395D8B"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01D80765"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57A06463"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PM_RIC18</w:t>
            </w:r>
          </w:p>
        </w:tc>
        <w:tc>
          <w:tcPr>
            <w:tcW w:w="0" w:type="auto"/>
            <w:tcBorders>
              <w:top w:val="nil"/>
              <w:left w:val="nil"/>
              <w:bottom w:val="single" w:sz="4" w:space="0" w:color="auto"/>
              <w:right w:val="single" w:sz="4" w:space="0" w:color="auto"/>
            </w:tcBorders>
            <w:shd w:val="clear" w:color="auto" w:fill="auto"/>
            <w:vAlign w:val="center"/>
            <w:hideMark/>
          </w:tcPr>
          <w:p w14:paraId="3F381ABC"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Optimising support framework and schemes for promoting investments with a view to strengthening competitiveness</w:t>
            </w:r>
          </w:p>
        </w:tc>
        <w:tc>
          <w:tcPr>
            <w:tcW w:w="0" w:type="auto"/>
            <w:tcBorders>
              <w:top w:val="nil"/>
              <w:left w:val="nil"/>
              <w:bottom w:val="single" w:sz="4" w:space="0" w:color="auto"/>
              <w:right w:val="single" w:sz="4" w:space="0" w:color="auto"/>
            </w:tcBorders>
            <w:shd w:val="clear" w:color="auto" w:fill="auto"/>
            <w:vAlign w:val="center"/>
            <w:hideMark/>
          </w:tcPr>
          <w:p w14:paraId="666676EF"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03EDAA7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4FB1191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581CE90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6825025E"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6ED8B2E7"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0A54313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5AF0069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4474B1E" w14:textId="77777777" w:rsidTr="001544A6">
        <w:trPr>
          <w:trHeight w:val="20"/>
        </w:trPr>
        <w:tc>
          <w:tcPr>
            <w:tcW w:w="0" w:type="auto"/>
            <w:vMerge/>
            <w:tcBorders>
              <w:top w:val="nil"/>
              <w:left w:val="single" w:sz="4" w:space="0" w:color="auto"/>
              <w:bottom w:val="nil"/>
              <w:right w:val="single" w:sz="4" w:space="0" w:color="auto"/>
            </w:tcBorders>
            <w:vAlign w:val="center"/>
            <w:hideMark/>
          </w:tcPr>
          <w:p w14:paraId="44C6680D"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4" w:space="0" w:color="auto"/>
              <w:right w:val="single" w:sz="4" w:space="0" w:color="auto"/>
            </w:tcBorders>
            <w:shd w:val="clear" w:color="auto" w:fill="auto"/>
            <w:vAlign w:val="center"/>
            <w:hideMark/>
          </w:tcPr>
          <w:p w14:paraId="0A928A4D"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PM_RIC19</w:t>
            </w:r>
          </w:p>
        </w:tc>
        <w:tc>
          <w:tcPr>
            <w:tcW w:w="0" w:type="auto"/>
            <w:tcBorders>
              <w:top w:val="nil"/>
              <w:left w:val="nil"/>
              <w:bottom w:val="single" w:sz="4" w:space="0" w:color="auto"/>
              <w:right w:val="single" w:sz="4" w:space="0" w:color="auto"/>
            </w:tcBorders>
            <w:shd w:val="clear" w:color="auto" w:fill="auto"/>
            <w:vAlign w:val="center"/>
            <w:hideMark/>
          </w:tcPr>
          <w:p w14:paraId="32D05BB4" w14:textId="0366C0B6"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Strengthening competitiveness through the establishment and operation of Special Target Funds</w:t>
            </w:r>
          </w:p>
        </w:tc>
        <w:tc>
          <w:tcPr>
            <w:tcW w:w="0" w:type="auto"/>
            <w:tcBorders>
              <w:top w:val="nil"/>
              <w:left w:val="nil"/>
              <w:bottom w:val="single" w:sz="4" w:space="0" w:color="auto"/>
              <w:right w:val="single" w:sz="4" w:space="0" w:color="auto"/>
            </w:tcBorders>
            <w:shd w:val="clear" w:color="auto" w:fill="auto"/>
            <w:vAlign w:val="center"/>
            <w:hideMark/>
          </w:tcPr>
          <w:p w14:paraId="7E5AD6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Reform</w:t>
            </w:r>
          </w:p>
        </w:tc>
        <w:tc>
          <w:tcPr>
            <w:tcW w:w="0" w:type="auto"/>
            <w:tcBorders>
              <w:top w:val="nil"/>
              <w:left w:val="nil"/>
              <w:bottom w:val="single" w:sz="4" w:space="0" w:color="auto"/>
              <w:right w:val="single" w:sz="4" w:space="0" w:color="auto"/>
            </w:tcBorders>
            <w:shd w:val="clear" w:color="auto" w:fill="auto"/>
            <w:vAlign w:val="center"/>
            <w:hideMark/>
          </w:tcPr>
          <w:p w14:paraId="7DF3B6A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4" w:space="0" w:color="auto"/>
              <w:right w:val="single" w:sz="4" w:space="0" w:color="auto"/>
            </w:tcBorders>
            <w:shd w:val="clear" w:color="000000" w:fill="E2EFDA"/>
            <w:vAlign w:val="center"/>
            <w:hideMark/>
          </w:tcPr>
          <w:p w14:paraId="09B246C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17525015"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4BD6FEE9"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c>
          <w:tcPr>
            <w:tcW w:w="0" w:type="auto"/>
            <w:tcBorders>
              <w:top w:val="nil"/>
              <w:left w:val="nil"/>
              <w:bottom w:val="single" w:sz="4" w:space="0" w:color="auto"/>
              <w:right w:val="single" w:sz="4" w:space="0" w:color="auto"/>
            </w:tcBorders>
            <w:shd w:val="clear" w:color="000000" w:fill="ED7D31"/>
            <w:vAlign w:val="center"/>
            <w:hideMark/>
          </w:tcPr>
          <w:p w14:paraId="11FDFCDA"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4" w:space="0" w:color="auto"/>
              <w:right w:val="single" w:sz="4" w:space="0" w:color="auto"/>
            </w:tcBorders>
            <w:shd w:val="clear" w:color="000000" w:fill="ED7D31"/>
            <w:vAlign w:val="center"/>
            <w:hideMark/>
          </w:tcPr>
          <w:p w14:paraId="57D9E04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0.10</w:t>
            </w:r>
          </w:p>
        </w:tc>
        <w:tc>
          <w:tcPr>
            <w:tcW w:w="0" w:type="auto"/>
            <w:tcBorders>
              <w:top w:val="nil"/>
              <w:left w:val="nil"/>
              <w:bottom w:val="single" w:sz="4" w:space="0" w:color="auto"/>
              <w:right w:val="single" w:sz="4" w:space="0" w:color="auto"/>
            </w:tcBorders>
            <w:shd w:val="clear" w:color="000000" w:fill="ED7D31"/>
            <w:vAlign w:val="center"/>
            <w:hideMark/>
          </w:tcPr>
          <w:p w14:paraId="5C7D0C2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377880AD" w14:textId="77777777" w:rsidTr="001544A6">
        <w:trPr>
          <w:trHeight w:val="20"/>
        </w:trPr>
        <w:tc>
          <w:tcPr>
            <w:tcW w:w="0" w:type="auto"/>
            <w:vMerge/>
            <w:tcBorders>
              <w:top w:val="nil"/>
              <w:left w:val="single" w:sz="4" w:space="0" w:color="auto"/>
              <w:bottom w:val="single" w:sz="2" w:space="0" w:color="auto"/>
              <w:right w:val="single" w:sz="4" w:space="0" w:color="auto"/>
            </w:tcBorders>
            <w:vAlign w:val="center"/>
            <w:hideMark/>
          </w:tcPr>
          <w:p w14:paraId="7E19A4C6" w14:textId="77777777" w:rsidR="00663039" w:rsidRPr="00673450" w:rsidRDefault="00663039" w:rsidP="001544A6">
            <w:pPr>
              <w:spacing w:after="0" w:line="240" w:lineRule="auto"/>
              <w:rPr>
                <w:rFonts w:ascii="Calibri" w:eastAsia="Times New Roman" w:hAnsi="Calibri" w:cs="Calibri"/>
                <w:b/>
                <w:bCs/>
                <w:sz w:val="15"/>
                <w:szCs w:val="15"/>
              </w:rPr>
            </w:pPr>
          </w:p>
        </w:tc>
        <w:tc>
          <w:tcPr>
            <w:tcW w:w="0" w:type="auto"/>
            <w:tcBorders>
              <w:top w:val="nil"/>
              <w:left w:val="nil"/>
              <w:bottom w:val="single" w:sz="2" w:space="0" w:color="auto"/>
              <w:right w:val="single" w:sz="4" w:space="0" w:color="auto"/>
            </w:tcBorders>
            <w:shd w:val="clear" w:color="auto" w:fill="auto"/>
            <w:vAlign w:val="center"/>
            <w:hideMark/>
          </w:tcPr>
          <w:p w14:paraId="38D328D4" w14:textId="77777777"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PM_RIC20</w:t>
            </w:r>
          </w:p>
        </w:tc>
        <w:tc>
          <w:tcPr>
            <w:tcW w:w="0" w:type="auto"/>
            <w:tcBorders>
              <w:top w:val="nil"/>
              <w:left w:val="nil"/>
              <w:bottom w:val="single" w:sz="2" w:space="0" w:color="auto"/>
              <w:right w:val="single" w:sz="4" w:space="0" w:color="auto"/>
            </w:tcBorders>
            <w:shd w:val="clear" w:color="auto" w:fill="auto"/>
            <w:vAlign w:val="center"/>
            <w:hideMark/>
          </w:tcPr>
          <w:p w14:paraId="17D2323F" w14:textId="17FBC609" w:rsidR="00663039" w:rsidRPr="00673450" w:rsidRDefault="00663039" w:rsidP="001544A6">
            <w:pPr>
              <w:spacing w:after="0" w:line="240" w:lineRule="auto"/>
              <w:rPr>
                <w:rFonts w:ascii="Calibri" w:eastAsia="Times New Roman" w:hAnsi="Calibri" w:cs="Calibri"/>
                <w:sz w:val="15"/>
                <w:szCs w:val="15"/>
              </w:rPr>
            </w:pPr>
            <w:r w:rsidRPr="00673450">
              <w:rPr>
                <w:rFonts w:ascii="Calibri" w:hAnsi="Calibri" w:cs="Calibri"/>
                <w:sz w:val="15"/>
                <w:szCs w:val="15"/>
              </w:rPr>
              <w:t>Promoting innovative circular economy technologies to improve businesses competitiveness</w:t>
            </w:r>
          </w:p>
        </w:tc>
        <w:tc>
          <w:tcPr>
            <w:tcW w:w="0" w:type="auto"/>
            <w:tcBorders>
              <w:top w:val="nil"/>
              <w:left w:val="nil"/>
              <w:bottom w:val="single" w:sz="2" w:space="0" w:color="auto"/>
              <w:right w:val="single" w:sz="4" w:space="0" w:color="auto"/>
            </w:tcBorders>
            <w:shd w:val="clear" w:color="auto" w:fill="auto"/>
            <w:vAlign w:val="center"/>
            <w:hideMark/>
          </w:tcPr>
          <w:p w14:paraId="75DE5D92"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Investment</w:t>
            </w:r>
          </w:p>
        </w:tc>
        <w:tc>
          <w:tcPr>
            <w:tcW w:w="0" w:type="auto"/>
            <w:tcBorders>
              <w:top w:val="nil"/>
              <w:left w:val="nil"/>
              <w:bottom w:val="single" w:sz="2" w:space="0" w:color="auto"/>
              <w:right w:val="single" w:sz="4" w:space="0" w:color="auto"/>
            </w:tcBorders>
            <w:shd w:val="clear" w:color="auto" w:fill="auto"/>
            <w:vAlign w:val="center"/>
            <w:hideMark/>
          </w:tcPr>
          <w:p w14:paraId="6EB89D34"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 </w:t>
            </w:r>
          </w:p>
        </w:tc>
        <w:tc>
          <w:tcPr>
            <w:tcW w:w="0" w:type="auto"/>
            <w:tcBorders>
              <w:top w:val="nil"/>
              <w:left w:val="nil"/>
              <w:bottom w:val="single" w:sz="2" w:space="0" w:color="auto"/>
              <w:right w:val="single" w:sz="4" w:space="0" w:color="auto"/>
            </w:tcBorders>
            <w:shd w:val="clear" w:color="000000" w:fill="E2EFDA"/>
            <w:vAlign w:val="center"/>
            <w:hideMark/>
          </w:tcPr>
          <w:p w14:paraId="3B73B4C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2" w:space="0" w:color="auto"/>
              <w:right w:val="single" w:sz="4" w:space="0" w:color="auto"/>
            </w:tcBorders>
            <w:shd w:val="clear" w:color="000000" w:fill="ED7D31"/>
            <w:vAlign w:val="center"/>
            <w:hideMark/>
          </w:tcPr>
          <w:p w14:paraId="60EAE486"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2.25</w:t>
            </w:r>
          </w:p>
        </w:tc>
        <w:tc>
          <w:tcPr>
            <w:tcW w:w="0" w:type="auto"/>
            <w:tcBorders>
              <w:top w:val="nil"/>
              <w:left w:val="nil"/>
              <w:bottom w:val="single" w:sz="2" w:space="0" w:color="auto"/>
              <w:right w:val="single" w:sz="4" w:space="0" w:color="auto"/>
            </w:tcBorders>
            <w:shd w:val="clear" w:color="000000" w:fill="ED7D31"/>
            <w:vAlign w:val="center"/>
            <w:hideMark/>
          </w:tcPr>
          <w:p w14:paraId="2E4DC54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2.25</w:t>
            </w:r>
          </w:p>
        </w:tc>
        <w:tc>
          <w:tcPr>
            <w:tcW w:w="0" w:type="auto"/>
            <w:tcBorders>
              <w:top w:val="nil"/>
              <w:left w:val="nil"/>
              <w:bottom w:val="single" w:sz="2" w:space="0" w:color="auto"/>
              <w:right w:val="single" w:sz="4" w:space="0" w:color="auto"/>
            </w:tcBorders>
            <w:shd w:val="clear" w:color="000000" w:fill="ED7D31"/>
            <w:vAlign w:val="center"/>
            <w:hideMark/>
          </w:tcPr>
          <w:p w14:paraId="78969533"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WEM</w:t>
            </w:r>
          </w:p>
        </w:tc>
        <w:tc>
          <w:tcPr>
            <w:tcW w:w="0" w:type="auto"/>
            <w:tcBorders>
              <w:top w:val="nil"/>
              <w:left w:val="nil"/>
              <w:bottom w:val="single" w:sz="2" w:space="0" w:color="auto"/>
              <w:right w:val="single" w:sz="4" w:space="0" w:color="auto"/>
            </w:tcBorders>
            <w:shd w:val="clear" w:color="000000" w:fill="ED7D31"/>
            <w:vAlign w:val="center"/>
            <w:hideMark/>
          </w:tcPr>
          <w:p w14:paraId="43E6C641"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4.50</w:t>
            </w:r>
          </w:p>
        </w:tc>
        <w:tc>
          <w:tcPr>
            <w:tcW w:w="0" w:type="auto"/>
            <w:tcBorders>
              <w:top w:val="nil"/>
              <w:left w:val="nil"/>
              <w:bottom w:val="single" w:sz="2" w:space="0" w:color="auto"/>
              <w:right w:val="single" w:sz="4" w:space="0" w:color="auto"/>
            </w:tcBorders>
            <w:shd w:val="clear" w:color="000000" w:fill="ED7D31"/>
            <w:vAlign w:val="center"/>
            <w:hideMark/>
          </w:tcPr>
          <w:p w14:paraId="075087DB" w14:textId="77777777" w:rsidR="00663039" w:rsidRPr="00673450" w:rsidRDefault="00663039" w:rsidP="001544A6">
            <w:pPr>
              <w:spacing w:after="0" w:line="240" w:lineRule="auto"/>
              <w:jc w:val="center"/>
              <w:rPr>
                <w:rFonts w:ascii="Calibri" w:eastAsia="Times New Roman" w:hAnsi="Calibri" w:cs="Calibri"/>
                <w:sz w:val="15"/>
                <w:szCs w:val="15"/>
              </w:rPr>
            </w:pPr>
            <w:r w:rsidRPr="00673450">
              <w:rPr>
                <w:rFonts w:ascii="Calibri" w:hAnsi="Calibri" w:cs="Calibri"/>
                <w:sz w:val="15"/>
                <w:szCs w:val="15"/>
              </w:rPr>
              <w:t>0.00</w:t>
            </w:r>
          </w:p>
        </w:tc>
      </w:tr>
      <w:tr w:rsidR="00663039" w:rsidRPr="00207220" w14:paraId="4251B673" w14:textId="77777777" w:rsidTr="001544A6">
        <w:trPr>
          <w:trHeight w:val="20"/>
        </w:trPr>
        <w:tc>
          <w:tcPr>
            <w:tcW w:w="0" w:type="auto"/>
            <w:tcBorders>
              <w:top w:val="single" w:sz="2" w:space="0" w:color="auto"/>
              <w:left w:val="single" w:sz="2" w:space="0" w:color="auto"/>
              <w:bottom w:val="single" w:sz="2" w:space="0" w:color="auto"/>
              <w:right w:val="single" w:sz="2" w:space="0" w:color="auto"/>
            </w:tcBorders>
            <w:shd w:val="clear" w:color="000000" w:fill="BFBFBF"/>
            <w:vAlign w:val="center"/>
            <w:hideMark/>
          </w:tcPr>
          <w:p w14:paraId="24ED3575" w14:textId="77777777" w:rsidR="00663039" w:rsidRPr="00673450" w:rsidRDefault="00663039" w:rsidP="001544A6">
            <w:pPr>
              <w:spacing w:after="0" w:line="240" w:lineRule="auto"/>
              <w:jc w:val="center"/>
              <w:rPr>
                <w:rFonts w:ascii="Calibri" w:eastAsia="Times New Roman" w:hAnsi="Calibri" w:cs="Calibri"/>
                <w:b/>
                <w:bCs/>
                <w:sz w:val="14"/>
                <w:szCs w:val="14"/>
              </w:rPr>
            </w:pPr>
            <w:r w:rsidRPr="00673450">
              <w:rPr>
                <w:rFonts w:ascii="Calibri" w:eastAsia="Times New Roman" w:hAnsi="Calibri" w:cs="Calibri"/>
                <w:b/>
                <w:bCs/>
                <w:sz w:val="14"/>
                <w:szCs w:val="14"/>
              </w:rPr>
              <w:t> </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hideMark/>
          </w:tcPr>
          <w:p w14:paraId="3B287D5B" w14:textId="77777777" w:rsidR="00663039" w:rsidRPr="00673450" w:rsidRDefault="00663039" w:rsidP="001544A6">
            <w:pPr>
              <w:spacing w:after="0" w:line="240" w:lineRule="auto"/>
              <w:rPr>
                <w:rFonts w:ascii="Calibri" w:eastAsia="Times New Roman" w:hAnsi="Calibri" w:cs="Calibri"/>
                <w:b/>
                <w:bCs/>
                <w:sz w:val="14"/>
                <w:szCs w:val="14"/>
              </w:rPr>
            </w:pPr>
            <w:r w:rsidRPr="00673450">
              <w:rPr>
                <w:rFonts w:ascii="Calibri" w:hAnsi="Calibri" w:cs="Calibri"/>
                <w:b/>
                <w:bCs/>
                <w:sz w:val="14"/>
                <w:szCs w:val="14"/>
              </w:rPr>
              <w:t> </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hideMark/>
          </w:tcPr>
          <w:p w14:paraId="1B5DDA36" w14:textId="77777777" w:rsidR="00663039" w:rsidRPr="00673450" w:rsidRDefault="00663039" w:rsidP="001544A6">
            <w:pPr>
              <w:spacing w:after="0" w:line="240" w:lineRule="auto"/>
              <w:rPr>
                <w:rFonts w:ascii="Calibri" w:eastAsia="Times New Roman" w:hAnsi="Calibri" w:cs="Calibri"/>
                <w:b/>
                <w:bCs/>
                <w:sz w:val="20"/>
                <w:szCs w:val="20"/>
              </w:rPr>
            </w:pPr>
            <w:r w:rsidRPr="00673450">
              <w:rPr>
                <w:rFonts w:ascii="Calibri" w:hAnsi="Calibri" w:cs="Calibri"/>
                <w:b/>
                <w:bCs/>
                <w:sz w:val="20"/>
                <w:szCs w:val="20"/>
              </w:rPr>
              <w:t>TOTAL FOR RIC</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hideMark/>
          </w:tcPr>
          <w:p w14:paraId="7A890E66"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auto" w:fill="auto"/>
            <w:vAlign w:val="center"/>
            <w:hideMark/>
          </w:tcPr>
          <w:p w14:paraId="76FA5583"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E2EFDA"/>
            <w:vAlign w:val="center"/>
            <w:hideMark/>
          </w:tcPr>
          <w:p w14:paraId="7CAF8988"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0.11</w:t>
            </w:r>
          </w:p>
        </w:tc>
        <w:tc>
          <w:tcPr>
            <w:tcW w:w="0" w:type="auto"/>
            <w:tcBorders>
              <w:top w:val="single" w:sz="2" w:space="0" w:color="auto"/>
              <w:left w:val="single" w:sz="2" w:space="0" w:color="auto"/>
              <w:bottom w:val="single" w:sz="2" w:space="0" w:color="auto"/>
              <w:right w:val="single" w:sz="2" w:space="0" w:color="auto"/>
            </w:tcBorders>
            <w:shd w:val="clear" w:color="000000" w:fill="E2EFDA"/>
            <w:vAlign w:val="center"/>
            <w:hideMark/>
          </w:tcPr>
          <w:p w14:paraId="753C2BDA"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0.06</w:t>
            </w:r>
          </w:p>
        </w:tc>
        <w:tc>
          <w:tcPr>
            <w:tcW w:w="0" w:type="auto"/>
            <w:tcBorders>
              <w:top w:val="single" w:sz="2" w:space="0" w:color="auto"/>
              <w:left w:val="single" w:sz="2" w:space="0" w:color="auto"/>
              <w:bottom w:val="single" w:sz="2" w:space="0" w:color="auto"/>
              <w:right w:val="single" w:sz="2" w:space="0" w:color="auto"/>
            </w:tcBorders>
            <w:shd w:val="clear" w:color="000000" w:fill="E2EFDA"/>
            <w:vAlign w:val="center"/>
            <w:hideMark/>
          </w:tcPr>
          <w:p w14:paraId="206B375E"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0.05</w:t>
            </w:r>
          </w:p>
        </w:tc>
        <w:tc>
          <w:tcPr>
            <w:tcW w:w="0" w:type="auto"/>
            <w:tcBorders>
              <w:top w:val="single" w:sz="2" w:space="0" w:color="auto"/>
              <w:left w:val="single" w:sz="2" w:space="0" w:color="auto"/>
              <w:bottom w:val="single" w:sz="2" w:space="0" w:color="auto"/>
              <w:right w:val="single" w:sz="2" w:space="0" w:color="auto"/>
            </w:tcBorders>
            <w:shd w:val="clear" w:color="000000" w:fill="E2EFDA"/>
            <w:vAlign w:val="center"/>
            <w:hideMark/>
          </w:tcPr>
          <w:p w14:paraId="4C37DDA6"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 </w:t>
            </w:r>
          </w:p>
        </w:tc>
        <w:tc>
          <w:tcPr>
            <w:tcW w:w="0" w:type="auto"/>
            <w:tcBorders>
              <w:top w:val="single" w:sz="2" w:space="0" w:color="auto"/>
              <w:left w:val="single" w:sz="2" w:space="0" w:color="auto"/>
              <w:bottom w:val="single" w:sz="2" w:space="0" w:color="auto"/>
              <w:right w:val="single" w:sz="2" w:space="0" w:color="auto"/>
            </w:tcBorders>
            <w:shd w:val="clear" w:color="000000" w:fill="E2EFDA"/>
            <w:vAlign w:val="center"/>
            <w:hideMark/>
          </w:tcPr>
          <w:p w14:paraId="163F149B"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0.11</w:t>
            </w:r>
          </w:p>
        </w:tc>
        <w:tc>
          <w:tcPr>
            <w:tcW w:w="0" w:type="auto"/>
            <w:tcBorders>
              <w:top w:val="single" w:sz="2" w:space="0" w:color="auto"/>
              <w:left w:val="single" w:sz="2" w:space="0" w:color="auto"/>
              <w:bottom w:val="single" w:sz="2" w:space="0" w:color="auto"/>
              <w:right w:val="single" w:sz="2" w:space="0" w:color="auto"/>
            </w:tcBorders>
            <w:shd w:val="clear" w:color="000000" w:fill="E2EFDA"/>
            <w:vAlign w:val="center"/>
            <w:hideMark/>
          </w:tcPr>
          <w:p w14:paraId="0D0635FC" w14:textId="77777777" w:rsidR="00663039" w:rsidRPr="00673450" w:rsidRDefault="00663039" w:rsidP="001544A6">
            <w:pPr>
              <w:spacing w:after="0" w:line="240" w:lineRule="auto"/>
              <w:jc w:val="center"/>
              <w:rPr>
                <w:rFonts w:ascii="Calibri" w:eastAsia="Times New Roman" w:hAnsi="Calibri" w:cs="Calibri"/>
                <w:b/>
                <w:bCs/>
                <w:sz w:val="20"/>
                <w:szCs w:val="20"/>
              </w:rPr>
            </w:pPr>
            <w:r w:rsidRPr="00673450">
              <w:rPr>
                <w:rFonts w:ascii="Calibri" w:hAnsi="Calibri" w:cs="Calibri"/>
                <w:b/>
                <w:bCs/>
                <w:sz w:val="20"/>
                <w:szCs w:val="20"/>
              </w:rPr>
              <w:t>0.00</w:t>
            </w:r>
          </w:p>
        </w:tc>
      </w:tr>
    </w:tbl>
    <w:p w14:paraId="2939EF76" w14:textId="77777777" w:rsidR="008C3BF4" w:rsidRDefault="008C3BF4" w:rsidP="000007D2">
      <w:pPr>
        <w:spacing w:after="0" w:line="259" w:lineRule="auto"/>
        <w:rPr>
          <w:rFonts w:ascii="Calibri" w:eastAsia="Times New Roman" w:hAnsi="Calibri" w:cs="Arial"/>
          <w:lang w:eastAsia="el-GR"/>
        </w:rPr>
      </w:pPr>
    </w:p>
    <w:p w14:paraId="2EA44AD9" w14:textId="77777777" w:rsidR="00663039" w:rsidRDefault="00663039">
      <w:pPr>
        <w:spacing w:line="259" w:lineRule="auto"/>
        <w:rPr>
          <w:rFonts w:ascii="Calibri" w:hAnsi="Calibri" w:cs="Arial"/>
        </w:rPr>
        <w:sectPr w:rsidR="00663039" w:rsidSect="005B2C66">
          <w:pgSz w:w="16838" w:h="11906" w:orient="landscape"/>
          <w:pgMar w:top="1134" w:right="1134" w:bottom="1134" w:left="1134" w:header="720" w:footer="720" w:gutter="0"/>
          <w:cols w:space="720"/>
          <w:docGrid w:linePitch="360"/>
        </w:sectPr>
      </w:pPr>
    </w:p>
    <w:p w14:paraId="6FD83D85" w14:textId="77777777" w:rsidR="00BE2EC4" w:rsidRDefault="00BE2EC4">
      <w:pPr>
        <w:spacing w:line="259" w:lineRule="auto"/>
        <w:rPr>
          <w:rFonts w:ascii="Calibri" w:eastAsia="Times New Roman" w:hAnsi="Calibri" w:cs="Arial"/>
          <w:b/>
          <w:smallCaps/>
          <w:color w:val="FFFFFF"/>
          <w:kern w:val="28"/>
          <w:sz w:val="48"/>
          <w:szCs w:val="32"/>
          <w:lang w:eastAsia="el-GR"/>
        </w:rPr>
      </w:pPr>
    </w:p>
    <w:p w14:paraId="55BD1D96" w14:textId="748F2711" w:rsidR="00934E6B" w:rsidRPr="00A33AE8" w:rsidRDefault="001E2100" w:rsidP="0087794A">
      <w:pPr>
        <w:pStyle w:val="Heading1"/>
        <w:numPr>
          <w:ilvl w:val="0"/>
          <w:numId w:val="349"/>
        </w:numPr>
      </w:pPr>
      <w:bookmarkStart w:id="685" w:name="_Hlk148602304"/>
      <w:r w:rsidRPr="001E2100">
        <w:t xml:space="preserve"> </w:t>
      </w:r>
      <w:bookmarkStart w:id="686" w:name="_Toc153545063"/>
      <w:r w:rsidR="00934E6B" w:rsidRPr="00A33AE8">
        <w:t>Annex: Detailed analysis of the power system operation</w:t>
      </w:r>
      <w:bookmarkEnd w:id="686"/>
    </w:p>
    <w:bookmarkEnd w:id="685"/>
    <w:p w14:paraId="5324F083" w14:textId="418F1F29" w:rsidR="00934E6B" w:rsidRPr="00A33AE8" w:rsidRDefault="00934E6B" w:rsidP="00934E6B">
      <w:pPr>
        <w:jc w:val="both"/>
        <w:rPr>
          <w:rFonts w:asciiTheme="majorHAnsi" w:hAnsiTheme="majorHAnsi" w:cstheme="majorHAnsi"/>
          <w:lang w:eastAsia="el-GR"/>
        </w:rPr>
      </w:pPr>
      <w:r w:rsidRPr="00A33AE8">
        <w:rPr>
          <w:rFonts w:asciiTheme="majorHAnsi" w:hAnsiTheme="majorHAnsi" w:cstheme="majorHAnsi"/>
          <w:lang w:eastAsia="el-GR"/>
        </w:rPr>
        <w:t>The “High</w:t>
      </w:r>
      <w:r w:rsidR="00F80B9A" w:rsidRPr="00A33AE8">
        <w:rPr>
          <w:rFonts w:asciiTheme="majorHAnsi" w:hAnsiTheme="majorHAnsi" w:cstheme="majorHAnsi"/>
          <w:lang w:eastAsia="el-GR"/>
        </w:rPr>
        <w:t xml:space="preserve"> </w:t>
      </w:r>
      <w:r w:rsidRPr="00A33AE8">
        <w:rPr>
          <w:rFonts w:asciiTheme="majorHAnsi" w:hAnsiTheme="majorHAnsi" w:cstheme="majorHAnsi"/>
          <w:lang w:eastAsia="el-GR"/>
        </w:rPr>
        <w:t>RES penetration market tool” (RES-Tool) developed in ANTARES has been used to verify the feasibility of system configurations according to scenarios developed with SEMS. Target Years are 2030 and 2040, with more emphasis on the former, as it is the final year of the INECP under development. The modelled perimeter in the RES Tool consists of the South-East Europe region. Such an extensive regional model allows for the adequate representation of the high interconnectivity of the Serbian electricity system and its participation in the European electricity market. The models of the market zones except Serbia are based on publicly available data of ENTSO-E for TYNDP 2020, NT (National Trends) scenario for target years 2030 and 2040. The following sections present the key results for Scenario S for 2030 and 2040.</w:t>
      </w:r>
    </w:p>
    <w:p w14:paraId="4B2BB671" w14:textId="2AAB4E8C" w:rsidR="00934E6B" w:rsidRPr="00A33AE8" w:rsidRDefault="00934E6B" w:rsidP="00884F3B">
      <w:pPr>
        <w:pStyle w:val="Heading4"/>
        <w:numPr>
          <w:ilvl w:val="0"/>
          <w:numId w:val="247"/>
        </w:numPr>
      </w:pPr>
      <w:r w:rsidRPr="000007D2">
        <w:t>Scenario-S analysis for 2030</w:t>
      </w:r>
    </w:p>
    <w:p w14:paraId="6702F99F" w14:textId="77777777" w:rsidR="00CE574B" w:rsidRPr="00A33AE8" w:rsidRDefault="00CE574B" w:rsidP="000007D2">
      <w:pPr>
        <w:jc w:val="both"/>
        <w:rPr>
          <w:rFonts w:ascii="Calibri Light" w:hAnsi="Calibri Light" w:cs="Calibri Light"/>
          <w:szCs w:val="20"/>
          <w:lang w:eastAsia="el-GR"/>
        </w:rPr>
      </w:pPr>
      <w:r>
        <w:rPr>
          <w:rFonts w:asciiTheme="majorHAnsi" w:hAnsiTheme="majorHAnsi" w:cstheme="majorHAnsi"/>
          <w:lang w:eastAsia="el-GR"/>
        </w:rPr>
        <w:t>T</w:t>
      </w:r>
      <w:r w:rsidR="00934E6B" w:rsidRPr="00A33AE8">
        <w:rPr>
          <w:rFonts w:asciiTheme="majorHAnsi" w:hAnsiTheme="majorHAnsi" w:cstheme="majorHAnsi"/>
          <w:lang w:eastAsia="el-GR"/>
        </w:rPr>
        <w:t>he main input parameters to the RES Tool</w:t>
      </w:r>
      <w:r>
        <w:rPr>
          <w:rFonts w:asciiTheme="majorHAnsi" w:hAnsiTheme="majorHAnsi" w:cstheme="majorHAnsi"/>
          <w:lang w:eastAsia="el-GR"/>
        </w:rPr>
        <w:t xml:space="preserve"> </w:t>
      </w:r>
      <w:r w:rsidRPr="00CE574B">
        <w:rPr>
          <w:rFonts w:asciiTheme="majorHAnsi" w:hAnsiTheme="majorHAnsi" w:cstheme="majorHAnsi"/>
          <w:lang w:eastAsia="el-GR"/>
        </w:rPr>
        <w:t>are the net</w:t>
      </w:r>
      <w:r w:rsidR="00934E6B" w:rsidRPr="00A33AE8">
        <w:rPr>
          <w:rFonts w:asciiTheme="majorHAnsi" w:hAnsiTheme="majorHAnsi" w:cstheme="majorHAnsi"/>
          <w:lang w:eastAsia="el-GR"/>
        </w:rPr>
        <w:t xml:space="preserve"> capacities,</w:t>
      </w:r>
      <w:r w:rsidRPr="00CE574B">
        <w:t xml:space="preserve"> </w:t>
      </w:r>
      <w:r w:rsidRPr="00CE574B">
        <w:rPr>
          <w:rFonts w:asciiTheme="majorHAnsi" w:hAnsiTheme="majorHAnsi" w:cstheme="majorHAnsi"/>
          <w:lang w:eastAsia="el-GR"/>
        </w:rPr>
        <w:t>of all the power plants in the Serbian system.</w:t>
      </w:r>
      <w:r w:rsidR="00934E6B" w:rsidRPr="00A33AE8">
        <w:rPr>
          <w:rFonts w:asciiTheme="majorHAnsi" w:hAnsiTheme="majorHAnsi" w:cstheme="majorHAnsi"/>
          <w:lang w:eastAsia="el-GR"/>
        </w:rPr>
        <w:t xml:space="preserve"> </w:t>
      </w:r>
      <w:r w:rsidRPr="00CE574B">
        <w:rPr>
          <w:rFonts w:ascii="Calibri Light" w:hAnsi="Calibri Light" w:cs="Calibri Light"/>
          <w:szCs w:val="20"/>
          <w:lang w:eastAsia="el-GR"/>
        </w:rPr>
        <w:t>According to the scenario results</w:t>
      </w:r>
      <w:bookmarkStart w:id="687" w:name="_heading=h.p49hy1" w:colFirst="0" w:colLast="0"/>
      <w:bookmarkEnd w:id="687"/>
      <w:r w:rsidRPr="00CE574B" w:rsidDel="00CE574B">
        <w:rPr>
          <w:rFonts w:ascii="Calibri Light" w:hAnsi="Calibri Light" w:cs="Calibri Light"/>
          <w:szCs w:val="20"/>
          <w:lang w:eastAsia="el-GR"/>
        </w:rPr>
        <w:t xml:space="preserve"> </w:t>
      </w:r>
      <w:r>
        <w:rPr>
          <w:rFonts w:ascii="Calibri Light" w:hAnsi="Calibri Light" w:cs="Calibri Light"/>
          <w:szCs w:val="20"/>
          <w:lang w:eastAsia="el-GR"/>
        </w:rPr>
        <w:t>t</w:t>
      </w:r>
      <w:r w:rsidR="00934E6B" w:rsidRPr="00A33AE8">
        <w:rPr>
          <w:rFonts w:ascii="Calibri Light" w:hAnsi="Calibri Light" w:cs="Calibri Light"/>
          <w:szCs w:val="20"/>
          <w:lang w:eastAsia="el-GR"/>
        </w:rPr>
        <w:t>here is one Pump-Storage Plant (PSP) available</w:t>
      </w:r>
      <w:r w:rsidRPr="00CE574B">
        <w:rPr>
          <w:rFonts w:ascii="Calibri Light" w:hAnsi="Calibri Light" w:cs="Calibri Light"/>
          <w:szCs w:val="20"/>
          <w:lang w:eastAsia="el-GR"/>
        </w:rPr>
        <w:t>, namely</w:t>
      </w:r>
      <w:r w:rsidR="00934E6B" w:rsidRPr="00A33AE8">
        <w:rPr>
          <w:rFonts w:ascii="Calibri Light" w:hAnsi="Calibri Light" w:cs="Calibri Light"/>
          <w:szCs w:val="20"/>
          <w:lang w:eastAsia="el-GR"/>
        </w:rPr>
        <w:t>:</w:t>
      </w:r>
    </w:p>
    <w:p w14:paraId="782F2A2A" w14:textId="77777777" w:rsidR="00934E6B" w:rsidRPr="000007D2" w:rsidRDefault="00934E6B" w:rsidP="00884F3B">
      <w:pPr>
        <w:pStyle w:val="ListParagraph"/>
        <w:numPr>
          <w:ilvl w:val="0"/>
          <w:numId w:val="269"/>
        </w:numPr>
        <w:jc w:val="both"/>
        <w:rPr>
          <w:szCs w:val="20"/>
          <w:lang w:eastAsia="el-GR"/>
        </w:rPr>
      </w:pPr>
      <w:r w:rsidRPr="000007D2">
        <w:rPr>
          <w:rFonts w:ascii="Calibri Light" w:hAnsi="Calibri Light" w:cs="Calibri Light"/>
          <w:szCs w:val="20"/>
          <w:lang w:eastAsia="el-GR"/>
        </w:rPr>
        <w:t>PHPP Bajina Basta (616 MW turbining capacity)</w:t>
      </w:r>
    </w:p>
    <w:p w14:paraId="4471928E" w14:textId="08F124DC" w:rsidR="00934E6B" w:rsidRPr="00A33AE8" w:rsidRDefault="00934E6B" w:rsidP="00934E6B">
      <w:pPr>
        <w:jc w:val="both"/>
        <w:rPr>
          <w:rFonts w:ascii="Calibri Light" w:hAnsi="Calibri Light" w:cs="Calibri Light"/>
          <w:szCs w:val="20"/>
          <w:lang w:eastAsia="el-GR"/>
        </w:rPr>
      </w:pPr>
      <w:r w:rsidRPr="00A33AE8">
        <w:rPr>
          <w:rFonts w:ascii="Calibri Light" w:hAnsi="Calibri Light" w:cs="Calibri Light"/>
          <w:szCs w:val="20"/>
          <w:lang w:eastAsia="el-GR"/>
        </w:rPr>
        <w:t>Based on the RES capacities and the recent study on RES integration in Serbia</w:t>
      </w:r>
      <w:r w:rsidR="006311DA">
        <w:rPr>
          <w:rFonts w:ascii="Calibri Light" w:hAnsi="Calibri Light" w:cs="Calibri Light"/>
          <w:szCs w:val="20"/>
          <w:lang w:eastAsia="el-GR"/>
        </w:rPr>
        <w:t xml:space="preserve"> (</w:t>
      </w:r>
      <w:r w:rsidR="006311DA" w:rsidRPr="006311DA">
        <w:rPr>
          <w:rFonts w:ascii="Calibri Light" w:hAnsi="Calibri Light" w:cs="Calibri Light"/>
          <w:szCs w:val="20"/>
          <w:lang w:eastAsia="el-GR"/>
        </w:rPr>
        <w:t>D. Orlic et al. “Large-Scale RES Integration in Serbia”, EKC, prepared for USAID and USEA, Jul. 2022</w:t>
      </w:r>
      <w:r w:rsidR="006311DA">
        <w:rPr>
          <w:rFonts w:ascii="Calibri Light" w:hAnsi="Calibri Light" w:cs="Calibri Light"/>
          <w:szCs w:val="20"/>
          <w:lang w:eastAsia="el-GR"/>
        </w:rPr>
        <w:t>)</w:t>
      </w:r>
      <w:r w:rsidRPr="00A33AE8">
        <w:rPr>
          <w:rFonts w:ascii="Calibri Light" w:hAnsi="Calibri Light" w:cs="Calibri Light"/>
          <w:szCs w:val="20"/>
          <w:lang w:eastAsia="el-GR"/>
        </w:rPr>
        <w:t>, the value of the hourly day-ahead reserves requirements provided to the model was 1250 MW.</w:t>
      </w:r>
    </w:p>
    <w:p w14:paraId="541030D2" w14:textId="28CDF6F2" w:rsidR="00934E6B" w:rsidRPr="00A33AE8" w:rsidRDefault="00934E6B" w:rsidP="00934E6B">
      <w:pPr>
        <w:jc w:val="both"/>
        <w:rPr>
          <w:rFonts w:ascii="Calibri Light" w:hAnsi="Calibri Light" w:cs="Calibri Light"/>
          <w:szCs w:val="20"/>
          <w:lang w:eastAsia="el-GR"/>
        </w:rPr>
      </w:pPr>
      <w:r w:rsidRPr="00A33AE8">
        <w:rPr>
          <w:rFonts w:ascii="Calibri Light" w:hAnsi="Calibri Light" w:cs="Calibri Light"/>
          <w:szCs w:val="20"/>
          <w:lang w:eastAsia="el-GR"/>
        </w:rPr>
        <w:t>The main results can be seen in</w:t>
      </w:r>
      <w:r w:rsidR="009C31D8">
        <w:rPr>
          <w:rFonts w:ascii="Calibri Light" w:hAnsi="Calibri Light" w:cs="Calibri Light"/>
          <w:szCs w:val="20"/>
          <w:lang w:eastAsia="el-GR"/>
        </w:rPr>
        <w:t xml:space="preserve"> </w:t>
      </w:r>
      <w:r w:rsidR="009C31D8">
        <w:rPr>
          <w:rFonts w:ascii="Calibri Light" w:hAnsi="Calibri Light" w:cs="Calibri Light"/>
          <w:szCs w:val="20"/>
          <w:lang w:eastAsia="el-GR"/>
        </w:rPr>
        <w:fldChar w:fldCharType="begin"/>
      </w:r>
      <w:r w:rsidR="009C31D8">
        <w:rPr>
          <w:rFonts w:ascii="Calibri Light" w:hAnsi="Calibri Light" w:cs="Calibri Light"/>
          <w:szCs w:val="20"/>
          <w:lang w:eastAsia="el-GR"/>
        </w:rPr>
        <w:instrText xml:space="preserve"> REF _Ref153533347 \h  \* MERGEFORMAT </w:instrText>
      </w:r>
      <w:r w:rsidR="009C31D8">
        <w:rPr>
          <w:rFonts w:ascii="Calibri Light" w:hAnsi="Calibri Light" w:cs="Calibri Light"/>
          <w:szCs w:val="20"/>
          <w:lang w:eastAsia="el-GR"/>
        </w:rPr>
      </w:r>
      <w:r w:rsidR="009C31D8">
        <w:rPr>
          <w:rFonts w:ascii="Calibri Light" w:hAnsi="Calibri Light" w:cs="Calibri Light"/>
          <w:szCs w:val="20"/>
          <w:lang w:eastAsia="el-GR"/>
        </w:rPr>
        <w:fldChar w:fldCharType="separate"/>
      </w:r>
      <w:r w:rsidR="009C31D8" w:rsidRPr="0087794A">
        <w:rPr>
          <w:rFonts w:ascii="Calibri Light" w:hAnsi="Calibri Light" w:cs="Calibri Light"/>
          <w:szCs w:val="20"/>
          <w:lang w:eastAsia="el-GR"/>
        </w:rPr>
        <w:t>Table II.1</w:t>
      </w:r>
      <w:r w:rsidR="009C31D8">
        <w:rPr>
          <w:rFonts w:ascii="Calibri Light" w:hAnsi="Calibri Light" w:cs="Calibri Light"/>
          <w:szCs w:val="20"/>
          <w:lang w:eastAsia="el-GR"/>
        </w:rPr>
        <w:fldChar w:fldCharType="end"/>
      </w:r>
      <w:r w:rsidRPr="00A33AE8">
        <w:rPr>
          <w:rFonts w:ascii="Calibri Light" w:hAnsi="Calibri Light" w:cs="Calibri Light"/>
          <w:szCs w:val="20"/>
          <w:lang w:eastAsia="el-GR"/>
        </w:rPr>
        <w:t>. All results shown refer to the Serbian power system, except for the total simulated region cost, which is also the target cost minimized by the simulation algorithm. Unsupplied energy is practically zero, signifying generation adequacy of the system. Note that hydro generation refers to generation from hydro inflows (pump storage hydro (PSP) is not included). It can be seen that no spilled energy occurs at all,</w:t>
      </w:r>
      <w:r w:rsidRPr="000007D2">
        <w:rPr>
          <w:rFonts w:ascii="Calibri Light" w:hAnsi="Calibri Light" w:cs="Calibri Light"/>
          <w:szCs w:val="20"/>
          <w:lang w:eastAsia="el-GR"/>
        </w:rPr>
        <w:t xml:space="preserve"> therefore the system is</w:t>
      </w:r>
      <w:r w:rsidRPr="00A33AE8">
        <w:rPr>
          <w:rFonts w:ascii="Calibri Light" w:hAnsi="Calibri Light" w:cs="Calibri Light"/>
          <w:szCs w:val="20"/>
          <w:lang w:eastAsia="el-GR"/>
        </w:rPr>
        <w:t xml:space="preserve"> flexible enough to accommodate the modelled variable RES capacities, at least at the Day-Ahead market level. Interconnectivity of the Serbian system provides important flexibility. On an annual basis, the Serbian system exports 0.6 TWh, or 73 MWh on average hourly.</w:t>
      </w:r>
    </w:p>
    <w:p w14:paraId="282763F5" w14:textId="29B83FC3" w:rsidR="009C31D8" w:rsidRDefault="009C31D8" w:rsidP="0087794A">
      <w:pPr>
        <w:pStyle w:val="Caption"/>
        <w:keepNext/>
      </w:pPr>
      <w:bookmarkStart w:id="688" w:name="_heading=h.393x0lu" w:colFirst="0" w:colLast="0"/>
      <w:bookmarkStart w:id="689" w:name="_Ref153533347"/>
      <w:bookmarkStart w:id="690" w:name="_Toc153545085"/>
      <w:bookmarkEnd w:id="688"/>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bookmarkEnd w:id="689"/>
      <w:r>
        <w:t xml:space="preserve">: </w:t>
      </w:r>
      <w:r w:rsidRPr="009C31D8">
        <w:t>Scenario S average general results for Target Year 2030</w:t>
      </w:r>
      <w:bookmarkEnd w:id="690"/>
    </w:p>
    <w:tbl>
      <w:tblPr>
        <w:tblW w:w="6522" w:type="dxa"/>
        <w:jc w:val="center"/>
        <w:tblLook w:val="04A0" w:firstRow="1" w:lastRow="0" w:firstColumn="1" w:lastColumn="0" w:noHBand="0" w:noVBand="1"/>
      </w:tblPr>
      <w:tblGrid>
        <w:gridCol w:w="3850"/>
        <w:gridCol w:w="2672"/>
      </w:tblGrid>
      <w:tr w:rsidR="00934E6B" w:rsidRPr="00A33AE8" w14:paraId="7C5D3040" w14:textId="77777777" w:rsidTr="00934E6B">
        <w:trPr>
          <w:trHeight w:val="20"/>
          <w:jc w:val="center"/>
        </w:trPr>
        <w:tc>
          <w:tcPr>
            <w:tcW w:w="3850" w:type="dxa"/>
            <w:tcBorders>
              <w:top w:val="single" w:sz="8" w:space="0" w:color="auto"/>
              <w:left w:val="single" w:sz="8" w:space="0" w:color="auto"/>
              <w:bottom w:val="single" w:sz="4" w:space="0" w:color="auto"/>
              <w:right w:val="nil"/>
            </w:tcBorders>
            <w:shd w:val="clear" w:color="000000" w:fill="404040"/>
            <w:noWrap/>
            <w:vAlign w:val="center"/>
            <w:hideMark/>
          </w:tcPr>
          <w:p w14:paraId="51B6E695" w14:textId="77777777" w:rsidR="00934E6B" w:rsidRPr="000007D2" w:rsidRDefault="00934E6B" w:rsidP="00956278">
            <w:pPr>
              <w:spacing w:after="0" w:line="240" w:lineRule="auto"/>
              <w:rPr>
                <w:rFonts w:asciiTheme="majorHAnsi" w:hAnsiTheme="majorHAnsi" w:cstheme="majorHAnsi"/>
                <w:color w:val="FFFFFF"/>
                <w:sz w:val="20"/>
                <w:szCs w:val="20"/>
              </w:rPr>
            </w:pPr>
            <w:r w:rsidRPr="000007D2">
              <w:rPr>
                <w:rFonts w:asciiTheme="majorHAnsi" w:hAnsiTheme="majorHAnsi" w:cstheme="majorHAnsi"/>
                <w:color w:val="FFFFFF"/>
                <w:sz w:val="20"/>
                <w:szCs w:val="20"/>
              </w:rPr>
              <w:t>Title</w:t>
            </w:r>
          </w:p>
        </w:tc>
        <w:tc>
          <w:tcPr>
            <w:tcW w:w="2672" w:type="dxa"/>
            <w:tcBorders>
              <w:top w:val="single" w:sz="8" w:space="0" w:color="auto"/>
              <w:left w:val="nil"/>
              <w:bottom w:val="single" w:sz="4" w:space="0" w:color="auto"/>
              <w:right w:val="single" w:sz="8" w:space="0" w:color="auto"/>
            </w:tcBorders>
            <w:shd w:val="clear" w:color="000000" w:fill="1F497D"/>
            <w:vAlign w:val="center"/>
            <w:hideMark/>
          </w:tcPr>
          <w:p w14:paraId="70B8CB53" w14:textId="77777777" w:rsidR="00934E6B" w:rsidRPr="000007D2" w:rsidRDefault="00934E6B" w:rsidP="00956278">
            <w:pPr>
              <w:spacing w:after="0" w:line="240" w:lineRule="auto"/>
              <w:rPr>
                <w:rFonts w:asciiTheme="majorHAnsi" w:hAnsiTheme="majorHAnsi" w:cstheme="majorHAnsi"/>
                <w:color w:val="FFFFFF"/>
                <w:sz w:val="20"/>
                <w:szCs w:val="20"/>
              </w:rPr>
            </w:pPr>
            <w:r w:rsidRPr="000007D2">
              <w:rPr>
                <w:rFonts w:asciiTheme="majorHAnsi" w:hAnsiTheme="majorHAnsi" w:cstheme="majorHAnsi"/>
                <w:color w:val="FFFFFF"/>
                <w:sz w:val="20"/>
                <w:szCs w:val="20"/>
              </w:rPr>
              <w:t>Scenario S</w:t>
            </w:r>
          </w:p>
        </w:tc>
      </w:tr>
      <w:tr w:rsidR="00934E6B" w:rsidRPr="00A33AE8" w14:paraId="72DC4C92"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1E110641"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2672" w:type="dxa"/>
            <w:tcBorders>
              <w:top w:val="nil"/>
              <w:left w:val="nil"/>
              <w:bottom w:val="single" w:sz="4" w:space="0" w:color="auto"/>
              <w:right w:val="single" w:sz="8" w:space="0" w:color="auto"/>
            </w:tcBorders>
            <w:shd w:val="clear" w:color="auto" w:fill="auto"/>
            <w:noWrap/>
            <w:vAlign w:val="center"/>
            <w:hideMark/>
          </w:tcPr>
          <w:p w14:paraId="0E29C0F6"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GWh</w:t>
            </w:r>
          </w:p>
        </w:tc>
      </w:tr>
      <w:tr w:rsidR="00934E6B" w:rsidRPr="00A33AE8" w14:paraId="39B09422"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08726784"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Demand</w:t>
            </w:r>
          </w:p>
        </w:tc>
        <w:tc>
          <w:tcPr>
            <w:tcW w:w="2672" w:type="dxa"/>
            <w:tcBorders>
              <w:top w:val="nil"/>
              <w:left w:val="nil"/>
              <w:bottom w:val="single" w:sz="4" w:space="0" w:color="auto"/>
              <w:right w:val="single" w:sz="8" w:space="0" w:color="auto"/>
            </w:tcBorders>
            <w:shd w:val="clear" w:color="000000" w:fill="DDEBF7"/>
            <w:noWrap/>
            <w:vAlign w:val="center"/>
            <w:hideMark/>
          </w:tcPr>
          <w:p w14:paraId="27F9EAC7"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37,685.9</w:t>
            </w:r>
          </w:p>
        </w:tc>
      </w:tr>
      <w:tr w:rsidR="00934E6B" w:rsidRPr="00A33AE8" w14:paraId="24407BE8"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62FACE6"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Lignite</w:t>
            </w:r>
          </w:p>
        </w:tc>
        <w:tc>
          <w:tcPr>
            <w:tcW w:w="2672" w:type="dxa"/>
            <w:tcBorders>
              <w:top w:val="nil"/>
              <w:left w:val="nil"/>
              <w:bottom w:val="single" w:sz="4" w:space="0" w:color="auto"/>
              <w:right w:val="single" w:sz="8" w:space="0" w:color="auto"/>
            </w:tcBorders>
            <w:shd w:val="clear" w:color="auto" w:fill="auto"/>
            <w:noWrap/>
            <w:vAlign w:val="center"/>
            <w:hideMark/>
          </w:tcPr>
          <w:p w14:paraId="2E08D783"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16,832.9</w:t>
            </w:r>
          </w:p>
        </w:tc>
      </w:tr>
      <w:tr w:rsidR="00934E6B" w:rsidRPr="00A33AE8" w14:paraId="161933F9"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58DE396A"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Gas</w:t>
            </w:r>
          </w:p>
        </w:tc>
        <w:tc>
          <w:tcPr>
            <w:tcW w:w="2672" w:type="dxa"/>
            <w:tcBorders>
              <w:top w:val="nil"/>
              <w:left w:val="nil"/>
              <w:bottom w:val="single" w:sz="4" w:space="0" w:color="auto"/>
              <w:right w:val="single" w:sz="8" w:space="0" w:color="auto"/>
            </w:tcBorders>
            <w:shd w:val="clear" w:color="000000" w:fill="DDEBF7"/>
            <w:noWrap/>
            <w:vAlign w:val="center"/>
            <w:hideMark/>
          </w:tcPr>
          <w:p w14:paraId="604D71F2"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2,679.5</w:t>
            </w:r>
          </w:p>
        </w:tc>
      </w:tr>
      <w:tr w:rsidR="00934E6B" w:rsidRPr="00A33AE8" w14:paraId="4CCF624F"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5FEB8FE0"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Hydro</w:t>
            </w:r>
          </w:p>
        </w:tc>
        <w:tc>
          <w:tcPr>
            <w:tcW w:w="2672" w:type="dxa"/>
            <w:tcBorders>
              <w:top w:val="nil"/>
              <w:left w:val="nil"/>
              <w:bottom w:val="single" w:sz="4" w:space="0" w:color="auto"/>
              <w:right w:val="single" w:sz="8" w:space="0" w:color="auto"/>
            </w:tcBorders>
            <w:shd w:val="clear" w:color="auto" w:fill="auto"/>
            <w:noWrap/>
            <w:vAlign w:val="center"/>
            <w:hideMark/>
          </w:tcPr>
          <w:p w14:paraId="6AFB7BF5"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10,818.5</w:t>
            </w:r>
          </w:p>
        </w:tc>
      </w:tr>
      <w:tr w:rsidR="00934E6B" w:rsidRPr="00A33AE8" w14:paraId="5A88C1FB"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AFB57BA"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Wind</w:t>
            </w:r>
          </w:p>
        </w:tc>
        <w:tc>
          <w:tcPr>
            <w:tcW w:w="2672" w:type="dxa"/>
            <w:tcBorders>
              <w:top w:val="nil"/>
              <w:left w:val="nil"/>
              <w:bottom w:val="single" w:sz="4" w:space="0" w:color="auto"/>
              <w:right w:val="single" w:sz="8" w:space="0" w:color="auto"/>
            </w:tcBorders>
            <w:shd w:val="clear" w:color="000000" w:fill="DDEBF7"/>
            <w:noWrap/>
            <w:vAlign w:val="center"/>
            <w:hideMark/>
          </w:tcPr>
          <w:p w14:paraId="27614B0C"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4,608.8</w:t>
            </w:r>
          </w:p>
        </w:tc>
      </w:tr>
      <w:tr w:rsidR="00934E6B" w:rsidRPr="00A33AE8" w14:paraId="4CD74E4C"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B86A3FB"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Solar</w:t>
            </w:r>
          </w:p>
        </w:tc>
        <w:tc>
          <w:tcPr>
            <w:tcW w:w="2672" w:type="dxa"/>
            <w:tcBorders>
              <w:top w:val="nil"/>
              <w:left w:val="nil"/>
              <w:bottom w:val="single" w:sz="4" w:space="0" w:color="auto"/>
              <w:right w:val="single" w:sz="8" w:space="0" w:color="auto"/>
            </w:tcBorders>
            <w:shd w:val="clear" w:color="auto" w:fill="auto"/>
            <w:noWrap/>
            <w:vAlign w:val="center"/>
            <w:hideMark/>
          </w:tcPr>
          <w:p w14:paraId="074DC04F"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2,335.6</w:t>
            </w:r>
          </w:p>
        </w:tc>
      </w:tr>
      <w:tr w:rsidR="00934E6B" w:rsidRPr="00A33AE8" w14:paraId="7CD111A1"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7AE38AE7" w14:textId="6C5FE09C"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xml:space="preserve">Small CHP, </w:t>
            </w:r>
            <w:r w:rsidR="0087794A" w:rsidRPr="000007D2">
              <w:rPr>
                <w:rFonts w:asciiTheme="majorHAnsi" w:hAnsiTheme="majorHAnsi" w:cstheme="majorHAnsi"/>
                <w:color w:val="000000"/>
                <w:sz w:val="20"/>
                <w:szCs w:val="20"/>
              </w:rPr>
              <w:t>Biomass</w:t>
            </w:r>
            <w:r w:rsidRPr="000007D2">
              <w:rPr>
                <w:rFonts w:asciiTheme="majorHAnsi" w:hAnsiTheme="majorHAnsi" w:cstheme="majorHAnsi"/>
                <w:color w:val="000000"/>
                <w:sz w:val="20"/>
                <w:szCs w:val="20"/>
              </w:rPr>
              <w:t>, etc.</w:t>
            </w:r>
          </w:p>
        </w:tc>
        <w:tc>
          <w:tcPr>
            <w:tcW w:w="2672" w:type="dxa"/>
            <w:tcBorders>
              <w:top w:val="nil"/>
              <w:left w:val="nil"/>
              <w:bottom w:val="single" w:sz="4" w:space="0" w:color="auto"/>
              <w:right w:val="single" w:sz="8" w:space="0" w:color="auto"/>
            </w:tcBorders>
            <w:shd w:val="clear" w:color="000000" w:fill="DDEBF7"/>
            <w:vAlign w:val="center"/>
            <w:hideMark/>
          </w:tcPr>
          <w:p w14:paraId="0654C332"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1,058.7</w:t>
            </w:r>
          </w:p>
        </w:tc>
      </w:tr>
      <w:tr w:rsidR="00934E6B" w:rsidRPr="00A33AE8" w14:paraId="6FF9DEF3"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7B9E3DBA"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2672" w:type="dxa"/>
            <w:tcBorders>
              <w:top w:val="nil"/>
              <w:left w:val="nil"/>
              <w:bottom w:val="single" w:sz="4" w:space="0" w:color="auto"/>
              <w:right w:val="single" w:sz="8" w:space="0" w:color="auto"/>
            </w:tcBorders>
            <w:shd w:val="clear" w:color="auto" w:fill="auto"/>
            <w:noWrap/>
            <w:vAlign w:val="center"/>
            <w:hideMark/>
          </w:tcPr>
          <w:p w14:paraId="00B30CAC"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GWh</w:t>
            </w:r>
          </w:p>
        </w:tc>
      </w:tr>
      <w:tr w:rsidR="00934E6B" w:rsidRPr="00A33AE8" w14:paraId="2478DDD3"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5FEB0085"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Spilled Energy</w:t>
            </w:r>
          </w:p>
        </w:tc>
        <w:tc>
          <w:tcPr>
            <w:tcW w:w="2672" w:type="dxa"/>
            <w:tcBorders>
              <w:top w:val="nil"/>
              <w:left w:val="nil"/>
              <w:bottom w:val="single" w:sz="4" w:space="0" w:color="auto"/>
              <w:right w:val="single" w:sz="8" w:space="0" w:color="auto"/>
            </w:tcBorders>
            <w:shd w:val="clear" w:color="000000" w:fill="DDEBF7"/>
            <w:noWrap/>
            <w:vAlign w:val="center"/>
            <w:hideMark/>
          </w:tcPr>
          <w:p w14:paraId="557FD771"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0.0</w:t>
            </w:r>
          </w:p>
        </w:tc>
      </w:tr>
      <w:tr w:rsidR="00934E6B" w:rsidRPr="00A33AE8" w14:paraId="785A6EA0"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BE29DFA"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Storage losses</w:t>
            </w:r>
          </w:p>
        </w:tc>
        <w:tc>
          <w:tcPr>
            <w:tcW w:w="2672" w:type="dxa"/>
            <w:tcBorders>
              <w:top w:val="nil"/>
              <w:left w:val="nil"/>
              <w:bottom w:val="single" w:sz="4" w:space="0" w:color="auto"/>
              <w:right w:val="single" w:sz="8" w:space="0" w:color="auto"/>
            </w:tcBorders>
            <w:shd w:val="clear" w:color="auto" w:fill="auto"/>
            <w:noWrap/>
            <w:vAlign w:val="center"/>
            <w:hideMark/>
          </w:tcPr>
          <w:p w14:paraId="4FD34DBF"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13.8</w:t>
            </w:r>
          </w:p>
        </w:tc>
      </w:tr>
      <w:tr w:rsidR="00934E6B" w:rsidRPr="00A33AE8" w14:paraId="18B37CBF"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052F2F3"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Unsupplied Energy</w:t>
            </w:r>
          </w:p>
        </w:tc>
        <w:tc>
          <w:tcPr>
            <w:tcW w:w="2672" w:type="dxa"/>
            <w:tcBorders>
              <w:top w:val="nil"/>
              <w:left w:val="nil"/>
              <w:bottom w:val="single" w:sz="4" w:space="0" w:color="auto"/>
              <w:right w:val="single" w:sz="8" w:space="0" w:color="auto"/>
            </w:tcBorders>
            <w:shd w:val="clear" w:color="000000" w:fill="DDEBF7"/>
            <w:noWrap/>
            <w:vAlign w:val="center"/>
            <w:hideMark/>
          </w:tcPr>
          <w:p w14:paraId="493F33D0"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0.1</w:t>
            </w:r>
          </w:p>
        </w:tc>
      </w:tr>
      <w:tr w:rsidR="00934E6B" w:rsidRPr="00A33AE8" w14:paraId="72F6F73B"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38C5581F"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Net annual exports</w:t>
            </w:r>
          </w:p>
        </w:tc>
        <w:tc>
          <w:tcPr>
            <w:tcW w:w="2672" w:type="dxa"/>
            <w:tcBorders>
              <w:top w:val="nil"/>
              <w:left w:val="nil"/>
              <w:bottom w:val="single" w:sz="4" w:space="0" w:color="auto"/>
              <w:right w:val="single" w:sz="8" w:space="0" w:color="auto"/>
            </w:tcBorders>
            <w:shd w:val="clear" w:color="auto" w:fill="auto"/>
            <w:noWrap/>
            <w:vAlign w:val="center"/>
            <w:hideMark/>
          </w:tcPr>
          <w:p w14:paraId="05D2619A"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634.2</w:t>
            </w:r>
          </w:p>
        </w:tc>
      </w:tr>
      <w:tr w:rsidR="00934E6B" w:rsidRPr="00A33AE8" w14:paraId="01074DC5"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07778BAC"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2672" w:type="dxa"/>
            <w:tcBorders>
              <w:top w:val="nil"/>
              <w:left w:val="nil"/>
              <w:bottom w:val="single" w:sz="4" w:space="0" w:color="auto"/>
              <w:right w:val="single" w:sz="8" w:space="0" w:color="auto"/>
            </w:tcBorders>
            <w:shd w:val="clear" w:color="auto" w:fill="auto"/>
            <w:noWrap/>
            <w:vAlign w:val="center"/>
            <w:hideMark/>
          </w:tcPr>
          <w:p w14:paraId="1035F511"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MW</w:t>
            </w:r>
          </w:p>
        </w:tc>
      </w:tr>
      <w:tr w:rsidR="00934E6B" w:rsidRPr="00A33AE8" w14:paraId="64A3D5D8"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103F21B6"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Average Net Exports</w:t>
            </w:r>
          </w:p>
        </w:tc>
        <w:tc>
          <w:tcPr>
            <w:tcW w:w="2672" w:type="dxa"/>
            <w:tcBorders>
              <w:top w:val="nil"/>
              <w:left w:val="nil"/>
              <w:bottom w:val="single" w:sz="4" w:space="0" w:color="auto"/>
              <w:right w:val="single" w:sz="8" w:space="0" w:color="auto"/>
            </w:tcBorders>
            <w:shd w:val="clear" w:color="000000" w:fill="DDEBF7"/>
            <w:noWrap/>
            <w:vAlign w:val="center"/>
            <w:hideMark/>
          </w:tcPr>
          <w:p w14:paraId="60FCFDDC"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72.6</w:t>
            </w:r>
          </w:p>
        </w:tc>
      </w:tr>
      <w:tr w:rsidR="00934E6B" w:rsidRPr="00A33AE8" w14:paraId="6967AFBA"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7C4FBDCB"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2672" w:type="dxa"/>
            <w:tcBorders>
              <w:top w:val="nil"/>
              <w:left w:val="nil"/>
              <w:bottom w:val="single" w:sz="4" w:space="0" w:color="auto"/>
              <w:right w:val="single" w:sz="8" w:space="0" w:color="auto"/>
            </w:tcBorders>
            <w:shd w:val="clear" w:color="auto" w:fill="auto"/>
            <w:noWrap/>
            <w:vAlign w:val="center"/>
            <w:hideMark/>
          </w:tcPr>
          <w:p w14:paraId="1A311E64"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Tons</w:t>
            </w:r>
          </w:p>
        </w:tc>
      </w:tr>
      <w:tr w:rsidR="00934E6B" w:rsidRPr="00A33AE8" w14:paraId="682A7EC7"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9CD64C3"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CO2 Emissions</w:t>
            </w:r>
          </w:p>
        </w:tc>
        <w:tc>
          <w:tcPr>
            <w:tcW w:w="2672" w:type="dxa"/>
            <w:tcBorders>
              <w:top w:val="nil"/>
              <w:left w:val="nil"/>
              <w:bottom w:val="single" w:sz="4" w:space="0" w:color="auto"/>
              <w:right w:val="single" w:sz="8" w:space="0" w:color="auto"/>
            </w:tcBorders>
            <w:shd w:val="clear" w:color="000000" w:fill="DDEBF7"/>
            <w:noWrap/>
            <w:vAlign w:val="center"/>
            <w:hideMark/>
          </w:tcPr>
          <w:p w14:paraId="679F5FC9"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20,146,493</w:t>
            </w:r>
          </w:p>
        </w:tc>
      </w:tr>
      <w:tr w:rsidR="00934E6B" w:rsidRPr="00A33AE8" w14:paraId="76B9BECD" w14:textId="77777777" w:rsidTr="00934E6B">
        <w:trPr>
          <w:trHeight w:val="20"/>
          <w:jc w:val="center"/>
        </w:trPr>
        <w:tc>
          <w:tcPr>
            <w:tcW w:w="3850" w:type="dxa"/>
            <w:tcBorders>
              <w:top w:val="nil"/>
              <w:left w:val="single" w:sz="8" w:space="0" w:color="auto"/>
              <w:bottom w:val="single" w:sz="4" w:space="0" w:color="auto"/>
              <w:right w:val="nil"/>
            </w:tcBorders>
            <w:shd w:val="clear" w:color="000000" w:fill="F2F2F2"/>
            <w:noWrap/>
            <w:vAlign w:val="center"/>
            <w:hideMark/>
          </w:tcPr>
          <w:p w14:paraId="414E938D"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lastRenderedPageBreak/>
              <w:t> </w:t>
            </w:r>
          </w:p>
        </w:tc>
        <w:tc>
          <w:tcPr>
            <w:tcW w:w="2672" w:type="dxa"/>
            <w:tcBorders>
              <w:top w:val="nil"/>
              <w:left w:val="nil"/>
              <w:bottom w:val="single" w:sz="4" w:space="0" w:color="auto"/>
              <w:right w:val="single" w:sz="8" w:space="0" w:color="auto"/>
            </w:tcBorders>
            <w:shd w:val="clear" w:color="auto" w:fill="auto"/>
            <w:noWrap/>
            <w:vAlign w:val="center"/>
            <w:hideMark/>
          </w:tcPr>
          <w:p w14:paraId="7E7F5A57"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M€</w:t>
            </w:r>
          </w:p>
        </w:tc>
      </w:tr>
      <w:tr w:rsidR="00934E6B" w:rsidRPr="00A33AE8" w14:paraId="345A7084" w14:textId="77777777" w:rsidTr="00934E6B">
        <w:trPr>
          <w:trHeight w:val="20"/>
          <w:jc w:val="center"/>
        </w:trPr>
        <w:tc>
          <w:tcPr>
            <w:tcW w:w="3850" w:type="dxa"/>
            <w:tcBorders>
              <w:top w:val="nil"/>
              <w:left w:val="single" w:sz="8" w:space="0" w:color="auto"/>
              <w:bottom w:val="single" w:sz="8" w:space="0" w:color="auto"/>
              <w:right w:val="nil"/>
            </w:tcBorders>
            <w:shd w:val="clear" w:color="000000" w:fill="F2F2F2"/>
            <w:vAlign w:val="center"/>
            <w:hideMark/>
          </w:tcPr>
          <w:p w14:paraId="4ED9C0C6"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Total simulated region annual Operational Cost</w:t>
            </w:r>
          </w:p>
        </w:tc>
        <w:tc>
          <w:tcPr>
            <w:tcW w:w="2672" w:type="dxa"/>
            <w:tcBorders>
              <w:top w:val="nil"/>
              <w:left w:val="nil"/>
              <w:bottom w:val="single" w:sz="8" w:space="0" w:color="auto"/>
              <w:right w:val="single" w:sz="8" w:space="0" w:color="auto"/>
            </w:tcBorders>
            <w:shd w:val="clear" w:color="000000" w:fill="DDEBF7"/>
            <w:noWrap/>
            <w:vAlign w:val="center"/>
            <w:hideMark/>
          </w:tcPr>
          <w:p w14:paraId="12C540FA"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8,820</w:t>
            </w:r>
          </w:p>
        </w:tc>
      </w:tr>
    </w:tbl>
    <w:p w14:paraId="2A295B7C" w14:textId="0A4D63E6" w:rsidR="009C31D8" w:rsidRDefault="009C31D8" w:rsidP="0087794A">
      <w:pPr>
        <w:pStyle w:val="Caption"/>
        <w:keepNext/>
        <w:spacing w:before="160" w:after="160"/>
      </w:pPr>
      <w:bookmarkStart w:id="691" w:name="_Toc153545086"/>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w:t>
      </w:r>
      <w:r w:rsidR="006E0533">
        <w:rPr>
          <w:noProof/>
        </w:rPr>
        <w:fldChar w:fldCharType="end"/>
      </w:r>
      <w:r w:rsidRPr="009C31D8">
        <w:t>: Scenario S PSP average annual results for Target Year 2030</w:t>
      </w:r>
      <w:bookmarkEnd w:id="691"/>
    </w:p>
    <w:tbl>
      <w:tblPr>
        <w:tblW w:w="7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3"/>
        <w:gridCol w:w="1705"/>
        <w:gridCol w:w="1901"/>
      </w:tblGrid>
      <w:tr w:rsidR="005B7A9D" w:rsidRPr="00A33AE8" w14:paraId="703B768F" w14:textId="77777777" w:rsidTr="0087794A">
        <w:trPr>
          <w:trHeight w:val="58"/>
          <w:jc w:val="center"/>
        </w:trPr>
        <w:tc>
          <w:tcPr>
            <w:tcW w:w="3483" w:type="dxa"/>
            <w:shd w:val="clear" w:color="000000" w:fill="D0CECE"/>
            <w:noWrap/>
            <w:vAlign w:val="bottom"/>
            <w:hideMark/>
          </w:tcPr>
          <w:p w14:paraId="3D5EAFEA" w14:textId="77777777" w:rsidR="005B7A9D" w:rsidRPr="00B727B5" w:rsidRDefault="005B7A9D" w:rsidP="007F4A03">
            <w:pPr>
              <w:spacing w:after="0" w:line="240" w:lineRule="auto"/>
              <w:rPr>
                <w:rFonts w:asciiTheme="majorHAnsi" w:hAnsiTheme="majorHAnsi" w:cstheme="majorHAnsi"/>
                <w:color w:val="000000"/>
                <w:sz w:val="20"/>
                <w:szCs w:val="20"/>
              </w:rPr>
            </w:pPr>
            <w:r w:rsidRPr="00B727B5">
              <w:rPr>
                <w:rFonts w:asciiTheme="majorHAnsi" w:hAnsiTheme="majorHAnsi" w:cstheme="majorHAnsi"/>
                <w:color w:val="000000"/>
                <w:sz w:val="20"/>
                <w:szCs w:val="20"/>
              </w:rPr>
              <w:t> </w:t>
            </w:r>
          </w:p>
        </w:tc>
        <w:tc>
          <w:tcPr>
            <w:tcW w:w="1705" w:type="dxa"/>
            <w:shd w:val="clear" w:color="000000" w:fill="1F497D"/>
            <w:vAlign w:val="center"/>
            <w:hideMark/>
          </w:tcPr>
          <w:p w14:paraId="748F7E5E" w14:textId="77777777" w:rsidR="005B7A9D" w:rsidRPr="00B727B5" w:rsidRDefault="005B7A9D" w:rsidP="007F4A03">
            <w:pPr>
              <w:spacing w:after="0" w:line="240" w:lineRule="auto"/>
              <w:jc w:val="center"/>
              <w:rPr>
                <w:rFonts w:asciiTheme="majorHAnsi" w:hAnsiTheme="majorHAnsi" w:cstheme="majorHAnsi"/>
                <w:color w:val="FFFFFF"/>
                <w:sz w:val="20"/>
                <w:szCs w:val="20"/>
              </w:rPr>
            </w:pPr>
            <w:r w:rsidRPr="00B727B5">
              <w:rPr>
                <w:rFonts w:asciiTheme="majorHAnsi" w:hAnsiTheme="majorHAnsi" w:cstheme="majorHAnsi"/>
                <w:color w:val="FFFFFF"/>
                <w:sz w:val="20"/>
                <w:szCs w:val="20"/>
              </w:rPr>
              <w:t>Turbine Power [MW]</w:t>
            </w:r>
          </w:p>
        </w:tc>
        <w:tc>
          <w:tcPr>
            <w:tcW w:w="1901" w:type="dxa"/>
            <w:shd w:val="clear" w:color="000000" w:fill="1F497D"/>
            <w:vAlign w:val="center"/>
            <w:hideMark/>
          </w:tcPr>
          <w:p w14:paraId="3FEFDE99" w14:textId="77777777" w:rsidR="005B7A9D" w:rsidRPr="00B727B5" w:rsidRDefault="005B7A9D" w:rsidP="007F4A03">
            <w:pPr>
              <w:spacing w:after="0" w:line="240" w:lineRule="auto"/>
              <w:jc w:val="center"/>
              <w:rPr>
                <w:rFonts w:asciiTheme="majorHAnsi" w:hAnsiTheme="majorHAnsi" w:cstheme="majorHAnsi"/>
                <w:color w:val="FFFFFF"/>
                <w:sz w:val="20"/>
                <w:szCs w:val="20"/>
              </w:rPr>
            </w:pPr>
            <w:r w:rsidRPr="00B727B5">
              <w:rPr>
                <w:rFonts w:asciiTheme="majorHAnsi" w:hAnsiTheme="majorHAnsi" w:cstheme="majorHAnsi"/>
                <w:color w:val="FFFFFF"/>
                <w:sz w:val="20"/>
                <w:szCs w:val="20"/>
              </w:rPr>
              <w:t>Annual turbining [MWh]</w:t>
            </w:r>
          </w:p>
        </w:tc>
      </w:tr>
      <w:tr w:rsidR="005B7A9D" w:rsidRPr="00A33AE8" w14:paraId="5605BAE3" w14:textId="77777777" w:rsidTr="0087794A">
        <w:trPr>
          <w:trHeight w:val="300"/>
          <w:jc w:val="center"/>
        </w:trPr>
        <w:tc>
          <w:tcPr>
            <w:tcW w:w="3483" w:type="dxa"/>
            <w:shd w:val="clear" w:color="000000" w:fill="404040"/>
            <w:noWrap/>
            <w:vAlign w:val="center"/>
            <w:hideMark/>
          </w:tcPr>
          <w:p w14:paraId="34404A21" w14:textId="77777777" w:rsidR="005B7A9D" w:rsidRPr="00B727B5" w:rsidRDefault="005B7A9D" w:rsidP="007F4A03">
            <w:pPr>
              <w:spacing w:after="0" w:line="240" w:lineRule="auto"/>
              <w:jc w:val="center"/>
              <w:rPr>
                <w:rFonts w:asciiTheme="majorHAnsi" w:hAnsiTheme="majorHAnsi" w:cstheme="majorHAnsi"/>
                <w:color w:val="FFFFFF"/>
                <w:sz w:val="20"/>
                <w:szCs w:val="20"/>
              </w:rPr>
            </w:pPr>
            <w:r w:rsidRPr="00B727B5">
              <w:rPr>
                <w:rFonts w:asciiTheme="majorHAnsi" w:hAnsiTheme="majorHAnsi" w:cstheme="majorHAnsi"/>
                <w:color w:val="FFFFFF"/>
                <w:sz w:val="20"/>
                <w:szCs w:val="20"/>
              </w:rPr>
              <w:t>PSP</w:t>
            </w:r>
          </w:p>
        </w:tc>
        <w:tc>
          <w:tcPr>
            <w:tcW w:w="1705" w:type="dxa"/>
            <w:shd w:val="clear" w:color="000000" w:fill="1F497D"/>
            <w:vAlign w:val="center"/>
            <w:hideMark/>
          </w:tcPr>
          <w:p w14:paraId="2168A955" w14:textId="77777777" w:rsidR="005B7A9D" w:rsidRPr="00B727B5" w:rsidRDefault="005B7A9D" w:rsidP="007F4A03">
            <w:pPr>
              <w:spacing w:after="0" w:line="240" w:lineRule="auto"/>
              <w:jc w:val="center"/>
              <w:rPr>
                <w:rFonts w:asciiTheme="majorHAnsi" w:hAnsiTheme="majorHAnsi" w:cstheme="majorHAnsi"/>
                <w:color w:val="FFFFFF"/>
                <w:sz w:val="20"/>
                <w:szCs w:val="20"/>
              </w:rPr>
            </w:pPr>
            <w:r w:rsidRPr="00B727B5">
              <w:rPr>
                <w:rFonts w:asciiTheme="majorHAnsi" w:hAnsiTheme="majorHAnsi" w:cstheme="majorHAnsi"/>
                <w:color w:val="FFFFFF"/>
                <w:sz w:val="20"/>
                <w:szCs w:val="20"/>
              </w:rPr>
              <w:t> </w:t>
            </w:r>
          </w:p>
        </w:tc>
        <w:tc>
          <w:tcPr>
            <w:tcW w:w="1901" w:type="dxa"/>
            <w:shd w:val="clear" w:color="000000" w:fill="1F497D"/>
            <w:vAlign w:val="center"/>
            <w:hideMark/>
          </w:tcPr>
          <w:p w14:paraId="4734F772" w14:textId="77777777" w:rsidR="005B7A9D" w:rsidRPr="00B727B5" w:rsidRDefault="005B7A9D" w:rsidP="007F4A03">
            <w:pPr>
              <w:spacing w:after="0" w:line="240" w:lineRule="auto"/>
              <w:jc w:val="center"/>
              <w:rPr>
                <w:rFonts w:asciiTheme="majorHAnsi" w:hAnsiTheme="majorHAnsi" w:cstheme="majorHAnsi"/>
                <w:color w:val="FFFFFF"/>
                <w:sz w:val="20"/>
                <w:szCs w:val="20"/>
              </w:rPr>
            </w:pPr>
            <w:r w:rsidRPr="00B727B5">
              <w:rPr>
                <w:rFonts w:asciiTheme="majorHAnsi" w:hAnsiTheme="majorHAnsi" w:cstheme="majorHAnsi"/>
                <w:color w:val="FFFFFF"/>
                <w:sz w:val="20"/>
                <w:szCs w:val="20"/>
              </w:rPr>
              <w:t> </w:t>
            </w:r>
          </w:p>
        </w:tc>
      </w:tr>
      <w:tr w:rsidR="005B7A9D" w:rsidRPr="00A33AE8" w14:paraId="628F38D4" w14:textId="77777777" w:rsidTr="0087794A">
        <w:trPr>
          <w:trHeight w:val="288"/>
          <w:jc w:val="center"/>
        </w:trPr>
        <w:tc>
          <w:tcPr>
            <w:tcW w:w="3483" w:type="dxa"/>
            <w:shd w:val="clear" w:color="000000" w:fill="D0CECE"/>
            <w:noWrap/>
            <w:vAlign w:val="bottom"/>
            <w:hideMark/>
          </w:tcPr>
          <w:p w14:paraId="34DF7493" w14:textId="77777777" w:rsidR="005B7A9D" w:rsidRPr="00B727B5" w:rsidRDefault="005B7A9D" w:rsidP="007F4A03">
            <w:pPr>
              <w:spacing w:after="0" w:line="240" w:lineRule="auto"/>
              <w:rPr>
                <w:rFonts w:asciiTheme="majorHAnsi" w:hAnsiTheme="majorHAnsi" w:cstheme="majorHAnsi"/>
                <w:color w:val="000000"/>
                <w:sz w:val="20"/>
                <w:szCs w:val="20"/>
              </w:rPr>
            </w:pPr>
            <w:r w:rsidRPr="00B727B5">
              <w:rPr>
                <w:rFonts w:asciiTheme="majorHAnsi" w:hAnsiTheme="majorHAnsi" w:cstheme="majorHAnsi"/>
                <w:color w:val="000000"/>
                <w:sz w:val="20"/>
                <w:szCs w:val="20"/>
              </w:rPr>
              <w:t>PHPP Bajina Basta</w:t>
            </w:r>
          </w:p>
        </w:tc>
        <w:tc>
          <w:tcPr>
            <w:tcW w:w="1705" w:type="dxa"/>
            <w:shd w:val="clear" w:color="auto" w:fill="auto"/>
            <w:noWrap/>
            <w:vAlign w:val="bottom"/>
            <w:hideMark/>
          </w:tcPr>
          <w:p w14:paraId="7B880AA2" w14:textId="77777777" w:rsidR="005B7A9D" w:rsidRPr="00B727B5" w:rsidRDefault="005B7A9D" w:rsidP="007F4A03">
            <w:pPr>
              <w:spacing w:after="0" w:line="240" w:lineRule="auto"/>
              <w:jc w:val="center"/>
              <w:rPr>
                <w:rFonts w:asciiTheme="majorHAnsi" w:hAnsiTheme="majorHAnsi" w:cstheme="majorHAnsi"/>
                <w:color w:val="000000"/>
                <w:sz w:val="20"/>
                <w:szCs w:val="20"/>
              </w:rPr>
            </w:pPr>
            <w:r w:rsidRPr="00B727B5">
              <w:rPr>
                <w:rFonts w:asciiTheme="majorHAnsi" w:hAnsiTheme="majorHAnsi" w:cstheme="majorHAnsi"/>
                <w:color w:val="000000"/>
                <w:sz w:val="20"/>
                <w:szCs w:val="20"/>
              </w:rPr>
              <w:t>616</w:t>
            </w:r>
          </w:p>
        </w:tc>
        <w:tc>
          <w:tcPr>
            <w:tcW w:w="1901" w:type="dxa"/>
            <w:shd w:val="clear" w:color="auto" w:fill="auto"/>
            <w:noWrap/>
            <w:vAlign w:val="bottom"/>
            <w:hideMark/>
          </w:tcPr>
          <w:p w14:paraId="2D0CE3E3" w14:textId="77777777" w:rsidR="005B7A9D" w:rsidRPr="00B727B5" w:rsidRDefault="005B7A9D" w:rsidP="007F4A03">
            <w:pPr>
              <w:spacing w:after="0" w:line="240" w:lineRule="auto"/>
              <w:jc w:val="center"/>
              <w:rPr>
                <w:rFonts w:asciiTheme="majorHAnsi" w:hAnsiTheme="majorHAnsi" w:cstheme="majorHAnsi"/>
                <w:color w:val="000000"/>
                <w:sz w:val="20"/>
                <w:szCs w:val="20"/>
              </w:rPr>
            </w:pPr>
            <w:r w:rsidRPr="00B727B5">
              <w:rPr>
                <w:rFonts w:asciiTheme="majorHAnsi" w:hAnsiTheme="majorHAnsi" w:cstheme="majorHAnsi"/>
                <w:color w:val="000000"/>
                <w:sz w:val="20"/>
                <w:szCs w:val="20"/>
              </w:rPr>
              <w:t>33,855</w:t>
            </w:r>
          </w:p>
        </w:tc>
      </w:tr>
    </w:tbl>
    <w:p w14:paraId="2B841427" w14:textId="0EF80867" w:rsidR="00934E6B" w:rsidRPr="000007D2" w:rsidRDefault="00934E6B" w:rsidP="00884F3B">
      <w:pPr>
        <w:pStyle w:val="Heading4"/>
        <w:numPr>
          <w:ilvl w:val="0"/>
          <w:numId w:val="247"/>
        </w:numPr>
      </w:pPr>
      <w:r w:rsidRPr="000007D2">
        <w:t>Scenario-S analysis for 2040</w:t>
      </w:r>
    </w:p>
    <w:p w14:paraId="0505EEAB" w14:textId="77777777" w:rsidR="00934E6B" w:rsidRPr="00A33AE8" w:rsidRDefault="009E2CB0" w:rsidP="000007D2">
      <w:pPr>
        <w:pStyle w:val="ListParagraph"/>
        <w:ind w:left="0"/>
      </w:pPr>
      <w:r w:rsidRPr="009E2CB0">
        <w:rPr>
          <w:rFonts w:ascii="Calibri Light" w:hAnsi="Calibri Light" w:cs="Calibri Light"/>
          <w:szCs w:val="20"/>
          <w:lang w:eastAsia="el-GR"/>
        </w:rPr>
        <w:t>For the analysis in 2040</w:t>
      </w:r>
      <w:r>
        <w:rPr>
          <w:rFonts w:ascii="Calibri Light" w:hAnsi="Calibri Light" w:cs="Calibri Light"/>
          <w:szCs w:val="20"/>
          <w:lang w:eastAsia="el-GR"/>
        </w:rPr>
        <w:t>, t</w:t>
      </w:r>
      <w:r w:rsidR="00934E6B" w:rsidRPr="009E2CB0">
        <w:rPr>
          <w:rFonts w:ascii="Calibri Light" w:hAnsi="Calibri Light" w:cs="Calibri Light"/>
          <w:szCs w:val="20"/>
          <w:lang w:eastAsia="el-GR"/>
        </w:rPr>
        <w:t>he variable RES capacities, lignite capacities and net annual generation of lignite plants are used as an input to the hourly model.</w:t>
      </w:r>
    </w:p>
    <w:p w14:paraId="4FA1C912" w14:textId="77777777" w:rsidR="00934E6B" w:rsidRPr="00A33AE8" w:rsidRDefault="00934E6B" w:rsidP="00934E6B">
      <w:pPr>
        <w:rPr>
          <w:rFonts w:ascii="Calibri Light" w:hAnsi="Calibri Light" w:cs="Calibri Light"/>
          <w:szCs w:val="20"/>
          <w:lang w:eastAsia="el-GR"/>
        </w:rPr>
      </w:pPr>
      <w:r w:rsidRPr="00A33AE8">
        <w:rPr>
          <w:rFonts w:ascii="Calibri Light" w:hAnsi="Calibri Light" w:cs="Calibri Light"/>
          <w:szCs w:val="20"/>
          <w:lang w:eastAsia="el-GR"/>
        </w:rPr>
        <w:t>There are three pump-hydro storage units available in the system in 2040:</w:t>
      </w:r>
    </w:p>
    <w:p w14:paraId="0CABA52A" w14:textId="77777777" w:rsidR="00934E6B" w:rsidRPr="00A33AE8" w:rsidRDefault="00934E6B" w:rsidP="00934E6B">
      <w:pPr>
        <w:pStyle w:val="LDKBullets-main"/>
      </w:pPr>
      <w:r w:rsidRPr="00A33AE8">
        <w:t>PHPP Bajina Basta (616 MW turbining capacity)</w:t>
      </w:r>
    </w:p>
    <w:p w14:paraId="2FEBE5C5" w14:textId="77777777" w:rsidR="00934E6B" w:rsidRPr="00A33AE8" w:rsidRDefault="00934E6B" w:rsidP="00934E6B">
      <w:pPr>
        <w:pStyle w:val="LDKBullets-main"/>
      </w:pPr>
      <w:r w:rsidRPr="00A33AE8">
        <w:t>PHPP Bistrica (680 MW turbining capacity)</w:t>
      </w:r>
    </w:p>
    <w:p w14:paraId="07DA822C" w14:textId="77777777" w:rsidR="00934E6B" w:rsidRPr="00A33AE8" w:rsidRDefault="00934E6B" w:rsidP="000007D2">
      <w:pPr>
        <w:pStyle w:val="LDKBullets-main"/>
        <w:spacing w:after="120"/>
        <w:ind w:left="357" w:hanging="357"/>
      </w:pPr>
      <w:r w:rsidRPr="00A33AE8">
        <w:t>Djerdap 3 (600MW turbining capacity)</w:t>
      </w:r>
    </w:p>
    <w:p w14:paraId="64C09006" w14:textId="76AF9528" w:rsidR="00934E6B" w:rsidRPr="00A33AE8" w:rsidRDefault="00934E6B" w:rsidP="00934E6B">
      <w:pPr>
        <w:jc w:val="both"/>
        <w:rPr>
          <w:rFonts w:ascii="Calibri Light" w:hAnsi="Calibri Light" w:cs="Calibri Light"/>
          <w:szCs w:val="20"/>
          <w:lang w:eastAsia="el-GR"/>
        </w:rPr>
      </w:pPr>
      <w:r w:rsidRPr="00A33AE8">
        <w:rPr>
          <w:rFonts w:ascii="Calibri Light" w:hAnsi="Calibri Light" w:cs="Calibri Light"/>
          <w:szCs w:val="20"/>
          <w:lang w:eastAsia="el-GR"/>
        </w:rPr>
        <w:t>The main results can be seen in</w:t>
      </w:r>
      <w:r w:rsidR="00F350A6">
        <w:rPr>
          <w:rFonts w:ascii="Calibri Light" w:hAnsi="Calibri Light" w:cs="Calibri Light"/>
          <w:szCs w:val="20"/>
          <w:lang w:eastAsia="el-GR"/>
        </w:rPr>
        <w:t xml:space="preserve"> </w:t>
      </w:r>
      <w:r w:rsidR="00F350A6">
        <w:rPr>
          <w:rFonts w:ascii="Calibri Light" w:hAnsi="Calibri Light" w:cs="Calibri Light"/>
          <w:szCs w:val="20"/>
          <w:lang w:eastAsia="el-GR"/>
        </w:rPr>
        <w:fldChar w:fldCharType="begin"/>
      </w:r>
      <w:r w:rsidR="00F350A6">
        <w:rPr>
          <w:rFonts w:ascii="Calibri Light" w:hAnsi="Calibri Light" w:cs="Calibri Light"/>
          <w:szCs w:val="20"/>
          <w:lang w:eastAsia="el-GR"/>
        </w:rPr>
        <w:instrText xml:space="preserve"> REF _Ref153533612 \h  \* MERGEFORMAT </w:instrText>
      </w:r>
      <w:r w:rsidR="00F350A6">
        <w:rPr>
          <w:rFonts w:ascii="Calibri Light" w:hAnsi="Calibri Light" w:cs="Calibri Light"/>
          <w:szCs w:val="20"/>
          <w:lang w:eastAsia="el-GR"/>
        </w:rPr>
      </w:r>
      <w:r w:rsidR="00F350A6">
        <w:rPr>
          <w:rFonts w:ascii="Calibri Light" w:hAnsi="Calibri Light" w:cs="Calibri Light"/>
          <w:szCs w:val="20"/>
          <w:lang w:eastAsia="el-GR"/>
        </w:rPr>
        <w:fldChar w:fldCharType="separate"/>
      </w:r>
      <w:r w:rsidR="00F350A6" w:rsidRPr="0087794A">
        <w:rPr>
          <w:rFonts w:ascii="Calibri Light" w:hAnsi="Calibri Light" w:cs="Calibri Light"/>
          <w:szCs w:val="20"/>
          <w:lang w:eastAsia="el-GR"/>
        </w:rPr>
        <w:t>Table II.3</w:t>
      </w:r>
      <w:r w:rsidR="00F350A6">
        <w:rPr>
          <w:rFonts w:ascii="Calibri Light" w:hAnsi="Calibri Light" w:cs="Calibri Light"/>
          <w:szCs w:val="20"/>
          <w:lang w:eastAsia="el-GR"/>
        </w:rPr>
        <w:fldChar w:fldCharType="end"/>
      </w:r>
      <w:r w:rsidRPr="00A33AE8">
        <w:rPr>
          <w:rFonts w:ascii="Calibri Light" w:hAnsi="Calibri Light" w:cs="Calibri Light"/>
          <w:szCs w:val="20"/>
          <w:lang w:eastAsia="el-GR"/>
        </w:rPr>
        <w:t xml:space="preserve">. Unsupplied energy is zero, signifying generation adequacy of the system. The annual lignite-based generation is 10.6 TWh. It can be seen that the spilled energy is </w:t>
      </w:r>
      <w:r w:rsidRPr="000007D2">
        <w:rPr>
          <w:rFonts w:ascii="Calibri Light" w:hAnsi="Calibri Light" w:cs="Calibri Light"/>
          <w:szCs w:val="20"/>
          <w:lang w:eastAsia="el-GR"/>
        </w:rPr>
        <w:t>negligible (0.01% of the total available wind and solar generation)</w:t>
      </w:r>
      <w:r w:rsidRPr="00A33AE8">
        <w:rPr>
          <w:rFonts w:ascii="Calibri Light" w:hAnsi="Calibri Light" w:cs="Calibri Light"/>
          <w:szCs w:val="20"/>
          <w:lang w:eastAsia="el-GR"/>
        </w:rPr>
        <w:t>,</w:t>
      </w:r>
      <w:r w:rsidRPr="000007D2">
        <w:rPr>
          <w:rFonts w:ascii="Calibri Light" w:hAnsi="Calibri Light" w:cs="Calibri Light"/>
          <w:szCs w:val="20"/>
          <w:lang w:eastAsia="el-GR"/>
        </w:rPr>
        <w:t xml:space="preserve"> therefore the system is</w:t>
      </w:r>
      <w:r w:rsidRPr="00A33AE8">
        <w:rPr>
          <w:rFonts w:ascii="Calibri Light" w:hAnsi="Calibri Light" w:cs="Calibri Light"/>
          <w:szCs w:val="20"/>
          <w:lang w:eastAsia="el-GR"/>
        </w:rPr>
        <w:t xml:space="preserve"> flexible enough to accommodate the modelled variable RES capacities, at least at the Day-Ahead market level. On an annual basis, the Serbian system exports 1.1 TWh, or 128 MWh on average hourly.</w:t>
      </w:r>
    </w:p>
    <w:p w14:paraId="2969A327" w14:textId="6E7B26D3" w:rsidR="00F350A6" w:rsidRDefault="00F350A6" w:rsidP="0087794A">
      <w:pPr>
        <w:pStyle w:val="Caption"/>
        <w:keepNext/>
        <w:spacing w:after="160"/>
      </w:pPr>
      <w:bookmarkStart w:id="692" w:name="_Ref153533612"/>
      <w:bookmarkStart w:id="693" w:name="_Toc153545087"/>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3</w:t>
      </w:r>
      <w:r w:rsidR="006E0533">
        <w:rPr>
          <w:noProof/>
        </w:rPr>
        <w:fldChar w:fldCharType="end"/>
      </w:r>
      <w:bookmarkEnd w:id="692"/>
      <w:r w:rsidRPr="00F350A6">
        <w:t>: Scenario S average general results for Target Year 2040</w:t>
      </w:r>
      <w:bookmarkEnd w:id="693"/>
    </w:p>
    <w:tbl>
      <w:tblPr>
        <w:tblW w:w="6011" w:type="dxa"/>
        <w:jc w:val="center"/>
        <w:tblLook w:val="04A0" w:firstRow="1" w:lastRow="0" w:firstColumn="1" w:lastColumn="0" w:noHBand="0" w:noVBand="1"/>
      </w:tblPr>
      <w:tblGrid>
        <w:gridCol w:w="4108"/>
        <w:gridCol w:w="1903"/>
      </w:tblGrid>
      <w:tr w:rsidR="00934E6B" w:rsidRPr="00A33AE8" w14:paraId="778A5D0F" w14:textId="77777777" w:rsidTr="00934E6B">
        <w:trPr>
          <w:trHeight w:val="20"/>
          <w:jc w:val="center"/>
        </w:trPr>
        <w:tc>
          <w:tcPr>
            <w:tcW w:w="4108" w:type="dxa"/>
            <w:tcBorders>
              <w:top w:val="single" w:sz="4" w:space="0" w:color="auto"/>
              <w:left w:val="nil"/>
              <w:bottom w:val="nil"/>
              <w:right w:val="single" w:sz="8" w:space="0" w:color="auto"/>
            </w:tcBorders>
            <w:shd w:val="clear" w:color="000000" w:fill="404040"/>
            <w:noWrap/>
            <w:vAlign w:val="center"/>
            <w:hideMark/>
          </w:tcPr>
          <w:p w14:paraId="3157C71B" w14:textId="77777777" w:rsidR="00934E6B" w:rsidRPr="000007D2" w:rsidRDefault="00934E6B" w:rsidP="00956278">
            <w:pPr>
              <w:spacing w:after="0" w:line="240" w:lineRule="auto"/>
              <w:jc w:val="center"/>
              <w:rPr>
                <w:rFonts w:asciiTheme="majorHAnsi" w:hAnsiTheme="majorHAnsi" w:cstheme="majorHAnsi"/>
                <w:color w:val="FFFFFF"/>
                <w:sz w:val="20"/>
                <w:szCs w:val="20"/>
              </w:rPr>
            </w:pPr>
            <w:r w:rsidRPr="000007D2">
              <w:rPr>
                <w:rFonts w:asciiTheme="majorHAnsi" w:hAnsiTheme="majorHAnsi" w:cstheme="majorHAnsi"/>
                <w:color w:val="FFFFFF"/>
                <w:sz w:val="20"/>
                <w:szCs w:val="20"/>
              </w:rPr>
              <w:t>Title</w:t>
            </w:r>
          </w:p>
        </w:tc>
        <w:tc>
          <w:tcPr>
            <w:tcW w:w="1903" w:type="dxa"/>
            <w:tcBorders>
              <w:top w:val="single" w:sz="8" w:space="0" w:color="auto"/>
              <w:left w:val="single" w:sz="8" w:space="0" w:color="auto"/>
              <w:bottom w:val="single" w:sz="4" w:space="0" w:color="auto"/>
              <w:right w:val="single" w:sz="8" w:space="0" w:color="auto"/>
            </w:tcBorders>
            <w:shd w:val="clear" w:color="000000" w:fill="1F497D"/>
            <w:vAlign w:val="center"/>
            <w:hideMark/>
          </w:tcPr>
          <w:p w14:paraId="0F7E3380" w14:textId="77777777" w:rsidR="00934E6B" w:rsidRPr="000007D2" w:rsidRDefault="00934E6B" w:rsidP="00956278">
            <w:pPr>
              <w:spacing w:after="0" w:line="240" w:lineRule="auto"/>
              <w:jc w:val="center"/>
              <w:rPr>
                <w:rFonts w:asciiTheme="majorHAnsi" w:hAnsiTheme="majorHAnsi" w:cstheme="majorHAnsi"/>
                <w:color w:val="FFFFFF"/>
                <w:sz w:val="20"/>
                <w:szCs w:val="20"/>
              </w:rPr>
            </w:pPr>
            <w:r w:rsidRPr="000007D2">
              <w:rPr>
                <w:rFonts w:asciiTheme="majorHAnsi" w:hAnsiTheme="majorHAnsi" w:cstheme="majorHAnsi"/>
                <w:color w:val="FFFFFF"/>
                <w:sz w:val="20"/>
                <w:szCs w:val="20"/>
              </w:rPr>
              <w:t>Scenario S</w:t>
            </w:r>
          </w:p>
        </w:tc>
      </w:tr>
      <w:tr w:rsidR="00811BDE" w:rsidRPr="00A33AE8" w14:paraId="7F8FA81C" w14:textId="77777777" w:rsidTr="00934E6B">
        <w:trPr>
          <w:trHeight w:val="20"/>
          <w:jc w:val="center"/>
        </w:trPr>
        <w:tc>
          <w:tcPr>
            <w:tcW w:w="410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221050F"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1903" w:type="dxa"/>
            <w:tcBorders>
              <w:top w:val="nil"/>
              <w:left w:val="single" w:sz="8" w:space="0" w:color="auto"/>
              <w:bottom w:val="single" w:sz="4" w:space="0" w:color="auto"/>
              <w:right w:val="single" w:sz="8" w:space="0" w:color="auto"/>
            </w:tcBorders>
            <w:shd w:val="clear" w:color="auto" w:fill="auto"/>
            <w:noWrap/>
            <w:vAlign w:val="bottom"/>
            <w:hideMark/>
          </w:tcPr>
          <w:p w14:paraId="17CBC6A0"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GWh</w:t>
            </w:r>
          </w:p>
        </w:tc>
      </w:tr>
      <w:tr w:rsidR="00934E6B" w:rsidRPr="00A33AE8" w14:paraId="2444C758"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45313F05"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Demand</w:t>
            </w:r>
          </w:p>
        </w:tc>
        <w:tc>
          <w:tcPr>
            <w:tcW w:w="1903" w:type="dxa"/>
            <w:tcBorders>
              <w:top w:val="nil"/>
              <w:left w:val="nil"/>
              <w:bottom w:val="single" w:sz="4" w:space="0" w:color="auto"/>
              <w:right w:val="single" w:sz="4" w:space="0" w:color="auto"/>
            </w:tcBorders>
            <w:shd w:val="clear" w:color="000000" w:fill="DDEBF7"/>
            <w:noWrap/>
            <w:vAlign w:val="bottom"/>
            <w:hideMark/>
          </w:tcPr>
          <w:p w14:paraId="0D4B7E9B"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44,575.7</w:t>
            </w:r>
          </w:p>
        </w:tc>
      </w:tr>
      <w:tr w:rsidR="00811BDE" w:rsidRPr="00A33AE8" w14:paraId="2F728B99"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7DA035EF"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Lignite</w:t>
            </w:r>
          </w:p>
        </w:tc>
        <w:tc>
          <w:tcPr>
            <w:tcW w:w="1903" w:type="dxa"/>
            <w:tcBorders>
              <w:top w:val="nil"/>
              <w:left w:val="nil"/>
              <w:bottom w:val="single" w:sz="4" w:space="0" w:color="auto"/>
              <w:right w:val="single" w:sz="4" w:space="0" w:color="auto"/>
            </w:tcBorders>
            <w:shd w:val="clear" w:color="auto" w:fill="auto"/>
            <w:noWrap/>
            <w:vAlign w:val="bottom"/>
            <w:hideMark/>
          </w:tcPr>
          <w:p w14:paraId="06421028"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10,630.9</w:t>
            </w:r>
          </w:p>
        </w:tc>
      </w:tr>
      <w:tr w:rsidR="00934E6B" w:rsidRPr="00A33AE8" w14:paraId="1EC96F98"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586247D8"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Gas</w:t>
            </w:r>
          </w:p>
        </w:tc>
        <w:tc>
          <w:tcPr>
            <w:tcW w:w="1903" w:type="dxa"/>
            <w:tcBorders>
              <w:top w:val="nil"/>
              <w:left w:val="nil"/>
              <w:bottom w:val="single" w:sz="4" w:space="0" w:color="auto"/>
              <w:right w:val="single" w:sz="4" w:space="0" w:color="auto"/>
            </w:tcBorders>
            <w:shd w:val="clear" w:color="000000" w:fill="DDEBF7"/>
            <w:noWrap/>
            <w:vAlign w:val="bottom"/>
            <w:hideMark/>
          </w:tcPr>
          <w:p w14:paraId="4D6B0C73"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2,837.7</w:t>
            </w:r>
          </w:p>
        </w:tc>
      </w:tr>
      <w:tr w:rsidR="00811BDE" w:rsidRPr="00A33AE8" w14:paraId="050D6E37"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30CAEF90"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Hydro</w:t>
            </w:r>
          </w:p>
        </w:tc>
        <w:tc>
          <w:tcPr>
            <w:tcW w:w="1903" w:type="dxa"/>
            <w:tcBorders>
              <w:top w:val="nil"/>
              <w:left w:val="nil"/>
              <w:bottom w:val="single" w:sz="4" w:space="0" w:color="auto"/>
              <w:right w:val="single" w:sz="4" w:space="0" w:color="auto"/>
            </w:tcBorders>
            <w:shd w:val="clear" w:color="auto" w:fill="auto"/>
            <w:noWrap/>
            <w:vAlign w:val="bottom"/>
            <w:hideMark/>
          </w:tcPr>
          <w:p w14:paraId="74553CE1"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13,604.0</w:t>
            </w:r>
          </w:p>
        </w:tc>
      </w:tr>
      <w:tr w:rsidR="00934E6B" w:rsidRPr="00A33AE8" w14:paraId="3BFBA665"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6F49EBCD"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Wind</w:t>
            </w:r>
          </w:p>
        </w:tc>
        <w:tc>
          <w:tcPr>
            <w:tcW w:w="1903" w:type="dxa"/>
            <w:tcBorders>
              <w:top w:val="nil"/>
              <w:left w:val="nil"/>
              <w:bottom w:val="single" w:sz="4" w:space="0" w:color="auto"/>
              <w:right w:val="single" w:sz="4" w:space="0" w:color="auto"/>
            </w:tcBorders>
            <w:shd w:val="clear" w:color="000000" w:fill="DDEBF7"/>
            <w:noWrap/>
            <w:vAlign w:val="bottom"/>
            <w:hideMark/>
          </w:tcPr>
          <w:p w14:paraId="01E7FDAE"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8,114.0</w:t>
            </w:r>
          </w:p>
        </w:tc>
      </w:tr>
      <w:tr w:rsidR="00811BDE" w:rsidRPr="00A33AE8" w14:paraId="1BE4C932"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402B54A6"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Solar</w:t>
            </w:r>
          </w:p>
        </w:tc>
        <w:tc>
          <w:tcPr>
            <w:tcW w:w="1903" w:type="dxa"/>
            <w:tcBorders>
              <w:top w:val="nil"/>
              <w:left w:val="nil"/>
              <w:bottom w:val="single" w:sz="4" w:space="0" w:color="auto"/>
              <w:right w:val="single" w:sz="4" w:space="0" w:color="auto"/>
            </w:tcBorders>
            <w:shd w:val="clear" w:color="auto" w:fill="auto"/>
            <w:noWrap/>
            <w:vAlign w:val="bottom"/>
            <w:hideMark/>
          </w:tcPr>
          <w:p w14:paraId="595B3A9F"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9,939.5</w:t>
            </w:r>
          </w:p>
        </w:tc>
      </w:tr>
      <w:tr w:rsidR="00934E6B" w:rsidRPr="00A33AE8" w14:paraId="616B638F"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vAlign w:val="bottom"/>
            <w:hideMark/>
          </w:tcPr>
          <w:p w14:paraId="33073811"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Small CHP, Biomas, etc.)</w:t>
            </w:r>
          </w:p>
        </w:tc>
        <w:tc>
          <w:tcPr>
            <w:tcW w:w="1903" w:type="dxa"/>
            <w:tcBorders>
              <w:top w:val="nil"/>
              <w:left w:val="nil"/>
              <w:bottom w:val="single" w:sz="4" w:space="0" w:color="auto"/>
              <w:right w:val="single" w:sz="4" w:space="0" w:color="auto"/>
            </w:tcBorders>
            <w:shd w:val="clear" w:color="000000" w:fill="DDEBF7"/>
            <w:noWrap/>
            <w:vAlign w:val="bottom"/>
            <w:hideMark/>
          </w:tcPr>
          <w:p w14:paraId="36FEA0CB"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1,501.7</w:t>
            </w:r>
          </w:p>
        </w:tc>
      </w:tr>
      <w:tr w:rsidR="00811BDE" w:rsidRPr="00A33AE8" w14:paraId="0E38F235"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6FD760A7"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14:paraId="34A3E29A"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GWh</w:t>
            </w:r>
          </w:p>
        </w:tc>
      </w:tr>
      <w:tr w:rsidR="00934E6B" w:rsidRPr="00A33AE8" w14:paraId="4C303021"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39B0A0F0"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Spilled Energy</w:t>
            </w:r>
          </w:p>
        </w:tc>
        <w:tc>
          <w:tcPr>
            <w:tcW w:w="1903" w:type="dxa"/>
            <w:tcBorders>
              <w:top w:val="nil"/>
              <w:left w:val="nil"/>
              <w:bottom w:val="single" w:sz="4" w:space="0" w:color="auto"/>
              <w:right w:val="single" w:sz="4" w:space="0" w:color="auto"/>
            </w:tcBorders>
            <w:shd w:val="clear" w:color="000000" w:fill="DDEBF7"/>
            <w:noWrap/>
            <w:vAlign w:val="bottom"/>
            <w:hideMark/>
          </w:tcPr>
          <w:p w14:paraId="481AEE2E"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2.5</w:t>
            </w:r>
          </w:p>
        </w:tc>
      </w:tr>
      <w:tr w:rsidR="00811BDE" w:rsidRPr="00A33AE8" w14:paraId="25CCEE8B"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6FB33E86"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Storage losses</w:t>
            </w:r>
          </w:p>
        </w:tc>
        <w:tc>
          <w:tcPr>
            <w:tcW w:w="1903" w:type="dxa"/>
            <w:tcBorders>
              <w:top w:val="nil"/>
              <w:left w:val="nil"/>
              <w:bottom w:val="single" w:sz="4" w:space="0" w:color="auto"/>
              <w:right w:val="single" w:sz="4" w:space="0" w:color="auto"/>
            </w:tcBorders>
            <w:shd w:val="clear" w:color="auto" w:fill="auto"/>
            <w:noWrap/>
            <w:vAlign w:val="bottom"/>
            <w:hideMark/>
          </w:tcPr>
          <w:p w14:paraId="4A728108"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929.4</w:t>
            </w:r>
          </w:p>
        </w:tc>
      </w:tr>
      <w:tr w:rsidR="00934E6B" w:rsidRPr="00A33AE8" w14:paraId="194C114F"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41E80DC8"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Unsupplied Energy</w:t>
            </w:r>
          </w:p>
        </w:tc>
        <w:tc>
          <w:tcPr>
            <w:tcW w:w="1903" w:type="dxa"/>
            <w:tcBorders>
              <w:top w:val="nil"/>
              <w:left w:val="nil"/>
              <w:bottom w:val="single" w:sz="4" w:space="0" w:color="auto"/>
              <w:right w:val="single" w:sz="4" w:space="0" w:color="auto"/>
            </w:tcBorders>
            <w:shd w:val="clear" w:color="000000" w:fill="DDEBF7"/>
            <w:noWrap/>
            <w:vAlign w:val="bottom"/>
            <w:hideMark/>
          </w:tcPr>
          <w:p w14:paraId="7E658FD6"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0.0</w:t>
            </w:r>
          </w:p>
        </w:tc>
      </w:tr>
      <w:tr w:rsidR="00811BDE" w:rsidRPr="00A33AE8" w14:paraId="442C15C9"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1640D440"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Net annual exports</w:t>
            </w:r>
          </w:p>
        </w:tc>
        <w:tc>
          <w:tcPr>
            <w:tcW w:w="1903" w:type="dxa"/>
            <w:tcBorders>
              <w:top w:val="nil"/>
              <w:left w:val="nil"/>
              <w:bottom w:val="single" w:sz="4" w:space="0" w:color="auto"/>
              <w:right w:val="single" w:sz="4" w:space="0" w:color="auto"/>
            </w:tcBorders>
            <w:shd w:val="clear" w:color="auto" w:fill="auto"/>
            <w:noWrap/>
            <w:vAlign w:val="bottom"/>
            <w:hideMark/>
          </w:tcPr>
          <w:p w14:paraId="501B58D7" w14:textId="77777777" w:rsidR="00934E6B" w:rsidRPr="000007D2" w:rsidRDefault="00934E6B" w:rsidP="00956278">
            <w:pPr>
              <w:spacing w:after="0" w:line="240" w:lineRule="auto"/>
              <w:jc w:val="right"/>
              <w:rPr>
                <w:rFonts w:asciiTheme="majorHAnsi" w:hAnsiTheme="majorHAnsi" w:cstheme="majorHAnsi"/>
                <w:sz w:val="20"/>
                <w:szCs w:val="20"/>
              </w:rPr>
            </w:pPr>
            <w:r w:rsidRPr="000007D2">
              <w:rPr>
                <w:rFonts w:asciiTheme="majorHAnsi" w:hAnsiTheme="majorHAnsi" w:cstheme="majorHAnsi"/>
                <w:sz w:val="20"/>
                <w:szCs w:val="20"/>
              </w:rPr>
              <w:t>1,120.3</w:t>
            </w:r>
          </w:p>
        </w:tc>
      </w:tr>
      <w:tr w:rsidR="00811BDE" w:rsidRPr="00A33AE8" w14:paraId="265DFD5E"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6A4C8626"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14:paraId="14C3609C"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MW</w:t>
            </w:r>
          </w:p>
        </w:tc>
      </w:tr>
      <w:tr w:rsidR="00934E6B" w:rsidRPr="00A33AE8" w14:paraId="15BD3949"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7ECDB791"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Average Net Exports</w:t>
            </w:r>
          </w:p>
        </w:tc>
        <w:tc>
          <w:tcPr>
            <w:tcW w:w="1903" w:type="dxa"/>
            <w:tcBorders>
              <w:top w:val="nil"/>
              <w:left w:val="nil"/>
              <w:bottom w:val="single" w:sz="4" w:space="0" w:color="auto"/>
              <w:right w:val="single" w:sz="4" w:space="0" w:color="auto"/>
            </w:tcBorders>
            <w:shd w:val="clear" w:color="000000" w:fill="DDEBF7"/>
            <w:noWrap/>
            <w:vAlign w:val="bottom"/>
            <w:hideMark/>
          </w:tcPr>
          <w:p w14:paraId="35082D43" w14:textId="77777777" w:rsidR="00934E6B" w:rsidRPr="000007D2" w:rsidRDefault="00934E6B" w:rsidP="00956278">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128.2</w:t>
            </w:r>
          </w:p>
        </w:tc>
      </w:tr>
      <w:tr w:rsidR="00811BDE" w:rsidRPr="00A33AE8" w14:paraId="041512F5"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174B661C"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14:paraId="429909AD"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Tons</w:t>
            </w:r>
          </w:p>
        </w:tc>
      </w:tr>
      <w:tr w:rsidR="00934E6B" w:rsidRPr="00A33AE8" w14:paraId="7DB259B4" w14:textId="77777777" w:rsidTr="0087794A">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37850411"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CO2 Emissions</w:t>
            </w:r>
          </w:p>
        </w:tc>
        <w:tc>
          <w:tcPr>
            <w:tcW w:w="1903" w:type="dxa"/>
            <w:tcBorders>
              <w:top w:val="nil"/>
              <w:left w:val="nil"/>
              <w:bottom w:val="single" w:sz="4" w:space="0" w:color="auto"/>
              <w:right w:val="single" w:sz="4" w:space="0" w:color="auto"/>
            </w:tcBorders>
            <w:shd w:val="clear" w:color="000000" w:fill="DDEBF7"/>
            <w:noWrap/>
            <w:vAlign w:val="center"/>
            <w:hideMark/>
          </w:tcPr>
          <w:p w14:paraId="04F9C976" w14:textId="19AFF534" w:rsidR="00934E6B" w:rsidRPr="000007D2" w:rsidRDefault="00934E6B" w:rsidP="0087794A">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12,855,223</w:t>
            </w:r>
          </w:p>
        </w:tc>
      </w:tr>
      <w:tr w:rsidR="00811BDE" w:rsidRPr="00A33AE8" w14:paraId="20ACFB6B" w14:textId="77777777" w:rsidTr="00934E6B">
        <w:trPr>
          <w:trHeight w:val="20"/>
          <w:jc w:val="center"/>
        </w:trPr>
        <w:tc>
          <w:tcPr>
            <w:tcW w:w="4108" w:type="dxa"/>
            <w:tcBorders>
              <w:top w:val="nil"/>
              <w:left w:val="single" w:sz="4" w:space="0" w:color="auto"/>
              <w:bottom w:val="single" w:sz="4" w:space="0" w:color="auto"/>
              <w:right w:val="single" w:sz="4" w:space="0" w:color="auto"/>
            </w:tcBorders>
            <w:shd w:val="clear" w:color="000000" w:fill="E7E6E6"/>
            <w:noWrap/>
            <w:vAlign w:val="bottom"/>
            <w:hideMark/>
          </w:tcPr>
          <w:p w14:paraId="3E28442E"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 </w:t>
            </w:r>
          </w:p>
        </w:tc>
        <w:tc>
          <w:tcPr>
            <w:tcW w:w="1903" w:type="dxa"/>
            <w:tcBorders>
              <w:top w:val="nil"/>
              <w:left w:val="nil"/>
              <w:bottom w:val="single" w:sz="4" w:space="0" w:color="auto"/>
              <w:right w:val="single" w:sz="4" w:space="0" w:color="auto"/>
            </w:tcBorders>
            <w:shd w:val="clear" w:color="auto" w:fill="auto"/>
            <w:noWrap/>
            <w:vAlign w:val="bottom"/>
            <w:hideMark/>
          </w:tcPr>
          <w:p w14:paraId="29CC60DE" w14:textId="77777777" w:rsidR="00934E6B" w:rsidRPr="000007D2" w:rsidRDefault="00934E6B" w:rsidP="00956278">
            <w:pPr>
              <w:spacing w:after="0" w:line="240" w:lineRule="auto"/>
              <w:jc w:val="center"/>
              <w:rPr>
                <w:rFonts w:asciiTheme="majorHAnsi" w:hAnsiTheme="majorHAnsi" w:cstheme="majorHAnsi"/>
                <w:color w:val="000000"/>
                <w:sz w:val="20"/>
                <w:szCs w:val="20"/>
              </w:rPr>
            </w:pPr>
            <w:r w:rsidRPr="000007D2">
              <w:rPr>
                <w:rFonts w:asciiTheme="majorHAnsi" w:hAnsiTheme="majorHAnsi" w:cstheme="majorHAnsi"/>
                <w:color w:val="000000"/>
                <w:sz w:val="20"/>
                <w:szCs w:val="20"/>
              </w:rPr>
              <w:t>M€</w:t>
            </w:r>
          </w:p>
        </w:tc>
      </w:tr>
      <w:tr w:rsidR="00934E6B" w:rsidRPr="00A33AE8" w14:paraId="362E03BB" w14:textId="77777777" w:rsidTr="0087794A">
        <w:trPr>
          <w:trHeight w:val="20"/>
          <w:jc w:val="center"/>
        </w:trPr>
        <w:tc>
          <w:tcPr>
            <w:tcW w:w="4108" w:type="dxa"/>
            <w:tcBorders>
              <w:top w:val="nil"/>
              <w:left w:val="single" w:sz="4" w:space="0" w:color="auto"/>
              <w:bottom w:val="single" w:sz="4" w:space="0" w:color="auto"/>
              <w:right w:val="single" w:sz="4" w:space="0" w:color="auto"/>
            </w:tcBorders>
            <w:shd w:val="clear" w:color="000000" w:fill="F2F2F2"/>
            <w:vAlign w:val="center"/>
            <w:hideMark/>
          </w:tcPr>
          <w:p w14:paraId="2735F863" w14:textId="77777777" w:rsidR="00934E6B" w:rsidRPr="000007D2" w:rsidRDefault="00934E6B" w:rsidP="00956278">
            <w:pPr>
              <w:spacing w:after="0" w:line="240" w:lineRule="auto"/>
              <w:rPr>
                <w:rFonts w:asciiTheme="majorHAnsi" w:hAnsiTheme="majorHAnsi" w:cstheme="majorHAnsi"/>
                <w:color w:val="000000"/>
                <w:sz w:val="20"/>
                <w:szCs w:val="20"/>
              </w:rPr>
            </w:pPr>
            <w:r w:rsidRPr="000007D2">
              <w:rPr>
                <w:rFonts w:asciiTheme="majorHAnsi" w:hAnsiTheme="majorHAnsi" w:cstheme="majorHAnsi"/>
                <w:color w:val="000000"/>
                <w:sz w:val="20"/>
                <w:szCs w:val="20"/>
              </w:rPr>
              <w:t>Total simulated region annual Operational Cost</w:t>
            </w:r>
          </w:p>
        </w:tc>
        <w:tc>
          <w:tcPr>
            <w:tcW w:w="1903" w:type="dxa"/>
            <w:tcBorders>
              <w:top w:val="nil"/>
              <w:left w:val="nil"/>
              <w:bottom w:val="single" w:sz="4" w:space="0" w:color="auto"/>
              <w:right w:val="single" w:sz="4" w:space="0" w:color="auto"/>
            </w:tcBorders>
            <w:shd w:val="clear" w:color="000000" w:fill="DDEBF7"/>
            <w:noWrap/>
            <w:vAlign w:val="center"/>
            <w:hideMark/>
          </w:tcPr>
          <w:p w14:paraId="5C86B080" w14:textId="5A714902" w:rsidR="00934E6B" w:rsidRPr="000007D2" w:rsidRDefault="00934E6B" w:rsidP="0087794A">
            <w:pPr>
              <w:spacing w:after="0" w:line="240" w:lineRule="auto"/>
              <w:jc w:val="right"/>
              <w:rPr>
                <w:rFonts w:asciiTheme="majorHAnsi" w:hAnsiTheme="majorHAnsi" w:cstheme="majorHAnsi"/>
                <w:color w:val="000000"/>
                <w:sz w:val="20"/>
                <w:szCs w:val="20"/>
              </w:rPr>
            </w:pPr>
            <w:r w:rsidRPr="000007D2">
              <w:rPr>
                <w:rFonts w:asciiTheme="majorHAnsi" w:hAnsiTheme="majorHAnsi" w:cstheme="majorHAnsi"/>
                <w:color w:val="000000"/>
                <w:sz w:val="20"/>
                <w:szCs w:val="20"/>
              </w:rPr>
              <w:t>7,523</w:t>
            </w:r>
          </w:p>
        </w:tc>
      </w:tr>
    </w:tbl>
    <w:p w14:paraId="14682BAA" w14:textId="18D376E7" w:rsidR="00B474A4" w:rsidRPr="0087794A" w:rsidRDefault="00B474A4" w:rsidP="0087794A">
      <w:pPr>
        <w:pStyle w:val="Caption"/>
        <w:keepNext/>
        <w:spacing w:before="160" w:after="160"/>
        <w:rPr>
          <w:lang w:val="en-US"/>
        </w:rPr>
      </w:pPr>
      <w:bookmarkStart w:id="694" w:name="_Toc153545088"/>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4</w:t>
      </w:r>
      <w:r w:rsidR="006E0533">
        <w:rPr>
          <w:noProof/>
        </w:rPr>
        <w:fldChar w:fldCharType="end"/>
      </w:r>
      <w:r>
        <w:t xml:space="preserve">: </w:t>
      </w:r>
      <w:r w:rsidRPr="00B474A4">
        <w:t>Scenario S PSP average annual results for Target Year 2040</w:t>
      </w:r>
      <w:bookmarkEnd w:id="694"/>
    </w:p>
    <w:tbl>
      <w:tblPr>
        <w:tblW w:w="6380" w:type="dxa"/>
        <w:jc w:val="center"/>
        <w:tblLayout w:type="fixed"/>
        <w:tblLook w:val="04A0" w:firstRow="1" w:lastRow="0" w:firstColumn="1" w:lastColumn="0" w:noHBand="0" w:noVBand="1"/>
      </w:tblPr>
      <w:tblGrid>
        <w:gridCol w:w="2330"/>
        <w:gridCol w:w="1350"/>
        <w:gridCol w:w="2689"/>
        <w:gridCol w:w="11"/>
      </w:tblGrid>
      <w:tr w:rsidR="005B7A9D" w:rsidRPr="00A33AE8" w14:paraId="0482A76C" w14:textId="77777777" w:rsidTr="0087794A">
        <w:trPr>
          <w:trHeight w:val="288"/>
          <w:tblHeader/>
          <w:jc w:val="center"/>
        </w:trPr>
        <w:tc>
          <w:tcPr>
            <w:tcW w:w="2330" w:type="dxa"/>
            <w:tcBorders>
              <w:top w:val="nil"/>
              <w:left w:val="single" w:sz="8" w:space="0" w:color="auto"/>
              <w:bottom w:val="single" w:sz="4" w:space="0" w:color="auto"/>
              <w:right w:val="nil"/>
            </w:tcBorders>
            <w:shd w:val="clear" w:color="000000" w:fill="404040"/>
            <w:noWrap/>
            <w:vAlign w:val="center"/>
            <w:hideMark/>
          </w:tcPr>
          <w:p w14:paraId="3D9C1038" w14:textId="77777777" w:rsidR="005B7A9D" w:rsidRPr="00B727B5" w:rsidRDefault="005B7A9D" w:rsidP="007F4A03">
            <w:pPr>
              <w:spacing w:after="0" w:line="240" w:lineRule="auto"/>
              <w:jc w:val="center"/>
              <w:rPr>
                <w:rFonts w:ascii="Calibri Light" w:hAnsi="Calibri Light" w:cs="Calibri Light"/>
                <w:color w:val="FFFFFF"/>
                <w:sz w:val="20"/>
                <w:szCs w:val="20"/>
              </w:rPr>
            </w:pPr>
            <w:r w:rsidRPr="00B727B5">
              <w:rPr>
                <w:rFonts w:ascii="Calibri Light" w:hAnsi="Calibri Light" w:cs="Calibri Light"/>
                <w:color w:val="FFFFFF"/>
                <w:sz w:val="20"/>
                <w:szCs w:val="20"/>
              </w:rPr>
              <w:t>PSP &amp; BESS</w:t>
            </w:r>
          </w:p>
        </w:tc>
        <w:tc>
          <w:tcPr>
            <w:tcW w:w="1350" w:type="dxa"/>
            <w:tcBorders>
              <w:top w:val="nil"/>
              <w:left w:val="single" w:sz="4" w:space="0" w:color="auto"/>
              <w:bottom w:val="single" w:sz="4" w:space="0" w:color="auto"/>
              <w:right w:val="single" w:sz="4" w:space="0" w:color="auto"/>
            </w:tcBorders>
            <w:shd w:val="clear" w:color="000000" w:fill="1F497D"/>
            <w:vAlign w:val="center"/>
            <w:hideMark/>
          </w:tcPr>
          <w:p w14:paraId="272711DB" w14:textId="77777777" w:rsidR="005B7A9D" w:rsidRPr="00B727B5" w:rsidRDefault="005B7A9D" w:rsidP="00CA3E40">
            <w:pPr>
              <w:spacing w:after="0" w:line="240" w:lineRule="auto"/>
              <w:jc w:val="center"/>
              <w:rPr>
                <w:rFonts w:ascii="Calibri Light" w:hAnsi="Calibri Light" w:cs="Calibri Light"/>
                <w:color w:val="FFFFFF"/>
                <w:sz w:val="20"/>
                <w:szCs w:val="20"/>
              </w:rPr>
            </w:pPr>
            <w:r w:rsidRPr="00CA3E40">
              <w:rPr>
                <w:rFonts w:ascii="Calibri Light" w:hAnsi="Calibri Light" w:cs="Calibri Light"/>
                <w:color w:val="FFFFFF"/>
                <w:sz w:val="20"/>
                <w:szCs w:val="20"/>
              </w:rPr>
              <w:t>Turbine Power [MW]</w:t>
            </w:r>
          </w:p>
        </w:tc>
        <w:tc>
          <w:tcPr>
            <w:tcW w:w="2700" w:type="dxa"/>
            <w:gridSpan w:val="2"/>
            <w:tcBorders>
              <w:top w:val="nil"/>
              <w:left w:val="nil"/>
              <w:bottom w:val="single" w:sz="4" w:space="0" w:color="auto"/>
              <w:right w:val="single" w:sz="4" w:space="0" w:color="auto"/>
            </w:tcBorders>
            <w:shd w:val="clear" w:color="000000" w:fill="1F497D"/>
            <w:vAlign w:val="center"/>
            <w:hideMark/>
          </w:tcPr>
          <w:p w14:paraId="20E4CC69" w14:textId="77777777" w:rsidR="005B7A9D" w:rsidRPr="00B727B5" w:rsidRDefault="005B7A9D" w:rsidP="00CA3E40">
            <w:pPr>
              <w:spacing w:after="0" w:line="240" w:lineRule="auto"/>
              <w:jc w:val="center"/>
              <w:rPr>
                <w:rFonts w:ascii="Calibri Light" w:hAnsi="Calibri Light" w:cs="Calibri Light"/>
                <w:color w:val="FFFFFF"/>
                <w:sz w:val="20"/>
                <w:szCs w:val="20"/>
              </w:rPr>
            </w:pPr>
            <w:r w:rsidRPr="00CA3E40">
              <w:rPr>
                <w:rFonts w:ascii="Calibri Light" w:hAnsi="Calibri Light" w:cs="Calibri Light"/>
                <w:color w:val="FFFFFF"/>
                <w:sz w:val="20"/>
                <w:szCs w:val="20"/>
              </w:rPr>
              <w:t>Annual turbining [MWh]</w:t>
            </w:r>
          </w:p>
        </w:tc>
      </w:tr>
      <w:tr w:rsidR="005B7A9D" w:rsidRPr="00A33AE8" w14:paraId="1B8D6268" w14:textId="77777777" w:rsidTr="0087794A">
        <w:trPr>
          <w:gridAfter w:val="1"/>
          <w:wAfter w:w="11" w:type="dxa"/>
          <w:trHeight w:val="288"/>
          <w:jc w:val="center"/>
        </w:trPr>
        <w:tc>
          <w:tcPr>
            <w:tcW w:w="2330" w:type="dxa"/>
            <w:tcBorders>
              <w:top w:val="nil"/>
              <w:left w:val="single" w:sz="8" w:space="0" w:color="auto"/>
              <w:bottom w:val="single" w:sz="4" w:space="0" w:color="auto"/>
              <w:right w:val="nil"/>
            </w:tcBorders>
            <w:shd w:val="clear" w:color="000000" w:fill="E7E6E6"/>
            <w:noWrap/>
            <w:vAlign w:val="bottom"/>
            <w:hideMark/>
          </w:tcPr>
          <w:p w14:paraId="235D9475" w14:textId="77777777" w:rsidR="005B7A9D" w:rsidRPr="00B727B5" w:rsidRDefault="005B7A9D" w:rsidP="007F4A03">
            <w:pPr>
              <w:spacing w:after="0" w:line="240" w:lineRule="auto"/>
              <w:rPr>
                <w:rFonts w:ascii="Calibri Light" w:hAnsi="Calibri Light" w:cs="Calibri Light"/>
                <w:color w:val="000000"/>
                <w:sz w:val="20"/>
                <w:szCs w:val="20"/>
              </w:rPr>
            </w:pPr>
            <w:r w:rsidRPr="00B727B5">
              <w:rPr>
                <w:rFonts w:ascii="Calibri Light" w:hAnsi="Calibri Light" w:cs="Calibri Light"/>
                <w:color w:val="000000"/>
                <w:sz w:val="20"/>
                <w:szCs w:val="20"/>
              </w:rPr>
              <w:t>PHPP Bajina Basta</w:t>
            </w:r>
          </w:p>
        </w:tc>
        <w:tc>
          <w:tcPr>
            <w:tcW w:w="1350" w:type="dxa"/>
            <w:tcBorders>
              <w:top w:val="nil"/>
              <w:left w:val="single" w:sz="4" w:space="0" w:color="auto"/>
              <w:bottom w:val="single" w:sz="4" w:space="0" w:color="auto"/>
              <w:right w:val="single" w:sz="4" w:space="0" w:color="auto"/>
            </w:tcBorders>
            <w:shd w:val="clear" w:color="000000" w:fill="DDEBF7"/>
            <w:noWrap/>
            <w:vAlign w:val="center"/>
            <w:hideMark/>
          </w:tcPr>
          <w:p w14:paraId="58150526" w14:textId="77777777" w:rsidR="005B7A9D" w:rsidRPr="00B727B5" w:rsidRDefault="005B7A9D" w:rsidP="0087794A">
            <w:pPr>
              <w:spacing w:after="0" w:line="240" w:lineRule="auto"/>
              <w:jc w:val="center"/>
              <w:rPr>
                <w:rFonts w:ascii="Calibri Light" w:hAnsi="Calibri Light" w:cs="Calibri Light"/>
                <w:color w:val="000000"/>
                <w:sz w:val="20"/>
                <w:szCs w:val="20"/>
              </w:rPr>
            </w:pPr>
            <w:r w:rsidRPr="00B727B5">
              <w:rPr>
                <w:rFonts w:ascii="Calibri Light" w:hAnsi="Calibri Light" w:cs="Calibri Light"/>
                <w:color w:val="000000"/>
                <w:sz w:val="20"/>
                <w:szCs w:val="20"/>
              </w:rPr>
              <w:t>616</w:t>
            </w:r>
          </w:p>
        </w:tc>
        <w:tc>
          <w:tcPr>
            <w:tcW w:w="2689" w:type="dxa"/>
            <w:tcBorders>
              <w:top w:val="nil"/>
              <w:left w:val="nil"/>
              <w:bottom w:val="single" w:sz="4" w:space="0" w:color="auto"/>
              <w:right w:val="single" w:sz="4" w:space="0" w:color="auto"/>
            </w:tcBorders>
            <w:shd w:val="clear" w:color="000000" w:fill="DDEBF7"/>
            <w:noWrap/>
            <w:vAlign w:val="center"/>
            <w:hideMark/>
          </w:tcPr>
          <w:p w14:paraId="397368EF" w14:textId="5560EEC2" w:rsidR="005B7A9D" w:rsidRPr="00B727B5" w:rsidRDefault="005B7A9D" w:rsidP="0087794A">
            <w:pPr>
              <w:spacing w:after="0" w:line="240" w:lineRule="auto"/>
              <w:jc w:val="center"/>
              <w:rPr>
                <w:rFonts w:ascii="Calibri Light" w:hAnsi="Calibri Light" w:cs="Calibri Light"/>
                <w:color w:val="000000"/>
                <w:sz w:val="20"/>
                <w:szCs w:val="20"/>
              </w:rPr>
            </w:pPr>
            <w:r w:rsidRPr="00B727B5">
              <w:rPr>
                <w:rFonts w:ascii="Calibri Light" w:hAnsi="Calibri Light" w:cs="Calibri Light"/>
                <w:color w:val="000000"/>
                <w:sz w:val="20"/>
                <w:szCs w:val="20"/>
              </w:rPr>
              <w:t>721,320</w:t>
            </w:r>
          </w:p>
        </w:tc>
      </w:tr>
      <w:tr w:rsidR="005B7A9D" w:rsidRPr="00A33AE8" w14:paraId="03DAC26B" w14:textId="77777777" w:rsidTr="0087794A">
        <w:trPr>
          <w:gridAfter w:val="1"/>
          <w:wAfter w:w="11" w:type="dxa"/>
          <w:trHeight w:val="288"/>
          <w:jc w:val="center"/>
        </w:trPr>
        <w:tc>
          <w:tcPr>
            <w:tcW w:w="2330" w:type="dxa"/>
            <w:tcBorders>
              <w:top w:val="nil"/>
              <w:left w:val="single" w:sz="8" w:space="0" w:color="auto"/>
              <w:bottom w:val="single" w:sz="4" w:space="0" w:color="auto"/>
              <w:right w:val="nil"/>
            </w:tcBorders>
            <w:shd w:val="clear" w:color="000000" w:fill="E7E6E6"/>
            <w:noWrap/>
            <w:vAlign w:val="bottom"/>
            <w:hideMark/>
          </w:tcPr>
          <w:p w14:paraId="1A04F17F" w14:textId="77777777" w:rsidR="005B7A9D" w:rsidRPr="00B727B5" w:rsidRDefault="005B7A9D" w:rsidP="007F4A03">
            <w:pPr>
              <w:spacing w:after="0" w:line="240" w:lineRule="auto"/>
              <w:rPr>
                <w:rFonts w:ascii="Calibri Light" w:hAnsi="Calibri Light" w:cs="Calibri Light"/>
                <w:color w:val="000000"/>
                <w:sz w:val="20"/>
                <w:szCs w:val="20"/>
              </w:rPr>
            </w:pPr>
            <w:r w:rsidRPr="00B727B5">
              <w:rPr>
                <w:rFonts w:ascii="Calibri Light" w:hAnsi="Calibri Light" w:cs="Calibri Light"/>
                <w:color w:val="000000"/>
                <w:sz w:val="20"/>
                <w:szCs w:val="20"/>
              </w:rPr>
              <w:t>PHPP Bistrica</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AB15413" w14:textId="77777777" w:rsidR="005B7A9D" w:rsidRPr="00B727B5" w:rsidRDefault="005B7A9D" w:rsidP="0087794A">
            <w:pPr>
              <w:spacing w:after="0" w:line="240" w:lineRule="auto"/>
              <w:jc w:val="center"/>
              <w:rPr>
                <w:rFonts w:ascii="Calibri Light" w:hAnsi="Calibri Light" w:cs="Calibri Light"/>
                <w:color w:val="000000"/>
                <w:sz w:val="20"/>
                <w:szCs w:val="20"/>
              </w:rPr>
            </w:pPr>
            <w:r w:rsidRPr="00B727B5">
              <w:rPr>
                <w:rFonts w:ascii="Calibri Light" w:hAnsi="Calibri Light" w:cs="Calibri Light"/>
                <w:color w:val="000000"/>
                <w:sz w:val="20"/>
                <w:szCs w:val="20"/>
              </w:rPr>
              <w:t>680</w:t>
            </w:r>
          </w:p>
        </w:tc>
        <w:tc>
          <w:tcPr>
            <w:tcW w:w="2689" w:type="dxa"/>
            <w:tcBorders>
              <w:top w:val="nil"/>
              <w:left w:val="nil"/>
              <w:bottom w:val="single" w:sz="4" w:space="0" w:color="auto"/>
              <w:right w:val="single" w:sz="4" w:space="0" w:color="auto"/>
            </w:tcBorders>
            <w:shd w:val="clear" w:color="auto" w:fill="auto"/>
            <w:noWrap/>
            <w:vAlign w:val="center"/>
            <w:hideMark/>
          </w:tcPr>
          <w:p w14:paraId="0FF34CEC" w14:textId="5D381A0B" w:rsidR="005B7A9D" w:rsidRPr="00B727B5" w:rsidRDefault="005B7A9D" w:rsidP="0087794A">
            <w:pPr>
              <w:spacing w:after="0" w:line="240" w:lineRule="auto"/>
              <w:jc w:val="center"/>
              <w:rPr>
                <w:rFonts w:ascii="Calibri Light" w:hAnsi="Calibri Light" w:cs="Calibri Light"/>
                <w:color w:val="000000"/>
                <w:sz w:val="20"/>
                <w:szCs w:val="20"/>
              </w:rPr>
            </w:pPr>
            <w:r w:rsidRPr="00B727B5">
              <w:rPr>
                <w:rFonts w:ascii="Calibri Light" w:hAnsi="Calibri Light" w:cs="Calibri Light"/>
                <w:color w:val="000000"/>
                <w:sz w:val="20"/>
                <w:szCs w:val="20"/>
              </w:rPr>
              <w:t>998,582</w:t>
            </w:r>
          </w:p>
        </w:tc>
      </w:tr>
      <w:tr w:rsidR="005B7A9D" w:rsidRPr="00A33AE8" w14:paraId="671A8748" w14:textId="77777777" w:rsidTr="0087794A">
        <w:trPr>
          <w:gridAfter w:val="1"/>
          <w:wAfter w:w="11" w:type="dxa"/>
          <w:trHeight w:val="300"/>
          <w:jc w:val="center"/>
        </w:trPr>
        <w:tc>
          <w:tcPr>
            <w:tcW w:w="2330" w:type="dxa"/>
            <w:tcBorders>
              <w:top w:val="nil"/>
              <w:left w:val="single" w:sz="8" w:space="0" w:color="auto"/>
              <w:bottom w:val="single" w:sz="8" w:space="0" w:color="auto"/>
              <w:right w:val="nil"/>
            </w:tcBorders>
            <w:shd w:val="clear" w:color="000000" w:fill="E7E6E6"/>
            <w:noWrap/>
            <w:vAlign w:val="bottom"/>
            <w:hideMark/>
          </w:tcPr>
          <w:p w14:paraId="7A613DB0" w14:textId="77777777" w:rsidR="005B7A9D" w:rsidRPr="00B727B5" w:rsidRDefault="005B7A9D" w:rsidP="007F4A03">
            <w:pPr>
              <w:spacing w:after="0" w:line="240" w:lineRule="auto"/>
              <w:rPr>
                <w:rFonts w:ascii="Calibri Light" w:hAnsi="Calibri Light" w:cs="Calibri Light"/>
                <w:color w:val="000000"/>
                <w:sz w:val="20"/>
                <w:szCs w:val="20"/>
              </w:rPr>
            </w:pPr>
            <w:r w:rsidRPr="00B727B5">
              <w:rPr>
                <w:rFonts w:ascii="Calibri Light" w:hAnsi="Calibri Light" w:cs="Calibri Light"/>
                <w:color w:val="000000"/>
                <w:sz w:val="20"/>
                <w:szCs w:val="20"/>
              </w:rPr>
              <w:t>PSPP Djerdap 3</w:t>
            </w:r>
          </w:p>
        </w:tc>
        <w:tc>
          <w:tcPr>
            <w:tcW w:w="1350" w:type="dxa"/>
            <w:tcBorders>
              <w:top w:val="nil"/>
              <w:left w:val="single" w:sz="4" w:space="0" w:color="auto"/>
              <w:bottom w:val="single" w:sz="8" w:space="0" w:color="auto"/>
              <w:right w:val="single" w:sz="4" w:space="0" w:color="auto"/>
            </w:tcBorders>
            <w:shd w:val="clear" w:color="000000" w:fill="DDEBF7"/>
            <w:noWrap/>
            <w:vAlign w:val="center"/>
            <w:hideMark/>
          </w:tcPr>
          <w:p w14:paraId="7F887954" w14:textId="77777777" w:rsidR="005B7A9D" w:rsidRPr="00B727B5" w:rsidRDefault="005B7A9D" w:rsidP="0087794A">
            <w:pPr>
              <w:spacing w:after="0" w:line="240" w:lineRule="auto"/>
              <w:jc w:val="center"/>
              <w:rPr>
                <w:rFonts w:ascii="Calibri Light" w:hAnsi="Calibri Light" w:cs="Calibri Light"/>
                <w:color w:val="000000"/>
                <w:sz w:val="20"/>
                <w:szCs w:val="20"/>
              </w:rPr>
            </w:pPr>
            <w:r w:rsidRPr="00B727B5">
              <w:rPr>
                <w:rFonts w:ascii="Calibri Light" w:hAnsi="Calibri Light" w:cs="Calibri Light"/>
                <w:color w:val="000000"/>
                <w:sz w:val="20"/>
                <w:szCs w:val="20"/>
              </w:rPr>
              <w:t>600</w:t>
            </w:r>
          </w:p>
        </w:tc>
        <w:tc>
          <w:tcPr>
            <w:tcW w:w="2689" w:type="dxa"/>
            <w:tcBorders>
              <w:top w:val="nil"/>
              <w:left w:val="nil"/>
              <w:bottom w:val="single" w:sz="8" w:space="0" w:color="auto"/>
              <w:right w:val="single" w:sz="4" w:space="0" w:color="auto"/>
            </w:tcBorders>
            <w:shd w:val="clear" w:color="000000" w:fill="DDEBF7"/>
            <w:noWrap/>
            <w:vAlign w:val="center"/>
            <w:hideMark/>
          </w:tcPr>
          <w:p w14:paraId="31A3770A" w14:textId="1A8C1045" w:rsidR="005B7A9D" w:rsidRPr="00B727B5" w:rsidRDefault="005B7A9D" w:rsidP="0087794A">
            <w:pPr>
              <w:spacing w:after="0" w:line="240" w:lineRule="auto"/>
              <w:jc w:val="center"/>
              <w:rPr>
                <w:rFonts w:ascii="Calibri Light" w:hAnsi="Calibri Light" w:cs="Calibri Light"/>
                <w:color w:val="000000"/>
                <w:sz w:val="20"/>
                <w:szCs w:val="20"/>
              </w:rPr>
            </w:pPr>
            <w:r w:rsidRPr="00B727B5">
              <w:rPr>
                <w:rFonts w:ascii="Calibri Light" w:hAnsi="Calibri Light" w:cs="Calibri Light"/>
                <w:color w:val="000000"/>
                <w:sz w:val="20"/>
                <w:szCs w:val="20"/>
              </w:rPr>
              <w:t>905,672</w:t>
            </w:r>
          </w:p>
        </w:tc>
      </w:tr>
    </w:tbl>
    <w:p w14:paraId="7FC4CE63" w14:textId="2E0C3FCB" w:rsidR="006311DA" w:rsidRPr="00CB3B01" w:rsidRDefault="006311DA" w:rsidP="00884F3B">
      <w:pPr>
        <w:pStyle w:val="Heading4"/>
        <w:numPr>
          <w:ilvl w:val="0"/>
          <w:numId w:val="247"/>
        </w:numPr>
      </w:pPr>
      <w:r w:rsidRPr="00CB3B01">
        <w:lastRenderedPageBreak/>
        <w:t>Lignite plants operation under security of supply considerations.</w:t>
      </w:r>
    </w:p>
    <w:p w14:paraId="3C2EA81F" w14:textId="26F81CD3" w:rsidR="006311DA" w:rsidRDefault="006311DA" w:rsidP="006311DA">
      <w:pPr>
        <w:spacing w:after="200" w:line="276" w:lineRule="auto"/>
        <w:jc w:val="both"/>
        <w:rPr>
          <w:rFonts w:ascii="Calibri Light" w:hAnsi="Calibri Light" w:cs="Calibri Light"/>
          <w:szCs w:val="20"/>
          <w:lang w:eastAsia="el-GR"/>
        </w:rPr>
      </w:pPr>
      <w:r>
        <w:rPr>
          <w:rFonts w:ascii="Calibri Light" w:hAnsi="Calibri Light" w:cs="Calibri Light"/>
          <w:szCs w:val="20"/>
          <w:lang w:eastAsia="el-GR"/>
        </w:rPr>
        <w:t>Security of supply is not only an issue of generation adequacy (i.e. if there is enough generation capacity, which has been analysed in the scenarios examined), but a broader aspect that also includes the availability of fuel among others (e.g. imported gas compared to domestic lignite). Taking this into account, as well as the key outputs from the analysis of all the different scenarios presented in the previous sections, the proposal presented in the following table is considered reasonable for a resilient power system.</w:t>
      </w:r>
    </w:p>
    <w:p w14:paraId="64F48659" w14:textId="77777777" w:rsidR="006311DA" w:rsidRDefault="006311DA" w:rsidP="006311DA">
      <w:pPr>
        <w:spacing w:after="200" w:line="276" w:lineRule="auto"/>
        <w:jc w:val="both"/>
        <w:rPr>
          <w:rFonts w:ascii="Calibri Light" w:hAnsi="Calibri Light" w:cs="Calibri Light"/>
          <w:szCs w:val="20"/>
          <w:lang w:eastAsia="el-GR"/>
        </w:rPr>
      </w:pPr>
      <w:r>
        <w:rPr>
          <w:rFonts w:ascii="Calibri Light" w:hAnsi="Calibri Light" w:cs="Calibri Light"/>
          <w:szCs w:val="20"/>
          <w:lang w:eastAsia="el-GR"/>
        </w:rPr>
        <w:t xml:space="preserve">The key consideration is that the lignite fired power plant capacities will be maintained and will not be dismantled until 2045. The older units TENTA1, TENTA2, TEKOA1 and TEKOA2 will remain in cold reserve after 2040, while the units TENTA3-A6 will operate only during the heating season to cover the needs of the district heating. The new unit TPP Kostolac B3 could operate at high capacity factors and the remaining TENTB and TEKOB units operate at technical minimum in 2045. Some capacities remain as reserves in the system for 2050 but do not generate electricity. It must be noted that this approach </w:t>
      </w:r>
      <w:r>
        <w:rPr>
          <w:rFonts w:ascii="Calibri Light" w:hAnsi="Calibri Light" w:cs="Calibri Light"/>
          <w:b/>
          <w:bCs/>
          <w:szCs w:val="20"/>
          <w:lang w:eastAsia="el-GR"/>
        </w:rPr>
        <w:t xml:space="preserve">is not a least cost economic configuration, </w:t>
      </w:r>
      <w:r>
        <w:rPr>
          <w:rFonts w:ascii="Calibri Light" w:hAnsi="Calibri Light" w:cs="Calibri Light"/>
          <w:szCs w:val="20"/>
          <w:lang w:eastAsia="el-GR"/>
        </w:rPr>
        <w:t>but only a configuration that covers the risks associated with the uncertainties of the energy field internationally.</w:t>
      </w:r>
    </w:p>
    <w:p w14:paraId="1E3C5A02" w14:textId="407B3554" w:rsidR="00B474A4" w:rsidRDefault="00B474A4" w:rsidP="0087794A">
      <w:pPr>
        <w:pStyle w:val="Caption"/>
        <w:keepNext/>
      </w:pPr>
      <w:bookmarkStart w:id="695" w:name="_Ref153533857"/>
      <w:bookmarkStart w:id="696" w:name="_Toc153545089"/>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5</w:t>
      </w:r>
      <w:r w:rsidR="006E0533">
        <w:rPr>
          <w:noProof/>
        </w:rPr>
        <w:fldChar w:fldCharType="end"/>
      </w:r>
      <w:bookmarkEnd w:id="695"/>
      <w:r w:rsidRPr="00B474A4">
        <w:t>: Capacities under supply security considerations</w:t>
      </w:r>
      <w:bookmarkEnd w:id="696"/>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89"/>
        <w:gridCol w:w="1289"/>
        <w:gridCol w:w="1289"/>
        <w:gridCol w:w="1289"/>
        <w:gridCol w:w="1289"/>
        <w:gridCol w:w="1289"/>
      </w:tblGrid>
      <w:tr w:rsidR="006311DA" w14:paraId="307B8BD5" w14:textId="77777777" w:rsidTr="005B2C66">
        <w:trPr>
          <w:trHeight w:val="20"/>
          <w:tblHeader/>
          <w:jc w:val="center"/>
        </w:trPr>
        <w:tc>
          <w:tcPr>
            <w:tcW w:w="1414" w:type="dxa"/>
            <w:tcBorders>
              <w:top w:val="single" w:sz="4" w:space="0" w:color="auto"/>
              <w:left w:val="single" w:sz="4" w:space="0" w:color="auto"/>
              <w:bottom w:val="single" w:sz="4" w:space="0" w:color="auto"/>
              <w:right w:val="single" w:sz="4" w:space="0" w:color="auto"/>
            </w:tcBorders>
            <w:shd w:val="clear" w:color="auto" w:fill="404040"/>
            <w:noWrap/>
            <w:vAlign w:val="center"/>
            <w:hideMark/>
          </w:tcPr>
          <w:p w14:paraId="2136AF62" w14:textId="77777777" w:rsidR="006311DA" w:rsidRDefault="006311DA" w:rsidP="001544A6">
            <w:pPr>
              <w:spacing w:line="276" w:lineRule="auto"/>
              <w:jc w:val="center"/>
              <w:rPr>
                <w:rFonts w:cstheme="minorHAnsi"/>
                <w:b/>
                <w:bCs/>
                <w:color w:val="FFFFFF"/>
                <w:sz w:val="20"/>
                <w:szCs w:val="20"/>
                <w:lang w:val="en-US"/>
              </w:rPr>
            </w:pPr>
            <w:r>
              <w:rPr>
                <w:rFonts w:cstheme="minorHAnsi"/>
                <w:b/>
                <w:bCs/>
                <w:color w:val="FFFFFF"/>
                <w:sz w:val="20"/>
                <w:szCs w:val="20"/>
                <w:lang w:val="en-US"/>
              </w:rPr>
              <w:t>Capacities in MW</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49F30D14"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2025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0C49A73D"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2030</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00A18304"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2035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4F2BD83D"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2040</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6013874F"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2045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683ABD42"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2050</w:t>
            </w:r>
          </w:p>
        </w:tc>
      </w:tr>
      <w:tr w:rsidR="006311DA" w14:paraId="1D0C7225"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EB031B7"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A1</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186FE9F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186F49D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0070EE9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77EBC4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409AEF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vAlign w:val="center"/>
          </w:tcPr>
          <w:p w14:paraId="2289D711" w14:textId="77777777" w:rsidR="006311DA" w:rsidRDefault="006311DA" w:rsidP="006311DA">
            <w:pPr>
              <w:spacing w:line="276" w:lineRule="auto"/>
              <w:jc w:val="center"/>
              <w:rPr>
                <w:rFonts w:cstheme="minorHAnsi"/>
                <w:sz w:val="20"/>
                <w:szCs w:val="20"/>
                <w:lang w:val="en-US"/>
              </w:rPr>
            </w:pPr>
          </w:p>
        </w:tc>
      </w:tr>
      <w:tr w:rsidR="006311DA" w14:paraId="2B903C37"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183B1CD"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448B1B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3D6B06E"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E3B4BB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3D4B0E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194613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046180A0" w14:textId="77777777" w:rsidR="006311DA" w:rsidRDefault="006311DA" w:rsidP="006311DA">
            <w:pPr>
              <w:spacing w:line="276" w:lineRule="auto"/>
              <w:jc w:val="center"/>
              <w:rPr>
                <w:rFonts w:cstheme="minorHAnsi"/>
                <w:sz w:val="20"/>
                <w:szCs w:val="20"/>
                <w:lang w:val="en-US"/>
              </w:rPr>
            </w:pPr>
          </w:p>
        </w:tc>
      </w:tr>
      <w:tr w:rsidR="006311DA" w14:paraId="7E029B19"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762C566"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033BB57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24AD872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30268C6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51E45255"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3F3772B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vAlign w:val="center"/>
          </w:tcPr>
          <w:p w14:paraId="4D38257A" w14:textId="77777777" w:rsidR="006311DA" w:rsidRDefault="006311DA" w:rsidP="006311DA">
            <w:pPr>
              <w:spacing w:line="276" w:lineRule="auto"/>
              <w:jc w:val="center"/>
              <w:rPr>
                <w:rFonts w:cstheme="minorHAnsi"/>
                <w:sz w:val="20"/>
                <w:szCs w:val="20"/>
                <w:lang w:val="en-US"/>
              </w:rPr>
            </w:pPr>
          </w:p>
        </w:tc>
      </w:tr>
      <w:tr w:rsidR="006311DA" w14:paraId="1DCDBE85"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45050FDC"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E3E357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39658E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9DD1F7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30BC1C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5161B6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3C262106" w14:textId="77777777" w:rsidR="006311DA" w:rsidRDefault="006311DA" w:rsidP="006311DA">
            <w:pPr>
              <w:spacing w:line="276" w:lineRule="auto"/>
              <w:jc w:val="center"/>
              <w:rPr>
                <w:rFonts w:cstheme="minorHAnsi"/>
                <w:sz w:val="20"/>
                <w:szCs w:val="20"/>
                <w:lang w:val="en-US"/>
              </w:rPr>
            </w:pPr>
          </w:p>
        </w:tc>
      </w:tr>
      <w:tr w:rsidR="006311DA" w14:paraId="4550136F"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912B7E6"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E25EC9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FF318D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C0C560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04D42A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F02E10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7C7F93A5" w14:textId="77777777" w:rsidR="006311DA" w:rsidRDefault="006311DA" w:rsidP="006311DA">
            <w:pPr>
              <w:spacing w:line="276" w:lineRule="auto"/>
              <w:jc w:val="center"/>
              <w:rPr>
                <w:rFonts w:cstheme="minorHAnsi"/>
                <w:sz w:val="20"/>
                <w:szCs w:val="20"/>
                <w:lang w:val="en-US"/>
              </w:rPr>
            </w:pPr>
          </w:p>
        </w:tc>
      </w:tr>
      <w:tr w:rsidR="006311DA" w14:paraId="37DB8FB1"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C0651C8"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97C31F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C94743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63B4C6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BEDFC6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3F7F89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1B08B384" w14:textId="77777777" w:rsidR="006311DA" w:rsidRDefault="006311DA" w:rsidP="006311DA">
            <w:pPr>
              <w:spacing w:line="276" w:lineRule="auto"/>
              <w:jc w:val="center"/>
              <w:rPr>
                <w:rFonts w:cstheme="minorHAnsi"/>
                <w:sz w:val="20"/>
                <w:szCs w:val="20"/>
                <w:lang w:val="en-US"/>
              </w:rPr>
            </w:pPr>
          </w:p>
        </w:tc>
      </w:tr>
      <w:tr w:rsidR="006311DA" w14:paraId="3B97AEEF"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D2450BD"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B1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53A61E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BCA2BC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5FEB4A1"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76472E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39A0AC5"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779C207F" w14:textId="77777777" w:rsidR="006311DA" w:rsidRDefault="006311DA" w:rsidP="006311DA">
            <w:pPr>
              <w:spacing w:line="276" w:lineRule="auto"/>
              <w:jc w:val="center"/>
              <w:rPr>
                <w:rFonts w:cstheme="minorHAnsi"/>
                <w:sz w:val="20"/>
                <w:szCs w:val="20"/>
                <w:lang w:val="en-US"/>
              </w:rPr>
            </w:pPr>
          </w:p>
        </w:tc>
      </w:tr>
      <w:tr w:rsidR="006311DA" w14:paraId="06F9202A"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451ED7F9"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B2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B503A6E"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FDE790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4D6176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44C88A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7247951"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D4EE6C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610</w:t>
            </w:r>
          </w:p>
        </w:tc>
      </w:tr>
      <w:tr w:rsidR="006311DA" w14:paraId="0A218F12"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E53AF12"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Kolubara A3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B7007C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63E726A5"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35C2817A"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01EDF0A1"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2034F2A8"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2A4DEA48" w14:textId="77777777" w:rsidR="006311DA" w:rsidRDefault="006311DA" w:rsidP="006311DA">
            <w:pPr>
              <w:spacing w:line="276" w:lineRule="auto"/>
              <w:jc w:val="center"/>
              <w:rPr>
                <w:rFonts w:cstheme="minorHAnsi"/>
                <w:sz w:val="20"/>
                <w:szCs w:val="20"/>
                <w:lang w:val="en-US"/>
              </w:rPr>
            </w:pPr>
          </w:p>
        </w:tc>
      </w:tr>
      <w:tr w:rsidR="006311DA" w14:paraId="28E28388"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447A60E2"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Kolubara A5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5E3928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100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2679D389"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2AB4FDF8"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7C7FECB4"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52A8BEE2"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2EAFC9EE" w14:textId="77777777" w:rsidR="006311DA" w:rsidRDefault="006311DA" w:rsidP="006311DA">
            <w:pPr>
              <w:spacing w:line="276" w:lineRule="auto"/>
              <w:jc w:val="center"/>
              <w:rPr>
                <w:rFonts w:cstheme="minorHAnsi"/>
                <w:sz w:val="20"/>
                <w:szCs w:val="20"/>
                <w:lang w:val="en-US"/>
              </w:rPr>
            </w:pPr>
          </w:p>
        </w:tc>
      </w:tr>
      <w:tr w:rsidR="006311DA" w14:paraId="09D0CECA"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4DCCA9B"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A1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55559B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90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660F27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90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0439A3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90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C805D5E"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90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38A9EC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90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07F980DA" w14:textId="77777777" w:rsidR="006311DA" w:rsidRDefault="006311DA" w:rsidP="006311DA">
            <w:pPr>
              <w:spacing w:line="276" w:lineRule="auto"/>
              <w:jc w:val="center"/>
              <w:rPr>
                <w:rFonts w:cstheme="minorHAnsi"/>
                <w:sz w:val="20"/>
                <w:szCs w:val="20"/>
                <w:lang w:val="en-US"/>
              </w:rPr>
            </w:pPr>
          </w:p>
        </w:tc>
      </w:tr>
      <w:tr w:rsidR="006311DA" w14:paraId="43B2753D"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A99D993"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A2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B3CAD1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1C989F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BBEF2E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779021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851667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55D4118F" w14:textId="77777777" w:rsidR="006311DA" w:rsidRDefault="006311DA" w:rsidP="006311DA">
            <w:pPr>
              <w:spacing w:line="276" w:lineRule="auto"/>
              <w:jc w:val="center"/>
              <w:rPr>
                <w:rFonts w:cstheme="minorHAnsi"/>
                <w:sz w:val="20"/>
                <w:szCs w:val="20"/>
                <w:lang w:val="en-US"/>
              </w:rPr>
            </w:pPr>
          </w:p>
        </w:tc>
      </w:tr>
      <w:tr w:rsidR="006311DA" w14:paraId="363AEA1F"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0487A48"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 Morava</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787DCD1"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108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622F34C3"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4807F9D3"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7507FD73"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4E9310E6"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7AFC2596" w14:textId="77777777" w:rsidR="006311DA" w:rsidRDefault="006311DA" w:rsidP="006311DA">
            <w:pPr>
              <w:spacing w:line="276" w:lineRule="auto"/>
              <w:jc w:val="center"/>
              <w:rPr>
                <w:rFonts w:cstheme="minorHAnsi"/>
                <w:sz w:val="20"/>
                <w:szCs w:val="20"/>
                <w:lang w:val="en-US"/>
              </w:rPr>
            </w:pPr>
          </w:p>
        </w:tc>
      </w:tr>
      <w:tr w:rsidR="006311DA" w14:paraId="5559AF76"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D348034"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22715A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077259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5EA4EA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8D9127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AA76F3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2461C1EF" w14:textId="77777777" w:rsidR="006311DA" w:rsidRDefault="006311DA" w:rsidP="006311DA">
            <w:pPr>
              <w:spacing w:line="276" w:lineRule="auto"/>
              <w:jc w:val="center"/>
              <w:rPr>
                <w:rFonts w:cstheme="minorHAnsi"/>
                <w:sz w:val="20"/>
                <w:szCs w:val="20"/>
                <w:lang w:val="en-US"/>
              </w:rPr>
            </w:pPr>
          </w:p>
        </w:tc>
      </w:tr>
      <w:tr w:rsidR="006311DA" w14:paraId="2FA95B74"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CAD2033"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8B938A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4BFC095"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B4BBA0B"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32D0E6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28DD65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66584E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316</w:t>
            </w:r>
          </w:p>
        </w:tc>
      </w:tr>
      <w:tr w:rsidR="006311DA" w14:paraId="7D54E645" w14:textId="77777777" w:rsidTr="005B2C66">
        <w:trPr>
          <w:trHeight w:val="2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F264597"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A485A2B"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4B7F2D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FEB3BE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E65F00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7B6E21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E0D3FC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350</w:t>
            </w:r>
          </w:p>
        </w:tc>
      </w:tr>
    </w:tbl>
    <w:p w14:paraId="7F65E95D" w14:textId="78A5D7B1" w:rsidR="00B474A4" w:rsidRDefault="00B474A4" w:rsidP="0087794A">
      <w:pPr>
        <w:pStyle w:val="Caption"/>
        <w:keepNext/>
        <w:spacing w:before="160" w:after="160"/>
      </w:pPr>
      <w:bookmarkStart w:id="697" w:name="_Toc153545090"/>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6</w:t>
      </w:r>
      <w:r w:rsidR="006E0533">
        <w:rPr>
          <w:noProof/>
        </w:rPr>
        <w:fldChar w:fldCharType="end"/>
      </w:r>
      <w:r>
        <w:t>:</w:t>
      </w:r>
      <w:r w:rsidRPr="00B474A4">
        <w:t xml:space="preserve"> Generation under supply security considerations</w:t>
      </w:r>
      <w:bookmarkEnd w:id="697"/>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89"/>
        <w:gridCol w:w="1289"/>
        <w:gridCol w:w="1289"/>
        <w:gridCol w:w="1289"/>
        <w:gridCol w:w="1289"/>
        <w:gridCol w:w="1289"/>
      </w:tblGrid>
      <w:tr w:rsidR="006311DA" w14:paraId="59F4021A" w14:textId="77777777" w:rsidTr="005B2C66">
        <w:trPr>
          <w:trHeight w:val="360"/>
          <w:jc w:val="center"/>
        </w:trPr>
        <w:tc>
          <w:tcPr>
            <w:tcW w:w="1414" w:type="dxa"/>
            <w:tcBorders>
              <w:top w:val="single" w:sz="4" w:space="0" w:color="auto"/>
              <w:left w:val="single" w:sz="4" w:space="0" w:color="auto"/>
              <w:bottom w:val="single" w:sz="4" w:space="0" w:color="auto"/>
              <w:right w:val="single" w:sz="4" w:space="0" w:color="auto"/>
            </w:tcBorders>
            <w:shd w:val="clear" w:color="auto" w:fill="404040"/>
            <w:noWrap/>
            <w:vAlign w:val="center"/>
            <w:hideMark/>
          </w:tcPr>
          <w:p w14:paraId="1926177D" w14:textId="77777777" w:rsidR="006311DA" w:rsidRDefault="006311DA" w:rsidP="001544A6">
            <w:pPr>
              <w:spacing w:line="276" w:lineRule="auto"/>
              <w:jc w:val="center"/>
              <w:rPr>
                <w:rFonts w:cstheme="minorHAnsi"/>
                <w:b/>
                <w:bCs/>
                <w:color w:val="FFFFFF"/>
                <w:sz w:val="20"/>
                <w:szCs w:val="20"/>
                <w:lang w:val="en-US"/>
              </w:rPr>
            </w:pPr>
            <w:r>
              <w:rPr>
                <w:rFonts w:cstheme="minorHAnsi"/>
                <w:b/>
                <w:bCs/>
                <w:color w:val="FFFFFF"/>
                <w:sz w:val="20"/>
                <w:szCs w:val="20"/>
                <w:lang w:val="en-US"/>
              </w:rPr>
              <w:t>Generation in TWh</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655FD2F3"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2025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282CAB7D"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2030</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54BBB3E0"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2035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3FF06D92"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2040</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05A841AD"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2045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22EC2FD7"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2050</w:t>
            </w:r>
          </w:p>
        </w:tc>
      </w:tr>
      <w:tr w:rsidR="006311DA" w14:paraId="5E995BC7" w14:textId="77777777" w:rsidTr="005B2C66">
        <w:trPr>
          <w:trHeight w:val="8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10185BA"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lastRenderedPageBreak/>
              <w:t>Tesla A1</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3273E1B9"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.970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22A7560B"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.586</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089CAF31"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.535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7DF995B2"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.251</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AF0BA45"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vAlign w:val="center"/>
            <w:hideMark/>
          </w:tcPr>
          <w:p w14:paraId="3026E12E"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19F8D5D3"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C62D8BB"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72145F1" w14:textId="77777777" w:rsidR="006311DA" w:rsidRPr="00C606BF" w:rsidRDefault="006311DA" w:rsidP="006311DA">
            <w:pPr>
              <w:spacing w:line="276" w:lineRule="auto"/>
              <w:jc w:val="center"/>
              <w:rPr>
                <w:rFonts w:cstheme="minorHAnsi"/>
                <w:sz w:val="20"/>
                <w:szCs w:val="20"/>
                <w:lang w:val="en-US"/>
              </w:rPr>
            </w:pPr>
            <w:r w:rsidRPr="00C606BF">
              <w:rPr>
                <w:rFonts w:cstheme="minorHAnsi"/>
                <w:color w:val="000000"/>
                <w:sz w:val="20"/>
                <w:szCs w:val="20"/>
                <w:lang w:val="en-US"/>
              </w:rPr>
              <w:t>.970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284F762" w14:textId="77777777" w:rsidR="006311DA" w:rsidRPr="00C606BF" w:rsidRDefault="006311DA" w:rsidP="006311DA">
            <w:pPr>
              <w:spacing w:line="276" w:lineRule="auto"/>
              <w:jc w:val="center"/>
              <w:rPr>
                <w:rFonts w:cstheme="minorHAnsi"/>
                <w:sz w:val="20"/>
                <w:szCs w:val="20"/>
                <w:lang w:val="en-US"/>
              </w:rPr>
            </w:pPr>
            <w:r w:rsidRPr="00C606BF">
              <w:rPr>
                <w:rFonts w:cstheme="minorHAnsi"/>
                <w:color w:val="000000"/>
                <w:sz w:val="20"/>
                <w:szCs w:val="20"/>
                <w:lang w:val="en-US"/>
              </w:rPr>
              <w:t>.586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213335C" w14:textId="77777777" w:rsidR="006311DA" w:rsidRPr="00C606BF" w:rsidRDefault="006311DA" w:rsidP="006311DA">
            <w:pPr>
              <w:spacing w:line="276" w:lineRule="auto"/>
              <w:jc w:val="center"/>
              <w:rPr>
                <w:rFonts w:cstheme="minorHAnsi"/>
                <w:sz w:val="20"/>
                <w:szCs w:val="20"/>
                <w:lang w:val="en-US"/>
              </w:rPr>
            </w:pPr>
            <w:r w:rsidRPr="00C606BF">
              <w:rPr>
                <w:rFonts w:cstheme="minorHAnsi"/>
                <w:color w:val="000000"/>
                <w:sz w:val="20"/>
                <w:szCs w:val="20"/>
                <w:lang w:val="en-US"/>
              </w:rPr>
              <w:t>.535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5A61236" w14:textId="77777777" w:rsidR="006311DA" w:rsidRPr="00C606BF" w:rsidRDefault="006311DA" w:rsidP="006311DA">
            <w:pPr>
              <w:spacing w:line="276" w:lineRule="auto"/>
              <w:jc w:val="center"/>
              <w:rPr>
                <w:rFonts w:cstheme="minorHAnsi"/>
                <w:sz w:val="20"/>
                <w:szCs w:val="20"/>
                <w:lang w:val="en-US"/>
              </w:rPr>
            </w:pPr>
            <w:r w:rsidRPr="00C606BF">
              <w:rPr>
                <w:rFonts w:cstheme="minorHAnsi"/>
                <w:color w:val="000000"/>
                <w:sz w:val="20"/>
                <w:szCs w:val="20"/>
                <w:lang w:val="en-US"/>
              </w:rPr>
              <w:t>.251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F156786" w14:textId="77777777" w:rsidR="006311DA" w:rsidRPr="00C606BF" w:rsidRDefault="006311DA" w:rsidP="006311DA">
            <w:pPr>
              <w:spacing w:line="276" w:lineRule="auto"/>
              <w:jc w:val="center"/>
              <w:rPr>
                <w:rFonts w:cstheme="minorHAnsi"/>
                <w:sz w:val="20"/>
                <w:szCs w:val="20"/>
                <w:lang w:val="en-US"/>
              </w:rPr>
            </w:pPr>
            <w:r w:rsidRPr="00C606BF">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3316B95" w14:textId="77777777" w:rsidR="006311DA" w:rsidRPr="00C606BF" w:rsidRDefault="006311DA" w:rsidP="006311DA">
            <w:pPr>
              <w:spacing w:line="276" w:lineRule="auto"/>
              <w:jc w:val="center"/>
              <w:rPr>
                <w:rFonts w:cstheme="minorHAnsi"/>
                <w:sz w:val="20"/>
                <w:szCs w:val="20"/>
                <w:lang w:val="en-US"/>
              </w:rPr>
            </w:pPr>
            <w:r w:rsidRPr="00C606BF">
              <w:rPr>
                <w:rFonts w:cstheme="minorHAnsi"/>
                <w:color w:val="000000"/>
                <w:sz w:val="20"/>
                <w:szCs w:val="20"/>
                <w:lang w:val="en-US"/>
              </w:rPr>
              <w:t>-</w:t>
            </w:r>
          </w:p>
        </w:tc>
      </w:tr>
      <w:tr w:rsidR="006311DA" w14:paraId="7FA2F09B"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A2FB6F3"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138A7B12"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2.137</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42A01F81"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1.069</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13E57A06"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1.015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586E9B5"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.802</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3C0A112"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.390</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FEFDAA0"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1824B869"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8F56B43"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A20B40B"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2.137</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3A7E783"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1.069</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B693413"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1.015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DFFB28A"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.802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57138B8"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.387</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399A390"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2146FBBD"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3C3599A"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8515166"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1.575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2AC7179"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1.559</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C8A0A5F"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1.141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6BCA910"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.815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EAEC0C0"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.394</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1255BFE"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30A652AA"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B343AAE"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DBC07D1"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1.626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184B844"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1.609</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B9DCC4A"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1.177</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FB30693"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.841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210317B"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.406</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2473417"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1FAACB80"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7BE046B"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B1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FBC73B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2.942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BAFC3E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2.737</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0FAD33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2.405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1852F68"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1.791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D788791"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1.010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3F596E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10624A21"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764DAE16"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B2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D1C71DD"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2.942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748E61A"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3.421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2B063D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2.405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3F2F44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2.137</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A91A15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1.325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FE7F301"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596ED822"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5C28285"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Kolubara A3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215FA70"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.112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10357787"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6E372B8A"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558E417F"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4D73826C"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635F488B" w14:textId="77777777" w:rsidR="006311DA" w:rsidRDefault="006311DA" w:rsidP="006311DA">
            <w:pPr>
              <w:spacing w:line="276" w:lineRule="auto"/>
              <w:jc w:val="center"/>
              <w:rPr>
                <w:rFonts w:cstheme="minorHAnsi"/>
                <w:color w:val="000000"/>
                <w:sz w:val="20"/>
                <w:szCs w:val="20"/>
                <w:lang w:val="en-US"/>
              </w:rPr>
            </w:pPr>
          </w:p>
        </w:tc>
      </w:tr>
      <w:tr w:rsidR="006311DA" w14:paraId="6833ABA8"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C666FD0"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Kolubara A5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0DC41C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.508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CD4202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0E215C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C69D060"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26BDA59"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EA4829D"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4A553E03"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14D3814"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A1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A6D2E42"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.512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9946F6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.276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E82523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.252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899616C"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.158</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F3B4AB7"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0AE508E"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6E2EA002"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4338DE8B"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A2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7BE521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1.071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B5FFCC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.586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C71D9AE"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.535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6B8AB3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.335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58C85D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AF7596E"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01411EDF"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DBD5EC5"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 Morava</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4E970BA"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.322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965C2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559E9B4"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5679EBF"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341BEB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C3DFDDF"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4A0CFFA5"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A49EFBC"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17EC4E8"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1.716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754D3C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1.614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C4CFE17"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1.444</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0BC83CF"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.969</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B1972A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.554</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A50D520"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0DD6138E"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FB840AB"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A95D74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1.975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16FD1A0"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1.614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9C9A804"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1.522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83F6078"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1.107</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264AC37"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.692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B2FA4E8"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390F849C"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8B8D5B2"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5EB06D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2.453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4719B79"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2.453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566747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2.391</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68E7DF4"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2.453</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382BE21"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1.533</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9C4AC36"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bl>
    <w:p w14:paraId="7CC0DB8F" w14:textId="56AEDA0E" w:rsidR="00B474A4" w:rsidRDefault="00B474A4" w:rsidP="0087794A">
      <w:pPr>
        <w:pStyle w:val="Caption"/>
        <w:keepNext/>
        <w:spacing w:before="160" w:after="160"/>
      </w:pPr>
      <w:bookmarkStart w:id="698" w:name="_Toc153545091"/>
      <w:r>
        <w:t xml:space="preserve">Table </w:t>
      </w:r>
      <w:r w:rsidR="006E0533">
        <w:fldChar w:fldCharType="begin"/>
      </w:r>
      <w:r w:rsidR="006E0533">
        <w:instrText xml:space="preserve"> STYLEREF 1 \s </w:instrText>
      </w:r>
      <w:r w:rsidR="006E0533">
        <w:fldChar w:fldCharType="separate"/>
      </w:r>
      <w:r w:rsidR="00A84B9C">
        <w:rPr>
          <w:noProof/>
        </w:rPr>
        <w:t>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7</w:t>
      </w:r>
      <w:r w:rsidR="006E0533">
        <w:rPr>
          <w:noProof/>
        </w:rPr>
        <w:fldChar w:fldCharType="end"/>
      </w:r>
      <w:r w:rsidRPr="00B474A4">
        <w:t>: Capacity factors under supply security considerations</w:t>
      </w:r>
      <w:bookmarkEnd w:id="698"/>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1289"/>
        <w:gridCol w:w="1289"/>
        <w:gridCol w:w="1289"/>
        <w:gridCol w:w="1289"/>
        <w:gridCol w:w="1289"/>
        <w:gridCol w:w="1289"/>
      </w:tblGrid>
      <w:tr w:rsidR="006311DA" w14:paraId="18C0AA4F" w14:textId="77777777" w:rsidTr="005B2C66">
        <w:trPr>
          <w:trHeight w:val="360"/>
          <w:jc w:val="center"/>
        </w:trPr>
        <w:tc>
          <w:tcPr>
            <w:tcW w:w="1414" w:type="dxa"/>
            <w:tcBorders>
              <w:top w:val="single" w:sz="4" w:space="0" w:color="auto"/>
              <w:left w:val="single" w:sz="4" w:space="0" w:color="auto"/>
              <w:bottom w:val="single" w:sz="4" w:space="0" w:color="auto"/>
              <w:right w:val="single" w:sz="4" w:space="0" w:color="auto"/>
            </w:tcBorders>
            <w:shd w:val="clear" w:color="auto" w:fill="404040"/>
            <w:noWrap/>
            <w:vAlign w:val="center"/>
            <w:hideMark/>
          </w:tcPr>
          <w:p w14:paraId="2F89958B" w14:textId="77777777" w:rsidR="006311DA" w:rsidRDefault="006311DA" w:rsidP="001544A6">
            <w:pPr>
              <w:spacing w:line="276" w:lineRule="auto"/>
              <w:jc w:val="center"/>
              <w:rPr>
                <w:rFonts w:cstheme="minorHAnsi"/>
                <w:b/>
                <w:bCs/>
                <w:color w:val="FFFFFF"/>
                <w:sz w:val="20"/>
                <w:szCs w:val="20"/>
                <w:lang w:val="en-US"/>
              </w:rPr>
            </w:pPr>
            <w:r>
              <w:rPr>
                <w:rFonts w:cstheme="minorHAnsi"/>
                <w:b/>
                <w:bCs/>
                <w:color w:val="FFFFFF"/>
                <w:sz w:val="20"/>
                <w:szCs w:val="20"/>
                <w:lang w:val="en-US"/>
              </w:rPr>
              <w:t>Capacity factor per unit</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4C3AB33D"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2025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02FAF86A"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2030</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7118B865"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2035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5C66FC3E"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2040</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75E7C989"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2045</w:t>
            </w:r>
          </w:p>
        </w:tc>
        <w:tc>
          <w:tcPr>
            <w:tcW w:w="128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582B8601" w14:textId="77777777" w:rsidR="006311DA" w:rsidRDefault="006311DA" w:rsidP="006311DA">
            <w:pPr>
              <w:spacing w:line="276" w:lineRule="auto"/>
              <w:jc w:val="center"/>
              <w:rPr>
                <w:rFonts w:cstheme="minorHAnsi"/>
                <w:b/>
                <w:bCs/>
                <w:color w:val="FFFFFF"/>
                <w:sz w:val="20"/>
                <w:szCs w:val="20"/>
                <w:lang w:val="en-US"/>
              </w:rPr>
            </w:pPr>
            <w:r>
              <w:rPr>
                <w:rFonts w:cstheme="minorHAnsi"/>
                <w:color w:val="FFFFFF" w:themeColor="background1"/>
                <w:sz w:val="20"/>
                <w:szCs w:val="20"/>
                <w:lang w:val="en-US"/>
              </w:rPr>
              <w:t>20</w:t>
            </w:r>
            <w:r>
              <w:rPr>
                <w:rFonts w:cstheme="minorHAnsi"/>
                <w:color w:val="FFFFFF" w:themeColor="background1"/>
                <w:sz w:val="20"/>
                <w:szCs w:val="20"/>
                <w:lang w:val="sr-Cyrl-RS"/>
              </w:rPr>
              <w:t>50</w:t>
            </w:r>
          </w:p>
        </w:tc>
      </w:tr>
      <w:tr w:rsidR="006311DA" w14:paraId="7B6985A3" w14:textId="77777777" w:rsidTr="005B2C66">
        <w:trPr>
          <w:trHeight w:val="80"/>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252594A"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A1</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1C38356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3364F81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438DB3F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E3DD40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15%</w:t>
            </w:r>
          </w:p>
        </w:tc>
        <w:tc>
          <w:tcPr>
            <w:tcW w:w="1289" w:type="dxa"/>
            <w:tcBorders>
              <w:top w:val="single" w:sz="4" w:space="0" w:color="auto"/>
              <w:left w:val="single" w:sz="4" w:space="0" w:color="auto"/>
              <w:bottom w:val="single" w:sz="4" w:space="0" w:color="auto"/>
              <w:right w:val="single" w:sz="4" w:space="0" w:color="auto"/>
            </w:tcBorders>
            <w:vAlign w:val="center"/>
          </w:tcPr>
          <w:p w14:paraId="14FB434B"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vAlign w:val="center"/>
            <w:hideMark/>
          </w:tcPr>
          <w:p w14:paraId="065163AD"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4C819FA5"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A38BB59"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D78060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08AD81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991872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EFAF35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5C55C9A3" w14:textId="77777777" w:rsidR="006311DA" w:rsidRDefault="006311DA" w:rsidP="006311DA">
            <w:pPr>
              <w:spacing w:line="276" w:lineRule="auto"/>
              <w:jc w:val="center"/>
              <w:rPr>
                <w:rFonts w:cstheme="minorHAnsi"/>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225502C"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4A9E382E"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3D659DB" w14:textId="77777777" w:rsidR="006311DA" w:rsidRDefault="006311DA" w:rsidP="006311DA">
            <w:pPr>
              <w:spacing w:line="276" w:lineRule="auto"/>
              <w:rPr>
                <w:rFonts w:cstheme="minorHAnsi"/>
                <w:color w:val="000000"/>
                <w:sz w:val="20"/>
                <w:szCs w:val="20"/>
                <w:lang w:val="en-US"/>
              </w:rPr>
            </w:pPr>
            <w:r>
              <w:rPr>
                <w:rFonts w:cstheme="minorHAnsi"/>
                <w:color w:val="000000"/>
                <w:sz w:val="20"/>
                <w:szCs w:val="20"/>
                <w:lang w:val="en-US"/>
              </w:rPr>
              <w:t>Tesla A3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7141E30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80%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07AF4D6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40%</w:t>
            </w:r>
          </w:p>
        </w:tc>
        <w:tc>
          <w:tcPr>
            <w:tcW w:w="1289" w:type="dxa"/>
            <w:tcBorders>
              <w:top w:val="single" w:sz="4" w:space="0" w:color="auto"/>
              <w:left w:val="single" w:sz="4" w:space="0" w:color="auto"/>
              <w:bottom w:val="single" w:sz="4" w:space="0" w:color="auto"/>
              <w:right w:val="single" w:sz="4" w:space="0" w:color="auto"/>
            </w:tcBorders>
            <w:noWrap/>
            <w:vAlign w:val="center"/>
            <w:hideMark/>
          </w:tcPr>
          <w:p w14:paraId="6B3A05F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38%</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C03DDD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w:t>
            </w:r>
          </w:p>
        </w:tc>
        <w:tc>
          <w:tcPr>
            <w:tcW w:w="1289" w:type="dxa"/>
            <w:tcBorders>
              <w:top w:val="single" w:sz="4" w:space="0" w:color="auto"/>
              <w:left w:val="single" w:sz="4" w:space="0" w:color="auto"/>
              <w:bottom w:val="single" w:sz="4" w:space="0" w:color="auto"/>
              <w:right w:val="single" w:sz="4" w:space="0" w:color="auto"/>
            </w:tcBorders>
            <w:vAlign w:val="center"/>
            <w:hideMark/>
          </w:tcPr>
          <w:p w14:paraId="2B62B74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15%</w:t>
            </w:r>
          </w:p>
        </w:tc>
        <w:tc>
          <w:tcPr>
            <w:tcW w:w="1289" w:type="dxa"/>
            <w:tcBorders>
              <w:top w:val="single" w:sz="4" w:space="0" w:color="auto"/>
              <w:left w:val="single" w:sz="4" w:space="0" w:color="auto"/>
              <w:bottom w:val="single" w:sz="4" w:space="0" w:color="auto"/>
              <w:right w:val="single" w:sz="4" w:space="0" w:color="auto"/>
            </w:tcBorders>
            <w:vAlign w:val="center"/>
            <w:hideMark/>
          </w:tcPr>
          <w:p w14:paraId="051D2843"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2C66F5DD"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2DE0C23"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B8462E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80%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0D1DBC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DE9482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38%</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982829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ED8ED6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318E070"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703166DC"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4F2FC93"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8D04C5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A0DCDF8"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57%</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EA382A1"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1D724AB"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5A6873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09E33AE"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6624CB19"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243FF28"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A6</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5A0777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81443E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57%</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C7E0B4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A8451A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13D54D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8ECF94C" w14:textId="77777777" w:rsidR="006311DA" w:rsidRDefault="006311DA" w:rsidP="006311DA">
            <w:pPr>
              <w:spacing w:line="276" w:lineRule="auto"/>
              <w:jc w:val="center"/>
              <w:rPr>
                <w:rFonts w:cstheme="minorHAnsi"/>
                <w:sz w:val="20"/>
                <w:szCs w:val="20"/>
                <w:lang w:val="en-US"/>
              </w:rPr>
            </w:pPr>
            <w:r>
              <w:rPr>
                <w:rFonts w:cstheme="minorHAnsi"/>
                <w:color w:val="000000"/>
                <w:sz w:val="20"/>
                <w:szCs w:val="20"/>
                <w:lang w:val="en-US"/>
              </w:rPr>
              <w:t>-</w:t>
            </w:r>
          </w:p>
        </w:tc>
      </w:tr>
      <w:tr w:rsidR="006311DA" w14:paraId="680E5A4F"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C906CE7"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B1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BAEA63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62AA28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1CAB0BF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68F799B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34%</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DCFD84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19%</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9A9898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4D705D50"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09AB671D"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Tesla B2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F9F71EB"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2E2088E"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46F14A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47898F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19057EC"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25%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989FB09"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0DE52AC0"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AB8A61E"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Kolubara A3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8C9C7D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22%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0004F92D"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59D7D3F1"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47EA9EEA"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0EDF60F6"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2A976AB3" w14:textId="77777777" w:rsidR="006311DA" w:rsidRDefault="006311DA" w:rsidP="006311DA">
            <w:pPr>
              <w:spacing w:line="276" w:lineRule="auto"/>
              <w:jc w:val="center"/>
              <w:rPr>
                <w:rFonts w:cstheme="minorHAnsi"/>
                <w:color w:val="000000"/>
                <w:sz w:val="20"/>
                <w:szCs w:val="20"/>
                <w:lang w:val="en-US"/>
              </w:rPr>
            </w:pPr>
          </w:p>
        </w:tc>
      </w:tr>
      <w:tr w:rsidR="006311DA" w14:paraId="7BF12F28"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BA5B36F"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Kolubara A5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EE17F3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7BD95AC8"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5C7C9EA5"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33DF00AD"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0D29B36F"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3D560D9"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1BCD8196"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6EAB18ED"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A1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4E81EA1"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7EBDAE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3E3AD180"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183EAB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20%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6CCFAEA4"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766BACB5"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1E5E6D2B"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35F10546"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A2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A64279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F4FD1E6"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6434631B"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48CAFB11"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20%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2E0EA979"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38848D3"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3C33203B"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278ECC09"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TE Morava</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C363EB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34%</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3810332B"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tcPr>
          <w:p w14:paraId="6087BFCD"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52D60ABE"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tcPr>
          <w:p w14:paraId="7866EABE" w14:textId="77777777" w:rsidR="006311DA" w:rsidRDefault="006311DA" w:rsidP="006311DA">
            <w:pPr>
              <w:spacing w:line="276" w:lineRule="auto"/>
              <w:jc w:val="center"/>
              <w:rPr>
                <w:rFonts w:cstheme="minorHAnsi"/>
                <w:color w:val="000000"/>
                <w:sz w:val="20"/>
                <w:szCs w:val="20"/>
                <w:lang w:val="en-US"/>
              </w:rPr>
            </w:pP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F48856B"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43CC7673"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068406B"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lastRenderedPageBreak/>
              <w:t>Kostolac B1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A7BF93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62%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113F96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655045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52%</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69488D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35%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B51CCD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20%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5C2CF554"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7ADF311C"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15E8F8F0"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B2</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5A2DCE4"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71%</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7400D82A"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58%</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5F71AC15"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26E37FF7"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40%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00B0F483"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25%</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1FA0E789"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r w:rsidR="006311DA" w14:paraId="30B172A9" w14:textId="77777777" w:rsidTr="005B2C66">
        <w:trPr>
          <w:trHeight w:val="288"/>
          <w:jc w:val="center"/>
        </w:trPr>
        <w:tc>
          <w:tcPr>
            <w:tcW w:w="1414" w:type="dxa"/>
            <w:tcBorders>
              <w:top w:val="single" w:sz="4" w:space="0" w:color="auto"/>
              <w:left w:val="single" w:sz="4" w:space="0" w:color="auto"/>
              <w:bottom w:val="single" w:sz="4" w:space="0" w:color="auto"/>
              <w:right w:val="single" w:sz="4" w:space="0" w:color="auto"/>
            </w:tcBorders>
            <w:shd w:val="clear" w:color="auto" w:fill="E7E6E6"/>
            <w:noWrap/>
            <w:vAlign w:val="center"/>
            <w:hideMark/>
          </w:tcPr>
          <w:p w14:paraId="5F6BE94E" w14:textId="77777777" w:rsidR="006311DA" w:rsidRDefault="006311DA" w:rsidP="006311DA">
            <w:pPr>
              <w:spacing w:line="276" w:lineRule="auto"/>
              <w:rPr>
                <w:rFonts w:cstheme="minorHAnsi"/>
                <w:b/>
                <w:bCs/>
                <w:color w:val="000000"/>
                <w:sz w:val="20"/>
                <w:szCs w:val="20"/>
                <w:lang w:val="en-US"/>
              </w:rPr>
            </w:pPr>
            <w:r>
              <w:rPr>
                <w:rFonts w:cstheme="minorHAnsi"/>
                <w:color w:val="000000"/>
                <w:sz w:val="20"/>
                <w:szCs w:val="20"/>
                <w:lang w:val="en-US"/>
              </w:rPr>
              <w:t>Kostolac B3</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49E24DBF"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80%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09CD6E42"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80%</w:t>
            </w:r>
          </w:p>
        </w:tc>
        <w:tc>
          <w:tcPr>
            <w:tcW w:w="1289" w:type="dxa"/>
            <w:tcBorders>
              <w:top w:val="single" w:sz="4" w:space="0" w:color="auto"/>
              <w:left w:val="single" w:sz="4" w:space="0" w:color="auto"/>
              <w:bottom w:val="single" w:sz="4" w:space="0" w:color="auto"/>
              <w:right w:val="single" w:sz="4" w:space="0" w:color="auto"/>
            </w:tcBorders>
            <w:shd w:val="clear" w:color="auto" w:fill="DDEBF7"/>
            <w:noWrap/>
            <w:vAlign w:val="center"/>
            <w:hideMark/>
          </w:tcPr>
          <w:p w14:paraId="290B9399"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78%</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C2A2235"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80%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76F2BFD" w14:textId="77777777" w:rsidR="006311DA" w:rsidRDefault="006311DA" w:rsidP="006311DA">
            <w:pPr>
              <w:spacing w:line="276" w:lineRule="auto"/>
              <w:jc w:val="center"/>
              <w:rPr>
                <w:rFonts w:cstheme="minorHAnsi"/>
                <w:sz w:val="20"/>
                <w:szCs w:val="20"/>
                <w:lang w:val="en-US"/>
              </w:rPr>
            </w:pPr>
            <w:r>
              <w:rPr>
                <w:rFonts w:cstheme="minorHAnsi"/>
                <w:sz w:val="20"/>
                <w:szCs w:val="20"/>
                <w:lang w:val="en-US"/>
              </w:rPr>
              <w:t>50%</w:t>
            </w:r>
          </w:p>
        </w:tc>
        <w:tc>
          <w:tcPr>
            <w:tcW w:w="1289" w:type="dxa"/>
            <w:tcBorders>
              <w:top w:val="single" w:sz="4" w:space="0" w:color="auto"/>
              <w:left w:val="single" w:sz="4" w:space="0" w:color="auto"/>
              <w:bottom w:val="single" w:sz="4" w:space="0" w:color="auto"/>
              <w:right w:val="single" w:sz="4" w:space="0" w:color="auto"/>
            </w:tcBorders>
            <w:shd w:val="clear" w:color="auto" w:fill="DDEBF7"/>
            <w:vAlign w:val="center"/>
            <w:hideMark/>
          </w:tcPr>
          <w:p w14:paraId="3EF74F7E" w14:textId="77777777" w:rsidR="006311DA" w:rsidRDefault="006311DA" w:rsidP="006311DA">
            <w:pPr>
              <w:spacing w:line="276" w:lineRule="auto"/>
              <w:jc w:val="center"/>
              <w:rPr>
                <w:rFonts w:cstheme="minorHAnsi"/>
                <w:color w:val="000000"/>
                <w:sz w:val="20"/>
                <w:szCs w:val="20"/>
                <w:lang w:val="en-US"/>
              </w:rPr>
            </w:pPr>
            <w:r>
              <w:rPr>
                <w:rFonts w:cstheme="minorHAnsi"/>
                <w:color w:val="000000"/>
                <w:sz w:val="20"/>
                <w:szCs w:val="20"/>
                <w:lang w:val="en-US"/>
              </w:rPr>
              <w:t>-</w:t>
            </w:r>
          </w:p>
        </w:tc>
      </w:tr>
    </w:tbl>
    <w:p w14:paraId="228887BA" w14:textId="77777777" w:rsidR="0070530F" w:rsidRPr="005B2C66" w:rsidRDefault="006311DA" w:rsidP="005B2C66">
      <w:pPr>
        <w:spacing w:before="100" w:beforeAutospacing="1" w:after="200" w:line="276" w:lineRule="auto"/>
        <w:jc w:val="both"/>
        <w:rPr>
          <w:rFonts w:ascii="Calibri Light" w:hAnsi="Calibri Light" w:cs="Calibri Light"/>
          <w:szCs w:val="20"/>
          <w:lang w:eastAsia="el-GR"/>
        </w:rPr>
      </w:pPr>
      <w:r>
        <w:rPr>
          <w:rFonts w:ascii="Calibri Light" w:hAnsi="Calibri Light" w:cs="Calibri Light"/>
          <w:szCs w:val="20"/>
          <w:lang w:eastAsia="el-GR"/>
        </w:rPr>
        <w:t>It is considered that this configuration can cover the uncertainties related to the security of supply issues, providing a secure electricity supply option utilising a domestic resource. At the same time the reduction of generation from lignite leads to the reduction of GHG emissions and the introduction of higher capacities of indigenous renewable energy sources.</w:t>
      </w:r>
    </w:p>
    <w:p w14:paraId="6ACBA53D" w14:textId="77777777" w:rsidR="00BE2EC4" w:rsidRDefault="00BE2EC4">
      <w:pPr>
        <w:spacing w:line="259" w:lineRule="auto"/>
      </w:pPr>
      <w:r>
        <w:br w:type="page"/>
      </w:r>
    </w:p>
    <w:p w14:paraId="218EF79E" w14:textId="39A93E3F" w:rsidR="003B6BD2" w:rsidRPr="00A33AE8" w:rsidRDefault="003B6BD2" w:rsidP="0087794A">
      <w:pPr>
        <w:pStyle w:val="Heading1"/>
        <w:numPr>
          <w:ilvl w:val="0"/>
          <w:numId w:val="349"/>
        </w:numPr>
      </w:pPr>
      <w:bookmarkStart w:id="699" w:name="_Toc153545064"/>
      <w:bookmarkStart w:id="700" w:name="_Hlk148621157"/>
      <w:r w:rsidRPr="00A33AE8">
        <w:lastRenderedPageBreak/>
        <w:t xml:space="preserve">Annex: </w:t>
      </w:r>
      <w:r w:rsidRPr="003B6BD2">
        <w:t>QUANTITATIVE ANALYSIS TOOLS</w:t>
      </w:r>
      <w:bookmarkEnd w:id="699"/>
    </w:p>
    <w:bookmarkEnd w:id="700"/>
    <w:p w14:paraId="04BE35F4" w14:textId="77777777" w:rsidR="003B6BD2" w:rsidRPr="000007D2" w:rsidRDefault="003B6BD2" w:rsidP="00884F3B">
      <w:pPr>
        <w:pStyle w:val="Heading4"/>
        <w:numPr>
          <w:ilvl w:val="0"/>
          <w:numId w:val="262"/>
        </w:numPr>
        <w:spacing w:after="120"/>
        <w:ind w:left="1077"/>
        <w:rPr>
          <w:b w:val="0"/>
          <w:bCs w:val="0"/>
        </w:rPr>
      </w:pPr>
      <w:r w:rsidRPr="000007D2">
        <w:t>Serbian Energy Modelling System (SEMS)</w:t>
      </w:r>
    </w:p>
    <w:p w14:paraId="1028850B" w14:textId="73C4C5F3" w:rsidR="003B6BD2" w:rsidRPr="003B6BD2" w:rsidRDefault="003B6BD2" w:rsidP="000007D2">
      <w:pPr>
        <w:widowControl w:val="0"/>
        <w:spacing w:before="100" w:beforeAutospacing="1"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SEMS is a technology-rich demand-driven tool generated in TIMES and can be used to explore the evolution of the entire energy system of Serbia over a time horizon that can be extended or shortened depending on the analysis needs. Therefore, the data needs of SEMS are extensive in order to represent the current situation in detail and project the development of the energy system under alternative scenario formulations. The input data are stored and manipulated in a set of excel workbooks, called templates. This gives to the modeller the flexibility to view and analyse the data and the model structure in a user-friendly way.</w:t>
      </w:r>
    </w:p>
    <w:p w14:paraId="7D84C1B2" w14:textId="5EEAEEF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 xml:space="preserve">A detailed presentation of the structure of SEMS is given in the “SEMS Model Reference Report” delivered in the project Development of Energy Planning Capacity Project, (IPA 2013 Contract no: 480000176//2014-28). A short overview is presented in the following paragraphs for the representation of the energy system of Serbia in the Reference Energy System which is used in the TIMES model. The energy system is divided into supply, transformation and demand, and then further subdivided based on the energy commodity that is being supplied and the sector in which energy commodities are consumed. Emissions of </w:t>
      </w:r>
      <w:r w:rsidRPr="003B6BD2">
        <w:rPr>
          <w:rFonts w:ascii="Calibri Light" w:eastAsia="Times New Roman" w:hAnsi="Calibri Light" w:cs="Calibri Light"/>
          <w:bCs/>
          <w:szCs w:val="20"/>
          <w:lang w:eastAsia="el-GR"/>
        </w:rPr>
        <w:t>CO</w:t>
      </w:r>
      <w:r w:rsidRPr="003B6BD2">
        <w:rPr>
          <w:rFonts w:ascii="Calibri Light" w:eastAsia="Times New Roman" w:hAnsi="Calibri Light" w:cs="Calibri Light"/>
          <w:bCs/>
          <w:szCs w:val="20"/>
          <w:vertAlign w:val="subscript"/>
          <w:lang w:eastAsia="el-GR"/>
        </w:rPr>
        <w:t>2</w:t>
      </w:r>
      <w:r w:rsidRPr="003B6BD2">
        <w:rPr>
          <w:rFonts w:ascii="Calibri Light" w:eastAsia="Times New Roman" w:hAnsi="Calibri Light" w:cs="Calibri Light"/>
          <w:bCs/>
          <w:szCs w:val="20"/>
          <w:lang w:eastAsia="el-GR"/>
        </w:rPr>
        <w:t>, CH</w:t>
      </w:r>
      <w:r w:rsidRPr="003B6BD2">
        <w:rPr>
          <w:rFonts w:ascii="Calibri Light" w:eastAsia="Times New Roman" w:hAnsi="Calibri Light" w:cs="Calibri Light"/>
          <w:bCs/>
          <w:szCs w:val="20"/>
          <w:vertAlign w:val="subscript"/>
          <w:lang w:eastAsia="el-GR"/>
        </w:rPr>
        <w:t xml:space="preserve">4 </w:t>
      </w:r>
      <w:r w:rsidRPr="003B6BD2">
        <w:rPr>
          <w:rFonts w:ascii="Calibri Light" w:eastAsia="Times New Roman" w:hAnsi="Calibri Light" w:cs="Calibri Light"/>
          <w:bCs/>
          <w:szCs w:val="20"/>
          <w:lang w:eastAsia="el-GR"/>
        </w:rPr>
        <w:t>and N</w:t>
      </w:r>
      <w:r w:rsidRPr="003B6BD2">
        <w:rPr>
          <w:rFonts w:ascii="Calibri Light" w:eastAsia="Times New Roman" w:hAnsi="Calibri Light" w:cs="Calibri Light"/>
          <w:bCs/>
          <w:szCs w:val="20"/>
          <w:vertAlign w:val="subscript"/>
          <w:lang w:eastAsia="el-GR"/>
        </w:rPr>
        <w:t>2</w:t>
      </w:r>
      <w:r w:rsidRPr="003B6BD2">
        <w:rPr>
          <w:rFonts w:ascii="Calibri Light" w:eastAsia="Times New Roman" w:hAnsi="Calibri Light" w:cs="Calibri Light"/>
          <w:bCs/>
          <w:szCs w:val="20"/>
          <w:lang w:eastAsia="el-GR"/>
        </w:rPr>
        <w:t>O</w:t>
      </w:r>
      <w:r w:rsidRPr="003B6BD2">
        <w:rPr>
          <w:rFonts w:ascii="Calibri Light" w:eastAsia="Times New Roman" w:hAnsi="Calibri Light" w:cs="Calibri Light"/>
          <w:szCs w:val="20"/>
          <w:lang w:eastAsia="el-GR"/>
        </w:rPr>
        <w:t xml:space="preserve"> are tracked through the energy system and an accounting is done for emissions in each sector, in order to be consistent with the definitions of Emissions Trading Scheme (ETS) and non-ETS sectors in EU. The calculation of emissions is done using the coefficients per fuel defined by IPCC and national coefficients for lignite.</w:t>
      </w:r>
    </w:p>
    <w:p w14:paraId="6907CD89" w14:textId="28D4EB4B" w:rsidR="003B6BD2" w:rsidRPr="003B6BD2" w:rsidRDefault="004F139C" w:rsidP="003B6BD2">
      <w:pPr>
        <w:widowControl w:val="0"/>
        <w:spacing w:after="120" w:line="240" w:lineRule="auto"/>
        <w:jc w:val="both"/>
        <w:rPr>
          <w:rFonts w:ascii="Calibri Light" w:eastAsia="Times New Roman" w:hAnsi="Calibri Light" w:cs="Calibri Light"/>
          <w:szCs w:val="20"/>
          <w:lang w:eastAsia="el-GR"/>
        </w:rPr>
      </w:pPr>
      <w:r>
        <w:rPr>
          <w:rFonts w:ascii="Calibri Light" w:eastAsia="Times New Roman" w:hAnsi="Calibri Light" w:cs="Calibri Light"/>
          <w:szCs w:val="20"/>
          <w:lang w:eastAsia="el-GR"/>
        </w:rPr>
        <w:fldChar w:fldCharType="begin"/>
      </w:r>
      <w:r>
        <w:rPr>
          <w:rFonts w:ascii="Calibri Light" w:eastAsia="Times New Roman" w:hAnsi="Calibri Light" w:cs="Calibri Light"/>
          <w:szCs w:val="20"/>
          <w:lang w:eastAsia="el-GR"/>
        </w:rPr>
        <w:instrText xml:space="preserve"> REF _Ref153534820 \h  \* MERGEFORMAT </w:instrText>
      </w:r>
      <w:r>
        <w:rPr>
          <w:rFonts w:ascii="Calibri Light" w:eastAsia="Times New Roman" w:hAnsi="Calibri Light" w:cs="Calibri Light"/>
          <w:szCs w:val="20"/>
          <w:lang w:eastAsia="el-GR"/>
        </w:rPr>
      </w:r>
      <w:r>
        <w:rPr>
          <w:rFonts w:ascii="Calibri Light" w:eastAsia="Times New Roman" w:hAnsi="Calibri Light" w:cs="Calibri Light"/>
          <w:szCs w:val="20"/>
          <w:lang w:eastAsia="el-GR"/>
        </w:rPr>
        <w:fldChar w:fldCharType="separate"/>
      </w:r>
      <w:r w:rsidRPr="0087794A">
        <w:rPr>
          <w:rFonts w:ascii="Calibri Light" w:eastAsia="Times New Roman" w:hAnsi="Calibri Light" w:cs="Calibri Light"/>
          <w:szCs w:val="20"/>
          <w:lang w:eastAsia="el-GR"/>
        </w:rPr>
        <w:t>Figure III.1</w:t>
      </w:r>
      <w:r>
        <w:rPr>
          <w:rFonts w:ascii="Calibri Light" w:eastAsia="Times New Roman" w:hAnsi="Calibri Light" w:cs="Calibri Light"/>
          <w:szCs w:val="20"/>
          <w:lang w:eastAsia="el-GR"/>
        </w:rPr>
        <w:fldChar w:fldCharType="end"/>
      </w:r>
      <w:r>
        <w:rPr>
          <w:rFonts w:ascii="Calibri Light" w:eastAsia="Times New Roman" w:hAnsi="Calibri Light" w:cs="Calibri Light"/>
          <w:szCs w:val="20"/>
          <w:lang w:eastAsia="el-GR"/>
        </w:rPr>
        <w:t xml:space="preserve"> </w:t>
      </w:r>
      <w:r w:rsidR="003B6BD2" w:rsidRPr="003B6BD2">
        <w:rPr>
          <w:rFonts w:ascii="Calibri Light" w:eastAsia="Times New Roman" w:hAnsi="Calibri Light" w:cs="Calibri Light"/>
          <w:szCs w:val="20"/>
          <w:lang w:eastAsia="el-GR"/>
        </w:rPr>
        <w:t>presents an aggregated overview of Reference Energy System that is included in the model. Indigenous conventional resources (oil, natural gas and coal) are produced through mining in the country, while renewable energy sources are represented as potentials in order to include the limitations of the existing potential. Imports and exports of energy commodities are represented as separate processes. For the special case of crude oil and natural gas the transportation and distribution pipelines are also included in order to account for the losses and their own consumption. The transformation sector includes power and CHP plants, district heating plants, refineries, blast furnaces in the iron industry, briquettes plants (BKB plants), biomass pellet production plants and charcoal production installations. The electricity network is modelled using two levels, namely the transmission system (high voltage lines) and the distribution system (medium voltage and low voltage lines) in order to account for the losses and show the advances of distributed generation. The natural gas network is modelled using two levels as well, namely transmission and distribution networks. The heat networks correspond to the existing district heating networks per region, with the option for extensions. Energy consumption is broken into the standard five sectors, namely agriculture, residential, tertiary (which includes services, commercial and public sector), industry and transport. Each one of these sectors is further divided in sub-sectors and end-uses. In all the processes that are included in the model, the emissions of CO</w:t>
      </w:r>
      <w:r w:rsidR="003B6BD2" w:rsidRPr="003B6BD2">
        <w:rPr>
          <w:rFonts w:ascii="Calibri Light" w:eastAsia="Times New Roman" w:hAnsi="Calibri Light" w:cs="Calibri Light"/>
          <w:szCs w:val="20"/>
          <w:vertAlign w:val="subscript"/>
          <w:lang w:eastAsia="el-GR"/>
        </w:rPr>
        <w:t>2</w:t>
      </w:r>
      <w:r w:rsidR="003B6BD2" w:rsidRPr="003B6BD2">
        <w:rPr>
          <w:rFonts w:ascii="Calibri Light" w:eastAsia="Times New Roman" w:hAnsi="Calibri Light" w:cs="Calibri Light"/>
          <w:szCs w:val="20"/>
          <w:lang w:eastAsia="el-GR"/>
        </w:rPr>
        <w:t>, CH</w:t>
      </w:r>
      <w:r w:rsidR="003B6BD2" w:rsidRPr="003B6BD2">
        <w:rPr>
          <w:rFonts w:ascii="Calibri Light" w:eastAsia="Times New Roman" w:hAnsi="Calibri Light" w:cs="Calibri Light"/>
          <w:szCs w:val="20"/>
          <w:vertAlign w:val="subscript"/>
          <w:lang w:eastAsia="el-GR"/>
        </w:rPr>
        <w:t>4</w:t>
      </w:r>
      <w:r w:rsidR="003B6BD2" w:rsidRPr="003B6BD2">
        <w:rPr>
          <w:rFonts w:ascii="Calibri Light" w:eastAsia="Times New Roman" w:hAnsi="Calibri Light" w:cs="Calibri Light"/>
          <w:szCs w:val="20"/>
          <w:lang w:eastAsia="el-GR"/>
        </w:rPr>
        <w:t>, and N</w:t>
      </w:r>
      <w:r w:rsidR="003B6BD2" w:rsidRPr="003B6BD2">
        <w:rPr>
          <w:rFonts w:ascii="Calibri Light" w:eastAsia="Times New Roman" w:hAnsi="Calibri Light" w:cs="Calibri Light"/>
          <w:szCs w:val="20"/>
          <w:vertAlign w:val="subscript"/>
          <w:lang w:eastAsia="el-GR"/>
        </w:rPr>
        <w:t>2</w:t>
      </w:r>
      <w:r w:rsidR="003B6BD2" w:rsidRPr="003B6BD2">
        <w:rPr>
          <w:rFonts w:ascii="Calibri Light" w:eastAsia="Times New Roman" w:hAnsi="Calibri Light" w:cs="Calibri Light"/>
          <w:szCs w:val="20"/>
          <w:lang w:eastAsia="el-GR"/>
        </w:rPr>
        <w:t>O are calculated and accounted per sector in order to be able to calculate the effect of abatement actions per sub-sector of the energy system.</w:t>
      </w:r>
    </w:p>
    <w:p w14:paraId="6B64F4FB" w14:textId="7777777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sectPr w:rsidR="003B6BD2" w:rsidRPr="003B6BD2" w:rsidSect="00663039">
          <w:pgSz w:w="11906" w:h="16838"/>
          <w:pgMar w:top="1134" w:right="1134" w:bottom="1134" w:left="1134" w:header="720" w:footer="720" w:gutter="0"/>
          <w:cols w:space="720"/>
          <w:docGrid w:linePitch="360"/>
        </w:sectPr>
      </w:pPr>
    </w:p>
    <w:p w14:paraId="66DB8C2E" w14:textId="62F772AB" w:rsidR="004F139C" w:rsidRDefault="004F139C" w:rsidP="0087794A">
      <w:pPr>
        <w:pStyle w:val="Caption"/>
        <w:keepNext/>
      </w:pPr>
      <w:bookmarkStart w:id="701" w:name="_Ref153534820"/>
      <w:bookmarkStart w:id="702" w:name="_Toc154575324"/>
      <w:r>
        <w:lastRenderedPageBreak/>
        <w:t xml:space="preserve">Figure </w:t>
      </w:r>
      <w:r w:rsidR="006E0533">
        <w:fldChar w:fldCharType="begin"/>
      </w:r>
      <w:r w:rsidR="006E0533">
        <w:instrText xml:space="preserve"> STYLEREF 1 \s </w:instrText>
      </w:r>
      <w:r w:rsidR="006E0533">
        <w:fldChar w:fldCharType="separate"/>
      </w:r>
      <w:r w:rsidR="00B62877">
        <w:rPr>
          <w:noProof/>
        </w:rPr>
        <w:t>III</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1</w:t>
      </w:r>
      <w:r w:rsidR="006E0533">
        <w:rPr>
          <w:noProof/>
        </w:rPr>
        <w:fldChar w:fldCharType="end"/>
      </w:r>
      <w:bookmarkEnd w:id="701"/>
      <w:r w:rsidRPr="004F139C">
        <w:t>: Overview of the reference energy system for the SEMS model</w:t>
      </w:r>
      <w:bookmarkEnd w:id="702"/>
    </w:p>
    <w:p w14:paraId="649EF705" w14:textId="77777777" w:rsidR="003B6BD2" w:rsidRPr="003B6BD2" w:rsidRDefault="003B6BD2" w:rsidP="003B6BD2">
      <w:pPr>
        <w:spacing w:after="0" w:line="240" w:lineRule="auto"/>
        <w:jc w:val="center"/>
        <w:rPr>
          <w:rFonts w:ascii="Calibri" w:eastAsia="Calibri" w:hAnsi="Calibri" w:cs="Times New Roman"/>
          <w:kern w:val="2"/>
          <w:lang w:val="en-US"/>
          <w14:ligatures w14:val="standardContextual"/>
        </w:rPr>
      </w:pPr>
      <w:r w:rsidRPr="003B6BD2">
        <w:rPr>
          <w:rFonts w:ascii="Calibri" w:eastAsia="Calibri" w:hAnsi="Calibri" w:cs="Times New Roman"/>
          <w:noProof/>
          <w:kern w:val="2"/>
          <w:lang w:val="en-US"/>
          <w14:ligatures w14:val="standardContextual"/>
        </w:rPr>
        <w:drawing>
          <wp:inline distT="0" distB="0" distL="0" distR="0" wp14:anchorId="1CC973FF" wp14:editId="7773B0E2">
            <wp:extent cx="8047355" cy="5621020"/>
            <wp:effectExtent l="0" t="0" r="0" b="0"/>
            <wp:docPr id="1460007551" name="Picture 1460007551" descr="A computer diagram with many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mputer diagram with many blue lines&#10;&#10;Description automatically generated with medium confidence"/>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047355" cy="5621020"/>
                    </a:xfrm>
                    <a:prstGeom prst="rect">
                      <a:avLst/>
                    </a:prstGeom>
                    <a:noFill/>
                  </pic:spPr>
                </pic:pic>
              </a:graphicData>
            </a:graphic>
          </wp:inline>
        </w:drawing>
      </w:r>
    </w:p>
    <w:p w14:paraId="417767C3" w14:textId="77777777" w:rsidR="003B6BD2" w:rsidRPr="003B6BD2" w:rsidRDefault="003B6BD2" w:rsidP="003B6BD2">
      <w:pPr>
        <w:widowControl w:val="0"/>
        <w:spacing w:after="120" w:line="240" w:lineRule="auto"/>
        <w:jc w:val="center"/>
        <w:rPr>
          <w:rFonts w:ascii="Calibri Light" w:eastAsia="Times New Roman" w:hAnsi="Calibri Light" w:cs="Calibri Light"/>
          <w:szCs w:val="20"/>
          <w:lang w:eastAsia="el-GR"/>
        </w:rPr>
        <w:sectPr w:rsidR="003B6BD2" w:rsidRPr="003B6BD2" w:rsidSect="007F4A03">
          <w:pgSz w:w="16838" w:h="11906" w:orient="landscape"/>
          <w:pgMar w:top="1134" w:right="1134" w:bottom="1134" w:left="1134" w:header="720" w:footer="720" w:gutter="0"/>
          <w:cols w:space="720"/>
          <w:docGrid w:linePitch="360"/>
        </w:sectPr>
      </w:pPr>
    </w:p>
    <w:p w14:paraId="1CD481BA" w14:textId="7777777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lastRenderedPageBreak/>
        <w:t>The breakdown of the final energy consumption sectors within SEMS is the following:</w:t>
      </w:r>
    </w:p>
    <w:p w14:paraId="1F8186E7" w14:textId="77777777" w:rsidR="003B6BD2" w:rsidRPr="003B6BD2" w:rsidRDefault="003B6BD2" w:rsidP="00884F3B">
      <w:pPr>
        <w:widowControl w:val="0"/>
        <w:numPr>
          <w:ilvl w:val="0"/>
          <w:numId w:val="257"/>
        </w:numPr>
        <w:spacing w:after="120" w:line="276" w:lineRule="auto"/>
        <w:contextualSpacing/>
        <w:jc w:val="both"/>
        <w:rPr>
          <w:rFonts w:ascii="Calibri Light" w:eastAsia="Times New Roman" w:hAnsi="Calibri Light" w:cs="Calibri Light"/>
          <w:szCs w:val="20"/>
          <w:lang w:eastAsia="el-GR"/>
        </w:rPr>
      </w:pPr>
      <w:bookmarkStart w:id="703" w:name="OLE_LINK67"/>
      <w:bookmarkStart w:id="704" w:name="OLE_LINK68"/>
      <w:bookmarkStart w:id="705" w:name="OLE_LINK69"/>
      <w:r w:rsidRPr="003B6BD2">
        <w:rPr>
          <w:rFonts w:ascii="Calibri Light" w:eastAsia="Times New Roman" w:hAnsi="Calibri Light" w:cs="Calibri Light"/>
          <w:b/>
          <w:szCs w:val="20"/>
          <w:lang w:eastAsia="el-GR"/>
        </w:rPr>
        <w:t>Industry</w:t>
      </w:r>
      <w:r w:rsidRPr="003B6BD2">
        <w:rPr>
          <w:rFonts w:ascii="Calibri Light" w:eastAsia="Times New Roman" w:hAnsi="Calibri Light" w:cs="Calibri Light"/>
          <w:szCs w:val="20"/>
          <w:lang w:eastAsia="el-GR"/>
        </w:rPr>
        <w:t>, separated in the following subsectors</w:t>
      </w:r>
      <w:r w:rsidRPr="003B6BD2">
        <w:rPr>
          <w:rFonts w:ascii="Calibri Light" w:eastAsia="Times New Roman" w:hAnsi="Calibri Light" w:cs="Calibri Light"/>
          <w:szCs w:val="20"/>
          <w:lang w:val="en-US" w:eastAsia="el-GR"/>
        </w:rPr>
        <w:t>:</w:t>
      </w:r>
    </w:p>
    <w:p w14:paraId="47210696"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Iron and Steel.</w:t>
      </w:r>
    </w:p>
    <w:p w14:paraId="59068AF2"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Chemical and petrochemical.</w:t>
      </w:r>
    </w:p>
    <w:p w14:paraId="6B0D59AD"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Non-ferrous metals.</w:t>
      </w:r>
    </w:p>
    <w:p w14:paraId="7A363409"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Non-metallic minerals.</w:t>
      </w:r>
    </w:p>
    <w:p w14:paraId="0C773695"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Transport equipment.</w:t>
      </w:r>
    </w:p>
    <w:p w14:paraId="5475A89A"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Machinery.</w:t>
      </w:r>
    </w:p>
    <w:p w14:paraId="40D1F7CF"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Mining (excluding energy producing industries) and quarrying.</w:t>
      </w:r>
    </w:p>
    <w:p w14:paraId="521C8E33"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Food, beverages and tobacco.</w:t>
      </w:r>
    </w:p>
    <w:p w14:paraId="2C8817BD"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Pulp, paper and printing.</w:t>
      </w:r>
    </w:p>
    <w:p w14:paraId="7C0385FF"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Wood and wood products (other than pulp and paper).</w:t>
      </w:r>
    </w:p>
    <w:p w14:paraId="2E388DC3"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Construction.</w:t>
      </w:r>
    </w:p>
    <w:p w14:paraId="4AA32AB6"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Textile and leather.</w:t>
      </w:r>
    </w:p>
    <w:p w14:paraId="70AA5CC9" w14:textId="77777777" w:rsidR="003B6BD2" w:rsidRPr="000007D2" w:rsidRDefault="003B6BD2" w:rsidP="00884F3B">
      <w:pPr>
        <w:widowControl w:val="0"/>
        <w:numPr>
          <w:ilvl w:val="0"/>
          <w:numId w:val="258"/>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Not elsewhere specified Industry.</w:t>
      </w:r>
    </w:p>
    <w:p w14:paraId="52B66E99" w14:textId="77777777" w:rsidR="003B6BD2" w:rsidRPr="003B6BD2" w:rsidRDefault="003B6BD2" w:rsidP="00884F3B">
      <w:pPr>
        <w:widowControl w:val="0"/>
        <w:numPr>
          <w:ilvl w:val="0"/>
          <w:numId w:val="257"/>
        </w:numPr>
        <w:spacing w:after="120" w:line="276" w:lineRule="auto"/>
        <w:contextualSpacing/>
        <w:jc w:val="both"/>
        <w:rPr>
          <w:rFonts w:ascii="Calibri Light" w:eastAsia="Times New Roman" w:hAnsi="Calibri Light" w:cs="Calibri Light"/>
          <w:szCs w:val="20"/>
          <w:lang w:eastAsia="el-GR"/>
        </w:rPr>
      </w:pPr>
      <w:r w:rsidRPr="003B6BD2">
        <w:rPr>
          <w:rFonts w:ascii="Calibri Light" w:eastAsia="Times New Roman" w:hAnsi="Calibri Light" w:cs="Calibri Light"/>
          <w:b/>
          <w:szCs w:val="20"/>
          <w:lang w:eastAsia="el-GR"/>
        </w:rPr>
        <w:t>Residential</w:t>
      </w:r>
      <w:r w:rsidRPr="003B6BD2">
        <w:rPr>
          <w:rFonts w:ascii="Calibri Light" w:eastAsia="Times New Roman" w:hAnsi="Calibri Light" w:cs="Calibri Light"/>
          <w:szCs w:val="20"/>
          <w:lang w:val="en-US" w:eastAsia="el-GR"/>
        </w:rPr>
        <w:t xml:space="preserve">, </w:t>
      </w:r>
      <w:r w:rsidRPr="003B6BD2">
        <w:rPr>
          <w:rFonts w:ascii="Calibri Light" w:eastAsia="Times New Roman" w:hAnsi="Calibri Light" w:cs="Calibri Light"/>
          <w:szCs w:val="20"/>
          <w:lang w:eastAsia="el-GR"/>
        </w:rPr>
        <w:t xml:space="preserve">divided into six typologies and seven construction periods </w:t>
      </w:r>
      <w:r w:rsidRPr="003B6BD2">
        <w:rPr>
          <w:rFonts w:ascii="Calibri Light" w:eastAsia="Times New Roman" w:hAnsi="Calibri Light" w:cs="Calibri Light"/>
          <w:szCs w:val="20"/>
          <w:lang w:val="en-US" w:eastAsia="el-GR"/>
        </w:rPr>
        <w:t>according to</w:t>
      </w:r>
      <w:r w:rsidRPr="003B6BD2">
        <w:rPr>
          <w:rFonts w:ascii="Calibri Light" w:eastAsia="Times New Roman" w:hAnsi="Calibri Light" w:cs="Calibri Light"/>
          <w:szCs w:val="20"/>
          <w:lang w:eastAsia="el-GR"/>
        </w:rPr>
        <w:t xml:space="preserve"> the TABULA project.</w:t>
      </w:r>
    </w:p>
    <w:p w14:paraId="2A0BE9D2" w14:textId="2B51DA40" w:rsidR="004F139C" w:rsidRDefault="004F139C" w:rsidP="0087794A">
      <w:pPr>
        <w:pStyle w:val="Caption"/>
        <w:keepNext/>
      </w:pPr>
      <w:bookmarkStart w:id="706" w:name="_Toc154575325"/>
      <w:r>
        <w:t xml:space="preserve">Figure </w:t>
      </w:r>
      <w:r w:rsidR="006E0533">
        <w:fldChar w:fldCharType="begin"/>
      </w:r>
      <w:r w:rsidR="006E0533">
        <w:instrText xml:space="preserve"> STYLEREF 1 \s </w:instrText>
      </w:r>
      <w:r w:rsidR="006E0533">
        <w:fldChar w:fldCharType="separate"/>
      </w:r>
      <w:r w:rsidR="00B62877">
        <w:rPr>
          <w:noProof/>
        </w:rPr>
        <w:t>III</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2</w:t>
      </w:r>
      <w:r w:rsidR="006E0533">
        <w:rPr>
          <w:noProof/>
        </w:rPr>
        <w:fldChar w:fldCharType="end"/>
      </w:r>
      <w:r w:rsidRPr="004F139C">
        <w:t>: Residential sector typologies according to TABULA</w:t>
      </w:r>
      <w:bookmarkEnd w:id="706"/>
    </w:p>
    <w:p w14:paraId="7B68CF43" w14:textId="77777777" w:rsidR="003B6BD2" w:rsidRPr="003B6BD2" w:rsidRDefault="003B6BD2" w:rsidP="003B6BD2">
      <w:pPr>
        <w:widowControl w:val="0"/>
        <w:spacing w:after="120" w:line="240" w:lineRule="auto"/>
        <w:jc w:val="center"/>
        <w:rPr>
          <w:rFonts w:ascii="Calibri Light" w:eastAsia="Times New Roman" w:hAnsi="Calibri Light" w:cs="Calibri Light"/>
          <w:szCs w:val="20"/>
          <w:lang w:eastAsia="el-GR"/>
        </w:rPr>
      </w:pPr>
      <w:r w:rsidRPr="003B6BD2">
        <w:rPr>
          <w:rFonts w:ascii="Calibri" w:eastAsia="Times New Roman" w:hAnsi="Calibri" w:cs="Times New Roman"/>
          <w:noProof/>
          <w:szCs w:val="20"/>
          <w:lang w:val="en-US"/>
        </w:rPr>
        <w:drawing>
          <wp:inline distT="0" distB="0" distL="0" distR="0" wp14:anchorId="2C55D799" wp14:editId="5ACDFFD5">
            <wp:extent cx="5059723" cy="1232496"/>
            <wp:effectExtent l="0" t="0" r="0" b="6350"/>
            <wp:docPr id="21506" name="Picture 21506" descr="A yellow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descr="A yellow and black text&#10;&#10;Description automatically generated with medium confidenc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079245" cy="1237251"/>
                    </a:xfrm>
                    <a:prstGeom prst="rect">
                      <a:avLst/>
                    </a:prstGeom>
                    <a:noFill/>
                    <a:ln>
                      <a:noFill/>
                    </a:ln>
                  </pic:spPr>
                </pic:pic>
              </a:graphicData>
            </a:graphic>
          </wp:inline>
        </w:drawing>
      </w:r>
    </w:p>
    <w:p w14:paraId="7EE43825" w14:textId="77B27ABF"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 xml:space="preserve">Furthermore, dwellings within each of the typologies are allocated to a number of construction periods according to the </w:t>
      </w:r>
      <w:r w:rsidR="004F139C">
        <w:rPr>
          <w:rFonts w:ascii="Calibri Light" w:eastAsia="Times New Roman" w:hAnsi="Calibri Light" w:cs="Calibri Light"/>
          <w:szCs w:val="20"/>
          <w:lang w:eastAsia="el-GR"/>
        </w:rPr>
        <w:fldChar w:fldCharType="begin"/>
      </w:r>
      <w:r w:rsidR="004F139C">
        <w:rPr>
          <w:rFonts w:ascii="Calibri Light" w:eastAsia="Times New Roman" w:hAnsi="Calibri Light" w:cs="Calibri Light"/>
          <w:szCs w:val="20"/>
          <w:lang w:eastAsia="el-GR"/>
        </w:rPr>
        <w:instrText xml:space="preserve"> REF _Ref153535002 \h  \* MERGEFORMAT </w:instrText>
      </w:r>
      <w:r w:rsidR="004F139C">
        <w:rPr>
          <w:rFonts w:ascii="Calibri Light" w:eastAsia="Times New Roman" w:hAnsi="Calibri Light" w:cs="Calibri Light"/>
          <w:szCs w:val="20"/>
          <w:lang w:eastAsia="el-GR"/>
        </w:rPr>
      </w:r>
      <w:r w:rsidR="004F139C">
        <w:rPr>
          <w:rFonts w:ascii="Calibri Light" w:eastAsia="Times New Roman" w:hAnsi="Calibri Light" w:cs="Calibri Light"/>
          <w:szCs w:val="20"/>
          <w:lang w:eastAsia="el-GR"/>
        </w:rPr>
        <w:fldChar w:fldCharType="separate"/>
      </w:r>
      <w:r w:rsidR="004F139C" w:rsidRPr="0087794A">
        <w:rPr>
          <w:rFonts w:ascii="Calibri Light" w:eastAsia="Times New Roman" w:hAnsi="Calibri Light" w:cs="Calibri Light"/>
          <w:szCs w:val="20"/>
          <w:lang w:eastAsia="el-GR"/>
        </w:rPr>
        <w:t>Table III.1</w:t>
      </w:r>
      <w:r w:rsidR="004F139C">
        <w:rPr>
          <w:rFonts w:ascii="Calibri Light" w:eastAsia="Times New Roman" w:hAnsi="Calibri Light" w:cs="Calibri Light"/>
          <w:szCs w:val="20"/>
          <w:lang w:eastAsia="el-GR"/>
        </w:rPr>
        <w:fldChar w:fldCharType="end"/>
      </w:r>
      <w:r w:rsidR="004F139C">
        <w:rPr>
          <w:rFonts w:ascii="Calibri Light" w:eastAsia="Times New Roman" w:hAnsi="Calibri Light" w:cs="Calibri Light"/>
          <w:szCs w:val="20"/>
          <w:lang w:eastAsia="el-GR"/>
        </w:rPr>
        <w:t>.</w:t>
      </w:r>
    </w:p>
    <w:p w14:paraId="36B12F98" w14:textId="138BD983" w:rsidR="004F139C" w:rsidRDefault="004F139C" w:rsidP="0087794A">
      <w:pPr>
        <w:pStyle w:val="Caption"/>
        <w:keepNext/>
      </w:pPr>
      <w:bookmarkStart w:id="707" w:name="_Ref153535002"/>
      <w:bookmarkStart w:id="708" w:name="_Toc153545092"/>
      <w:r>
        <w:t xml:space="preserve">Table </w:t>
      </w:r>
      <w:r w:rsidR="006E0533">
        <w:fldChar w:fldCharType="begin"/>
      </w:r>
      <w:r w:rsidR="006E0533">
        <w:instrText xml:space="preserve"> STYLEREF </w:instrText>
      </w:r>
      <w:r w:rsidR="006E0533">
        <w:instrText xml:space="preserve">1 \s </w:instrText>
      </w:r>
      <w:r w:rsidR="006E0533">
        <w:fldChar w:fldCharType="separate"/>
      </w:r>
      <w:r w:rsidR="00A84B9C">
        <w:rPr>
          <w:noProof/>
        </w:rPr>
        <w:t>III</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bookmarkEnd w:id="707"/>
      <w:r w:rsidRPr="004F139C">
        <w:t>: Construction periods for residential typologies</w:t>
      </w:r>
      <w:bookmarkEnd w:id="708"/>
    </w:p>
    <w:tbl>
      <w:tblPr>
        <w:tblW w:w="2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700"/>
      </w:tblGrid>
      <w:tr w:rsidR="003B6BD2" w:rsidRPr="003B6BD2" w14:paraId="5F1AC27A" w14:textId="77777777" w:rsidTr="003B6BD2">
        <w:trPr>
          <w:trHeight w:val="20"/>
          <w:jc w:val="center"/>
        </w:trPr>
        <w:tc>
          <w:tcPr>
            <w:tcW w:w="2700" w:type="dxa"/>
            <w:shd w:val="clear" w:color="auto" w:fill="323E4F"/>
            <w:tcMar>
              <w:top w:w="15" w:type="dxa"/>
              <w:left w:w="15" w:type="dxa"/>
              <w:bottom w:w="0" w:type="dxa"/>
              <w:right w:w="15" w:type="dxa"/>
            </w:tcMar>
            <w:vAlign w:val="bottom"/>
            <w:hideMark/>
          </w:tcPr>
          <w:p w14:paraId="166295D5" w14:textId="77777777" w:rsidR="003B6BD2" w:rsidRPr="003B6BD2" w:rsidRDefault="003B6BD2" w:rsidP="003B6BD2">
            <w:pPr>
              <w:widowControl w:val="0"/>
              <w:spacing w:after="0" w:line="240" w:lineRule="auto"/>
              <w:jc w:val="center"/>
              <w:rPr>
                <w:rFonts w:ascii="Calibri Light" w:eastAsia="Times New Roman" w:hAnsi="Calibri Light" w:cs="Calibri Light"/>
                <w:b/>
                <w:color w:val="FFFFFF"/>
                <w:szCs w:val="20"/>
                <w:lang w:eastAsia="el-GR"/>
              </w:rPr>
            </w:pPr>
            <w:r w:rsidRPr="003B6BD2">
              <w:rPr>
                <w:rFonts w:ascii="Calibri Light" w:eastAsia="Times New Roman" w:hAnsi="Calibri Light" w:cs="Calibri Light"/>
                <w:b/>
                <w:color w:val="FFFFFF"/>
                <w:szCs w:val="20"/>
                <w:lang w:eastAsia="el-GR"/>
              </w:rPr>
              <w:t>Typologies of Dwellings</w:t>
            </w:r>
          </w:p>
        </w:tc>
      </w:tr>
      <w:tr w:rsidR="003B6BD2" w:rsidRPr="003B6BD2" w14:paraId="407F58FF" w14:textId="77777777" w:rsidTr="003B6BD2">
        <w:trPr>
          <w:trHeight w:val="20"/>
          <w:jc w:val="center"/>
        </w:trPr>
        <w:tc>
          <w:tcPr>
            <w:tcW w:w="2700" w:type="dxa"/>
            <w:shd w:val="clear" w:color="auto" w:fill="323E4F"/>
            <w:tcMar>
              <w:top w:w="15" w:type="dxa"/>
              <w:left w:w="15" w:type="dxa"/>
              <w:bottom w:w="0" w:type="dxa"/>
              <w:right w:w="15" w:type="dxa"/>
            </w:tcMar>
            <w:hideMark/>
          </w:tcPr>
          <w:p w14:paraId="20A3A1B5" w14:textId="77777777" w:rsidR="003B6BD2" w:rsidRPr="003B6BD2" w:rsidRDefault="003B6BD2" w:rsidP="003B6BD2">
            <w:pPr>
              <w:widowControl w:val="0"/>
              <w:spacing w:after="0" w:line="240" w:lineRule="auto"/>
              <w:jc w:val="center"/>
              <w:rPr>
                <w:rFonts w:ascii="Calibri Light" w:eastAsia="Times New Roman" w:hAnsi="Calibri Light" w:cs="Calibri Light"/>
                <w:b/>
                <w:color w:val="FFFFFF"/>
                <w:szCs w:val="20"/>
                <w:lang w:eastAsia="el-GR"/>
              </w:rPr>
            </w:pPr>
            <w:r w:rsidRPr="003B6BD2">
              <w:rPr>
                <w:rFonts w:ascii="Calibri Light" w:eastAsia="Times New Roman" w:hAnsi="Calibri Light" w:cs="Calibri Light"/>
                <w:b/>
                <w:color w:val="FFFFFF"/>
                <w:szCs w:val="20"/>
                <w:lang w:eastAsia="el-GR"/>
              </w:rPr>
              <w:t>Construction periods</w:t>
            </w:r>
          </w:p>
        </w:tc>
      </w:tr>
      <w:tr w:rsidR="003B6BD2" w:rsidRPr="003B6BD2" w14:paraId="61397F67"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708609F9"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&lt;1919</w:t>
            </w:r>
          </w:p>
        </w:tc>
      </w:tr>
      <w:tr w:rsidR="003B6BD2" w:rsidRPr="003B6BD2" w14:paraId="35F4B9C8"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75D98CA0"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1919-1945</w:t>
            </w:r>
          </w:p>
        </w:tc>
      </w:tr>
      <w:tr w:rsidR="003B6BD2" w:rsidRPr="003B6BD2" w14:paraId="63330039"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0887F79D"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1946-1960</w:t>
            </w:r>
          </w:p>
        </w:tc>
      </w:tr>
      <w:tr w:rsidR="003B6BD2" w:rsidRPr="003B6BD2" w14:paraId="2D2B2E18"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369C81C5"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1961-1970</w:t>
            </w:r>
          </w:p>
        </w:tc>
      </w:tr>
      <w:tr w:rsidR="003B6BD2" w:rsidRPr="003B6BD2" w14:paraId="0B6EC16B"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6C942C27"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1971-1980</w:t>
            </w:r>
          </w:p>
        </w:tc>
      </w:tr>
      <w:tr w:rsidR="003B6BD2" w:rsidRPr="003B6BD2" w14:paraId="74F387DD"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32FED30E"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1981-1990</w:t>
            </w:r>
          </w:p>
        </w:tc>
      </w:tr>
      <w:tr w:rsidR="003B6BD2" w:rsidRPr="003B6BD2" w14:paraId="2A45B162" w14:textId="77777777" w:rsidTr="007F4A03">
        <w:trPr>
          <w:trHeight w:val="20"/>
          <w:jc w:val="center"/>
        </w:trPr>
        <w:tc>
          <w:tcPr>
            <w:tcW w:w="2700" w:type="dxa"/>
            <w:shd w:val="clear" w:color="auto" w:fill="auto"/>
            <w:tcMar>
              <w:top w:w="15" w:type="dxa"/>
              <w:left w:w="15" w:type="dxa"/>
              <w:bottom w:w="0" w:type="dxa"/>
              <w:right w:w="15" w:type="dxa"/>
            </w:tcMar>
            <w:vAlign w:val="bottom"/>
            <w:hideMark/>
          </w:tcPr>
          <w:p w14:paraId="3DB029F0" w14:textId="77777777" w:rsidR="003B6BD2" w:rsidRPr="003B6BD2" w:rsidRDefault="003B6BD2" w:rsidP="003B6BD2">
            <w:pPr>
              <w:widowControl w:val="0"/>
              <w:spacing w:after="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1991-2011</w:t>
            </w:r>
          </w:p>
        </w:tc>
      </w:tr>
    </w:tbl>
    <w:p w14:paraId="4EB2C43C" w14:textId="77777777" w:rsidR="003B6BD2" w:rsidRPr="003B6BD2" w:rsidRDefault="003B6BD2" w:rsidP="000007D2">
      <w:pPr>
        <w:widowControl w:val="0"/>
        <w:spacing w:before="200" w:after="120" w:line="276"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For each one of the dwelling types nine energy service demands are considered: Demand for Space Heating, Demand for Space Cooling, Demand for Hot Water, Demand for Cooking, Demand for Lighting, Demand for Refrigerating, Demand for Cloth Washing, Demand for Dish Washing, Demand for Appliances.</w:t>
      </w:r>
    </w:p>
    <w:p w14:paraId="3B1EFE26" w14:textId="77777777" w:rsidR="003B6BD2" w:rsidRPr="003B6BD2" w:rsidRDefault="003B6BD2" w:rsidP="00884F3B">
      <w:pPr>
        <w:widowControl w:val="0"/>
        <w:numPr>
          <w:ilvl w:val="0"/>
          <w:numId w:val="257"/>
        </w:numPr>
        <w:spacing w:after="120" w:line="276" w:lineRule="auto"/>
        <w:contextualSpacing/>
        <w:jc w:val="both"/>
        <w:rPr>
          <w:rFonts w:ascii="Calibri Light" w:eastAsia="Times New Roman" w:hAnsi="Calibri Light" w:cs="Calibri Light"/>
          <w:szCs w:val="20"/>
          <w:lang w:eastAsia="el-GR"/>
        </w:rPr>
      </w:pPr>
      <w:bookmarkStart w:id="709" w:name="OLE_LINK324"/>
      <w:bookmarkStart w:id="710" w:name="OLE_LINK325"/>
      <w:bookmarkStart w:id="711" w:name="OLE_LINK326"/>
      <w:r w:rsidRPr="003B6BD2">
        <w:rPr>
          <w:rFonts w:ascii="Calibri Light" w:eastAsia="Times New Roman" w:hAnsi="Calibri Light" w:cs="Calibri Light"/>
          <w:b/>
          <w:szCs w:val="20"/>
          <w:lang w:eastAsia="el-GR"/>
        </w:rPr>
        <w:t>Tertiary Sector</w:t>
      </w:r>
      <w:r w:rsidRPr="003B6BD2">
        <w:rPr>
          <w:rFonts w:ascii="Calibri Light" w:eastAsia="Times New Roman" w:hAnsi="Calibri Light" w:cs="Calibri Light"/>
          <w:szCs w:val="20"/>
          <w:lang w:val="en-US" w:eastAsia="el-GR"/>
        </w:rPr>
        <w:t xml:space="preserve"> which includes </w:t>
      </w:r>
      <w:r w:rsidRPr="003B6BD2">
        <w:rPr>
          <w:rFonts w:ascii="Calibri Light" w:eastAsia="Times New Roman" w:hAnsi="Calibri Light" w:cs="Calibri Light"/>
          <w:szCs w:val="20"/>
          <w:lang w:eastAsia="el-GR"/>
        </w:rPr>
        <w:t xml:space="preserve">commercial and public </w:t>
      </w:r>
      <w:bookmarkEnd w:id="709"/>
      <w:bookmarkEnd w:id="710"/>
      <w:bookmarkEnd w:id="711"/>
      <w:r w:rsidRPr="003B6BD2">
        <w:rPr>
          <w:rFonts w:ascii="Calibri Light" w:eastAsia="Times New Roman" w:hAnsi="Calibri Light" w:cs="Calibri Light"/>
          <w:szCs w:val="20"/>
          <w:lang w:eastAsia="el-GR"/>
        </w:rPr>
        <w:t>services</w:t>
      </w:r>
      <w:r w:rsidRPr="003B6BD2">
        <w:rPr>
          <w:rFonts w:ascii="Calibri Light" w:eastAsia="Times New Roman" w:hAnsi="Calibri Light" w:cs="Calibri Light"/>
          <w:szCs w:val="20"/>
          <w:lang w:val="en-US" w:eastAsia="el-GR"/>
        </w:rPr>
        <w:t xml:space="preserve"> and </w:t>
      </w:r>
      <w:r w:rsidRPr="003B6BD2">
        <w:rPr>
          <w:rFonts w:ascii="Calibri Light" w:eastAsia="Times New Roman" w:hAnsi="Calibri Light" w:cs="Calibri Light"/>
          <w:szCs w:val="20"/>
          <w:lang w:eastAsia="el-GR"/>
        </w:rPr>
        <w:t xml:space="preserve">is further divided </w:t>
      </w:r>
      <w:r w:rsidRPr="003B6BD2">
        <w:rPr>
          <w:rFonts w:ascii="Calibri Light" w:eastAsia="Times New Roman" w:hAnsi="Calibri Light" w:cs="Calibri Light"/>
          <w:szCs w:val="20"/>
          <w:lang w:val="en-US" w:eastAsia="el-GR"/>
        </w:rPr>
        <w:t>in</w:t>
      </w:r>
      <w:r w:rsidRPr="003B6BD2">
        <w:rPr>
          <w:rFonts w:ascii="Calibri Light" w:eastAsia="Times New Roman" w:hAnsi="Calibri Light" w:cs="Calibri Light"/>
          <w:szCs w:val="20"/>
          <w:lang w:eastAsia="el-GR"/>
        </w:rPr>
        <w:t>to the following subsectors:</w:t>
      </w:r>
    </w:p>
    <w:p w14:paraId="2F08D52B"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Hotels&amp; Food and beverage service activities (NACE Rev. 2 sectors: 55 and 56).</w:t>
      </w:r>
    </w:p>
    <w:p w14:paraId="00E6928A"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Hospitals (NACE Rev. 2 sectors: 86).</w:t>
      </w:r>
    </w:p>
    <w:p w14:paraId="2890694A"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lastRenderedPageBreak/>
        <w:t>Commercial Buildings (NACE Rev. 2 sectors: 45, 46, 47).</w:t>
      </w:r>
    </w:p>
    <w:p w14:paraId="4723F55B"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Educational (NACE Rev. 2 sectors: 85).</w:t>
      </w:r>
    </w:p>
    <w:p w14:paraId="49886F40"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Public Sector Offices (NACE Rev. 2 sectors: 84).</w:t>
      </w:r>
    </w:p>
    <w:p w14:paraId="1220BB7A"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Private Sector Offices (NACE Rev. 2 sectors: 53, 61, 62, 63, 64, 65, 66, 68, 69, 70, 71, 72, 73, 74, 75, 77, 78, 79).</w:t>
      </w:r>
    </w:p>
    <w:p w14:paraId="0CC4E6E7"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Other Tertiary (NACE Rev 2 sectors: 52, 53, 58, 59, 60, 61, 62, 63, 81, 82, 90, 91).</w:t>
      </w:r>
    </w:p>
    <w:p w14:paraId="78DAEC81"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Other Public (NACE Rev 2 sectors: 36, 37, 38, 39, 93, 95, 96).</w:t>
      </w:r>
    </w:p>
    <w:p w14:paraId="01B000BC" w14:textId="77777777" w:rsidR="003B6BD2" w:rsidRPr="000007D2" w:rsidRDefault="003B6BD2" w:rsidP="00884F3B">
      <w:pPr>
        <w:widowControl w:val="0"/>
        <w:numPr>
          <w:ilvl w:val="0"/>
          <w:numId w:val="259"/>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Public (street) Lighting.</w:t>
      </w:r>
    </w:p>
    <w:p w14:paraId="5818E71D" w14:textId="3CFA9961" w:rsidR="003B6BD2" w:rsidRPr="003B6BD2" w:rsidRDefault="003B6BD2" w:rsidP="000007D2">
      <w:pPr>
        <w:widowControl w:val="0"/>
        <w:spacing w:before="120" w:after="0" w:line="276"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Refurbishment options are included in the model for both residential and tertiary sector buildings. Three options are considered: i) Replacement of windows, ii) replacement of windows plus 5cm wall insulation and iii) replacement of windows plus 10cm wall insulation. The level of energy savings for each refurbishment action depends on the typology of the building and is taken from the results of the TABULA project</w:t>
      </w:r>
      <w:r w:rsidRPr="003B6BD2">
        <w:rPr>
          <w:rFonts w:ascii="Calibri Light" w:eastAsia="Times New Roman" w:hAnsi="Calibri Light" w:cs="Calibri Light"/>
          <w:szCs w:val="20"/>
          <w:vertAlign w:val="superscript"/>
          <w:lang w:eastAsia="el-GR"/>
        </w:rPr>
        <w:footnoteReference w:id="135"/>
      </w:r>
      <w:r w:rsidRPr="003B6BD2">
        <w:rPr>
          <w:rFonts w:ascii="Calibri Light" w:eastAsia="Times New Roman" w:hAnsi="Calibri Light" w:cs="Calibri Light"/>
          <w:szCs w:val="20"/>
          <w:lang w:eastAsia="el-GR"/>
        </w:rPr>
        <w:t>.</w:t>
      </w:r>
    </w:p>
    <w:p w14:paraId="4E6733EE" w14:textId="77777777" w:rsidR="003B6BD2" w:rsidRPr="003B6BD2" w:rsidRDefault="003B6BD2" w:rsidP="003B6BD2">
      <w:pPr>
        <w:widowControl w:val="0"/>
        <w:spacing w:after="0" w:line="276"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The evolution of the installation cost of building related technologies is taken into consideration for the examined period. Generally, it is expected that the installation cost in the period 2025-2030 will remained constant compared to the respective levels before the energy crisis.</w:t>
      </w:r>
    </w:p>
    <w:p w14:paraId="68400D9F" w14:textId="77777777" w:rsidR="003B6BD2" w:rsidRPr="003B6BD2" w:rsidRDefault="003B6BD2" w:rsidP="00884F3B">
      <w:pPr>
        <w:widowControl w:val="0"/>
        <w:numPr>
          <w:ilvl w:val="0"/>
          <w:numId w:val="257"/>
        </w:numPr>
        <w:spacing w:after="120" w:line="276" w:lineRule="auto"/>
        <w:contextualSpacing/>
        <w:jc w:val="both"/>
        <w:rPr>
          <w:rFonts w:ascii="Calibri Light" w:eastAsia="Times New Roman" w:hAnsi="Calibri Light" w:cs="Calibri Light"/>
          <w:szCs w:val="20"/>
          <w:lang w:eastAsia="el-GR"/>
        </w:rPr>
      </w:pPr>
      <w:r w:rsidRPr="003B6BD2">
        <w:rPr>
          <w:rFonts w:ascii="Calibri Light" w:eastAsia="Times New Roman" w:hAnsi="Calibri Light" w:cs="Calibri Light"/>
          <w:b/>
          <w:szCs w:val="20"/>
          <w:lang w:eastAsia="el-GR"/>
        </w:rPr>
        <w:t>Agriculture</w:t>
      </w:r>
      <w:r w:rsidRPr="003B6BD2">
        <w:rPr>
          <w:rFonts w:ascii="Calibri Light" w:eastAsia="Times New Roman" w:hAnsi="Calibri Light" w:cs="Calibri Light"/>
          <w:szCs w:val="20"/>
          <w:lang w:val="en-US" w:eastAsia="el-GR"/>
        </w:rPr>
        <w:t>, which covers the energy use for agriculture, forestry and fishing.</w:t>
      </w:r>
    </w:p>
    <w:p w14:paraId="7C5776A2" w14:textId="77777777" w:rsidR="003B6BD2" w:rsidRPr="003B6BD2" w:rsidRDefault="003B6BD2" w:rsidP="00884F3B">
      <w:pPr>
        <w:widowControl w:val="0"/>
        <w:numPr>
          <w:ilvl w:val="0"/>
          <w:numId w:val="257"/>
        </w:numPr>
        <w:spacing w:after="120" w:line="276" w:lineRule="auto"/>
        <w:contextualSpacing/>
        <w:jc w:val="both"/>
        <w:rPr>
          <w:rFonts w:ascii="Calibri Light" w:eastAsia="Times New Roman" w:hAnsi="Calibri Light" w:cs="Calibri Light"/>
          <w:szCs w:val="20"/>
          <w:lang w:eastAsia="el-GR"/>
        </w:rPr>
      </w:pPr>
      <w:r w:rsidRPr="003B6BD2">
        <w:rPr>
          <w:rFonts w:ascii="Calibri Light" w:eastAsia="Times New Roman" w:hAnsi="Calibri Light" w:cs="Calibri Light"/>
          <w:b/>
          <w:szCs w:val="20"/>
          <w:lang w:eastAsia="el-GR"/>
        </w:rPr>
        <w:t>Transportation</w:t>
      </w:r>
      <w:r w:rsidRPr="003B6BD2">
        <w:rPr>
          <w:rFonts w:ascii="Calibri Light" w:eastAsia="Times New Roman" w:hAnsi="Calibri Light" w:cs="Calibri Light"/>
          <w:szCs w:val="20"/>
          <w:lang w:val="en-US" w:eastAsia="el-GR"/>
        </w:rPr>
        <w:t>, divided at a first level according to the following list and further subdivided for each mode:</w:t>
      </w:r>
    </w:p>
    <w:p w14:paraId="426F17F1" w14:textId="74DAF8E6" w:rsidR="003B6BD2" w:rsidRPr="000007D2" w:rsidRDefault="003B6BD2" w:rsidP="00884F3B">
      <w:pPr>
        <w:widowControl w:val="0"/>
        <w:numPr>
          <w:ilvl w:val="0"/>
          <w:numId w:val="260"/>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Road transport</w:t>
      </w:r>
    </w:p>
    <w:p w14:paraId="3AF65264" w14:textId="0F8B8785" w:rsidR="003B6BD2" w:rsidRPr="000007D2" w:rsidRDefault="003B6BD2" w:rsidP="00884F3B">
      <w:pPr>
        <w:widowControl w:val="0"/>
        <w:numPr>
          <w:ilvl w:val="0"/>
          <w:numId w:val="260"/>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Rails transport</w:t>
      </w:r>
    </w:p>
    <w:p w14:paraId="16C39801" w14:textId="77777777" w:rsidR="003B6BD2" w:rsidRPr="000007D2" w:rsidRDefault="003B6BD2" w:rsidP="00884F3B">
      <w:pPr>
        <w:widowControl w:val="0"/>
        <w:numPr>
          <w:ilvl w:val="0"/>
          <w:numId w:val="260"/>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Domestic Aviation</w:t>
      </w:r>
    </w:p>
    <w:p w14:paraId="68AB1163" w14:textId="77777777" w:rsidR="003B6BD2" w:rsidRPr="000007D2" w:rsidRDefault="003B6BD2" w:rsidP="00884F3B">
      <w:pPr>
        <w:widowControl w:val="0"/>
        <w:numPr>
          <w:ilvl w:val="0"/>
          <w:numId w:val="260"/>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International Aviation</w:t>
      </w:r>
    </w:p>
    <w:p w14:paraId="05C6F78F" w14:textId="77777777" w:rsidR="003B6BD2" w:rsidRPr="000007D2" w:rsidRDefault="003B6BD2" w:rsidP="00884F3B">
      <w:pPr>
        <w:widowControl w:val="0"/>
        <w:numPr>
          <w:ilvl w:val="0"/>
          <w:numId w:val="260"/>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Domestic Navigation</w:t>
      </w:r>
    </w:p>
    <w:p w14:paraId="3D13CE57" w14:textId="77777777" w:rsidR="003B6BD2" w:rsidRPr="000007D2" w:rsidRDefault="003B6BD2" w:rsidP="00884F3B">
      <w:pPr>
        <w:widowControl w:val="0"/>
        <w:numPr>
          <w:ilvl w:val="0"/>
          <w:numId w:val="260"/>
        </w:numPr>
        <w:spacing w:after="0" w:line="276" w:lineRule="auto"/>
        <w:jc w:val="both"/>
        <w:rPr>
          <w:rFonts w:ascii="Calibri Light" w:eastAsia="Times New Roman" w:hAnsi="Calibri Light" w:cs="Calibri Light"/>
          <w:szCs w:val="20"/>
          <w:lang w:eastAsia="el-GR"/>
        </w:rPr>
      </w:pPr>
      <w:r w:rsidRPr="000007D2">
        <w:rPr>
          <w:rFonts w:ascii="Calibri Light" w:eastAsia="Times New Roman" w:hAnsi="Calibri Light" w:cs="Calibri Light"/>
          <w:szCs w:val="20"/>
          <w:lang w:eastAsia="el-GR"/>
        </w:rPr>
        <w:t>International Navigation – Bunkers</w:t>
      </w:r>
    </w:p>
    <w:bookmarkEnd w:id="703"/>
    <w:bookmarkEnd w:id="704"/>
    <w:bookmarkEnd w:id="705"/>
    <w:p w14:paraId="3BDFAB95" w14:textId="77777777" w:rsidR="003B6BD2" w:rsidRPr="003B6BD2" w:rsidRDefault="003B6BD2" w:rsidP="000007D2">
      <w:pPr>
        <w:widowControl w:val="0"/>
        <w:spacing w:before="100" w:beforeAutospacing="1"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During the development of the INECP the Serbian Energy Modelling System (SEMS) was updated through a data collection process to collect the current statistics and a calibration process in order to include the latest available statistical data in the model. Details of all these updates are presented in the “Report on updated version of SEMS” of the project “Further Development of Energy Planning Capacity”, EuropeAid/135625/IH/SER/RS Contract no: 48-00-00140/2019-28.</w:t>
      </w:r>
    </w:p>
    <w:p w14:paraId="0EC65404" w14:textId="77777777" w:rsidR="003B6BD2" w:rsidRPr="000007D2" w:rsidRDefault="003B6BD2" w:rsidP="00884F3B">
      <w:pPr>
        <w:pStyle w:val="Heading4"/>
        <w:numPr>
          <w:ilvl w:val="0"/>
          <w:numId w:val="262"/>
        </w:numPr>
        <w:rPr>
          <w:b w:val="0"/>
          <w:bCs w:val="0"/>
        </w:rPr>
      </w:pPr>
      <w:r w:rsidRPr="000007D2">
        <w:t>Macro-economic Analysis Tool (MANAGE)</w:t>
      </w:r>
    </w:p>
    <w:p w14:paraId="6991CB9B" w14:textId="745FF75D" w:rsidR="003B6BD2" w:rsidRPr="003B6BD2" w:rsidRDefault="003B6BD2" w:rsidP="000007D2">
      <w:pPr>
        <w:widowControl w:val="0"/>
        <w:spacing w:before="100" w:beforeAutospacing="1"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 xml:space="preserve">The macroeconomic analysis tool - </w:t>
      </w:r>
      <w:r w:rsidRPr="003B6BD2">
        <w:rPr>
          <w:rFonts w:ascii="Calibri Light" w:eastAsia="Times New Roman" w:hAnsi="Calibri Light" w:cs="Calibri Light"/>
          <w:b/>
          <w:szCs w:val="20"/>
          <w:lang w:eastAsia="el-GR"/>
        </w:rPr>
        <w:t>M</w:t>
      </w:r>
      <w:r w:rsidRPr="003B6BD2">
        <w:rPr>
          <w:rFonts w:ascii="Calibri Light" w:eastAsia="Times New Roman" w:hAnsi="Calibri Light" w:cs="Calibri Light"/>
          <w:szCs w:val="20"/>
          <w:lang w:eastAsia="el-GR"/>
        </w:rPr>
        <w:t xml:space="preserve">itigation, </w:t>
      </w:r>
      <w:r w:rsidRPr="003B6BD2">
        <w:rPr>
          <w:rFonts w:ascii="Calibri Light" w:eastAsia="Times New Roman" w:hAnsi="Calibri Light" w:cs="Calibri Light"/>
          <w:b/>
          <w:szCs w:val="20"/>
          <w:lang w:eastAsia="el-GR"/>
        </w:rPr>
        <w:t>A</w:t>
      </w:r>
      <w:r w:rsidRPr="003B6BD2">
        <w:rPr>
          <w:rFonts w:ascii="Calibri Light" w:eastAsia="Times New Roman" w:hAnsi="Calibri Light" w:cs="Calibri Light"/>
          <w:szCs w:val="20"/>
          <w:lang w:eastAsia="el-GR"/>
        </w:rPr>
        <w:t xml:space="preserve">daptation and </w:t>
      </w:r>
      <w:r w:rsidRPr="003B6BD2">
        <w:rPr>
          <w:rFonts w:ascii="Calibri Light" w:eastAsia="Times New Roman" w:hAnsi="Calibri Light" w:cs="Calibri Light"/>
          <w:b/>
          <w:szCs w:val="20"/>
          <w:lang w:eastAsia="el-GR"/>
        </w:rPr>
        <w:t>N</w:t>
      </w:r>
      <w:r w:rsidRPr="003B6BD2">
        <w:rPr>
          <w:rFonts w:ascii="Calibri Light" w:eastAsia="Times New Roman" w:hAnsi="Calibri Light" w:cs="Calibri Light"/>
          <w:szCs w:val="20"/>
          <w:lang w:eastAsia="el-GR"/>
        </w:rPr>
        <w:t xml:space="preserve">ew Technologies </w:t>
      </w:r>
      <w:r w:rsidRPr="003B6BD2">
        <w:rPr>
          <w:rFonts w:ascii="Calibri Light" w:eastAsia="Times New Roman" w:hAnsi="Calibri Light" w:cs="Calibri Light"/>
          <w:b/>
          <w:szCs w:val="20"/>
          <w:lang w:eastAsia="el-GR"/>
        </w:rPr>
        <w:t>A</w:t>
      </w:r>
      <w:r w:rsidRPr="003B6BD2">
        <w:rPr>
          <w:rFonts w:ascii="Calibri Light" w:eastAsia="Times New Roman" w:hAnsi="Calibri Light" w:cs="Calibri Light"/>
          <w:szCs w:val="20"/>
          <w:lang w:eastAsia="el-GR"/>
        </w:rPr>
        <w:t xml:space="preserve">pplied </w:t>
      </w:r>
      <w:r w:rsidRPr="003B6BD2">
        <w:rPr>
          <w:rFonts w:ascii="Calibri Light" w:eastAsia="Times New Roman" w:hAnsi="Calibri Light" w:cs="Calibri Light"/>
          <w:b/>
          <w:szCs w:val="20"/>
          <w:lang w:eastAsia="el-GR"/>
        </w:rPr>
        <w:t>G</w:t>
      </w:r>
      <w:r w:rsidRPr="003B6BD2">
        <w:rPr>
          <w:rFonts w:ascii="Calibri Light" w:eastAsia="Times New Roman" w:hAnsi="Calibri Light" w:cs="Calibri Light"/>
          <w:szCs w:val="20"/>
          <w:lang w:eastAsia="el-GR"/>
        </w:rPr>
        <w:t xml:space="preserve">eneral Equilibrium (MANAGE) </w:t>
      </w:r>
      <w:bookmarkStart w:id="712" w:name="_Hlk68533451"/>
      <w:r w:rsidRPr="003B6BD2">
        <w:rPr>
          <w:rFonts w:ascii="Calibri Light" w:eastAsia="Times New Roman" w:hAnsi="Calibri Light" w:cs="Calibri Light"/>
          <w:szCs w:val="20"/>
          <w:lang w:eastAsia="el-GR"/>
        </w:rPr>
        <w:t>computable general equilibrium</w:t>
      </w:r>
      <w:bookmarkEnd w:id="712"/>
      <w:r w:rsidRPr="003B6BD2">
        <w:rPr>
          <w:rFonts w:ascii="Calibri Light" w:eastAsia="Times New Roman" w:hAnsi="Calibri Light" w:cs="Calibri Light"/>
          <w:szCs w:val="20"/>
          <w:lang w:eastAsia="el-GR"/>
        </w:rPr>
        <w:t xml:space="preserve"> (CGE) model, is coded in the General Algebraic Modelling System (GAMS), which is a high-level modelling system for mathematical programming and optimization. It consists of a language compiler and a set of integrated high-performance solvers.</w:t>
      </w:r>
    </w:p>
    <w:p w14:paraId="193CF551" w14:textId="7777777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Key inputs to the model include the Social Accounting Matrix (SAM), which describes monetary flows across key economic agents (producers, households, government, and the Rest of the World). The SAM was adjusted to reflect a more complete balance of payments account, as the latter was modified to allow for fairly significant inward flows of remittances and outward interest payments, and a small inflow of official development assistance. For the modifications, data provided by the National Bank of Serbia was used.</w:t>
      </w:r>
    </w:p>
    <w:p w14:paraId="529BEF81" w14:textId="7777777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 xml:space="preserve">Additional data inputs to the model included energy flows (based on the International Energy Agency data) and emission accounts (estimated using the IPCC methodology) – both are extracted from the Global Trade Analysis Project (GTAP) database and harmonized with SEMS. The reference year SAM is used to calibrate </w:t>
      </w:r>
      <w:r w:rsidRPr="003B6BD2">
        <w:rPr>
          <w:rFonts w:ascii="Calibri Light" w:eastAsia="Times New Roman" w:hAnsi="Calibri Light" w:cs="Calibri Light"/>
          <w:szCs w:val="20"/>
          <w:lang w:eastAsia="el-GR"/>
        </w:rPr>
        <w:lastRenderedPageBreak/>
        <w:t>many of the model parameters—such as the cost structure of production and consumer preference parameters. The calibration of these parameters needs not only the SAM, but also values for key model parameters such as the substitution between capital and labour, the income elasticity for goods such as food, energy substitution elasticities, etc. Most of these parameters are sourced from the standard parameters of the GTAP and Envisage models. The SAM, combined with the key elasticities, are the only inputs needed to run the comparative static version of the model.</w:t>
      </w:r>
    </w:p>
    <w:p w14:paraId="434001DA" w14:textId="20A1B39B"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The dynamic model needs additional data to project the economy forward from the reference year to a terminal year. The key drivers of the economy are demographic (total and working age population), savings and depreciation rates, which drive capital accumulation, and changes in technology and preferences. These inputs are extracted primarily form the national data sources and complemented by the data inputs from international agencies, as described in the report.</w:t>
      </w:r>
    </w:p>
    <w:p w14:paraId="0993E7CF" w14:textId="7777777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The Ministry of Mining and Energy has at its disposal the MANAGE model and the corresponding data for running both comparative static and dynamic simulations. In the case of the latter, MoME can regularly update the reference simulation with the most recent information on GDP and population growth, and other exogenous elements of the model such as policy changes. The tool allows for significant flexibility to analyse a broad suite of policies from energy taxes and subsidies, other forms of taxes and subsidies, for example in agriculture, and potential changes to the trading regime—for example adherence to the European Union. Beyond updating the dynamic drivers, the core, or reference data is also subject to updates, for example, with the soon-to-be-released V11 of the GTAP database with a 2017 reference year. In addition, with sufficient local information, the model’s key elasticities, such as income and substitution elasticities could be econometrically estimated, providing a sounder basis for model behaviour and coupled with confidence intervals, the ability to use Monte Carlo techniques to provide a sense of the robustness of the model results. The core database can also be expanded to include multiple representative households, for example by decile, to be able to highlight potential distributional implications of policy changes—for example the impact across households of implementing a carbon tax.</w:t>
      </w:r>
    </w:p>
    <w:p w14:paraId="7E797246" w14:textId="1B89C22B" w:rsidR="007A3990" w:rsidRDefault="003B6BD2" w:rsidP="0087794A">
      <w:pPr>
        <w:spacing w:after="120" w:line="240" w:lineRule="auto"/>
        <w:jc w:val="both"/>
      </w:pPr>
      <w:r w:rsidRPr="003B6BD2">
        <w:rPr>
          <w:rFonts w:ascii="Calibri Light" w:eastAsia="Times New Roman" w:hAnsi="Calibri Light" w:cs="Calibri Light"/>
          <w:szCs w:val="20"/>
          <w:lang w:eastAsia="el-GR"/>
        </w:rPr>
        <w:t>Representing a complete coverage of both demand and supply sides of the economy, the MANAGE model provides a wide range of outputs that could be used to support the decision-making process. The key endogenous variables of the model can be grouped into six categories: macroeconomic, producer-related, final users (household-related), government indicators, trade variables and environmental indicators (</w:t>
      </w:r>
      <w:r w:rsidR="007A3990">
        <w:rPr>
          <w:rFonts w:ascii="Calibri Light" w:eastAsia="Times New Roman" w:hAnsi="Calibri Light" w:cs="Calibri Light"/>
          <w:szCs w:val="20"/>
          <w:lang w:eastAsia="el-GR"/>
        </w:rPr>
        <w:fldChar w:fldCharType="begin"/>
      </w:r>
      <w:r w:rsidR="007A3990">
        <w:rPr>
          <w:rFonts w:ascii="Calibri Light" w:eastAsia="Times New Roman" w:hAnsi="Calibri Light" w:cs="Calibri Light"/>
          <w:szCs w:val="20"/>
          <w:lang w:eastAsia="el-GR"/>
        </w:rPr>
        <w:instrText xml:space="preserve"> REF _Ref153547014 \h  \* MERGEFORMAT </w:instrText>
      </w:r>
      <w:r w:rsidR="007A3990">
        <w:rPr>
          <w:rFonts w:ascii="Calibri Light" w:eastAsia="Times New Roman" w:hAnsi="Calibri Light" w:cs="Calibri Light"/>
          <w:szCs w:val="20"/>
          <w:lang w:eastAsia="el-GR"/>
        </w:rPr>
      </w:r>
      <w:r w:rsidR="007A3990">
        <w:rPr>
          <w:rFonts w:ascii="Calibri Light" w:eastAsia="Times New Roman" w:hAnsi="Calibri Light" w:cs="Calibri Light"/>
          <w:szCs w:val="20"/>
          <w:lang w:eastAsia="el-GR"/>
        </w:rPr>
        <w:fldChar w:fldCharType="separate"/>
      </w:r>
      <w:r w:rsidR="007A3990" w:rsidRPr="0087794A">
        <w:rPr>
          <w:rFonts w:ascii="Calibri Light" w:eastAsia="Times New Roman" w:hAnsi="Calibri Light" w:cs="Calibri Light"/>
          <w:szCs w:val="20"/>
          <w:lang w:eastAsia="el-GR"/>
        </w:rPr>
        <w:t>Figure III.3</w:t>
      </w:r>
      <w:r w:rsidR="007A3990">
        <w:rPr>
          <w:rFonts w:ascii="Calibri Light" w:eastAsia="Times New Roman" w:hAnsi="Calibri Light" w:cs="Calibri Light"/>
          <w:szCs w:val="20"/>
          <w:lang w:eastAsia="el-GR"/>
        </w:rPr>
        <w:fldChar w:fldCharType="end"/>
      </w:r>
      <w:r w:rsidRPr="003B6BD2">
        <w:rPr>
          <w:rFonts w:ascii="Calibri Light" w:eastAsia="Times New Roman" w:hAnsi="Calibri Light" w:cs="Calibri Light"/>
          <w:szCs w:val="20"/>
          <w:lang w:eastAsia="el-GR"/>
        </w:rPr>
        <w:t>). It should be noted that this grouping of the variables is used only for the presentation purposes and is not something implied by the model. We do not aim to provide a full list of variables in this section, but rather to highlight key outputs that the model generates, while for the full list of variables an interested reader is referred to the corresponding technical report with the documentation of the modelling tool.</w:t>
      </w:r>
    </w:p>
    <w:p w14:paraId="1421D128" w14:textId="5D910A0F" w:rsidR="007A3990" w:rsidRDefault="007A3990" w:rsidP="0087794A">
      <w:pPr>
        <w:pStyle w:val="Caption"/>
        <w:keepNext/>
      </w:pPr>
      <w:bookmarkStart w:id="713" w:name="_Ref153547014"/>
      <w:bookmarkStart w:id="714" w:name="_Toc154575326"/>
      <w:r>
        <w:lastRenderedPageBreak/>
        <w:t xml:space="preserve">Figure </w:t>
      </w:r>
      <w:r w:rsidR="006E0533">
        <w:fldChar w:fldCharType="begin"/>
      </w:r>
      <w:r w:rsidR="006E0533">
        <w:instrText xml:space="preserve"> STYLEREF 1 \s </w:instrText>
      </w:r>
      <w:r w:rsidR="006E0533">
        <w:fldChar w:fldCharType="separate"/>
      </w:r>
      <w:r w:rsidR="00B62877">
        <w:rPr>
          <w:noProof/>
        </w:rPr>
        <w:t>III</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3</w:t>
      </w:r>
      <w:r w:rsidR="006E0533">
        <w:rPr>
          <w:noProof/>
        </w:rPr>
        <w:fldChar w:fldCharType="end"/>
      </w:r>
      <w:bookmarkEnd w:id="713"/>
      <w:r>
        <w:t xml:space="preserve">: </w:t>
      </w:r>
      <w:r w:rsidRPr="007A3990">
        <w:t>Key model outputs by category</w:t>
      </w:r>
      <w:bookmarkEnd w:id="714"/>
    </w:p>
    <w:p w14:paraId="65890C1A" w14:textId="74ABD0E2" w:rsidR="003B6BD2" w:rsidRPr="003B6BD2" w:rsidRDefault="007A3990" w:rsidP="003B6BD2">
      <w:pPr>
        <w:spacing w:after="120" w:line="240" w:lineRule="auto"/>
        <w:jc w:val="center"/>
        <w:rPr>
          <w:rFonts w:ascii="Calibri Light" w:eastAsia="Times New Roman" w:hAnsi="Calibri Light" w:cs="Calibri Light"/>
          <w:szCs w:val="20"/>
          <w:highlight w:val="yellow"/>
          <w:lang w:eastAsia="el-GR"/>
        </w:rPr>
      </w:pPr>
      <w:r>
        <w:rPr>
          <w:rFonts w:ascii="Calibri Light" w:eastAsia="Times New Roman" w:hAnsi="Calibri Light" w:cs="Calibri Light"/>
          <w:noProof/>
          <w:szCs w:val="20"/>
          <w:lang w:val="en-US"/>
        </w:rPr>
        <w:drawing>
          <wp:inline distT="0" distB="0" distL="0" distR="0" wp14:anchorId="467DB8E5" wp14:editId="12B45B4E">
            <wp:extent cx="4405343" cy="3978442"/>
            <wp:effectExtent l="0" t="0" r="0" b="3175"/>
            <wp:docPr id="13229130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13031" name="Graphic 1322913031"/>
                    <pic:cNvPicPr/>
                  </pic:nvPicPr>
                  <pic:blipFill rotWithShape="1">
                    <a:blip r:embed="rId16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7"/>
                        </a:ext>
                      </a:extLst>
                    </a:blip>
                    <a:srcRect l="24771" t="4196" r="19780" b="6776"/>
                    <a:stretch/>
                  </pic:blipFill>
                  <pic:spPr bwMode="auto">
                    <a:xfrm>
                      <a:off x="0" y="0"/>
                      <a:ext cx="4419550" cy="3991272"/>
                    </a:xfrm>
                    <a:prstGeom prst="rect">
                      <a:avLst/>
                    </a:prstGeom>
                    <a:ln>
                      <a:noFill/>
                    </a:ln>
                    <a:extLst>
                      <a:ext uri="{53640926-AAD7-44D8-BBD7-CCE9431645EC}">
                        <a14:shadowObscured xmlns:a14="http://schemas.microsoft.com/office/drawing/2010/main"/>
                      </a:ext>
                    </a:extLst>
                  </pic:spPr>
                </pic:pic>
              </a:graphicData>
            </a:graphic>
          </wp:inline>
        </w:drawing>
      </w:r>
    </w:p>
    <w:p w14:paraId="55A22FD1" w14:textId="28D59C15" w:rsidR="003B6BD2" w:rsidRPr="003B6BD2" w:rsidRDefault="003B6BD2" w:rsidP="003B6BD2">
      <w:p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 xml:space="preserve">Apart from the indicators outlined above, it is possible to estimate additional derived indicators, taking combination of variables reported by the model. For instance, one can estimate the carbon intensity of final consumption by commodities or the share of carbon revenue in the total tax revenue (or government income), etc. Since in most cases, it is relevant to measure policy impacts relative to the baseline scenario (rather than in absolute levels), for the case of most variables listed on the </w:t>
      </w:r>
      <w:r w:rsidR="006E2AEA">
        <w:rPr>
          <w:rFonts w:ascii="Calibri Light" w:eastAsia="Times New Roman" w:hAnsi="Calibri Light" w:cs="Calibri Light"/>
          <w:szCs w:val="20"/>
          <w:lang w:eastAsia="el-GR"/>
        </w:rPr>
        <w:fldChar w:fldCharType="begin"/>
      </w:r>
      <w:r w:rsidR="006E2AEA">
        <w:rPr>
          <w:rFonts w:ascii="Calibri Light" w:eastAsia="Times New Roman" w:hAnsi="Calibri Light" w:cs="Calibri Light"/>
          <w:szCs w:val="20"/>
          <w:lang w:eastAsia="el-GR"/>
        </w:rPr>
        <w:instrText xml:space="preserve"> REF _Ref153547014 \h  \* MERGEFORMAT </w:instrText>
      </w:r>
      <w:r w:rsidR="006E2AEA">
        <w:rPr>
          <w:rFonts w:ascii="Calibri Light" w:eastAsia="Times New Roman" w:hAnsi="Calibri Light" w:cs="Calibri Light"/>
          <w:szCs w:val="20"/>
          <w:lang w:eastAsia="el-GR"/>
        </w:rPr>
      </w:r>
      <w:r w:rsidR="006E2AEA">
        <w:rPr>
          <w:rFonts w:ascii="Calibri Light" w:eastAsia="Times New Roman" w:hAnsi="Calibri Light" w:cs="Calibri Light"/>
          <w:szCs w:val="20"/>
          <w:lang w:eastAsia="el-GR"/>
        </w:rPr>
        <w:fldChar w:fldCharType="separate"/>
      </w:r>
      <w:r w:rsidR="006E2AEA" w:rsidRPr="0087794A">
        <w:rPr>
          <w:rFonts w:ascii="Calibri Light" w:eastAsia="Times New Roman" w:hAnsi="Calibri Light" w:cs="Calibri Light"/>
          <w:szCs w:val="20"/>
          <w:lang w:eastAsia="el-GR"/>
        </w:rPr>
        <w:t>Figure III.3</w:t>
      </w:r>
      <w:r w:rsidR="006E2AEA">
        <w:rPr>
          <w:rFonts w:ascii="Calibri Light" w:eastAsia="Times New Roman" w:hAnsi="Calibri Light" w:cs="Calibri Light"/>
          <w:szCs w:val="20"/>
          <w:lang w:eastAsia="el-GR"/>
        </w:rPr>
        <w:fldChar w:fldCharType="end"/>
      </w:r>
      <w:r w:rsidR="006E2AEA">
        <w:rPr>
          <w:rFonts w:ascii="Calibri Light" w:eastAsia="Times New Roman" w:hAnsi="Calibri Light" w:cs="Calibri Light"/>
          <w:szCs w:val="20"/>
          <w:lang w:eastAsia="el-GR"/>
        </w:rPr>
        <w:t xml:space="preserve"> </w:t>
      </w:r>
      <w:r w:rsidRPr="003B6BD2">
        <w:rPr>
          <w:rFonts w:ascii="Calibri Light" w:eastAsia="Times New Roman" w:hAnsi="Calibri Light" w:cs="Calibri Light"/>
          <w:szCs w:val="20"/>
          <w:lang w:eastAsia="el-GR"/>
        </w:rPr>
        <w:t>it is relevant to apply the same approach. For instance, in the case of impacts of the carbon pricing policies on producers, one would be interested in the changes of production volumes and sectoral value added relative to the baseline scenario rather than the absolute values of these variables.</w:t>
      </w:r>
    </w:p>
    <w:p w14:paraId="4A1144C2" w14:textId="77777777" w:rsidR="003B6BD2" w:rsidRPr="003B6BD2" w:rsidRDefault="003B6BD2" w:rsidP="000007D2">
      <w:p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More details on the macro-economic model implementation are provided in the “Report on developed, installed and tested tool for macroeconomic analysis”, of the project Further Development of Energy Planning Capacity, EuropeAid/135625/IH/SER/RS, Contract no: 48-00-00140/2019-28.</w:t>
      </w:r>
    </w:p>
    <w:p w14:paraId="1387AC88" w14:textId="77777777" w:rsidR="003B6BD2" w:rsidRPr="000007D2" w:rsidRDefault="003B6BD2" w:rsidP="00884F3B">
      <w:pPr>
        <w:pStyle w:val="Heading4"/>
        <w:numPr>
          <w:ilvl w:val="0"/>
          <w:numId w:val="262"/>
        </w:numPr>
        <w:rPr>
          <w:b w:val="0"/>
          <w:bCs w:val="0"/>
        </w:rPr>
      </w:pPr>
      <w:r w:rsidRPr="000007D2">
        <w:t>High-RES penetration power system analysis tool</w:t>
      </w:r>
    </w:p>
    <w:p w14:paraId="56F2A004" w14:textId="25D1A447" w:rsidR="003B6BD2" w:rsidRPr="003B6BD2" w:rsidRDefault="003B6BD2" w:rsidP="000007D2">
      <w:pPr>
        <w:widowControl w:val="0"/>
        <w:spacing w:before="120"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The High-RES penetration market tool has been developed using the ANTARES simulator and includes a detailed representation of the Serbian power system, as well as an adequate representation of the regional power system of South-East Europe. The RES tool was designed to simulate the power system on an hourly basis, in selected years (e.g. 2030, 2040), using all the extra input which is required for this simulation and includes inter alia technical and economic characteristics of the power generation units and other flexibility resources such as storage units and interconnections with neighbouring systems. The detailed simulation of the power system in the RES tool provides insights on generation adequacy, details on the operation of dispatchable units and the storage units and the level of curtailment of RES generation which is expected. This will provide inputs to SEMS in the form of new generation profiles from RES, incorporating curtailment, and other information on the necessity of flexibility options for the proper operation of the power system.</w:t>
      </w:r>
    </w:p>
    <w:p w14:paraId="34F1A5A7" w14:textId="7777777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Based on the achieved results, the RES tool provides the following type of conclusions:</w:t>
      </w:r>
    </w:p>
    <w:p w14:paraId="356CB63C" w14:textId="77777777" w:rsidR="003B6BD2" w:rsidRPr="003B6BD2" w:rsidRDefault="003B6BD2" w:rsidP="00884F3B">
      <w:pPr>
        <w:widowControl w:val="0"/>
        <w:numPr>
          <w:ilvl w:val="0"/>
          <w:numId w:val="256"/>
        </w:num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Suitability of high RES integration in the power system in the expected capacity mix</w:t>
      </w:r>
    </w:p>
    <w:p w14:paraId="2697E8FA" w14:textId="77777777" w:rsidR="003B6BD2" w:rsidRPr="003B6BD2" w:rsidRDefault="003B6BD2" w:rsidP="00884F3B">
      <w:pPr>
        <w:widowControl w:val="0"/>
        <w:numPr>
          <w:ilvl w:val="0"/>
          <w:numId w:val="256"/>
        </w:num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lastRenderedPageBreak/>
        <w:t>Economic efficiency of a specific scenario for the Serbian power system</w:t>
      </w:r>
    </w:p>
    <w:p w14:paraId="2CD175BF" w14:textId="77777777" w:rsidR="003B6BD2" w:rsidRPr="003B6BD2" w:rsidRDefault="003B6BD2" w:rsidP="00884F3B">
      <w:pPr>
        <w:widowControl w:val="0"/>
        <w:numPr>
          <w:ilvl w:val="0"/>
          <w:numId w:val="256"/>
        </w:num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Power system flexibility needs on hourly variability for achievement of RES penetration targets</w:t>
      </w:r>
    </w:p>
    <w:p w14:paraId="7A9ED954" w14:textId="77777777" w:rsidR="003B6BD2" w:rsidRPr="003B6BD2" w:rsidRDefault="003B6BD2" w:rsidP="00884F3B">
      <w:pPr>
        <w:widowControl w:val="0"/>
        <w:numPr>
          <w:ilvl w:val="0"/>
          <w:numId w:val="256"/>
        </w:num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Level of CO2 emissions of a specific scenario</w:t>
      </w:r>
    </w:p>
    <w:p w14:paraId="3B046D84" w14:textId="497A8857" w:rsidR="003B6BD2" w:rsidRPr="003B6BD2" w:rsidRDefault="003B6BD2" w:rsidP="003B6BD2">
      <w:pPr>
        <w:widowControl w:val="0"/>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 xml:space="preserve">The High-RES penetration market tool was developed using the ANTARES simulator and includes a detailed representation of the Serbian power system and an adequate representation of the regional power system, as the electric power system of Serbia is very well interconnected to its neighbouring countries. </w:t>
      </w:r>
      <w:r w:rsidR="00687026">
        <w:rPr>
          <w:rFonts w:ascii="Calibri Light" w:eastAsia="Times New Roman" w:hAnsi="Calibri Light" w:cs="Calibri Light"/>
          <w:szCs w:val="20"/>
          <w:lang w:eastAsia="el-GR"/>
        </w:rPr>
        <w:fldChar w:fldCharType="begin"/>
      </w:r>
      <w:r w:rsidR="00687026">
        <w:rPr>
          <w:rFonts w:ascii="Calibri Light" w:eastAsia="Times New Roman" w:hAnsi="Calibri Light" w:cs="Calibri Light"/>
          <w:szCs w:val="20"/>
          <w:lang w:eastAsia="el-GR"/>
        </w:rPr>
        <w:instrText xml:space="preserve"> REF _Ref153535811 \h  \* MERGEFORMAT </w:instrText>
      </w:r>
      <w:r w:rsidR="00687026">
        <w:rPr>
          <w:rFonts w:ascii="Calibri Light" w:eastAsia="Times New Roman" w:hAnsi="Calibri Light" w:cs="Calibri Light"/>
          <w:szCs w:val="20"/>
          <w:lang w:eastAsia="el-GR"/>
        </w:rPr>
      </w:r>
      <w:r w:rsidR="00687026">
        <w:rPr>
          <w:rFonts w:ascii="Calibri Light" w:eastAsia="Times New Roman" w:hAnsi="Calibri Light" w:cs="Calibri Light"/>
          <w:szCs w:val="20"/>
          <w:lang w:eastAsia="el-GR"/>
        </w:rPr>
        <w:fldChar w:fldCharType="separate"/>
      </w:r>
      <w:r w:rsidR="00687026" w:rsidRPr="0087794A">
        <w:rPr>
          <w:rFonts w:ascii="Calibri Light" w:eastAsia="Times New Roman" w:hAnsi="Calibri Light" w:cs="Calibri Light"/>
          <w:szCs w:val="20"/>
          <w:lang w:eastAsia="el-GR"/>
        </w:rPr>
        <w:t>Figure III.4</w:t>
      </w:r>
      <w:r w:rsidR="00687026">
        <w:rPr>
          <w:rFonts w:ascii="Calibri Light" w:eastAsia="Times New Roman" w:hAnsi="Calibri Light" w:cs="Calibri Light"/>
          <w:szCs w:val="20"/>
          <w:lang w:eastAsia="el-GR"/>
        </w:rPr>
        <w:fldChar w:fldCharType="end"/>
      </w:r>
      <w:r w:rsidR="00687026">
        <w:rPr>
          <w:rFonts w:ascii="Calibri Light" w:eastAsia="Times New Roman" w:hAnsi="Calibri Light" w:cs="Calibri Light"/>
          <w:szCs w:val="20"/>
          <w:lang w:eastAsia="el-GR"/>
        </w:rPr>
        <w:t xml:space="preserve"> </w:t>
      </w:r>
      <w:r w:rsidRPr="003B6BD2">
        <w:rPr>
          <w:rFonts w:ascii="Calibri Light" w:eastAsia="Times New Roman" w:hAnsi="Calibri Light" w:cs="Calibri Light"/>
          <w:szCs w:val="20"/>
          <w:lang w:eastAsia="el-GR"/>
        </w:rPr>
        <w:t>shows the geographical extend of this region, which comprises the rest of Western Balkans (Croatia, Bosnia and Herzegovina, Montenegro, Albania and North Macedonia), as well as Hungary, Slovenia, Greece, Bulgaria and Romania. In the RES tool, the Serbian system is represented as two areas, one for the same system modelled in SEMS (RS01) and another one for the Autonomous Province of Kosovo and Metohija (RS02). As per the standard modelling approach, it is assumed that there are no transmission constraints inside each area (“copper plate” approach), as each TSO develops the transmission system accordingly. Therefore, each area is modelled as a single node with specific generation and demand profiles, while transmission limitations will be accounted for in the system borders, through the Net Transfer Capacities between the modelled zones.</w:t>
      </w:r>
    </w:p>
    <w:p w14:paraId="6A09AF95" w14:textId="7C01AD02" w:rsidR="00687026" w:rsidRDefault="00687026" w:rsidP="0087794A">
      <w:pPr>
        <w:pStyle w:val="Caption"/>
        <w:keepNext/>
      </w:pPr>
      <w:bookmarkStart w:id="715" w:name="_Ref153535811"/>
      <w:bookmarkStart w:id="716" w:name="_Toc154575327"/>
      <w:r>
        <w:t xml:space="preserve">Figure </w:t>
      </w:r>
      <w:r w:rsidR="006E0533">
        <w:fldChar w:fldCharType="begin"/>
      </w:r>
      <w:r w:rsidR="006E0533">
        <w:instrText xml:space="preserve"> STYLEREF 1 \s </w:instrText>
      </w:r>
      <w:r w:rsidR="006E0533">
        <w:fldChar w:fldCharType="separate"/>
      </w:r>
      <w:r w:rsidR="00B62877">
        <w:rPr>
          <w:noProof/>
        </w:rPr>
        <w:t>III</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4</w:t>
      </w:r>
      <w:r w:rsidR="006E0533">
        <w:rPr>
          <w:noProof/>
        </w:rPr>
        <w:fldChar w:fldCharType="end"/>
      </w:r>
      <w:bookmarkEnd w:id="715"/>
      <w:r w:rsidRPr="00687026">
        <w:t>: Geographical scope of regional model</w:t>
      </w:r>
      <w:bookmarkEnd w:id="716"/>
    </w:p>
    <w:p w14:paraId="3CB8C597" w14:textId="77777777" w:rsidR="003B6BD2" w:rsidRPr="003B6BD2" w:rsidRDefault="003B6BD2" w:rsidP="003B6BD2">
      <w:pPr>
        <w:widowControl w:val="0"/>
        <w:spacing w:after="12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noProof/>
          <w:szCs w:val="20"/>
          <w:lang w:val="en-US"/>
        </w:rPr>
        <w:drawing>
          <wp:inline distT="0" distB="0" distL="0" distR="0" wp14:anchorId="525D8014" wp14:editId="68074EEA">
            <wp:extent cx="2742668" cy="2404316"/>
            <wp:effectExtent l="0" t="0" r="635" b="0"/>
            <wp:docPr id="1881859433" name="Picture 1881859433" descr="A map of countries/regions with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map of countries/regions with blue and black lines&#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48972" cy="2409842"/>
                    </a:xfrm>
                    <a:prstGeom prst="rect">
                      <a:avLst/>
                    </a:prstGeom>
                  </pic:spPr>
                </pic:pic>
              </a:graphicData>
            </a:graphic>
          </wp:inline>
        </w:drawing>
      </w:r>
    </w:p>
    <w:p w14:paraId="4BA7C8FA" w14:textId="77777777" w:rsidR="003B6BD2" w:rsidRDefault="003B6BD2" w:rsidP="0087794A">
      <w:pPr>
        <w:widowControl w:val="0"/>
        <w:spacing w:before="16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For the zones that will be modelled apart from Serbia, ENTSO-E MAF 2020 and TYNDP2020 (which use pan-European models) were the main sources for model parameters. These neighbouring systems remain unchanged, during the analysis of scenarios for the Serbian system, while the latter will be modelled according to each scenario provided by SEMS.</w:t>
      </w:r>
    </w:p>
    <w:p w14:paraId="66BE03E6" w14:textId="3F11A3F0" w:rsidR="00687026" w:rsidRDefault="00687026" w:rsidP="0087794A">
      <w:pPr>
        <w:pStyle w:val="Caption"/>
        <w:keepNext/>
      </w:pPr>
      <w:bookmarkStart w:id="717" w:name="_Ref153535942"/>
      <w:bookmarkStart w:id="718" w:name="_Toc154575328"/>
      <w:r>
        <w:lastRenderedPageBreak/>
        <w:t xml:space="preserve">Figure </w:t>
      </w:r>
      <w:r w:rsidR="006E0533">
        <w:fldChar w:fldCharType="begin"/>
      </w:r>
      <w:r w:rsidR="006E0533">
        <w:instrText xml:space="preserve"> STYLEREF 1 \s </w:instrText>
      </w:r>
      <w:r w:rsidR="006E0533">
        <w:fldChar w:fldCharType="separate"/>
      </w:r>
      <w:r w:rsidR="00B62877">
        <w:rPr>
          <w:noProof/>
        </w:rPr>
        <w:t>III</w:t>
      </w:r>
      <w:r w:rsidR="006E0533">
        <w:rPr>
          <w:noProof/>
        </w:rPr>
        <w:fldChar w:fldCharType="end"/>
      </w:r>
      <w:r w:rsidR="00B62877">
        <w:t>.</w:t>
      </w:r>
      <w:r w:rsidR="006E0533">
        <w:fldChar w:fldCharType="begin"/>
      </w:r>
      <w:r w:rsidR="006E0533">
        <w:instrText xml:space="preserve"> SEQ Figure \* ARABIC \s 1 </w:instrText>
      </w:r>
      <w:r w:rsidR="006E0533">
        <w:fldChar w:fldCharType="separate"/>
      </w:r>
      <w:r w:rsidR="00B62877">
        <w:rPr>
          <w:noProof/>
        </w:rPr>
        <w:t>5</w:t>
      </w:r>
      <w:r w:rsidR="006E0533">
        <w:rPr>
          <w:noProof/>
        </w:rPr>
        <w:fldChar w:fldCharType="end"/>
      </w:r>
      <w:bookmarkEnd w:id="717"/>
      <w:r>
        <w:t xml:space="preserve">: </w:t>
      </w:r>
      <w:r w:rsidRPr="00687026">
        <w:t>Hourly results for RS01, MC year 2, week n.10</w:t>
      </w:r>
      <w:bookmarkEnd w:id="718"/>
    </w:p>
    <w:p w14:paraId="199455B0" w14:textId="77777777" w:rsidR="003B6BD2" w:rsidRPr="003B6BD2" w:rsidRDefault="003B6BD2" w:rsidP="003B6BD2">
      <w:pPr>
        <w:spacing w:after="120" w:line="240" w:lineRule="auto"/>
        <w:jc w:val="center"/>
        <w:rPr>
          <w:rFonts w:ascii="Calibri Light" w:eastAsia="Times New Roman" w:hAnsi="Calibri Light" w:cs="Calibri Light"/>
          <w:szCs w:val="20"/>
          <w:lang w:eastAsia="el-GR"/>
        </w:rPr>
      </w:pPr>
      <w:r w:rsidRPr="003B6BD2">
        <w:rPr>
          <w:rFonts w:ascii="Calibri Light" w:eastAsia="Times New Roman" w:hAnsi="Calibri Light" w:cs="Calibri Light"/>
          <w:noProof/>
          <w:szCs w:val="20"/>
          <w:lang w:val="en-US"/>
        </w:rPr>
        <w:drawing>
          <wp:inline distT="0" distB="0" distL="0" distR="0" wp14:anchorId="7B6B4411" wp14:editId="5D1F30F1">
            <wp:extent cx="4279455" cy="2723168"/>
            <wp:effectExtent l="0" t="0" r="6985" b="1270"/>
            <wp:docPr id="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lines&#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284582" cy="2726430"/>
                    </a:xfrm>
                    <a:prstGeom prst="rect">
                      <a:avLst/>
                    </a:prstGeom>
                  </pic:spPr>
                </pic:pic>
              </a:graphicData>
            </a:graphic>
          </wp:inline>
        </w:drawing>
      </w:r>
    </w:p>
    <w:p w14:paraId="4BB6B162" w14:textId="476A98ED" w:rsidR="003B6BD2" w:rsidRPr="003B6BD2" w:rsidRDefault="003B6BD2" w:rsidP="0087794A">
      <w:pPr>
        <w:widowControl w:val="0"/>
        <w:spacing w:before="16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The results of the RES tool simulations mainly comprise fuel shares, system marginal cost and total operational cost, CO2 emissions and generation curtailments (also referred to as “spilled energy”) for the Serbian system, and a detailed dispatch on an hourly level (</w:t>
      </w:r>
      <w:r w:rsidR="00687026">
        <w:rPr>
          <w:rFonts w:ascii="Calibri Light" w:eastAsia="Times New Roman" w:hAnsi="Calibri Light" w:cs="Calibri Light"/>
          <w:szCs w:val="20"/>
          <w:lang w:eastAsia="el-GR"/>
        </w:rPr>
        <w:fldChar w:fldCharType="begin"/>
      </w:r>
      <w:r w:rsidR="00687026">
        <w:rPr>
          <w:rFonts w:ascii="Calibri Light" w:eastAsia="Times New Roman" w:hAnsi="Calibri Light" w:cs="Calibri Light"/>
          <w:szCs w:val="20"/>
          <w:lang w:eastAsia="el-GR"/>
        </w:rPr>
        <w:instrText xml:space="preserve"> REF _Ref153535942 \h  \* MERGEFORMAT </w:instrText>
      </w:r>
      <w:r w:rsidR="00687026">
        <w:rPr>
          <w:rFonts w:ascii="Calibri Light" w:eastAsia="Times New Roman" w:hAnsi="Calibri Light" w:cs="Calibri Light"/>
          <w:szCs w:val="20"/>
          <w:lang w:eastAsia="el-GR"/>
        </w:rPr>
      </w:r>
      <w:r w:rsidR="00687026">
        <w:rPr>
          <w:rFonts w:ascii="Calibri Light" w:eastAsia="Times New Roman" w:hAnsi="Calibri Light" w:cs="Calibri Light"/>
          <w:szCs w:val="20"/>
          <w:lang w:eastAsia="el-GR"/>
        </w:rPr>
        <w:fldChar w:fldCharType="separate"/>
      </w:r>
      <w:r w:rsidR="00687026" w:rsidRPr="0087794A">
        <w:rPr>
          <w:rFonts w:ascii="Calibri Light" w:eastAsia="Times New Roman" w:hAnsi="Calibri Light" w:cs="Calibri Light"/>
          <w:szCs w:val="20"/>
          <w:lang w:eastAsia="el-GR"/>
        </w:rPr>
        <w:t>Figure III.5</w:t>
      </w:r>
      <w:r w:rsidR="00687026">
        <w:rPr>
          <w:rFonts w:ascii="Calibri Light" w:eastAsia="Times New Roman" w:hAnsi="Calibri Light" w:cs="Calibri Light"/>
          <w:szCs w:val="20"/>
          <w:lang w:eastAsia="el-GR"/>
        </w:rPr>
        <w:fldChar w:fldCharType="end"/>
      </w:r>
      <w:r w:rsidRPr="003B6BD2">
        <w:rPr>
          <w:rFonts w:ascii="Calibri Light" w:eastAsia="Times New Roman" w:hAnsi="Calibri Light" w:cs="Calibri Light"/>
          <w:szCs w:val="20"/>
          <w:lang w:eastAsia="el-GR"/>
        </w:rPr>
        <w:t xml:space="preserve">). The fast algorithm of ANTARES for the power system economical operation allows the enhanced modelling of stochastic parameters, such as the variable RES generation. Also, the long-term RES generation uncertainty is addressed as simulations of different “Climate Years” and average annual results will be reported. In ENTSO-E TYNDP2020 three climate years have been used (1982, 1984 and 2007) and the same climate years were used for the analysis for the Serbian </w:t>
      </w:r>
      <w:r w:rsidR="001F5F85">
        <w:rPr>
          <w:rFonts w:ascii="Calibri Light" w:eastAsia="Times New Roman" w:hAnsi="Calibri Light" w:cs="Calibri Light"/>
          <w:szCs w:val="20"/>
          <w:lang w:eastAsia="el-GR"/>
        </w:rPr>
        <w:t>I</w:t>
      </w:r>
      <w:r w:rsidRPr="003B6BD2">
        <w:rPr>
          <w:rFonts w:ascii="Calibri Light" w:eastAsia="Times New Roman" w:hAnsi="Calibri Light" w:cs="Calibri Light"/>
          <w:szCs w:val="20"/>
          <w:lang w:eastAsia="el-GR"/>
        </w:rPr>
        <w:t>NECP.</w:t>
      </w:r>
    </w:p>
    <w:p w14:paraId="3ABFCD4D" w14:textId="77777777" w:rsidR="003B6BD2" w:rsidRDefault="003B6BD2" w:rsidP="003B6BD2">
      <w:pPr>
        <w:spacing w:after="120" w:line="240" w:lineRule="auto"/>
        <w:jc w:val="both"/>
        <w:rPr>
          <w:rFonts w:ascii="Calibri Light" w:eastAsia="Times New Roman" w:hAnsi="Calibri Light" w:cs="Calibri Light"/>
          <w:szCs w:val="20"/>
          <w:lang w:eastAsia="el-GR"/>
        </w:rPr>
      </w:pPr>
      <w:r w:rsidRPr="003B6BD2">
        <w:rPr>
          <w:rFonts w:ascii="Calibri Light" w:eastAsia="Times New Roman" w:hAnsi="Calibri Light" w:cs="Calibri Light"/>
          <w:szCs w:val="20"/>
          <w:lang w:eastAsia="el-GR"/>
        </w:rPr>
        <w:t>More details on the High-RES penetration analysis model are provided in the “Report on developed, installed and tested high RES market penetration tool”, of the project Further Development of Energy Planning Capacity, EuropeAid/135625/IH/SER/RS, Contract no: 48-00-00140/2019-28.</w:t>
      </w:r>
    </w:p>
    <w:p w14:paraId="6B33CE80" w14:textId="77777777" w:rsidR="00C23BD9" w:rsidRDefault="00C23BD9">
      <w:pPr>
        <w:spacing w:line="259" w:lineRule="auto"/>
        <w:rPr>
          <w:rFonts w:ascii="Calibri Light" w:eastAsia="Times New Roman" w:hAnsi="Calibri Light" w:cs="Calibri Light"/>
          <w:szCs w:val="20"/>
          <w:lang w:eastAsia="el-GR"/>
        </w:rPr>
      </w:pPr>
      <w:r>
        <w:rPr>
          <w:rFonts w:ascii="Calibri Light" w:eastAsia="Times New Roman" w:hAnsi="Calibri Light" w:cs="Calibri Light"/>
          <w:szCs w:val="20"/>
          <w:lang w:eastAsia="el-GR"/>
        </w:rPr>
        <w:br w:type="page"/>
      </w:r>
    </w:p>
    <w:p w14:paraId="3D85E1F0" w14:textId="77777777" w:rsidR="00C23BD9" w:rsidRPr="003B6BD2" w:rsidRDefault="00C23BD9" w:rsidP="003B6BD2">
      <w:pPr>
        <w:spacing w:after="120" w:line="240" w:lineRule="auto"/>
        <w:jc w:val="both"/>
        <w:rPr>
          <w:rFonts w:ascii="Calibri Light" w:eastAsia="Times New Roman" w:hAnsi="Calibri Light" w:cs="Calibri Light"/>
          <w:szCs w:val="20"/>
          <w:lang w:eastAsia="el-GR"/>
        </w:rPr>
      </w:pPr>
    </w:p>
    <w:p w14:paraId="54397B25" w14:textId="2C599AA5" w:rsidR="00C23BD9" w:rsidRDefault="00D307CD" w:rsidP="0087794A">
      <w:pPr>
        <w:pStyle w:val="Heading1"/>
        <w:numPr>
          <w:ilvl w:val="0"/>
          <w:numId w:val="349"/>
        </w:numPr>
        <w:jc w:val="left"/>
      </w:pPr>
      <w:r w:rsidRPr="00D307CD">
        <w:t xml:space="preserve"> </w:t>
      </w:r>
      <w:bookmarkStart w:id="719" w:name="_Toc153545065"/>
      <w:r w:rsidR="00C23BD9" w:rsidRPr="00C23BD9">
        <w:t>Annex: LIST OF PROJECTS FROM INFRASTRUCTURE PLAN</w:t>
      </w:r>
      <w:bookmarkEnd w:id="719"/>
    </w:p>
    <w:p w14:paraId="71F9954A" w14:textId="2F8B07CD" w:rsidR="001839EB" w:rsidRDefault="001839EB" w:rsidP="0087794A">
      <w:pPr>
        <w:pStyle w:val="Caption"/>
        <w:keepNext/>
        <w:jc w:val="both"/>
      </w:pPr>
      <w:bookmarkStart w:id="720" w:name="_Toc153545093"/>
      <w:r>
        <w:t xml:space="preserve">Table </w:t>
      </w:r>
      <w:r w:rsidR="006E0533">
        <w:fldChar w:fldCharType="begin"/>
      </w:r>
      <w:r w:rsidR="006E0533">
        <w:instrText xml:space="preserve"> STYLEREF 1 \s </w:instrText>
      </w:r>
      <w:r w:rsidR="006E0533">
        <w:fldChar w:fldCharType="separate"/>
      </w:r>
      <w:r w:rsidR="00A84B9C">
        <w:rPr>
          <w:noProof/>
        </w:rPr>
        <w:t>IV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r>
        <w:t xml:space="preserve">: </w:t>
      </w:r>
      <w:r w:rsidRPr="001839EB">
        <w:t>Table of additional Projects from the Infrastructure Development Plan of the Republic Serbia</w:t>
      </w:r>
      <w:bookmarkEnd w:id="720"/>
    </w:p>
    <w:tbl>
      <w:tblPr>
        <w:tblStyle w:val="TableGrid"/>
        <w:tblW w:w="9623" w:type="dxa"/>
        <w:tblInd w:w="-5" w:type="dxa"/>
        <w:tblLook w:val="04A0" w:firstRow="1" w:lastRow="0" w:firstColumn="1" w:lastColumn="0" w:noHBand="0" w:noVBand="1"/>
      </w:tblPr>
      <w:tblGrid>
        <w:gridCol w:w="1359"/>
        <w:gridCol w:w="4766"/>
        <w:gridCol w:w="1266"/>
        <w:gridCol w:w="1127"/>
        <w:gridCol w:w="1105"/>
      </w:tblGrid>
      <w:tr w:rsidR="00C23BD9" w14:paraId="0302A0AB" w14:textId="77777777" w:rsidTr="000007D2">
        <w:trPr>
          <w:trHeight w:val="839"/>
        </w:trPr>
        <w:tc>
          <w:tcPr>
            <w:tcW w:w="1359" w:type="dxa"/>
            <w:shd w:val="clear" w:color="auto" w:fill="404040"/>
            <w:vAlign w:val="center"/>
          </w:tcPr>
          <w:p w14:paraId="01C8FEED" w14:textId="77777777" w:rsidR="00C23BD9" w:rsidRPr="000007D2" w:rsidRDefault="00C23BD9" w:rsidP="000007D2">
            <w:pPr>
              <w:spacing w:after="0" w:line="240" w:lineRule="auto"/>
              <w:jc w:val="center"/>
              <w:rPr>
                <w:rFonts w:ascii="Calibri Light" w:hAnsi="Calibri Light" w:cs="Calibri Light"/>
                <w:color w:val="FFFFFF" w:themeColor="background1"/>
              </w:rPr>
            </w:pPr>
            <w:bookmarkStart w:id="721" w:name="_Hlk148954357"/>
            <w:r w:rsidRPr="000007D2">
              <w:rPr>
                <w:rFonts w:ascii="Calibri Light" w:hAnsi="Calibri Light" w:cs="Calibri Light"/>
                <w:color w:val="FFFFFF" w:themeColor="background1"/>
              </w:rPr>
              <w:t>Sector</w:t>
            </w:r>
          </w:p>
        </w:tc>
        <w:tc>
          <w:tcPr>
            <w:tcW w:w="4766" w:type="dxa"/>
            <w:shd w:val="clear" w:color="auto" w:fill="1F497D"/>
            <w:vAlign w:val="center"/>
          </w:tcPr>
          <w:p w14:paraId="16E886A4" w14:textId="77777777" w:rsidR="00C23BD9" w:rsidRPr="000007D2" w:rsidRDefault="00C23BD9"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Project</w:t>
            </w:r>
          </w:p>
        </w:tc>
        <w:tc>
          <w:tcPr>
            <w:tcW w:w="1266" w:type="dxa"/>
            <w:shd w:val="clear" w:color="auto" w:fill="1F497D"/>
            <w:vAlign w:val="center"/>
          </w:tcPr>
          <w:p w14:paraId="7182126D" w14:textId="77777777" w:rsidR="00C23BD9" w:rsidRPr="000007D2" w:rsidRDefault="00C23BD9"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Estimated Completion Date</w:t>
            </w:r>
          </w:p>
        </w:tc>
        <w:tc>
          <w:tcPr>
            <w:tcW w:w="1127" w:type="dxa"/>
            <w:shd w:val="clear" w:color="auto" w:fill="1F497D"/>
            <w:vAlign w:val="center"/>
          </w:tcPr>
          <w:p w14:paraId="2609D011" w14:textId="77777777" w:rsidR="00C23BD9" w:rsidRPr="000007D2" w:rsidRDefault="00C23BD9"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Estimated Cost (€m) – 2030</w:t>
            </w:r>
          </w:p>
        </w:tc>
        <w:tc>
          <w:tcPr>
            <w:tcW w:w="1105" w:type="dxa"/>
            <w:shd w:val="clear" w:color="auto" w:fill="1F497D"/>
            <w:vAlign w:val="center"/>
          </w:tcPr>
          <w:p w14:paraId="617FE860" w14:textId="77777777" w:rsidR="00C23BD9" w:rsidRPr="000007D2" w:rsidRDefault="00C23BD9"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Estimated Cost (€m) - 2050</w:t>
            </w:r>
          </w:p>
        </w:tc>
      </w:tr>
      <w:tr w:rsidR="00C23BD9" w14:paraId="13B9D5FB" w14:textId="77777777" w:rsidTr="000007D2">
        <w:trPr>
          <w:trHeight w:val="853"/>
        </w:trPr>
        <w:tc>
          <w:tcPr>
            <w:tcW w:w="1359" w:type="dxa"/>
            <w:vMerge w:val="restart"/>
            <w:shd w:val="clear" w:color="auto" w:fill="E7E6E6"/>
            <w:vAlign w:val="center"/>
          </w:tcPr>
          <w:p w14:paraId="16DA61EB"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Generation</w:t>
            </w:r>
          </w:p>
        </w:tc>
        <w:tc>
          <w:tcPr>
            <w:tcW w:w="4766" w:type="dxa"/>
          </w:tcPr>
          <w:p w14:paraId="52EB24C7" w14:textId="77777777" w:rsidR="00C23BD9" w:rsidRPr="000007D2" w:rsidRDefault="00C23BD9" w:rsidP="007F4A03">
            <w:pPr>
              <w:tabs>
                <w:tab w:val="left" w:pos="1830"/>
              </w:tabs>
              <w:rPr>
                <w:rFonts w:ascii="Calibri Light" w:hAnsi="Calibri Light" w:cs="Calibri Light"/>
                <w:color w:val="000000" w:themeColor="text1"/>
                <w:lang w:val="sr-Cyrl-RS"/>
              </w:rPr>
            </w:pPr>
            <w:r w:rsidRPr="000007D2">
              <w:rPr>
                <w:rFonts w:ascii="Calibri Light" w:hAnsi="Calibri Light" w:cs="Calibri Light"/>
                <w:color w:val="000000" w:themeColor="text1"/>
              </w:rPr>
              <w:t>Refurbishment of existing Thermal Power Plants (TENT A1, TENT A2, TEKO A1, TEKO A2, TEKO B1, TEKO B2, TENT A A3-A6, TENT A5)</w:t>
            </w:r>
          </w:p>
        </w:tc>
        <w:tc>
          <w:tcPr>
            <w:tcW w:w="1266" w:type="dxa"/>
            <w:vAlign w:val="center"/>
          </w:tcPr>
          <w:p w14:paraId="21EEBDD0"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1127" w:type="dxa"/>
            <w:vAlign w:val="center"/>
          </w:tcPr>
          <w:p w14:paraId="5EF48E08"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2.000</w:t>
            </w:r>
          </w:p>
        </w:tc>
        <w:tc>
          <w:tcPr>
            <w:tcW w:w="1105" w:type="dxa"/>
            <w:vAlign w:val="center"/>
          </w:tcPr>
          <w:p w14:paraId="66F9AEF5"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14:paraId="1721726A" w14:textId="77777777" w:rsidTr="000007D2">
        <w:trPr>
          <w:trHeight w:val="143"/>
        </w:trPr>
        <w:tc>
          <w:tcPr>
            <w:tcW w:w="1359" w:type="dxa"/>
            <w:vMerge/>
            <w:shd w:val="clear" w:color="auto" w:fill="E7E6E6"/>
          </w:tcPr>
          <w:p w14:paraId="5B52C404"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1136B262"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Refurbishment of existing Hydro Power Plants (Djerdap 2, Vlasinska, Potpe</w:t>
            </w:r>
            <w:r w:rsidR="006E40AA">
              <w:rPr>
                <w:rFonts w:ascii="Calibri Light" w:hAnsi="Calibri Light" w:cs="Calibri Light"/>
                <w:color w:val="000000" w:themeColor="text1"/>
              </w:rPr>
              <w:t>c</w:t>
            </w:r>
            <w:r w:rsidRPr="000007D2">
              <w:rPr>
                <w:rFonts w:ascii="Calibri Light" w:hAnsi="Calibri Light" w:cs="Calibri Light"/>
                <w:color w:val="000000" w:themeColor="text1"/>
              </w:rPr>
              <w:t>, Bistrica)</w:t>
            </w:r>
          </w:p>
        </w:tc>
        <w:tc>
          <w:tcPr>
            <w:tcW w:w="1266" w:type="dxa"/>
            <w:vAlign w:val="center"/>
          </w:tcPr>
          <w:p w14:paraId="7A6626C6"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2035</w:t>
            </w:r>
          </w:p>
        </w:tc>
        <w:tc>
          <w:tcPr>
            <w:tcW w:w="1127" w:type="dxa"/>
            <w:vAlign w:val="center"/>
          </w:tcPr>
          <w:p w14:paraId="3BEA7D94" w14:textId="77777777" w:rsidR="00C23BD9" w:rsidRPr="000007D2" w:rsidRDefault="00C23BD9" w:rsidP="000007D2">
            <w:pPr>
              <w:tabs>
                <w:tab w:val="left" w:pos="1830"/>
              </w:tabs>
              <w:jc w:val="center"/>
              <w:rPr>
                <w:rFonts w:ascii="Calibri Light" w:hAnsi="Calibri Light" w:cs="Calibri Light"/>
                <w:color w:val="000000" w:themeColor="text1"/>
              </w:rPr>
            </w:pPr>
          </w:p>
        </w:tc>
        <w:tc>
          <w:tcPr>
            <w:tcW w:w="1105" w:type="dxa"/>
            <w:vAlign w:val="center"/>
          </w:tcPr>
          <w:p w14:paraId="2DE07627"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369</w:t>
            </w:r>
          </w:p>
        </w:tc>
      </w:tr>
      <w:tr w:rsidR="00C23BD9" w14:paraId="39B9DBE9" w14:textId="77777777" w:rsidTr="000007D2">
        <w:trPr>
          <w:trHeight w:val="143"/>
        </w:trPr>
        <w:tc>
          <w:tcPr>
            <w:tcW w:w="1359" w:type="dxa"/>
            <w:vMerge/>
            <w:shd w:val="clear" w:color="auto" w:fill="E7E6E6"/>
          </w:tcPr>
          <w:p w14:paraId="792F017B"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1B58B5A3"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New Pumped Storage Djerdap 3 of 1800MW</w:t>
            </w:r>
          </w:p>
        </w:tc>
        <w:tc>
          <w:tcPr>
            <w:tcW w:w="1266" w:type="dxa"/>
            <w:vAlign w:val="center"/>
          </w:tcPr>
          <w:p w14:paraId="353CDBB3"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2038</w:t>
            </w:r>
          </w:p>
        </w:tc>
        <w:tc>
          <w:tcPr>
            <w:tcW w:w="1127" w:type="dxa"/>
            <w:vAlign w:val="center"/>
          </w:tcPr>
          <w:p w14:paraId="7AC51F51" w14:textId="77777777" w:rsidR="00C23BD9" w:rsidRPr="000007D2" w:rsidRDefault="00C23BD9" w:rsidP="000007D2">
            <w:pPr>
              <w:tabs>
                <w:tab w:val="left" w:pos="1830"/>
              </w:tabs>
              <w:jc w:val="center"/>
              <w:rPr>
                <w:rFonts w:ascii="Calibri Light" w:hAnsi="Calibri Light" w:cs="Calibri Light"/>
                <w:color w:val="000000" w:themeColor="text1"/>
              </w:rPr>
            </w:pPr>
          </w:p>
        </w:tc>
        <w:tc>
          <w:tcPr>
            <w:tcW w:w="1105" w:type="dxa"/>
            <w:vAlign w:val="center"/>
          </w:tcPr>
          <w:p w14:paraId="774F5697"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1.400</w:t>
            </w:r>
          </w:p>
        </w:tc>
      </w:tr>
      <w:tr w:rsidR="00C23BD9" w14:paraId="4572356D" w14:textId="77777777" w:rsidTr="000007D2">
        <w:trPr>
          <w:trHeight w:val="143"/>
        </w:trPr>
        <w:tc>
          <w:tcPr>
            <w:tcW w:w="1359" w:type="dxa"/>
            <w:vMerge/>
            <w:shd w:val="clear" w:color="auto" w:fill="E7E6E6"/>
          </w:tcPr>
          <w:p w14:paraId="2A3659A1"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0219431E" w14:textId="579FBCC0" w:rsidR="00C23BD9" w:rsidRPr="000007D2" w:rsidRDefault="00C23BD9" w:rsidP="007F4A03">
            <w:pPr>
              <w:tabs>
                <w:tab w:val="left" w:pos="1830"/>
              </w:tabs>
              <w:rPr>
                <w:rFonts w:ascii="Calibri Light" w:hAnsi="Calibri Light" w:cs="Calibri Light"/>
                <w:color w:val="000000" w:themeColor="text1"/>
                <w:lang w:val="en-US"/>
              </w:rPr>
            </w:pPr>
            <w:r w:rsidRPr="000007D2">
              <w:rPr>
                <w:rFonts w:ascii="Calibri Light" w:hAnsi="Calibri Light" w:cs="Calibri Light"/>
                <w:color w:val="000000" w:themeColor="text1"/>
              </w:rPr>
              <w:t>Construction of self-balanced solar power plants – Battery storage systems up to 400 MW</w:t>
            </w:r>
            <w:r w:rsidR="00CD26DD">
              <w:rPr>
                <w:rFonts w:ascii="Calibri Light" w:hAnsi="Calibri Light" w:cs="Calibri Light"/>
                <w:color w:val="000000" w:themeColor="text1"/>
                <w:lang w:val="sr-Cyrl-RS"/>
              </w:rPr>
              <w:t>.</w:t>
            </w:r>
            <w:r w:rsidR="00CD26DD">
              <w:rPr>
                <w:rFonts w:ascii="Calibri Light" w:hAnsi="Calibri Light" w:cs="Calibri Light"/>
                <w:color w:val="000000" w:themeColor="text1"/>
                <w:lang w:val="sr-Latn-RS"/>
              </w:rPr>
              <w:t xml:space="preserve"> </w:t>
            </w:r>
            <w:r w:rsidR="00CD26DD">
              <w:rPr>
                <w:rFonts w:ascii="Calibri Light" w:hAnsi="Calibri Light" w:cs="Calibri Light"/>
                <w:color w:val="000000" w:themeColor="text1"/>
                <w:lang w:val="en-US"/>
              </w:rPr>
              <w:t>Estimated cost is for the battery system</w:t>
            </w:r>
          </w:p>
        </w:tc>
        <w:tc>
          <w:tcPr>
            <w:tcW w:w="1266" w:type="dxa"/>
            <w:vAlign w:val="center"/>
          </w:tcPr>
          <w:p w14:paraId="1E309045"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2028</w:t>
            </w:r>
          </w:p>
        </w:tc>
        <w:tc>
          <w:tcPr>
            <w:tcW w:w="1127" w:type="dxa"/>
            <w:vAlign w:val="center"/>
          </w:tcPr>
          <w:p w14:paraId="481B6DA7"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350</w:t>
            </w:r>
          </w:p>
        </w:tc>
        <w:tc>
          <w:tcPr>
            <w:tcW w:w="1105" w:type="dxa"/>
            <w:vAlign w:val="center"/>
          </w:tcPr>
          <w:p w14:paraId="5F4A6E31"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14:paraId="734C43AE" w14:textId="77777777" w:rsidTr="000007D2">
        <w:trPr>
          <w:trHeight w:val="143"/>
        </w:trPr>
        <w:tc>
          <w:tcPr>
            <w:tcW w:w="1359" w:type="dxa"/>
            <w:vMerge/>
            <w:shd w:val="clear" w:color="auto" w:fill="E7E6E6"/>
          </w:tcPr>
          <w:p w14:paraId="49787874"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2DB1DC86"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Natural gas plant in Nis of 150 MW</w:t>
            </w:r>
          </w:p>
        </w:tc>
        <w:tc>
          <w:tcPr>
            <w:tcW w:w="1266" w:type="dxa"/>
            <w:vAlign w:val="center"/>
          </w:tcPr>
          <w:p w14:paraId="1B65C71D"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1127" w:type="dxa"/>
            <w:vAlign w:val="center"/>
          </w:tcPr>
          <w:p w14:paraId="2A94737C"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250</w:t>
            </w:r>
          </w:p>
        </w:tc>
        <w:tc>
          <w:tcPr>
            <w:tcW w:w="1105" w:type="dxa"/>
            <w:vAlign w:val="center"/>
          </w:tcPr>
          <w:p w14:paraId="1C1F2E9F"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350FAF" w14:paraId="25B0207D" w14:textId="77777777" w:rsidTr="000007D2">
        <w:trPr>
          <w:trHeight w:val="366"/>
        </w:trPr>
        <w:tc>
          <w:tcPr>
            <w:tcW w:w="1359" w:type="dxa"/>
            <w:vMerge w:val="restart"/>
            <w:shd w:val="clear" w:color="auto" w:fill="E7E6E6"/>
            <w:vAlign w:val="center"/>
          </w:tcPr>
          <w:p w14:paraId="4FCD53B6"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Transmission</w:t>
            </w:r>
          </w:p>
        </w:tc>
        <w:tc>
          <w:tcPr>
            <w:tcW w:w="4766" w:type="dxa"/>
          </w:tcPr>
          <w:p w14:paraId="13113D5E" w14:textId="77777777" w:rsidR="00C23BD9" w:rsidRPr="005B2C66" w:rsidRDefault="00C23BD9" w:rsidP="007F4A03">
            <w:pPr>
              <w:tabs>
                <w:tab w:val="left" w:pos="1830"/>
              </w:tabs>
              <w:rPr>
                <w:rFonts w:ascii="Calibri Light" w:hAnsi="Calibri Light" w:cs="Calibri Light"/>
                <w:color w:val="000000" w:themeColor="text1"/>
                <w:lang w:val="pt-PT"/>
              </w:rPr>
            </w:pPr>
            <w:r w:rsidRPr="005B2C66">
              <w:rPr>
                <w:rFonts w:ascii="Calibri Light" w:hAnsi="Calibri Light" w:cs="Calibri Light"/>
                <w:color w:val="000000" w:themeColor="text1"/>
                <w:lang w:val="pt-PT"/>
              </w:rPr>
              <w:t>2x400kV TS Jagodina - TS Pozarevac</w:t>
            </w:r>
          </w:p>
        </w:tc>
        <w:tc>
          <w:tcPr>
            <w:tcW w:w="1266" w:type="dxa"/>
            <w:vAlign w:val="center"/>
          </w:tcPr>
          <w:p w14:paraId="176C073B"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1127" w:type="dxa"/>
            <w:vAlign w:val="center"/>
          </w:tcPr>
          <w:p w14:paraId="265E323C"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56</w:t>
            </w:r>
          </w:p>
        </w:tc>
        <w:tc>
          <w:tcPr>
            <w:tcW w:w="1105" w:type="dxa"/>
            <w:vAlign w:val="center"/>
          </w:tcPr>
          <w:p w14:paraId="06B9EC6F"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432BC3BE" w14:textId="77777777" w:rsidTr="000007D2">
        <w:trPr>
          <w:trHeight w:val="143"/>
        </w:trPr>
        <w:tc>
          <w:tcPr>
            <w:tcW w:w="1359" w:type="dxa"/>
            <w:vMerge/>
            <w:shd w:val="clear" w:color="auto" w:fill="E7E6E6"/>
          </w:tcPr>
          <w:p w14:paraId="70DB1DCB"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2112F267"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Increasing the capacity of the Bor region (TS 400/110kV, 400kV OHL)</w:t>
            </w:r>
          </w:p>
        </w:tc>
        <w:tc>
          <w:tcPr>
            <w:tcW w:w="1266" w:type="dxa"/>
            <w:vAlign w:val="center"/>
          </w:tcPr>
          <w:p w14:paraId="6EEA246B"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2025</w:t>
            </w:r>
          </w:p>
        </w:tc>
        <w:tc>
          <w:tcPr>
            <w:tcW w:w="1127" w:type="dxa"/>
            <w:vAlign w:val="center"/>
          </w:tcPr>
          <w:p w14:paraId="27841642"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61</w:t>
            </w:r>
          </w:p>
        </w:tc>
        <w:tc>
          <w:tcPr>
            <w:tcW w:w="1105" w:type="dxa"/>
            <w:vAlign w:val="center"/>
          </w:tcPr>
          <w:p w14:paraId="11569F59"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1F75740E" w14:textId="77777777" w:rsidTr="000007D2">
        <w:trPr>
          <w:trHeight w:val="366"/>
        </w:trPr>
        <w:tc>
          <w:tcPr>
            <w:tcW w:w="1359" w:type="dxa"/>
            <w:vMerge w:val="restart"/>
            <w:shd w:val="clear" w:color="auto" w:fill="E7E6E6"/>
            <w:vAlign w:val="center"/>
          </w:tcPr>
          <w:p w14:paraId="01012286"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Distribution</w:t>
            </w:r>
          </w:p>
        </w:tc>
        <w:tc>
          <w:tcPr>
            <w:tcW w:w="4766" w:type="dxa"/>
          </w:tcPr>
          <w:p w14:paraId="239621A2"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Automation of MV network</w:t>
            </w:r>
          </w:p>
        </w:tc>
        <w:tc>
          <w:tcPr>
            <w:tcW w:w="1266" w:type="dxa"/>
            <w:vAlign w:val="center"/>
          </w:tcPr>
          <w:p w14:paraId="51950B1C"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1127" w:type="dxa"/>
            <w:vAlign w:val="center"/>
          </w:tcPr>
          <w:p w14:paraId="5DD80C8C"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144</w:t>
            </w:r>
          </w:p>
        </w:tc>
        <w:tc>
          <w:tcPr>
            <w:tcW w:w="1105" w:type="dxa"/>
            <w:vAlign w:val="center"/>
          </w:tcPr>
          <w:p w14:paraId="44663113"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7E7419E7" w14:textId="77777777" w:rsidTr="000007D2">
        <w:trPr>
          <w:trHeight w:val="143"/>
        </w:trPr>
        <w:tc>
          <w:tcPr>
            <w:tcW w:w="1359" w:type="dxa"/>
            <w:vMerge/>
            <w:shd w:val="clear" w:color="auto" w:fill="E7E6E6"/>
          </w:tcPr>
          <w:p w14:paraId="77F201DE"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1A3E981D"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Smart meters</w:t>
            </w:r>
          </w:p>
        </w:tc>
        <w:tc>
          <w:tcPr>
            <w:tcW w:w="1266" w:type="dxa"/>
            <w:vAlign w:val="center"/>
          </w:tcPr>
          <w:p w14:paraId="6E5E4AC0"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2029</w:t>
            </w:r>
          </w:p>
        </w:tc>
        <w:tc>
          <w:tcPr>
            <w:tcW w:w="1127" w:type="dxa"/>
            <w:vAlign w:val="center"/>
          </w:tcPr>
          <w:p w14:paraId="3266AD20"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505</w:t>
            </w:r>
          </w:p>
        </w:tc>
        <w:tc>
          <w:tcPr>
            <w:tcW w:w="1105" w:type="dxa"/>
            <w:vAlign w:val="center"/>
          </w:tcPr>
          <w:p w14:paraId="280C6464"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45CF0C4C" w14:textId="77777777" w:rsidTr="000007D2">
        <w:trPr>
          <w:trHeight w:val="143"/>
        </w:trPr>
        <w:tc>
          <w:tcPr>
            <w:tcW w:w="1359" w:type="dxa"/>
            <w:vMerge/>
            <w:shd w:val="clear" w:color="auto" w:fill="E7E6E6"/>
          </w:tcPr>
          <w:p w14:paraId="4712C15B"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3590A570"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Remote monitoring</w:t>
            </w:r>
          </w:p>
        </w:tc>
        <w:tc>
          <w:tcPr>
            <w:tcW w:w="1266" w:type="dxa"/>
            <w:vAlign w:val="center"/>
          </w:tcPr>
          <w:p w14:paraId="09278A50"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1127" w:type="dxa"/>
            <w:vAlign w:val="center"/>
          </w:tcPr>
          <w:p w14:paraId="4CF1E39F"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80</w:t>
            </w:r>
          </w:p>
        </w:tc>
        <w:tc>
          <w:tcPr>
            <w:tcW w:w="1105" w:type="dxa"/>
            <w:vAlign w:val="center"/>
          </w:tcPr>
          <w:p w14:paraId="76B62C51"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3EE18A06" w14:textId="77777777" w:rsidTr="000007D2">
        <w:trPr>
          <w:trHeight w:val="143"/>
        </w:trPr>
        <w:tc>
          <w:tcPr>
            <w:tcW w:w="1359" w:type="dxa"/>
            <w:vMerge/>
            <w:shd w:val="clear" w:color="auto" w:fill="E7E6E6"/>
          </w:tcPr>
          <w:p w14:paraId="3317969A"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2AF9675D"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Updating measurement systems AMI, AMM and MDM/R</w:t>
            </w:r>
          </w:p>
        </w:tc>
        <w:tc>
          <w:tcPr>
            <w:tcW w:w="1266" w:type="dxa"/>
            <w:vAlign w:val="center"/>
          </w:tcPr>
          <w:p w14:paraId="3CFF3752"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2029</w:t>
            </w:r>
          </w:p>
        </w:tc>
        <w:tc>
          <w:tcPr>
            <w:tcW w:w="1127" w:type="dxa"/>
            <w:vAlign w:val="center"/>
          </w:tcPr>
          <w:p w14:paraId="25FA2B25"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511</w:t>
            </w:r>
          </w:p>
        </w:tc>
        <w:tc>
          <w:tcPr>
            <w:tcW w:w="1105" w:type="dxa"/>
            <w:vAlign w:val="center"/>
          </w:tcPr>
          <w:p w14:paraId="0955E291"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6A5B6852" w14:textId="77777777" w:rsidTr="000007D2">
        <w:trPr>
          <w:trHeight w:val="143"/>
        </w:trPr>
        <w:tc>
          <w:tcPr>
            <w:tcW w:w="1359" w:type="dxa"/>
            <w:vMerge/>
            <w:shd w:val="clear" w:color="auto" w:fill="E7E6E6"/>
          </w:tcPr>
          <w:p w14:paraId="6D78EE9B"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536695C3"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Refurbishment &amp; Upgrade of various parts and equipment</w:t>
            </w:r>
          </w:p>
        </w:tc>
        <w:tc>
          <w:tcPr>
            <w:tcW w:w="1266" w:type="dxa"/>
            <w:vAlign w:val="center"/>
          </w:tcPr>
          <w:p w14:paraId="218C3195"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1127" w:type="dxa"/>
            <w:vAlign w:val="center"/>
          </w:tcPr>
          <w:p w14:paraId="1A56EF82"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602</w:t>
            </w:r>
          </w:p>
        </w:tc>
        <w:tc>
          <w:tcPr>
            <w:tcW w:w="1105" w:type="dxa"/>
            <w:vAlign w:val="center"/>
          </w:tcPr>
          <w:p w14:paraId="142F018E"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1B328354" w14:textId="77777777" w:rsidTr="000007D2">
        <w:trPr>
          <w:trHeight w:val="379"/>
        </w:trPr>
        <w:tc>
          <w:tcPr>
            <w:tcW w:w="1359" w:type="dxa"/>
            <w:vMerge w:val="restart"/>
            <w:shd w:val="clear" w:color="auto" w:fill="E7E6E6"/>
            <w:vAlign w:val="center"/>
          </w:tcPr>
          <w:p w14:paraId="4FBDF36C"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Natural gas sector</w:t>
            </w:r>
          </w:p>
        </w:tc>
        <w:tc>
          <w:tcPr>
            <w:tcW w:w="4766" w:type="dxa"/>
          </w:tcPr>
          <w:p w14:paraId="453043B6"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Underground storage sites in Itebej and Tilva</w:t>
            </w:r>
          </w:p>
        </w:tc>
        <w:tc>
          <w:tcPr>
            <w:tcW w:w="1266" w:type="dxa"/>
            <w:vAlign w:val="center"/>
          </w:tcPr>
          <w:p w14:paraId="67A26FE9"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TBC</w:t>
            </w:r>
          </w:p>
        </w:tc>
        <w:tc>
          <w:tcPr>
            <w:tcW w:w="1127" w:type="dxa"/>
            <w:vAlign w:val="center"/>
          </w:tcPr>
          <w:p w14:paraId="5DAC32D5" w14:textId="77777777" w:rsidR="00C23BD9" w:rsidRPr="000007D2" w:rsidRDefault="00C23BD9" w:rsidP="000007D2">
            <w:pPr>
              <w:tabs>
                <w:tab w:val="left" w:pos="1830"/>
              </w:tabs>
              <w:jc w:val="center"/>
              <w:rPr>
                <w:rFonts w:ascii="Calibri Light" w:hAnsi="Calibri Light" w:cs="Calibri Light"/>
                <w:color w:val="000000" w:themeColor="text1"/>
              </w:rPr>
            </w:pPr>
          </w:p>
        </w:tc>
        <w:tc>
          <w:tcPr>
            <w:tcW w:w="1105" w:type="dxa"/>
            <w:vAlign w:val="center"/>
          </w:tcPr>
          <w:p w14:paraId="3226F284"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240</w:t>
            </w:r>
          </w:p>
        </w:tc>
      </w:tr>
      <w:tr w:rsidR="00C23BD9" w:rsidRPr="00E823E4" w14:paraId="75A5CD9D" w14:textId="77777777" w:rsidTr="000007D2">
        <w:trPr>
          <w:trHeight w:val="143"/>
        </w:trPr>
        <w:tc>
          <w:tcPr>
            <w:tcW w:w="1359" w:type="dxa"/>
            <w:vMerge/>
            <w:shd w:val="clear" w:color="auto" w:fill="E7E6E6"/>
          </w:tcPr>
          <w:p w14:paraId="7BE4EB07"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1819709E"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Gas pipelines (transmission and distribution)</w:t>
            </w:r>
          </w:p>
        </w:tc>
        <w:tc>
          <w:tcPr>
            <w:tcW w:w="1266" w:type="dxa"/>
            <w:vAlign w:val="center"/>
          </w:tcPr>
          <w:p w14:paraId="230227A8"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TBC</w:t>
            </w:r>
          </w:p>
        </w:tc>
        <w:tc>
          <w:tcPr>
            <w:tcW w:w="1127" w:type="dxa"/>
            <w:vAlign w:val="center"/>
          </w:tcPr>
          <w:p w14:paraId="24B80BBC" w14:textId="77777777" w:rsidR="00C23BD9" w:rsidRPr="000007D2" w:rsidRDefault="00C23BD9" w:rsidP="000007D2">
            <w:pPr>
              <w:tabs>
                <w:tab w:val="left" w:pos="1830"/>
              </w:tabs>
              <w:jc w:val="center"/>
              <w:rPr>
                <w:rFonts w:ascii="Calibri Light" w:hAnsi="Calibri Light" w:cs="Calibri Light"/>
                <w:color w:val="000000" w:themeColor="text1"/>
              </w:rPr>
            </w:pPr>
          </w:p>
        </w:tc>
        <w:tc>
          <w:tcPr>
            <w:tcW w:w="1105" w:type="dxa"/>
            <w:vAlign w:val="center"/>
          </w:tcPr>
          <w:p w14:paraId="43A6EB83"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990</w:t>
            </w:r>
          </w:p>
        </w:tc>
      </w:tr>
      <w:tr w:rsidR="00C23BD9" w:rsidRPr="00E823E4" w14:paraId="60B58A25" w14:textId="77777777" w:rsidTr="000007D2">
        <w:trPr>
          <w:trHeight w:val="143"/>
        </w:trPr>
        <w:tc>
          <w:tcPr>
            <w:tcW w:w="1359" w:type="dxa"/>
            <w:vMerge/>
            <w:shd w:val="clear" w:color="auto" w:fill="E7E6E6"/>
          </w:tcPr>
          <w:p w14:paraId="74CDF5BF"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1C598804"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Gasification of regions (P</w:t>
            </w:r>
            <w:r w:rsidR="00857A30">
              <w:rPr>
                <w:rFonts w:ascii="Calibri Light" w:hAnsi="Calibri Light" w:cs="Calibri Light"/>
                <w:color w:val="000000" w:themeColor="text1"/>
                <w:lang w:val="sr-Latn-RS"/>
              </w:rPr>
              <w:t>i</w:t>
            </w:r>
            <w:r w:rsidRPr="000007D2">
              <w:rPr>
                <w:rFonts w:ascii="Calibri Light" w:hAnsi="Calibri Light" w:cs="Calibri Light"/>
                <w:color w:val="000000" w:themeColor="text1"/>
              </w:rPr>
              <w:t>rot, Vranje, Leskovac, Aleksandrovac</w:t>
            </w:r>
            <w:r w:rsidR="00857A30">
              <w:rPr>
                <w:rFonts w:ascii="Calibri Light" w:hAnsi="Calibri Light" w:cs="Calibri Light"/>
                <w:color w:val="000000" w:themeColor="text1"/>
              </w:rPr>
              <w:t xml:space="preserve"> - Tutin</w:t>
            </w:r>
            <w:r w:rsidRPr="000007D2">
              <w:rPr>
                <w:rFonts w:ascii="Calibri Light" w:hAnsi="Calibri Light" w:cs="Calibri Light"/>
                <w:color w:val="000000" w:themeColor="text1"/>
              </w:rPr>
              <w:t>)</w:t>
            </w:r>
          </w:p>
        </w:tc>
        <w:tc>
          <w:tcPr>
            <w:tcW w:w="1266" w:type="dxa"/>
            <w:vAlign w:val="center"/>
          </w:tcPr>
          <w:p w14:paraId="31C3BD06"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TBC</w:t>
            </w:r>
          </w:p>
        </w:tc>
        <w:tc>
          <w:tcPr>
            <w:tcW w:w="1127" w:type="dxa"/>
            <w:vAlign w:val="center"/>
          </w:tcPr>
          <w:p w14:paraId="3D37522B" w14:textId="77777777" w:rsidR="00C23BD9" w:rsidRPr="000007D2" w:rsidRDefault="00C23BD9" w:rsidP="000007D2">
            <w:pPr>
              <w:tabs>
                <w:tab w:val="left" w:pos="1830"/>
              </w:tabs>
              <w:jc w:val="center"/>
              <w:rPr>
                <w:rFonts w:ascii="Calibri Light" w:hAnsi="Calibri Light" w:cs="Calibri Light"/>
                <w:color w:val="000000" w:themeColor="text1"/>
              </w:rPr>
            </w:pPr>
          </w:p>
        </w:tc>
        <w:tc>
          <w:tcPr>
            <w:tcW w:w="1105" w:type="dxa"/>
            <w:vAlign w:val="center"/>
          </w:tcPr>
          <w:p w14:paraId="0E57FDF0"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137</w:t>
            </w:r>
          </w:p>
        </w:tc>
      </w:tr>
      <w:tr w:rsidR="00C23BD9" w:rsidRPr="00E823E4" w14:paraId="458F403B" w14:textId="77777777" w:rsidTr="000007D2">
        <w:trPr>
          <w:trHeight w:val="379"/>
        </w:trPr>
        <w:tc>
          <w:tcPr>
            <w:tcW w:w="1359" w:type="dxa"/>
            <w:vMerge w:val="restart"/>
            <w:shd w:val="clear" w:color="auto" w:fill="E7E6E6"/>
            <w:vAlign w:val="center"/>
          </w:tcPr>
          <w:p w14:paraId="2F81A2DB"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Oil sector</w:t>
            </w:r>
          </w:p>
        </w:tc>
        <w:tc>
          <w:tcPr>
            <w:tcW w:w="4766" w:type="dxa"/>
          </w:tcPr>
          <w:p w14:paraId="1B51773D" w14:textId="77777777" w:rsidR="00C23BD9" w:rsidRPr="000007D2" w:rsidRDefault="00C23BD9" w:rsidP="007F4A03">
            <w:pPr>
              <w:rPr>
                <w:rFonts w:ascii="Calibri Light" w:hAnsi="Calibri Light" w:cs="Calibri Light"/>
                <w:color w:val="000000" w:themeColor="text1"/>
                <w:lang w:val="en-US"/>
              </w:rPr>
            </w:pPr>
            <w:r w:rsidRPr="000007D2">
              <w:rPr>
                <w:rFonts w:ascii="Calibri Light" w:hAnsi="Calibri Light" w:cs="Calibri Light"/>
                <w:color w:val="000000" w:themeColor="text1"/>
              </w:rPr>
              <w:t>Pipeline Serbia – Hungary</w:t>
            </w:r>
          </w:p>
        </w:tc>
        <w:tc>
          <w:tcPr>
            <w:tcW w:w="1266" w:type="dxa"/>
            <w:vAlign w:val="center"/>
          </w:tcPr>
          <w:p w14:paraId="1F58242C"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1127" w:type="dxa"/>
            <w:vAlign w:val="center"/>
          </w:tcPr>
          <w:p w14:paraId="13706AA1"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100</w:t>
            </w:r>
          </w:p>
        </w:tc>
        <w:tc>
          <w:tcPr>
            <w:tcW w:w="1105" w:type="dxa"/>
            <w:vAlign w:val="center"/>
          </w:tcPr>
          <w:p w14:paraId="5AB75045"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823E4" w14:paraId="205A1D84" w14:textId="77777777" w:rsidTr="000007D2">
        <w:trPr>
          <w:trHeight w:val="143"/>
        </w:trPr>
        <w:tc>
          <w:tcPr>
            <w:tcW w:w="1359" w:type="dxa"/>
            <w:vMerge/>
            <w:shd w:val="clear" w:color="auto" w:fill="E7E6E6"/>
          </w:tcPr>
          <w:p w14:paraId="239FF71E"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tcPr>
          <w:p w14:paraId="4AD81204"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Storage facility in Kovin</w:t>
            </w:r>
          </w:p>
        </w:tc>
        <w:tc>
          <w:tcPr>
            <w:tcW w:w="1266" w:type="dxa"/>
            <w:vAlign w:val="center"/>
          </w:tcPr>
          <w:p w14:paraId="5E37EE4E"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1127" w:type="dxa"/>
            <w:vAlign w:val="center"/>
          </w:tcPr>
          <w:p w14:paraId="22BE11C9"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23</w:t>
            </w:r>
          </w:p>
        </w:tc>
        <w:tc>
          <w:tcPr>
            <w:tcW w:w="1105" w:type="dxa"/>
            <w:vAlign w:val="center"/>
          </w:tcPr>
          <w:p w14:paraId="70BD11A0"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45D16" w14:paraId="779ACB36" w14:textId="77777777" w:rsidTr="000007D2">
        <w:trPr>
          <w:trHeight w:val="1151"/>
        </w:trPr>
        <w:tc>
          <w:tcPr>
            <w:tcW w:w="1359" w:type="dxa"/>
            <w:shd w:val="clear" w:color="auto" w:fill="E7E6E6"/>
          </w:tcPr>
          <w:p w14:paraId="3C2B0421" w14:textId="77777777" w:rsidR="00C23BD9" w:rsidRPr="000007D2" w:rsidRDefault="00C23BD9" w:rsidP="007F4A03">
            <w:pPr>
              <w:tabs>
                <w:tab w:val="left" w:pos="1830"/>
              </w:tabs>
              <w:rPr>
                <w:rFonts w:ascii="Calibri Light" w:hAnsi="Calibri Light" w:cs="Calibri Light"/>
                <w:color w:val="000000" w:themeColor="text1"/>
              </w:rPr>
            </w:pPr>
            <w:r w:rsidRPr="000007D2">
              <w:rPr>
                <w:rFonts w:ascii="Calibri Light" w:hAnsi="Calibri Light" w:cs="Calibri Light"/>
                <w:color w:val="000000" w:themeColor="text1"/>
              </w:rPr>
              <w:t>Heating Sector</w:t>
            </w:r>
          </w:p>
        </w:tc>
        <w:tc>
          <w:tcPr>
            <w:tcW w:w="4766" w:type="dxa"/>
          </w:tcPr>
          <w:p w14:paraId="594A4226" w14:textId="77777777" w:rsidR="00C23BD9" w:rsidRPr="000007D2" w:rsidRDefault="00C23BD9" w:rsidP="007F4A03">
            <w:pPr>
              <w:rPr>
                <w:rFonts w:ascii="Calibri Light" w:hAnsi="Calibri Light" w:cs="Calibri Light"/>
                <w:color w:val="000000" w:themeColor="text1"/>
              </w:rPr>
            </w:pPr>
            <w:r w:rsidRPr="000007D2">
              <w:rPr>
                <w:rFonts w:ascii="Calibri Light" w:hAnsi="Calibri Light" w:cs="Calibri Light"/>
                <w:color w:val="000000" w:themeColor="text1"/>
              </w:rPr>
              <w:t>Encouraging the development of renewable energy - development of the biomass market in Serbia, phase II (2024-28). (Funds will be provided by KfW from a loan of 20 million and 10 million from a grant)</w:t>
            </w:r>
          </w:p>
        </w:tc>
        <w:tc>
          <w:tcPr>
            <w:tcW w:w="1266" w:type="dxa"/>
            <w:vAlign w:val="center"/>
          </w:tcPr>
          <w:p w14:paraId="10D895AE" w14:textId="77777777" w:rsidR="00C23BD9" w:rsidRPr="000007D2" w:rsidRDefault="00C23BD9" w:rsidP="007F4A03">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2028</w:t>
            </w:r>
          </w:p>
        </w:tc>
        <w:tc>
          <w:tcPr>
            <w:tcW w:w="1127" w:type="dxa"/>
            <w:vAlign w:val="center"/>
          </w:tcPr>
          <w:p w14:paraId="5FF300F0" w14:textId="77777777" w:rsidR="00C23BD9" w:rsidRPr="000007D2" w:rsidRDefault="00C23BD9" w:rsidP="000007D2">
            <w:pPr>
              <w:tabs>
                <w:tab w:val="left" w:pos="1830"/>
              </w:tabs>
              <w:jc w:val="center"/>
              <w:rPr>
                <w:rFonts w:ascii="Calibri Light" w:hAnsi="Calibri Light" w:cs="Calibri Light"/>
                <w:color w:val="000000" w:themeColor="text1"/>
              </w:rPr>
            </w:pPr>
            <w:r w:rsidRPr="000007D2">
              <w:rPr>
                <w:rFonts w:ascii="Calibri Light" w:hAnsi="Calibri Light" w:cs="Calibri Light"/>
                <w:color w:val="000000" w:themeColor="text1"/>
              </w:rPr>
              <w:t>30</w:t>
            </w:r>
          </w:p>
        </w:tc>
        <w:tc>
          <w:tcPr>
            <w:tcW w:w="1105" w:type="dxa"/>
            <w:vAlign w:val="center"/>
          </w:tcPr>
          <w:p w14:paraId="0877D108" w14:textId="77777777" w:rsidR="00C23BD9" w:rsidRPr="000007D2" w:rsidRDefault="00C23BD9" w:rsidP="000007D2">
            <w:pPr>
              <w:tabs>
                <w:tab w:val="left" w:pos="1830"/>
              </w:tabs>
              <w:jc w:val="center"/>
              <w:rPr>
                <w:rFonts w:ascii="Calibri Light" w:hAnsi="Calibri Light" w:cs="Calibri Light"/>
                <w:color w:val="000000" w:themeColor="text1"/>
              </w:rPr>
            </w:pPr>
          </w:p>
        </w:tc>
      </w:tr>
      <w:tr w:rsidR="00C23BD9" w:rsidRPr="00E45D16" w14:paraId="2E665380" w14:textId="77777777" w:rsidTr="000007D2">
        <w:trPr>
          <w:trHeight w:val="366"/>
        </w:trPr>
        <w:tc>
          <w:tcPr>
            <w:tcW w:w="1359" w:type="dxa"/>
            <w:shd w:val="clear" w:color="auto" w:fill="E7E6E6"/>
          </w:tcPr>
          <w:p w14:paraId="0872D660" w14:textId="77777777" w:rsidR="00C23BD9" w:rsidRPr="000007D2" w:rsidRDefault="00C23BD9" w:rsidP="007F4A03">
            <w:pPr>
              <w:tabs>
                <w:tab w:val="left" w:pos="1830"/>
              </w:tabs>
              <w:rPr>
                <w:rFonts w:ascii="Calibri Light" w:hAnsi="Calibri Light" w:cs="Calibri Light"/>
                <w:color w:val="000000" w:themeColor="text1"/>
              </w:rPr>
            </w:pPr>
          </w:p>
        </w:tc>
        <w:tc>
          <w:tcPr>
            <w:tcW w:w="4766" w:type="dxa"/>
            <w:shd w:val="clear" w:color="auto" w:fill="E7E6E6"/>
          </w:tcPr>
          <w:p w14:paraId="3896C8D0" w14:textId="77777777" w:rsidR="00C23BD9" w:rsidRPr="000007D2" w:rsidRDefault="00C23BD9" w:rsidP="007F4A03">
            <w:pPr>
              <w:rPr>
                <w:rFonts w:ascii="Calibri Light" w:hAnsi="Calibri Light" w:cs="Calibri Light"/>
                <w:color w:val="000000" w:themeColor="text1"/>
              </w:rPr>
            </w:pPr>
          </w:p>
        </w:tc>
        <w:tc>
          <w:tcPr>
            <w:tcW w:w="1266" w:type="dxa"/>
            <w:shd w:val="clear" w:color="auto" w:fill="E7E6E6"/>
            <w:vAlign w:val="center"/>
          </w:tcPr>
          <w:p w14:paraId="0BA2A649" w14:textId="77777777" w:rsidR="00C23BD9" w:rsidRPr="000007D2" w:rsidRDefault="00C23BD9" w:rsidP="007F4A03">
            <w:pPr>
              <w:tabs>
                <w:tab w:val="left" w:pos="1830"/>
              </w:tabs>
              <w:jc w:val="center"/>
              <w:rPr>
                <w:rFonts w:ascii="Calibri Light" w:hAnsi="Calibri Light" w:cs="Calibri Light"/>
                <w:b/>
                <w:bCs/>
                <w:color w:val="000000" w:themeColor="text1"/>
              </w:rPr>
            </w:pPr>
            <w:r w:rsidRPr="000007D2">
              <w:rPr>
                <w:rFonts w:ascii="Calibri Light" w:hAnsi="Calibri Light" w:cs="Calibri Light"/>
                <w:b/>
                <w:bCs/>
                <w:color w:val="000000" w:themeColor="text1"/>
              </w:rPr>
              <w:t>Total</w:t>
            </w:r>
          </w:p>
        </w:tc>
        <w:tc>
          <w:tcPr>
            <w:tcW w:w="1127" w:type="dxa"/>
            <w:shd w:val="clear" w:color="auto" w:fill="E7E6E6"/>
            <w:vAlign w:val="center"/>
          </w:tcPr>
          <w:p w14:paraId="79D2065F" w14:textId="77777777" w:rsidR="00C23BD9" w:rsidRPr="000007D2" w:rsidRDefault="00C23BD9" w:rsidP="000007D2">
            <w:pPr>
              <w:tabs>
                <w:tab w:val="left" w:pos="1830"/>
              </w:tabs>
              <w:jc w:val="center"/>
              <w:rPr>
                <w:rFonts w:ascii="Calibri Light" w:hAnsi="Calibri Light" w:cs="Calibri Light"/>
                <w:b/>
                <w:bCs/>
                <w:color w:val="000000" w:themeColor="text1"/>
              </w:rPr>
            </w:pPr>
            <w:r w:rsidRPr="000007D2">
              <w:rPr>
                <w:rFonts w:ascii="Calibri Light" w:hAnsi="Calibri Light" w:cs="Calibri Light"/>
                <w:b/>
                <w:bCs/>
                <w:color w:val="000000" w:themeColor="text1"/>
              </w:rPr>
              <w:t>4.712</w:t>
            </w:r>
          </w:p>
        </w:tc>
        <w:tc>
          <w:tcPr>
            <w:tcW w:w="1105" w:type="dxa"/>
            <w:shd w:val="clear" w:color="auto" w:fill="E7E6E6"/>
            <w:vAlign w:val="center"/>
          </w:tcPr>
          <w:p w14:paraId="094B7223" w14:textId="77777777" w:rsidR="00C23BD9" w:rsidRPr="000007D2" w:rsidRDefault="00C23BD9" w:rsidP="000007D2">
            <w:pPr>
              <w:tabs>
                <w:tab w:val="left" w:pos="1830"/>
              </w:tabs>
              <w:jc w:val="center"/>
              <w:rPr>
                <w:rFonts w:ascii="Calibri Light" w:hAnsi="Calibri Light" w:cs="Calibri Light"/>
                <w:b/>
                <w:bCs/>
                <w:color w:val="000000" w:themeColor="text1"/>
              </w:rPr>
            </w:pPr>
            <w:r w:rsidRPr="000007D2">
              <w:rPr>
                <w:rFonts w:ascii="Calibri Light" w:hAnsi="Calibri Light" w:cs="Calibri Light"/>
                <w:b/>
                <w:bCs/>
                <w:color w:val="000000" w:themeColor="text1"/>
              </w:rPr>
              <w:t>3.136</w:t>
            </w:r>
          </w:p>
        </w:tc>
      </w:tr>
      <w:bookmarkEnd w:id="721"/>
    </w:tbl>
    <w:p w14:paraId="269E247A" w14:textId="77777777" w:rsidR="007112F3" w:rsidRDefault="00C23BD9">
      <w:pPr>
        <w:spacing w:line="259" w:lineRule="auto"/>
        <w:rPr>
          <w:rFonts w:ascii="Calibri" w:eastAsia="Times New Roman" w:hAnsi="Calibri" w:cs="Arial"/>
          <w:lang w:eastAsia="el-GR"/>
        </w:rPr>
      </w:pPr>
      <w:r>
        <w:rPr>
          <w:rFonts w:ascii="Calibri" w:eastAsia="Times New Roman" w:hAnsi="Calibri" w:cs="Arial"/>
          <w:lang w:eastAsia="el-GR"/>
        </w:rPr>
        <w:br w:type="page"/>
      </w:r>
    </w:p>
    <w:p w14:paraId="1BEA2108" w14:textId="03E752E4" w:rsidR="007112F3" w:rsidRPr="00A33AE8" w:rsidRDefault="007112F3" w:rsidP="0087794A">
      <w:pPr>
        <w:pStyle w:val="Heading1"/>
        <w:numPr>
          <w:ilvl w:val="0"/>
          <w:numId w:val="349"/>
        </w:numPr>
      </w:pPr>
      <w:bookmarkStart w:id="722" w:name="_Toc153545066"/>
      <w:bookmarkStart w:id="723" w:name="_Hlk148602315"/>
      <w:r w:rsidRPr="00A33AE8">
        <w:lastRenderedPageBreak/>
        <w:t xml:space="preserve">Annex: Detailed </w:t>
      </w:r>
      <w:r>
        <w:t>tables</w:t>
      </w:r>
      <w:bookmarkEnd w:id="722"/>
    </w:p>
    <w:bookmarkEnd w:id="723"/>
    <w:p w14:paraId="0001F90A" w14:textId="77777777" w:rsidR="00934E6B" w:rsidRDefault="007112F3" w:rsidP="00884F3B">
      <w:pPr>
        <w:pStyle w:val="Heading4"/>
        <w:numPr>
          <w:ilvl w:val="0"/>
          <w:numId w:val="255"/>
        </w:numPr>
      </w:pPr>
      <w:r w:rsidRPr="007112F3">
        <w:t>Energy Use, Fugitive and Process Emissions</w:t>
      </w:r>
    </w:p>
    <w:p w14:paraId="66BBB2E5" w14:textId="77777777" w:rsidR="007112F3" w:rsidRDefault="007112F3" w:rsidP="000007D2">
      <w:pPr>
        <w:spacing w:before="100" w:beforeAutospacing="1"/>
      </w:pPr>
      <w:r w:rsidRPr="007112F3">
        <w:t>Please note that these tables do not include non-energy emissions from Agriculture, Waste or LULUCF</w:t>
      </w:r>
      <w:r>
        <w:t>.</w:t>
      </w:r>
    </w:p>
    <w:p w14:paraId="16BC1FE5" w14:textId="09CD5B8C" w:rsidR="001839EB" w:rsidRDefault="001839EB" w:rsidP="0087794A">
      <w:pPr>
        <w:pStyle w:val="Caption"/>
        <w:keepNext/>
      </w:pPr>
      <w:bookmarkStart w:id="724" w:name="_Toc153545094"/>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w:t>
      </w:r>
      <w:r w:rsidR="006E0533">
        <w:rPr>
          <w:noProof/>
        </w:rPr>
        <w:fldChar w:fldCharType="end"/>
      </w:r>
      <w:r>
        <w:t xml:space="preserve">: </w:t>
      </w:r>
      <w:r w:rsidRPr="001839EB">
        <w:t>Energy Industry - emissions in ktons of CO2-eq</w:t>
      </w:r>
      <w:bookmarkEnd w:id="724"/>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3B4324" w:rsidRPr="003B4324" w14:paraId="640E2F89" w14:textId="77777777" w:rsidTr="000007D2">
        <w:trPr>
          <w:trHeight w:val="300"/>
        </w:trPr>
        <w:tc>
          <w:tcPr>
            <w:tcW w:w="1661" w:type="dxa"/>
            <w:shd w:val="clear" w:color="auto" w:fill="404040"/>
            <w:noWrap/>
            <w:vAlign w:val="center"/>
            <w:hideMark/>
          </w:tcPr>
          <w:p w14:paraId="0AC7D4FB" w14:textId="77777777" w:rsidR="000E2508" w:rsidRDefault="008A5A56">
            <w:pPr>
              <w:spacing w:after="0" w:line="240" w:lineRule="auto"/>
              <w:jc w:val="center"/>
              <w:rPr>
                <w:rFonts w:ascii="Calibri Light" w:hAnsi="Calibri Light" w:cs="Calibri Light"/>
                <w:color w:val="FFFFFF" w:themeColor="background1"/>
              </w:rPr>
            </w:pPr>
            <w:bookmarkStart w:id="725" w:name="_Hlk148688883"/>
            <w:r w:rsidRPr="008A5A56">
              <w:rPr>
                <w:rFonts w:ascii="Calibri Light" w:hAnsi="Calibri Light" w:cs="Calibri Light"/>
                <w:color w:val="FFFFFF" w:themeColor="background1"/>
              </w:rPr>
              <w:t>Energy Industry</w:t>
            </w:r>
          </w:p>
          <w:p w14:paraId="2F42496C" w14:textId="77777777" w:rsidR="003B4324" w:rsidRPr="000007D2" w:rsidRDefault="008A5A56" w:rsidP="000007D2">
            <w:pPr>
              <w:spacing w:after="0" w:line="240" w:lineRule="auto"/>
              <w:jc w:val="center"/>
              <w:rPr>
                <w:rFonts w:ascii="Calibri Light" w:hAnsi="Calibri Light" w:cs="Calibri Light"/>
                <w:color w:val="000000" w:themeColor="text1"/>
              </w:rPr>
            </w:pPr>
            <w:r w:rsidRPr="008A5A56">
              <w:rPr>
                <w:rFonts w:ascii="Calibri Light" w:hAnsi="Calibri Light" w:cs="Calibri Light"/>
                <w:color w:val="FFFFFF" w:themeColor="background1"/>
              </w:rPr>
              <w:t xml:space="preserve">emissions </w:t>
            </w:r>
            <w:r w:rsidR="000E2508">
              <w:rPr>
                <w:rFonts w:ascii="Calibri Light" w:hAnsi="Calibri Light" w:cs="Calibri Light"/>
                <w:color w:val="FFFFFF" w:themeColor="background1"/>
                <w:lang w:val="en-US"/>
              </w:rPr>
              <w:t>[</w:t>
            </w:r>
            <w:r w:rsidRPr="008A5A56">
              <w:rPr>
                <w:rFonts w:ascii="Calibri Light" w:hAnsi="Calibri Light" w:cs="Calibri Light"/>
                <w:color w:val="FFFFFF" w:themeColor="background1"/>
              </w:rPr>
              <w:t xml:space="preserve">ktons </w:t>
            </w:r>
            <w:r>
              <w:rPr>
                <w:rFonts w:ascii="Calibri Light" w:hAnsi="Calibri Light" w:cs="Calibri Light"/>
                <w:color w:val="FFFFFF" w:themeColor="background1"/>
              </w:rPr>
              <w:t xml:space="preserve">of </w:t>
            </w:r>
            <w:r w:rsidR="003B4324" w:rsidRPr="000007D2">
              <w:rPr>
                <w:rFonts w:ascii="Calibri Light" w:hAnsi="Calibri Light" w:cs="Calibri Light"/>
                <w:color w:val="FFFFFF" w:themeColor="background1"/>
              </w:rPr>
              <w:t>CO2</w:t>
            </w:r>
            <w:r>
              <w:rPr>
                <w:rFonts w:ascii="Calibri Light" w:hAnsi="Calibri Light" w:cs="Calibri Light"/>
                <w:color w:val="FFFFFF" w:themeColor="background1"/>
              </w:rPr>
              <w:t>-</w:t>
            </w:r>
            <w:r w:rsidR="003B4324" w:rsidRPr="000007D2">
              <w:rPr>
                <w:rFonts w:ascii="Calibri Light" w:hAnsi="Calibri Light" w:cs="Calibri Light"/>
                <w:color w:val="FFFFFF" w:themeColor="background1"/>
              </w:rPr>
              <w:t>eq</w:t>
            </w:r>
            <w:r w:rsidR="000E2508">
              <w:rPr>
                <w:rFonts w:ascii="Calibri Light" w:hAnsi="Calibri Light" w:cs="Calibri Light"/>
                <w:color w:val="FFFFFF" w:themeColor="background1"/>
              </w:rPr>
              <w:t>]</w:t>
            </w:r>
          </w:p>
        </w:tc>
        <w:tc>
          <w:tcPr>
            <w:tcW w:w="724" w:type="dxa"/>
            <w:shd w:val="clear" w:color="auto" w:fill="1F497D"/>
            <w:noWrap/>
            <w:vAlign w:val="center"/>
            <w:hideMark/>
          </w:tcPr>
          <w:p w14:paraId="1D077C78"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2020</w:t>
            </w:r>
          </w:p>
        </w:tc>
        <w:tc>
          <w:tcPr>
            <w:tcW w:w="724" w:type="dxa"/>
            <w:shd w:val="clear" w:color="auto" w:fill="1F497D"/>
            <w:noWrap/>
            <w:vAlign w:val="center"/>
            <w:hideMark/>
          </w:tcPr>
          <w:p w14:paraId="433EBEF7"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2025</w:t>
            </w:r>
          </w:p>
        </w:tc>
        <w:tc>
          <w:tcPr>
            <w:tcW w:w="724" w:type="dxa"/>
            <w:shd w:val="clear" w:color="auto" w:fill="1F497D"/>
            <w:noWrap/>
            <w:vAlign w:val="center"/>
            <w:hideMark/>
          </w:tcPr>
          <w:p w14:paraId="5930EC7C"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2026</w:t>
            </w:r>
          </w:p>
        </w:tc>
        <w:tc>
          <w:tcPr>
            <w:tcW w:w="725" w:type="dxa"/>
            <w:shd w:val="clear" w:color="auto" w:fill="1F497D"/>
            <w:noWrap/>
            <w:vAlign w:val="center"/>
            <w:hideMark/>
          </w:tcPr>
          <w:p w14:paraId="44ED3A52"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2027</w:t>
            </w:r>
          </w:p>
        </w:tc>
        <w:tc>
          <w:tcPr>
            <w:tcW w:w="724" w:type="dxa"/>
            <w:shd w:val="clear" w:color="auto" w:fill="1F497D"/>
            <w:noWrap/>
            <w:vAlign w:val="center"/>
            <w:hideMark/>
          </w:tcPr>
          <w:p w14:paraId="5BE33D7F"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2028</w:t>
            </w:r>
          </w:p>
        </w:tc>
        <w:tc>
          <w:tcPr>
            <w:tcW w:w="724" w:type="dxa"/>
            <w:shd w:val="clear" w:color="auto" w:fill="1F497D"/>
            <w:noWrap/>
            <w:vAlign w:val="center"/>
            <w:hideMark/>
          </w:tcPr>
          <w:p w14:paraId="37BB0595"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2029</w:t>
            </w:r>
          </w:p>
        </w:tc>
        <w:tc>
          <w:tcPr>
            <w:tcW w:w="724" w:type="dxa"/>
            <w:shd w:val="clear" w:color="auto" w:fill="1F497D"/>
            <w:noWrap/>
            <w:vAlign w:val="center"/>
            <w:hideMark/>
          </w:tcPr>
          <w:p w14:paraId="1CD1F3CE"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2030</w:t>
            </w:r>
          </w:p>
        </w:tc>
        <w:tc>
          <w:tcPr>
            <w:tcW w:w="725" w:type="dxa"/>
            <w:shd w:val="clear" w:color="auto" w:fill="1F497D"/>
            <w:noWrap/>
            <w:vAlign w:val="center"/>
            <w:hideMark/>
          </w:tcPr>
          <w:p w14:paraId="3D82F509"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2035</w:t>
            </w:r>
          </w:p>
        </w:tc>
        <w:tc>
          <w:tcPr>
            <w:tcW w:w="724" w:type="dxa"/>
            <w:shd w:val="clear" w:color="auto" w:fill="1F497D"/>
            <w:noWrap/>
            <w:vAlign w:val="center"/>
            <w:hideMark/>
          </w:tcPr>
          <w:p w14:paraId="63FF33E2"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2040</w:t>
            </w:r>
          </w:p>
        </w:tc>
        <w:tc>
          <w:tcPr>
            <w:tcW w:w="724" w:type="dxa"/>
            <w:shd w:val="clear" w:color="auto" w:fill="1F497D"/>
            <w:noWrap/>
            <w:vAlign w:val="center"/>
            <w:hideMark/>
          </w:tcPr>
          <w:p w14:paraId="5076483B"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2045</w:t>
            </w:r>
          </w:p>
        </w:tc>
        <w:tc>
          <w:tcPr>
            <w:tcW w:w="725" w:type="dxa"/>
            <w:shd w:val="clear" w:color="auto" w:fill="1F497D"/>
            <w:noWrap/>
            <w:vAlign w:val="center"/>
            <w:hideMark/>
          </w:tcPr>
          <w:p w14:paraId="64BDE52F" w14:textId="77777777" w:rsidR="003B4324" w:rsidRPr="000007D2" w:rsidRDefault="003B4324" w:rsidP="000007D2">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2050</w:t>
            </w:r>
          </w:p>
        </w:tc>
      </w:tr>
      <w:tr w:rsidR="00F7766F" w:rsidRPr="003B4324" w14:paraId="1DB1DC8A" w14:textId="77777777" w:rsidTr="000007D2">
        <w:trPr>
          <w:trHeight w:val="300"/>
        </w:trPr>
        <w:tc>
          <w:tcPr>
            <w:tcW w:w="1661" w:type="dxa"/>
            <w:shd w:val="clear" w:color="auto" w:fill="E7E6E6"/>
            <w:noWrap/>
            <w:vAlign w:val="bottom"/>
            <w:hideMark/>
          </w:tcPr>
          <w:p w14:paraId="0F429774" w14:textId="77777777" w:rsidR="00F7766F" w:rsidRPr="000007D2" w:rsidRDefault="00F7766F" w:rsidP="000007D2">
            <w:pPr>
              <w:spacing w:after="0" w:line="240" w:lineRule="auto"/>
              <w:jc w:val="left"/>
              <w:rPr>
                <w:rFonts w:ascii="Calibri Light" w:hAnsi="Calibri Light" w:cs="Calibri Light"/>
                <w:color w:val="000000" w:themeColor="text1"/>
              </w:rPr>
            </w:pPr>
            <w:r w:rsidRPr="000007D2">
              <w:rPr>
                <w:rFonts w:ascii="Calibri Light" w:hAnsi="Calibri Light" w:cs="Calibri Light"/>
                <w:color w:val="000000" w:themeColor="text1"/>
              </w:rPr>
              <w:t>WEM</w:t>
            </w:r>
          </w:p>
        </w:tc>
        <w:tc>
          <w:tcPr>
            <w:tcW w:w="724" w:type="dxa"/>
            <w:noWrap/>
            <w:hideMark/>
          </w:tcPr>
          <w:p w14:paraId="08B8FA36"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32580</w:t>
            </w:r>
          </w:p>
        </w:tc>
        <w:tc>
          <w:tcPr>
            <w:tcW w:w="724" w:type="dxa"/>
            <w:noWrap/>
            <w:hideMark/>
          </w:tcPr>
          <w:p w14:paraId="3B639E84"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33349</w:t>
            </w:r>
          </w:p>
        </w:tc>
        <w:tc>
          <w:tcPr>
            <w:tcW w:w="724" w:type="dxa"/>
            <w:noWrap/>
            <w:hideMark/>
          </w:tcPr>
          <w:p w14:paraId="77C510EE"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33996</w:t>
            </w:r>
          </w:p>
        </w:tc>
        <w:tc>
          <w:tcPr>
            <w:tcW w:w="725" w:type="dxa"/>
            <w:noWrap/>
            <w:hideMark/>
          </w:tcPr>
          <w:p w14:paraId="5E2778A3"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34690</w:t>
            </w:r>
          </w:p>
        </w:tc>
        <w:tc>
          <w:tcPr>
            <w:tcW w:w="724" w:type="dxa"/>
            <w:noWrap/>
            <w:hideMark/>
          </w:tcPr>
          <w:p w14:paraId="2B4C00EC"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35494</w:t>
            </w:r>
          </w:p>
        </w:tc>
        <w:tc>
          <w:tcPr>
            <w:tcW w:w="724" w:type="dxa"/>
            <w:noWrap/>
            <w:hideMark/>
          </w:tcPr>
          <w:p w14:paraId="1DCC334E"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36361</w:t>
            </w:r>
          </w:p>
        </w:tc>
        <w:tc>
          <w:tcPr>
            <w:tcW w:w="724" w:type="dxa"/>
            <w:noWrap/>
            <w:hideMark/>
          </w:tcPr>
          <w:p w14:paraId="3DD8FB72"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37485</w:t>
            </w:r>
          </w:p>
        </w:tc>
        <w:tc>
          <w:tcPr>
            <w:tcW w:w="725" w:type="dxa"/>
            <w:noWrap/>
            <w:hideMark/>
          </w:tcPr>
          <w:p w14:paraId="48332286"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40010</w:t>
            </w:r>
          </w:p>
        </w:tc>
        <w:tc>
          <w:tcPr>
            <w:tcW w:w="724" w:type="dxa"/>
            <w:noWrap/>
            <w:hideMark/>
          </w:tcPr>
          <w:p w14:paraId="6CC04DE9"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41549</w:t>
            </w:r>
          </w:p>
        </w:tc>
        <w:tc>
          <w:tcPr>
            <w:tcW w:w="724" w:type="dxa"/>
            <w:noWrap/>
            <w:hideMark/>
          </w:tcPr>
          <w:p w14:paraId="2879DEAE"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43066</w:t>
            </w:r>
          </w:p>
        </w:tc>
        <w:tc>
          <w:tcPr>
            <w:tcW w:w="725" w:type="dxa"/>
            <w:noWrap/>
            <w:hideMark/>
          </w:tcPr>
          <w:p w14:paraId="66607693"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37142</w:t>
            </w:r>
          </w:p>
        </w:tc>
      </w:tr>
      <w:tr w:rsidR="00F7766F" w:rsidRPr="003B4324" w14:paraId="47A8BBBC" w14:textId="77777777" w:rsidTr="000007D2">
        <w:trPr>
          <w:trHeight w:val="300"/>
        </w:trPr>
        <w:tc>
          <w:tcPr>
            <w:tcW w:w="1661" w:type="dxa"/>
            <w:shd w:val="clear" w:color="auto" w:fill="E7E6E6"/>
            <w:noWrap/>
            <w:vAlign w:val="bottom"/>
            <w:hideMark/>
          </w:tcPr>
          <w:p w14:paraId="4B666CA1" w14:textId="77777777" w:rsidR="00F7766F" w:rsidRPr="000007D2" w:rsidRDefault="00F7766F" w:rsidP="000007D2">
            <w:pPr>
              <w:spacing w:after="0" w:line="240" w:lineRule="auto"/>
              <w:jc w:val="left"/>
              <w:rPr>
                <w:rFonts w:ascii="Calibri Light" w:hAnsi="Calibri Light" w:cs="Calibri Light"/>
                <w:color w:val="000000" w:themeColor="text1"/>
              </w:rPr>
            </w:pPr>
            <w:r w:rsidRPr="000007D2">
              <w:rPr>
                <w:rFonts w:ascii="Calibri Light" w:hAnsi="Calibri Light" w:cs="Calibri Light"/>
                <w:color w:val="000000" w:themeColor="text1"/>
              </w:rPr>
              <w:t>Scenario-S</w:t>
            </w:r>
          </w:p>
        </w:tc>
        <w:tc>
          <w:tcPr>
            <w:tcW w:w="724" w:type="dxa"/>
            <w:noWrap/>
            <w:hideMark/>
          </w:tcPr>
          <w:p w14:paraId="336235CE"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32572</w:t>
            </w:r>
          </w:p>
        </w:tc>
        <w:tc>
          <w:tcPr>
            <w:tcW w:w="724" w:type="dxa"/>
            <w:noWrap/>
            <w:hideMark/>
          </w:tcPr>
          <w:p w14:paraId="59B6E717"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30129</w:t>
            </w:r>
          </w:p>
        </w:tc>
        <w:tc>
          <w:tcPr>
            <w:tcW w:w="724" w:type="dxa"/>
            <w:noWrap/>
            <w:hideMark/>
          </w:tcPr>
          <w:p w14:paraId="58CC5397"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29301</w:t>
            </w:r>
          </w:p>
        </w:tc>
        <w:tc>
          <w:tcPr>
            <w:tcW w:w="725" w:type="dxa"/>
            <w:noWrap/>
            <w:hideMark/>
          </w:tcPr>
          <w:p w14:paraId="31AFB9D3"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28939</w:t>
            </w:r>
          </w:p>
        </w:tc>
        <w:tc>
          <w:tcPr>
            <w:tcW w:w="724" w:type="dxa"/>
            <w:noWrap/>
            <w:hideMark/>
          </w:tcPr>
          <w:p w14:paraId="3D7891B2"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28028</w:t>
            </w:r>
          </w:p>
        </w:tc>
        <w:tc>
          <w:tcPr>
            <w:tcW w:w="724" w:type="dxa"/>
            <w:noWrap/>
            <w:hideMark/>
          </w:tcPr>
          <w:p w14:paraId="557A1C6D"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26626</w:t>
            </w:r>
          </w:p>
        </w:tc>
        <w:tc>
          <w:tcPr>
            <w:tcW w:w="724" w:type="dxa"/>
            <w:noWrap/>
            <w:hideMark/>
          </w:tcPr>
          <w:p w14:paraId="48A1555E"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23865</w:t>
            </w:r>
          </w:p>
        </w:tc>
        <w:tc>
          <w:tcPr>
            <w:tcW w:w="725" w:type="dxa"/>
            <w:noWrap/>
            <w:hideMark/>
          </w:tcPr>
          <w:p w14:paraId="7054D3D5"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18190</w:t>
            </w:r>
          </w:p>
        </w:tc>
        <w:tc>
          <w:tcPr>
            <w:tcW w:w="724" w:type="dxa"/>
            <w:noWrap/>
            <w:hideMark/>
          </w:tcPr>
          <w:p w14:paraId="014F86AC"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14041</w:t>
            </w:r>
          </w:p>
        </w:tc>
        <w:tc>
          <w:tcPr>
            <w:tcW w:w="724" w:type="dxa"/>
            <w:noWrap/>
            <w:hideMark/>
          </w:tcPr>
          <w:p w14:paraId="62EE245D"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9809</w:t>
            </w:r>
          </w:p>
        </w:tc>
        <w:tc>
          <w:tcPr>
            <w:tcW w:w="725" w:type="dxa"/>
            <w:noWrap/>
            <w:hideMark/>
          </w:tcPr>
          <w:p w14:paraId="64F5E03F"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3365</w:t>
            </w:r>
          </w:p>
        </w:tc>
      </w:tr>
      <w:tr w:rsidR="00F7766F" w:rsidRPr="003B4324" w14:paraId="7AAEFDC4" w14:textId="77777777" w:rsidTr="000007D2">
        <w:trPr>
          <w:trHeight w:val="300"/>
        </w:trPr>
        <w:tc>
          <w:tcPr>
            <w:tcW w:w="1661" w:type="dxa"/>
            <w:shd w:val="clear" w:color="auto" w:fill="E7E6E6"/>
            <w:noWrap/>
            <w:vAlign w:val="bottom"/>
            <w:hideMark/>
          </w:tcPr>
          <w:p w14:paraId="2F36F5E3" w14:textId="77777777" w:rsidR="00F7766F" w:rsidRPr="000007D2" w:rsidRDefault="00F7766F" w:rsidP="000007D2">
            <w:pPr>
              <w:spacing w:after="0" w:line="240" w:lineRule="auto"/>
              <w:jc w:val="left"/>
              <w:rPr>
                <w:rFonts w:ascii="Calibri Light" w:hAnsi="Calibri Light" w:cs="Calibri Light"/>
                <w:color w:val="000000" w:themeColor="text1"/>
              </w:rPr>
            </w:pPr>
            <w:r w:rsidRPr="000007D2">
              <w:rPr>
                <w:rFonts w:ascii="Calibri Light" w:hAnsi="Calibri Light" w:cs="Calibri Light"/>
                <w:color w:val="000000" w:themeColor="text1"/>
              </w:rPr>
              <w:t>Scenario-S-N</w:t>
            </w:r>
          </w:p>
        </w:tc>
        <w:tc>
          <w:tcPr>
            <w:tcW w:w="724" w:type="dxa"/>
            <w:noWrap/>
            <w:hideMark/>
          </w:tcPr>
          <w:p w14:paraId="6A83D017"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32572</w:t>
            </w:r>
          </w:p>
        </w:tc>
        <w:tc>
          <w:tcPr>
            <w:tcW w:w="724" w:type="dxa"/>
            <w:noWrap/>
            <w:hideMark/>
          </w:tcPr>
          <w:p w14:paraId="5DD2FF42"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30129</w:t>
            </w:r>
          </w:p>
        </w:tc>
        <w:tc>
          <w:tcPr>
            <w:tcW w:w="724" w:type="dxa"/>
            <w:noWrap/>
            <w:hideMark/>
          </w:tcPr>
          <w:p w14:paraId="02977F51"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29301</w:t>
            </w:r>
          </w:p>
        </w:tc>
        <w:tc>
          <w:tcPr>
            <w:tcW w:w="725" w:type="dxa"/>
            <w:noWrap/>
            <w:hideMark/>
          </w:tcPr>
          <w:p w14:paraId="08FBEEF7"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28939</w:t>
            </w:r>
          </w:p>
        </w:tc>
        <w:tc>
          <w:tcPr>
            <w:tcW w:w="724" w:type="dxa"/>
            <w:noWrap/>
            <w:hideMark/>
          </w:tcPr>
          <w:p w14:paraId="440B3779"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28028</w:t>
            </w:r>
          </w:p>
        </w:tc>
        <w:tc>
          <w:tcPr>
            <w:tcW w:w="724" w:type="dxa"/>
            <w:noWrap/>
            <w:hideMark/>
          </w:tcPr>
          <w:p w14:paraId="7D5C0133"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26626</w:t>
            </w:r>
          </w:p>
        </w:tc>
        <w:tc>
          <w:tcPr>
            <w:tcW w:w="724" w:type="dxa"/>
            <w:noWrap/>
            <w:hideMark/>
          </w:tcPr>
          <w:p w14:paraId="4DA6F3CB"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23865</w:t>
            </w:r>
          </w:p>
        </w:tc>
        <w:tc>
          <w:tcPr>
            <w:tcW w:w="725" w:type="dxa"/>
            <w:noWrap/>
            <w:hideMark/>
          </w:tcPr>
          <w:p w14:paraId="18E38CBD"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18170</w:t>
            </w:r>
          </w:p>
        </w:tc>
        <w:tc>
          <w:tcPr>
            <w:tcW w:w="724" w:type="dxa"/>
            <w:noWrap/>
            <w:hideMark/>
          </w:tcPr>
          <w:p w14:paraId="6C9AE7E7"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14954</w:t>
            </w:r>
          </w:p>
        </w:tc>
        <w:tc>
          <w:tcPr>
            <w:tcW w:w="724" w:type="dxa"/>
            <w:noWrap/>
            <w:hideMark/>
          </w:tcPr>
          <w:p w14:paraId="0DBF806F"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6807</w:t>
            </w:r>
          </w:p>
        </w:tc>
        <w:tc>
          <w:tcPr>
            <w:tcW w:w="725" w:type="dxa"/>
            <w:noWrap/>
            <w:hideMark/>
          </w:tcPr>
          <w:p w14:paraId="06AECB04" w14:textId="77777777" w:rsidR="00F7766F" w:rsidRPr="000007D2" w:rsidRDefault="00F7766F" w:rsidP="000007D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2471</w:t>
            </w:r>
          </w:p>
        </w:tc>
      </w:tr>
    </w:tbl>
    <w:p w14:paraId="3E978B6B" w14:textId="6DC5BE4D" w:rsidR="001839EB" w:rsidRDefault="001839EB" w:rsidP="0087794A">
      <w:pPr>
        <w:pStyle w:val="Caption"/>
        <w:keepNext/>
        <w:spacing w:before="160" w:after="160"/>
      </w:pPr>
      <w:bookmarkStart w:id="726" w:name="_Toc153545095"/>
      <w:bookmarkStart w:id="727" w:name="_Hlk148689050"/>
      <w:bookmarkEnd w:id="725"/>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w:t>
      </w:r>
      <w:r w:rsidR="006E0533">
        <w:rPr>
          <w:noProof/>
        </w:rPr>
        <w:fldChar w:fldCharType="end"/>
      </w:r>
      <w:r w:rsidRPr="001839EB">
        <w:t>: Power Sector - emissions in ktons of CO2-eq</w:t>
      </w:r>
      <w:bookmarkEnd w:id="726"/>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DF61B3" w:rsidRPr="003B4324" w14:paraId="27512A0F" w14:textId="77777777" w:rsidTr="007F4A03">
        <w:trPr>
          <w:trHeight w:val="300"/>
        </w:trPr>
        <w:tc>
          <w:tcPr>
            <w:tcW w:w="1661" w:type="dxa"/>
            <w:shd w:val="clear" w:color="auto" w:fill="404040"/>
            <w:noWrap/>
            <w:vAlign w:val="center"/>
            <w:hideMark/>
          </w:tcPr>
          <w:p w14:paraId="07A9737C" w14:textId="77777777" w:rsidR="00DF61B3" w:rsidRPr="004254D2" w:rsidRDefault="004E7976" w:rsidP="007F4A03">
            <w:pPr>
              <w:spacing w:after="0" w:line="240" w:lineRule="auto"/>
              <w:jc w:val="center"/>
              <w:rPr>
                <w:rFonts w:ascii="Calibri Light" w:hAnsi="Calibri Light" w:cs="Calibri Light"/>
                <w:color w:val="000000" w:themeColor="text1"/>
              </w:rPr>
            </w:pPr>
            <w:r w:rsidRPr="004E7976">
              <w:rPr>
                <w:rFonts w:ascii="Calibri Light" w:hAnsi="Calibri Light" w:cs="Calibri Light"/>
                <w:color w:val="FFFFFF" w:themeColor="background1"/>
              </w:rPr>
              <w:t>Power Sector</w:t>
            </w:r>
            <w:r w:rsidR="00DF61B3" w:rsidRPr="008A5A56">
              <w:rPr>
                <w:rFonts w:ascii="Calibri Light" w:hAnsi="Calibri Light" w:cs="Calibri Light"/>
                <w:color w:val="FFFFFF" w:themeColor="background1"/>
              </w:rPr>
              <w:t xml:space="preserve"> </w:t>
            </w:r>
            <w:r w:rsidR="000E2508" w:rsidRPr="000E2508">
              <w:rPr>
                <w:rFonts w:ascii="Calibri Light" w:hAnsi="Calibri Light" w:cs="Calibri Light"/>
                <w:color w:val="FFFFFF" w:themeColor="background1"/>
              </w:rPr>
              <w:t>emissions [ktons of CO2-eq]</w:t>
            </w:r>
          </w:p>
        </w:tc>
        <w:tc>
          <w:tcPr>
            <w:tcW w:w="724" w:type="dxa"/>
            <w:shd w:val="clear" w:color="auto" w:fill="1F497D"/>
            <w:noWrap/>
            <w:vAlign w:val="center"/>
            <w:hideMark/>
          </w:tcPr>
          <w:p w14:paraId="0AC010CD"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05513728"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17BDB33B"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63918CAA"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61CE325E"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3E6F2D78"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4A302EF5"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35864917"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7BAEDA42"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7DF80D2F"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301EC3FA" w14:textId="77777777" w:rsidR="00DF61B3" w:rsidRPr="004254D2" w:rsidRDefault="00DF61B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F7766F" w:rsidRPr="003B4324" w14:paraId="4D25BE83" w14:textId="77777777" w:rsidTr="000007D2">
        <w:trPr>
          <w:trHeight w:val="300"/>
        </w:trPr>
        <w:tc>
          <w:tcPr>
            <w:tcW w:w="1661" w:type="dxa"/>
            <w:shd w:val="clear" w:color="auto" w:fill="E7E6E6"/>
            <w:noWrap/>
            <w:vAlign w:val="bottom"/>
            <w:hideMark/>
          </w:tcPr>
          <w:p w14:paraId="6FC74BED"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4BB8B211"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30671</w:t>
            </w:r>
          </w:p>
        </w:tc>
        <w:tc>
          <w:tcPr>
            <w:tcW w:w="724" w:type="dxa"/>
            <w:noWrap/>
            <w:hideMark/>
          </w:tcPr>
          <w:p w14:paraId="07941078"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31307</w:t>
            </w:r>
          </w:p>
        </w:tc>
        <w:tc>
          <w:tcPr>
            <w:tcW w:w="724" w:type="dxa"/>
            <w:noWrap/>
            <w:hideMark/>
          </w:tcPr>
          <w:p w14:paraId="56487A59"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31857</w:t>
            </w:r>
          </w:p>
        </w:tc>
        <w:tc>
          <w:tcPr>
            <w:tcW w:w="725" w:type="dxa"/>
            <w:noWrap/>
            <w:hideMark/>
          </w:tcPr>
          <w:p w14:paraId="358A8F5C"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32503</w:t>
            </w:r>
          </w:p>
        </w:tc>
        <w:tc>
          <w:tcPr>
            <w:tcW w:w="724" w:type="dxa"/>
            <w:noWrap/>
            <w:hideMark/>
          </w:tcPr>
          <w:p w14:paraId="1FAA8CE6"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33311</w:t>
            </w:r>
          </w:p>
        </w:tc>
        <w:tc>
          <w:tcPr>
            <w:tcW w:w="724" w:type="dxa"/>
            <w:noWrap/>
            <w:hideMark/>
          </w:tcPr>
          <w:p w14:paraId="6CEC0A2D"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34133</w:t>
            </w:r>
          </w:p>
        </w:tc>
        <w:tc>
          <w:tcPr>
            <w:tcW w:w="724" w:type="dxa"/>
            <w:noWrap/>
            <w:hideMark/>
          </w:tcPr>
          <w:p w14:paraId="364F4A26"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35189</w:t>
            </w:r>
          </w:p>
        </w:tc>
        <w:tc>
          <w:tcPr>
            <w:tcW w:w="725" w:type="dxa"/>
            <w:noWrap/>
            <w:hideMark/>
          </w:tcPr>
          <w:p w14:paraId="1ADC5991"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37678</w:t>
            </w:r>
          </w:p>
        </w:tc>
        <w:tc>
          <w:tcPr>
            <w:tcW w:w="724" w:type="dxa"/>
            <w:noWrap/>
            <w:hideMark/>
          </w:tcPr>
          <w:p w14:paraId="1264C747"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39095</w:t>
            </w:r>
          </w:p>
        </w:tc>
        <w:tc>
          <w:tcPr>
            <w:tcW w:w="724" w:type="dxa"/>
            <w:noWrap/>
            <w:hideMark/>
          </w:tcPr>
          <w:p w14:paraId="3F3D99BA"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40462</w:t>
            </w:r>
          </w:p>
        </w:tc>
        <w:tc>
          <w:tcPr>
            <w:tcW w:w="725" w:type="dxa"/>
            <w:noWrap/>
            <w:hideMark/>
          </w:tcPr>
          <w:p w14:paraId="393F517B"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34552</w:t>
            </w:r>
          </w:p>
        </w:tc>
      </w:tr>
      <w:tr w:rsidR="00F7766F" w:rsidRPr="003B4324" w14:paraId="49B4054F" w14:textId="77777777" w:rsidTr="000007D2">
        <w:trPr>
          <w:trHeight w:val="300"/>
        </w:trPr>
        <w:tc>
          <w:tcPr>
            <w:tcW w:w="1661" w:type="dxa"/>
            <w:shd w:val="clear" w:color="auto" w:fill="E7E6E6"/>
            <w:noWrap/>
            <w:vAlign w:val="bottom"/>
            <w:hideMark/>
          </w:tcPr>
          <w:p w14:paraId="3C0A97D5"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7D6FA3F6"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30664</w:t>
            </w:r>
          </w:p>
        </w:tc>
        <w:tc>
          <w:tcPr>
            <w:tcW w:w="724" w:type="dxa"/>
            <w:noWrap/>
            <w:hideMark/>
          </w:tcPr>
          <w:p w14:paraId="3EF20F8D"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27990</w:t>
            </w:r>
          </w:p>
        </w:tc>
        <w:tc>
          <w:tcPr>
            <w:tcW w:w="724" w:type="dxa"/>
            <w:noWrap/>
            <w:hideMark/>
          </w:tcPr>
          <w:p w14:paraId="674B5F60"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27163</w:t>
            </w:r>
          </w:p>
        </w:tc>
        <w:tc>
          <w:tcPr>
            <w:tcW w:w="725" w:type="dxa"/>
            <w:noWrap/>
            <w:hideMark/>
          </w:tcPr>
          <w:p w14:paraId="5196C6D5"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26795</w:t>
            </w:r>
          </w:p>
        </w:tc>
        <w:tc>
          <w:tcPr>
            <w:tcW w:w="724" w:type="dxa"/>
            <w:noWrap/>
            <w:hideMark/>
          </w:tcPr>
          <w:p w14:paraId="2056B4DE"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26009</w:t>
            </w:r>
          </w:p>
        </w:tc>
        <w:tc>
          <w:tcPr>
            <w:tcW w:w="724" w:type="dxa"/>
            <w:noWrap/>
            <w:hideMark/>
          </w:tcPr>
          <w:p w14:paraId="39657A2C"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24657</w:t>
            </w:r>
          </w:p>
        </w:tc>
        <w:tc>
          <w:tcPr>
            <w:tcW w:w="724" w:type="dxa"/>
            <w:noWrap/>
            <w:hideMark/>
          </w:tcPr>
          <w:p w14:paraId="050CB571"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21843</w:t>
            </w:r>
          </w:p>
        </w:tc>
        <w:tc>
          <w:tcPr>
            <w:tcW w:w="725" w:type="dxa"/>
            <w:noWrap/>
            <w:hideMark/>
          </w:tcPr>
          <w:p w14:paraId="53996027"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16365</w:t>
            </w:r>
          </w:p>
        </w:tc>
        <w:tc>
          <w:tcPr>
            <w:tcW w:w="724" w:type="dxa"/>
            <w:noWrap/>
            <w:hideMark/>
          </w:tcPr>
          <w:p w14:paraId="3E0AA989"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12118</w:t>
            </w:r>
          </w:p>
        </w:tc>
        <w:tc>
          <w:tcPr>
            <w:tcW w:w="724" w:type="dxa"/>
            <w:noWrap/>
            <w:hideMark/>
          </w:tcPr>
          <w:p w14:paraId="3A16BFCA"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8174</w:t>
            </w:r>
          </w:p>
        </w:tc>
        <w:tc>
          <w:tcPr>
            <w:tcW w:w="725" w:type="dxa"/>
            <w:noWrap/>
            <w:hideMark/>
          </w:tcPr>
          <w:p w14:paraId="15C88C1E"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1708</w:t>
            </w:r>
          </w:p>
        </w:tc>
      </w:tr>
      <w:tr w:rsidR="00F7766F" w:rsidRPr="003B4324" w14:paraId="0962B22F" w14:textId="77777777" w:rsidTr="000007D2">
        <w:trPr>
          <w:trHeight w:val="300"/>
        </w:trPr>
        <w:tc>
          <w:tcPr>
            <w:tcW w:w="1661" w:type="dxa"/>
            <w:shd w:val="clear" w:color="auto" w:fill="E7E6E6"/>
            <w:noWrap/>
            <w:vAlign w:val="bottom"/>
            <w:hideMark/>
          </w:tcPr>
          <w:p w14:paraId="1A3C7A33"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1D28A97B"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30664</w:t>
            </w:r>
          </w:p>
        </w:tc>
        <w:tc>
          <w:tcPr>
            <w:tcW w:w="724" w:type="dxa"/>
            <w:noWrap/>
            <w:hideMark/>
          </w:tcPr>
          <w:p w14:paraId="3BFA9AF1"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27990</w:t>
            </w:r>
          </w:p>
        </w:tc>
        <w:tc>
          <w:tcPr>
            <w:tcW w:w="724" w:type="dxa"/>
            <w:noWrap/>
            <w:hideMark/>
          </w:tcPr>
          <w:p w14:paraId="1816DF6D"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27163</w:t>
            </w:r>
          </w:p>
        </w:tc>
        <w:tc>
          <w:tcPr>
            <w:tcW w:w="725" w:type="dxa"/>
            <w:noWrap/>
            <w:hideMark/>
          </w:tcPr>
          <w:p w14:paraId="40862433"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26795</w:t>
            </w:r>
          </w:p>
        </w:tc>
        <w:tc>
          <w:tcPr>
            <w:tcW w:w="724" w:type="dxa"/>
            <w:noWrap/>
            <w:hideMark/>
          </w:tcPr>
          <w:p w14:paraId="75279CEE"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26009</w:t>
            </w:r>
          </w:p>
        </w:tc>
        <w:tc>
          <w:tcPr>
            <w:tcW w:w="724" w:type="dxa"/>
            <w:noWrap/>
            <w:hideMark/>
          </w:tcPr>
          <w:p w14:paraId="0BBC3F97"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24657</w:t>
            </w:r>
          </w:p>
        </w:tc>
        <w:tc>
          <w:tcPr>
            <w:tcW w:w="724" w:type="dxa"/>
            <w:noWrap/>
            <w:hideMark/>
          </w:tcPr>
          <w:p w14:paraId="4FE03156"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21843</w:t>
            </w:r>
          </w:p>
        </w:tc>
        <w:tc>
          <w:tcPr>
            <w:tcW w:w="725" w:type="dxa"/>
            <w:noWrap/>
            <w:hideMark/>
          </w:tcPr>
          <w:p w14:paraId="66D193E5"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16354</w:t>
            </w:r>
          </w:p>
        </w:tc>
        <w:tc>
          <w:tcPr>
            <w:tcW w:w="724" w:type="dxa"/>
            <w:noWrap/>
            <w:hideMark/>
          </w:tcPr>
          <w:p w14:paraId="1123A85D"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13030</w:t>
            </w:r>
          </w:p>
        </w:tc>
        <w:tc>
          <w:tcPr>
            <w:tcW w:w="724" w:type="dxa"/>
            <w:noWrap/>
            <w:hideMark/>
          </w:tcPr>
          <w:p w14:paraId="1FFEA80B"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5009</w:t>
            </w:r>
          </w:p>
        </w:tc>
        <w:tc>
          <w:tcPr>
            <w:tcW w:w="725" w:type="dxa"/>
            <w:noWrap/>
            <w:hideMark/>
          </w:tcPr>
          <w:p w14:paraId="07816094" w14:textId="77777777" w:rsidR="00F7766F" w:rsidRPr="000007D2" w:rsidRDefault="00F7766F" w:rsidP="00F7766F">
            <w:pPr>
              <w:spacing w:after="0" w:line="240" w:lineRule="auto"/>
              <w:jc w:val="center"/>
              <w:rPr>
                <w:rFonts w:ascii="Calibri Light" w:eastAsiaTheme="minorHAnsi" w:hAnsi="Calibri Light" w:cs="Calibri Light"/>
                <w:color w:val="000000" w:themeColor="text1"/>
                <w:lang w:eastAsia="en-US"/>
              </w:rPr>
            </w:pPr>
            <w:r w:rsidRPr="000007D2">
              <w:rPr>
                <w:rFonts w:ascii="Calibri Light" w:hAnsi="Calibri Light" w:cs="Calibri Light"/>
                <w:color w:val="000000" w:themeColor="text1"/>
              </w:rPr>
              <w:t>649</w:t>
            </w:r>
          </w:p>
        </w:tc>
      </w:tr>
    </w:tbl>
    <w:p w14:paraId="57FCB37E" w14:textId="53C100A6" w:rsidR="001839EB" w:rsidRDefault="001839EB" w:rsidP="0087794A">
      <w:pPr>
        <w:pStyle w:val="Caption"/>
        <w:keepNext/>
        <w:spacing w:before="160" w:after="160"/>
      </w:pPr>
      <w:bookmarkStart w:id="728" w:name="_Toc153545096"/>
      <w:bookmarkEnd w:id="727"/>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3</w:t>
      </w:r>
      <w:r w:rsidR="006E0533">
        <w:rPr>
          <w:noProof/>
        </w:rPr>
        <w:fldChar w:fldCharType="end"/>
      </w:r>
      <w:r w:rsidRPr="001839EB">
        <w:t>: Manufacturing industries and construction: Energy Use, Fugitive and Process Emissions - emissions in ktons of CO2-eq</w:t>
      </w:r>
      <w:bookmarkEnd w:id="728"/>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3D1852" w:rsidRPr="003B4324" w14:paraId="2CF08E30" w14:textId="77777777" w:rsidTr="007F4A03">
        <w:trPr>
          <w:trHeight w:val="300"/>
        </w:trPr>
        <w:tc>
          <w:tcPr>
            <w:tcW w:w="1661" w:type="dxa"/>
            <w:shd w:val="clear" w:color="auto" w:fill="404040"/>
            <w:noWrap/>
            <w:vAlign w:val="center"/>
            <w:hideMark/>
          </w:tcPr>
          <w:p w14:paraId="6B01E887" w14:textId="77777777" w:rsidR="003D1852" w:rsidRPr="004254D2" w:rsidRDefault="003D1852" w:rsidP="007F4A03">
            <w:pPr>
              <w:spacing w:after="0" w:line="240" w:lineRule="auto"/>
              <w:jc w:val="center"/>
              <w:rPr>
                <w:rFonts w:ascii="Calibri Light" w:hAnsi="Calibri Light" w:cs="Calibri Light"/>
                <w:color w:val="000000" w:themeColor="text1"/>
              </w:rPr>
            </w:pPr>
            <w:r w:rsidRPr="003D1852">
              <w:rPr>
                <w:rFonts w:ascii="Calibri Light" w:hAnsi="Calibri Light" w:cs="Calibri Light"/>
                <w:color w:val="FFFFFF" w:themeColor="background1"/>
              </w:rPr>
              <w:t>Manufacturing industries and construction</w:t>
            </w:r>
            <w:r w:rsidR="000E2508">
              <w:t xml:space="preserve"> </w:t>
            </w:r>
            <w:r w:rsidR="000E2508" w:rsidRPr="000E2508">
              <w:rPr>
                <w:rFonts w:ascii="Calibri Light" w:hAnsi="Calibri Light" w:cs="Calibri Light"/>
                <w:color w:val="FFFFFF" w:themeColor="background1"/>
              </w:rPr>
              <w:t>emissions [ktons of CO2-eq]</w:t>
            </w:r>
          </w:p>
        </w:tc>
        <w:tc>
          <w:tcPr>
            <w:tcW w:w="724" w:type="dxa"/>
            <w:shd w:val="clear" w:color="auto" w:fill="1F497D"/>
            <w:noWrap/>
            <w:vAlign w:val="center"/>
            <w:hideMark/>
          </w:tcPr>
          <w:p w14:paraId="4342790E"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682AEB38"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518EBB14"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6BABD225"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39A9B427"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3E71066C"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1110374D"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36264530"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75390F76"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29131795"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5C7C7064"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F7766F" w:rsidRPr="003B4324" w14:paraId="2286DFE6" w14:textId="77777777" w:rsidTr="000007D2">
        <w:trPr>
          <w:trHeight w:val="300"/>
        </w:trPr>
        <w:tc>
          <w:tcPr>
            <w:tcW w:w="1661" w:type="dxa"/>
            <w:shd w:val="clear" w:color="auto" w:fill="E7E6E6"/>
            <w:noWrap/>
            <w:vAlign w:val="bottom"/>
            <w:hideMark/>
          </w:tcPr>
          <w:p w14:paraId="238B8375"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3A3EE5F0"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8462</w:t>
            </w:r>
          </w:p>
        </w:tc>
        <w:tc>
          <w:tcPr>
            <w:tcW w:w="724" w:type="dxa"/>
            <w:noWrap/>
            <w:hideMark/>
          </w:tcPr>
          <w:p w14:paraId="1A07F823"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10587</w:t>
            </w:r>
          </w:p>
        </w:tc>
        <w:tc>
          <w:tcPr>
            <w:tcW w:w="724" w:type="dxa"/>
            <w:noWrap/>
            <w:hideMark/>
          </w:tcPr>
          <w:p w14:paraId="3EC72949"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10755</w:t>
            </w:r>
          </w:p>
        </w:tc>
        <w:tc>
          <w:tcPr>
            <w:tcW w:w="725" w:type="dxa"/>
            <w:noWrap/>
            <w:hideMark/>
          </w:tcPr>
          <w:p w14:paraId="7987B5CD"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10957</w:t>
            </w:r>
          </w:p>
        </w:tc>
        <w:tc>
          <w:tcPr>
            <w:tcW w:w="724" w:type="dxa"/>
            <w:noWrap/>
            <w:hideMark/>
          </w:tcPr>
          <w:p w14:paraId="665662F8"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11130</w:t>
            </w:r>
          </w:p>
        </w:tc>
        <w:tc>
          <w:tcPr>
            <w:tcW w:w="724" w:type="dxa"/>
            <w:noWrap/>
            <w:hideMark/>
          </w:tcPr>
          <w:p w14:paraId="1B1FBAB5"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11360</w:t>
            </w:r>
          </w:p>
        </w:tc>
        <w:tc>
          <w:tcPr>
            <w:tcW w:w="724" w:type="dxa"/>
            <w:noWrap/>
            <w:hideMark/>
          </w:tcPr>
          <w:p w14:paraId="2B4A79D6"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11541</w:t>
            </w:r>
          </w:p>
        </w:tc>
        <w:tc>
          <w:tcPr>
            <w:tcW w:w="725" w:type="dxa"/>
            <w:noWrap/>
            <w:hideMark/>
          </w:tcPr>
          <w:p w14:paraId="6330D68A"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12219</w:t>
            </w:r>
          </w:p>
        </w:tc>
        <w:tc>
          <w:tcPr>
            <w:tcW w:w="724" w:type="dxa"/>
            <w:noWrap/>
            <w:hideMark/>
          </w:tcPr>
          <w:p w14:paraId="63A35721"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13491</w:t>
            </w:r>
          </w:p>
        </w:tc>
        <w:tc>
          <w:tcPr>
            <w:tcW w:w="724" w:type="dxa"/>
            <w:noWrap/>
            <w:hideMark/>
          </w:tcPr>
          <w:p w14:paraId="0C527584"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14252</w:t>
            </w:r>
          </w:p>
        </w:tc>
        <w:tc>
          <w:tcPr>
            <w:tcW w:w="725" w:type="dxa"/>
            <w:noWrap/>
            <w:hideMark/>
          </w:tcPr>
          <w:p w14:paraId="52730B57"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15406</w:t>
            </w:r>
          </w:p>
        </w:tc>
      </w:tr>
      <w:tr w:rsidR="00F7766F" w:rsidRPr="003B4324" w14:paraId="79E51880" w14:textId="77777777" w:rsidTr="000007D2">
        <w:trPr>
          <w:trHeight w:val="300"/>
        </w:trPr>
        <w:tc>
          <w:tcPr>
            <w:tcW w:w="1661" w:type="dxa"/>
            <w:shd w:val="clear" w:color="auto" w:fill="E7E6E6"/>
            <w:noWrap/>
            <w:vAlign w:val="bottom"/>
            <w:hideMark/>
          </w:tcPr>
          <w:p w14:paraId="2B48457C"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0E9E721A"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8439</w:t>
            </w:r>
          </w:p>
        </w:tc>
        <w:tc>
          <w:tcPr>
            <w:tcW w:w="724" w:type="dxa"/>
            <w:noWrap/>
            <w:hideMark/>
          </w:tcPr>
          <w:p w14:paraId="6F8C10EE"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10366</w:t>
            </w:r>
          </w:p>
        </w:tc>
        <w:tc>
          <w:tcPr>
            <w:tcW w:w="724" w:type="dxa"/>
            <w:noWrap/>
            <w:hideMark/>
          </w:tcPr>
          <w:p w14:paraId="6B727138"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10354</w:t>
            </w:r>
          </w:p>
        </w:tc>
        <w:tc>
          <w:tcPr>
            <w:tcW w:w="725" w:type="dxa"/>
            <w:noWrap/>
            <w:hideMark/>
          </w:tcPr>
          <w:p w14:paraId="206E6DCD"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10431</w:t>
            </w:r>
          </w:p>
        </w:tc>
        <w:tc>
          <w:tcPr>
            <w:tcW w:w="724" w:type="dxa"/>
            <w:noWrap/>
            <w:hideMark/>
          </w:tcPr>
          <w:p w14:paraId="47772013"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10515</w:t>
            </w:r>
          </w:p>
        </w:tc>
        <w:tc>
          <w:tcPr>
            <w:tcW w:w="724" w:type="dxa"/>
            <w:noWrap/>
            <w:hideMark/>
          </w:tcPr>
          <w:p w14:paraId="40164122"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10460</w:t>
            </w:r>
          </w:p>
        </w:tc>
        <w:tc>
          <w:tcPr>
            <w:tcW w:w="724" w:type="dxa"/>
            <w:noWrap/>
            <w:hideMark/>
          </w:tcPr>
          <w:p w14:paraId="30CD9317"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9858</w:t>
            </w:r>
          </w:p>
        </w:tc>
        <w:tc>
          <w:tcPr>
            <w:tcW w:w="725" w:type="dxa"/>
            <w:noWrap/>
            <w:hideMark/>
          </w:tcPr>
          <w:p w14:paraId="599095BF"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10336</w:t>
            </w:r>
          </w:p>
        </w:tc>
        <w:tc>
          <w:tcPr>
            <w:tcW w:w="724" w:type="dxa"/>
            <w:noWrap/>
            <w:hideMark/>
          </w:tcPr>
          <w:p w14:paraId="1ACDA9AA"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9379</w:t>
            </w:r>
          </w:p>
        </w:tc>
        <w:tc>
          <w:tcPr>
            <w:tcW w:w="724" w:type="dxa"/>
            <w:noWrap/>
            <w:hideMark/>
          </w:tcPr>
          <w:p w14:paraId="5EF29A19"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7777</w:t>
            </w:r>
          </w:p>
        </w:tc>
        <w:tc>
          <w:tcPr>
            <w:tcW w:w="725" w:type="dxa"/>
            <w:noWrap/>
            <w:hideMark/>
          </w:tcPr>
          <w:p w14:paraId="1C0EABE4"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8045</w:t>
            </w:r>
          </w:p>
        </w:tc>
      </w:tr>
      <w:tr w:rsidR="00F7766F" w:rsidRPr="003B4324" w14:paraId="6942F4DA" w14:textId="77777777" w:rsidTr="000007D2">
        <w:trPr>
          <w:trHeight w:val="300"/>
        </w:trPr>
        <w:tc>
          <w:tcPr>
            <w:tcW w:w="1661" w:type="dxa"/>
            <w:shd w:val="clear" w:color="auto" w:fill="E7E6E6"/>
            <w:noWrap/>
            <w:vAlign w:val="bottom"/>
            <w:hideMark/>
          </w:tcPr>
          <w:p w14:paraId="64E9DC10"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7AAC2B80"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8439</w:t>
            </w:r>
          </w:p>
        </w:tc>
        <w:tc>
          <w:tcPr>
            <w:tcW w:w="724" w:type="dxa"/>
            <w:noWrap/>
            <w:hideMark/>
          </w:tcPr>
          <w:p w14:paraId="3A0DB799"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10366</w:t>
            </w:r>
          </w:p>
        </w:tc>
        <w:tc>
          <w:tcPr>
            <w:tcW w:w="724" w:type="dxa"/>
            <w:noWrap/>
            <w:hideMark/>
          </w:tcPr>
          <w:p w14:paraId="3B494A37"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10354</w:t>
            </w:r>
          </w:p>
        </w:tc>
        <w:tc>
          <w:tcPr>
            <w:tcW w:w="725" w:type="dxa"/>
            <w:noWrap/>
            <w:hideMark/>
          </w:tcPr>
          <w:p w14:paraId="05B0ED76"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10431</w:t>
            </w:r>
          </w:p>
        </w:tc>
        <w:tc>
          <w:tcPr>
            <w:tcW w:w="724" w:type="dxa"/>
            <w:noWrap/>
            <w:hideMark/>
          </w:tcPr>
          <w:p w14:paraId="6F92744C"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10515</w:t>
            </w:r>
          </w:p>
        </w:tc>
        <w:tc>
          <w:tcPr>
            <w:tcW w:w="724" w:type="dxa"/>
            <w:noWrap/>
            <w:hideMark/>
          </w:tcPr>
          <w:p w14:paraId="60847CCC"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10460</w:t>
            </w:r>
          </w:p>
        </w:tc>
        <w:tc>
          <w:tcPr>
            <w:tcW w:w="724" w:type="dxa"/>
            <w:noWrap/>
            <w:hideMark/>
          </w:tcPr>
          <w:p w14:paraId="55B47B3F"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9858</w:t>
            </w:r>
          </w:p>
        </w:tc>
        <w:tc>
          <w:tcPr>
            <w:tcW w:w="725" w:type="dxa"/>
            <w:noWrap/>
            <w:hideMark/>
          </w:tcPr>
          <w:p w14:paraId="07E8F143"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10312</w:t>
            </w:r>
          </w:p>
        </w:tc>
        <w:tc>
          <w:tcPr>
            <w:tcW w:w="724" w:type="dxa"/>
            <w:noWrap/>
            <w:hideMark/>
          </w:tcPr>
          <w:p w14:paraId="0E7C54DC"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8712</w:t>
            </w:r>
          </w:p>
        </w:tc>
        <w:tc>
          <w:tcPr>
            <w:tcW w:w="724" w:type="dxa"/>
            <w:noWrap/>
            <w:hideMark/>
          </w:tcPr>
          <w:p w14:paraId="52D03444"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7812</w:t>
            </w:r>
          </w:p>
        </w:tc>
        <w:tc>
          <w:tcPr>
            <w:tcW w:w="725" w:type="dxa"/>
            <w:noWrap/>
            <w:hideMark/>
          </w:tcPr>
          <w:p w14:paraId="18720553" w14:textId="77777777" w:rsidR="00F7766F" w:rsidRPr="000007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8080</w:t>
            </w:r>
          </w:p>
        </w:tc>
      </w:tr>
    </w:tbl>
    <w:p w14:paraId="615F1E06" w14:textId="0E444B84" w:rsidR="001839EB" w:rsidRDefault="001839EB" w:rsidP="0087794A">
      <w:pPr>
        <w:pStyle w:val="Caption"/>
        <w:keepNext/>
        <w:spacing w:before="160" w:after="160"/>
      </w:pPr>
      <w:bookmarkStart w:id="729" w:name="_Toc153545097"/>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4</w:t>
      </w:r>
      <w:r w:rsidR="006E0533">
        <w:rPr>
          <w:noProof/>
        </w:rPr>
        <w:fldChar w:fldCharType="end"/>
      </w:r>
      <w:r w:rsidRPr="001839EB">
        <w:t>: Transport - emissions in ktons of CO2-eq</w:t>
      </w:r>
      <w:bookmarkEnd w:id="729"/>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3D1852" w:rsidRPr="003B4324" w14:paraId="4BA35285" w14:textId="77777777" w:rsidTr="007F4A03">
        <w:trPr>
          <w:trHeight w:val="300"/>
        </w:trPr>
        <w:tc>
          <w:tcPr>
            <w:tcW w:w="1661" w:type="dxa"/>
            <w:shd w:val="clear" w:color="auto" w:fill="404040"/>
            <w:noWrap/>
            <w:vAlign w:val="center"/>
            <w:hideMark/>
          </w:tcPr>
          <w:p w14:paraId="5DF3B9F4" w14:textId="77777777" w:rsidR="003D1852" w:rsidRPr="004254D2" w:rsidRDefault="003D1852" w:rsidP="007F4A03">
            <w:pPr>
              <w:spacing w:after="0" w:line="240" w:lineRule="auto"/>
              <w:jc w:val="center"/>
              <w:rPr>
                <w:rFonts w:ascii="Calibri Light" w:hAnsi="Calibri Light" w:cs="Calibri Light"/>
                <w:color w:val="000000" w:themeColor="text1"/>
              </w:rPr>
            </w:pPr>
            <w:r w:rsidRPr="003D1852">
              <w:rPr>
                <w:rFonts w:ascii="Calibri Light" w:hAnsi="Calibri Light" w:cs="Calibri Light"/>
                <w:color w:val="FFFFFF" w:themeColor="background1"/>
              </w:rPr>
              <w:t>Transport</w:t>
            </w:r>
            <w:r w:rsidR="000E2508">
              <w:t xml:space="preserve"> </w:t>
            </w:r>
            <w:r w:rsidR="000E2508" w:rsidRPr="000E2508">
              <w:rPr>
                <w:rFonts w:ascii="Calibri Light" w:hAnsi="Calibri Light" w:cs="Calibri Light"/>
                <w:color w:val="FFFFFF" w:themeColor="background1"/>
              </w:rPr>
              <w:t>emissions [ktons of CO2-eq]</w:t>
            </w:r>
          </w:p>
        </w:tc>
        <w:tc>
          <w:tcPr>
            <w:tcW w:w="724" w:type="dxa"/>
            <w:shd w:val="clear" w:color="auto" w:fill="1F497D"/>
            <w:noWrap/>
            <w:vAlign w:val="center"/>
            <w:hideMark/>
          </w:tcPr>
          <w:p w14:paraId="6A31BB5A"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10ED5340"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7B9F72C5"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2F02FC6F"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209AF462"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739E2712"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154DC4B8"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63807EF7"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5393A571"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623EC67A"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1D511BC7" w14:textId="77777777" w:rsidR="003D1852" w:rsidRPr="004254D2" w:rsidRDefault="003D185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F7766F" w:rsidRPr="003B4324" w14:paraId="3A3B67B1" w14:textId="77777777" w:rsidTr="000007D2">
        <w:trPr>
          <w:trHeight w:val="300"/>
        </w:trPr>
        <w:tc>
          <w:tcPr>
            <w:tcW w:w="1661" w:type="dxa"/>
            <w:shd w:val="clear" w:color="auto" w:fill="E7E6E6"/>
            <w:noWrap/>
            <w:vAlign w:val="bottom"/>
            <w:hideMark/>
          </w:tcPr>
          <w:p w14:paraId="53A19F1E"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7A6223D4"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7166</w:t>
            </w:r>
          </w:p>
        </w:tc>
        <w:tc>
          <w:tcPr>
            <w:tcW w:w="724" w:type="dxa"/>
            <w:noWrap/>
            <w:hideMark/>
          </w:tcPr>
          <w:p w14:paraId="2205655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7880</w:t>
            </w:r>
          </w:p>
        </w:tc>
        <w:tc>
          <w:tcPr>
            <w:tcW w:w="724" w:type="dxa"/>
            <w:noWrap/>
            <w:hideMark/>
          </w:tcPr>
          <w:p w14:paraId="440E899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8031</w:t>
            </w:r>
          </w:p>
        </w:tc>
        <w:tc>
          <w:tcPr>
            <w:tcW w:w="725" w:type="dxa"/>
            <w:noWrap/>
            <w:hideMark/>
          </w:tcPr>
          <w:p w14:paraId="7CC203E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8119</w:t>
            </w:r>
          </w:p>
        </w:tc>
        <w:tc>
          <w:tcPr>
            <w:tcW w:w="724" w:type="dxa"/>
            <w:noWrap/>
            <w:hideMark/>
          </w:tcPr>
          <w:p w14:paraId="3A1DAEA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8189</w:t>
            </w:r>
          </w:p>
        </w:tc>
        <w:tc>
          <w:tcPr>
            <w:tcW w:w="724" w:type="dxa"/>
            <w:noWrap/>
            <w:hideMark/>
          </w:tcPr>
          <w:p w14:paraId="1FC1495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8270</w:t>
            </w:r>
          </w:p>
        </w:tc>
        <w:tc>
          <w:tcPr>
            <w:tcW w:w="724" w:type="dxa"/>
            <w:noWrap/>
            <w:hideMark/>
          </w:tcPr>
          <w:p w14:paraId="5527ECF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8320</w:t>
            </w:r>
          </w:p>
        </w:tc>
        <w:tc>
          <w:tcPr>
            <w:tcW w:w="725" w:type="dxa"/>
            <w:noWrap/>
            <w:hideMark/>
          </w:tcPr>
          <w:p w14:paraId="77BBAA4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8796</w:t>
            </w:r>
          </w:p>
        </w:tc>
        <w:tc>
          <w:tcPr>
            <w:tcW w:w="724" w:type="dxa"/>
            <w:noWrap/>
            <w:hideMark/>
          </w:tcPr>
          <w:p w14:paraId="758170F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9526</w:t>
            </w:r>
          </w:p>
        </w:tc>
        <w:tc>
          <w:tcPr>
            <w:tcW w:w="724" w:type="dxa"/>
            <w:noWrap/>
            <w:hideMark/>
          </w:tcPr>
          <w:p w14:paraId="01D78CAD"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10218</w:t>
            </w:r>
          </w:p>
        </w:tc>
        <w:tc>
          <w:tcPr>
            <w:tcW w:w="725" w:type="dxa"/>
            <w:noWrap/>
            <w:hideMark/>
          </w:tcPr>
          <w:p w14:paraId="453C6D5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10859</w:t>
            </w:r>
          </w:p>
        </w:tc>
      </w:tr>
      <w:tr w:rsidR="00F7766F" w:rsidRPr="003B4324" w14:paraId="1038C0C4" w14:textId="77777777" w:rsidTr="000007D2">
        <w:trPr>
          <w:trHeight w:val="300"/>
        </w:trPr>
        <w:tc>
          <w:tcPr>
            <w:tcW w:w="1661" w:type="dxa"/>
            <w:shd w:val="clear" w:color="auto" w:fill="E7E6E6"/>
            <w:noWrap/>
            <w:vAlign w:val="bottom"/>
            <w:hideMark/>
          </w:tcPr>
          <w:p w14:paraId="1405CDEA"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3DB950F7"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7166</w:t>
            </w:r>
          </w:p>
        </w:tc>
        <w:tc>
          <w:tcPr>
            <w:tcW w:w="724" w:type="dxa"/>
            <w:noWrap/>
            <w:hideMark/>
          </w:tcPr>
          <w:p w14:paraId="0963EE1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7578</w:t>
            </w:r>
          </w:p>
        </w:tc>
        <w:tc>
          <w:tcPr>
            <w:tcW w:w="724" w:type="dxa"/>
            <w:noWrap/>
            <w:hideMark/>
          </w:tcPr>
          <w:p w14:paraId="59B1EAC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7618</w:t>
            </w:r>
          </w:p>
        </w:tc>
        <w:tc>
          <w:tcPr>
            <w:tcW w:w="725" w:type="dxa"/>
            <w:noWrap/>
            <w:hideMark/>
          </w:tcPr>
          <w:p w14:paraId="1989C3B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7579</w:t>
            </w:r>
          </w:p>
        </w:tc>
        <w:tc>
          <w:tcPr>
            <w:tcW w:w="724" w:type="dxa"/>
            <w:noWrap/>
            <w:hideMark/>
          </w:tcPr>
          <w:p w14:paraId="552720D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7564</w:t>
            </w:r>
          </w:p>
        </w:tc>
        <w:tc>
          <w:tcPr>
            <w:tcW w:w="724" w:type="dxa"/>
            <w:noWrap/>
            <w:hideMark/>
          </w:tcPr>
          <w:p w14:paraId="5924E47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7470</w:t>
            </w:r>
          </w:p>
        </w:tc>
        <w:tc>
          <w:tcPr>
            <w:tcW w:w="724" w:type="dxa"/>
            <w:noWrap/>
            <w:hideMark/>
          </w:tcPr>
          <w:p w14:paraId="775DF18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7617</w:t>
            </w:r>
          </w:p>
        </w:tc>
        <w:tc>
          <w:tcPr>
            <w:tcW w:w="725" w:type="dxa"/>
            <w:noWrap/>
            <w:hideMark/>
          </w:tcPr>
          <w:p w14:paraId="6A071C9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7195</w:t>
            </w:r>
          </w:p>
        </w:tc>
        <w:tc>
          <w:tcPr>
            <w:tcW w:w="724" w:type="dxa"/>
            <w:noWrap/>
            <w:hideMark/>
          </w:tcPr>
          <w:p w14:paraId="2DE072D8"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6831</w:t>
            </w:r>
          </w:p>
        </w:tc>
        <w:tc>
          <w:tcPr>
            <w:tcW w:w="724" w:type="dxa"/>
            <w:noWrap/>
            <w:hideMark/>
          </w:tcPr>
          <w:p w14:paraId="16A2A5D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5547</w:t>
            </w:r>
          </w:p>
        </w:tc>
        <w:tc>
          <w:tcPr>
            <w:tcW w:w="725" w:type="dxa"/>
            <w:noWrap/>
            <w:hideMark/>
          </w:tcPr>
          <w:p w14:paraId="78C09C4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4206</w:t>
            </w:r>
          </w:p>
        </w:tc>
      </w:tr>
      <w:tr w:rsidR="00F7766F" w:rsidRPr="003B4324" w14:paraId="7E4154AA" w14:textId="77777777" w:rsidTr="000007D2">
        <w:trPr>
          <w:trHeight w:val="300"/>
        </w:trPr>
        <w:tc>
          <w:tcPr>
            <w:tcW w:w="1661" w:type="dxa"/>
            <w:shd w:val="clear" w:color="auto" w:fill="E7E6E6"/>
            <w:noWrap/>
            <w:vAlign w:val="bottom"/>
            <w:hideMark/>
          </w:tcPr>
          <w:p w14:paraId="6C47D8AC"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1B50248A"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7166</w:t>
            </w:r>
          </w:p>
        </w:tc>
        <w:tc>
          <w:tcPr>
            <w:tcW w:w="724" w:type="dxa"/>
            <w:noWrap/>
            <w:hideMark/>
          </w:tcPr>
          <w:p w14:paraId="6C9684E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7578</w:t>
            </w:r>
          </w:p>
        </w:tc>
        <w:tc>
          <w:tcPr>
            <w:tcW w:w="724" w:type="dxa"/>
            <w:noWrap/>
            <w:hideMark/>
          </w:tcPr>
          <w:p w14:paraId="657518F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7618</w:t>
            </w:r>
          </w:p>
        </w:tc>
        <w:tc>
          <w:tcPr>
            <w:tcW w:w="725" w:type="dxa"/>
            <w:noWrap/>
            <w:hideMark/>
          </w:tcPr>
          <w:p w14:paraId="584B723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7579</w:t>
            </w:r>
          </w:p>
        </w:tc>
        <w:tc>
          <w:tcPr>
            <w:tcW w:w="724" w:type="dxa"/>
            <w:noWrap/>
            <w:hideMark/>
          </w:tcPr>
          <w:p w14:paraId="616910C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7564</w:t>
            </w:r>
          </w:p>
        </w:tc>
        <w:tc>
          <w:tcPr>
            <w:tcW w:w="724" w:type="dxa"/>
            <w:noWrap/>
            <w:hideMark/>
          </w:tcPr>
          <w:p w14:paraId="16B48A1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7470</w:t>
            </w:r>
          </w:p>
        </w:tc>
        <w:tc>
          <w:tcPr>
            <w:tcW w:w="724" w:type="dxa"/>
            <w:noWrap/>
            <w:hideMark/>
          </w:tcPr>
          <w:p w14:paraId="272357B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7617</w:t>
            </w:r>
          </w:p>
        </w:tc>
        <w:tc>
          <w:tcPr>
            <w:tcW w:w="725" w:type="dxa"/>
            <w:noWrap/>
            <w:hideMark/>
          </w:tcPr>
          <w:p w14:paraId="11EA12B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7244</w:t>
            </w:r>
          </w:p>
        </w:tc>
        <w:tc>
          <w:tcPr>
            <w:tcW w:w="724" w:type="dxa"/>
            <w:noWrap/>
            <w:hideMark/>
          </w:tcPr>
          <w:p w14:paraId="5BDD495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6588</w:t>
            </w:r>
          </w:p>
        </w:tc>
        <w:tc>
          <w:tcPr>
            <w:tcW w:w="724" w:type="dxa"/>
            <w:noWrap/>
            <w:hideMark/>
          </w:tcPr>
          <w:p w14:paraId="5352FA9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5114</w:t>
            </w:r>
          </w:p>
        </w:tc>
        <w:tc>
          <w:tcPr>
            <w:tcW w:w="725" w:type="dxa"/>
            <w:noWrap/>
            <w:hideMark/>
          </w:tcPr>
          <w:p w14:paraId="3164ACA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3736</w:t>
            </w:r>
          </w:p>
        </w:tc>
      </w:tr>
    </w:tbl>
    <w:p w14:paraId="6FAE05F6" w14:textId="3289A462" w:rsidR="001839EB" w:rsidRDefault="001839EB" w:rsidP="0087794A">
      <w:pPr>
        <w:pStyle w:val="Caption"/>
        <w:keepNext/>
        <w:spacing w:before="160" w:after="160"/>
      </w:pPr>
      <w:bookmarkStart w:id="730" w:name="_Toc153545098"/>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5</w:t>
      </w:r>
      <w:r w:rsidR="006E0533">
        <w:rPr>
          <w:noProof/>
        </w:rPr>
        <w:fldChar w:fldCharType="end"/>
      </w:r>
      <w:r w:rsidRPr="001839EB">
        <w:t>: Residential Sector - emissions in ktons of CO2-eq</w:t>
      </w:r>
      <w:bookmarkEnd w:id="730"/>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9B7CAB" w:rsidRPr="003B4324" w14:paraId="5DBEC47F" w14:textId="77777777" w:rsidTr="007F4A03">
        <w:trPr>
          <w:trHeight w:val="300"/>
        </w:trPr>
        <w:tc>
          <w:tcPr>
            <w:tcW w:w="1661" w:type="dxa"/>
            <w:shd w:val="clear" w:color="auto" w:fill="404040"/>
            <w:noWrap/>
            <w:vAlign w:val="center"/>
            <w:hideMark/>
          </w:tcPr>
          <w:p w14:paraId="38A11EF9" w14:textId="77777777" w:rsidR="009B7CAB" w:rsidRPr="004254D2" w:rsidRDefault="009B7CAB" w:rsidP="007F4A03">
            <w:pPr>
              <w:spacing w:after="0" w:line="240" w:lineRule="auto"/>
              <w:jc w:val="center"/>
              <w:rPr>
                <w:rFonts w:ascii="Calibri Light" w:hAnsi="Calibri Light" w:cs="Calibri Light"/>
                <w:color w:val="000000" w:themeColor="text1"/>
              </w:rPr>
            </w:pPr>
            <w:r w:rsidRPr="009B7CAB">
              <w:rPr>
                <w:rFonts w:ascii="Calibri Light" w:hAnsi="Calibri Light" w:cs="Calibri Light"/>
                <w:color w:val="FFFFFF" w:themeColor="background1"/>
              </w:rPr>
              <w:t>Residential Sector</w:t>
            </w:r>
            <w:r w:rsidR="000E2508">
              <w:t xml:space="preserve"> </w:t>
            </w:r>
            <w:r w:rsidR="000E2508" w:rsidRPr="000E2508">
              <w:rPr>
                <w:rFonts w:ascii="Calibri Light" w:hAnsi="Calibri Light" w:cs="Calibri Light"/>
                <w:color w:val="FFFFFF" w:themeColor="background1"/>
              </w:rPr>
              <w:t>emissions [ktons of CO2-eq]</w:t>
            </w:r>
          </w:p>
        </w:tc>
        <w:tc>
          <w:tcPr>
            <w:tcW w:w="724" w:type="dxa"/>
            <w:shd w:val="clear" w:color="auto" w:fill="1F497D"/>
            <w:noWrap/>
            <w:vAlign w:val="center"/>
            <w:hideMark/>
          </w:tcPr>
          <w:p w14:paraId="182DF972"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36C74CBA"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16D74BE5"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5C875F3D"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505D9933"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31CB24E7"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5953708F"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7111F217"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58815BE2"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75AECCEF"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4DF8D2E0"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F7766F" w:rsidRPr="003B4324" w14:paraId="13F0DE42" w14:textId="77777777" w:rsidTr="000007D2">
        <w:trPr>
          <w:trHeight w:val="300"/>
        </w:trPr>
        <w:tc>
          <w:tcPr>
            <w:tcW w:w="1661" w:type="dxa"/>
            <w:shd w:val="clear" w:color="auto" w:fill="E7E6E6"/>
            <w:noWrap/>
            <w:vAlign w:val="bottom"/>
            <w:hideMark/>
          </w:tcPr>
          <w:p w14:paraId="7A853644"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637FD1C0"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2076</w:t>
            </w:r>
          </w:p>
        </w:tc>
        <w:tc>
          <w:tcPr>
            <w:tcW w:w="724" w:type="dxa"/>
            <w:noWrap/>
            <w:hideMark/>
          </w:tcPr>
          <w:p w14:paraId="399EA71D"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1437</w:t>
            </w:r>
          </w:p>
        </w:tc>
        <w:tc>
          <w:tcPr>
            <w:tcW w:w="724" w:type="dxa"/>
            <w:noWrap/>
            <w:hideMark/>
          </w:tcPr>
          <w:p w14:paraId="167DE0C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1374</w:t>
            </w:r>
          </w:p>
        </w:tc>
        <w:tc>
          <w:tcPr>
            <w:tcW w:w="725" w:type="dxa"/>
            <w:noWrap/>
            <w:hideMark/>
          </w:tcPr>
          <w:p w14:paraId="7623D7B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1407</w:t>
            </w:r>
          </w:p>
        </w:tc>
        <w:tc>
          <w:tcPr>
            <w:tcW w:w="724" w:type="dxa"/>
            <w:noWrap/>
            <w:hideMark/>
          </w:tcPr>
          <w:p w14:paraId="5817DA5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1430</w:t>
            </w:r>
          </w:p>
        </w:tc>
        <w:tc>
          <w:tcPr>
            <w:tcW w:w="724" w:type="dxa"/>
            <w:noWrap/>
            <w:hideMark/>
          </w:tcPr>
          <w:p w14:paraId="261FA7C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1476</w:t>
            </w:r>
          </w:p>
        </w:tc>
        <w:tc>
          <w:tcPr>
            <w:tcW w:w="724" w:type="dxa"/>
            <w:noWrap/>
            <w:hideMark/>
          </w:tcPr>
          <w:p w14:paraId="2773456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1484</w:t>
            </w:r>
          </w:p>
        </w:tc>
        <w:tc>
          <w:tcPr>
            <w:tcW w:w="725" w:type="dxa"/>
            <w:noWrap/>
            <w:hideMark/>
          </w:tcPr>
          <w:p w14:paraId="0C3AFD7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1509</w:t>
            </w:r>
          </w:p>
        </w:tc>
        <w:tc>
          <w:tcPr>
            <w:tcW w:w="724" w:type="dxa"/>
            <w:noWrap/>
            <w:hideMark/>
          </w:tcPr>
          <w:p w14:paraId="4E1A0DF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1553</w:t>
            </w:r>
          </w:p>
        </w:tc>
        <w:tc>
          <w:tcPr>
            <w:tcW w:w="724" w:type="dxa"/>
            <w:noWrap/>
            <w:hideMark/>
          </w:tcPr>
          <w:p w14:paraId="58970A8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1538</w:t>
            </w:r>
          </w:p>
        </w:tc>
        <w:tc>
          <w:tcPr>
            <w:tcW w:w="725" w:type="dxa"/>
            <w:noWrap/>
            <w:hideMark/>
          </w:tcPr>
          <w:p w14:paraId="357CE88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1656</w:t>
            </w:r>
          </w:p>
        </w:tc>
      </w:tr>
      <w:tr w:rsidR="00F7766F" w:rsidRPr="003B4324" w14:paraId="497B1DE6" w14:textId="77777777" w:rsidTr="000007D2">
        <w:trPr>
          <w:trHeight w:val="300"/>
        </w:trPr>
        <w:tc>
          <w:tcPr>
            <w:tcW w:w="1661" w:type="dxa"/>
            <w:shd w:val="clear" w:color="auto" w:fill="E7E6E6"/>
            <w:noWrap/>
            <w:vAlign w:val="bottom"/>
            <w:hideMark/>
          </w:tcPr>
          <w:p w14:paraId="1A8B3656"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69B04919"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2159</w:t>
            </w:r>
          </w:p>
        </w:tc>
        <w:tc>
          <w:tcPr>
            <w:tcW w:w="724" w:type="dxa"/>
            <w:noWrap/>
            <w:hideMark/>
          </w:tcPr>
          <w:p w14:paraId="2AF12557"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1411</w:t>
            </w:r>
          </w:p>
        </w:tc>
        <w:tc>
          <w:tcPr>
            <w:tcW w:w="724" w:type="dxa"/>
            <w:noWrap/>
            <w:hideMark/>
          </w:tcPr>
          <w:p w14:paraId="00324B9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1330</w:t>
            </w:r>
          </w:p>
        </w:tc>
        <w:tc>
          <w:tcPr>
            <w:tcW w:w="725" w:type="dxa"/>
            <w:noWrap/>
            <w:hideMark/>
          </w:tcPr>
          <w:p w14:paraId="248B3A5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1347</w:t>
            </w:r>
          </w:p>
        </w:tc>
        <w:tc>
          <w:tcPr>
            <w:tcW w:w="724" w:type="dxa"/>
            <w:noWrap/>
            <w:hideMark/>
          </w:tcPr>
          <w:p w14:paraId="0C4A354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1361</w:t>
            </w:r>
          </w:p>
        </w:tc>
        <w:tc>
          <w:tcPr>
            <w:tcW w:w="724" w:type="dxa"/>
            <w:noWrap/>
            <w:hideMark/>
          </w:tcPr>
          <w:p w14:paraId="15EB084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1377</w:t>
            </w:r>
          </w:p>
        </w:tc>
        <w:tc>
          <w:tcPr>
            <w:tcW w:w="724" w:type="dxa"/>
            <w:noWrap/>
            <w:hideMark/>
          </w:tcPr>
          <w:p w14:paraId="74A9BF6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1379</w:t>
            </w:r>
          </w:p>
        </w:tc>
        <w:tc>
          <w:tcPr>
            <w:tcW w:w="725" w:type="dxa"/>
            <w:noWrap/>
            <w:hideMark/>
          </w:tcPr>
          <w:p w14:paraId="2F206E98"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1097</w:t>
            </w:r>
          </w:p>
        </w:tc>
        <w:tc>
          <w:tcPr>
            <w:tcW w:w="724" w:type="dxa"/>
            <w:noWrap/>
            <w:hideMark/>
          </w:tcPr>
          <w:p w14:paraId="0A3F7C1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955</w:t>
            </w:r>
          </w:p>
        </w:tc>
        <w:tc>
          <w:tcPr>
            <w:tcW w:w="724" w:type="dxa"/>
            <w:noWrap/>
            <w:hideMark/>
          </w:tcPr>
          <w:p w14:paraId="40881AA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764</w:t>
            </w:r>
          </w:p>
        </w:tc>
        <w:tc>
          <w:tcPr>
            <w:tcW w:w="725" w:type="dxa"/>
            <w:noWrap/>
            <w:hideMark/>
          </w:tcPr>
          <w:p w14:paraId="4074520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517</w:t>
            </w:r>
          </w:p>
        </w:tc>
      </w:tr>
      <w:tr w:rsidR="00F7766F" w:rsidRPr="003B4324" w14:paraId="15B85307" w14:textId="77777777" w:rsidTr="000007D2">
        <w:trPr>
          <w:trHeight w:val="300"/>
        </w:trPr>
        <w:tc>
          <w:tcPr>
            <w:tcW w:w="1661" w:type="dxa"/>
            <w:shd w:val="clear" w:color="auto" w:fill="E7E6E6"/>
            <w:noWrap/>
            <w:vAlign w:val="bottom"/>
            <w:hideMark/>
          </w:tcPr>
          <w:p w14:paraId="1336CE1C"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388DBB93"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2159</w:t>
            </w:r>
          </w:p>
        </w:tc>
        <w:tc>
          <w:tcPr>
            <w:tcW w:w="724" w:type="dxa"/>
            <w:noWrap/>
            <w:hideMark/>
          </w:tcPr>
          <w:p w14:paraId="3061C11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1411</w:t>
            </w:r>
          </w:p>
        </w:tc>
        <w:tc>
          <w:tcPr>
            <w:tcW w:w="724" w:type="dxa"/>
            <w:noWrap/>
            <w:hideMark/>
          </w:tcPr>
          <w:p w14:paraId="313A065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1330</w:t>
            </w:r>
          </w:p>
        </w:tc>
        <w:tc>
          <w:tcPr>
            <w:tcW w:w="725" w:type="dxa"/>
            <w:noWrap/>
            <w:hideMark/>
          </w:tcPr>
          <w:p w14:paraId="1A1145A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1347</w:t>
            </w:r>
          </w:p>
        </w:tc>
        <w:tc>
          <w:tcPr>
            <w:tcW w:w="724" w:type="dxa"/>
            <w:noWrap/>
            <w:hideMark/>
          </w:tcPr>
          <w:p w14:paraId="23A973D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1361</w:t>
            </w:r>
          </w:p>
        </w:tc>
        <w:tc>
          <w:tcPr>
            <w:tcW w:w="724" w:type="dxa"/>
            <w:noWrap/>
            <w:hideMark/>
          </w:tcPr>
          <w:p w14:paraId="36CE52C7"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1377</w:t>
            </w:r>
          </w:p>
        </w:tc>
        <w:tc>
          <w:tcPr>
            <w:tcW w:w="724" w:type="dxa"/>
            <w:noWrap/>
            <w:hideMark/>
          </w:tcPr>
          <w:p w14:paraId="244A7B4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1379</w:t>
            </w:r>
          </w:p>
        </w:tc>
        <w:tc>
          <w:tcPr>
            <w:tcW w:w="725" w:type="dxa"/>
            <w:noWrap/>
            <w:hideMark/>
          </w:tcPr>
          <w:p w14:paraId="58691F1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1096</w:t>
            </w:r>
          </w:p>
        </w:tc>
        <w:tc>
          <w:tcPr>
            <w:tcW w:w="724" w:type="dxa"/>
            <w:noWrap/>
            <w:hideMark/>
          </w:tcPr>
          <w:p w14:paraId="53DAF20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937</w:t>
            </w:r>
          </w:p>
        </w:tc>
        <w:tc>
          <w:tcPr>
            <w:tcW w:w="724" w:type="dxa"/>
            <w:noWrap/>
            <w:hideMark/>
          </w:tcPr>
          <w:p w14:paraId="1183B84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814</w:t>
            </w:r>
          </w:p>
        </w:tc>
        <w:tc>
          <w:tcPr>
            <w:tcW w:w="725" w:type="dxa"/>
            <w:noWrap/>
            <w:hideMark/>
          </w:tcPr>
          <w:p w14:paraId="05407AE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532</w:t>
            </w:r>
          </w:p>
        </w:tc>
      </w:tr>
    </w:tbl>
    <w:p w14:paraId="2887D266" w14:textId="626E5304" w:rsidR="001839EB" w:rsidRDefault="001839EB" w:rsidP="0087794A">
      <w:pPr>
        <w:pStyle w:val="Caption"/>
        <w:keepNext/>
        <w:spacing w:before="160" w:after="160"/>
      </w:pPr>
      <w:bookmarkStart w:id="731" w:name="_Toc153545099"/>
      <w:r>
        <w:lastRenderedPageBreak/>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6</w:t>
      </w:r>
      <w:r w:rsidR="006E0533">
        <w:rPr>
          <w:noProof/>
        </w:rPr>
        <w:fldChar w:fldCharType="end"/>
      </w:r>
      <w:r w:rsidRPr="001839EB">
        <w:t>: Commercial Sector - emissions in ktons of CO2-eq</w:t>
      </w:r>
      <w:bookmarkEnd w:id="731"/>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9B7CAB" w:rsidRPr="003B4324" w14:paraId="360F6F0C" w14:textId="77777777" w:rsidTr="007F4A03">
        <w:trPr>
          <w:trHeight w:val="300"/>
        </w:trPr>
        <w:tc>
          <w:tcPr>
            <w:tcW w:w="1661" w:type="dxa"/>
            <w:shd w:val="clear" w:color="auto" w:fill="404040"/>
            <w:noWrap/>
            <w:vAlign w:val="center"/>
            <w:hideMark/>
          </w:tcPr>
          <w:p w14:paraId="0CB9F7E4" w14:textId="77777777" w:rsidR="009B7CAB" w:rsidRPr="004254D2" w:rsidRDefault="009B7CAB" w:rsidP="007F4A03">
            <w:pPr>
              <w:spacing w:after="0" w:line="240" w:lineRule="auto"/>
              <w:jc w:val="center"/>
              <w:rPr>
                <w:rFonts w:ascii="Calibri Light" w:hAnsi="Calibri Light" w:cs="Calibri Light"/>
                <w:color w:val="000000" w:themeColor="text1"/>
              </w:rPr>
            </w:pPr>
            <w:r w:rsidRPr="009B7CAB">
              <w:rPr>
                <w:rFonts w:ascii="Calibri Light" w:hAnsi="Calibri Light" w:cs="Calibri Light"/>
                <w:color w:val="FFFFFF" w:themeColor="background1"/>
              </w:rPr>
              <w:t>Commercial Sector</w:t>
            </w:r>
            <w:r w:rsidR="000E2508">
              <w:t xml:space="preserve"> </w:t>
            </w:r>
            <w:r w:rsidR="000E2508" w:rsidRPr="000E2508">
              <w:rPr>
                <w:rFonts w:ascii="Calibri Light" w:hAnsi="Calibri Light" w:cs="Calibri Light"/>
                <w:color w:val="FFFFFF" w:themeColor="background1"/>
              </w:rPr>
              <w:t>emissions [ktons of CO2-eq]</w:t>
            </w:r>
          </w:p>
        </w:tc>
        <w:tc>
          <w:tcPr>
            <w:tcW w:w="724" w:type="dxa"/>
            <w:shd w:val="clear" w:color="auto" w:fill="1F497D"/>
            <w:noWrap/>
            <w:vAlign w:val="center"/>
            <w:hideMark/>
          </w:tcPr>
          <w:p w14:paraId="5567AFDB"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05D25016"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70570234"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54FC7728"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74741384"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241DB4ED"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22B2B93F"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3D7974DD"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778506FE"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456A2DC4"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156A9CD6"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F7766F" w:rsidRPr="003B4324" w14:paraId="100FBFB3" w14:textId="77777777" w:rsidTr="000007D2">
        <w:trPr>
          <w:trHeight w:val="300"/>
        </w:trPr>
        <w:tc>
          <w:tcPr>
            <w:tcW w:w="1661" w:type="dxa"/>
            <w:shd w:val="clear" w:color="auto" w:fill="E7E6E6"/>
            <w:noWrap/>
            <w:vAlign w:val="bottom"/>
            <w:hideMark/>
          </w:tcPr>
          <w:p w14:paraId="0923E6C5"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4158CB03"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696</w:t>
            </w:r>
          </w:p>
        </w:tc>
        <w:tc>
          <w:tcPr>
            <w:tcW w:w="724" w:type="dxa"/>
            <w:noWrap/>
            <w:hideMark/>
          </w:tcPr>
          <w:p w14:paraId="06711BD1"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752</w:t>
            </w:r>
          </w:p>
        </w:tc>
        <w:tc>
          <w:tcPr>
            <w:tcW w:w="724" w:type="dxa"/>
            <w:noWrap/>
            <w:hideMark/>
          </w:tcPr>
          <w:p w14:paraId="3C44DFB7"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720</w:t>
            </w:r>
          </w:p>
        </w:tc>
        <w:tc>
          <w:tcPr>
            <w:tcW w:w="725" w:type="dxa"/>
            <w:noWrap/>
            <w:hideMark/>
          </w:tcPr>
          <w:p w14:paraId="3947519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752</w:t>
            </w:r>
          </w:p>
        </w:tc>
        <w:tc>
          <w:tcPr>
            <w:tcW w:w="724" w:type="dxa"/>
            <w:noWrap/>
            <w:hideMark/>
          </w:tcPr>
          <w:p w14:paraId="0010D23D"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781</w:t>
            </w:r>
          </w:p>
        </w:tc>
        <w:tc>
          <w:tcPr>
            <w:tcW w:w="724" w:type="dxa"/>
            <w:noWrap/>
            <w:hideMark/>
          </w:tcPr>
          <w:p w14:paraId="205E283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808</w:t>
            </w:r>
          </w:p>
        </w:tc>
        <w:tc>
          <w:tcPr>
            <w:tcW w:w="724" w:type="dxa"/>
            <w:noWrap/>
            <w:hideMark/>
          </w:tcPr>
          <w:p w14:paraId="573A308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842</w:t>
            </w:r>
          </w:p>
        </w:tc>
        <w:tc>
          <w:tcPr>
            <w:tcW w:w="725" w:type="dxa"/>
            <w:noWrap/>
            <w:hideMark/>
          </w:tcPr>
          <w:p w14:paraId="6E63C0D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1007</w:t>
            </w:r>
          </w:p>
        </w:tc>
        <w:tc>
          <w:tcPr>
            <w:tcW w:w="724" w:type="dxa"/>
            <w:noWrap/>
            <w:hideMark/>
          </w:tcPr>
          <w:p w14:paraId="03EAF618"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1188</w:t>
            </w:r>
          </w:p>
        </w:tc>
        <w:tc>
          <w:tcPr>
            <w:tcW w:w="724" w:type="dxa"/>
            <w:noWrap/>
            <w:hideMark/>
          </w:tcPr>
          <w:p w14:paraId="67EFAA7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1302</w:t>
            </w:r>
          </w:p>
        </w:tc>
        <w:tc>
          <w:tcPr>
            <w:tcW w:w="725" w:type="dxa"/>
            <w:noWrap/>
            <w:hideMark/>
          </w:tcPr>
          <w:p w14:paraId="706C9151"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1439</w:t>
            </w:r>
          </w:p>
        </w:tc>
      </w:tr>
      <w:tr w:rsidR="00F7766F" w:rsidRPr="003B4324" w14:paraId="3238010A" w14:textId="77777777" w:rsidTr="000007D2">
        <w:trPr>
          <w:trHeight w:val="300"/>
        </w:trPr>
        <w:tc>
          <w:tcPr>
            <w:tcW w:w="1661" w:type="dxa"/>
            <w:shd w:val="clear" w:color="auto" w:fill="E7E6E6"/>
            <w:noWrap/>
            <w:vAlign w:val="bottom"/>
            <w:hideMark/>
          </w:tcPr>
          <w:p w14:paraId="4739DF76"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123E9CDE"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720</w:t>
            </w:r>
          </w:p>
        </w:tc>
        <w:tc>
          <w:tcPr>
            <w:tcW w:w="724" w:type="dxa"/>
            <w:noWrap/>
            <w:hideMark/>
          </w:tcPr>
          <w:p w14:paraId="0714B2D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659</w:t>
            </w:r>
          </w:p>
        </w:tc>
        <w:tc>
          <w:tcPr>
            <w:tcW w:w="724" w:type="dxa"/>
            <w:noWrap/>
            <w:hideMark/>
          </w:tcPr>
          <w:p w14:paraId="401C97F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659</w:t>
            </w:r>
          </w:p>
        </w:tc>
        <w:tc>
          <w:tcPr>
            <w:tcW w:w="725" w:type="dxa"/>
            <w:noWrap/>
            <w:hideMark/>
          </w:tcPr>
          <w:p w14:paraId="23FE1C9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689</w:t>
            </w:r>
          </w:p>
        </w:tc>
        <w:tc>
          <w:tcPr>
            <w:tcW w:w="724" w:type="dxa"/>
            <w:noWrap/>
            <w:hideMark/>
          </w:tcPr>
          <w:p w14:paraId="669AD7F7"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716</w:t>
            </w:r>
          </w:p>
        </w:tc>
        <w:tc>
          <w:tcPr>
            <w:tcW w:w="724" w:type="dxa"/>
            <w:noWrap/>
            <w:hideMark/>
          </w:tcPr>
          <w:p w14:paraId="5D5C112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743</w:t>
            </w:r>
          </w:p>
        </w:tc>
        <w:tc>
          <w:tcPr>
            <w:tcW w:w="724" w:type="dxa"/>
            <w:noWrap/>
            <w:hideMark/>
          </w:tcPr>
          <w:p w14:paraId="300AA04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767</w:t>
            </w:r>
          </w:p>
        </w:tc>
        <w:tc>
          <w:tcPr>
            <w:tcW w:w="725" w:type="dxa"/>
            <w:noWrap/>
            <w:hideMark/>
          </w:tcPr>
          <w:p w14:paraId="22B42DA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781</w:t>
            </w:r>
          </w:p>
        </w:tc>
        <w:tc>
          <w:tcPr>
            <w:tcW w:w="724" w:type="dxa"/>
            <w:noWrap/>
            <w:hideMark/>
          </w:tcPr>
          <w:p w14:paraId="7547E8F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747</w:t>
            </w:r>
          </w:p>
        </w:tc>
        <w:tc>
          <w:tcPr>
            <w:tcW w:w="724" w:type="dxa"/>
            <w:noWrap/>
            <w:hideMark/>
          </w:tcPr>
          <w:p w14:paraId="62C0ECE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764</w:t>
            </w:r>
          </w:p>
        </w:tc>
        <w:tc>
          <w:tcPr>
            <w:tcW w:w="725" w:type="dxa"/>
            <w:noWrap/>
            <w:hideMark/>
          </w:tcPr>
          <w:p w14:paraId="1E4E058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794</w:t>
            </w:r>
          </w:p>
        </w:tc>
      </w:tr>
      <w:tr w:rsidR="00F7766F" w:rsidRPr="003B4324" w14:paraId="50FA67B6" w14:textId="77777777" w:rsidTr="000007D2">
        <w:trPr>
          <w:trHeight w:val="300"/>
        </w:trPr>
        <w:tc>
          <w:tcPr>
            <w:tcW w:w="1661" w:type="dxa"/>
            <w:shd w:val="clear" w:color="auto" w:fill="E7E6E6"/>
            <w:noWrap/>
            <w:vAlign w:val="bottom"/>
            <w:hideMark/>
          </w:tcPr>
          <w:p w14:paraId="298C980D"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11B20623"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720</w:t>
            </w:r>
          </w:p>
        </w:tc>
        <w:tc>
          <w:tcPr>
            <w:tcW w:w="724" w:type="dxa"/>
            <w:noWrap/>
            <w:hideMark/>
          </w:tcPr>
          <w:p w14:paraId="75A2374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659</w:t>
            </w:r>
          </w:p>
        </w:tc>
        <w:tc>
          <w:tcPr>
            <w:tcW w:w="724" w:type="dxa"/>
            <w:noWrap/>
            <w:hideMark/>
          </w:tcPr>
          <w:p w14:paraId="6B2F21A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659</w:t>
            </w:r>
          </w:p>
        </w:tc>
        <w:tc>
          <w:tcPr>
            <w:tcW w:w="725" w:type="dxa"/>
            <w:noWrap/>
            <w:hideMark/>
          </w:tcPr>
          <w:p w14:paraId="0A2A66D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689</w:t>
            </w:r>
          </w:p>
        </w:tc>
        <w:tc>
          <w:tcPr>
            <w:tcW w:w="724" w:type="dxa"/>
            <w:noWrap/>
            <w:hideMark/>
          </w:tcPr>
          <w:p w14:paraId="17B762D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716</w:t>
            </w:r>
          </w:p>
        </w:tc>
        <w:tc>
          <w:tcPr>
            <w:tcW w:w="724" w:type="dxa"/>
            <w:noWrap/>
            <w:hideMark/>
          </w:tcPr>
          <w:p w14:paraId="71571F0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743</w:t>
            </w:r>
          </w:p>
        </w:tc>
        <w:tc>
          <w:tcPr>
            <w:tcW w:w="724" w:type="dxa"/>
            <w:noWrap/>
            <w:hideMark/>
          </w:tcPr>
          <w:p w14:paraId="364D47D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767</w:t>
            </w:r>
          </w:p>
        </w:tc>
        <w:tc>
          <w:tcPr>
            <w:tcW w:w="725" w:type="dxa"/>
            <w:noWrap/>
            <w:hideMark/>
          </w:tcPr>
          <w:p w14:paraId="4DCA2B9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778</w:t>
            </w:r>
          </w:p>
        </w:tc>
        <w:tc>
          <w:tcPr>
            <w:tcW w:w="724" w:type="dxa"/>
            <w:noWrap/>
            <w:hideMark/>
          </w:tcPr>
          <w:p w14:paraId="5FF839C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747</w:t>
            </w:r>
          </w:p>
        </w:tc>
        <w:tc>
          <w:tcPr>
            <w:tcW w:w="724" w:type="dxa"/>
            <w:noWrap/>
            <w:hideMark/>
          </w:tcPr>
          <w:p w14:paraId="50CE021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751</w:t>
            </w:r>
          </w:p>
        </w:tc>
        <w:tc>
          <w:tcPr>
            <w:tcW w:w="725" w:type="dxa"/>
            <w:noWrap/>
            <w:hideMark/>
          </w:tcPr>
          <w:p w14:paraId="0A32913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768</w:t>
            </w:r>
          </w:p>
        </w:tc>
      </w:tr>
    </w:tbl>
    <w:p w14:paraId="39AFE0D2" w14:textId="66385ECE" w:rsidR="005D0D15" w:rsidRDefault="005D0D15" w:rsidP="0087794A">
      <w:pPr>
        <w:pStyle w:val="Caption"/>
        <w:keepNext/>
        <w:spacing w:before="160" w:after="160"/>
      </w:pPr>
      <w:bookmarkStart w:id="732" w:name="_Toc153545100"/>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7</w:t>
      </w:r>
      <w:r w:rsidR="006E0533">
        <w:rPr>
          <w:noProof/>
        </w:rPr>
        <w:fldChar w:fldCharType="end"/>
      </w:r>
      <w:r w:rsidRPr="005D0D15">
        <w:t>: Other Sectors: Energy Use, Fugitive and Process Emissions - emissions in ktons of CO2-eq</w:t>
      </w:r>
      <w:bookmarkEnd w:id="732"/>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9B7CAB" w:rsidRPr="003B4324" w14:paraId="1BACD64F" w14:textId="77777777" w:rsidTr="007F4A03">
        <w:trPr>
          <w:trHeight w:val="300"/>
        </w:trPr>
        <w:tc>
          <w:tcPr>
            <w:tcW w:w="1661" w:type="dxa"/>
            <w:shd w:val="clear" w:color="auto" w:fill="404040"/>
            <w:noWrap/>
            <w:vAlign w:val="center"/>
            <w:hideMark/>
          </w:tcPr>
          <w:p w14:paraId="3CE45E0F" w14:textId="77777777" w:rsidR="009B7CAB" w:rsidRPr="004254D2" w:rsidRDefault="009B7CAB" w:rsidP="007F4A03">
            <w:pPr>
              <w:spacing w:after="0" w:line="240" w:lineRule="auto"/>
              <w:jc w:val="center"/>
              <w:rPr>
                <w:rFonts w:ascii="Calibri Light" w:hAnsi="Calibri Light" w:cs="Calibri Light"/>
                <w:color w:val="000000" w:themeColor="text1"/>
              </w:rPr>
            </w:pPr>
            <w:r w:rsidRPr="009B7CAB">
              <w:rPr>
                <w:rFonts w:ascii="Calibri Light" w:hAnsi="Calibri Light" w:cs="Calibri Light"/>
                <w:color w:val="FFFFFF" w:themeColor="background1"/>
              </w:rPr>
              <w:t>Other Sectors</w:t>
            </w:r>
            <w:r w:rsidR="00F7766F" w:rsidRPr="00F7766F">
              <w:rPr>
                <w:rFonts w:ascii="Calibri Light" w:hAnsi="Calibri Light" w:cs="Calibri Light"/>
                <w:color w:val="FFFFFF" w:themeColor="background1"/>
              </w:rPr>
              <w:t>- emissions</w:t>
            </w:r>
            <w:r w:rsidR="000E2508" w:rsidRPr="000E2508">
              <w:rPr>
                <w:rFonts w:ascii="Calibri Light" w:hAnsi="Calibri Light" w:cs="Calibri Light"/>
                <w:color w:val="FFFFFF" w:themeColor="background1"/>
              </w:rPr>
              <w:t xml:space="preserve"> [ktons of CO2-eq]</w:t>
            </w:r>
          </w:p>
        </w:tc>
        <w:tc>
          <w:tcPr>
            <w:tcW w:w="724" w:type="dxa"/>
            <w:shd w:val="clear" w:color="auto" w:fill="1F497D"/>
            <w:noWrap/>
            <w:vAlign w:val="center"/>
            <w:hideMark/>
          </w:tcPr>
          <w:p w14:paraId="1FF93C85"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37937057"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2E499206"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5773B08B"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0C489F76"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591A38F9"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5E0890C1"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09A63653"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487ECB72"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434F9E38"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6075A0F6" w14:textId="77777777" w:rsidR="009B7CAB" w:rsidRPr="004254D2" w:rsidRDefault="009B7CAB"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F7766F" w:rsidRPr="003B4324" w14:paraId="7777223F" w14:textId="77777777" w:rsidTr="000007D2">
        <w:trPr>
          <w:trHeight w:val="300"/>
        </w:trPr>
        <w:tc>
          <w:tcPr>
            <w:tcW w:w="1661" w:type="dxa"/>
            <w:shd w:val="clear" w:color="auto" w:fill="E7E6E6"/>
            <w:noWrap/>
            <w:vAlign w:val="bottom"/>
            <w:hideMark/>
          </w:tcPr>
          <w:p w14:paraId="50A65F7A"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19A9AFCD"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3986</w:t>
            </w:r>
          </w:p>
        </w:tc>
        <w:tc>
          <w:tcPr>
            <w:tcW w:w="724" w:type="dxa"/>
            <w:noWrap/>
            <w:hideMark/>
          </w:tcPr>
          <w:p w14:paraId="1DCA153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4415</w:t>
            </w:r>
          </w:p>
        </w:tc>
        <w:tc>
          <w:tcPr>
            <w:tcW w:w="724" w:type="dxa"/>
            <w:noWrap/>
            <w:hideMark/>
          </w:tcPr>
          <w:p w14:paraId="6C9C3B8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4527</w:t>
            </w:r>
          </w:p>
        </w:tc>
        <w:tc>
          <w:tcPr>
            <w:tcW w:w="725" w:type="dxa"/>
            <w:noWrap/>
            <w:hideMark/>
          </w:tcPr>
          <w:p w14:paraId="40A4FA3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4622</w:t>
            </w:r>
          </w:p>
        </w:tc>
        <w:tc>
          <w:tcPr>
            <w:tcW w:w="724" w:type="dxa"/>
            <w:noWrap/>
            <w:hideMark/>
          </w:tcPr>
          <w:p w14:paraId="141F1AB9"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4628</w:t>
            </w:r>
          </w:p>
        </w:tc>
        <w:tc>
          <w:tcPr>
            <w:tcW w:w="724" w:type="dxa"/>
            <w:noWrap/>
            <w:hideMark/>
          </w:tcPr>
          <w:p w14:paraId="0850D46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4608</w:t>
            </w:r>
          </w:p>
        </w:tc>
        <w:tc>
          <w:tcPr>
            <w:tcW w:w="724" w:type="dxa"/>
            <w:noWrap/>
            <w:hideMark/>
          </w:tcPr>
          <w:p w14:paraId="1FF1E2F7"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4616</w:t>
            </w:r>
          </w:p>
        </w:tc>
        <w:tc>
          <w:tcPr>
            <w:tcW w:w="725" w:type="dxa"/>
            <w:noWrap/>
            <w:hideMark/>
          </w:tcPr>
          <w:p w14:paraId="1D9CEC4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4379</w:t>
            </w:r>
          </w:p>
        </w:tc>
        <w:tc>
          <w:tcPr>
            <w:tcW w:w="724" w:type="dxa"/>
            <w:noWrap/>
            <w:hideMark/>
          </w:tcPr>
          <w:p w14:paraId="2820613E"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4140</w:t>
            </w:r>
          </w:p>
        </w:tc>
        <w:tc>
          <w:tcPr>
            <w:tcW w:w="724" w:type="dxa"/>
            <w:noWrap/>
            <w:hideMark/>
          </w:tcPr>
          <w:p w14:paraId="7D3F430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3865</w:t>
            </w:r>
          </w:p>
        </w:tc>
        <w:tc>
          <w:tcPr>
            <w:tcW w:w="725" w:type="dxa"/>
            <w:noWrap/>
            <w:hideMark/>
          </w:tcPr>
          <w:p w14:paraId="7EFAD2D5"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3502</w:t>
            </w:r>
          </w:p>
        </w:tc>
      </w:tr>
      <w:tr w:rsidR="00F7766F" w:rsidRPr="003B4324" w14:paraId="57D38777" w14:textId="77777777" w:rsidTr="000007D2">
        <w:trPr>
          <w:trHeight w:val="300"/>
        </w:trPr>
        <w:tc>
          <w:tcPr>
            <w:tcW w:w="1661" w:type="dxa"/>
            <w:shd w:val="clear" w:color="auto" w:fill="E7E6E6"/>
            <w:noWrap/>
            <w:vAlign w:val="bottom"/>
            <w:hideMark/>
          </w:tcPr>
          <w:p w14:paraId="3069C83E"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6533C804"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3985</w:t>
            </w:r>
          </w:p>
        </w:tc>
        <w:tc>
          <w:tcPr>
            <w:tcW w:w="724" w:type="dxa"/>
            <w:noWrap/>
            <w:hideMark/>
          </w:tcPr>
          <w:p w14:paraId="0E8D24F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4262</w:t>
            </w:r>
          </w:p>
        </w:tc>
        <w:tc>
          <w:tcPr>
            <w:tcW w:w="724" w:type="dxa"/>
            <w:noWrap/>
            <w:hideMark/>
          </w:tcPr>
          <w:p w14:paraId="57CFAD3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4303</w:t>
            </w:r>
          </w:p>
        </w:tc>
        <w:tc>
          <w:tcPr>
            <w:tcW w:w="725" w:type="dxa"/>
            <w:noWrap/>
            <w:hideMark/>
          </w:tcPr>
          <w:p w14:paraId="5535B5A8"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4355</w:t>
            </w:r>
          </w:p>
        </w:tc>
        <w:tc>
          <w:tcPr>
            <w:tcW w:w="724" w:type="dxa"/>
            <w:noWrap/>
            <w:hideMark/>
          </w:tcPr>
          <w:p w14:paraId="0886C63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4289</w:t>
            </w:r>
          </w:p>
        </w:tc>
        <w:tc>
          <w:tcPr>
            <w:tcW w:w="724" w:type="dxa"/>
            <w:noWrap/>
            <w:hideMark/>
          </w:tcPr>
          <w:p w14:paraId="356F4A88"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4154</w:t>
            </w:r>
          </w:p>
        </w:tc>
        <w:tc>
          <w:tcPr>
            <w:tcW w:w="724" w:type="dxa"/>
            <w:noWrap/>
            <w:hideMark/>
          </w:tcPr>
          <w:p w14:paraId="098B045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3990</w:t>
            </w:r>
          </w:p>
        </w:tc>
        <w:tc>
          <w:tcPr>
            <w:tcW w:w="725" w:type="dxa"/>
            <w:noWrap/>
            <w:hideMark/>
          </w:tcPr>
          <w:p w14:paraId="3533767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3388</w:t>
            </w:r>
          </w:p>
        </w:tc>
        <w:tc>
          <w:tcPr>
            <w:tcW w:w="724" w:type="dxa"/>
            <w:noWrap/>
            <w:hideMark/>
          </w:tcPr>
          <w:p w14:paraId="1255B2A4"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2525</w:t>
            </w:r>
          </w:p>
        </w:tc>
        <w:tc>
          <w:tcPr>
            <w:tcW w:w="724" w:type="dxa"/>
            <w:noWrap/>
            <w:hideMark/>
          </w:tcPr>
          <w:p w14:paraId="7CB3028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1897</w:t>
            </w:r>
          </w:p>
        </w:tc>
        <w:tc>
          <w:tcPr>
            <w:tcW w:w="725" w:type="dxa"/>
            <w:noWrap/>
            <w:hideMark/>
          </w:tcPr>
          <w:p w14:paraId="7A74399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1448</w:t>
            </w:r>
          </w:p>
        </w:tc>
      </w:tr>
      <w:tr w:rsidR="00F7766F" w:rsidRPr="003B4324" w14:paraId="56744233" w14:textId="77777777" w:rsidTr="000007D2">
        <w:trPr>
          <w:trHeight w:val="300"/>
        </w:trPr>
        <w:tc>
          <w:tcPr>
            <w:tcW w:w="1661" w:type="dxa"/>
            <w:shd w:val="clear" w:color="auto" w:fill="E7E6E6"/>
            <w:noWrap/>
            <w:vAlign w:val="bottom"/>
            <w:hideMark/>
          </w:tcPr>
          <w:p w14:paraId="6900C010" w14:textId="77777777" w:rsidR="00F7766F" w:rsidRPr="004254D2" w:rsidRDefault="00F7766F" w:rsidP="00F7766F">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5CD50BDD" w14:textId="77777777" w:rsidR="00F7766F" w:rsidRPr="004254D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3985</w:t>
            </w:r>
          </w:p>
        </w:tc>
        <w:tc>
          <w:tcPr>
            <w:tcW w:w="724" w:type="dxa"/>
            <w:noWrap/>
            <w:hideMark/>
          </w:tcPr>
          <w:p w14:paraId="74350642"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4262</w:t>
            </w:r>
          </w:p>
        </w:tc>
        <w:tc>
          <w:tcPr>
            <w:tcW w:w="724" w:type="dxa"/>
            <w:noWrap/>
            <w:hideMark/>
          </w:tcPr>
          <w:p w14:paraId="313DFE2D"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4303</w:t>
            </w:r>
          </w:p>
        </w:tc>
        <w:tc>
          <w:tcPr>
            <w:tcW w:w="725" w:type="dxa"/>
            <w:noWrap/>
            <w:hideMark/>
          </w:tcPr>
          <w:p w14:paraId="324CC2EA"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4355</w:t>
            </w:r>
          </w:p>
        </w:tc>
        <w:tc>
          <w:tcPr>
            <w:tcW w:w="724" w:type="dxa"/>
            <w:noWrap/>
            <w:hideMark/>
          </w:tcPr>
          <w:p w14:paraId="45DE582F"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4289</w:t>
            </w:r>
          </w:p>
        </w:tc>
        <w:tc>
          <w:tcPr>
            <w:tcW w:w="724" w:type="dxa"/>
            <w:noWrap/>
            <w:hideMark/>
          </w:tcPr>
          <w:p w14:paraId="7DE9E05B"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4154</w:t>
            </w:r>
          </w:p>
        </w:tc>
        <w:tc>
          <w:tcPr>
            <w:tcW w:w="724" w:type="dxa"/>
            <w:noWrap/>
            <w:hideMark/>
          </w:tcPr>
          <w:p w14:paraId="105108BC"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3990</w:t>
            </w:r>
          </w:p>
        </w:tc>
        <w:tc>
          <w:tcPr>
            <w:tcW w:w="725" w:type="dxa"/>
            <w:noWrap/>
            <w:hideMark/>
          </w:tcPr>
          <w:p w14:paraId="0FC8C993"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3388</w:t>
            </w:r>
          </w:p>
        </w:tc>
        <w:tc>
          <w:tcPr>
            <w:tcW w:w="724" w:type="dxa"/>
            <w:noWrap/>
            <w:hideMark/>
          </w:tcPr>
          <w:p w14:paraId="24E9C580"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2541</w:t>
            </w:r>
          </w:p>
        </w:tc>
        <w:tc>
          <w:tcPr>
            <w:tcW w:w="724" w:type="dxa"/>
            <w:noWrap/>
            <w:hideMark/>
          </w:tcPr>
          <w:p w14:paraId="374A82B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1715</w:t>
            </w:r>
          </w:p>
        </w:tc>
        <w:tc>
          <w:tcPr>
            <w:tcW w:w="725" w:type="dxa"/>
            <w:noWrap/>
            <w:hideMark/>
          </w:tcPr>
          <w:p w14:paraId="40855756" w14:textId="77777777" w:rsidR="00F7766F" w:rsidRPr="002574F2" w:rsidRDefault="00F7766F" w:rsidP="00F7766F">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1204</w:t>
            </w:r>
          </w:p>
        </w:tc>
      </w:tr>
    </w:tbl>
    <w:p w14:paraId="451C9510" w14:textId="77777777" w:rsidR="001E0003" w:rsidRDefault="001E0003" w:rsidP="00884F3B">
      <w:pPr>
        <w:pStyle w:val="Heading4"/>
        <w:numPr>
          <w:ilvl w:val="0"/>
          <w:numId w:val="238"/>
        </w:numPr>
      </w:pPr>
      <w:r>
        <w:t>Power Sector</w:t>
      </w:r>
    </w:p>
    <w:p w14:paraId="7E3F5FFA" w14:textId="6BA7322D" w:rsidR="005D0D15" w:rsidRDefault="005D0D15" w:rsidP="0087794A">
      <w:pPr>
        <w:pStyle w:val="Caption"/>
        <w:keepNext/>
        <w:spacing w:before="160" w:after="160"/>
      </w:pPr>
      <w:bookmarkStart w:id="733" w:name="_Toc153545101"/>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8</w:t>
      </w:r>
      <w:r w:rsidR="006E0533">
        <w:rPr>
          <w:noProof/>
        </w:rPr>
        <w:fldChar w:fldCharType="end"/>
      </w:r>
      <w:r w:rsidRPr="005D0D15">
        <w:t>: Electricity Generation per source (TWh)</w:t>
      </w:r>
      <w:bookmarkEnd w:id="733"/>
    </w:p>
    <w:tbl>
      <w:tblPr>
        <w:tblStyle w:val="TableGrid"/>
        <w:tblW w:w="9776" w:type="dxa"/>
        <w:tblLayout w:type="fixed"/>
        <w:tblLook w:val="04A0" w:firstRow="1" w:lastRow="0" w:firstColumn="1" w:lastColumn="0" w:noHBand="0" w:noVBand="1"/>
      </w:tblPr>
      <w:tblGrid>
        <w:gridCol w:w="1271"/>
        <w:gridCol w:w="851"/>
        <w:gridCol w:w="850"/>
        <w:gridCol w:w="709"/>
        <w:gridCol w:w="992"/>
        <w:gridCol w:w="851"/>
        <w:gridCol w:w="1134"/>
        <w:gridCol w:w="850"/>
        <w:gridCol w:w="709"/>
        <w:gridCol w:w="709"/>
        <w:gridCol w:w="850"/>
      </w:tblGrid>
      <w:tr w:rsidR="00F84D5E" w:rsidRPr="003B4324" w14:paraId="5D00616F" w14:textId="77777777" w:rsidTr="000007D2">
        <w:trPr>
          <w:trHeight w:val="300"/>
        </w:trPr>
        <w:tc>
          <w:tcPr>
            <w:tcW w:w="1271" w:type="dxa"/>
            <w:tcBorders>
              <w:bottom w:val="single" w:sz="12" w:space="0" w:color="auto"/>
            </w:tcBorders>
            <w:shd w:val="clear" w:color="auto" w:fill="404040"/>
            <w:noWrap/>
            <w:vAlign w:val="center"/>
            <w:hideMark/>
          </w:tcPr>
          <w:p w14:paraId="3D86E0CE" w14:textId="77777777" w:rsidR="00B37318" w:rsidRPr="004254D2" w:rsidRDefault="00B37318" w:rsidP="00B37318">
            <w:pPr>
              <w:spacing w:after="0" w:line="240" w:lineRule="auto"/>
              <w:jc w:val="center"/>
              <w:rPr>
                <w:rFonts w:ascii="Calibri Light" w:hAnsi="Calibri Light" w:cs="Calibri Light"/>
                <w:color w:val="000000" w:themeColor="text1"/>
              </w:rPr>
            </w:pPr>
            <w:r w:rsidRPr="00B37318">
              <w:rPr>
                <w:rFonts w:ascii="Calibri Light" w:hAnsi="Calibri Light" w:cs="Calibri Light"/>
                <w:color w:val="FFFFFF" w:themeColor="background1"/>
              </w:rPr>
              <w:t>Electricity Generation per source (TWh)</w:t>
            </w:r>
          </w:p>
        </w:tc>
        <w:tc>
          <w:tcPr>
            <w:tcW w:w="851" w:type="dxa"/>
            <w:tcBorders>
              <w:bottom w:val="single" w:sz="12" w:space="0" w:color="auto"/>
            </w:tcBorders>
            <w:shd w:val="clear" w:color="auto" w:fill="1F497D"/>
            <w:noWrap/>
            <w:vAlign w:val="center"/>
            <w:hideMark/>
          </w:tcPr>
          <w:p w14:paraId="7A6B0318"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Year</w:t>
            </w:r>
          </w:p>
        </w:tc>
        <w:tc>
          <w:tcPr>
            <w:tcW w:w="850" w:type="dxa"/>
            <w:tcBorders>
              <w:bottom w:val="single" w:sz="12" w:space="0" w:color="auto"/>
            </w:tcBorders>
            <w:shd w:val="clear" w:color="auto" w:fill="1F497D"/>
            <w:noWrap/>
            <w:vAlign w:val="center"/>
            <w:hideMark/>
          </w:tcPr>
          <w:p w14:paraId="76629BC3"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Nuclear</w:t>
            </w:r>
          </w:p>
        </w:tc>
        <w:tc>
          <w:tcPr>
            <w:tcW w:w="709" w:type="dxa"/>
            <w:tcBorders>
              <w:bottom w:val="single" w:sz="12" w:space="0" w:color="auto"/>
            </w:tcBorders>
            <w:shd w:val="clear" w:color="auto" w:fill="1F497D"/>
            <w:noWrap/>
            <w:vAlign w:val="center"/>
            <w:hideMark/>
          </w:tcPr>
          <w:p w14:paraId="3FFE8558"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Solid Fuels</w:t>
            </w:r>
          </w:p>
        </w:tc>
        <w:tc>
          <w:tcPr>
            <w:tcW w:w="992" w:type="dxa"/>
            <w:tcBorders>
              <w:bottom w:val="single" w:sz="12" w:space="0" w:color="auto"/>
            </w:tcBorders>
            <w:shd w:val="clear" w:color="auto" w:fill="1F497D"/>
            <w:noWrap/>
            <w:vAlign w:val="center"/>
            <w:hideMark/>
          </w:tcPr>
          <w:p w14:paraId="224E6467"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Oil Products</w:t>
            </w:r>
          </w:p>
        </w:tc>
        <w:tc>
          <w:tcPr>
            <w:tcW w:w="851" w:type="dxa"/>
            <w:tcBorders>
              <w:bottom w:val="single" w:sz="12" w:space="0" w:color="auto"/>
            </w:tcBorders>
            <w:shd w:val="clear" w:color="auto" w:fill="1F497D"/>
            <w:noWrap/>
            <w:vAlign w:val="center"/>
            <w:hideMark/>
          </w:tcPr>
          <w:p w14:paraId="346E7852"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Natural Gas</w:t>
            </w:r>
          </w:p>
        </w:tc>
        <w:tc>
          <w:tcPr>
            <w:tcW w:w="1134" w:type="dxa"/>
            <w:tcBorders>
              <w:bottom w:val="single" w:sz="12" w:space="0" w:color="auto"/>
            </w:tcBorders>
            <w:shd w:val="clear" w:color="auto" w:fill="1F497D"/>
            <w:noWrap/>
            <w:vAlign w:val="center"/>
            <w:hideMark/>
          </w:tcPr>
          <w:p w14:paraId="0D0A9E69"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Bioener</w:t>
            </w:r>
            <w:r>
              <w:rPr>
                <w:rFonts w:ascii="Calibri Light" w:hAnsi="Calibri Light" w:cs="Calibri Light"/>
                <w:color w:val="FFFFFF" w:themeColor="background1"/>
              </w:rPr>
              <w:t>g</w:t>
            </w:r>
            <w:r w:rsidRPr="000007D2">
              <w:rPr>
                <w:rFonts w:ascii="Calibri Light" w:hAnsi="Calibri Light" w:cs="Calibri Light"/>
                <w:color w:val="FFFFFF" w:themeColor="background1"/>
              </w:rPr>
              <w:t>y</w:t>
            </w:r>
            <w:r>
              <w:rPr>
                <w:rFonts w:ascii="Calibri Light" w:hAnsi="Calibri Light" w:cs="Calibri Light"/>
                <w:color w:val="FFFFFF" w:themeColor="background1"/>
              </w:rPr>
              <w:t xml:space="preserve"> </w:t>
            </w:r>
            <w:r w:rsidRPr="000007D2">
              <w:rPr>
                <w:rFonts w:ascii="Calibri Light" w:hAnsi="Calibri Light" w:cs="Calibri Light"/>
                <w:color w:val="FFFFFF" w:themeColor="background1"/>
              </w:rPr>
              <w:t>&amp;</w:t>
            </w:r>
            <w:r>
              <w:rPr>
                <w:rFonts w:ascii="Calibri Light" w:hAnsi="Calibri Light" w:cs="Calibri Light"/>
                <w:color w:val="FFFFFF" w:themeColor="background1"/>
              </w:rPr>
              <w:t xml:space="preserve"> </w:t>
            </w:r>
            <w:r w:rsidRPr="000007D2">
              <w:rPr>
                <w:rFonts w:ascii="Calibri Light" w:hAnsi="Calibri Light" w:cs="Calibri Light"/>
                <w:color w:val="FFFFFF" w:themeColor="background1"/>
              </w:rPr>
              <w:t>Waste</w:t>
            </w:r>
          </w:p>
        </w:tc>
        <w:tc>
          <w:tcPr>
            <w:tcW w:w="850" w:type="dxa"/>
            <w:tcBorders>
              <w:bottom w:val="single" w:sz="12" w:space="0" w:color="auto"/>
            </w:tcBorders>
            <w:shd w:val="clear" w:color="auto" w:fill="1F497D"/>
            <w:noWrap/>
            <w:vAlign w:val="center"/>
            <w:hideMark/>
          </w:tcPr>
          <w:p w14:paraId="6B6BD398"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Hydro</w:t>
            </w:r>
            <w:r>
              <w:rPr>
                <w:rFonts w:ascii="Calibri Light" w:hAnsi="Calibri Light" w:cs="Calibri Light"/>
                <w:color w:val="FFFFFF" w:themeColor="background1"/>
              </w:rPr>
              <w:t xml:space="preserve"> </w:t>
            </w:r>
            <w:r w:rsidRPr="000007D2">
              <w:rPr>
                <w:rFonts w:ascii="Calibri Light" w:hAnsi="Calibri Light" w:cs="Calibri Light"/>
                <w:color w:val="FFFFFF" w:themeColor="background1"/>
              </w:rPr>
              <w:t>power</w:t>
            </w:r>
          </w:p>
        </w:tc>
        <w:tc>
          <w:tcPr>
            <w:tcW w:w="709" w:type="dxa"/>
            <w:tcBorders>
              <w:bottom w:val="single" w:sz="12" w:space="0" w:color="auto"/>
            </w:tcBorders>
            <w:shd w:val="clear" w:color="auto" w:fill="1F497D"/>
            <w:noWrap/>
            <w:vAlign w:val="center"/>
            <w:hideMark/>
          </w:tcPr>
          <w:p w14:paraId="22A169ED"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Wind</w:t>
            </w:r>
          </w:p>
        </w:tc>
        <w:tc>
          <w:tcPr>
            <w:tcW w:w="709" w:type="dxa"/>
            <w:tcBorders>
              <w:bottom w:val="single" w:sz="12" w:space="0" w:color="auto"/>
            </w:tcBorders>
            <w:shd w:val="clear" w:color="auto" w:fill="1F497D"/>
            <w:noWrap/>
            <w:vAlign w:val="center"/>
            <w:hideMark/>
          </w:tcPr>
          <w:p w14:paraId="25697EBE"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Solar</w:t>
            </w:r>
          </w:p>
        </w:tc>
        <w:tc>
          <w:tcPr>
            <w:tcW w:w="850" w:type="dxa"/>
            <w:tcBorders>
              <w:bottom w:val="single" w:sz="12" w:space="0" w:color="auto"/>
            </w:tcBorders>
            <w:shd w:val="clear" w:color="auto" w:fill="1F497D"/>
            <w:noWrap/>
            <w:vAlign w:val="center"/>
            <w:hideMark/>
          </w:tcPr>
          <w:p w14:paraId="5B300A1A" w14:textId="77777777" w:rsidR="00B37318" w:rsidRPr="004254D2" w:rsidRDefault="00B37318" w:rsidP="00B37318">
            <w:pPr>
              <w:spacing w:after="0" w:line="240" w:lineRule="auto"/>
              <w:jc w:val="center"/>
              <w:rPr>
                <w:rFonts w:ascii="Calibri Light" w:hAnsi="Calibri Light" w:cs="Calibri Light"/>
                <w:color w:val="FFFFFF" w:themeColor="background1"/>
              </w:rPr>
            </w:pPr>
            <w:r w:rsidRPr="000007D2">
              <w:rPr>
                <w:rFonts w:ascii="Calibri Light" w:hAnsi="Calibri Light" w:cs="Calibri Light"/>
                <w:color w:val="FFFFFF" w:themeColor="background1"/>
              </w:rPr>
              <w:t>Total (TWh)</w:t>
            </w:r>
          </w:p>
        </w:tc>
      </w:tr>
      <w:tr w:rsidR="00F84D5E" w:rsidRPr="003B4324" w14:paraId="1742D598" w14:textId="77777777" w:rsidTr="000007D2">
        <w:trPr>
          <w:trHeight w:val="300"/>
        </w:trPr>
        <w:tc>
          <w:tcPr>
            <w:tcW w:w="1271" w:type="dxa"/>
            <w:vMerge w:val="restart"/>
            <w:tcBorders>
              <w:top w:val="single" w:sz="12" w:space="0" w:color="auto"/>
              <w:left w:val="single" w:sz="12" w:space="0" w:color="auto"/>
              <w:bottom w:val="single" w:sz="8" w:space="0" w:color="auto"/>
              <w:right w:val="single" w:sz="8" w:space="0" w:color="auto"/>
            </w:tcBorders>
            <w:shd w:val="clear" w:color="auto" w:fill="E7E6E6"/>
            <w:noWrap/>
            <w:vAlign w:val="center"/>
            <w:hideMark/>
          </w:tcPr>
          <w:p w14:paraId="72A6BEEE" w14:textId="77777777" w:rsidR="00B37318" w:rsidRPr="004254D2" w:rsidRDefault="00B37318" w:rsidP="00B37318">
            <w:pPr>
              <w:spacing w:after="0" w:line="240" w:lineRule="auto"/>
              <w:jc w:val="left"/>
              <w:rPr>
                <w:rFonts w:ascii="Calibri Light" w:hAnsi="Calibri Light" w:cs="Calibri Light"/>
                <w:color w:val="000000" w:themeColor="text1"/>
              </w:rPr>
            </w:pPr>
            <w:r w:rsidRPr="00B37318">
              <w:rPr>
                <w:rFonts w:ascii="Calibri Light" w:hAnsi="Calibri Light" w:cs="Calibri Light"/>
                <w:color w:val="000000" w:themeColor="text1"/>
              </w:rPr>
              <w:t>WEM</w:t>
            </w:r>
          </w:p>
        </w:tc>
        <w:tc>
          <w:tcPr>
            <w:tcW w:w="851" w:type="dxa"/>
            <w:tcBorders>
              <w:top w:val="single" w:sz="12" w:space="0" w:color="auto"/>
              <w:left w:val="single" w:sz="8" w:space="0" w:color="auto"/>
              <w:bottom w:val="single" w:sz="8" w:space="0" w:color="auto"/>
              <w:right w:val="single" w:sz="8" w:space="0" w:color="auto"/>
            </w:tcBorders>
            <w:noWrap/>
            <w:hideMark/>
          </w:tcPr>
          <w:p w14:paraId="01F7A7FA" w14:textId="77777777" w:rsidR="00B37318" w:rsidRPr="004254D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2019</w:t>
            </w:r>
          </w:p>
        </w:tc>
        <w:tc>
          <w:tcPr>
            <w:tcW w:w="850" w:type="dxa"/>
            <w:tcBorders>
              <w:top w:val="single" w:sz="12" w:space="0" w:color="auto"/>
              <w:left w:val="single" w:sz="8" w:space="0" w:color="auto"/>
              <w:bottom w:val="single" w:sz="8" w:space="0" w:color="auto"/>
              <w:right w:val="single" w:sz="8" w:space="0" w:color="auto"/>
            </w:tcBorders>
            <w:noWrap/>
            <w:hideMark/>
          </w:tcPr>
          <w:p w14:paraId="14F3CA8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12" w:space="0" w:color="auto"/>
              <w:left w:val="single" w:sz="8" w:space="0" w:color="auto"/>
              <w:bottom w:val="single" w:sz="8" w:space="0" w:color="auto"/>
              <w:right w:val="single" w:sz="8" w:space="0" w:color="auto"/>
            </w:tcBorders>
            <w:noWrap/>
            <w:hideMark/>
          </w:tcPr>
          <w:p w14:paraId="67ACA8E8"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25.45</w:t>
            </w:r>
          </w:p>
        </w:tc>
        <w:tc>
          <w:tcPr>
            <w:tcW w:w="992" w:type="dxa"/>
            <w:tcBorders>
              <w:top w:val="single" w:sz="12" w:space="0" w:color="auto"/>
              <w:left w:val="single" w:sz="8" w:space="0" w:color="auto"/>
              <w:bottom w:val="single" w:sz="8" w:space="0" w:color="auto"/>
              <w:right w:val="single" w:sz="8" w:space="0" w:color="auto"/>
            </w:tcBorders>
            <w:noWrap/>
            <w:hideMark/>
          </w:tcPr>
          <w:p w14:paraId="65D8A84B"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0.05</w:t>
            </w:r>
          </w:p>
        </w:tc>
        <w:tc>
          <w:tcPr>
            <w:tcW w:w="851" w:type="dxa"/>
            <w:tcBorders>
              <w:top w:val="single" w:sz="12" w:space="0" w:color="auto"/>
              <w:left w:val="single" w:sz="8" w:space="0" w:color="auto"/>
              <w:bottom w:val="single" w:sz="8" w:space="0" w:color="auto"/>
              <w:right w:val="single" w:sz="8" w:space="0" w:color="auto"/>
            </w:tcBorders>
            <w:noWrap/>
            <w:hideMark/>
          </w:tcPr>
          <w:p w14:paraId="43BD212F"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0.73</w:t>
            </w:r>
          </w:p>
        </w:tc>
        <w:tc>
          <w:tcPr>
            <w:tcW w:w="1134" w:type="dxa"/>
            <w:tcBorders>
              <w:top w:val="single" w:sz="12" w:space="0" w:color="auto"/>
              <w:left w:val="single" w:sz="8" w:space="0" w:color="auto"/>
              <w:bottom w:val="single" w:sz="8" w:space="0" w:color="auto"/>
              <w:right w:val="single" w:sz="8" w:space="0" w:color="auto"/>
            </w:tcBorders>
            <w:noWrap/>
            <w:hideMark/>
          </w:tcPr>
          <w:p w14:paraId="49AEDD0B"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0.16</w:t>
            </w:r>
          </w:p>
        </w:tc>
        <w:tc>
          <w:tcPr>
            <w:tcW w:w="850" w:type="dxa"/>
            <w:tcBorders>
              <w:top w:val="single" w:sz="12" w:space="0" w:color="auto"/>
              <w:left w:val="single" w:sz="8" w:space="0" w:color="auto"/>
              <w:bottom w:val="single" w:sz="8" w:space="0" w:color="auto"/>
              <w:right w:val="single" w:sz="8" w:space="0" w:color="auto"/>
            </w:tcBorders>
            <w:noWrap/>
            <w:hideMark/>
          </w:tcPr>
          <w:p w14:paraId="5462C816"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9.46</w:t>
            </w:r>
          </w:p>
        </w:tc>
        <w:tc>
          <w:tcPr>
            <w:tcW w:w="709" w:type="dxa"/>
            <w:tcBorders>
              <w:top w:val="single" w:sz="12" w:space="0" w:color="auto"/>
              <w:left w:val="single" w:sz="8" w:space="0" w:color="auto"/>
              <w:bottom w:val="single" w:sz="8" w:space="0" w:color="auto"/>
              <w:right w:val="single" w:sz="8" w:space="0" w:color="auto"/>
            </w:tcBorders>
            <w:noWrap/>
            <w:hideMark/>
          </w:tcPr>
          <w:p w14:paraId="6CA2CCB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0.90</w:t>
            </w:r>
          </w:p>
        </w:tc>
        <w:tc>
          <w:tcPr>
            <w:tcW w:w="709" w:type="dxa"/>
            <w:tcBorders>
              <w:top w:val="single" w:sz="12" w:space="0" w:color="auto"/>
              <w:left w:val="single" w:sz="8" w:space="0" w:color="auto"/>
              <w:bottom w:val="single" w:sz="8" w:space="0" w:color="auto"/>
              <w:right w:val="single" w:sz="8" w:space="0" w:color="auto"/>
            </w:tcBorders>
            <w:noWrap/>
            <w:hideMark/>
          </w:tcPr>
          <w:p w14:paraId="3C9417F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0" w:type="dxa"/>
            <w:tcBorders>
              <w:top w:val="single" w:sz="12" w:space="0" w:color="auto"/>
              <w:left w:val="single" w:sz="8" w:space="0" w:color="auto"/>
              <w:bottom w:val="single" w:sz="8" w:space="0" w:color="auto"/>
              <w:right w:val="single" w:sz="12" w:space="0" w:color="auto"/>
            </w:tcBorders>
            <w:noWrap/>
            <w:hideMark/>
          </w:tcPr>
          <w:p w14:paraId="186935D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36.75</w:t>
            </w:r>
          </w:p>
        </w:tc>
      </w:tr>
      <w:tr w:rsidR="00F84D5E" w:rsidRPr="003B4324" w14:paraId="42E8085E"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hideMark/>
          </w:tcPr>
          <w:p w14:paraId="7A08D7F2" w14:textId="77777777" w:rsidR="00B37318" w:rsidRPr="004254D2" w:rsidRDefault="00B37318" w:rsidP="00B37318">
            <w:pPr>
              <w:spacing w:after="0" w:line="240" w:lineRule="auto"/>
              <w:jc w:val="left"/>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hideMark/>
          </w:tcPr>
          <w:p w14:paraId="405153CD" w14:textId="77777777" w:rsidR="00B37318" w:rsidRPr="004254D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2025</w:t>
            </w:r>
          </w:p>
        </w:tc>
        <w:tc>
          <w:tcPr>
            <w:tcW w:w="850" w:type="dxa"/>
            <w:tcBorders>
              <w:top w:val="single" w:sz="8" w:space="0" w:color="auto"/>
              <w:left w:val="single" w:sz="8" w:space="0" w:color="auto"/>
              <w:bottom w:val="single" w:sz="8" w:space="0" w:color="auto"/>
              <w:right w:val="single" w:sz="8" w:space="0" w:color="auto"/>
            </w:tcBorders>
            <w:noWrap/>
            <w:hideMark/>
          </w:tcPr>
          <w:p w14:paraId="0B08C71A"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hideMark/>
          </w:tcPr>
          <w:p w14:paraId="6ACAEBF0"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27.73</w:t>
            </w:r>
          </w:p>
        </w:tc>
        <w:tc>
          <w:tcPr>
            <w:tcW w:w="992" w:type="dxa"/>
            <w:tcBorders>
              <w:top w:val="single" w:sz="8" w:space="0" w:color="auto"/>
              <w:left w:val="single" w:sz="8" w:space="0" w:color="auto"/>
              <w:bottom w:val="single" w:sz="8" w:space="0" w:color="auto"/>
              <w:right w:val="single" w:sz="8" w:space="0" w:color="auto"/>
            </w:tcBorders>
            <w:noWrap/>
            <w:hideMark/>
          </w:tcPr>
          <w:p w14:paraId="05CA389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0.04</w:t>
            </w:r>
          </w:p>
        </w:tc>
        <w:tc>
          <w:tcPr>
            <w:tcW w:w="851" w:type="dxa"/>
            <w:tcBorders>
              <w:top w:val="single" w:sz="8" w:space="0" w:color="auto"/>
              <w:left w:val="single" w:sz="8" w:space="0" w:color="auto"/>
              <w:bottom w:val="single" w:sz="8" w:space="0" w:color="auto"/>
              <w:right w:val="single" w:sz="8" w:space="0" w:color="auto"/>
            </w:tcBorders>
            <w:noWrap/>
            <w:hideMark/>
          </w:tcPr>
          <w:p w14:paraId="39E8FF8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w:t>
            </w:r>
          </w:p>
        </w:tc>
        <w:tc>
          <w:tcPr>
            <w:tcW w:w="1134" w:type="dxa"/>
            <w:tcBorders>
              <w:top w:val="single" w:sz="8" w:space="0" w:color="auto"/>
              <w:left w:val="single" w:sz="8" w:space="0" w:color="auto"/>
              <w:bottom w:val="single" w:sz="8" w:space="0" w:color="auto"/>
              <w:right w:val="single" w:sz="8" w:space="0" w:color="auto"/>
            </w:tcBorders>
            <w:noWrap/>
            <w:hideMark/>
          </w:tcPr>
          <w:p w14:paraId="3AA074C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0.23</w:t>
            </w:r>
          </w:p>
        </w:tc>
        <w:tc>
          <w:tcPr>
            <w:tcW w:w="850" w:type="dxa"/>
            <w:tcBorders>
              <w:top w:val="single" w:sz="8" w:space="0" w:color="auto"/>
              <w:left w:val="single" w:sz="8" w:space="0" w:color="auto"/>
              <w:bottom w:val="single" w:sz="8" w:space="0" w:color="auto"/>
              <w:right w:val="single" w:sz="8" w:space="0" w:color="auto"/>
            </w:tcBorders>
            <w:noWrap/>
            <w:hideMark/>
          </w:tcPr>
          <w:p w14:paraId="38ACC4B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09" w:type="dxa"/>
            <w:tcBorders>
              <w:top w:val="single" w:sz="8" w:space="0" w:color="auto"/>
              <w:left w:val="single" w:sz="8" w:space="0" w:color="auto"/>
              <w:bottom w:val="single" w:sz="8" w:space="0" w:color="auto"/>
              <w:right w:val="single" w:sz="8" w:space="0" w:color="auto"/>
            </w:tcBorders>
            <w:noWrap/>
            <w:hideMark/>
          </w:tcPr>
          <w:p w14:paraId="57048DA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hideMark/>
          </w:tcPr>
          <w:p w14:paraId="64BC3230"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0.40</w:t>
            </w:r>
          </w:p>
        </w:tc>
        <w:tc>
          <w:tcPr>
            <w:tcW w:w="850" w:type="dxa"/>
            <w:tcBorders>
              <w:top w:val="single" w:sz="8" w:space="0" w:color="auto"/>
              <w:left w:val="single" w:sz="8" w:space="0" w:color="auto"/>
              <w:bottom w:val="single" w:sz="8" w:space="0" w:color="auto"/>
              <w:right w:val="single" w:sz="12" w:space="0" w:color="auto"/>
            </w:tcBorders>
            <w:noWrap/>
            <w:hideMark/>
          </w:tcPr>
          <w:p w14:paraId="22DE3D7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42.19</w:t>
            </w:r>
          </w:p>
        </w:tc>
      </w:tr>
      <w:tr w:rsidR="00F84D5E" w:rsidRPr="003B4324" w14:paraId="10E60212"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hideMark/>
          </w:tcPr>
          <w:p w14:paraId="5A95E2B3" w14:textId="77777777" w:rsidR="00B37318" w:rsidRPr="004254D2" w:rsidRDefault="00B37318" w:rsidP="00B37318">
            <w:pPr>
              <w:spacing w:after="0" w:line="240" w:lineRule="auto"/>
              <w:jc w:val="left"/>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hideMark/>
          </w:tcPr>
          <w:p w14:paraId="4326E417" w14:textId="77777777" w:rsidR="00B37318" w:rsidRPr="004254D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2026</w:t>
            </w:r>
          </w:p>
        </w:tc>
        <w:tc>
          <w:tcPr>
            <w:tcW w:w="850" w:type="dxa"/>
            <w:tcBorders>
              <w:top w:val="single" w:sz="8" w:space="0" w:color="auto"/>
              <w:left w:val="single" w:sz="8" w:space="0" w:color="auto"/>
              <w:bottom w:val="single" w:sz="8" w:space="0" w:color="auto"/>
              <w:right w:val="single" w:sz="8" w:space="0" w:color="auto"/>
            </w:tcBorders>
            <w:noWrap/>
            <w:hideMark/>
          </w:tcPr>
          <w:p w14:paraId="460911E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hideMark/>
          </w:tcPr>
          <w:p w14:paraId="64FFE88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28.15</w:t>
            </w:r>
          </w:p>
        </w:tc>
        <w:tc>
          <w:tcPr>
            <w:tcW w:w="992" w:type="dxa"/>
            <w:tcBorders>
              <w:top w:val="single" w:sz="8" w:space="0" w:color="auto"/>
              <w:left w:val="single" w:sz="8" w:space="0" w:color="auto"/>
              <w:bottom w:val="single" w:sz="8" w:space="0" w:color="auto"/>
              <w:right w:val="single" w:sz="8" w:space="0" w:color="auto"/>
            </w:tcBorders>
            <w:noWrap/>
            <w:hideMark/>
          </w:tcPr>
          <w:p w14:paraId="4888BD0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0.03</w:t>
            </w:r>
          </w:p>
        </w:tc>
        <w:tc>
          <w:tcPr>
            <w:tcW w:w="851" w:type="dxa"/>
            <w:tcBorders>
              <w:top w:val="single" w:sz="8" w:space="0" w:color="auto"/>
              <w:left w:val="single" w:sz="8" w:space="0" w:color="auto"/>
              <w:bottom w:val="single" w:sz="8" w:space="0" w:color="auto"/>
              <w:right w:val="single" w:sz="8" w:space="0" w:color="auto"/>
            </w:tcBorders>
            <w:noWrap/>
            <w:hideMark/>
          </w:tcPr>
          <w:p w14:paraId="40C815D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1.66</w:t>
            </w:r>
          </w:p>
        </w:tc>
        <w:tc>
          <w:tcPr>
            <w:tcW w:w="1134" w:type="dxa"/>
            <w:tcBorders>
              <w:top w:val="single" w:sz="8" w:space="0" w:color="auto"/>
              <w:left w:val="single" w:sz="8" w:space="0" w:color="auto"/>
              <w:bottom w:val="single" w:sz="8" w:space="0" w:color="auto"/>
              <w:right w:val="single" w:sz="8" w:space="0" w:color="auto"/>
            </w:tcBorders>
            <w:noWrap/>
            <w:hideMark/>
          </w:tcPr>
          <w:p w14:paraId="56FB060A"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0.22</w:t>
            </w:r>
          </w:p>
        </w:tc>
        <w:tc>
          <w:tcPr>
            <w:tcW w:w="850" w:type="dxa"/>
            <w:tcBorders>
              <w:top w:val="single" w:sz="8" w:space="0" w:color="auto"/>
              <w:left w:val="single" w:sz="8" w:space="0" w:color="auto"/>
              <w:bottom w:val="single" w:sz="8" w:space="0" w:color="auto"/>
              <w:right w:val="single" w:sz="8" w:space="0" w:color="auto"/>
            </w:tcBorders>
            <w:noWrap/>
            <w:hideMark/>
          </w:tcPr>
          <w:p w14:paraId="7723902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09" w:type="dxa"/>
            <w:tcBorders>
              <w:top w:val="single" w:sz="8" w:space="0" w:color="auto"/>
              <w:left w:val="single" w:sz="8" w:space="0" w:color="auto"/>
              <w:bottom w:val="single" w:sz="8" w:space="0" w:color="auto"/>
              <w:right w:val="single" w:sz="8" w:space="0" w:color="auto"/>
            </w:tcBorders>
            <w:noWrap/>
            <w:hideMark/>
          </w:tcPr>
          <w:p w14:paraId="2A5E6FA1"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hideMark/>
          </w:tcPr>
          <w:p w14:paraId="03ED3B5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0.40</w:t>
            </w:r>
          </w:p>
        </w:tc>
        <w:tc>
          <w:tcPr>
            <w:tcW w:w="850" w:type="dxa"/>
            <w:tcBorders>
              <w:top w:val="single" w:sz="8" w:space="0" w:color="auto"/>
              <w:left w:val="single" w:sz="8" w:space="0" w:color="auto"/>
              <w:bottom w:val="single" w:sz="8" w:space="0" w:color="auto"/>
              <w:right w:val="single" w:sz="12" w:space="0" w:color="auto"/>
            </w:tcBorders>
            <w:noWrap/>
            <w:hideMark/>
          </w:tcPr>
          <w:p w14:paraId="3F0A803A"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42.80</w:t>
            </w:r>
          </w:p>
        </w:tc>
      </w:tr>
      <w:tr w:rsidR="00F84D5E" w:rsidRPr="003B4324" w14:paraId="0D213E5C"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62EA2D93"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4CE353B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850" w:type="dxa"/>
            <w:tcBorders>
              <w:top w:val="single" w:sz="8" w:space="0" w:color="auto"/>
              <w:left w:val="single" w:sz="8" w:space="0" w:color="auto"/>
              <w:bottom w:val="single" w:sz="8" w:space="0" w:color="auto"/>
              <w:right w:val="single" w:sz="8" w:space="0" w:color="auto"/>
            </w:tcBorders>
            <w:noWrap/>
          </w:tcPr>
          <w:p w14:paraId="480F823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1603B06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28.66</w:t>
            </w:r>
          </w:p>
        </w:tc>
        <w:tc>
          <w:tcPr>
            <w:tcW w:w="992" w:type="dxa"/>
            <w:tcBorders>
              <w:top w:val="single" w:sz="8" w:space="0" w:color="auto"/>
              <w:left w:val="single" w:sz="8" w:space="0" w:color="auto"/>
              <w:bottom w:val="single" w:sz="8" w:space="0" w:color="auto"/>
              <w:right w:val="single" w:sz="8" w:space="0" w:color="auto"/>
            </w:tcBorders>
            <w:noWrap/>
          </w:tcPr>
          <w:p w14:paraId="269253C1"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0.03</w:t>
            </w:r>
          </w:p>
        </w:tc>
        <w:tc>
          <w:tcPr>
            <w:tcW w:w="851" w:type="dxa"/>
            <w:tcBorders>
              <w:top w:val="single" w:sz="8" w:space="0" w:color="auto"/>
              <w:left w:val="single" w:sz="8" w:space="0" w:color="auto"/>
              <w:bottom w:val="single" w:sz="8" w:space="0" w:color="auto"/>
              <w:right w:val="single" w:sz="8" w:space="0" w:color="auto"/>
            </w:tcBorders>
            <w:noWrap/>
          </w:tcPr>
          <w:p w14:paraId="56A3D6C6"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1.68</w:t>
            </w:r>
          </w:p>
        </w:tc>
        <w:tc>
          <w:tcPr>
            <w:tcW w:w="1134" w:type="dxa"/>
            <w:tcBorders>
              <w:top w:val="single" w:sz="8" w:space="0" w:color="auto"/>
              <w:left w:val="single" w:sz="8" w:space="0" w:color="auto"/>
              <w:bottom w:val="single" w:sz="8" w:space="0" w:color="auto"/>
              <w:right w:val="single" w:sz="8" w:space="0" w:color="auto"/>
            </w:tcBorders>
            <w:noWrap/>
          </w:tcPr>
          <w:p w14:paraId="6673449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0.22</w:t>
            </w:r>
          </w:p>
        </w:tc>
        <w:tc>
          <w:tcPr>
            <w:tcW w:w="850" w:type="dxa"/>
            <w:tcBorders>
              <w:top w:val="single" w:sz="8" w:space="0" w:color="auto"/>
              <w:left w:val="single" w:sz="8" w:space="0" w:color="auto"/>
              <w:bottom w:val="single" w:sz="8" w:space="0" w:color="auto"/>
              <w:right w:val="single" w:sz="8" w:space="0" w:color="auto"/>
            </w:tcBorders>
            <w:noWrap/>
          </w:tcPr>
          <w:p w14:paraId="6F1B4CD0"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10.44</w:t>
            </w:r>
          </w:p>
        </w:tc>
        <w:tc>
          <w:tcPr>
            <w:tcW w:w="709" w:type="dxa"/>
            <w:tcBorders>
              <w:top w:val="single" w:sz="8" w:space="0" w:color="auto"/>
              <w:left w:val="single" w:sz="8" w:space="0" w:color="auto"/>
              <w:bottom w:val="single" w:sz="8" w:space="0" w:color="auto"/>
              <w:right w:val="single" w:sz="8" w:space="0" w:color="auto"/>
            </w:tcBorders>
            <w:noWrap/>
          </w:tcPr>
          <w:p w14:paraId="055EC05A"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tcPr>
          <w:p w14:paraId="1F05E8A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w:t>
            </w:r>
          </w:p>
        </w:tc>
        <w:tc>
          <w:tcPr>
            <w:tcW w:w="850" w:type="dxa"/>
            <w:tcBorders>
              <w:top w:val="single" w:sz="8" w:space="0" w:color="auto"/>
              <w:left w:val="single" w:sz="8" w:space="0" w:color="auto"/>
              <w:bottom w:val="single" w:sz="8" w:space="0" w:color="auto"/>
              <w:right w:val="single" w:sz="12" w:space="0" w:color="auto"/>
            </w:tcBorders>
            <w:noWrap/>
          </w:tcPr>
          <w:p w14:paraId="40BC269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43.47</w:t>
            </w:r>
          </w:p>
        </w:tc>
      </w:tr>
      <w:tr w:rsidR="00F84D5E" w:rsidRPr="003B4324" w14:paraId="178F8FD2"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4F61F82F"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7C7AF5B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2028</w:t>
            </w:r>
          </w:p>
        </w:tc>
        <w:tc>
          <w:tcPr>
            <w:tcW w:w="850" w:type="dxa"/>
            <w:tcBorders>
              <w:top w:val="single" w:sz="8" w:space="0" w:color="auto"/>
              <w:left w:val="single" w:sz="8" w:space="0" w:color="auto"/>
              <w:bottom w:val="single" w:sz="8" w:space="0" w:color="auto"/>
              <w:right w:val="single" w:sz="8" w:space="0" w:color="auto"/>
            </w:tcBorders>
            <w:noWrap/>
          </w:tcPr>
          <w:p w14:paraId="14317B1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494C2D3F"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29.44</w:t>
            </w:r>
          </w:p>
        </w:tc>
        <w:tc>
          <w:tcPr>
            <w:tcW w:w="992" w:type="dxa"/>
            <w:tcBorders>
              <w:top w:val="single" w:sz="8" w:space="0" w:color="auto"/>
              <w:left w:val="single" w:sz="8" w:space="0" w:color="auto"/>
              <w:bottom w:val="single" w:sz="8" w:space="0" w:color="auto"/>
              <w:right w:val="single" w:sz="8" w:space="0" w:color="auto"/>
            </w:tcBorders>
            <w:noWrap/>
          </w:tcPr>
          <w:p w14:paraId="0A70A87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0.02</w:t>
            </w:r>
          </w:p>
        </w:tc>
        <w:tc>
          <w:tcPr>
            <w:tcW w:w="851" w:type="dxa"/>
            <w:tcBorders>
              <w:top w:val="single" w:sz="8" w:space="0" w:color="auto"/>
              <w:left w:val="single" w:sz="8" w:space="0" w:color="auto"/>
              <w:bottom w:val="single" w:sz="8" w:space="0" w:color="auto"/>
              <w:right w:val="single" w:sz="8" w:space="0" w:color="auto"/>
            </w:tcBorders>
            <w:noWrap/>
          </w:tcPr>
          <w:p w14:paraId="1EFB001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1.66</w:t>
            </w:r>
          </w:p>
        </w:tc>
        <w:tc>
          <w:tcPr>
            <w:tcW w:w="1134" w:type="dxa"/>
            <w:tcBorders>
              <w:top w:val="single" w:sz="8" w:space="0" w:color="auto"/>
              <w:left w:val="single" w:sz="8" w:space="0" w:color="auto"/>
              <w:bottom w:val="single" w:sz="8" w:space="0" w:color="auto"/>
              <w:right w:val="single" w:sz="8" w:space="0" w:color="auto"/>
            </w:tcBorders>
            <w:noWrap/>
          </w:tcPr>
          <w:p w14:paraId="1E3F7B0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0.22</w:t>
            </w:r>
          </w:p>
        </w:tc>
        <w:tc>
          <w:tcPr>
            <w:tcW w:w="850" w:type="dxa"/>
            <w:tcBorders>
              <w:top w:val="single" w:sz="8" w:space="0" w:color="auto"/>
              <w:left w:val="single" w:sz="8" w:space="0" w:color="auto"/>
              <w:bottom w:val="single" w:sz="8" w:space="0" w:color="auto"/>
              <w:right w:val="single" w:sz="8" w:space="0" w:color="auto"/>
            </w:tcBorders>
            <w:noWrap/>
          </w:tcPr>
          <w:p w14:paraId="045F7B0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10.44</w:t>
            </w:r>
          </w:p>
        </w:tc>
        <w:tc>
          <w:tcPr>
            <w:tcW w:w="709" w:type="dxa"/>
            <w:tcBorders>
              <w:top w:val="single" w:sz="8" w:space="0" w:color="auto"/>
              <w:left w:val="single" w:sz="8" w:space="0" w:color="auto"/>
              <w:bottom w:val="single" w:sz="8" w:space="0" w:color="auto"/>
              <w:right w:val="single" w:sz="8" w:space="0" w:color="auto"/>
            </w:tcBorders>
            <w:noWrap/>
          </w:tcPr>
          <w:p w14:paraId="5DFECFCB"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tcPr>
          <w:p w14:paraId="1376974F"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w:t>
            </w:r>
          </w:p>
        </w:tc>
        <w:tc>
          <w:tcPr>
            <w:tcW w:w="850" w:type="dxa"/>
            <w:tcBorders>
              <w:top w:val="single" w:sz="8" w:space="0" w:color="auto"/>
              <w:left w:val="single" w:sz="8" w:space="0" w:color="auto"/>
              <w:bottom w:val="single" w:sz="8" w:space="0" w:color="auto"/>
              <w:right w:val="single" w:sz="12" w:space="0" w:color="auto"/>
            </w:tcBorders>
            <w:noWrap/>
          </w:tcPr>
          <w:p w14:paraId="47976F2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44.22</w:t>
            </w:r>
          </w:p>
        </w:tc>
      </w:tr>
      <w:tr w:rsidR="00F84D5E" w:rsidRPr="003B4324" w14:paraId="58B317F3"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798D39A9"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39EA087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2029</w:t>
            </w:r>
          </w:p>
        </w:tc>
        <w:tc>
          <w:tcPr>
            <w:tcW w:w="850" w:type="dxa"/>
            <w:tcBorders>
              <w:top w:val="single" w:sz="8" w:space="0" w:color="auto"/>
              <w:left w:val="single" w:sz="8" w:space="0" w:color="auto"/>
              <w:bottom w:val="single" w:sz="8" w:space="0" w:color="auto"/>
              <w:right w:val="single" w:sz="8" w:space="0" w:color="auto"/>
            </w:tcBorders>
            <w:noWrap/>
          </w:tcPr>
          <w:p w14:paraId="6252E796"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218B4E18"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30.21</w:t>
            </w:r>
          </w:p>
        </w:tc>
        <w:tc>
          <w:tcPr>
            <w:tcW w:w="992" w:type="dxa"/>
            <w:tcBorders>
              <w:top w:val="single" w:sz="8" w:space="0" w:color="auto"/>
              <w:left w:val="single" w:sz="8" w:space="0" w:color="auto"/>
              <w:bottom w:val="single" w:sz="8" w:space="0" w:color="auto"/>
              <w:right w:val="single" w:sz="8" w:space="0" w:color="auto"/>
            </w:tcBorders>
            <w:noWrap/>
          </w:tcPr>
          <w:p w14:paraId="783FB81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0.03</w:t>
            </w:r>
          </w:p>
        </w:tc>
        <w:tc>
          <w:tcPr>
            <w:tcW w:w="851" w:type="dxa"/>
            <w:tcBorders>
              <w:top w:val="single" w:sz="8" w:space="0" w:color="auto"/>
              <w:left w:val="single" w:sz="8" w:space="0" w:color="auto"/>
              <w:bottom w:val="single" w:sz="8" w:space="0" w:color="auto"/>
              <w:right w:val="single" w:sz="8" w:space="0" w:color="auto"/>
            </w:tcBorders>
            <w:noWrap/>
          </w:tcPr>
          <w:p w14:paraId="3F85841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1.68</w:t>
            </w:r>
          </w:p>
        </w:tc>
        <w:tc>
          <w:tcPr>
            <w:tcW w:w="1134" w:type="dxa"/>
            <w:tcBorders>
              <w:top w:val="single" w:sz="8" w:space="0" w:color="auto"/>
              <w:left w:val="single" w:sz="8" w:space="0" w:color="auto"/>
              <w:bottom w:val="single" w:sz="8" w:space="0" w:color="auto"/>
              <w:right w:val="single" w:sz="8" w:space="0" w:color="auto"/>
            </w:tcBorders>
            <w:noWrap/>
          </w:tcPr>
          <w:p w14:paraId="0028985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0.22</w:t>
            </w:r>
          </w:p>
        </w:tc>
        <w:tc>
          <w:tcPr>
            <w:tcW w:w="850" w:type="dxa"/>
            <w:tcBorders>
              <w:top w:val="single" w:sz="8" w:space="0" w:color="auto"/>
              <w:left w:val="single" w:sz="8" w:space="0" w:color="auto"/>
              <w:bottom w:val="single" w:sz="8" w:space="0" w:color="auto"/>
              <w:right w:val="single" w:sz="8" w:space="0" w:color="auto"/>
            </w:tcBorders>
            <w:noWrap/>
          </w:tcPr>
          <w:p w14:paraId="3069B18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10.44</w:t>
            </w:r>
          </w:p>
        </w:tc>
        <w:tc>
          <w:tcPr>
            <w:tcW w:w="709" w:type="dxa"/>
            <w:tcBorders>
              <w:top w:val="single" w:sz="8" w:space="0" w:color="auto"/>
              <w:left w:val="single" w:sz="8" w:space="0" w:color="auto"/>
              <w:bottom w:val="single" w:sz="8" w:space="0" w:color="auto"/>
              <w:right w:val="single" w:sz="8" w:space="0" w:color="auto"/>
            </w:tcBorders>
            <w:noWrap/>
          </w:tcPr>
          <w:p w14:paraId="61CC530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tcPr>
          <w:p w14:paraId="769AD4C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w:t>
            </w:r>
          </w:p>
        </w:tc>
        <w:tc>
          <w:tcPr>
            <w:tcW w:w="850" w:type="dxa"/>
            <w:tcBorders>
              <w:top w:val="single" w:sz="8" w:space="0" w:color="auto"/>
              <w:left w:val="single" w:sz="8" w:space="0" w:color="auto"/>
              <w:bottom w:val="single" w:sz="8" w:space="0" w:color="auto"/>
              <w:right w:val="single" w:sz="12" w:space="0" w:color="auto"/>
            </w:tcBorders>
            <w:noWrap/>
          </w:tcPr>
          <w:p w14:paraId="2CE1422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45.00</w:t>
            </w:r>
          </w:p>
        </w:tc>
      </w:tr>
      <w:tr w:rsidR="00F84D5E" w:rsidRPr="003B4324" w14:paraId="542501CB"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69AA99F2"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50E0BC7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850" w:type="dxa"/>
            <w:tcBorders>
              <w:top w:val="single" w:sz="8" w:space="0" w:color="auto"/>
              <w:left w:val="single" w:sz="8" w:space="0" w:color="auto"/>
              <w:bottom w:val="single" w:sz="8" w:space="0" w:color="auto"/>
              <w:right w:val="single" w:sz="8" w:space="0" w:color="auto"/>
            </w:tcBorders>
            <w:noWrap/>
          </w:tcPr>
          <w:p w14:paraId="58AC16F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5CFA293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31.05</w:t>
            </w:r>
          </w:p>
        </w:tc>
        <w:tc>
          <w:tcPr>
            <w:tcW w:w="992" w:type="dxa"/>
            <w:tcBorders>
              <w:top w:val="single" w:sz="8" w:space="0" w:color="auto"/>
              <w:left w:val="single" w:sz="8" w:space="0" w:color="auto"/>
              <w:bottom w:val="single" w:sz="8" w:space="0" w:color="auto"/>
              <w:right w:val="single" w:sz="8" w:space="0" w:color="auto"/>
            </w:tcBorders>
            <w:noWrap/>
          </w:tcPr>
          <w:p w14:paraId="040B3BB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0.03</w:t>
            </w:r>
          </w:p>
        </w:tc>
        <w:tc>
          <w:tcPr>
            <w:tcW w:w="851" w:type="dxa"/>
            <w:tcBorders>
              <w:top w:val="single" w:sz="8" w:space="0" w:color="auto"/>
              <w:left w:val="single" w:sz="8" w:space="0" w:color="auto"/>
              <w:bottom w:val="single" w:sz="8" w:space="0" w:color="auto"/>
              <w:right w:val="single" w:sz="8" w:space="0" w:color="auto"/>
            </w:tcBorders>
            <w:noWrap/>
          </w:tcPr>
          <w:p w14:paraId="3DFF433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1.71</w:t>
            </w:r>
          </w:p>
        </w:tc>
        <w:tc>
          <w:tcPr>
            <w:tcW w:w="1134" w:type="dxa"/>
            <w:tcBorders>
              <w:top w:val="single" w:sz="8" w:space="0" w:color="auto"/>
              <w:left w:val="single" w:sz="8" w:space="0" w:color="auto"/>
              <w:bottom w:val="single" w:sz="8" w:space="0" w:color="auto"/>
              <w:right w:val="single" w:sz="8" w:space="0" w:color="auto"/>
            </w:tcBorders>
            <w:noWrap/>
          </w:tcPr>
          <w:p w14:paraId="04C32786"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0.22</w:t>
            </w:r>
          </w:p>
        </w:tc>
        <w:tc>
          <w:tcPr>
            <w:tcW w:w="850" w:type="dxa"/>
            <w:tcBorders>
              <w:top w:val="single" w:sz="8" w:space="0" w:color="auto"/>
              <w:left w:val="single" w:sz="8" w:space="0" w:color="auto"/>
              <w:bottom w:val="single" w:sz="8" w:space="0" w:color="auto"/>
              <w:right w:val="single" w:sz="8" w:space="0" w:color="auto"/>
            </w:tcBorders>
            <w:noWrap/>
          </w:tcPr>
          <w:p w14:paraId="4DCFE12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10.44</w:t>
            </w:r>
          </w:p>
        </w:tc>
        <w:tc>
          <w:tcPr>
            <w:tcW w:w="709" w:type="dxa"/>
            <w:tcBorders>
              <w:top w:val="single" w:sz="8" w:space="0" w:color="auto"/>
              <w:left w:val="single" w:sz="8" w:space="0" w:color="auto"/>
              <w:bottom w:val="single" w:sz="8" w:space="0" w:color="auto"/>
              <w:right w:val="single" w:sz="8" w:space="0" w:color="auto"/>
            </w:tcBorders>
            <w:noWrap/>
          </w:tcPr>
          <w:p w14:paraId="3AFE363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tcPr>
          <w:p w14:paraId="4573B985"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w:t>
            </w:r>
          </w:p>
        </w:tc>
        <w:tc>
          <w:tcPr>
            <w:tcW w:w="850" w:type="dxa"/>
            <w:tcBorders>
              <w:top w:val="single" w:sz="8" w:space="0" w:color="auto"/>
              <w:left w:val="single" w:sz="8" w:space="0" w:color="auto"/>
              <w:bottom w:val="single" w:sz="8" w:space="0" w:color="auto"/>
              <w:right w:val="single" w:sz="12" w:space="0" w:color="auto"/>
            </w:tcBorders>
            <w:noWrap/>
          </w:tcPr>
          <w:p w14:paraId="03A10AB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45.89</w:t>
            </w:r>
          </w:p>
        </w:tc>
      </w:tr>
      <w:tr w:rsidR="00F84D5E" w:rsidRPr="003B4324" w14:paraId="7B49748C"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2AC2B77E"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0B062216"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2035</w:t>
            </w:r>
          </w:p>
        </w:tc>
        <w:tc>
          <w:tcPr>
            <w:tcW w:w="850" w:type="dxa"/>
            <w:tcBorders>
              <w:top w:val="single" w:sz="8" w:space="0" w:color="auto"/>
              <w:left w:val="single" w:sz="8" w:space="0" w:color="auto"/>
              <w:bottom w:val="single" w:sz="8" w:space="0" w:color="auto"/>
              <w:right w:val="single" w:sz="8" w:space="0" w:color="auto"/>
            </w:tcBorders>
            <w:noWrap/>
          </w:tcPr>
          <w:p w14:paraId="05565A25"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5CCD011A"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32.85</w:t>
            </w:r>
          </w:p>
        </w:tc>
        <w:tc>
          <w:tcPr>
            <w:tcW w:w="992" w:type="dxa"/>
            <w:tcBorders>
              <w:top w:val="single" w:sz="8" w:space="0" w:color="auto"/>
              <w:left w:val="single" w:sz="8" w:space="0" w:color="auto"/>
              <w:bottom w:val="single" w:sz="8" w:space="0" w:color="auto"/>
              <w:right w:val="single" w:sz="8" w:space="0" w:color="auto"/>
            </w:tcBorders>
            <w:noWrap/>
          </w:tcPr>
          <w:p w14:paraId="3FB01D1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851" w:type="dxa"/>
            <w:tcBorders>
              <w:top w:val="single" w:sz="8" w:space="0" w:color="auto"/>
              <w:left w:val="single" w:sz="8" w:space="0" w:color="auto"/>
              <w:bottom w:val="single" w:sz="8" w:space="0" w:color="auto"/>
              <w:right w:val="single" w:sz="8" w:space="0" w:color="auto"/>
            </w:tcBorders>
            <w:noWrap/>
          </w:tcPr>
          <w:p w14:paraId="62598CC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1.79</w:t>
            </w:r>
          </w:p>
        </w:tc>
        <w:tc>
          <w:tcPr>
            <w:tcW w:w="1134" w:type="dxa"/>
            <w:tcBorders>
              <w:top w:val="single" w:sz="8" w:space="0" w:color="auto"/>
              <w:left w:val="single" w:sz="8" w:space="0" w:color="auto"/>
              <w:bottom w:val="single" w:sz="8" w:space="0" w:color="auto"/>
              <w:right w:val="single" w:sz="8" w:space="0" w:color="auto"/>
            </w:tcBorders>
            <w:noWrap/>
          </w:tcPr>
          <w:p w14:paraId="207A33FD"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tcBorders>
              <w:top w:val="single" w:sz="8" w:space="0" w:color="auto"/>
              <w:left w:val="single" w:sz="8" w:space="0" w:color="auto"/>
              <w:bottom w:val="single" w:sz="8" w:space="0" w:color="auto"/>
              <w:right w:val="single" w:sz="8" w:space="0" w:color="auto"/>
            </w:tcBorders>
            <w:noWrap/>
          </w:tcPr>
          <w:p w14:paraId="0B29434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11.06</w:t>
            </w:r>
          </w:p>
        </w:tc>
        <w:tc>
          <w:tcPr>
            <w:tcW w:w="709" w:type="dxa"/>
            <w:tcBorders>
              <w:top w:val="single" w:sz="8" w:space="0" w:color="auto"/>
              <w:left w:val="single" w:sz="8" w:space="0" w:color="auto"/>
              <w:bottom w:val="single" w:sz="8" w:space="0" w:color="auto"/>
              <w:right w:val="single" w:sz="8" w:space="0" w:color="auto"/>
            </w:tcBorders>
            <w:noWrap/>
          </w:tcPr>
          <w:p w14:paraId="4906065B"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tcPr>
          <w:p w14:paraId="072EA090"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w:t>
            </w:r>
          </w:p>
        </w:tc>
        <w:tc>
          <w:tcPr>
            <w:tcW w:w="850" w:type="dxa"/>
            <w:tcBorders>
              <w:top w:val="single" w:sz="8" w:space="0" w:color="auto"/>
              <w:left w:val="single" w:sz="8" w:space="0" w:color="auto"/>
              <w:bottom w:val="single" w:sz="8" w:space="0" w:color="auto"/>
              <w:right w:val="single" w:sz="12" w:space="0" w:color="auto"/>
            </w:tcBorders>
            <w:noWrap/>
          </w:tcPr>
          <w:p w14:paraId="22D25D1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48.33</w:t>
            </w:r>
          </w:p>
        </w:tc>
      </w:tr>
      <w:tr w:rsidR="00F84D5E" w:rsidRPr="003B4324" w14:paraId="07FE5A5A"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4C09061C"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113C45B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2040</w:t>
            </w:r>
          </w:p>
        </w:tc>
        <w:tc>
          <w:tcPr>
            <w:tcW w:w="850" w:type="dxa"/>
            <w:tcBorders>
              <w:top w:val="single" w:sz="8" w:space="0" w:color="auto"/>
              <w:left w:val="single" w:sz="8" w:space="0" w:color="auto"/>
              <w:bottom w:val="single" w:sz="8" w:space="0" w:color="auto"/>
              <w:right w:val="single" w:sz="8" w:space="0" w:color="auto"/>
            </w:tcBorders>
            <w:noWrap/>
          </w:tcPr>
          <w:p w14:paraId="504AC296"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5F17D72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34.50</w:t>
            </w:r>
          </w:p>
        </w:tc>
        <w:tc>
          <w:tcPr>
            <w:tcW w:w="992" w:type="dxa"/>
            <w:tcBorders>
              <w:top w:val="single" w:sz="8" w:space="0" w:color="auto"/>
              <w:left w:val="single" w:sz="8" w:space="0" w:color="auto"/>
              <w:bottom w:val="single" w:sz="8" w:space="0" w:color="auto"/>
              <w:right w:val="single" w:sz="8" w:space="0" w:color="auto"/>
            </w:tcBorders>
            <w:noWrap/>
          </w:tcPr>
          <w:p w14:paraId="30A6954B"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851" w:type="dxa"/>
            <w:tcBorders>
              <w:top w:val="single" w:sz="8" w:space="0" w:color="auto"/>
              <w:left w:val="single" w:sz="8" w:space="0" w:color="auto"/>
              <w:bottom w:val="single" w:sz="8" w:space="0" w:color="auto"/>
              <w:right w:val="single" w:sz="8" w:space="0" w:color="auto"/>
            </w:tcBorders>
            <w:noWrap/>
          </w:tcPr>
          <w:p w14:paraId="01BA1DB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1134" w:type="dxa"/>
            <w:tcBorders>
              <w:top w:val="single" w:sz="8" w:space="0" w:color="auto"/>
              <w:left w:val="single" w:sz="8" w:space="0" w:color="auto"/>
              <w:bottom w:val="single" w:sz="8" w:space="0" w:color="auto"/>
              <w:right w:val="single" w:sz="8" w:space="0" w:color="auto"/>
            </w:tcBorders>
            <w:noWrap/>
          </w:tcPr>
          <w:p w14:paraId="5C12A32F"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tcBorders>
              <w:top w:val="single" w:sz="8" w:space="0" w:color="auto"/>
              <w:left w:val="single" w:sz="8" w:space="0" w:color="auto"/>
              <w:bottom w:val="single" w:sz="8" w:space="0" w:color="auto"/>
              <w:right w:val="single" w:sz="8" w:space="0" w:color="auto"/>
            </w:tcBorders>
            <w:noWrap/>
          </w:tcPr>
          <w:p w14:paraId="520B3AA3"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12.50</w:t>
            </w:r>
          </w:p>
        </w:tc>
        <w:tc>
          <w:tcPr>
            <w:tcW w:w="709" w:type="dxa"/>
            <w:tcBorders>
              <w:top w:val="single" w:sz="8" w:space="0" w:color="auto"/>
              <w:left w:val="single" w:sz="8" w:space="0" w:color="auto"/>
              <w:bottom w:val="single" w:sz="8" w:space="0" w:color="auto"/>
              <w:right w:val="single" w:sz="8" w:space="0" w:color="auto"/>
            </w:tcBorders>
            <w:noWrap/>
          </w:tcPr>
          <w:p w14:paraId="13D553A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w:t>
            </w:r>
          </w:p>
        </w:tc>
        <w:tc>
          <w:tcPr>
            <w:tcW w:w="709" w:type="dxa"/>
            <w:tcBorders>
              <w:top w:val="single" w:sz="8" w:space="0" w:color="auto"/>
              <w:left w:val="single" w:sz="8" w:space="0" w:color="auto"/>
              <w:bottom w:val="single" w:sz="8" w:space="0" w:color="auto"/>
              <w:right w:val="single" w:sz="8" w:space="0" w:color="auto"/>
            </w:tcBorders>
            <w:noWrap/>
          </w:tcPr>
          <w:p w14:paraId="79F74911"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0.50</w:t>
            </w:r>
          </w:p>
        </w:tc>
        <w:tc>
          <w:tcPr>
            <w:tcW w:w="850" w:type="dxa"/>
            <w:tcBorders>
              <w:top w:val="single" w:sz="8" w:space="0" w:color="auto"/>
              <w:left w:val="single" w:sz="8" w:space="0" w:color="auto"/>
              <w:bottom w:val="single" w:sz="8" w:space="0" w:color="auto"/>
              <w:right w:val="single" w:sz="12" w:space="0" w:color="auto"/>
            </w:tcBorders>
            <w:noWrap/>
          </w:tcPr>
          <w:p w14:paraId="1EBB06B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51.14</w:t>
            </w:r>
          </w:p>
        </w:tc>
      </w:tr>
      <w:tr w:rsidR="00F84D5E" w:rsidRPr="003B4324" w14:paraId="7F9C4CBA" w14:textId="77777777" w:rsidTr="000007D2">
        <w:trPr>
          <w:trHeight w:val="300"/>
        </w:trPr>
        <w:tc>
          <w:tcPr>
            <w:tcW w:w="1271" w:type="dxa"/>
            <w:vMerge/>
            <w:tcBorders>
              <w:top w:val="single" w:sz="8" w:space="0" w:color="auto"/>
              <w:left w:val="single" w:sz="12" w:space="0" w:color="auto"/>
              <w:bottom w:val="single" w:sz="8" w:space="0" w:color="auto"/>
              <w:right w:val="single" w:sz="8" w:space="0" w:color="auto"/>
            </w:tcBorders>
            <w:shd w:val="clear" w:color="auto" w:fill="E7E6E6"/>
            <w:noWrap/>
          </w:tcPr>
          <w:p w14:paraId="43DCF26E"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8" w:space="0" w:color="auto"/>
              <w:right w:val="single" w:sz="8" w:space="0" w:color="auto"/>
            </w:tcBorders>
            <w:noWrap/>
          </w:tcPr>
          <w:p w14:paraId="0E4D479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2045</w:t>
            </w:r>
          </w:p>
        </w:tc>
        <w:tc>
          <w:tcPr>
            <w:tcW w:w="850" w:type="dxa"/>
            <w:tcBorders>
              <w:top w:val="single" w:sz="8" w:space="0" w:color="auto"/>
              <w:left w:val="single" w:sz="8" w:space="0" w:color="auto"/>
              <w:bottom w:val="single" w:sz="8" w:space="0" w:color="auto"/>
              <w:right w:val="single" w:sz="8" w:space="0" w:color="auto"/>
            </w:tcBorders>
            <w:noWrap/>
          </w:tcPr>
          <w:p w14:paraId="45C05FB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8" w:space="0" w:color="auto"/>
              <w:right w:val="single" w:sz="8" w:space="0" w:color="auto"/>
            </w:tcBorders>
            <w:noWrap/>
          </w:tcPr>
          <w:p w14:paraId="0024027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36.85</w:t>
            </w:r>
          </w:p>
        </w:tc>
        <w:tc>
          <w:tcPr>
            <w:tcW w:w="992" w:type="dxa"/>
            <w:tcBorders>
              <w:top w:val="single" w:sz="8" w:space="0" w:color="auto"/>
              <w:left w:val="single" w:sz="8" w:space="0" w:color="auto"/>
              <w:bottom w:val="single" w:sz="8" w:space="0" w:color="auto"/>
              <w:right w:val="single" w:sz="8" w:space="0" w:color="auto"/>
            </w:tcBorders>
            <w:noWrap/>
          </w:tcPr>
          <w:p w14:paraId="007F37B2"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851" w:type="dxa"/>
            <w:tcBorders>
              <w:top w:val="single" w:sz="8" w:space="0" w:color="auto"/>
              <w:left w:val="single" w:sz="8" w:space="0" w:color="auto"/>
              <w:bottom w:val="single" w:sz="8" w:space="0" w:color="auto"/>
              <w:right w:val="single" w:sz="8" w:space="0" w:color="auto"/>
            </w:tcBorders>
            <w:noWrap/>
          </w:tcPr>
          <w:p w14:paraId="2B885E71"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0.98</w:t>
            </w:r>
          </w:p>
        </w:tc>
        <w:tc>
          <w:tcPr>
            <w:tcW w:w="1134" w:type="dxa"/>
            <w:tcBorders>
              <w:top w:val="single" w:sz="8" w:space="0" w:color="auto"/>
              <w:left w:val="single" w:sz="8" w:space="0" w:color="auto"/>
              <w:bottom w:val="single" w:sz="8" w:space="0" w:color="auto"/>
              <w:right w:val="single" w:sz="8" w:space="0" w:color="auto"/>
            </w:tcBorders>
            <w:noWrap/>
          </w:tcPr>
          <w:p w14:paraId="299BCE6F"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0.20</w:t>
            </w:r>
          </w:p>
        </w:tc>
        <w:tc>
          <w:tcPr>
            <w:tcW w:w="850" w:type="dxa"/>
            <w:tcBorders>
              <w:top w:val="single" w:sz="8" w:space="0" w:color="auto"/>
              <w:left w:val="single" w:sz="8" w:space="0" w:color="auto"/>
              <w:bottom w:val="single" w:sz="8" w:space="0" w:color="auto"/>
              <w:right w:val="single" w:sz="8" w:space="0" w:color="auto"/>
            </w:tcBorders>
            <w:noWrap/>
          </w:tcPr>
          <w:p w14:paraId="594B4C05"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12.50</w:t>
            </w:r>
          </w:p>
        </w:tc>
        <w:tc>
          <w:tcPr>
            <w:tcW w:w="709" w:type="dxa"/>
            <w:tcBorders>
              <w:top w:val="single" w:sz="8" w:space="0" w:color="auto"/>
              <w:left w:val="single" w:sz="8" w:space="0" w:color="auto"/>
              <w:bottom w:val="single" w:sz="8" w:space="0" w:color="auto"/>
              <w:right w:val="single" w:sz="8" w:space="0" w:color="auto"/>
            </w:tcBorders>
            <w:noWrap/>
          </w:tcPr>
          <w:p w14:paraId="38B03189"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1.91</w:t>
            </w:r>
          </w:p>
        </w:tc>
        <w:tc>
          <w:tcPr>
            <w:tcW w:w="709" w:type="dxa"/>
            <w:tcBorders>
              <w:top w:val="single" w:sz="8" w:space="0" w:color="auto"/>
              <w:left w:val="single" w:sz="8" w:space="0" w:color="auto"/>
              <w:bottom w:val="single" w:sz="8" w:space="0" w:color="auto"/>
              <w:right w:val="single" w:sz="8" w:space="0" w:color="auto"/>
            </w:tcBorders>
            <w:noWrap/>
          </w:tcPr>
          <w:p w14:paraId="5A6926D1"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0.49</w:t>
            </w:r>
          </w:p>
        </w:tc>
        <w:tc>
          <w:tcPr>
            <w:tcW w:w="850" w:type="dxa"/>
            <w:tcBorders>
              <w:top w:val="single" w:sz="8" w:space="0" w:color="auto"/>
              <w:left w:val="single" w:sz="8" w:space="0" w:color="auto"/>
              <w:bottom w:val="single" w:sz="8" w:space="0" w:color="auto"/>
              <w:right w:val="single" w:sz="12" w:space="0" w:color="auto"/>
            </w:tcBorders>
            <w:noWrap/>
          </w:tcPr>
          <w:p w14:paraId="0F02F5C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52.94</w:t>
            </w:r>
          </w:p>
        </w:tc>
      </w:tr>
      <w:tr w:rsidR="00F84D5E" w:rsidRPr="003B4324" w14:paraId="15B08242" w14:textId="77777777" w:rsidTr="000007D2">
        <w:trPr>
          <w:trHeight w:val="300"/>
        </w:trPr>
        <w:tc>
          <w:tcPr>
            <w:tcW w:w="1271" w:type="dxa"/>
            <w:vMerge/>
            <w:tcBorders>
              <w:top w:val="single" w:sz="8" w:space="0" w:color="auto"/>
              <w:left w:val="single" w:sz="12" w:space="0" w:color="auto"/>
              <w:bottom w:val="single" w:sz="12" w:space="0" w:color="auto"/>
              <w:right w:val="single" w:sz="8" w:space="0" w:color="auto"/>
            </w:tcBorders>
            <w:shd w:val="clear" w:color="auto" w:fill="E7E6E6"/>
            <w:noWrap/>
          </w:tcPr>
          <w:p w14:paraId="2A386F90"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top w:val="single" w:sz="8" w:space="0" w:color="auto"/>
              <w:left w:val="single" w:sz="8" w:space="0" w:color="auto"/>
              <w:bottom w:val="single" w:sz="12" w:space="0" w:color="auto"/>
              <w:right w:val="single" w:sz="8" w:space="0" w:color="auto"/>
            </w:tcBorders>
            <w:noWrap/>
          </w:tcPr>
          <w:p w14:paraId="521CA1AE"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2050</w:t>
            </w:r>
          </w:p>
        </w:tc>
        <w:tc>
          <w:tcPr>
            <w:tcW w:w="850" w:type="dxa"/>
            <w:tcBorders>
              <w:top w:val="single" w:sz="8" w:space="0" w:color="auto"/>
              <w:left w:val="single" w:sz="8" w:space="0" w:color="auto"/>
              <w:bottom w:val="single" w:sz="12" w:space="0" w:color="auto"/>
              <w:right w:val="single" w:sz="8" w:space="0" w:color="auto"/>
            </w:tcBorders>
            <w:noWrap/>
          </w:tcPr>
          <w:p w14:paraId="2F737D28"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8" w:space="0" w:color="auto"/>
              <w:left w:val="single" w:sz="8" w:space="0" w:color="auto"/>
              <w:bottom w:val="single" w:sz="12" w:space="0" w:color="auto"/>
              <w:right w:val="single" w:sz="8" w:space="0" w:color="auto"/>
            </w:tcBorders>
            <w:noWrap/>
          </w:tcPr>
          <w:p w14:paraId="7C95456A"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32.15</w:t>
            </w:r>
          </w:p>
        </w:tc>
        <w:tc>
          <w:tcPr>
            <w:tcW w:w="992" w:type="dxa"/>
            <w:tcBorders>
              <w:top w:val="single" w:sz="8" w:space="0" w:color="auto"/>
              <w:left w:val="single" w:sz="8" w:space="0" w:color="auto"/>
              <w:bottom w:val="single" w:sz="12" w:space="0" w:color="auto"/>
              <w:right w:val="single" w:sz="8" w:space="0" w:color="auto"/>
            </w:tcBorders>
            <w:noWrap/>
          </w:tcPr>
          <w:p w14:paraId="0594E434"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851" w:type="dxa"/>
            <w:tcBorders>
              <w:top w:val="single" w:sz="8" w:space="0" w:color="auto"/>
              <w:left w:val="single" w:sz="8" w:space="0" w:color="auto"/>
              <w:bottom w:val="single" w:sz="12" w:space="0" w:color="auto"/>
              <w:right w:val="single" w:sz="8" w:space="0" w:color="auto"/>
            </w:tcBorders>
            <w:noWrap/>
          </w:tcPr>
          <w:p w14:paraId="3C03598F"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1.39</w:t>
            </w:r>
          </w:p>
        </w:tc>
        <w:tc>
          <w:tcPr>
            <w:tcW w:w="1134" w:type="dxa"/>
            <w:tcBorders>
              <w:top w:val="single" w:sz="8" w:space="0" w:color="auto"/>
              <w:left w:val="single" w:sz="8" w:space="0" w:color="auto"/>
              <w:bottom w:val="single" w:sz="12" w:space="0" w:color="auto"/>
              <w:right w:val="single" w:sz="8" w:space="0" w:color="auto"/>
            </w:tcBorders>
            <w:noWrap/>
          </w:tcPr>
          <w:p w14:paraId="678FA56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tcBorders>
              <w:top w:val="single" w:sz="8" w:space="0" w:color="auto"/>
              <w:left w:val="single" w:sz="8" w:space="0" w:color="auto"/>
              <w:bottom w:val="single" w:sz="12" w:space="0" w:color="auto"/>
              <w:right w:val="single" w:sz="8" w:space="0" w:color="auto"/>
            </w:tcBorders>
            <w:noWrap/>
          </w:tcPr>
          <w:p w14:paraId="0CC95430"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13.79</w:t>
            </w:r>
          </w:p>
        </w:tc>
        <w:tc>
          <w:tcPr>
            <w:tcW w:w="709" w:type="dxa"/>
            <w:tcBorders>
              <w:top w:val="single" w:sz="8" w:space="0" w:color="auto"/>
              <w:left w:val="single" w:sz="8" w:space="0" w:color="auto"/>
              <w:bottom w:val="single" w:sz="12" w:space="0" w:color="auto"/>
              <w:right w:val="single" w:sz="8" w:space="0" w:color="auto"/>
            </w:tcBorders>
            <w:noWrap/>
          </w:tcPr>
          <w:p w14:paraId="22AF5AE7"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4.20</w:t>
            </w:r>
          </w:p>
        </w:tc>
        <w:tc>
          <w:tcPr>
            <w:tcW w:w="709" w:type="dxa"/>
            <w:tcBorders>
              <w:top w:val="single" w:sz="8" w:space="0" w:color="auto"/>
              <w:left w:val="single" w:sz="8" w:space="0" w:color="auto"/>
              <w:bottom w:val="single" w:sz="12" w:space="0" w:color="auto"/>
              <w:right w:val="single" w:sz="8" w:space="0" w:color="auto"/>
            </w:tcBorders>
            <w:noWrap/>
          </w:tcPr>
          <w:p w14:paraId="3C3F22DD"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2.36</w:t>
            </w:r>
          </w:p>
        </w:tc>
        <w:tc>
          <w:tcPr>
            <w:tcW w:w="850" w:type="dxa"/>
            <w:tcBorders>
              <w:top w:val="single" w:sz="8" w:space="0" w:color="auto"/>
              <w:left w:val="single" w:sz="8" w:space="0" w:color="auto"/>
              <w:bottom w:val="single" w:sz="12" w:space="0" w:color="auto"/>
              <w:right w:val="single" w:sz="12" w:space="0" w:color="auto"/>
            </w:tcBorders>
            <w:noWrap/>
          </w:tcPr>
          <w:p w14:paraId="5D29550C" w14:textId="77777777" w:rsidR="00B37318" w:rsidRPr="002574F2"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54.10</w:t>
            </w:r>
          </w:p>
        </w:tc>
      </w:tr>
      <w:tr w:rsidR="00B37318" w:rsidRPr="003B4324" w14:paraId="6034FD96" w14:textId="77777777" w:rsidTr="000007D2">
        <w:trPr>
          <w:trHeight w:val="300"/>
        </w:trPr>
        <w:tc>
          <w:tcPr>
            <w:tcW w:w="1271" w:type="dxa"/>
            <w:vMerge w:val="restart"/>
            <w:tcBorders>
              <w:top w:val="single" w:sz="12" w:space="0" w:color="auto"/>
              <w:left w:val="single" w:sz="12" w:space="0" w:color="auto"/>
            </w:tcBorders>
            <w:shd w:val="clear" w:color="auto" w:fill="E7E6E6"/>
            <w:noWrap/>
            <w:vAlign w:val="center"/>
          </w:tcPr>
          <w:p w14:paraId="2F81C9BC" w14:textId="77777777" w:rsidR="00B37318" w:rsidRPr="004254D2" w:rsidRDefault="00B37318" w:rsidP="000007D2">
            <w:pPr>
              <w:spacing w:after="0" w:line="240" w:lineRule="auto"/>
              <w:jc w:val="left"/>
              <w:rPr>
                <w:rFonts w:ascii="Calibri Light" w:hAnsi="Calibri Light" w:cs="Calibri Light"/>
                <w:color w:val="000000" w:themeColor="text1"/>
              </w:rPr>
            </w:pPr>
            <w:r w:rsidRPr="00B37318">
              <w:rPr>
                <w:rFonts w:ascii="Calibri Light" w:hAnsi="Calibri Light" w:cs="Calibri Light"/>
                <w:color w:val="000000" w:themeColor="text1"/>
              </w:rPr>
              <w:t>Scenario-S</w:t>
            </w:r>
          </w:p>
        </w:tc>
        <w:tc>
          <w:tcPr>
            <w:tcW w:w="851" w:type="dxa"/>
            <w:tcBorders>
              <w:top w:val="single" w:sz="12" w:space="0" w:color="auto"/>
            </w:tcBorders>
            <w:noWrap/>
          </w:tcPr>
          <w:p w14:paraId="21250E2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2019</w:t>
            </w:r>
          </w:p>
        </w:tc>
        <w:tc>
          <w:tcPr>
            <w:tcW w:w="850" w:type="dxa"/>
            <w:tcBorders>
              <w:top w:val="single" w:sz="12" w:space="0" w:color="auto"/>
            </w:tcBorders>
            <w:noWrap/>
          </w:tcPr>
          <w:p w14:paraId="259C0A3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12" w:space="0" w:color="auto"/>
            </w:tcBorders>
            <w:noWrap/>
          </w:tcPr>
          <w:p w14:paraId="6E40ADF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25.55</w:t>
            </w:r>
          </w:p>
        </w:tc>
        <w:tc>
          <w:tcPr>
            <w:tcW w:w="992" w:type="dxa"/>
            <w:tcBorders>
              <w:top w:val="single" w:sz="12" w:space="0" w:color="auto"/>
            </w:tcBorders>
            <w:noWrap/>
          </w:tcPr>
          <w:p w14:paraId="425F536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0.05</w:t>
            </w:r>
          </w:p>
        </w:tc>
        <w:tc>
          <w:tcPr>
            <w:tcW w:w="851" w:type="dxa"/>
            <w:tcBorders>
              <w:top w:val="single" w:sz="12" w:space="0" w:color="auto"/>
            </w:tcBorders>
            <w:noWrap/>
          </w:tcPr>
          <w:p w14:paraId="5E0F220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0.73</w:t>
            </w:r>
          </w:p>
        </w:tc>
        <w:tc>
          <w:tcPr>
            <w:tcW w:w="1134" w:type="dxa"/>
            <w:tcBorders>
              <w:top w:val="single" w:sz="12" w:space="0" w:color="auto"/>
            </w:tcBorders>
            <w:noWrap/>
          </w:tcPr>
          <w:p w14:paraId="05996CA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0.16</w:t>
            </w:r>
          </w:p>
        </w:tc>
        <w:tc>
          <w:tcPr>
            <w:tcW w:w="850" w:type="dxa"/>
            <w:tcBorders>
              <w:top w:val="single" w:sz="12" w:space="0" w:color="auto"/>
            </w:tcBorders>
            <w:noWrap/>
          </w:tcPr>
          <w:p w14:paraId="69EA94D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9.46</w:t>
            </w:r>
          </w:p>
        </w:tc>
        <w:tc>
          <w:tcPr>
            <w:tcW w:w="709" w:type="dxa"/>
            <w:tcBorders>
              <w:top w:val="single" w:sz="12" w:space="0" w:color="auto"/>
            </w:tcBorders>
            <w:noWrap/>
          </w:tcPr>
          <w:p w14:paraId="675CE93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0.90</w:t>
            </w:r>
          </w:p>
        </w:tc>
        <w:tc>
          <w:tcPr>
            <w:tcW w:w="709" w:type="dxa"/>
            <w:tcBorders>
              <w:top w:val="single" w:sz="12" w:space="0" w:color="auto"/>
            </w:tcBorders>
            <w:noWrap/>
          </w:tcPr>
          <w:p w14:paraId="726B355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0" w:type="dxa"/>
            <w:tcBorders>
              <w:top w:val="single" w:sz="12" w:space="0" w:color="auto"/>
              <w:right w:val="single" w:sz="12" w:space="0" w:color="auto"/>
            </w:tcBorders>
            <w:noWrap/>
          </w:tcPr>
          <w:p w14:paraId="15EA7FC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36.85</w:t>
            </w:r>
          </w:p>
        </w:tc>
      </w:tr>
      <w:tr w:rsidR="00B37318" w:rsidRPr="003B4324" w14:paraId="2B2EFCDD" w14:textId="77777777" w:rsidTr="000007D2">
        <w:trPr>
          <w:trHeight w:val="300"/>
        </w:trPr>
        <w:tc>
          <w:tcPr>
            <w:tcW w:w="1271" w:type="dxa"/>
            <w:vMerge/>
            <w:tcBorders>
              <w:left w:val="single" w:sz="12" w:space="0" w:color="auto"/>
            </w:tcBorders>
            <w:shd w:val="clear" w:color="auto" w:fill="E7E6E6"/>
            <w:noWrap/>
          </w:tcPr>
          <w:p w14:paraId="6BF14CD7"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231DBCC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2025</w:t>
            </w:r>
          </w:p>
        </w:tc>
        <w:tc>
          <w:tcPr>
            <w:tcW w:w="850" w:type="dxa"/>
            <w:noWrap/>
          </w:tcPr>
          <w:p w14:paraId="46E0150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1D94901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24.27</w:t>
            </w:r>
          </w:p>
        </w:tc>
        <w:tc>
          <w:tcPr>
            <w:tcW w:w="992" w:type="dxa"/>
            <w:noWrap/>
          </w:tcPr>
          <w:p w14:paraId="6769235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0.02</w:t>
            </w:r>
          </w:p>
        </w:tc>
        <w:tc>
          <w:tcPr>
            <w:tcW w:w="851" w:type="dxa"/>
            <w:noWrap/>
          </w:tcPr>
          <w:p w14:paraId="477E928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1.41</w:t>
            </w:r>
          </w:p>
        </w:tc>
        <w:tc>
          <w:tcPr>
            <w:tcW w:w="1134" w:type="dxa"/>
            <w:noWrap/>
          </w:tcPr>
          <w:p w14:paraId="5DC84CE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noWrap/>
          </w:tcPr>
          <w:p w14:paraId="683A865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09" w:type="dxa"/>
            <w:noWrap/>
          </w:tcPr>
          <w:p w14:paraId="28419F3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2.32</w:t>
            </w:r>
          </w:p>
        </w:tc>
        <w:tc>
          <w:tcPr>
            <w:tcW w:w="709" w:type="dxa"/>
            <w:noWrap/>
          </w:tcPr>
          <w:p w14:paraId="7884C28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0.68</w:t>
            </w:r>
          </w:p>
        </w:tc>
        <w:tc>
          <w:tcPr>
            <w:tcW w:w="850" w:type="dxa"/>
            <w:tcBorders>
              <w:right w:val="single" w:sz="12" w:space="0" w:color="auto"/>
            </w:tcBorders>
            <w:noWrap/>
          </w:tcPr>
          <w:p w14:paraId="1826FFC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39.31</w:t>
            </w:r>
          </w:p>
        </w:tc>
      </w:tr>
      <w:tr w:rsidR="00B37318" w:rsidRPr="003B4324" w14:paraId="42F26599" w14:textId="77777777" w:rsidTr="000007D2">
        <w:trPr>
          <w:trHeight w:val="300"/>
        </w:trPr>
        <w:tc>
          <w:tcPr>
            <w:tcW w:w="1271" w:type="dxa"/>
            <w:vMerge/>
            <w:tcBorders>
              <w:left w:val="single" w:sz="12" w:space="0" w:color="auto"/>
            </w:tcBorders>
            <w:shd w:val="clear" w:color="auto" w:fill="E7E6E6"/>
            <w:noWrap/>
          </w:tcPr>
          <w:p w14:paraId="44A76B06"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65C19C9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2026</w:t>
            </w:r>
          </w:p>
        </w:tc>
        <w:tc>
          <w:tcPr>
            <w:tcW w:w="850" w:type="dxa"/>
            <w:noWrap/>
          </w:tcPr>
          <w:p w14:paraId="4FA258A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222EDC4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23.52</w:t>
            </w:r>
          </w:p>
        </w:tc>
        <w:tc>
          <w:tcPr>
            <w:tcW w:w="992" w:type="dxa"/>
            <w:noWrap/>
          </w:tcPr>
          <w:p w14:paraId="7AC6383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216738F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w:t>
            </w:r>
          </w:p>
        </w:tc>
        <w:tc>
          <w:tcPr>
            <w:tcW w:w="1134" w:type="dxa"/>
            <w:noWrap/>
          </w:tcPr>
          <w:p w14:paraId="10017BB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noWrap/>
          </w:tcPr>
          <w:p w14:paraId="23F37AA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09" w:type="dxa"/>
            <w:noWrap/>
          </w:tcPr>
          <w:p w14:paraId="4EB5902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2.71</w:t>
            </w:r>
          </w:p>
        </w:tc>
        <w:tc>
          <w:tcPr>
            <w:tcW w:w="709" w:type="dxa"/>
            <w:noWrap/>
          </w:tcPr>
          <w:p w14:paraId="2668953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1.00</w:t>
            </w:r>
          </w:p>
        </w:tc>
        <w:tc>
          <w:tcPr>
            <w:tcW w:w="850" w:type="dxa"/>
            <w:tcBorders>
              <w:right w:val="single" w:sz="12" w:space="0" w:color="auto"/>
            </w:tcBorders>
            <w:noWrap/>
          </w:tcPr>
          <w:p w14:paraId="15323A4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39.38</w:t>
            </w:r>
          </w:p>
        </w:tc>
      </w:tr>
      <w:tr w:rsidR="00B37318" w:rsidRPr="003B4324" w14:paraId="5F6332F6" w14:textId="77777777" w:rsidTr="000007D2">
        <w:trPr>
          <w:trHeight w:val="300"/>
        </w:trPr>
        <w:tc>
          <w:tcPr>
            <w:tcW w:w="1271" w:type="dxa"/>
            <w:vMerge/>
            <w:tcBorders>
              <w:left w:val="single" w:sz="12" w:space="0" w:color="auto"/>
            </w:tcBorders>
            <w:shd w:val="clear" w:color="auto" w:fill="E7E6E6"/>
            <w:noWrap/>
          </w:tcPr>
          <w:p w14:paraId="68307413"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25E1E06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850" w:type="dxa"/>
            <w:noWrap/>
          </w:tcPr>
          <w:p w14:paraId="656AD80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4EEDC9F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23.25</w:t>
            </w:r>
          </w:p>
        </w:tc>
        <w:tc>
          <w:tcPr>
            <w:tcW w:w="992" w:type="dxa"/>
            <w:noWrap/>
          </w:tcPr>
          <w:p w14:paraId="1369477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48E7986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1134" w:type="dxa"/>
            <w:noWrap/>
          </w:tcPr>
          <w:p w14:paraId="77CF01D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0.20</w:t>
            </w:r>
          </w:p>
        </w:tc>
        <w:tc>
          <w:tcPr>
            <w:tcW w:w="850" w:type="dxa"/>
            <w:noWrap/>
          </w:tcPr>
          <w:p w14:paraId="5B8634B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10.42</w:t>
            </w:r>
          </w:p>
        </w:tc>
        <w:tc>
          <w:tcPr>
            <w:tcW w:w="709" w:type="dxa"/>
            <w:noWrap/>
          </w:tcPr>
          <w:p w14:paraId="46A1903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3.14</w:t>
            </w:r>
          </w:p>
        </w:tc>
        <w:tc>
          <w:tcPr>
            <w:tcW w:w="709" w:type="dxa"/>
            <w:noWrap/>
          </w:tcPr>
          <w:p w14:paraId="3F26AD9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1.32</w:t>
            </w:r>
          </w:p>
        </w:tc>
        <w:tc>
          <w:tcPr>
            <w:tcW w:w="850" w:type="dxa"/>
            <w:tcBorders>
              <w:right w:val="single" w:sz="12" w:space="0" w:color="auto"/>
            </w:tcBorders>
            <w:noWrap/>
          </w:tcPr>
          <w:p w14:paraId="49DDDC8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39.85</w:t>
            </w:r>
          </w:p>
        </w:tc>
      </w:tr>
      <w:tr w:rsidR="00B37318" w:rsidRPr="003B4324" w14:paraId="588CAC4B" w14:textId="77777777" w:rsidTr="000007D2">
        <w:trPr>
          <w:trHeight w:val="300"/>
        </w:trPr>
        <w:tc>
          <w:tcPr>
            <w:tcW w:w="1271" w:type="dxa"/>
            <w:vMerge/>
            <w:tcBorders>
              <w:left w:val="single" w:sz="12" w:space="0" w:color="auto"/>
            </w:tcBorders>
            <w:shd w:val="clear" w:color="auto" w:fill="E7E6E6"/>
            <w:noWrap/>
          </w:tcPr>
          <w:p w14:paraId="7BA6FF79"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50A3CBA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2028</w:t>
            </w:r>
          </w:p>
        </w:tc>
        <w:tc>
          <w:tcPr>
            <w:tcW w:w="850" w:type="dxa"/>
            <w:noWrap/>
          </w:tcPr>
          <w:p w14:paraId="36C99C7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6F845B4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22.74</w:t>
            </w:r>
          </w:p>
        </w:tc>
        <w:tc>
          <w:tcPr>
            <w:tcW w:w="992" w:type="dxa"/>
            <w:noWrap/>
          </w:tcPr>
          <w:p w14:paraId="43AF32D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333D95C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1134" w:type="dxa"/>
            <w:noWrap/>
          </w:tcPr>
          <w:p w14:paraId="5CA6E36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noWrap/>
          </w:tcPr>
          <w:p w14:paraId="096FD66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10.57</w:t>
            </w:r>
          </w:p>
        </w:tc>
        <w:tc>
          <w:tcPr>
            <w:tcW w:w="709" w:type="dxa"/>
            <w:noWrap/>
          </w:tcPr>
          <w:p w14:paraId="2280959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3.60</w:t>
            </w:r>
          </w:p>
        </w:tc>
        <w:tc>
          <w:tcPr>
            <w:tcW w:w="709" w:type="dxa"/>
            <w:noWrap/>
          </w:tcPr>
          <w:p w14:paraId="39F7A4D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1.64</w:t>
            </w:r>
          </w:p>
        </w:tc>
        <w:tc>
          <w:tcPr>
            <w:tcW w:w="850" w:type="dxa"/>
            <w:tcBorders>
              <w:right w:val="single" w:sz="12" w:space="0" w:color="auto"/>
            </w:tcBorders>
            <w:noWrap/>
          </w:tcPr>
          <w:p w14:paraId="6C7B7D8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40.27</w:t>
            </w:r>
          </w:p>
        </w:tc>
      </w:tr>
      <w:tr w:rsidR="00B37318" w:rsidRPr="003B4324" w14:paraId="25FF8DC4" w14:textId="77777777" w:rsidTr="000007D2">
        <w:trPr>
          <w:trHeight w:val="300"/>
        </w:trPr>
        <w:tc>
          <w:tcPr>
            <w:tcW w:w="1271" w:type="dxa"/>
            <w:vMerge/>
            <w:tcBorders>
              <w:left w:val="single" w:sz="12" w:space="0" w:color="auto"/>
            </w:tcBorders>
            <w:shd w:val="clear" w:color="auto" w:fill="E7E6E6"/>
            <w:noWrap/>
          </w:tcPr>
          <w:p w14:paraId="27BA8EE4"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3B088BE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2029</w:t>
            </w:r>
          </w:p>
        </w:tc>
        <w:tc>
          <w:tcPr>
            <w:tcW w:w="850" w:type="dxa"/>
            <w:noWrap/>
          </w:tcPr>
          <w:p w14:paraId="51EC1D4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6A2BBFA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21.18</w:t>
            </w:r>
          </w:p>
        </w:tc>
        <w:tc>
          <w:tcPr>
            <w:tcW w:w="992" w:type="dxa"/>
            <w:noWrap/>
          </w:tcPr>
          <w:p w14:paraId="2B6520F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61AFA59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2.74</w:t>
            </w:r>
          </w:p>
        </w:tc>
        <w:tc>
          <w:tcPr>
            <w:tcW w:w="1134" w:type="dxa"/>
            <w:noWrap/>
          </w:tcPr>
          <w:p w14:paraId="2A713CB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0.28</w:t>
            </w:r>
          </w:p>
        </w:tc>
        <w:tc>
          <w:tcPr>
            <w:tcW w:w="850" w:type="dxa"/>
            <w:noWrap/>
          </w:tcPr>
          <w:p w14:paraId="5534348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10.57</w:t>
            </w:r>
          </w:p>
        </w:tc>
        <w:tc>
          <w:tcPr>
            <w:tcW w:w="709" w:type="dxa"/>
            <w:noWrap/>
          </w:tcPr>
          <w:p w14:paraId="4ECF909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4.09</w:t>
            </w:r>
          </w:p>
        </w:tc>
        <w:tc>
          <w:tcPr>
            <w:tcW w:w="709" w:type="dxa"/>
            <w:noWrap/>
          </w:tcPr>
          <w:p w14:paraId="0BEA7BC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1.97</w:t>
            </w:r>
          </w:p>
        </w:tc>
        <w:tc>
          <w:tcPr>
            <w:tcW w:w="850" w:type="dxa"/>
            <w:tcBorders>
              <w:right w:val="single" w:sz="12" w:space="0" w:color="auto"/>
            </w:tcBorders>
            <w:noWrap/>
          </w:tcPr>
          <w:p w14:paraId="3D9C088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40.83</w:t>
            </w:r>
          </w:p>
        </w:tc>
      </w:tr>
      <w:tr w:rsidR="00B37318" w:rsidRPr="003B4324" w14:paraId="15554B6B" w14:textId="77777777" w:rsidTr="000007D2">
        <w:trPr>
          <w:trHeight w:val="300"/>
        </w:trPr>
        <w:tc>
          <w:tcPr>
            <w:tcW w:w="1271" w:type="dxa"/>
            <w:vMerge/>
            <w:tcBorders>
              <w:left w:val="single" w:sz="12" w:space="0" w:color="auto"/>
            </w:tcBorders>
            <w:shd w:val="clear" w:color="auto" w:fill="E7E6E6"/>
            <w:noWrap/>
          </w:tcPr>
          <w:p w14:paraId="57EE5B90"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6E3B887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850" w:type="dxa"/>
            <w:noWrap/>
          </w:tcPr>
          <w:p w14:paraId="7CEF1F4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7C91110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19.16</w:t>
            </w:r>
          </w:p>
        </w:tc>
        <w:tc>
          <w:tcPr>
            <w:tcW w:w="992" w:type="dxa"/>
            <w:noWrap/>
          </w:tcPr>
          <w:p w14:paraId="644853E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45C87F1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2.92</w:t>
            </w:r>
          </w:p>
        </w:tc>
        <w:tc>
          <w:tcPr>
            <w:tcW w:w="1134" w:type="dxa"/>
            <w:noWrap/>
          </w:tcPr>
          <w:p w14:paraId="37C086F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0.35</w:t>
            </w:r>
          </w:p>
        </w:tc>
        <w:tc>
          <w:tcPr>
            <w:tcW w:w="850" w:type="dxa"/>
            <w:noWrap/>
          </w:tcPr>
          <w:p w14:paraId="7005D9D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10.84</w:t>
            </w:r>
          </w:p>
        </w:tc>
        <w:tc>
          <w:tcPr>
            <w:tcW w:w="709" w:type="dxa"/>
            <w:noWrap/>
          </w:tcPr>
          <w:p w14:paraId="2B82E47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4.61</w:t>
            </w:r>
          </w:p>
        </w:tc>
        <w:tc>
          <w:tcPr>
            <w:tcW w:w="709" w:type="dxa"/>
            <w:noWrap/>
          </w:tcPr>
          <w:p w14:paraId="5783C80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2.30</w:t>
            </w:r>
          </w:p>
        </w:tc>
        <w:tc>
          <w:tcPr>
            <w:tcW w:w="850" w:type="dxa"/>
            <w:tcBorders>
              <w:right w:val="single" w:sz="12" w:space="0" w:color="auto"/>
            </w:tcBorders>
            <w:noWrap/>
          </w:tcPr>
          <w:p w14:paraId="759CA43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40.19</w:t>
            </w:r>
          </w:p>
        </w:tc>
      </w:tr>
      <w:tr w:rsidR="00B37318" w:rsidRPr="003B4324" w14:paraId="6C084925" w14:textId="77777777" w:rsidTr="000007D2">
        <w:trPr>
          <w:trHeight w:val="300"/>
        </w:trPr>
        <w:tc>
          <w:tcPr>
            <w:tcW w:w="1271" w:type="dxa"/>
            <w:vMerge/>
            <w:tcBorders>
              <w:left w:val="single" w:sz="12" w:space="0" w:color="auto"/>
            </w:tcBorders>
            <w:shd w:val="clear" w:color="auto" w:fill="E7E6E6"/>
            <w:noWrap/>
          </w:tcPr>
          <w:p w14:paraId="043B1593"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69B769B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2035</w:t>
            </w:r>
          </w:p>
        </w:tc>
        <w:tc>
          <w:tcPr>
            <w:tcW w:w="850" w:type="dxa"/>
            <w:noWrap/>
          </w:tcPr>
          <w:p w14:paraId="3C60607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5862534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14.69</w:t>
            </w:r>
          </w:p>
        </w:tc>
        <w:tc>
          <w:tcPr>
            <w:tcW w:w="992" w:type="dxa"/>
            <w:noWrap/>
          </w:tcPr>
          <w:p w14:paraId="4F22C48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03D97BA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2.68</w:t>
            </w:r>
          </w:p>
        </w:tc>
        <w:tc>
          <w:tcPr>
            <w:tcW w:w="1134" w:type="dxa"/>
            <w:noWrap/>
          </w:tcPr>
          <w:p w14:paraId="496999F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0.49</w:t>
            </w:r>
          </w:p>
        </w:tc>
        <w:tc>
          <w:tcPr>
            <w:tcW w:w="850" w:type="dxa"/>
            <w:noWrap/>
          </w:tcPr>
          <w:p w14:paraId="7345ADC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12.31</w:t>
            </w:r>
          </w:p>
        </w:tc>
        <w:tc>
          <w:tcPr>
            <w:tcW w:w="709" w:type="dxa"/>
            <w:noWrap/>
          </w:tcPr>
          <w:p w14:paraId="53291CA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7.95</w:t>
            </w:r>
          </w:p>
        </w:tc>
        <w:tc>
          <w:tcPr>
            <w:tcW w:w="709" w:type="dxa"/>
            <w:noWrap/>
          </w:tcPr>
          <w:p w14:paraId="6B3C759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5.23</w:t>
            </w:r>
          </w:p>
        </w:tc>
        <w:tc>
          <w:tcPr>
            <w:tcW w:w="850" w:type="dxa"/>
            <w:tcBorders>
              <w:right w:val="single" w:sz="12" w:space="0" w:color="auto"/>
            </w:tcBorders>
            <w:noWrap/>
          </w:tcPr>
          <w:p w14:paraId="09786D5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43.34</w:t>
            </w:r>
          </w:p>
        </w:tc>
      </w:tr>
      <w:tr w:rsidR="00B37318" w:rsidRPr="003B4324" w14:paraId="56C25FF8" w14:textId="77777777" w:rsidTr="000007D2">
        <w:trPr>
          <w:trHeight w:val="300"/>
        </w:trPr>
        <w:tc>
          <w:tcPr>
            <w:tcW w:w="1271" w:type="dxa"/>
            <w:vMerge/>
            <w:tcBorders>
              <w:left w:val="single" w:sz="12" w:space="0" w:color="auto"/>
            </w:tcBorders>
            <w:shd w:val="clear" w:color="auto" w:fill="E7E6E6"/>
            <w:noWrap/>
          </w:tcPr>
          <w:p w14:paraId="14EB11C5"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191579D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2040</w:t>
            </w:r>
          </w:p>
        </w:tc>
        <w:tc>
          <w:tcPr>
            <w:tcW w:w="850" w:type="dxa"/>
            <w:noWrap/>
          </w:tcPr>
          <w:p w14:paraId="67EF638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65C9FDA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10.22</w:t>
            </w:r>
          </w:p>
        </w:tc>
        <w:tc>
          <w:tcPr>
            <w:tcW w:w="992" w:type="dxa"/>
            <w:noWrap/>
          </w:tcPr>
          <w:p w14:paraId="1114875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5B99241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w:t>
            </w:r>
          </w:p>
        </w:tc>
        <w:tc>
          <w:tcPr>
            <w:tcW w:w="1134" w:type="dxa"/>
            <w:noWrap/>
          </w:tcPr>
          <w:p w14:paraId="1D0A807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0.98</w:t>
            </w:r>
          </w:p>
        </w:tc>
        <w:tc>
          <w:tcPr>
            <w:tcW w:w="850" w:type="dxa"/>
            <w:noWrap/>
          </w:tcPr>
          <w:p w14:paraId="36F0181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13.63</w:t>
            </w:r>
          </w:p>
        </w:tc>
        <w:tc>
          <w:tcPr>
            <w:tcW w:w="709" w:type="dxa"/>
            <w:noWrap/>
          </w:tcPr>
          <w:p w14:paraId="33D9450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8.07</w:t>
            </w:r>
          </w:p>
        </w:tc>
        <w:tc>
          <w:tcPr>
            <w:tcW w:w="709" w:type="dxa"/>
            <w:noWrap/>
          </w:tcPr>
          <w:p w14:paraId="313933F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9.78</w:t>
            </w:r>
          </w:p>
        </w:tc>
        <w:tc>
          <w:tcPr>
            <w:tcW w:w="850" w:type="dxa"/>
            <w:tcBorders>
              <w:right w:val="single" w:sz="12" w:space="0" w:color="auto"/>
            </w:tcBorders>
            <w:noWrap/>
          </w:tcPr>
          <w:p w14:paraId="7A8B8D8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46.37</w:t>
            </w:r>
          </w:p>
        </w:tc>
      </w:tr>
      <w:tr w:rsidR="00B37318" w:rsidRPr="003B4324" w14:paraId="04A7A793" w14:textId="77777777" w:rsidTr="000007D2">
        <w:trPr>
          <w:trHeight w:val="300"/>
        </w:trPr>
        <w:tc>
          <w:tcPr>
            <w:tcW w:w="1271" w:type="dxa"/>
            <w:vMerge/>
            <w:tcBorders>
              <w:left w:val="single" w:sz="12" w:space="0" w:color="auto"/>
            </w:tcBorders>
            <w:shd w:val="clear" w:color="auto" w:fill="E7E6E6"/>
            <w:noWrap/>
          </w:tcPr>
          <w:p w14:paraId="79E88FC5"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69E0813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2045</w:t>
            </w:r>
          </w:p>
        </w:tc>
        <w:tc>
          <w:tcPr>
            <w:tcW w:w="850" w:type="dxa"/>
            <w:noWrap/>
          </w:tcPr>
          <w:p w14:paraId="64CAC09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514C8E3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6.11</w:t>
            </w:r>
          </w:p>
        </w:tc>
        <w:tc>
          <w:tcPr>
            <w:tcW w:w="992" w:type="dxa"/>
            <w:noWrap/>
          </w:tcPr>
          <w:p w14:paraId="00F7E65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414D3B3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4.07</w:t>
            </w:r>
          </w:p>
        </w:tc>
        <w:tc>
          <w:tcPr>
            <w:tcW w:w="1134" w:type="dxa"/>
            <w:noWrap/>
          </w:tcPr>
          <w:p w14:paraId="4AE5F7D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w:t>
            </w:r>
          </w:p>
        </w:tc>
        <w:tc>
          <w:tcPr>
            <w:tcW w:w="850" w:type="dxa"/>
            <w:noWrap/>
          </w:tcPr>
          <w:p w14:paraId="7360C06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14.06</w:t>
            </w:r>
          </w:p>
        </w:tc>
        <w:tc>
          <w:tcPr>
            <w:tcW w:w="709" w:type="dxa"/>
            <w:noWrap/>
          </w:tcPr>
          <w:p w14:paraId="61C2011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14.03</w:t>
            </w:r>
          </w:p>
        </w:tc>
        <w:tc>
          <w:tcPr>
            <w:tcW w:w="709" w:type="dxa"/>
            <w:noWrap/>
          </w:tcPr>
          <w:p w14:paraId="6AB0A8E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15.92</w:t>
            </w:r>
          </w:p>
        </w:tc>
        <w:tc>
          <w:tcPr>
            <w:tcW w:w="850" w:type="dxa"/>
            <w:tcBorders>
              <w:right w:val="single" w:sz="12" w:space="0" w:color="auto"/>
            </w:tcBorders>
            <w:noWrap/>
          </w:tcPr>
          <w:p w14:paraId="164C355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55.73</w:t>
            </w:r>
          </w:p>
        </w:tc>
      </w:tr>
      <w:tr w:rsidR="00B37318" w:rsidRPr="003B4324" w14:paraId="087F466E" w14:textId="77777777" w:rsidTr="000007D2">
        <w:trPr>
          <w:trHeight w:val="300"/>
        </w:trPr>
        <w:tc>
          <w:tcPr>
            <w:tcW w:w="1271" w:type="dxa"/>
            <w:vMerge/>
            <w:tcBorders>
              <w:left w:val="single" w:sz="12" w:space="0" w:color="auto"/>
              <w:bottom w:val="single" w:sz="12" w:space="0" w:color="auto"/>
            </w:tcBorders>
            <w:shd w:val="clear" w:color="auto" w:fill="E7E6E6"/>
            <w:noWrap/>
          </w:tcPr>
          <w:p w14:paraId="2ED458C4"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bottom w:val="single" w:sz="12" w:space="0" w:color="auto"/>
            </w:tcBorders>
            <w:noWrap/>
          </w:tcPr>
          <w:p w14:paraId="235E310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2050</w:t>
            </w:r>
          </w:p>
        </w:tc>
        <w:tc>
          <w:tcPr>
            <w:tcW w:w="850" w:type="dxa"/>
            <w:tcBorders>
              <w:bottom w:val="single" w:sz="12" w:space="0" w:color="auto"/>
            </w:tcBorders>
            <w:noWrap/>
          </w:tcPr>
          <w:p w14:paraId="6F8C44A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bottom w:val="single" w:sz="12" w:space="0" w:color="auto"/>
            </w:tcBorders>
            <w:noWrap/>
          </w:tcPr>
          <w:p w14:paraId="73332D8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992" w:type="dxa"/>
            <w:tcBorders>
              <w:bottom w:val="single" w:sz="12" w:space="0" w:color="auto"/>
            </w:tcBorders>
            <w:noWrap/>
          </w:tcPr>
          <w:p w14:paraId="0D65C8E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851" w:type="dxa"/>
            <w:tcBorders>
              <w:bottom w:val="single" w:sz="12" w:space="0" w:color="auto"/>
            </w:tcBorders>
            <w:noWrap/>
          </w:tcPr>
          <w:p w14:paraId="14D8A5A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4.11</w:t>
            </w:r>
          </w:p>
        </w:tc>
        <w:tc>
          <w:tcPr>
            <w:tcW w:w="1134" w:type="dxa"/>
            <w:tcBorders>
              <w:bottom w:val="single" w:sz="12" w:space="0" w:color="auto"/>
            </w:tcBorders>
            <w:noWrap/>
          </w:tcPr>
          <w:p w14:paraId="5656B9F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2.14</w:t>
            </w:r>
          </w:p>
        </w:tc>
        <w:tc>
          <w:tcPr>
            <w:tcW w:w="850" w:type="dxa"/>
            <w:tcBorders>
              <w:bottom w:val="single" w:sz="12" w:space="0" w:color="auto"/>
            </w:tcBorders>
            <w:noWrap/>
          </w:tcPr>
          <w:p w14:paraId="58287C6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14.06</w:t>
            </w:r>
          </w:p>
        </w:tc>
        <w:tc>
          <w:tcPr>
            <w:tcW w:w="709" w:type="dxa"/>
            <w:tcBorders>
              <w:bottom w:val="single" w:sz="12" w:space="0" w:color="auto"/>
            </w:tcBorders>
            <w:noWrap/>
          </w:tcPr>
          <w:p w14:paraId="2439BFE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20.71</w:t>
            </w:r>
          </w:p>
        </w:tc>
        <w:tc>
          <w:tcPr>
            <w:tcW w:w="709" w:type="dxa"/>
            <w:tcBorders>
              <w:bottom w:val="single" w:sz="12" w:space="0" w:color="auto"/>
            </w:tcBorders>
            <w:noWrap/>
          </w:tcPr>
          <w:p w14:paraId="5682FE9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24.59</w:t>
            </w:r>
          </w:p>
        </w:tc>
        <w:tc>
          <w:tcPr>
            <w:tcW w:w="850" w:type="dxa"/>
            <w:tcBorders>
              <w:bottom w:val="single" w:sz="12" w:space="0" w:color="auto"/>
              <w:right w:val="single" w:sz="12" w:space="0" w:color="auto"/>
            </w:tcBorders>
            <w:noWrap/>
          </w:tcPr>
          <w:p w14:paraId="7A6ED21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65.61</w:t>
            </w:r>
          </w:p>
        </w:tc>
      </w:tr>
      <w:tr w:rsidR="00B37318" w:rsidRPr="003B4324" w14:paraId="6325E9F6" w14:textId="77777777" w:rsidTr="000007D2">
        <w:trPr>
          <w:trHeight w:val="300"/>
        </w:trPr>
        <w:tc>
          <w:tcPr>
            <w:tcW w:w="1271" w:type="dxa"/>
            <w:vMerge w:val="restart"/>
            <w:tcBorders>
              <w:top w:val="single" w:sz="12" w:space="0" w:color="auto"/>
              <w:left w:val="single" w:sz="12" w:space="0" w:color="auto"/>
            </w:tcBorders>
            <w:shd w:val="clear" w:color="auto" w:fill="E7E6E6"/>
            <w:noWrap/>
            <w:vAlign w:val="center"/>
          </w:tcPr>
          <w:p w14:paraId="15BD9DBD" w14:textId="77777777" w:rsidR="00B37318" w:rsidRPr="004254D2" w:rsidRDefault="00B37318" w:rsidP="000007D2">
            <w:pPr>
              <w:spacing w:after="0" w:line="240" w:lineRule="auto"/>
              <w:jc w:val="left"/>
              <w:rPr>
                <w:rFonts w:ascii="Calibri Light" w:hAnsi="Calibri Light" w:cs="Calibri Light"/>
                <w:color w:val="000000" w:themeColor="text1"/>
              </w:rPr>
            </w:pPr>
            <w:r w:rsidRPr="00B37318">
              <w:rPr>
                <w:rFonts w:ascii="Calibri Light" w:hAnsi="Calibri Light" w:cs="Calibri Light"/>
                <w:color w:val="000000" w:themeColor="text1"/>
              </w:rPr>
              <w:t>Scenario-S-N</w:t>
            </w:r>
          </w:p>
        </w:tc>
        <w:tc>
          <w:tcPr>
            <w:tcW w:w="851" w:type="dxa"/>
            <w:tcBorders>
              <w:top w:val="single" w:sz="12" w:space="0" w:color="auto"/>
            </w:tcBorders>
            <w:noWrap/>
          </w:tcPr>
          <w:p w14:paraId="265922D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2019</w:t>
            </w:r>
          </w:p>
        </w:tc>
        <w:tc>
          <w:tcPr>
            <w:tcW w:w="850" w:type="dxa"/>
            <w:tcBorders>
              <w:top w:val="single" w:sz="12" w:space="0" w:color="auto"/>
            </w:tcBorders>
            <w:noWrap/>
          </w:tcPr>
          <w:p w14:paraId="449A816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tcBorders>
              <w:top w:val="single" w:sz="12" w:space="0" w:color="auto"/>
            </w:tcBorders>
            <w:noWrap/>
          </w:tcPr>
          <w:p w14:paraId="76620F9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25.55</w:t>
            </w:r>
          </w:p>
        </w:tc>
        <w:tc>
          <w:tcPr>
            <w:tcW w:w="992" w:type="dxa"/>
            <w:tcBorders>
              <w:top w:val="single" w:sz="12" w:space="0" w:color="auto"/>
            </w:tcBorders>
            <w:noWrap/>
          </w:tcPr>
          <w:p w14:paraId="2AFD449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0.05</w:t>
            </w:r>
          </w:p>
        </w:tc>
        <w:tc>
          <w:tcPr>
            <w:tcW w:w="851" w:type="dxa"/>
            <w:tcBorders>
              <w:top w:val="single" w:sz="12" w:space="0" w:color="auto"/>
            </w:tcBorders>
            <w:noWrap/>
          </w:tcPr>
          <w:p w14:paraId="513E016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0.73</w:t>
            </w:r>
          </w:p>
        </w:tc>
        <w:tc>
          <w:tcPr>
            <w:tcW w:w="1134" w:type="dxa"/>
            <w:tcBorders>
              <w:top w:val="single" w:sz="12" w:space="0" w:color="auto"/>
            </w:tcBorders>
            <w:noWrap/>
          </w:tcPr>
          <w:p w14:paraId="52C848A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0.16</w:t>
            </w:r>
          </w:p>
        </w:tc>
        <w:tc>
          <w:tcPr>
            <w:tcW w:w="850" w:type="dxa"/>
            <w:tcBorders>
              <w:top w:val="single" w:sz="12" w:space="0" w:color="auto"/>
            </w:tcBorders>
            <w:noWrap/>
          </w:tcPr>
          <w:p w14:paraId="6898C52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9.46</w:t>
            </w:r>
          </w:p>
        </w:tc>
        <w:tc>
          <w:tcPr>
            <w:tcW w:w="709" w:type="dxa"/>
            <w:tcBorders>
              <w:top w:val="single" w:sz="12" w:space="0" w:color="auto"/>
            </w:tcBorders>
            <w:noWrap/>
          </w:tcPr>
          <w:p w14:paraId="47D12F4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0.90</w:t>
            </w:r>
          </w:p>
        </w:tc>
        <w:tc>
          <w:tcPr>
            <w:tcW w:w="709" w:type="dxa"/>
            <w:tcBorders>
              <w:top w:val="single" w:sz="12" w:space="0" w:color="auto"/>
            </w:tcBorders>
            <w:noWrap/>
          </w:tcPr>
          <w:p w14:paraId="3F0EBDA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0" w:type="dxa"/>
            <w:tcBorders>
              <w:top w:val="single" w:sz="12" w:space="0" w:color="auto"/>
              <w:right w:val="single" w:sz="12" w:space="0" w:color="auto"/>
            </w:tcBorders>
            <w:noWrap/>
          </w:tcPr>
          <w:p w14:paraId="338DD4B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36.85</w:t>
            </w:r>
          </w:p>
        </w:tc>
      </w:tr>
      <w:tr w:rsidR="00B37318" w:rsidRPr="003B4324" w14:paraId="5A421B0E" w14:textId="77777777" w:rsidTr="000007D2">
        <w:trPr>
          <w:trHeight w:val="300"/>
        </w:trPr>
        <w:tc>
          <w:tcPr>
            <w:tcW w:w="1271" w:type="dxa"/>
            <w:vMerge/>
            <w:tcBorders>
              <w:left w:val="single" w:sz="12" w:space="0" w:color="auto"/>
            </w:tcBorders>
            <w:shd w:val="clear" w:color="auto" w:fill="E7E6E6"/>
            <w:noWrap/>
          </w:tcPr>
          <w:p w14:paraId="408D63C6"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0B3981D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2025</w:t>
            </w:r>
          </w:p>
        </w:tc>
        <w:tc>
          <w:tcPr>
            <w:tcW w:w="850" w:type="dxa"/>
            <w:noWrap/>
          </w:tcPr>
          <w:p w14:paraId="3837DA7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51C4151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24.27</w:t>
            </w:r>
          </w:p>
        </w:tc>
        <w:tc>
          <w:tcPr>
            <w:tcW w:w="992" w:type="dxa"/>
            <w:noWrap/>
          </w:tcPr>
          <w:p w14:paraId="6A6AE13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0.02</w:t>
            </w:r>
          </w:p>
        </w:tc>
        <w:tc>
          <w:tcPr>
            <w:tcW w:w="851" w:type="dxa"/>
            <w:noWrap/>
          </w:tcPr>
          <w:p w14:paraId="214FA3A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1.41</w:t>
            </w:r>
          </w:p>
        </w:tc>
        <w:tc>
          <w:tcPr>
            <w:tcW w:w="1134" w:type="dxa"/>
            <w:noWrap/>
          </w:tcPr>
          <w:p w14:paraId="0744E90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noWrap/>
          </w:tcPr>
          <w:p w14:paraId="79AC51F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09" w:type="dxa"/>
            <w:noWrap/>
          </w:tcPr>
          <w:p w14:paraId="62D2235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2.32</w:t>
            </w:r>
          </w:p>
        </w:tc>
        <w:tc>
          <w:tcPr>
            <w:tcW w:w="709" w:type="dxa"/>
            <w:noWrap/>
          </w:tcPr>
          <w:p w14:paraId="32A27E9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0.68</w:t>
            </w:r>
          </w:p>
        </w:tc>
        <w:tc>
          <w:tcPr>
            <w:tcW w:w="850" w:type="dxa"/>
            <w:tcBorders>
              <w:right w:val="single" w:sz="12" w:space="0" w:color="auto"/>
            </w:tcBorders>
            <w:noWrap/>
          </w:tcPr>
          <w:p w14:paraId="1EDE893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39.31</w:t>
            </w:r>
          </w:p>
        </w:tc>
      </w:tr>
      <w:tr w:rsidR="00B37318" w:rsidRPr="003B4324" w14:paraId="5B3F57B7" w14:textId="77777777" w:rsidTr="000007D2">
        <w:trPr>
          <w:trHeight w:val="300"/>
        </w:trPr>
        <w:tc>
          <w:tcPr>
            <w:tcW w:w="1271" w:type="dxa"/>
            <w:vMerge/>
            <w:tcBorders>
              <w:left w:val="single" w:sz="12" w:space="0" w:color="auto"/>
            </w:tcBorders>
            <w:shd w:val="clear" w:color="auto" w:fill="E7E6E6"/>
            <w:noWrap/>
          </w:tcPr>
          <w:p w14:paraId="3514C466"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78BF4E8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2026</w:t>
            </w:r>
          </w:p>
        </w:tc>
        <w:tc>
          <w:tcPr>
            <w:tcW w:w="850" w:type="dxa"/>
            <w:noWrap/>
          </w:tcPr>
          <w:p w14:paraId="5E336F5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7643841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23.52</w:t>
            </w:r>
          </w:p>
        </w:tc>
        <w:tc>
          <w:tcPr>
            <w:tcW w:w="992" w:type="dxa"/>
            <w:noWrap/>
          </w:tcPr>
          <w:p w14:paraId="172E7F1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6DCEFD4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w:t>
            </w:r>
          </w:p>
        </w:tc>
        <w:tc>
          <w:tcPr>
            <w:tcW w:w="1134" w:type="dxa"/>
            <w:noWrap/>
          </w:tcPr>
          <w:p w14:paraId="38D6ADA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noWrap/>
          </w:tcPr>
          <w:p w14:paraId="1ED005F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09" w:type="dxa"/>
            <w:noWrap/>
          </w:tcPr>
          <w:p w14:paraId="2D8237C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2.71</w:t>
            </w:r>
          </w:p>
        </w:tc>
        <w:tc>
          <w:tcPr>
            <w:tcW w:w="709" w:type="dxa"/>
            <w:noWrap/>
          </w:tcPr>
          <w:p w14:paraId="77A21BE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1.00</w:t>
            </w:r>
          </w:p>
        </w:tc>
        <w:tc>
          <w:tcPr>
            <w:tcW w:w="850" w:type="dxa"/>
            <w:tcBorders>
              <w:right w:val="single" w:sz="12" w:space="0" w:color="auto"/>
            </w:tcBorders>
            <w:noWrap/>
          </w:tcPr>
          <w:p w14:paraId="2115C55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39.38</w:t>
            </w:r>
          </w:p>
        </w:tc>
      </w:tr>
      <w:tr w:rsidR="00B37318" w:rsidRPr="003B4324" w14:paraId="0919DEDD" w14:textId="77777777" w:rsidTr="000007D2">
        <w:trPr>
          <w:trHeight w:val="300"/>
        </w:trPr>
        <w:tc>
          <w:tcPr>
            <w:tcW w:w="1271" w:type="dxa"/>
            <w:vMerge/>
            <w:tcBorders>
              <w:left w:val="single" w:sz="12" w:space="0" w:color="auto"/>
            </w:tcBorders>
            <w:shd w:val="clear" w:color="auto" w:fill="E7E6E6"/>
            <w:noWrap/>
          </w:tcPr>
          <w:p w14:paraId="2814F687"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474253D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2027</w:t>
            </w:r>
          </w:p>
        </w:tc>
        <w:tc>
          <w:tcPr>
            <w:tcW w:w="850" w:type="dxa"/>
            <w:noWrap/>
          </w:tcPr>
          <w:p w14:paraId="56980F5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22905B9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23.25</w:t>
            </w:r>
          </w:p>
        </w:tc>
        <w:tc>
          <w:tcPr>
            <w:tcW w:w="992" w:type="dxa"/>
            <w:noWrap/>
          </w:tcPr>
          <w:p w14:paraId="1716561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4EF0BC7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1134" w:type="dxa"/>
            <w:noWrap/>
          </w:tcPr>
          <w:p w14:paraId="047A14F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0.20</w:t>
            </w:r>
          </w:p>
        </w:tc>
        <w:tc>
          <w:tcPr>
            <w:tcW w:w="850" w:type="dxa"/>
            <w:noWrap/>
          </w:tcPr>
          <w:p w14:paraId="5A83205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10.42</w:t>
            </w:r>
          </w:p>
        </w:tc>
        <w:tc>
          <w:tcPr>
            <w:tcW w:w="709" w:type="dxa"/>
            <w:noWrap/>
          </w:tcPr>
          <w:p w14:paraId="737DB1C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3.14</w:t>
            </w:r>
          </w:p>
        </w:tc>
        <w:tc>
          <w:tcPr>
            <w:tcW w:w="709" w:type="dxa"/>
            <w:noWrap/>
          </w:tcPr>
          <w:p w14:paraId="381A144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1.32</w:t>
            </w:r>
          </w:p>
        </w:tc>
        <w:tc>
          <w:tcPr>
            <w:tcW w:w="850" w:type="dxa"/>
            <w:tcBorders>
              <w:right w:val="single" w:sz="12" w:space="0" w:color="auto"/>
            </w:tcBorders>
            <w:noWrap/>
          </w:tcPr>
          <w:p w14:paraId="5B87F04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39.85</w:t>
            </w:r>
          </w:p>
        </w:tc>
      </w:tr>
      <w:tr w:rsidR="00B37318" w:rsidRPr="003B4324" w14:paraId="1870BFEB" w14:textId="77777777" w:rsidTr="000007D2">
        <w:trPr>
          <w:trHeight w:val="300"/>
        </w:trPr>
        <w:tc>
          <w:tcPr>
            <w:tcW w:w="1271" w:type="dxa"/>
            <w:vMerge/>
            <w:tcBorders>
              <w:left w:val="single" w:sz="12" w:space="0" w:color="auto"/>
            </w:tcBorders>
            <w:shd w:val="clear" w:color="auto" w:fill="E7E6E6"/>
            <w:noWrap/>
          </w:tcPr>
          <w:p w14:paraId="40877C8E"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28C23D3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2028</w:t>
            </w:r>
          </w:p>
        </w:tc>
        <w:tc>
          <w:tcPr>
            <w:tcW w:w="850" w:type="dxa"/>
            <w:noWrap/>
          </w:tcPr>
          <w:p w14:paraId="3EB404F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1B2FF76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22.74</w:t>
            </w:r>
          </w:p>
        </w:tc>
        <w:tc>
          <w:tcPr>
            <w:tcW w:w="992" w:type="dxa"/>
            <w:noWrap/>
          </w:tcPr>
          <w:p w14:paraId="1A32618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19D3C28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1134" w:type="dxa"/>
            <w:noWrap/>
          </w:tcPr>
          <w:p w14:paraId="6BDB342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0.21</w:t>
            </w:r>
          </w:p>
        </w:tc>
        <w:tc>
          <w:tcPr>
            <w:tcW w:w="850" w:type="dxa"/>
            <w:noWrap/>
          </w:tcPr>
          <w:p w14:paraId="536D687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10.57</w:t>
            </w:r>
          </w:p>
        </w:tc>
        <w:tc>
          <w:tcPr>
            <w:tcW w:w="709" w:type="dxa"/>
            <w:noWrap/>
          </w:tcPr>
          <w:p w14:paraId="274E112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3.60</w:t>
            </w:r>
          </w:p>
        </w:tc>
        <w:tc>
          <w:tcPr>
            <w:tcW w:w="709" w:type="dxa"/>
            <w:noWrap/>
          </w:tcPr>
          <w:p w14:paraId="78F3B55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1.64</w:t>
            </w:r>
          </w:p>
        </w:tc>
        <w:tc>
          <w:tcPr>
            <w:tcW w:w="850" w:type="dxa"/>
            <w:tcBorders>
              <w:right w:val="single" w:sz="12" w:space="0" w:color="auto"/>
            </w:tcBorders>
            <w:noWrap/>
          </w:tcPr>
          <w:p w14:paraId="387FC33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40.27</w:t>
            </w:r>
          </w:p>
        </w:tc>
      </w:tr>
      <w:tr w:rsidR="00B37318" w:rsidRPr="003B4324" w14:paraId="1E28E4B9" w14:textId="77777777" w:rsidTr="000007D2">
        <w:trPr>
          <w:trHeight w:val="300"/>
        </w:trPr>
        <w:tc>
          <w:tcPr>
            <w:tcW w:w="1271" w:type="dxa"/>
            <w:vMerge/>
            <w:tcBorders>
              <w:left w:val="single" w:sz="12" w:space="0" w:color="auto"/>
            </w:tcBorders>
            <w:shd w:val="clear" w:color="auto" w:fill="E7E6E6"/>
            <w:noWrap/>
          </w:tcPr>
          <w:p w14:paraId="387F50EB"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07502A3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2029</w:t>
            </w:r>
          </w:p>
        </w:tc>
        <w:tc>
          <w:tcPr>
            <w:tcW w:w="850" w:type="dxa"/>
            <w:noWrap/>
          </w:tcPr>
          <w:p w14:paraId="296FD6C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428F212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21.18</w:t>
            </w:r>
          </w:p>
        </w:tc>
        <w:tc>
          <w:tcPr>
            <w:tcW w:w="992" w:type="dxa"/>
            <w:noWrap/>
          </w:tcPr>
          <w:p w14:paraId="07F7A9F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43411A1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2.74</w:t>
            </w:r>
          </w:p>
        </w:tc>
        <w:tc>
          <w:tcPr>
            <w:tcW w:w="1134" w:type="dxa"/>
            <w:noWrap/>
          </w:tcPr>
          <w:p w14:paraId="3391B8C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0.28</w:t>
            </w:r>
          </w:p>
        </w:tc>
        <w:tc>
          <w:tcPr>
            <w:tcW w:w="850" w:type="dxa"/>
            <w:noWrap/>
          </w:tcPr>
          <w:p w14:paraId="786A390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10.57</w:t>
            </w:r>
          </w:p>
        </w:tc>
        <w:tc>
          <w:tcPr>
            <w:tcW w:w="709" w:type="dxa"/>
            <w:noWrap/>
          </w:tcPr>
          <w:p w14:paraId="1E1B9F9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4.09</w:t>
            </w:r>
          </w:p>
        </w:tc>
        <w:tc>
          <w:tcPr>
            <w:tcW w:w="709" w:type="dxa"/>
            <w:noWrap/>
          </w:tcPr>
          <w:p w14:paraId="24C6EF2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1.97</w:t>
            </w:r>
          </w:p>
        </w:tc>
        <w:tc>
          <w:tcPr>
            <w:tcW w:w="850" w:type="dxa"/>
            <w:tcBorders>
              <w:right w:val="single" w:sz="12" w:space="0" w:color="auto"/>
            </w:tcBorders>
            <w:noWrap/>
          </w:tcPr>
          <w:p w14:paraId="7ED0751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40.83</w:t>
            </w:r>
          </w:p>
        </w:tc>
      </w:tr>
      <w:tr w:rsidR="00B37318" w:rsidRPr="003B4324" w14:paraId="33C27F1C" w14:textId="77777777" w:rsidTr="000007D2">
        <w:trPr>
          <w:trHeight w:val="300"/>
        </w:trPr>
        <w:tc>
          <w:tcPr>
            <w:tcW w:w="1271" w:type="dxa"/>
            <w:vMerge/>
            <w:tcBorders>
              <w:left w:val="single" w:sz="12" w:space="0" w:color="auto"/>
            </w:tcBorders>
            <w:shd w:val="clear" w:color="auto" w:fill="E7E6E6"/>
            <w:noWrap/>
          </w:tcPr>
          <w:p w14:paraId="21DB604E"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780A54A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2030</w:t>
            </w:r>
          </w:p>
        </w:tc>
        <w:tc>
          <w:tcPr>
            <w:tcW w:w="850" w:type="dxa"/>
            <w:noWrap/>
          </w:tcPr>
          <w:p w14:paraId="3F5F172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3E076CA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19.16</w:t>
            </w:r>
          </w:p>
        </w:tc>
        <w:tc>
          <w:tcPr>
            <w:tcW w:w="992" w:type="dxa"/>
            <w:noWrap/>
          </w:tcPr>
          <w:p w14:paraId="3DE06C2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65A20F6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2.92</w:t>
            </w:r>
          </w:p>
        </w:tc>
        <w:tc>
          <w:tcPr>
            <w:tcW w:w="1134" w:type="dxa"/>
            <w:noWrap/>
          </w:tcPr>
          <w:p w14:paraId="15369AB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0.35</w:t>
            </w:r>
          </w:p>
        </w:tc>
        <w:tc>
          <w:tcPr>
            <w:tcW w:w="850" w:type="dxa"/>
            <w:noWrap/>
          </w:tcPr>
          <w:p w14:paraId="6ADA61A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10.84</w:t>
            </w:r>
          </w:p>
        </w:tc>
        <w:tc>
          <w:tcPr>
            <w:tcW w:w="709" w:type="dxa"/>
            <w:noWrap/>
          </w:tcPr>
          <w:p w14:paraId="56E22C1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4.61</w:t>
            </w:r>
          </w:p>
        </w:tc>
        <w:tc>
          <w:tcPr>
            <w:tcW w:w="709" w:type="dxa"/>
            <w:noWrap/>
          </w:tcPr>
          <w:p w14:paraId="3DC1A30E"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2.30</w:t>
            </w:r>
          </w:p>
        </w:tc>
        <w:tc>
          <w:tcPr>
            <w:tcW w:w="850" w:type="dxa"/>
            <w:tcBorders>
              <w:right w:val="single" w:sz="12" w:space="0" w:color="auto"/>
            </w:tcBorders>
            <w:noWrap/>
          </w:tcPr>
          <w:p w14:paraId="489914D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40.19</w:t>
            </w:r>
          </w:p>
        </w:tc>
      </w:tr>
      <w:tr w:rsidR="00B37318" w:rsidRPr="003B4324" w14:paraId="6D24F89D" w14:textId="77777777" w:rsidTr="000007D2">
        <w:trPr>
          <w:trHeight w:val="300"/>
        </w:trPr>
        <w:tc>
          <w:tcPr>
            <w:tcW w:w="1271" w:type="dxa"/>
            <w:vMerge/>
            <w:tcBorders>
              <w:left w:val="single" w:sz="12" w:space="0" w:color="auto"/>
            </w:tcBorders>
            <w:shd w:val="clear" w:color="auto" w:fill="E7E6E6"/>
            <w:noWrap/>
          </w:tcPr>
          <w:p w14:paraId="479335AE"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757F2C4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2035</w:t>
            </w:r>
          </w:p>
        </w:tc>
        <w:tc>
          <w:tcPr>
            <w:tcW w:w="850" w:type="dxa"/>
            <w:noWrap/>
          </w:tcPr>
          <w:p w14:paraId="2AD17D8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41C860D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14.69</w:t>
            </w:r>
          </w:p>
        </w:tc>
        <w:tc>
          <w:tcPr>
            <w:tcW w:w="992" w:type="dxa"/>
            <w:noWrap/>
          </w:tcPr>
          <w:p w14:paraId="3F3884B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7648C53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2.68</w:t>
            </w:r>
          </w:p>
        </w:tc>
        <w:tc>
          <w:tcPr>
            <w:tcW w:w="1134" w:type="dxa"/>
            <w:noWrap/>
          </w:tcPr>
          <w:p w14:paraId="60C37DB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0.48</w:t>
            </w:r>
          </w:p>
        </w:tc>
        <w:tc>
          <w:tcPr>
            <w:tcW w:w="850" w:type="dxa"/>
            <w:noWrap/>
          </w:tcPr>
          <w:p w14:paraId="46B9C28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12.31</w:t>
            </w:r>
          </w:p>
        </w:tc>
        <w:tc>
          <w:tcPr>
            <w:tcW w:w="709" w:type="dxa"/>
            <w:noWrap/>
          </w:tcPr>
          <w:p w14:paraId="5F69472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8.05</w:t>
            </w:r>
          </w:p>
        </w:tc>
        <w:tc>
          <w:tcPr>
            <w:tcW w:w="709" w:type="dxa"/>
            <w:noWrap/>
          </w:tcPr>
          <w:p w14:paraId="64DAA7C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5.23</w:t>
            </w:r>
          </w:p>
        </w:tc>
        <w:tc>
          <w:tcPr>
            <w:tcW w:w="850" w:type="dxa"/>
            <w:tcBorders>
              <w:right w:val="single" w:sz="12" w:space="0" w:color="auto"/>
            </w:tcBorders>
            <w:noWrap/>
          </w:tcPr>
          <w:p w14:paraId="3362B77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43.44</w:t>
            </w:r>
          </w:p>
        </w:tc>
      </w:tr>
      <w:tr w:rsidR="00B37318" w:rsidRPr="003B4324" w14:paraId="47431E5F" w14:textId="77777777" w:rsidTr="000007D2">
        <w:trPr>
          <w:trHeight w:val="300"/>
        </w:trPr>
        <w:tc>
          <w:tcPr>
            <w:tcW w:w="1271" w:type="dxa"/>
            <w:vMerge/>
            <w:tcBorders>
              <w:left w:val="single" w:sz="12" w:space="0" w:color="auto"/>
            </w:tcBorders>
            <w:shd w:val="clear" w:color="auto" w:fill="E7E6E6"/>
            <w:noWrap/>
          </w:tcPr>
          <w:p w14:paraId="3E629B91"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67F6DF5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2040</w:t>
            </w:r>
          </w:p>
        </w:tc>
        <w:tc>
          <w:tcPr>
            <w:tcW w:w="850" w:type="dxa"/>
            <w:noWrap/>
          </w:tcPr>
          <w:p w14:paraId="04E217DF"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709" w:type="dxa"/>
            <w:noWrap/>
          </w:tcPr>
          <w:p w14:paraId="70BA79A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11.39</w:t>
            </w:r>
          </w:p>
        </w:tc>
        <w:tc>
          <w:tcPr>
            <w:tcW w:w="992" w:type="dxa"/>
            <w:noWrap/>
          </w:tcPr>
          <w:p w14:paraId="3CD941D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75BF0CC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2.63</w:t>
            </w:r>
          </w:p>
        </w:tc>
        <w:tc>
          <w:tcPr>
            <w:tcW w:w="1134" w:type="dxa"/>
            <w:noWrap/>
          </w:tcPr>
          <w:p w14:paraId="3D5AE373"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0.98</w:t>
            </w:r>
          </w:p>
        </w:tc>
        <w:tc>
          <w:tcPr>
            <w:tcW w:w="850" w:type="dxa"/>
            <w:noWrap/>
          </w:tcPr>
          <w:p w14:paraId="62D477A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13.63</w:t>
            </w:r>
          </w:p>
        </w:tc>
        <w:tc>
          <w:tcPr>
            <w:tcW w:w="709" w:type="dxa"/>
            <w:noWrap/>
          </w:tcPr>
          <w:p w14:paraId="0BFE7F4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8.17</w:t>
            </w:r>
          </w:p>
        </w:tc>
        <w:tc>
          <w:tcPr>
            <w:tcW w:w="709" w:type="dxa"/>
            <w:noWrap/>
          </w:tcPr>
          <w:p w14:paraId="3D65C98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9.80</w:t>
            </w:r>
          </w:p>
        </w:tc>
        <w:tc>
          <w:tcPr>
            <w:tcW w:w="850" w:type="dxa"/>
            <w:tcBorders>
              <w:right w:val="single" w:sz="12" w:space="0" w:color="auto"/>
            </w:tcBorders>
            <w:noWrap/>
          </w:tcPr>
          <w:p w14:paraId="04F1B1E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46.61</w:t>
            </w:r>
          </w:p>
        </w:tc>
      </w:tr>
      <w:tr w:rsidR="00B37318" w:rsidRPr="003B4324" w14:paraId="20AFAA98" w14:textId="77777777" w:rsidTr="000007D2">
        <w:trPr>
          <w:trHeight w:val="300"/>
        </w:trPr>
        <w:tc>
          <w:tcPr>
            <w:tcW w:w="1271" w:type="dxa"/>
            <w:vMerge/>
            <w:tcBorders>
              <w:left w:val="single" w:sz="12" w:space="0" w:color="auto"/>
            </w:tcBorders>
            <w:shd w:val="clear" w:color="auto" w:fill="E7E6E6"/>
            <w:noWrap/>
          </w:tcPr>
          <w:p w14:paraId="74F0FD79"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noWrap/>
          </w:tcPr>
          <w:p w14:paraId="5C38F86D"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2045</w:t>
            </w:r>
          </w:p>
        </w:tc>
        <w:tc>
          <w:tcPr>
            <w:tcW w:w="850" w:type="dxa"/>
            <w:noWrap/>
          </w:tcPr>
          <w:p w14:paraId="109F55FA"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7.01</w:t>
            </w:r>
          </w:p>
        </w:tc>
        <w:tc>
          <w:tcPr>
            <w:tcW w:w="709" w:type="dxa"/>
            <w:noWrap/>
          </w:tcPr>
          <w:p w14:paraId="4BB20C4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4.02</w:t>
            </w:r>
          </w:p>
        </w:tc>
        <w:tc>
          <w:tcPr>
            <w:tcW w:w="992" w:type="dxa"/>
            <w:noWrap/>
          </w:tcPr>
          <w:p w14:paraId="088D929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w:t>
            </w:r>
          </w:p>
        </w:tc>
        <w:tc>
          <w:tcPr>
            <w:tcW w:w="851" w:type="dxa"/>
            <w:noWrap/>
          </w:tcPr>
          <w:p w14:paraId="3A3DE82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1.84</w:t>
            </w:r>
          </w:p>
        </w:tc>
        <w:tc>
          <w:tcPr>
            <w:tcW w:w="1134" w:type="dxa"/>
            <w:noWrap/>
          </w:tcPr>
          <w:p w14:paraId="73FEE6B8"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w:t>
            </w:r>
          </w:p>
        </w:tc>
        <w:tc>
          <w:tcPr>
            <w:tcW w:w="850" w:type="dxa"/>
            <w:noWrap/>
          </w:tcPr>
          <w:p w14:paraId="14E60B8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14.06</w:t>
            </w:r>
          </w:p>
        </w:tc>
        <w:tc>
          <w:tcPr>
            <w:tcW w:w="709" w:type="dxa"/>
            <w:noWrap/>
          </w:tcPr>
          <w:p w14:paraId="5855A02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14.14</w:t>
            </w:r>
          </w:p>
        </w:tc>
        <w:tc>
          <w:tcPr>
            <w:tcW w:w="709" w:type="dxa"/>
            <w:noWrap/>
          </w:tcPr>
          <w:p w14:paraId="67EDA4AC"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15.56</w:t>
            </w:r>
          </w:p>
        </w:tc>
        <w:tc>
          <w:tcPr>
            <w:tcW w:w="850" w:type="dxa"/>
            <w:tcBorders>
              <w:right w:val="single" w:sz="12" w:space="0" w:color="auto"/>
            </w:tcBorders>
            <w:noWrap/>
          </w:tcPr>
          <w:p w14:paraId="22D356A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57.68</w:t>
            </w:r>
          </w:p>
        </w:tc>
      </w:tr>
      <w:tr w:rsidR="00B37318" w:rsidRPr="003B4324" w14:paraId="62F6C8EC" w14:textId="77777777" w:rsidTr="000007D2">
        <w:trPr>
          <w:trHeight w:val="300"/>
        </w:trPr>
        <w:tc>
          <w:tcPr>
            <w:tcW w:w="1271" w:type="dxa"/>
            <w:vMerge/>
            <w:tcBorders>
              <w:left w:val="single" w:sz="12" w:space="0" w:color="auto"/>
              <w:bottom w:val="single" w:sz="12" w:space="0" w:color="auto"/>
            </w:tcBorders>
            <w:shd w:val="clear" w:color="auto" w:fill="E7E6E6"/>
            <w:noWrap/>
          </w:tcPr>
          <w:p w14:paraId="0E305AF8" w14:textId="77777777" w:rsidR="00B37318" w:rsidRPr="004254D2" w:rsidRDefault="00B37318" w:rsidP="00B37318">
            <w:pPr>
              <w:spacing w:after="0" w:line="240" w:lineRule="auto"/>
              <w:rPr>
                <w:rFonts w:ascii="Calibri Light" w:hAnsi="Calibri Light" w:cs="Calibri Light"/>
                <w:color w:val="000000" w:themeColor="text1"/>
              </w:rPr>
            </w:pPr>
          </w:p>
        </w:tc>
        <w:tc>
          <w:tcPr>
            <w:tcW w:w="851" w:type="dxa"/>
            <w:tcBorders>
              <w:bottom w:val="single" w:sz="12" w:space="0" w:color="auto"/>
            </w:tcBorders>
            <w:noWrap/>
          </w:tcPr>
          <w:p w14:paraId="701E9616"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2050</w:t>
            </w:r>
          </w:p>
        </w:tc>
        <w:tc>
          <w:tcPr>
            <w:tcW w:w="850" w:type="dxa"/>
            <w:tcBorders>
              <w:bottom w:val="single" w:sz="12" w:space="0" w:color="auto"/>
            </w:tcBorders>
            <w:noWrap/>
          </w:tcPr>
          <w:p w14:paraId="6070BA75"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7.01</w:t>
            </w:r>
          </w:p>
        </w:tc>
        <w:tc>
          <w:tcPr>
            <w:tcW w:w="709" w:type="dxa"/>
            <w:tcBorders>
              <w:bottom w:val="single" w:sz="12" w:space="0" w:color="auto"/>
            </w:tcBorders>
            <w:noWrap/>
          </w:tcPr>
          <w:p w14:paraId="5FAE0D11"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992" w:type="dxa"/>
            <w:tcBorders>
              <w:bottom w:val="single" w:sz="12" w:space="0" w:color="auto"/>
            </w:tcBorders>
            <w:noWrap/>
          </w:tcPr>
          <w:p w14:paraId="33383AF7"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0.00</w:t>
            </w:r>
          </w:p>
        </w:tc>
        <w:tc>
          <w:tcPr>
            <w:tcW w:w="851" w:type="dxa"/>
            <w:tcBorders>
              <w:bottom w:val="single" w:sz="12" w:space="0" w:color="auto"/>
            </w:tcBorders>
            <w:noWrap/>
          </w:tcPr>
          <w:p w14:paraId="0F3ADDE4"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1.63</w:t>
            </w:r>
          </w:p>
        </w:tc>
        <w:tc>
          <w:tcPr>
            <w:tcW w:w="1134" w:type="dxa"/>
            <w:tcBorders>
              <w:bottom w:val="single" w:sz="12" w:space="0" w:color="auto"/>
            </w:tcBorders>
            <w:noWrap/>
          </w:tcPr>
          <w:p w14:paraId="605F243B"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1.84</w:t>
            </w:r>
          </w:p>
        </w:tc>
        <w:tc>
          <w:tcPr>
            <w:tcW w:w="850" w:type="dxa"/>
            <w:tcBorders>
              <w:bottom w:val="single" w:sz="12" w:space="0" w:color="auto"/>
            </w:tcBorders>
            <w:noWrap/>
          </w:tcPr>
          <w:p w14:paraId="3CFDD25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14.06</w:t>
            </w:r>
          </w:p>
        </w:tc>
        <w:tc>
          <w:tcPr>
            <w:tcW w:w="709" w:type="dxa"/>
            <w:tcBorders>
              <w:bottom w:val="single" w:sz="12" w:space="0" w:color="auto"/>
            </w:tcBorders>
            <w:noWrap/>
          </w:tcPr>
          <w:p w14:paraId="707A0999"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20.82</w:t>
            </w:r>
          </w:p>
        </w:tc>
        <w:tc>
          <w:tcPr>
            <w:tcW w:w="709" w:type="dxa"/>
            <w:tcBorders>
              <w:bottom w:val="single" w:sz="12" w:space="0" w:color="auto"/>
            </w:tcBorders>
            <w:noWrap/>
          </w:tcPr>
          <w:p w14:paraId="14CF17D0"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22.14</w:t>
            </w:r>
          </w:p>
        </w:tc>
        <w:tc>
          <w:tcPr>
            <w:tcW w:w="850" w:type="dxa"/>
            <w:tcBorders>
              <w:bottom w:val="single" w:sz="12" w:space="0" w:color="auto"/>
              <w:right w:val="single" w:sz="12" w:space="0" w:color="auto"/>
            </w:tcBorders>
            <w:noWrap/>
          </w:tcPr>
          <w:p w14:paraId="67D14952" w14:textId="77777777" w:rsidR="00B37318" w:rsidRPr="00B37318" w:rsidRDefault="00B37318" w:rsidP="00B3731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67.50</w:t>
            </w:r>
          </w:p>
        </w:tc>
      </w:tr>
    </w:tbl>
    <w:p w14:paraId="2A251FEB" w14:textId="77777777" w:rsidR="000E2508" w:rsidRDefault="000E2508" w:rsidP="00884F3B">
      <w:pPr>
        <w:pStyle w:val="Heading4"/>
        <w:numPr>
          <w:ilvl w:val="0"/>
          <w:numId w:val="238"/>
        </w:numPr>
      </w:pPr>
      <w:r w:rsidRPr="000E2508">
        <w:t>Indicators</w:t>
      </w:r>
      <w:r>
        <w:t xml:space="preserve"> and </w:t>
      </w:r>
      <w:r w:rsidRPr="000E2508">
        <w:t>Final Energy Consumption</w:t>
      </w:r>
    </w:p>
    <w:p w14:paraId="580FCF86" w14:textId="0BCF979A" w:rsidR="0010154E" w:rsidRDefault="0010154E" w:rsidP="0087794A">
      <w:pPr>
        <w:pStyle w:val="Caption"/>
        <w:keepNext/>
        <w:spacing w:before="160" w:after="160"/>
      </w:pPr>
      <w:bookmarkStart w:id="734" w:name="_Toc153545102"/>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9</w:t>
      </w:r>
      <w:r w:rsidR="006E0533">
        <w:rPr>
          <w:noProof/>
        </w:rPr>
        <w:fldChar w:fldCharType="end"/>
      </w:r>
      <w:r w:rsidRPr="0010154E">
        <w:t>: Final Energy Consumption [ktoe]</w:t>
      </w:r>
      <w:bookmarkEnd w:id="734"/>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0E2508" w:rsidRPr="003B4324" w14:paraId="4958FE5A" w14:textId="77777777" w:rsidTr="007F4A03">
        <w:trPr>
          <w:trHeight w:val="300"/>
        </w:trPr>
        <w:tc>
          <w:tcPr>
            <w:tcW w:w="1661" w:type="dxa"/>
            <w:shd w:val="clear" w:color="auto" w:fill="404040"/>
            <w:noWrap/>
            <w:vAlign w:val="center"/>
            <w:hideMark/>
          </w:tcPr>
          <w:p w14:paraId="3B0E7056" w14:textId="77777777" w:rsidR="000E2508" w:rsidRPr="004254D2" w:rsidRDefault="000E2508" w:rsidP="007F4A03">
            <w:pPr>
              <w:spacing w:after="0" w:line="240" w:lineRule="auto"/>
              <w:jc w:val="center"/>
              <w:rPr>
                <w:rFonts w:ascii="Calibri Light" w:hAnsi="Calibri Light" w:cs="Calibri Light"/>
                <w:color w:val="000000" w:themeColor="text1"/>
              </w:rPr>
            </w:pPr>
            <w:r w:rsidRPr="000E2508">
              <w:rPr>
                <w:rFonts w:ascii="Calibri Light" w:hAnsi="Calibri Light" w:cs="Calibri Light"/>
                <w:color w:val="FFFFFF" w:themeColor="background1"/>
              </w:rPr>
              <w:t>Final Energy Consumption [ktoe]</w:t>
            </w:r>
          </w:p>
        </w:tc>
        <w:tc>
          <w:tcPr>
            <w:tcW w:w="724" w:type="dxa"/>
            <w:shd w:val="clear" w:color="auto" w:fill="1F497D"/>
            <w:noWrap/>
            <w:vAlign w:val="center"/>
            <w:hideMark/>
          </w:tcPr>
          <w:p w14:paraId="33F870FB"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5D130993"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3E6335AD"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7F0F0F8D"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7FD48F07"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187FF4A9"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7FD9A745"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5BF304E4"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150F7E5D"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0E6F7FF8"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668CF9D3" w14:textId="77777777" w:rsidR="000E2508" w:rsidRPr="004254D2" w:rsidRDefault="000E2508"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0E2508" w:rsidRPr="003B4324" w14:paraId="53173416" w14:textId="77777777" w:rsidTr="007F4A03">
        <w:trPr>
          <w:trHeight w:val="300"/>
        </w:trPr>
        <w:tc>
          <w:tcPr>
            <w:tcW w:w="1661" w:type="dxa"/>
            <w:shd w:val="clear" w:color="auto" w:fill="E7E6E6"/>
            <w:noWrap/>
            <w:vAlign w:val="bottom"/>
            <w:hideMark/>
          </w:tcPr>
          <w:p w14:paraId="76228F58" w14:textId="77777777" w:rsidR="000E2508" w:rsidRPr="004254D2" w:rsidRDefault="000E2508" w:rsidP="000E2508">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26E21C34" w14:textId="77777777" w:rsidR="000E2508" w:rsidRPr="004254D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8887</w:t>
            </w:r>
          </w:p>
        </w:tc>
        <w:tc>
          <w:tcPr>
            <w:tcW w:w="724" w:type="dxa"/>
            <w:noWrap/>
            <w:hideMark/>
          </w:tcPr>
          <w:p w14:paraId="4B60CCD5"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9823</w:t>
            </w:r>
          </w:p>
        </w:tc>
        <w:tc>
          <w:tcPr>
            <w:tcW w:w="724" w:type="dxa"/>
            <w:noWrap/>
            <w:hideMark/>
          </w:tcPr>
          <w:p w14:paraId="5B9EEE54"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9976</w:t>
            </w:r>
          </w:p>
        </w:tc>
        <w:tc>
          <w:tcPr>
            <w:tcW w:w="725" w:type="dxa"/>
            <w:noWrap/>
            <w:hideMark/>
          </w:tcPr>
          <w:p w14:paraId="7B29FC61"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10139</w:t>
            </w:r>
          </w:p>
        </w:tc>
        <w:tc>
          <w:tcPr>
            <w:tcW w:w="724" w:type="dxa"/>
            <w:noWrap/>
            <w:hideMark/>
          </w:tcPr>
          <w:p w14:paraId="14C41CB6"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10295</w:t>
            </w:r>
          </w:p>
        </w:tc>
        <w:tc>
          <w:tcPr>
            <w:tcW w:w="724" w:type="dxa"/>
            <w:noWrap/>
            <w:hideMark/>
          </w:tcPr>
          <w:p w14:paraId="428E352E"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10461</w:t>
            </w:r>
          </w:p>
        </w:tc>
        <w:tc>
          <w:tcPr>
            <w:tcW w:w="724" w:type="dxa"/>
            <w:noWrap/>
            <w:hideMark/>
          </w:tcPr>
          <w:p w14:paraId="649AEEFD"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10615</w:t>
            </w:r>
          </w:p>
        </w:tc>
        <w:tc>
          <w:tcPr>
            <w:tcW w:w="725" w:type="dxa"/>
            <w:noWrap/>
            <w:hideMark/>
          </w:tcPr>
          <w:p w14:paraId="26CF527A"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11149</w:t>
            </w:r>
          </w:p>
        </w:tc>
        <w:tc>
          <w:tcPr>
            <w:tcW w:w="724" w:type="dxa"/>
            <w:noWrap/>
            <w:hideMark/>
          </w:tcPr>
          <w:p w14:paraId="7A9BE1BE"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11765</w:t>
            </w:r>
          </w:p>
        </w:tc>
        <w:tc>
          <w:tcPr>
            <w:tcW w:w="724" w:type="dxa"/>
            <w:noWrap/>
            <w:hideMark/>
          </w:tcPr>
          <w:p w14:paraId="4930248B"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12327</w:t>
            </w:r>
          </w:p>
        </w:tc>
        <w:tc>
          <w:tcPr>
            <w:tcW w:w="725" w:type="dxa"/>
            <w:noWrap/>
            <w:hideMark/>
          </w:tcPr>
          <w:p w14:paraId="56F6BF56"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12969</w:t>
            </w:r>
          </w:p>
        </w:tc>
      </w:tr>
      <w:tr w:rsidR="000E2508" w:rsidRPr="003B4324" w14:paraId="4CEE1C6E" w14:textId="77777777" w:rsidTr="007F4A03">
        <w:trPr>
          <w:trHeight w:val="300"/>
        </w:trPr>
        <w:tc>
          <w:tcPr>
            <w:tcW w:w="1661" w:type="dxa"/>
            <w:shd w:val="clear" w:color="auto" w:fill="E7E6E6"/>
            <w:noWrap/>
            <w:vAlign w:val="bottom"/>
            <w:hideMark/>
          </w:tcPr>
          <w:p w14:paraId="3C3614C5" w14:textId="77777777" w:rsidR="000E2508" w:rsidRPr="004254D2" w:rsidRDefault="000E2508" w:rsidP="000E2508">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01C7AF2C" w14:textId="77777777" w:rsidR="000E2508" w:rsidRPr="004254D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8887</w:t>
            </w:r>
          </w:p>
        </w:tc>
        <w:tc>
          <w:tcPr>
            <w:tcW w:w="724" w:type="dxa"/>
            <w:noWrap/>
            <w:hideMark/>
          </w:tcPr>
          <w:p w14:paraId="6497EA26"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9333</w:t>
            </w:r>
          </w:p>
        </w:tc>
        <w:tc>
          <w:tcPr>
            <w:tcW w:w="724" w:type="dxa"/>
            <w:noWrap/>
            <w:hideMark/>
          </w:tcPr>
          <w:p w14:paraId="32FE925E"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9335</w:t>
            </w:r>
          </w:p>
        </w:tc>
        <w:tc>
          <w:tcPr>
            <w:tcW w:w="725" w:type="dxa"/>
            <w:noWrap/>
            <w:hideMark/>
          </w:tcPr>
          <w:p w14:paraId="6B41F377"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9407</w:t>
            </w:r>
          </w:p>
        </w:tc>
        <w:tc>
          <w:tcPr>
            <w:tcW w:w="724" w:type="dxa"/>
            <w:noWrap/>
            <w:hideMark/>
          </w:tcPr>
          <w:p w14:paraId="5C261BD5"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9493</w:t>
            </w:r>
          </w:p>
        </w:tc>
        <w:tc>
          <w:tcPr>
            <w:tcW w:w="724" w:type="dxa"/>
            <w:noWrap/>
            <w:hideMark/>
          </w:tcPr>
          <w:p w14:paraId="3D06A11B"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9554</w:t>
            </w:r>
          </w:p>
        </w:tc>
        <w:tc>
          <w:tcPr>
            <w:tcW w:w="724" w:type="dxa"/>
            <w:noWrap/>
            <w:hideMark/>
          </w:tcPr>
          <w:p w14:paraId="425F63C6"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9670</w:t>
            </w:r>
          </w:p>
        </w:tc>
        <w:tc>
          <w:tcPr>
            <w:tcW w:w="725" w:type="dxa"/>
            <w:noWrap/>
            <w:hideMark/>
          </w:tcPr>
          <w:p w14:paraId="60836A09"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9718</w:t>
            </w:r>
          </w:p>
        </w:tc>
        <w:tc>
          <w:tcPr>
            <w:tcW w:w="724" w:type="dxa"/>
            <w:noWrap/>
            <w:hideMark/>
          </w:tcPr>
          <w:p w14:paraId="2C87C392"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9790</w:t>
            </w:r>
          </w:p>
        </w:tc>
        <w:tc>
          <w:tcPr>
            <w:tcW w:w="724" w:type="dxa"/>
            <w:noWrap/>
            <w:hideMark/>
          </w:tcPr>
          <w:p w14:paraId="6F668BE2"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9567</w:t>
            </w:r>
          </w:p>
        </w:tc>
        <w:tc>
          <w:tcPr>
            <w:tcW w:w="725" w:type="dxa"/>
            <w:noWrap/>
            <w:hideMark/>
          </w:tcPr>
          <w:p w14:paraId="4C1140C1"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9528</w:t>
            </w:r>
          </w:p>
        </w:tc>
      </w:tr>
      <w:tr w:rsidR="000E2508" w:rsidRPr="003B4324" w14:paraId="798011E7" w14:textId="77777777" w:rsidTr="007F4A03">
        <w:trPr>
          <w:trHeight w:val="300"/>
        </w:trPr>
        <w:tc>
          <w:tcPr>
            <w:tcW w:w="1661" w:type="dxa"/>
            <w:shd w:val="clear" w:color="auto" w:fill="E7E6E6"/>
            <w:noWrap/>
            <w:vAlign w:val="bottom"/>
            <w:hideMark/>
          </w:tcPr>
          <w:p w14:paraId="65C58C83" w14:textId="77777777" w:rsidR="000E2508" w:rsidRPr="004254D2" w:rsidRDefault="000E2508" w:rsidP="000E2508">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66AC74A6" w14:textId="77777777" w:rsidR="000E2508" w:rsidRPr="004254D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8887</w:t>
            </w:r>
          </w:p>
        </w:tc>
        <w:tc>
          <w:tcPr>
            <w:tcW w:w="724" w:type="dxa"/>
            <w:noWrap/>
            <w:hideMark/>
          </w:tcPr>
          <w:p w14:paraId="0103F633"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9333</w:t>
            </w:r>
          </w:p>
        </w:tc>
        <w:tc>
          <w:tcPr>
            <w:tcW w:w="724" w:type="dxa"/>
            <w:noWrap/>
            <w:hideMark/>
          </w:tcPr>
          <w:p w14:paraId="1008B99A"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9335</w:t>
            </w:r>
          </w:p>
        </w:tc>
        <w:tc>
          <w:tcPr>
            <w:tcW w:w="725" w:type="dxa"/>
            <w:noWrap/>
            <w:hideMark/>
          </w:tcPr>
          <w:p w14:paraId="39C50FD4"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9407</w:t>
            </w:r>
          </w:p>
        </w:tc>
        <w:tc>
          <w:tcPr>
            <w:tcW w:w="724" w:type="dxa"/>
            <w:noWrap/>
            <w:hideMark/>
          </w:tcPr>
          <w:p w14:paraId="57FD16E9"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9493</w:t>
            </w:r>
          </w:p>
        </w:tc>
        <w:tc>
          <w:tcPr>
            <w:tcW w:w="724" w:type="dxa"/>
            <w:noWrap/>
            <w:hideMark/>
          </w:tcPr>
          <w:p w14:paraId="2364D78A"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9554</w:t>
            </w:r>
          </w:p>
        </w:tc>
        <w:tc>
          <w:tcPr>
            <w:tcW w:w="724" w:type="dxa"/>
            <w:noWrap/>
            <w:hideMark/>
          </w:tcPr>
          <w:p w14:paraId="6EAD9C60"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9670</w:t>
            </w:r>
          </w:p>
        </w:tc>
        <w:tc>
          <w:tcPr>
            <w:tcW w:w="725" w:type="dxa"/>
            <w:noWrap/>
            <w:hideMark/>
          </w:tcPr>
          <w:p w14:paraId="15550783"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9737</w:t>
            </w:r>
          </w:p>
        </w:tc>
        <w:tc>
          <w:tcPr>
            <w:tcW w:w="724" w:type="dxa"/>
            <w:noWrap/>
            <w:hideMark/>
          </w:tcPr>
          <w:p w14:paraId="7A0DF125"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9757</w:t>
            </w:r>
          </w:p>
        </w:tc>
        <w:tc>
          <w:tcPr>
            <w:tcW w:w="724" w:type="dxa"/>
            <w:noWrap/>
            <w:hideMark/>
          </w:tcPr>
          <w:p w14:paraId="03E9205E"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9501</w:t>
            </w:r>
          </w:p>
        </w:tc>
        <w:tc>
          <w:tcPr>
            <w:tcW w:w="725" w:type="dxa"/>
            <w:noWrap/>
            <w:hideMark/>
          </w:tcPr>
          <w:p w14:paraId="218B5672" w14:textId="77777777" w:rsidR="000E2508" w:rsidRPr="002574F2" w:rsidRDefault="000E2508" w:rsidP="000E2508">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9455</w:t>
            </w:r>
          </w:p>
        </w:tc>
      </w:tr>
    </w:tbl>
    <w:p w14:paraId="763DC252" w14:textId="367F798E" w:rsidR="0010154E" w:rsidRDefault="0010154E" w:rsidP="0087794A">
      <w:pPr>
        <w:pStyle w:val="Caption"/>
        <w:keepNext/>
        <w:spacing w:before="160" w:after="160"/>
      </w:pPr>
      <w:bookmarkStart w:id="735" w:name="_Toc153545103"/>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10</w:t>
      </w:r>
      <w:r w:rsidR="006E0533">
        <w:rPr>
          <w:noProof/>
        </w:rPr>
        <w:fldChar w:fldCharType="end"/>
      </w:r>
      <w:r w:rsidRPr="0010154E">
        <w:t>: Primary Energy Supply [ktoe]</w:t>
      </w:r>
      <w:bookmarkEnd w:id="735"/>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A047E3" w:rsidRPr="003B4324" w14:paraId="51D1D89F" w14:textId="77777777" w:rsidTr="007F4A03">
        <w:trPr>
          <w:trHeight w:val="300"/>
        </w:trPr>
        <w:tc>
          <w:tcPr>
            <w:tcW w:w="1661" w:type="dxa"/>
            <w:shd w:val="clear" w:color="auto" w:fill="404040"/>
            <w:noWrap/>
            <w:vAlign w:val="center"/>
            <w:hideMark/>
          </w:tcPr>
          <w:p w14:paraId="2AFB17E5" w14:textId="77777777" w:rsidR="00A047E3" w:rsidRPr="004254D2" w:rsidRDefault="00A047E3" w:rsidP="007F4A03">
            <w:pPr>
              <w:spacing w:after="0" w:line="240" w:lineRule="auto"/>
              <w:jc w:val="center"/>
              <w:rPr>
                <w:rFonts w:ascii="Calibri Light" w:hAnsi="Calibri Light" w:cs="Calibri Light"/>
                <w:color w:val="000000" w:themeColor="text1"/>
              </w:rPr>
            </w:pPr>
            <w:r w:rsidRPr="00A047E3">
              <w:rPr>
                <w:rFonts w:ascii="Calibri Light" w:hAnsi="Calibri Light" w:cs="Calibri Light"/>
                <w:color w:val="FFFFFF" w:themeColor="background1"/>
              </w:rPr>
              <w:t xml:space="preserve">Primary Energy Supply </w:t>
            </w:r>
            <w:r w:rsidRPr="000E2508">
              <w:rPr>
                <w:rFonts w:ascii="Calibri Light" w:hAnsi="Calibri Light" w:cs="Calibri Light"/>
                <w:color w:val="FFFFFF" w:themeColor="background1"/>
              </w:rPr>
              <w:t>[ktoe]</w:t>
            </w:r>
          </w:p>
        </w:tc>
        <w:tc>
          <w:tcPr>
            <w:tcW w:w="724" w:type="dxa"/>
            <w:shd w:val="clear" w:color="auto" w:fill="1F497D"/>
            <w:noWrap/>
            <w:vAlign w:val="center"/>
            <w:hideMark/>
          </w:tcPr>
          <w:p w14:paraId="7DD06BBA"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3FC1BFF9"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06EE819C"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06EF0276"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1A3E129B"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5A5C7E74"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296C002F"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2F4FCEF6"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23C37C93"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1D8ED8A3"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0C19B8C3"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A047E3" w:rsidRPr="003B4324" w14:paraId="2E905A15" w14:textId="77777777" w:rsidTr="007F4A03">
        <w:trPr>
          <w:trHeight w:val="300"/>
        </w:trPr>
        <w:tc>
          <w:tcPr>
            <w:tcW w:w="1661" w:type="dxa"/>
            <w:shd w:val="clear" w:color="auto" w:fill="E7E6E6"/>
            <w:noWrap/>
            <w:vAlign w:val="bottom"/>
            <w:hideMark/>
          </w:tcPr>
          <w:p w14:paraId="7A70260C" w14:textId="77777777" w:rsidR="00A047E3" w:rsidRPr="004254D2" w:rsidRDefault="00A047E3" w:rsidP="00A047E3">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3B7095D8" w14:textId="77777777" w:rsidR="00A047E3" w:rsidRPr="004254D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15954</w:t>
            </w:r>
          </w:p>
        </w:tc>
        <w:tc>
          <w:tcPr>
            <w:tcW w:w="724" w:type="dxa"/>
            <w:noWrap/>
            <w:hideMark/>
          </w:tcPr>
          <w:p w14:paraId="69314021"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17100</w:t>
            </w:r>
          </w:p>
        </w:tc>
        <w:tc>
          <w:tcPr>
            <w:tcW w:w="724" w:type="dxa"/>
            <w:noWrap/>
            <w:hideMark/>
          </w:tcPr>
          <w:p w14:paraId="217628D4"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17468</w:t>
            </w:r>
          </w:p>
        </w:tc>
        <w:tc>
          <w:tcPr>
            <w:tcW w:w="725" w:type="dxa"/>
            <w:noWrap/>
            <w:hideMark/>
          </w:tcPr>
          <w:p w14:paraId="4D0903A3"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17781</w:t>
            </w:r>
          </w:p>
        </w:tc>
        <w:tc>
          <w:tcPr>
            <w:tcW w:w="724" w:type="dxa"/>
            <w:noWrap/>
            <w:hideMark/>
          </w:tcPr>
          <w:p w14:paraId="6DDD6E03"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18115</w:t>
            </w:r>
          </w:p>
        </w:tc>
        <w:tc>
          <w:tcPr>
            <w:tcW w:w="724" w:type="dxa"/>
            <w:noWrap/>
            <w:hideMark/>
          </w:tcPr>
          <w:p w14:paraId="62D25536"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18321</w:t>
            </w:r>
          </w:p>
        </w:tc>
        <w:tc>
          <w:tcPr>
            <w:tcW w:w="724" w:type="dxa"/>
            <w:noWrap/>
            <w:hideMark/>
          </w:tcPr>
          <w:p w14:paraId="3A1BD6A7"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18757</w:t>
            </w:r>
          </w:p>
        </w:tc>
        <w:tc>
          <w:tcPr>
            <w:tcW w:w="725" w:type="dxa"/>
            <w:noWrap/>
            <w:hideMark/>
          </w:tcPr>
          <w:p w14:paraId="59069CE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19615</w:t>
            </w:r>
          </w:p>
        </w:tc>
        <w:tc>
          <w:tcPr>
            <w:tcW w:w="724" w:type="dxa"/>
            <w:noWrap/>
            <w:hideMark/>
          </w:tcPr>
          <w:p w14:paraId="6DBF559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20468</w:t>
            </w:r>
          </w:p>
        </w:tc>
        <w:tc>
          <w:tcPr>
            <w:tcW w:w="724" w:type="dxa"/>
            <w:noWrap/>
            <w:hideMark/>
          </w:tcPr>
          <w:p w14:paraId="60444B3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21190</w:t>
            </w:r>
          </w:p>
        </w:tc>
        <w:tc>
          <w:tcPr>
            <w:tcW w:w="725" w:type="dxa"/>
            <w:noWrap/>
            <w:hideMark/>
          </w:tcPr>
          <w:p w14:paraId="37074FE2"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20926</w:t>
            </w:r>
          </w:p>
        </w:tc>
      </w:tr>
      <w:tr w:rsidR="00A047E3" w:rsidRPr="003B4324" w14:paraId="417FE83A" w14:textId="77777777" w:rsidTr="007F4A03">
        <w:trPr>
          <w:trHeight w:val="300"/>
        </w:trPr>
        <w:tc>
          <w:tcPr>
            <w:tcW w:w="1661" w:type="dxa"/>
            <w:shd w:val="clear" w:color="auto" w:fill="E7E6E6"/>
            <w:noWrap/>
            <w:vAlign w:val="bottom"/>
            <w:hideMark/>
          </w:tcPr>
          <w:p w14:paraId="72DCAE51" w14:textId="77777777" w:rsidR="00A047E3" w:rsidRPr="004254D2" w:rsidRDefault="00A047E3" w:rsidP="00A047E3">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17185FB3" w14:textId="77777777" w:rsidR="00A047E3" w:rsidRPr="004254D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15955</w:t>
            </w:r>
          </w:p>
        </w:tc>
        <w:tc>
          <w:tcPr>
            <w:tcW w:w="724" w:type="dxa"/>
            <w:noWrap/>
            <w:hideMark/>
          </w:tcPr>
          <w:p w14:paraId="1D1C1CB0"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16170</w:t>
            </w:r>
          </w:p>
        </w:tc>
        <w:tc>
          <w:tcPr>
            <w:tcW w:w="724" w:type="dxa"/>
            <w:noWrap/>
            <w:hideMark/>
          </w:tcPr>
          <w:p w14:paraId="5A854A6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16140</w:t>
            </w:r>
          </w:p>
        </w:tc>
        <w:tc>
          <w:tcPr>
            <w:tcW w:w="725" w:type="dxa"/>
            <w:noWrap/>
            <w:hideMark/>
          </w:tcPr>
          <w:p w14:paraId="4685242B"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16190</w:t>
            </w:r>
          </w:p>
        </w:tc>
        <w:tc>
          <w:tcPr>
            <w:tcW w:w="724" w:type="dxa"/>
            <w:noWrap/>
            <w:hideMark/>
          </w:tcPr>
          <w:p w14:paraId="7CC96706"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16163</w:t>
            </w:r>
          </w:p>
        </w:tc>
        <w:tc>
          <w:tcPr>
            <w:tcW w:w="724" w:type="dxa"/>
            <w:noWrap/>
            <w:hideMark/>
          </w:tcPr>
          <w:p w14:paraId="5582567A"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15960</w:t>
            </w:r>
          </w:p>
        </w:tc>
        <w:tc>
          <w:tcPr>
            <w:tcW w:w="724" w:type="dxa"/>
            <w:noWrap/>
            <w:hideMark/>
          </w:tcPr>
          <w:p w14:paraId="043C658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15846</w:t>
            </w:r>
          </w:p>
        </w:tc>
        <w:tc>
          <w:tcPr>
            <w:tcW w:w="725" w:type="dxa"/>
            <w:noWrap/>
            <w:hideMark/>
          </w:tcPr>
          <w:p w14:paraId="1C10CD42"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14948</w:t>
            </w:r>
          </w:p>
        </w:tc>
        <w:tc>
          <w:tcPr>
            <w:tcW w:w="724" w:type="dxa"/>
            <w:noWrap/>
            <w:hideMark/>
          </w:tcPr>
          <w:p w14:paraId="4B9F1A31"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14466</w:t>
            </w:r>
          </w:p>
        </w:tc>
        <w:tc>
          <w:tcPr>
            <w:tcW w:w="724" w:type="dxa"/>
            <w:noWrap/>
            <w:hideMark/>
          </w:tcPr>
          <w:p w14:paraId="31BCB300"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13773</w:t>
            </w:r>
          </w:p>
        </w:tc>
        <w:tc>
          <w:tcPr>
            <w:tcW w:w="725" w:type="dxa"/>
            <w:noWrap/>
            <w:hideMark/>
          </w:tcPr>
          <w:p w14:paraId="2F2BE1B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13052</w:t>
            </w:r>
          </w:p>
        </w:tc>
      </w:tr>
      <w:tr w:rsidR="00A047E3" w:rsidRPr="003B4324" w14:paraId="4EC6B4F5" w14:textId="77777777" w:rsidTr="007F4A03">
        <w:trPr>
          <w:trHeight w:val="300"/>
        </w:trPr>
        <w:tc>
          <w:tcPr>
            <w:tcW w:w="1661" w:type="dxa"/>
            <w:shd w:val="clear" w:color="auto" w:fill="E7E6E6"/>
            <w:noWrap/>
            <w:vAlign w:val="bottom"/>
            <w:hideMark/>
          </w:tcPr>
          <w:p w14:paraId="62FCC75E" w14:textId="77777777" w:rsidR="00A047E3" w:rsidRPr="004254D2" w:rsidRDefault="00A047E3" w:rsidP="00A047E3">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16795A3C" w14:textId="77777777" w:rsidR="00A047E3" w:rsidRPr="004254D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15955</w:t>
            </w:r>
          </w:p>
        </w:tc>
        <w:tc>
          <w:tcPr>
            <w:tcW w:w="724" w:type="dxa"/>
            <w:noWrap/>
            <w:hideMark/>
          </w:tcPr>
          <w:p w14:paraId="488777A7"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16170</w:t>
            </w:r>
          </w:p>
        </w:tc>
        <w:tc>
          <w:tcPr>
            <w:tcW w:w="724" w:type="dxa"/>
            <w:noWrap/>
            <w:hideMark/>
          </w:tcPr>
          <w:p w14:paraId="100622E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16140</w:t>
            </w:r>
          </w:p>
        </w:tc>
        <w:tc>
          <w:tcPr>
            <w:tcW w:w="725" w:type="dxa"/>
            <w:noWrap/>
            <w:hideMark/>
          </w:tcPr>
          <w:p w14:paraId="5676AF18"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16190</w:t>
            </w:r>
          </w:p>
        </w:tc>
        <w:tc>
          <w:tcPr>
            <w:tcW w:w="724" w:type="dxa"/>
            <w:noWrap/>
            <w:hideMark/>
          </w:tcPr>
          <w:p w14:paraId="2228131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16163</w:t>
            </w:r>
          </w:p>
        </w:tc>
        <w:tc>
          <w:tcPr>
            <w:tcW w:w="724" w:type="dxa"/>
            <w:noWrap/>
            <w:hideMark/>
          </w:tcPr>
          <w:p w14:paraId="76725936"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15960</w:t>
            </w:r>
          </w:p>
        </w:tc>
        <w:tc>
          <w:tcPr>
            <w:tcW w:w="724" w:type="dxa"/>
            <w:noWrap/>
            <w:hideMark/>
          </w:tcPr>
          <w:p w14:paraId="1BD55B5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15846</w:t>
            </w:r>
          </w:p>
        </w:tc>
        <w:tc>
          <w:tcPr>
            <w:tcW w:w="725" w:type="dxa"/>
            <w:noWrap/>
            <w:hideMark/>
          </w:tcPr>
          <w:p w14:paraId="631EC43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14963</w:t>
            </w:r>
          </w:p>
        </w:tc>
        <w:tc>
          <w:tcPr>
            <w:tcW w:w="724" w:type="dxa"/>
            <w:noWrap/>
            <w:hideMark/>
          </w:tcPr>
          <w:p w14:paraId="2E5B66FA"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14567</w:t>
            </w:r>
          </w:p>
        </w:tc>
        <w:tc>
          <w:tcPr>
            <w:tcW w:w="724" w:type="dxa"/>
            <w:noWrap/>
            <w:hideMark/>
          </w:tcPr>
          <w:p w14:paraId="038A403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14487</w:t>
            </w:r>
          </w:p>
        </w:tc>
        <w:tc>
          <w:tcPr>
            <w:tcW w:w="725" w:type="dxa"/>
            <w:noWrap/>
            <w:hideMark/>
          </w:tcPr>
          <w:p w14:paraId="69CF3F92"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14009</w:t>
            </w:r>
          </w:p>
        </w:tc>
      </w:tr>
    </w:tbl>
    <w:p w14:paraId="100B2559" w14:textId="23FEBA73" w:rsidR="0010154E" w:rsidRDefault="0010154E" w:rsidP="0087794A">
      <w:pPr>
        <w:pStyle w:val="Caption"/>
        <w:spacing w:before="200"/>
      </w:pPr>
      <w:bookmarkStart w:id="736" w:name="_Toc153545104"/>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11</w:t>
      </w:r>
      <w:r w:rsidR="006E0533">
        <w:rPr>
          <w:noProof/>
        </w:rPr>
        <w:fldChar w:fldCharType="end"/>
      </w:r>
      <w:r w:rsidRPr="0010154E">
        <w:t>: Primary Energy Consumption [ktoe]</w:t>
      </w:r>
      <w:bookmarkEnd w:id="736"/>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A047E3" w:rsidRPr="003B4324" w14:paraId="261A8E48" w14:textId="77777777" w:rsidTr="007F4A03">
        <w:trPr>
          <w:trHeight w:val="300"/>
        </w:trPr>
        <w:tc>
          <w:tcPr>
            <w:tcW w:w="1661" w:type="dxa"/>
            <w:shd w:val="clear" w:color="auto" w:fill="404040"/>
            <w:noWrap/>
            <w:vAlign w:val="center"/>
            <w:hideMark/>
          </w:tcPr>
          <w:p w14:paraId="2EEC05DC" w14:textId="77777777" w:rsidR="00A047E3" w:rsidRPr="004254D2" w:rsidRDefault="00A047E3" w:rsidP="007F4A03">
            <w:pPr>
              <w:spacing w:after="0" w:line="240" w:lineRule="auto"/>
              <w:jc w:val="center"/>
              <w:rPr>
                <w:rFonts w:ascii="Calibri Light" w:hAnsi="Calibri Light" w:cs="Calibri Light"/>
                <w:color w:val="000000" w:themeColor="text1"/>
              </w:rPr>
            </w:pPr>
            <w:r w:rsidRPr="00A047E3">
              <w:rPr>
                <w:rFonts w:ascii="Calibri Light" w:hAnsi="Calibri Light" w:cs="Calibri Light"/>
                <w:color w:val="FFFFFF" w:themeColor="background1"/>
              </w:rPr>
              <w:t xml:space="preserve">Primary Energy Consumption </w:t>
            </w:r>
            <w:r w:rsidRPr="000E2508">
              <w:rPr>
                <w:rFonts w:ascii="Calibri Light" w:hAnsi="Calibri Light" w:cs="Calibri Light"/>
                <w:color w:val="FFFFFF" w:themeColor="background1"/>
              </w:rPr>
              <w:t>[ktoe]</w:t>
            </w:r>
          </w:p>
        </w:tc>
        <w:tc>
          <w:tcPr>
            <w:tcW w:w="724" w:type="dxa"/>
            <w:shd w:val="clear" w:color="auto" w:fill="1F497D"/>
            <w:noWrap/>
            <w:vAlign w:val="center"/>
            <w:hideMark/>
          </w:tcPr>
          <w:p w14:paraId="2FA99773"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1823D80B"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3223D97E"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245B72CB"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634F9C2D"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002760AA"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01B405F8"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7255B503"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5D0E2BF6"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03B96E56"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7BCA9748" w14:textId="77777777" w:rsidR="00A047E3" w:rsidRPr="004254D2" w:rsidRDefault="00A047E3"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A047E3" w:rsidRPr="003B4324" w14:paraId="0C2D6E6E" w14:textId="77777777" w:rsidTr="007F4A03">
        <w:trPr>
          <w:trHeight w:val="300"/>
        </w:trPr>
        <w:tc>
          <w:tcPr>
            <w:tcW w:w="1661" w:type="dxa"/>
            <w:shd w:val="clear" w:color="auto" w:fill="E7E6E6"/>
            <w:noWrap/>
            <w:vAlign w:val="bottom"/>
            <w:hideMark/>
          </w:tcPr>
          <w:p w14:paraId="63D13400" w14:textId="77777777" w:rsidR="00A047E3" w:rsidRPr="004254D2" w:rsidRDefault="00A047E3" w:rsidP="00A047E3">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6BC4C7A7" w14:textId="77777777" w:rsidR="00A047E3" w:rsidRPr="004254D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15083</w:t>
            </w:r>
          </w:p>
        </w:tc>
        <w:tc>
          <w:tcPr>
            <w:tcW w:w="724" w:type="dxa"/>
            <w:noWrap/>
            <w:hideMark/>
          </w:tcPr>
          <w:p w14:paraId="772C41D5"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16079</w:t>
            </w:r>
          </w:p>
        </w:tc>
        <w:tc>
          <w:tcPr>
            <w:tcW w:w="724" w:type="dxa"/>
            <w:noWrap/>
            <w:hideMark/>
          </w:tcPr>
          <w:p w14:paraId="77E6856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16416</w:t>
            </w:r>
          </w:p>
        </w:tc>
        <w:tc>
          <w:tcPr>
            <w:tcW w:w="725" w:type="dxa"/>
            <w:noWrap/>
            <w:hideMark/>
          </w:tcPr>
          <w:p w14:paraId="6199D34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16702</w:t>
            </w:r>
          </w:p>
        </w:tc>
        <w:tc>
          <w:tcPr>
            <w:tcW w:w="724" w:type="dxa"/>
            <w:noWrap/>
            <w:hideMark/>
          </w:tcPr>
          <w:p w14:paraId="654C4B66"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17010</w:t>
            </w:r>
          </w:p>
        </w:tc>
        <w:tc>
          <w:tcPr>
            <w:tcW w:w="724" w:type="dxa"/>
            <w:noWrap/>
            <w:hideMark/>
          </w:tcPr>
          <w:p w14:paraId="3AF56FC2"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17190</w:t>
            </w:r>
          </w:p>
        </w:tc>
        <w:tc>
          <w:tcPr>
            <w:tcW w:w="724" w:type="dxa"/>
            <w:noWrap/>
            <w:hideMark/>
          </w:tcPr>
          <w:p w14:paraId="74CD27E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17600</w:t>
            </w:r>
          </w:p>
        </w:tc>
        <w:tc>
          <w:tcPr>
            <w:tcW w:w="725" w:type="dxa"/>
            <w:noWrap/>
            <w:hideMark/>
          </w:tcPr>
          <w:p w14:paraId="7D820072"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18323</w:t>
            </w:r>
          </w:p>
        </w:tc>
        <w:tc>
          <w:tcPr>
            <w:tcW w:w="724" w:type="dxa"/>
            <w:noWrap/>
            <w:hideMark/>
          </w:tcPr>
          <w:p w14:paraId="7F5802BB"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19044</w:t>
            </w:r>
          </w:p>
        </w:tc>
        <w:tc>
          <w:tcPr>
            <w:tcW w:w="724" w:type="dxa"/>
            <w:noWrap/>
            <w:hideMark/>
          </w:tcPr>
          <w:p w14:paraId="6E6DC0BC"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19653</w:t>
            </w:r>
          </w:p>
        </w:tc>
        <w:tc>
          <w:tcPr>
            <w:tcW w:w="725" w:type="dxa"/>
            <w:noWrap/>
            <w:hideMark/>
          </w:tcPr>
          <w:p w14:paraId="0387CF6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19298</w:t>
            </w:r>
          </w:p>
        </w:tc>
      </w:tr>
      <w:tr w:rsidR="00A047E3" w:rsidRPr="003B4324" w14:paraId="4926B144" w14:textId="77777777" w:rsidTr="007F4A03">
        <w:trPr>
          <w:trHeight w:val="300"/>
        </w:trPr>
        <w:tc>
          <w:tcPr>
            <w:tcW w:w="1661" w:type="dxa"/>
            <w:shd w:val="clear" w:color="auto" w:fill="E7E6E6"/>
            <w:noWrap/>
            <w:vAlign w:val="bottom"/>
            <w:hideMark/>
          </w:tcPr>
          <w:p w14:paraId="45F21FAB" w14:textId="77777777" w:rsidR="00A047E3" w:rsidRPr="004254D2" w:rsidRDefault="00A047E3" w:rsidP="00A047E3">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74B5B551" w14:textId="77777777" w:rsidR="00A047E3" w:rsidRPr="004254D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15083</w:t>
            </w:r>
          </w:p>
        </w:tc>
        <w:tc>
          <w:tcPr>
            <w:tcW w:w="724" w:type="dxa"/>
            <w:noWrap/>
            <w:hideMark/>
          </w:tcPr>
          <w:p w14:paraId="79F9C83A"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15149</w:t>
            </w:r>
          </w:p>
        </w:tc>
        <w:tc>
          <w:tcPr>
            <w:tcW w:w="724" w:type="dxa"/>
            <w:noWrap/>
            <w:hideMark/>
          </w:tcPr>
          <w:p w14:paraId="7E83572C"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15088</w:t>
            </w:r>
          </w:p>
        </w:tc>
        <w:tc>
          <w:tcPr>
            <w:tcW w:w="725" w:type="dxa"/>
            <w:noWrap/>
            <w:hideMark/>
          </w:tcPr>
          <w:p w14:paraId="0FB427C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15112</w:t>
            </w:r>
          </w:p>
        </w:tc>
        <w:tc>
          <w:tcPr>
            <w:tcW w:w="724" w:type="dxa"/>
            <w:noWrap/>
            <w:hideMark/>
          </w:tcPr>
          <w:p w14:paraId="0D679DD8"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15059</w:t>
            </w:r>
          </w:p>
        </w:tc>
        <w:tc>
          <w:tcPr>
            <w:tcW w:w="724" w:type="dxa"/>
            <w:noWrap/>
            <w:hideMark/>
          </w:tcPr>
          <w:p w14:paraId="5B1F2E0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14829</w:t>
            </w:r>
          </w:p>
        </w:tc>
        <w:tc>
          <w:tcPr>
            <w:tcW w:w="724" w:type="dxa"/>
            <w:noWrap/>
            <w:hideMark/>
          </w:tcPr>
          <w:p w14:paraId="5636869B"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14689</w:t>
            </w:r>
          </w:p>
        </w:tc>
        <w:tc>
          <w:tcPr>
            <w:tcW w:w="725" w:type="dxa"/>
            <w:noWrap/>
            <w:hideMark/>
          </w:tcPr>
          <w:p w14:paraId="04D6D901"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13665</w:t>
            </w:r>
          </w:p>
        </w:tc>
        <w:tc>
          <w:tcPr>
            <w:tcW w:w="724" w:type="dxa"/>
            <w:noWrap/>
            <w:hideMark/>
          </w:tcPr>
          <w:p w14:paraId="414FB608"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13097</w:t>
            </w:r>
          </w:p>
        </w:tc>
        <w:tc>
          <w:tcPr>
            <w:tcW w:w="724" w:type="dxa"/>
            <w:noWrap/>
            <w:hideMark/>
          </w:tcPr>
          <w:p w14:paraId="2A07335D"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12330</w:t>
            </w:r>
          </w:p>
        </w:tc>
        <w:tc>
          <w:tcPr>
            <w:tcW w:w="725" w:type="dxa"/>
            <w:noWrap/>
            <w:hideMark/>
          </w:tcPr>
          <w:p w14:paraId="714A442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11548</w:t>
            </w:r>
          </w:p>
        </w:tc>
      </w:tr>
      <w:tr w:rsidR="00A047E3" w:rsidRPr="003B4324" w14:paraId="731F8573" w14:textId="77777777" w:rsidTr="007F4A03">
        <w:trPr>
          <w:trHeight w:val="300"/>
        </w:trPr>
        <w:tc>
          <w:tcPr>
            <w:tcW w:w="1661" w:type="dxa"/>
            <w:shd w:val="clear" w:color="auto" w:fill="E7E6E6"/>
            <w:noWrap/>
            <w:vAlign w:val="bottom"/>
            <w:hideMark/>
          </w:tcPr>
          <w:p w14:paraId="6C6B50A5" w14:textId="77777777" w:rsidR="00A047E3" w:rsidRPr="004254D2" w:rsidRDefault="00A047E3" w:rsidP="00A047E3">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6C01CD10" w14:textId="77777777" w:rsidR="00A047E3" w:rsidRPr="004254D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15083</w:t>
            </w:r>
          </w:p>
        </w:tc>
        <w:tc>
          <w:tcPr>
            <w:tcW w:w="724" w:type="dxa"/>
            <w:noWrap/>
            <w:hideMark/>
          </w:tcPr>
          <w:p w14:paraId="1C24DA39"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15149</w:t>
            </w:r>
          </w:p>
        </w:tc>
        <w:tc>
          <w:tcPr>
            <w:tcW w:w="724" w:type="dxa"/>
            <w:noWrap/>
            <w:hideMark/>
          </w:tcPr>
          <w:p w14:paraId="4CD4767A"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15088</w:t>
            </w:r>
          </w:p>
        </w:tc>
        <w:tc>
          <w:tcPr>
            <w:tcW w:w="725" w:type="dxa"/>
            <w:noWrap/>
            <w:hideMark/>
          </w:tcPr>
          <w:p w14:paraId="0DD201E3"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15112</w:t>
            </w:r>
          </w:p>
        </w:tc>
        <w:tc>
          <w:tcPr>
            <w:tcW w:w="724" w:type="dxa"/>
            <w:noWrap/>
            <w:hideMark/>
          </w:tcPr>
          <w:p w14:paraId="4C9F1397"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15059</w:t>
            </w:r>
          </w:p>
        </w:tc>
        <w:tc>
          <w:tcPr>
            <w:tcW w:w="724" w:type="dxa"/>
            <w:noWrap/>
            <w:hideMark/>
          </w:tcPr>
          <w:p w14:paraId="0DBF758E"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14829</w:t>
            </w:r>
          </w:p>
        </w:tc>
        <w:tc>
          <w:tcPr>
            <w:tcW w:w="724" w:type="dxa"/>
            <w:noWrap/>
            <w:hideMark/>
          </w:tcPr>
          <w:p w14:paraId="050D7912"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14689</w:t>
            </w:r>
          </w:p>
        </w:tc>
        <w:tc>
          <w:tcPr>
            <w:tcW w:w="725" w:type="dxa"/>
            <w:noWrap/>
            <w:hideMark/>
          </w:tcPr>
          <w:p w14:paraId="70EA48A8"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13680</w:t>
            </w:r>
          </w:p>
        </w:tc>
        <w:tc>
          <w:tcPr>
            <w:tcW w:w="724" w:type="dxa"/>
            <w:noWrap/>
            <w:hideMark/>
          </w:tcPr>
          <w:p w14:paraId="66F239C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13198</w:t>
            </w:r>
          </w:p>
        </w:tc>
        <w:tc>
          <w:tcPr>
            <w:tcW w:w="724" w:type="dxa"/>
            <w:noWrap/>
            <w:hideMark/>
          </w:tcPr>
          <w:p w14:paraId="75A09FE0"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13044</w:t>
            </w:r>
          </w:p>
        </w:tc>
        <w:tc>
          <w:tcPr>
            <w:tcW w:w="725" w:type="dxa"/>
            <w:noWrap/>
            <w:hideMark/>
          </w:tcPr>
          <w:p w14:paraId="2E2240DF" w14:textId="77777777" w:rsidR="00A047E3" w:rsidRPr="002574F2" w:rsidRDefault="00A047E3" w:rsidP="00A047E3">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12505</w:t>
            </w:r>
          </w:p>
        </w:tc>
      </w:tr>
    </w:tbl>
    <w:p w14:paraId="2EB5AF80" w14:textId="594B9C30" w:rsidR="0010154E" w:rsidRDefault="0010154E" w:rsidP="0087794A">
      <w:pPr>
        <w:pStyle w:val="Caption"/>
        <w:spacing w:before="200"/>
      </w:pPr>
      <w:bookmarkStart w:id="737" w:name="_Toc153545105"/>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12</w:t>
      </w:r>
      <w:r w:rsidR="006E0533">
        <w:rPr>
          <w:noProof/>
        </w:rPr>
        <w:fldChar w:fldCharType="end"/>
      </w:r>
      <w:r w:rsidRPr="0010154E">
        <w:t>: Energy Import Dependency [%]</w:t>
      </w:r>
      <w:bookmarkEnd w:id="737"/>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AE1A39" w:rsidRPr="003B4324" w14:paraId="17739223" w14:textId="77777777" w:rsidTr="007F4A03">
        <w:trPr>
          <w:trHeight w:val="300"/>
        </w:trPr>
        <w:tc>
          <w:tcPr>
            <w:tcW w:w="1661" w:type="dxa"/>
            <w:shd w:val="clear" w:color="auto" w:fill="404040"/>
            <w:noWrap/>
            <w:vAlign w:val="center"/>
            <w:hideMark/>
          </w:tcPr>
          <w:p w14:paraId="51821D50" w14:textId="77777777" w:rsidR="00AE1A39" w:rsidRPr="004254D2" w:rsidRDefault="00AE1A39" w:rsidP="007F4A03">
            <w:pPr>
              <w:spacing w:after="0" w:line="240" w:lineRule="auto"/>
              <w:jc w:val="center"/>
              <w:rPr>
                <w:rFonts w:ascii="Calibri Light" w:hAnsi="Calibri Light" w:cs="Calibri Light"/>
                <w:color w:val="000000" w:themeColor="text1"/>
              </w:rPr>
            </w:pPr>
            <w:r w:rsidRPr="00AE1A39">
              <w:rPr>
                <w:rFonts w:ascii="Calibri Light" w:hAnsi="Calibri Light" w:cs="Calibri Light"/>
                <w:color w:val="FFFFFF" w:themeColor="background1"/>
              </w:rPr>
              <w:t>Energy Import Dependency [%]</w:t>
            </w:r>
          </w:p>
        </w:tc>
        <w:tc>
          <w:tcPr>
            <w:tcW w:w="724" w:type="dxa"/>
            <w:shd w:val="clear" w:color="auto" w:fill="1F497D"/>
            <w:noWrap/>
            <w:vAlign w:val="center"/>
            <w:hideMark/>
          </w:tcPr>
          <w:p w14:paraId="07AB653A"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55570968"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0710C27C"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2901D183"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45CF467C"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3BCFF038"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333F60C6"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217049E6"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6BCFB858"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1AE0063A"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1F5B9519"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AE1A39" w:rsidRPr="003B4324" w14:paraId="2B3DB553" w14:textId="77777777" w:rsidTr="007F4A03">
        <w:trPr>
          <w:trHeight w:val="300"/>
        </w:trPr>
        <w:tc>
          <w:tcPr>
            <w:tcW w:w="1661" w:type="dxa"/>
            <w:shd w:val="clear" w:color="auto" w:fill="E7E6E6"/>
            <w:noWrap/>
            <w:vAlign w:val="bottom"/>
            <w:hideMark/>
          </w:tcPr>
          <w:p w14:paraId="47BA0914" w14:textId="77777777" w:rsidR="00AE1A39" w:rsidRPr="004254D2" w:rsidRDefault="00AE1A39" w:rsidP="00AE1A39">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46FB1F3A" w14:textId="77777777" w:rsidR="00AE1A39" w:rsidRPr="004254D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32.3%</w:t>
            </w:r>
          </w:p>
        </w:tc>
        <w:tc>
          <w:tcPr>
            <w:tcW w:w="724" w:type="dxa"/>
            <w:noWrap/>
            <w:hideMark/>
          </w:tcPr>
          <w:p w14:paraId="2AE9E18B"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33.3%</w:t>
            </w:r>
          </w:p>
        </w:tc>
        <w:tc>
          <w:tcPr>
            <w:tcW w:w="724" w:type="dxa"/>
            <w:noWrap/>
            <w:hideMark/>
          </w:tcPr>
          <w:p w14:paraId="697E536E"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33.9%</w:t>
            </w:r>
          </w:p>
        </w:tc>
        <w:tc>
          <w:tcPr>
            <w:tcW w:w="725" w:type="dxa"/>
            <w:noWrap/>
            <w:hideMark/>
          </w:tcPr>
          <w:p w14:paraId="2E539D2C"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34.3%</w:t>
            </w:r>
          </w:p>
        </w:tc>
        <w:tc>
          <w:tcPr>
            <w:tcW w:w="724" w:type="dxa"/>
            <w:noWrap/>
            <w:hideMark/>
          </w:tcPr>
          <w:p w14:paraId="58C15E46"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34.7%</w:t>
            </w:r>
          </w:p>
        </w:tc>
        <w:tc>
          <w:tcPr>
            <w:tcW w:w="724" w:type="dxa"/>
            <w:noWrap/>
            <w:hideMark/>
          </w:tcPr>
          <w:p w14:paraId="0D4A939A"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34.8%</w:t>
            </w:r>
          </w:p>
        </w:tc>
        <w:tc>
          <w:tcPr>
            <w:tcW w:w="724" w:type="dxa"/>
            <w:noWrap/>
            <w:hideMark/>
          </w:tcPr>
          <w:p w14:paraId="010D2B34"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35.5%</w:t>
            </w:r>
          </w:p>
        </w:tc>
        <w:tc>
          <w:tcPr>
            <w:tcW w:w="725" w:type="dxa"/>
            <w:noWrap/>
            <w:hideMark/>
          </w:tcPr>
          <w:p w14:paraId="713F1C77"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36.7%</w:t>
            </w:r>
          </w:p>
        </w:tc>
        <w:tc>
          <w:tcPr>
            <w:tcW w:w="724" w:type="dxa"/>
            <w:noWrap/>
            <w:hideMark/>
          </w:tcPr>
          <w:p w14:paraId="1D33F260"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39.2%</w:t>
            </w:r>
          </w:p>
        </w:tc>
        <w:tc>
          <w:tcPr>
            <w:tcW w:w="724" w:type="dxa"/>
            <w:noWrap/>
            <w:hideMark/>
          </w:tcPr>
          <w:p w14:paraId="6CE61687"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40.8%</w:t>
            </w:r>
          </w:p>
        </w:tc>
        <w:tc>
          <w:tcPr>
            <w:tcW w:w="725" w:type="dxa"/>
            <w:noWrap/>
            <w:hideMark/>
          </w:tcPr>
          <w:p w14:paraId="51FB2816"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44.5%</w:t>
            </w:r>
          </w:p>
        </w:tc>
      </w:tr>
      <w:tr w:rsidR="00AE1A39" w:rsidRPr="003B4324" w14:paraId="15B96293" w14:textId="77777777" w:rsidTr="007F4A03">
        <w:trPr>
          <w:trHeight w:val="300"/>
        </w:trPr>
        <w:tc>
          <w:tcPr>
            <w:tcW w:w="1661" w:type="dxa"/>
            <w:shd w:val="clear" w:color="auto" w:fill="E7E6E6"/>
            <w:noWrap/>
            <w:vAlign w:val="bottom"/>
            <w:hideMark/>
          </w:tcPr>
          <w:p w14:paraId="7962091D" w14:textId="77777777" w:rsidR="00AE1A39" w:rsidRPr="004254D2" w:rsidRDefault="00AE1A39" w:rsidP="00AE1A39">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4104A72E" w14:textId="77777777" w:rsidR="00AE1A39" w:rsidRPr="004254D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32.3%</w:t>
            </w:r>
          </w:p>
        </w:tc>
        <w:tc>
          <w:tcPr>
            <w:tcW w:w="724" w:type="dxa"/>
            <w:noWrap/>
            <w:hideMark/>
          </w:tcPr>
          <w:p w14:paraId="6A8E5D1C"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34.5%</w:t>
            </w:r>
          </w:p>
        </w:tc>
        <w:tc>
          <w:tcPr>
            <w:tcW w:w="724" w:type="dxa"/>
            <w:noWrap/>
            <w:hideMark/>
          </w:tcPr>
          <w:p w14:paraId="7296ED5C"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35.2%</w:t>
            </w:r>
          </w:p>
        </w:tc>
        <w:tc>
          <w:tcPr>
            <w:tcW w:w="725" w:type="dxa"/>
            <w:noWrap/>
            <w:hideMark/>
          </w:tcPr>
          <w:p w14:paraId="231CDBBC"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35.4%</w:t>
            </w:r>
          </w:p>
        </w:tc>
        <w:tc>
          <w:tcPr>
            <w:tcW w:w="724" w:type="dxa"/>
            <w:noWrap/>
            <w:hideMark/>
          </w:tcPr>
          <w:p w14:paraId="252671C6"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36.1%</w:t>
            </w:r>
          </w:p>
        </w:tc>
        <w:tc>
          <w:tcPr>
            <w:tcW w:w="724" w:type="dxa"/>
            <w:noWrap/>
            <w:hideMark/>
          </w:tcPr>
          <w:p w14:paraId="4EE76E6E"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37.5%</w:t>
            </w:r>
          </w:p>
        </w:tc>
        <w:tc>
          <w:tcPr>
            <w:tcW w:w="724" w:type="dxa"/>
            <w:noWrap/>
            <w:hideMark/>
          </w:tcPr>
          <w:p w14:paraId="1F843FF7"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40.7%</w:t>
            </w:r>
          </w:p>
        </w:tc>
        <w:tc>
          <w:tcPr>
            <w:tcW w:w="725" w:type="dxa"/>
            <w:noWrap/>
            <w:hideMark/>
          </w:tcPr>
          <w:p w14:paraId="2F969D94"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42.0%</w:t>
            </w:r>
          </w:p>
        </w:tc>
        <w:tc>
          <w:tcPr>
            <w:tcW w:w="724" w:type="dxa"/>
            <w:noWrap/>
            <w:hideMark/>
          </w:tcPr>
          <w:p w14:paraId="40280F1B"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45.4%</w:t>
            </w:r>
          </w:p>
        </w:tc>
        <w:tc>
          <w:tcPr>
            <w:tcW w:w="724" w:type="dxa"/>
            <w:noWrap/>
            <w:hideMark/>
          </w:tcPr>
          <w:p w14:paraId="5BD85E91"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45.0%</w:t>
            </w:r>
          </w:p>
        </w:tc>
        <w:tc>
          <w:tcPr>
            <w:tcW w:w="725" w:type="dxa"/>
            <w:noWrap/>
            <w:hideMark/>
          </w:tcPr>
          <w:p w14:paraId="16B0BFC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44.4%</w:t>
            </w:r>
          </w:p>
        </w:tc>
      </w:tr>
      <w:tr w:rsidR="00AE1A39" w:rsidRPr="003B4324" w14:paraId="40BB2467" w14:textId="77777777" w:rsidTr="007F4A03">
        <w:trPr>
          <w:trHeight w:val="300"/>
        </w:trPr>
        <w:tc>
          <w:tcPr>
            <w:tcW w:w="1661" w:type="dxa"/>
            <w:shd w:val="clear" w:color="auto" w:fill="E7E6E6"/>
            <w:noWrap/>
            <w:vAlign w:val="bottom"/>
            <w:hideMark/>
          </w:tcPr>
          <w:p w14:paraId="040766DD" w14:textId="77777777" w:rsidR="00AE1A39" w:rsidRPr="004254D2" w:rsidRDefault="00AE1A39" w:rsidP="00AE1A39">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2B01EE60" w14:textId="77777777" w:rsidR="00AE1A39" w:rsidRPr="004254D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32.3%</w:t>
            </w:r>
          </w:p>
        </w:tc>
        <w:tc>
          <w:tcPr>
            <w:tcW w:w="724" w:type="dxa"/>
            <w:noWrap/>
            <w:hideMark/>
          </w:tcPr>
          <w:p w14:paraId="0422944C"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34.5%</w:t>
            </w:r>
          </w:p>
        </w:tc>
        <w:tc>
          <w:tcPr>
            <w:tcW w:w="724" w:type="dxa"/>
            <w:noWrap/>
            <w:hideMark/>
          </w:tcPr>
          <w:p w14:paraId="3D9FDCA9"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35.2%</w:t>
            </w:r>
          </w:p>
        </w:tc>
        <w:tc>
          <w:tcPr>
            <w:tcW w:w="725" w:type="dxa"/>
            <w:noWrap/>
            <w:hideMark/>
          </w:tcPr>
          <w:p w14:paraId="38E109F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35.4%</w:t>
            </w:r>
          </w:p>
        </w:tc>
        <w:tc>
          <w:tcPr>
            <w:tcW w:w="724" w:type="dxa"/>
            <w:noWrap/>
            <w:hideMark/>
          </w:tcPr>
          <w:p w14:paraId="2C477EDA"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36.1%</w:t>
            </w:r>
          </w:p>
        </w:tc>
        <w:tc>
          <w:tcPr>
            <w:tcW w:w="724" w:type="dxa"/>
            <w:noWrap/>
            <w:hideMark/>
          </w:tcPr>
          <w:p w14:paraId="4DDA474A"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37.5%</w:t>
            </w:r>
          </w:p>
        </w:tc>
        <w:tc>
          <w:tcPr>
            <w:tcW w:w="724" w:type="dxa"/>
            <w:noWrap/>
            <w:hideMark/>
          </w:tcPr>
          <w:p w14:paraId="49EDB06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40.7%</w:t>
            </w:r>
          </w:p>
        </w:tc>
        <w:tc>
          <w:tcPr>
            <w:tcW w:w="725" w:type="dxa"/>
            <w:noWrap/>
            <w:hideMark/>
          </w:tcPr>
          <w:p w14:paraId="3E956D6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42.0%</w:t>
            </w:r>
          </w:p>
        </w:tc>
        <w:tc>
          <w:tcPr>
            <w:tcW w:w="724" w:type="dxa"/>
            <w:noWrap/>
            <w:hideMark/>
          </w:tcPr>
          <w:p w14:paraId="059310A4"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43.8%</w:t>
            </w:r>
          </w:p>
        </w:tc>
        <w:tc>
          <w:tcPr>
            <w:tcW w:w="724" w:type="dxa"/>
            <w:noWrap/>
            <w:hideMark/>
          </w:tcPr>
          <w:p w14:paraId="75F21F9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39.5%</w:t>
            </w:r>
          </w:p>
        </w:tc>
        <w:tc>
          <w:tcPr>
            <w:tcW w:w="725" w:type="dxa"/>
            <w:noWrap/>
            <w:hideMark/>
          </w:tcPr>
          <w:p w14:paraId="64B2F70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37.2%</w:t>
            </w:r>
          </w:p>
        </w:tc>
      </w:tr>
    </w:tbl>
    <w:p w14:paraId="0C26BDEF" w14:textId="5BD8D7EB" w:rsidR="0010154E" w:rsidRDefault="0010154E" w:rsidP="0087794A">
      <w:pPr>
        <w:pStyle w:val="Caption"/>
        <w:keepNext/>
      </w:pPr>
      <w:bookmarkStart w:id="738" w:name="_Toc153545106"/>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13</w:t>
      </w:r>
      <w:r w:rsidR="006E0533">
        <w:rPr>
          <w:noProof/>
        </w:rPr>
        <w:fldChar w:fldCharType="end"/>
      </w:r>
      <w:r w:rsidRPr="0010154E">
        <w:t>: Electricity Import Dependency [%]</w:t>
      </w:r>
      <w:bookmarkEnd w:id="738"/>
    </w:p>
    <w:tbl>
      <w:tblPr>
        <w:tblStyle w:val="TableGrid"/>
        <w:tblW w:w="0" w:type="auto"/>
        <w:tblLayout w:type="fixed"/>
        <w:tblLook w:val="04A0" w:firstRow="1" w:lastRow="0" w:firstColumn="1" w:lastColumn="0" w:noHBand="0" w:noVBand="1"/>
      </w:tblPr>
      <w:tblGrid>
        <w:gridCol w:w="1661"/>
        <w:gridCol w:w="724"/>
        <w:gridCol w:w="724"/>
        <w:gridCol w:w="724"/>
        <w:gridCol w:w="725"/>
        <w:gridCol w:w="724"/>
        <w:gridCol w:w="724"/>
        <w:gridCol w:w="724"/>
        <w:gridCol w:w="725"/>
        <w:gridCol w:w="724"/>
        <w:gridCol w:w="724"/>
        <w:gridCol w:w="725"/>
      </w:tblGrid>
      <w:tr w:rsidR="00AE1A39" w:rsidRPr="003B4324" w14:paraId="1A484B39" w14:textId="77777777" w:rsidTr="007F4A03">
        <w:trPr>
          <w:trHeight w:val="300"/>
        </w:trPr>
        <w:tc>
          <w:tcPr>
            <w:tcW w:w="1661" w:type="dxa"/>
            <w:shd w:val="clear" w:color="auto" w:fill="404040"/>
            <w:noWrap/>
            <w:vAlign w:val="center"/>
            <w:hideMark/>
          </w:tcPr>
          <w:p w14:paraId="7E9FAB31" w14:textId="77777777" w:rsidR="00AE1A39" w:rsidRPr="004254D2" w:rsidRDefault="00AE1A39" w:rsidP="007F4A03">
            <w:pPr>
              <w:spacing w:after="0" w:line="240" w:lineRule="auto"/>
              <w:jc w:val="center"/>
              <w:rPr>
                <w:rFonts w:ascii="Calibri Light" w:hAnsi="Calibri Light" w:cs="Calibri Light"/>
                <w:color w:val="000000" w:themeColor="text1"/>
              </w:rPr>
            </w:pPr>
            <w:r w:rsidRPr="00AE1A39">
              <w:rPr>
                <w:rFonts w:ascii="Calibri Light" w:hAnsi="Calibri Light" w:cs="Calibri Light"/>
                <w:color w:val="FFFFFF" w:themeColor="background1"/>
              </w:rPr>
              <w:t>Energy Import Dependency [%]</w:t>
            </w:r>
          </w:p>
        </w:tc>
        <w:tc>
          <w:tcPr>
            <w:tcW w:w="724" w:type="dxa"/>
            <w:shd w:val="clear" w:color="auto" w:fill="1F497D"/>
            <w:noWrap/>
            <w:vAlign w:val="center"/>
            <w:hideMark/>
          </w:tcPr>
          <w:p w14:paraId="4E77604D"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24" w:type="dxa"/>
            <w:shd w:val="clear" w:color="auto" w:fill="1F497D"/>
            <w:noWrap/>
            <w:vAlign w:val="center"/>
            <w:hideMark/>
          </w:tcPr>
          <w:p w14:paraId="54B63A38"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24" w:type="dxa"/>
            <w:shd w:val="clear" w:color="auto" w:fill="1F497D"/>
            <w:noWrap/>
            <w:vAlign w:val="center"/>
            <w:hideMark/>
          </w:tcPr>
          <w:p w14:paraId="6DE464C9"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25" w:type="dxa"/>
            <w:shd w:val="clear" w:color="auto" w:fill="1F497D"/>
            <w:noWrap/>
            <w:vAlign w:val="center"/>
            <w:hideMark/>
          </w:tcPr>
          <w:p w14:paraId="6DFB692E"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24" w:type="dxa"/>
            <w:shd w:val="clear" w:color="auto" w:fill="1F497D"/>
            <w:noWrap/>
            <w:vAlign w:val="center"/>
            <w:hideMark/>
          </w:tcPr>
          <w:p w14:paraId="60FEF4C8"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24" w:type="dxa"/>
            <w:shd w:val="clear" w:color="auto" w:fill="1F497D"/>
            <w:noWrap/>
            <w:vAlign w:val="center"/>
            <w:hideMark/>
          </w:tcPr>
          <w:p w14:paraId="30018C3A"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24" w:type="dxa"/>
            <w:shd w:val="clear" w:color="auto" w:fill="1F497D"/>
            <w:noWrap/>
            <w:vAlign w:val="center"/>
            <w:hideMark/>
          </w:tcPr>
          <w:p w14:paraId="466D524E"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25" w:type="dxa"/>
            <w:shd w:val="clear" w:color="auto" w:fill="1F497D"/>
            <w:noWrap/>
            <w:vAlign w:val="center"/>
            <w:hideMark/>
          </w:tcPr>
          <w:p w14:paraId="6AFB4DE1"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24" w:type="dxa"/>
            <w:shd w:val="clear" w:color="auto" w:fill="1F497D"/>
            <w:noWrap/>
            <w:vAlign w:val="center"/>
            <w:hideMark/>
          </w:tcPr>
          <w:p w14:paraId="45E79EE2"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24" w:type="dxa"/>
            <w:shd w:val="clear" w:color="auto" w:fill="1F497D"/>
            <w:noWrap/>
            <w:vAlign w:val="center"/>
            <w:hideMark/>
          </w:tcPr>
          <w:p w14:paraId="61C71E8A"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25" w:type="dxa"/>
            <w:shd w:val="clear" w:color="auto" w:fill="1F497D"/>
            <w:noWrap/>
            <w:vAlign w:val="center"/>
            <w:hideMark/>
          </w:tcPr>
          <w:p w14:paraId="2EEB7730" w14:textId="77777777" w:rsidR="00AE1A39" w:rsidRPr="004254D2" w:rsidRDefault="00AE1A39"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AE1A39" w:rsidRPr="003B4324" w14:paraId="4F254EFB" w14:textId="77777777" w:rsidTr="007F4A03">
        <w:trPr>
          <w:trHeight w:val="300"/>
        </w:trPr>
        <w:tc>
          <w:tcPr>
            <w:tcW w:w="1661" w:type="dxa"/>
            <w:shd w:val="clear" w:color="auto" w:fill="E7E6E6"/>
            <w:noWrap/>
            <w:vAlign w:val="bottom"/>
            <w:hideMark/>
          </w:tcPr>
          <w:p w14:paraId="627A9AED" w14:textId="77777777" w:rsidR="00AE1A39" w:rsidRPr="004254D2" w:rsidRDefault="00AE1A39" w:rsidP="00AE1A39">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24" w:type="dxa"/>
            <w:noWrap/>
            <w:hideMark/>
          </w:tcPr>
          <w:p w14:paraId="14967268" w14:textId="77777777" w:rsidR="00AE1A39" w:rsidRPr="004254D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w:t>
            </w:r>
          </w:p>
        </w:tc>
        <w:tc>
          <w:tcPr>
            <w:tcW w:w="724" w:type="dxa"/>
            <w:noWrap/>
            <w:hideMark/>
          </w:tcPr>
          <w:p w14:paraId="6AAFC05E"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w:t>
            </w:r>
          </w:p>
        </w:tc>
        <w:tc>
          <w:tcPr>
            <w:tcW w:w="724" w:type="dxa"/>
            <w:noWrap/>
            <w:hideMark/>
          </w:tcPr>
          <w:p w14:paraId="7373C60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c>
          <w:tcPr>
            <w:tcW w:w="725" w:type="dxa"/>
            <w:noWrap/>
            <w:hideMark/>
          </w:tcPr>
          <w:p w14:paraId="3B806890"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c>
          <w:tcPr>
            <w:tcW w:w="724" w:type="dxa"/>
            <w:noWrap/>
            <w:hideMark/>
          </w:tcPr>
          <w:p w14:paraId="48381F60"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724" w:type="dxa"/>
            <w:noWrap/>
            <w:hideMark/>
          </w:tcPr>
          <w:p w14:paraId="2C186F2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724" w:type="dxa"/>
            <w:noWrap/>
            <w:hideMark/>
          </w:tcPr>
          <w:p w14:paraId="406D1DBC"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725" w:type="dxa"/>
            <w:noWrap/>
            <w:hideMark/>
          </w:tcPr>
          <w:p w14:paraId="351A84B9"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w:t>
            </w:r>
          </w:p>
        </w:tc>
        <w:tc>
          <w:tcPr>
            <w:tcW w:w="724" w:type="dxa"/>
            <w:noWrap/>
            <w:hideMark/>
          </w:tcPr>
          <w:p w14:paraId="5562755D"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-4.8%</w:t>
            </w:r>
          </w:p>
        </w:tc>
        <w:tc>
          <w:tcPr>
            <w:tcW w:w="724" w:type="dxa"/>
            <w:noWrap/>
            <w:hideMark/>
          </w:tcPr>
          <w:p w14:paraId="3D3D478D"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w:t>
            </w:r>
          </w:p>
        </w:tc>
        <w:tc>
          <w:tcPr>
            <w:tcW w:w="725" w:type="dxa"/>
            <w:noWrap/>
            <w:hideMark/>
          </w:tcPr>
          <w:p w14:paraId="72EED319"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-5.4%</w:t>
            </w:r>
          </w:p>
        </w:tc>
      </w:tr>
      <w:tr w:rsidR="00AE1A39" w:rsidRPr="003B4324" w14:paraId="27DD7799" w14:textId="77777777" w:rsidTr="007F4A03">
        <w:trPr>
          <w:trHeight w:val="300"/>
        </w:trPr>
        <w:tc>
          <w:tcPr>
            <w:tcW w:w="1661" w:type="dxa"/>
            <w:shd w:val="clear" w:color="auto" w:fill="E7E6E6"/>
            <w:noWrap/>
            <w:vAlign w:val="bottom"/>
            <w:hideMark/>
          </w:tcPr>
          <w:p w14:paraId="6553D869" w14:textId="77777777" w:rsidR="00AE1A39" w:rsidRPr="004254D2" w:rsidRDefault="00AE1A39" w:rsidP="00AE1A39">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24" w:type="dxa"/>
            <w:noWrap/>
            <w:hideMark/>
          </w:tcPr>
          <w:p w14:paraId="5CA21D31" w14:textId="77777777" w:rsidR="00AE1A39" w:rsidRPr="004254D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w:t>
            </w:r>
          </w:p>
        </w:tc>
        <w:tc>
          <w:tcPr>
            <w:tcW w:w="724" w:type="dxa"/>
            <w:noWrap/>
            <w:hideMark/>
          </w:tcPr>
          <w:p w14:paraId="5246D3F7"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w:t>
            </w:r>
          </w:p>
        </w:tc>
        <w:tc>
          <w:tcPr>
            <w:tcW w:w="724" w:type="dxa"/>
            <w:noWrap/>
            <w:hideMark/>
          </w:tcPr>
          <w:p w14:paraId="023E8B8B"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w:t>
            </w:r>
          </w:p>
        </w:tc>
        <w:tc>
          <w:tcPr>
            <w:tcW w:w="725" w:type="dxa"/>
            <w:noWrap/>
            <w:hideMark/>
          </w:tcPr>
          <w:p w14:paraId="347BFAAF"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w:t>
            </w:r>
          </w:p>
        </w:tc>
        <w:tc>
          <w:tcPr>
            <w:tcW w:w="724" w:type="dxa"/>
            <w:noWrap/>
            <w:hideMark/>
          </w:tcPr>
          <w:p w14:paraId="134CE55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w:t>
            </w:r>
          </w:p>
        </w:tc>
        <w:tc>
          <w:tcPr>
            <w:tcW w:w="724" w:type="dxa"/>
            <w:noWrap/>
            <w:hideMark/>
          </w:tcPr>
          <w:p w14:paraId="08071C51"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724" w:type="dxa"/>
            <w:noWrap/>
            <w:hideMark/>
          </w:tcPr>
          <w:p w14:paraId="13D5FD82"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w:t>
            </w:r>
          </w:p>
        </w:tc>
        <w:tc>
          <w:tcPr>
            <w:tcW w:w="725" w:type="dxa"/>
            <w:noWrap/>
            <w:hideMark/>
          </w:tcPr>
          <w:p w14:paraId="136B32E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-4.7%</w:t>
            </w:r>
          </w:p>
        </w:tc>
        <w:tc>
          <w:tcPr>
            <w:tcW w:w="724" w:type="dxa"/>
            <w:noWrap/>
            <w:hideMark/>
          </w:tcPr>
          <w:p w14:paraId="128C971F"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w:t>
            </w:r>
          </w:p>
        </w:tc>
        <w:tc>
          <w:tcPr>
            <w:tcW w:w="724" w:type="dxa"/>
            <w:noWrap/>
            <w:hideMark/>
          </w:tcPr>
          <w:p w14:paraId="368E338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w:t>
            </w:r>
          </w:p>
        </w:tc>
        <w:tc>
          <w:tcPr>
            <w:tcW w:w="725" w:type="dxa"/>
            <w:noWrap/>
            <w:hideMark/>
          </w:tcPr>
          <w:p w14:paraId="085B0BB9"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r>
      <w:tr w:rsidR="00AE1A39" w:rsidRPr="003B4324" w14:paraId="17CA0580" w14:textId="77777777" w:rsidTr="007F4A03">
        <w:trPr>
          <w:trHeight w:val="300"/>
        </w:trPr>
        <w:tc>
          <w:tcPr>
            <w:tcW w:w="1661" w:type="dxa"/>
            <w:shd w:val="clear" w:color="auto" w:fill="E7E6E6"/>
            <w:noWrap/>
            <w:vAlign w:val="bottom"/>
            <w:hideMark/>
          </w:tcPr>
          <w:p w14:paraId="7641F5AE" w14:textId="77777777" w:rsidR="00AE1A39" w:rsidRPr="004254D2" w:rsidRDefault="00AE1A39" w:rsidP="00AE1A39">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24" w:type="dxa"/>
            <w:noWrap/>
            <w:hideMark/>
          </w:tcPr>
          <w:p w14:paraId="5B7B10E4" w14:textId="77777777" w:rsidR="00AE1A39" w:rsidRPr="004254D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w:t>
            </w:r>
          </w:p>
        </w:tc>
        <w:tc>
          <w:tcPr>
            <w:tcW w:w="724" w:type="dxa"/>
            <w:noWrap/>
            <w:hideMark/>
          </w:tcPr>
          <w:p w14:paraId="1B43DE4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w:t>
            </w:r>
          </w:p>
        </w:tc>
        <w:tc>
          <w:tcPr>
            <w:tcW w:w="724" w:type="dxa"/>
            <w:noWrap/>
            <w:hideMark/>
          </w:tcPr>
          <w:p w14:paraId="15B2653E"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w:t>
            </w:r>
          </w:p>
        </w:tc>
        <w:tc>
          <w:tcPr>
            <w:tcW w:w="725" w:type="dxa"/>
            <w:noWrap/>
            <w:hideMark/>
          </w:tcPr>
          <w:p w14:paraId="77E2B823"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w:t>
            </w:r>
          </w:p>
        </w:tc>
        <w:tc>
          <w:tcPr>
            <w:tcW w:w="724" w:type="dxa"/>
            <w:noWrap/>
            <w:hideMark/>
          </w:tcPr>
          <w:p w14:paraId="4FBF14E5"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w:t>
            </w:r>
          </w:p>
        </w:tc>
        <w:tc>
          <w:tcPr>
            <w:tcW w:w="724" w:type="dxa"/>
            <w:noWrap/>
            <w:hideMark/>
          </w:tcPr>
          <w:p w14:paraId="70916A88"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724" w:type="dxa"/>
            <w:noWrap/>
            <w:hideMark/>
          </w:tcPr>
          <w:p w14:paraId="15B0DF57"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w:t>
            </w:r>
          </w:p>
        </w:tc>
        <w:tc>
          <w:tcPr>
            <w:tcW w:w="725" w:type="dxa"/>
            <w:noWrap/>
            <w:hideMark/>
          </w:tcPr>
          <w:p w14:paraId="3D74D0DE"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w:t>
            </w:r>
          </w:p>
        </w:tc>
        <w:tc>
          <w:tcPr>
            <w:tcW w:w="724" w:type="dxa"/>
            <w:noWrap/>
            <w:hideMark/>
          </w:tcPr>
          <w:p w14:paraId="457D9A55"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w:t>
            </w:r>
          </w:p>
        </w:tc>
        <w:tc>
          <w:tcPr>
            <w:tcW w:w="724" w:type="dxa"/>
            <w:noWrap/>
            <w:hideMark/>
          </w:tcPr>
          <w:p w14:paraId="7E9685DE"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725" w:type="dxa"/>
            <w:noWrap/>
            <w:hideMark/>
          </w:tcPr>
          <w:p w14:paraId="6F9A916D" w14:textId="77777777" w:rsidR="00AE1A39" w:rsidRPr="002574F2" w:rsidRDefault="00AE1A39" w:rsidP="00AE1A39">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w:t>
            </w:r>
          </w:p>
        </w:tc>
      </w:tr>
    </w:tbl>
    <w:p w14:paraId="59D7F875" w14:textId="458BEDAD" w:rsidR="0010154E" w:rsidRDefault="0010154E" w:rsidP="0087794A">
      <w:pPr>
        <w:pStyle w:val="Caption"/>
        <w:spacing w:before="200"/>
      </w:pPr>
      <w:bookmarkStart w:id="739" w:name="_Toc153545107"/>
      <w:r>
        <w:lastRenderedPageBreak/>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14</w:t>
      </w:r>
      <w:r w:rsidR="006E0533">
        <w:rPr>
          <w:noProof/>
        </w:rPr>
        <w:fldChar w:fldCharType="end"/>
      </w:r>
      <w:r w:rsidRPr="0010154E">
        <w:t>: Total Emissions (including agriculture, waste and LULUCF) in ktons of CO2eq</w:t>
      </w:r>
      <w:bookmarkEnd w:id="739"/>
    </w:p>
    <w:tbl>
      <w:tblPr>
        <w:tblStyle w:val="TableGrid"/>
        <w:tblW w:w="9688" w:type="dxa"/>
        <w:tblLayout w:type="fixed"/>
        <w:tblLook w:val="04A0" w:firstRow="1" w:lastRow="0" w:firstColumn="1" w:lastColumn="0" w:noHBand="0" w:noVBand="1"/>
      </w:tblPr>
      <w:tblGrid>
        <w:gridCol w:w="1113"/>
        <w:gridCol w:w="659"/>
        <w:gridCol w:w="660"/>
        <w:gridCol w:w="659"/>
        <w:gridCol w:w="660"/>
        <w:gridCol w:w="660"/>
        <w:gridCol w:w="659"/>
        <w:gridCol w:w="660"/>
        <w:gridCol w:w="659"/>
        <w:gridCol w:w="660"/>
        <w:gridCol w:w="660"/>
        <w:gridCol w:w="659"/>
        <w:gridCol w:w="660"/>
        <w:gridCol w:w="660"/>
      </w:tblGrid>
      <w:tr w:rsidR="003B6BD2" w:rsidRPr="002A6689" w14:paraId="3A714E61" w14:textId="77777777" w:rsidTr="002A6689">
        <w:trPr>
          <w:trHeight w:val="328"/>
        </w:trPr>
        <w:tc>
          <w:tcPr>
            <w:tcW w:w="1113" w:type="dxa"/>
            <w:shd w:val="clear" w:color="auto" w:fill="404040"/>
            <w:noWrap/>
            <w:vAlign w:val="center"/>
            <w:hideMark/>
          </w:tcPr>
          <w:p w14:paraId="415EDCC4" w14:textId="77777777" w:rsidR="002A6689" w:rsidRPr="000007D2" w:rsidRDefault="002A6689" w:rsidP="007F4A03">
            <w:pPr>
              <w:spacing w:after="0" w:line="240" w:lineRule="auto"/>
              <w:jc w:val="center"/>
              <w:rPr>
                <w:rFonts w:ascii="Calibri Light" w:hAnsi="Calibri Light" w:cs="Calibri Light"/>
                <w:color w:val="000000" w:themeColor="text1"/>
                <w:sz w:val="18"/>
                <w:szCs w:val="18"/>
              </w:rPr>
            </w:pPr>
            <w:r w:rsidRPr="000007D2">
              <w:rPr>
                <w:rFonts w:ascii="Calibri Light" w:hAnsi="Calibri Light" w:cs="Calibri Light"/>
                <w:color w:val="FFFFFF" w:themeColor="background1"/>
                <w:sz w:val="18"/>
                <w:szCs w:val="18"/>
              </w:rPr>
              <w:t xml:space="preserve">Total Emissions </w:t>
            </w:r>
            <w:r w:rsidR="005666D1">
              <w:rPr>
                <w:rFonts w:ascii="Calibri Light" w:hAnsi="Calibri Light" w:cs="Calibri Light"/>
                <w:color w:val="FFFFFF" w:themeColor="background1"/>
                <w:sz w:val="18"/>
                <w:szCs w:val="18"/>
              </w:rPr>
              <w:t xml:space="preserve">(with a. w. LULUCF) </w:t>
            </w:r>
            <w:r w:rsidRPr="000007D2">
              <w:rPr>
                <w:rFonts w:ascii="Calibri Light" w:hAnsi="Calibri Light" w:cs="Calibri Light"/>
                <w:color w:val="FFFFFF" w:themeColor="background1"/>
                <w:sz w:val="18"/>
                <w:szCs w:val="18"/>
              </w:rPr>
              <w:t>[ktons of CO2eq]</w:t>
            </w:r>
          </w:p>
        </w:tc>
        <w:tc>
          <w:tcPr>
            <w:tcW w:w="659" w:type="dxa"/>
            <w:shd w:val="clear" w:color="auto" w:fill="1F497D"/>
            <w:vAlign w:val="center"/>
          </w:tcPr>
          <w:p w14:paraId="6F4822CB" w14:textId="77777777" w:rsidR="002A6689" w:rsidRPr="000007D2" w:rsidRDefault="002A6689" w:rsidP="002A6689">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1990</w:t>
            </w:r>
          </w:p>
        </w:tc>
        <w:tc>
          <w:tcPr>
            <w:tcW w:w="660" w:type="dxa"/>
            <w:shd w:val="clear" w:color="auto" w:fill="1F497D"/>
            <w:vAlign w:val="center"/>
          </w:tcPr>
          <w:p w14:paraId="3D6BAC8C" w14:textId="77777777" w:rsidR="002A6689" w:rsidRPr="000007D2" w:rsidRDefault="002A6689" w:rsidP="002A6689">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2010</w:t>
            </w:r>
          </w:p>
        </w:tc>
        <w:tc>
          <w:tcPr>
            <w:tcW w:w="659" w:type="dxa"/>
            <w:shd w:val="clear" w:color="auto" w:fill="1F497D"/>
            <w:noWrap/>
            <w:vAlign w:val="center"/>
            <w:hideMark/>
          </w:tcPr>
          <w:p w14:paraId="66C758CA"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2020</w:t>
            </w:r>
          </w:p>
        </w:tc>
        <w:tc>
          <w:tcPr>
            <w:tcW w:w="660" w:type="dxa"/>
            <w:shd w:val="clear" w:color="auto" w:fill="1F497D"/>
            <w:noWrap/>
            <w:vAlign w:val="center"/>
            <w:hideMark/>
          </w:tcPr>
          <w:p w14:paraId="08A626BC"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2025</w:t>
            </w:r>
          </w:p>
        </w:tc>
        <w:tc>
          <w:tcPr>
            <w:tcW w:w="660" w:type="dxa"/>
            <w:shd w:val="clear" w:color="auto" w:fill="1F497D"/>
            <w:noWrap/>
            <w:vAlign w:val="center"/>
            <w:hideMark/>
          </w:tcPr>
          <w:p w14:paraId="6928BC9B"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2026</w:t>
            </w:r>
          </w:p>
        </w:tc>
        <w:tc>
          <w:tcPr>
            <w:tcW w:w="659" w:type="dxa"/>
            <w:shd w:val="clear" w:color="auto" w:fill="1F497D"/>
            <w:noWrap/>
            <w:vAlign w:val="center"/>
            <w:hideMark/>
          </w:tcPr>
          <w:p w14:paraId="5AD87CFE"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2027</w:t>
            </w:r>
          </w:p>
        </w:tc>
        <w:tc>
          <w:tcPr>
            <w:tcW w:w="660" w:type="dxa"/>
            <w:shd w:val="clear" w:color="auto" w:fill="1F497D"/>
            <w:noWrap/>
            <w:vAlign w:val="center"/>
            <w:hideMark/>
          </w:tcPr>
          <w:p w14:paraId="3E4011B0"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2028</w:t>
            </w:r>
          </w:p>
        </w:tc>
        <w:tc>
          <w:tcPr>
            <w:tcW w:w="659" w:type="dxa"/>
            <w:shd w:val="clear" w:color="auto" w:fill="1F497D"/>
            <w:noWrap/>
            <w:vAlign w:val="center"/>
            <w:hideMark/>
          </w:tcPr>
          <w:p w14:paraId="3AF3589E"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2029</w:t>
            </w:r>
          </w:p>
        </w:tc>
        <w:tc>
          <w:tcPr>
            <w:tcW w:w="660" w:type="dxa"/>
            <w:shd w:val="clear" w:color="auto" w:fill="1F497D"/>
            <w:noWrap/>
            <w:vAlign w:val="center"/>
            <w:hideMark/>
          </w:tcPr>
          <w:p w14:paraId="249B6A69"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2030</w:t>
            </w:r>
          </w:p>
        </w:tc>
        <w:tc>
          <w:tcPr>
            <w:tcW w:w="660" w:type="dxa"/>
            <w:shd w:val="clear" w:color="auto" w:fill="1F497D"/>
            <w:noWrap/>
            <w:vAlign w:val="center"/>
            <w:hideMark/>
          </w:tcPr>
          <w:p w14:paraId="794DFCC8"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2035</w:t>
            </w:r>
          </w:p>
        </w:tc>
        <w:tc>
          <w:tcPr>
            <w:tcW w:w="659" w:type="dxa"/>
            <w:shd w:val="clear" w:color="auto" w:fill="1F497D"/>
            <w:noWrap/>
            <w:vAlign w:val="center"/>
            <w:hideMark/>
          </w:tcPr>
          <w:p w14:paraId="3FE77F2A"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2040</w:t>
            </w:r>
          </w:p>
        </w:tc>
        <w:tc>
          <w:tcPr>
            <w:tcW w:w="660" w:type="dxa"/>
            <w:shd w:val="clear" w:color="auto" w:fill="1F497D"/>
            <w:noWrap/>
            <w:vAlign w:val="center"/>
            <w:hideMark/>
          </w:tcPr>
          <w:p w14:paraId="2F064780"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2045</w:t>
            </w:r>
          </w:p>
        </w:tc>
        <w:tc>
          <w:tcPr>
            <w:tcW w:w="660" w:type="dxa"/>
            <w:shd w:val="clear" w:color="auto" w:fill="1F497D"/>
            <w:noWrap/>
            <w:vAlign w:val="center"/>
            <w:hideMark/>
          </w:tcPr>
          <w:p w14:paraId="1EF1B9CA" w14:textId="77777777" w:rsidR="002A6689" w:rsidRPr="000007D2" w:rsidRDefault="002A6689" w:rsidP="007F4A03">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2050</w:t>
            </w:r>
          </w:p>
        </w:tc>
      </w:tr>
      <w:tr w:rsidR="005666D1" w:rsidRPr="002A6689" w14:paraId="6A7DD278" w14:textId="77777777" w:rsidTr="002869A2">
        <w:trPr>
          <w:trHeight w:val="328"/>
        </w:trPr>
        <w:tc>
          <w:tcPr>
            <w:tcW w:w="1113" w:type="dxa"/>
            <w:shd w:val="clear" w:color="auto" w:fill="E7E6E6"/>
            <w:noWrap/>
            <w:vAlign w:val="bottom"/>
            <w:hideMark/>
          </w:tcPr>
          <w:p w14:paraId="27D8AA78" w14:textId="77777777" w:rsidR="002A6689" w:rsidRPr="000007D2" w:rsidRDefault="002A6689" w:rsidP="002A6689">
            <w:pPr>
              <w:spacing w:after="0" w:line="240" w:lineRule="auto"/>
              <w:jc w:val="left"/>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WEM</w:t>
            </w:r>
          </w:p>
        </w:tc>
        <w:tc>
          <w:tcPr>
            <w:tcW w:w="659" w:type="dxa"/>
            <w:vAlign w:val="center"/>
          </w:tcPr>
          <w:p w14:paraId="3E107F28"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80094</w:t>
            </w:r>
          </w:p>
        </w:tc>
        <w:tc>
          <w:tcPr>
            <w:tcW w:w="660" w:type="dxa"/>
            <w:vAlign w:val="center"/>
          </w:tcPr>
          <w:p w14:paraId="19EAF8E6"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57024</w:t>
            </w:r>
          </w:p>
        </w:tc>
        <w:tc>
          <w:tcPr>
            <w:tcW w:w="659" w:type="dxa"/>
            <w:noWrap/>
            <w:vAlign w:val="center"/>
            <w:hideMark/>
          </w:tcPr>
          <w:p w14:paraId="665B6173"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56163</w:t>
            </w:r>
          </w:p>
        </w:tc>
        <w:tc>
          <w:tcPr>
            <w:tcW w:w="660" w:type="dxa"/>
            <w:noWrap/>
            <w:vAlign w:val="center"/>
            <w:hideMark/>
          </w:tcPr>
          <w:p w14:paraId="5AB66712"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59493</w:t>
            </w:r>
          </w:p>
        </w:tc>
        <w:tc>
          <w:tcPr>
            <w:tcW w:w="660" w:type="dxa"/>
            <w:noWrap/>
            <w:vAlign w:val="center"/>
            <w:hideMark/>
          </w:tcPr>
          <w:p w14:paraId="229D05C4"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60319</w:t>
            </w:r>
          </w:p>
        </w:tc>
        <w:tc>
          <w:tcPr>
            <w:tcW w:w="659" w:type="dxa"/>
            <w:noWrap/>
            <w:vAlign w:val="center"/>
            <w:hideMark/>
          </w:tcPr>
          <w:p w14:paraId="7CF2FD13"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61305</w:t>
            </w:r>
          </w:p>
        </w:tc>
        <w:tc>
          <w:tcPr>
            <w:tcW w:w="660" w:type="dxa"/>
            <w:noWrap/>
            <w:vAlign w:val="center"/>
            <w:hideMark/>
          </w:tcPr>
          <w:p w14:paraId="10E3D00B"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62254</w:t>
            </w:r>
          </w:p>
        </w:tc>
        <w:tc>
          <w:tcPr>
            <w:tcW w:w="659" w:type="dxa"/>
            <w:noWrap/>
            <w:vAlign w:val="center"/>
            <w:hideMark/>
          </w:tcPr>
          <w:p w14:paraId="0EB0FF81"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63327</w:t>
            </w:r>
          </w:p>
        </w:tc>
        <w:tc>
          <w:tcPr>
            <w:tcW w:w="660" w:type="dxa"/>
            <w:noWrap/>
            <w:vAlign w:val="center"/>
            <w:hideMark/>
          </w:tcPr>
          <w:p w14:paraId="3746B29C"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64577</w:t>
            </w:r>
          </w:p>
        </w:tc>
        <w:tc>
          <w:tcPr>
            <w:tcW w:w="660" w:type="dxa"/>
            <w:noWrap/>
            <w:vAlign w:val="center"/>
            <w:hideMark/>
          </w:tcPr>
          <w:p w14:paraId="2E3ECDBC"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68874</w:t>
            </w:r>
          </w:p>
        </w:tc>
        <w:tc>
          <w:tcPr>
            <w:tcW w:w="659" w:type="dxa"/>
            <w:noWrap/>
            <w:vAlign w:val="center"/>
            <w:hideMark/>
          </w:tcPr>
          <w:p w14:paraId="3A676E94"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73068</w:t>
            </w:r>
          </w:p>
        </w:tc>
        <w:tc>
          <w:tcPr>
            <w:tcW w:w="660" w:type="dxa"/>
            <w:noWrap/>
            <w:vAlign w:val="center"/>
            <w:hideMark/>
          </w:tcPr>
          <w:p w14:paraId="2D09EFF8"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76529</w:t>
            </w:r>
          </w:p>
        </w:tc>
        <w:tc>
          <w:tcPr>
            <w:tcW w:w="660" w:type="dxa"/>
            <w:noWrap/>
            <w:vAlign w:val="center"/>
            <w:hideMark/>
          </w:tcPr>
          <w:p w14:paraId="7147CC84"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72958</w:t>
            </w:r>
          </w:p>
        </w:tc>
      </w:tr>
      <w:tr w:rsidR="005666D1" w:rsidRPr="002A6689" w14:paraId="6DA88A9E" w14:textId="77777777" w:rsidTr="002869A2">
        <w:trPr>
          <w:trHeight w:val="328"/>
        </w:trPr>
        <w:tc>
          <w:tcPr>
            <w:tcW w:w="1113" w:type="dxa"/>
            <w:shd w:val="clear" w:color="auto" w:fill="E7E6E6"/>
            <w:noWrap/>
            <w:vAlign w:val="bottom"/>
            <w:hideMark/>
          </w:tcPr>
          <w:p w14:paraId="780042CC" w14:textId="77777777" w:rsidR="002A6689" w:rsidRPr="000007D2" w:rsidRDefault="002A6689" w:rsidP="002A6689">
            <w:pPr>
              <w:spacing w:after="0" w:line="240" w:lineRule="auto"/>
              <w:jc w:val="left"/>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Scenario-S</w:t>
            </w:r>
          </w:p>
        </w:tc>
        <w:tc>
          <w:tcPr>
            <w:tcW w:w="659" w:type="dxa"/>
            <w:vAlign w:val="center"/>
          </w:tcPr>
          <w:p w14:paraId="3D0F79F4"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80094</w:t>
            </w:r>
          </w:p>
        </w:tc>
        <w:tc>
          <w:tcPr>
            <w:tcW w:w="660" w:type="dxa"/>
            <w:vAlign w:val="center"/>
          </w:tcPr>
          <w:p w14:paraId="15C66A92"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57024</w:t>
            </w:r>
          </w:p>
        </w:tc>
        <w:tc>
          <w:tcPr>
            <w:tcW w:w="659" w:type="dxa"/>
            <w:noWrap/>
            <w:vAlign w:val="center"/>
            <w:hideMark/>
          </w:tcPr>
          <w:p w14:paraId="77F33036"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56163</w:t>
            </w:r>
          </w:p>
        </w:tc>
        <w:tc>
          <w:tcPr>
            <w:tcW w:w="660" w:type="dxa"/>
            <w:noWrap/>
            <w:vAlign w:val="center"/>
            <w:hideMark/>
          </w:tcPr>
          <w:p w14:paraId="478D8B44"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55478</w:t>
            </w:r>
          </w:p>
        </w:tc>
        <w:tc>
          <w:tcPr>
            <w:tcW w:w="660" w:type="dxa"/>
            <w:noWrap/>
            <w:vAlign w:val="center"/>
            <w:hideMark/>
          </w:tcPr>
          <w:p w14:paraId="1C248F17"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54480</w:t>
            </w:r>
          </w:p>
        </w:tc>
        <w:tc>
          <w:tcPr>
            <w:tcW w:w="659" w:type="dxa"/>
            <w:noWrap/>
            <w:vAlign w:val="center"/>
            <w:hideMark/>
          </w:tcPr>
          <w:p w14:paraId="41922199"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54099</w:t>
            </w:r>
          </w:p>
        </w:tc>
        <w:tc>
          <w:tcPr>
            <w:tcW w:w="660" w:type="dxa"/>
            <w:noWrap/>
            <w:vAlign w:val="center"/>
            <w:hideMark/>
          </w:tcPr>
          <w:p w14:paraId="1E1FC5EC"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53073</w:t>
            </w:r>
          </w:p>
        </w:tc>
        <w:tc>
          <w:tcPr>
            <w:tcW w:w="659" w:type="dxa"/>
            <w:noWrap/>
            <w:vAlign w:val="center"/>
            <w:hideMark/>
          </w:tcPr>
          <w:p w14:paraId="43F8B252"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51274</w:t>
            </w:r>
          </w:p>
        </w:tc>
        <w:tc>
          <w:tcPr>
            <w:tcW w:w="660" w:type="dxa"/>
            <w:noWrap/>
            <w:vAlign w:val="center"/>
            <w:hideMark/>
          </w:tcPr>
          <w:p w14:paraId="36DDC77C"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47765</w:t>
            </w:r>
          </w:p>
        </w:tc>
        <w:tc>
          <w:tcPr>
            <w:tcW w:w="660" w:type="dxa"/>
            <w:noWrap/>
            <w:vAlign w:val="center"/>
            <w:hideMark/>
          </w:tcPr>
          <w:p w14:paraId="753AB5C3"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41942</w:t>
            </w:r>
          </w:p>
        </w:tc>
        <w:tc>
          <w:tcPr>
            <w:tcW w:w="659" w:type="dxa"/>
            <w:noWrap/>
            <w:vAlign w:val="center"/>
            <w:hideMark/>
          </w:tcPr>
          <w:p w14:paraId="685BF23F"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36098</w:t>
            </w:r>
          </w:p>
        </w:tc>
        <w:tc>
          <w:tcPr>
            <w:tcW w:w="660" w:type="dxa"/>
            <w:noWrap/>
            <w:vAlign w:val="center"/>
            <w:hideMark/>
          </w:tcPr>
          <w:p w14:paraId="2A695732"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28846</w:t>
            </w:r>
          </w:p>
        </w:tc>
        <w:tc>
          <w:tcPr>
            <w:tcW w:w="660" w:type="dxa"/>
            <w:noWrap/>
            <w:vAlign w:val="center"/>
            <w:hideMark/>
          </w:tcPr>
          <w:p w14:paraId="2642D9C1"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21330</w:t>
            </w:r>
          </w:p>
        </w:tc>
      </w:tr>
      <w:tr w:rsidR="005666D1" w:rsidRPr="002A6689" w14:paraId="7A0F3A1C" w14:textId="77777777" w:rsidTr="002869A2">
        <w:trPr>
          <w:trHeight w:val="328"/>
        </w:trPr>
        <w:tc>
          <w:tcPr>
            <w:tcW w:w="1113" w:type="dxa"/>
            <w:shd w:val="clear" w:color="auto" w:fill="E7E6E6"/>
            <w:noWrap/>
            <w:vAlign w:val="bottom"/>
            <w:hideMark/>
          </w:tcPr>
          <w:p w14:paraId="75DAB081" w14:textId="77777777" w:rsidR="002A6689" w:rsidRPr="000007D2" w:rsidRDefault="002A6689" w:rsidP="002A6689">
            <w:pPr>
              <w:spacing w:after="0" w:line="240" w:lineRule="auto"/>
              <w:jc w:val="left"/>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Scenario-S-N</w:t>
            </w:r>
          </w:p>
        </w:tc>
        <w:tc>
          <w:tcPr>
            <w:tcW w:w="659" w:type="dxa"/>
            <w:vAlign w:val="center"/>
          </w:tcPr>
          <w:p w14:paraId="61B22E49"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80094</w:t>
            </w:r>
          </w:p>
        </w:tc>
        <w:tc>
          <w:tcPr>
            <w:tcW w:w="660" w:type="dxa"/>
            <w:vAlign w:val="center"/>
          </w:tcPr>
          <w:p w14:paraId="0BA6963E"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57024</w:t>
            </w:r>
          </w:p>
        </w:tc>
        <w:tc>
          <w:tcPr>
            <w:tcW w:w="659" w:type="dxa"/>
            <w:noWrap/>
            <w:vAlign w:val="center"/>
            <w:hideMark/>
          </w:tcPr>
          <w:p w14:paraId="10DE7555"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56163</w:t>
            </w:r>
          </w:p>
        </w:tc>
        <w:tc>
          <w:tcPr>
            <w:tcW w:w="660" w:type="dxa"/>
            <w:noWrap/>
            <w:vAlign w:val="center"/>
            <w:hideMark/>
          </w:tcPr>
          <w:p w14:paraId="4148092F"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55478</w:t>
            </w:r>
          </w:p>
        </w:tc>
        <w:tc>
          <w:tcPr>
            <w:tcW w:w="660" w:type="dxa"/>
            <w:noWrap/>
            <w:vAlign w:val="center"/>
            <w:hideMark/>
          </w:tcPr>
          <w:p w14:paraId="0395189C"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54480</w:t>
            </w:r>
          </w:p>
        </w:tc>
        <w:tc>
          <w:tcPr>
            <w:tcW w:w="659" w:type="dxa"/>
            <w:noWrap/>
            <w:vAlign w:val="center"/>
            <w:hideMark/>
          </w:tcPr>
          <w:p w14:paraId="09DDC58F"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54099</w:t>
            </w:r>
          </w:p>
        </w:tc>
        <w:tc>
          <w:tcPr>
            <w:tcW w:w="660" w:type="dxa"/>
            <w:noWrap/>
            <w:vAlign w:val="center"/>
            <w:hideMark/>
          </w:tcPr>
          <w:p w14:paraId="1BF0AADC"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53073</w:t>
            </w:r>
          </w:p>
        </w:tc>
        <w:tc>
          <w:tcPr>
            <w:tcW w:w="659" w:type="dxa"/>
            <w:noWrap/>
            <w:vAlign w:val="center"/>
            <w:hideMark/>
          </w:tcPr>
          <w:p w14:paraId="7AD77E54"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51274</w:t>
            </w:r>
          </w:p>
        </w:tc>
        <w:tc>
          <w:tcPr>
            <w:tcW w:w="660" w:type="dxa"/>
            <w:noWrap/>
            <w:vAlign w:val="center"/>
            <w:hideMark/>
          </w:tcPr>
          <w:p w14:paraId="38165680"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47765</w:t>
            </w:r>
          </w:p>
        </w:tc>
        <w:tc>
          <w:tcPr>
            <w:tcW w:w="660" w:type="dxa"/>
            <w:noWrap/>
            <w:vAlign w:val="center"/>
            <w:hideMark/>
          </w:tcPr>
          <w:p w14:paraId="4C013B40"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41943</w:t>
            </w:r>
          </w:p>
        </w:tc>
        <w:tc>
          <w:tcPr>
            <w:tcW w:w="659" w:type="dxa"/>
            <w:noWrap/>
            <w:vAlign w:val="center"/>
            <w:hideMark/>
          </w:tcPr>
          <w:p w14:paraId="664ADC6A"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36100</w:t>
            </w:r>
          </w:p>
        </w:tc>
        <w:tc>
          <w:tcPr>
            <w:tcW w:w="660" w:type="dxa"/>
            <w:noWrap/>
            <w:vAlign w:val="center"/>
            <w:hideMark/>
          </w:tcPr>
          <w:p w14:paraId="60F6CA5D"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25300</w:t>
            </w:r>
          </w:p>
        </w:tc>
        <w:tc>
          <w:tcPr>
            <w:tcW w:w="660" w:type="dxa"/>
            <w:noWrap/>
            <w:vAlign w:val="center"/>
            <w:hideMark/>
          </w:tcPr>
          <w:p w14:paraId="76BE3549" w14:textId="77777777" w:rsidR="002A6689" w:rsidRPr="000007D2" w:rsidRDefault="002A6689"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19745</w:t>
            </w:r>
          </w:p>
        </w:tc>
      </w:tr>
    </w:tbl>
    <w:p w14:paraId="6C7CFC2A" w14:textId="153E9E63" w:rsidR="003573BE" w:rsidRDefault="003573BE" w:rsidP="0087794A">
      <w:pPr>
        <w:pStyle w:val="Caption"/>
        <w:spacing w:before="200"/>
      </w:pPr>
      <w:bookmarkStart w:id="740" w:name="_Toc153545108"/>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15</w:t>
      </w:r>
      <w:r w:rsidR="006E0533">
        <w:rPr>
          <w:noProof/>
        </w:rPr>
        <w:fldChar w:fldCharType="end"/>
      </w:r>
      <w:r w:rsidRPr="003573BE">
        <w:t>: % reduction of total emissions with respect to the 1990 level</w:t>
      </w:r>
      <w:bookmarkEnd w:id="740"/>
    </w:p>
    <w:tbl>
      <w:tblPr>
        <w:tblStyle w:val="TableGrid"/>
        <w:tblW w:w="9776" w:type="dxa"/>
        <w:tblLayout w:type="fixed"/>
        <w:tblLook w:val="04A0" w:firstRow="1" w:lastRow="0" w:firstColumn="1" w:lastColumn="0" w:noHBand="0" w:noVBand="1"/>
      </w:tblPr>
      <w:tblGrid>
        <w:gridCol w:w="846"/>
        <w:gridCol w:w="744"/>
        <w:gridCol w:w="744"/>
        <w:gridCol w:w="744"/>
        <w:gridCol w:w="744"/>
        <w:gridCol w:w="744"/>
        <w:gridCol w:w="745"/>
        <w:gridCol w:w="744"/>
        <w:gridCol w:w="744"/>
        <w:gridCol w:w="744"/>
        <w:gridCol w:w="744"/>
        <w:gridCol w:w="744"/>
        <w:gridCol w:w="745"/>
      </w:tblGrid>
      <w:tr w:rsidR="002869A2" w:rsidRPr="002A6689" w14:paraId="5800B910" w14:textId="77777777" w:rsidTr="002869A2">
        <w:trPr>
          <w:trHeight w:val="328"/>
        </w:trPr>
        <w:tc>
          <w:tcPr>
            <w:tcW w:w="846" w:type="dxa"/>
            <w:shd w:val="clear" w:color="auto" w:fill="404040"/>
            <w:noWrap/>
            <w:vAlign w:val="center"/>
            <w:hideMark/>
          </w:tcPr>
          <w:p w14:paraId="58505FD4" w14:textId="77777777" w:rsidR="002869A2" w:rsidRPr="000007D2" w:rsidRDefault="002869A2" w:rsidP="007F4A03">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FFFFFF" w:themeColor="background1"/>
                <w:sz w:val="16"/>
                <w:szCs w:val="16"/>
              </w:rPr>
              <w:t xml:space="preserve">Total </w:t>
            </w:r>
            <w:r w:rsidR="00C56936" w:rsidRPr="00C56936">
              <w:rPr>
                <w:rFonts w:ascii="Calibri Light" w:hAnsi="Calibri Light" w:cs="Calibri Light"/>
                <w:color w:val="FFFFFF" w:themeColor="background1"/>
                <w:sz w:val="16"/>
                <w:szCs w:val="16"/>
              </w:rPr>
              <w:t>Emissions reduction</w:t>
            </w:r>
            <w:r w:rsidRPr="000007D2">
              <w:rPr>
                <w:rFonts w:ascii="Calibri Light" w:hAnsi="Calibri Light" w:cs="Calibri Light"/>
                <w:color w:val="FFFFFF" w:themeColor="background1"/>
                <w:sz w:val="16"/>
                <w:szCs w:val="16"/>
              </w:rPr>
              <w:t xml:space="preserve"> w.r.t. 1990</w:t>
            </w:r>
            <w:r>
              <w:rPr>
                <w:rFonts w:ascii="Calibri Light" w:hAnsi="Calibri Light" w:cs="Calibri Light"/>
                <w:color w:val="FFFFFF" w:themeColor="background1"/>
                <w:sz w:val="16"/>
                <w:szCs w:val="16"/>
              </w:rPr>
              <w:t xml:space="preserve"> [%]</w:t>
            </w:r>
          </w:p>
        </w:tc>
        <w:tc>
          <w:tcPr>
            <w:tcW w:w="744" w:type="dxa"/>
            <w:shd w:val="clear" w:color="auto" w:fill="1F497D"/>
            <w:vAlign w:val="center"/>
          </w:tcPr>
          <w:p w14:paraId="1E791CB0"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2010</w:t>
            </w:r>
          </w:p>
        </w:tc>
        <w:tc>
          <w:tcPr>
            <w:tcW w:w="744" w:type="dxa"/>
            <w:shd w:val="clear" w:color="auto" w:fill="1F497D"/>
            <w:noWrap/>
            <w:vAlign w:val="center"/>
            <w:hideMark/>
          </w:tcPr>
          <w:p w14:paraId="274E4928"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2020</w:t>
            </w:r>
          </w:p>
        </w:tc>
        <w:tc>
          <w:tcPr>
            <w:tcW w:w="744" w:type="dxa"/>
            <w:shd w:val="clear" w:color="auto" w:fill="1F497D"/>
            <w:noWrap/>
            <w:vAlign w:val="center"/>
            <w:hideMark/>
          </w:tcPr>
          <w:p w14:paraId="0159465F"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2025</w:t>
            </w:r>
          </w:p>
        </w:tc>
        <w:tc>
          <w:tcPr>
            <w:tcW w:w="744" w:type="dxa"/>
            <w:shd w:val="clear" w:color="auto" w:fill="1F497D"/>
            <w:noWrap/>
            <w:vAlign w:val="center"/>
            <w:hideMark/>
          </w:tcPr>
          <w:p w14:paraId="58ED5EE3"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2026</w:t>
            </w:r>
          </w:p>
        </w:tc>
        <w:tc>
          <w:tcPr>
            <w:tcW w:w="744" w:type="dxa"/>
            <w:shd w:val="clear" w:color="auto" w:fill="1F497D"/>
            <w:noWrap/>
            <w:vAlign w:val="center"/>
            <w:hideMark/>
          </w:tcPr>
          <w:p w14:paraId="255E0309"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2027</w:t>
            </w:r>
          </w:p>
        </w:tc>
        <w:tc>
          <w:tcPr>
            <w:tcW w:w="745" w:type="dxa"/>
            <w:shd w:val="clear" w:color="auto" w:fill="1F497D"/>
            <w:noWrap/>
            <w:vAlign w:val="center"/>
            <w:hideMark/>
          </w:tcPr>
          <w:p w14:paraId="22A723AC"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2028</w:t>
            </w:r>
          </w:p>
        </w:tc>
        <w:tc>
          <w:tcPr>
            <w:tcW w:w="744" w:type="dxa"/>
            <w:shd w:val="clear" w:color="auto" w:fill="1F497D"/>
            <w:noWrap/>
            <w:vAlign w:val="center"/>
            <w:hideMark/>
          </w:tcPr>
          <w:p w14:paraId="01104831"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2029</w:t>
            </w:r>
          </w:p>
        </w:tc>
        <w:tc>
          <w:tcPr>
            <w:tcW w:w="744" w:type="dxa"/>
            <w:shd w:val="clear" w:color="auto" w:fill="1F497D"/>
            <w:noWrap/>
            <w:vAlign w:val="center"/>
            <w:hideMark/>
          </w:tcPr>
          <w:p w14:paraId="68AE36F2"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2030</w:t>
            </w:r>
          </w:p>
        </w:tc>
        <w:tc>
          <w:tcPr>
            <w:tcW w:w="744" w:type="dxa"/>
            <w:shd w:val="clear" w:color="auto" w:fill="1F497D"/>
            <w:noWrap/>
            <w:vAlign w:val="center"/>
            <w:hideMark/>
          </w:tcPr>
          <w:p w14:paraId="7E7ED620"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2035</w:t>
            </w:r>
          </w:p>
        </w:tc>
        <w:tc>
          <w:tcPr>
            <w:tcW w:w="744" w:type="dxa"/>
            <w:shd w:val="clear" w:color="auto" w:fill="1F497D"/>
            <w:noWrap/>
            <w:vAlign w:val="center"/>
            <w:hideMark/>
          </w:tcPr>
          <w:p w14:paraId="62E98ABA"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2040</w:t>
            </w:r>
          </w:p>
        </w:tc>
        <w:tc>
          <w:tcPr>
            <w:tcW w:w="744" w:type="dxa"/>
            <w:shd w:val="clear" w:color="auto" w:fill="1F497D"/>
            <w:noWrap/>
            <w:vAlign w:val="center"/>
            <w:hideMark/>
          </w:tcPr>
          <w:p w14:paraId="347BDA36"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2045</w:t>
            </w:r>
          </w:p>
        </w:tc>
        <w:tc>
          <w:tcPr>
            <w:tcW w:w="745" w:type="dxa"/>
            <w:shd w:val="clear" w:color="auto" w:fill="1F497D"/>
            <w:noWrap/>
            <w:vAlign w:val="center"/>
            <w:hideMark/>
          </w:tcPr>
          <w:p w14:paraId="0E6F1EE4" w14:textId="77777777" w:rsidR="002869A2" w:rsidRPr="000007D2" w:rsidRDefault="002869A2" w:rsidP="007F4A03">
            <w:pPr>
              <w:spacing w:after="0" w:line="240" w:lineRule="auto"/>
              <w:jc w:val="center"/>
              <w:rPr>
                <w:rFonts w:ascii="Calibri Light" w:hAnsi="Calibri Light" w:cs="Calibri Light"/>
                <w:color w:val="FFFFFF" w:themeColor="background1"/>
                <w:sz w:val="16"/>
                <w:szCs w:val="16"/>
              </w:rPr>
            </w:pPr>
            <w:r w:rsidRPr="000007D2">
              <w:rPr>
                <w:rFonts w:ascii="Calibri Light" w:hAnsi="Calibri Light" w:cs="Calibri Light"/>
                <w:color w:val="FFFFFF" w:themeColor="background1"/>
                <w:sz w:val="16"/>
                <w:szCs w:val="16"/>
              </w:rPr>
              <w:t>2050</w:t>
            </w:r>
          </w:p>
        </w:tc>
      </w:tr>
      <w:tr w:rsidR="002869A2" w:rsidRPr="002A6689" w14:paraId="6CB71E59" w14:textId="77777777" w:rsidTr="000007D2">
        <w:trPr>
          <w:trHeight w:val="328"/>
        </w:trPr>
        <w:tc>
          <w:tcPr>
            <w:tcW w:w="846" w:type="dxa"/>
            <w:shd w:val="clear" w:color="auto" w:fill="E7E6E6"/>
            <w:noWrap/>
            <w:vAlign w:val="bottom"/>
            <w:hideMark/>
          </w:tcPr>
          <w:p w14:paraId="2EC88968" w14:textId="77777777" w:rsidR="002869A2" w:rsidRPr="002869A2" w:rsidRDefault="002869A2" w:rsidP="002869A2">
            <w:pPr>
              <w:spacing w:after="0" w:line="240" w:lineRule="auto"/>
              <w:jc w:val="left"/>
              <w:rPr>
                <w:rFonts w:ascii="Calibri Light" w:hAnsi="Calibri Light" w:cs="Calibri Light"/>
                <w:color w:val="000000" w:themeColor="text1"/>
                <w:sz w:val="16"/>
                <w:szCs w:val="16"/>
              </w:rPr>
            </w:pPr>
            <w:r w:rsidRPr="002869A2">
              <w:rPr>
                <w:rFonts w:ascii="Calibri Light" w:hAnsi="Calibri Light" w:cs="Calibri Light"/>
                <w:color w:val="000000" w:themeColor="text1"/>
                <w:sz w:val="16"/>
                <w:szCs w:val="16"/>
              </w:rPr>
              <w:t>WEM</w:t>
            </w:r>
          </w:p>
        </w:tc>
        <w:tc>
          <w:tcPr>
            <w:tcW w:w="744" w:type="dxa"/>
            <w:vAlign w:val="center"/>
          </w:tcPr>
          <w:p w14:paraId="5E4C3884"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-28.80%</w:t>
            </w:r>
          </w:p>
        </w:tc>
        <w:tc>
          <w:tcPr>
            <w:tcW w:w="744" w:type="dxa"/>
            <w:noWrap/>
            <w:vAlign w:val="center"/>
            <w:hideMark/>
          </w:tcPr>
          <w:p w14:paraId="2D2102B6"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-29.97%</w:t>
            </w:r>
          </w:p>
        </w:tc>
        <w:tc>
          <w:tcPr>
            <w:tcW w:w="744" w:type="dxa"/>
            <w:noWrap/>
            <w:vAlign w:val="center"/>
            <w:hideMark/>
          </w:tcPr>
          <w:p w14:paraId="6671C307"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-25.72%</w:t>
            </w:r>
          </w:p>
        </w:tc>
        <w:tc>
          <w:tcPr>
            <w:tcW w:w="744" w:type="dxa"/>
            <w:noWrap/>
            <w:vAlign w:val="center"/>
            <w:hideMark/>
          </w:tcPr>
          <w:p w14:paraId="3553C540"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-24.69%</w:t>
            </w:r>
          </w:p>
        </w:tc>
        <w:tc>
          <w:tcPr>
            <w:tcW w:w="744" w:type="dxa"/>
            <w:noWrap/>
            <w:vAlign w:val="center"/>
            <w:hideMark/>
          </w:tcPr>
          <w:p w14:paraId="69C2FCB1"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-23.46%</w:t>
            </w:r>
          </w:p>
        </w:tc>
        <w:tc>
          <w:tcPr>
            <w:tcW w:w="745" w:type="dxa"/>
            <w:noWrap/>
            <w:vAlign w:val="center"/>
            <w:hideMark/>
          </w:tcPr>
          <w:p w14:paraId="78650756"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-22.27%</w:t>
            </w:r>
          </w:p>
        </w:tc>
        <w:tc>
          <w:tcPr>
            <w:tcW w:w="744" w:type="dxa"/>
            <w:noWrap/>
            <w:vAlign w:val="center"/>
            <w:hideMark/>
          </w:tcPr>
          <w:p w14:paraId="56D763CE"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-20.93%</w:t>
            </w:r>
          </w:p>
        </w:tc>
        <w:tc>
          <w:tcPr>
            <w:tcW w:w="744" w:type="dxa"/>
            <w:noWrap/>
            <w:vAlign w:val="center"/>
            <w:hideMark/>
          </w:tcPr>
          <w:p w14:paraId="201CAF87"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-19.37%</w:t>
            </w:r>
          </w:p>
        </w:tc>
        <w:tc>
          <w:tcPr>
            <w:tcW w:w="744" w:type="dxa"/>
            <w:noWrap/>
            <w:vAlign w:val="center"/>
            <w:hideMark/>
          </w:tcPr>
          <w:p w14:paraId="078691C8"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-14.01%</w:t>
            </w:r>
          </w:p>
        </w:tc>
        <w:tc>
          <w:tcPr>
            <w:tcW w:w="744" w:type="dxa"/>
            <w:noWrap/>
            <w:vAlign w:val="center"/>
            <w:hideMark/>
          </w:tcPr>
          <w:p w14:paraId="509360ED"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-8.77%</w:t>
            </w:r>
          </w:p>
        </w:tc>
        <w:tc>
          <w:tcPr>
            <w:tcW w:w="744" w:type="dxa"/>
            <w:noWrap/>
            <w:vAlign w:val="center"/>
            <w:hideMark/>
          </w:tcPr>
          <w:p w14:paraId="40FA3193"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-4.45%</w:t>
            </w:r>
          </w:p>
        </w:tc>
        <w:tc>
          <w:tcPr>
            <w:tcW w:w="745" w:type="dxa"/>
            <w:noWrap/>
            <w:vAlign w:val="center"/>
            <w:hideMark/>
          </w:tcPr>
          <w:p w14:paraId="594CA732"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-8.91%</w:t>
            </w:r>
          </w:p>
        </w:tc>
      </w:tr>
      <w:tr w:rsidR="002869A2" w:rsidRPr="002A6689" w14:paraId="74AA6E80" w14:textId="77777777" w:rsidTr="000007D2">
        <w:trPr>
          <w:trHeight w:val="328"/>
        </w:trPr>
        <w:tc>
          <w:tcPr>
            <w:tcW w:w="846" w:type="dxa"/>
            <w:shd w:val="clear" w:color="auto" w:fill="E7E6E6"/>
            <w:noWrap/>
            <w:vAlign w:val="bottom"/>
            <w:hideMark/>
          </w:tcPr>
          <w:p w14:paraId="48143FD5" w14:textId="77777777" w:rsidR="002869A2" w:rsidRPr="002869A2" w:rsidRDefault="002869A2" w:rsidP="002869A2">
            <w:pPr>
              <w:spacing w:after="0" w:line="240" w:lineRule="auto"/>
              <w:jc w:val="left"/>
              <w:rPr>
                <w:rFonts w:ascii="Calibri Light" w:hAnsi="Calibri Light" w:cs="Calibri Light"/>
                <w:color w:val="000000" w:themeColor="text1"/>
                <w:sz w:val="16"/>
                <w:szCs w:val="16"/>
              </w:rPr>
            </w:pPr>
            <w:r w:rsidRPr="002869A2">
              <w:rPr>
                <w:rFonts w:ascii="Calibri Light" w:hAnsi="Calibri Light" w:cs="Calibri Light"/>
                <w:color w:val="000000" w:themeColor="text1"/>
                <w:sz w:val="16"/>
                <w:szCs w:val="16"/>
              </w:rPr>
              <w:t>Scenario-S</w:t>
            </w:r>
          </w:p>
        </w:tc>
        <w:tc>
          <w:tcPr>
            <w:tcW w:w="744" w:type="dxa"/>
            <w:vAlign w:val="center"/>
          </w:tcPr>
          <w:p w14:paraId="4BE19FD3"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-28.80%</w:t>
            </w:r>
          </w:p>
        </w:tc>
        <w:tc>
          <w:tcPr>
            <w:tcW w:w="744" w:type="dxa"/>
            <w:noWrap/>
            <w:vAlign w:val="center"/>
            <w:hideMark/>
          </w:tcPr>
          <w:p w14:paraId="29BD4C80"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-29.88%</w:t>
            </w:r>
          </w:p>
        </w:tc>
        <w:tc>
          <w:tcPr>
            <w:tcW w:w="744" w:type="dxa"/>
            <w:noWrap/>
            <w:vAlign w:val="center"/>
            <w:hideMark/>
          </w:tcPr>
          <w:p w14:paraId="5E2CA516"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-30.73%</w:t>
            </w:r>
          </w:p>
        </w:tc>
        <w:tc>
          <w:tcPr>
            <w:tcW w:w="744" w:type="dxa"/>
            <w:noWrap/>
            <w:vAlign w:val="center"/>
            <w:hideMark/>
          </w:tcPr>
          <w:p w14:paraId="71C62DFB"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-31.98%</w:t>
            </w:r>
          </w:p>
        </w:tc>
        <w:tc>
          <w:tcPr>
            <w:tcW w:w="744" w:type="dxa"/>
            <w:noWrap/>
            <w:vAlign w:val="center"/>
            <w:hideMark/>
          </w:tcPr>
          <w:p w14:paraId="5ADEF316"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-32.46%</w:t>
            </w:r>
          </w:p>
        </w:tc>
        <w:tc>
          <w:tcPr>
            <w:tcW w:w="745" w:type="dxa"/>
            <w:noWrap/>
            <w:vAlign w:val="center"/>
            <w:hideMark/>
          </w:tcPr>
          <w:p w14:paraId="36208B67"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-33.74%</w:t>
            </w:r>
          </w:p>
        </w:tc>
        <w:tc>
          <w:tcPr>
            <w:tcW w:w="744" w:type="dxa"/>
            <w:noWrap/>
            <w:vAlign w:val="center"/>
            <w:hideMark/>
          </w:tcPr>
          <w:p w14:paraId="1990C44A"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-35.98%</w:t>
            </w:r>
          </w:p>
        </w:tc>
        <w:tc>
          <w:tcPr>
            <w:tcW w:w="744" w:type="dxa"/>
            <w:noWrap/>
            <w:vAlign w:val="center"/>
            <w:hideMark/>
          </w:tcPr>
          <w:p w14:paraId="61C70480"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-40.36%</w:t>
            </w:r>
          </w:p>
        </w:tc>
        <w:tc>
          <w:tcPr>
            <w:tcW w:w="744" w:type="dxa"/>
            <w:noWrap/>
            <w:vAlign w:val="center"/>
            <w:hideMark/>
          </w:tcPr>
          <w:p w14:paraId="2B04967E"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-47.63%</w:t>
            </w:r>
          </w:p>
        </w:tc>
        <w:tc>
          <w:tcPr>
            <w:tcW w:w="744" w:type="dxa"/>
            <w:noWrap/>
            <w:vAlign w:val="center"/>
            <w:hideMark/>
          </w:tcPr>
          <w:p w14:paraId="6A0E1A24"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-54.93%</w:t>
            </w:r>
          </w:p>
        </w:tc>
        <w:tc>
          <w:tcPr>
            <w:tcW w:w="744" w:type="dxa"/>
            <w:noWrap/>
            <w:vAlign w:val="center"/>
            <w:hideMark/>
          </w:tcPr>
          <w:p w14:paraId="3A0DC406"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-63.99%</w:t>
            </w:r>
          </w:p>
        </w:tc>
        <w:tc>
          <w:tcPr>
            <w:tcW w:w="745" w:type="dxa"/>
            <w:noWrap/>
            <w:vAlign w:val="center"/>
            <w:hideMark/>
          </w:tcPr>
          <w:p w14:paraId="3D25F811"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-73.37%</w:t>
            </w:r>
          </w:p>
        </w:tc>
      </w:tr>
      <w:tr w:rsidR="002869A2" w:rsidRPr="002A6689" w14:paraId="7D2DCA33" w14:textId="77777777" w:rsidTr="000007D2">
        <w:trPr>
          <w:trHeight w:val="328"/>
        </w:trPr>
        <w:tc>
          <w:tcPr>
            <w:tcW w:w="846" w:type="dxa"/>
            <w:shd w:val="clear" w:color="auto" w:fill="E7E6E6"/>
            <w:noWrap/>
            <w:vAlign w:val="bottom"/>
            <w:hideMark/>
          </w:tcPr>
          <w:p w14:paraId="495E2BE5" w14:textId="77777777" w:rsidR="002869A2" w:rsidRPr="002869A2" w:rsidRDefault="002869A2" w:rsidP="002869A2">
            <w:pPr>
              <w:spacing w:after="0" w:line="240" w:lineRule="auto"/>
              <w:jc w:val="left"/>
              <w:rPr>
                <w:rFonts w:ascii="Calibri Light" w:hAnsi="Calibri Light" w:cs="Calibri Light"/>
                <w:color w:val="000000" w:themeColor="text1"/>
                <w:sz w:val="16"/>
                <w:szCs w:val="16"/>
              </w:rPr>
            </w:pPr>
            <w:r w:rsidRPr="002869A2">
              <w:rPr>
                <w:rFonts w:ascii="Calibri Light" w:hAnsi="Calibri Light" w:cs="Calibri Light"/>
                <w:color w:val="000000" w:themeColor="text1"/>
                <w:sz w:val="16"/>
                <w:szCs w:val="16"/>
              </w:rPr>
              <w:t>Scenario-S-N</w:t>
            </w:r>
          </w:p>
        </w:tc>
        <w:tc>
          <w:tcPr>
            <w:tcW w:w="744" w:type="dxa"/>
            <w:vAlign w:val="center"/>
          </w:tcPr>
          <w:p w14:paraId="3CC6D2B9"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-28.80%</w:t>
            </w:r>
          </w:p>
        </w:tc>
        <w:tc>
          <w:tcPr>
            <w:tcW w:w="744" w:type="dxa"/>
            <w:noWrap/>
            <w:vAlign w:val="center"/>
            <w:hideMark/>
          </w:tcPr>
          <w:p w14:paraId="328ED794"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-29.88%</w:t>
            </w:r>
          </w:p>
        </w:tc>
        <w:tc>
          <w:tcPr>
            <w:tcW w:w="744" w:type="dxa"/>
            <w:noWrap/>
            <w:vAlign w:val="center"/>
            <w:hideMark/>
          </w:tcPr>
          <w:p w14:paraId="2CF11079"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-30.73%</w:t>
            </w:r>
          </w:p>
        </w:tc>
        <w:tc>
          <w:tcPr>
            <w:tcW w:w="744" w:type="dxa"/>
            <w:noWrap/>
            <w:vAlign w:val="center"/>
            <w:hideMark/>
          </w:tcPr>
          <w:p w14:paraId="3711C547"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-31.98%</w:t>
            </w:r>
          </w:p>
        </w:tc>
        <w:tc>
          <w:tcPr>
            <w:tcW w:w="744" w:type="dxa"/>
            <w:noWrap/>
            <w:vAlign w:val="center"/>
            <w:hideMark/>
          </w:tcPr>
          <w:p w14:paraId="3FCA0E08"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-32.46%</w:t>
            </w:r>
          </w:p>
        </w:tc>
        <w:tc>
          <w:tcPr>
            <w:tcW w:w="745" w:type="dxa"/>
            <w:noWrap/>
            <w:vAlign w:val="center"/>
            <w:hideMark/>
          </w:tcPr>
          <w:p w14:paraId="45892F8F"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-33.74%</w:t>
            </w:r>
          </w:p>
        </w:tc>
        <w:tc>
          <w:tcPr>
            <w:tcW w:w="744" w:type="dxa"/>
            <w:noWrap/>
            <w:vAlign w:val="center"/>
            <w:hideMark/>
          </w:tcPr>
          <w:p w14:paraId="3AF254F2"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-35.98%</w:t>
            </w:r>
          </w:p>
        </w:tc>
        <w:tc>
          <w:tcPr>
            <w:tcW w:w="744" w:type="dxa"/>
            <w:noWrap/>
            <w:vAlign w:val="center"/>
            <w:hideMark/>
          </w:tcPr>
          <w:p w14:paraId="7DB19323"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-40.36%</w:t>
            </w:r>
          </w:p>
        </w:tc>
        <w:tc>
          <w:tcPr>
            <w:tcW w:w="744" w:type="dxa"/>
            <w:noWrap/>
            <w:vAlign w:val="center"/>
            <w:hideMark/>
          </w:tcPr>
          <w:p w14:paraId="2066B402"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-47.63%</w:t>
            </w:r>
          </w:p>
        </w:tc>
        <w:tc>
          <w:tcPr>
            <w:tcW w:w="744" w:type="dxa"/>
            <w:noWrap/>
            <w:vAlign w:val="center"/>
            <w:hideMark/>
          </w:tcPr>
          <w:p w14:paraId="1F1461CF"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-54.93%</w:t>
            </w:r>
          </w:p>
        </w:tc>
        <w:tc>
          <w:tcPr>
            <w:tcW w:w="744" w:type="dxa"/>
            <w:noWrap/>
            <w:vAlign w:val="center"/>
            <w:hideMark/>
          </w:tcPr>
          <w:p w14:paraId="6BF8F4B3"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-68.41%</w:t>
            </w:r>
          </w:p>
        </w:tc>
        <w:tc>
          <w:tcPr>
            <w:tcW w:w="745" w:type="dxa"/>
            <w:noWrap/>
            <w:vAlign w:val="center"/>
            <w:hideMark/>
          </w:tcPr>
          <w:p w14:paraId="48D06133" w14:textId="77777777" w:rsidR="002869A2" w:rsidRPr="002869A2" w:rsidRDefault="002869A2" w:rsidP="002869A2">
            <w:pPr>
              <w:spacing w:after="0" w:line="240" w:lineRule="auto"/>
              <w:jc w:val="center"/>
              <w:rPr>
                <w:rFonts w:ascii="Calibri Light" w:hAnsi="Calibri Light" w:cs="Calibri Light"/>
                <w:color w:val="000000" w:themeColor="text1"/>
                <w:sz w:val="16"/>
                <w:szCs w:val="16"/>
              </w:rPr>
            </w:pPr>
            <w:r w:rsidRPr="000007D2">
              <w:rPr>
                <w:rFonts w:ascii="Calibri Light" w:hAnsi="Calibri Light" w:cs="Calibri Light"/>
                <w:color w:val="000000" w:themeColor="text1"/>
                <w:sz w:val="16"/>
                <w:szCs w:val="16"/>
              </w:rPr>
              <w:t>-75.35%</w:t>
            </w:r>
          </w:p>
        </w:tc>
      </w:tr>
    </w:tbl>
    <w:p w14:paraId="61721C06" w14:textId="052E4C7E" w:rsidR="003573BE" w:rsidRDefault="003573BE" w:rsidP="0087794A">
      <w:pPr>
        <w:pStyle w:val="Caption"/>
        <w:spacing w:before="200"/>
      </w:pPr>
      <w:bookmarkStart w:id="741" w:name="_Toc153545109"/>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16</w:t>
      </w:r>
      <w:r w:rsidR="006E0533">
        <w:rPr>
          <w:noProof/>
        </w:rPr>
        <w:fldChar w:fldCharType="end"/>
      </w:r>
      <w:r w:rsidRPr="003573BE">
        <w:t>: Share of RES in Gross Final Energy Consumption [%]</w:t>
      </w:r>
      <w:bookmarkEnd w:id="741"/>
    </w:p>
    <w:tbl>
      <w:tblPr>
        <w:tblStyle w:val="TableGrid"/>
        <w:tblW w:w="9776" w:type="dxa"/>
        <w:tblLayout w:type="fixed"/>
        <w:tblLook w:val="04A0" w:firstRow="1" w:lastRow="0" w:firstColumn="1" w:lastColumn="0" w:noHBand="0" w:noVBand="1"/>
      </w:tblPr>
      <w:tblGrid>
        <w:gridCol w:w="1661"/>
        <w:gridCol w:w="737"/>
        <w:gridCol w:w="738"/>
        <w:gridCol w:w="738"/>
        <w:gridCol w:w="737"/>
        <w:gridCol w:w="738"/>
        <w:gridCol w:w="738"/>
        <w:gridCol w:w="738"/>
        <w:gridCol w:w="737"/>
        <w:gridCol w:w="738"/>
        <w:gridCol w:w="738"/>
        <w:gridCol w:w="738"/>
      </w:tblGrid>
      <w:tr w:rsidR="005666D1" w:rsidRPr="003B4324" w14:paraId="4F4CB54D" w14:textId="77777777" w:rsidTr="005666D1">
        <w:trPr>
          <w:trHeight w:val="300"/>
        </w:trPr>
        <w:tc>
          <w:tcPr>
            <w:tcW w:w="1661" w:type="dxa"/>
            <w:shd w:val="clear" w:color="auto" w:fill="404040"/>
            <w:noWrap/>
            <w:vAlign w:val="center"/>
            <w:hideMark/>
          </w:tcPr>
          <w:p w14:paraId="4DA8F608" w14:textId="77777777" w:rsidR="002869A2" w:rsidRPr="004254D2" w:rsidRDefault="005666D1" w:rsidP="007F4A03">
            <w:pPr>
              <w:spacing w:after="0" w:line="240" w:lineRule="auto"/>
              <w:jc w:val="center"/>
              <w:rPr>
                <w:rFonts w:ascii="Calibri Light" w:hAnsi="Calibri Light" w:cs="Calibri Light"/>
                <w:color w:val="000000" w:themeColor="text1"/>
              </w:rPr>
            </w:pPr>
            <w:r w:rsidRPr="005666D1">
              <w:rPr>
                <w:rFonts w:ascii="Calibri Light" w:hAnsi="Calibri Light" w:cs="Calibri Light"/>
                <w:color w:val="FFFFFF" w:themeColor="background1"/>
              </w:rPr>
              <w:t xml:space="preserve">Share of RES in GFEC </w:t>
            </w:r>
            <w:r w:rsidR="002869A2" w:rsidRPr="00AE1A39">
              <w:rPr>
                <w:rFonts w:ascii="Calibri Light" w:hAnsi="Calibri Light" w:cs="Calibri Light"/>
                <w:color w:val="FFFFFF" w:themeColor="background1"/>
              </w:rPr>
              <w:t>[%]</w:t>
            </w:r>
          </w:p>
        </w:tc>
        <w:tc>
          <w:tcPr>
            <w:tcW w:w="737" w:type="dxa"/>
            <w:shd w:val="clear" w:color="auto" w:fill="1F497D"/>
            <w:noWrap/>
            <w:vAlign w:val="center"/>
            <w:hideMark/>
          </w:tcPr>
          <w:p w14:paraId="65F35C95"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38" w:type="dxa"/>
            <w:shd w:val="clear" w:color="auto" w:fill="1F497D"/>
            <w:noWrap/>
            <w:vAlign w:val="center"/>
            <w:hideMark/>
          </w:tcPr>
          <w:p w14:paraId="4433AB80"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38" w:type="dxa"/>
            <w:shd w:val="clear" w:color="auto" w:fill="1F497D"/>
            <w:noWrap/>
            <w:vAlign w:val="center"/>
            <w:hideMark/>
          </w:tcPr>
          <w:p w14:paraId="0D473282"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37" w:type="dxa"/>
            <w:shd w:val="clear" w:color="auto" w:fill="1F497D"/>
            <w:noWrap/>
            <w:vAlign w:val="center"/>
            <w:hideMark/>
          </w:tcPr>
          <w:p w14:paraId="7F695301"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38" w:type="dxa"/>
            <w:shd w:val="clear" w:color="auto" w:fill="1F497D"/>
            <w:noWrap/>
            <w:vAlign w:val="center"/>
            <w:hideMark/>
          </w:tcPr>
          <w:p w14:paraId="06A24CE5"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38" w:type="dxa"/>
            <w:shd w:val="clear" w:color="auto" w:fill="1F497D"/>
            <w:noWrap/>
            <w:vAlign w:val="center"/>
            <w:hideMark/>
          </w:tcPr>
          <w:p w14:paraId="1B6CA6AA"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38" w:type="dxa"/>
            <w:shd w:val="clear" w:color="auto" w:fill="1F497D"/>
            <w:noWrap/>
            <w:vAlign w:val="center"/>
            <w:hideMark/>
          </w:tcPr>
          <w:p w14:paraId="32428773"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37" w:type="dxa"/>
            <w:shd w:val="clear" w:color="auto" w:fill="1F497D"/>
            <w:noWrap/>
            <w:vAlign w:val="center"/>
            <w:hideMark/>
          </w:tcPr>
          <w:p w14:paraId="3D530964"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38" w:type="dxa"/>
            <w:shd w:val="clear" w:color="auto" w:fill="1F497D"/>
            <w:noWrap/>
            <w:vAlign w:val="center"/>
            <w:hideMark/>
          </w:tcPr>
          <w:p w14:paraId="359C072A"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38" w:type="dxa"/>
            <w:shd w:val="clear" w:color="auto" w:fill="1F497D"/>
            <w:noWrap/>
            <w:vAlign w:val="center"/>
            <w:hideMark/>
          </w:tcPr>
          <w:p w14:paraId="3DCB94D3"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38" w:type="dxa"/>
            <w:shd w:val="clear" w:color="auto" w:fill="1F497D"/>
            <w:noWrap/>
            <w:vAlign w:val="center"/>
            <w:hideMark/>
          </w:tcPr>
          <w:p w14:paraId="46192FD4" w14:textId="77777777" w:rsidR="002869A2" w:rsidRPr="004254D2" w:rsidRDefault="002869A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5666D1" w:rsidRPr="003B4324" w14:paraId="7E8741C0" w14:textId="77777777" w:rsidTr="005666D1">
        <w:trPr>
          <w:trHeight w:val="300"/>
        </w:trPr>
        <w:tc>
          <w:tcPr>
            <w:tcW w:w="1661" w:type="dxa"/>
            <w:shd w:val="clear" w:color="auto" w:fill="E7E6E6"/>
            <w:noWrap/>
            <w:vAlign w:val="bottom"/>
            <w:hideMark/>
          </w:tcPr>
          <w:p w14:paraId="4CD42A48" w14:textId="77777777" w:rsidR="005666D1" w:rsidRPr="004254D2" w:rsidRDefault="005666D1" w:rsidP="005666D1">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37" w:type="dxa"/>
            <w:noWrap/>
            <w:hideMark/>
          </w:tcPr>
          <w:p w14:paraId="0266E7CC" w14:textId="77777777" w:rsidR="005666D1" w:rsidRPr="004254D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26.3%</w:t>
            </w:r>
          </w:p>
        </w:tc>
        <w:tc>
          <w:tcPr>
            <w:tcW w:w="738" w:type="dxa"/>
            <w:noWrap/>
            <w:hideMark/>
          </w:tcPr>
          <w:p w14:paraId="40D73634"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29.4%</w:t>
            </w:r>
          </w:p>
        </w:tc>
        <w:tc>
          <w:tcPr>
            <w:tcW w:w="738" w:type="dxa"/>
            <w:noWrap/>
            <w:hideMark/>
          </w:tcPr>
          <w:p w14:paraId="1B475278"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29.1%</w:t>
            </w:r>
          </w:p>
        </w:tc>
        <w:tc>
          <w:tcPr>
            <w:tcW w:w="737" w:type="dxa"/>
            <w:noWrap/>
            <w:hideMark/>
          </w:tcPr>
          <w:p w14:paraId="1A338D74"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28.7%</w:t>
            </w:r>
          </w:p>
        </w:tc>
        <w:tc>
          <w:tcPr>
            <w:tcW w:w="738" w:type="dxa"/>
            <w:noWrap/>
            <w:hideMark/>
          </w:tcPr>
          <w:p w14:paraId="46C6560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28.4%</w:t>
            </w:r>
          </w:p>
        </w:tc>
        <w:tc>
          <w:tcPr>
            <w:tcW w:w="738" w:type="dxa"/>
            <w:noWrap/>
            <w:hideMark/>
          </w:tcPr>
          <w:p w14:paraId="41DF6844"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27.9%</w:t>
            </w:r>
          </w:p>
        </w:tc>
        <w:tc>
          <w:tcPr>
            <w:tcW w:w="738" w:type="dxa"/>
            <w:noWrap/>
            <w:hideMark/>
          </w:tcPr>
          <w:p w14:paraId="32AFE01B"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27.6%</w:t>
            </w:r>
          </w:p>
        </w:tc>
        <w:tc>
          <w:tcPr>
            <w:tcW w:w="737" w:type="dxa"/>
            <w:noWrap/>
            <w:hideMark/>
          </w:tcPr>
          <w:p w14:paraId="203538C3"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26.6%</w:t>
            </w:r>
          </w:p>
        </w:tc>
        <w:tc>
          <w:tcPr>
            <w:tcW w:w="738" w:type="dxa"/>
            <w:noWrap/>
            <w:hideMark/>
          </w:tcPr>
          <w:p w14:paraId="34CF593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25.2%</w:t>
            </w:r>
          </w:p>
        </w:tc>
        <w:tc>
          <w:tcPr>
            <w:tcW w:w="738" w:type="dxa"/>
            <w:noWrap/>
            <w:hideMark/>
          </w:tcPr>
          <w:p w14:paraId="119EA505"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24.2%</w:t>
            </w:r>
          </w:p>
        </w:tc>
        <w:tc>
          <w:tcPr>
            <w:tcW w:w="738" w:type="dxa"/>
            <w:noWrap/>
            <w:hideMark/>
          </w:tcPr>
          <w:p w14:paraId="0E2D64F8"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26.8%</w:t>
            </w:r>
          </w:p>
        </w:tc>
      </w:tr>
      <w:tr w:rsidR="005666D1" w:rsidRPr="003B4324" w14:paraId="2B8DC846" w14:textId="77777777" w:rsidTr="005666D1">
        <w:trPr>
          <w:trHeight w:val="300"/>
        </w:trPr>
        <w:tc>
          <w:tcPr>
            <w:tcW w:w="1661" w:type="dxa"/>
            <w:shd w:val="clear" w:color="auto" w:fill="E7E6E6"/>
            <w:noWrap/>
            <w:vAlign w:val="bottom"/>
            <w:hideMark/>
          </w:tcPr>
          <w:p w14:paraId="25F263C7" w14:textId="77777777" w:rsidR="005666D1" w:rsidRPr="004254D2" w:rsidRDefault="005666D1" w:rsidP="005666D1">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37" w:type="dxa"/>
            <w:noWrap/>
            <w:hideMark/>
          </w:tcPr>
          <w:p w14:paraId="5EEA9B0A" w14:textId="77777777" w:rsidR="005666D1" w:rsidRPr="004254D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26.3%</w:t>
            </w:r>
          </w:p>
        </w:tc>
        <w:tc>
          <w:tcPr>
            <w:tcW w:w="738" w:type="dxa"/>
            <w:noWrap/>
            <w:hideMark/>
          </w:tcPr>
          <w:p w14:paraId="694AAEFD"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29.8%</w:t>
            </w:r>
          </w:p>
        </w:tc>
        <w:tc>
          <w:tcPr>
            <w:tcW w:w="738" w:type="dxa"/>
            <w:noWrap/>
            <w:hideMark/>
          </w:tcPr>
          <w:p w14:paraId="71281060"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30.6%</w:t>
            </w:r>
          </w:p>
        </w:tc>
        <w:tc>
          <w:tcPr>
            <w:tcW w:w="737" w:type="dxa"/>
            <w:noWrap/>
            <w:hideMark/>
          </w:tcPr>
          <w:p w14:paraId="2909255E"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31.2%</w:t>
            </w:r>
          </w:p>
        </w:tc>
        <w:tc>
          <w:tcPr>
            <w:tcW w:w="738" w:type="dxa"/>
            <w:noWrap/>
            <w:hideMark/>
          </w:tcPr>
          <w:p w14:paraId="5EEB4F9A"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31.9%</w:t>
            </w:r>
          </w:p>
        </w:tc>
        <w:tc>
          <w:tcPr>
            <w:tcW w:w="738" w:type="dxa"/>
            <w:noWrap/>
            <w:hideMark/>
          </w:tcPr>
          <w:p w14:paraId="0459B997"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32.6%</w:t>
            </w:r>
          </w:p>
        </w:tc>
        <w:tc>
          <w:tcPr>
            <w:tcW w:w="738" w:type="dxa"/>
            <w:noWrap/>
            <w:hideMark/>
          </w:tcPr>
          <w:p w14:paraId="013185E3"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33.6%</w:t>
            </w:r>
          </w:p>
        </w:tc>
        <w:tc>
          <w:tcPr>
            <w:tcW w:w="737" w:type="dxa"/>
            <w:noWrap/>
            <w:hideMark/>
          </w:tcPr>
          <w:p w14:paraId="63EA197F"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40.8%</w:t>
            </w:r>
          </w:p>
        </w:tc>
        <w:tc>
          <w:tcPr>
            <w:tcW w:w="738" w:type="dxa"/>
            <w:noWrap/>
            <w:hideMark/>
          </w:tcPr>
          <w:p w14:paraId="26E11AA5"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45.1%</w:t>
            </w:r>
          </w:p>
        </w:tc>
        <w:tc>
          <w:tcPr>
            <w:tcW w:w="738" w:type="dxa"/>
            <w:noWrap/>
            <w:hideMark/>
          </w:tcPr>
          <w:p w14:paraId="24C7F466"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52.5%</w:t>
            </w:r>
          </w:p>
        </w:tc>
        <w:tc>
          <w:tcPr>
            <w:tcW w:w="738" w:type="dxa"/>
            <w:noWrap/>
            <w:hideMark/>
          </w:tcPr>
          <w:p w14:paraId="25F7B955"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61.8%</w:t>
            </w:r>
          </w:p>
        </w:tc>
      </w:tr>
      <w:tr w:rsidR="005666D1" w:rsidRPr="003B4324" w14:paraId="4B83A8D0" w14:textId="77777777" w:rsidTr="005666D1">
        <w:trPr>
          <w:trHeight w:val="300"/>
        </w:trPr>
        <w:tc>
          <w:tcPr>
            <w:tcW w:w="1661" w:type="dxa"/>
            <w:shd w:val="clear" w:color="auto" w:fill="E7E6E6"/>
            <w:noWrap/>
            <w:vAlign w:val="bottom"/>
            <w:hideMark/>
          </w:tcPr>
          <w:p w14:paraId="7948E976" w14:textId="77777777" w:rsidR="005666D1" w:rsidRPr="004254D2" w:rsidRDefault="005666D1" w:rsidP="005666D1">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37" w:type="dxa"/>
            <w:noWrap/>
            <w:hideMark/>
          </w:tcPr>
          <w:p w14:paraId="7D31515E" w14:textId="77777777" w:rsidR="005666D1" w:rsidRPr="004254D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26.3%</w:t>
            </w:r>
          </w:p>
        </w:tc>
        <w:tc>
          <w:tcPr>
            <w:tcW w:w="738" w:type="dxa"/>
            <w:noWrap/>
            <w:hideMark/>
          </w:tcPr>
          <w:p w14:paraId="680B8CF0"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29.8%</w:t>
            </w:r>
          </w:p>
        </w:tc>
        <w:tc>
          <w:tcPr>
            <w:tcW w:w="738" w:type="dxa"/>
            <w:noWrap/>
            <w:hideMark/>
          </w:tcPr>
          <w:p w14:paraId="1E2AD4E4"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30.6%</w:t>
            </w:r>
          </w:p>
        </w:tc>
        <w:tc>
          <w:tcPr>
            <w:tcW w:w="737" w:type="dxa"/>
            <w:noWrap/>
            <w:hideMark/>
          </w:tcPr>
          <w:p w14:paraId="6C35F26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31.2%</w:t>
            </w:r>
          </w:p>
        </w:tc>
        <w:tc>
          <w:tcPr>
            <w:tcW w:w="738" w:type="dxa"/>
            <w:noWrap/>
            <w:hideMark/>
          </w:tcPr>
          <w:p w14:paraId="6CA1A033"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31.9%</w:t>
            </w:r>
          </w:p>
        </w:tc>
        <w:tc>
          <w:tcPr>
            <w:tcW w:w="738" w:type="dxa"/>
            <w:noWrap/>
            <w:hideMark/>
          </w:tcPr>
          <w:p w14:paraId="0F8BC0B0"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32.6%</w:t>
            </w:r>
          </w:p>
        </w:tc>
        <w:tc>
          <w:tcPr>
            <w:tcW w:w="738" w:type="dxa"/>
            <w:noWrap/>
            <w:hideMark/>
          </w:tcPr>
          <w:p w14:paraId="7F6BD2A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33.6%</w:t>
            </w:r>
          </w:p>
        </w:tc>
        <w:tc>
          <w:tcPr>
            <w:tcW w:w="737" w:type="dxa"/>
            <w:noWrap/>
            <w:hideMark/>
          </w:tcPr>
          <w:p w14:paraId="667D9C7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40.8%</w:t>
            </w:r>
          </w:p>
        </w:tc>
        <w:tc>
          <w:tcPr>
            <w:tcW w:w="738" w:type="dxa"/>
            <w:noWrap/>
            <w:hideMark/>
          </w:tcPr>
          <w:p w14:paraId="7BE8AA31"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45.3%</w:t>
            </w:r>
          </w:p>
        </w:tc>
        <w:tc>
          <w:tcPr>
            <w:tcW w:w="738" w:type="dxa"/>
            <w:noWrap/>
            <w:hideMark/>
          </w:tcPr>
          <w:p w14:paraId="27D60AA5"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51.6%</w:t>
            </w:r>
          </w:p>
        </w:tc>
        <w:tc>
          <w:tcPr>
            <w:tcW w:w="738" w:type="dxa"/>
            <w:noWrap/>
            <w:hideMark/>
          </w:tcPr>
          <w:p w14:paraId="596324B2"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59.5%</w:t>
            </w:r>
          </w:p>
        </w:tc>
      </w:tr>
    </w:tbl>
    <w:p w14:paraId="6B069321" w14:textId="58EA2A7F" w:rsidR="003573BE" w:rsidRDefault="003573BE" w:rsidP="0087794A">
      <w:pPr>
        <w:pStyle w:val="Caption"/>
        <w:spacing w:before="200"/>
      </w:pPr>
      <w:bookmarkStart w:id="742" w:name="_Toc153545110"/>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17</w:t>
      </w:r>
      <w:r w:rsidR="006E0533">
        <w:rPr>
          <w:noProof/>
        </w:rPr>
        <w:fldChar w:fldCharType="end"/>
      </w:r>
      <w:r w:rsidRPr="003573BE">
        <w:t>: Share of RES in Electricity Generation [%]</w:t>
      </w:r>
      <w:bookmarkEnd w:id="742"/>
    </w:p>
    <w:tbl>
      <w:tblPr>
        <w:tblStyle w:val="TableGrid"/>
        <w:tblW w:w="9776" w:type="dxa"/>
        <w:tblLayout w:type="fixed"/>
        <w:tblLook w:val="04A0" w:firstRow="1" w:lastRow="0" w:firstColumn="1" w:lastColumn="0" w:noHBand="0" w:noVBand="1"/>
      </w:tblPr>
      <w:tblGrid>
        <w:gridCol w:w="1661"/>
        <w:gridCol w:w="737"/>
        <w:gridCol w:w="738"/>
        <w:gridCol w:w="738"/>
        <w:gridCol w:w="737"/>
        <w:gridCol w:w="738"/>
        <w:gridCol w:w="738"/>
        <w:gridCol w:w="738"/>
        <w:gridCol w:w="737"/>
        <w:gridCol w:w="738"/>
        <w:gridCol w:w="738"/>
        <w:gridCol w:w="738"/>
      </w:tblGrid>
      <w:tr w:rsidR="005666D1" w:rsidRPr="003B4324" w14:paraId="17D7A505" w14:textId="77777777" w:rsidTr="007F4A03">
        <w:trPr>
          <w:trHeight w:val="300"/>
        </w:trPr>
        <w:tc>
          <w:tcPr>
            <w:tcW w:w="1661" w:type="dxa"/>
            <w:shd w:val="clear" w:color="auto" w:fill="404040"/>
            <w:noWrap/>
            <w:vAlign w:val="center"/>
            <w:hideMark/>
          </w:tcPr>
          <w:p w14:paraId="5B021A46" w14:textId="77777777" w:rsidR="005666D1" w:rsidRPr="004254D2" w:rsidRDefault="005666D1" w:rsidP="007F4A03">
            <w:pPr>
              <w:spacing w:after="0" w:line="240" w:lineRule="auto"/>
              <w:jc w:val="center"/>
              <w:rPr>
                <w:rFonts w:ascii="Calibri Light" w:hAnsi="Calibri Light" w:cs="Calibri Light"/>
                <w:color w:val="000000" w:themeColor="text1"/>
              </w:rPr>
            </w:pPr>
            <w:r w:rsidRPr="005666D1">
              <w:rPr>
                <w:rFonts w:ascii="Calibri Light" w:hAnsi="Calibri Light" w:cs="Calibri Light"/>
                <w:color w:val="FFFFFF" w:themeColor="background1"/>
              </w:rPr>
              <w:t xml:space="preserve">Share of RES in Electricity Generation </w:t>
            </w:r>
            <w:r w:rsidRPr="00AE1A39">
              <w:rPr>
                <w:rFonts w:ascii="Calibri Light" w:hAnsi="Calibri Light" w:cs="Calibri Light"/>
                <w:color w:val="FFFFFF" w:themeColor="background1"/>
              </w:rPr>
              <w:t>[%]</w:t>
            </w:r>
          </w:p>
        </w:tc>
        <w:tc>
          <w:tcPr>
            <w:tcW w:w="737" w:type="dxa"/>
            <w:shd w:val="clear" w:color="auto" w:fill="1F497D"/>
            <w:noWrap/>
            <w:vAlign w:val="center"/>
            <w:hideMark/>
          </w:tcPr>
          <w:p w14:paraId="7AB6DED8"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38" w:type="dxa"/>
            <w:shd w:val="clear" w:color="auto" w:fill="1F497D"/>
            <w:noWrap/>
            <w:vAlign w:val="center"/>
            <w:hideMark/>
          </w:tcPr>
          <w:p w14:paraId="5490087E"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38" w:type="dxa"/>
            <w:shd w:val="clear" w:color="auto" w:fill="1F497D"/>
            <w:noWrap/>
            <w:vAlign w:val="center"/>
            <w:hideMark/>
          </w:tcPr>
          <w:p w14:paraId="34A2A5B6"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37" w:type="dxa"/>
            <w:shd w:val="clear" w:color="auto" w:fill="1F497D"/>
            <w:noWrap/>
            <w:vAlign w:val="center"/>
            <w:hideMark/>
          </w:tcPr>
          <w:p w14:paraId="5EBC0C16"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38" w:type="dxa"/>
            <w:shd w:val="clear" w:color="auto" w:fill="1F497D"/>
            <w:noWrap/>
            <w:vAlign w:val="center"/>
            <w:hideMark/>
          </w:tcPr>
          <w:p w14:paraId="6F288114"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38" w:type="dxa"/>
            <w:shd w:val="clear" w:color="auto" w:fill="1F497D"/>
            <w:noWrap/>
            <w:vAlign w:val="center"/>
            <w:hideMark/>
          </w:tcPr>
          <w:p w14:paraId="7FECDB57"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38" w:type="dxa"/>
            <w:shd w:val="clear" w:color="auto" w:fill="1F497D"/>
            <w:noWrap/>
            <w:vAlign w:val="center"/>
            <w:hideMark/>
          </w:tcPr>
          <w:p w14:paraId="3CA79B35"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37" w:type="dxa"/>
            <w:shd w:val="clear" w:color="auto" w:fill="1F497D"/>
            <w:noWrap/>
            <w:vAlign w:val="center"/>
            <w:hideMark/>
          </w:tcPr>
          <w:p w14:paraId="04FA0AD0"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38" w:type="dxa"/>
            <w:shd w:val="clear" w:color="auto" w:fill="1F497D"/>
            <w:noWrap/>
            <w:vAlign w:val="center"/>
            <w:hideMark/>
          </w:tcPr>
          <w:p w14:paraId="077D76C7"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38" w:type="dxa"/>
            <w:shd w:val="clear" w:color="auto" w:fill="1F497D"/>
            <w:noWrap/>
            <w:vAlign w:val="center"/>
            <w:hideMark/>
          </w:tcPr>
          <w:p w14:paraId="73426005"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38" w:type="dxa"/>
            <w:shd w:val="clear" w:color="auto" w:fill="1F497D"/>
            <w:noWrap/>
            <w:vAlign w:val="center"/>
            <w:hideMark/>
          </w:tcPr>
          <w:p w14:paraId="546A94B4"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5666D1" w:rsidRPr="003B4324" w14:paraId="35065777" w14:textId="77777777" w:rsidTr="007F4A03">
        <w:trPr>
          <w:trHeight w:val="300"/>
        </w:trPr>
        <w:tc>
          <w:tcPr>
            <w:tcW w:w="1661" w:type="dxa"/>
            <w:shd w:val="clear" w:color="auto" w:fill="E7E6E6"/>
            <w:noWrap/>
            <w:vAlign w:val="bottom"/>
            <w:hideMark/>
          </w:tcPr>
          <w:p w14:paraId="46E26C4F" w14:textId="77777777" w:rsidR="005666D1" w:rsidRPr="004254D2" w:rsidRDefault="005666D1" w:rsidP="005666D1">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37" w:type="dxa"/>
            <w:noWrap/>
            <w:hideMark/>
          </w:tcPr>
          <w:p w14:paraId="7761F514" w14:textId="77777777" w:rsidR="005666D1" w:rsidRPr="004254D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29.0%</w:t>
            </w:r>
          </w:p>
        </w:tc>
        <w:tc>
          <w:tcPr>
            <w:tcW w:w="738" w:type="dxa"/>
            <w:noWrap/>
            <w:hideMark/>
          </w:tcPr>
          <w:p w14:paraId="0403ED11"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30.9%</w:t>
            </w:r>
          </w:p>
        </w:tc>
        <w:tc>
          <w:tcPr>
            <w:tcW w:w="738" w:type="dxa"/>
            <w:noWrap/>
            <w:hideMark/>
          </w:tcPr>
          <w:p w14:paraId="25AA4EC3"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30.5%</w:t>
            </w:r>
          </w:p>
        </w:tc>
        <w:tc>
          <w:tcPr>
            <w:tcW w:w="737" w:type="dxa"/>
            <w:noWrap/>
            <w:hideMark/>
          </w:tcPr>
          <w:p w14:paraId="119C616A"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30.4%</w:t>
            </w:r>
          </w:p>
        </w:tc>
        <w:tc>
          <w:tcPr>
            <w:tcW w:w="738" w:type="dxa"/>
            <w:noWrap/>
            <w:hideMark/>
          </w:tcPr>
          <w:p w14:paraId="3751D96E"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29.9%</w:t>
            </w:r>
          </w:p>
        </w:tc>
        <w:tc>
          <w:tcPr>
            <w:tcW w:w="738" w:type="dxa"/>
            <w:noWrap/>
            <w:hideMark/>
          </w:tcPr>
          <w:p w14:paraId="5A0F1418"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29.4%</w:t>
            </w:r>
          </w:p>
        </w:tc>
        <w:tc>
          <w:tcPr>
            <w:tcW w:w="738" w:type="dxa"/>
            <w:noWrap/>
            <w:hideMark/>
          </w:tcPr>
          <w:p w14:paraId="0F82D355"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29.0%</w:t>
            </w:r>
          </w:p>
        </w:tc>
        <w:tc>
          <w:tcPr>
            <w:tcW w:w="737" w:type="dxa"/>
            <w:noWrap/>
            <w:hideMark/>
          </w:tcPr>
          <w:p w14:paraId="28F22BF6"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28.6%</w:t>
            </w:r>
          </w:p>
        </w:tc>
        <w:tc>
          <w:tcPr>
            <w:tcW w:w="738" w:type="dxa"/>
            <w:noWrap/>
            <w:hideMark/>
          </w:tcPr>
          <w:p w14:paraId="6D8D4C2A"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29.9%</w:t>
            </w:r>
          </w:p>
        </w:tc>
        <w:tc>
          <w:tcPr>
            <w:tcW w:w="738" w:type="dxa"/>
            <w:noWrap/>
            <w:hideMark/>
          </w:tcPr>
          <w:p w14:paraId="60AFD241"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29.0%</w:t>
            </w:r>
          </w:p>
        </w:tc>
        <w:tc>
          <w:tcPr>
            <w:tcW w:w="738" w:type="dxa"/>
            <w:noWrap/>
            <w:hideMark/>
          </w:tcPr>
          <w:p w14:paraId="5421F023"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38.4%</w:t>
            </w:r>
          </w:p>
        </w:tc>
      </w:tr>
      <w:tr w:rsidR="005666D1" w:rsidRPr="003B4324" w14:paraId="4080FDDF" w14:textId="77777777" w:rsidTr="007F4A03">
        <w:trPr>
          <w:trHeight w:val="300"/>
        </w:trPr>
        <w:tc>
          <w:tcPr>
            <w:tcW w:w="1661" w:type="dxa"/>
            <w:shd w:val="clear" w:color="auto" w:fill="E7E6E6"/>
            <w:noWrap/>
            <w:vAlign w:val="bottom"/>
            <w:hideMark/>
          </w:tcPr>
          <w:p w14:paraId="4F564785" w14:textId="77777777" w:rsidR="005666D1" w:rsidRPr="004254D2" w:rsidRDefault="005666D1" w:rsidP="005666D1">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37" w:type="dxa"/>
            <w:noWrap/>
            <w:hideMark/>
          </w:tcPr>
          <w:p w14:paraId="3C02AA9C" w14:textId="77777777" w:rsidR="005666D1" w:rsidRPr="004254D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29.0%</w:t>
            </w:r>
          </w:p>
        </w:tc>
        <w:tc>
          <w:tcPr>
            <w:tcW w:w="738" w:type="dxa"/>
            <w:noWrap/>
            <w:hideMark/>
          </w:tcPr>
          <w:p w14:paraId="4D57EEB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34.7%</w:t>
            </w:r>
          </w:p>
        </w:tc>
        <w:tc>
          <w:tcPr>
            <w:tcW w:w="738" w:type="dxa"/>
            <w:noWrap/>
            <w:hideMark/>
          </w:tcPr>
          <w:p w14:paraId="416E170F"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36.7%</w:t>
            </w:r>
          </w:p>
        </w:tc>
        <w:tc>
          <w:tcPr>
            <w:tcW w:w="737" w:type="dxa"/>
            <w:noWrap/>
            <w:hideMark/>
          </w:tcPr>
          <w:p w14:paraId="37776AD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38.0%</w:t>
            </w:r>
          </w:p>
        </w:tc>
        <w:tc>
          <w:tcPr>
            <w:tcW w:w="738" w:type="dxa"/>
            <w:noWrap/>
            <w:hideMark/>
          </w:tcPr>
          <w:p w14:paraId="7B4ADCD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w:t>
            </w:r>
          </w:p>
        </w:tc>
        <w:tc>
          <w:tcPr>
            <w:tcW w:w="738" w:type="dxa"/>
            <w:noWrap/>
            <w:hideMark/>
          </w:tcPr>
          <w:p w14:paraId="02075EC2"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w:t>
            </w:r>
          </w:p>
        </w:tc>
        <w:tc>
          <w:tcPr>
            <w:tcW w:w="738" w:type="dxa"/>
            <w:noWrap/>
            <w:hideMark/>
          </w:tcPr>
          <w:p w14:paraId="6FCAD792"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45.2%</w:t>
            </w:r>
          </w:p>
        </w:tc>
        <w:tc>
          <w:tcPr>
            <w:tcW w:w="737" w:type="dxa"/>
            <w:noWrap/>
            <w:hideMark/>
          </w:tcPr>
          <w:p w14:paraId="53BCE47E"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60.2%</w:t>
            </w:r>
          </w:p>
        </w:tc>
        <w:tc>
          <w:tcPr>
            <w:tcW w:w="738" w:type="dxa"/>
            <w:noWrap/>
            <w:hideMark/>
          </w:tcPr>
          <w:p w14:paraId="10968846"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70.3%</w:t>
            </w:r>
          </w:p>
        </w:tc>
        <w:tc>
          <w:tcPr>
            <w:tcW w:w="738" w:type="dxa"/>
            <w:noWrap/>
            <w:hideMark/>
          </w:tcPr>
          <w:p w14:paraId="79F69861"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82.1%</w:t>
            </w:r>
          </w:p>
        </w:tc>
        <w:tc>
          <w:tcPr>
            <w:tcW w:w="738" w:type="dxa"/>
            <w:noWrap/>
            <w:hideMark/>
          </w:tcPr>
          <w:p w14:paraId="0440AEDD"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93.9%</w:t>
            </w:r>
          </w:p>
        </w:tc>
      </w:tr>
      <w:tr w:rsidR="005666D1" w:rsidRPr="003B4324" w14:paraId="242DF77B" w14:textId="77777777" w:rsidTr="007F4A03">
        <w:trPr>
          <w:trHeight w:val="300"/>
        </w:trPr>
        <w:tc>
          <w:tcPr>
            <w:tcW w:w="1661" w:type="dxa"/>
            <w:shd w:val="clear" w:color="auto" w:fill="E7E6E6"/>
            <w:noWrap/>
            <w:vAlign w:val="bottom"/>
            <w:hideMark/>
          </w:tcPr>
          <w:p w14:paraId="2F982696" w14:textId="77777777" w:rsidR="005666D1" w:rsidRPr="004254D2" w:rsidRDefault="005666D1" w:rsidP="005666D1">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37" w:type="dxa"/>
            <w:noWrap/>
            <w:hideMark/>
          </w:tcPr>
          <w:p w14:paraId="7B0D0269" w14:textId="77777777" w:rsidR="005666D1" w:rsidRPr="004254D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29.0%</w:t>
            </w:r>
          </w:p>
        </w:tc>
        <w:tc>
          <w:tcPr>
            <w:tcW w:w="738" w:type="dxa"/>
            <w:noWrap/>
            <w:hideMark/>
          </w:tcPr>
          <w:p w14:paraId="3D225FA5"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34.7%</w:t>
            </w:r>
          </w:p>
        </w:tc>
        <w:tc>
          <w:tcPr>
            <w:tcW w:w="738" w:type="dxa"/>
            <w:noWrap/>
            <w:hideMark/>
          </w:tcPr>
          <w:p w14:paraId="6ABC0D30"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36.7%</w:t>
            </w:r>
          </w:p>
        </w:tc>
        <w:tc>
          <w:tcPr>
            <w:tcW w:w="737" w:type="dxa"/>
            <w:noWrap/>
            <w:hideMark/>
          </w:tcPr>
          <w:p w14:paraId="4B52D8E2"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38.0%</w:t>
            </w:r>
          </w:p>
        </w:tc>
        <w:tc>
          <w:tcPr>
            <w:tcW w:w="738" w:type="dxa"/>
            <w:noWrap/>
            <w:hideMark/>
          </w:tcPr>
          <w:p w14:paraId="445725E6"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39.8%</w:t>
            </w:r>
          </w:p>
        </w:tc>
        <w:tc>
          <w:tcPr>
            <w:tcW w:w="738" w:type="dxa"/>
            <w:noWrap/>
            <w:hideMark/>
          </w:tcPr>
          <w:p w14:paraId="5E55D38D"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w:t>
            </w:r>
          </w:p>
        </w:tc>
        <w:tc>
          <w:tcPr>
            <w:tcW w:w="738" w:type="dxa"/>
            <w:noWrap/>
            <w:hideMark/>
          </w:tcPr>
          <w:p w14:paraId="1DA1B0C0"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45.2%</w:t>
            </w:r>
          </w:p>
        </w:tc>
        <w:tc>
          <w:tcPr>
            <w:tcW w:w="737" w:type="dxa"/>
            <w:noWrap/>
            <w:hideMark/>
          </w:tcPr>
          <w:p w14:paraId="5F067823"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60.3%</w:t>
            </w:r>
          </w:p>
        </w:tc>
        <w:tc>
          <w:tcPr>
            <w:tcW w:w="738" w:type="dxa"/>
            <w:noWrap/>
            <w:hideMark/>
          </w:tcPr>
          <w:p w14:paraId="163BAE02"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70.4%</w:t>
            </w:r>
          </w:p>
        </w:tc>
        <w:tc>
          <w:tcPr>
            <w:tcW w:w="738" w:type="dxa"/>
            <w:noWrap/>
            <w:hideMark/>
          </w:tcPr>
          <w:p w14:paraId="0A8F4DA9"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78.4%</w:t>
            </w:r>
          </w:p>
        </w:tc>
        <w:tc>
          <w:tcPr>
            <w:tcW w:w="738" w:type="dxa"/>
            <w:noWrap/>
            <w:hideMark/>
          </w:tcPr>
          <w:p w14:paraId="36A2F216" w14:textId="77777777" w:rsidR="005666D1" w:rsidRPr="002574F2" w:rsidRDefault="005666D1" w:rsidP="005666D1">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87.4%</w:t>
            </w:r>
          </w:p>
        </w:tc>
      </w:tr>
    </w:tbl>
    <w:p w14:paraId="1723B543" w14:textId="62528C98" w:rsidR="003573BE" w:rsidRDefault="003573BE" w:rsidP="0087794A">
      <w:pPr>
        <w:pStyle w:val="Caption"/>
        <w:spacing w:before="200"/>
      </w:pPr>
      <w:bookmarkStart w:id="743" w:name="_Toc153545111"/>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18</w:t>
      </w:r>
      <w:r w:rsidR="006E0533">
        <w:rPr>
          <w:noProof/>
        </w:rPr>
        <w:fldChar w:fldCharType="end"/>
      </w:r>
      <w:r w:rsidRPr="003573BE">
        <w:t>: Share of RES in Transport (without multipliers) [%]</w:t>
      </w:r>
      <w:bookmarkEnd w:id="743"/>
    </w:p>
    <w:tbl>
      <w:tblPr>
        <w:tblStyle w:val="TableGrid"/>
        <w:tblW w:w="9776" w:type="dxa"/>
        <w:tblLayout w:type="fixed"/>
        <w:tblLook w:val="04A0" w:firstRow="1" w:lastRow="0" w:firstColumn="1" w:lastColumn="0" w:noHBand="0" w:noVBand="1"/>
      </w:tblPr>
      <w:tblGrid>
        <w:gridCol w:w="1661"/>
        <w:gridCol w:w="737"/>
        <w:gridCol w:w="738"/>
        <w:gridCol w:w="738"/>
        <w:gridCol w:w="737"/>
        <w:gridCol w:w="738"/>
        <w:gridCol w:w="738"/>
        <w:gridCol w:w="738"/>
        <w:gridCol w:w="737"/>
        <w:gridCol w:w="738"/>
        <w:gridCol w:w="738"/>
        <w:gridCol w:w="738"/>
      </w:tblGrid>
      <w:tr w:rsidR="005666D1" w:rsidRPr="003B4324" w14:paraId="0C22254A" w14:textId="77777777" w:rsidTr="007F4A03">
        <w:trPr>
          <w:trHeight w:val="300"/>
        </w:trPr>
        <w:tc>
          <w:tcPr>
            <w:tcW w:w="1661" w:type="dxa"/>
            <w:shd w:val="clear" w:color="auto" w:fill="404040"/>
            <w:noWrap/>
            <w:vAlign w:val="center"/>
            <w:hideMark/>
          </w:tcPr>
          <w:p w14:paraId="3935CDA6" w14:textId="77777777" w:rsidR="005666D1" w:rsidRPr="004254D2" w:rsidRDefault="005666D1" w:rsidP="007F4A03">
            <w:pPr>
              <w:spacing w:after="0" w:line="240" w:lineRule="auto"/>
              <w:jc w:val="center"/>
              <w:rPr>
                <w:rFonts w:ascii="Calibri Light" w:hAnsi="Calibri Light" w:cs="Calibri Light"/>
                <w:color w:val="000000" w:themeColor="text1"/>
              </w:rPr>
            </w:pPr>
            <w:r w:rsidRPr="005666D1">
              <w:rPr>
                <w:rFonts w:ascii="Calibri Light" w:hAnsi="Calibri Light" w:cs="Calibri Light"/>
                <w:color w:val="FFFFFF" w:themeColor="background1"/>
              </w:rPr>
              <w:t xml:space="preserve">Share of RES in Transport (without multipliers) </w:t>
            </w:r>
            <w:r w:rsidRPr="00AE1A39">
              <w:rPr>
                <w:rFonts w:ascii="Calibri Light" w:hAnsi="Calibri Light" w:cs="Calibri Light"/>
                <w:color w:val="FFFFFF" w:themeColor="background1"/>
              </w:rPr>
              <w:t>[%]</w:t>
            </w:r>
          </w:p>
        </w:tc>
        <w:tc>
          <w:tcPr>
            <w:tcW w:w="737" w:type="dxa"/>
            <w:shd w:val="clear" w:color="auto" w:fill="1F497D"/>
            <w:noWrap/>
            <w:vAlign w:val="center"/>
            <w:hideMark/>
          </w:tcPr>
          <w:p w14:paraId="601F20DC"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38" w:type="dxa"/>
            <w:shd w:val="clear" w:color="auto" w:fill="1F497D"/>
            <w:noWrap/>
            <w:vAlign w:val="center"/>
            <w:hideMark/>
          </w:tcPr>
          <w:p w14:paraId="253C83AC"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38" w:type="dxa"/>
            <w:shd w:val="clear" w:color="auto" w:fill="1F497D"/>
            <w:noWrap/>
            <w:vAlign w:val="center"/>
            <w:hideMark/>
          </w:tcPr>
          <w:p w14:paraId="1D94189B"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37" w:type="dxa"/>
            <w:shd w:val="clear" w:color="auto" w:fill="1F497D"/>
            <w:noWrap/>
            <w:vAlign w:val="center"/>
            <w:hideMark/>
          </w:tcPr>
          <w:p w14:paraId="5580B1D9"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38" w:type="dxa"/>
            <w:shd w:val="clear" w:color="auto" w:fill="1F497D"/>
            <w:noWrap/>
            <w:vAlign w:val="center"/>
            <w:hideMark/>
          </w:tcPr>
          <w:p w14:paraId="4533ACDF"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38" w:type="dxa"/>
            <w:shd w:val="clear" w:color="auto" w:fill="1F497D"/>
            <w:noWrap/>
            <w:vAlign w:val="center"/>
            <w:hideMark/>
          </w:tcPr>
          <w:p w14:paraId="6A7BB516"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38" w:type="dxa"/>
            <w:shd w:val="clear" w:color="auto" w:fill="1F497D"/>
            <w:noWrap/>
            <w:vAlign w:val="center"/>
            <w:hideMark/>
          </w:tcPr>
          <w:p w14:paraId="26DEF12C"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37" w:type="dxa"/>
            <w:shd w:val="clear" w:color="auto" w:fill="1F497D"/>
            <w:noWrap/>
            <w:vAlign w:val="center"/>
            <w:hideMark/>
          </w:tcPr>
          <w:p w14:paraId="51D6F934"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38" w:type="dxa"/>
            <w:shd w:val="clear" w:color="auto" w:fill="1F497D"/>
            <w:noWrap/>
            <w:vAlign w:val="center"/>
            <w:hideMark/>
          </w:tcPr>
          <w:p w14:paraId="3F232006"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38" w:type="dxa"/>
            <w:shd w:val="clear" w:color="auto" w:fill="1F497D"/>
            <w:noWrap/>
            <w:vAlign w:val="center"/>
            <w:hideMark/>
          </w:tcPr>
          <w:p w14:paraId="419061BE"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38" w:type="dxa"/>
            <w:shd w:val="clear" w:color="auto" w:fill="1F497D"/>
            <w:noWrap/>
            <w:vAlign w:val="center"/>
            <w:hideMark/>
          </w:tcPr>
          <w:p w14:paraId="5B028E83" w14:textId="77777777" w:rsidR="005666D1" w:rsidRPr="004254D2" w:rsidRDefault="005666D1"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7870E0" w:rsidRPr="003B4324" w14:paraId="3D207CBF" w14:textId="77777777" w:rsidTr="000007D2">
        <w:trPr>
          <w:trHeight w:val="300"/>
        </w:trPr>
        <w:tc>
          <w:tcPr>
            <w:tcW w:w="1661" w:type="dxa"/>
            <w:shd w:val="clear" w:color="auto" w:fill="E7E6E6"/>
            <w:noWrap/>
            <w:vAlign w:val="bottom"/>
            <w:hideMark/>
          </w:tcPr>
          <w:p w14:paraId="14FD385D"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37" w:type="dxa"/>
            <w:noWrap/>
            <w:vAlign w:val="bottom"/>
            <w:hideMark/>
          </w:tcPr>
          <w:p w14:paraId="51680F44"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w:t>
            </w:r>
          </w:p>
        </w:tc>
        <w:tc>
          <w:tcPr>
            <w:tcW w:w="738" w:type="dxa"/>
            <w:noWrap/>
            <w:vAlign w:val="bottom"/>
            <w:hideMark/>
          </w:tcPr>
          <w:p w14:paraId="201E887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w:t>
            </w:r>
          </w:p>
        </w:tc>
        <w:tc>
          <w:tcPr>
            <w:tcW w:w="738" w:type="dxa"/>
            <w:noWrap/>
            <w:vAlign w:val="bottom"/>
            <w:hideMark/>
          </w:tcPr>
          <w:p w14:paraId="4E66BC4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w:t>
            </w:r>
          </w:p>
        </w:tc>
        <w:tc>
          <w:tcPr>
            <w:tcW w:w="737" w:type="dxa"/>
            <w:noWrap/>
            <w:vAlign w:val="bottom"/>
            <w:hideMark/>
          </w:tcPr>
          <w:p w14:paraId="5652220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w:t>
            </w:r>
          </w:p>
        </w:tc>
        <w:tc>
          <w:tcPr>
            <w:tcW w:w="738" w:type="dxa"/>
            <w:noWrap/>
            <w:vAlign w:val="bottom"/>
            <w:hideMark/>
          </w:tcPr>
          <w:p w14:paraId="27F104E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w:t>
            </w:r>
          </w:p>
        </w:tc>
        <w:tc>
          <w:tcPr>
            <w:tcW w:w="738" w:type="dxa"/>
            <w:noWrap/>
            <w:vAlign w:val="bottom"/>
            <w:hideMark/>
          </w:tcPr>
          <w:p w14:paraId="64568E0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w:t>
            </w:r>
          </w:p>
        </w:tc>
        <w:tc>
          <w:tcPr>
            <w:tcW w:w="738" w:type="dxa"/>
            <w:noWrap/>
            <w:vAlign w:val="bottom"/>
            <w:hideMark/>
          </w:tcPr>
          <w:p w14:paraId="67946B0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w:t>
            </w:r>
          </w:p>
        </w:tc>
        <w:tc>
          <w:tcPr>
            <w:tcW w:w="737" w:type="dxa"/>
            <w:noWrap/>
            <w:vAlign w:val="bottom"/>
            <w:hideMark/>
          </w:tcPr>
          <w:p w14:paraId="43DAD15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w:t>
            </w:r>
          </w:p>
        </w:tc>
        <w:tc>
          <w:tcPr>
            <w:tcW w:w="738" w:type="dxa"/>
            <w:noWrap/>
            <w:vAlign w:val="bottom"/>
            <w:hideMark/>
          </w:tcPr>
          <w:p w14:paraId="3C9EFD95"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738" w:type="dxa"/>
            <w:noWrap/>
            <w:vAlign w:val="bottom"/>
            <w:hideMark/>
          </w:tcPr>
          <w:p w14:paraId="3A730F5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738" w:type="dxa"/>
            <w:noWrap/>
            <w:vAlign w:val="bottom"/>
            <w:hideMark/>
          </w:tcPr>
          <w:p w14:paraId="6B1FC6F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4.9%</w:t>
            </w:r>
          </w:p>
        </w:tc>
      </w:tr>
      <w:tr w:rsidR="007870E0" w:rsidRPr="003B4324" w14:paraId="6E821CD5" w14:textId="77777777" w:rsidTr="000007D2">
        <w:trPr>
          <w:trHeight w:val="300"/>
        </w:trPr>
        <w:tc>
          <w:tcPr>
            <w:tcW w:w="1661" w:type="dxa"/>
            <w:shd w:val="clear" w:color="auto" w:fill="E7E6E6"/>
            <w:noWrap/>
            <w:vAlign w:val="bottom"/>
            <w:hideMark/>
          </w:tcPr>
          <w:p w14:paraId="225E79D7"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37" w:type="dxa"/>
            <w:noWrap/>
            <w:vAlign w:val="bottom"/>
            <w:hideMark/>
          </w:tcPr>
          <w:p w14:paraId="1D74E767"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w:t>
            </w:r>
          </w:p>
        </w:tc>
        <w:tc>
          <w:tcPr>
            <w:tcW w:w="738" w:type="dxa"/>
            <w:noWrap/>
            <w:vAlign w:val="bottom"/>
            <w:hideMark/>
          </w:tcPr>
          <w:p w14:paraId="28DE1A0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w:t>
            </w:r>
          </w:p>
        </w:tc>
        <w:tc>
          <w:tcPr>
            <w:tcW w:w="738" w:type="dxa"/>
            <w:noWrap/>
            <w:vAlign w:val="bottom"/>
            <w:hideMark/>
          </w:tcPr>
          <w:p w14:paraId="6B9986E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w:t>
            </w:r>
          </w:p>
        </w:tc>
        <w:tc>
          <w:tcPr>
            <w:tcW w:w="737" w:type="dxa"/>
            <w:noWrap/>
            <w:vAlign w:val="bottom"/>
            <w:hideMark/>
          </w:tcPr>
          <w:p w14:paraId="7BD988F5"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w:t>
            </w:r>
          </w:p>
        </w:tc>
        <w:tc>
          <w:tcPr>
            <w:tcW w:w="738" w:type="dxa"/>
            <w:noWrap/>
            <w:vAlign w:val="bottom"/>
            <w:hideMark/>
          </w:tcPr>
          <w:p w14:paraId="636829F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w:t>
            </w:r>
          </w:p>
        </w:tc>
        <w:tc>
          <w:tcPr>
            <w:tcW w:w="738" w:type="dxa"/>
            <w:noWrap/>
            <w:vAlign w:val="bottom"/>
            <w:hideMark/>
          </w:tcPr>
          <w:p w14:paraId="2E1FF36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w:t>
            </w:r>
          </w:p>
        </w:tc>
        <w:tc>
          <w:tcPr>
            <w:tcW w:w="738" w:type="dxa"/>
            <w:noWrap/>
            <w:vAlign w:val="bottom"/>
            <w:hideMark/>
          </w:tcPr>
          <w:p w14:paraId="1AC89E9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w:t>
            </w:r>
          </w:p>
        </w:tc>
        <w:tc>
          <w:tcPr>
            <w:tcW w:w="737" w:type="dxa"/>
            <w:noWrap/>
            <w:vAlign w:val="bottom"/>
            <w:hideMark/>
          </w:tcPr>
          <w:p w14:paraId="1D79C6B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5.3%</w:t>
            </w:r>
          </w:p>
        </w:tc>
        <w:tc>
          <w:tcPr>
            <w:tcW w:w="738" w:type="dxa"/>
            <w:noWrap/>
            <w:vAlign w:val="bottom"/>
            <w:hideMark/>
          </w:tcPr>
          <w:p w14:paraId="63C9914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9.9%</w:t>
            </w:r>
          </w:p>
        </w:tc>
        <w:tc>
          <w:tcPr>
            <w:tcW w:w="738" w:type="dxa"/>
            <w:noWrap/>
            <w:vAlign w:val="bottom"/>
            <w:hideMark/>
          </w:tcPr>
          <w:p w14:paraId="46D83EF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23.9%</w:t>
            </w:r>
          </w:p>
        </w:tc>
        <w:tc>
          <w:tcPr>
            <w:tcW w:w="738" w:type="dxa"/>
            <w:noWrap/>
            <w:vAlign w:val="bottom"/>
            <w:hideMark/>
          </w:tcPr>
          <w:p w14:paraId="70F47D9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45.0%</w:t>
            </w:r>
          </w:p>
        </w:tc>
      </w:tr>
      <w:tr w:rsidR="007870E0" w:rsidRPr="003B4324" w14:paraId="4386DFD5" w14:textId="77777777" w:rsidTr="000007D2">
        <w:trPr>
          <w:trHeight w:val="300"/>
        </w:trPr>
        <w:tc>
          <w:tcPr>
            <w:tcW w:w="1661" w:type="dxa"/>
            <w:shd w:val="clear" w:color="auto" w:fill="E7E6E6"/>
            <w:noWrap/>
            <w:vAlign w:val="bottom"/>
            <w:hideMark/>
          </w:tcPr>
          <w:p w14:paraId="10990CA5"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37" w:type="dxa"/>
            <w:noWrap/>
            <w:vAlign w:val="bottom"/>
            <w:hideMark/>
          </w:tcPr>
          <w:p w14:paraId="5A86D3C2"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w:t>
            </w:r>
          </w:p>
        </w:tc>
        <w:tc>
          <w:tcPr>
            <w:tcW w:w="738" w:type="dxa"/>
            <w:noWrap/>
            <w:vAlign w:val="bottom"/>
            <w:hideMark/>
          </w:tcPr>
          <w:p w14:paraId="01768DB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w:t>
            </w:r>
          </w:p>
        </w:tc>
        <w:tc>
          <w:tcPr>
            <w:tcW w:w="738" w:type="dxa"/>
            <w:noWrap/>
            <w:vAlign w:val="bottom"/>
            <w:hideMark/>
          </w:tcPr>
          <w:p w14:paraId="3C26C5C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w:t>
            </w:r>
          </w:p>
        </w:tc>
        <w:tc>
          <w:tcPr>
            <w:tcW w:w="737" w:type="dxa"/>
            <w:noWrap/>
            <w:vAlign w:val="bottom"/>
            <w:hideMark/>
          </w:tcPr>
          <w:p w14:paraId="367EFEA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w:t>
            </w:r>
          </w:p>
        </w:tc>
        <w:tc>
          <w:tcPr>
            <w:tcW w:w="738" w:type="dxa"/>
            <w:noWrap/>
            <w:vAlign w:val="bottom"/>
            <w:hideMark/>
          </w:tcPr>
          <w:p w14:paraId="40FCF07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w:t>
            </w:r>
          </w:p>
        </w:tc>
        <w:tc>
          <w:tcPr>
            <w:tcW w:w="738" w:type="dxa"/>
            <w:noWrap/>
            <w:vAlign w:val="bottom"/>
            <w:hideMark/>
          </w:tcPr>
          <w:p w14:paraId="42A0DE5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w:t>
            </w:r>
          </w:p>
        </w:tc>
        <w:tc>
          <w:tcPr>
            <w:tcW w:w="738" w:type="dxa"/>
            <w:noWrap/>
            <w:vAlign w:val="bottom"/>
            <w:hideMark/>
          </w:tcPr>
          <w:p w14:paraId="307F824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w:t>
            </w:r>
          </w:p>
        </w:tc>
        <w:tc>
          <w:tcPr>
            <w:tcW w:w="737" w:type="dxa"/>
            <w:noWrap/>
            <w:vAlign w:val="bottom"/>
            <w:hideMark/>
          </w:tcPr>
          <w:p w14:paraId="26B5DE9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5.3%</w:t>
            </w:r>
          </w:p>
        </w:tc>
        <w:tc>
          <w:tcPr>
            <w:tcW w:w="738" w:type="dxa"/>
            <w:noWrap/>
            <w:vAlign w:val="bottom"/>
            <w:hideMark/>
          </w:tcPr>
          <w:p w14:paraId="2A29504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11.7%</w:t>
            </w:r>
          </w:p>
        </w:tc>
        <w:tc>
          <w:tcPr>
            <w:tcW w:w="738" w:type="dxa"/>
            <w:noWrap/>
            <w:vAlign w:val="bottom"/>
            <w:hideMark/>
          </w:tcPr>
          <w:p w14:paraId="0DF96C3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27.3%</w:t>
            </w:r>
          </w:p>
        </w:tc>
        <w:tc>
          <w:tcPr>
            <w:tcW w:w="738" w:type="dxa"/>
            <w:noWrap/>
            <w:vAlign w:val="bottom"/>
            <w:hideMark/>
          </w:tcPr>
          <w:p w14:paraId="34B94B3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48.6%</w:t>
            </w:r>
          </w:p>
        </w:tc>
      </w:tr>
    </w:tbl>
    <w:p w14:paraId="534F3BA5" w14:textId="0F335EE2" w:rsidR="003573BE" w:rsidRDefault="003573BE" w:rsidP="0087794A">
      <w:pPr>
        <w:pStyle w:val="Caption"/>
        <w:spacing w:before="200"/>
      </w:pPr>
      <w:bookmarkStart w:id="744" w:name="_Toc153545112"/>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19</w:t>
      </w:r>
      <w:r w:rsidR="006E0533">
        <w:rPr>
          <w:noProof/>
        </w:rPr>
        <w:fldChar w:fldCharType="end"/>
      </w:r>
      <w:r w:rsidRPr="003573BE">
        <w:t>: Share of RES in Transport (with multipliers) [%]</w:t>
      </w:r>
      <w:bookmarkEnd w:id="744"/>
    </w:p>
    <w:tbl>
      <w:tblPr>
        <w:tblStyle w:val="TableGrid"/>
        <w:tblW w:w="9776" w:type="dxa"/>
        <w:tblLayout w:type="fixed"/>
        <w:tblLook w:val="04A0" w:firstRow="1" w:lastRow="0" w:firstColumn="1" w:lastColumn="0" w:noHBand="0" w:noVBand="1"/>
      </w:tblPr>
      <w:tblGrid>
        <w:gridCol w:w="1661"/>
        <w:gridCol w:w="737"/>
        <w:gridCol w:w="738"/>
        <w:gridCol w:w="738"/>
        <w:gridCol w:w="737"/>
        <w:gridCol w:w="738"/>
        <w:gridCol w:w="738"/>
        <w:gridCol w:w="738"/>
        <w:gridCol w:w="737"/>
        <w:gridCol w:w="738"/>
        <w:gridCol w:w="738"/>
        <w:gridCol w:w="738"/>
      </w:tblGrid>
      <w:tr w:rsidR="007870E0" w:rsidRPr="003B4324" w14:paraId="5C80B774" w14:textId="77777777" w:rsidTr="007F4A03">
        <w:trPr>
          <w:trHeight w:val="300"/>
        </w:trPr>
        <w:tc>
          <w:tcPr>
            <w:tcW w:w="1661" w:type="dxa"/>
            <w:shd w:val="clear" w:color="auto" w:fill="404040"/>
            <w:noWrap/>
            <w:vAlign w:val="center"/>
            <w:hideMark/>
          </w:tcPr>
          <w:p w14:paraId="1A15E763" w14:textId="77777777" w:rsidR="007870E0" w:rsidRPr="004254D2" w:rsidRDefault="007870E0" w:rsidP="007F4A03">
            <w:pPr>
              <w:spacing w:after="0" w:line="240" w:lineRule="auto"/>
              <w:jc w:val="center"/>
              <w:rPr>
                <w:rFonts w:ascii="Calibri Light" w:hAnsi="Calibri Light" w:cs="Calibri Light"/>
                <w:color w:val="000000" w:themeColor="text1"/>
              </w:rPr>
            </w:pPr>
            <w:r w:rsidRPr="005666D1">
              <w:rPr>
                <w:rFonts w:ascii="Calibri Light" w:hAnsi="Calibri Light" w:cs="Calibri Light"/>
                <w:color w:val="FFFFFF" w:themeColor="background1"/>
              </w:rPr>
              <w:t xml:space="preserve">Share of RES in Transport (with multipliers) </w:t>
            </w:r>
            <w:r w:rsidRPr="00AE1A39">
              <w:rPr>
                <w:rFonts w:ascii="Calibri Light" w:hAnsi="Calibri Light" w:cs="Calibri Light"/>
                <w:color w:val="FFFFFF" w:themeColor="background1"/>
              </w:rPr>
              <w:t>[%]</w:t>
            </w:r>
          </w:p>
        </w:tc>
        <w:tc>
          <w:tcPr>
            <w:tcW w:w="737" w:type="dxa"/>
            <w:shd w:val="clear" w:color="auto" w:fill="1F497D"/>
            <w:noWrap/>
            <w:vAlign w:val="center"/>
            <w:hideMark/>
          </w:tcPr>
          <w:p w14:paraId="555A7BB5"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38" w:type="dxa"/>
            <w:shd w:val="clear" w:color="auto" w:fill="1F497D"/>
            <w:noWrap/>
            <w:vAlign w:val="center"/>
            <w:hideMark/>
          </w:tcPr>
          <w:p w14:paraId="0B48B82E"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38" w:type="dxa"/>
            <w:shd w:val="clear" w:color="auto" w:fill="1F497D"/>
            <w:noWrap/>
            <w:vAlign w:val="center"/>
            <w:hideMark/>
          </w:tcPr>
          <w:p w14:paraId="7FCE85FD"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37" w:type="dxa"/>
            <w:shd w:val="clear" w:color="auto" w:fill="1F497D"/>
            <w:noWrap/>
            <w:vAlign w:val="center"/>
            <w:hideMark/>
          </w:tcPr>
          <w:p w14:paraId="30F72D7A"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38" w:type="dxa"/>
            <w:shd w:val="clear" w:color="auto" w:fill="1F497D"/>
            <w:noWrap/>
            <w:vAlign w:val="center"/>
            <w:hideMark/>
          </w:tcPr>
          <w:p w14:paraId="159870D2"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38" w:type="dxa"/>
            <w:shd w:val="clear" w:color="auto" w:fill="1F497D"/>
            <w:noWrap/>
            <w:vAlign w:val="center"/>
            <w:hideMark/>
          </w:tcPr>
          <w:p w14:paraId="142CF76B"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38" w:type="dxa"/>
            <w:shd w:val="clear" w:color="auto" w:fill="1F497D"/>
            <w:noWrap/>
            <w:vAlign w:val="center"/>
            <w:hideMark/>
          </w:tcPr>
          <w:p w14:paraId="1C1C7028"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37" w:type="dxa"/>
            <w:shd w:val="clear" w:color="auto" w:fill="1F497D"/>
            <w:noWrap/>
            <w:vAlign w:val="center"/>
            <w:hideMark/>
          </w:tcPr>
          <w:p w14:paraId="0A076F6C"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38" w:type="dxa"/>
            <w:shd w:val="clear" w:color="auto" w:fill="1F497D"/>
            <w:noWrap/>
            <w:vAlign w:val="center"/>
            <w:hideMark/>
          </w:tcPr>
          <w:p w14:paraId="5A4A413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38" w:type="dxa"/>
            <w:shd w:val="clear" w:color="auto" w:fill="1F497D"/>
            <w:noWrap/>
            <w:vAlign w:val="center"/>
            <w:hideMark/>
          </w:tcPr>
          <w:p w14:paraId="6DB604D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38" w:type="dxa"/>
            <w:shd w:val="clear" w:color="auto" w:fill="1F497D"/>
            <w:noWrap/>
            <w:vAlign w:val="center"/>
            <w:hideMark/>
          </w:tcPr>
          <w:p w14:paraId="7AE5C9EE"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7870E0" w:rsidRPr="003B4324" w14:paraId="348F62F9" w14:textId="77777777" w:rsidTr="000007D2">
        <w:trPr>
          <w:trHeight w:val="300"/>
        </w:trPr>
        <w:tc>
          <w:tcPr>
            <w:tcW w:w="1661" w:type="dxa"/>
            <w:shd w:val="clear" w:color="auto" w:fill="E7E6E6"/>
            <w:noWrap/>
            <w:vAlign w:val="bottom"/>
            <w:hideMark/>
          </w:tcPr>
          <w:p w14:paraId="510AD10E"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lastRenderedPageBreak/>
              <w:t>WEM</w:t>
            </w:r>
          </w:p>
        </w:tc>
        <w:tc>
          <w:tcPr>
            <w:tcW w:w="737" w:type="dxa"/>
            <w:noWrap/>
            <w:hideMark/>
          </w:tcPr>
          <w:p w14:paraId="2702DFDA"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738" w:type="dxa"/>
            <w:noWrap/>
            <w:hideMark/>
          </w:tcPr>
          <w:p w14:paraId="345278E6"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w:t>
            </w:r>
          </w:p>
        </w:tc>
        <w:tc>
          <w:tcPr>
            <w:tcW w:w="738" w:type="dxa"/>
            <w:noWrap/>
            <w:hideMark/>
          </w:tcPr>
          <w:p w14:paraId="5AF4ED1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w:t>
            </w:r>
          </w:p>
        </w:tc>
        <w:tc>
          <w:tcPr>
            <w:tcW w:w="737" w:type="dxa"/>
            <w:noWrap/>
            <w:hideMark/>
          </w:tcPr>
          <w:p w14:paraId="0137730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w:t>
            </w:r>
          </w:p>
        </w:tc>
        <w:tc>
          <w:tcPr>
            <w:tcW w:w="738" w:type="dxa"/>
            <w:noWrap/>
            <w:hideMark/>
          </w:tcPr>
          <w:p w14:paraId="4744A2D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738" w:type="dxa"/>
            <w:noWrap/>
            <w:hideMark/>
          </w:tcPr>
          <w:p w14:paraId="2F270C8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4.7%</w:t>
            </w:r>
          </w:p>
        </w:tc>
        <w:tc>
          <w:tcPr>
            <w:tcW w:w="738" w:type="dxa"/>
            <w:noWrap/>
            <w:hideMark/>
          </w:tcPr>
          <w:p w14:paraId="0817C1B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5.5%</w:t>
            </w:r>
          </w:p>
        </w:tc>
        <w:tc>
          <w:tcPr>
            <w:tcW w:w="737" w:type="dxa"/>
            <w:noWrap/>
            <w:hideMark/>
          </w:tcPr>
          <w:p w14:paraId="126ECE2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6.5%</w:t>
            </w:r>
          </w:p>
        </w:tc>
        <w:tc>
          <w:tcPr>
            <w:tcW w:w="738" w:type="dxa"/>
            <w:noWrap/>
            <w:hideMark/>
          </w:tcPr>
          <w:p w14:paraId="3FE6F3F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w:t>
            </w:r>
          </w:p>
        </w:tc>
        <w:tc>
          <w:tcPr>
            <w:tcW w:w="738" w:type="dxa"/>
            <w:noWrap/>
            <w:hideMark/>
          </w:tcPr>
          <w:p w14:paraId="1A2985F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7.4%</w:t>
            </w:r>
          </w:p>
        </w:tc>
        <w:tc>
          <w:tcPr>
            <w:tcW w:w="738" w:type="dxa"/>
            <w:noWrap/>
            <w:hideMark/>
          </w:tcPr>
          <w:p w14:paraId="4604787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9.9%</w:t>
            </w:r>
          </w:p>
        </w:tc>
      </w:tr>
      <w:tr w:rsidR="007870E0" w:rsidRPr="003B4324" w14:paraId="566E8BAC" w14:textId="77777777" w:rsidTr="000007D2">
        <w:trPr>
          <w:trHeight w:val="300"/>
        </w:trPr>
        <w:tc>
          <w:tcPr>
            <w:tcW w:w="1661" w:type="dxa"/>
            <w:shd w:val="clear" w:color="auto" w:fill="E7E6E6"/>
            <w:noWrap/>
            <w:vAlign w:val="bottom"/>
            <w:hideMark/>
          </w:tcPr>
          <w:p w14:paraId="7BD4C531"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37" w:type="dxa"/>
            <w:noWrap/>
            <w:hideMark/>
          </w:tcPr>
          <w:p w14:paraId="2C9DE7BB"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738" w:type="dxa"/>
            <w:noWrap/>
            <w:hideMark/>
          </w:tcPr>
          <w:p w14:paraId="40CFBF6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w:t>
            </w:r>
          </w:p>
        </w:tc>
        <w:tc>
          <w:tcPr>
            <w:tcW w:w="738" w:type="dxa"/>
            <w:noWrap/>
            <w:hideMark/>
          </w:tcPr>
          <w:p w14:paraId="7CEDF34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w:t>
            </w:r>
          </w:p>
        </w:tc>
        <w:tc>
          <w:tcPr>
            <w:tcW w:w="737" w:type="dxa"/>
            <w:noWrap/>
            <w:hideMark/>
          </w:tcPr>
          <w:p w14:paraId="4F9A10F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w:t>
            </w:r>
          </w:p>
        </w:tc>
        <w:tc>
          <w:tcPr>
            <w:tcW w:w="738" w:type="dxa"/>
            <w:noWrap/>
            <w:hideMark/>
          </w:tcPr>
          <w:p w14:paraId="648942B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738" w:type="dxa"/>
            <w:noWrap/>
            <w:hideMark/>
          </w:tcPr>
          <w:p w14:paraId="00D1842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6.0%</w:t>
            </w:r>
          </w:p>
        </w:tc>
        <w:tc>
          <w:tcPr>
            <w:tcW w:w="738" w:type="dxa"/>
            <w:noWrap/>
            <w:hideMark/>
          </w:tcPr>
          <w:p w14:paraId="00C6C66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w:t>
            </w:r>
          </w:p>
        </w:tc>
        <w:tc>
          <w:tcPr>
            <w:tcW w:w="737" w:type="dxa"/>
            <w:noWrap/>
            <w:hideMark/>
          </w:tcPr>
          <w:p w14:paraId="64B6EE4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12.5%</w:t>
            </w:r>
          </w:p>
        </w:tc>
        <w:tc>
          <w:tcPr>
            <w:tcW w:w="738" w:type="dxa"/>
            <w:noWrap/>
            <w:hideMark/>
          </w:tcPr>
          <w:p w14:paraId="58E1203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21.4%</w:t>
            </w:r>
          </w:p>
        </w:tc>
        <w:tc>
          <w:tcPr>
            <w:tcW w:w="738" w:type="dxa"/>
            <w:noWrap/>
            <w:hideMark/>
          </w:tcPr>
          <w:p w14:paraId="4F9D51C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44.8%</w:t>
            </w:r>
          </w:p>
        </w:tc>
        <w:tc>
          <w:tcPr>
            <w:tcW w:w="738" w:type="dxa"/>
            <w:noWrap/>
            <w:hideMark/>
          </w:tcPr>
          <w:p w14:paraId="6156B51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68.1%</w:t>
            </w:r>
          </w:p>
        </w:tc>
      </w:tr>
      <w:tr w:rsidR="007870E0" w:rsidRPr="003B4324" w14:paraId="518C81B1" w14:textId="77777777" w:rsidTr="000007D2">
        <w:trPr>
          <w:trHeight w:val="300"/>
        </w:trPr>
        <w:tc>
          <w:tcPr>
            <w:tcW w:w="1661" w:type="dxa"/>
            <w:shd w:val="clear" w:color="auto" w:fill="E7E6E6"/>
            <w:noWrap/>
            <w:vAlign w:val="bottom"/>
            <w:hideMark/>
          </w:tcPr>
          <w:p w14:paraId="69F12E88"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37" w:type="dxa"/>
            <w:noWrap/>
            <w:hideMark/>
          </w:tcPr>
          <w:p w14:paraId="64930A92"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738" w:type="dxa"/>
            <w:noWrap/>
            <w:hideMark/>
          </w:tcPr>
          <w:p w14:paraId="780963D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w:t>
            </w:r>
          </w:p>
        </w:tc>
        <w:tc>
          <w:tcPr>
            <w:tcW w:w="738" w:type="dxa"/>
            <w:noWrap/>
            <w:hideMark/>
          </w:tcPr>
          <w:p w14:paraId="1B48496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w:t>
            </w:r>
          </w:p>
        </w:tc>
        <w:tc>
          <w:tcPr>
            <w:tcW w:w="737" w:type="dxa"/>
            <w:noWrap/>
            <w:hideMark/>
          </w:tcPr>
          <w:p w14:paraId="3F340E7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w:t>
            </w:r>
          </w:p>
        </w:tc>
        <w:tc>
          <w:tcPr>
            <w:tcW w:w="738" w:type="dxa"/>
            <w:noWrap/>
            <w:hideMark/>
          </w:tcPr>
          <w:p w14:paraId="4B1AD6B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738" w:type="dxa"/>
            <w:noWrap/>
            <w:hideMark/>
          </w:tcPr>
          <w:p w14:paraId="5FAC509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6.0%</w:t>
            </w:r>
          </w:p>
        </w:tc>
        <w:tc>
          <w:tcPr>
            <w:tcW w:w="738" w:type="dxa"/>
            <w:noWrap/>
            <w:hideMark/>
          </w:tcPr>
          <w:p w14:paraId="709CCBC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6.8%</w:t>
            </w:r>
          </w:p>
        </w:tc>
        <w:tc>
          <w:tcPr>
            <w:tcW w:w="737" w:type="dxa"/>
            <w:noWrap/>
            <w:hideMark/>
          </w:tcPr>
          <w:p w14:paraId="4A438FF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12.5%</w:t>
            </w:r>
          </w:p>
        </w:tc>
        <w:tc>
          <w:tcPr>
            <w:tcW w:w="738" w:type="dxa"/>
            <w:noWrap/>
            <w:hideMark/>
          </w:tcPr>
          <w:p w14:paraId="1CF64FB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23.8%</w:t>
            </w:r>
          </w:p>
        </w:tc>
        <w:tc>
          <w:tcPr>
            <w:tcW w:w="738" w:type="dxa"/>
            <w:noWrap/>
            <w:hideMark/>
          </w:tcPr>
          <w:p w14:paraId="305C212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48.9%</w:t>
            </w:r>
          </w:p>
        </w:tc>
        <w:tc>
          <w:tcPr>
            <w:tcW w:w="738" w:type="dxa"/>
            <w:noWrap/>
            <w:hideMark/>
          </w:tcPr>
          <w:p w14:paraId="5970A59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71.1%</w:t>
            </w:r>
          </w:p>
        </w:tc>
      </w:tr>
    </w:tbl>
    <w:p w14:paraId="2DB5A6C9" w14:textId="79F0CADD" w:rsidR="003573BE" w:rsidRDefault="003573BE" w:rsidP="0087794A">
      <w:pPr>
        <w:pStyle w:val="Caption"/>
        <w:spacing w:before="200"/>
      </w:pPr>
      <w:bookmarkStart w:id="745" w:name="_Toc153545113"/>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20</w:t>
      </w:r>
      <w:r w:rsidR="006E0533">
        <w:rPr>
          <w:noProof/>
        </w:rPr>
        <w:fldChar w:fldCharType="end"/>
      </w:r>
      <w:r w:rsidRPr="003573BE">
        <w:t>: Share of RES in Heating [%]</w:t>
      </w:r>
      <w:bookmarkEnd w:id="745"/>
    </w:p>
    <w:tbl>
      <w:tblPr>
        <w:tblStyle w:val="TableGrid"/>
        <w:tblW w:w="9776" w:type="dxa"/>
        <w:tblLayout w:type="fixed"/>
        <w:tblLook w:val="04A0" w:firstRow="1" w:lastRow="0" w:firstColumn="1" w:lastColumn="0" w:noHBand="0" w:noVBand="1"/>
      </w:tblPr>
      <w:tblGrid>
        <w:gridCol w:w="1661"/>
        <w:gridCol w:w="737"/>
        <w:gridCol w:w="738"/>
        <w:gridCol w:w="738"/>
        <w:gridCol w:w="737"/>
        <w:gridCol w:w="738"/>
        <w:gridCol w:w="738"/>
        <w:gridCol w:w="738"/>
        <w:gridCol w:w="737"/>
        <w:gridCol w:w="738"/>
        <w:gridCol w:w="738"/>
        <w:gridCol w:w="738"/>
      </w:tblGrid>
      <w:tr w:rsidR="007870E0" w:rsidRPr="003B4324" w14:paraId="0CE3BFF1" w14:textId="77777777" w:rsidTr="007F4A03">
        <w:trPr>
          <w:trHeight w:val="300"/>
        </w:trPr>
        <w:tc>
          <w:tcPr>
            <w:tcW w:w="1661" w:type="dxa"/>
            <w:shd w:val="clear" w:color="auto" w:fill="404040"/>
            <w:noWrap/>
            <w:vAlign w:val="center"/>
            <w:hideMark/>
          </w:tcPr>
          <w:p w14:paraId="5530BD17" w14:textId="77777777" w:rsidR="007870E0" w:rsidRPr="004254D2" w:rsidRDefault="007870E0" w:rsidP="007F4A03">
            <w:pPr>
              <w:spacing w:after="0" w:line="240" w:lineRule="auto"/>
              <w:jc w:val="center"/>
              <w:rPr>
                <w:rFonts w:ascii="Calibri Light" w:hAnsi="Calibri Light" w:cs="Calibri Light"/>
                <w:color w:val="000000" w:themeColor="text1"/>
              </w:rPr>
            </w:pPr>
            <w:r w:rsidRPr="005666D1">
              <w:rPr>
                <w:rFonts w:ascii="Calibri Light" w:hAnsi="Calibri Light" w:cs="Calibri Light"/>
                <w:color w:val="FFFFFF" w:themeColor="background1"/>
              </w:rPr>
              <w:t xml:space="preserve">Share of RES in </w:t>
            </w:r>
            <w:r w:rsidRPr="007870E0">
              <w:rPr>
                <w:rFonts w:ascii="Calibri Light" w:hAnsi="Calibri Light" w:cs="Calibri Light"/>
                <w:color w:val="FFFFFF" w:themeColor="background1"/>
              </w:rPr>
              <w:t xml:space="preserve">Heating </w:t>
            </w:r>
            <w:r w:rsidRPr="00AE1A39">
              <w:rPr>
                <w:rFonts w:ascii="Calibri Light" w:hAnsi="Calibri Light" w:cs="Calibri Light"/>
                <w:color w:val="FFFFFF" w:themeColor="background1"/>
              </w:rPr>
              <w:t>[%]</w:t>
            </w:r>
          </w:p>
        </w:tc>
        <w:tc>
          <w:tcPr>
            <w:tcW w:w="737" w:type="dxa"/>
            <w:shd w:val="clear" w:color="auto" w:fill="1F497D"/>
            <w:noWrap/>
            <w:vAlign w:val="center"/>
            <w:hideMark/>
          </w:tcPr>
          <w:p w14:paraId="49D2FCD6"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38" w:type="dxa"/>
            <w:shd w:val="clear" w:color="auto" w:fill="1F497D"/>
            <w:noWrap/>
            <w:vAlign w:val="center"/>
            <w:hideMark/>
          </w:tcPr>
          <w:p w14:paraId="3E3A83A5"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38" w:type="dxa"/>
            <w:shd w:val="clear" w:color="auto" w:fill="1F497D"/>
            <w:noWrap/>
            <w:vAlign w:val="center"/>
            <w:hideMark/>
          </w:tcPr>
          <w:p w14:paraId="65D92BFA"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37" w:type="dxa"/>
            <w:shd w:val="clear" w:color="auto" w:fill="1F497D"/>
            <w:noWrap/>
            <w:vAlign w:val="center"/>
            <w:hideMark/>
          </w:tcPr>
          <w:p w14:paraId="57790A42"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38" w:type="dxa"/>
            <w:shd w:val="clear" w:color="auto" w:fill="1F497D"/>
            <w:noWrap/>
            <w:vAlign w:val="center"/>
            <w:hideMark/>
          </w:tcPr>
          <w:p w14:paraId="598B6A28"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38" w:type="dxa"/>
            <w:shd w:val="clear" w:color="auto" w:fill="1F497D"/>
            <w:noWrap/>
            <w:vAlign w:val="center"/>
            <w:hideMark/>
          </w:tcPr>
          <w:p w14:paraId="547454C0"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38" w:type="dxa"/>
            <w:shd w:val="clear" w:color="auto" w:fill="1F497D"/>
            <w:noWrap/>
            <w:vAlign w:val="center"/>
            <w:hideMark/>
          </w:tcPr>
          <w:p w14:paraId="0DE429E3"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37" w:type="dxa"/>
            <w:shd w:val="clear" w:color="auto" w:fill="1F497D"/>
            <w:noWrap/>
            <w:vAlign w:val="center"/>
            <w:hideMark/>
          </w:tcPr>
          <w:p w14:paraId="05279EAB"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38" w:type="dxa"/>
            <w:shd w:val="clear" w:color="auto" w:fill="1F497D"/>
            <w:noWrap/>
            <w:vAlign w:val="center"/>
            <w:hideMark/>
          </w:tcPr>
          <w:p w14:paraId="5BFEB83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38" w:type="dxa"/>
            <w:shd w:val="clear" w:color="auto" w:fill="1F497D"/>
            <w:noWrap/>
            <w:vAlign w:val="center"/>
            <w:hideMark/>
          </w:tcPr>
          <w:p w14:paraId="55EF3695"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38" w:type="dxa"/>
            <w:shd w:val="clear" w:color="auto" w:fill="1F497D"/>
            <w:noWrap/>
            <w:vAlign w:val="center"/>
            <w:hideMark/>
          </w:tcPr>
          <w:p w14:paraId="550DC8F8"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7870E0" w:rsidRPr="003B4324" w14:paraId="0109659A" w14:textId="77777777" w:rsidTr="007F4A03">
        <w:trPr>
          <w:trHeight w:val="300"/>
        </w:trPr>
        <w:tc>
          <w:tcPr>
            <w:tcW w:w="1661" w:type="dxa"/>
            <w:shd w:val="clear" w:color="auto" w:fill="E7E6E6"/>
            <w:noWrap/>
            <w:vAlign w:val="bottom"/>
            <w:hideMark/>
          </w:tcPr>
          <w:p w14:paraId="18473EF8"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37" w:type="dxa"/>
            <w:noWrap/>
            <w:hideMark/>
          </w:tcPr>
          <w:p w14:paraId="00476F56"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35.7%</w:t>
            </w:r>
          </w:p>
        </w:tc>
        <w:tc>
          <w:tcPr>
            <w:tcW w:w="738" w:type="dxa"/>
            <w:noWrap/>
            <w:hideMark/>
          </w:tcPr>
          <w:p w14:paraId="4F86F56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42.9%</w:t>
            </w:r>
          </w:p>
        </w:tc>
        <w:tc>
          <w:tcPr>
            <w:tcW w:w="738" w:type="dxa"/>
            <w:noWrap/>
            <w:hideMark/>
          </w:tcPr>
          <w:p w14:paraId="0781755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42.3%</w:t>
            </w:r>
          </w:p>
        </w:tc>
        <w:tc>
          <w:tcPr>
            <w:tcW w:w="737" w:type="dxa"/>
            <w:noWrap/>
            <w:hideMark/>
          </w:tcPr>
          <w:p w14:paraId="0C7F7BA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41.3%</w:t>
            </w:r>
          </w:p>
        </w:tc>
        <w:tc>
          <w:tcPr>
            <w:tcW w:w="738" w:type="dxa"/>
            <w:noWrap/>
            <w:hideMark/>
          </w:tcPr>
          <w:p w14:paraId="11B852F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40.7%</w:t>
            </w:r>
          </w:p>
        </w:tc>
        <w:tc>
          <w:tcPr>
            <w:tcW w:w="738" w:type="dxa"/>
            <w:noWrap/>
            <w:hideMark/>
          </w:tcPr>
          <w:p w14:paraId="6754CE7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39.6%</w:t>
            </w:r>
          </w:p>
        </w:tc>
        <w:tc>
          <w:tcPr>
            <w:tcW w:w="738" w:type="dxa"/>
            <w:noWrap/>
            <w:hideMark/>
          </w:tcPr>
          <w:p w14:paraId="3B8260A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38.9%</w:t>
            </w:r>
          </w:p>
        </w:tc>
        <w:tc>
          <w:tcPr>
            <w:tcW w:w="737" w:type="dxa"/>
            <w:noWrap/>
            <w:hideMark/>
          </w:tcPr>
          <w:p w14:paraId="13C3FA2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37.0%</w:t>
            </w:r>
          </w:p>
        </w:tc>
        <w:tc>
          <w:tcPr>
            <w:tcW w:w="738" w:type="dxa"/>
            <w:noWrap/>
            <w:hideMark/>
          </w:tcPr>
          <w:p w14:paraId="6060AF8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33.4%</w:t>
            </w:r>
          </w:p>
        </w:tc>
        <w:tc>
          <w:tcPr>
            <w:tcW w:w="738" w:type="dxa"/>
            <w:noWrap/>
            <w:hideMark/>
          </w:tcPr>
          <w:p w14:paraId="783B274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32.3%</w:t>
            </w:r>
          </w:p>
        </w:tc>
        <w:tc>
          <w:tcPr>
            <w:tcW w:w="738" w:type="dxa"/>
            <w:noWrap/>
            <w:hideMark/>
          </w:tcPr>
          <w:p w14:paraId="105DFEE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31.3%</w:t>
            </w:r>
          </w:p>
        </w:tc>
      </w:tr>
      <w:tr w:rsidR="007870E0" w:rsidRPr="003B4324" w14:paraId="738856ED" w14:textId="77777777" w:rsidTr="007F4A03">
        <w:trPr>
          <w:trHeight w:val="300"/>
        </w:trPr>
        <w:tc>
          <w:tcPr>
            <w:tcW w:w="1661" w:type="dxa"/>
            <w:shd w:val="clear" w:color="auto" w:fill="E7E6E6"/>
            <w:noWrap/>
            <w:vAlign w:val="bottom"/>
            <w:hideMark/>
          </w:tcPr>
          <w:p w14:paraId="608B6B75"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37" w:type="dxa"/>
            <w:noWrap/>
            <w:hideMark/>
          </w:tcPr>
          <w:p w14:paraId="5FA64F47"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35.7%</w:t>
            </w:r>
          </w:p>
        </w:tc>
        <w:tc>
          <w:tcPr>
            <w:tcW w:w="738" w:type="dxa"/>
            <w:noWrap/>
            <w:hideMark/>
          </w:tcPr>
          <w:p w14:paraId="0A3C520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41.1%</w:t>
            </w:r>
          </w:p>
        </w:tc>
        <w:tc>
          <w:tcPr>
            <w:tcW w:w="738" w:type="dxa"/>
            <w:noWrap/>
            <w:hideMark/>
          </w:tcPr>
          <w:p w14:paraId="47248ED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w:t>
            </w:r>
          </w:p>
        </w:tc>
        <w:tc>
          <w:tcPr>
            <w:tcW w:w="737" w:type="dxa"/>
            <w:noWrap/>
            <w:hideMark/>
          </w:tcPr>
          <w:p w14:paraId="6088D14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41.2%</w:t>
            </w:r>
          </w:p>
        </w:tc>
        <w:tc>
          <w:tcPr>
            <w:tcW w:w="738" w:type="dxa"/>
            <w:noWrap/>
            <w:hideMark/>
          </w:tcPr>
          <w:p w14:paraId="7BD2793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41.1%</w:t>
            </w:r>
          </w:p>
        </w:tc>
        <w:tc>
          <w:tcPr>
            <w:tcW w:w="738" w:type="dxa"/>
            <w:noWrap/>
            <w:hideMark/>
          </w:tcPr>
          <w:p w14:paraId="5480678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41.0%</w:t>
            </w:r>
          </w:p>
        </w:tc>
        <w:tc>
          <w:tcPr>
            <w:tcW w:w="738" w:type="dxa"/>
            <w:noWrap/>
            <w:hideMark/>
          </w:tcPr>
          <w:p w14:paraId="5D10835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41.4%</w:t>
            </w:r>
          </w:p>
        </w:tc>
        <w:tc>
          <w:tcPr>
            <w:tcW w:w="737" w:type="dxa"/>
            <w:noWrap/>
            <w:hideMark/>
          </w:tcPr>
          <w:p w14:paraId="5D8B0CD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44.0%</w:t>
            </w:r>
          </w:p>
        </w:tc>
        <w:tc>
          <w:tcPr>
            <w:tcW w:w="738" w:type="dxa"/>
            <w:noWrap/>
            <w:hideMark/>
          </w:tcPr>
          <w:p w14:paraId="3A77D64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44.2%</w:t>
            </w:r>
          </w:p>
        </w:tc>
        <w:tc>
          <w:tcPr>
            <w:tcW w:w="738" w:type="dxa"/>
            <w:noWrap/>
            <w:hideMark/>
          </w:tcPr>
          <w:p w14:paraId="2264B45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41.1%</w:t>
            </w:r>
          </w:p>
        </w:tc>
        <w:tc>
          <w:tcPr>
            <w:tcW w:w="738" w:type="dxa"/>
            <w:noWrap/>
            <w:hideMark/>
          </w:tcPr>
          <w:p w14:paraId="0C67572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39.1%</w:t>
            </w:r>
          </w:p>
        </w:tc>
      </w:tr>
      <w:tr w:rsidR="007870E0" w:rsidRPr="003B4324" w14:paraId="55A49F7C" w14:textId="77777777" w:rsidTr="007F4A03">
        <w:trPr>
          <w:trHeight w:val="300"/>
        </w:trPr>
        <w:tc>
          <w:tcPr>
            <w:tcW w:w="1661" w:type="dxa"/>
            <w:shd w:val="clear" w:color="auto" w:fill="E7E6E6"/>
            <w:noWrap/>
            <w:vAlign w:val="bottom"/>
            <w:hideMark/>
          </w:tcPr>
          <w:p w14:paraId="507BAC6C"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37" w:type="dxa"/>
            <w:noWrap/>
            <w:hideMark/>
          </w:tcPr>
          <w:p w14:paraId="33927B7C"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35.7%</w:t>
            </w:r>
          </w:p>
        </w:tc>
        <w:tc>
          <w:tcPr>
            <w:tcW w:w="738" w:type="dxa"/>
            <w:noWrap/>
            <w:hideMark/>
          </w:tcPr>
          <w:p w14:paraId="15980C2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41.1%</w:t>
            </w:r>
          </w:p>
        </w:tc>
        <w:tc>
          <w:tcPr>
            <w:tcW w:w="738" w:type="dxa"/>
            <w:noWrap/>
            <w:hideMark/>
          </w:tcPr>
          <w:p w14:paraId="05161DC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w:t>
            </w:r>
          </w:p>
        </w:tc>
        <w:tc>
          <w:tcPr>
            <w:tcW w:w="737" w:type="dxa"/>
            <w:noWrap/>
            <w:hideMark/>
          </w:tcPr>
          <w:p w14:paraId="3C819305"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41.2%</w:t>
            </w:r>
          </w:p>
        </w:tc>
        <w:tc>
          <w:tcPr>
            <w:tcW w:w="738" w:type="dxa"/>
            <w:noWrap/>
            <w:hideMark/>
          </w:tcPr>
          <w:p w14:paraId="51F1E8F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41.1%</w:t>
            </w:r>
          </w:p>
        </w:tc>
        <w:tc>
          <w:tcPr>
            <w:tcW w:w="738" w:type="dxa"/>
            <w:noWrap/>
            <w:hideMark/>
          </w:tcPr>
          <w:p w14:paraId="4883A79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41.0%</w:t>
            </w:r>
          </w:p>
        </w:tc>
        <w:tc>
          <w:tcPr>
            <w:tcW w:w="738" w:type="dxa"/>
            <w:noWrap/>
            <w:hideMark/>
          </w:tcPr>
          <w:p w14:paraId="7DC0635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41.4%</w:t>
            </w:r>
          </w:p>
        </w:tc>
        <w:tc>
          <w:tcPr>
            <w:tcW w:w="737" w:type="dxa"/>
            <w:noWrap/>
            <w:hideMark/>
          </w:tcPr>
          <w:p w14:paraId="58AF7EC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44.1%</w:t>
            </w:r>
          </w:p>
        </w:tc>
        <w:tc>
          <w:tcPr>
            <w:tcW w:w="738" w:type="dxa"/>
            <w:noWrap/>
            <w:hideMark/>
          </w:tcPr>
          <w:p w14:paraId="5FA0974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44.4%</w:t>
            </w:r>
          </w:p>
        </w:tc>
        <w:tc>
          <w:tcPr>
            <w:tcW w:w="738" w:type="dxa"/>
            <w:noWrap/>
            <w:hideMark/>
          </w:tcPr>
          <w:p w14:paraId="2ED75A1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40.6%</w:t>
            </w:r>
          </w:p>
        </w:tc>
        <w:tc>
          <w:tcPr>
            <w:tcW w:w="738" w:type="dxa"/>
            <w:noWrap/>
            <w:hideMark/>
          </w:tcPr>
          <w:p w14:paraId="16A867D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39.1%</w:t>
            </w:r>
          </w:p>
        </w:tc>
      </w:tr>
    </w:tbl>
    <w:p w14:paraId="2B212AEA" w14:textId="28C277F3" w:rsidR="003573BE" w:rsidRDefault="003573BE" w:rsidP="0087794A">
      <w:pPr>
        <w:pStyle w:val="Caption"/>
        <w:spacing w:before="200"/>
      </w:pPr>
      <w:bookmarkStart w:id="746" w:name="_Toc153545114"/>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21</w:t>
      </w:r>
      <w:r w:rsidR="006E0533">
        <w:rPr>
          <w:noProof/>
        </w:rPr>
        <w:fldChar w:fldCharType="end"/>
      </w:r>
      <w:r w:rsidR="00FC284D" w:rsidRPr="00FC284D">
        <w:t>: Installed Capacity of Wind Power Plants [GW]</w:t>
      </w:r>
      <w:bookmarkEnd w:id="746"/>
    </w:p>
    <w:tbl>
      <w:tblPr>
        <w:tblStyle w:val="TableGrid"/>
        <w:tblW w:w="9776" w:type="dxa"/>
        <w:tblLayout w:type="fixed"/>
        <w:tblLook w:val="04A0" w:firstRow="1" w:lastRow="0" w:firstColumn="1" w:lastColumn="0" w:noHBand="0" w:noVBand="1"/>
      </w:tblPr>
      <w:tblGrid>
        <w:gridCol w:w="1661"/>
        <w:gridCol w:w="737"/>
        <w:gridCol w:w="738"/>
        <w:gridCol w:w="738"/>
        <w:gridCol w:w="737"/>
        <w:gridCol w:w="738"/>
        <w:gridCol w:w="738"/>
        <w:gridCol w:w="738"/>
        <w:gridCol w:w="737"/>
        <w:gridCol w:w="738"/>
        <w:gridCol w:w="738"/>
        <w:gridCol w:w="738"/>
      </w:tblGrid>
      <w:tr w:rsidR="007870E0" w:rsidRPr="003B4324" w14:paraId="1868DE38" w14:textId="77777777" w:rsidTr="007F4A03">
        <w:trPr>
          <w:trHeight w:val="300"/>
        </w:trPr>
        <w:tc>
          <w:tcPr>
            <w:tcW w:w="1661" w:type="dxa"/>
            <w:shd w:val="clear" w:color="auto" w:fill="404040"/>
            <w:noWrap/>
            <w:vAlign w:val="center"/>
            <w:hideMark/>
          </w:tcPr>
          <w:p w14:paraId="0B94007B" w14:textId="77777777" w:rsidR="007870E0" w:rsidRPr="004254D2" w:rsidRDefault="007870E0" w:rsidP="007F4A03">
            <w:pPr>
              <w:spacing w:after="0" w:line="240" w:lineRule="auto"/>
              <w:jc w:val="center"/>
              <w:rPr>
                <w:rFonts w:ascii="Calibri Light" w:hAnsi="Calibri Light" w:cs="Calibri Light"/>
                <w:color w:val="000000" w:themeColor="text1"/>
              </w:rPr>
            </w:pPr>
            <w:r w:rsidRPr="007870E0">
              <w:rPr>
                <w:rFonts w:ascii="Calibri Light" w:hAnsi="Calibri Light" w:cs="Calibri Light"/>
                <w:color w:val="FFFFFF" w:themeColor="background1"/>
              </w:rPr>
              <w:t xml:space="preserve">Installed Capacity </w:t>
            </w:r>
            <w:r>
              <w:rPr>
                <w:rFonts w:ascii="Calibri Light" w:hAnsi="Calibri Light" w:cs="Calibri Light"/>
                <w:color w:val="FFFFFF" w:themeColor="background1"/>
              </w:rPr>
              <w:t xml:space="preserve">of Wind PP </w:t>
            </w:r>
            <w:r w:rsidRPr="00AE1A39">
              <w:rPr>
                <w:rFonts w:ascii="Calibri Light" w:hAnsi="Calibri Light" w:cs="Calibri Light"/>
                <w:color w:val="FFFFFF" w:themeColor="background1"/>
              </w:rPr>
              <w:t>[</w:t>
            </w:r>
            <w:r>
              <w:rPr>
                <w:rFonts w:ascii="Calibri Light" w:hAnsi="Calibri Light" w:cs="Calibri Light"/>
                <w:color w:val="FFFFFF" w:themeColor="background1"/>
              </w:rPr>
              <w:t>GW</w:t>
            </w:r>
            <w:r w:rsidRPr="00AE1A39">
              <w:rPr>
                <w:rFonts w:ascii="Calibri Light" w:hAnsi="Calibri Light" w:cs="Calibri Light"/>
                <w:color w:val="FFFFFF" w:themeColor="background1"/>
              </w:rPr>
              <w:t>]</w:t>
            </w:r>
          </w:p>
        </w:tc>
        <w:tc>
          <w:tcPr>
            <w:tcW w:w="737" w:type="dxa"/>
            <w:shd w:val="clear" w:color="auto" w:fill="1F497D"/>
            <w:noWrap/>
            <w:vAlign w:val="center"/>
            <w:hideMark/>
          </w:tcPr>
          <w:p w14:paraId="47E329CD"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38" w:type="dxa"/>
            <w:shd w:val="clear" w:color="auto" w:fill="1F497D"/>
            <w:noWrap/>
            <w:vAlign w:val="center"/>
            <w:hideMark/>
          </w:tcPr>
          <w:p w14:paraId="70C7835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38" w:type="dxa"/>
            <w:shd w:val="clear" w:color="auto" w:fill="1F497D"/>
            <w:noWrap/>
            <w:vAlign w:val="center"/>
            <w:hideMark/>
          </w:tcPr>
          <w:p w14:paraId="3107D4EA"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37" w:type="dxa"/>
            <w:shd w:val="clear" w:color="auto" w:fill="1F497D"/>
            <w:noWrap/>
            <w:vAlign w:val="center"/>
            <w:hideMark/>
          </w:tcPr>
          <w:p w14:paraId="147FE329"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38" w:type="dxa"/>
            <w:shd w:val="clear" w:color="auto" w:fill="1F497D"/>
            <w:noWrap/>
            <w:vAlign w:val="center"/>
            <w:hideMark/>
          </w:tcPr>
          <w:p w14:paraId="093A60A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38" w:type="dxa"/>
            <w:shd w:val="clear" w:color="auto" w:fill="1F497D"/>
            <w:noWrap/>
            <w:vAlign w:val="center"/>
            <w:hideMark/>
          </w:tcPr>
          <w:p w14:paraId="1F9BC350"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38" w:type="dxa"/>
            <w:shd w:val="clear" w:color="auto" w:fill="1F497D"/>
            <w:noWrap/>
            <w:vAlign w:val="center"/>
            <w:hideMark/>
          </w:tcPr>
          <w:p w14:paraId="35A08E35"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37" w:type="dxa"/>
            <w:shd w:val="clear" w:color="auto" w:fill="1F497D"/>
            <w:noWrap/>
            <w:vAlign w:val="center"/>
            <w:hideMark/>
          </w:tcPr>
          <w:p w14:paraId="6B7C5F4B"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38" w:type="dxa"/>
            <w:shd w:val="clear" w:color="auto" w:fill="1F497D"/>
            <w:noWrap/>
            <w:vAlign w:val="center"/>
            <w:hideMark/>
          </w:tcPr>
          <w:p w14:paraId="1D60AA7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38" w:type="dxa"/>
            <w:shd w:val="clear" w:color="auto" w:fill="1F497D"/>
            <w:noWrap/>
            <w:vAlign w:val="center"/>
            <w:hideMark/>
          </w:tcPr>
          <w:p w14:paraId="2079937E"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38" w:type="dxa"/>
            <w:shd w:val="clear" w:color="auto" w:fill="1F497D"/>
            <w:noWrap/>
            <w:vAlign w:val="center"/>
            <w:hideMark/>
          </w:tcPr>
          <w:p w14:paraId="731C1BF1"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7870E0" w:rsidRPr="003B4324" w14:paraId="666A6E24" w14:textId="77777777" w:rsidTr="007F4A03">
        <w:trPr>
          <w:trHeight w:val="300"/>
        </w:trPr>
        <w:tc>
          <w:tcPr>
            <w:tcW w:w="1661" w:type="dxa"/>
            <w:shd w:val="clear" w:color="auto" w:fill="E7E6E6"/>
            <w:noWrap/>
            <w:vAlign w:val="bottom"/>
            <w:hideMark/>
          </w:tcPr>
          <w:p w14:paraId="0A21D2F4"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37" w:type="dxa"/>
            <w:noWrap/>
            <w:hideMark/>
          </w:tcPr>
          <w:p w14:paraId="4EA68E7E"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0.407</w:t>
            </w:r>
          </w:p>
        </w:tc>
        <w:tc>
          <w:tcPr>
            <w:tcW w:w="738" w:type="dxa"/>
            <w:noWrap/>
            <w:hideMark/>
          </w:tcPr>
          <w:p w14:paraId="66B545E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534859E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7" w:type="dxa"/>
            <w:noWrap/>
            <w:hideMark/>
          </w:tcPr>
          <w:p w14:paraId="19AD033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1D609C0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1E4EDD5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528D09F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7" w:type="dxa"/>
            <w:noWrap/>
            <w:hideMark/>
          </w:tcPr>
          <w:p w14:paraId="07C3787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70F1F24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0CE887B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0.745</w:t>
            </w:r>
          </w:p>
        </w:tc>
        <w:tc>
          <w:tcPr>
            <w:tcW w:w="738" w:type="dxa"/>
            <w:noWrap/>
            <w:hideMark/>
          </w:tcPr>
          <w:p w14:paraId="4FAACC3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1.659</w:t>
            </w:r>
          </w:p>
        </w:tc>
      </w:tr>
      <w:tr w:rsidR="007870E0" w:rsidRPr="003B4324" w14:paraId="534BB63C" w14:textId="77777777" w:rsidTr="007F4A03">
        <w:trPr>
          <w:trHeight w:val="300"/>
        </w:trPr>
        <w:tc>
          <w:tcPr>
            <w:tcW w:w="1661" w:type="dxa"/>
            <w:shd w:val="clear" w:color="auto" w:fill="E7E6E6"/>
            <w:noWrap/>
            <w:vAlign w:val="bottom"/>
            <w:hideMark/>
          </w:tcPr>
          <w:p w14:paraId="1C105271"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37" w:type="dxa"/>
            <w:noWrap/>
            <w:hideMark/>
          </w:tcPr>
          <w:p w14:paraId="39377A17"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0.407</w:t>
            </w:r>
          </w:p>
        </w:tc>
        <w:tc>
          <w:tcPr>
            <w:tcW w:w="738" w:type="dxa"/>
            <w:noWrap/>
            <w:hideMark/>
          </w:tcPr>
          <w:p w14:paraId="2053914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0.895</w:t>
            </w:r>
          </w:p>
        </w:tc>
        <w:tc>
          <w:tcPr>
            <w:tcW w:w="738" w:type="dxa"/>
            <w:noWrap/>
            <w:hideMark/>
          </w:tcPr>
          <w:p w14:paraId="40FA4C15"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1.045</w:t>
            </w:r>
          </w:p>
        </w:tc>
        <w:tc>
          <w:tcPr>
            <w:tcW w:w="737" w:type="dxa"/>
            <w:noWrap/>
            <w:hideMark/>
          </w:tcPr>
          <w:p w14:paraId="5D4586F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1.208</w:t>
            </w:r>
          </w:p>
        </w:tc>
        <w:tc>
          <w:tcPr>
            <w:tcW w:w="738" w:type="dxa"/>
            <w:noWrap/>
            <w:hideMark/>
          </w:tcPr>
          <w:p w14:paraId="4F567FB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1.383</w:t>
            </w:r>
          </w:p>
        </w:tc>
        <w:tc>
          <w:tcPr>
            <w:tcW w:w="738" w:type="dxa"/>
            <w:noWrap/>
            <w:hideMark/>
          </w:tcPr>
          <w:p w14:paraId="446DE00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1.570</w:t>
            </w:r>
          </w:p>
        </w:tc>
        <w:tc>
          <w:tcPr>
            <w:tcW w:w="738" w:type="dxa"/>
            <w:noWrap/>
            <w:hideMark/>
          </w:tcPr>
          <w:p w14:paraId="46392D63"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1.770</w:t>
            </w:r>
          </w:p>
        </w:tc>
        <w:tc>
          <w:tcPr>
            <w:tcW w:w="737" w:type="dxa"/>
            <w:noWrap/>
            <w:hideMark/>
          </w:tcPr>
          <w:p w14:paraId="1A8F009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3.067</w:t>
            </w:r>
          </w:p>
        </w:tc>
        <w:tc>
          <w:tcPr>
            <w:tcW w:w="738" w:type="dxa"/>
            <w:noWrap/>
            <w:hideMark/>
          </w:tcPr>
          <w:p w14:paraId="7B1566BB"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3.117</w:t>
            </w:r>
          </w:p>
        </w:tc>
        <w:tc>
          <w:tcPr>
            <w:tcW w:w="738" w:type="dxa"/>
            <w:noWrap/>
            <w:hideMark/>
          </w:tcPr>
          <w:p w14:paraId="7F130CA4"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5.415</w:t>
            </w:r>
          </w:p>
        </w:tc>
        <w:tc>
          <w:tcPr>
            <w:tcW w:w="738" w:type="dxa"/>
            <w:noWrap/>
            <w:hideMark/>
          </w:tcPr>
          <w:p w14:paraId="18D8E166"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7.969</w:t>
            </w:r>
          </w:p>
        </w:tc>
      </w:tr>
      <w:tr w:rsidR="007870E0" w:rsidRPr="003B4324" w14:paraId="04A13278" w14:textId="77777777" w:rsidTr="007F4A03">
        <w:trPr>
          <w:trHeight w:val="300"/>
        </w:trPr>
        <w:tc>
          <w:tcPr>
            <w:tcW w:w="1661" w:type="dxa"/>
            <w:shd w:val="clear" w:color="auto" w:fill="E7E6E6"/>
            <w:noWrap/>
            <w:vAlign w:val="bottom"/>
            <w:hideMark/>
          </w:tcPr>
          <w:p w14:paraId="1A9AEDC5"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37" w:type="dxa"/>
            <w:noWrap/>
            <w:hideMark/>
          </w:tcPr>
          <w:p w14:paraId="44A06D77"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0.407</w:t>
            </w:r>
          </w:p>
        </w:tc>
        <w:tc>
          <w:tcPr>
            <w:tcW w:w="738" w:type="dxa"/>
            <w:noWrap/>
            <w:hideMark/>
          </w:tcPr>
          <w:p w14:paraId="59945255"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0.895</w:t>
            </w:r>
          </w:p>
        </w:tc>
        <w:tc>
          <w:tcPr>
            <w:tcW w:w="738" w:type="dxa"/>
            <w:noWrap/>
            <w:hideMark/>
          </w:tcPr>
          <w:p w14:paraId="2A277A7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1.045</w:t>
            </w:r>
          </w:p>
        </w:tc>
        <w:tc>
          <w:tcPr>
            <w:tcW w:w="737" w:type="dxa"/>
            <w:noWrap/>
            <w:hideMark/>
          </w:tcPr>
          <w:p w14:paraId="4793180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1.208</w:t>
            </w:r>
          </w:p>
        </w:tc>
        <w:tc>
          <w:tcPr>
            <w:tcW w:w="738" w:type="dxa"/>
            <w:noWrap/>
            <w:hideMark/>
          </w:tcPr>
          <w:p w14:paraId="710D9FB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1.383</w:t>
            </w:r>
          </w:p>
        </w:tc>
        <w:tc>
          <w:tcPr>
            <w:tcW w:w="738" w:type="dxa"/>
            <w:noWrap/>
            <w:hideMark/>
          </w:tcPr>
          <w:p w14:paraId="32B5A4F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1.570</w:t>
            </w:r>
          </w:p>
        </w:tc>
        <w:tc>
          <w:tcPr>
            <w:tcW w:w="738" w:type="dxa"/>
            <w:noWrap/>
            <w:hideMark/>
          </w:tcPr>
          <w:p w14:paraId="7D85B3D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1.770</w:t>
            </w:r>
          </w:p>
        </w:tc>
        <w:tc>
          <w:tcPr>
            <w:tcW w:w="737" w:type="dxa"/>
            <w:noWrap/>
            <w:hideMark/>
          </w:tcPr>
          <w:p w14:paraId="0D51872B"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3.109</w:t>
            </w:r>
          </w:p>
        </w:tc>
        <w:tc>
          <w:tcPr>
            <w:tcW w:w="738" w:type="dxa"/>
            <w:noWrap/>
            <w:hideMark/>
          </w:tcPr>
          <w:p w14:paraId="0BBB2F8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3.158</w:t>
            </w:r>
          </w:p>
        </w:tc>
        <w:tc>
          <w:tcPr>
            <w:tcW w:w="738" w:type="dxa"/>
            <w:noWrap/>
            <w:hideMark/>
          </w:tcPr>
          <w:p w14:paraId="271A01C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5.457</w:t>
            </w:r>
          </w:p>
        </w:tc>
        <w:tc>
          <w:tcPr>
            <w:tcW w:w="738" w:type="dxa"/>
            <w:noWrap/>
            <w:hideMark/>
          </w:tcPr>
          <w:p w14:paraId="2BC3766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8.010</w:t>
            </w:r>
          </w:p>
        </w:tc>
      </w:tr>
    </w:tbl>
    <w:p w14:paraId="48C3EBB4" w14:textId="0902AD4C" w:rsidR="003573BE" w:rsidRDefault="003573BE" w:rsidP="0087794A">
      <w:pPr>
        <w:pStyle w:val="Caption"/>
        <w:spacing w:before="200"/>
      </w:pPr>
      <w:bookmarkStart w:id="747" w:name="_Toc153545115"/>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22</w:t>
      </w:r>
      <w:r w:rsidR="006E0533">
        <w:rPr>
          <w:noProof/>
        </w:rPr>
        <w:fldChar w:fldCharType="end"/>
      </w:r>
      <w:r w:rsidR="00FC284D" w:rsidRPr="00FC284D">
        <w:t>: Installed Capacity of PV Power Plants [GW]</w:t>
      </w:r>
      <w:bookmarkEnd w:id="747"/>
    </w:p>
    <w:tbl>
      <w:tblPr>
        <w:tblStyle w:val="TableGrid"/>
        <w:tblW w:w="9776" w:type="dxa"/>
        <w:tblLayout w:type="fixed"/>
        <w:tblLook w:val="04A0" w:firstRow="1" w:lastRow="0" w:firstColumn="1" w:lastColumn="0" w:noHBand="0" w:noVBand="1"/>
      </w:tblPr>
      <w:tblGrid>
        <w:gridCol w:w="1271"/>
        <w:gridCol w:w="773"/>
        <w:gridCol w:w="773"/>
        <w:gridCol w:w="773"/>
        <w:gridCol w:w="773"/>
        <w:gridCol w:w="773"/>
        <w:gridCol w:w="774"/>
        <w:gridCol w:w="773"/>
        <w:gridCol w:w="773"/>
        <w:gridCol w:w="773"/>
        <w:gridCol w:w="773"/>
        <w:gridCol w:w="774"/>
      </w:tblGrid>
      <w:tr w:rsidR="007870E0" w:rsidRPr="003B4324" w14:paraId="2DFCE5FF" w14:textId="77777777" w:rsidTr="000007D2">
        <w:trPr>
          <w:trHeight w:val="300"/>
        </w:trPr>
        <w:tc>
          <w:tcPr>
            <w:tcW w:w="1271" w:type="dxa"/>
            <w:shd w:val="clear" w:color="auto" w:fill="404040"/>
            <w:noWrap/>
            <w:vAlign w:val="center"/>
            <w:hideMark/>
          </w:tcPr>
          <w:p w14:paraId="77C5C0E5" w14:textId="77777777" w:rsidR="007870E0" w:rsidRPr="004254D2" w:rsidRDefault="007870E0" w:rsidP="007F4A03">
            <w:pPr>
              <w:spacing w:after="0" w:line="240" w:lineRule="auto"/>
              <w:jc w:val="center"/>
              <w:rPr>
                <w:rFonts w:ascii="Calibri Light" w:hAnsi="Calibri Light" w:cs="Calibri Light"/>
                <w:color w:val="000000" w:themeColor="text1"/>
              </w:rPr>
            </w:pPr>
            <w:r w:rsidRPr="007870E0">
              <w:rPr>
                <w:rFonts w:ascii="Calibri Light" w:hAnsi="Calibri Light" w:cs="Calibri Light"/>
                <w:color w:val="FFFFFF" w:themeColor="background1"/>
              </w:rPr>
              <w:t xml:space="preserve">Installed Capacity </w:t>
            </w:r>
            <w:r>
              <w:rPr>
                <w:rFonts w:ascii="Calibri Light" w:hAnsi="Calibri Light" w:cs="Calibri Light"/>
                <w:color w:val="FFFFFF" w:themeColor="background1"/>
              </w:rPr>
              <w:t xml:space="preserve">of PV PP </w:t>
            </w:r>
            <w:r w:rsidRPr="00AE1A39">
              <w:rPr>
                <w:rFonts w:ascii="Calibri Light" w:hAnsi="Calibri Light" w:cs="Calibri Light"/>
                <w:color w:val="FFFFFF" w:themeColor="background1"/>
              </w:rPr>
              <w:t>[</w:t>
            </w:r>
            <w:r>
              <w:rPr>
                <w:rFonts w:ascii="Calibri Light" w:hAnsi="Calibri Light" w:cs="Calibri Light"/>
                <w:color w:val="FFFFFF" w:themeColor="background1"/>
              </w:rPr>
              <w:t>GW</w:t>
            </w:r>
            <w:r w:rsidRPr="00AE1A39">
              <w:rPr>
                <w:rFonts w:ascii="Calibri Light" w:hAnsi="Calibri Light" w:cs="Calibri Light"/>
                <w:color w:val="FFFFFF" w:themeColor="background1"/>
              </w:rPr>
              <w:t>]</w:t>
            </w:r>
          </w:p>
        </w:tc>
        <w:tc>
          <w:tcPr>
            <w:tcW w:w="773" w:type="dxa"/>
            <w:shd w:val="clear" w:color="auto" w:fill="1F497D"/>
            <w:noWrap/>
            <w:vAlign w:val="center"/>
            <w:hideMark/>
          </w:tcPr>
          <w:p w14:paraId="78860973"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73" w:type="dxa"/>
            <w:shd w:val="clear" w:color="auto" w:fill="1F497D"/>
            <w:noWrap/>
            <w:vAlign w:val="center"/>
            <w:hideMark/>
          </w:tcPr>
          <w:p w14:paraId="49256F26"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73" w:type="dxa"/>
            <w:shd w:val="clear" w:color="auto" w:fill="1F497D"/>
            <w:noWrap/>
            <w:vAlign w:val="center"/>
            <w:hideMark/>
          </w:tcPr>
          <w:p w14:paraId="3C25CDB6"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73" w:type="dxa"/>
            <w:shd w:val="clear" w:color="auto" w:fill="1F497D"/>
            <w:noWrap/>
            <w:vAlign w:val="center"/>
            <w:hideMark/>
          </w:tcPr>
          <w:p w14:paraId="11518ED8"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73" w:type="dxa"/>
            <w:shd w:val="clear" w:color="auto" w:fill="1F497D"/>
            <w:noWrap/>
            <w:vAlign w:val="center"/>
            <w:hideMark/>
          </w:tcPr>
          <w:p w14:paraId="00E1B224"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74" w:type="dxa"/>
            <w:shd w:val="clear" w:color="auto" w:fill="1F497D"/>
            <w:noWrap/>
            <w:vAlign w:val="center"/>
            <w:hideMark/>
          </w:tcPr>
          <w:p w14:paraId="6D7BAEFF"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73" w:type="dxa"/>
            <w:shd w:val="clear" w:color="auto" w:fill="1F497D"/>
            <w:noWrap/>
            <w:vAlign w:val="center"/>
            <w:hideMark/>
          </w:tcPr>
          <w:p w14:paraId="3CF55503"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73" w:type="dxa"/>
            <w:shd w:val="clear" w:color="auto" w:fill="1F497D"/>
            <w:noWrap/>
            <w:vAlign w:val="center"/>
            <w:hideMark/>
          </w:tcPr>
          <w:p w14:paraId="2ACB3A85"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73" w:type="dxa"/>
            <w:shd w:val="clear" w:color="auto" w:fill="1F497D"/>
            <w:noWrap/>
            <w:vAlign w:val="center"/>
            <w:hideMark/>
          </w:tcPr>
          <w:p w14:paraId="5190BF68"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73" w:type="dxa"/>
            <w:shd w:val="clear" w:color="auto" w:fill="1F497D"/>
            <w:noWrap/>
            <w:vAlign w:val="center"/>
            <w:hideMark/>
          </w:tcPr>
          <w:p w14:paraId="390BD060"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74" w:type="dxa"/>
            <w:shd w:val="clear" w:color="auto" w:fill="1F497D"/>
            <w:noWrap/>
            <w:vAlign w:val="center"/>
            <w:hideMark/>
          </w:tcPr>
          <w:p w14:paraId="1545B351" w14:textId="77777777" w:rsidR="007870E0" w:rsidRPr="004254D2" w:rsidRDefault="007870E0"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7870E0" w:rsidRPr="003B4324" w14:paraId="4DF9A76D" w14:textId="77777777" w:rsidTr="000007D2">
        <w:trPr>
          <w:trHeight w:val="300"/>
        </w:trPr>
        <w:tc>
          <w:tcPr>
            <w:tcW w:w="1271" w:type="dxa"/>
            <w:shd w:val="clear" w:color="auto" w:fill="E7E6E6"/>
            <w:noWrap/>
            <w:vAlign w:val="bottom"/>
            <w:hideMark/>
          </w:tcPr>
          <w:p w14:paraId="5A102A9F"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73" w:type="dxa"/>
            <w:noWrap/>
            <w:hideMark/>
          </w:tcPr>
          <w:p w14:paraId="393FFE70"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0.016</w:t>
            </w:r>
          </w:p>
        </w:tc>
        <w:tc>
          <w:tcPr>
            <w:tcW w:w="773" w:type="dxa"/>
            <w:noWrap/>
            <w:hideMark/>
          </w:tcPr>
          <w:p w14:paraId="6710DF0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0.301</w:t>
            </w:r>
          </w:p>
        </w:tc>
        <w:tc>
          <w:tcPr>
            <w:tcW w:w="773" w:type="dxa"/>
            <w:noWrap/>
            <w:hideMark/>
          </w:tcPr>
          <w:p w14:paraId="0D484525"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0.301</w:t>
            </w:r>
          </w:p>
        </w:tc>
        <w:tc>
          <w:tcPr>
            <w:tcW w:w="773" w:type="dxa"/>
            <w:noWrap/>
            <w:hideMark/>
          </w:tcPr>
          <w:p w14:paraId="289141C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0.381</w:t>
            </w:r>
          </w:p>
        </w:tc>
        <w:tc>
          <w:tcPr>
            <w:tcW w:w="773" w:type="dxa"/>
            <w:noWrap/>
            <w:hideMark/>
          </w:tcPr>
          <w:p w14:paraId="6794747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0.381</w:t>
            </w:r>
          </w:p>
        </w:tc>
        <w:tc>
          <w:tcPr>
            <w:tcW w:w="774" w:type="dxa"/>
            <w:noWrap/>
            <w:hideMark/>
          </w:tcPr>
          <w:p w14:paraId="45459E0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0.381</w:t>
            </w:r>
          </w:p>
        </w:tc>
        <w:tc>
          <w:tcPr>
            <w:tcW w:w="773" w:type="dxa"/>
            <w:noWrap/>
            <w:hideMark/>
          </w:tcPr>
          <w:p w14:paraId="1ACD2CD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0.381</w:t>
            </w:r>
          </w:p>
        </w:tc>
        <w:tc>
          <w:tcPr>
            <w:tcW w:w="773" w:type="dxa"/>
            <w:noWrap/>
            <w:hideMark/>
          </w:tcPr>
          <w:p w14:paraId="4C3F19D0"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0.381</w:t>
            </w:r>
          </w:p>
        </w:tc>
        <w:tc>
          <w:tcPr>
            <w:tcW w:w="773" w:type="dxa"/>
            <w:noWrap/>
            <w:hideMark/>
          </w:tcPr>
          <w:p w14:paraId="2BCE203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0.378</w:t>
            </w:r>
          </w:p>
        </w:tc>
        <w:tc>
          <w:tcPr>
            <w:tcW w:w="773" w:type="dxa"/>
            <w:noWrap/>
            <w:hideMark/>
          </w:tcPr>
          <w:p w14:paraId="1DB7E90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0.366</w:t>
            </w:r>
          </w:p>
        </w:tc>
        <w:tc>
          <w:tcPr>
            <w:tcW w:w="774" w:type="dxa"/>
            <w:noWrap/>
            <w:hideMark/>
          </w:tcPr>
          <w:p w14:paraId="3372963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1.772</w:t>
            </w:r>
          </w:p>
        </w:tc>
      </w:tr>
      <w:tr w:rsidR="007870E0" w:rsidRPr="003B4324" w14:paraId="14D62525" w14:textId="77777777" w:rsidTr="000007D2">
        <w:trPr>
          <w:trHeight w:val="300"/>
        </w:trPr>
        <w:tc>
          <w:tcPr>
            <w:tcW w:w="1271" w:type="dxa"/>
            <w:shd w:val="clear" w:color="auto" w:fill="E7E6E6"/>
            <w:noWrap/>
            <w:vAlign w:val="bottom"/>
            <w:hideMark/>
          </w:tcPr>
          <w:p w14:paraId="7D98EC91"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73" w:type="dxa"/>
            <w:noWrap/>
            <w:hideMark/>
          </w:tcPr>
          <w:p w14:paraId="6EB86D0F"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0.016</w:t>
            </w:r>
          </w:p>
        </w:tc>
        <w:tc>
          <w:tcPr>
            <w:tcW w:w="773" w:type="dxa"/>
            <w:noWrap/>
            <w:hideMark/>
          </w:tcPr>
          <w:p w14:paraId="343CD85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0.512</w:t>
            </w:r>
          </w:p>
        </w:tc>
        <w:tc>
          <w:tcPr>
            <w:tcW w:w="773" w:type="dxa"/>
            <w:noWrap/>
            <w:hideMark/>
          </w:tcPr>
          <w:p w14:paraId="1D44D0EF"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0.749</w:t>
            </w:r>
          </w:p>
        </w:tc>
        <w:tc>
          <w:tcPr>
            <w:tcW w:w="773" w:type="dxa"/>
            <w:noWrap/>
            <w:hideMark/>
          </w:tcPr>
          <w:p w14:paraId="74102B4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0.989</w:t>
            </w:r>
          </w:p>
        </w:tc>
        <w:tc>
          <w:tcPr>
            <w:tcW w:w="773" w:type="dxa"/>
            <w:noWrap/>
            <w:hideMark/>
          </w:tcPr>
          <w:p w14:paraId="2B5A17F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1.232</w:t>
            </w:r>
          </w:p>
        </w:tc>
        <w:tc>
          <w:tcPr>
            <w:tcW w:w="774" w:type="dxa"/>
            <w:noWrap/>
            <w:hideMark/>
          </w:tcPr>
          <w:p w14:paraId="3A5552D7"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1.479</w:t>
            </w:r>
          </w:p>
        </w:tc>
        <w:tc>
          <w:tcPr>
            <w:tcW w:w="773" w:type="dxa"/>
            <w:noWrap/>
            <w:hideMark/>
          </w:tcPr>
          <w:p w14:paraId="7657D73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1.729</w:t>
            </w:r>
          </w:p>
        </w:tc>
        <w:tc>
          <w:tcPr>
            <w:tcW w:w="773" w:type="dxa"/>
            <w:noWrap/>
            <w:hideMark/>
          </w:tcPr>
          <w:p w14:paraId="22E88CBC"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3.929</w:t>
            </w:r>
          </w:p>
        </w:tc>
        <w:tc>
          <w:tcPr>
            <w:tcW w:w="773" w:type="dxa"/>
            <w:noWrap/>
            <w:hideMark/>
          </w:tcPr>
          <w:p w14:paraId="4E6BD8D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7.357</w:t>
            </w:r>
          </w:p>
        </w:tc>
        <w:tc>
          <w:tcPr>
            <w:tcW w:w="773" w:type="dxa"/>
            <w:noWrap/>
            <w:hideMark/>
          </w:tcPr>
          <w:p w14:paraId="1A6ABA6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11.975</w:t>
            </w:r>
          </w:p>
        </w:tc>
        <w:tc>
          <w:tcPr>
            <w:tcW w:w="774" w:type="dxa"/>
            <w:noWrap/>
            <w:hideMark/>
          </w:tcPr>
          <w:p w14:paraId="0B7EA6E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18.495</w:t>
            </w:r>
          </w:p>
        </w:tc>
      </w:tr>
      <w:tr w:rsidR="007870E0" w:rsidRPr="003B4324" w14:paraId="3EF4AA99" w14:textId="77777777" w:rsidTr="000007D2">
        <w:trPr>
          <w:trHeight w:val="300"/>
        </w:trPr>
        <w:tc>
          <w:tcPr>
            <w:tcW w:w="1271" w:type="dxa"/>
            <w:shd w:val="clear" w:color="auto" w:fill="E7E6E6"/>
            <w:noWrap/>
            <w:vAlign w:val="bottom"/>
            <w:hideMark/>
          </w:tcPr>
          <w:p w14:paraId="765BB083" w14:textId="77777777" w:rsidR="007870E0" w:rsidRPr="004254D2" w:rsidRDefault="007870E0" w:rsidP="007870E0">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73" w:type="dxa"/>
            <w:noWrap/>
            <w:hideMark/>
          </w:tcPr>
          <w:p w14:paraId="368F9B02" w14:textId="77777777" w:rsidR="007870E0" w:rsidRPr="004254D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0.016</w:t>
            </w:r>
          </w:p>
        </w:tc>
        <w:tc>
          <w:tcPr>
            <w:tcW w:w="773" w:type="dxa"/>
            <w:noWrap/>
            <w:hideMark/>
          </w:tcPr>
          <w:p w14:paraId="3E3A7AA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0.512</w:t>
            </w:r>
          </w:p>
        </w:tc>
        <w:tc>
          <w:tcPr>
            <w:tcW w:w="773" w:type="dxa"/>
            <w:noWrap/>
            <w:hideMark/>
          </w:tcPr>
          <w:p w14:paraId="6480848D"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0.749</w:t>
            </w:r>
          </w:p>
        </w:tc>
        <w:tc>
          <w:tcPr>
            <w:tcW w:w="773" w:type="dxa"/>
            <w:noWrap/>
            <w:hideMark/>
          </w:tcPr>
          <w:p w14:paraId="316A094A"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0.989</w:t>
            </w:r>
          </w:p>
        </w:tc>
        <w:tc>
          <w:tcPr>
            <w:tcW w:w="773" w:type="dxa"/>
            <w:noWrap/>
            <w:hideMark/>
          </w:tcPr>
          <w:p w14:paraId="4BF31D38"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1.232</w:t>
            </w:r>
          </w:p>
        </w:tc>
        <w:tc>
          <w:tcPr>
            <w:tcW w:w="774" w:type="dxa"/>
            <w:noWrap/>
            <w:hideMark/>
          </w:tcPr>
          <w:p w14:paraId="48B4D62B"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1.479</w:t>
            </w:r>
          </w:p>
        </w:tc>
        <w:tc>
          <w:tcPr>
            <w:tcW w:w="773" w:type="dxa"/>
            <w:noWrap/>
            <w:hideMark/>
          </w:tcPr>
          <w:p w14:paraId="5C890DE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1.729</w:t>
            </w:r>
          </w:p>
        </w:tc>
        <w:tc>
          <w:tcPr>
            <w:tcW w:w="773" w:type="dxa"/>
            <w:noWrap/>
            <w:hideMark/>
          </w:tcPr>
          <w:p w14:paraId="10E65DE9"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3.929</w:t>
            </w:r>
          </w:p>
        </w:tc>
        <w:tc>
          <w:tcPr>
            <w:tcW w:w="773" w:type="dxa"/>
            <w:noWrap/>
            <w:hideMark/>
          </w:tcPr>
          <w:p w14:paraId="70AD8012"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7.370</w:t>
            </w:r>
          </w:p>
        </w:tc>
        <w:tc>
          <w:tcPr>
            <w:tcW w:w="773" w:type="dxa"/>
            <w:noWrap/>
            <w:hideMark/>
          </w:tcPr>
          <w:p w14:paraId="4B1716DE"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11.702</w:t>
            </w:r>
          </w:p>
        </w:tc>
        <w:tc>
          <w:tcPr>
            <w:tcW w:w="774" w:type="dxa"/>
            <w:noWrap/>
            <w:hideMark/>
          </w:tcPr>
          <w:p w14:paraId="4FD524E1" w14:textId="77777777" w:rsidR="007870E0" w:rsidRPr="002574F2" w:rsidRDefault="007870E0" w:rsidP="007870E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16.656</w:t>
            </w:r>
          </w:p>
        </w:tc>
      </w:tr>
    </w:tbl>
    <w:p w14:paraId="7FD2DC8C" w14:textId="5C0C84A0" w:rsidR="003573BE" w:rsidRDefault="003573BE" w:rsidP="0087794A">
      <w:pPr>
        <w:pStyle w:val="Caption"/>
        <w:spacing w:before="200"/>
      </w:pPr>
      <w:bookmarkStart w:id="748" w:name="_Toc153545116"/>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23</w:t>
      </w:r>
      <w:r w:rsidR="006E0533">
        <w:rPr>
          <w:noProof/>
        </w:rPr>
        <w:fldChar w:fldCharType="end"/>
      </w:r>
      <w:r w:rsidR="00FC284D" w:rsidRPr="00FC284D">
        <w:t>: Final Energy Consumption by Fuel [ktoe]</w:t>
      </w:r>
      <w:bookmarkEnd w:id="748"/>
    </w:p>
    <w:tbl>
      <w:tblPr>
        <w:tblStyle w:val="TableGrid"/>
        <w:tblW w:w="9918" w:type="dxa"/>
        <w:tblLayout w:type="fixed"/>
        <w:tblLook w:val="04A0" w:firstRow="1" w:lastRow="0" w:firstColumn="1" w:lastColumn="0" w:noHBand="0" w:noVBand="1"/>
      </w:tblPr>
      <w:tblGrid>
        <w:gridCol w:w="895"/>
        <w:gridCol w:w="641"/>
        <w:gridCol w:w="586"/>
        <w:gridCol w:w="882"/>
        <w:gridCol w:w="882"/>
        <w:gridCol w:w="882"/>
        <w:gridCol w:w="882"/>
        <w:gridCol w:w="582"/>
        <w:gridCol w:w="709"/>
        <w:gridCol w:w="992"/>
        <w:gridCol w:w="993"/>
        <w:gridCol w:w="992"/>
      </w:tblGrid>
      <w:tr w:rsidR="001E4E92" w:rsidRPr="003B4324" w14:paraId="27EDBD84" w14:textId="77777777" w:rsidTr="00127690">
        <w:trPr>
          <w:trHeight w:val="298"/>
        </w:trPr>
        <w:tc>
          <w:tcPr>
            <w:tcW w:w="895" w:type="dxa"/>
            <w:tcBorders>
              <w:bottom w:val="single" w:sz="12" w:space="0" w:color="auto"/>
            </w:tcBorders>
            <w:shd w:val="clear" w:color="auto" w:fill="404040"/>
            <w:noWrap/>
            <w:vAlign w:val="center"/>
            <w:hideMark/>
          </w:tcPr>
          <w:p w14:paraId="2C0288C1" w14:textId="77777777" w:rsidR="00127690" w:rsidRPr="004254D2" w:rsidRDefault="00127690" w:rsidP="00127690">
            <w:pPr>
              <w:spacing w:after="0" w:line="240" w:lineRule="auto"/>
              <w:jc w:val="center"/>
              <w:rPr>
                <w:rFonts w:ascii="Calibri Light" w:hAnsi="Calibri Light" w:cs="Calibri Light"/>
                <w:color w:val="000000" w:themeColor="text1"/>
              </w:rPr>
            </w:pPr>
            <w:r>
              <w:rPr>
                <w:rFonts w:ascii="Calibri Light" w:hAnsi="Calibri Light" w:cs="Calibri Light"/>
                <w:color w:val="FFFFFF" w:themeColor="background1"/>
              </w:rPr>
              <w:t>FEC</w:t>
            </w:r>
            <w:r w:rsidRPr="00127690">
              <w:rPr>
                <w:rFonts w:ascii="Calibri Light" w:hAnsi="Calibri Light" w:cs="Calibri Light"/>
                <w:color w:val="FFFFFF" w:themeColor="background1"/>
              </w:rPr>
              <w:t xml:space="preserve"> by Fuel [ktoe]</w:t>
            </w:r>
          </w:p>
        </w:tc>
        <w:tc>
          <w:tcPr>
            <w:tcW w:w="641" w:type="dxa"/>
            <w:tcBorders>
              <w:bottom w:val="single" w:sz="12" w:space="0" w:color="auto"/>
            </w:tcBorders>
            <w:shd w:val="clear" w:color="auto" w:fill="1F497D"/>
            <w:noWrap/>
            <w:vAlign w:val="center"/>
            <w:hideMark/>
          </w:tcPr>
          <w:p w14:paraId="78451513" w14:textId="77777777" w:rsidR="00127690" w:rsidRPr="004254D2" w:rsidRDefault="00127690" w:rsidP="00127690">
            <w:pPr>
              <w:spacing w:after="0" w:line="240" w:lineRule="auto"/>
              <w:jc w:val="center"/>
              <w:rPr>
                <w:rFonts w:ascii="Calibri Light" w:hAnsi="Calibri Light" w:cs="Calibri Light"/>
                <w:color w:val="FFFFFF" w:themeColor="background1"/>
              </w:rPr>
            </w:pPr>
            <w:r w:rsidRPr="004A34BA">
              <w:rPr>
                <w:rFonts w:ascii="Calibri Light" w:hAnsi="Calibri Light" w:cs="Calibri Light"/>
                <w:color w:val="FFFFFF" w:themeColor="background1"/>
              </w:rPr>
              <w:t>Year</w:t>
            </w:r>
          </w:p>
        </w:tc>
        <w:tc>
          <w:tcPr>
            <w:tcW w:w="586" w:type="dxa"/>
            <w:tcBorders>
              <w:bottom w:val="single" w:sz="12" w:space="0" w:color="auto"/>
            </w:tcBorders>
            <w:shd w:val="clear" w:color="auto" w:fill="1F497D"/>
            <w:noWrap/>
            <w:vAlign w:val="center"/>
            <w:hideMark/>
          </w:tcPr>
          <w:p w14:paraId="0D466641"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Solid fuels</w:t>
            </w:r>
          </w:p>
        </w:tc>
        <w:tc>
          <w:tcPr>
            <w:tcW w:w="882" w:type="dxa"/>
            <w:tcBorders>
              <w:bottom w:val="single" w:sz="12" w:space="0" w:color="auto"/>
            </w:tcBorders>
            <w:shd w:val="clear" w:color="auto" w:fill="1F497D"/>
            <w:noWrap/>
            <w:vAlign w:val="center"/>
            <w:hideMark/>
          </w:tcPr>
          <w:p w14:paraId="60CD71E6"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Oil Products</w:t>
            </w:r>
          </w:p>
        </w:tc>
        <w:tc>
          <w:tcPr>
            <w:tcW w:w="882" w:type="dxa"/>
            <w:tcBorders>
              <w:bottom w:val="single" w:sz="12" w:space="0" w:color="auto"/>
            </w:tcBorders>
            <w:shd w:val="clear" w:color="auto" w:fill="1F497D"/>
            <w:noWrap/>
            <w:vAlign w:val="center"/>
            <w:hideMark/>
          </w:tcPr>
          <w:p w14:paraId="44977DCA"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Natural Gas</w:t>
            </w:r>
          </w:p>
        </w:tc>
        <w:tc>
          <w:tcPr>
            <w:tcW w:w="882" w:type="dxa"/>
            <w:tcBorders>
              <w:bottom w:val="single" w:sz="12" w:space="0" w:color="auto"/>
            </w:tcBorders>
            <w:shd w:val="clear" w:color="auto" w:fill="1F497D"/>
            <w:noWrap/>
            <w:vAlign w:val="center"/>
            <w:hideMark/>
          </w:tcPr>
          <w:p w14:paraId="02C1842E"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Biomass/Biogas</w:t>
            </w:r>
          </w:p>
        </w:tc>
        <w:tc>
          <w:tcPr>
            <w:tcW w:w="882" w:type="dxa"/>
            <w:tcBorders>
              <w:bottom w:val="single" w:sz="12" w:space="0" w:color="auto"/>
            </w:tcBorders>
            <w:shd w:val="clear" w:color="auto" w:fill="1F497D"/>
            <w:noWrap/>
            <w:vAlign w:val="center"/>
            <w:hideMark/>
          </w:tcPr>
          <w:p w14:paraId="54F88B5D"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Biofuels</w:t>
            </w:r>
          </w:p>
        </w:tc>
        <w:tc>
          <w:tcPr>
            <w:tcW w:w="582" w:type="dxa"/>
            <w:tcBorders>
              <w:bottom w:val="single" w:sz="12" w:space="0" w:color="auto"/>
            </w:tcBorders>
            <w:shd w:val="clear" w:color="auto" w:fill="1F497D"/>
            <w:noWrap/>
            <w:vAlign w:val="center"/>
            <w:hideMark/>
          </w:tcPr>
          <w:p w14:paraId="5E074088"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Solar</w:t>
            </w:r>
          </w:p>
        </w:tc>
        <w:tc>
          <w:tcPr>
            <w:tcW w:w="709" w:type="dxa"/>
            <w:tcBorders>
              <w:bottom w:val="single" w:sz="12" w:space="0" w:color="auto"/>
            </w:tcBorders>
            <w:shd w:val="clear" w:color="auto" w:fill="1F497D"/>
            <w:noWrap/>
            <w:vAlign w:val="center"/>
            <w:hideMark/>
          </w:tcPr>
          <w:p w14:paraId="574398C4" w14:textId="77777777" w:rsidR="00127690" w:rsidRPr="000007D2" w:rsidRDefault="00127690" w:rsidP="00127690">
            <w:pPr>
              <w:spacing w:after="0" w:line="240" w:lineRule="auto"/>
              <w:jc w:val="center"/>
              <w:rPr>
                <w:rFonts w:ascii="Calibri Light" w:hAnsi="Calibri Light" w:cs="Calibri Light"/>
                <w:color w:val="FFFFFF" w:themeColor="background1"/>
                <w:sz w:val="18"/>
                <w:szCs w:val="18"/>
              </w:rPr>
            </w:pPr>
            <w:r w:rsidRPr="001E4E92">
              <w:rPr>
                <w:rFonts w:ascii="Calibri Light" w:hAnsi="Calibri Light" w:cs="Calibri Light"/>
                <w:color w:val="FFFFFF" w:themeColor="background1"/>
                <w:sz w:val="18"/>
                <w:szCs w:val="18"/>
              </w:rPr>
              <w:t>Geo</w:t>
            </w:r>
            <w:r>
              <w:rPr>
                <w:rFonts w:ascii="Calibri Light" w:hAnsi="Calibri Light" w:cs="Calibri Light"/>
                <w:color w:val="FFFFFF" w:themeColor="background1"/>
                <w:sz w:val="18"/>
                <w:szCs w:val="18"/>
              </w:rPr>
              <w:t>thermal</w:t>
            </w:r>
          </w:p>
        </w:tc>
        <w:tc>
          <w:tcPr>
            <w:tcW w:w="992" w:type="dxa"/>
            <w:tcBorders>
              <w:bottom w:val="single" w:sz="12" w:space="0" w:color="auto"/>
            </w:tcBorders>
            <w:shd w:val="clear" w:color="auto" w:fill="1F497D"/>
            <w:vAlign w:val="center"/>
          </w:tcPr>
          <w:p w14:paraId="57487E9A" w14:textId="77777777" w:rsidR="00127690" w:rsidRPr="000007D2" w:rsidRDefault="00127690" w:rsidP="001E4E92">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Derived heat</w:t>
            </w:r>
          </w:p>
        </w:tc>
        <w:tc>
          <w:tcPr>
            <w:tcW w:w="993" w:type="dxa"/>
            <w:tcBorders>
              <w:bottom w:val="single" w:sz="12" w:space="0" w:color="auto"/>
            </w:tcBorders>
            <w:shd w:val="clear" w:color="auto" w:fill="1F497D"/>
            <w:noWrap/>
            <w:vAlign w:val="center"/>
            <w:hideMark/>
          </w:tcPr>
          <w:p w14:paraId="132DCD43" w14:textId="77777777" w:rsidR="00127690" w:rsidRPr="000007D2" w:rsidRDefault="00127690" w:rsidP="001E4E92">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Electricity</w:t>
            </w:r>
          </w:p>
        </w:tc>
        <w:tc>
          <w:tcPr>
            <w:tcW w:w="992" w:type="dxa"/>
            <w:tcBorders>
              <w:bottom w:val="single" w:sz="12" w:space="0" w:color="auto"/>
            </w:tcBorders>
            <w:shd w:val="clear" w:color="auto" w:fill="1F497D"/>
            <w:noWrap/>
            <w:vAlign w:val="center"/>
            <w:hideMark/>
          </w:tcPr>
          <w:p w14:paraId="5F284BB8" w14:textId="77777777" w:rsidR="00127690" w:rsidRPr="000007D2" w:rsidRDefault="00127690" w:rsidP="001E4E92">
            <w:pPr>
              <w:spacing w:after="0" w:line="240" w:lineRule="auto"/>
              <w:jc w:val="center"/>
              <w:rPr>
                <w:rFonts w:ascii="Calibri Light" w:hAnsi="Calibri Light" w:cs="Calibri Light"/>
                <w:color w:val="FFFFFF" w:themeColor="background1"/>
                <w:sz w:val="18"/>
                <w:szCs w:val="18"/>
              </w:rPr>
            </w:pPr>
            <w:r w:rsidRPr="000007D2">
              <w:rPr>
                <w:rFonts w:ascii="Calibri Light" w:hAnsi="Calibri Light" w:cs="Calibri Light"/>
                <w:color w:val="FFFFFF" w:themeColor="background1"/>
                <w:sz w:val="18"/>
                <w:szCs w:val="18"/>
              </w:rPr>
              <w:t>Hydrogen</w:t>
            </w:r>
          </w:p>
        </w:tc>
      </w:tr>
      <w:tr w:rsidR="001E4E92" w:rsidRPr="003B4324" w14:paraId="09D10E90" w14:textId="77777777" w:rsidTr="00127690">
        <w:trPr>
          <w:trHeight w:val="298"/>
        </w:trPr>
        <w:tc>
          <w:tcPr>
            <w:tcW w:w="895" w:type="dxa"/>
            <w:vMerge w:val="restart"/>
            <w:tcBorders>
              <w:top w:val="single" w:sz="12" w:space="0" w:color="auto"/>
              <w:left w:val="single" w:sz="12" w:space="0" w:color="auto"/>
            </w:tcBorders>
            <w:shd w:val="clear" w:color="auto" w:fill="E7E6E6"/>
            <w:noWrap/>
            <w:vAlign w:val="center"/>
            <w:hideMark/>
          </w:tcPr>
          <w:p w14:paraId="668C4B77" w14:textId="77777777" w:rsidR="00127690" w:rsidRPr="004254D2" w:rsidRDefault="00127690" w:rsidP="00127690">
            <w:pPr>
              <w:spacing w:after="0" w:line="240" w:lineRule="auto"/>
              <w:jc w:val="left"/>
              <w:rPr>
                <w:rFonts w:ascii="Calibri Light" w:hAnsi="Calibri Light" w:cs="Calibri Light"/>
                <w:color w:val="000000" w:themeColor="text1"/>
              </w:rPr>
            </w:pPr>
            <w:r w:rsidRPr="00B37318">
              <w:rPr>
                <w:rFonts w:ascii="Calibri Light" w:hAnsi="Calibri Light" w:cs="Calibri Light"/>
                <w:color w:val="000000" w:themeColor="text1"/>
              </w:rPr>
              <w:t>WEM</w:t>
            </w:r>
          </w:p>
        </w:tc>
        <w:tc>
          <w:tcPr>
            <w:tcW w:w="641" w:type="dxa"/>
            <w:tcBorders>
              <w:top w:val="single" w:sz="12" w:space="0" w:color="auto"/>
            </w:tcBorders>
            <w:noWrap/>
          </w:tcPr>
          <w:p w14:paraId="2F37FE41" w14:textId="77777777" w:rsidR="00127690" w:rsidRPr="004254D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w:t>
            </w:r>
            <w:r>
              <w:rPr>
                <w:rFonts w:ascii="Calibri Light" w:hAnsi="Calibri Light" w:cs="Calibri Light"/>
                <w:color w:val="000000" w:themeColor="text1"/>
              </w:rPr>
              <w:t>20</w:t>
            </w:r>
          </w:p>
        </w:tc>
        <w:tc>
          <w:tcPr>
            <w:tcW w:w="586" w:type="dxa"/>
            <w:tcBorders>
              <w:top w:val="single" w:sz="12" w:space="0" w:color="auto"/>
            </w:tcBorders>
            <w:noWrap/>
          </w:tcPr>
          <w:p w14:paraId="1221DE4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356</w:t>
            </w:r>
          </w:p>
        </w:tc>
        <w:tc>
          <w:tcPr>
            <w:tcW w:w="882" w:type="dxa"/>
            <w:tcBorders>
              <w:top w:val="single" w:sz="12" w:space="0" w:color="auto"/>
            </w:tcBorders>
            <w:noWrap/>
          </w:tcPr>
          <w:p w14:paraId="38591B6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2879</w:t>
            </w:r>
          </w:p>
        </w:tc>
        <w:tc>
          <w:tcPr>
            <w:tcW w:w="882" w:type="dxa"/>
            <w:tcBorders>
              <w:top w:val="single" w:sz="12" w:space="0" w:color="auto"/>
            </w:tcBorders>
            <w:noWrap/>
          </w:tcPr>
          <w:p w14:paraId="4D7C9DC0"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1021</w:t>
            </w:r>
          </w:p>
        </w:tc>
        <w:tc>
          <w:tcPr>
            <w:tcW w:w="882" w:type="dxa"/>
            <w:tcBorders>
              <w:top w:val="single" w:sz="12" w:space="0" w:color="auto"/>
            </w:tcBorders>
            <w:noWrap/>
          </w:tcPr>
          <w:p w14:paraId="40BCA119"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1571</w:t>
            </w:r>
          </w:p>
        </w:tc>
        <w:tc>
          <w:tcPr>
            <w:tcW w:w="882" w:type="dxa"/>
            <w:tcBorders>
              <w:top w:val="single" w:sz="12" w:space="0" w:color="auto"/>
            </w:tcBorders>
            <w:noWrap/>
          </w:tcPr>
          <w:p w14:paraId="1F7D077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582" w:type="dxa"/>
            <w:tcBorders>
              <w:top w:val="single" w:sz="12" w:space="0" w:color="auto"/>
            </w:tcBorders>
            <w:noWrap/>
          </w:tcPr>
          <w:p w14:paraId="1A94095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w:t>
            </w:r>
          </w:p>
        </w:tc>
        <w:tc>
          <w:tcPr>
            <w:tcW w:w="709" w:type="dxa"/>
            <w:tcBorders>
              <w:top w:val="single" w:sz="12" w:space="0" w:color="auto"/>
            </w:tcBorders>
            <w:noWrap/>
          </w:tcPr>
          <w:p w14:paraId="3C382A4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w:t>
            </w:r>
          </w:p>
        </w:tc>
        <w:tc>
          <w:tcPr>
            <w:tcW w:w="992" w:type="dxa"/>
            <w:tcBorders>
              <w:top w:val="single" w:sz="12" w:space="0" w:color="auto"/>
            </w:tcBorders>
          </w:tcPr>
          <w:p w14:paraId="51BA9213"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670</w:t>
            </w:r>
          </w:p>
        </w:tc>
        <w:tc>
          <w:tcPr>
            <w:tcW w:w="993" w:type="dxa"/>
            <w:tcBorders>
              <w:top w:val="single" w:sz="12" w:space="0" w:color="auto"/>
            </w:tcBorders>
            <w:noWrap/>
          </w:tcPr>
          <w:p w14:paraId="7D82CA2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2214</w:t>
            </w:r>
          </w:p>
        </w:tc>
        <w:tc>
          <w:tcPr>
            <w:tcW w:w="992" w:type="dxa"/>
            <w:tcBorders>
              <w:top w:val="single" w:sz="12" w:space="0" w:color="auto"/>
              <w:right w:val="single" w:sz="12" w:space="0" w:color="auto"/>
            </w:tcBorders>
            <w:noWrap/>
          </w:tcPr>
          <w:p w14:paraId="1D921F8C"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54D833E0" w14:textId="77777777" w:rsidTr="00127690">
        <w:trPr>
          <w:trHeight w:val="298"/>
        </w:trPr>
        <w:tc>
          <w:tcPr>
            <w:tcW w:w="895" w:type="dxa"/>
            <w:vMerge/>
            <w:tcBorders>
              <w:left w:val="single" w:sz="12" w:space="0" w:color="auto"/>
            </w:tcBorders>
            <w:shd w:val="clear" w:color="auto" w:fill="E7E6E6"/>
            <w:noWrap/>
            <w:hideMark/>
          </w:tcPr>
          <w:p w14:paraId="34284F7A" w14:textId="77777777" w:rsidR="00127690" w:rsidRPr="004254D2" w:rsidRDefault="00127690" w:rsidP="00127690">
            <w:pPr>
              <w:spacing w:after="0" w:line="240" w:lineRule="auto"/>
              <w:jc w:val="left"/>
              <w:rPr>
                <w:rFonts w:ascii="Calibri Light" w:hAnsi="Calibri Light" w:cs="Calibri Light"/>
                <w:color w:val="000000" w:themeColor="text1"/>
              </w:rPr>
            </w:pPr>
          </w:p>
        </w:tc>
        <w:tc>
          <w:tcPr>
            <w:tcW w:w="641" w:type="dxa"/>
            <w:noWrap/>
          </w:tcPr>
          <w:p w14:paraId="097DD8C2" w14:textId="77777777" w:rsidR="00127690" w:rsidRPr="004254D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2025</w:t>
            </w:r>
          </w:p>
        </w:tc>
        <w:tc>
          <w:tcPr>
            <w:tcW w:w="586" w:type="dxa"/>
            <w:noWrap/>
          </w:tcPr>
          <w:p w14:paraId="3BF1515C"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253</w:t>
            </w:r>
          </w:p>
        </w:tc>
        <w:tc>
          <w:tcPr>
            <w:tcW w:w="882" w:type="dxa"/>
            <w:noWrap/>
          </w:tcPr>
          <w:p w14:paraId="33CB09D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3156</w:t>
            </w:r>
          </w:p>
        </w:tc>
        <w:tc>
          <w:tcPr>
            <w:tcW w:w="882" w:type="dxa"/>
            <w:noWrap/>
          </w:tcPr>
          <w:p w14:paraId="0F447723"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988</w:t>
            </w:r>
          </w:p>
        </w:tc>
        <w:tc>
          <w:tcPr>
            <w:tcW w:w="882" w:type="dxa"/>
            <w:noWrap/>
          </w:tcPr>
          <w:p w14:paraId="509B35E2"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1818</w:t>
            </w:r>
          </w:p>
        </w:tc>
        <w:tc>
          <w:tcPr>
            <w:tcW w:w="882" w:type="dxa"/>
            <w:noWrap/>
          </w:tcPr>
          <w:p w14:paraId="6D6EF37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w:t>
            </w:r>
          </w:p>
        </w:tc>
        <w:tc>
          <w:tcPr>
            <w:tcW w:w="582" w:type="dxa"/>
            <w:noWrap/>
          </w:tcPr>
          <w:p w14:paraId="547F30A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2E7ABD2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w:t>
            </w:r>
          </w:p>
        </w:tc>
        <w:tc>
          <w:tcPr>
            <w:tcW w:w="992" w:type="dxa"/>
          </w:tcPr>
          <w:p w14:paraId="35B76160"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805</w:t>
            </w:r>
          </w:p>
        </w:tc>
        <w:tc>
          <w:tcPr>
            <w:tcW w:w="993" w:type="dxa"/>
            <w:noWrap/>
          </w:tcPr>
          <w:p w14:paraId="571F826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2749</w:t>
            </w:r>
          </w:p>
        </w:tc>
        <w:tc>
          <w:tcPr>
            <w:tcW w:w="992" w:type="dxa"/>
            <w:tcBorders>
              <w:right w:val="single" w:sz="12" w:space="0" w:color="auto"/>
            </w:tcBorders>
            <w:noWrap/>
          </w:tcPr>
          <w:p w14:paraId="6EDAA42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7C61D059" w14:textId="77777777" w:rsidTr="00127690">
        <w:trPr>
          <w:trHeight w:val="298"/>
        </w:trPr>
        <w:tc>
          <w:tcPr>
            <w:tcW w:w="895" w:type="dxa"/>
            <w:vMerge/>
            <w:tcBorders>
              <w:left w:val="single" w:sz="12" w:space="0" w:color="auto"/>
            </w:tcBorders>
            <w:shd w:val="clear" w:color="auto" w:fill="E7E6E6"/>
            <w:noWrap/>
            <w:hideMark/>
          </w:tcPr>
          <w:p w14:paraId="054AEBC6" w14:textId="77777777" w:rsidR="00127690" w:rsidRPr="004254D2" w:rsidRDefault="00127690" w:rsidP="00127690">
            <w:pPr>
              <w:spacing w:after="0" w:line="240" w:lineRule="auto"/>
              <w:jc w:val="left"/>
              <w:rPr>
                <w:rFonts w:ascii="Calibri Light" w:hAnsi="Calibri Light" w:cs="Calibri Light"/>
                <w:color w:val="000000" w:themeColor="text1"/>
              </w:rPr>
            </w:pPr>
          </w:p>
        </w:tc>
        <w:tc>
          <w:tcPr>
            <w:tcW w:w="641" w:type="dxa"/>
            <w:noWrap/>
          </w:tcPr>
          <w:p w14:paraId="2643C4C7" w14:textId="77777777" w:rsidR="00127690" w:rsidRPr="004254D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2026</w:t>
            </w:r>
          </w:p>
        </w:tc>
        <w:tc>
          <w:tcPr>
            <w:tcW w:w="586" w:type="dxa"/>
            <w:noWrap/>
          </w:tcPr>
          <w:p w14:paraId="10E0C277"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223</w:t>
            </w:r>
          </w:p>
        </w:tc>
        <w:tc>
          <w:tcPr>
            <w:tcW w:w="882" w:type="dxa"/>
            <w:noWrap/>
          </w:tcPr>
          <w:p w14:paraId="1990FD3D"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3187</w:t>
            </w:r>
          </w:p>
        </w:tc>
        <w:tc>
          <w:tcPr>
            <w:tcW w:w="882" w:type="dxa"/>
            <w:noWrap/>
          </w:tcPr>
          <w:p w14:paraId="6A4FD4DD"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1062</w:t>
            </w:r>
          </w:p>
        </w:tc>
        <w:tc>
          <w:tcPr>
            <w:tcW w:w="882" w:type="dxa"/>
            <w:noWrap/>
          </w:tcPr>
          <w:p w14:paraId="13A61BF9"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1809</w:t>
            </w:r>
          </w:p>
        </w:tc>
        <w:tc>
          <w:tcPr>
            <w:tcW w:w="882" w:type="dxa"/>
            <w:noWrap/>
          </w:tcPr>
          <w:p w14:paraId="668BD255"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w:t>
            </w:r>
          </w:p>
        </w:tc>
        <w:tc>
          <w:tcPr>
            <w:tcW w:w="582" w:type="dxa"/>
            <w:noWrap/>
          </w:tcPr>
          <w:p w14:paraId="1D10ED8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2D754E67"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w:t>
            </w:r>
          </w:p>
        </w:tc>
        <w:tc>
          <w:tcPr>
            <w:tcW w:w="992" w:type="dxa"/>
          </w:tcPr>
          <w:p w14:paraId="084D90A6"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843</w:t>
            </w:r>
          </w:p>
        </w:tc>
        <w:tc>
          <w:tcPr>
            <w:tcW w:w="993" w:type="dxa"/>
            <w:noWrap/>
          </w:tcPr>
          <w:p w14:paraId="22B2F1D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2787</w:t>
            </w:r>
          </w:p>
        </w:tc>
        <w:tc>
          <w:tcPr>
            <w:tcW w:w="992" w:type="dxa"/>
            <w:tcBorders>
              <w:right w:val="single" w:sz="12" w:space="0" w:color="auto"/>
            </w:tcBorders>
            <w:noWrap/>
          </w:tcPr>
          <w:p w14:paraId="45F5A90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396A5E08" w14:textId="77777777" w:rsidTr="00127690">
        <w:trPr>
          <w:trHeight w:val="298"/>
        </w:trPr>
        <w:tc>
          <w:tcPr>
            <w:tcW w:w="895" w:type="dxa"/>
            <w:vMerge/>
            <w:tcBorders>
              <w:left w:val="single" w:sz="12" w:space="0" w:color="auto"/>
            </w:tcBorders>
            <w:shd w:val="clear" w:color="auto" w:fill="E7E6E6"/>
            <w:noWrap/>
          </w:tcPr>
          <w:p w14:paraId="4F82D4A0"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6923E659"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2027</w:t>
            </w:r>
          </w:p>
        </w:tc>
        <w:tc>
          <w:tcPr>
            <w:tcW w:w="586" w:type="dxa"/>
            <w:noWrap/>
          </w:tcPr>
          <w:p w14:paraId="2148D793"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228</w:t>
            </w:r>
          </w:p>
        </w:tc>
        <w:tc>
          <w:tcPr>
            <w:tcW w:w="882" w:type="dxa"/>
            <w:noWrap/>
          </w:tcPr>
          <w:p w14:paraId="0282E3D2"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3247</w:t>
            </w:r>
          </w:p>
        </w:tc>
        <w:tc>
          <w:tcPr>
            <w:tcW w:w="882" w:type="dxa"/>
            <w:noWrap/>
          </w:tcPr>
          <w:p w14:paraId="726A925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1111</w:t>
            </w:r>
          </w:p>
        </w:tc>
        <w:tc>
          <w:tcPr>
            <w:tcW w:w="882" w:type="dxa"/>
            <w:noWrap/>
          </w:tcPr>
          <w:p w14:paraId="7D7D8732"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1794</w:t>
            </w:r>
          </w:p>
        </w:tc>
        <w:tc>
          <w:tcPr>
            <w:tcW w:w="882" w:type="dxa"/>
            <w:noWrap/>
          </w:tcPr>
          <w:p w14:paraId="53B88DB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c>
          <w:tcPr>
            <w:tcW w:w="582" w:type="dxa"/>
            <w:noWrap/>
          </w:tcPr>
          <w:p w14:paraId="6A21656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1E3BAB3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w:t>
            </w:r>
          </w:p>
        </w:tc>
        <w:tc>
          <w:tcPr>
            <w:tcW w:w="992" w:type="dxa"/>
          </w:tcPr>
          <w:p w14:paraId="7223F016"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855</w:t>
            </w:r>
          </w:p>
        </w:tc>
        <w:tc>
          <w:tcPr>
            <w:tcW w:w="993" w:type="dxa"/>
            <w:noWrap/>
          </w:tcPr>
          <w:p w14:paraId="67BE620B"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2826</w:t>
            </w:r>
          </w:p>
        </w:tc>
        <w:tc>
          <w:tcPr>
            <w:tcW w:w="992" w:type="dxa"/>
            <w:tcBorders>
              <w:right w:val="single" w:sz="12" w:space="0" w:color="auto"/>
            </w:tcBorders>
            <w:noWrap/>
          </w:tcPr>
          <w:p w14:paraId="0DC42920"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565D2287" w14:textId="77777777" w:rsidTr="00127690">
        <w:trPr>
          <w:trHeight w:val="298"/>
        </w:trPr>
        <w:tc>
          <w:tcPr>
            <w:tcW w:w="895" w:type="dxa"/>
            <w:vMerge/>
            <w:tcBorders>
              <w:left w:val="single" w:sz="12" w:space="0" w:color="auto"/>
            </w:tcBorders>
            <w:shd w:val="clear" w:color="auto" w:fill="E7E6E6"/>
            <w:noWrap/>
          </w:tcPr>
          <w:p w14:paraId="40A63598"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4362D625"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2028</w:t>
            </w:r>
          </w:p>
        </w:tc>
        <w:tc>
          <w:tcPr>
            <w:tcW w:w="586" w:type="dxa"/>
            <w:noWrap/>
          </w:tcPr>
          <w:p w14:paraId="41BE1FAF"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235</w:t>
            </w:r>
          </w:p>
        </w:tc>
        <w:tc>
          <w:tcPr>
            <w:tcW w:w="882" w:type="dxa"/>
            <w:noWrap/>
          </w:tcPr>
          <w:p w14:paraId="35D25909"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3271</w:t>
            </w:r>
          </w:p>
        </w:tc>
        <w:tc>
          <w:tcPr>
            <w:tcW w:w="882" w:type="dxa"/>
            <w:noWrap/>
          </w:tcPr>
          <w:p w14:paraId="61AE8DA7"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1173</w:t>
            </w:r>
          </w:p>
        </w:tc>
        <w:tc>
          <w:tcPr>
            <w:tcW w:w="882" w:type="dxa"/>
            <w:noWrap/>
          </w:tcPr>
          <w:p w14:paraId="007D2247"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1786</w:t>
            </w:r>
          </w:p>
        </w:tc>
        <w:tc>
          <w:tcPr>
            <w:tcW w:w="882" w:type="dxa"/>
            <w:noWrap/>
          </w:tcPr>
          <w:p w14:paraId="5B98B2C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53</w:t>
            </w:r>
          </w:p>
        </w:tc>
        <w:tc>
          <w:tcPr>
            <w:tcW w:w="582" w:type="dxa"/>
            <w:noWrap/>
          </w:tcPr>
          <w:p w14:paraId="0C0EF32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3492FE5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w:t>
            </w:r>
          </w:p>
        </w:tc>
        <w:tc>
          <w:tcPr>
            <w:tcW w:w="992" w:type="dxa"/>
          </w:tcPr>
          <w:p w14:paraId="0633AA38"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869</w:t>
            </w:r>
          </w:p>
        </w:tc>
        <w:tc>
          <w:tcPr>
            <w:tcW w:w="993" w:type="dxa"/>
            <w:noWrap/>
          </w:tcPr>
          <w:p w14:paraId="0715E7AF"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2872</w:t>
            </w:r>
          </w:p>
        </w:tc>
        <w:tc>
          <w:tcPr>
            <w:tcW w:w="992" w:type="dxa"/>
            <w:tcBorders>
              <w:right w:val="single" w:sz="12" w:space="0" w:color="auto"/>
            </w:tcBorders>
            <w:noWrap/>
          </w:tcPr>
          <w:p w14:paraId="6E65E70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7F6532B1" w14:textId="77777777" w:rsidTr="00127690">
        <w:trPr>
          <w:trHeight w:val="298"/>
        </w:trPr>
        <w:tc>
          <w:tcPr>
            <w:tcW w:w="895" w:type="dxa"/>
            <w:vMerge/>
            <w:tcBorders>
              <w:left w:val="single" w:sz="12" w:space="0" w:color="auto"/>
            </w:tcBorders>
            <w:shd w:val="clear" w:color="auto" w:fill="E7E6E6"/>
            <w:noWrap/>
          </w:tcPr>
          <w:p w14:paraId="4E02825D"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51500426"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2029</w:t>
            </w:r>
          </w:p>
        </w:tc>
        <w:tc>
          <w:tcPr>
            <w:tcW w:w="586" w:type="dxa"/>
            <w:noWrap/>
          </w:tcPr>
          <w:p w14:paraId="05BC01E5"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246</w:t>
            </w:r>
          </w:p>
        </w:tc>
        <w:tc>
          <w:tcPr>
            <w:tcW w:w="882" w:type="dxa"/>
            <w:noWrap/>
          </w:tcPr>
          <w:p w14:paraId="18A16ABC"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3310</w:t>
            </w:r>
          </w:p>
        </w:tc>
        <w:tc>
          <w:tcPr>
            <w:tcW w:w="882" w:type="dxa"/>
            <w:noWrap/>
          </w:tcPr>
          <w:p w14:paraId="03887F2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1237</w:t>
            </w:r>
          </w:p>
        </w:tc>
        <w:tc>
          <w:tcPr>
            <w:tcW w:w="882" w:type="dxa"/>
            <w:noWrap/>
          </w:tcPr>
          <w:p w14:paraId="268287E8"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1766</w:t>
            </w:r>
          </w:p>
        </w:tc>
        <w:tc>
          <w:tcPr>
            <w:tcW w:w="882" w:type="dxa"/>
            <w:noWrap/>
          </w:tcPr>
          <w:p w14:paraId="78A4A479"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63</w:t>
            </w:r>
          </w:p>
        </w:tc>
        <w:tc>
          <w:tcPr>
            <w:tcW w:w="582" w:type="dxa"/>
            <w:noWrap/>
          </w:tcPr>
          <w:p w14:paraId="5F46A3F3"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340C93F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w:t>
            </w:r>
          </w:p>
        </w:tc>
        <w:tc>
          <w:tcPr>
            <w:tcW w:w="992" w:type="dxa"/>
          </w:tcPr>
          <w:p w14:paraId="619654A2"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881</w:t>
            </w:r>
          </w:p>
        </w:tc>
        <w:tc>
          <w:tcPr>
            <w:tcW w:w="993" w:type="dxa"/>
            <w:noWrap/>
          </w:tcPr>
          <w:p w14:paraId="5F39B12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2920</w:t>
            </w:r>
          </w:p>
        </w:tc>
        <w:tc>
          <w:tcPr>
            <w:tcW w:w="992" w:type="dxa"/>
            <w:tcBorders>
              <w:right w:val="single" w:sz="12" w:space="0" w:color="auto"/>
            </w:tcBorders>
            <w:noWrap/>
          </w:tcPr>
          <w:p w14:paraId="434D168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70C141BC" w14:textId="77777777" w:rsidTr="00127690">
        <w:trPr>
          <w:trHeight w:val="298"/>
        </w:trPr>
        <w:tc>
          <w:tcPr>
            <w:tcW w:w="895" w:type="dxa"/>
            <w:vMerge/>
            <w:tcBorders>
              <w:left w:val="single" w:sz="12" w:space="0" w:color="auto"/>
            </w:tcBorders>
            <w:shd w:val="clear" w:color="auto" w:fill="E7E6E6"/>
            <w:noWrap/>
          </w:tcPr>
          <w:p w14:paraId="6856BCB7"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6292A19A"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2030</w:t>
            </w:r>
          </w:p>
        </w:tc>
        <w:tc>
          <w:tcPr>
            <w:tcW w:w="586" w:type="dxa"/>
            <w:noWrap/>
          </w:tcPr>
          <w:p w14:paraId="2E4E8B1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253</w:t>
            </w:r>
          </w:p>
        </w:tc>
        <w:tc>
          <w:tcPr>
            <w:tcW w:w="882" w:type="dxa"/>
            <w:noWrap/>
          </w:tcPr>
          <w:p w14:paraId="163A5AF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3328</w:t>
            </w:r>
          </w:p>
        </w:tc>
        <w:tc>
          <w:tcPr>
            <w:tcW w:w="882" w:type="dxa"/>
            <w:noWrap/>
          </w:tcPr>
          <w:p w14:paraId="57C0109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1310</w:t>
            </w:r>
          </w:p>
        </w:tc>
        <w:tc>
          <w:tcPr>
            <w:tcW w:w="882" w:type="dxa"/>
            <w:noWrap/>
          </w:tcPr>
          <w:p w14:paraId="7E4860E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1755</w:t>
            </w:r>
          </w:p>
        </w:tc>
        <w:tc>
          <w:tcPr>
            <w:tcW w:w="882" w:type="dxa"/>
            <w:noWrap/>
          </w:tcPr>
          <w:p w14:paraId="39BAF3D5"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73</w:t>
            </w:r>
          </w:p>
        </w:tc>
        <w:tc>
          <w:tcPr>
            <w:tcW w:w="582" w:type="dxa"/>
            <w:noWrap/>
          </w:tcPr>
          <w:p w14:paraId="542911E9"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46A10830"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w:t>
            </w:r>
          </w:p>
        </w:tc>
        <w:tc>
          <w:tcPr>
            <w:tcW w:w="992" w:type="dxa"/>
          </w:tcPr>
          <w:p w14:paraId="2AC3EC89"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887</w:t>
            </w:r>
          </w:p>
        </w:tc>
        <w:tc>
          <w:tcPr>
            <w:tcW w:w="993" w:type="dxa"/>
            <w:noWrap/>
          </w:tcPr>
          <w:p w14:paraId="3956081B"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2971</w:t>
            </w:r>
          </w:p>
        </w:tc>
        <w:tc>
          <w:tcPr>
            <w:tcW w:w="992" w:type="dxa"/>
            <w:tcBorders>
              <w:right w:val="single" w:sz="12" w:space="0" w:color="auto"/>
            </w:tcBorders>
            <w:noWrap/>
          </w:tcPr>
          <w:p w14:paraId="3481C07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1ABFB775" w14:textId="77777777" w:rsidTr="00127690">
        <w:trPr>
          <w:trHeight w:val="298"/>
        </w:trPr>
        <w:tc>
          <w:tcPr>
            <w:tcW w:w="895" w:type="dxa"/>
            <w:vMerge/>
            <w:tcBorders>
              <w:left w:val="single" w:sz="12" w:space="0" w:color="auto"/>
            </w:tcBorders>
            <w:shd w:val="clear" w:color="auto" w:fill="E7E6E6"/>
            <w:noWrap/>
          </w:tcPr>
          <w:p w14:paraId="4103C574"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48BACC3B"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2035</w:t>
            </w:r>
          </w:p>
        </w:tc>
        <w:tc>
          <w:tcPr>
            <w:tcW w:w="586" w:type="dxa"/>
            <w:noWrap/>
          </w:tcPr>
          <w:p w14:paraId="4139CC2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299</w:t>
            </w:r>
          </w:p>
        </w:tc>
        <w:tc>
          <w:tcPr>
            <w:tcW w:w="882" w:type="dxa"/>
            <w:noWrap/>
          </w:tcPr>
          <w:p w14:paraId="6159AA0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3429</w:t>
            </w:r>
          </w:p>
        </w:tc>
        <w:tc>
          <w:tcPr>
            <w:tcW w:w="882" w:type="dxa"/>
            <w:noWrap/>
          </w:tcPr>
          <w:p w14:paraId="47DD327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1623</w:t>
            </w:r>
          </w:p>
        </w:tc>
        <w:tc>
          <w:tcPr>
            <w:tcW w:w="882" w:type="dxa"/>
            <w:noWrap/>
          </w:tcPr>
          <w:p w14:paraId="0BE63AE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1687</w:t>
            </w:r>
          </w:p>
        </w:tc>
        <w:tc>
          <w:tcPr>
            <w:tcW w:w="882" w:type="dxa"/>
            <w:noWrap/>
          </w:tcPr>
          <w:p w14:paraId="1A6F7050"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78</w:t>
            </w:r>
          </w:p>
        </w:tc>
        <w:tc>
          <w:tcPr>
            <w:tcW w:w="582" w:type="dxa"/>
            <w:noWrap/>
          </w:tcPr>
          <w:p w14:paraId="40347B37"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3867B1C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992" w:type="dxa"/>
          </w:tcPr>
          <w:p w14:paraId="7D1B7C4C"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865</w:t>
            </w:r>
          </w:p>
        </w:tc>
        <w:tc>
          <w:tcPr>
            <w:tcW w:w="993" w:type="dxa"/>
            <w:noWrap/>
          </w:tcPr>
          <w:p w14:paraId="227C767C"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3122</w:t>
            </w:r>
          </w:p>
        </w:tc>
        <w:tc>
          <w:tcPr>
            <w:tcW w:w="992" w:type="dxa"/>
            <w:tcBorders>
              <w:right w:val="single" w:sz="12" w:space="0" w:color="auto"/>
            </w:tcBorders>
            <w:noWrap/>
          </w:tcPr>
          <w:p w14:paraId="1BDA24B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4C0D42A9" w14:textId="77777777" w:rsidTr="00127690">
        <w:trPr>
          <w:trHeight w:val="298"/>
        </w:trPr>
        <w:tc>
          <w:tcPr>
            <w:tcW w:w="895" w:type="dxa"/>
            <w:vMerge/>
            <w:tcBorders>
              <w:left w:val="single" w:sz="12" w:space="0" w:color="auto"/>
            </w:tcBorders>
            <w:shd w:val="clear" w:color="auto" w:fill="E7E6E6"/>
            <w:noWrap/>
          </w:tcPr>
          <w:p w14:paraId="47EDCCB5"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08D3275B"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2040</w:t>
            </w:r>
          </w:p>
        </w:tc>
        <w:tc>
          <w:tcPr>
            <w:tcW w:w="586" w:type="dxa"/>
            <w:noWrap/>
          </w:tcPr>
          <w:p w14:paraId="27997B3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336</w:t>
            </w:r>
          </w:p>
        </w:tc>
        <w:tc>
          <w:tcPr>
            <w:tcW w:w="882" w:type="dxa"/>
            <w:noWrap/>
          </w:tcPr>
          <w:p w14:paraId="4619C14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3716</w:t>
            </w:r>
          </w:p>
        </w:tc>
        <w:tc>
          <w:tcPr>
            <w:tcW w:w="882" w:type="dxa"/>
            <w:noWrap/>
          </w:tcPr>
          <w:p w14:paraId="6519A79F"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1842</w:t>
            </w:r>
          </w:p>
        </w:tc>
        <w:tc>
          <w:tcPr>
            <w:tcW w:w="882" w:type="dxa"/>
            <w:noWrap/>
          </w:tcPr>
          <w:p w14:paraId="24407A3F"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1554</w:t>
            </w:r>
          </w:p>
        </w:tc>
        <w:tc>
          <w:tcPr>
            <w:tcW w:w="882" w:type="dxa"/>
            <w:noWrap/>
          </w:tcPr>
          <w:p w14:paraId="589E838C"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w:t>
            </w:r>
          </w:p>
        </w:tc>
        <w:tc>
          <w:tcPr>
            <w:tcW w:w="582" w:type="dxa"/>
            <w:noWrap/>
          </w:tcPr>
          <w:p w14:paraId="542988B2"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586DF1A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w:t>
            </w:r>
          </w:p>
        </w:tc>
        <w:tc>
          <w:tcPr>
            <w:tcW w:w="992" w:type="dxa"/>
          </w:tcPr>
          <w:p w14:paraId="0CDC571B"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879</w:t>
            </w:r>
          </w:p>
        </w:tc>
        <w:tc>
          <w:tcPr>
            <w:tcW w:w="993" w:type="dxa"/>
            <w:noWrap/>
          </w:tcPr>
          <w:p w14:paraId="7C066C90"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3306</w:t>
            </w:r>
          </w:p>
        </w:tc>
        <w:tc>
          <w:tcPr>
            <w:tcW w:w="992" w:type="dxa"/>
            <w:tcBorders>
              <w:right w:val="single" w:sz="12" w:space="0" w:color="auto"/>
            </w:tcBorders>
            <w:noWrap/>
          </w:tcPr>
          <w:p w14:paraId="1D7FD4A3"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711D511E" w14:textId="77777777" w:rsidTr="00127690">
        <w:trPr>
          <w:trHeight w:val="298"/>
        </w:trPr>
        <w:tc>
          <w:tcPr>
            <w:tcW w:w="895" w:type="dxa"/>
            <w:vMerge/>
            <w:tcBorders>
              <w:left w:val="single" w:sz="12" w:space="0" w:color="auto"/>
            </w:tcBorders>
            <w:shd w:val="clear" w:color="auto" w:fill="E7E6E6"/>
            <w:noWrap/>
          </w:tcPr>
          <w:p w14:paraId="33C3383E"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63517D1C"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2045</w:t>
            </w:r>
          </w:p>
        </w:tc>
        <w:tc>
          <w:tcPr>
            <w:tcW w:w="586" w:type="dxa"/>
            <w:noWrap/>
          </w:tcPr>
          <w:p w14:paraId="48398C2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339</w:t>
            </w:r>
          </w:p>
        </w:tc>
        <w:tc>
          <w:tcPr>
            <w:tcW w:w="882" w:type="dxa"/>
            <w:noWrap/>
          </w:tcPr>
          <w:p w14:paraId="62C2FDCC"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3947</w:t>
            </w:r>
          </w:p>
        </w:tc>
        <w:tc>
          <w:tcPr>
            <w:tcW w:w="882" w:type="dxa"/>
            <w:noWrap/>
          </w:tcPr>
          <w:p w14:paraId="6D8F737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2062</w:t>
            </w:r>
          </w:p>
        </w:tc>
        <w:tc>
          <w:tcPr>
            <w:tcW w:w="882" w:type="dxa"/>
            <w:noWrap/>
          </w:tcPr>
          <w:p w14:paraId="334CAB5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1524</w:t>
            </w:r>
          </w:p>
        </w:tc>
        <w:tc>
          <w:tcPr>
            <w:tcW w:w="882" w:type="dxa"/>
            <w:noWrap/>
          </w:tcPr>
          <w:p w14:paraId="1F55003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90</w:t>
            </w:r>
          </w:p>
        </w:tc>
        <w:tc>
          <w:tcPr>
            <w:tcW w:w="582" w:type="dxa"/>
            <w:noWrap/>
          </w:tcPr>
          <w:p w14:paraId="1AF71EBF"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noWrap/>
          </w:tcPr>
          <w:p w14:paraId="15633F29"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w:t>
            </w:r>
          </w:p>
        </w:tc>
        <w:tc>
          <w:tcPr>
            <w:tcW w:w="992" w:type="dxa"/>
          </w:tcPr>
          <w:p w14:paraId="1B7ABD19"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891</w:t>
            </w:r>
          </w:p>
        </w:tc>
        <w:tc>
          <w:tcPr>
            <w:tcW w:w="993" w:type="dxa"/>
            <w:noWrap/>
          </w:tcPr>
          <w:p w14:paraId="4EB51A35"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3423</w:t>
            </w:r>
          </w:p>
        </w:tc>
        <w:tc>
          <w:tcPr>
            <w:tcW w:w="992" w:type="dxa"/>
            <w:tcBorders>
              <w:right w:val="single" w:sz="12" w:space="0" w:color="auto"/>
            </w:tcBorders>
            <w:noWrap/>
          </w:tcPr>
          <w:p w14:paraId="14BB50F4"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6A19B622" w14:textId="77777777" w:rsidTr="00127690">
        <w:trPr>
          <w:trHeight w:val="298"/>
        </w:trPr>
        <w:tc>
          <w:tcPr>
            <w:tcW w:w="895" w:type="dxa"/>
            <w:vMerge/>
            <w:tcBorders>
              <w:left w:val="single" w:sz="12" w:space="0" w:color="auto"/>
              <w:bottom w:val="single" w:sz="12" w:space="0" w:color="auto"/>
            </w:tcBorders>
            <w:shd w:val="clear" w:color="auto" w:fill="E7E6E6"/>
            <w:noWrap/>
          </w:tcPr>
          <w:p w14:paraId="0CBDD9BF"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tcBorders>
              <w:bottom w:val="single" w:sz="12" w:space="0" w:color="auto"/>
            </w:tcBorders>
            <w:noWrap/>
          </w:tcPr>
          <w:p w14:paraId="6A5732F3" w14:textId="77777777" w:rsidR="00127690" w:rsidRPr="002574F2"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2050</w:t>
            </w:r>
          </w:p>
        </w:tc>
        <w:tc>
          <w:tcPr>
            <w:tcW w:w="586" w:type="dxa"/>
            <w:tcBorders>
              <w:bottom w:val="single" w:sz="12" w:space="0" w:color="auto"/>
            </w:tcBorders>
            <w:noWrap/>
          </w:tcPr>
          <w:p w14:paraId="2E4A87D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376</w:t>
            </w:r>
          </w:p>
        </w:tc>
        <w:tc>
          <w:tcPr>
            <w:tcW w:w="882" w:type="dxa"/>
            <w:tcBorders>
              <w:bottom w:val="single" w:sz="12" w:space="0" w:color="auto"/>
            </w:tcBorders>
            <w:noWrap/>
          </w:tcPr>
          <w:p w14:paraId="7C493A35"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4156</w:t>
            </w:r>
          </w:p>
        </w:tc>
        <w:tc>
          <w:tcPr>
            <w:tcW w:w="882" w:type="dxa"/>
            <w:tcBorders>
              <w:bottom w:val="single" w:sz="12" w:space="0" w:color="auto"/>
            </w:tcBorders>
            <w:noWrap/>
          </w:tcPr>
          <w:p w14:paraId="204B08EE"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2319</w:t>
            </w:r>
          </w:p>
        </w:tc>
        <w:tc>
          <w:tcPr>
            <w:tcW w:w="882" w:type="dxa"/>
            <w:tcBorders>
              <w:bottom w:val="single" w:sz="12" w:space="0" w:color="auto"/>
            </w:tcBorders>
            <w:noWrap/>
          </w:tcPr>
          <w:p w14:paraId="79A247BB"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1520</w:t>
            </w:r>
          </w:p>
        </w:tc>
        <w:tc>
          <w:tcPr>
            <w:tcW w:w="882" w:type="dxa"/>
            <w:tcBorders>
              <w:bottom w:val="single" w:sz="12" w:space="0" w:color="auto"/>
            </w:tcBorders>
            <w:noWrap/>
          </w:tcPr>
          <w:p w14:paraId="61A6D6C1"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w:t>
            </w:r>
          </w:p>
        </w:tc>
        <w:tc>
          <w:tcPr>
            <w:tcW w:w="582" w:type="dxa"/>
            <w:tcBorders>
              <w:bottom w:val="single" w:sz="12" w:space="0" w:color="auto"/>
            </w:tcBorders>
            <w:noWrap/>
          </w:tcPr>
          <w:p w14:paraId="588993D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709" w:type="dxa"/>
            <w:tcBorders>
              <w:bottom w:val="single" w:sz="12" w:space="0" w:color="auto"/>
            </w:tcBorders>
            <w:noWrap/>
          </w:tcPr>
          <w:p w14:paraId="30F95DE6"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w:t>
            </w:r>
          </w:p>
        </w:tc>
        <w:tc>
          <w:tcPr>
            <w:tcW w:w="992" w:type="dxa"/>
            <w:tcBorders>
              <w:bottom w:val="single" w:sz="12" w:space="0" w:color="auto"/>
            </w:tcBorders>
          </w:tcPr>
          <w:p w14:paraId="6993FC45"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898</w:t>
            </w:r>
          </w:p>
        </w:tc>
        <w:tc>
          <w:tcPr>
            <w:tcW w:w="993" w:type="dxa"/>
            <w:tcBorders>
              <w:bottom w:val="single" w:sz="12" w:space="0" w:color="auto"/>
            </w:tcBorders>
            <w:noWrap/>
          </w:tcPr>
          <w:p w14:paraId="6D41DA5A"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3552</w:t>
            </w:r>
          </w:p>
        </w:tc>
        <w:tc>
          <w:tcPr>
            <w:tcW w:w="992" w:type="dxa"/>
            <w:tcBorders>
              <w:bottom w:val="single" w:sz="12" w:space="0" w:color="auto"/>
              <w:right w:val="single" w:sz="12" w:space="0" w:color="auto"/>
            </w:tcBorders>
            <w:noWrap/>
          </w:tcPr>
          <w:p w14:paraId="12628F22" w14:textId="77777777" w:rsidR="00127690" w:rsidRPr="002574F2"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70DB6516" w14:textId="77777777" w:rsidTr="00127690">
        <w:trPr>
          <w:trHeight w:val="298"/>
        </w:trPr>
        <w:tc>
          <w:tcPr>
            <w:tcW w:w="895" w:type="dxa"/>
            <w:vMerge w:val="restart"/>
            <w:tcBorders>
              <w:top w:val="single" w:sz="12" w:space="0" w:color="auto"/>
              <w:left w:val="single" w:sz="12" w:space="0" w:color="auto"/>
            </w:tcBorders>
            <w:shd w:val="clear" w:color="auto" w:fill="E7E6E6"/>
            <w:noWrap/>
            <w:vAlign w:val="center"/>
          </w:tcPr>
          <w:p w14:paraId="776D2BB0" w14:textId="77777777" w:rsidR="00127690" w:rsidRPr="004254D2" w:rsidRDefault="00127690" w:rsidP="00127690">
            <w:pPr>
              <w:spacing w:after="0" w:line="240" w:lineRule="auto"/>
              <w:jc w:val="left"/>
              <w:rPr>
                <w:rFonts w:ascii="Calibri Light" w:hAnsi="Calibri Light" w:cs="Calibri Light"/>
                <w:color w:val="000000" w:themeColor="text1"/>
              </w:rPr>
            </w:pPr>
            <w:r w:rsidRPr="00B37318">
              <w:rPr>
                <w:rFonts w:ascii="Calibri Light" w:hAnsi="Calibri Light" w:cs="Calibri Light"/>
                <w:color w:val="000000" w:themeColor="text1"/>
              </w:rPr>
              <w:t>Scenario-S</w:t>
            </w:r>
          </w:p>
        </w:tc>
        <w:tc>
          <w:tcPr>
            <w:tcW w:w="641" w:type="dxa"/>
            <w:tcBorders>
              <w:top w:val="single" w:sz="12" w:space="0" w:color="auto"/>
            </w:tcBorders>
            <w:noWrap/>
          </w:tcPr>
          <w:p w14:paraId="3231EA03"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w:t>
            </w:r>
            <w:r>
              <w:rPr>
                <w:rFonts w:ascii="Calibri Light" w:hAnsi="Calibri Light" w:cs="Calibri Light"/>
                <w:color w:val="000000" w:themeColor="text1"/>
              </w:rPr>
              <w:t>20</w:t>
            </w:r>
          </w:p>
        </w:tc>
        <w:tc>
          <w:tcPr>
            <w:tcW w:w="586" w:type="dxa"/>
            <w:tcBorders>
              <w:top w:val="single" w:sz="12" w:space="0" w:color="auto"/>
            </w:tcBorders>
            <w:noWrap/>
          </w:tcPr>
          <w:p w14:paraId="3FEB3E4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358</w:t>
            </w:r>
          </w:p>
        </w:tc>
        <w:tc>
          <w:tcPr>
            <w:tcW w:w="882" w:type="dxa"/>
            <w:tcBorders>
              <w:top w:val="single" w:sz="12" w:space="0" w:color="auto"/>
            </w:tcBorders>
            <w:noWrap/>
          </w:tcPr>
          <w:p w14:paraId="3EC1AED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2910</w:t>
            </w:r>
          </w:p>
        </w:tc>
        <w:tc>
          <w:tcPr>
            <w:tcW w:w="882" w:type="dxa"/>
            <w:tcBorders>
              <w:top w:val="single" w:sz="12" w:space="0" w:color="auto"/>
            </w:tcBorders>
            <w:noWrap/>
          </w:tcPr>
          <w:p w14:paraId="275D680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1030</w:t>
            </w:r>
          </w:p>
        </w:tc>
        <w:tc>
          <w:tcPr>
            <w:tcW w:w="882" w:type="dxa"/>
            <w:tcBorders>
              <w:top w:val="single" w:sz="12" w:space="0" w:color="auto"/>
            </w:tcBorders>
            <w:noWrap/>
          </w:tcPr>
          <w:p w14:paraId="456C293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1571</w:t>
            </w:r>
          </w:p>
        </w:tc>
        <w:tc>
          <w:tcPr>
            <w:tcW w:w="882" w:type="dxa"/>
            <w:tcBorders>
              <w:top w:val="single" w:sz="12" w:space="0" w:color="auto"/>
            </w:tcBorders>
            <w:noWrap/>
          </w:tcPr>
          <w:p w14:paraId="6176BD1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582" w:type="dxa"/>
            <w:tcBorders>
              <w:top w:val="single" w:sz="12" w:space="0" w:color="auto"/>
            </w:tcBorders>
            <w:noWrap/>
          </w:tcPr>
          <w:p w14:paraId="2340CA1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w:t>
            </w:r>
          </w:p>
        </w:tc>
        <w:tc>
          <w:tcPr>
            <w:tcW w:w="709" w:type="dxa"/>
            <w:tcBorders>
              <w:top w:val="single" w:sz="12" w:space="0" w:color="auto"/>
            </w:tcBorders>
            <w:noWrap/>
          </w:tcPr>
          <w:p w14:paraId="07967B3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w:t>
            </w:r>
          </w:p>
        </w:tc>
        <w:tc>
          <w:tcPr>
            <w:tcW w:w="992" w:type="dxa"/>
            <w:tcBorders>
              <w:top w:val="single" w:sz="12" w:space="0" w:color="auto"/>
            </w:tcBorders>
          </w:tcPr>
          <w:p w14:paraId="33012400"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736</w:t>
            </w:r>
          </w:p>
        </w:tc>
        <w:tc>
          <w:tcPr>
            <w:tcW w:w="993" w:type="dxa"/>
            <w:tcBorders>
              <w:top w:val="single" w:sz="12" w:space="0" w:color="auto"/>
            </w:tcBorders>
            <w:noWrap/>
          </w:tcPr>
          <w:p w14:paraId="4DCEF0F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2400</w:t>
            </w:r>
          </w:p>
        </w:tc>
        <w:tc>
          <w:tcPr>
            <w:tcW w:w="992" w:type="dxa"/>
            <w:tcBorders>
              <w:top w:val="single" w:sz="12" w:space="0" w:color="auto"/>
              <w:right w:val="single" w:sz="12" w:space="0" w:color="auto"/>
            </w:tcBorders>
            <w:noWrap/>
          </w:tcPr>
          <w:p w14:paraId="16FFDD5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5379F9E0" w14:textId="77777777" w:rsidTr="00127690">
        <w:trPr>
          <w:trHeight w:val="298"/>
        </w:trPr>
        <w:tc>
          <w:tcPr>
            <w:tcW w:w="895" w:type="dxa"/>
            <w:vMerge/>
            <w:tcBorders>
              <w:left w:val="single" w:sz="12" w:space="0" w:color="auto"/>
            </w:tcBorders>
            <w:shd w:val="clear" w:color="auto" w:fill="E7E6E6"/>
            <w:noWrap/>
          </w:tcPr>
          <w:p w14:paraId="2BC20151"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4CB951DF"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2025</w:t>
            </w:r>
          </w:p>
        </w:tc>
        <w:tc>
          <w:tcPr>
            <w:tcW w:w="586" w:type="dxa"/>
            <w:noWrap/>
          </w:tcPr>
          <w:p w14:paraId="7C86C2D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251</w:t>
            </w:r>
          </w:p>
        </w:tc>
        <w:tc>
          <w:tcPr>
            <w:tcW w:w="882" w:type="dxa"/>
            <w:noWrap/>
          </w:tcPr>
          <w:p w14:paraId="58EE4C8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3077</w:t>
            </w:r>
          </w:p>
        </w:tc>
        <w:tc>
          <w:tcPr>
            <w:tcW w:w="882" w:type="dxa"/>
            <w:noWrap/>
          </w:tcPr>
          <w:p w14:paraId="48FA084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893</w:t>
            </w:r>
          </w:p>
        </w:tc>
        <w:tc>
          <w:tcPr>
            <w:tcW w:w="882" w:type="dxa"/>
            <w:noWrap/>
          </w:tcPr>
          <w:p w14:paraId="3B1D02C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1637</w:t>
            </w:r>
          </w:p>
        </w:tc>
        <w:tc>
          <w:tcPr>
            <w:tcW w:w="882" w:type="dxa"/>
            <w:noWrap/>
          </w:tcPr>
          <w:p w14:paraId="62FF9A5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w:t>
            </w:r>
          </w:p>
        </w:tc>
        <w:tc>
          <w:tcPr>
            <w:tcW w:w="582" w:type="dxa"/>
            <w:noWrap/>
          </w:tcPr>
          <w:p w14:paraId="02D057C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709" w:type="dxa"/>
            <w:noWrap/>
          </w:tcPr>
          <w:p w14:paraId="0DC4C0F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w:t>
            </w:r>
          </w:p>
        </w:tc>
        <w:tc>
          <w:tcPr>
            <w:tcW w:w="992" w:type="dxa"/>
          </w:tcPr>
          <w:p w14:paraId="502BA2BE"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841</w:t>
            </w:r>
          </w:p>
        </w:tc>
        <w:tc>
          <w:tcPr>
            <w:tcW w:w="993" w:type="dxa"/>
            <w:noWrap/>
          </w:tcPr>
          <w:p w14:paraId="350F29C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2559</w:t>
            </w:r>
          </w:p>
        </w:tc>
        <w:tc>
          <w:tcPr>
            <w:tcW w:w="992" w:type="dxa"/>
            <w:tcBorders>
              <w:right w:val="single" w:sz="12" w:space="0" w:color="auto"/>
            </w:tcBorders>
            <w:noWrap/>
          </w:tcPr>
          <w:p w14:paraId="21C3114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23CD62C1" w14:textId="77777777" w:rsidTr="00127690">
        <w:trPr>
          <w:trHeight w:val="298"/>
        </w:trPr>
        <w:tc>
          <w:tcPr>
            <w:tcW w:w="895" w:type="dxa"/>
            <w:vMerge/>
            <w:tcBorders>
              <w:left w:val="single" w:sz="12" w:space="0" w:color="auto"/>
            </w:tcBorders>
            <w:shd w:val="clear" w:color="auto" w:fill="E7E6E6"/>
            <w:noWrap/>
          </w:tcPr>
          <w:p w14:paraId="0973EB9B"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3F225BFF"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2026</w:t>
            </w:r>
          </w:p>
        </w:tc>
        <w:tc>
          <w:tcPr>
            <w:tcW w:w="586" w:type="dxa"/>
            <w:noWrap/>
          </w:tcPr>
          <w:p w14:paraId="2430127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185</w:t>
            </w:r>
          </w:p>
        </w:tc>
        <w:tc>
          <w:tcPr>
            <w:tcW w:w="882" w:type="dxa"/>
            <w:noWrap/>
          </w:tcPr>
          <w:p w14:paraId="6340337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3116</w:t>
            </w:r>
          </w:p>
        </w:tc>
        <w:tc>
          <w:tcPr>
            <w:tcW w:w="882" w:type="dxa"/>
            <w:noWrap/>
          </w:tcPr>
          <w:p w14:paraId="31045CB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903</w:t>
            </w:r>
          </w:p>
        </w:tc>
        <w:tc>
          <w:tcPr>
            <w:tcW w:w="882" w:type="dxa"/>
            <w:noWrap/>
          </w:tcPr>
          <w:p w14:paraId="0F64A5B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1635</w:t>
            </w:r>
          </w:p>
        </w:tc>
        <w:tc>
          <w:tcPr>
            <w:tcW w:w="882" w:type="dxa"/>
            <w:noWrap/>
          </w:tcPr>
          <w:p w14:paraId="2335B51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w:t>
            </w:r>
          </w:p>
        </w:tc>
        <w:tc>
          <w:tcPr>
            <w:tcW w:w="582" w:type="dxa"/>
            <w:noWrap/>
          </w:tcPr>
          <w:p w14:paraId="5E71373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w:t>
            </w:r>
          </w:p>
        </w:tc>
        <w:tc>
          <w:tcPr>
            <w:tcW w:w="709" w:type="dxa"/>
            <w:noWrap/>
          </w:tcPr>
          <w:p w14:paraId="3860A04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w:t>
            </w:r>
          </w:p>
        </w:tc>
        <w:tc>
          <w:tcPr>
            <w:tcW w:w="992" w:type="dxa"/>
          </w:tcPr>
          <w:p w14:paraId="6DF1DFCB"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847</w:t>
            </w:r>
          </w:p>
        </w:tc>
        <w:tc>
          <w:tcPr>
            <w:tcW w:w="993" w:type="dxa"/>
            <w:noWrap/>
          </w:tcPr>
          <w:p w14:paraId="73234F5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2568</w:t>
            </w:r>
          </w:p>
        </w:tc>
        <w:tc>
          <w:tcPr>
            <w:tcW w:w="992" w:type="dxa"/>
            <w:tcBorders>
              <w:right w:val="single" w:sz="12" w:space="0" w:color="auto"/>
            </w:tcBorders>
            <w:noWrap/>
          </w:tcPr>
          <w:p w14:paraId="2CA7289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03730FD6" w14:textId="77777777" w:rsidTr="00127690">
        <w:trPr>
          <w:trHeight w:val="298"/>
        </w:trPr>
        <w:tc>
          <w:tcPr>
            <w:tcW w:w="895" w:type="dxa"/>
            <w:vMerge/>
            <w:tcBorders>
              <w:left w:val="single" w:sz="12" w:space="0" w:color="auto"/>
            </w:tcBorders>
            <w:shd w:val="clear" w:color="auto" w:fill="E7E6E6"/>
            <w:noWrap/>
          </w:tcPr>
          <w:p w14:paraId="1952528B"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06355C77"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2027</w:t>
            </w:r>
          </w:p>
        </w:tc>
        <w:tc>
          <w:tcPr>
            <w:tcW w:w="586" w:type="dxa"/>
            <w:noWrap/>
          </w:tcPr>
          <w:p w14:paraId="4828FD0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189</w:t>
            </w:r>
          </w:p>
        </w:tc>
        <w:tc>
          <w:tcPr>
            <w:tcW w:w="882" w:type="dxa"/>
            <w:noWrap/>
          </w:tcPr>
          <w:p w14:paraId="677FA71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3137</w:t>
            </w:r>
          </w:p>
        </w:tc>
        <w:tc>
          <w:tcPr>
            <w:tcW w:w="882" w:type="dxa"/>
            <w:noWrap/>
          </w:tcPr>
          <w:p w14:paraId="273939D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920</w:t>
            </w:r>
          </w:p>
        </w:tc>
        <w:tc>
          <w:tcPr>
            <w:tcW w:w="882" w:type="dxa"/>
            <w:noWrap/>
          </w:tcPr>
          <w:p w14:paraId="596D31A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1620</w:t>
            </w:r>
          </w:p>
        </w:tc>
        <w:tc>
          <w:tcPr>
            <w:tcW w:w="882" w:type="dxa"/>
            <w:noWrap/>
          </w:tcPr>
          <w:p w14:paraId="4D164B6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w:t>
            </w:r>
          </w:p>
        </w:tc>
        <w:tc>
          <w:tcPr>
            <w:tcW w:w="582" w:type="dxa"/>
            <w:noWrap/>
          </w:tcPr>
          <w:p w14:paraId="6B586F2F"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w:t>
            </w:r>
          </w:p>
        </w:tc>
        <w:tc>
          <w:tcPr>
            <w:tcW w:w="709" w:type="dxa"/>
            <w:noWrap/>
          </w:tcPr>
          <w:p w14:paraId="3AAE4F1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w:t>
            </w:r>
          </w:p>
        </w:tc>
        <w:tc>
          <w:tcPr>
            <w:tcW w:w="992" w:type="dxa"/>
          </w:tcPr>
          <w:p w14:paraId="4C1C15B8"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844</w:t>
            </w:r>
          </w:p>
        </w:tc>
        <w:tc>
          <w:tcPr>
            <w:tcW w:w="993" w:type="dxa"/>
            <w:noWrap/>
          </w:tcPr>
          <w:p w14:paraId="6C7A05D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2607</w:t>
            </w:r>
          </w:p>
        </w:tc>
        <w:tc>
          <w:tcPr>
            <w:tcW w:w="992" w:type="dxa"/>
            <w:tcBorders>
              <w:right w:val="single" w:sz="12" w:space="0" w:color="auto"/>
            </w:tcBorders>
            <w:noWrap/>
          </w:tcPr>
          <w:p w14:paraId="203DF1D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747495C2" w14:textId="77777777" w:rsidTr="00127690">
        <w:trPr>
          <w:trHeight w:val="298"/>
        </w:trPr>
        <w:tc>
          <w:tcPr>
            <w:tcW w:w="895" w:type="dxa"/>
            <w:vMerge/>
            <w:tcBorders>
              <w:left w:val="single" w:sz="12" w:space="0" w:color="auto"/>
            </w:tcBorders>
            <w:shd w:val="clear" w:color="auto" w:fill="E7E6E6"/>
            <w:noWrap/>
          </w:tcPr>
          <w:p w14:paraId="70333298"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7728F7B6"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2028</w:t>
            </w:r>
          </w:p>
        </w:tc>
        <w:tc>
          <w:tcPr>
            <w:tcW w:w="586" w:type="dxa"/>
            <w:noWrap/>
          </w:tcPr>
          <w:p w14:paraId="79B4031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187</w:t>
            </w:r>
          </w:p>
        </w:tc>
        <w:tc>
          <w:tcPr>
            <w:tcW w:w="882" w:type="dxa"/>
            <w:noWrap/>
          </w:tcPr>
          <w:p w14:paraId="09E8757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3116</w:t>
            </w:r>
          </w:p>
        </w:tc>
        <w:tc>
          <w:tcPr>
            <w:tcW w:w="882" w:type="dxa"/>
            <w:noWrap/>
          </w:tcPr>
          <w:p w14:paraId="35EDED9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982</w:t>
            </w:r>
          </w:p>
        </w:tc>
        <w:tc>
          <w:tcPr>
            <w:tcW w:w="882" w:type="dxa"/>
            <w:noWrap/>
          </w:tcPr>
          <w:p w14:paraId="03C020D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1616</w:t>
            </w:r>
          </w:p>
        </w:tc>
        <w:tc>
          <w:tcPr>
            <w:tcW w:w="882" w:type="dxa"/>
            <w:noWrap/>
          </w:tcPr>
          <w:p w14:paraId="7CB84B9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582" w:type="dxa"/>
            <w:noWrap/>
          </w:tcPr>
          <w:p w14:paraId="4538D33F"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w:t>
            </w:r>
          </w:p>
        </w:tc>
        <w:tc>
          <w:tcPr>
            <w:tcW w:w="709" w:type="dxa"/>
            <w:noWrap/>
          </w:tcPr>
          <w:p w14:paraId="300CE73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w:t>
            </w:r>
          </w:p>
        </w:tc>
        <w:tc>
          <w:tcPr>
            <w:tcW w:w="992" w:type="dxa"/>
          </w:tcPr>
          <w:p w14:paraId="7A0FD058"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846</w:t>
            </w:r>
          </w:p>
        </w:tc>
        <w:tc>
          <w:tcPr>
            <w:tcW w:w="993" w:type="dxa"/>
            <w:noWrap/>
          </w:tcPr>
          <w:p w14:paraId="4BB8C13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2651</w:t>
            </w:r>
          </w:p>
        </w:tc>
        <w:tc>
          <w:tcPr>
            <w:tcW w:w="992" w:type="dxa"/>
            <w:tcBorders>
              <w:right w:val="single" w:sz="12" w:space="0" w:color="auto"/>
            </w:tcBorders>
            <w:noWrap/>
          </w:tcPr>
          <w:p w14:paraId="09D967E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24A6D4FE" w14:textId="77777777" w:rsidTr="00127690">
        <w:trPr>
          <w:trHeight w:val="298"/>
        </w:trPr>
        <w:tc>
          <w:tcPr>
            <w:tcW w:w="895" w:type="dxa"/>
            <w:vMerge/>
            <w:tcBorders>
              <w:left w:val="single" w:sz="12" w:space="0" w:color="auto"/>
            </w:tcBorders>
            <w:shd w:val="clear" w:color="auto" w:fill="E7E6E6"/>
            <w:noWrap/>
          </w:tcPr>
          <w:p w14:paraId="37A22931"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6312FE10"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2029</w:t>
            </w:r>
          </w:p>
        </w:tc>
        <w:tc>
          <w:tcPr>
            <w:tcW w:w="586" w:type="dxa"/>
            <w:noWrap/>
          </w:tcPr>
          <w:p w14:paraId="6AA98DA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190</w:t>
            </w:r>
          </w:p>
        </w:tc>
        <w:tc>
          <w:tcPr>
            <w:tcW w:w="882" w:type="dxa"/>
            <w:noWrap/>
          </w:tcPr>
          <w:p w14:paraId="05ACBB8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3124</w:t>
            </w:r>
          </w:p>
        </w:tc>
        <w:tc>
          <w:tcPr>
            <w:tcW w:w="882" w:type="dxa"/>
            <w:noWrap/>
          </w:tcPr>
          <w:p w14:paraId="4EA20A4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993</w:t>
            </w:r>
          </w:p>
        </w:tc>
        <w:tc>
          <w:tcPr>
            <w:tcW w:w="882" w:type="dxa"/>
            <w:noWrap/>
          </w:tcPr>
          <w:p w14:paraId="3971D58F"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1598</w:t>
            </w:r>
          </w:p>
        </w:tc>
        <w:tc>
          <w:tcPr>
            <w:tcW w:w="882" w:type="dxa"/>
            <w:noWrap/>
          </w:tcPr>
          <w:p w14:paraId="5F1AA18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w:t>
            </w:r>
          </w:p>
        </w:tc>
        <w:tc>
          <w:tcPr>
            <w:tcW w:w="582" w:type="dxa"/>
            <w:noWrap/>
          </w:tcPr>
          <w:p w14:paraId="1BB34B9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w:t>
            </w:r>
          </w:p>
        </w:tc>
        <w:tc>
          <w:tcPr>
            <w:tcW w:w="709" w:type="dxa"/>
            <w:noWrap/>
          </w:tcPr>
          <w:p w14:paraId="4868161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992" w:type="dxa"/>
          </w:tcPr>
          <w:p w14:paraId="5C23F3E0"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847</w:t>
            </w:r>
          </w:p>
        </w:tc>
        <w:tc>
          <w:tcPr>
            <w:tcW w:w="993" w:type="dxa"/>
            <w:noWrap/>
          </w:tcPr>
          <w:p w14:paraId="6A4FC6D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2697</w:t>
            </w:r>
          </w:p>
        </w:tc>
        <w:tc>
          <w:tcPr>
            <w:tcW w:w="992" w:type="dxa"/>
            <w:tcBorders>
              <w:right w:val="single" w:sz="12" w:space="0" w:color="auto"/>
            </w:tcBorders>
            <w:noWrap/>
          </w:tcPr>
          <w:p w14:paraId="118B361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E4E92" w:rsidRPr="003B4324" w14:paraId="519233D9" w14:textId="77777777" w:rsidTr="00127690">
        <w:trPr>
          <w:trHeight w:val="298"/>
        </w:trPr>
        <w:tc>
          <w:tcPr>
            <w:tcW w:w="895" w:type="dxa"/>
            <w:vMerge/>
            <w:tcBorders>
              <w:left w:val="single" w:sz="12" w:space="0" w:color="auto"/>
            </w:tcBorders>
            <w:shd w:val="clear" w:color="auto" w:fill="E7E6E6"/>
            <w:noWrap/>
          </w:tcPr>
          <w:p w14:paraId="2F45D670"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25404913"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2030</w:t>
            </w:r>
          </w:p>
        </w:tc>
        <w:tc>
          <w:tcPr>
            <w:tcW w:w="586" w:type="dxa"/>
            <w:noWrap/>
          </w:tcPr>
          <w:p w14:paraId="2E40353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214</w:t>
            </w:r>
          </w:p>
        </w:tc>
        <w:tc>
          <w:tcPr>
            <w:tcW w:w="882" w:type="dxa"/>
            <w:noWrap/>
          </w:tcPr>
          <w:p w14:paraId="70458A1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3145</w:t>
            </w:r>
          </w:p>
        </w:tc>
        <w:tc>
          <w:tcPr>
            <w:tcW w:w="882" w:type="dxa"/>
            <w:noWrap/>
          </w:tcPr>
          <w:p w14:paraId="36CF86C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1055</w:t>
            </w:r>
          </w:p>
        </w:tc>
        <w:tc>
          <w:tcPr>
            <w:tcW w:w="882" w:type="dxa"/>
            <w:noWrap/>
          </w:tcPr>
          <w:p w14:paraId="52721B7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1577</w:t>
            </w:r>
          </w:p>
        </w:tc>
        <w:tc>
          <w:tcPr>
            <w:tcW w:w="882" w:type="dxa"/>
            <w:noWrap/>
          </w:tcPr>
          <w:p w14:paraId="7E95882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49</w:t>
            </w:r>
          </w:p>
        </w:tc>
        <w:tc>
          <w:tcPr>
            <w:tcW w:w="582" w:type="dxa"/>
            <w:noWrap/>
          </w:tcPr>
          <w:p w14:paraId="49949EF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w:t>
            </w:r>
          </w:p>
        </w:tc>
        <w:tc>
          <w:tcPr>
            <w:tcW w:w="709" w:type="dxa"/>
            <w:noWrap/>
          </w:tcPr>
          <w:p w14:paraId="65A3A4D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992" w:type="dxa"/>
          </w:tcPr>
          <w:p w14:paraId="51F721D8"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833</w:t>
            </w:r>
          </w:p>
        </w:tc>
        <w:tc>
          <w:tcPr>
            <w:tcW w:w="993" w:type="dxa"/>
            <w:noWrap/>
          </w:tcPr>
          <w:p w14:paraId="10DA4A9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2732</w:t>
            </w:r>
          </w:p>
        </w:tc>
        <w:tc>
          <w:tcPr>
            <w:tcW w:w="992" w:type="dxa"/>
            <w:tcBorders>
              <w:right w:val="single" w:sz="12" w:space="0" w:color="auto"/>
            </w:tcBorders>
            <w:noWrap/>
          </w:tcPr>
          <w:p w14:paraId="216C44A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1968B5E9" w14:textId="77777777" w:rsidTr="000007D2">
        <w:trPr>
          <w:trHeight w:val="298"/>
        </w:trPr>
        <w:tc>
          <w:tcPr>
            <w:tcW w:w="895" w:type="dxa"/>
            <w:vMerge/>
            <w:tcBorders>
              <w:left w:val="single" w:sz="12" w:space="0" w:color="auto"/>
            </w:tcBorders>
            <w:shd w:val="clear" w:color="auto" w:fill="E7E6E6"/>
            <w:noWrap/>
          </w:tcPr>
          <w:p w14:paraId="70DBF7BA"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41BB89FD"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2035</w:t>
            </w:r>
          </w:p>
        </w:tc>
        <w:tc>
          <w:tcPr>
            <w:tcW w:w="586" w:type="dxa"/>
            <w:noWrap/>
          </w:tcPr>
          <w:p w14:paraId="52A98CA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196</w:t>
            </w:r>
          </w:p>
        </w:tc>
        <w:tc>
          <w:tcPr>
            <w:tcW w:w="882" w:type="dxa"/>
            <w:noWrap/>
          </w:tcPr>
          <w:p w14:paraId="4D8578B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2949</w:t>
            </w:r>
          </w:p>
        </w:tc>
        <w:tc>
          <w:tcPr>
            <w:tcW w:w="882" w:type="dxa"/>
            <w:noWrap/>
          </w:tcPr>
          <w:p w14:paraId="14742DF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1159</w:t>
            </w:r>
          </w:p>
        </w:tc>
        <w:tc>
          <w:tcPr>
            <w:tcW w:w="882" w:type="dxa"/>
            <w:noWrap/>
          </w:tcPr>
          <w:p w14:paraId="481331E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1587</w:t>
            </w:r>
          </w:p>
        </w:tc>
        <w:tc>
          <w:tcPr>
            <w:tcW w:w="882" w:type="dxa"/>
            <w:noWrap/>
          </w:tcPr>
          <w:p w14:paraId="236DF2A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w:t>
            </w:r>
          </w:p>
        </w:tc>
        <w:tc>
          <w:tcPr>
            <w:tcW w:w="582" w:type="dxa"/>
            <w:noWrap/>
          </w:tcPr>
          <w:p w14:paraId="4C0225E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w:t>
            </w:r>
          </w:p>
        </w:tc>
        <w:tc>
          <w:tcPr>
            <w:tcW w:w="709" w:type="dxa"/>
            <w:noWrap/>
          </w:tcPr>
          <w:p w14:paraId="09746B0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w:t>
            </w:r>
          </w:p>
        </w:tc>
        <w:tc>
          <w:tcPr>
            <w:tcW w:w="992" w:type="dxa"/>
          </w:tcPr>
          <w:p w14:paraId="523AC528"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765</w:t>
            </w:r>
          </w:p>
        </w:tc>
        <w:tc>
          <w:tcPr>
            <w:tcW w:w="993" w:type="dxa"/>
            <w:noWrap/>
          </w:tcPr>
          <w:p w14:paraId="33AA72A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2918</w:t>
            </w:r>
          </w:p>
        </w:tc>
        <w:tc>
          <w:tcPr>
            <w:tcW w:w="992" w:type="dxa"/>
            <w:tcBorders>
              <w:right w:val="single" w:sz="12" w:space="0" w:color="auto"/>
            </w:tcBorders>
            <w:noWrap/>
          </w:tcPr>
          <w:p w14:paraId="2CFDA32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2AD77DBA" w14:textId="77777777" w:rsidTr="000007D2">
        <w:trPr>
          <w:trHeight w:val="298"/>
        </w:trPr>
        <w:tc>
          <w:tcPr>
            <w:tcW w:w="895" w:type="dxa"/>
            <w:vMerge/>
            <w:tcBorders>
              <w:left w:val="single" w:sz="12" w:space="0" w:color="auto"/>
            </w:tcBorders>
            <w:shd w:val="clear" w:color="auto" w:fill="E7E6E6"/>
            <w:noWrap/>
          </w:tcPr>
          <w:p w14:paraId="61175B99"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5821E003"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2040</w:t>
            </w:r>
          </w:p>
        </w:tc>
        <w:tc>
          <w:tcPr>
            <w:tcW w:w="586" w:type="dxa"/>
            <w:noWrap/>
          </w:tcPr>
          <w:p w14:paraId="269BAE5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w:t>
            </w:r>
          </w:p>
        </w:tc>
        <w:tc>
          <w:tcPr>
            <w:tcW w:w="882" w:type="dxa"/>
            <w:noWrap/>
          </w:tcPr>
          <w:p w14:paraId="3D7C95A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2828</w:t>
            </w:r>
          </w:p>
        </w:tc>
        <w:tc>
          <w:tcPr>
            <w:tcW w:w="882" w:type="dxa"/>
            <w:noWrap/>
          </w:tcPr>
          <w:p w14:paraId="6F86E5A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1181</w:t>
            </w:r>
          </w:p>
        </w:tc>
        <w:tc>
          <w:tcPr>
            <w:tcW w:w="882" w:type="dxa"/>
            <w:noWrap/>
          </w:tcPr>
          <w:p w14:paraId="2525801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1440</w:t>
            </w:r>
          </w:p>
        </w:tc>
        <w:tc>
          <w:tcPr>
            <w:tcW w:w="882" w:type="dxa"/>
            <w:noWrap/>
          </w:tcPr>
          <w:p w14:paraId="2AB03B1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w:t>
            </w:r>
          </w:p>
        </w:tc>
        <w:tc>
          <w:tcPr>
            <w:tcW w:w="582" w:type="dxa"/>
            <w:noWrap/>
          </w:tcPr>
          <w:p w14:paraId="45D7AC6F"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w:t>
            </w:r>
          </w:p>
        </w:tc>
        <w:tc>
          <w:tcPr>
            <w:tcW w:w="709" w:type="dxa"/>
            <w:noWrap/>
          </w:tcPr>
          <w:p w14:paraId="7DFEF84F"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c>
          <w:tcPr>
            <w:tcW w:w="992" w:type="dxa"/>
          </w:tcPr>
          <w:p w14:paraId="3988F4AC"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792</w:t>
            </w:r>
          </w:p>
        </w:tc>
        <w:tc>
          <w:tcPr>
            <w:tcW w:w="993" w:type="dxa"/>
            <w:noWrap/>
          </w:tcPr>
          <w:p w14:paraId="561F3BA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3097</w:t>
            </w:r>
          </w:p>
        </w:tc>
        <w:tc>
          <w:tcPr>
            <w:tcW w:w="992" w:type="dxa"/>
            <w:tcBorders>
              <w:right w:val="single" w:sz="12" w:space="0" w:color="auto"/>
            </w:tcBorders>
            <w:noWrap/>
          </w:tcPr>
          <w:p w14:paraId="073F84D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102</w:t>
            </w:r>
          </w:p>
        </w:tc>
      </w:tr>
      <w:tr w:rsidR="00127690" w:rsidRPr="003B4324" w14:paraId="32ED7D5A" w14:textId="77777777" w:rsidTr="000007D2">
        <w:trPr>
          <w:trHeight w:val="298"/>
        </w:trPr>
        <w:tc>
          <w:tcPr>
            <w:tcW w:w="895" w:type="dxa"/>
            <w:vMerge/>
            <w:tcBorders>
              <w:left w:val="single" w:sz="12" w:space="0" w:color="auto"/>
            </w:tcBorders>
            <w:shd w:val="clear" w:color="auto" w:fill="E7E6E6"/>
            <w:noWrap/>
          </w:tcPr>
          <w:p w14:paraId="27FF11B4"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7F56E4A7"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2045</w:t>
            </w:r>
          </w:p>
        </w:tc>
        <w:tc>
          <w:tcPr>
            <w:tcW w:w="586" w:type="dxa"/>
            <w:noWrap/>
          </w:tcPr>
          <w:p w14:paraId="438ED8B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191</w:t>
            </w:r>
          </w:p>
        </w:tc>
        <w:tc>
          <w:tcPr>
            <w:tcW w:w="882" w:type="dxa"/>
            <w:noWrap/>
          </w:tcPr>
          <w:p w14:paraId="5A1C129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2425</w:t>
            </w:r>
          </w:p>
        </w:tc>
        <w:tc>
          <w:tcPr>
            <w:tcW w:w="882" w:type="dxa"/>
            <w:noWrap/>
          </w:tcPr>
          <w:p w14:paraId="0201C9E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1206</w:t>
            </w:r>
          </w:p>
        </w:tc>
        <w:tc>
          <w:tcPr>
            <w:tcW w:w="882" w:type="dxa"/>
            <w:noWrap/>
          </w:tcPr>
          <w:p w14:paraId="19AA77D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985</w:t>
            </w:r>
          </w:p>
        </w:tc>
        <w:tc>
          <w:tcPr>
            <w:tcW w:w="882" w:type="dxa"/>
            <w:noWrap/>
          </w:tcPr>
          <w:p w14:paraId="3BC4F27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c>
          <w:tcPr>
            <w:tcW w:w="582" w:type="dxa"/>
            <w:noWrap/>
          </w:tcPr>
          <w:p w14:paraId="0D968AE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w:t>
            </w:r>
          </w:p>
        </w:tc>
        <w:tc>
          <w:tcPr>
            <w:tcW w:w="709" w:type="dxa"/>
            <w:noWrap/>
          </w:tcPr>
          <w:p w14:paraId="635BD1A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85</w:t>
            </w:r>
          </w:p>
        </w:tc>
        <w:tc>
          <w:tcPr>
            <w:tcW w:w="992" w:type="dxa"/>
          </w:tcPr>
          <w:p w14:paraId="5486D8AC"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802</w:t>
            </w:r>
          </w:p>
        </w:tc>
        <w:tc>
          <w:tcPr>
            <w:tcW w:w="993" w:type="dxa"/>
            <w:noWrap/>
          </w:tcPr>
          <w:p w14:paraId="543312A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3484</w:t>
            </w:r>
          </w:p>
        </w:tc>
        <w:tc>
          <w:tcPr>
            <w:tcW w:w="992" w:type="dxa"/>
            <w:tcBorders>
              <w:right w:val="single" w:sz="12" w:space="0" w:color="auto"/>
            </w:tcBorders>
            <w:noWrap/>
          </w:tcPr>
          <w:p w14:paraId="465E83A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256</w:t>
            </w:r>
          </w:p>
        </w:tc>
      </w:tr>
      <w:tr w:rsidR="00127690" w:rsidRPr="003B4324" w14:paraId="517C3488" w14:textId="77777777" w:rsidTr="000007D2">
        <w:trPr>
          <w:trHeight w:val="298"/>
        </w:trPr>
        <w:tc>
          <w:tcPr>
            <w:tcW w:w="895" w:type="dxa"/>
            <w:vMerge/>
            <w:tcBorders>
              <w:left w:val="single" w:sz="12" w:space="0" w:color="auto"/>
              <w:bottom w:val="single" w:sz="12" w:space="0" w:color="auto"/>
            </w:tcBorders>
            <w:shd w:val="clear" w:color="auto" w:fill="E7E6E6"/>
            <w:noWrap/>
          </w:tcPr>
          <w:p w14:paraId="5BEEBDCF"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tcBorders>
              <w:bottom w:val="single" w:sz="12" w:space="0" w:color="auto"/>
            </w:tcBorders>
            <w:noWrap/>
          </w:tcPr>
          <w:p w14:paraId="70F49F6A"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2050</w:t>
            </w:r>
          </w:p>
        </w:tc>
        <w:tc>
          <w:tcPr>
            <w:tcW w:w="586" w:type="dxa"/>
            <w:tcBorders>
              <w:bottom w:val="single" w:sz="12" w:space="0" w:color="auto"/>
            </w:tcBorders>
            <w:noWrap/>
          </w:tcPr>
          <w:p w14:paraId="739490F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202</w:t>
            </w:r>
          </w:p>
        </w:tc>
        <w:tc>
          <w:tcPr>
            <w:tcW w:w="882" w:type="dxa"/>
            <w:tcBorders>
              <w:bottom w:val="single" w:sz="12" w:space="0" w:color="auto"/>
            </w:tcBorders>
            <w:noWrap/>
          </w:tcPr>
          <w:p w14:paraId="2589CCC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1967</w:t>
            </w:r>
          </w:p>
        </w:tc>
        <w:tc>
          <w:tcPr>
            <w:tcW w:w="882" w:type="dxa"/>
            <w:tcBorders>
              <w:bottom w:val="single" w:sz="12" w:space="0" w:color="auto"/>
            </w:tcBorders>
            <w:noWrap/>
          </w:tcPr>
          <w:p w14:paraId="328132E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1274</w:t>
            </w:r>
          </w:p>
        </w:tc>
        <w:tc>
          <w:tcPr>
            <w:tcW w:w="882" w:type="dxa"/>
            <w:tcBorders>
              <w:bottom w:val="single" w:sz="12" w:space="0" w:color="auto"/>
            </w:tcBorders>
            <w:noWrap/>
          </w:tcPr>
          <w:p w14:paraId="218993A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618</w:t>
            </w:r>
          </w:p>
        </w:tc>
        <w:tc>
          <w:tcPr>
            <w:tcW w:w="882" w:type="dxa"/>
            <w:tcBorders>
              <w:bottom w:val="single" w:sz="12" w:space="0" w:color="auto"/>
            </w:tcBorders>
            <w:noWrap/>
          </w:tcPr>
          <w:p w14:paraId="35F1D35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582" w:type="dxa"/>
            <w:tcBorders>
              <w:bottom w:val="single" w:sz="12" w:space="0" w:color="auto"/>
            </w:tcBorders>
            <w:noWrap/>
          </w:tcPr>
          <w:p w14:paraId="1946A05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61</w:t>
            </w:r>
          </w:p>
        </w:tc>
        <w:tc>
          <w:tcPr>
            <w:tcW w:w="709" w:type="dxa"/>
            <w:tcBorders>
              <w:bottom w:val="single" w:sz="12" w:space="0" w:color="auto"/>
            </w:tcBorders>
            <w:noWrap/>
          </w:tcPr>
          <w:p w14:paraId="4582896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147</w:t>
            </w:r>
          </w:p>
        </w:tc>
        <w:tc>
          <w:tcPr>
            <w:tcW w:w="992" w:type="dxa"/>
            <w:tcBorders>
              <w:bottom w:val="single" w:sz="12" w:space="0" w:color="auto"/>
            </w:tcBorders>
          </w:tcPr>
          <w:p w14:paraId="3BDE96DA"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822</w:t>
            </w:r>
          </w:p>
        </w:tc>
        <w:tc>
          <w:tcPr>
            <w:tcW w:w="993" w:type="dxa"/>
            <w:tcBorders>
              <w:bottom w:val="single" w:sz="12" w:space="0" w:color="auto"/>
            </w:tcBorders>
            <w:noWrap/>
          </w:tcPr>
          <w:p w14:paraId="654DFFE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3944</w:t>
            </w:r>
          </w:p>
        </w:tc>
        <w:tc>
          <w:tcPr>
            <w:tcW w:w="992" w:type="dxa"/>
            <w:tcBorders>
              <w:bottom w:val="single" w:sz="12" w:space="0" w:color="auto"/>
              <w:right w:val="single" w:sz="12" w:space="0" w:color="auto"/>
            </w:tcBorders>
            <w:noWrap/>
          </w:tcPr>
          <w:p w14:paraId="7C5E875F"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412</w:t>
            </w:r>
          </w:p>
        </w:tc>
      </w:tr>
      <w:tr w:rsidR="00127690" w:rsidRPr="003B4324" w14:paraId="2FDE01C5" w14:textId="77777777" w:rsidTr="000007D2">
        <w:trPr>
          <w:trHeight w:val="298"/>
        </w:trPr>
        <w:tc>
          <w:tcPr>
            <w:tcW w:w="895" w:type="dxa"/>
            <w:vMerge w:val="restart"/>
            <w:tcBorders>
              <w:top w:val="single" w:sz="12" w:space="0" w:color="auto"/>
              <w:left w:val="single" w:sz="12" w:space="0" w:color="auto"/>
            </w:tcBorders>
            <w:shd w:val="clear" w:color="auto" w:fill="E7E6E6"/>
            <w:noWrap/>
            <w:vAlign w:val="center"/>
          </w:tcPr>
          <w:p w14:paraId="24F82A56" w14:textId="77777777" w:rsidR="00127690" w:rsidRPr="004254D2" w:rsidRDefault="00127690" w:rsidP="00127690">
            <w:pPr>
              <w:spacing w:after="0" w:line="240" w:lineRule="auto"/>
              <w:jc w:val="left"/>
              <w:rPr>
                <w:rFonts w:ascii="Calibri Light" w:hAnsi="Calibri Light" w:cs="Calibri Light"/>
                <w:color w:val="000000" w:themeColor="text1"/>
              </w:rPr>
            </w:pPr>
            <w:r w:rsidRPr="00B37318">
              <w:rPr>
                <w:rFonts w:ascii="Calibri Light" w:hAnsi="Calibri Light" w:cs="Calibri Light"/>
                <w:color w:val="000000" w:themeColor="text1"/>
              </w:rPr>
              <w:t>Scenario-S-N</w:t>
            </w:r>
          </w:p>
        </w:tc>
        <w:tc>
          <w:tcPr>
            <w:tcW w:w="641" w:type="dxa"/>
            <w:tcBorders>
              <w:top w:val="single" w:sz="12" w:space="0" w:color="auto"/>
            </w:tcBorders>
            <w:noWrap/>
          </w:tcPr>
          <w:p w14:paraId="5F7CF26B"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w:t>
            </w:r>
            <w:r>
              <w:rPr>
                <w:rFonts w:ascii="Calibri Light" w:hAnsi="Calibri Light" w:cs="Calibri Light"/>
                <w:color w:val="000000" w:themeColor="text1"/>
              </w:rPr>
              <w:t>20</w:t>
            </w:r>
          </w:p>
        </w:tc>
        <w:tc>
          <w:tcPr>
            <w:tcW w:w="586" w:type="dxa"/>
            <w:tcBorders>
              <w:top w:val="single" w:sz="12" w:space="0" w:color="auto"/>
            </w:tcBorders>
            <w:noWrap/>
          </w:tcPr>
          <w:p w14:paraId="576CD02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358</w:t>
            </w:r>
          </w:p>
        </w:tc>
        <w:tc>
          <w:tcPr>
            <w:tcW w:w="882" w:type="dxa"/>
            <w:tcBorders>
              <w:top w:val="single" w:sz="12" w:space="0" w:color="auto"/>
            </w:tcBorders>
            <w:noWrap/>
          </w:tcPr>
          <w:p w14:paraId="047A6DD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2910</w:t>
            </w:r>
          </w:p>
        </w:tc>
        <w:tc>
          <w:tcPr>
            <w:tcW w:w="882" w:type="dxa"/>
            <w:tcBorders>
              <w:top w:val="single" w:sz="12" w:space="0" w:color="auto"/>
            </w:tcBorders>
            <w:noWrap/>
          </w:tcPr>
          <w:p w14:paraId="67D4ACB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1030</w:t>
            </w:r>
          </w:p>
        </w:tc>
        <w:tc>
          <w:tcPr>
            <w:tcW w:w="882" w:type="dxa"/>
            <w:tcBorders>
              <w:top w:val="single" w:sz="12" w:space="0" w:color="auto"/>
            </w:tcBorders>
            <w:noWrap/>
          </w:tcPr>
          <w:p w14:paraId="64F3D47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1571</w:t>
            </w:r>
          </w:p>
        </w:tc>
        <w:tc>
          <w:tcPr>
            <w:tcW w:w="882" w:type="dxa"/>
            <w:tcBorders>
              <w:top w:val="single" w:sz="12" w:space="0" w:color="auto"/>
            </w:tcBorders>
            <w:noWrap/>
          </w:tcPr>
          <w:p w14:paraId="792B5C4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c>
          <w:tcPr>
            <w:tcW w:w="582" w:type="dxa"/>
            <w:tcBorders>
              <w:top w:val="single" w:sz="12" w:space="0" w:color="auto"/>
            </w:tcBorders>
            <w:noWrap/>
          </w:tcPr>
          <w:p w14:paraId="0F7F273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w:t>
            </w:r>
          </w:p>
        </w:tc>
        <w:tc>
          <w:tcPr>
            <w:tcW w:w="709" w:type="dxa"/>
            <w:tcBorders>
              <w:top w:val="single" w:sz="12" w:space="0" w:color="auto"/>
            </w:tcBorders>
            <w:noWrap/>
          </w:tcPr>
          <w:p w14:paraId="1C0F6D2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w:t>
            </w:r>
          </w:p>
        </w:tc>
        <w:tc>
          <w:tcPr>
            <w:tcW w:w="992" w:type="dxa"/>
            <w:tcBorders>
              <w:top w:val="single" w:sz="12" w:space="0" w:color="auto"/>
            </w:tcBorders>
          </w:tcPr>
          <w:p w14:paraId="16DA34CD"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736</w:t>
            </w:r>
          </w:p>
        </w:tc>
        <w:tc>
          <w:tcPr>
            <w:tcW w:w="993" w:type="dxa"/>
            <w:tcBorders>
              <w:top w:val="single" w:sz="12" w:space="0" w:color="auto"/>
            </w:tcBorders>
            <w:noWrap/>
          </w:tcPr>
          <w:p w14:paraId="4C285D9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2400</w:t>
            </w:r>
          </w:p>
        </w:tc>
        <w:tc>
          <w:tcPr>
            <w:tcW w:w="992" w:type="dxa"/>
            <w:tcBorders>
              <w:top w:val="single" w:sz="12" w:space="0" w:color="auto"/>
              <w:right w:val="single" w:sz="12" w:space="0" w:color="auto"/>
            </w:tcBorders>
            <w:noWrap/>
          </w:tcPr>
          <w:p w14:paraId="439B176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38C311E6" w14:textId="77777777" w:rsidTr="000007D2">
        <w:trPr>
          <w:trHeight w:val="298"/>
        </w:trPr>
        <w:tc>
          <w:tcPr>
            <w:tcW w:w="895" w:type="dxa"/>
            <w:vMerge/>
            <w:tcBorders>
              <w:left w:val="single" w:sz="12" w:space="0" w:color="auto"/>
            </w:tcBorders>
            <w:shd w:val="clear" w:color="auto" w:fill="E7E6E6"/>
            <w:noWrap/>
          </w:tcPr>
          <w:p w14:paraId="72F6A83F"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7BA1763D"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2025</w:t>
            </w:r>
          </w:p>
        </w:tc>
        <w:tc>
          <w:tcPr>
            <w:tcW w:w="586" w:type="dxa"/>
            <w:noWrap/>
          </w:tcPr>
          <w:p w14:paraId="7C41FE0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251</w:t>
            </w:r>
          </w:p>
        </w:tc>
        <w:tc>
          <w:tcPr>
            <w:tcW w:w="882" w:type="dxa"/>
            <w:noWrap/>
          </w:tcPr>
          <w:p w14:paraId="0ABAC30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3077</w:t>
            </w:r>
          </w:p>
        </w:tc>
        <w:tc>
          <w:tcPr>
            <w:tcW w:w="882" w:type="dxa"/>
            <w:noWrap/>
          </w:tcPr>
          <w:p w14:paraId="39D8F32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893</w:t>
            </w:r>
          </w:p>
        </w:tc>
        <w:tc>
          <w:tcPr>
            <w:tcW w:w="882" w:type="dxa"/>
            <w:noWrap/>
          </w:tcPr>
          <w:p w14:paraId="52F60D6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1637</w:t>
            </w:r>
          </w:p>
        </w:tc>
        <w:tc>
          <w:tcPr>
            <w:tcW w:w="882" w:type="dxa"/>
            <w:noWrap/>
          </w:tcPr>
          <w:p w14:paraId="446D965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w:t>
            </w:r>
          </w:p>
        </w:tc>
        <w:tc>
          <w:tcPr>
            <w:tcW w:w="582" w:type="dxa"/>
            <w:noWrap/>
          </w:tcPr>
          <w:p w14:paraId="3B2C701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709" w:type="dxa"/>
            <w:noWrap/>
          </w:tcPr>
          <w:p w14:paraId="32D564A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w:t>
            </w:r>
          </w:p>
        </w:tc>
        <w:tc>
          <w:tcPr>
            <w:tcW w:w="992" w:type="dxa"/>
          </w:tcPr>
          <w:p w14:paraId="3F82E78E"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841</w:t>
            </w:r>
          </w:p>
        </w:tc>
        <w:tc>
          <w:tcPr>
            <w:tcW w:w="993" w:type="dxa"/>
            <w:noWrap/>
          </w:tcPr>
          <w:p w14:paraId="1BFA15B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2559</w:t>
            </w:r>
          </w:p>
        </w:tc>
        <w:tc>
          <w:tcPr>
            <w:tcW w:w="992" w:type="dxa"/>
            <w:tcBorders>
              <w:right w:val="single" w:sz="12" w:space="0" w:color="auto"/>
            </w:tcBorders>
            <w:noWrap/>
          </w:tcPr>
          <w:p w14:paraId="641FF33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0B7D0440" w14:textId="77777777" w:rsidTr="000007D2">
        <w:trPr>
          <w:trHeight w:val="298"/>
        </w:trPr>
        <w:tc>
          <w:tcPr>
            <w:tcW w:w="895" w:type="dxa"/>
            <w:vMerge/>
            <w:tcBorders>
              <w:left w:val="single" w:sz="12" w:space="0" w:color="auto"/>
            </w:tcBorders>
            <w:shd w:val="clear" w:color="auto" w:fill="E7E6E6"/>
            <w:noWrap/>
          </w:tcPr>
          <w:p w14:paraId="2E927AE0"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4480A071"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2026</w:t>
            </w:r>
          </w:p>
        </w:tc>
        <w:tc>
          <w:tcPr>
            <w:tcW w:w="586" w:type="dxa"/>
            <w:noWrap/>
          </w:tcPr>
          <w:p w14:paraId="1597EA5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185</w:t>
            </w:r>
          </w:p>
        </w:tc>
        <w:tc>
          <w:tcPr>
            <w:tcW w:w="882" w:type="dxa"/>
            <w:noWrap/>
          </w:tcPr>
          <w:p w14:paraId="0004E20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3116</w:t>
            </w:r>
          </w:p>
        </w:tc>
        <w:tc>
          <w:tcPr>
            <w:tcW w:w="882" w:type="dxa"/>
            <w:noWrap/>
          </w:tcPr>
          <w:p w14:paraId="566097D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903</w:t>
            </w:r>
          </w:p>
        </w:tc>
        <w:tc>
          <w:tcPr>
            <w:tcW w:w="882" w:type="dxa"/>
            <w:noWrap/>
          </w:tcPr>
          <w:p w14:paraId="52ACDBE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1635</w:t>
            </w:r>
          </w:p>
        </w:tc>
        <w:tc>
          <w:tcPr>
            <w:tcW w:w="882" w:type="dxa"/>
            <w:noWrap/>
          </w:tcPr>
          <w:p w14:paraId="4C7D36B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w:t>
            </w:r>
          </w:p>
        </w:tc>
        <w:tc>
          <w:tcPr>
            <w:tcW w:w="582" w:type="dxa"/>
            <w:noWrap/>
          </w:tcPr>
          <w:p w14:paraId="7AA8BF6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w:t>
            </w:r>
          </w:p>
        </w:tc>
        <w:tc>
          <w:tcPr>
            <w:tcW w:w="709" w:type="dxa"/>
            <w:noWrap/>
          </w:tcPr>
          <w:p w14:paraId="36C2CF3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w:t>
            </w:r>
          </w:p>
        </w:tc>
        <w:tc>
          <w:tcPr>
            <w:tcW w:w="992" w:type="dxa"/>
          </w:tcPr>
          <w:p w14:paraId="6A946F3B"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847</w:t>
            </w:r>
          </w:p>
        </w:tc>
        <w:tc>
          <w:tcPr>
            <w:tcW w:w="993" w:type="dxa"/>
            <w:noWrap/>
          </w:tcPr>
          <w:p w14:paraId="5B7C2D1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2568</w:t>
            </w:r>
          </w:p>
        </w:tc>
        <w:tc>
          <w:tcPr>
            <w:tcW w:w="992" w:type="dxa"/>
            <w:tcBorders>
              <w:right w:val="single" w:sz="12" w:space="0" w:color="auto"/>
            </w:tcBorders>
            <w:noWrap/>
          </w:tcPr>
          <w:p w14:paraId="45DB5C9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3C21201D" w14:textId="77777777" w:rsidTr="000007D2">
        <w:trPr>
          <w:trHeight w:val="298"/>
        </w:trPr>
        <w:tc>
          <w:tcPr>
            <w:tcW w:w="895" w:type="dxa"/>
            <w:vMerge/>
            <w:tcBorders>
              <w:left w:val="single" w:sz="12" w:space="0" w:color="auto"/>
            </w:tcBorders>
            <w:shd w:val="clear" w:color="auto" w:fill="E7E6E6"/>
            <w:noWrap/>
          </w:tcPr>
          <w:p w14:paraId="5618BF79"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0E7675F4"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2027</w:t>
            </w:r>
          </w:p>
        </w:tc>
        <w:tc>
          <w:tcPr>
            <w:tcW w:w="586" w:type="dxa"/>
            <w:noWrap/>
          </w:tcPr>
          <w:p w14:paraId="7197C1D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189</w:t>
            </w:r>
          </w:p>
        </w:tc>
        <w:tc>
          <w:tcPr>
            <w:tcW w:w="882" w:type="dxa"/>
            <w:noWrap/>
          </w:tcPr>
          <w:p w14:paraId="65F3674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3137</w:t>
            </w:r>
          </w:p>
        </w:tc>
        <w:tc>
          <w:tcPr>
            <w:tcW w:w="882" w:type="dxa"/>
            <w:noWrap/>
          </w:tcPr>
          <w:p w14:paraId="45CD446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920</w:t>
            </w:r>
          </w:p>
        </w:tc>
        <w:tc>
          <w:tcPr>
            <w:tcW w:w="882" w:type="dxa"/>
            <w:noWrap/>
          </w:tcPr>
          <w:p w14:paraId="6EC57C0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1620</w:t>
            </w:r>
          </w:p>
        </w:tc>
        <w:tc>
          <w:tcPr>
            <w:tcW w:w="882" w:type="dxa"/>
            <w:noWrap/>
          </w:tcPr>
          <w:p w14:paraId="29331DB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w:t>
            </w:r>
          </w:p>
        </w:tc>
        <w:tc>
          <w:tcPr>
            <w:tcW w:w="582" w:type="dxa"/>
            <w:noWrap/>
          </w:tcPr>
          <w:p w14:paraId="29089A6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17</w:t>
            </w:r>
          </w:p>
        </w:tc>
        <w:tc>
          <w:tcPr>
            <w:tcW w:w="709" w:type="dxa"/>
            <w:noWrap/>
          </w:tcPr>
          <w:p w14:paraId="4A172FF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w:t>
            </w:r>
          </w:p>
        </w:tc>
        <w:tc>
          <w:tcPr>
            <w:tcW w:w="992" w:type="dxa"/>
          </w:tcPr>
          <w:p w14:paraId="7698D1F3"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844</w:t>
            </w:r>
          </w:p>
        </w:tc>
        <w:tc>
          <w:tcPr>
            <w:tcW w:w="993" w:type="dxa"/>
            <w:noWrap/>
          </w:tcPr>
          <w:p w14:paraId="5FBB5DB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2607</w:t>
            </w:r>
          </w:p>
        </w:tc>
        <w:tc>
          <w:tcPr>
            <w:tcW w:w="992" w:type="dxa"/>
            <w:tcBorders>
              <w:right w:val="single" w:sz="12" w:space="0" w:color="auto"/>
            </w:tcBorders>
            <w:noWrap/>
          </w:tcPr>
          <w:p w14:paraId="320670C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0CC0EA07" w14:textId="77777777" w:rsidTr="000007D2">
        <w:trPr>
          <w:trHeight w:val="298"/>
        </w:trPr>
        <w:tc>
          <w:tcPr>
            <w:tcW w:w="895" w:type="dxa"/>
            <w:vMerge/>
            <w:tcBorders>
              <w:left w:val="single" w:sz="12" w:space="0" w:color="auto"/>
            </w:tcBorders>
            <w:shd w:val="clear" w:color="auto" w:fill="E7E6E6"/>
            <w:noWrap/>
          </w:tcPr>
          <w:p w14:paraId="5DD9DD9D"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0A17AB27"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2028</w:t>
            </w:r>
          </w:p>
        </w:tc>
        <w:tc>
          <w:tcPr>
            <w:tcW w:w="586" w:type="dxa"/>
            <w:noWrap/>
          </w:tcPr>
          <w:p w14:paraId="490DA5D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187</w:t>
            </w:r>
          </w:p>
        </w:tc>
        <w:tc>
          <w:tcPr>
            <w:tcW w:w="882" w:type="dxa"/>
            <w:noWrap/>
          </w:tcPr>
          <w:p w14:paraId="2BA055E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3116</w:t>
            </w:r>
          </w:p>
        </w:tc>
        <w:tc>
          <w:tcPr>
            <w:tcW w:w="882" w:type="dxa"/>
            <w:noWrap/>
          </w:tcPr>
          <w:p w14:paraId="410BE06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982</w:t>
            </w:r>
          </w:p>
        </w:tc>
        <w:tc>
          <w:tcPr>
            <w:tcW w:w="882" w:type="dxa"/>
            <w:noWrap/>
          </w:tcPr>
          <w:p w14:paraId="7FAD6BD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1616</w:t>
            </w:r>
          </w:p>
        </w:tc>
        <w:tc>
          <w:tcPr>
            <w:tcW w:w="882" w:type="dxa"/>
            <w:noWrap/>
          </w:tcPr>
          <w:p w14:paraId="3B0F2AC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41</w:t>
            </w:r>
          </w:p>
        </w:tc>
        <w:tc>
          <w:tcPr>
            <w:tcW w:w="582" w:type="dxa"/>
            <w:noWrap/>
          </w:tcPr>
          <w:p w14:paraId="4FE961D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w:t>
            </w:r>
          </w:p>
        </w:tc>
        <w:tc>
          <w:tcPr>
            <w:tcW w:w="709" w:type="dxa"/>
            <w:noWrap/>
          </w:tcPr>
          <w:p w14:paraId="475A985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w:t>
            </w:r>
          </w:p>
        </w:tc>
        <w:tc>
          <w:tcPr>
            <w:tcW w:w="992" w:type="dxa"/>
          </w:tcPr>
          <w:p w14:paraId="799346C0"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846</w:t>
            </w:r>
          </w:p>
        </w:tc>
        <w:tc>
          <w:tcPr>
            <w:tcW w:w="993" w:type="dxa"/>
            <w:noWrap/>
          </w:tcPr>
          <w:p w14:paraId="220E2B56"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2651</w:t>
            </w:r>
          </w:p>
        </w:tc>
        <w:tc>
          <w:tcPr>
            <w:tcW w:w="992" w:type="dxa"/>
            <w:tcBorders>
              <w:right w:val="single" w:sz="12" w:space="0" w:color="auto"/>
            </w:tcBorders>
            <w:noWrap/>
          </w:tcPr>
          <w:p w14:paraId="14A1583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599903EA" w14:textId="77777777" w:rsidTr="000007D2">
        <w:trPr>
          <w:trHeight w:val="298"/>
        </w:trPr>
        <w:tc>
          <w:tcPr>
            <w:tcW w:w="895" w:type="dxa"/>
            <w:vMerge/>
            <w:tcBorders>
              <w:left w:val="single" w:sz="12" w:space="0" w:color="auto"/>
            </w:tcBorders>
            <w:shd w:val="clear" w:color="auto" w:fill="E7E6E6"/>
            <w:noWrap/>
          </w:tcPr>
          <w:p w14:paraId="5FDED80C"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03132578"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2029</w:t>
            </w:r>
          </w:p>
        </w:tc>
        <w:tc>
          <w:tcPr>
            <w:tcW w:w="586" w:type="dxa"/>
            <w:noWrap/>
          </w:tcPr>
          <w:p w14:paraId="10912FA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190</w:t>
            </w:r>
          </w:p>
        </w:tc>
        <w:tc>
          <w:tcPr>
            <w:tcW w:w="882" w:type="dxa"/>
            <w:noWrap/>
          </w:tcPr>
          <w:p w14:paraId="2CDE095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3124</w:t>
            </w:r>
          </w:p>
        </w:tc>
        <w:tc>
          <w:tcPr>
            <w:tcW w:w="882" w:type="dxa"/>
            <w:noWrap/>
          </w:tcPr>
          <w:p w14:paraId="5D18254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993</w:t>
            </w:r>
          </w:p>
        </w:tc>
        <w:tc>
          <w:tcPr>
            <w:tcW w:w="882" w:type="dxa"/>
            <w:noWrap/>
          </w:tcPr>
          <w:p w14:paraId="025A8E6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1598</w:t>
            </w:r>
          </w:p>
        </w:tc>
        <w:tc>
          <w:tcPr>
            <w:tcW w:w="882" w:type="dxa"/>
            <w:noWrap/>
          </w:tcPr>
          <w:p w14:paraId="6716B49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w:t>
            </w:r>
          </w:p>
        </w:tc>
        <w:tc>
          <w:tcPr>
            <w:tcW w:w="582" w:type="dxa"/>
            <w:noWrap/>
          </w:tcPr>
          <w:p w14:paraId="6D1A687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w:t>
            </w:r>
          </w:p>
        </w:tc>
        <w:tc>
          <w:tcPr>
            <w:tcW w:w="709" w:type="dxa"/>
            <w:noWrap/>
          </w:tcPr>
          <w:p w14:paraId="2926476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992" w:type="dxa"/>
          </w:tcPr>
          <w:p w14:paraId="3C8E918A"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847</w:t>
            </w:r>
          </w:p>
        </w:tc>
        <w:tc>
          <w:tcPr>
            <w:tcW w:w="993" w:type="dxa"/>
            <w:noWrap/>
          </w:tcPr>
          <w:p w14:paraId="4472216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2697</w:t>
            </w:r>
          </w:p>
        </w:tc>
        <w:tc>
          <w:tcPr>
            <w:tcW w:w="992" w:type="dxa"/>
            <w:tcBorders>
              <w:right w:val="single" w:sz="12" w:space="0" w:color="auto"/>
            </w:tcBorders>
            <w:noWrap/>
          </w:tcPr>
          <w:p w14:paraId="6978C7E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74757B78" w14:textId="77777777" w:rsidTr="000007D2">
        <w:trPr>
          <w:trHeight w:val="298"/>
        </w:trPr>
        <w:tc>
          <w:tcPr>
            <w:tcW w:w="895" w:type="dxa"/>
            <w:vMerge/>
            <w:tcBorders>
              <w:left w:val="single" w:sz="12" w:space="0" w:color="auto"/>
            </w:tcBorders>
            <w:shd w:val="clear" w:color="auto" w:fill="E7E6E6"/>
            <w:noWrap/>
          </w:tcPr>
          <w:p w14:paraId="5E38078A"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268629AD"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2030</w:t>
            </w:r>
          </w:p>
        </w:tc>
        <w:tc>
          <w:tcPr>
            <w:tcW w:w="586" w:type="dxa"/>
            <w:noWrap/>
          </w:tcPr>
          <w:p w14:paraId="03F9A4F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214</w:t>
            </w:r>
          </w:p>
        </w:tc>
        <w:tc>
          <w:tcPr>
            <w:tcW w:w="882" w:type="dxa"/>
            <w:noWrap/>
          </w:tcPr>
          <w:p w14:paraId="1B399C4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3145</w:t>
            </w:r>
          </w:p>
        </w:tc>
        <w:tc>
          <w:tcPr>
            <w:tcW w:w="882" w:type="dxa"/>
            <w:noWrap/>
          </w:tcPr>
          <w:p w14:paraId="0C2C0FE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1055</w:t>
            </w:r>
          </w:p>
        </w:tc>
        <w:tc>
          <w:tcPr>
            <w:tcW w:w="882" w:type="dxa"/>
            <w:noWrap/>
          </w:tcPr>
          <w:p w14:paraId="116AE3C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1577</w:t>
            </w:r>
          </w:p>
        </w:tc>
        <w:tc>
          <w:tcPr>
            <w:tcW w:w="882" w:type="dxa"/>
            <w:noWrap/>
          </w:tcPr>
          <w:p w14:paraId="4CB1922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49</w:t>
            </w:r>
          </w:p>
        </w:tc>
        <w:tc>
          <w:tcPr>
            <w:tcW w:w="582" w:type="dxa"/>
            <w:noWrap/>
          </w:tcPr>
          <w:p w14:paraId="5341A15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w:t>
            </w:r>
          </w:p>
        </w:tc>
        <w:tc>
          <w:tcPr>
            <w:tcW w:w="709" w:type="dxa"/>
            <w:noWrap/>
          </w:tcPr>
          <w:p w14:paraId="17D83E8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w:t>
            </w:r>
          </w:p>
        </w:tc>
        <w:tc>
          <w:tcPr>
            <w:tcW w:w="992" w:type="dxa"/>
          </w:tcPr>
          <w:p w14:paraId="5DE3C7C3"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833</w:t>
            </w:r>
          </w:p>
        </w:tc>
        <w:tc>
          <w:tcPr>
            <w:tcW w:w="993" w:type="dxa"/>
            <w:noWrap/>
          </w:tcPr>
          <w:p w14:paraId="0673745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2732</w:t>
            </w:r>
          </w:p>
        </w:tc>
        <w:tc>
          <w:tcPr>
            <w:tcW w:w="992" w:type="dxa"/>
            <w:tcBorders>
              <w:right w:val="single" w:sz="12" w:space="0" w:color="auto"/>
            </w:tcBorders>
            <w:noWrap/>
          </w:tcPr>
          <w:p w14:paraId="1641C6D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3C5596A3" w14:textId="77777777" w:rsidTr="000007D2">
        <w:trPr>
          <w:trHeight w:val="298"/>
        </w:trPr>
        <w:tc>
          <w:tcPr>
            <w:tcW w:w="895" w:type="dxa"/>
            <w:vMerge/>
            <w:tcBorders>
              <w:left w:val="single" w:sz="12" w:space="0" w:color="auto"/>
            </w:tcBorders>
            <w:shd w:val="clear" w:color="auto" w:fill="E7E6E6"/>
            <w:noWrap/>
          </w:tcPr>
          <w:p w14:paraId="5A0E9D3C"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7DB2DD56"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2035</w:t>
            </w:r>
          </w:p>
        </w:tc>
        <w:tc>
          <w:tcPr>
            <w:tcW w:w="586" w:type="dxa"/>
            <w:noWrap/>
          </w:tcPr>
          <w:p w14:paraId="51E2249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206</w:t>
            </w:r>
          </w:p>
        </w:tc>
        <w:tc>
          <w:tcPr>
            <w:tcW w:w="882" w:type="dxa"/>
            <w:noWrap/>
          </w:tcPr>
          <w:p w14:paraId="6BA210D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2957</w:t>
            </w:r>
          </w:p>
        </w:tc>
        <w:tc>
          <w:tcPr>
            <w:tcW w:w="882" w:type="dxa"/>
            <w:noWrap/>
          </w:tcPr>
          <w:p w14:paraId="436BED9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1157</w:t>
            </w:r>
          </w:p>
        </w:tc>
        <w:tc>
          <w:tcPr>
            <w:tcW w:w="882" w:type="dxa"/>
            <w:noWrap/>
          </w:tcPr>
          <w:p w14:paraId="1E87187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1590</w:t>
            </w:r>
          </w:p>
        </w:tc>
        <w:tc>
          <w:tcPr>
            <w:tcW w:w="882" w:type="dxa"/>
            <w:noWrap/>
          </w:tcPr>
          <w:p w14:paraId="3FC2802C"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46</w:t>
            </w:r>
          </w:p>
        </w:tc>
        <w:tc>
          <w:tcPr>
            <w:tcW w:w="582" w:type="dxa"/>
            <w:noWrap/>
          </w:tcPr>
          <w:p w14:paraId="23BBE3E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w:t>
            </w:r>
          </w:p>
        </w:tc>
        <w:tc>
          <w:tcPr>
            <w:tcW w:w="709" w:type="dxa"/>
            <w:noWrap/>
          </w:tcPr>
          <w:p w14:paraId="7A22556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w:t>
            </w:r>
          </w:p>
        </w:tc>
        <w:tc>
          <w:tcPr>
            <w:tcW w:w="992" w:type="dxa"/>
          </w:tcPr>
          <w:p w14:paraId="123242E2"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759</w:t>
            </w:r>
          </w:p>
        </w:tc>
        <w:tc>
          <w:tcPr>
            <w:tcW w:w="993" w:type="dxa"/>
            <w:noWrap/>
          </w:tcPr>
          <w:p w14:paraId="2D3C871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2925</w:t>
            </w:r>
          </w:p>
        </w:tc>
        <w:tc>
          <w:tcPr>
            <w:tcW w:w="992" w:type="dxa"/>
            <w:tcBorders>
              <w:right w:val="single" w:sz="12" w:space="0" w:color="auto"/>
            </w:tcBorders>
            <w:noWrap/>
          </w:tcPr>
          <w:p w14:paraId="0617063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0</w:t>
            </w:r>
          </w:p>
        </w:tc>
      </w:tr>
      <w:tr w:rsidR="00127690" w:rsidRPr="003B4324" w14:paraId="509CD76D" w14:textId="77777777" w:rsidTr="000007D2">
        <w:trPr>
          <w:trHeight w:val="298"/>
        </w:trPr>
        <w:tc>
          <w:tcPr>
            <w:tcW w:w="895" w:type="dxa"/>
            <w:vMerge/>
            <w:tcBorders>
              <w:left w:val="single" w:sz="12" w:space="0" w:color="auto"/>
            </w:tcBorders>
            <w:shd w:val="clear" w:color="auto" w:fill="E7E6E6"/>
            <w:noWrap/>
          </w:tcPr>
          <w:p w14:paraId="3A80C953"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79B85462"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2040</w:t>
            </w:r>
          </w:p>
        </w:tc>
        <w:tc>
          <w:tcPr>
            <w:tcW w:w="586" w:type="dxa"/>
            <w:noWrap/>
          </w:tcPr>
          <w:p w14:paraId="2F8A2EA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w:t>
            </w:r>
          </w:p>
        </w:tc>
        <w:tc>
          <w:tcPr>
            <w:tcW w:w="882" w:type="dxa"/>
            <w:noWrap/>
          </w:tcPr>
          <w:p w14:paraId="632BE094"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2744</w:t>
            </w:r>
          </w:p>
        </w:tc>
        <w:tc>
          <w:tcPr>
            <w:tcW w:w="882" w:type="dxa"/>
            <w:noWrap/>
          </w:tcPr>
          <w:p w14:paraId="255384E7"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1170</w:t>
            </w:r>
          </w:p>
        </w:tc>
        <w:tc>
          <w:tcPr>
            <w:tcW w:w="882" w:type="dxa"/>
            <w:noWrap/>
          </w:tcPr>
          <w:p w14:paraId="101E646B"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1440</w:t>
            </w:r>
          </w:p>
        </w:tc>
        <w:tc>
          <w:tcPr>
            <w:tcW w:w="882" w:type="dxa"/>
            <w:noWrap/>
          </w:tcPr>
          <w:p w14:paraId="78FF0FD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44</w:t>
            </w:r>
          </w:p>
        </w:tc>
        <w:tc>
          <w:tcPr>
            <w:tcW w:w="582" w:type="dxa"/>
            <w:noWrap/>
          </w:tcPr>
          <w:p w14:paraId="6C0ED8E8"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w:t>
            </w:r>
          </w:p>
        </w:tc>
        <w:tc>
          <w:tcPr>
            <w:tcW w:w="709" w:type="dxa"/>
            <w:noWrap/>
          </w:tcPr>
          <w:p w14:paraId="10A4329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43</w:t>
            </w:r>
          </w:p>
        </w:tc>
        <w:tc>
          <w:tcPr>
            <w:tcW w:w="992" w:type="dxa"/>
          </w:tcPr>
          <w:p w14:paraId="0635C3DE"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793</w:t>
            </w:r>
          </w:p>
        </w:tc>
        <w:tc>
          <w:tcPr>
            <w:tcW w:w="993" w:type="dxa"/>
            <w:noWrap/>
          </w:tcPr>
          <w:p w14:paraId="57A7DC8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3113</w:t>
            </w:r>
          </w:p>
        </w:tc>
        <w:tc>
          <w:tcPr>
            <w:tcW w:w="992" w:type="dxa"/>
            <w:tcBorders>
              <w:right w:val="single" w:sz="12" w:space="0" w:color="auto"/>
            </w:tcBorders>
            <w:noWrap/>
          </w:tcPr>
          <w:p w14:paraId="5DC4592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w:t>
            </w:r>
          </w:p>
        </w:tc>
      </w:tr>
      <w:tr w:rsidR="00127690" w:rsidRPr="003B4324" w14:paraId="1ADE5C1F" w14:textId="77777777" w:rsidTr="000007D2">
        <w:trPr>
          <w:trHeight w:val="298"/>
        </w:trPr>
        <w:tc>
          <w:tcPr>
            <w:tcW w:w="895" w:type="dxa"/>
            <w:vMerge/>
            <w:tcBorders>
              <w:left w:val="single" w:sz="12" w:space="0" w:color="auto"/>
            </w:tcBorders>
            <w:shd w:val="clear" w:color="auto" w:fill="E7E6E6"/>
            <w:noWrap/>
          </w:tcPr>
          <w:p w14:paraId="2C015B86"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noWrap/>
          </w:tcPr>
          <w:p w14:paraId="4B20DEDF"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2045</w:t>
            </w:r>
          </w:p>
        </w:tc>
        <w:tc>
          <w:tcPr>
            <w:tcW w:w="586" w:type="dxa"/>
            <w:noWrap/>
          </w:tcPr>
          <w:p w14:paraId="4712FDE2"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198</w:t>
            </w:r>
          </w:p>
        </w:tc>
        <w:tc>
          <w:tcPr>
            <w:tcW w:w="882" w:type="dxa"/>
            <w:noWrap/>
          </w:tcPr>
          <w:p w14:paraId="3EA29E05"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2286</w:t>
            </w:r>
          </w:p>
        </w:tc>
        <w:tc>
          <w:tcPr>
            <w:tcW w:w="882" w:type="dxa"/>
            <w:noWrap/>
          </w:tcPr>
          <w:p w14:paraId="7F94F44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1229</w:t>
            </w:r>
          </w:p>
        </w:tc>
        <w:tc>
          <w:tcPr>
            <w:tcW w:w="882" w:type="dxa"/>
            <w:noWrap/>
          </w:tcPr>
          <w:p w14:paraId="106BB55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945</w:t>
            </w:r>
          </w:p>
        </w:tc>
        <w:tc>
          <w:tcPr>
            <w:tcW w:w="882" w:type="dxa"/>
            <w:noWrap/>
          </w:tcPr>
          <w:p w14:paraId="0F19708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42</w:t>
            </w:r>
          </w:p>
        </w:tc>
        <w:tc>
          <w:tcPr>
            <w:tcW w:w="582" w:type="dxa"/>
            <w:noWrap/>
          </w:tcPr>
          <w:p w14:paraId="5DFF9AC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51</w:t>
            </w:r>
          </w:p>
        </w:tc>
        <w:tc>
          <w:tcPr>
            <w:tcW w:w="709" w:type="dxa"/>
            <w:noWrap/>
          </w:tcPr>
          <w:p w14:paraId="31E2928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w:t>
            </w:r>
          </w:p>
        </w:tc>
        <w:tc>
          <w:tcPr>
            <w:tcW w:w="992" w:type="dxa"/>
          </w:tcPr>
          <w:p w14:paraId="5C1CEA29"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779</w:t>
            </w:r>
          </w:p>
        </w:tc>
        <w:tc>
          <w:tcPr>
            <w:tcW w:w="993" w:type="dxa"/>
            <w:noWrap/>
          </w:tcPr>
          <w:p w14:paraId="5C5016E9"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3552</w:t>
            </w:r>
          </w:p>
        </w:tc>
        <w:tc>
          <w:tcPr>
            <w:tcW w:w="992" w:type="dxa"/>
            <w:tcBorders>
              <w:right w:val="single" w:sz="12" w:space="0" w:color="auto"/>
            </w:tcBorders>
            <w:noWrap/>
          </w:tcPr>
          <w:p w14:paraId="078BD7B1"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304</w:t>
            </w:r>
          </w:p>
        </w:tc>
      </w:tr>
      <w:tr w:rsidR="00127690" w:rsidRPr="003B4324" w14:paraId="74D503EA" w14:textId="77777777" w:rsidTr="000007D2">
        <w:trPr>
          <w:trHeight w:val="298"/>
        </w:trPr>
        <w:tc>
          <w:tcPr>
            <w:tcW w:w="895" w:type="dxa"/>
            <w:vMerge/>
            <w:tcBorders>
              <w:left w:val="single" w:sz="12" w:space="0" w:color="auto"/>
              <w:bottom w:val="single" w:sz="12" w:space="0" w:color="auto"/>
            </w:tcBorders>
            <w:shd w:val="clear" w:color="auto" w:fill="E7E6E6"/>
            <w:noWrap/>
          </w:tcPr>
          <w:p w14:paraId="5F80DB4A" w14:textId="77777777" w:rsidR="00127690" w:rsidRPr="004254D2" w:rsidRDefault="00127690" w:rsidP="00127690">
            <w:pPr>
              <w:spacing w:after="0" w:line="240" w:lineRule="auto"/>
              <w:rPr>
                <w:rFonts w:ascii="Calibri Light" w:hAnsi="Calibri Light" w:cs="Calibri Light"/>
                <w:color w:val="000000" w:themeColor="text1"/>
              </w:rPr>
            </w:pPr>
          </w:p>
        </w:tc>
        <w:tc>
          <w:tcPr>
            <w:tcW w:w="641" w:type="dxa"/>
            <w:tcBorders>
              <w:bottom w:val="single" w:sz="12" w:space="0" w:color="auto"/>
            </w:tcBorders>
            <w:noWrap/>
          </w:tcPr>
          <w:p w14:paraId="6D699167" w14:textId="77777777" w:rsidR="00127690" w:rsidRPr="00B37318" w:rsidRDefault="00127690" w:rsidP="00127690">
            <w:pPr>
              <w:spacing w:after="0" w:line="240" w:lineRule="auto"/>
              <w:jc w:val="center"/>
              <w:rPr>
                <w:rFonts w:ascii="Calibri Light" w:hAnsi="Calibri Light" w:cs="Calibri Light"/>
                <w:color w:val="000000" w:themeColor="text1"/>
              </w:rPr>
            </w:pPr>
            <w:r w:rsidRPr="004A34BA">
              <w:rPr>
                <w:rFonts w:ascii="Calibri Light" w:hAnsi="Calibri Light" w:cs="Calibri Light"/>
                <w:color w:val="000000" w:themeColor="text1"/>
              </w:rPr>
              <w:t>2050</w:t>
            </w:r>
          </w:p>
        </w:tc>
        <w:tc>
          <w:tcPr>
            <w:tcW w:w="586" w:type="dxa"/>
            <w:tcBorders>
              <w:bottom w:val="single" w:sz="12" w:space="0" w:color="auto"/>
            </w:tcBorders>
            <w:noWrap/>
          </w:tcPr>
          <w:p w14:paraId="05FC0F5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208</w:t>
            </w:r>
          </w:p>
        </w:tc>
        <w:tc>
          <w:tcPr>
            <w:tcW w:w="882" w:type="dxa"/>
            <w:tcBorders>
              <w:bottom w:val="single" w:sz="12" w:space="0" w:color="auto"/>
            </w:tcBorders>
            <w:noWrap/>
          </w:tcPr>
          <w:p w14:paraId="31E6087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1813</w:t>
            </w:r>
          </w:p>
        </w:tc>
        <w:tc>
          <w:tcPr>
            <w:tcW w:w="882" w:type="dxa"/>
            <w:tcBorders>
              <w:bottom w:val="single" w:sz="12" w:space="0" w:color="auto"/>
            </w:tcBorders>
            <w:noWrap/>
          </w:tcPr>
          <w:p w14:paraId="60DFF1CE"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1276</w:t>
            </w:r>
          </w:p>
        </w:tc>
        <w:tc>
          <w:tcPr>
            <w:tcW w:w="882" w:type="dxa"/>
            <w:tcBorders>
              <w:bottom w:val="single" w:sz="12" w:space="0" w:color="auto"/>
            </w:tcBorders>
            <w:noWrap/>
          </w:tcPr>
          <w:p w14:paraId="0A4C629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586</w:t>
            </w:r>
          </w:p>
        </w:tc>
        <w:tc>
          <w:tcPr>
            <w:tcW w:w="882" w:type="dxa"/>
            <w:tcBorders>
              <w:bottom w:val="single" w:sz="12" w:space="0" w:color="auto"/>
            </w:tcBorders>
            <w:noWrap/>
          </w:tcPr>
          <w:p w14:paraId="2F6F5D9A"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w:t>
            </w:r>
          </w:p>
        </w:tc>
        <w:tc>
          <w:tcPr>
            <w:tcW w:w="582" w:type="dxa"/>
            <w:tcBorders>
              <w:bottom w:val="single" w:sz="12" w:space="0" w:color="auto"/>
            </w:tcBorders>
            <w:noWrap/>
          </w:tcPr>
          <w:p w14:paraId="5E66A48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61</w:t>
            </w:r>
          </w:p>
        </w:tc>
        <w:tc>
          <w:tcPr>
            <w:tcW w:w="709" w:type="dxa"/>
            <w:tcBorders>
              <w:bottom w:val="single" w:sz="12" w:space="0" w:color="auto"/>
            </w:tcBorders>
            <w:noWrap/>
          </w:tcPr>
          <w:p w14:paraId="22C1AE40"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135</w:t>
            </w:r>
          </w:p>
        </w:tc>
        <w:tc>
          <w:tcPr>
            <w:tcW w:w="992" w:type="dxa"/>
            <w:tcBorders>
              <w:bottom w:val="single" w:sz="12" w:space="0" w:color="auto"/>
            </w:tcBorders>
          </w:tcPr>
          <w:p w14:paraId="7B46885D" w14:textId="77777777" w:rsidR="00127690" w:rsidRPr="004A34BA"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803</w:t>
            </w:r>
          </w:p>
        </w:tc>
        <w:tc>
          <w:tcPr>
            <w:tcW w:w="993" w:type="dxa"/>
            <w:tcBorders>
              <w:bottom w:val="single" w:sz="12" w:space="0" w:color="auto"/>
            </w:tcBorders>
            <w:noWrap/>
          </w:tcPr>
          <w:p w14:paraId="5BEA640D"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4038</w:t>
            </w:r>
          </w:p>
        </w:tc>
        <w:tc>
          <w:tcPr>
            <w:tcW w:w="992" w:type="dxa"/>
            <w:tcBorders>
              <w:bottom w:val="single" w:sz="12" w:space="0" w:color="auto"/>
              <w:right w:val="single" w:sz="12" w:space="0" w:color="auto"/>
            </w:tcBorders>
            <w:noWrap/>
          </w:tcPr>
          <w:p w14:paraId="4A0D21C3" w14:textId="77777777" w:rsidR="00127690" w:rsidRPr="00B37318" w:rsidRDefault="00127690" w:rsidP="00127690">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459</w:t>
            </w:r>
          </w:p>
        </w:tc>
      </w:tr>
    </w:tbl>
    <w:p w14:paraId="5BF5E218" w14:textId="735AD0F3" w:rsidR="004E1EC9" w:rsidRDefault="004E1EC9" w:rsidP="0087794A">
      <w:pPr>
        <w:pStyle w:val="Caption"/>
        <w:spacing w:before="160" w:after="160"/>
      </w:pPr>
      <w:bookmarkStart w:id="749" w:name="_Toc153545117"/>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24</w:t>
      </w:r>
      <w:r w:rsidR="006E0533">
        <w:rPr>
          <w:noProof/>
        </w:rPr>
        <w:fldChar w:fldCharType="end"/>
      </w:r>
      <w:r w:rsidRPr="004E1EC9">
        <w:t>: Final Energy Consumption per Sector - Industry [ktoe]</w:t>
      </w:r>
      <w:bookmarkEnd w:id="749"/>
    </w:p>
    <w:tbl>
      <w:tblPr>
        <w:tblStyle w:val="TableGrid"/>
        <w:tblW w:w="9776" w:type="dxa"/>
        <w:tblLayout w:type="fixed"/>
        <w:tblLook w:val="04A0" w:firstRow="1" w:lastRow="0" w:firstColumn="1" w:lastColumn="0" w:noHBand="0" w:noVBand="1"/>
      </w:tblPr>
      <w:tblGrid>
        <w:gridCol w:w="1271"/>
        <w:gridCol w:w="773"/>
        <w:gridCol w:w="773"/>
        <w:gridCol w:w="773"/>
        <w:gridCol w:w="773"/>
        <w:gridCol w:w="773"/>
        <w:gridCol w:w="774"/>
        <w:gridCol w:w="773"/>
        <w:gridCol w:w="773"/>
        <w:gridCol w:w="773"/>
        <w:gridCol w:w="773"/>
        <w:gridCol w:w="774"/>
      </w:tblGrid>
      <w:tr w:rsidR="001E4E92" w:rsidRPr="003B4324" w14:paraId="5490740C" w14:textId="77777777" w:rsidTr="007F4A03">
        <w:trPr>
          <w:trHeight w:val="300"/>
        </w:trPr>
        <w:tc>
          <w:tcPr>
            <w:tcW w:w="1271" w:type="dxa"/>
            <w:shd w:val="clear" w:color="auto" w:fill="404040"/>
            <w:noWrap/>
            <w:vAlign w:val="center"/>
            <w:hideMark/>
          </w:tcPr>
          <w:p w14:paraId="555461BB" w14:textId="77777777" w:rsidR="001E4E92" w:rsidRPr="004254D2" w:rsidRDefault="001E4E92" w:rsidP="007F4A03">
            <w:pPr>
              <w:spacing w:after="0" w:line="240" w:lineRule="auto"/>
              <w:jc w:val="center"/>
              <w:rPr>
                <w:rFonts w:ascii="Calibri Light" w:hAnsi="Calibri Light" w:cs="Calibri Light"/>
                <w:color w:val="000000" w:themeColor="text1"/>
              </w:rPr>
            </w:pPr>
            <w:r w:rsidRPr="001E4E92">
              <w:rPr>
                <w:rFonts w:ascii="Calibri Light" w:hAnsi="Calibri Light" w:cs="Calibri Light"/>
                <w:color w:val="FFFFFF" w:themeColor="background1"/>
              </w:rPr>
              <w:t>FEC Industry [ktoe]</w:t>
            </w:r>
          </w:p>
        </w:tc>
        <w:tc>
          <w:tcPr>
            <w:tcW w:w="773" w:type="dxa"/>
            <w:shd w:val="clear" w:color="auto" w:fill="1F497D"/>
            <w:noWrap/>
            <w:vAlign w:val="center"/>
            <w:hideMark/>
          </w:tcPr>
          <w:p w14:paraId="21362A0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73" w:type="dxa"/>
            <w:shd w:val="clear" w:color="auto" w:fill="1F497D"/>
            <w:noWrap/>
            <w:vAlign w:val="center"/>
            <w:hideMark/>
          </w:tcPr>
          <w:p w14:paraId="35F772B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73" w:type="dxa"/>
            <w:shd w:val="clear" w:color="auto" w:fill="1F497D"/>
            <w:noWrap/>
            <w:vAlign w:val="center"/>
            <w:hideMark/>
          </w:tcPr>
          <w:p w14:paraId="70F888FB"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73" w:type="dxa"/>
            <w:shd w:val="clear" w:color="auto" w:fill="1F497D"/>
            <w:noWrap/>
            <w:vAlign w:val="center"/>
            <w:hideMark/>
          </w:tcPr>
          <w:p w14:paraId="09ABEF5C"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73" w:type="dxa"/>
            <w:shd w:val="clear" w:color="auto" w:fill="1F497D"/>
            <w:noWrap/>
            <w:vAlign w:val="center"/>
            <w:hideMark/>
          </w:tcPr>
          <w:p w14:paraId="240A5EBC"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74" w:type="dxa"/>
            <w:shd w:val="clear" w:color="auto" w:fill="1F497D"/>
            <w:noWrap/>
            <w:vAlign w:val="center"/>
            <w:hideMark/>
          </w:tcPr>
          <w:p w14:paraId="3CE1229F"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73" w:type="dxa"/>
            <w:shd w:val="clear" w:color="auto" w:fill="1F497D"/>
            <w:noWrap/>
            <w:vAlign w:val="center"/>
            <w:hideMark/>
          </w:tcPr>
          <w:p w14:paraId="23F9FCD0"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73" w:type="dxa"/>
            <w:shd w:val="clear" w:color="auto" w:fill="1F497D"/>
            <w:noWrap/>
            <w:vAlign w:val="center"/>
            <w:hideMark/>
          </w:tcPr>
          <w:p w14:paraId="4864833D"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73" w:type="dxa"/>
            <w:shd w:val="clear" w:color="auto" w:fill="1F497D"/>
            <w:noWrap/>
            <w:vAlign w:val="center"/>
            <w:hideMark/>
          </w:tcPr>
          <w:p w14:paraId="530BA688"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73" w:type="dxa"/>
            <w:shd w:val="clear" w:color="auto" w:fill="1F497D"/>
            <w:noWrap/>
            <w:vAlign w:val="center"/>
            <w:hideMark/>
          </w:tcPr>
          <w:p w14:paraId="0100946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74" w:type="dxa"/>
            <w:shd w:val="clear" w:color="auto" w:fill="1F497D"/>
            <w:noWrap/>
            <w:vAlign w:val="center"/>
            <w:hideMark/>
          </w:tcPr>
          <w:p w14:paraId="0E4A544B"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1E4E92" w:rsidRPr="003B4324" w14:paraId="50082993" w14:textId="77777777" w:rsidTr="000007D2">
        <w:trPr>
          <w:trHeight w:val="300"/>
        </w:trPr>
        <w:tc>
          <w:tcPr>
            <w:tcW w:w="1271" w:type="dxa"/>
            <w:shd w:val="clear" w:color="auto" w:fill="E7E6E6"/>
            <w:noWrap/>
            <w:vAlign w:val="bottom"/>
            <w:hideMark/>
          </w:tcPr>
          <w:p w14:paraId="44C0DB8B"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73" w:type="dxa"/>
            <w:noWrap/>
            <w:hideMark/>
          </w:tcPr>
          <w:p w14:paraId="35B34A4C"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2188</w:t>
            </w:r>
          </w:p>
        </w:tc>
        <w:tc>
          <w:tcPr>
            <w:tcW w:w="773" w:type="dxa"/>
            <w:noWrap/>
            <w:hideMark/>
          </w:tcPr>
          <w:p w14:paraId="3A36278B"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2417</w:t>
            </w:r>
          </w:p>
        </w:tc>
        <w:tc>
          <w:tcPr>
            <w:tcW w:w="773" w:type="dxa"/>
            <w:noWrap/>
            <w:hideMark/>
          </w:tcPr>
          <w:p w14:paraId="4A97C27B"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2477</w:t>
            </w:r>
          </w:p>
        </w:tc>
        <w:tc>
          <w:tcPr>
            <w:tcW w:w="773" w:type="dxa"/>
            <w:noWrap/>
            <w:hideMark/>
          </w:tcPr>
          <w:p w14:paraId="3B0CD15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2555</w:t>
            </w:r>
          </w:p>
        </w:tc>
        <w:tc>
          <w:tcPr>
            <w:tcW w:w="773" w:type="dxa"/>
            <w:noWrap/>
            <w:hideMark/>
          </w:tcPr>
          <w:p w14:paraId="75C886B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2622</w:t>
            </w:r>
          </w:p>
        </w:tc>
        <w:tc>
          <w:tcPr>
            <w:tcW w:w="774" w:type="dxa"/>
            <w:noWrap/>
            <w:hideMark/>
          </w:tcPr>
          <w:p w14:paraId="28E61C7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2706</w:t>
            </w:r>
          </w:p>
        </w:tc>
        <w:tc>
          <w:tcPr>
            <w:tcW w:w="773" w:type="dxa"/>
            <w:noWrap/>
            <w:hideMark/>
          </w:tcPr>
          <w:p w14:paraId="1EDDC07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2784</w:t>
            </w:r>
          </w:p>
        </w:tc>
        <w:tc>
          <w:tcPr>
            <w:tcW w:w="773" w:type="dxa"/>
            <w:noWrap/>
            <w:hideMark/>
          </w:tcPr>
          <w:p w14:paraId="3C2C7B0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3027</w:t>
            </w:r>
          </w:p>
        </w:tc>
        <w:tc>
          <w:tcPr>
            <w:tcW w:w="773" w:type="dxa"/>
            <w:noWrap/>
            <w:hideMark/>
          </w:tcPr>
          <w:p w14:paraId="11789C6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3319</w:t>
            </w:r>
          </w:p>
        </w:tc>
        <w:tc>
          <w:tcPr>
            <w:tcW w:w="773" w:type="dxa"/>
            <w:noWrap/>
            <w:hideMark/>
          </w:tcPr>
          <w:p w14:paraId="5B15D61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3541</w:t>
            </w:r>
          </w:p>
        </w:tc>
        <w:tc>
          <w:tcPr>
            <w:tcW w:w="774" w:type="dxa"/>
            <w:noWrap/>
            <w:hideMark/>
          </w:tcPr>
          <w:p w14:paraId="6FC4128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3814</w:t>
            </w:r>
          </w:p>
        </w:tc>
      </w:tr>
      <w:tr w:rsidR="001E4E92" w:rsidRPr="003B4324" w14:paraId="70C73CF3" w14:textId="77777777" w:rsidTr="000007D2">
        <w:trPr>
          <w:trHeight w:val="300"/>
        </w:trPr>
        <w:tc>
          <w:tcPr>
            <w:tcW w:w="1271" w:type="dxa"/>
            <w:shd w:val="clear" w:color="auto" w:fill="E7E6E6"/>
            <w:noWrap/>
            <w:vAlign w:val="bottom"/>
            <w:hideMark/>
          </w:tcPr>
          <w:p w14:paraId="642FC68A"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73" w:type="dxa"/>
            <w:noWrap/>
            <w:hideMark/>
          </w:tcPr>
          <w:p w14:paraId="17E089AE"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2187</w:t>
            </w:r>
          </w:p>
        </w:tc>
        <w:tc>
          <w:tcPr>
            <w:tcW w:w="773" w:type="dxa"/>
            <w:noWrap/>
            <w:hideMark/>
          </w:tcPr>
          <w:p w14:paraId="1C0EA11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2358</w:t>
            </w:r>
          </w:p>
        </w:tc>
        <w:tc>
          <w:tcPr>
            <w:tcW w:w="773" w:type="dxa"/>
            <w:noWrap/>
            <w:hideMark/>
          </w:tcPr>
          <w:p w14:paraId="7847CB9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2341</w:t>
            </w:r>
          </w:p>
        </w:tc>
        <w:tc>
          <w:tcPr>
            <w:tcW w:w="773" w:type="dxa"/>
            <w:noWrap/>
            <w:hideMark/>
          </w:tcPr>
          <w:p w14:paraId="755B76C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2399</w:t>
            </w:r>
          </w:p>
        </w:tc>
        <w:tc>
          <w:tcPr>
            <w:tcW w:w="773" w:type="dxa"/>
            <w:noWrap/>
            <w:hideMark/>
          </w:tcPr>
          <w:p w14:paraId="50E9101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2454</w:t>
            </w:r>
          </w:p>
        </w:tc>
        <w:tc>
          <w:tcPr>
            <w:tcW w:w="774" w:type="dxa"/>
            <w:noWrap/>
            <w:hideMark/>
          </w:tcPr>
          <w:p w14:paraId="181BA4D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2504</w:t>
            </w:r>
          </w:p>
        </w:tc>
        <w:tc>
          <w:tcPr>
            <w:tcW w:w="773" w:type="dxa"/>
            <w:noWrap/>
            <w:hideMark/>
          </w:tcPr>
          <w:p w14:paraId="77908FF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2547</w:t>
            </w:r>
          </w:p>
        </w:tc>
        <w:tc>
          <w:tcPr>
            <w:tcW w:w="773" w:type="dxa"/>
            <w:noWrap/>
            <w:hideMark/>
          </w:tcPr>
          <w:p w14:paraId="7FEF12B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2803</w:t>
            </w:r>
          </w:p>
        </w:tc>
        <w:tc>
          <w:tcPr>
            <w:tcW w:w="773" w:type="dxa"/>
            <w:noWrap/>
            <w:hideMark/>
          </w:tcPr>
          <w:p w14:paraId="11AD4A8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3019</w:t>
            </w:r>
          </w:p>
        </w:tc>
        <w:tc>
          <w:tcPr>
            <w:tcW w:w="773" w:type="dxa"/>
            <w:noWrap/>
            <w:hideMark/>
          </w:tcPr>
          <w:p w14:paraId="400FD28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3182</w:t>
            </w:r>
          </w:p>
        </w:tc>
        <w:tc>
          <w:tcPr>
            <w:tcW w:w="774" w:type="dxa"/>
            <w:noWrap/>
            <w:hideMark/>
          </w:tcPr>
          <w:p w14:paraId="3A0BC66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3403</w:t>
            </w:r>
          </w:p>
        </w:tc>
      </w:tr>
      <w:tr w:rsidR="001E4E92" w:rsidRPr="003B4324" w14:paraId="2B646D04" w14:textId="77777777" w:rsidTr="000007D2">
        <w:trPr>
          <w:trHeight w:val="300"/>
        </w:trPr>
        <w:tc>
          <w:tcPr>
            <w:tcW w:w="1271" w:type="dxa"/>
            <w:shd w:val="clear" w:color="auto" w:fill="E7E6E6"/>
            <w:noWrap/>
            <w:vAlign w:val="bottom"/>
            <w:hideMark/>
          </w:tcPr>
          <w:p w14:paraId="267A26D2"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73" w:type="dxa"/>
            <w:noWrap/>
            <w:hideMark/>
          </w:tcPr>
          <w:p w14:paraId="37301989"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2187</w:t>
            </w:r>
          </w:p>
        </w:tc>
        <w:tc>
          <w:tcPr>
            <w:tcW w:w="773" w:type="dxa"/>
            <w:noWrap/>
            <w:hideMark/>
          </w:tcPr>
          <w:p w14:paraId="4B506F0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2358</w:t>
            </w:r>
          </w:p>
        </w:tc>
        <w:tc>
          <w:tcPr>
            <w:tcW w:w="773" w:type="dxa"/>
            <w:noWrap/>
            <w:hideMark/>
          </w:tcPr>
          <w:p w14:paraId="67C0BD6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2341</w:t>
            </w:r>
          </w:p>
        </w:tc>
        <w:tc>
          <w:tcPr>
            <w:tcW w:w="773" w:type="dxa"/>
            <w:noWrap/>
            <w:hideMark/>
          </w:tcPr>
          <w:p w14:paraId="682F126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2399</w:t>
            </w:r>
          </w:p>
        </w:tc>
        <w:tc>
          <w:tcPr>
            <w:tcW w:w="773" w:type="dxa"/>
            <w:noWrap/>
            <w:hideMark/>
          </w:tcPr>
          <w:p w14:paraId="70E1C82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2454</w:t>
            </w:r>
          </w:p>
        </w:tc>
        <w:tc>
          <w:tcPr>
            <w:tcW w:w="774" w:type="dxa"/>
            <w:noWrap/>
            <w:hideMark/>
          </w:tcPr>
          <w:p w14:paraId="20C8EFC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2504</w:t>
            </w:r>
          </w:p>
        </w:tc>
        <w:tc>
          <w:tcPr>
            <w:tcW w:w="773" w:type="dxa"/>
            <w:noWrap/>
            <w:hideMark/>
          </w:tcPr>
          <w:p w14:paraId="57A3EE0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2547</w:t>
            </w:r>
          </w:p>
        </w:tc>
        <w:tc>
          <w:tcPr>
            <w:tcW w:w="773" w:type="dxa"/>
            <w:noWrap/>
            <w:hideMark/>
          </w:tcPr>
          <w:p w14:paraId="46EF4D9F"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2805</w:t>
            </w:r>
          </w:p>
        </w:tc>
        <w:tc>
          <w:tcPr>
            <w:tcW w:w="773" w:type="dxa"/>
            <w:noWrap/>
            <w:hideMark/>
          </w:tcPr>
          <w:p w14:paraId="6581A6C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3011</w:t>
            </w:r>
          </w:p>
        </w:tc>
        <w:tc>
          <w:tcPr>
            <w:tcW w:w="773" w:type="dxa"/>
            <w:noWrap/>
            <w:hideMark/>
          </w:tcPr>
          <w:p w14:paraId="39E6F35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3184</w:t>
            </w:r>
          </w:p>
        </w:tc>
        <w:tc>
          <w:tcPr>
            <w:tcW w:w="774" w:type="dxa"/>
            <w:noWrap/>
            <w:hideMark/>
          </w:tcPr>
          <w:p w14:paraId="6C12E19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3406</w:t>
            </w:r>
          </w:p>
        </w:tc>
      </w:tr>
    </w:tbl>
    <w:p w14:paraId="2C04B22D" w14:textId="3C4AD53A" w:rsidR="004E1EC9" w:rsidRDefault="004E1EC9" w:rsidP="0087794A">
      <w:pPr>
        <w:pStyle w:val="Caption"/>
        <w:spacing w:before="160" w:after="160"/>
      </w:pPr>
      <w:bookmarkStart w:id="750" w:name="_Toc153545118"/>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25</w:t>
      </w:r>
      <w:r w:rsidR="006E0533">
        <w:rPr>
          <w:noProof/>
        </w:rPr>
        <w:fldChar w:fldCharType="end"/>
      </w:r>
      <w:r w:rsidRPr="004E1EC9">
        <w:t>: Final Energy Consumption per Sector - Transport [ktoe]</w:t>
      </w:r>
      <w:bookmarkEnd w:id="750"/>
    </w:p>
    <w:tbl>
      <w:tblPr>
        <w:tblStyle w:val="TableGrid"/>
        <w:tblW w:w="9776" w:type="dxa"/>
        <w:tblLayout w:type="fixed"/>
        <w:tblLook w:val="04A0" w:firstRow="1" w:lastRow="0" w:firstColumn="1" w:lastColumn="0" w:noHBand="0" w:noVBand="1"/>
      </w:tblPr>
      <w:tblGrid>
        <w:gridCol w:w="1271"/>
        <w:gridCol w:w="773"/>
        <w:gridCol w:w="773"/>
        <w:gridCol w:w="773"/>
        <w:gridCol w:w="773"/>
        <w:gridCol w:w="773"/>
        <w:gridCol w:w="774"/>
        <w:gridCol w:w="773"/>
        <w:gridCol w:w="773"/>
        <w:gridCol w:w="773"/>
        <w:gridCol w:w="773"/>
        <w:gridCol w:w="774"/>
      </w:tblGrid>
      <w:tr w:rsidR="001E4E92" w:rsidRPr="003B4324" w14:paraId="71E5F672" w14:textId="77777777" w:rsidTr="007F4A03">
        <w:trPr>
          <w:trHeight w:val="300"/>
        </w:trPr>
        <w:tc>
          <w:tcPr>
            <w:tcW w:w="1271" w:type="dxa"/>
            <w:shd w:val="clear" w:color="auto" w:fill="404040"/>
            <w:noWrap/>
            <w:vAlign w:val="center"/>
            <w:hideMark/>
          </w:tcPr>
          <w:p w14:paraId="743A8F20" w14:textId="77777777" w:rsidR="001E4E92" w:rsidRPr="004254D2" w:rsidRDefault="001E4E92" w:rsidP="007F4A03">
            <w:pPr>
              <w:spacing w:after="0" w:line="240" w:lineRule="auto"/>
              <w:jc w:val="center"/>
              <w:rPr>
                <w:rFonts w:ascii="Calibri Light" w:hAnsi="Calibri Light" w:cs="Calibri Light"/>
                <w:color w:val="000000" w:themeColor="text1"/>
              </w:rPr>
            </w:pPr>
            <w:r w:rsidRPr="001E4E92">
              <w:rPr>
                <w:rFonts w:ascii="Calibri Light" w:hAnsi="Calibri Light" w:cs="Calibri Light"/>
                <w:color w:val="FFFFFF" w:themeColor="background1"/>
              </w:rPr>
              <w:t>FEC</w:t>
            </w:r>
            <w:r>
              <w:rPr>
                <w:rFonts w:ascii="Calibri Light" w:hAnsi="Calibri Light" w:cs="Calibri Light"/>
                <w:color w:val="FFFFFF" w:themeColor="background1"/>
              </w:rPr>
              <w:t xml:space="preserve"> </w:t>
            </w:r>
            <w:r w:rsidRPr="001E4E92">
              <w:rPr>
                <w:rFonts w:ascii="Calibri Light" w:hAnsi="Calibri Light" w:cs="Calibri Light"/>
                <w:color w:val="FFFFFF" w:themeColor="background1"/>
              </w:rPr>
              <w:t>Transport [ktoe]</w:t>
            </w:r>
          </w:p>
        </w:tc>
        <w:tc>
          <w:tcPr>
            <w:tcW w:w="773" w:type="dxa"/>
            <w:shd w:val="clear" w:color="auto" w:fill="1F497D"/>
            <w:noWrap/>
            <w:vAlign w:val="center"/>
            <w:hideMark/>
          </w:tcPr>
          <w:p w14:paraId="0591C161"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73" w:type="dxa"/>
            <w:shd w:val="clear" w:color="auto" w:fill="1F497D"/>
            <w:noWrap/>
            <w:vAlign w:val="center"/>
            <w:hideMark/>
          </w:tcPr>
          <w:p w14:paraId="43B4585E"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73" w:type="dxa"/>
            <w:shd w:val="clear" w:color="auto" w:fill="1F497D"/>
            <w:noWrap/>
            <w:vAlign w:val="center"/>
            <w:hideMark/>
          </w:tcPr>
          <w:p w14:paraId="78AED57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73" w:type="dxa"/>
            <w:shd w:val="clear" w:color="auto" w:fill="1F497D"/>
            <w:noWrap/>
            <w:vAlign w:val="center"/>
            <w:hideMark/>
          </w:tcPr>
          <w:p w14:paraId="6640A68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73" w:type="dxa"/>
            <w:shd w:val="clear" w:color="auto" w:fill="1F497D"/>
            <w:noWrap/>
            <w:vAlign w:val="center"/>
            <w:hideMark/>
          </w:tcPr>
          <w:p w14:paraId="59415099"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74" w:type="dxa"/>
            <w:shd w:val="clear" w:color="auto" w:fill="1F497D"/>
            <w:noWrap/>
            <w:vAlign w:val="center"/>
            <w:hideMark/>
          </w:tcPr>
          <w:p w14:paraId="39BDE954"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73" w:type="dxa"/>
            <w:shd w:val="clear" w:color="auto" w:fill="1F497D"/>
            <w:noWrap/>
            <w:vAlign w:val="center"/>
            <w:hideMark/>
          </w:tcPr>
          <w:p w14:paraId="45AD1CFF"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73" w:type="dxa"/>
            <w:shd w:val="clear" w:color="auto" w:fill="1F497D"/>
            <w:noWrap/>
            <w:vAlign w:val="center"/>
            <w:hideMark/>
          </w:tcPr>
          <w:p w14:paraId="1D3E488B"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73" w:type="dxa"/>
            <w:shd w:val="clear" w:color="auto" w:fill="1F497D"/>
            <w:noWrap/>
            <w:vAlign w:val="center"/>
            <w:hideMark/>
          </w:tcPr>
          <w:p w14:paraId="7971B12B"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73" w:type="dxa"/>
            <w:shd w:val="clear" w:color="auto" w:fill="1F497D"/>
            <w:noWrap/>
            <w:vAlign w:val="center"/>
            <w:hideMark/>
          </w:tcPr>
          <w:p w14:paraId="19A6B310"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74" w:type="dxa"/>
            <w:shd w:val="clear" w:color="auto" w:fill="1F497D"/>
            <w:noWrap/>
            <w:vAlign w:val="center"/>
            <w:hideMark/>
          </w:tcPr>
          <w:p w14:paraId="2B302AC8"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1E4E92" w:rsidRPr="003B4324" w14:paraId="666B3DFC" w14:textId="77777777" w:rsidTr="007F4A03">
        <w:trPr>
          <w:trHeight w:val="300"/>
        </w:trPr>
        <w:tc>
          <w:tcPr>
            <w:tcW w:w="1271" w:type="dxa"/>
            <w:shd w:val="clear" w:color="auto" w:fill="E7E6E6"/>
            <w:noWrap/>
            <w:vAlign w:val="bottom"/>
            <w:hideMark/>
          </w:tcPr>
          <w:p w14:paraId="1E2C71AC"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73" w:type="dxa"/>
            <w:noWrap/>
            <w:hideMark/>
          </w:tcPr>
          <w:p w14:paraId="2A118982"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2347</w:t>
            </w:r>
          </w:p>
        </w:tc>
        <w:tc>
          <w:tcPr>
            <w:tcW w:w="773" w:type="dxa"/>
            <w:noWrap/>
            <w:hideMark/>
          </w:tcPr>
          <w:p w14:paraId="7DD518A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2573</w:t>
            </w:r>
          </w:p>
        </w:tc>
        <w:tc>
          <w:tcPr>
            <w:tcW w:w="773" w:type="dxa"/>
            <w:noWrap/>
            <w:hideMark/>
          </w:tcPr>
          <w:p w14:paraId="731F324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2623</w:t>
            </w:r>
          </w:p>
        </w:tc>
        <w:tc>
          <w:tcPr>
            <w:tcW w:w="773" w:type="dxa"/>
            <w:noWrap/>
            <w:hideMark/>
          </w:tcPr>
          <w:p w14:paraId="0ED9B56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2654</w:t>
            </w:r>
          </w:p>
        </w:tc>
        <w:tc>
          <w:tcPr>
            <w:tcW w:w="773" w:type="dxa"/>
            <w:noWrap/>
            <w:hideMark/>
          </w:tcPr>
          <w:p w14:paraId="510FF20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2687</w:t>
            </w:r>
          </w:p>
        </w:tc>
        <w:tc>
          <w:tcPr>
            <w:tcW w:w="774" w:type="dxa"/>
            <w:noWrap/>
            <w:hideMark/>
          </w:tcPr>
          <w:p w14:paraId="6BC4BB5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2721</w:t>
            </w:r>
          </w:p>
        </w:tc>
        <w:tc>
          <w:tcPr>
            <w:tcW w:w="773" w:type="dxa"/>
            <w:noWrap/>
            <w:hideMark/>
          </w:tcPr>
          <w:p w14:paraId="7553559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2748</w:t>
            </w:r>
          </w:p>
        </w:tc>
        <w:tc>
          <w:tcPr>
            <w:tcW w:w="773" w:type="dxa"/>
            <w:noWrap/>
            <w:hideMark/>
          </w:tcPr>
          <w:p w14:paraId="1908489F"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2935</w:t>
            </w:r>
          </w:p>
        </w:tc>
        <w:tc>
          <w:tcPr>
            <w:tcW w:w="773" w:type="dxa"/>
            <w:noWrap/>
            <w:hideMark/>
          </w:tcPr>
          <w:p w14:paraId="6DD6B47B"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3190</w:t>
            </w:r>
          </w:p>
        </w:tc>
        <w:tc>
          <w:tcPr>
            <w:tcW w:w="773" w:type="dxa"/>
            <w:noWrap/>
            <w:hideMark/>
          </w:tcPr>
          <w:p w14:paraId="60D6BFC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3434</w:t>
            </w:r>
          </w:p>
        </w:tc>
        <w:tc>
          <w:tcPr>
            <w:tcW w:w="774" w:type="dxa"/>
            <w:noWrap/>
            <w:hideMark/>
          </w:tcPr>
          <w:p w14:paraId="2988211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3679</w:t>
            </w:r>
          </w:p>
        </w:tc>
      </w:tr>
      <w:tr w:rsidR="001E4E92" w:rsidRPr="003B4324" w14:paraId="44544B72" w14:textId="77777777" w:rsidTr="007F4A03">
        <w:trPr>
          <w:trHeight w:val="300"/>
        </w:trPr>
        <w:tc>
          <w:tcPr>
            <w:tcW w:w="1271" w:type="dxa"/>
            <w:shd w:val="clear" w:color="auto" w:fill="E7E6E6"/>
            <w:noWrap/>
            <w:vAlign w:val="bottom"/>
            <w:hideMark/>
          </w:tcPr>
          <w:p w14:paraId="3B35CE54"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73" w:type="dxa"/>
            <w:noWrap/>
            <w:hideMark/>
          </w:tcPr>
          <w:p w14:paraId="1A3947EE"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2347</w:t>
            </w:r>
          </w:p>
        </w:tc>
        <w:tc>
          <w:tcPr>
            <w:tcW w:w="773" w:type="dxa"/>
            <w:noWrap/>
            <w:hideMark/>
          </w:tcPr>
          <w:p w14:paraId="2289400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2481</w:t>
            </w:r>
          </w:p>
        </w:tc>
        <w:tc>
          <w:tcPr>
            <w:tcW w:w="773" w:type="dxa"/>
            <w:noWrap/>
            <w:hideMark/>
          </w:tcPr>
          <w:p w14:paraId="0669A908"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2494</w:t>
            </w:r>
          </w:p>
        </w:tc>
        <w:tc>
          <w:tcPr>
            <w:tcW w:w="773" w:type="dxa"/>
            <w:noWrap/>
            <w:hideMark/>
          </w:tcPr>
          <w:p w14:paraId="1E8647A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2480</w:t>
            </w:r>
          </w:p>
        </w:tc>
        <w:tc>
          <w:tcPr>
            <w:tcW w:w="773" w:type="dxa"/>
            <w:noWrap/>
            <w:hideMark/>
          </w:tcPr>
          <w:p w14:paraId="207706B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2482</w:t>
            </w:r>
          </w:p>
        </w:tc>
        <w:tc>
          <w:tcPr>
            <w:tcW w:w="774" w:type="dxa"/>
            <w:noWrap/>
            <w:hideMark/>
          </w:tcPr>
          <w:p w14:paraId="114A684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2461</w:t>
            </w:r>
          </w:p>
        </w:tc>
        <w:tc>
          <w:tcPr>
            <w:tcW w:w="773" w:type="dxa"/>
            <w:noWrap/>
            <w:hideMark/>
          </w:tcPr>
          <w:p w14:paraId="6E8F9A6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2512</w:t>
            </w:r>
          </w:p>
        </w:tc>
        <w:tc>
          <w:tcPr>
            <w:tcW w:w="773" w:type="dxa"/>
            <w:noWrap/>
            <w:hideMark/>
          </w:tcPr>
          <w:p w14:paraId="16223742"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2427</w:t>
            </w:r>
          </w:p>
        </w:tc>
        <w:tc>
          <w:tcPr>
            <w:tcW w:w="773" w:type="dxa"/>
            <w:noWrap/>
            <w:hideMark/>
          </w:tcPr>
          <w:p w14:paraId="39AEA57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2444</w:t>
            </w:r>
          </w:p>
        </w:tc>
        <w:tc>
          <w:tcPr>
            <w:tcW w:w="773" w:type="dxa"/>
            <w:noWrap/>
            <w:hideMark/>
          </w:tcPr>
          <w:p w14:paraId="7C0F5CF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2316</w:t>
            </w:r>
          </w:p>
        </w:tc>
        <w:tc>
          <w:tcPr>
            <w:tcW w:w="774" w:type="dxa"/>
            <w:noWrap/>
            <w:hideMark/>
          </w:tcPr>
          <w:p w14:paraId="746E3E2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2208</w:t>
            </w:r>
          </w:p>
        </w:tc>
      </w:tr>
      <w:tr w:rsidR="001E4E92" w:rsidRPr="003B4324" w14:paraId="12034F2D" w14:textId="77777777" w:rsidTr="007F4A03">
        <w:trPr>
          <w:trHeight w:val="300"/>
        </w:trPr>
        <w:tc>
          <w:tcPr>
            <w:tcW w:w="1271" w:type="dxa"/>
            <w:shd w:val="clear" w:color="auto" w:fill="E7E6E6"/>
            <w:noWrap/>
            <w:vAlign w:val="bottom"/>
            <w:hideMark/>
          </w:tcPr>
          <w:p w14:paraId="70DF1B12"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73" w:type="dxa"/>
            <w:noWrap/>
            <w:hideMark/>
          </w:tcPr>
          <w:p w14:paraId="3A1E6665"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2347</w:t>
            </w:r>
          </w:p>
        </w:tc>
        <w:tc>
          <w:tcPr>
            <w:tcW w:w="773" w:type="dxa"/>
            <w:noWrap/>
            <w:hideMark/>
          </w:tcPr>
          <w:p w14:paraId="3B4AF70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2481</w:t>
            </w:r>
          </w:p>
        </w:tc>
        <w:tc>
          <w:tcPr>
            <w:tcW w:w="773" w:type="dxa"/>
            <w:noWrap/>
            <w:hideMark/>
          </w:tcPr>
          <w:p w14:paraId="45F476B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2494</w:t>
            </w:r>
          </w:p>
        </w:tc>
        <w:tc>
          <w:tcPr>
            <w:tcW w:w="773" w:type="dxa"/>
            <w:noWrap/>
            <w:hideMark/>
          </w:tcPr>
          <w:p w14:paraId="4E7AAE1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2480</w:t>
            </w:r>
          </w:p>
        </w:tc>
        <w:tc>
          <w:tcPr>
            <w:tcW w:w="773" w:type="dxa"/>
            <w:noWrap/>
            <w:hideMark/>
          </w:tcPr>
          <w:p w14:paraId="53753B8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2482</w:t>
            </w:r>
          </w:p>
        </w:tc>
        <w:tc>
          <w:tcPr>
            <w:tcW w:w="774" w:type="dxa"/>
            <w:noWrap/>
            <w:hideMark/>
          </w:tcPr>
          <w:p w14:paraId="5379E3C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2461</w:t>
            </w:r>
          </w:p>
        </w:tc>
        <w:tc>
          <w:tcPr>
            <w:tcW w:w="773" w:type="dxa"/>
            <w:noWrap/>
            <w:hideMark/>
          </w:tcPr>
          <w:p w14:paraId="0624A13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2512</w:t>
            </w:r>
          </w:p>
        </w:tc>
        <w:tc>
          <w:tcPr>
            <w:tcW w:w="773" w:type="dxa"/>
            <w:noWrap/>
            <w:hideMark/>
          </w:tcPr>
          <w:p w14:paraId="464A675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2445</w:t>
            </w:r>
          </w:p>
        </w:tc>
        <w:tc>
          <w:tcPr>
            <w:tcW w:w="773" w:type="dxa"/>
            <w:noWrap/>
            <w:hideMark/>
          </w:tcPr>
          <w:p w14:paraId="2F6C628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2420</w:t>
            </w:r>
          </w:p>
        </w:tc>
        <w:tc>
          <w:tcPr>
            <w:tcW w:w="773" w:type="dxa"/>
            <w:noWrap/>
            <w:hideMark/>
          </w:tcPr>
          <w:p w14:paraId="6C0DC08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2265</w:t>
            </w:r>
          </w:p>
        </w:tc>
        <w:tc>
          <w:tcPr>
            <w:tcW w:w="774" w:type="dxa"/>
            <w:noWrap/>
            <w:hideMark/>
          </w:tcPr>
          <w:p w14:paraId="669F8D7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2149</w:t>
            </w:r>
          </w:p>
        </w:tc>
      </w:tr>
    </w:tbl>
    <w:p w14:paraId="2CE4581D" w14:textId="2566EC3F" w:rsidR="004E1EC9" w:rsidRDefault="004E1EC9" w:rsidP="0087794A">
      <w:pPr>
        <w:pStyle w:val="Caption"/>
        <w:spacing w:before="160" w:after="160"/>
      </w:pPr>
      <w:bookmarkStart w:id="751" w:name="_Toc153545119"/>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26</w:t>
      </w:r>
      <w:r w:rsidR="006E0533">
        <w:rPr>
          <w:noProof/>
        </w:rPr>
        <w:fldChar w:fldCharType="end"/>
      </w:r>
      <w:r w:rsidRPr="004E1EC9">
        <w:t>: Final Energy Consumption per Sector - Services [ktoe]</w:t>
      </w:r>
      <w:bookmarkEnd w:id="751"/>
    </w:p>
    <w:tbl>
      <w:tblPr>
        <w:tblStyle w:val="TableGrid"/>
        <w:tblW w:w="9776" w:type="dxa"/>
        <w:tblLayout w:type="fixed"/>
        <w:tblLook w:val="04A0" w:firstRow="1" w:lastRow="0" w:firstColumn="1" w:lastColumn="0" w:noHBand="0" w:noVBand="1"/>
      </w:tblPr>
      <w:tblGrid>
        <w:gridCol w:w="1271"/>
        <w:gridCol w:w="773"/>
        <w:gridCol w:w="773"/>
        <w:gridCol w:w="773"/>
        <w:gridCol w:w="773"/>
        <w:gridCol w:w="773"/>
        <w:gridCol w:w="774"/>
        <w:gridCol w:w="773"/>
        <w:gridCol w:w="773"/>
        <w:gridCol w:w="773"/>
        <w:gridCol w:w="773"/>
        <w:gridCol w:w="774"/>
      </w:tblGrid>
      <w:tr w:rsidR="001E4E92" w:rsidRPr="003B4324" w14:paraId="544BE2A4" w14:textId="77777777" w:rsidTr="007F4A03">
        <w:trPr>
          <w:trHeight w:val="300"/>
        </w:trPr>
        <w:tc>
          <w:tcPr>
            <w:tcW w:w="1271" w:type="dxa"/>
            <w:shd w:val="clear" w:color="auto" w:fill="404040"/>
            <w:noWrap/>
            <w:vAlign w:val="center"/>
            <w:hideMark/>
          </w:tcPr>
          <w:p w14:paraId="5959368F" w14:textId="77777777" w:rsidR="001E4E92" w:rsidRPr="004254D2" w:rsidRDefault="001E4E92" w:rsidP="007F4A03">
            <w:pPr>
              <w:spacing w:after="0" w:line="240" w:lineRule="auto"/>
              <w:jc w:val="center"/>
              <w:rPr>
                <w:rFonts w:ascii="Calibri Light" w:hAnsi="Calibri Light" w:cs="Calibri Light"/>
                <w:color w:val="000000" w:themeColor="text1"/>
              </w:rPr>
            </w:pPr>
            <w:r w:rsidRPr="001E4E92">
              <w:rPr>
                <w:rFonts w:ascii="Calibri Light" w:hAnsi="Calibri Light" w:cs="Calibri Light"/>
                <w:color w:val="FFFFFF" w:themeColor="background1"/>
              </w:rPr>
              <w:t>FEC</w:t>
            </w:r>
            <w:r>
              <w:rPr>
                <w:rFonts w:ascii="Calibri Light" w:hAnsi="Calibri Light" w:cs="Calibri Light"/>
                <w:color w:val="FFFFFF" w:themeColor="background1"/>
              </w:rPr>
              <w:t xml:space="preserve"> </w:t>
            </w:r>
            <w:r w:rsidRPr="001E4E92">
              <w:rPr>
                <w:rFonts w:ascii="Calibri Light" w:hAnsi="Calibri Light" w:cs="Calibri Light"/>
                <w:color w:val="FFFFFF" w:themeColor="background1"/>
              </w:rPr>
              <w:t>Services [ktoe]</w:t>
            </w:r>
          </w:p>
        </w:tc>
        <w:tc>
          <w:tcPr>
            <w:tcW w:w="773" w:type="dxa"/>
            <w:shd w:val="clear" w:color="auto" w:fill="1F497D"/>
            <w:noWrap/>
            <w:vAlign w:val="center"/>
            <w:hideMark/>
          </w:tcPr>
          <w:p w14:paraId="4E8EEAF5"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73" w:type="dxa"/>
            <w:shd w:val="clear" w:color="auto" w:fill="1F497D"/>
            <w:noWrap/>
            <w:vAlign w:val="center"/>
            <w:hideMark/>
          </w:tcPr>
          <w:p w14:paraId="5BD89F21"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73" w:type="dxa"/>
            <w:shd w:val="clear" w:color="auto" w:fill="1F497D"/>
            <w:noWrap/>
            <w:vAlign w:val="center"/>
            <w:hideMark/>
          </w:tcPr>
          <w:p w14:paraId="205DA4EF"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73" w:type="dxa"/>
            <w:shd w:val="clear" w:color="auto" w:fill="1F497D"/>
            <w:noWrap/>
            <w:vAlign w:val="center"/>
            <w:hideMark/>
          </w:tcPr>
          <w:p w14:paraId="438D2689"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73" w:type="dxa"/>
            <w:shd w:val="clear" w:color="auto" w:fill="1F497D"/>
            <w:noWrap/>
            <w:vAlign w:val="center"/>
            <w:hideMark/>
          </w:tcPr>
          <w:p w14:paraId="190C3B13"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74" w:type="dxa"/>
            <w:shd w:val="clear" w:color="auto" w:fill="1F497D"/>
            <w:noWrap/>
            <w:vAlign w:val="center"/>
            <w:hideMark/>
          </w:tcPr>
          <w:p w14:paraId="05431190"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73" w:type="dxa"/>
            <w:shd w:val="clear" w:color="auto" w:fill="1F497D"/>
            <w:noWrap/>
            <w:vAlign w:val="center"/>
            <w:hideMark/>
          </w:tcPr>
          <w:p w14:paraId="790563A0"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73" w:type="dxa"/>
            <w:shd w:val="clear" w:color="auto" w:fill="1F497D"/>
            <w:noWrap/>
            <w:vAlign w:val="center"/>
            <w:hideMark/>
          </w:tcPr>
          <w:p w14:paraId="5ECBF8AB"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73" w:type="dxa"/>
            <w:shd w:val="clear" w:color="auto" w:fill="1F497D"/>
            <w:noWrap/>
            <w:vAlign w:val="center"/>
            <w:hideMark/>
          </w:tcPr>
          <w:p w14:paraId="520FA89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73" w:type="dxa"/>
            <w:shd w:val="clear" w:color="auto" w:fill="1F497D"/>
            <w:noWrap/>
            <w:vAlign w:val="center"/>
            <w:hideMark/>
          </w:tcPr>
          <w:p w14:paraId="3DC374FC"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74" w:type="dxa"/>
            <w:shd w:val="clear" w:color="auto" w:fill="1F497D"/>
            <w:noWrap/>
            <w:vAlign w:val="center"/>
            <w:hideMark/>
          </w:tcPr>
          <w:p w14:paraId="0E6BB002"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1E4E92" w:rsidRPr="003B4324" w14:paraId="5D777802" w14:textId="77777777" w:rsidTr="007F4A03">
        <w:trPr>
          <w:trHeight w:val="300"/>
        </w:trPr>
        <w:tc>
          <w:tcPr>
            <w:tcW w:w="1271" w:type="dxa"/>
            <w:shd w:val="clear" w:color="auto" w:fill="E7E6E6"/>
            <w:noWrap/>
            <w:vAlign w:val="bottom"/>
            <w:hideMark/>
          </w:tcPr>
          <w:p w14:paraId="7E4283F8"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73" w:type="dxa"/>
            <w:noWrap/>
            <w:hideMark/>
          </w:tcPr>
          <w:p w14:paraId="58CDAB7E"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761</w:t>
            </w:r>
          </w:p>
        </w:tc>
        <w:tc>
          <w:tcPr>
            <w:tcW w:w="773" w:type="dxa"/>
            <w:noWrap/>
            <w:hideMark/>
          </w:tcPr>
          <w:p w14:paraId="6538D7E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974</w:t>
            </w:r>
          </w:p>
        </w:tc>
        <w:tc>
          <w:tcPr>
            <w:tcW w:w="773" w:type="dxa"/>
            <w:noWrap/>
            <w:hideMark/>
          </w:tcPr>
          <w:p w14:paraId="50C00F5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998</w:t>
            </w:r>
          </w:p>
        </w:tc>
        <w:tc>
          <w:tcPr>
            <w:tcW w:w="773" w:type="dxa"/>
            <w:noWrap/>
            <w:hideMark/>
          </w:tcPr>
          <w:p w14:paraId="731A371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1022</w:t>
            </w:r>
          </w:p>
        </w:tc>
        <w:tc>
          <w:tcPr>
            <w:tcW w:w="773" w:type="dxa"/>
            <w:noWrap/>
            <w:hideMark/>
          </w:tcPr>
          <w:p w14:paraId="4FBFE15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1047</w:t>
            </w:r>
          </w:p>
        </w:tc>
        <w:tc>
          <w:tcPr>
            <w:tcW w:w="774" w:type="dxa"/>
            <w:noWrap/>
            <w:hideMark/>
          </w:tcPr>
          <w:p w14:paraId="0F35AA98"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1072</w:t>
            </w:r>
          </w:p>
        </w:tc>
        <w:tc>
          <w:tcPr>
            <w:tcW w:w="773" w:type="dxa"/>
            <w:noWrap/>
            <w:hideMark/>
          </w:tcPr>
          <w:p w14:paraId="18DE3BB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1097</w:t>
            </w:r>
          </w:p>
        </w:tc>
        <w:tc>
          <w:tcPr>
            <w:tcW w:w="773" w:type="dxa"/>
            <w:noWrap/>
            <w:hideMark/>
          </w:tcPr>
          <w:p w14:paraId="20A5EC0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1219</w:t>
            </w:r>
          </w:p>
        </w:tc>
        <w:tc>
          <w:tcPr>
            <w:tcW w:w="773" w:type="dxa"/>
            <w:noWrap/>
            <w:hideMark/>
          </w:tcPr>
          <w:p w14:paraId="185C3E0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1342</w:t>
            </w:r>
          </w:p>
        </w:tc>
        <w:tc>
          <w:tcPr>
            <w:tcW w:w="773" w:type="dxa"/>
            <w:noWrap/>
            <w:hideMark/>
          </w:tcPr>
          <w:p w14:paraId="25C5687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1459</w:t>
            </w:r>
          </w:p>
        </w:tc>
        <w:tc>
          <w:tcPr>
            <w:tcW w:w="774" w:type="dxa"/>
            <w:noWrap/>
            <w:hideMark/>
          </w:tcPr>
          <w:p w14:paraId="21448A3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1579</w:t>
            </w:r>
          </w:p>
        </w:tc>
      </w:tr>
      <w:tr w:rsidR="001E4E92" w:rsidRPr="003B4324" w14:paraId="633902D0" w14:textId="77777777" w:rsidTr="007F4A03">
        <w:trPr>
          <w:trHeight w:val="300"/>
        </w:trPr>
        <w:tc>
          <w:tcPr>
            <w:tcW w:w="1271" w:type="dxa"/>
            <w:shd w:val="clear" w:color="auto" w:fill="E7E6E6"/>
            <w:noWrap/>
            <w:vAlign w:val="bottom"/>
            <w:hideMark/>
          </w:tcPr>
          <w:p w14:paraId="4B43D39F"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73" w:type="dxa"/>
            <w:noWrap/>
            <w:hideMark/>
          </w:tcPr>
          <w:p w14:paraId="041A4E03"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842</w:t>
            </w:r>
          </w:p>
        </w:tc>
        <w:tc>
          <w:tcPr>
            <w:tcW w:w="773" w:type="dxa"/>
            <w:noWrap/>
            <w:hideMark/>
          </w:tcPr>
          <w:p w14:paraId="002F750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864</w:t>
            </w:r>
          </w:p>
        </w:tc>
        <w:tc>
          <w:tcPr>
            <w:tcW w:w="773" w:type="dxa"/>
            <w:noWrap/>
            <w:hideMark/>
          </w:tcPr>
          <w:p w14:paraId="37A8456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870</w:t>
            </w:r>
          </w:p>
        </w:tc>
        <w:tc>
          <w:tcPr>
            <w:tcW w:w="773" w:type="dxa"/>
            <w:noWrap/>
            <w:hideMark/>
          </w:tcPr>
          <w:p w14:paraId="4D7BA0C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881</w:t>
            </w:r>
          </w:p>
        </w:tc>
        <w:tc>
          <w:tcPr>
            <w:tcW w:w="773" w:type="dxa"/>
            <w:noWrap/>
            <w:hideMark/>
          </w:tcPr>
          <w:p w14:paraId="1AD35C5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891</w:t>
            </w:r>
          </w:p>
        </w:tc>
        <w:tc>
          <w:tcPr>
            <w:tcW w:w="774" w:type="dxa"/>
            <w:noWrap/>
            <w:hideMark/>
          </w:tcPr>
          <w:p w14:paraId="398A46F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901</w:t>
            </w:r>
          </w:p>
        </w:tc>
        <w:tc>
          <w:tcPr>
            <w:tcW w:w="773" w:type="dxa"/>
            <w:noWrap/>
            <w:hideMark/>
          </w:tcPr>
          <w:p w14:paraId="08D1C8B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910</w:t>
            </w:r>
          </w:p>
        </w:tc>
        <w:tc>
          <w:tcPr>
            <w:tcW w:w="773" w:type="dxa"/>
            <w:noWrap/>
            <w:hideMark/>
          </w:tcPr>
          <w:p w14:paraId="730D59B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922</w:t>
            </w:r>
          </w:p>
        </w:tc>
        <w:tc>
          <w:tcPr>
            <w:tcW w:w="773" w:type="dxa"/>
            <w:noWrap/>
            <w:hideMark/>
          </w:tcPr>
          <w:p w14:paraId="623871E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946</w:t>
            </w:r>
          </w:p>
        </w:tc>
        <w:tc>
          <w:tcPr>
            <w:tcW w:w="773" w:type="dxa"/>
            <w:noWrap/>
            <w:hideMark/>
          </w:tcPr>
          <w:p w14:paraId="2A76F82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74" w:type="dxa"/>
            <w:noWrap/>
            <w:hideMark/>
          </w:tcPr>
          <w:p w14:paraId="311A90F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1198</w:t>
            </w:r>
          </w:p>
        </w:tc>
      </w:tr>
      <w:tr w:rsidR="001E4E92" w:rsidRPr="003B4324" w14:paraId="11CA7BA7" w14:textId="77777777" w:rsidTr="007F4A03">
        <w:trPr>
          <w:trHeight w:val="300"/>
        </w:trPr>
        <w:tc>
          <w:tcPr>
            <w:tcW w:w="1271" w:type="dxa"/>
            <w:shd w:val="clear" w:color="auto" w:fill="E7E6E6"/>
            <w:noWrap/>
            <w:vAlign w:val="bottom"/>
            <w:hideMark/>
          </w:tcPr>
          <w:p w14:paraId="1D2DDBA7"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73" w:type="dxa"/>
            <w:noWrap/>
            <w:hideMark/>
          </w:tcPr>
          <w:p w14:paraId="03505357"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842</w:t>
            </w:r>
          </w:p>
        </w:tc>
        <w:tc>
          <w:tcPr>
            <w:tcW w:w="773" w:type="dxa"/>
            <w:noWrap/>
            <w:hideMark/>
          </w:tcPr>
          <w:p w14:paraId="3B99D08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864</w:t>
            </w:r>
          </w:p>
        </w:tc>
        <w:tc>
          <w:tcPr>
            <w:tcW w:w="773" w:type="dxa"/>
            <w:noWrap/>
            <w:hideMark/>
          </w:tcPr>
          <w:p w14:paraId="16E18D0F"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870</w:t>
            </w:r>
          </w:p>
        </w:tc>
        <w:tc>
          <w:tcPr>
            <w:tcW w:w="773" w:type="dxa"/>
            <w:noWrap/>
            <w:hideMark/>
          </w:tcPr>
          <w:p w14:paraId="65ED43E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881</w:t>
            </w:r>
          </w:p>
        </w:tc>
        <w:tc>
          <w:tcPr>
            <w:tcW w:w="773" w:type="dxa"/>
            <w:noWrap/>
            <w:hideMark/>
          </w:tcPr>
          <w:p w14:paraId="5A52CB62"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891</w:t>
            </w:r>
          </w:p>
        </w:tc>
        <w:tc>
          <w:tcPr>
            <w:tcW w:w="774" w:type="dxa"/>
            <w:noWrap/>
            <w:hideMark/>
          </w:tcPr>
          <w:p w14:paraId="35515FF8"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901</w:t>
            </w:r>
          </w:p>
        </w:tc>
        <w:tc>
          <w:tcPr>
            <w:tcW w:w="773" w:type="dxa"/>
            <w:noWrap/>
            <w:hideMark/>
          </w:tcPr>
          <w:p w14:paraId="0DDB801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910</w:t>
            </w:r>
          </w:p>
        </w:tc>
        <w:tc>
          <w:tcPr>
            <w:tcW w:w="773" w:type="dxa"/>
            <w:noWrap/>
            <w:hideMark/>
          </w:tcPr>
          <w:p w14:paraId="38CEBC4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922</w:t>
            </w:r>
          </w:p>
        </w:tc>
        <w:tc>
          <w:tcPr>
            <w:tcW w:w="773" w:type="dxa"/>
            <w:noWrap/>
            <w:hideMark/>
          </w:tcPr>
          <w:p w14:paraId="6E194D7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947</w:t>
            </w:r>
          </w:p>
        </w:tc>
        <w:tc>
          <w:tcPr>
            <w:tcW w:w="773" w:type="dxa"/>
            <w:noWrap/>
            <w:hideMark/>
          </w:tcPr>
          <w:p w14:paraId="5BBE13D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1041</w:t>
            </w:r>
          </w:p>
        </w:tc>
        <w:tc>
          <w:tcPr>
            <w:tcW w:w="774" w:type="dxa"/>
            <w:noWrap/>
            <w:hideMark/>
          </w:tcPr>
          <w:p w14:paraId="260B125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1197</w:t>
            </w:r>
          </w:p>
        </w:tc>
      </w:tr>
    </w:tbl>
    <w:p w14:paraId="4599FEEF" w14:textId="4D997FA5" w:rsidR="004E1EC9" w:rsidRDefault="004E1EC9" w:rsidP="0087794A">
      <w:pPr>
        <w:pStyle w:val="Caption"/>
        <w:spacing w:before="160" w:after="160"/>
      </w:pPr>
      <w:bookmarkStart w:id="752" w:name="_Toc153545120"/>
      <w:r>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27</w:t>
      </w:r>
      <w:r w:rsidR="006E0533">
        <w:rPr>
          <w:noProof/>
        </w:rPr>
        <w:fldChar w:fldCharType="end"/>
      </w:r>
      <w:r w:rsidRPr="004E1EC9">
        <w:t>: Final Energy Consumption per Sector - Residential [ktoe]</w:t>
      </w:r>
      <w:bookmarkEnd w:id="752"/>
    </w:p>
    <w:tbl>
      <w:tblPr>
        <w:tblStyle w:val="TableGrid"/>
        <w:tblW w:w="9776" w:type="dxa"/>
        <w:tblLayout w:type="fixed"/>
        <w:tblLook w:val="04A0" w:firstRow="1" w:lastRow="0" w:firstColumn="1" w:lastColumn="0" w:noHBand="0" w:noVBand="1"/>
      </w:tblPr>
      <w:tblGrid>
        <w:gridCol w:w="1271"/>
        <w:gridCol w:w="773"/>
        <w:gridCol w:w="773"/>
        <w:gridCol w:w="773"/>
        <w:gridCol w:w="773"/>
        <w:gridCol w:w="773"/>
        <w:gridCol w:w="774"/>
        <w:gridCol w:w="773"/>
        <w:gridCol w:w="773"/>
        <w:gridCol w:w="773"/>
        <w:gridCol w:w="773"/>
        <w:gridCol w:w="774"/>
      </w:tblGrid>
      <w:tr w:rsidR="001E4E92" w:rsidRPr="003B4324" w14:paraId="4E1D542E" w14:textId="77777777" w:rsidTr="007F4A03">
        <w:trPr>
          <w:trHeight w:val="300"/>
        </w:trPr>
        <w:tc>
          <w:tcPr>
            <w:tcW w:w="1271" w:type="dxa"/>
            <w:shd w:val="clear" w:color="auto" w:fill="404040"/>
            <w:noWrap/>
            <w:vAlign w:val="center"/>
            <w:hideMark/>
          </w:tcPr>
          <w:p w14:paraId="4ECFD836" w14:textId="77777777" w:rsidR="001E4E92" w:rsidRPr="004254D2" w:rsidRDefault="001E4E92" w:rsidP="007F4A03">
            <w:pPr>
              <w:spacing w:after="0" w:line="240" w:lineRule="auto"/>
              <w:jc w:val="center"/>
              <w:rPr>
                <w:rFonts w:ascii="Calibri Light" w:hAnsi="Calibri Light" w:cs="Calibri Light"/>
                <w:color w:val="000000" w:themeColor="text1"/>
              </w:rPr>
            </w:pPr>
            <w:r w:rsidRPr="001E4E92">
              <w:rPr>
                <w:rFonts w:ascii="Calibri Light" w:hAnsi="Calibri Light" w:cs="Calibri Light"/>
                <w:color w:val="FFFFFF" w:themeColor="background1"/>
              </w:rPr>
              <w:t>FEC</w:t>
            </w:r>
            <w:r>
              <w:rPr>
                <w:rFonts w:ascii="Calibri Light" w:hAnsi="Calibri Light" w:cs="Calibri Light"/>
                <w:color w:val="FFFFFF" w:themeColor="background1"/>
              </w:rPr>
              <w:t xml:space="preserve"> </w:t>
            </w:r>
            <w:r w:rsidRPr="001E4E92">
              <w:rPr>
                <w:rFonts w:ascii="Calibri Light" w:hAnsi="Calibri Light" w:cs="Calibri Light"/>
                <w:color w:val="FFFFFF" w:themeColor="background1"/>
              </w:rPr>
              <w:t>Residential [ktoe]</w:t>
            </w:r>
          </w:p>
        </w:tc>
        <w:tc>
          <w:tcPr>
            <w:tcW w:w="773" w:type="dxa"/>
            <w:shd w:val="clear" w:color="auto" w:fill="1F497D"/>
            <w:noWrap/>
            <w:vAlign w:val="center"/>
            <w:hideMark/>
          </w:tcPr>
          <w:p w14:paraId="16A67081"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73" w:type="dxa"/>
            <w:shd w:val="clear" w:color="auto" w:fill="1F497D"/>
            <w:noWrap/>
            <w:vAlign w:val="center"/>
            <w:hideMark/>
          </w:tcPr>
          <w:p w14:paraId="0A36B30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73" w:type="dxa"/>
            <w:shd w:val="clear" w:color="auto" w:fill="1F497D"/>
            <w:noWrap/>
            <w:vAlign w:val="center"/>
            <w:hideMark/>
          </w:tcPr>
          <w:p w14:paraId="6F7E9C75"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73" w:type="dxa"/>
            <w:shd w:val="clear" w:color="auto" w:fill="1F497D"/>
            <w:noWrap/>
            <w:vAlign w:val="center"/>
            <w:hideMark/>
          </w:tcPr>
          <w:p w14:paraId="674525F1"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73" w:type="dxa"/>
            <w:shd w:val="clear" w:color="auto" w:fill="1F497D"/>
            <w:noWrap/>
            <w:vAlign w:val="center"/>
            <w:hideMark/>
          </w:tcPr>
          <w:p w14:paraId="62CD8F0D"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74" w:type="dxa"/>
            <w:shd w:val="clear" w:color="auto" w:fill="1F497D"/>
            <w:noWrap/>
            <w:vAlign w:val="center"/>
            <w:hideMark/>
          </w:tcPr>
          <w:p w14:paraId="02F5D34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73" w:type="dxa"/>
            <w:shd w:val="clear" w:color="auto" w:fill="1F497D"/>
            <w:noWrap/>
            <w:vAlign w:val="center"/>
            <w:hideMark/>
          </w:tcPr>
          <w:p w14:paraId="2BB6C6F9"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73" w:type="dxa"/>
            <w:shd w:val="clear" w:color="auto" w:fill="1F497D"/>
            <w:noWrap/>
            <w:vAlign w:val="center"/>
            <w:hideMark/>
          </w:tcPr>
          <w:p w14:paraId="1DFC0E2F"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73" w:type="dxa"/>
            <w:shd w:val="clear" w:color="auto" w:fill="1F497D"/>
            <w:noWrap/>
            <w:vAlign w:val="center"/>
            <w:hideMark/>
          </w:tcPr>
          <w:p w14:paraId="69B8F5BE"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73" w:type="dxa"/>
            <w:shd w:val="clear" w:color="auto" w:fill="1F497D"/>
            <w:noWrap/>
            <w:vAlign w:val="center"/>
            <w:hideMark/>
          </w:tcPr>
          <w:p w14:paraId="77B85D9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74" w:type="dxa"/>
            <w:shd w:val="clear" w:color="auto" w:fill="1F497D"/>
            <w:noWrap/>
            <w:vAlign w:val="center"/>
            <w:hideMark/>
          </w:tcPr>
          <w:p w14:paraId="76EBC624"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1E4E92" w:rsidRPr="003B4324" w14:paraId="778500CC" w14:textId="77777777" w:rsidTr="007F4A03">
        <w:trPr>
          <w:trHeight w:val="300"/>
        </w:trPr>
        <w:tc>
          <w:tcPr>
            <w:tcW w:w="1271" w:type="dxa"/>
            <w:shd w:val="clear" w:color="auto" w:fill="E7E6E6"/>
            <w:noWrap/>
            <w:vAlign w:val="bottom"/>
            <w:hideMark/>
          </w:tcPr>
          <w:p w14:paraId="5633415A"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73" w:type="dxa"/>
            <w:noWrap/>
            <w:hideMark/>
          </w:tcPr>
          <w:p w14:paraId="075EEEF8"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3284</w:t>
            </w:r>
          </w:p>
        </w:tc>
        <w:tc>
          <w:tcPr>
            <w:tcW w:w="773" w:type="dxa"/>
            <w:noWrap/>
            <w:hideMark/>
          </w:tcPr>
          <w:p w14:paraId="6002485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3685</w:t>
            </w:r>
          </w:p>
        </w:tc>
        <w:tc>
          <w:tcPr>
            <w:tcW w:w="773" w:type="dxa"/>
            <w:noWrap/>
            <w:hideMark/>
          </w:tcPr>
          <w:p w14:paraId="529DAD1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3700</w:t>
            </w:r>
          </w:p>
        </w:tc>
        <w:tc>
          <w:tcPr>
            <w:tcW w:w="773" w:type="dxa"/>
            <w:noWrap/>
            <w:hideMark/>
          </w:tcPr>
          <w:p w14:paraId="0606E8E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3728</w:t>
            </w:r>
          </w:p>
        </w:tc>
        <w:tc>
          <w:tcPr>
            <w:tcW w:w="773" w:type="dxa"/>
            <w:noWrap/>
            <w:hideMark/>
          </w:tcPr>
          <w:p w14:paraId="5221EF0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3756</w:t>
            </w:r>
          </w:p>
        </w:tc>
        <w:tc>
          <w:tcPr>
            <w:tcW w:w="774" w:type="dxa"/>
            <w:noWrap/>
            <w:hideMark/>
          </w:tcPr>
          <w:p w14:paraId="7ADC158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3777</w:t>
            </w:r>
          </w:p>
        </w:tc>
        <w:tc>
          <w:tcPr>
            <w:tcW w:w="773" w:type="dxa"/>
            <w:noWrap/>
            <w:hideMark/>
          </w:tcPr>
          <w:p w14:paraId="6833573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3798</w:t>
            </w:r>
          </w:p>
        </w:tc>
        <w:tc>
          <w:tcPr>
            <w:tcW w:w="773" w:type="dxa"/>
            <w:noWrap/>
            <w:hideMark/>
          </w:tcPr>
          <w:p w14:paraId="14A53A5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3771</w:t>
            </w:r>
          </w:p>
        </w:tc>
        <w:tc>
          <w:tcPr>
            <w:tcW w:w="773" w:type="dxa"/>
            <w:noWrap/>
            <w:hideMark/>
          </w:tcPr>
          <w:p w14:paraId="21BBC3EB"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3711</w:t>
            </w:r>
          </w:p>
        </w:tc>
        <w:tc>
          <w:tcPr>
            <w:tcW w:w="773" w:type="dxa"/>
            <w:noWrap/>
            <w:hideMark/>
          </w:tcPr>
          <w:p w14:paraId="3B57DD92"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3686</w:t>
            </w:r>
          </w:p>
        </w:tc>
        <w:tc>
          <w:tcPr>
            <w:tcW w:w="774" w:type="dxa"/>
            <w:noWrap/>
            <w:hideMark/>
          </w:tcPr>
          <w:p w14:paraId="34DC03A8"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3687</w:t>
            </w:r>
          </w:p>
        </w:tc>
      </w:tr>
      <w:tr w:rsidR="001E4E92" w:rsidRPr="003B4324" w14:paraId="5AEB92C7" w14:textId="77777777" w:rsidTr="007F4A03">
        <w:trPr>
          <w:trHeight w:val="300"/>
        </w:trPr>
        <w:tc>
          <w:tcPr>
            <w:tcW w:w="1271" w:type="dxa"/>
            <w:shd w:val="clear" w:color="auto" w:fill="E7E6E6"/>
            <w:noWrap/>
            <w:vAlign w:val="bottom"/>
            <w:hideMark/>
          </w:tcPr>
          <w:p w14:paraId="447C77DD"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73" w:type="dxa"/>
            <w:noWrap/>
            <w:hideMark/>
          </w:tcPr>
          <w:p w14:paraId="760F2689"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3497</w:t>
            </w:r>
          </w:p>
        </w:tc>
        <w:tc>
          <w:tcPr>
            <w:tcW w:w="773" w:type="dxa"/>
            <w:noWrap/>
            <w:hideMark/>
          </w:tcPr>
          <w:p w14:paraId="3E463A0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3462</w:t>
            </w:r>
          </w:p>
        </w:tc>
        <w:tc>
          <w:tcPr>
            <w:tcW w:w="773" w:type="dxa"/>
            <w:noWrap/>
            <w:hideMark/>
          </w:tcPr>
          <w:p w14:paraId="272CD38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3463</w:t>
            </w:r>
          </w:p>
        </w:tc>
        <w:tc>
          <w:tcPr>
            <w:tcW w:w="773" w:type="dxa"/>
            <w:noWrap/>
            <w:hideMark/>
          </w:tcPr>
          <w:p w14:paraId="7DBB58E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3477</w:t>
            </w:r>
          </w:p>
        </w:tc>
        <w:tc>
          <w:tcPr>
            <w:tcW w:w="773" w:type="dxa"/>
            <w:noWrap/>
            <w:hideMark/>
          </w:tcPr>
          <w:p w14:paraId="174E699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3495</w:t>
            </w:r>
          </w:p>
        </w:tc>
        <w:tc>
          <w:tcPr>
            <w:tcW w:w="774" w:type="dxa"/>
            <w:noWrap/>
            <w:hideMark/>
          </w:tcPr>
          <w:p w14:paraId="363681D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3513</w:t>
            </w:r>
          </w:p>
        </w:tc>
        <w:tc>
          <w:tcPr>
            <w:tcW w:w="773" w:type="dxa"/>
            <w:noWrap/>
            <w:hideMark/>
          </w:tcPr>
          <w:p w14:paraId="641F7B0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3523</w:t>
            </w:r>
          </w:p>
        </w:tc>
        <w:tc>
          <w:tcPr>
            <w:tcW w:w="773" w:type="dxa"/>
            <w:noWrap/>
            <w:hideMark/>
          </w:tcPr>
          <w:p w14:paraId="26BFB3A8"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3382</w:t>
            </w:r>
          </w:p>
        </w:tc>
        <w:tc>
          <w:tcPr>
            <w:tcW w:w="773" w:type="dxa"/>
            <w:noWrap/>
            <w:hideMark/>
          </w:tcPr>
          <w:p w14:paraId="235BEE0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3193</w:t>
            </w:r>
          </w:p>
        </w:tc>
        <w:tc>
          <w:tcPr>
            <w:tcW w:w="773" w:type="dxa"/>
            <w:noWrap/>
            <w:hideMark/>
          </w:tcPr>
          <w:p w14:paraId="18C74CA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2838</w:t>
            </w:r>
          </w:p>
        </w:tc>
        <w:tc>
          <w:tcPr>
            <w:tcW w:w="774" w:type="dxa"/>
            <w:noWrap/>
            <w:hideMark/>
          </w:tcPr>
          <w:p w14:paraId="30D4486F"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2528</w:t>
            </w:r>
          </w:p>
        </w:tc>
      </w:tr>
      <w:tr w:rsidR="001E4E92" w:rsidRPr="003B4324" w14:paraId="69C5331F" w14:textId="77777777" w:rsidTr="007F4A03">
        <w:trPr>
          <w:trHeight w:val="300"/>
        </w:trPr>
        <w:tc>
          <w:tcPr>
            <w:tcW w:w="1271" w:type="dxa"/>
            <w:shd w:val="clear" w:color="auto" w:fill="E7E6E6"/>
            <w:noWrap/>
            <w:vAlign w:val="bottom"/>
            <w:hideMark/>
          </w:tcPr>
          <w:p w14:paraId="1A6ACEF0"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73" w:type="dxa"/>
            <w:noWrap/>
            <w:hideMark/>
          </w:tcPr>
          <w:p w14:paraId="0E917D38"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3497</w:t>
            </w:r>
          </w:p>
        </w:tc>
        <w:tc>
          <w:tcPr>
            <w:tcW w:w="773" w:type="dxa"/>
            <w:noWrap/>
            <w:hideMark/>
          </w:tcPr>
          <w:p w14:paraId="7E7D916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3462</w:t>
            </w:r>
          </w:p>
        </w:tc>
        <w:tc>
          <w:tcPr>
            <w:tcW w:w="773" w:type="dxa"/>
            <w:noWrap/>
            <w:hideMark/>
          </w:tcPr>
          <w:p w14:paraId="323F0D62"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3463</w:t>
            </w:r>
          </w:p>
        </w:tc>
        <w:tc>
          <w:tcPr>
            <w:tcW w:w="773" w:type="dxa"/>
            <w:noWrap/>
            <w:hideMark/>
          </w:tcPr>
          <w:p w14:paraId="37F125AB"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3477</w:t>
            </w:r>
          </w:p>
        </w:tc>
        <w:tc>
          <w:tcPr>
            <w:tcW w:w="773" w:type="dxa"/>
            <w:noWrap/>
            <w:hideMark/>
          </w:tcPr>
          <w:p w14:paraId="393EEC62"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3495</w:t>
            </w:r>
          </w:p>
        </w:tc>
        <w:tc>
          <w:tcPr>
            <w:tcW w:w="774" w:type="dxa"/>
            <w:noWrap/>
            <w:hideMark/>
          </w:tcPr>
          <w:p w14:paraId="3DFF4E9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3513</w:t>
            </w:r>
          </w:p>
        </w:tc>
        <w:tc>
          <w:tcPr>
            <w:tcW w:w="773" w:type="dxa"/>
            <w:noWrap/>
            <w:hideMark/>
          </w:tcPr>
          <w:p w14:paraId="067681F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3523</w:t>
            </w:r>
          </w:p>
        </w:tc>
        <w:tc>
          <w:tcPr>
            <w:tcW w:w="773" w:type="dxa"/>
            <w:noWrap/>
            <w:hideMark/>
          </w:tcPr>
          <w:p w14:paraId="0B63F64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3381</w:t>
            </w:r>
          </w:p>
        </w:tc>
        <w:tc>
          <w:tcPr>
            <w:tcW w:w="773" w:type="dxa"/>
            <w:noWrap/>
            <w:hideMark/>
          </w:tcPr>
          <w:p w14:paraId="14EB178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3192</w:t>
            </w:r>
          </w:p>
        </w:tc>
        <w:tc>
          <w:tcPr>
            <w:tcW w:w="773" w:type="dxa"/>
            <w:noWrap/>
            <w:hideMark/>
          </w:tcPr>
          <w:p w14:paraId="19F319F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2824</w:t>
            </w:r>
          </w:p>
        </w:tc>
        <w:tc>
          <w:tcPr>
            <w:tcW w:w="774" w:type="dxa"/>
            <w:noWrap/>
            <w:hideMark/>
          </w:tcPr>
          <w:p w14:paraId="1E381D3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2517</w:t>
            </w:r>
          </w:p>
        </w:tc>
      </w:tr>
    </w:tbl>
    <w:p w14:paraId="71506725" w14:textId="32E381C3" w:rsidR="004E1EC9" w:rsidRDefault="004E1EC9" w:rsidP="0087794A">
      <w:pPr>
        <w:pStyle w:val="Caption"/>
        <w:spacing w:before="160" w:after="160"/>
      </w:pPr>
      <w:bookmarkStart w:id="753" w:name="_Toc153545121"/>
      <w:r>
        <w:lastRenderedPageBreak/>
        <w:t xml:space="preserve">Table </w:t>
      </w:r>
      <w:r w:rsidR="006E0533">
        <w:fldChar w:fldCharType="begin"/>
      </w:r>
      <w:r w:rsidR="006E0533">
        <w:instrText xml:space="preserve"> STYLEREF 1 \s </w:instrText>
      </w:r>
      <w:r w:rsidR="006E0533">
        <w:fldChar w:fldCharType="separate"/>
      </w:r>
      <w:r w:rsidR="00A84B9C">
        <w:rPr>
          <w:noProof/>
        </w:rPr>
        <w:t>V</w:t>
      </w:r>
      <w:r w:rsidR="006E0533">
        <w:rPr>
          <w:noProof/>
        </w:rPr>
        <w:fldChar w:fldCharType="end"/>
      </w:r>
      <w:r w:rsidR="00A84B9C">
        <w:t>.</w:t>
      </w:r>
      <w:r w:rsidR="006E0533">
        <w:fldChar w:fldCharType="begin"/>
      </w:r>
      <w:r w:rsidR="006E0533">
        <w:instrText xml:space="preserve"> SEQ Table \* ARABIC \s 1 </w:instrText>
      </w:r>
      <w:r w:rsidR="006E0533">
        <w:fldChar w:fldCharType="separate"/>
      </w:r>
      <w:r w:rsidR="00A84B9C">
        <w:rPr>
          <w:noProof/>
        </w:rPr>
        <w:t>28</w:t>
      </w:r>
      <w:r w:rsidR="006E0533">
        <w:rPr>
          <w:noProof/>
        </w:rPr>
        <w:fldChar w:fldCharType="end"/>
      </w:r>
      <w:r w:rsidRPr="004E1EC9">
        <w:t>: Final Energy Consumption per Sector - Agriculture [ktoe]</w:t>
      </w:r>
      <w:bookmarkEnd w:id="753"/>
    </w:p>
    <w:tbl>
      <w:tblPr>
        <w:tblStyle w:val="TableGrid"/>
        <w:tblW w:w="9776" w:type="dxa"/>
        <w:tblLayout w:type="fixed"/>
        <w:tblLook w:val="04A0" w:firstRow="1" w:lastRow="0" w:firstColumn="1" w:lastColumn="0" w:noHBand="0" w:noVBand="1"/>
      </w:tblPr>
      <w:tblGrid>
        <w:gridCol w:w="1271"/>
        <w:gridCol w:w="773"/>
        <w:gridCol w:w="773"/>
        <w:gridCol w:w="773"/>
        <w:gridCol w:w="773"/>
        <w:gridCol w:w="773"/>
        <w:gridCol w:w="774"/>
        <w:gridCol w:w="773"/>
        <w:gridCol w:w="773"/>
        <w:gridCol w:w="773"/>
        <w:gridCol w:w="773"/>
        <w:gridCol w:w="774"/>
      </w:tblGrid>
      <w:tr w:rsidR="001E4E92" w:rsidRPr="003B4324" w14:paraId="067D309B" w14:textId="77777777" w:rsidTr="007F4A03">
        <w:trPr>
          <w:trHeight w:val="300"/>
        </w:trPr>
        <w:tc>
          <w:tcPr>
            <w:tcW w:w="1271" w:type="dxa"/>
            <w:shd w:val="clear" w:color="auto" w:fill="404040"/>
            <w:noWrap/>
            <w:vAlign w:val="center"/>
            <w:hideMark/>
          </w:tcPr>
          <w:p w14:paraId="3DBB4BD4" w14:textId="77777777" w:rsidR="001E4E92" w:rsidRPr="004254D2" w:rsidRDefault="001E4E92" w:rsidP="007F4A03">
            <w:pPr>
              <w:spacing w:after="0" w:line="240" w:lineRule="auto"/>
              <w:jc w:val="center"/>
              <w:rPr>
                <w:rFonts w:ascii="Calibri Light" w:hAnsi="Calibri Light" w:cs="Calibri Light"/>
                <w:color w:val="000000" w:themeColor="text1"/>
              </w:rPr>
            </w:pPr>
            <w:r w:rsidRPr="001E4E92">
              <w:rPr>
                <w:rFonts w:ascii="Calibri Light" w:hAnsi="Calibri Light" w:cs="Calibri Light"/>
                <w:color w:val="FFFFFF" w:themeColor="background1"/>
              </w:rPr>
              <w:t>FEC</w:t>
            </w:r>
            <w:r>
              <w:rPr>
                <w:rFonts w:ascii="Calibri Light" w:hAnsi="Calibri Light" w:cs="Calibri Light"/>
                <w:color w:val="FFFFFF" w:themeColor="background1"/>
              </w:rPr>
              <w:t xml:space="preserve"> </w:t>
            </w:r>
            <w:r w:rsidRPr="001E4E92">
              <w:rPr>
                <w:rFonts w:ascii="Calibri Light" w:hAnsi="Calibri Light" w:cs="Calibri Light"/>
                <w:color w:val="FFFFFF" w:themeColor="background1"/>
              </w:rPr>
              <w:t>Agriculture [ktoe]</w:t>
            </w:r>
          </w:p>
        </w:tc>
        <w:tc>
          <w:tcPr>
            <w:tcW w:w="773" w:type="dxa"/>
            <w:shd w:val="clear" w:color="auto" w:fill="1F497D"/>
            <w:noWrap/>
            <w:vAlign w:val="center"/>
            <w:hideMark/>
          </w:tcPr>
          <w:p w14:paraId="5558C6D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2020</w:t>
            </w:r>
          </w:p>
        </w:tc>
        <w:tc>
          <w:tcPr>
            <w:tcW w:w="773" w:type="dxa"/>
            <w:shd w:val="clear" w:color="auto" w:fill="1F497D"/>
            <w:noWrap/>
            <w:vAlign w:val="center"/>
            <w:hideMark/>
          </w:tcPr>
          <w:p w14:paraId="49D173EF"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2025</w:t>
            </w:r>
          </w:p>
        </w:tc>
        <w:tc>
          <w:tcPr>
            <w:tcW w:w="773" w:type="dxa"/>
            <w:shd w:val="clear" w:color="auto" w:fill="1F497D"/>
            <w:noWrap/>
            <w:vAlign w:val="center"/>
            <w:hideMark/>
          </w:tcPr>
          <w:p w14:paraId="03597065"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2026</w:t>
            </w:r>
          </w:p>
        </w:tc>
        <w:tc>
          <w:tcPr>
            <w:tcW w:w="773" w:type="dxa"/>
            <w:shd w:val="clear" w:color="auto" w:fill="1F497D"/>
            <w:noWrap/>
            <w:vAlign w:val="center"/>
            <w:hideMark/>
          </w:tcPr>
          <w:p w14:paraId="19397AA2"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2027</w:t>
            </w:r>
          </w:p>
        </w:tc>
        <w:tc>
          <w:tcPr>
            <w:tcW w:w="773" w:type="dxa"/>
            <w:shd w:val="clear" w:color="auto" w:fill="1F497D"/>
            <w:noWrap/>
            <w:vAlign w:val="center"/>
            <w:hideMark/>
          </w:tcPr>
          <w:p w14:paraId="4D224535"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2028</w:t>
            </w:r>
          </w:p>
        </w:tc>
        <w:tc>
          <w:tcPr>
            <w:tcW w:w="774" w:type="dxa"/>
            <w:shd w:val="clear" w:color="auto" w:fill="1F497D"/>
            <w:noWrap/>
            <w:vAlign w:val="center"/>
            <w:hideMark/>
          </w:tcPr>
          <w:p w14:paraId="36C5F079"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2029</w:t>
            </w:r>
          </w:p>
        </w:tc>
        <w:tc>
          <w:tcPr>
            <w:tcW w:w="773" w:type="dxa"/>
            <w:shd w:val="clear" w:color="auto" w:fill="1F497D"/>
            <w:noWrap/>
            <w:vAlign w:val="center"/>
            <w:hideMark/>
          </w:tcPr>
          <w:p w14:paraId="62A7333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2030</w:t>
            </w:r>
          </w:p>
        </w:tc>
        <w:tc>
          <w:tcPr>
            <w:tcW w:w="773" w:type="dxa"/>
            <w:shd w:val="clear" w:color="auto" w:fill="1F497D"/>
            <w:noWrap/>
            <w:vAlign w:val="center"/>
            <w:hideMark/>
          </w:tcPr>
          <w:p w14:paraId="436495F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2035</w:t>
            </w:r>
          </w:p>
        </w:tc>
        <w:tc>
          <w:tcPr>
            <w:tcW w:w="773" w:type="dxa"/>
            <w:shd w:val="clear" w:color="auto" w:fill="1F497D"/>
            <w:noWrap/>
            <w:vAlign w:val="center"/>
            <w:hideMark/>
          </w:tcPr>
          <w:p w14:paraId="04DA7F3A"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2040</w:t>
            </w:r>
          </w:p>
        </w:tc>
        <w:tc>
          <w:tcPr>
            <w:tcW w:w="773" w:type="dxa"/>
            <w:shd w:val="clear" w:color="auto" w:fill="1F497D"/>
            <w:noWrap/>
            <w:vAlign w:val="center"/>
            <w:hideMark/>
          </w:tcPr>
          <w:p w14:paraId="4D4F7AA8"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2045</w:t>
            </w:r>
          </w:p>
        </w:tc>
        <w:tc>
          <w:tcPr>
            <w:tcW w:w="774" w:type="dxa"/>
            <w:shd w:val="clear" w:color="auto" w:fill="1F497D"/>
            <w:noWrap/>
            <w:vAlign w:val="center"/>
            <w:hideMark/>
          </w:tcPr>
          <w:p w14:paraId="7D216DC6" w14:textId="77777777" w:rsidR="001E4E92" w:rsidRPr="004254D2" w:rsidRDefault="001E4E92" w:rsidP="007F4A03">
            <w:pPr>
              <w:spacing w:after="0" w:line="240" w:lineRule="auto"/>
              <w:jc w:val="center"/>
              <w:rPr>
                <w:rFonts w:ascii="Calibri Light" w:hAnsi="Calibri Light" w:cs="Calibri Light"/>
                <w:color w:val="FFFFFF" w:themeColor="background1"/>
              </w:rPr>
            </w:pPr>
            <w:r w:rsidRPr="004254D2">
              <w:rPr>
                <w:rFonts w:ascii="Calibri Light" w:hAnsi="Calibri Light" w:cs="Calibri Light"/>
                <w:color w:val="FFFFFF" w:themeColor="background1"/>
              </w:rPr>
              <w:t>2050</w:t>
            </w:r>
          </w:p>
        </w:tc>
      </w:tr>
      <w:tr w:rsidR="001E4E92" w:rsidRPr="003B4324" w14:paraId="54BEE55D" w14:textId="77777777" w:rsidTr="007F4A03">
        <w:trPr>
          <w:trHeight w:val="300"/>
        </w:trPr>
        <w:tc>
          <w:tcPr>
            <w:tcW w:w="1271" w:type="dxa"/>
            <w:shd w:val="clear" w:color="auto" w:fill="E7E6E6"/>
            <w:noWrap/>
            <w:vAlign w:val="bottom"/>
            <w:hideMark/>
          </w:tcPr>
          <w:p w14:paraId="0BBE5E8A"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WEM</w:t>
            </w:r>
          </w:p>
        </w:tc>
        <w:tc>
          <w:tcPr>
            <w:tcW w:w="773" w:type="dxa"/>
            <w:noWrap/>
            <w:hideMark/>
          </w:tcPr>
          <w:p w14:paraId="213D7866"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w:t>
            </w:r>
          </w:p>
        </w:tc>
        <w:tc>
          <w:tcPr>
            <w:tcW w:w="773" w:type="dxa"/>
            <w:noWrap/>
            <w:hideMark/>
          </w:tcPr>
          <w:p w14:paraId="4E40B799"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773" w:type="dxa"/>
            <w:noWrap/>
            <w:hideMark/>
          </w:tcPr>
          <w:p w14:paraId="23D03A8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152</w:t>
            </w:r>
          </w:p>
        </w:tc>
        <w:tc>
          <w:tcPr>
            <w:tcW w:w="773" w:type="dxa"/>
            <w:noWrap/>
            <w:hideMark/>
          </w:tcPr>
          <w:p w14:paraId="0663287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154</w:t>
            </w:r>
          </w:p>
        </w:tc>
        <w:tc>
          <w:tcPr>
            <w:tcW w:w="773" w:type="dxa"/>
            <w:noWrap/>
            <w:hideMark/>
          </w:tcPr>
          <w:p w14:paraId="2515012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156</w:t>
            </w:r>
          </w:p>
        </w:tc>
        <w:tc>
          <w:tcPr>
            <w:tcW w:w="774" w:type="dxa"/>
            <w:noWrap/>
            <w:hideMark/>
          </w:tcPr>
          <w:p w14:paraId="31DA026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157</w:t>
            </w:r>
          </w:p>
        </w:tc>
        <w:tc>
          <w:tcPr>
            <w:tcW w:w="773" w:type="dxa"/>
            <w:noWrap/>
            <w:hideMark/>
          </w:tcPr>
          <w:p w14:paraId="139BA72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w:t>
            </w:r>
          </w:p>
        </w:tc>
        <w:tc>
          <w:tcPr>
            <w:tcW w:w="773" w:type="dxa"/>
            <w:noWrap/>
            <w:hideMark/>
          </w:tcPr>
          <w:p w14:paraId="556751D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164</w:t>
            </w:r>
          </w:p>
        </w:tc>
        <w:tc>
          <w:tcPr>
            <w:tcW w:w="773" w:type="dxa"/>
            <w:noWrap/>
            <w:hideMark/>
          </w:tcPr>
          <w:p w14:paraId="77BA7492"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168</w:t>
            </w:r>
          </w:p>
        </w:tc>
        <w:tc>
          <w:tcPr>
            <w:tcW w:w="773" w:type="dxa"/>
            <w:noWrap/>
            <w:hideMark/>
          </w:tcPr>
          <w:p w14:paraId="4717075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169</w:t>
            </w:r>
          </w:p>
        </w:tc>
        <w:tc>
          <w:tcPr>
            <w:tcW w:w="774" w:type="dxa"/>
            <w:noWrap/>
            <w:hideMark/>
          </w:tcPr>
          <w:p w14:paraId="598169A6"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169</w:t>
            </w:r>
          </w:p>
        </w:tc>
      </w:tr>
      <w:tr w:rsidR="001E4E92" w:rsidRPr="003B4324" w14:paraId="77E166EC" w14:textId="77777777" w:rsidTr="007F4A03">
        <w:trPr>
          <w:trHeight w:val="300"/>
        </w:trPr>
        <w:tc>
          <w:tcPr>
            <w:tcW w:w="1271" w:type="dxa"/>
            <w:shd w:val="clear" w:color="auto" w:fill="E7E6E6"/>
            <w:noWrap/>
            <w:vAlign w:val="bottom"/>
            <w:hideMark/>
          </w:tcPr>
          <w:p w14:paraId="3A71F561"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w:t>
            </w:r>
          </w:p>
        </w:tc>
        <w:tc>
          <w:tcPr>
            <w:tcW w:w="773" w:type="dxa"/>
            <w:noWrap/>
            <w:hideMark/>
          </w:tcPr>
          <w:p w14:paraId="40DF66DA"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w:t>
            </w:r>
          </w:p>
        </w:tc>
        <w:tc>
          <w:tcPr>
            <w:tcW w:w="773" w:type="dxa"/>
            <w:noWrap/>
            <w:hideMark/>
          </w:tcPr>
          <w:p w14:paraId="5579802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w:t>
            </w:r>
          </w:p>
        </w:tc>
        <w:tc>
          <w:tcPr>
            <w:tcW w:w="773" w:type="dxa"/>
            <w:noWrap/>
            <w:hideMark/>
          </w:tcPr>
          <w:p w14:paraId="31363288"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w:t>
            </w:r>
          </w:p>
        </w:tc>
        <w:tc>
          <w:tcPr>
            <w:tcW w:w="773" w:type="dxa"/>
            <w:noWrap/>
            <w:hideMark/>
          </w:tcPr>
          <w:p w14:paraId="073D677F"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145</w:t>
            </w:r>
          </w:p>
        </w:tc>
        <w:tc>
          <w:tcPr>
            <w:tcW w:w="773" w:type="dxa"/>
            <w:noWrap/>
            <w:hideMark/>
          </w:tcPr>
          <w:p w14:paraId="59B82FA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147</w:t>
            </w:r>
          </w:p>
        </w:tc>
        <w:tc>
          <w:tcPr>
            <w:tcW w:w="774" w:type="dxa"/>
            <w:noWrap/>
            <w:hideMark/>
          </w:tcPr>
          <w:p w14:paraId="0A09F710"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148</w:t>
            </w:r>
          </w:p>
        </w:tc>
        <w:tc>
          <w:tcPr>
            <w:tcW w:w="773" w:type="dxa"/>
            <w:noWrap/>
            <w:hideMark/>
          </w:tcPr>
          <w:p w14:paraId="3B57D3E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773" w:type="dxa"/>
            <w:noWrap/>
            <w:hideMark/>
          </w:tcPr>
          <w:p w14:paraId="33698D34"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155</w:t>
            </w:r>
          </w:p>
        </w:tc>
        <w:tc>
          <w:tcPr>
            <w:tcW w:w="773" w:type="dxa"/>
            <w:noWrap/>
            <w:hideMark/>
          </w:tcPr>
          <w:p w14:paraId="735ACB85"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158</w:t>
            </w:r>
          </w:p>
        </w:tc>
        <w:tc>
          <w:tcPr>
            <w:tcW w:w="773" w:type="dxa"/>
            <w:noWrap/>
            <w:hideMark/>
          </w:tcPr>
          <w:p w14:paraId="7D3EA00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w:t>
            </w:r>
          </w:p>
        </w:tc>
        <w:tc>
          <w:tcPr>
            <w:tcW w:w="774" w:type="dxa"/>
            <w:noWrap/>
            <w:hideMark/>
          </w:tcPr>
          <w:p w14:paraId="668E305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w:t>
            </w:r>
          </w:p>
        </w:tc>
      </w:tr>
      <w:tr w:rsidR="001E4E92" w:rsidRPr="003B4324" w14:paraId="4555B24F" w14:textId="77777777" w:rsidTr="007F4A03">
        <w:trPr>
          <w:trHeight w:val="300"/>
        </w:trPr>
        <w:tc>
          <w:tcPr>
            <w:tcW w:w="1271" w:type="dxa"/>
            <w:shd w:val="clear" w:color="auto" w:fill="E7E6E6"/>
            <w:noWrap/>
            <w:vAlign w:val="bottom"/>
            <w:hideMark/>
          </w:tcPr>
          <w:p w14:paraId="1D366C77" w14:textId="77777777" w:rsidR="001E4E92" w:rsidRPr="004254D2" w:rsidRDefault="001E4E92" w:rsidP="001E4E92">
            <w:pPr>
              <w:spacing w:after="0" w:line="240" w:lineRule="auto"/>
              <w:jc w:val="left"/>
              <w:rPr>
                <w:rFonts w:ascii="Calibri Light" w:hAnsi="Calibri Light" w:cs="Calibri Light"/>
                <w:color w:val="000000" w:themeColor="text1"/>
              </w:rPr>
            </w:pPr>
            <w:r w:rsidRPr="002574F2">
              <w:rPr>
                <w:rFonts w:ascii="Calibri Light" w:hAnsi="Calibri Light" w:cs="Calibri Light"/>
                <w:color w:val="000000" w:themeColor="text1"/>
              </w:rPr>
              <w:t>Scenario-S-N</w:t>
            </w:r>
          </w:p>
        </w:tc>
        <w:tc>
          <w:tcPr>
            <w:tcW w:w="773" w:type="dxa"/>
            <w:noWrap/>
            <w:hideMark/>
          </w:tcPr>
          <w:p w14:paraId="4BEBC71A" w14:textId="77777777" w:rsidR="001E4E92" w:rsidRPr="004254D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140</w:t>
            </w:r>
          </w:p>
        </w:tc>
        <w:tc>
          <w:tcPr>
            <w:tcW w:w="773" w:type="dxa"/>
            <w:noWrap/>
            <w:hideMark/>
          </w:tcPr>
          <w:p w14:paraId="2F42214A"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146</w:t>
            </w:r>
          </w:p>
        </w:tc>
        <w:tc>
          <w:tcPr>
            <w:tcW w:w="773" w:type="dxa"/>
            <w:noWrap/>
            <w:hideMark/>
          </w:tcPr>
          <w:p w14:paraId="1703DC7E"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144</w:t>
            </w:r>
          </w:p>
        </w:tc>
        <w:tc>
          <w:tcPr>
            <w:tcW w:w="773" w:type="dxa"/>
            <w:noWrap/>
            <w:hideMark/>
          </w:tcPr>
          <w:p w14:paraId="0A2E81A1"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145</w:t>
            </w:r>
          </w:p>
        </w:tc>
        <w:tc>
          <w:tcPr>
            <w:tcW w:w="773" w:type="dxa"/>
            <w:noWrap/>
            <w:hideMark/>
          </w:tcPr>
          <w:p w14:paraId="352FA54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147</w:t>
            </w:r>
          </w:p>
        </w:tc>
        <w:tc>
          <w:tcPr>
            <w:tcW w:w="774" w:type="dxa"/>
            <w:noWrap/>
            <w:hideMark/>
          </w:tcPr>
          <w:p w14:paraId="7FE45993"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148</w:t>
            </w:r>
          </w:p>
        </w:tc>
        <w:tc>
          <w:tcPr>
            <w:tcW w:w="773" w:type="dxa"/>
            <w:noWrap/>
            <w:hideMark/>
          </w:tcPr>
          <w:p w14:paraId="764D52DC"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150</w:t>
            </w:r>
          </w:p>
        </w:tc>
        <w:tc>
          <w:tcPr>
            <w:tcW w:w="773" w:type="dxa"/>
            <w:noWrap/>
            <w:hideMark/>
          </w:tcPr>
          <w:p w14:paraId="0F70C8DF"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155</w:t>
            </w:r>
          </w:p>
        </w:tc>
        <w:tc>
          <w:tcPr>
            <w:tcW w:w="773" w:type="dxa"/>
            <w:noWrap/>
            <w:hideMark/>
          </w:tcPr>
          <w:p w14:paraId="74D6CBBB"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158</w:t>
            </w:r>
          </w:p>
        </w:tc>
        <w:tc>
          <w:tcPr>
            <w:tcW w:w="773" w:type="dxa"/>
            <w:noWrap/>
            <w:hideMark/>
          </w:tcPr>
          <w:p w14:paraId="6F52B207"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w:t>
            </w:r>
          </w:p>
        </w:tc>
        <w:tc>
          <w:tcPr>
            <w:tcW w:w="774" w:type="dxa"/>
            <w:noWrap/>
            <w:hideMark/>
          </w:tcPr>
          <w:p w14:paraId="5284A25D" w14:textId="77777777" w:rsidR="001E4E92" w:rsidRPr="002574F2" w:rsidRDefault="001E4E92" w:rsidP="001E4E92">
            <w:pPr>
              <w:spacing w:after="0" w:line="240" w:lineRule="auto"/>
              <w:jc w:val="center"/>
              <w:rPr>
                <w:rFonts w:ascii="Calibri Light" w:hAnsi="Calibri Light" w:cs="Calibri Light"/>
                <w:color w:val="000000" w:themeColor="text1"/>
              </w:rPr>
            </w:pPr>
            <w:r w:rsidRPr="000007D2">
              <w:rPr>
                <w:rFonts w:ascii="Calibri Light" w:hAnsi="Calibri Light" w:cs="Calibri Light"/>
                <w:color w:val="000000" w:themeColor="text1"/>
              </w:rPr>
              <w:t>159</w:t>
            </w:r>
          </w:p>
        </w:tc>
      </w:tr>
    </w:tbl>
    <w:p w14:paraId="03A66974" w14:textId="77777777" w:rsidR="000E2508" w:rsidRPr="007112F3" w:rsidRDefault="000E2508" w:rsidP="000007D2"/>
    <w:sectPr w:rsidR="000E2508" w:rsidRPr="007112F3" w:rsidSect="003B6BD2">
      <w:headerReference w:type="default" r:id="rId170"/>
      <w:footerReference w:type="default" r:id="rId171"/>
      <w:pgSz w:w="11906" w:h="16838"/>
      <w:pgMar w:top="23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19A09B" w14:textId="77777777" w:rsidR="00A34809" w:rsidRPr="00A33AE8" w:rsidRDefault="00A34809" w:rsidP="00941E3F">
      <w:pPr>
        <w:spacing w:after="0" w:line="240" w:lineRule="auto"/>
      </w:pPr>
      <w:r w:rsidRPr="00A33AE8">
        <w:separator/>
      </w:r>
    </w:p>
    <w:p w14:paraId="42330F20" w14:textId="77777777" w:rsidR="00A34809" w:rsidRPr="00A33AE8" w:rsidRDefault="00A34809"/>
  </w:endnote>
  <w:endnote w:type="continuationSeparator" w:id="0">
    <w:p w14:paraId="6A39C581" w14:textId="77777777" w:rsidR="00A34809" w:rsidRPr="00A33AE8" w:rsidRDefault="00A34809" w:rsidP="00941E3F">
      <w:pPr>
        <w:spacing w:after="0" w:line="240" w:lineRule="auto"/>
      </w:pPr>
      <w:r w:rsidRPr="00A33AE8">
        <w:continuationSeparator/>
      </w:r>
    </w:p>
    <w:p w14:paraId="455ADF52" w14:textId="77777777" w:rsidR="00A34809" w:rsidRPr="00A33AE8" w:rsidRDefault="00A34809"/>
  </w:endnote>
  <w:endnote w:type="continuationNotice" w:id="1">
    <w:p w14:paraId="1CFB8310" w14:textId="77777777" w:rsidR="00A34809" w:rsidRPr="00A33AE8" w:rsidRDefault="00A34809">
      <w:pPr>
        <w:spacing w:after="0" w:line="240" w:lineRule="auto"/>
      </w:pPr>
    </w:p>
    <w:p w14:paraId="77DFCFAE" w14:textId="77777777" w:rsidR="00A34809" w:rsidRPr="00A33AE8" w:rsidRDefault="00A348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Bold">
    <w:altName w:val="Trebuchet MS"/>
    <w:panose1 w:val="020B0703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061560"/>
      <w:docPartObj>
        <w:docPartGallery w:val="Page Numbers (Bottom of Page)"/>
        <w:docPartUnique/>
      </w:docPartObj>
    </w:sdtPr>
    <w:sdtEndPr>
      <w:rPr>
        <w:noProof/>
      </w:rPr>
    </w:sdtEndPr>
    <w:sdtContent>
      <w:p w14:paraId="7BE281F4" w14:textId="69952A32" w:rsidR="00750F3D" w:rsidRDefault="00750F3D">
        <w:pPr>
          <w:pStyle w:val="Footer"/>
          <w:jc w:val="center"/>
        </w:pPr>
        <w:r>
          <w:fldChar w:fldCharType="begin"/>
        </w:r>
        <w:r>
          <w:instrText xml:space="preserve"> PAGE   \* MERGEFORMAT </w:instrText>
        </w:r>
        <w:r>
          <w:fldChar w:fldCharType="separate"/>
        </w:r>
        <w:r w:rsidR="008810ED">
          <w:rPr>
            <w:noProof/>
          </w:rPr>
          <w:t>313</w:t>
        </w:r>
        <w:r>
          <w:rPr>
            <w:noProof/>
          </w:rPr>
          <w:fldChar w:fldCharType="end"/>
        </w:r>
      </w:p>
    </w:sdtContent>
  </w:sdt>
  <w:p w14:paraId="3BA061B5" w14:textId="77777777" w:rsidR="00750F3D" w:rsidRDefault="00750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6978030"/>
      <w:docPartObj>
        <w:docPartGallery w:val="Page Numbers (Bottom of Page)"/>
        <w:docPartUnique/>
      </w:docPartObj>
    </w:sdtPr>
    <w:sdtEndPr/>
    <w:sdtContent>
      <w:p w14:paraId="5C80561D" w14:textId="08BA9250" w:rsidR="00750F3D" w:rsidRPr="00A33AE8" w:rsidRDefault="00750F3D">
        <w:pPr>
          <w:pStyle w:val="Footer"/>
          <w:jc w:val="center"/>
        </w:pPr>
        <w:r w:rsidRPr="000007D2">
          <w:fldChar w:fldCharType="begin"/>
        </w:r>
        <w:r w:rsidRPr="00A33AE8">
          <w:instrText xml:space="preserve"> PAGE   \* MERGEFORMAT </w:instrText>
        </w:r>
        <w:r w:rsidRPr="000007D2">
          <w:fldChar w:fldCharType="separate"/>
        </w:r>
        <w:r w:rsidR="008810ED">
          <w:rPr>
            <w:noProof/>
          </w:rPr>
          <w:t>329</w:t>
        </w:r>
        <w:r w:rsidRPr="000007D2">
          <w:fldChar w:fldCharType="end"/>
        </w:r>
      </w:p>
    </w:sdtContent>
  </w:sdt>
  <w:p w14:paraId="42747AF0" w14:textId="77777777" w:rsidR="00750F3D" w:rsidRPr="00A33AE8" w:rsidRDefault="00750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82F7B" w14:textId="77777777" w:rsidR="00A34809" w:rsidRPr="00A33AE8" w:rsidRDefault="00A34809" w:rsidP="00941E3F">
      <w:pPr>
        <w:spacing w:after="0" w:line="240" w:lineRule="auto"/>
      </w:pPr>
      <w:r w:rsidRPr="00A33AE8">
        <w:separator/>
      </w:r>
    </w:p>
    <w:p w14:paraId="7BA24E08" w14:textId="77777777" w:rsidR="00A34809" w:rsidRPr="00A33AE8" w:rsidRDefault="00A34809"/>
  </w:footnote>
  <w:footnote w:type="continuationSeparator" w:id="0">
    <w:p w14:paraId="2357E2EB" w14:textId="77777777" w:rsidR="00A34809" w:rsidRPr="00A33AE8" w:rsidRDefault="00A34809" w:rsidP="00941E3F">
      <w:pPr>
        <w:spacing w:after="0" w:line="240" w:lineRule="auto"/>
      </w:pPr>
      <w:r w:rsidRPr="00A33AE8">
        <w:continuationSeparator/>
      </w:r>
    </w:p>
    <w:p w14:paraId="7DA91075" w14:textId="77777777" w:rsidR="00A34809" w:rsidRPr="00A33AE8" w:rsidRDefault="00A34809"/>
  </w:footnote>
  <w:footnote w:type="continuationNotice" w:id="1">
    <w:p w14:paraId="67A6AD61" w14:textId="77777777" w:rsidR="00A34809" w:rsidRPr="00A33AE8" w:rsidRDefault="00A34809">
      <w:pPr>
        <w:spacing w:after="0" w:line="240" w:lineRule="auto"/>
      </w:pPr>
    </w:p>
    <w:p w14:paraId="00564B24" w14:textId="77777777" w:rsidR="00A34809" w:rsidRPr="00A33AE8" w:rsidRDefault="00A34809"/>
  </w:footnote>
  <w:footnote w:id="2">
    <w:p w14:paraId="0A669A12" w14:textId="77777777" w:rsidR="00750F3D" w:rsidRPr="00A33AE8" w:rsidRDefault="00750F3D" w:rsidP="00402E5D">
      <w:pPr>
        <w:pStyle w:val="FootnoteText"/>
      </w:pPr>
      <w:r w:rsidRPr="00A33AE8">
        <w:rPr>
          <w:rStyle w:val="FootnoteReference"/>
        </w:rPr>
        <w:footnoteRef/>
      </w:r>
      <w:r w:rsidRPr="00A33AE8">
        <w:rPr>
          <w:rFonts w:asciiTheme="majorHAnsi" w:hAnsiTheme="majorHAnsi" w:cstheme="majorHAnsi"/>
        </w:rPr>
        <w:t>Official Gazette of RS, no. 40/21</w:t>
      </w:r>
    </w:p>
  </w:footnote>
  <w:footnote w:id="3">
    <w:p w14:paraId="1D314C2E" w14:textId="77777777" w:rsidR="00750F3D" w:rsidRPr="00A33AE8" w:rsidRDefault="00750F3D" w:rsidP="00402E5D">
      <w:pPr>
        <w:pStyle w:val="FootnoteText"/>
      </w:pPr>
      <w:r w:rsidRPr="00A33AE8">
        <w:rPr>
          <w:rStyle w:val="FootnoteReference"/>
        </w:rPr>
        <w:footnoteRef/>
      </w:r>
      <w:r w:rsidRPr="00A33AE8">
        <w:rPr>
          <w:rFonts w:asciiTheme="majorHAnsi" w:hAnsiTheme="majorHAnsi" w:cstheme="majorHAnsi"/>
        </w:rPr>
        <w:t>Official Gazette of RS, no. 40/21</w:t>
      </w:r>
    </w:p>
  </w:footnote>
  <w:footnote w:id="4">
    <w:p w14:paraId="07443790" w14:textId="77777777" w:rsidR="00750F3D" w:rsidRPr="00A33AE8" w:rsidRDefault="00750F3D" w:rsidP="00402E5D">
      <w:pPr>
        <w:pStyle w:val="FootnoteText"/>
      </w:pPr>
      <w:r w:rsidRPr="00A33AE8">
        <w:rPr>
          <w:rStyle w:val="FootnoteReference"/>
        </w:rPr>
        <w:footnoteRef/>
      </w:r>
      <w:r w:rsidRPr="00A33AE8">
        <w:rPr>
          <w:rFonts w:asciiTheme="majorHAnsi" w:hAnsiTheme="majorHAnsi" w:cstheme="majorHAnsi"/>
        </w:rPr>
        <w:t>Official Gazette of RS, no. 40/21</w:t>
      </w:r>
    </w:p>
  </w:footnote>
  <w:footnote w:id="5">
    <w:p w14:paraId="5F14414A" w14:textId="77777777" w:rsidR="00750F3D" w:rsidRPr="00A33AE8" w:rsidRDefault="00750F3D">
      <w:pPr>
        <w:pStyle w:val="FootnoteText"/>
        <w:rPr>
          <w:rFonts w:asciiTheme="majorHAnsi" w:hAnsiTheme="majorHAnsi" w:cstheme="majorHAnsi"/>
        </w:rPr>
      </w:pPr>
      <w:r w:rsidRPr="00A33AE8">
        <w:rPr>
          <w:rStyle w:val="FootnoteReference"/>
        </w:rPr>
        <w:footnoteRef/>
      </w:r>
      <w:r w:rsidRPr="00A33AE8">
        <w:rPr>
          <w:rFonts w:asciiTheme="majorHAnsi" w:hAnsiTheme="majorHAnsi" w:cstheme="majorHAnsi"/>
        </w:rPr>
        <w:t>Official Gazette of RS, no. 35/23</w:t>
      </w:r>
    </w:p>
  </w:footnote>
  <w:footnote w:id="6">
    <w:p w14:paraId="271993A5" w14:textId="77777777" w:rsidR="00750F3D" w:rsidRPr="00A33AE8" w:rsidRDefault="00750F3D" w:rsidP="00402E5D">
      <w:pPr>
        <w:pStyle w:val="FootnoteText"/>
      </w:pPr>
      <w:r w:rsidRPr="00A33AE8">
        <w:rPr>
          <w:rStyle w:val="FootnoteReference"/>
        </w:rPr>
        <w:footnoteRef/>
      </w:r>
      <w:r w:rsidRPr="00A33AE8">
        <w:rPr>
          <w:rFonts w:asciiTheme="majorHAnsi" w:hAnsiTheme="majorHAnsi" w:cstheme="majorHAnsi"/>
        </w:rPr>
        <w:t>Official Gazette of RS, no. 40/21</w:t>
      </w:r>
    </w:p>
  </w:footnote>
  <w:footnote w:id="7">
    <w:p w14:paraId="1B41D9AA" w14:textId="77777777" w:rsidR="00750F3D" w:rsidRPr="00A33AE8" w:rsidRDefault="00750F3D" w:rsidP="00402E5D">
      <w:pPr>
        <w:pStyle w:val="FootnoteText"/>
      </w:pPr>
      <w:r w:rsidRPr="00A33AE8">
        <w:rPr>
          <w:rStyle w:val="FootnoteReference"/>
        </w:rPr>
        <w:footnoteRef/>
      </w:r>
      <w:r w:rsidRPr="00A33AE8">
        <w:rPr>
          <w:rFonts w:asciiTheme="majorHAnsi" w:hAnsiTheme="majorHAnsi" w:cstheme="majorHAnsi"/>
        </w:rPr>
        <w:t>Official Gazette of RS, no. 26/21</w:t>
      </w:r>
    </w:p>
  </w:footnote>
  <w:footnote w:id="8">
    <w:p w14:paraId="4848157D" w14:textId="2D179832"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46/23</w:t>
      </w:r>
    </w:p>
  </w:footnote>
  <w:footnote w:id="9">
    <w:p w14:paraId="106D483C" w14:textId="77777777" w:rsidR="00750F3D" w:rsidRPr="00A33AE8" w:rsidRDefault="00750F3D">
      <w:pPr>
        <w:pStyle w:val="FootnoteText"/>
      </w:pPr>
      <w:r w:rsidRPr="00A33AE8">
        <w:rPr>
          <w:rStyle w:val="FootnoteReference"/>
        </w:rPr>
        <w:footnoteRef/>
      </w:r>
      <w:bookmarkStart w:id="20" w:name="_Hlk147748611"/>
      <w:r w:rsidRPr="000007D2">
        <w:rPr>
          <w:rFonts w:asciiTheme="majorHAnsi" w:hAnsiTheme="majorHAnsi" w:cstheme="majorHAnsi"/>
        </w:rPr>
        <w:t>https://www.berlinprocess.de/uploads/documents/declaration-on-energy-security-and-green-transition-in-the-western-balkans_1686662540.pdf</w:t>
      </w:r>
      <w:bookmarkEnd w:id="20"/>
    </w:p>
  </w:footnote>
  <w:footnote w:id="10">
    <w:p w14:paraId="4B78E7E2"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2018/1/MC-EnC</w:t>
      </w:r>
    </w:p>
  </w:footnote>
  <w:footnote w:id="11">
    <w:p w14:paraId="7864AAE1"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PG 03/2018</w:t>
      </w:r>
    </w:p>
  </w:footnote>
  <w:footnote w:id="12">
    <w:p w14:paraId="48FC7B84" w14:textId="77777777" w:rsidR="00750F3D" w:rsidRPr="000007D2"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Ministerial Council Decision 2021/14/MC-EnC of November 2021</w:t>
      </w:r>
    </w:p>
  </w:footnote>
  <w:footnote w:id="13">
    <w:p w14:paraId="191B4182" w14:textId="7D3687AF" w:rsidR="00750F3D" w:rsidRPr="000007D2"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0007D2">
        <w:rPr>
          <w:rFonts w:asciiTheme="majorHAnsi" w:hAnsiTheme="majorHAnsi" w:cstheme="majorHAnsi"/>
        </w:rPr>
        <w:t>As per Ministerial Council Decisions 2022/02/MC-EnC and 2022/03/MC-EnC.</w:t>
      </w:r>
    </w:p>
  </w:footnote>
  <w:footnote w:id="14">
    <w:p w14:paraId="45ACE7CD" w14:textId="77777777" w:rsidR="00750F3D" w:rsidRPr="000007D2" w:rsidRDefault="00750F3D">
      <w:pPr>
        <w:pStyle w:val="FootnoteText"/>
      </w:pPr>
      <w:r w:rsidRPr="00A33AE8">
        <w:rPr>
          <w:rStyle w:val="FootnoteReference"/>
        </w:rPr>
        <w:footnoteRef/>
      </w:r>
      <w:r w:rsidRPr="00A33AE8">
        <w:rPr>
          <w:rFonts w:asciiTheme="majorHAnsi" w:hAnsiTheme="majorHAnsi" w:cstheme="majorHAnsi"/>
        </w:rPr>
        <w:t>Official Gazette of RS, no. 49/22</w:t>
      </w:r>
    </w:p>
  </w:footnote>
  <w:footnote w:id="15">
    <w:p w14:paraId="25557E34" w14:textId="77777777" w:rsidR="00750F3D" w:rsidRPr="00A33AE8" w:rsidRDefault="00750F3D" w:rsidP="00697B27">
      <w:pPr>
        <w:pStyle w:val="FootnoteText"/>
        <w:jc w:val="both"/>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Decision D/2018/2/MC-EnC of the Energy Community Ministerial Council amending Decision 2012/04/MC-EnC of 18 October 2012 on the implementation of Directive 2009/28/EC and amending Article 20 of the Energy Community Treaty</w:t>
      </w:r>
    </w:p>
  </w:footnote>
  <w:footnote w:id="16">
    <w:p w14:paraId="5BD75227" w14:textId="77777777" w:rsidR="00750F3D" w:rsidRPr="00A33AE8" w:rsidRDefault="00750F3D" w:rsidP="00FA654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Note: Data for BA not available for 2005 on Eurostat</w:t>
      </w:r>
    </w:p>
  </w:footnote>
  <w:footnote w:id="17">
    <w:p w14:paraId="6E778406" w14:textId="77777777" w:rsidR="00750F3D" w:rsidRPr="00A33AE8" w:rsidRDefault="00750F3D" w:rsidP="00FA654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Note: Data for BA are from 2018, as data for 2019 is not available on Eurostat</w:t>
      </w:r>
    </w:p>
  </w:footnote>
  <w:footnote w:id="18">
    <w:p w14:paraId="7A10BC8F" w14:textId="77777777" w:rsidR="00750F3D" w:rsidRPr="00A33AE8" w:rsidRDefault="00750F3D" w:rsidP="00FA6545">
      <w:pPr>
        <w:pStyle w:val="FootnoteText"/>
      </w:pPr>
      <w:r w:rsidRPr="00A33AE8">
        <w:rPr>
          <w:rStyle w:val="FootnoteReference"/>
        </w:rPr>
        <w:footnoteRef/>
      </w:r>
      <w:r w:rsidRPr="00A33AE8">
        <w:rPr>
          <w:rFonts w:asciiTheme="majorHAnsi" w:hAnsiTheme="majorHAnsi" w:cstheme="majorHAnsi"/>
        </w:rPr>
        <w:t>Note: Data for MN are from 2018, as data for 2019 is not available on Eurostat, and data for AL is not available</w:t>
      </w:r>
    </w:p>
  </w:footnote>
  <w:footnote w:id="19">
    <w:p w14:paraId="6F1EA6D1" w14:textId="77777777" w:rsidR="00750F3D" w:rsidRPr="00A33AE8" w:rsidRDefault="00750F3D" w:rsidP="0027710B">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Note: Data for BA is not available on Eurostat</w:t>
      </w:r>
    </w:p>
  </w:footnote>
  <w:footnote w:id="20">
    <w:p w14:paraId="05F29D49" w14:textId="77777777" w:rsidR="00750F3D" w:rsidRPr="00A33AE8" w:rsidRDefault="00750F3D" w:rsidP="00FA654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Note: Data for MN are from 2018, as data for 2019 is not available on Eurostat; data for Albania not available on Eurostat</w:t>
      </w:r>
    </w:p>
  </w:footnote>
  <w:footnote w:id="21">
    <w:p w14:paraId="4788A8A6" w14:textId="77777777" w:rsidR="00750F3D" w:rsidRPr="00A33AE8" w:rsidRDefault="00750F3D" w:rsidP="0027710B">
      <w:pPr>
        <w:pStyle w:val="FootnoteText"/>
        <w:rPr>
          <w:rFonts w:asciiTheme="majorHAnsi" w:hAnsiTheme="majorHAnsi" w:cstheme="majorHAnsi"/>
        </w:rPr>
      </w:pPr>
      <w:r w:rsidRPr="00A33AE8">
        <w:rPr>
          <w:rStyle w:val="FootnoteReference"/>
          <w:rFonts w:eastAsiaTheme="majorEastAsia" w:cstheme="majorHAnsi"/>
        </w:rPr>
        <w:footnoteRef/>
      </w:r>
      <w:r w:rsidRPr="00A33AE8">
        <w:rPr>
          <w:rFonts w:asciiTheme="majorHAnsi" w:hAnsiTheme="majorHAnsi" w:cstheme="majorHAnsi"/>
        </w:rPr>
        <w:t>Official Gazette of RS, no. 135/04, 36/09, 36/09, 72/09, 43/11, 14/16, 76/18 and 95/18</w:t>
      </w:r>
    </w:p>
  </w:footnote>
  <w:footnote w:id="22">
    <w:p w14:paraId="60BACBCF" w14:textId="77777777" w:rsidR="00750F3D" w:rsidRPr="00A33AE8" w:rsidRDefault="00750F3D" w:rsidP="004632CC">
      <w:pPr>
        <w:pStyle w:val="FootnoteText"/>
      </w:pPr>
      <w:r w:rsidRPr="00A33AE8">
        <w:rPr>
          <w:rStyle w:val="FootnoteReference"/>
        </w:rPr>
        <w:footnoteRef/>
      </w:r>
      <w:r w:rsidRPr="00A33AE8">
        <w:rPr>
          <w:rFonts w:asciiTheme="majorHAnsi" w:hAnsiTheme="majorHAnsi" w:cstheme="majorHAnsi"/>
        </w:rPr>
        <w:t>Official Gazette of RS, no. 26/21</w:t>
      </w:r>
    </w:p>
  </w:footnote>
  <w:footnote w:id="23">
    <w:p w14:paraId="7929A66D"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88/10</w:t>
      </w:r>
    </w:p>
  </w:footnote>
  <w:footnote w:id="24">
    <w:p w14:paraId="4DE2A8D2" w14:textId="77777777" w:rsidR="00750F3D" w:rsidRPr="000007D2" w:rsidRDefault="00750F3D" w:rsidP="00B53A77">
      <w:pPr>
        <w:autoSpaceDE w:val="0"/>
        <w:autoSpaceDN w:val="0"/>
        <w:adjustRightInd w:val="0"/>
        <w:spacing w:after="0" w:line="240" w:lineRule="auto"/>
        <w:rPr>
          <w:rFonts w:ascii="Calibri Light" w:hAnsi="Calibri Light" w:cs="Calibri Light"/>
          <w:sz w:val="20"/>
          <w:szCs w:val="20"/>
          <w:lang w:bidi="he-IL"/>
        </w:rPr>
      </w:pPr>
      <w:r w:rsidRPr="00A33AE8">
        <w:rPr>
          <w:rStyle w:val="FootnoteReference"/>
          <w:rFonts w:ascii="Calibri Light" w:hAnsi="Calibri Light" w:cs="Calibri Light"/>
          <w:sz w:val="20"/>
          <w:szCs w:val="20"/>
        </w:rPr>
        <w:footnoteRef/>
      </w:r>
      <w:r w:rsidRPr="000007D2">
        <w:rPr>
          <w:rFonts w:ascii="Calibri Light" w:hAnsi="Calibri Light" w:cs="Calibri Light"/>
          <w:sz w:val="20"/>
          <w:szCs w:val="20"/>
          <w:lang w:bidi="he-IL"/>
        </w:rPr>
        <w:t>Official Gazette of RS, no. 35/20</w:t>
      </w:r>
    </w:p>
  </w:footnote>
  <w:footnote w:id="25">
    <w:p w14:paraId="0B7358A2"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the Republic of Serbia, no. 17/09</w:t>
      </w:r>
    </w:p>
  </w:footnote>
  <w:footnote w:id="26">
    <w:p w14:paraId="631BF83F" w14:textId="77777777" w:rsidR="00750F3D" w:rsidRPr="00A33AE8" w:rsidRDefault="00750F3D">
      <w:pPr>
        <w:pStyle w:val="FootnoteText"/>
      </w:pPr>
      <w:r w:rsidRPr="00A33AE8">
        <w:rPr>
          <w:rStyle w:val="FootnoteReference"/>
        </w:rPr>
        <w:footnoteRef/>
      </w:r>
      <w:r w:rsidRPr="00A33AE8">
        <w:t xml:space="preserve"> </w:t>
      </w:r>
      <w:r w:rsidRPr="00A33AE8">
        <w:rPr>
          <w:rFonts w:asciiTheme="majorHAnsi" w:hAnsiTheme="majorHAnsi" w:cstheme="majorHAnsi"/>
        </w:rPr>
        <w:t>Official Gazette of RS, no. 145/14, 95/18 and 40/21 and 35/23-other law</w:t>
      </w:r>
    </w:p>
  </w:footnote>
  <w:footnote w:id="27">
    <w:p w14:paraId="430F67F9" w14:textId="77777777" w:rsidR="00750F3D" w:rsidRPr="00A33AE8" w:rsidRDefault="00750F3D" w:rsidP="002128D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56/16, 60/17, 44/18 - other law, 54/19, 112/21 - other decree</w:t>
      </w:r>
    </w:p>
  </w:footnote>
  <w:footnote w:id="28">
    <w:p w14:paraId="41148231" w14:textId="77777777" w:rsidR="00750F3D" w:rsidRPr="00A33AE8" w:rsidRDefault="00750F3D" w:rsidP="002128D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56/16, 60/17, 91/18</w:t>
      </w:r>
    </w:p>
  </w:footnote>
  <w:footnote w:id="29">
    <w:p w14:paraId="4AD35742" w14:textId="77777777" w:rsidR="00750F3D" w:rsidRPr="00A33AE8" w:rsidRDefault="00750F3D" w:rsidP="002128D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56/16, 61/17 and 106/20</w:t>
      </w:r>
    </w:p>
  </w:footnote>
  <w:footnote w:id="30">
    <w:p w14:paraId="28C7676E"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12/16</w:t>
      </w:r>
    </w:p>
  </w:footnote>
  <w:footnote w:id="31">
    <w:p w14:paraId="04D7A262" w14:textId="77777777" w:rsidR="00750F3D" w:rsidRPr="00A33AE8" w:rsidRDefault="00750F3D">
      <w:pPr>
        <w:pStyle w:val="FootnoteText"/>
      </w:pPr>
      <w:r w:rsidRPr="00A33AE8">
        <w:rPr>
          <w:rStyle w:val="FootnoteReference"/>
        </w:rPr>
        <w:footnoteRef/>
      </w:r>
      <w:r w:rsidRPr="00A33AE8">
        <w:t xml:space="preserve"> </w:t>
      </w:r>
      <w:r w:rsidRPr="00A33AE8">
        <w:rPr>
          <w:rFonts w:asciiTheme="majorHAnsi" w:hAnsiTheme="majorHAnsi" w:cstheme="majorHAnsi"/>
        </w:rPr>
        <w:t>Official Gazette of RS, no. 112/21</w:t>
      </w:r>
    </w:p>
  </w:footnote>
  <w:footnote w:id="32">
    <w:p w14:paraId="5F7D3EA6" w14:textId="77777777" w:rsidR="00750F3D" w:rsidRPr="00A33AE8" w:rsidRDefault="00750F3D">
      <w:pPr>
        <w:pStyle w:val="FootnoteText"/>
      </w:pPr>
      <w:r w:rsidRPr="00A33AE8">
        <w:rPr>
          <w:rStyle w:val="FootnoteReference"/>
        </w:rPr>
        <w:footnoteRef/>
      </w:r>
      <w:r w:rsidRPr="00A33AE8">
        <w:t xml:space="preserve"> </w:t>
      </w:r>
      <w:r w:rsidRPr="00A33AE8">
        <w:rPr>
          <w:rFonts w:asciiTheme="majorHAnsi" w:hAnsiTheme="majorHAnsi" w:cstheme="majorHAnsi"/>
        </w:rPr>
        <w:t>Official Gazette of RS, no. 45/23</w:t>
      </w:r>
    </w:p>
  </w:footnote>
  <w:footnote w:id="33">
    <w:p w14:paraId="62D95738" w14:textId="77777777" w:rsidR="00750F3D" w:rsidRPr="00A33AE8" w:rsidRDefault="00750F3D">
      <w:pPr>
        <w:pStyle w:val="FootnoteText"/>
      </w:pPr>
      <w:r w:rsidRPr="00A33AE8">
        <w:rPr>
          <w:rStyle w:val="FootnoteReference"/>
        </w:rPr>
        <w:footnoteRef/>
      </w:r>
      <w:r w:rsidRPr="00A33AE8">
        <w:t xml:space="preserve"> </w:t>
      </w:r>
      <w:r w:rsidRPr="00A33AE8">
        <w:rPr>
          <w:rFonts w:asciiTheme="majorHAnsi" w:hAnsiTheme="majorHAnsi" w:cstheme="majorHAnsi"/>
        </w:rPr>
        <w:t>Official Gazette of RS, no. 45/23</w:t>
      </w:r>
    </w:p>
  </w:footnote>
  <w:footnote w:id="34">
    <w:p w14:paraId="46F3F548" w14:textId="77777777" w:rsidR="00750F3D" w:rsidRPr="000007D2" w:rsidRDefault="00750F3D">
      <w:pPr>
        <w:pStyle w:val="FootnoteText"/>
        <w:rPr>
          <w:rFonts w:asciiTheme="majorHAnsi" w:hAnsiTheme="majorHAnsi"/>
        </w:rPr>
      </w:pPr>
      <w:r w:rsidRPr="00A33AE8">
        <w:rPr>
          <w:rStyle w:val="FootnoteReference"/>
        </w:rPr>
        <w:footnoteRef/>
      </w:r>
      <w:r w:rsidRPr="00A33AE8">
        <w:t xml:space="preserve"> </w:t>
      </w:r>
      <w:r w:rsidRPr="00A33AE8">
        <w:rPr>
          <w:rFonts w:asciiTheme="majorHAnsi" w:hAnsiTheme="majorHAnsi"/>
        </w:rPr>
        <w:t>Official Gazette of RS, no. 40/21</w:t>
      </w:r>
    </w:p>
  </w:footnote>
  <w:footnote w:id="35">
    <w:p w14:paraId="1815A140" w14:textId="77777777" w:rsidR="00750F3D" w:rsidRPr="00A33AE8" w:rsidRDefault="00750F3D">
      <w:pPr>
        <w:pStyle w:val="FootnoteText"/>
        <w:rPr>
          <w:rFonts w:asciiTheme="majorHAnsi" w:hAnsiTheme="majorHAnsi"/>
        </w:rPr>
      </w:pPr>
      <w:r w:rsidRPr="00A33AE8">
        <w:rPr>
          <w:rStyle w:val="FootnoteReference"/>
        </w:rPr>
        <w:footnoteRef/>
      </w:r>
      <w:r w:rsidRPr="00A33AE8">
        <w:t xml:space="preserve"> </w:t>
      </w:r>
      <w:r w:rsidRPr="00A33AE8">
        <w:rPr>
          <w:rFonts w:asciiTheme="majorHAnsi" w:hAnsiTheme="majorHAnsi"/>
        </w:rPr>
        <w:t>Official Gazette of RS, no. 35/23</w:t>
      </w:r>
    </w:p>
  </w:footnote>
  <w:footnote w:id="36">
    <w:p w14:paraId="10D7E2C7"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40/21 and </w:t>
      </w:r>
      <w:bookmarkStart w:id="72" w:name="_Hlk147419560"/>
      <w:r w:rsidRPr="00A33AE8">
        <w:rPr>
          <w:rFonts w:asciiTheme="majorHAnsi" w:hAnsiTheme="majorHAnsi" w:cstheme="majorHAnsi"/>
        </w:rPr>
        <w:t>35/23</w:t>
      </w:r>
      <w:bookmarkEnd w:id="72"/>
    </w:p>
  </w:footnote>
  <w:footnote w:id="37">
    <w:p w14:paraId="4523AD8E"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40/21</w:t>
      </w:r>
    </w:p>
  </w:footnote>
  <w:footnote w:id="38">
    <w:p w14:paraId="04C60272" w14:textId="77777777" w:rsidR="00750F3D" w:rsidRPr="00A33AE8" w:rsidRDefault="00750F3D">
      <w:pPr>
        <w:pStyle w:val="FootnoteText"/>
      </w:pPr>
      <w:r w:rsidRPr="00A33AE8">
        <w:rPr>
          <w:rStyle w:val="FootnoteReference"/>
        </w:rPr>
        <w:footnoteRef/>
      </w:r>
      <w:r w:rsidRPr="00A33AE8">
        <w:t xml:space="preserve"> </w:t>
      </w:r>
      <w:r w:rsidRPr="00A33AE8">
        <w:rPr>
          <w:rFonts w:asciiTheme="minorHAnsi" w:hAnsiTheme="minorHAnsi" w:cstheme="minorHAnsi"/>
        </w:rPr>
        <w:t>Official Gazette of RS, no.</w:t>
      </w:r>
      <w:r w:rsidRPr="000007D2">
        <w:rPr>
          <w:rFonts w:asciiTheme="minorHAnsi" w:hAnsiTheme="minorHAnsi" w:cstheme="minorHAnsi"/>
        </w:rPr>
        <w:t xml:space="preserve"> 71/19</w:t>
      </w:r>
    </w:p>
  </w:footnote>
  <w:footnote w:id="39">
    <w:p w14:paraId="3B588B6F" w14:textId="77777777" w:rsidR="00750F3D" w:rsidRPr="00A33AE8" w:rsidRDefault="00750F3D">
      <w:pPr>
        <w:pStyle w:val="FootnoteText"/>
      </w:pPr>
      <w:r w:rsidRPr="00A33AE8">
        <w:rPr>
          <w:rStyle w:val="FootnoteReference"/>
        </w:rPr>
        <w:footnoteRef/>
      </w:r>
      <w:r w:rsidRPr="00A33AE8">
        <w:t xml:space="preserve"> </w:t>
      </w:r>
      <w:r w:rsidRPr="00A33AE8">
        <w:rPr>
          <w:rFonts w:asciiTheme="minorHAnsi" w:hAnsiTheme="minorHAnsi" w:cstheme="minorHAnsi"/>
        </w:rPr>
        <w:t>Official Gazette of RS, no.</w:t>
      </w:r>
      <w:r w:rsidRPr="000007D2">
        <w:rPr>
          <w:rFonts w:asciiTheme="minorHAnsi" w:hAnsiTheme="minorHAnsi" w:cstheme="minorHAnsi"/>
        </w:rPr>
        <w:t xml:space="preserve"> 73/19</w:t>
      </w:r>
    </w:p>
  </w:footnote>
  <w:footnote w:id="40">
    <w:p w14:paraId="4EE9E7C2" w14:textId="77777777" w:rsidR="00750F3D" w:rsidRPr="00A33AE8" w:rsidRDefault="00750F3D">
      <w:pPr>
        <w:pStyle w:val="FootnoteText"/>
      </w:pPr>
      <w:r w:rsidRPr="00A33AE8">
        <w:rPr>
          <w:rStyle w:val="FootnoteReference"/>
        </w:rPr>
        <w:footnoteRef/>
      </w:r>
      <w:r w:rsidRPr="00A33AE8">
        <w:t xml:space="preserve"> </w:t>
      </w:r>
      <w:r w:rsidRPr="00A33AE8">
        <w:rPr>
          <w:rFonts w:asciiTheme="minorHAnsi" w:hAnsiTheme="minorHAnsi" w:cstheme="minorHAnsi"/>
        </w:rPr>
        <w:t>Official Gazette of RS, no.</w:t>
      </w:r>
      <w:r w:rsidRPr="000007D2">
        <w:rPr>
          <w:rFonts w:asciiTheme="minorHAnsi" w:hAnsiTheme="minorHAnsi" w:cstheme="minorHAnsi"/>
        </w:rPr>
        <w:t xml:space="preserve"> 89/19</w:t>
      </w:r>
    </w:p>
  </w:footnote>
  <w:footnote w:id="41">
    <w:p w14:paraId="7E6CCD6C" w14:textId="77777777" w:rsidR="00750F3D" w:rsidRPr="00A33AE8" w:rsidRDefault="00750F3D">
      <w:pPr>
        <w:pStyle w:val="FootnoteText"/>
      </w:pPr>
      <w:r w:rsidRPr="00A33AE8">
        <w:rPr>
          <w:rStyle w:val="FootnoteReference"/>
        </w:rPr>
        <w:footnoteRef/>
      </w:r>
      <w:r w:rsidRPr="00A33AE8">
        <w:t xml:space="preserve"> </w:t>
      </w:r>
      <w:r w:rsidRPr="00A33AE8">
        <w:rPr>
          <w:rFonts w:asciiTheme="minorHAnsi" w:hAnsiTheme="minorHAnsi" w:cstheme="minorHAnsi"/>
        </w:rPr>
        <w:t>Official Gazette of RS, no.</w:t>
      </w:r>
      <w:r w:rsidRPr="000007D2">
        <w:rPr>
          <w:rFonts w:asciiTheme="minorHAnsi" w:hAnsiTheme="minorHAnsi" w:cstheme="minorHAnsi"/>
        </w:rPr>
        <w:t xml:space="preserve"> 37/20</w:t>
      </w:r>
    </w:p>
  </w:footnote>
  <w:footnote w:id="42">
    <w:p w14:paraId="2F11A12C" w14:textId="77777777" w:rsidR="00750F3D" w:rsidRPr="000007D2" w:rsidRDefault="00750F3D" w:rsidP="0067731F">
      <w:pPr>
        <w:pStyle w:val="FootnoteText"/>
        <w:jc w:val="both"/>
        <w:rPr>
          <w:rFonts w:asciiTheme="minorHAnsi" w:hAnsiTheme="minorHAnsi" w:cstheme="minorHAnsi"/>
        </w:rPr>
      </w:pPr>
      <w:r w:rsidRPr="00A33AE8">
        <w:rPr>
          <w:rStyle w:val="FootnoteReference"/>
          <w:rFonts w:asciiTheme="minorHAnsi" w:eastAsiaTheme="majorEastAsia" w:hAnsiTheme="minorHAnsi" w:cstheme="minorHAnsi"/>
        </w:rPr>
        <w:footnoteRef/>
      </w:r>
      <w:r w:rsidRPr="00A33AE8">
        <w:rPr>
          <w:rFonts w:asciiTheme="minorHAnsi" w:hAnsiTheme="minorHAnsi" w:cstheme="minorHAnsi"/>
        </w:rPr>
        <w:t xml:space="preserve"> Official Gazette of RS, no. 40/21</w:t>
      </w:r>
    </w:p>
  </w:footnote>
  <w:footnote w:id="43">
    <w:p w14:paraId="5260CF0E" w14:textId="77777777" w:rsidR="00750F3D" w:rsidRPr="000007D2" w:rsidRDefault="00750F3D" w:rsidP="00DA1852">
      <w:pPr>
        <w:pStyle w:val="FootnoteText"/>
        <w:rPr>
          <w:rFonts w:asciiTheme="minorHAnsi" w:hAnsiTheme="minorHAnsi" w:cstheme="minorHAnsi"/>
        </w:rPr>
      </w:pPr>
      <w:r w:rsidRPr="00A33AE8">
        <w:rPr>
          <w:rStyle w:val="FootnoteReference"/>
        </w:rPr>
        <w:footnoteRef/>
      </w:r>
      <w:r w:rsidRPr="00A33AE8">
        <w:t xml:space="preserve"> </w:t>
      </w:r>
      <w:r w:rsidRPr="00A33AE8">
        <w:rPr>
          <w:rFonts w:asciiTheme="minorHAnsi" w:hAnsiTheme="minorHAnsi" w:cstheme="minorHAnsi"/>
        </w:rPr>
        <w:t>Official Gazette of RS, no. 25/13</w:t>
      </w:r>
    </w:p>
  </w:footnote>
  <w:footnote w:id="44">
    <w:p w14:paraId="66F41D28" w14:textId="77777777" w:rsidR="00750F3D" w:rsidRPr="000007D2" w:rsidRDefault="00750F3D" w:rsidP="00C22B20">
      <w:pPr>
        <w:pStyle w:val="FootnoteText"/>
      </w:pPr>
      <w:r w:rsidRPr="00A33AE8">
        <w:rPr>
          <w:rStyle w:val="FootnoteReference"/>
        </w:rPr>
        <w:footnoteRef/>
      </w:r>
      <w:r w:rsidRPr="000007D2">
        <w:rPr>
          <w:rFonts w:asciiTheme="majorHAnsi" w:hAnsiTheme="majorHAnsi" w:cstheme="majorHAnsi"/>
        </w:rPr>
        <w:t>Transposition included revisions of EED with Directive 2013/12/ЕU, Directive (EU) 2018/844, Directive (EU) 2018/2002, Regulation (EU) 2018/1999, Delegated Directive of Commission (EU) 2019/826 and Directive (EU) 2019/944.</w:t>
      </w:r>
    </w:p>
  </w:footnote>
  <w:footnote w:id="45">
    <w:p w14:paraId="722AE7BF"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30/22</w:t>
      </w:r>
    </w:p>
  </w:footnote>
  <w:footnote w:id="46">
    <w:p w14:paraId="73097981" w14:textId="30003664"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44/22</w:t>
      </w:r>
    </w:p>
  </w:footnote>
  <w:footnote w:id="47">
    <w:p w14:paraId="4D873217" w14:textId="77777777" w:rsidR="00750F3D" w:rsidRPr="00A33AE8" w:rsidRDefault="00750F3D">
      <w:pPr>
        <w:pStyle w:val="FootnoteText"/>
      </w:pPr>
      <w:r w:rsidRPr="00A33AE8">
        <w:rPr>
          <w:rStyle w:val="FootnoteReference"/>
        </w:rPr>
        <w:footnoteRef/>
      </w:r>
      <w:bookmarkStart w:id="73" w:name="_Hlk146544595"/>
      <w:r w:rsidRPr="00A33AE8">
        <w:rPr>
          <w:rFonts w:ascii="Calibri Light" w:hAnsi="Calibri Light" w:cs="Calibri Light"/>
        </w:rPr>
        <w:t xml:space="preserve">Official Gazette of RS, no. </w:t>
      </w:r>
      <w:bookmarkEnd w:id="73"/>
      <w:r w:rsidRPr="00A33AE8">
        <w:rPr>
          <w:rFonts w:ascii="Calibri Light" w:hAnsi="Calibri Light" w:cs="Calibri Light"/>
        </w:rPr>
        <w:t>59/22</w:t>
      </w:r>
    </w:p>
  </w:footnote>
  <w:footnote w:id="48">
    <w:p w14:paraId="5669C414"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43/23</w:t>
      </w:r>
    </w:p>
  </w:footnote>
  <w:footnote w:id="49">
    <w:p w14:paraId="32941EF0"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72/09, 81/09 – correction, 64/10 – CC, 24/11, 121/12, 42/13 – CC, 50/13 – CC, 98/13 – CC, 132/14, 145/ 14, 83/18, 31/19, 37/19 – other law, 9/20, 52/21, 62/23</w:t>
      </w:r>
    </w:p>
  </w:footnote>
  <w:footnote w:id="50">
    <w:p w14:paraId="7773B7B3" w14:textId="77777777" w:rsidR="00750F3D" w:rsidRPr="000007D2" w:rsidRDefault="00750F3D">
      <w:pPr>
        <w:pStyle w:val="FootnoteText"/>
        <w:rPr>
          <w:rFonts w:ascii="Calibri Light" w:hAnsi="Calibri Light" w:cs="Calibri Light"/>
        </w:rPr>
      </w:pPr>
      <w:r w:rsidRPr="00A33AE8">
        <w:rPr>
          <w:rStyle w:val="FootnoteReference"/>
        </w:rPr>
        <w:footnoteRef/>
      </w:r>
      <w:r w:rsidRPr="00A33AE8">
        <w:rPr>
          <w:rFonts w:ascii="Calibri Light" w:hAnsi="Calibri Light" w:cs="Calibri Light"/>
        </w:rPr>
        <w:t>Official Gazette of RS, no. 83/18</w:t>
      </w:r>
    </w:p>
  </w:footnote>
  <w:footnote w:id="51">
    <w:p w14:paraId="2D5B380D" w14:textId="77777777" w:rsidR="00750F3D" w:rsidRPr="005B7A9D" w:rsidRDefault="00750F3D">
      <w:pPr>
        <w:pStyle w:val="FootnoteText"/>
        <w:rPr>
          <w:lang w:val="sr-Cyrl-CS"/>
        </w:rPr>
      </w:pPr>
      <w:r>
        <w:rPr>
          <w:rStyle w:val="FootnoteReference"/>
        </w:rPr>
        <w:footnoteRef/>
      </w:r>
      <w:r>
        <w:t xml:space="preserve"> </w:t>
      </w:r>
      <w:r w:rsidRPr="00AD3287">
        <w:rPr>
          <w:rFonts w:asciiTheme="majorHAnsi" w:hAnsiTheme="majorHAnsi" w:cstheme="majorHAnsi"/>
        </w:rPr>
        <w:t>https://www.crep.gov.rs/EnergetskiPasosi.aspx</w:t>
      </w:r>
    </w:p>
  </w:footnote>
  <w:footnote w:id="52">
    <w:p w14:paraId="1F822577"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9/20</w:t>
      </w:r>
    </w:p>
  </w:footnote>
  <w:footnote w:id="53">
    <w:p w14:paraId="5EE3F86E"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27/22</w:t>
      </w:r>
    </w:p>
  </w:footnote>
  <w:footnote w:id="54">
    <w:p w14:paraId="6ABE889F" w14:textId="77777777" w:rsidR="00750F3D" w:rsidRPr="000007D2" w:rsidRDefault="00750F3D" w:rsidP="0061786B">
      <w:pPr>
        <w:spacing w:after="0" w:line="240" w:lineRule="auto"/>
        <w:jc w:val="both"/>
        <w:rPr>
          <w:rFonts w:asciiTheme="majorHAnsi" w:hAnsiTheme="majorHAnsi" w:cstheme="majorHAnsi"/>
          <w:sz w:val="20"/>
          <w:szCs w:val="20"/>
        </w:rPr>
      </w:pPr>
      <w:r w:rsidRPr="00A33AE8">
        <w:rPr>
          <w:rFonts w:asciiTheme="majorHAnsi" w:hAnsiTheme="majorHAnsi" w:cstheme="majorHAnsi"/>
          <w:sz w:val="20"/>
          <w:szCs w:val="20"/>
          <w:vertAlign w:val="superscript"/>
        </w:rPr>
        <w:footnoteRef/>
      </w:r>
      <w:r w:rsidRPr="000007D2">
        <w:rPr>
          <w:rFonts w:asciiTheme="majorHAnsi" w:hAnsiTheme="majorHAnsi" w:cstheme="majorHAnsi"/>
          <w:sz w:val="20"/>
          <w:szCs w:val="20"/>
        </w:rPr>
        <w:t>Official Gazette of RS, no. 104/16 and 09/20</w:t>
      </w:r>
    </w:p>
  </w:footnote>
  <w:footnote w:id="55">
    <w:p w14:paraId="2A8C34D9" w14:textId="77777777" w:rsidR="00750F3D" w:rsidRPr="000007D2" w:rsidRDefault="00750F3D" w:rsidP="0023226D">
      <w:pPr>
        <w:pStyle w:val="FootnoteText"/>
        <w:jc w:val="both"/>
        <w:rPr>
          <w:rFonts w:asciiTheme="majorHAnsi" w:hAnsiTheme="majorHAnsi" w:cstheme="majorHAnsi"/>
        </w:rPr>
      </w:pPr>
      <w:r w:rsidRPr="00A33AE8">
        <w:rPr>
          <w:rFonts w:asciiTheme="majorHAnsi" w:hAnsiTheme="majorHAnsi" w:cstheme="majorHAnsi"/>
          <w:vertAlign w:val="superscript"/>
        </w:rPr>
        <w:footnoteRef/>
      </w:r>
      <w:bookmarkStart w:id="75" w:name="_Hlk76743371"/>
      <w:r w:rsidRPr="00A33AE8">
        <w:rPr>
          <w:rFonts w:asciiTheme="majorHAnsi" w:hAnsiTheme="majorHAnsi" w:cstheme="majorHAnsi"/>
        </w:rPr>
        <w:t>Official Gazette of RS, no. 61/11</w:t>
      </w:r>
      <w:bookmarkEnd w:id="75"/>
    </w:p>
  </w:footnote>
  <w:footnote w:id="56">
    <w:p w14:paraId="5FD430B0" w14:textId="77777777" w:rsidR="00750F3D" w:rsidRPr="000007D2" w:rsidRDefault="00750F3D" w:rsidP="0023226D">
      <w:pPr>
        <w:pStyle w:val="FootnoteText"/>
        <w:jc w:val="both"/>
        <w:rPr>
          <w:rFonts w:asciiTheme="majorHAnsi" w:hAnsiTheme="majorHAnsi" w:cstheme="majorHAnsi"/>
        </w:rPr>
      </w:pPr>
      <w:r w:rsidRPr="000007D2">
        <w:rPr>
          <w:rFonts w:asciiTheme="majorHAnsi" w:hAnsiTheme="majorHAnsi" w:cstheme="majorHAnsi"/>
          <w:vertAlign w:val="superscript"/>
        </w:rPr>
        <w:footnoteRef/>
      </w:r>
      <w:bookmarkStart w:id="76" w:name="_Hlk76743402"/>
      <w:r w:rsidRPr="000007D2">
        <w:rPr>
          <w:rFonts w:asciiTheme="majorHAnsi" w:hAnsiTheme="majorHAnsi" w:cstheme="majorHAnsi"/>
        </w:rPr>
        <w:t>Official Gazette of RS, no. 69/12</w:t>
      </w:r>
      <w:bookmarkEnd w:id="76"/>
    </w:p>
  </w:footnote>
  <w:footnote w:id="57">
    <w:p w14:paraId="6A5CB131" w14:textId="77777777" w:rsidR="00750F3D" w:rsidRPr="00A33AE8" w:rsidRDefault="00750F3D">
      <w:pPr>
        <w:pStyle w:val="FootnoteText"/>
      </w:pPr>
      <w:r w:rsidRPr="00A33AE8">
        <w:rPr>
          <w:rStyle w:val="FootnoteReference"/>
        </w:rPr>
        <w:footnoteRef/>
      </w:r>
      <w:r w:rsidRPr="000007D2">
        <w:rPr>
          <w:rFonts w:asciiTheme="majorHAnsi" w:hAnsiTheme="majorHAnsi" w:cstheme="majorHAnsi"/>
        </w:rPr>
        <w:t>Official Gazette of RS, no. 91/19</w:t>
      </w:r>
    </w:p>
  </w:footnote>
  <w:footnote w:id="58">
    <w:p w14:paraId="01069C2A" w14:textId="77777777" w:rsidR="00750F3D" w:rsidRPr="000007D2" w:rsidRDefault="00750F3D" w:rsidP="0061786B">
      <w:pPr>
        <w:pStyle w:val="LDKbody"/>
        <w:spacing w:before="0" w:after="0"/>
        <w:rPr>
          <w:rFonts w:asciiTheme="majorHAnsi" w:hAnsiTheme="majorHAnsi" w:cstheme="majorHAnsi"/>
          <w:sz w:val="20"/>
          <w:szCs w:val="20"/>
          <w:lang w:val="en-GB"/>
        </w:rPr>
      </w:pPr>
      <w:r w:rsidRPr="000007D2">
        <w:rPr>
          <w:rFonts w:asciiTheme="majorHAnsi" w:hAnsiTheme="majorHAnsi" w:cstheme="majorHAnsi"/>
          <w:sz w:val="20"/>
          <w:szCs w:val="20"/>
          <w:vertAlign w:val="superscript"/>
          <w:lang w:val="en-GB"/>
        </w:rPr>
        <w:footnoteRef/>
      </w:r>
      <w:r w:rsidRPr="000007D2">
        <w:rPr>
          <w:rFonts w:asciiTheme="majorHAnsi" w:hAnsiTheme="majorHAnsi" w:cstheme="majorHAnsi"/>
          <w:sz w:val="20"/>
          <w:szCs w:val="20"/>
          <w:lang w:val="en-GB"/>
        </w:rPr>
        <w:t>Official Gazette of RS, no. 30/18</w:t>
      </w:r>
    </w:p>
  </w:footnote>
  <w:footnote w:id="59">
    <w:p w14:paraId="75A1B84B" w14:textId="77777777" w:rsidR="00750F3D" w:rsidRPr="000007D2" w:rsidRDefault="00750F3D" w:rsidP="009141DF">
      <w:pPr>
        <w:pStyle w:val="LDKbody"/>
        <w:spacing w:before="0" w:after="0"/>
        <w:rPr>
          <w:rFonts w:asciiTheme="majorHAnsi" w:hAnsiTheme="majorHAnsi" w:cstheme="majorHAnsi"/>
          <w:sz w:val="20"/>
          <w:szCs w:val="20"/>
          <w:lang w:val="en-GB"/>
        </w:rPr>
      </w:pPr>
      <w:r w:rsidRPr="000007D2">
        <w:rPr>
          <w:rFonts w:asciiTheme="majorHAnsi" w:hAnsiTheme="majorHAnsi" w:cstheme="majorHAnsi"/>
          <w:sz w:val="20"/>
          <w:szCs w:val="20"/>
          <w:vertAlign w:val="superscript"/>
          <w:lang w:val="en-GB"/>
        </w:rPr>
        <w:footnoteRef/>
      </w:r>
      <w:r w:rsidRPr="000007D2">
        <w:rPr>
          <w:rFonts w:asciiTheme="majorHAnsi" w:hAnsiTheme="majorHAnsi" w:cstheme="majorHAnsi"/>
          <w:sz w:val="20"/>
          <w:szCs w:val="20"/>
          <w:lang w:val="en-GB"/>
        </w:rPr>
        <w:t>Official Gazette of RS, no. 95/18, 49/19 and 86/19</w:t>
      </w:r>
    </w:p>
  </w:footnote>
  <w:footnote w:id="60">
    <w:p w14:paraId="58280890" w14:textId="77777777" w:rsidR="00750F3D" w:rsidRPr="000007D2" w:rsidRDefault="00750F3D" w:rsidP="009141DF">
      <w:pPr>
        <w:pStyle w:val="LDKbody"/>
        <w:spacing w:before="0" w:after="0"/>
        <w:rPr>
          <w:rFonts w:asciiTheme="majorHAnsi" w:hAnsiTheme="majorHAnsi" w:cstheme="majorHAnsi"/>
          <w:sz w:val="20"/>
          <w:szCs w:val="20"/>
          <w:lang w:val="en-GB"/>
        </w:rPr>
      </w:pPr>
      <w:r w:rsidRPr="000007D2">
        <w:rPr>
          <w:rFonts w:asciiTheme="majorHAnsi" w:hAnsiTheme="majorHAnsi" w:cstheme="majorHAnsi"/>
          <w:sz w:val="20"/>
          <w:szCs w:val="20"/>
          <w:vertAlign w:val="superscript"/>
          <w:lang w:val="en-GB"/>
        </w:rPr>
        <w:footnoteRef/>
      </w:r>
      <w:r w:rsidRPr="000007D2">
        <w:rPr>
          <w:rFonts w:asciiTheme="majorHAnsi" w:hAnsiTheme="majorHAnsi" w:cstheme="majorHAnsi"/>
          <w:sz w:val="20"/>
          <w:szCs w:val="20"/>
          <w:lang w:val="en-GB"/>
        </w:rPr>
        <w:t>Official Gazette of RS, no. 41/19</w:t>
      </w:r>
    </w:p>
  </w:footnote>
  <w:footnote w:id="61">
    <w:p w14:paraId="12DD504F" w14:textId="77777777" w:rsidR="00750F3D" w:rsidRPr="00A33AE8" w:rsidRDefault="00750F3D">
      <w:pPr>
        <w:pStyle w:val="FootnoteText"/>
        <w:rPr>
          <w:rFonts w:asciiTheme="majorHAnsi" w:hAnsiTheme="majorHAnsi"/>
        </w:rPr>
      </w:pPr>
      <w:r w:rsidRPr="00A33AE8">
        <w:rPr>
          <w:rStyle w:val="FootnoteReference"/>
          <w:rFonts w:asciiTheme="majorHAnsi" w:hAnsiTheme="majorHAnsi"/>
        </w:rPr>
        <w:footnoteRef/>
      </w:r>
      <w:r w:rsidRPr="000007D2">
        <w:rPr>
          <w:rFonts w:asciiTheme="majorHAnsi" w:hAnsiTheme="majorHAnsi" w:cstheme="majorHAnsi"/>
          <w:lang w:eastAsia="el-GR"/>
        </w:rPr>
        <w:t>Official Gazette of RS nο. 104/17</w:t>
      </w:r>
    </w:p>
  </w:footnote>
  <w:footnote w:id="62">
    <w:p w14:paraId="4F5EB1ED"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145/14, 95/18 and 40/21</w:t>
      </w:r>
    </w:p>
  </w:footnote>
  <w:footnote w:id="63">
    <w:p w14:paraId="7EDCB905" w14:textId="77777777" w:rsidR="00750F3D" w:rsidRPr="00A33AE8" w:rsidRDefault="00750F3D">
      <w:pPr>
        <w:pStyle w:val="FootnoteText"/>
      </w:pPr>
      <w:r w:rsidRPr="00A33AE8">
        <w:rPr>
          <w:rStyle w:val="FootnoteReference"/>
        </w:rPr>
        <w:footnoteRef/>
      </w:r>
      <w:r w:rsidRPr="00A33AE8">
        <w:t xml:space="preserve"> </w:t>
      </w:r>
      <w:r w:rsidRPr="00A33AE8">
        <w:rPr>
          <w:rFonts w:asciiTheme="majorHAnsi" w:hAnsiTheme="majorHAnsi" w:cstheme="majorHAnsi"/>
        </w:rPr>
        <w:t>https://www.aers.rs/Files/AktiAERS/AERSDajeSaglasnost/2020-04-16_PRAVILA%20O%20RADU%20PRENOSNOG_SISTEMA%20-%20Mart%202020.pdf</w:t>
      </w:r>
    </w:p>
  </w:footnote>
  <w:footnote w:id="64">
    <w:p w14:paraId="74B2F28B" w14:textId="77777777" w:rsidR="00750F3D" w:rsidRPr="00A33AE8" w:rsidRDefault="00750F3D">
      <w:pPr>
        <w:pStyle w:val="FootnoteText"/>
      </w:pPr>
      <w:r w:rsidRPr="00A33AE8">
        <w:rPr>
          <w:rStyle w:val="FootnoteReference"/>
        </w:rPr>
        <w:footnoteRef/>
      </w:r>
      <w:r w:rsidRPr="00A33AE8">
        <w:t xml:space="preserve"> </w:t>
      </w:r>
      <w:r w:rsidRPr="000007D2">
        <w:rPr>
          <w:rFonts w:asciiTheme="majorHAnsi" w:hAnsiTheme="majorHAnsi" w:cstheme="majorHAnsi"/>
        </w:rPr>
        <w:t>https://www.aers.rs/FILES/AktiAERS/AERSDajeSaglasnost/2017-07-19_Pravila%20o%20radu%20ED-ODS%20EPS%20distr.pdf</w:t>
      </w:r>
    </w:p>
  </w:footnote>
  <w:footnote w:id="65">
    <w:p w14:paraId="100FB6E9"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Energy Community website: https://www.energy-community.org/news/Energy-Community-News/2021/02/15.html</w:t>
      </w:r>
    </w:p>
  </w:footnote>
  <w:footnote w:id="66">
    <w:p w14:paraId="45E8B839"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40/21</w:t>
      </w:r>
    </w:p>
  </w:footnote>
  <w:footnote w:id="67">
    <w:p w14:paraId="0BF049A9" w14:textId="77777777" w:rsidR="00750F3D" w:rsidRPr="000007D2" w:rsidRDefault="00750F3D">
      <w:pPr>
        <w:pStyle w:val="FootnoteText"/>
        <w:rPr>
          <w:rFonts w:asciiTheme="majorHAnsi" w:hAnsiTheme="majorHAnsi" w:cstheme="majorHAnsi"/>
        </w:rPr>
      </w:pPr>
      <w:r w:rsidRPr="00A33AE8">
        <w:rPr>
          <w:rStyle w:val="FootnoteReference"/>
        </w:rPr>
        <w:footnoteRef/>
      </w:r>
      <w:r w:rsidRPr="000007D2">
        <w:rPr>
          <w:rFonts w:asciiTheme="majorHAnsi" w:hAnsiTheme="majorHAnsi" w:cstheme="majorHAnsi"/>
        </w:rPr>
        <w:t>Official Gazette of RS, no. 35/23</w:t>
      </w:r>
    </w:p>
  </w:footnote>
  <w:footnote w:id="68">
    <w:p w14:paraId="1C46A1E7" w14:textId="77777777" w:rsidR="00750F3D" w:rsidRPr="00A33AE8" w:rsidRDefault="00750F3D" w:rsidP="00C66875">
      <w:pPr>
        <w:pStyle w:val="FootnoteText"/>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40/21</w:t>
      </w:r>
    </w:p>
  </w:footnote>
  <w:footnote w:id="69">
    <w:p w14:paraId="5CBDD5A9"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113/15, 48/16, 88/16, 49/17, 104/17, 36/18, 59/18, 88/18, 34/19, 82/19, 76/20, 144/20 and 51/21</w:t>
      </w:r>
    </w:p>
  </w:footnote>
  <w:footnote w:id="70">
    <w:p w14:paraId="79BA9DD1"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137/22 and 46/23</w:t>
      </w:r>
    </w:p>
  </w:footnote>
  <w:footnote w:id="71">
    <w:p w14:paraId="07454A93"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145/14, 95/18 and 40/21</w:t>
      </w:r>
    </w:p>
  </w:footnote>
  <w:footnote w:id="72">
    <w:p w14:paraId="084A8F65"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104/13, 145/14 and 95/18</w:t>
      </w:r>
    </w:p>
  </w:footnote>
  <w:footnote w:id="73">
    <w:p w14:paraId="2F6BCCB1" w14:textId="77777777" w:rsidR="00750F3D" w:rsidRPr="00A33AE8" w:rsidRDefault="00750F3D" w:rsidP="00C66875">
      <w:pPr>
        <w:pStyle w:val="FootnoteText"/>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RS, no. 87/18</w:t>
      </w:r>
    </w:p>
  </w:footnote>
  <w:footnote w:id="74">
    <w:p w14:paraId="55986237"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the RS, no. 63/13, 91/18</w:t>
      </w:r>
    </w:p>
  </w:footnote>
  <w:footnote w:id="75">
    <w:p w14:paraId="51FCAF7F"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 Official Gazette of the RS, no. 47/06, 3/10 and 48/10</w:t>
      </w:r>
    </w:p>
  </w:footnote>
  <w:footnote w:id="76">
    <w:p w14:paraId="65E57AF8"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63/19</w:t>
      </w:r>
    </w:p>
  </w:footnote>
  <w:footnote w:id="77">
    <w:p w14:paraId="2FAB6226"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50/16 and 48/21</w:t>
      </w:r>
    </w:p>
  </w:footnote>
  <w:footnote w:id="78">
    <w:p w14:paraId="5CE10E6A"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48/21</w:t>
      </w:r>
    </w:p>
  </w:footnote>
  <w:footnote w:id="79">
    <w:p w14:paraId="40F2E4B4" w14:textId="77777777" w:rsidR="00750F3D" w:rsidRPr="00A33AE8" w:rsidRDefault="00750F3D">
      <w:pPr>
        <w:pStyle w:val="FootnoteText"/>
        <w:rPr>
          <w:rFonts w:asciiTheme="majorHAnsi" w:hAnsiTheme="majorHAnsi" w:cstheme="majorHAnsi"/>
        </w:rPr>
      </w:pPr>
      <w:r w:rsidRPr="00A33AE8">
        <w:rPr>
          <w:rStyle w:val="FootnoteReference"/>
        </w:rPr>
        <w:footnoteRef/>
      </w:r>
      <w:r w:rsidRPr="00A33AE8">
        <w:rPr>
          <w:rFonts w:asciiTheme="majorHAnsi" w:hAnsiTheme="majorHAnsi" w:cstheme="majorHAnsi"/>
        </w:rPr>
        <w:t>Official Gazette of the RS, no. 55/21</w:t>
      </w:r>
    </w:p>
  </w:footnote>
  <w:footnote w:id="80">
    <w:p w14:paraId="413CB252"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102/18</w:t>
      </w:r>
    </w:p>
  </w:footnote>
  <w:footnote w:id="81">
    <w:p w14:paraId="5091C0F7"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102/18</w:t>
      </w:r>
    </w:p>
  </w:footnote>
  <w:footnote w:id="82">
    <w:p w14:paraId="02A4A105"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the RS, no. 59/20</w:t>
      </w:r>
    </w:p>
  </w:footnote>
  <w:footnote w:id="83">
    <w:p w14:paraId="00C1F5C4" w14:textId="77777777" w:rsidR="00750F3D" w:rsidRPr="00A33AE8" w:rsidRDefault="00750F3D" w:rsidP="00C66875">
      <w:pPr>
        <w:pStyle w:val="FootnoteText"/>
        <w:rPr>
          <w:rFonts w:ascii="Calibri Light" w:hAnsi="Calibri Light" w:cs="Calibri Light"/>
        </w:rPr>
      </w:pPr>
      <w:r w:rsidRPr="00A33AE8">
        <w:rPr>
          <w:rStyle w:val="FootnoteReference"/>
          <w:rFonts w:ascii="Calibri Light" w:hAnsi="Calibri Light" w:cs="Calibri Light"/>
        </w:rPr>
        <w:footnoteRef/>
      </w:r>
      <w:r w:rsidRPr="00A33AE8">
        <w:rPr>
          <w:rFonts w:ascii="Calibri Light" w:hAnsi="Calibri Light" w:cs="Calibri Light"/>
        </w:rPr>
        <w:t>Official Gazette of the RS, no. 63/19</w:t>
      </w:r>
    </w:p>
  </w:footnote>
  <w:footnote w:id="84">
    <w:p w14:paraId="2BFE157B" w14:textId="77777777" w:rsidR="00750F3D" w:rsidRPr="000007D2" w:rsidRDefault="00750F3D">
      <w:pPr>
        <w:pStyle w:val="FootnoteText"/>
        <w:rPr>
          <w:lang w:val="en-US"/>
        </w:rPr>
      </w:pPr>
      <w:r>
        <w:rPr>
          <w:rStyle w:val="FootnoteReference"/>
        </w:rPr>
        <w:footnoteRef/>
      </w:r>
      <w:r w:rsidRPr="00A33AE8">
        <w:rPr>
          <w:rFonts w:ascii="Calibri Light" w:hAnsi="Calibri Light" w:cs="Calibri Light"/>
        </w:rPr>
        <w:t>Official Gazette of the RS, no.</w:t>
      </w:r>
      <w:r w:rsidRPr="00FB11C7">
        <w:rPr>
          <w:rFonts w:ascii="Calibri Light" w:hAnsi="Calibri Light" w:cs="Calibri Light"/>
        </w:rPr>
        <w:t xml:space="preserve"> 101/15</w:t>
      </w:r>
    </w:p>
  </w:footnote>
  <w:footnote w:id="85">
    <w:p w14:paraId="4D8ADFC7"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06/16, 94/17 and 77/19</w:t>
      </w:r>
    </w:p>
  </w:footnote>
  <w:footnote w:id="86">
    <w:p w14:paraId="63B7A2A8"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94/16</w:t>
      </w:r>
    </w:p>
  </w:footnote>
  <w:footnote w:id="87">
    <w:p w14:paraId="16E7E299" w14:textId="77777777" w:rsidR="00750F3D" w:rsidRPr="000007D2" w:rsidRDefault="00750F3D">
      <w:pPr>
        <w:pStyle w:val="FootnoteText"/>
        <w:rPr>
          <w:lang w:val="en-US"/>
        </w:rPr>
      </w:pPr>
      <w:r>
        <w:rPr>
          <w:rStyle w:val="FootnoteReference"/>
        </w:rPr>
        <w:footnoteRef/>
      </w:r>
      <w:r w:rsidRPr="00A33AE8">
        <w:rPr>
          <w:rFonts w:asciiTheme="majorHAnsi" w:hAnsiTheme="majorHAnsi" w:cstheme="majorHAnsi"/>
        </w:rPr>
        <w:t>Official Gazette of RS, no.</w:t>
      </w:r>
      <w:r>
        <w:rPr>
          <w:rFonts w:asciiTheme="majorHAnsi" w:hAnsiTheme="majorHAnsi" w:cstheme="majorHAnsi"/>
        </w:rPr>
        <w:t xml:space="preserve"> </w:t>
      </w:r>
      <w:r w:rsidRPr="0000556B">
        <w:rPr>
          <w:rFonts w:asciiTheme="majorHAnsi" w:hAnsiTheme="majorHAnsi" w:cstheme="majorHAnsi"/>
        </w:rPr>
        <w:t>53/17</w:t>
      </w:r>
    </w:p>
  </w:footnote>
  <w:footnote w:id="88">
    <w:p w14:paraId="58ECB9B5" w14:textId="77777777" w:rsidR="00750F3D" w:rsidRPr="00A33AE8" w:rsidRDefault="00750F3D" w:rsidP="00C66875">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94/16</w:t>
      </w:r>
    </w:p>
  </w:footnote>
  <w:footnote w:id="89">
    <w:p w14:paraId="0C9D4274" w14:textId="77777777" w:rsidR="00750F3D" w:rsidRPr="000007D2" w:rsidRDefault="00750F3D">
      <w:pPr>
        <w:pStyle w:val="FootnoteText"/>
        <w:rPr>
          <w:lang w:val="en-US"/>
        </w:rPr>
      </w:pPr>
      <w:r>
        <w:rPr>
          <w:rStyle w:val="FootnoteReference"/>
        </w:rPr>
        <w:footnoteRef/>
      </w:r>
      <w:r w:rsidRPr="000007D2">
        <w:rPr>
          <w:rFonts w:asciiTheme="majorHAnsi" w:hAnsiTheme="majorHAnsi" w:cstheme="majorHAnsi"/>
        </w:rPr>
        <w:t xml:space="preserve">Official Gazette of FRY, </w:t>
      </w:r>
      <w:r>
        <w:rPr>
          <w:rFonts w:asciiTheme="majorHAnsi" w:hAnsiTheme="majorHAnsi" w:cstheme="majorHAnsi"/>
        </w:rPr>
        <w:t>n</w:t>
      </w:r>
      <w:r w:rsidRPr="000007D2">
        <w:rPr>
          <w:rFonts w:asciiTheme="majorHAnsi" w:hAnsiTheme="majorHAnsi" w:cstheme="majorHAnsi"/>
        </w:rPr>
        <w:t xml:space="preserve">o. 19/95 and Official Gazette of RS, </w:t>
      </w:r>
      <w:r>
        <w:rPr>
          <w:rFonts w:asciiTheme="majorHAnsi" w:hAnsiTheme="majorHAnsi" w:cstheme="majorHAnsi"/>
        </w:rPr>
        <w:t>n</w:t>
      </w:r>
      <w:r w:rsidRPr="000007D2">
        <w:rPr>
          <w:rFonts w:asciiTheme="majorHAnsi" w:hAnsiTheme="majorHAnsi" w:cstheme="majorHAnsi"/>
        </w:rPr>
        <w:t>o. 85/05 – other law</w:t>
      </w:r>
    </w:p>
  </w:footnote>
  <w:footnote w:id="90">
    <w:p w14:paraId="080B0C9F" w14:textId="77777777" w:rsidR="00750F3D" w:rsidRPr="00A33AE8" w:rsidRDefault="00750F3D">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25/16</w:t>
      </w:r>
    </w:p>
  </w:footnote>
  <w:footnote w:id="91">
    <w:p w14:paraId="2AEFF73F" w14:textId="77777777" w:rsidR="00750F3D" w:rsidRPr="00A33AE8" w:rsidRDefault="00750F3D" w:rsidP="00D0644C">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21/20</w:t>
      </w:r>
    </w:p>
  </w:footnote>
  <w:footnote w:id="92">
    <w:p w14:paraId="52ECEA4D" w14:textId="77777777" w:rsidR="00750F3D" w:rsidRPr="00A33AE8" w:rsidRDefault="00750F3D" w:rsidP="00D0644C">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95/18</w:t>
      </w:r>
    </w:p>
  </w:footnote>
  <w:footnote w:id="93">
    <w:p w14:paraId="65E57193" w14:textId="77777777" w:rsidR="00750F3D" w:rsidRPr="00A33AE8" w:rsidRDefault="00750F3D" w:rsidP="00D0644C">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49/19</w:t>
      </w:r>
    </w:p>
  </w:footnote>
  <w:footnote w:id="94">
    <w:p w14:paraId="2E42F9EE" w14:textId="77777777" w:rsidR="00750F3D" w:rsidRPr="00A33AE8" w:rsidRDefault="00750F3D" w:rsidP="00D0644C">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Official Gazette of RS, no. 10/21</w:t>
      </w:r>
    </w:p>
  </w:footnote>
  <w:footnote w:id="95">
    <w:p w14:paraId="5A7AFE05"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47/19</w:t>
      </w:r>
    </w:p>
  </w:footnote>
  <w:footnote w:id="96">
    <w:p w14:paraId="3B6FE87F" w14:textId="77777777" w:rsidR="00750F3D" w:rsidRPr="000007D2" w:rsidRDefault="00750F3D">
      <w:pPr>
        <w:pStyle w:val="FootnoteText"/>
        <w:rPr>
          <w:lang w:val="sr-Cyrl-RS"/>
        </w:rPr>
      </w:pPr>
      <w:r>
        <w:rPr>
          <w:rStyle w:val="FootnoteReference"/>
        </w:rPr>
        <w:footnoteRef/>
      </w:r>
      <w:r w:rsidRPr="00A33AE8">
        <w:rPr>
          <w:rFonts w:asciiTheme="majorHAnsi" w:hAnsiTheme="majorHAnsi" w:cstheme="majorHAnsi"/>
        </w:rPr>
        <w:t xml:space="preserve">Official Gazette of RS, no. </w:t>
      </w:r>
      <w:r w:rsidRPr="00AD0F92">
        <w:rPr>
          <w:rFonts w:asciiTheme="majorHAnsi" w:hAnsiTheme="majorHAnsi" w:cstheme="majorHAnsi"/>
        </w:rPr>
        <w:t>27/22</w:t>
      </w:r>
    </w:p>
  </w:footnote>
  <w:footnote w:id="97">
    <w:p w14:paraId="4F373271" w14:textId="77777777" w:rsidR="00750F3D" w:rsidRPr="00A33AE8" w:rsidRDefault="00750F3D">
      <w:pPr>
        <w:pStyle w:val="FootnoteText"/>
      </w:pPr>
      <w:r w:rsidRPr="00A33AE8">
        <w:rPr>
          <w:rStyle w:val="FootnoteReference"/>
        </w:rPr>
        <w:footnoteRef/>
      </w:r>
      <w:r w:rsidRPr="000007D2">
        <w:rPr>
          <w:rFonts w:asciiTheme="majorHAnsi" w:hAnsiTheme="majorHAnsi" w:cstheme="majorHAnsi"/>
          <w:color w:val="000000"/>
          <w:lang w:eastAsia="en-GB"/>
        </w:rPr>
        <w:t>Official Gazette of the RS, No. 26/21</w:t>
      </w:r>
    </w:p>
  </w:footnote>
  <w:footnote w:id="98">
    <w:p w14:paraId="1396FEE2" w14:textId="77777777" w:rsidR="00750F3D" w:rsidRPr="00A33AE8" w:rsidRDefault="00750F3D" w:rsidP="00EF77E4">
      <w:pPr>
        <w:pStyle w:val="FootnoteText"/>
        <w:jc w:val="both"/>
        <w:rPr>
          <w:rFonts w:asciiTheme="majorHAnsi" w:hAnsiTheme="majorHAnsi" w:cstheme="majorHAnsi"/>
        </w:rPr>
      </w:pPr>
      <w:r w:rsidRPr="00A33AE8">
        <w:rPr>
          <w:rStyle w:val="FootnoteReference"/>
          <w:rFonts w:asciiTheme="majorHAnsi" w:eastAsiaTheme="majorEastAsia" w:hAnsiTheme="majorHAnsi" w:cstheme="majorHAnsi"/>
        </w:rPr>
        <w:footnoteRef/>
      </w:r>
      <w:hyperlink r:id="rId1" w:history="1">
        <w:r w:rsidRPr="000007D2">
          <w:rPr>
            <w:rStyle w:val="Hyperlink"/>
            <w:rFonts w:asciiTheme="majorHAnsi" w:hAnsiTheme="majorHAnsi" w:cstheme="majorHAnsi"/>
          </w:rPr>
          <w:t>https://ec.europa.eu/neighbourhood-enlargement/serbia-report-2021_en</w:t>
        </w:r>
      </w:hyperlink>
    </w:p>
  </w:footnote>
  <w:footnote w:id="99">
    <w:p w14:paraId="22BCD1CF" w14:textId="77777777" w:rsidR="00750F3D" w:rsidRPr="00A33AE8"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r w:rsidRPr="00B71A67">
        <w:t>https://circulareconomy.europa.eu/platform/sites/default/files/roadmap-for-circular-economy-in-serbia.pdf</w:t>
      </w:r>
    </w:p>
  </w:footnote>
  <w:footnote w:id="100">
    <w:p w14:paraId="40C9C465"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12/22</w:t>
      </w:r>
    </w:p>
  </w:footnote>
  <w:footnote w:id="101">
    <w:p w14:paraId="17803A80"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84/23</w:t>
      </w:r>
    </w:p>
  </w:footnote>
  <w:footnote w:id="102">
    <w:p w14:paraId="2D50F1E1" w14:textId="77777777" w:rsidR="00750F3D" w:rsidRPr="00A33AE8"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hyperlink r:id="rId2" w:history="1">
        <w:r w:rsidRPr="00A33AE8">
          <w:rPr>
            <w:rStyle w:val="Hyperlink"/>
            <w:rFonts w:asciiTheme="majorHAnsi" w:hAnsiTheme="majorHAnsi" w:cstheme="majorHAnsi"/>
          </w:rPr>
          <w:t>https://ec.europa.eu/neighbourhood-enlargement/serbia-report-2021_en</w:t>
        </w:r>
      </w:hyperlink>
    </w:p>
  </w:footnote>
  <w:footnote w:id="103">
    <w:p w14:paraId="155C131E"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3/17</w:t>
      </w:r>
    </w:p>
  </w:footnote>
  <w:footnote w:id="104">
    <w:p w14:paraId="0856193A"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33/23</w:t>
      </w:r>
    </w:p>
  </w:footnote>
  <w:footnote w:id="105">
    <w:p w14:paraId="6A1289CE" w14:textId="77777777" w:rsidR="00750F3D" w:rsidRPr="00A33AE8" w:rsidRDefault="00750F3D">
      <w:pPr>
        <w:pStyle w:val="FootnoteText"/>
      </w:pPr>
      <w:r w:rsidRPr="00A33AE8">
        <w:rPr>
          <w:rStyle w:val="FootnoteReference"/>
        </w:rPr>
        <w:footnoteRef/>
      </w:r>
      <w:r w:rsidRPr="00A33AE8">
        <w:rPr>
          <w:rFonts w:ascii="Calibri Light" w:hAnsi="Calibri Light" w:cs="Calibri Light"/>
        </w:rPr>
        <w:t>Official Gazette of RS, no. 30/10, 93/12, 101/16, 95/18 and 95/2018 – other law</w:t>
      </w:r>
    </w:p>
  </w:footnote>
  <w:footnote w:id="106">
    <w:p w14:paraId="643D8577" w14:textId="77777777" w:rsidR="00750F3D" w:rsidRPr="000007D2"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hyperlink r:id="rId3" w:history="1">
        <w:r w:rsidRPr="00A33AE8">
          <w:rPr>
            <w:rStyle w:val="Hyperlink"/>
            <w:rFonts w:asciiTheme="majorHAnsi" w:hAnsiTheme="majorHAnsi" w:cstheme="majorHAnsi"/>
          </w:rPr>
          <w:t>https://www.paragraf.rs/propisi/zakon_o_poljoprivredi_i_ruralnom_razvoju.html</w:t>
        </w:r>
      </w:hyperlink>
    </w:p>
  </w:footnote>
  <w:footnote w:id="107">
    <w:p w14:paraId="27361A12" w14:textId="77777777" w:rsidR="00750F3D" w:rsidRPr="000007D2" w:rsidRDefault="00750F3D" w:rsidP="005D0066">
      <w:pPr>
        <w:pStyle w:val="FootnoteText"/>
        <w:rPr>
          <w:rFonts w:asciiTheme="minorHAnsi" w:hAnsiTheme="minorHAnsi"/>
        </w:rPr>
      </w:pPr>
      <w:r w:rsidRPr="00A33AE8">
        <w:rPr>
          <w:rStyle w:val="FootnoteReference"/>
          <w:rFonts w:asciiTheme="majorHAnsi" w:eastAsiaTheme="majorEastAsia" w:hAnsiTheme="majorHAnsi" w:cstheme="majorHAnsi"/>
        </w:rPr>
        <w:footnoteRef/>
      </w:r>
      <w:hyperlink r:id="rId4" w:history="1">
        <w:r w:rsidRPr="000007D2">
          <w:rPr>
            <w:rStyle w:val="Hyperlink"/>
            <w:rFonts w:asciiTheme="majorHAnsi" w:hAnsiTheme="majorHAnsi" w:cstheme="majorHAnsi"/>
          </w:rPr>
          <w:t>https://www.paragraf.rs/propisi/zakon_o_podsticajima_u_poljoprivredi_i_ruralnom_razvoju.html</w:t>
        </w:r>
      </w:hyperlink>
    </w:p>
  </w:footnote>
  <w:footnote w:id="108">
    <w:p w14:paraId="6192F755" w14:textId="77777777" w:rsidR="00750F3D" w:rsidRPr="00A33AE8" w:rsidRDefault="00750F3D">
      <w:pPr>
        <w:pStyle w:val="FootnoteText"/>
      </w:pPr>
      <w:r w:rsidRPr="00A33AE8">
        <w:rPr>
          <w:rStyle w:val="FootnoteReference"/>
        </w:rPr>
        <w:footnoteRef/>
      </w:r>
      <w:r w:rsidRPr="000007D2">
        <w:rPr>
          <w:rFonts w:asciiTheme="majorHAnsi" w:eastAsiaTheme="minorHAnsi" w:hAnsiTheme="majorHAnsi" w:cstheme="majorHAnsi"/>
          <w:bCs/>
          <w:color w:val="000000"/>
          <w:sz w:val="22"/>
          <w:szCs w:val="22"/>
        </w:rPr>
        <w:t>Official Gazette of RS, no. 67/21</w:t>
      </w:r>
    </w:p>
  </w:footnote>
  <w:footnote w:id="109">
    <w:p w14:paraId="5E276D11" w14:textId="133370E0" w:rsidR="00750F3D" w:rsidRPr="000007D2"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r w:rsidRPr="005B2C66">
        <w:rPr>
          <w:rStyle w:val="Hyperlink"/>
          <w:rFonts w:asciiTheme="majorHAnsi" w:hAnsiTheme="majorHAnsi" w:cstheme="majorHAnsi"/>
        </w:rPr>
        <w:t>https://data.stat.gov.rs/Home/Result/130401?languageCode=en-US</w:t>
      </w:r>
    </w:p>
  </w:footnote>
  <w:footnote w:id="110">
    <w:p w14:paraId="29900250" w14:textId="77777777" w:rsidR="00750F3D" w:rsidRPr="000007D2"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hyperlink r:id="rId5" w:history="1">
        <w:r w:rsidRPr="000007D2">
          <w:rPr>
            <w:rStyle w:val="Hyperlink"/>
            <w:rFonts w:asciiTheme="majorHAnsi" w:hAnsiTheme="majorHAnsi" w:cstheme="majorHAnsi"/>
          </w:rPr>
          <w:t>http://www.fao.org/faolex/results/details/en/c/LEX-FAOC143404</w:t>
        </w:r>
      </w:hyperlink>
    </w:p>
  </w:footnote>
  <w:footnote w:id="111">
    <w:p w14:paraId="14B58870" w14:textId="77777777" w:rsidR="00750F3D" w:rsidRPr="000007D2"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hyperlink r:id="rId6" w:history="1">
        <w:r w:rsidRPr="000007D2">
          <w:rPr>
            <w:rStyle w:val="Hyperlink"/>
            <w:rFonts w:asciiTheme="majorHAnsi" w:hAnsiTheme="majorHAnsi" w:cstheme="majorHAnsi"/>
          </w:rPr>
          <w:t>http://www.fao.org/forestry/16159-0f033f89b9da00ac3d5a3c81cda247f26.pdf</w:t>
        </w:r>
      </w:hyperlink>
    </w:p>
  </w:footnote>
  <w:footnote w:id="112">
    <w:p w14:paraId="133FEE35" w14:textId="77777777" w:rsidR="00750F3D" w:rsidRPr="00A33AE8" w:rsidRDefault="00750F3D" w:rsidP="005D0066">
      <w:pPr>
        <w:pStyle w:val="FootnoteText"/>
        <w:rPr>
          <w:rFonts w:asciiTheme="majorHAnsi" w:hAnsiTheme="majorHAnsi" w:cstheme="majorHAnsi"/>
        </w:rPr>
      </w:pPr>
      <w:r w:rsidRPr="00A33AE8">
        <w:rPr>
          <w:rStyle w:val="FootnoteReference"/>
          <w:rFonts w:asciiTheme="majorHAnsi" w:eastAsiaTheme="majorEastAsia" w:hAnsiTheme="majorHAnsi" w:cstheme="majorHAnsi"/>
        </w:rPr>
        <w:footnoteRef/>
      </w:r>
      <w:r w:rsidRPr="00A33AE8">
        <w:rPr>
          <w:rFonts w:asciiTheme="majorHAnsi" w:hAnsiTheme="majorHAnsi" w:cstheme="majorHAnsi"/>
        </w:rPr>
        <w:t xml:space="preserve"> Ratknic, M., Rakonjac, Lj., Braunovic, S., Miletic, Z., Ratknic, T. (2015), “The Republic of Serbia’s afforestation strategy with an action plan”, </w:t>
      </w:r>
      <w:r w:rsidRPr="00A33AE8">
        <w:rPr>
          <w:rFonts w:asciiTheme="majorHAnsi" w:hAnsiTheme="majorHAnsi" w:cstheme="majorHAnsi"/>
          <w:i/>
        </w:rPr>
        <w:t>Reforesta</w:t>
      </w:r>
      <w:r w:rsidRPr="00A33AE8">
        <w:rPr>
          <w:rFonts w:asciiTheme="majorHAnsi" w:hAnsiTheme="majorHAnsi" w:cstheme="majorHAnsi"/>
        </w:rPr>
        <w:t>. pp. 13-22.</w:t>
      </w:r>
    </w:p>
  </w:footnote>
  <w:footnote w:id="113">
    <w:p w14:paraId="16A21F9A" w14:textId="77777777" w:rsidR="00750F3D" w:rsidRPr="000007D2" w:rsidRDefault="00750F3D" w:rsidP="00823286">
      <w:pPr>
        <w:pStyle w:val="FootnoteText"/>
        <w:jc w:val="both"/>
        <w:rPr>
          <w:rFonts w:asciiTheme="majorHAnsi" w:hAnsiTheme="majorHAnsi" w:cstheme="majorHAnsi"/>
          <w:szCs w:val="22"/>
        </w:rPr>
      </w:pPr>
      <w:r w:rsidRPr="00A33AE8">
        <w:rPr>
          <w:rFonts w:asciiTheme="majorHAnsi" w:hAnsiTheme="majorHAnsi" w:cstheme="majorHAnsi"/>
          <w:vertAlign w:val="superscript"/>
        </w:rPr>
        <w:footnoteRef/>
      </w:r>
      <w:r w:rsidRPr="00A33AE8">
        <w:rPr>
          <w:rFonts w:asciiTheme="majorHAnsi" w:hAnsiTheme="majorHAnsi" w:cstheme="majorHAnsi"/>
          <w:szCs w:val="22"/>
        </w:rPr>
        <w:t xml:space="preserve">Albania, Bosnia and Herzegovina, Kosovo*, North Macedonia, Montenegro, Republic of Serbia. </w:t>
      </w:r>
      <w:r w:rsidRPr="000007D2">
        <w:rPr>
          <w:rFonts w:asciiTheme="majorHAnsi" w:hAnsiTheme="majorHAnsi" w:cstheme="majorHAnsi"/>
          <w:szCs w:val="22"/>
        </w:rPr>
        <w:t>Throughout INECP, Kosovo’s* designation is without prejudice to positions on status, and is in line with UNSCR 1244 and the ICJ Opinion on the Kosovo* declaration of independence.</w:t>
      </w:r>
    </w:p>
  </w:footnote>
  <w:footnote w:id="114">
    <w:p w14:paraId="64A32133"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61/11</w:t>
      </w:r>
    </w:p>
  </w:footnote>
  <w:footnote w:id="115">
    <w:p w14:paraId="613D7B97"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26/01, 80/02, 43/04, 132/04, 112/05, 114/06, 118/07, 114/08, and 31/09</w:t>
      </w:r>
    </w:p>
  </w:footnote>
  <w:footnote w:id="116">
    <w:p w14:paraId="0EBB3670" w14:textId="77777777" w:rsidR="00750F3D" w:rsidRPr="00A33AE8" w:rsidRDefault="00750F3D">
      <w:pPr>
        <w:pStyle w:val="FootnoteText"/>
      </w:pPr>
      <w:r w:rsidRPr="00A33AE8">
        <w:rPr>
          <w:rStyle w:val="FootnoteReference"/>
        </w:rPr>
        <w:footnoteRef/>
      </w:r>
      <w:r w:rsidRPr="00A33AE8">
        <w:t xml:space="preserve"> </w:t>
      </w:r>
      <w:r w:rsidRPr="000007D2">
        <w:t>The long-term strategy for encouraging investment in the renovation of the national building fund of the Republic of Serbia until 2050 was adopted on February 25, 2022. ("Official Gazette of RS", number 27/22).</w:t>
      </w:r>
    </w:p>
  </w:footnote>
  <w:footnote w:id="117">
    <w:p w14:paraId="3F240D5A"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3/14 and 66/20</w:t>
      </w:r>
    </w:p>
  </w:footnote>
  <w:footnote w:id="118">
    <w:p w14:paraId="6521050B" w14:textId="77777777" w:rsidR="00750F3D" w:rsidRPr="00A33AE8" w:rsidRDefault="00750F3D">
      <w:pPr>
        <w:pStyle w:val="FootnoteText"/>
      </w:pPr>
      <w:r w:rsidRPr="00A33AE8">
        <w:rPr>
          <w:rStyle w:val="FootnoteReference"/>
        </w:rPr>
        <w:footnoteRef/>
      </w:r>
      <w:bookmarkStart w:id="182" w:name="_Hlk148366216"/>
      <w:r w:rsidRPr="00A33AE8">
        <w:rPr>
          <w:rFonts w:asciiTheme="majorHAnsi" w:hAnsiTheme="majorHAnsi" w:cstheme="majorHAnsi"/>
        </w:rPr>
        <w:t xml:space="preserve">Official Gazette of RS, no. </w:t>
      </w:r>
      <w:bookmarkEnd w:id="182"/>
      <w:r w:rsidRPr="00A33AE8">
        <w:rPr>
          <w:rFonts w:asciiTheme="majorHAnsi" w:hAnsiTheme="majorHAnsi" w:cstheme="majorHAnsi"/>
        </w:rPr>
        <w:t>83/21 and 74/22</w:t>
      </w:r>
    </w:p>
  </w:footnote>
  <w:footnote w:id="119">
    <w:p w14:paraId="3ECB5E8C"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2/23</w:t>
      </w:r>
    </w:p>
  </w:footnote>
  <w:footnote w:id="120">
    <w:p w14:paraId="1AF6FBC0" w14:textId="377DECFC"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2/23</w:t>
      </w:r>
    </w:p>
  </w:footnote>
  <w:footnote w:id="121">
    <w:p w14:paraId="1024B4E4"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104/22</w:t>
      </w:r>
    </w:p>
  </w:footnote>
  <w:footnote w:id="122">
    <w:p w14:paraId="6B3C54E2"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104/22</w:t>
      </w:r>
    </w:p>
  </w:footnote>
  <w:footnote w:id="123">
    <w:p w14:paraId="04915BF0"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95/22</w:t>
      </w:r>
    </w:p>
  </w:footnote>
  <w:footnote w:id="124">
    <w:p w14:paraId="5780C726" w14:textId="77777777" w:rsidR="00750F3D" w:rsidRPr="00A33AE8" w:rsidRDefault="00750F3D">
      <w:pPr>
        <w:pStyle w:val="FootnoteText"/>
      </w:pPr>
      <w:r w:rsidRPr="00A33AE8">
        <w:rPr>
          <w:rStyle w:val="FootnoteReference"/>
        </w:rPr>
        <w:footnoteRef/>
      </w:r>
      <w:r w:rsidRPr="00A33AE8">
        <w:rPr>
          <w:rFonts w:asciiTheme="majorHAnsi" w:hAnsiTheme="majorHAnsi" w:cstheme="majorHAnsi"/>
        </w:rPr>
        <w:t>Official Gazette of RS, no. 84/22</w:t>
      </w:r>
    </w:p>
  </w:footnote>
  <w:footnote w:id="125">
    <w:p w14:paraId="0264E928" w14:textId="77777777" w:rsidR="00750F3D" w:rsidRPr="00A33AE8" w:rsidRDefault="00750F3D" w:rsidP="00FB3019">
      <w:pPr>
        <w:pStyle w:val="FootnoteText"/>
        <w:rPr>
          <w:rFonts w:asciiTheme="majorHAnsi" w:hAnsiTheme="majorHAnsi" w:cstheme="majorHAnsi"/>
        </w:rPr>
      </w:pPr>
      <w:r w:rsidRPr="00A33AE8">
        <w:rPr>
          <w:rStyle w:val="FootnoteReference"/>
        </w:rPr>
        <w:footnoteRef/>
      </w:r>
      <w:r w:rsidRPr="000007D2">
        <w:rPr>
          <w:rFonts w:asciiTheme="majorHAnsi" w:hAnsiTheme="majorHAnsi"/>
        </w:rPr>
        <w:t>These are long term socioeconomic projections (GDP projections) per country, performed by IIASA for the IPCC scenarios. Details can be found on the website https://iiasa.ac.at/models-tools-data/ssp</w:t>
      </w:r>
    </w:p>
  </w:footnote>
  <w:footnote w:id="126">
    <w:p w14:paraId="745149AB" w14:textId="77777777" w:rsidR="00750F3D" w:rsidRPr="00A33AE8" w:rsidRDefault="00750F3D">
      <w:pPr>
        <w:pStyle w:val="FootnoteText"/>
      </w:pPr>
      <w:r w:rsidRPr="00A33AE8">
        <w:rPr>
          <w:rStyle w:val="FootnoteReference"/>
        </w:rPr>
        <w:footnoteRef/>
      </w:r>
      <w:r w:rsidRPr="00A33AE8">
        <w:t>Note that the investment in balancing technologies and/or storage technologies is not included implicitly in the cost of renewable energy technologies, but it is calculated explicitly per kW of balancing or storage technology that is included in the system.</w:t>
      </w:r>
    </w:p>
  </w:footnote>
  <w:footnote w:id="127">
    <w:p w14:paraId="6D84106B" w14:textId="77777777" w:rsidR="00750F3D" w:rsidRPr="00A33AE8" w:rsidRDefault="00750F3D">
      <w:pPr>
        <w:pStyle w:val="FootnoteText"/>
      </w:pPr>
      <w:r w:rsidRPr="00A33AE8">
        <w:rPr>
          <w:rStyle w:val="FootnoteReference"/>
        </w:rPr>
        <w:footnoteRef/>
      </w:r>
      <w:r w:rsidRPr="00A33AE8">
        <w:t>The latest available data for GHG emissions are for 2019.</w:t>
      </w:r>
    </w:p>
  </w:footnote>
  <w:footnote w:id="128">
    <w:p w14:paraId="7E76CDFB" w14:textId="77777777" w:rsidR="00750F3D" w:rsidRPr="00A33AE8" w:rsidRDefault="00750F3D" w:rsidP="003E6E3E">
      <w:pPr>
        <w:pStyle w:val="FootnoteText"/>
      </w:pPr>
      <w:r w:rsidRPr="00A33AE8">
        <w:rPr>
          <w:rStyle w:val="FootnoteReference"/>
        </w:rPr>
        <w:footnoteRef/>
      </w:r>
      <w:r w:rsidRPr="00A33AE8">
        <w:t xml:space="preserve"> Energy Community Secretariat, “Electricity Interconnection Targets in the Energy Community Contracting Parties”, Feb. 2021</w:t>
      </w:r>
    </w:p>
  </w:footnote>
  <w:footnote w:id="129">
    <w:p w14:paraId="2EC912CA" w14:textId="77777777" w:rsidR="00750F3D" w:rsidRPr="00A33AE8" w:rsidRDefault="00750F3D" w:rsidP="003E6E3E">
      <w:pPr>
        <w:pStyle w:val="FootnoteText"/>
      </w:pPr>
      <w:r w:rsidRPr="00A33AE8">
        <w:rPr>
          <w:rStyle w:val="FootnoteReference"/>
        </w:rPr>
        <w:footnoteRef/>
      </w:r>
      <w:r w:rsidRPr="00A33AE8">
        <w:t xml:space="preserve"> Source: Ten Year Network Development plan 2021-2030 of the Republic of Serbia</w:t>
      </w:r>
    </w:p>
  </w:footnote>
  <w:footnote w:id="130">
    <w:p w14:paraId="72E2ABEB" w14:textId="77777777" w:rsidR="00750F3D" w:rsidRPr="000007D2" w:rsidRDefault="00750F3D" w:rsidP="007C790C">
      <w:pPr>
        <w:pStyle w:val="FootnoteText"/>
      </w:pPr>
      <w:r w:rsidRPr="00A33AE8">
        <w:rPr>
          <w:rStyle w:val="FootnoteReference"/>
        </w:rPr>
        <w:footnoteRef/>
      </w:r>
      <w:r w:rsidRPr="00A33AE8">
        <w:t xml:space="preserve"> “</w:t>
      </w:r>
      <w:r w:rsidRPr="00A33AE8">
        <w:rPr>
          <w:rFonts w:asciiTheme="majorHAnsi" w:hAnsiTheme="majorHAnsi" w:cstheme="majorHAnsi"/>
        </w:rPr>
        <w:t xml:space="preserve">Elektromreza Srbije”, transmission system operator of Serbia, </w:t>
      </w:r>
      <w:bookmarkStart w:id="364" w:name="_Hlk134012585"/>
      <w:r w:rsidRPr="00A33AE8">
        <w:rPr>
          <w:rFonts w:asciiTheme="majorHAnsi" w:hAnsiTheme="majorHAnsi" w:cstheme="majorHAnsi"/>
        </w:rPr>
        <w:t xml:space="preserve">website: </w:t>
      </w:r>
      <w:r w:rsidRPr="00FB7E28">
        <w:rPr>
          <w:rFonts w:asciiTheme="majorHAnsi" w:hAnsiTheme="majorHAnsi" w:cstheme="majorHAnsi"/>
        </w:rPr>
        <w:t>https://ems.rs/en/organisation-3/</w:t>
      </w:r>
      <w:bookmarkEnd w:id="364"/>
    </w:p>
  </w:footnote>
  <w:footnote w:id="131">
    <w:p w14:paraId="7CEA3CB8" w14:textId="77777777" w:rsidR="00750F3D" w:rsidRPr="00A33AE8" w:rsidRDefault="00750F3D">
      <w:pPr>
        <w:pStyle w:val="FootnoteText"/>
      </w:pPr>
      <w:r w:rsidRPr="00A33AE8">
        <w:rPr>
          <w:rStyle w:val="FootnoteReference"/>
        </w:rPr>
        <w:footnoteRef/>
      </w:r>
      <w:r w:rsidRPr="00A33AE8">
        <w:t xml:space="preserve"> </w:t>
      </w:r>
      <w:r w:rsidRPr="000007D2">
        <w:t xml:space="preserve">2020 Energy Agency </w:t>
      </w:r>
      <w:r w:rsidRPr="00A33AE8">
        <w:t>Annual Report, Belgrade, May 2021 (website: https://www.aers.rs/Index.asp?l=2&amp;a=53)</w:t>
      </w:r>
    </w:p>
  </w:footnote>
  <w:footnote w:id="132">
    <w:p w14:paraId="412863D7" w14:textId="77777777" w:rsidR="00750F3D" w:rsidRPr="00A33AE8" w:rsidRDefault="00750F3D" w:rsidP="00F774FA">
      <w:pPr>
        <w:pStyle w:val="FootnoteText"/>
      </w:pPr>
      <w:r w:rsidRPr="00A33AE8">
        <w:rPr>
          <w:rStyle w:val="FootnoteReference"/>
        </w:rPr>
        <w:footnoteRef/>
      </w:r>
      <w:r w:rsidRPr="00A33AE8">
        <w:rPr>
          <w:rFonts w:asciiTheme="majorHAnsi" w:hAnsiTheme="majorHAnsi" w:cstheme="majorHAnsi"/>
        </w:rPr>
        <w:t>Official Gazette of RS, No. 45/23</w:t>
      </w:r>
    </w:p>
  </w:footnote>
  <w:footnote w:id="133">
    <w:p w14:paraId="458B18D4" w14:textId="77777777" w:rsidR="00750F3D" w:rsidRPr="00A33AE8" w:rsidRDefault="00750F3D" w:rsidP="00F774FA">
      <w:pPr>
        <w:pStyle w:val="FootnoteText"/>
        <w:rPr>
          <w:rFonts w:asciiTheme="majorHAnsi" w:hAnsiTheme="majorHAnsi" w:cstheme="majorHAnsi"/>
        </w:rPr>
      </w:pPr>
      <w:r w:rsidRPr="00A33AE8">
        <w:rPr>
          <w:rStyle w:val="FootnoteReference"/>
          <w:rFonts w:asciiTheme="majorHAnsi" w:hAnsiTheme="majorHAnsi" w:cstheme="majorHAnsi"/>
        </w:rPr>
        <w:footnoteRef/>
      </w:r>
      <w:r w:rsidRPr="00A33AE8">
        <w:rPr>
          <w:rFonts w:asciiTheme="majorHAnsi" w:hAnsiTheme="majorHAnsi" w:cstheme="majorHAnsi"/>
        </w:rPr>
        <w:t xml:space="preserve">Official Gazette of RS, no. </w:t>
      </w:r>
      <w:r w:rsidRPr="000007D2">
        <w:rPr>
          <w:rFonts w:asciiTheme="majorHAnsi" w:hAnsiTheme="majorHAnsi" w:cstheme="majorHAnsi"/>
        </w:rPr>
        <w:t>18</w:t>
      </w:r>
      <w:r w:rsidRPr="00A33AE8">
        <w:rPr>
          <w:rFonts w:asciiTheme="majorHAnsi" w:hAnsiTheme="majorHAnsi" w:cstheme="majorHAnsi"/>
        </w:rPr>
        <w:t>/2</w:t>
      </w:r>
      <w:r w:rsidRPr="000007D2">
        <w:rPr>
          <w:rFonts w:asciiTheme="majorHAnsi" w:hAnsiTheme="majorHAnsi" w:cstheme="majorHAnsi"/>
        </w:rPr>
        <w:t>3</w:t>
      </w:r>
    </w:p>
  </w:footnote>
  <w:footnote w:id="134">
    <w:p w14:paraId="0444622C" w14:textId="77777777" w:rsidR="00750F3D" w:rsidRPr="000007D2" w:rsidRDefault="00750F3D" w:rsidP="00DB72D3">
      <w:pPr>
        <w:pStyle w:val="FootnoteText"/>
        <w:rPr>
          <w:rFonts w:asciiTheme="minorHAnsi" w:hAnsiTheme="minorHAnsi" w:cstheme="minorHAnsi"/>
        </w:rPr>
      </w:pPr>
      <w:r w:rsidRPr="00A33AE8">
        <w:rPr>
          <w:rStyle w:val="FootnoteReference"/>
        </w:rPr>
        <w:footnoteRef/>
      </w:r>
      <w:r w:rsidRPr="00A33AE8">
        <w:t xml:space="preserve"> </w:t>
      </w:r>
      <w:r w:rsidRPr="000007D2">
        <w:rPr>
          <w:rFonts w:asciiTheme="minorHAnsi" w:hAnsiTheme="minorHAnsi" w:cstheme="minorHAnsi"/>
        </w:rPr>
        <w:t>Final energy intensity is the final energy consumption at a specific branch/variable per unit of activity level.</w:t>
      </w:r>
    </w:p>
  </w:footnote>
  <w:footnote w:id="135">
    <w:p w14:paraId="4E76EDB4" w14:textId="77777777" w:rsidR="00750F3D" w:rsidRPr="00A06060" w:rsidRDefault="00750F3D" w:rsidP="003B6BD2">
      <w:pPr>
        <w:pStyle w:val="FootnoteText"/>
      </w:pPr>
      <w:r>
        <w:rPr>
          <w:rStyle w:val="FootnoteReference"/>
        </w:rPr>
        <w:footnoteRef/>
      </w:r>
      <w:r>
        <w:t xml:space="preserve"> </w:t>
      </w:r>
      <w:r w:rsidRPr="00A06060">
        <w:t>https://episcope.eu/building-typology/country/rs/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F210C" w14:textId="77777777" w:rsidR="00750F3D" w:rsidRPr="00A33AE8" w:rsidRDefault="00750F3D" w:rsidP="00AF20A4">
    <w:pPr>
      <w:pStyle w:val="Header"/>
    </w:pPr>
  </w:p>
  <w:p w14:paraId="1303EA8C" w14:textId="77777777" w:rsidR="00750F3D" w:rsidRPr="00A33AE8" w:rsidRDefault="00750F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8C4"/>
    <w:multiLevelType w:val="multilevel"/>
    <w:tmpl w:val="647668B6"/>
    <w:lvl w:ilvl="0">
      <w:start w:val="1"/>
      <w:numFmt w:val="bullet"/>
      <w:lvlText w:val="▪"/>
      <w:lvlJc w:val="left"/>
      <w:pPr>
        <w:ind w:left="360" w:hanging="360"/>
      </w:pPr>
      <w:rPr>
        <w:rFonts w:ascii="Noto Sans Symbols" w:eastAsia="Noto Sans Symbols" w:hAnsi="Noto Sans Symbols" w:cs="Noto Sans Symbols"/>
        <w:color w:val="00206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457B4F"/>
    <w:multiLevelType w:val="hybridMultilevel"/>
    <w:tmpl w:val="97A4D72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4637E1"/>
    <w:multiLevelType w:val="hybridMultilevel"/>
    <w:tmpl w:val="F2C40D5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770FDE"/>
    <w:multiLevelType w:val="hybridMultilevel"/>
    <w:tmpl w:val="18640B5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8F11BB"/>
    <w:multiLevelType w:val="hybridMultilevel"/>
    <w:tmpl w:val="CF00D1D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A72DF9"/>
    <w:multiLevelType w:val="hybridMultilevel"/>
    <w:tmpl w:val="BB46FB8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0EE4B78"/>
    <w:multiLevelType w:val="hybridMultilevel"/>
    <w:tmpl w:val="0BA652F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9A25B7"/>
    <w:multiLevelType w:val="hybridMultilevel"/>
    <w:tmpl w:val="446062E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B35C83"/>
    <w:multiLevelType w:val="hybridMultilevel"/>
    <w:tmpl w:val="D78E0AB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B3627A"/>
    <w:multiLevelType w:val="hybridMultilevel"/>
    <w:tmpl w:val="71C0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E00B59"/>
    <w:multiLevelType w:val="hybridMultilevel"/>
    <w:tmpl w:val="34A401E8"/>
    <w:lvl w:ilvl="0" w:tplc="749029F6">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15:restartNumberingAfterBreak="0">
    <w:nsid w:val="0219228C"/>
    <w:multiLevelType w:val="hybridMultilevel"/>
    <w:tmpl w:val="3BC4173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B052F4"/>
    <w:multiLevelType w:val="hybridMultilevel"/>
    <w:tmpl w:val="7B12F450"/>
    <w:lvl w:ilvl="0" w:tplc="FB429D48">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C57133"/>
    <w:multiLevelType w:val="hybridMultilevel"/>
    <w:tmpl w:val="F47012F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2C41C8"/>
    <w:multiLevelType w:val="hybridMultilevel"/>
    <w:tmpl w:val="CC2A15E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8C2A51"/>
    <w:multiLevelType w:val="multilevel"/>
    <w:tmpl w:val="609E04FE"/>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499076F"/>
    <w:multiLevelType w:val="hybridMultilevel"/>
    <w:tmpl w:val="83B2D650"/>
    <w:lvl w:ilvl="0" w:tplc="F348A3A6">
      <w:start w:val="1"/>
      <w:numFmt w:val="lowerRoman"/>
      <w:pStyle w:val="Heading4"/>
      <w:lvlText w:val="%1."/>
      <w:lvlJc w:val="righ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5EC6F9D"/>
    <w:multiLevelType w:val="multilevel"/>
    <w:tmpl w:val="35E4C7F6"/>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6977C7B"/>
    <w:multiLevelType w:val="hybridMultilevel"/>
    <w:tmpl w:val="98AC684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75B573E"/>
    <w:multiLevelType w:val="hybridMultilevel"/>
    <w:tmpl w:val="5C940BB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79753EA"/>
    <w:multiLevelType w:val="multilevel"/>
    <w:tmpl w:val="F2B8189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79C2446"/>
    <w:multiLevelType w:val="hybridMultilevel"/>
    <w:tmpl w:val="6AF4816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7E76BD4"/>
    <w:multiLevelType w:val="hybridMultilevel"/>
    <w:tmpl w:val="C764FCA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7ED3A0F"/>
    <w:multiLevelType w:val="hybridMultilevel"/>
    <w:tmpl w:val="D418415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8AF644D"/>
    <w:multiLevelType w:val="hybridMultilevel"/>
    <w:tmpl w:val="598CA0D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8DE553E"/>
    <w:multiLevelType w:val="hybridMultilevel"/>
    <w:tmpl w:val="76900836"/>
    <w:lvl w:ilvl="0" w:tplc="B480364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460633"/>
    <w:multiLevelType w:val="hybridMultilevel"/>
    <w:tmpl w:val="2124D2B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9B7657F"/>
    <w:multiLevelType w:val="hybridMultilevel"/>
    <w:tmpl w:val="8D36F6E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A550464"/>
    <w:multiLevelType w:val="hybridMultilevel"/>
    <w:tmpl w:val="63DEAE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0A994D90"/>
    <w:multiLevelType w:val="multilevel"/>
    <w:tmpl w:val="13CA9F02"/>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B346DF9"/>
    <w:multiLevelType w:val="hybridMultilevel"/>
    <w:tmpl w:val="052EF19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B370100"/>
    <w:multiLevelType w:val="multilevel"/>
    <w:tmpl w:val="2D5EB81A"/>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C11287C"/>
    <w:multiLevelType w:val="hybridMultilevel"/>
    <w:tmpl w:val="CC00C58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CA964A5"/>
    <w:multiLevelType w:val="hybridMultilevel"/>
    <w:tmpl w:val="CEB469B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D2F7031"/>
    <w:multiLevelType w:val="hybridMultilevel"/>
    <w:tmpl w:val="51626D3C"/>
    <w:lvl w:ilvl="0" w:tplc="25860C96">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D3F637A"/>
    <w:multiLevelType w:val="hybridMultilevel"/>
    <w:tmpl w:val="FB628CF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D645F33"/>
    <w:multiLevelType w:val="hybridMultilevel"/>
    <w:tmpl w:val="EBD636D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E212EEE"/>
    <w:multiLevelType w:val="hybridMultilevel"/>
    <w:tmpl w:val="90E6558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E6D1A88"/>
    <w:multiLevelType w:val="hybridMultilevel"/>
    <w:tmpl w:val="628C280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E8C3D91"/>
    <w:multiLevelType w:val="hybridMultilevel"/>
    <w:tmpl w:val="3AC865E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F8E6D9E"/>
    <w:multiLevelType w:val="hybridMultilevel"/>
    <w:tmpl w:val="274E223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FD514EE"/>
    <w:multiLevelType w:val="hybridMultilevel"/>
    <w:tmpl w:val="289441D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0181373"/>
    <w:multiLevelType w:val="hybridMultilevel"/>
    <w:tmpl w:val="A530D1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0BF1FE8"/>
    <w:multiLevelType w:val="hybridMultilevel"/>
    <w:tmpl w:val="6B16952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1713FBB"/>
    <w:multiLevelType w:val="multilevel"/>
    <w:tmpl w:val="74EE72E0"/>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1FF1CB2"/>
    <w:multiLevelType w:val="hybridMultilevel"/>
    <w:tmpl w:val="2CD08A3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23077F0"/>
    <w:multiLevelType w:val="multilevel"/>
    <w:tmpl w:val="2C3C7D74"/>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2B5567F"/>
    <w:multiLevelType w:val="hybridMultilevel"/>
    <w:tmpl w:val="2FEE2C6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3294CB8"/>
    <w:multiLevelType w:val="multilevel"/>
    <w:tmpl w:val="EA8E1250"/>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390207E"/>
    <w:multiLevelType w:val="hybridMultilevel"/>
    <w:tmpl w:val="820A4DF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3AA1379"/>
    <w:multiLevelType w:val="hybridMultilevel"/>
    <w:tmpl w:val="90E6423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3C8093F"/>
    <w:multiLevelType w:val="multilevel"/>
    <w:tmpl w:val="B6766C14"/>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41639D7"/>
    <w:multiLevelType w:val="hybridMultilevel"/>
    <w:tmpl w:val="6BECA16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49C5795"/>
    <w:multiLevelType w:val="multilevel"/>
    <w:tmpl w:val="4AF06606"/>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5592FEB"/>
    <w:multiLevelType w:val="hybridMultilevel"/>
    <w:tmpl w:val="0378663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73D317F"/>
    <w:multiLevelType w:val="hybridMultilevel"/>
    <w:tmpl w:val="A676A33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77C2C00"/>
    <w:multiLevelType w:val="hybridMultilevel"/>
    <w:tmpl w:val="6EDC6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7F12721"/>
    <w:multiLevelType w:val="hybridMultilevel"/>
    <w:tmpl w:val="C5F4CF1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8192A9F"/>
    <w:multiLevelType w:val="hybridMultilevel"/>
    <w:tmpl w:val="752ECCC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82868D4"/>
    <w:multiLevelType w:val="hybridMultilevel"/>
    <w:tmpl w:val="929E287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83C5931"/>
    <w:multiLevelType w:val="multilevel"/>
    <w:tmpl w:val="DFDE0A68"/>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8B33164"/>
    <w:multiLevelType w:val="hybridMultilevel"/>
    <w:tmpl w:val="1BF6ECB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9A1655F"/>
    <w:multiLevelType w:val="multilevel"/>
    <w:tmpl w:val="5302F6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1A4613BF"/>
    <w:multiLevelType w:val="hybridMultilevel"/>
    <w:tmpl w:val="0ABAEC2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A795A19"/>
    <w:multiLevelType w:val="hybridMultilevel"/>
    <w:tmpl w:val="93D26C0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B153374"/>
    <w:multiLevelType w:val="hybridMultilevel"/>
    <w:tmpl w:val="A9C2114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D3A02BC"/>
    <w:multiLevelType w:val="hybridMultilevel"/>
    <w:tmpl w:val="FCE8F36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D42180E"/>
    <w:multiLevelType w:val="hybridMultilevel"/>
    <w:tmpl w:val="0E78653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E7407FB"/>
    <w:multiLevelType w:val="hybridMultilevel"/>
    <w:tmpl w:val="CA0852E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E985E20"/>
    <w:multiLevelType w:val="hybridMultilevel"/>
    <w:tmpl w:val="6EB22F0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EB24D32"/>
    <w:multiLevelType w:val="hybridMultilevel"/>
    <w:tmpl w:val="7BAE303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EDD3A2E"/>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1EFD7AC6"/>
    <w:multiLevelType w:val="hybridMultilevel"/>
    <w:tmpl w:val="1E7CC5F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1F21643C"/>
    <w:multiLevelType w:val="hybridMultilevel"/>
    <w:tmpl w:val="49DCE84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F385272"/>
    <w:multiLevelType w:val="multilevel"/>
    <w:tmpl w:val="4C42D56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1F6345F1"/>
    <w:multiLevelType w:val="hybridMultilevel"/>
    <w:tmpl w:val="F2FC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002319F"/>
    <w:multiLevelType w:val="multilevel"/>
    <w:tmpl w:val="CF3CDC48"/>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0187DE3"/>
    <w:multiLevelType w:val="hybridMultilevel"/>
    <w:tmpl w:val="10EA2B82"/>
    <w:lvl w:ilvl="0" w:tplc="9966626C">
      <w:start w:val="1"/>
      <w:numFmt w:val="bullet"/>
      <w:pStyle w:val="LDKBullets-main2"/>
      <w:lvlText w:val="-"/>
      <w:lvlJc w:val="left"/>
      <w:pPr>
        <w:tabs>
          <w:tab w:val="num" w:pos="360"/>
        </w:tabs>
        <w:ind w:left="360" w:hanging="360"/>
      </w:pPr>
      <w:rPr>
        <w:rFonts w:ascii="Courier New" w:hAnsi="Courier New" w:hint="default"/>
        <w:b/>
        <w:i w:val="0"/>
        <w:color w:val="365F91"/>
        <w:sz w:val="24"/>
        <w:u w:color="993366"/>
      </w:rPr>
    </w:lvl>
    <w:lvl w:ilvl="1" w:tplc="04080003">
      <w:start w:val="1"/>
      <w:numFmt w:val="bullet"/>
      <w:lvlText w:val="o"/>
      <w:lvlJc w:val="left"/>
      <w:pPr>
        <w:tabs>
          <w:tab w:val="num" w:pos="1490"/>
        </w:tabs>
        <w:ind w:left="1490" w:hanging="360"/>
      </w:pPr>
      <w:rPr>
        <w:rFonts w:ascii="Courier New" w:hAnsi="Courier New" w:cs="Courier New" w:hint="default"/>
      </w:rPr>
    </w:lvl>
    <w:lvl w:ilvl="2" w:tplc="04080005" w:tentative="1">
      <w:start w:val="1"/>
      <w:numFmt w:val="bullet"/>
      <w:lvlText w:val=""/>
      <w:lvlJc w:val="left"/>
      <w:pPr>
        <w:tabs>
          <w:tab w:val="num" w:pos="2210"/>
        </w:tabs>
        <w:ind w:left="2210" w:hanging="360"/>
      </w:pPr>
      <w:rPr>
        <w:rFonts w:ascii="Wingdings" w:hAnsi="Wingdings" w:hint="default"/>
      </w:rPr>
    </w:lvl>
    <w:lvl w:ilvl="3" w:tplc="04080001" w:tentative="1">
      <w:start w:val="1"/>
      <w:numFmt w:val="bullet"/>
      <w:lvlText w:val=""/>
      <w:lvlJc w:val="left"/>
      <w:pPr>
        <w:tabs>
          <w:tab w:val="num" w:pos="2930"/>
        </w:tabs>
        <w:ind w:left="2930" w:hanging="360"/>
      </w:pPr>
      <w:rPr>
        <w:rFonts w:ascii="Symbol" w:hAnsi="Symbol" w:hint="default"/>
      </w:rPr>
    </w:lvl>
    <w:lvl w:ilvl="4" w:tplc="04080003" w:tentative="1">
      <w:start w:val="1"/>
      <w:numFmt w:val="bullet"/>
      <w:lvlText w:val="o"/>
      <w:lvlJc w:val="left"/>
      <w:pPr>
        <w:tabs>
          <w:tab w:val="num" w:pos="3650"/>
        </w:tabs>
        <w:ind w:left="3650" w:hanging="360"/>
      </w:pPr>
      <w:rPr>
        <w:rFonts w:ascii="Courier New" w:hAnsi="Courier New" w:cs="Courier New" w:hint="default"/>
      </w:rPr>
    </w:lvl>
    <w:lvl w:ilvl="5" w:tplc="04080005" w:tentative="1">
      <w:start w:val="1"/>
      <w:numFmt w:val="bullet"/>
      <w:lvlText w:val=""/>
      <w:lvlJc w:val="left"/>
      <w:pPr>
        <w:tabs>
          <w:tab w:val="num" w:pos="4370"/>
        </w:tabs>
        <w:ind w:left="4370" w:hanging="360"/>
      </w:pPr>
      <w:rPr>
        <w:rFonts w:ascii="Wingdings" w:hAnsi="Wingdings" w:hint="default"/>
      </w:rPr>
    </w:lvl>
    <w:lvl w:ilvl="6" w:tplc="04080001" w:tentative="1">
      <w:start w:val="1"/>
      <w:numFmt w:val="bullet"/>
      <w:lvlText w:val=""/>
      <w:lvlJc w:val="left"/>
      <w:pPr>
        <w:tabs>
          <w:tab w:val="num" w:pos="5090"/>
        </w:tabs>
        <w:ind w:left="5090" w:hanging="360"/>
      </w:pPr>
      <w:rPr>
        <w:rFonts w:ascii="Symbol" w:hAnsi="Symbol" w:hint="default"/>
      </w:rPr>
    </w:lvl>
    <w:lvl w:ilvl="7" w:tplc="04080003" w:tentative="1">
      <w:start w:val="1"/>
      <w:numFmt w:val="bullet"/>
      <w:lvlText w:val="o"/>
      <w:lvlJc w:val="left"/>
      <w:pPr>
        <w:tabs>
          <w:tab w:val="num" w:pos="5810"/>
        </w:tabs>
        <w:ind w:left="5810" w:hanging="360"/>
      </w:pPr>
      <w:rPr>
        <w:rFonts w:ascii="Courier New" w:hAnsi="Courier New" w:cs="Courier New" w:hint="default"/>
      </w:rPr>
    </w:lvl>
    <w:lvl w:ilvl="8" w:tplc="04080005" w:tentative="1">
      <w:start w:val="1"/>
      <w:numFmt w:val="bullet"/>
      <w:lvlText w:val=""/>
      <w:lvlJc w:val="left"/>
      <w:pPr>
        <w:tabs>
          <w:tab w:val="num" w:pos="6530"/>
        </w:tabs>
        <w:ind w:left="6530" w:hanging="360"/>
      </w:pPr>
      <w:rPr>
        <w:rFonts w:ascii="Wingdings" w:hAnsi="Wingdings" w:hint="default"/>
      </w:rPr>
    </w:lvl>
  </w:abstractNum>
  <w:abstractNum w:abstractNumId="78" w15:restartNumberingAfterBreak="0">
    <w:nsid w:val="201F04E7"/>
    <w:multiLevelType w:val="hybridMultilevel"/>
    <w:tmpl w:val="0D0C083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04F29B4"/>
    <w:multiLevelType w:val="hybridMultilevel"/>
    <w:tmpl w:val="2816391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206758C1"/>
    <w:multiLevelType w:val="hybridMultilevel"/>
    <w:tmpl w:val="4C8AE2C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0EE0F42"/>
    <w:multiLevelType w:val="multilevel"/>
    <w:tmpl w:val="EDDA6808"/>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1533489"/>
    <w:multiLevelType w:val="hybridMultilevel"/>
    <w:tmpl w:val="5FA0132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1573CC0"/>
    <w:multiLevelType w:val="hybridMultilevel"/>
    <w:tmpl w:val="8B0A67E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19F05A4"/>
    <w:multiLevelType w:val="hybridMultilevel"/>
    <w:tmpl w:val="0C36F98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22771FA"/>
    <w:multiLevelType w:val="hybridMultilevel"/>
    <w:tmpl w:val="A81A5B7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2391336"/>
    <w:multiLevelType w:val="hybridMultilevel"/>
    <w:tmpl w:val="5C2EAC3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2815CC3"/>
    <w:multiLevelType w:val="hybridMultilevel"/>
    <w:tmpl w:val="EF507D2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2AB441B"/>
    <w:multiLevelType w:val="multilevel"/>
    <w:tmpl w:val="E6A83858"/>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22B112A2"/>
    <w:multiLevelType w:val="hybridMultilevel"/>
    <w:tmpl w:val="25B628E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2B352F7"/>
    <w:multiLevelType w:val="hybridMultilevel"/>
    <w:tmpl w:val="76E0FD0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2C75B2F"/>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23482FD3"/>
    <w:multiLevelType w:val="hybridMultilevel"/>
    <w:tmpl w:val="EECA80D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37C7E82"/>
    <w:multiLevelType w:val="hybridMultilevel"/>
    <w:tmpl w:val="51626D3C"/>
    <w:lvl w:ilvl="0" w:tplc="25860C96">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23884739"/>
    <w:multiLevelType w:val="hybridMultilevel"/>
    <w:tmpl w:val="247AB49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46A1CA3"/>
    <w:multiLevelType w:val="hybridMultilevel"/>
    <w:tmpl w:val="913882E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4C30912"/>
    <w:multiLevelType w:val="hybridMultilevel"/>
    <w:tmpl w:val="5E788EE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509042C"/>
    <w:multiLevelType w:val="hybridMultilevel"/>
    <w:tmpl w:val="5CD00CB6"/>
    <w:lvl w:ilvl="0" w:tplc="07AA58A6">
      <w:start w:val="1"/>
      <w:numFmt w:val="bullet"/>
      <w:pStyle w:val="LDKTableBullets2"/>
      <w:lvlText w:val="►"/>
      <w:lvlJc w:val="left"/>
      <w:pPr>
        <w:ind w:left="933" w:hanging="360"/>
      </w:pPr>
      <w:rPr>
        <w:rFonts w:ascii="Arial Narrow" w:hAnsi="Arial Narrow" w:cs="Times New Roman" w:hint="default"/>
        <w:b/>
        <w:i w:val="0"/>
        <w:color w:val="7030A0"/>
        <w:sz w:val="14"/>
        <w:u w:color="993366"/>
      </w:rPr>
    </w:lvl>
    <w:lvl w:ilvl="1" w:tplc="04080003" w:tentative="1">
      <w:start w:val="1"/>
      <w:numFmt w:val="bullet"/>
      <w:lvlText w:val="o"/>
      <w:lvlJc w:val="left"/>
      <w:pPr>
        <w:ind w:left="1653" w:hanging="360"/>
      </w:pPr>
      <w:rPr>
        <w:rFonts w:ascii="Courier New" w:hAnsi="Courier New" w:cs="Courier New" w:hint="default"/>
      </w:rPr>
    </w:lvl>
    <w:lvl w:ilvl="2" w:tplc="04080005" w:tentative="1">
      <w:start w:val="1"/>
      <w:numFmt w:val="bullet"/>
      <w:lvlText w:val=""/>
      <w:lvlJc w:val="left"/>
      <w:pPr>
        <w:ind w:left="2373" w:hanging="360"/>
      </w:pPr>
      <w:rPr>
        <w:rFonts w:ascii="Wingdings" w:hAnsi="Wingdings" w:hint="default"/>
      </w:rPr>
    </w:lvl>
    <w:lvl w:ilvl="3" w:tplc="04080001" w:tentative="1">
      <w:start w:val="1"/>
      <w:numFmt w:val="bullet"/>
      <w:lvlText w:val=""/>
      <w:lvlJc w:val="left"/>
      <w:pPr>
        <w:ind w:left="3093" w:hanging="360"/>
      </w:pPr>
      <w:rPr>
        <w:rFonts w:ascii="Symbol" w:hAnsi="Symbol" w:hint="default"/>
      </w:rPr>
    </w:lvl>
    <w:lvl w:ilvl="4" w:tplc="04080003" w:tentative="1">
      <w:start w:val="1"/>
      <w:numFmt w:val="bullet"/>
      <w:lvlText w:val="o"/>
      <w:lvlJc w:val="left"/>
      <w:pPr>
        <w:ind w:left="3813" w:hanging="360"/>
      </w:pPr>
      <w:rPr>
        <w:rFonts w:ascii="Courier New" w:hAnsi="Courier New" w:cs="Courier New" w:hint="default"/>
      </w:rPr>
    </w:lvl>
    <w:lvl w:ilvl="5" w:tplc="04080005" w:tentative="1">
      <w:start w:val="1"/>
      <w:numFmt w:val="bullet"/>
      <w:lvlText w:val=""/>
      <w:lvlJc w:val="left"/>
      <w:pPr>
        <w:ind w:left="4533" w:hanging="360"/>
      </w:pPr>
      <w:rPr>
        <w:rFonts w:ascii="Wingdings" w:hAnsi="Wingdings" w:hint="default"/>
      </w:rPr>
    </w:lvl>
    <w:lvl w:ilvl="6" w:tplc="04080001" w:tentative="1">
      <w:start w:val="1"/>
      <w:numFmt w:val="bullet"/>
      <w:lvlText w:val=""/>
      <w:lvlJc w:val="left"/>
      <w:pPr>
        <w:ind w:left="5253" w:hanging="360"/>
      </w:pPr>
      <w:rPr>
        <w:rFonts w:ascii="Symbol" w:hAnsi="Symbol" w:hint="default"/>
      </w:rPr>
    </w:lvl>
    <w:lvl w:ilvl="7" w:tplc="04080003" w:tentative="1">
      <w:start w:val="1"/>
      <w:numFmt w:val="bullet"/>
      <w:lvlText w:val="o"/>
      <w:lvlJc w:val="left"/>
      <w:pPr>
        <w:ind w:left="5973" w:hanging="360"/>
      </w:pPr>
      <w:rPr>
        <w:rFonts w:ascii="Courier New" w:hAnsi="Courier New" w:cs="Courier New" w:hint="default"/>
      </w:rPr>
    </w:lvl>
    <w:lvl w:ilvl="8" w:tplc="04080005" w:tentative="1">
      <w:start w:val="1"/>
      <w:numFmt w:val="bullet"/>
      <w:lvlText w:val=""/>
      <w:lvlJc w:val="left"/>
      <w:pPr>
        <w:ind w:left="6693" w:hanging="360"/>
      </w:pPr>
      <w:rPr>
        <w:rFonts w:ascii="Wingdings" w:hAnsi="Wingdings" w:hint="default"/>
      </w:rPr>
    </w:lvl>
  </w:abstractNum>
  <w:abstractNum w:abstractNumId="98" w15:restartNumberingAfterBreak="0">
    <w:nsid w:val="251558A2"/>
    <w:multiLevelType w:val="multilevel"/>
    <w:tmpl w:val="097AD1A2"/>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25253DFB"/>
    <w:multiLevelType w:val="hybridMultilevel"/>
    <w:tmpl w:val="18885F6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5351E13"/>
    <w:multiLevelType w:val="multilevel"/>
    <w:tmpl w:val="E5DE312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25D465E8"/>
    <w:multiLevelType w:val="hybridMultilevel"/>
    <w:tmpl w:val="A9CC7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26751346"/>
    <w:multiLevelType w:val="hybridMultilevel"/>
    <w:tmpl w:val="6590A64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6ED7BB4"/>
    <w:multiLevelType w:val="hybridMultilevel"/>
    <w:tmpl w:val="48321C74"/>
    <w:lvl w:ilvl="0" w:tplc="FB429D48">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7CA2801"/>
    <w:multiLevelType w:val="hybridMultilevel"/>
    <w:tmpl w:val="BF081D9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8516AED"/>
    <w:multiLevelType w:val="hybridMultilevel"/>
    <w:tmpl w:val="8FC889E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8F737DF"/>
    <w:multiLevelType w:val="multilevel"/>
    <w:tmpl w:val="255C943E"/>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29F73564"/>
    <w:multiLevelType w:val="hybridMultilevel"/>
    <w:tmpl w:val="84D088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9FD0052"/>
    <w:multiLevelType w:val="hybridMultilevel"/>
    <w:tmpl w:val="D6FE6B4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AC622A9"/>
    <w:multiLevelType w:val="hybridMultilevel"/>
    <w:tmpl w:val="1C66D3E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B89607F"/>
    <w:multiLevelType w:val="hybridMultilevel"/>
    <w:tmpl w:val="536CC6E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BFB7A7F"/>
    <w:multiLevelType w:val="hybridMultilevel"/>
    <w:tmpl w:val="5826031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C737AF6"/>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2D1C4908"/>
    <w:multiLevelType w:val="hybridMultilevel"/>
    <w:tmpl w:val="D93EA17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D665040"/>
    <w:multiLevelType w:val="hybridMultilevel"/>
    <w:tmpl w:val="C8B68BF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D74080E"/>
    <w:multiLevelType w:val="hybridMultilevel"/>
    <w:tmpl w:val="4C36467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DA605ED"/>
    <w:multiLevelType w:val="hybridMultilevel"/>
    <w:tmpl w:val="09F4525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2E454A90"/>
    <w:multiLevelType w:val="multilevel"/>
    <w:tmpl w:val="7F42997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2EB6490C"/>
    <w:multiLevelType w:val="hybridMultilevel"/>
    <w:tmpl w:val="42B8F29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F231EED"/>
    <w:multiLevelType w:val="multilevel"/>
    <w:tmpl w:val="3B9ACC0E"/>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2FB57385"/>
    <w:multiLevelType w:val="hybridMultilevel"/>
    <w:tmpl w:val="1BCEEC5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305A218F"/>
    <w:multiLevelType w:val="multilevel"/>
    <w:tmpl w:val="3D704474"/>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08D41DB"/>
    <w:multiLevelType w:val="hybridMultilevel"/>
    <w:tmpl w:val="792E751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1221111"/>
    <w:multiLevelType w:val="hybridMultilevel"/>
    <w:tmpl w:val="98B6F496"/>
    <w:lvl w:ilvl="0" w:tplc="0408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312A466C"/>
    <w:multiLevelType w:val="hybridMultilevel"/>
    <w:tmpl w:val="8C3431BE"/>
    <w:lvl w:ilvl="0" w:tplc="5CE4ED2C">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1820F94"/>
    <w:multiLevelType w:val="hybridMultilevel"/>
    <w:tmpl w:val="9E801F0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2EA73C1"/>
    <w:multiLevelType w:val="hybridMultilevel"/>
    <w:tmpl w:val="1D7ECC4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42B0E30"/>
    <w:multiLevelType w:val="hybridMultilevel"/>
    <w:tmpl w:val="19BCA45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4931638"/>
    <w:multiLevelType w:val="hybridMultilevel"/>
    <w:tmpl w:val="31BA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4D62B47"/>
    <w:multiLevelType w:val="hybridMultilevel"/>
    <w:tmpl w:val="483EEA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35007B0D"/>
    <w:multiLevelType w:val="hybridMultilevel"/>
    <w:tmpl w:val="443E8B7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5523CB4"/>
    <w:multiLevelType w:val="hybridMultilevel"/>
    <w:tmpl w:val="4F64023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6F16DE2"/>
    <w:multiLevelType w:val="hybridMultilevel"/>
    <w:tmpl w:val="A4D4FBA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72B1979"/>
    <w:multiLevelType w:val="hybridMultilevel"/>
    <w:tmpl w:val="0FD4BC4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457E6F"/>
    <w:multiLevelType w:val="hybridMultilevel"/>
    <w:tmpl w:val="748A6C6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7D47F7E"/>
    <w:multiLevelType w:val="hybridMultilevel"/>
    <w:tmpl w:val="CBBC858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7D94E6D"/>
    <w:multiLevelType w:val="hybridMultilevel"/>
    <w:tmpl w:val="CB2863D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81E23F5"/>
    <w:multiLevelType w:val="hybridMultilevel"/>
    <w:tmpl w:val="D53C1BC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93A31E1"/>
    <w:multiLevelType w:val="hybridMultilevel"/>
    <w:tmpl w:val="6CC2C5A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9651CC3"/>
    <w:multiLevelType w:val="hybridMultilevel"/>
    <w:tmpl w:val="5C56C86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9801E1D"/>
    <w:multiLevelType w:val="hybridMultilevel"/>
    <w:tmpl w:val="D9FC474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98D1999"/>
    <w:multiLevelType w:val="hybridMultilevel"/>
    <w:tmpl w:val="8F16BFE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39E37345"/>
    <w:multiLevelType w:val="hybridMultilevel"/>
    <w:tmpl w:val="FEF80BA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A852D61"/>
    <w:multiLevelType w:val="hybridMultilevel"/>
    <w:tmpl w:val="E05CE80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B5E3569"/>
    <w:multiLevelType w:val="hybridMultilevel"/>
    <w:tmpl w:val="5E984F2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B9C1856"/>
    <w:multiLevelType w:val="hybridMultilevel"/>
    <w:tmpl w:val="A86A5F7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3BDC1EBB"/>
    <w:multiLevelType w:val="hybridMultilevel"/>
    <w:tmpl w:val="527A855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C997176"/>
    <w:multiLevelType w:val="hybridMultilevel"/>
    <w:tmpl w:val="1B9479B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3CB0747C"/>
    <w:multiLevelType w:val="hybridMultilevel"/>
    <w:tmpl w:val="29889C0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D645DEC"/>
    <w:multiLevelType w:val="hybridMultilevel"/>
    <w:tmpl w:val="F5FC579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3D91135F"/>
    <w:multiLevelType w:val="hybridMultilevel"/>
    <w:tmpl w:val="8C229A1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3DE94CE5"/>
    <w:multiLevelType w:val="hybridMultilevel"/>
    <w:tmpl w:val="42A2B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E144406"/>
    <w:multiLevelType w:val="hybridMultilevel"/>
    <w:tmpl w:val="C236231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3E7E166F"/>
    <w:multiLevelType w:val="hybridMultilevel"/>
    <w:tmpl w:val="8D3828A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E8816F1"/>
    <w:multiLevelType w:val="hybridMultilevel"/>
    <w:tmpl w:val="92DEBFE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3EAE4BE2"/>
    <w:multiLevelType w:val="hybridMultilevel"/>
    <w:tmpl w:val="A5EE364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3EC43617"/>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15:restartNumberingAfterBreak="0">
    <w:nsid w:val="3EC96C19"/>
    <w:multiLevelType w:val="multilevel"/>
    <w:tmpl w:val="87762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3ED65205"/>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15:restartNumberingAfterBreak="0">
    <w:nsid w:val="3F766526"/>
    <w:multiLevelType w:val="hybridMultilevel"/>
    <w:tmpl w:val="6A58227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3FE0417B"/>
    <w:multiLevelType w:val="hybridMultilevel"/>
    <w:tmpl w:val="4134B6F2"/>
    <w:lvl w:ilvl="0" w:tplc="FF864340">
      <w:start w:val="1"/>
      <w:numFmt w:val="lowerLetter"/>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3FE205A9"/>
    <w:multiLevelType w:val="hybridMultilevel"/>
    <w:tmpl w:val="A14C5322"/>
    <w:lvl w:ilvl="0" w:tplc="FB429D48">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0954A84"/>
    <w:multiLevelType w:val="hybridMultilevel"/>
    <w:tmpl w:val="F2C404DE"/>
    <w:lvl w:ilvl="0" w:tplc="B480364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0DE4180"/>
    <w:multiLevelType w:val="hybridMultilevel"/>
    <w:tmpl w:val="2D64D01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1202026"/>
    <w:multiLevelType w:val="hybridMultilevel"/>
    <w:tmpl w:val="20EED56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1341F93"/>
    <w:multiLevelType w:val="hybridMultilevel"/>
    <w:tmpl w:val="0A48AD1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16B772F"/>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15:restartNumberingAfterBreak="0">
    <w:nsid w:val="42410C4D"/>
    <w:multiLevelType w:val="hybridMultilevel"/>
    <w:tmpl w:val="EA30CC1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2C65DDC"/>
    <w:multiLevelType w:val="multilevel"/>
    <w:tmpl w:val="2CA88B8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43443D18"/>
    <w:multiLevelType w:val="hybridMultilevel"/>
    <w:tmpl w:val="14069ED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3D748C4"/>
    <w:multiLevelType w:val="multilevel"/>
    <w:tmpl w:val="7834E996"/>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444F546F"/>
    <w:multiLevelType w:val="hybridMultilevel"/>
    <w:tmpl w:val="F230B01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4C169EE"/>
    <w:multiLevelType w:val="hybridMultilevel"/>
    <w:tmpl w:val="F50C850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4EE1D90"/>
    <w:multiLevelType w:val="singleLevel"/>
    <w:tmpl w:val="CAB4F21C"/>
    <w:lvl w:ilvl="0">
      <w:start w:val="1"/>
      <w:numFmt w:val="bullet"/>
      <w:pStyle w:val="LDKBullets-main"/>
      <w:lvlText w:val=""/>
      <w:lvlJc w:val="left"/>
      <w:pPr>
        <w:tabs>
          <w:tab w:val="num" w:pos="360"/>
        </w:tabs>
        <w:ind w:left="360" w:hanging="360"/>
      </w:pPr>
      <w:rPr>
        <w:rFonts w:ascii="Wingdings" w:hAnsi="Wingdings" w:cs="Wingdings" w:hint="default"/>
        <w:color w:val="002060"/>
        <w:sz w:val="28"/>
      </w:rPr>
    </w:lvl>
  </w:abstractNum>
  <w:abstractNum w:abstractNumId="174" w15:restartNumberingAfterBreak="0">
    <w:nsid w:val="44F4073F"/>
    <w:multiLevelType w:val="hybridMultilevel"/>
    <w:tmpl w:val="EAD2230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5047D2E"/>
    <w:multiLevelType w:val="hybridMultilevel"/>
    <w:tmpl w:val="2280CC6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5550D24"/>
    <w:multiLevelType w:val="hybridMultilevel"/>
    <w:tmpl w:val="C0F888F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4596433B"/>
    <w:multiLevelType w:val="hybridMultilevel"/>
    <w:tmpl w:val="DDFA5C68"/>
    <w:lvl w:ilvl="0" w:tplc="7E760458">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45C71911"/>
    <w:multiLevelType w:val="multilevel"/>
    <w:tmpl w:val="BA549F96"/>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45CB2EDF"/>
    <w:multiLevelType w:val="hybridMultilevel"/>
    <w:tmpl w:val="DECCD5A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67C5476"/>
    <w:multiLevelType w:val="multilevel"/>
    <w:tmpl w:val="19C4B238"/>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471B1254"/>
    <w:multiLevelType w:val="hybridMultilevel"/>
    <w:tmpl w:val="891A3F5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47B9418D"/>
    <w:multiLevelType w:val="hybridMultilevel"/>
    <w:tmpl w:val="294CA3C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7F7033F"/>
    <w:multiLevelType w:val="hybridMultilevel"/>
    <w:tmpl w:val="F9002D6C"/>
    <w:lvl w:ilvl="0" w:tplc="286AB5CC">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4" w15:restartNumberingAfterBreak="0">
    <w:nsid w:val="484B25B7"/>
    <w:multiLevelType w:val="hybridMultilevel"/>
    <w:tmpl w:val="D5B2CB1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4913277A"/>
    <w:multiLevelType w:val="hybridMultilevel"/>
    <w:tmpl w:val="17660BE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98706A8"/>
    <w:multiLevelType w:val="hybridMultilevel"/>
    <w:tmpl w:val="362CACBA"/>
    <w:lvl w:ilvl="0" w:tplc="0FCC4F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9C54748"/>
    <w:multiLevelType w:val="hybridMultilevel"/>
    <w:tmpl w:val="86980870"/>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A0F74F6"/>
    <w:multiLevelType w:val="multilevel"/>
    <w:tmpl w:val="979A77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15:restartNumberingAfterBreak="0">
    <w:nsid w:val="4A7A6239"/>
    <w:multiLevelType w:val="hybridMultilevel"/>
    <w:tmpl w:val="FB4668F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4A805A67"/>
    <w:multiLevelType w:val="hybridMultilevel"/>
    <w:tmpl w:val="2940F50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A98780A"/>
    <w:multiLevelType w:val="hybridMultilevel"/>
    <w:tmpl w:val="C1D8F7E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ABE1A5A"/>
    <w:multiLevelType w:val="hybridMultilevel"/>
    <w:tmpl w:val="5A12F73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AC1105A"/>
    <w:multiLevelType w:val="hybridMultilevel"/>
    <w:tmpl w:val="DC64A5A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4ADD3AAD"/>
    <w:multiLevelType w:val="multilevel"/>
    <w:tmpl w:val="6D48DF02"/>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4B997AE2"/>
    <w:multiLevelType w:val="hybridMultilevel"/>
    <w:tmpl w:val="E78ED7A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4C07636B"/>
    <w:multiLevelType w:val="hybridMultilevel"/>
    <w:tmpl w:val="B596B8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7" w15:restartNumberingAfterBreak="0">
    <w:nsid w:val="4C3E21EC"/>
    <w:multiLevelType w:val="hybridMultilevel"/>
    <w:tmpl w:val="159C63E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C8006C5"/>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15:restartNumberingAfterBreak="0">
    <w:nsid w:val="4CC61745"/>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4D7B1B98"/>
    <w:multiLevelType w:val="hybridMultilevel"/>
    <w:tmpl w:val="8A9E5A0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DA6134C"/>
    <w:multiLevelType w:val="hybridMultilevel"/>
    <w:tmpl w:val="E5FA234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F151CB9"/>
    <w:multiLevelType w:val="hybridMultilevel"/>
    <w:tmpl w:val="4E742DA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078621E"/>
    <w:multiLevelType w:val="hybridMultilevel"/>
    <w:tmpl w:val="4A5C166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51527686"/>
    <w:multiLevelType w:val="hybridMultilevel"/>
    <w:tmpl w:val="67AC999E"/>
    <w:lvl w:ilvl="0" w:tplc="DFA2FE0C">
      <w:start w:val="1"/>
      <w:numFmt w:val="bullet"/>
      <w:lvlText w:val=""/>
      <w:lvlJc w:val="left"/>
      <w:pPr>
        <w:ind w:left="720" w:hanging="360"/>
      </w:pPr>
      <w:rPr>
        <w:rFonts w:ascii="Wingdings" w:hAnsi="Wingdings" w:hint="default"/>
        <w:color w:val="01406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519D3DD8"/>
    <w:multiLevelType w:val="hybridMultilevel"/>
    <w:tmpl w:val="7520BBA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1C95396"/>
    <w:multiLevelType w:val="hybridMultilevel"/>
    <w:tmpl w:val="C5D0617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1F02388"/>
    <w:multiLevelType w:val="hybridMultilevel"/>
    <w:tmpl w:val="8A7AD74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2345504"/>
    <w:multiLevelType w:val="hybridMultilevel"/>
    <w:tmpl w:val="5566909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27176BC"/>
    <w:multiLevelType w:val="hybridMultilevel"/>
    <w:tmpl w:val="A66636A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27B0E1F"/>
    <w:multiLevelType w:val="hybridMultilevel"/>
    <w:tmpl w:val="C980D76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29E2D08"/>
    <w:multiLevelType w:val="hybridMultilevel"/>
    <w:tmpl w:val="EB663274"/>
    <w:lvl w:ilvl="0" w:tplc="CE7021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31D5677"/>
    <w:multiLevelType w:val="multilevel"/>
    <w:tmpl w:val="A6F463E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533C6193"/>
    <w:multiLevelType w:val="hybridMultilevel"/>
    <w:tmpl w:val="26528AB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3C90D6C"/>
    <w:multiLevelType w:val="hybridMultilevel"/>
    <w:tmpl w:val="46323D8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48A6A4D"/>
    <w:multiLevelType w:val="hybridMultilevel"/>
    <w:tmpl w:val="A682768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54CB4779"/>
    <w:multiLevelType w:val="hybridMultilevel"/>
    <w:tmpl w:val="61B264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7" w15:restartNumberingAfterBreak="0">
    <w:nsid w:val="54F20591"/>
    <w:multiLevelType w:val="hybridMultilevel"/>
    <w:tmpl w:val="700CFCB8"/>
    <w:lvl w:ilvl="0" w:tplc="5CE4ED2C">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5086A20"/>
    <w:multiLevelType w:val="hybridMultilevel"/>
    <w:tmpl w:val="20C225F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51379C9"/>
    <w:multiLevelType w:val="hybridMultilevel"/>
    <w:tmpl w:val="9E1AF04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51975BA"/>
    <w:multiLevelType w:val="hybridMultilevel"/>
    <w:tmpl w:val="F712F2C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552F413B"/>
    <w:multiLevelType w:val="hybridMultilevel"/>
    <w:tmpl w:val="8AD0BDB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56204E14"/>
    <w:multiLevelType w:val="hybridMultilevel"/>
    <w:tmpl w:val="6A1A018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65004E4"/>
    <w:multiLevelType w:val="hybridMultilevel"/>
    <w:tmpl w:val="E63C07D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566414EA"/>
    <w:multiLevelType w:val="multilevel"/>
    <w:tmpl w:val="F5265836"/>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572037B2"/>
    <w:multiLevelType w:val="hybridMultilevel"/>
    <w:tmpl w:val="08DA02D8"/>
    <w:lvl w:ilvl="0" w:tplc="D7E88C76">
      <w:start w:val="1"/>
      <w:numFmt w:val="lowerRoman"/>
      <w:lvlText w:val="%1)"/>
      <w:lvlJc w:val="left"/>
      <w:pPr>
        <w:ind w:left="765" w:hanging="72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26" w15:restartNumberingAfterBreak="0">
    <w:nsid w:val="57385487"/>
    <w:multiLevelType w:val="hybridMultilevel"/>
    <w:tmpl w:val="1DC80B34"/>
    <w:lvl w:ilvl="0" w:tplc="81B812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77F6F56"/>
    <w:multiLevelType w:val="hybridMultilevel"/>
    <w:tmpl w:val="1916E1D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7E37AA9"/>
    <w:multiLevelType w:val="hybridMultilevel"/>
    <w:tmpl w:val="D9D6A780"/>
    <w:lvl w:ilvl="0" w:tplc="7B7A82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81E4DFA"/>
    <w:multiLevelType w:val="hybridMultilevel"/>
    <w:tmpl w:val="4D88E11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58353626"/>
    <w:multiLevelType w:val="hybridMultilevel"/>
    <w:tmpl w:val="F518396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586014D8"/>
    <w:multiLevelType w:val="hybridMultilevel"/>
    <w:tmpl w:val="A016D412"/>
    <w:lvl w:ilvl="0" w:tplc="B480364C">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8AC7523"/>
    <w:multiLevelType w:val="hybridMultilevel"/>
    <w:tmpl w:val="4030E99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15:restartNumberingAfterBreak="0">
    <w:nsid w:val="58B02F00"/>
    <w:multiLevelType w:val="hybridMultilevel"/>
    <w:tmpl w:val="C4209060"/>
    <w:lvl w:ilvl="0" w:tplc="FB429D48">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96A0A9D"/>
    <w:multiLevelType w:val="hybridMultilevel"/>
    <w:tmpl w:val="B1521FC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59747132"/>
    <w:multiLevelType w:val="hybridMultilevel"/>
    <w:tmpl w:val="CE32CB0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9747F08"/>
    <w:multiLevelType w:val="hybridMultilevel"/>
    <w:tmpl w:val="2E5C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59AD7AAB"/>
    <w:multiLevelType w:val="hybridMultilevel"/>
    <w:tmpl w:val="98DE05B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9E14AAD"/>
    <w:multiLevelType w:val="hybridMultilevel"/>
    <w:tmpl w:val="0796892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9EB55B4"/>
    <w:multiLevelType w:val="hybridMultilevel"/>
    <w:tmpl w:val="2FF4EA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0" w15:restartNumberingAfterBreak="0">
    <w:nsid w:val="5A635F05"/>
    <w:multiLevelType w:val="hybridMultilevel"/>
    <w:tmpl w:val="17CE9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5A87332A"/>
    <w:multiLevelType w:val="hybridMultilevel"/>
    <w:tmpl w:val="1A7EAE8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5AAA7743"/>
    <w:multiLevelType w:val="multilevel"/>
    <w:tmpl w:val="BDB44A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3" w15:restartNumberingAfterBreak="0">
    <w:nsid w:val="5AB16F20"/>
    <w:multiLevelType w:val="multilevel"/>
    <w:tmpl w:val="F41C9D3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5AF10D4D"/>
    <w:multiLevelType w:val="hybridMultilevel"/>
    <w:tmpl w:val="E690D63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5B04644B"/>
    <w:multiLevelType w:val="hybridMultilevel"/>
    <w:tmpl w:val="522A86D2"/>
    <w:lvl w:ilvl="0" w:tplc="1FEC2970">
      <w:start w:val="1"/>
      <w:numFmt w:val="bullet"/>
      <w:lvlText w:val=""/>
      <w:lvlJc w:val="left"/>
      <w:pPr>
        <w:ind w:left="720" w:hanging="360"/>
      </w:pPr>
      <w:rPr>
        <w:rFonts w:ascii="Wingdings" w:hAnsi="Wingdings" w:hint="default"/>
        <w:color w:val="A6A6A6" w:themeColor="background1" w:themeShade="A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6" w15:restartNumberingAfterBreak="0">
    <w:nsid w:val="5B0F2AD3"/>
    <w:multiLevelType w:val="hybridMultilevel"/>
    <w:tmpl w:val="28DAA7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15:restartNumberingAfterBreak="0">
    <w:nsid w:val="5BFE5AAD"/>
    <w:multiLevelType w:val="hybridMultilevel"/>
    <w:tmpl w:val="E5F80C0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8" w15:restartNumberingAfterBreak="0">
    <w:nsid w:val="5CAB4616"/>
    <w:multiLevelType w:val="hybridMultilevel"/>
    <w:tmpl w:val="1F4CFF2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5DCC1C7C"/>
    <w:multiLevelType w:val="multilevel"/>
    <w:tmpl w:val="DCB215D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5E5B1A29"/>
    <w:multiLevelType w:val="hybridMultilevel"/>
    <w:tmpl w:val="A204E28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5E6A410F"/>
    <w:multiLevelType w:val="hybridMultilevel"/>
    <w:tmpl w:val="4380D55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15:restartNumberingAfterBreak="0">
    <w:nsid w:val="5E8F5D33"/>
    <w:multiLevelType w:val="hybridMultilevel"/>
    <w:tmpl w:val="8B082D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EBB6556"/>
    <w:multiLevelType w:val="hybridMultilevel"/>
    <w:tmpl w:val="B424353C"/>
    <w:lvl w:ilvl="0" w:tplc="0408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4" w15:restartNumberingAfterBreak="0">
    <w:nsid w:val="601B2A6A"/>
    <w:multiLevelType w:val="multilevel"/>
    <w:tmpl w:val="C47C58C0"/>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60B83F73"/>
    <w:multiLevelType w:val="hybridMultilevel"/>
    <w:tmpl w:val="E0D86D1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60E75424"/>
    <w:multiLevelType w:val="hybridMultilevel"/>
    <w:tmpl w:val="D0D2BC5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12104FF"/>
    <w:multiLevelType w:val="hybridMultilevel"/>
    <w:tmpl w:val="98849F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18F7DCB"/>
    <w:multiLevelType w:val="hybridMultilevel"/>
    <w:tmpl w:val="4706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61BC36A4"/>
    <w:multiLevelType w:val="hybridMultilevel"/>
    <w:tmpl w:val="D94CF0E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26759F1"/>
    <w:multiLevelType w:val="hybridMultilevel"/>
    <w:tmpl w:val="8438BC8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627570CC"/>
    <w:multiLevelType w:val="multilevel"/>
    <w:tmpl w:val="26AE2FC2"/>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2" w15:restartNumberingAfterBreak="0">
    <w:nsid w:val="62C615F5"/>
    <w:multiLevelType w:val="hybridMultilevel"/>
    <w:tmpl w:val="574A491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63046280"/>
    <w:multiLevelType w:val="hybridMultilevel"/>
    <w:tmpl w:val="27507DA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633B2880"/>
    <w:multiLevelType w:val="hybridMultilevel"/>
    <w:tmpl w:val="D9B0D5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63B560C4"/>
    <w:multiLevelType w:val="multilevel"/>
    <w:tmpl w:val="2E503C2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63F572D7"/>
    <w:multiLevelType w:val="hybridMultilevel"/>
    <w:tmpl w:val="51626D3C"/>
    <w:lvl w:ilvl="0" w:tplc="25860C96">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644C7632"/>
    <w:multiLevelType w:val="hybridMultilevel"/>
    <w:tmpl w:val="4842825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4AB47FE"/>
    <w:multiLevelType w:val="hybridMultilevel"/>
    <w:tmpl w:val="59048BE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52F7E52"/>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15:restartNumberingAfterBreak="0">
    <w:nsid w:val="664050DF"/>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15:restartNumberingAfterBreak="0">
    <w:nsid w:val="66DC4DB7"/>
    <w:multiLevelType w:val="hybridMultilevel"/>
    <w:tmpl w:val="7342108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74F7CCA"/>
    <w:multiLevelType w:val="hybridMultilevel"/>
    <w:tmpl w:val="2DCEC17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67614EA7"/>
    <w:multiLevelType w:val="hybridMultilevel"/>
    <w:tmpl w:val="3662BEE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67740BE4"/>
    <w:multiLevelType w:val="multilevel"/>
    <w:tmpl w:val="93CA3A02"/>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5" w15:restartNumberingAfterBreak="0">
    <w:nsid w:val="67BE2C67"/>
    <w:multiLevelType w:val="hybridMultilevel"/>
    <w:tmpl w:val="64CEBF94"/>
    <w:lvl w:ilvl="0" w:tplc="8758D33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67F977A7"/>
    <w:multiLevelType w:val="hybridMultilevel"/>
    <w:tmpl w:val="0248BC7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685B4086"/>
    <w:multiLevelType w:val="multilevel"/>
    <w:tmpl w:val="3DF44274"/>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68BB25CA"/>
    <w:multiLevelType w:val="hybridMultilevel"/>
    <w:tmpl w:val="F8FED7C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8FA0E8C"/>
    <w:multiLevelType w:val="hybridMultilevel"/>
    <w:tmpl w:val="922E5E9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69633922"/>
    <w:multiLevelType w:val="hybridMultilevel"/>
    <w:tmpl w:val="5E5C6F1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6A114DFF"/>
    <w:multiLevelType w:val="multilevel"/>
    <w:tmpl w:val="D45415E0"/>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6A5870C3"/>
    <w:multiLevelType w:val="hybridMultilevel"/>
    <w:tmpl w:val="67D003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3" w15:restartNumberingAfterBreak="0">
    <w:nsid w:val="6AC26254"/>
    <w:multiLevelType w:val="multilevel"/>
    <w:tmpl w:val="059A1F8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6B586C52"/>
    <w:multiLevelType w:val="hybridMultilevel"/>
    <w:tmpl w:val="6A1A0188"/>
    <w:lvl w:ilvl="0" w:tplc="99E21A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6B7542FD"/>
    <w:multiLevelType w:val="hybridMultilevel"/>
    <w:tmpl w:val="0D525D1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6BB30782"/>
    <w:multiLevelType w:val="hybridMultilevel"/>
    <w:tmpl w:val="004E2C0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7" w15:restartNumberingAfterBreak="0">
    <w:nsid w:val="6BF13AE1"/>
    <w:multiLevelType w:val="hybridMultilevel"/>
    <w:tmpl w:val="EF900A5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6CE61061"/>
    <w:multiLevelType w:val="hybridMultilevel"/>
    <w:tmpl w:val="103C238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D1623B8"/>
    <w:multiLevelType w:val="hybridMultilevel"/>
    <w:tmpl w:val="361421A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0" w15:restartNumberingAfterBreak="0">
    <w:nsid w:val="6D1B7222"/>
    <w:multiLevelType w:val="multilevel"/>
    <w:tmpl w:val="A42C967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6D5648A8"/>
    <w:multiLevelType w:val="hybridMultilevel"/>
    <w:tmpl w:val="B650ACC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D8B45AE"/>
    <w:multiLevelType w:val="multilevel"/>
    <w:tmpl w:val="C2002498"/>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6DEA7FF3"/>
    <w:multiLevelType w:val="hybridMultilevel"/>
    <w:tmpl w:val="C13245F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6E1E478F"/>
    <w:multiLevelType w:val="hybridMultilevel"/>
    <w:tmpl w:val="07F6A30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6E2141BE"/>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6" w15:restartNumberingAfterBreak="0">
    <w:nsid w:val="6E4C1659"/>
    <w:multiLevelType w:val="hybridMultilevel"/>
    <w:tmpl w:val="0B02A8D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6F902533"/>
    <w:multiLevelType w:val="hybridMultilevel"/>
    <w:tmpl w:val="BFE8DE5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8" w15:restartNumberingAfterBreak="0">
    <w:nsid w:val="6FBB3921"/>
    <w:multiLevelType w:val="hybridMultilevel"/>
    <w:tmpl w:val="A530D1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700C4D80"/>
    <w:multiLevelType w:val="multilevel"/>
    <w:tmpl w:val="F1C00A3C"/>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0" w15:restartNumberingAfterBreak="0">
    <w:nsid w:val="7035737E"/>
    <w:multiLevelType w:val="hybridMultilevel"/>
    <w:tmpl w:val="096CD6F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1441627"/>
    <w:multiLevelType w:val="multilevel"/>
    <w:tmpl w:val="30988CD0"/>
    <w:lvl w:ilvl="0">
      <w:start w:val="1"/>
      <w:numFmt w:val="bullet"/>
      <w:lvlText w:val="▪"/>
      <w:lvlJc w:val="left"/>
      <w:pPr>
        <w:ind w:left="720" w:hanging="360"/>
      </w:pPr>
      <w:rPr>
        <w:rFonts w:ascii="Noto Sans Symbols" w:eastAsia="Noto Sans Symbols" w:hAnsi="Noto Sans Symbols" w:cs="Noto Sans Symbols"/>
        <w:color w:val="01406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715176C5"/>
    <w:multiLevelType w:val="hybridMultilevel"/>
    <w:tmpl w:val="4A4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2267E23"/>
    <w:multiLevelType w:val="hybridMultilevel"/>
    <w:tmpl w:val="9C422AE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23367C8"/>
    <w:multiLevelType w:val="hybridMultilevel"/>
    <w:tmpl w:val="76F0585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2487A1D"/>
    <w:multiLevelType w:val="hybridMultilevel"/>
    <w:tmpl w:val="DDBAA58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6" w15:restartNumberingAfterBreak="0">
    <w:nsid w:val="72545697"/>
    <w:multiLevelType w:val="hybridMultilevel"/>
    <w:tmpl w:val="44609CD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7" w15:restartNumberingAfterBreak="0">
    <w:nsid w:val="728F1755"/>
    <w:multiLevelType w:val="hybridMultilevel"/>
    <w:tmpl w:val="C014537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8" w15:restartNumberingAfterBreak="0">
    <w:nsid w:val="73990CF5"/>
    <w:multiLevelType w:val="hybridMultilevel"/>
    <w:tmpl w:val="7C8C91F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4547A45"/>
    <w:multiLevelType w:val="hybridMultilevel"/>
    <w:tmpl w:val="DCF8A8CA"/>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4A64F4E"/>
    <w:multiLevelType w:val="hybridMultilevel"/>
    <w:tmpl w:val="4C90C47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1" w15:restartNumberingAfterBreak="0">
    <w:nsid w:val="76167B55"/>
    <w:multiLevelType w:val="multilevel"/>
    <w:tmpl w:val="73D41D22"/>
    <w:lvl w:ilvl="0">
      <w:start w:val="2"/>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2" w15:restartNumberingAfterBreak="0">
    <w:nsid w:val="764D3C0E"/>
    <w:multiLevelType w:val="hybridMultilevel"/>
    <w:tmpl w:val="6972BA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3" w15:restartNumberingAfterBreak="0">
    <w:nsid w:val="771C3C3E"/>
    <w:multiLevelType w:val="hybridMultilevel"/>
    <w:tmpl w:val="9E7EBD1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4" w15:restartNumberingAfterBreak="0">
    <w:nsid w:val="779B3E40"/>
    <w:multiLevelType w:val="hybridMultilevel"/>
    <w:tmpl w:val="CAE2F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8216487"/>
    <w:multiLevelType w:val="hybridMultilevel"/>
    <w:tmpl w:val="C36A3D06"/>
    <w:lvl w:ilvl="0" w:tplc="5CE4ED2C">
      <w:start w:val="1"/>
      <w:numFmt w:val="bullet"/>
      <w:lvlText w:val=""/>
      <w:lvlJc w:val="left"/>
      <w:pPr>
        <w:ind w:left="720" w:hanging="360"/>
      </w:pPr>
      <w:rPr>
        <w:rFonts w:ascii="Wingdings" w:hAnsi="Wingdings" w:hint="default"/>
        <w:color w:val="0140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891365D"/>
    <w:multiLevelType w:val="hybridMultilevel"/>
    <w:tmpl w:val="1546A042"/>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794F0CBC"/>
    <w:multiLevelType w:val="hybridMultilevel"/>
    <w:tmpl w:val="5240E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9904D95"/>
    <w:multiLevelType w:val="hybridMultilevel"/>
    <w:tmpl w:val="FF2AA94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9A577E7"/>
    <w:multiLevelType w:val="hybridMultilevel"/>
    <w:tmpl w:val="4C8E649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7A1C6450"/>
    <w:multiLevelType w:val="hybridMultilevel"/>
    <w:tmpl w:val="3BDE3B9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7B2D3CE3"/>
    <w:multiLevelType w:val="hybridMultilevel"/>
    <w:tmpl w:val="1D106ED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2" w15:restartNumberingAfterBreak="0">
    <w:nsid w:val="7BCF7C1C"/>
    <w:multiLevelType w:val="hybridMultilevel"/>
    <w:tmpl w:val="40FA4920"/>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3" w15:restartNumberingAfterBreak="0">
    <w:nsid w:val="7C3B37B8"/>
    <w:multiLevelType w:val="hybridMultilevel"/>
    <w:tmpl w:val="BA3074C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4" w15:restartNumberingAfterBreak="0">
    <w:nsid w:val="7C517BDD"/>
    <w:multiLevelType w:val="hybridMultilevel"/>
    <w:tmpl w:val="4FD4E72E"/>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5" w15:restartNumberingAfterBreak="0">
    <w:nsid w:val="7C540446"/>
    <w:multiLevelType w:val="hybridMultilevel"/>
    <w:tmpl w:val="43CC64E4"/>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6" w15:restartNumberingAfterBreak="0">
    <w:nsid w:val="7C867820"/>
    <w:multiLevelType w:val="hybridMultilevel"/>
    <w:tmpl w:val="46DCF9A8"/>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7" w15:restartNumberingAfterBreak="0">
    <w:nsid w:val="7D171C0E"/>
    <w:multiLevelType w:val="hybridMultilevel"/>
    <w:tmpl w:val="11C9AD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8" w15:restartNumberingAfterBreak="0">
    <w:nsid w:val="7D6B3B27"/>
    <w:multiLevelType w:val="hybridMultilevel"/>
    <w:tmpl w:val="052A95A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7DB97157"/>
    <w:multiLevelType w:val="hybridMultilevel"/>
    <w:tmpl w:val="D38666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7DD23E80"/>
    <w:multiLevelType w:val="hybridMultilevel"/>
    <w:tmpl w:val="F8CC4C96"/>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1" w15:restartNumberingAfterBreak="0">
    <w:nsid w:val="7E5608EF"/>
    <w:multiLevelType w:val="hybridMultilevel"/>
    <w:tmpl w:val="ECAAFB8C"/>
    <w:lvl w:ilvl="0" w:tplc="5CE4ED2C">
      <w:start w:val="1"/>
      <w:numFmt w:val="bullet"/>
      <w:lvlText w:val=""/>
      <w:lvlJc w:val="left"/>
      <w:pPr>
        <w:ind w:left="720" w:hanging="360"/>
      </w:pPr>
      <w:rPr>
        <w:rFonts w:ascii="Wingdings" w:hAnsi="Wingdings" w:hint="default"/>
        <w:color w:val="0140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3"/>
    <w:lvlOverride w:ilvl="0">
      <w:startOverride w:val="1"/>
    </w:lvlOverride>
  </w:num>
  <w:num w:numId="3">
    <w:abstractNumId w:val="62"/>
  </w:num>
  <w:num w:numId="4">
    <w:abstractNumId w:val="177"/>
    <w:lvlOverride w:ilvl="0">
      <w:startOverride w:val="2"/>
    </w:lvlOverride>
  </w:num>
  <w:num w:numId="5">
    <w:abstractNumId w:val="266"/>
  </w:num>
  <w:num w:numId="6">
    <w:abstractNumId w:val="177"/>
    <w:lvlOverride w:ilvl="0">
      <w:startOverride w:val="2"/>
    </w:lvlOverride>
  </w:num>
  <w:num w:numId="7">
    <w:abstractNumId w:val="34"/>
  </w:num>
  <w:num w:numId="8">
    <w:abstractNumId w:val="173"/>
  </w:num>
  <w:num w:numId="9">
    <w:abstractNumId w:val="147"/>
  </w:num>
  <w:num w:numId="10">
    <w:abstractNumId w:val="273"/>
  </w:num>
  <w:num w:numId="11">
    <w:abstractNumId w:val="248"/>
  </w:num>
  <w:num w:numId="12">
    <w:abstractNumId w:val="191"/>
  </w:num>
  <w:num w:numId="13">
    <w:abstractNumId w:val="2"/>
  </w:num>
  <w:num w:numId="14">
    <w:abstractNumId w:val="139"/>
  </w:num>
  <w:num w:numId="15">
    <w:abstractNumId w:val="167"/>
  </w:num>
  <w:num w:numId="16">
    <w:abstractNumId w:val="70"/>
  </w:num>
  <w:num w:numId="17">
    <w:abstractNumId w:val="136"/>
  </w:num>
  <w:num w:numId="18">
    <w:abstractNumId w:val="250"/>
  </w:num>
  <w:num w:numId="19">
    <w:abstractNumId w:val="163"/>
  </w:num>
  <w:num w:numId="20">
    <w:abstractNumId w:val="202"/>
  </w:num>
  <w:num w:numId="21">
    <w:abstractNumId w:val="96"/>
  </w:num>
  <w:num w:numId="22">
    <w:abstractNumId w:val="263"/>
  </w:num>
  <w:num w:numId="23">
    <w:abstractNumId w:val="235"/>
  </w:num>
  <w:num w:numId="24">
    <w:abstractNumId w:val="175"/>
  </w:num>
  <w:num w:numId="25">
    <w:abstractNumId w:val="36"/>
  </w:num>
  <w:num w:numId="26">
    <w:abstractNumId w:val="58"/>
  </w:num>
  <w:num w:numId="27">
    <w:abstractNumId w:val="305"/>
  </w:num>
  <w:num w:numId="28">
    <w:abstractNumId w:val="319"/>
  </w:num>
  <w:num w:numId="29">
    <w:abstractNumId w:val="177"/>
    <w:lvlOverride w:ilvl="0">
      <w:startOverride w:val="1"/>
    </w:lvlOverride>
  </w:num>
  <w:num w:numId="30">
    <w:abstractNumId w:val="177"/>
    <w:lvlOverride w:ilvl="0">
      <w:startOverride w:val="1"/>
    </w:lvlOverride>
  </w:num>
  <w:num w:numId="31">
    <w:abstractNumId w:val="177"/>
    <w:lvlOverride w:ilvl="0">
      <w:startOverride w:val="1"/>
    </w:lvlOverride>
  </w:num>
  <w:num w:numId="32">
    <w:abstractNumId w:val="270"/>
  </w:num>
  <w:num w:numId="33">
    <w:abstractNumId w:val="177"/>
    <w:lvlOverride w:ilvl="0">
      <w:startOverride w:val="1"/>
    </w:lvlOverride>
  </w:num>
  <w:num w:numId="34">
    <w:abstractNumId w:val="177"/>
    <w:lvlOverride w:ilvl="0">
      <w:startOverride w:val="1"/>
    </w:lvlOverride>
  </w:num>
  <w:num w:numId="35">
    <w:abstractNumId w:val="177"/>
    <w:lvlOverride w:ilvl="0">
      <w:startOverride w:val="1"/>
    </w:lvlOverride>
  </w:num>
  <w:num w:numId="36">
    <w:abstractNumId w:val="177"/>
    <w:lvlOverride w:ilvl="0">
      <w:startOverride w:val="1"/>
    </w:lvlOverride>
  </w:num>
  <w:num w:numId="37">
    <w:abstractNumId w:val="177"/>
    <w:lvlOverride w:ilvl="0">
      <w:startOverride w:val="1"/>
    </w:lvlOverride>
  </w:num>
  <w:num w:numId="38">
    <w:abstractNumId w:val="177"/>
    <w:lvlOverride w:ilvl="0">
      <w:startOverride w:val="1"/>
    </w:lvlOverride>
  </w:num>
  <w:num w:numId="39">
    <w:abstractNumId w:val="247"/>
  </w:num>
  <w:num w:numId="40">
    <w:abstractNumId w:val="230"/>
  </w:num>
  <w:num w:numId="41">
    <w:abstractNumId w:val="140"/>
  </w:num>
  <w:num w:numId="42">
    <w:abstractNumId w:val="7"/>
  </w:num>
  <w:num w:numId="43">
    <w:abstractNumId w:val="208"/>
  </w:num>
  <w:num w:numId="44">
    <w:abstractNumId w:val="200"/>
  </w:num>
  <w:num w:numId="45">
    <w:abstractNumId w:val="152"/>
  </w:num>
  <w:num w:numId="46">
    <w:abstractNumId w:val="94"/>
  </w:num>
  <w:num w:numId="47">
    <w:abstractNumId w:val="55"/>
  </w:num>
  <w:num w:numId="48">
    <w:abstractNumId w:val="309"/>
  </w:num>
  <w:num w:numId="49">
    <w:abstractNumId w:val="219"/>
  </w:num>
  <w:num w:numId="50">
    <w:abstractNumId w:val="8"/>
  </w:num>
  <w:num w:numId="51">
    <w:abstractNumId w:val="89"/>
  </w:num>
  <w:num w:numId="52">
    <w:abstractNumId w:val="99"/>
  </w:num>
  <w:num w:numId="53">
    <w:abstractNumId w:val="289"/>
  </w:num>
  <w:num w:numId="54">
    <w:abstractNumId w:val="316"/>
  </w:num>
  <w:num w:numId="55">
    <w:abstractNumId w:val="328"/>
  </w:num>
  <w:num w:numId="56">
    <w:abstractNumId w:val="213"/>
  </w:num>
  <w:num w:numId="57">
    <w:abstractNumId w:val="143"/>
  </w:num>
  <w:num w:numId="58">
    <w:abstractNumId w:val="232"/>
  </w:num>
  <w:num w:numId="59">
    <w:abstractNumId w:val="260"/>
  </w:num>
  <w:num w:numId="60">
    <w:abstractNumId w:val="65"/>
  </w:num>
  <w:num w:numId="61">
    <w:abstractNumId w:val="142"/>
  </w:num>
  <w:num w:numId="62">
    <w:abstractNumId w:val="286"/>
  </w:num>
  <w:num w:numId="63">
    <w:abstractNumId w:val="66"/>
  </w:num>
  <w:num w:numId="64">
    <w:abstractNumId w:val="30"/>
  </w:num>
  <w:num w:numId="65">
    <w:abstractNumId w:val="195"/>
  </w:num>
  <w:num w:numId="66">
    <w:abstractNumId w:val="37"/>
  </w:num>
  <w:num w:numId="67">
    <w:abstractNumId w:val="23"/>
  </w:num>
  <w:num w:numId="68">
    <w:abstractNumId w:val="210"/>
  </w:num>
  <w:num w:numId="69">
    <w:abstractNumId w:val="148"/>
  </w:num>
  <w:num w:numId="70">
    <w:abstractNumId w:val="54"/>
  </w:num>
  <w:num w:numId="71">
    <w:abstractNumId w:val="251"/>
  </w:num>
  <w:num w:numId="72">
    <w:abstractNumId w:val="174"/>
  </w:num>
  <w:num w:numId="73">
    <w:abstractNumId w:val="64"/>
  </w:num>
  <w:num w:numId="74">
    <w:abstractNumId w:val="113"/>
  </w:num>
  <w:num w:numId="75">
    <w:abstractNumId w:val="308"/>
  </w:num>
  <w:num w:numId="76">
    <w:abstractNumId w:val="86"/>
  </w:num>
  <w:num w:numId="77">
    <w:abstractNumId w:val="22"/>
  </w:num>
  <w:num w:numId="78">
    <w:abstractNumId w:val="145"/>
  </w:num>
  <w:num w:numId="79">
    <w:abstractNumId w:val="52"/>
  </w:num>
  <w:num w:numId="80">
    <w:abstractNumId w:val="203"/>
  </w:num>
  <w:num w:numId="81">
    <w:abstractNumId w:val="280"/>
  </w:num>
  <w:num w:numId="82">
    <w:abstractNumId w:val="221"/>
  </w:num>
  <w:num w:numId="83">
    <w:abstractNumId w:val="11"/>
  </w:num>
  <w:num w:numId="84">
    <w:abstractNumId w:val="154"/>
  </w:num>
  <w:num w:numId="85">
    <w:abstractNumId w:val="47"/>
  </w:num>
  <w:num w:numId="86">
    <w:abstractNumId w:val="241"/>
  </w:num>
  <w:num w:numId="87">
    <w:abstractNumId w:val="223"/>
  </w:num>
  <w:num w:numId="88">
    <w:abstractNumId w:val="150"/>
  </w:num>
  <w:num w:numId="89">
    <w:abstractNumId w:val="14"/>
  </w:num>
  <w:num w:numId="90">
    <w:abstractNumId w:val="164"/>
  </w:num>
  <w:num w:numId="91">
    <w:abstractNumId w:val="206"/>
  </w:num>
  <w:num w:numId="92">
    <w:abstractNumId w:val="26"/>
  </w:num>
  <w:num w:numId="93">
    <w:abstractNumId w:val="67"/>
  </w:num>
  <w:num w:numId="94">
    <w:abstractNumId w:val="294"/>
  </w:num>
  <w:num w:numId="95">
    <w:abstractNumId w:val="40"/>
  </w:num>
  <w:num w:numId="96">
    <w:abstractNumId w:val="138"/>
  </w:num>
  <w:num w:numId="97">
    <w:abstractNumId w:val="137"/>
  </w:num>
  <w:num w:numId="98">
    <w:abstractNumId w:val="13"/>
  </w:num>
  <w:num w:numId="99">
    <w:abstractNumId w:val="193"/>
  </w:num>
  <w:num w:numId="100">
    <w:abstractNumId w:val="278"/>
  </w:num>
  <w:num w:numId="101">
    <w:abstractNumId w:val="19"/>
  </w:num>
  <w:num w:numId="102">
    <w:abstractNumId w:val="57"/>
  </w:num>
  <w:num w:numId="103">
    <w:abstractNumId w:val="146"/>
  </w:num>
  <w:num w:numId="104">
    <w:abstractNumId w:val="116"/>
  </w:num>
  <w:num w:numId="105">
    <w:abstractNumId w:val="50"/>
  </w:num>
  <w:num w:numId="106">
    <w:abstractNumId w:val="125"/>
  </w:num>
  <w:num w:numId="107">
    <w:abstractNumId w:val="209"/>
  </w:num>
  <w:num w:numId="108">
    <w:abstractNumId w:val="218"/>
  </w:num>
  <w:num w:numId="109">
    <w:abstractNumId w:val="38"/>
  </w:num>
  <w:num w:numId="110">
    <w:abstractNumId w:val="262"/>
  </w:num>
  <w:num w:numId="111">
    <w:abstractNumId w:val="43"/>
  </w:num>
  <w:num w:numId="112">
    <w:abstractNumId w:val="300"/>
  </w:num>
  <w:num w:numId="113">
    <w:abstractNumId w:val="153"/>
  </w:num>
  <w:num w:numId="114">
    <w:abstractNumId w:val="3"/>
  </w:num>
  <w:num w:numId="115">
    <w:abstractNumId w:val="169"/>
  </w:num>
  <w:num w:numId="116">
    <w:abstractNumId w:val="126"/>
  </w:num>
  <w:num w:numId="117">
    <w:abstractNumId w:val="227"/>
  </w:num>
  <w:num w:numId="118">
    <w:abstractNumId w:val="185"/>
  </w:num>
  <w:num w:numId="119">
    <w:abstractNumId w:val="6"/>
  </w:num>
  <w:num w:numId="120">
    <w:abstractNumId w:val="82"/>
  </w:num>
  <w:num w:numId="121">
    <w:abstractNumId w:val="184"/>
  </w:num>
  <w:num w:numId="122">
    <w:abstractNumId w:val="83"/>
  </w:num>
  <w:num w:numId="123">
    <w:abstractNumId w:val="330"/>
  </w:num>
  <w:num w:numId="124">
    <w:abstractNumId w:val="45"/>
  </w:num>
  <w:num w:numId="125">
    <w:abstractNumId w:val="73"/>
  </w:num>
  <w:num w:numId="126">
    <w:abstractNumId w:val="293"/>
  </w:num>
  <w:num w:numId="127">
    <w:abstractNumId w:val="95"/>
  </w:num>
  <w:num w:numId="128">
    <w:abstractNumId w:val="176"/>
  </w:num>
  <w:num w:numId="129">
    <w:abstractNumId w:val="181"/>
  </w:num>
  <w:num w:numId="130">
    <w:abstractNumId w:val="323"/>
  </w:num>
  <w:num w:numId="131">
    <w:abstractNumId w:val="39"/>
  </w:num>
  <w:num w:numId="132">
    <w:abstractNumId w:val="130"/>
  </w:num>
  <w:num w:numId="133">
    <w:abstractNumId w:val="135"/>
  </w:num>
  <w:num w:numId="134">
    <w:abstractNumId w:val="285"/>
  </w:num>
  <w:num w:numId="135">
    <w:abstractNumId w:val="4"/>
  </w:num>
  <w:num w:numId="136">
    <w:abstractNumId w:val="118"/>
  </w:num>
  <w:num w:numId="137">
    <w:abstractNumId w:val="259"/>
  </w:num>
  <w:num w:numId="138">
    <w:abstractNumId w:val="238"/>
  </w:num>
  <w:num w:numId="139">
    <w:abstractNumId w:val="61"/>
  </w:num>
  <w:num w:numId="140">
    <w:abstractNumId w:val="182"/>
  </w:num>
  <w:num w:numId="141">
    <w:abstractNumId w:val="322"/>
  </w:num>
  <w:num w:numId="142">
    <w:abstractNumId w:val="331"/>
  </w:num>
  <w:num w:numId="143">
    <w:abstractNumId w:val="115"/>
  </w:num>
  <w:num w:numId="144">
    <w:abstractNumId w:val="92"/>
  </w:num>
  <w:num w:numId="145">
    <w:abstractNumId w:val="276"/>
  </w:num>
  <w:num w:numId="146">
    <w:abstractNumId w:val="172"/>
  </w:num>
  <w:num w:numId="147">
    <w:abstractNumId w:val="79"/>
  </w:num>
  <w:num w:numId="148">
    <w:abstractNumId w:val="244"/>
  </w:num>
  <w:num w:numId="149">
    <w:abstractNumId w:val="190"/>
  </w:num>
  <w:num w:numId="150">
    <w:abstractNumId w:val="291"/>
  </w:num>
  <w:num w:numId="151">
    <w:abstractNumId w:val="220"/>
  </w:num>
  <w:num w:numId="152">
    <w:abstractNumId w:val="27"/>
  </w:num>
  <w:num w:numId="153">
    <w:abstractNumId w:val="272"/>
  </w:num>
  <w:num w:numId="154">
    <w:abstractNumId w:val="18"/>
  </w:num>
  <w:num w:numId="155">
    <w:abstractNumId w:val="165"/>
  </w:num>
  <w:num w:numId="156">
    <w:abstractNumId w:val="144"/>
  </w:num>
  <w:num w:numId="157">
    <w:abstractNumId w:val="35"/>
  </w:num>
  <w:num w:numId="158">
    <w:abstractNumId w:val="72"/>
  </w:num>
  <w:num w:numId="159">
    <w:abstractNumId w:val="304"/>
  </w:num>
  <w:num w:numId="160">
    <w:abstractNumId w:val="120"/>
  </w:num>
  <w:num w:numId="161">
    <w:abstractNumId w:val="159"/>
  </w:num>
  <w:num w:numId="162">
    <w:abstractNumId w:val="215"/>
  </w:num>
  <w:num w:numId="163">
    <w:abstractNumId w:val="122"/>
  </w:num>
  <w:num w:numId="164">
    <w:abstractNumId w:val="24"/>
  </w:num>
  <w:num w:numId="165">
    <w:abstractNumId w:val="21"/>
  </w:num>
  <w:num w:numId="166">
    <w:abstractNumId w:val="90"/>
  </w:num>
  <w:num w:numId="167">
    <w:abstractNumId w:val="171"/>
  </w:num>
  <w:num w:numId="168">
    <w:abstractNumId w:val="78"/>
  </w:num>
  <w:num w:numId="169">
    <w:abstractNumId w:val="287"/>
  </w:num>
  <w:num w:numId="170">
    <w:abstractNumId w:val="306"/>
  </w:num>
  <w:num w:numId="171">
    <w:abstractNumId w:val="109"/>
  </w:num>
  <w:num w:numId="172">
    <w:abstractNumId w:val="59"/>
  </w:num>
  <w:num w:numId="173">
    <w:abstractNumId w:val="102"/>
  </w:num>
  <w:num w:numId="174">
    <w:abstractNumId w:val="63"/>
  </w:num>
  <w:num w:numId="175">
    <w:abstractNumId w:val="255"/>
  </w:num>
  <w:num w:numId="176">
    <w:abstractNumId w:val="320"/>
  </w:num>
  <w:num w:numId="177">
    <w:abstractNumId w:val="205"/>
  </w:num>
  <w:num w:numId="178">
    <w:abstractNumId w:val="271"/>
  </w:num>
  <w:num w:numId="179">
    <w:abstractNumId w:val="313"/>
  </w:num>
  <w:num w:numId="180">
    <w:abstractNumId w:val="192"/>
  </w:num>
  <w:num w:numId="181">
    <w:abstractNumId w:val="201"/>
  </w:num>
  <w:num w:numId="182">
    <w:abstractNumId w:val="114"/>
  </w:num>
  <w:num w:numId="183">
    <w:abstractNumId w:val="325"/>
  </w:num>
  <w:num w:numId="184">
    <w:abstractNumId w:val="237"/>
  </w:num>
  <w:num w:numId="185">
    <w:abstractNumId w:val="207"/>
  </w:num>
  <w:num w:numId="186">
    <w:abstractNumId w:val="296"/>
  </w:num>
  <w:num w:numId="187">
    <w:abstractNumId w:val="155"/>
  </w:num>
  <w:num w:numId="188">
    <w:abstractNumId w:val="87"/>
  </w:num>
  <w:num w:numId="189">
    <w:abstractNumId w:val="234"/>
  </w:num>
  <w:num w:numId="190">
    <w:abstractNumId w:val="133"/>
  </w:num>
  <w:num w:numId="191">
    <w:abstractNumId w:val="132"/>
  </w:num>
  <w:num w:numId="192">
    <w:abstractNumId w:val="127"/>
  </w:num>
  <w:num w:numId="193">
    <w:abstractNumId w:val="256"/>
  </w:num>
  <w:num w:numId="194">
    <w:abstractNumId w:val="69"/>
  </w:num>
  <w:num w:numId="195">
    <w:abstractNumId w:val="297"/>
  </w:num>
  <w:num w:numId="196">
    <w:abstractNumId w:val="84"/>
  </w:num>
  <w:num w:numId="197">
    <w:abstractNumId w:val="108"/>
  </w:num>
  <w:num w:numId="198">
    <w:abstractNumId w:val="326"/>
  </w:num>
  <w:num w:numId="199">
    <w:abstractNumId w:val="134"/>
  </w:num>
  <w:num w:numId="200">
    <w:abstractNumId w:val="149"/>
  </w:num>
  <w:num w:numId="201">
    <w:abstractNumId w:val="80"/>
  </w:num>
  <w:num w:numId="202">
    <w:abstractNumId w:val="321"/>
  </w:num>
  <w:num w:numId="203">
    <w:abstractNumId w:val="303"/>
  </w:num>
  <w:num w:numId="204">
    <w:abstractNumId w:val="68"/>
  </w:num>
  <w:num w:numId="205">
    <w:abstractNumId w:val="131"/>
  </w:num>
  <w:num w:numId="206">
    <w:abstractNumId w:val="105"/>
  </w:num>
  <w:num w:numId="207">
    <w:abstractNumId w:val="307"/>
  </w:num>
  <w:num w:numId="208">
    <w:abstractNumId w:val="268"/>
  </w:num>
  <w:num w:numId="209">
    <w:abstractNumId w:val="111"/>
  </w:num>
  <w:num w:numId="210">
    <w:abstractNumId w:val="189"/>
  </w:num>
  <w:num w:numId="211">
    <w:abstractNumId w:val="85"/>
  </w:num>
  <w:num w:numId="212">
    <w:abstractNumId w:val="318"/>
  </w:num>
  <w:num w:numId="213">
    <w:abstractNumId w:val="229"/>
  </w:num>
  <w:num w:numId="214">
    <w:abstractNumId w:val="41"/>
  </w:num>
  <w:num w:numId="215">
    <w:abstractNumId w:val="267"/>
  </w:num>
  <w:num w:numId="216">
    <w:abstractNumId w:val="49"/>
  </w:num>
  <w:num w:numId="217">
    <w:abstractNumId w:val="104"/>
  </w:num>
  <w:num w:numId="218">
    <w:abstractNumId w:val="310"/>
  </w:num>
  <w:num w:numId="219">
    <w:abstractNumId w:val="1"/>
  </w:num>
  <w:num w:numId="220">
    <w:abstractNumId w:val="279"/>
  </w:num>
  <w:num w:numId="221">
    <w:abstractNumId w:val="110"/>
  </w:num>
  <w:num w:numId="222">
    <w:abstractNumId w:val="324"/>
  </w:num>
  <w:num w:numId="223">
    <w:abstractNumId w:val="179"/>
  </w:num>
  <w:num w:numId="224">
    <w:abstractNumId w:val="197"/>
  </w:num>
  <w:num w:numId="225">
    <w:abstractNumId w:val="288"/>
  </w:num>
  <w:num w:numId="226">
    <w:abstractNumId w:val="183"/>
  </w:num>
  <w:num w:numId="227">
    <w:abstractNumId w:val="239"/>
  </w:num>
  <w:num w:numId="228">
    <w:abstractNumId w:val="25"/>
  </w:num>
  <w:num w:numId="229">
    <w:abstractNumId w:val="177"/>
    <w:lvlOverride w:ilvl="0">
      <w:startOverride w:val="1"/>
    </w:lvlOverride>
  </w:num>
  <w:num w:numId="230">
    <w:abstractNumId w:val="177"/>
    <w:lvlOverride w:ilvl="0">
      <w:startOverride w:val="1"/>
    </w:lvlOverride>
  </w:num>
  <w:num w:numId="231">
    <w:abstractNumId w:val="177"/>
    <w:lvlOverride w:ilvl="0">
      <w:startOverride w:val="1"/>
    </w:lvlOverride>
  </w:num>
  <w:num w:numId="232">
    <w:abstractNumId w:val="177"/>
    <w:lvlOverride w:ilvl="0">
      <w:startOverride w:val="1"/>
    </w:lvlOverride>
  </w:num>
  <w:num w:numId="233">
    <w:abstractNumId w:val="216"/>
  </w:num>
  <w:num w:numId="234">
    <w:abstractNumId w:val="29"/>
  </w:num>
  <w:num w:numId="235">
    <w:abstractNumId w:val="97"/>
  </w:num>
  <w:num w:numId="236">
    <w:abstractNumId w:val="77"/>
  </w:num>
  <w:num w:numId="237">
    <w:abstractNumId w:val="123"/>
  </w:num>
  <w:num w:numId="238">
    <w:abstractNumId w:val="177"/>
    <w:lvlOverride w:ilvl="0">
      <w:startOverride w:val="1"/>
    </w:lvlOverride>
  </w:num>
  <w:num w:numId="239">
    <w:abstractNumId w:val="246"/>
  </w:num>
  <w:num w:numId="240">
    <w:abstractNumId w:val="312"/>
  </w:num>
  <w:num w:numId="241">
    <w:abstractNumId w:val="253"/>
  </w:num>
  <w:num w:numId="242">
    <w:abstractNumId w:val="32"/>
  </w:num>
  <w:num w:numId="243">
    <w:abstractNumId w:val="33"/>
  </w:num>
  <w:num w:numId="244">
    <w:abstractNumId w:val="214"/>
  </w:num>
  <w:num w:numId="245">
    <w:abstractNumId w:val="245"/>
  </w:num>
  <w:num w:numId="246">
    <w:abstractNumId w:val="314"/>
  </w:num>
  <w:num w:numId="247">
    <w:abstractNumId w:val="177"/>
    <w:lvlOverride w:ilvl="0">
      <w:startOverride w:val="1"/>
    </w:lvlOverride>
  </w:num>
  <w:num w:numId="248">
    <w:abstractNumId w:val="204"/>
  </w:num>
  <w:num w:numId="249">
    <w:abstractNumId w:val="151"/>
  </w:num>
  <w:num w:numId="250">
    <w:abstractNumId w:val="103"/>
  </w:num>
  <w:num w:numId="251">
    <w:abstractNumId w:val="233"/>
  </w:num>
  <w:num w:numId="252">
    <w:abstractNumId w:val="12"/>
  </w:num>
  <w:num w:numId="253">
    <w:abstractNumId w:val="161"/>
  </w:num>
  <w:num w:numId="254">
    <w:abstractNumId w:val="186"/>
  </w:num>
  <w:num w:numId="255">
    <w:abstractNumId w:val="177"/>
    <w:lvlOverride w:ilvl="0">
      <w:startOverride w:val="1"/>
    </w:lvlOverride>
  </w:num>
  <w:num w:numId="256">
    <w:abstractNumId w:val="101"/>
  </w:num>
  <w:num w:numId="257">
    <w:abstractNumId w:val="141"/>
  </w:num>
  <w:num w:numId="258">
    <w:abstractNumId w:val="187"/>
  </w:num>
  <w:num w:numId="259">
    <w:abstractNumId w:val="75"/>
  </w:num>
  <w:num w:numId="260">
    <w:abstractNumId w:val="258"/>
  </w:num>
  <w:num w:numId="261">
    <w:abstractNumId w:val="16"/>
  </w:num>
  <w:num w:numId="262">
    <w:abstractNumId w:val="211"/>
  </w:num>
  <w:num w:numId="263">
    <w:abstractNumId w:val="228"/>
  </w:num>
  <w:num w:numId="264">
    <w:abstractNumId w:val="5"/>
  </w:num>
  <w:num w:numId="265">
    <w:abstractNumId w:val="129"/>
  </w:num>
  <w:num w:numId="266">
    <w:abstractNumId w:val="10"/>
  </w:num>
  <w:num w:numId="267">
    <w:abstractNumId w:val="257"/>
  </w:num>
  <w:num w:numId="268">
    <w:abstractNumId w:val="56"/>
  </w:num>
  <w:num w:numId="269">
    <w:abstractNumId w:val="128"/>
  </w:num>
  <w:num w:numId="270">
    <w:abstractNumId w:val="166"/>
  </w:num>
  <w:num w:numId="271">
    <w:abstractNumId w:val="112"/>
  </w:num>
  <w:num w:numId="272">
    <w:abstractNumId w:val="198"/>
  </w:num>
  <w:num w:numId="273">
    <w:abstractNumId w:val="199"/>
  </w:num>
  <w:num w:numId="274">
    <w:abstractNumId w:val="71"/>
  </w:num>
  <w:num w:numId="275">
    <w:abstractNumId w:val="156"/>
  </w:num>
  <w:num w:numId="276">
    <w:abstractNumId w:val="158"/>
  </w:num>
  <w:num w:numId="277">
    <w:abstractNumId w:val="295"/>
  </w:num>
  <w:num w:numId="278">
    <w:abstractNumId w:val="269"/>
  </w:num>
  <w:num w:numId="279">
    <w:abstractNumId w:val="327"/>
  </w:num>
  <w:num w:numId="280">
    <w:abstractNumId w:val="91"/>
  </w:num>
  <w:num w:numId="281">
    <w:abstractNumId w:val="162"/>
  </w:num>
  <w:num w:numId="282">
    <w:abstractNumId w:val="231"/>
  </w:num>
  <w:num w:numId="283">
    <w:abstractNumId w:val="196"/>
  </w:num>
  <w:num w:numId="284">
    <w:abstractNumId w:val="282"/>
  </w:num>
  <w:num w:numId="285">
    <w:abstractNumId w:val="28"/>
  </w:num>
  <w:num w:numId="286">
    <w:abstractNumId w:val="124"/>
  </w:num>
  <w:num w:numId="287">
    <w:abstractNumId w:val="217"/>
  </w:num>
  <w:num w:numId="288">
    <w:abstractNumId w:val="315"/>
  </w:num>
  <w:num w:numId="289">
    <w:abstractNumId w:val="329"/>
  </w:num>
  <w:num w:numId="290">
    <w:abstractNumId w:val="284"/>
  </w:num>
  <w:num w:numId="291">
    <w:abstractNumId w:val="317"/>
  </w:num>
  <w:num w:numId="292">
    <w:abstractNumId w:val="236"/>
  </w:num>
  <w:num w:numId="293">
    <w:abstractNumId w:val="9"/>
  </w:num>
  <w:num w:numId="294">
    <w:abstractNumId w:val="222"/>
  </w:num>
  <w:num w:numId="295">
    <w:abstractNumId w:val="240"/>
  </w:num>
  <w:num w:numId="296">
    <w:abstractNumId w:val="302"/>
  </w:num>
  <w:num w:numId="297">
    <w:abstractNumId w:val="311"/>
  </w:num>
  <w:num w:numId="298">
    <w:abstractNumId w:val="0"/>
  </w:num>
  <w:num w:numId="299">
    <w:abstractNumId w:val="170"/>
  </w:num>
  <w:num w:numId="300">
    <w:abstractNumId w:val="81"/>
  </w:num>
  <w:num w:numId="301">
    <w:abstractNumId w:val="301"/>
  </w:num>
  <w:num w:numId="302">
    <w:abstractNumId w:val="277"/>
  </w:num>
  <w:num w:numId="303">
    <w:abstractNumId w:val="157"/>
  </w:num>
  <w:num w:numId="304">
    <w:abstractNumId w:val="88"/>
  </w:num>
  <w:num w:numId="305">
    <w:abstractNumId w:val="194"/>
  </w:num>
  <w:num w:numId="306">
    <w:abstractNumId w:val="17"/>
  </w:num>
  <w:num w:numId="307">
    <w:abstractNumId w:val="224"/>
  </w:num>
  <w:num w:numId="308">
    <w:abstractNumId w:val="265"/>
  </w:num>
  <w:num w:numId="309">
    <w:abstractNumId w:val="292"/>
  </w:num>
  <w:num w:numId="310">
    <w:abstractNumId w:val="53"/>
  </w:num>
  <w:num w:numId="311">
    <w:abstractNumId w:val="283"/>
  </w:num>
  <w:num w:numId="312">
    <w:abstractNumId w:val="290"/>
  </w:num>
  <w:num w:numId="313">
    <w:abstractNumId w:val="212"/>
  </w:num>
  <w:num w:numId="314">
    <w:abstractNumId w:val="188"/>
  </w:num>
  <w:num w:numId="315">
    <w:abstractNumId w:val="249"/>
  </w:num>
  <w:num w:numId="316">
    <w:abstractNumId w:val="178"/>
  </w:num>
  <w:num w:numId="317">
    <w:abstractNumId w:val="44"/>
  </w:num>
  <w:num w:numId="318">
    <w:abstractNumId w:val="48"/>
  </w:num>
  <w:num w:numId="319">
    <w:abstractNumId w:val="243"/>
  </w:num>
  <w:num w:numId="320">
    <w:abstractNumId w:val="100"/>
  </w:num>
  <w:num w:numId="321">
    <w:abstractNumId w:val="168"/>
  </w:num>
  <w:num w:numId="322">
    <w:abstractNumId w:val="76"/>
  </w:num>
  <w:num w:numId="323">
    <w:abstractNumId w:val="261"/>
  </w:num>
  <w:num w:numId="324">
    <w:abstractNumId w:val="180"/>
  </w:num>
  <w:num w:numId="325">
    <w:abstractNumId w:val="281"/>
  </w:num>
  <w:num w:numId="326">
    <w:abstractNumId w:val="31"/>
  </w:num>
  <w:num w:numId="327">
    <w:abstractNumId w:val="46"/>
  </w:num>
  <w:num w:numId="328">
    <w:abstractNumId w:val="20"/>
  </w:num>
  <w:num w:numId="329">
    <w:abstractNumId w:val="274"/>
  </w:num>
  <w:num w:numId="330">
    <w:abstractNumId w:val="60"/>
  </w:num>
  <w:num w:numId="331">
    <w:abstractNumId w:val="299"/>
  </w:num>
  <w:num w:numId="332">
    <w:abstractNumId w:val="15"/>
  </w:num>
  <w:num w:numId="333">
    <w:abstractNumId w:val="98"/>
  </w:num>
  <w:num w:numId="334">
    <w:abstractNumId w:val="254"/>
  </w:num>
  <w:num w:numId="335">
    <w:abstractNumId w:val="51"/>
  </w:num>
  <w:num w:numId="336">
    <w:abstractNumId w:val="106"/>
  </w:num>
  <w:num w:numId="337">
    <w:abstractNumId w:val="117"/>
  </w:num>
  <w:num w:numId="338">
    <w:abstractNumId w:val="119"/>
  </w:num>
  <w:num w:numId="339">
    <w:abstractNumId w:val="121"/>
  </w:num>
  <w:num w:numId="340">
    <w:abstractNumId w:val="74"/>
  </w:num>
  <w:num w:numId="341">
    <w:abstractNumId w:val="275"/>
  </w:num>
  <w:num w:numId="342">
    <w:abstractNumId w:val="107"/>
  </w:num>
  <w:num w:numId="343">
    <w:abstractNumId w:val="225"/>
  </w:num>
  <w:num w:numId="344">
    <w:abstractNumId w:val="264"/>
  </w:num>
  <w:num w:numId="345">
    <w:abstractNumId w:val="298"/>
  </w:num>
  <w:num w:numId="346">
    <w:abstractNumId w:val="160"/>
  </w:num>
  <w:num w:numId="347">
    <w:abstractNumId w:val="42"/>
  </w:num>
  <w:num w:numId="348">
    <w:abstractNumId w:val="252"/>
  </w:num>
  <w:num w:numId="349">
    <w:abstractNumId w:val="226"/>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pt-P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0" w:nlCheck="1" w:checkStyle="0"/>
  <w:activeWritingStyle w:appName="MSWord" w:lang="en-GB"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B5E"/>
    <w:rsid w:val="000007D2"/>
    <w:rsid w:val="0000104E"/>
    <w:rsid w:val="000011F0"/>
    <w:rsid w:val="000012F9"/>
    <w:rsid w:val="00001AF6"/>
    <w:rsid w:val="00001C61"/>
    <w:rsid w:val="00002CCA"/>
    <w:rsid w:val="00002DFC"/>
    <w:rsid w:val="000031AE"/>
    <w:rsid w:val="00003623"/>
    <w:rsid w:val="0000450D"/>
    <w:rsid w:val="00004F46"/>
    <w:rsid w:val="000053DF"/>
    <w:rsid w:val="0000556B"/>
    <w:rsid w:val="00005644"/>
    <w:rsid w:val="00006C9E"/>
    <w:rsid w:val="000072FC"/>
    <w:rsid w:val="000119B7"/>
    <w:rsid w:val="00011B4F"/>
    <w:rsid w:val="00011FD6"/>
    <w:rsid w:val="00012631"/>
    <w:rsid w:val="00012739"/>
    <w:rsid w:val="00012958"/>
    <w:rsid w:val="00012C97"/>
    <w:rsid w:val="00012E32"/>
    <w:rsid w:val="000130C4"/>
    <w:rsid w:val="0001335D"/>
    <w:rsid w:val="00013858"/>
    <w:rsid w:val="00013E67"/>
    <w:rsid w:val="000142AD"/>
    <w:rsid w:val="000145AC"/>
    <w:rsid w:val="000154A5"/>
    <w:rsid w:val="0001556B"/>
    <w:rsid w:val="0001703B"/>
    <w:rsid w:val="0001752C"/>
    <w:rsid w:val="00017932"/>
    <w:rsid w:val="00017C59"/>
    <w:rsid w:val="00017DEE"/>
    <w:rsid w:val="00020928"/>
    <w:rsid w:val="00020B26"/>
    <w:rsid w:val="00020F14"/>
    <w:rsid w:val="000214C5"/>
    <w:rsid w:val="00022319"/>
    <w:rsid w:val="00022496"/>
    <w:rsid w:val="0002359A"/>
    <w:rsid w:val="00023BC3"/>
    <w:rsid w:val="000241B9"/>
    <w:rsid w:val="0002448F"/>
    <w:rsid w:val="000247AA"/>
    <w:rsid w:val="00024FB3"/>
    <w:rsid w:val="000255B1"/>
    <w:rsid w:val="000259D3"/>
    <w:rsid w:val="0002633D"/>
    <w:rsid w:val="0002696D"/>
    <w:rsid w:val="000269CE"/>
    <w:rsid w:val="00026A7C"/>
    <w:rsid w:val="00026B21"/>
    <w:rsid w:val="00026DCB"/>
    <w:rsid w:val="00027BA5"/>
    <w:rsid w:val="00027F01"/>
    <w:rsid w:val="0003026B"/>
    <w:rsid w:val="00030E99"/>
    <w:rsid w:val="00031002"/>
    <w:rsid w:val="000313A4"/>
    <w:rsid w:val="00031418"/>
    <w:rsid w:val="0003208F"/>
    <w:rsid w:val="000323F6"/>
    <w:rsid w:val="00032C3E"/>
    <w:rsid w:val="00033318"/>
    <w:rsid w:val="000334B2"/>
    <w:rsid w:val="00033557"/>
    <w:rsid w:val="00033969"/>
    <w:rsid w:val="00033B3F"/>
    <w:rsid w:val="00033E95"/>
    <w:rsid w:val="0003428B"/>
    <w:rsid w:val="00034D35"/>
    <w:rsid w:val="00034ECE"/>
    <w:rsid w:val="00036A3D"/>
    <w:rsid w:val="00036F50"/>
    <w:rsid w:val="00037A9E"/>
    <w:rsid w:val="000423BB"/>
    <w:rsid w:val="00042B87"/>
    <w:rsid w:val="00043385"/>
    <w:rsid w:val="000437D3"/>
    <w:rsid w:val="000439BB"/>
    <w:rsid w:val="00043E30"/>
    <w:rsid w:val="0004473B"/>
    <w:rsid w:val="00044900"/>
    <w:rsid w:val="00045259"/>
    <w:rsid w:val="000462B2"/>
    <w:rsid w:val="00046CAE"/>
    <w:rsid w:val="00046E69"/>
    <w:rsid w:val="00047086"/>
    <w:rsid w:val="00047231"/>
    <w:rsid w:val="00047A39"/>
    <w:rsid w:val="00047A97"/>
    <w:rsid w:val="00047DE4"/>
    <w:rsid w:val="00047FB8"/>
    <w:rsid w:val="00050118"/>
    <w:rsid w:val="000503C4"/>
    <w:rsid w:val="00050A90"/>
    <w:rsid w:val="000512AD"/>
    <w:rsid w:val="00051CA6"/>
    <w:rsid w:val="000526E9"/>
    <w:rsid w:val="00052826"/>
    <w:rsid w:val="000529F5"/>
    <w:rsid w:val="00052AC8"/>
    <w:rsid w:val="00052CAE"/>
    <w:rsid w:val="00053965"/>
    <w:rsid w:val="000539D9"/>
    <w:rsid w:val="00054366"/>
    <w:rsid w:val="00054506"/>
    <w:rsid w:val="00054E51"/>
    <w:rsid w:val="000551C7"/>
    <w:rsid w:val="00055507"/>
    <w:rsid w:val="00055586"/>
    <w:rsid w:val="00055AFF"/>
    <w:rsid w:val="0005641E"/>
    <w:rsid w:val="00056ACB"/>
    <w:rsid w:val="00056D85"/>
    <w:rsid w:val="00056E7F"/>
    <w:rsid w:val="00056FAD"/>
    <w:rsid w:val="00057564"/>
    <w:rsid w:val="000578D5"/>
    <w:rsid w:val="00057BFE"/>
    <w:rsid w:val="00060936"/>
    <w:rsid w:val="00060B30"/>
    <w:rsid w:val="00060B4D"/>
    <w:rsid w:val="00060CFB"/>
    <w:rsid w:val="00060DB5"/>
    <w:rsid w:val="00061CFE"/>
    <w:rsid w:val="0006233C"/>
    <w:rsid w:val="0006244D"/>
    <w:rsid w:val="000624A0"/>
    <w:rsid w:val="00062569"/>
    <w:rsid w:val="000637E1"/>
    <w:rsid w:val="00063DBF"/>
    <w:rsid w:val="000651DF"/>
    <w:rsid w:val="00065462"/>
    <w:rsid w:val="00065A13"/>
    <w:rsid w:val="000662A9"/>
    <w:rsid w:val="00066333"/>
    <w:rsid w:val="000666BE"/>
    <w:rsid w:val="00066D50"/>
    <w:rsid w:val="000672ED"/>
    <w:rsid w:val="000674B0"/>
    <w:rsid w:val="000674C8"/>
    <w:rsid w:val="00070494"/>
    <w:rsid w:val="00070895"/>
    <w:rsid w:val="000708CF"/>
    <w:rsid w:val="000708D4"/>
    <w:rsid w:val="00070B86"/>
    <w:rsid w:val="0007119F"/>
    <w:rsid w:val="000718E3"/>
    <w:rsid w:val="00071BB8"/>
    <w:rsid w:val="000720C2"/>
    <w:rsid w:val="00073422"/>
    <w:rsid w:val="00073520"/>
    <w:rsid w:val="00073B72"/>
    <w:rsid w:val="00073F42"/>
    <w:rsid w:val="000740AF"/>
    <w:rsid w:val="00074150"/>
    <w:rsid w:val="000744B6"/>
    <w:rsid w:val="000745AE"/>
    <w:rsid w:val="0007586D"/>
    <w:rsid w:val="00075A23"/>
    <w:rsid w:val="00075CB0"/>
    <w:rsid w:val="000764A3"/>
    <w:rsid w:val="00076767"/>
    <w:rsid w:val="00076A09"/>
    <w:rsid w:val="00077898"/>
    <w:rsid w:val="00077E8C"/>
    <w:rsid w:val="0008067A"/>
    <w:rsid w:val="00080C44"/>
    <w:rsid w:val="000812D1"/>
    <w:rsid w:val="000817D1"/>
    <w:rsid w:val="00081924"/>
    <w:rsid w:val="00081B68"/>
    <w:rsid w:val="00081D7A"/>
    <w:rsid w:val="00082931"/>
    <w:rsid w:val="0008304F"/>
    <w:rsid w:val="0008306D"/>
    <w:rsid w:val="000830A3"/>
    <w:rsid w:val="00083383"/>
    <w:rsid w:val="00083408"/>
    <w:rsid w:val="0008385C"/>
    <w:rsid w:val="00084E52"/>
    <w:rsid w:val="00085C60"/>
    <w:rsid w:val="0008649A"/>
    <w:rsid w:val="00086C2E"/>
    <w:rsid w:val="0008702F"/>
    <w:rsid w:val="000879D8"/>
    <w:rsid w:val="00087B62"/>
    <w:rsid w:val="000901D4"/>
    <w:rsid w:val="000902DC"/>
    <w:rsid w:val="000905DA"/>
    <w:rsid w:val="000906B8"/>
    <w:rsid w:val="000909CC"/>
    <w:rsid w:val="00090EC2"/>
    <w:rsid w:val="00091035"/>
    <w:rsid w:val="00091C2A"/>
    <w:rsid w:val="00091E4C"/>
    <w:rsid w:val="00092765"/>
    <w:rsid w:val="0009298E"/>
    <w:rsid w:val="000929DE"/>
    <w:rsid w:val="00092FEB"/>
    <w:rsid w:val="000936CF"/>
    <w:rsid w:val="00094431"/>
    <w:rsid w:val="00094461"/>
    <w:rsid w:val="0009486F"/>
    <w:rsid w:val="000949A9"/>
    <w:rsid w:val="00096DBF"/>
    <w:rsid w:val="0009719D"/>
    <w:rsid w:val="000A0298"/>
    <w:rsid w:val="000A06F7"/>
    <w:rsid w:val="000A0ACD"/>
    <w:rsid w:val="000A0D7C"/>
    <w:rsid w:val="000A14F2"/>
    <w:rsid w:val="000A1EA4"/>
    <w:rsid w:val="000A2441"/>
    <w:rsid w:val="000A27CD"/>
    <w:rsid w:val="000A27D5"/>
    <w:rsid w:val="000A2D3E"/>
    <w:rsid w:val="000A3185"/>
    <w:rsid w:val="000A3520"/>
    <w:rsid w:val="000A360E"/>
    <w:rsid w:val="000A37F1"/>
    <w:rsid w:val="000A5529"/>
    <w:rsid w:val="000A57A7"/>
    <w:rsid w:val="000A5BAC"/>
    <w:rsid w:val="000A602A"/>
    <w:rsid w:val="000A62CE"/>
    <w:rsid w:val="000A660A"/>
    <w:rsid w:val="000A673B"/>
    <w:rsid w:val="000A69C5"/>
    <w:rsid w:val="000A7226"/>
    <w:rsid w:val="000A7C4F"/>
    <w:rsid w:val="000A7D1B"/>
    <w:rsid w:val="000B0568"/>
    <w:rsid w:val="000B095B"/>
    <w:rsid w:val="000B0A48"/>
    <w:rsid w:val="000B0E96"/>
    <w:rsid w:val="000B1823"/>
    <w:rsid w:val="000B25F8"/>
    <w:rsid w:val="000B2672"/>
    <w:rsid w:val="000B2690"/>
    <w:rsid w:val="000B2807"/>
    <w:rsid w:val="000B2967"/>
    <w:rsid w:val="000B3137"/>
    <w:rsid w:val="000B4036"/>
    <w:rsid w:val="000B465E"/>
    <w:rsid w:val="000B4A21"/>
    <w:rsid w:val="000B4B93"/>
    <w:rsid w:val="000B4FA4"/>
    <w:rsid w:val="000B56AD"/>
    <w:rsid w:val="000B5E38"/>
    <w:rsid w:val="000B66B2"/>
    <w:rsid w:val="000B68E2"/>
    <w:rsid w:val="000B69B5"/>
    <w:rsid w:val="000B7042"/>
    <w:rsid w:val="000B709B"/>
    <w:rsid w:val="000B7889"/>
    <w:rsid w:val="000B7C3A"/>
    <w:rsid w:val="000B7C73"/>
    <w:rsid w:val="000C04F5"/>
    <w:rsid w:val="000C0536"/>
    <w:rsid w:val="000C0B1C"/>
    <w:rsid w:val="000C0EF3"/>
    <w:rsid w:val="000C0FB4"/>
    <w:rsid w:val="000C12E0"/>
    <w:rsid w:val="000C278B"/>
    <w:rsid w:val="000C2867"/>
    <w:rsid w:val="000C2930"/>
    <w:rsid w:val="000C2A57"/>
    <w:rsid w:val="000C3104"/>
    <w:rsid w:val="000C4043"/>
    <w:rsid w:val="000C4DD1"/>
    <w:rsid w:val="000C524F"/>
    <w:rsid w:val="000C5B90"/>
    <w:rsid w:val="000C6179"/>
    <w:rsid w:val="000C68E4"/>
    <w:rsid w:val="000C7281"/>
    <w:rsid w:val="000C7A7C"/>
    <w:rsid w:val="000D0731"/>
    <w:rsid w:val="000D0804"/>
    <w:rsid w:val="000D0E11"/>
    <w:rsid w:val="000D18F8"/>
    <w:rsid w:val="000D1AB5"/>
    <w:rsid w:val="000D25CA"/>
    <w:rsid w:val="000D3B4C"/>
    <w:rsid w:val="000D4443"/>
    <w:rsid w:val="000D48A0"/>
    <w:rsid w:val="000D4BD4"/>
    <w:rsid w:val="000D5A63"/>
    <w:rsid w:val="000D5C75"/>
    <w:rsid w:val="000D5ECA"/>
    <w:rsid w:val="000D5EF4"/>
    <w:rsid w:val="000D5F37"/>
    <w:rsid w:val="000D5F4E"/>
    <w:rsid w:val="000D616E"/>
    <w:rsid w:val="000D6D18"/>
    <w:rsid w:val="000D6D59"/>
    <w:rsid w:val="000D73C7"/>
    <w:rsid w:val="000D74CC"/>
    <w:rsid w:val="000D763D"/>
    <w:rsid w:val="000E0060"/>
    <w:rsid w:val="000E0595"/>
    <w:rsid w:val="000E0809"/>
    <w:rsid w:val="000E0CA4"/>
    <w:rsid w:val="000E119D"/>
    <w:rsid w:val="000E15CC"/>
    <w:rsid w:val="000E177E"/>
    <w:rsid w:val="000E1D78"/>
    <w:rsid w:val="000E240D"/>
    <w:rsid w:val="000E2508"/>
    <w:rsid w:val="000E28A0"/>
    <w:rsid w:val="000E2A66"/>
    <w:rsid w:val="000E2AE0"/>
    <w:rsid w:val="000E3675"/>
    <w:rsid w:val="000E4065"/>
    <w:rsid w:val="000E437E"/>
    <w:rsid w:val="000E447C"/>
    <w:rsid w:val="000E4619"/>
    <w:rsid w:val="000E47E5"/>
    <w:rsid w:val="000E4911"/>
    <w:rsid w:val="000E4F47"/>
    <w:rsid w:val="000E6028"/>
    <w:rsid w:val="000E6207"/>
    <w:rsid w:val="000E6284"/>
    <w:rsid w:val="000E6621"/>
    <w:rsid w:val="000E69DC"/>
    <w:rsid w:val="000E7192"/>
    <w:rsid w:val="000E7475"/>
    <w:rsid w:val="000E7914"/>
    <w:rsid w:val="000E7D01"/>
    <w:rsid w:val="000F0A3A"/>
    <w:rsid w:val="000F0BF6"/>
    <w:rsid w:val="000F138E"/>
    <w:rsid w:val="000F16F9"/>
    <w:rsid w:val="000F194A"/>
    <w:rsid w:val="000F1B0A"/>
    <w:rsid w:val="000F1F99"/>
    <w:rsid w:val="000F238F"/>
    <w:rsid w:val="000F33A1"/>
    <w:rsid w:val="000F4F85"/>
    <w:rsid w:val="000F5023"/>
    <w:rsid w:val="000F5A93"/>
    <w:rsid w:val="000F6356"/>
    <w:rsid w:val="000F64E9"/>
    <w:rsid w:val="000F6571"/>
    <w:rsid w:val="000F65F4"/>
    <w:rsid w:val="000F6632"/>
    <w:rsid w:val="000F67FE"/>
    <w:rsid w:val="000F6AC5"/>
    <w:rsid w:val="0010081F"/>
    <w:rsid w:val="001009F4"/>
    <w:rsid w:val="0010154E"/>
    <w:rsid w:val="001022A5"/>
    <w:rsid w:val="001026FA"/>
    <w:rsid w:val="00102830"/>
    <w:rsid w:val="00102A19"/>
    <w:rsid w:val="00102B21"/>
    <w:rsid w:val="00102D06"/>
    <w:rsid w:val="001034E2"/>
    <w:rsid w:val="0010360B"/>
    <w:rsid w:val="001037B1"/>
    <w:rsid w:val="0010391C"/>
    <w:rsid w:val="00104363"/>
    <w:rsid w:val="001044AF"/>
    <w:rsid w:val="00104B3C"/>
    <w:rsid w:val="00105095"/>
    <w:rsid w:val="00105A6E"/>
    <w:rsid w:val="00105B38"/>
    <w:rsid w:val="00105B7A"/>
    <w:rsid w:val="001068FD"/>
    <w:rsid w:val="00106C26"/>
    <w:rsid w:val="00107767"/>
    <w:rsid w:val="00107E8C"/>
    <w:rsid w:val="00110554"/>
    <w:rsid w:val="0011056D"/>
    <w:rsid w:val="001106EC"/>
    <w:rsid w:val="00110F05"/>
    <w:rsid w:val="0011177D"/>
    <w:rsid w:val="00112901"/>
    <w:rsid w:val="00112A7A"/>
    <w:rsid w:val="00113344"/>
    <w:rsid w:val="00113485"/>
    <w:rsid w:val="0011388E"/>
    <w:rsid w:val="00113A51"/>
    <w:rsid w:val="00113B9F"/>
    <w:rsid w:val="00114C02"/>
    <w:rsid w:val="001152C3"/>
    <w:rsid w:val="00115314"/>
    <w:rsid w:val="00115AC8"/>
    <w:rsid w:val="00115AEC"/>
    <w:rsid w:val="00115D30"/>
    <w:rsid w:val="00115EA0"/>
    <w:rsid w:val="00117910"/>
    <w:rsid w:val="00120929"/>
    <w:rsid w:val="00120BEF"/>
    <w:rsid w:val="00120EB5"/>
    <w:rsid w:val="0012269E"/>
    <w:rsid w:val="00122C35"/>
    <w:rsid w:val="00122C71"/>
    <w:rsid w:val="00123234"/>
    <w:rsid w:val="00123282"/>
    <w:rsid w:val="00123815"/>
    <w:rsid w:val="0012419A"/>
    <w:rsid w:val="00124723"/>
    <w:rsid w:val="00124F36"/>
    <w:rsid w:val="00124FBE"/>
    <w:rsid w:val="001254CC"/>
    <w:rsid w:val="0012628F"/>
    <w:rsid w:val="00126DFF"/>
    <w:rsid w:val="00127690"/>
    <w:rsid w:val="001276CB"/>
    <w:rsid w:val="00127A51"/>
    <w:rsid w:val="001301F6"/>
    <w:rsid w:val="00130DEB"/>
    <w:rsid w:val="00130FA7"/>
    <w:rsid w:val="00131174"/>
    <w:rsid w:val="00131AC8"/>
    <w:rsid w:val="00131B13"/>
    <w:rsid w:val="001320C5"/>
    <w:rsid w:val="001321F9"/>
    <w:rsid w:val="00132F18"/>
    <w:rsid w:val="00132F79"/>
    <w:rsid w:val="0013375A"/>
    <w:rsid w:val="00133A14"/>
    <w:rsid w:val="0013411D"/>
    <w:rsid w:val="0013546B"/>
    <w:rsid w:val="001364FF"/>
    <w:rsid w:val="0013659A"/>
    <w:rsid w:val="0013676D"/>
    <w:rsid w:val="00136AA1"/>
    <w:rsid w:val="00136E1C"/>
    <w:rsid w:val="0013731C"/>
    <w:rsid w:val="0013758A"/>
    <w:rsid w:val="00137874"/>
    <w:rsid w:val="0014029C"/>
    <w:rsid w:val="0014166C"/>
    <w:rsid w:val="00141C08"/>
    <w:rsid w:val="00141C48"/>
    <w:rsid w:val="00141D54"/>
    <w:rsid w:val="00141DEF"/>
    <w:rsid w:val="00142406"/>
    <w:rsid w:val="00142438"/>
    <w:rsid w:val="001427F9"/>
    <w:rsid w:val="001429C8"/>
    <w:rsid w:val="00143714"/>
    <w:rsid w:val="001440A8"/>
    <w:rsid w:val="00144301"/>
    <w:rsid w:val="00144349"/>
    <w:rsid w:val="00145062"/>
    <w:rsid w:val="001452AC"/>
    <w:rsid w:val="00145A21"/>
    <w:rsid w:val="00146B9B"/>
    <w:rsid w:val="00146E3B"/>
    <w:rsid w:val="00146EC0"/>
    <w:rsid w:val="00147D2D"/>
    <w:rsid w:val="001511F5"/>
    <w:rsid w:val="00151508"/>
    <w:rsid w:val="00151683"/>
    <w:rsid w:val="00151815"/>
    <w:rsid w:val="00151A8F"/>
    <w:rsid w:val="00151BD9"/>
    <w:rsid w:val="00151D89"/>
    <w:rsid w:val="00151E55"/>
    <w:rsid w:val="00151FC8"/>
    <w:rsid w:val="001522D5"/>
    <w:rsid w:val="00152EB6"/>
    <w:rsid w:val="001544A6"/>
    <w:rsid w:val="00154C63"/>
    <w:rsid w:val="00154EBA"/>
    <w:rsid w:val="001554AE"/>
    <w:rsid w:val="001554D8"/>
    <w:rsid w:val="00155CCB"/>
    <w:rsid w:val="0015690E"/>
    <w:rsid w:val="00156F51"/>
    <w:rsid w:val="001606E3"/>
    <w:rsid w:val="00160E85"/>
    <w:rsid w:val="00161AF1"/>
    <w:rsid w:val="00161B8B"/>
    <w:rsid w:val="00161BE9"/>
    <w:rsid w:val="00162919"/>
    <w:rsid w:val="00162F0D"/>
    <w:rsid w:val="00163235"/>
    <w:rsid w:val="001634FE"/>
    <w:rsid w:val="00163CD8"/>
    <w:rsid w:val="0016563B"/>
    <w:rsid w:val="00165F98"/>
    <w:rsid w:val="00166900"/>
    <w:rsid w:val="0016765E"/>
    <w:rsid w:val="00167D10"/>
    <w:rsid w:val="00167F02"/>
    <w:rsid w:val="00170689"/>
    <w:rsid w:val="001708EE"/>
    <w:rsid w:val="00170AE4"/>
    <w:rsid w:val="00170B1A"/>
    <w:rsid w:val="00170D15"/>
    <w:rsid w:val="00170F66"/>
    <w:rsid w:val="00171644"/>
    <w:rsid w:val="00171721"/>
    <w:rsid w:val="0017184E"/>
    <w:rsid w:val="001718D7"/>
    <w:rsid w:val="00171D6C"/>
    <w:rsid w:val="001725E5"/>
    <w:rsid w:val="001732BB"/>
    <w:rsid w:val="001756C7"/>
    <w:rsid w:val="0017572E"/>
    <w:rsid w:val="0017605B"/>
    <w:rsid w:val="00176078"/>
    <w:rsid w:val="00176193"/>
    <w:rsid w:val="00176439"/>
    <w:rsid w:val="0017654C"/>
    <w:rsid w:val="00176BCE"/>
    <w:rsid w:val="0017703A"/>
    <w:rsid w:val="00177C23"/>
    <w:rsid w:val="00180901"/>
    <w:rsid w:val="001813B2"/>
    <w:rsid w:val="00181940"/>
    <w:rsid w:val="00182935"/>
    <w:rsid w:val="00182A0D"/>
    <w:rsid w:val="00183721"/>
    <w:rsid w:val="001839EB"/>
    <w:rsid w:val="00184BDA"/>
    <w:rsid w:val="00185B2B"/>
    <w:rsid w:val="00185F29"/>
    <w:rsid w:val="001860D0"/>
    <w:rsid w:val="001861FE"/>
    <w:rsid w:val="001869C4"/>
    <w:rsid w:val="00186B54"/>
    <w:rsid w:val="00186E4A"/>
    <w:rsid w:val="00187099"/>
    <w:rsid w:val="00187B3F"/>
    <w:rsid w:val="00190635"/>
    <w:rsid w:val="00190DC0"/>
    <w:rsid w:val="00190FCA"/>
    <w:rsid w:val="00191443"/>
    <w:rsid w:val="00191C87"/>
    <w:rsid w:val="00191CAD"/>
    <w:rsid w:val="0019222B"/>
    <w:rsid w:val="00192525"/>
    <w:rsid w:val="0019293C"/>
    <w:rsid w:val="00192D8D"/>
    <w:rsid w:val="00193618"/>
    <w:rsid w:val="00193676"/>
    <w:rsid w:val="00193C16"/>
    <w:rsid w:val="0019425B"/>
    <w:rsid w:val="00194955"/>
    <w:rsid w:val="00194B5D"/>
    <w:rsid w:val="00195002"/>
    <w:rsid w:val="001955F4"/>
    <w:rsid w:val="001960E4"/>
    <w:rsid w:val="00196482"/>
    <w:rsid w:val="0019665A"/>
    <w:rsid w:val="00196D6B"/>
    <w:rsid w:val="00197076"/>
    <w:rsid w:val="001976A6"/>
    <w:rsid w:val="00197F2A"/>
    <w:rsid w:val="001A042C"/>
    <w:rsid w:val="001A061B"/>
    <w:rsid w:val="001A0EDA"/>
    <w:rsid w:val="001A165D"/>
    <w:rsid w:val="001A1D7F"/>
    <w:rsid w:val="001A3732"/>
    <w:rsid w:val="001A3889"/>
    <w:rsid w:val="001A38C1"/>
    <w:rsid w:val="001A38FF"/>
    <w:rsid w:val="001A3CAA"/>
    <w:rsid w:val="001A4B56"/>
    <w:rsid w:val="001A4FF5"/>
    <w:rsid w:val="001A5599"/>
    <w:rsid w:val="001A56D2"/>
    <w:rsid w:val="001A60CD"/>
    <w:rsid w:val="001A63CB"/>
    <w:rsid w:val="001A646E"/>
    <w:rsid w:val="001A6891"/>
    <w:rsid w:val="001A6E07"/>
    <w:rsid w:val="001A78D0"/>
    <w:rsid w:val="001B112C"/>
    <w:rsid w:val="001B11C9"/>
    <w:rsid w:val="001B15F2"/>
    <w:rsid w:val="001B1BB6"/>
    <w:rsid w:val="001B239F"/>
    <w:rsid w:val="001B2E69"/>
    <w:rsid w:val="001B3035"/>
    <w:rsid w:val="001B39CC"/>
    <w:rsid w:val="001B3F70"/>
    <w:rsid w:val="001B4440"/>
    <w:rsid w:val="001B47D1"/>
    <w:rsid w:val="001B47D8"/>
    <w:rsid w:val="001B4EAC"/>
    <w:rsid w:val="001B504F"/>
    <w:rsid w:val="001B52A8"/>
    <w:rsid w:val="001B5CF2"/>
    <w:rsid w:val="001B60DE"/>
    <w:rsid w:val="001B693F"/>
    <w:rsid w:val="001B70AB"/>
    <w:rsid w:val="001B7902"/>
    <w:rsid w:val="001B7AEB"/>
    <w:rsid w:val="001B7E2E"/>
    <w:rsid w:val="001B7E62"/>
    <w:rsid w:val="001C1837"/>
    <w:rsid w:val="001C1A4B"/>
    <w:rsid w:val="001C218D"/>
    <w:rsid w:val="001C22F4"/>
    <w:rsid w:val="001C22F6"/>
    <w:rsid w:val="001C26B9"/>
    <w:rsid w:val="001C2B4D"/>
    <w:rsid w:val="001C2B72"/>
    <w:rsid w:val="001C3116"/>
    <w:rsid w:val="001C3FE8"/>
    <w:rsid w:val="001C5B71"/>
    <w:rsid w:val="001C667A"/>
    <w:rsid w:val="001C6D47"/>
    <w:rsid w:val="001D0634"/>
    <w:rsid w:val="001D1254"/>
    <w:rsid w:val="001D14E7"/>
    <w:rsid w:val="001D1A52"/>
    <w:rsid w:val="001D1A77"/>
    <w:rsid w:val="001D1BB0"/>
    <w:rsid w:val="001D22EB"/>
    <w:rsid w:val="001D2948"/>
    <w:rsid w:val="001D3864"/>
    <w:rsid w:val="001D44C7"/>
    <w:rsid w:val="001D52F0"/>
    <w:rsid w:val="001D53EE"/>
    <w:rsid w:val="001D5860"/>
    <w:rsid w:val="001D5B61"/>
    <w:rsid w:val="001D6DA8"/>
    <w:rsid w:val="001D7278"/>
    <w:rsid w:val="001D75F9"/>
    <w:rsid w:val="001D7ADF"/>
    <w:rsid w:val="001D7D13"/>
    <w:rsid w:val="001E0003"/>
    <w:rsid w:val="001E0044"/>
    <w:rsid w:val="001E0141"/>
    <w:rsid w:val="001E06D6"/>
    <w:rsid w:val="001E0A31"/>
    <w:rsid w:val="001E0CC6"/>
    <w:rsid w:val="001E0D3E"/>
    <w:rsid w:val="001E1862"/>
    <w:rsid w:val="001E1F97"/>
    <w:rsid w:val="001E2100"/>
    <w:rsid w:val="001E2118"/>
    <w:rsid w:val="001E2CEA"/>
    <w:rsid w:val="001E2FF1"/>
    <w:rsid w:val="001E370D"/>
    <w:rsid w:val="001E3899"/>
    <w:rsid w:val="001E43A8"/>
    <w:rsid w:val="001E49E7"/>
    <w:rsid w:val="001E4E92"/>
    <w:rsid w:val="001E52A1"/>
    <w:rsid w:val="001E57FE"/>
    <w:rsid w:val="001E61A1"/>
    <w:rsid w:val="001E64A3"/>
    <w:rsid w:val="001E6ABD"/>
    <w:rsid w:val="001E6B19"/>
    <w:rsid w:val="001E702A"/>
    <w:rsid w:val="001E72CE"/>
    <w:rsid w:val="001E798F"/>
    <w:rsid w:val="001F0A2F"/>
    <w:rsid w:val="001F1036"/>
    <w:rsid w:val="001F17CB"/>
    <w:rsid w:val="001F1889"/>
    <w:rsid w:val="001F1AAA"/>
    <w:rsid w:val="001F2432"/>
    <w:rsid w:val="001F263C"/>
    <w:rsid w:val="001F2C15"/>
    <w:rsid w:val="001F2E83"/>
    <w:rsid w:val="001F32F9"/>
    <w:rsid w:val="001F3517"/>
    <w:rsid w:val="001F4028"/>
    <w:rsid w:val="001F4A27"/>
    <w:rsid w:val="001F526F"/>
    <w:rsid w:val="001F5567"/>
    <w:rsid w:val="001F5F85"/>
    <w:rsid w:val="001F62E4"/>
    <w:rsid w:val="001F69CD"/>
    <w:rsid w:val="001F6FE7"/>
    <w:rsid w:val="00200328"/>
    <w:rsid w:val="00200506"/>
    <w:rsid w:val="00201BB7"/>
    <w:rsid w:val="00202903"/>
    <w:rsid w:val="00202AEF"/>
    <w:rsid w:val="00202CC8"/>
    <w:rsid w:val="00202D29"/>
    <w:rsid w:val="002031A6"/>
    <w:rsid w:val="002033B4"/>
    <w:rsid w:val="00203AFA"/>
    <w:rsid w:val="0020424B"/>
    <w:rsid w:val="00204BF5"/>
    <w:rsid w:val="00205281"/>
    <w:rsid w:val="00205BAB"/>
    <w:rsid w:val="00205F24"/>
    <w:rsid w:val="00206D6D"/>
    <w:rsid w:val="002070C0"/>
    <w:rsid w:val="00207729"/>
    <w:rsid w:val="002078E3"/>
    <w:rsid w:val="002102A2"/>
    <w:rsid w:val="00210890"/>
    <w:rsid w:val="00210A93"/>
    <w:rsid w:val="00210CEE"/>
    <w:rsid w:val="00210D0B"/>
    <w:rsid w:val="00210E7F"/>
    <w:rsid w:val="002111A5"/>
    <w:rsid w:val="002115A0"/>
    <w:rsid w:val="0021220C"/>
    <w:rsid w:val="002128DD"/>
    <w:rsid w:val="0021293B"/>
    <w:rsid w:val="00212A33"/>
    <w:rsid w:val="00212AE8"/>
    <w:rsid w:val="00213B57"/>
    <w:rsid w:val="00213C79"/>
    <w:rsid w:val="002147EA"/>
    <w:rsid w:val="00214952"/>
    <w:rsid w:val="0021515A"/>
    <w:rsid w:val="002157F9"/>
    <w:rsid w:val="0021741C"/>
    <w:rsid w:val="00217A69"/>
    <w:rsid w:val="002200A9"/>
    <w:rsid w:val="0022149C"/>
    <w:rsid w:val="002215E4"/>
    <w:rsid w:val="002216C1"/>
    <w:rsid w:val="0022195F"/>
    <w:rsid w:val="00223155"/>
    <w:rsid w:val="00223F8E"/>
    <w:rsid w:val="002244EC"/>
    <w:rsid w:val="00224D53"/>
    <w:rsid w:val="00224F82"/>
    <w:rsid w:val="00225452"/>
    <w:rsid w:val="00225C35"/>
    <w:rsid w:val="00226754"/>
    <w:rsid w:val="0022676A"/>
    <w:rsid w:val="00226878"/>
    <w:rsid w:val="00227761"/>
    <w:rsid w:val="002279AC"/>
    <w:rsid w:val="00227C94"/>
    <w:rsid w:val="00227FF4"/>
    <w:rsid w:val="0023049B"/>
    <w:rsid w:val="0023059A"/>
    <w:rsid w:val="002305C2"/>
    <w:rsid w:val="002307C7"/>
    <w:rsid w:val="00230A6C"/>
    <w:rsid w:val="00230E9A"/>
    <w:rsid w:val="00230EDE"/>
    <w:rsid w:val="0023135E"/>
    <w:rsid w:val="002314DD"/>
    <w:rsid w:val="00231F3F"/>
    <w:rsid w:val="0023226D"/>
    <w:rsid w:val="0023315C"/>
    <w:rsid w:val="00233172"/>
    <w:rsid w:val="00233BD8"/>
    <w:rsid w:val="0023405A"/>
    <w:rsid w:val="002345D3"/>
    <w:rsid w:val="00234B7F"/>
    <w:rsid w:val="00234BD9"/>
    <w:rsid w:val="00234C29"/>
    <w:rsid w:val="00234C35"/>
    <w:rsid w:val="00236373"/>
    <w:rsid w:val="002364F4"/>
    <w:rsid w:val="00236747"/>
    <w:rsid w:val="002371A1"/>
    <w:rsid w:val="00237379"/>
    <w:rsid w:val="0024011E"/>
    <w:rsid w:val="00240BDC"/>
    <w:rsid w:val="00240D90"/>
    <w:rsid w:val="00240EB2"/>
    <w:rsid w:val="00241115"/>
    <w:rsid w:val="00241858"/>
    <w:rsid w:val="00241AF8"/>
    <w:rsid w:val="00241F84"/>
    <w:rsid w:val="0024260E"/>
    <w:rsid w:val="002441BA"/>
    <w:rsid w:val="00244813"/>
    <w:rsid w:val="00244B8D"/>
    <w:rsid w:val="002453B3"/>
    <w:rsid w:val="00245839"/>
    <w:rsid w:val="0024590C"/>
    <w:rsid w:val="00245A42"/>
    <w:rsid w:val="00245B2D"/>
    <w:rsid w:val="0024690E"/>
    <w:rsid w:val="00246B58"/>
    <w:rsid w:val="00246D49"/>
    <w:rsid w:val="00247436"/>
    <w:rsid w:val="002479D1"/>
    <w:rsid w:val="00247CAB"/>
    <w:rsid w:val="00247D68"/>
    <w:rsid w:val="002501C4"/>
    <w:rsid w:val="00250628"/>
    <w:rsid w:val="00250FC3"/>
    <w:rsid w:val="00251C13"/>
    <w:rsid w:val="002520AD"/>
    <w:rsid w:val="00252114"/>
    <w:rsid w:val="00252177"/>
    <w:rsid w:val="00252F36"/>
    <w:rsid w:val="00252F4A"/>
    <w:rsid w:val="00253B22"/>
    <w:rsid w:val="00254B09"/>
    <w:rsid w:val="00255346"/>
    <w:rsid w:val="002554EC"/>
    <w:rsid w:val="002561DD"/>
    <w:rsid w:val="00256A2F"/>
    <w:rsid w:val="00257801"/>
    <w:rsid w:val="002600B5"/>
    <w:rsid w:val="00260465"/>
    <w:rsid w:val="00260944"/>
    <w:rsid w:val="002609A6"/>
    <w:rsid w:val="00260D7C"/>
    <w:rsid w:val="0026160E"/>
    <w:rsid w:val="00261665"/>
    <w:rsid w:val="00261AC2"/>
    <w:rsid w:val="00261E67"/>
    <w:rsid w:val="002624BC"/>
    <w:rsid w:val="0026292E"/>
    <w:rsid w:val="00262B69"/>
    <w:rsid w:val="00263003"/>
    <w:rsid w:val="00263375"/>
    <w:rsid w:val="002636E0"/>
    <w:rsid w:val="00263D86"/>
    <w:rsid w:val="002640FD"/>
    <w:rsid w:val="00264DC6"/>
    <w:rsid w:val="00264F8C"/>
    <w:rsid w:val="00265427"/>
    <w:rsid w:val="002656F3"/>
    <w:rsid w:val="002659E1"/>
    <w:rsid w:val="00265EC1"/>
    <w:rsid w:val="00265FD3"/>
    <w:rsid w:val="00266743"/>
    <w:rsid w:val="00266D26"/>
    <w:rsid w:val="002672AA"/>
    <w:rsid w:val="002673A4"/>
    <w:rsid w:val="002678FE"/>
    <w:rsid w:val="00270A96"/>
    <w:rsid w:val="00271282"/>
    <w:rsid w:val="002719D2"/>
    <w:rsid w:val="00272460"/>
    <w:rsid w:val="00272BAC"/>
    <w:rsid w:val="00272D80"/>
    <w:rsid w:val="002743B3"/>
    <w:rsid w:val="0027485B"/>
    <w:rsid w:val="00274A2C"/>
    <w:rsid w:val="00274EDA"/>
    <w:rsid w:val="00274FEC"/>
    <w:rsid w:val="0027513D"/>
    <w:rsid w:val="002759F2"/>
    <w:rsid w:val="00275A1F"/>
    <w:rsid w:val="002760E2"/>
    <w:rsid w:val="0027663A"/>
    <w:rsid w:val="00276898"/>
    <w:rsid w:val="00276CC1"/>
    <w:rsid w:val="0027710B"/>
    <w:rsid w:val="00277D51"/>
    <w:rsid w:val="00277DB8"/>
    <w:rsid w:val="002800CB"/>
    <w:rsid w:val="00280A6B"/>
    <w:rsid w:val="00281125"/>
    <w:rsid w:val="00281827"/>
    <w:rsid w:val="00281B89"/>
    <w:rsid w:val="00281C30"/>
    <w:rsid w:val="00282113"/>
    <w:rsid w:val="00282B70"/>
    <w:rsid w:val="00282CCA"/>
    <w:rsid w:val="0028366A"/>
    <w:rsid w:val="00283ED5"/>
    <w:rsid w:val="002856A0"/>
    <w:rsid w:val="00285B15"/>
    <w:rsid w:val="002866C1"/>
    <w:rsid w:val="002869A2"/>
    <w:rsid w:val="00286A73"/>
    <w:rsid w:val="00286A90"/>
    <w:rsid w:val="00286E53"/>
    <w:rsid w:val="002873C7"/>
    <w:rsid w:val="002873ED"/>
    <w:rsid w:val="00287CE1"/>
    <w:rsid w:val="002908B7"/>
    <w:rsid w:val="00290B85"/>
    <w:rsid w:val="00291299"/>
    <w:rsid w:val="00291531"/>
    <w:rsid w:val="002921B6"/>
    <w:rsid w:val="002922D0"/>
    <w:rsid w:val="002924CC"/>
    <w:rsid w:val="00292506"/>
    <w:rsid w:val="00292642"/>
    <w:rsid w:val="00292C0B"/>
    <w:rsid w:val="00292CC5"/>
    <w:rsid w:val="00293202"/>
    <w:rsid w:val="00294509"/>
    <w:rsid w:val="00294544"/>
    <w:rsid w:val="002949DA"/>
    <w:rsid w:val="00294C4A"/>
    <w:rsid w:val="00294DD2"/>
    <w:rsid w:val="00294F50"/>
    <w:rsid w:val="00295188"/>
    <w:rsid w:val="00295611"/>
    <w:rsid w:val="0029576C"/>
    <w:rsid w:val="00295998"/>
    <w:rsid w:val="00295DA7"/>
    <w:rsid w:val="00295DDF"/>
    <w:rsid w:val="00296611"/>
    <w:rsid w:val="00296DE3"/>
    <w:rsid w:val="0029724D"/>
    <w:rsid w:val="00297325"/>
    <w:rsid w:val="00297B37"/>
    <w:rsid w:val="002A07E6"/>
    <w:rsid w:val="002A08C2"/>
    <w:rsid w:val="002A0A04"/>
    <w:rsid w:val="002A0D90"/>
    <w:rsid w:val="002A1477"/>
    <w:rsid w:val="002A28AA"/>
    <w:rsid w:val="002A297A"/>
    <w:rsid w:val="002A3A4B"/>
    <w:rsid w:val="002A3AD4"/>
    <w:rsid w:val="002A4195"/>
    <w:rsid w:val="002A41F5"/>
    <w:rsid w:val="002A45D2"/>
    <w:rsid w:val="002A5002"/>
    <w:rsid w:val="002A5320"/>
    <w:rsid w:val="002A59EC"/>
    <w:rsid w:val="002A6595"/>
    <w:rsid w:val="002A6689"/>
    <w:rsid w:val="002A698B"/>
    <w:rsid w:val="002A6DCB"/>
    <w:rsid w:val="002A6F17"/>
    <w:rsid w:val="002A6F5E"/>
    <w:rsid w:val="002A7521"/>
    <w:rsid w:val="002B00A4"/>
    <w:rsid w:val="002B10D8"/>
    <w:rsid w:val="002B1383"/>
    <w:rsid w:val="002B152D"/>
    <w:rsid w:val="002B2A0B"/>
    <w:rsid w:val="002B2B51"/>
    <w:rsid w:val="002B2C46"/>
    <w:rsid w:val="002B40C4"/>
    <w:rsid w:val="002B43C4"/>
    <w:rsid w:val="002B4672"/>
    <w:rsid w:val="002B4BCC"/>
    <w:rsid w:val="002B5340"/>
    <w:rsid w:val="002B5578"/>
    <w:rsid w:val="002B593F"/>
    <w:rsid w:val="002B5BC3"/>
    <w:rsid w:val="002B5F80"/>
    <w:rsid w:val="002B6251"/>
    <w:rsid w:val="002B67CD"/>
    <w:rsid w:val="002B68BF"/>
    <w:rsid w:val="002B6A6B"/>
    <w:rsid w:val="002B6A6F"/>
    <w:rsid w:val="002B6FAB"/>
    <w:rsid w:val="002B7039"/>
    <w:rsid w:val="002B79B7"/>
    <w:rsid w:val="002B7B0C"/>
    <w:rsid w:val="002B7E85"/>
    <w:rsid w:val="002B7F30"/>
    <w:rsid w:val="002C06EA"/>
    <w:rsid w:val="002C0B01"/>
    <w:rsid w:val="002C0FF4"/>
    <w:rsid w:val="002C10D8"/>
    <w:rsid w:val="002C1153"/>
    <w:rsid w:val="002C2307"/>
    <w:rsid w:val="002C26BE"/>
    <w:rsid w:val="002C2A4D"/>
    <w:rsid w:val="002C33AF"/>
    <w:rsid w:val="002C4A88"/>
    <w:rsid w:val="002C577B"/>
    <w:rsid w:val="002C5B53"/>
    <w:rsid w:val="002C5DD7"/>
    <w:rsid w:val="002C5E53"/>
    <w:rsid w:val="002C619C"/>
    <w:rsid w:val="002C6408"/>
    <w:rsid w:val="002C6A5F"/>
    <w:rsid w:val="002C77C6"/>
    <w:rsid w:val="002D009D"/>
    <w:rsid w:val="002D011B"/>
    <w:rsid w:val="002D0285"/>
    <w:rsid w:val="002D0753"/>
    <w:rsid w:val="002D0C13"/>
    <w:rsid w:val="002D16F0"/>
    <w:rsid w:val="002D1A6B"/>
    <w:rsid w:val="002D2156"/>
    <w:rsid w:val="002D21AB"/>
    <w:rsid w:val="002D23E1"/>
    <w:rsid w:val="002D3483"/>
    <w:rsid w:val="002D3B7B"/>
    <w:rsid w:val="002D3D34"/>
    <w:rsid w:val="002D45CB"/>
    <w:rsid w:val="002D4704"/>
    <w:rsid w:val="002D56B0"/>
    <w:rsid w:val="002D58CA"/>
    <w:rsid w:val="002D7783"/>
    <w:rsid w:val="002D7DA6"/>
    <w:rsid w:val="002E11EB"/>
    <w:rsid w:val="002E14B4"/>
    <w:rsid w:val="002E181F"/>
    <w:rsid w:val="002E1D45"/>
    <w:rsid w:val="002E1FB3"/>
    <w:rsid w:val="002E2279"/>
    <w:rsid w:val="002E29BA"/>
    <w:rsid w:val="002E3309"/>
    <w:rsid w:val="002E3799"/>
    <w:rsid w:val="002E4735"/>
    <w:rsid w:val="002E4C9F"/>
    <w:rsid w:val="002E5987"/>
    <w:rsid w:val="002E6769"/>
    <w:rsid w:val="002E73AF"/>
    <w:rsid w:val="002F0904"/>
    <w:rsid w:val="002F0B58"/>
    <w:rsid w:val="002F10CA"/>
    <w:rsid w:val="002F1536"/>
    <w:rsid w:val="002F16EA"/>
    <w:rsid w:val="002F17E0"/>
    <w:rsid w:val="002F1ABA"/>
    <w:rsid w:val="002F1B52"/>
    <w:rsid w:val="002F281C"/>
    <w:rsid w:val="002F29F2"/>
    <w:rsid w:val="002F2B96"/>
    <w:rsid w:val="002F2EB5"/>
    <w:rsid w:val="002F3258"/>
    <w:rsid w:val="002F3264"/>
    <w:rsid w:val="002F3618"/>
    <w:rsid w:val="002F3B75"/>
    <w:rsid w:val="002F4370"/>
    <w:rsid w:val="002F4712"/>
    <w:rsid w:val="002F471C"/>
    <w:rsid w:val="002F47D4"/>
    <w:rsid w:val="002F51CF"/>
    <w:rsid w:val="002F6F51"/>
    <w:rsid w:val="002F7114"/>
    <w:rsid w:val="002F733C"/>
    <w:rsid w:val="003009EF"/>
    <w:rsid w:val="003014DC"/>
    <w:rsid w:val="00301CD6"/>
    <w:rsid w:val="00301EE9"/>
    <w:rsid w:val="00301FEA"/>
    <w:rsid w:val="003020DD"/>
    <w:rsid w:val="00303EBD"/>
    <w:rsid w:val="00304A2C"/>
    <w:rsid w:val="0030517F"/>
    <w:rsid w:val="0030629C"/>
    <w:rsid w:val="003064C0"/>
    <w:rsid w:val="0030693A"/>
    <w:rsid w:val="00307FCC"/>
    <w:rsid w:val="00310024"/>
    <w:rsid w:val="00310902"/>
    <w:rsid w:val="00310D5D"/>
    <w:rsid w:val="00311C83"/>
    <w:rsid w:val="00311E93"/>
    <w:rsid w:val="00311FED"/>
    <w:rsid w:val="00312333"/>
    <w:rsid w:val="00312E38"/>
    <w:rsid w:val="00313E77"/>
    <w:rsid w:val="003147C6"/>
    <w:rsid w:val="00315428"/>
    <w:rsid w:val="00315538"/>
    <w:rsid w:val="003157AD"/>
    <w:rsid w:val="0031601F"/>
    <w:rsid w:val="00316444"/>
    <w:rsid w:val="003165F7"/>
    <w:rsid w:val="003169F5"/>
    <w:rsid w:val="00316C7C"/>
    <w:rsid w:val="003175B6"/>
    <w:rsid w:val="00317824"/>
    <w:rsid w:val="0032005E"/>
    <w:rsid w:val="00320911"/>
    <w:rsid w:val="0032100D"/>
    <w:rsid w:val="00321655"/>
    <w:rsid w:val="00321706"/>
    <w:rsid w:val="00322084"/>
    <w:rsid w:val="00322767"/>
    <w:rsid w:val="003228E9"/>
    <w:rsid w:val="003229D7"/>
    <w:rsid w:val="00322B17"/>
    <w:rsid w:val="00323AA9"/>
    <w:rsid w:val="00324270"/>
    <w:rsid w:val="0032438B"/>
    <w:rsid w:val="00324978"/>
    <w:rsid w:val="003257A3"/>
    <w:rsid w:val="00325845"/>
    <w:rsid w:val="003261D4"/>
    <w:rsid w:val="003263E7"/>
    <w:rsid w:val="00326CA3"/>
    <w:rsid w:val="003274B1"/>
    <w:rsid w:val="00327F16"/>
    <w:rsid w:val="00327FA0"/>
    <w:rsid w:val="00330535"/>
    <w:rsid w:val="0033064B"/>
    <w:rsid w:val="00331534"/>
    <w:rsid w:val="003320E1"/>
    <w:rsid w:val="00332519"/>
    <w:rsid w:val="0033265B"/>
    <w:rsid w:val="00332DAF"/>
    <w:rsid w:val="00332EA5"/>
    <w:rsid w:val="00333A55"/>
    <w:rsid w:val="00334523"/>
    <w:rsid w:val="0033480B"/>
    <w:rsid w:val="00334CD9"/>
    <w:rsid w:val="00334DE6"/>
    <w:rsid w:val="00334E20"/>
    <w:rsid w:val="003350D0"/>
    <w:rsid w:val="00335677"/>
    <w:rsid w:val="003357A2"/>
    <w:rsid w:val="00336DD6"/>
    <w:rsid w:val="00336F05"/>
    <w:rsid w:val="00337196"/>
    <w:rsid w:val="00337220"/>
    <w:rsid w:val="003375E1"/>
    <w:rsid w:val="0034044B"/>
    <w:rsid w:val="00341072"/>
    <w:rsid w:val="0034205A"/>
    <w:rsid w:val="003421DC"/>
    <w:rsid w:val="0034231C"/>
    <w:rsid w:val="0034239C"/>
    <w:rsid w:val="00342470"/>
    <w:rsid w:val="003425EF"/>
    <w:rsid w:val="00342859"/>
    <w:rsid w:val="00342EE7"/>
    <w:rsid w:val="00343103"/>
    <w:rsid w:val="00343174"/>
    <w:rsid w:val="0034328D"/>
    <w:rsid w:val="003437DE"/>
    <w:rsid w:val="003438FA"/>
    <w:rsid w:val="00343937"/>
    <w:rsid w:val="00343B13"/>
    <w:rsid w:val="00344300"/>
    <w:rsid w:val="003454DC"/>
    <w:rsid w:val="00345C84"/>
    <w:rsid w:val="00345F4A"/>
    <w:rsid w:val="003464EA"/>
    <w:rsid w:val="00346A80"/>
    <w:rsid w:val="00346F57"/>
    <w:rsid w:val="00346F7A"/>
    <w:rsid w:val="00347078"/>
    <w:rsid w:val="00347EA1"/>
    <w:rsid w:val="003519BA"/>
    <w:rsid w:val="00351A09"/>
    <w:rsid w:val="00351DC9"/>
    <w:rsid w:val="00352095"/>
    <w:rsid w:val="00352168"/>
    <w:rsid w:val="00352169"/>
    <w:rsid w:val="003521C9"/>
    <w:rsid w:val="00353A04"/>
    <w:rsid w:val="00353B1D"/>
    <w:rsid w:val="0035415B"/>
    <w:rsid w:val="00354D94"/>
    <w:rsid w:val="003556DB"/>
    <w:rsid w:val="003559A5"/>
    <w:rsid w:val="003569FB"/>
    <w:rsid w:val="00356A71"/>
    <w:rsid w:val="003573BE"/>
    <w:rsid w:val="00357655"/>
    <w:rsid w:val="00357761"/>
    <w:rsid w:val="00357F2A"/>
    <w:rsid w:val="00360AEB"/>
    <w:rsid w:val="00361A80"/>
    <w:rsid w:val="00361AC8"/>
    <w:rsid w:val="00362132"/>
    <w:rsid w:val="00362581"/>
    <w:rsid w:val="0036281E"/>
    <w:rsid w:val="00362900"/>
    <w:rsid w:val="00362A9E"/>
    <w:rsid w:val="003635C6"/>
    <w:rsid w:val="00363898"/>
    <w:rsid w:val="00363939"/>
    <w:rsid w:val="00363A61"/>
    <w:rsid w:val="00363C01"/>
    <w:rsid w:val="00363DA3"/>
    <w:rsid w:val="00364429"/>
    <w:rsid w:val="00365CEB"/>
    <w:rsid w:val="00365FAF"/>
    <w:rsid w:val="0036641A"/>
    <w:rsid w:val="003666EF"/>
    <w:rsid w:val="0036671D"/>
    <w:rsid w:val="00366731"/>
    <w:rsid w:val="00366AC9"/>
    <w:rsid w:val="00366FCD"/>
    <w:rsid w:val="00367183"/>
    <w:rsid w:val="003700B7"/>
    <w:rsid w:val="003705F8"/>
    <w:rsid w:val="003708A2"/>
    <w:rsid w:val="00370F37"/>
    <w:rsid w:val="00371500"/>
    <w:rsid w:val="00371C87"/>
    <w:rsid w:val="003720CC"/>
    <w:rsid w:val="00372823"/>
    <w:rsid w:val="00372877"/>
    <w:rsid w:val="003739CF"/>
    <w:rsid w:val="00373C0E"/>
    <w:rsid w:val="00374136"/>
    <w:rsid w:val="00374390"/>
    <w:rsid w:val="003743E4"/>
    <w:rsid w:val="0037460A"/>
    <w:rsid w:val="00375A96"/>
    <w:rsid w:val="00376501"/>
    <w:rsid w:val="00380289"/>
    <w:rsid w:val="00382E0E"/>
    <w:rsid w:val="00382F4D"/>
    <w:rsid w:val="00383507"/>
    <w:rsid w:val="0038389C"/>
    <w:rsid w:val="00383F6C"/>
    <w:rsid w:val="003843ED"/>
    <w:rsid w:val="00384D7E"/>
    <w:rsid w:val="003851A2"/>
    <w:rsid w:val="00385B72"/>
    <w:rsid w:val="00386771"/>
    <w:rsid w:val="00387367"/>
    <w:rsid w:val="0038753E"/>
    <w:rsid w:val="00387D1D"/>
    <w:rsid w:val="0039002D"/>
    <w:rsid w:val="0039013B"/>
    <w:rsid w:val="00390886"/>
    <w:rsid w:val="00391E9D"/>
    <w:rsid w:val="00391F1E"/>
    <w:rsid w:val="003930AC"/>
    <w:rsid w:val="00393D7A"/>
    <w:rsid w:val="00394037"/>
    <w:rsid w:val="003948FC"/>
    <w:rsid w:val="00394CEB"/>
    <w:rsid w:val="003950DD"/>
    <w:rsid w:val="00396383"/>
    <w:rsid w:val="0039753F"/>
    <w:rsid w:val="003A0666"/>
    <w:rsid w:val="003A0E55"/>
    <w:rsid w:val="003A1660"/>
    <w:rsid w:val="003A26BB"/>
    <w:rsid w:val="003A2723"/>
    <w:rsid w:val="003A2746"/>
    <w:rsid w:val="003A2835"/>
    <w:rsid w:val="003A2C31"/>
    <w:rsid w:val="003A357C"/>
    <w:rsid w:val="003A43E3"/>
    <w:rsid w:val="003A48FC"/>
    <w:rsid w:val="003A4EB3"/>
    <w:rsid w:val="003A5274"/>
    <w:rsid w:val="003A680B"/>
    <w:rsid w:val="003A7413"/>
    <w:rsid w:val="003A77D8"/>
    <w:rsid w:val="003A7CFD"/>
    <w:rsid w:val="003A7D68"/>
    <w:rsid w:val="003A7F66"/>
    <w:rsid w:val="003B0EC0"/>
    <w:rsid w:val="003B11AF"/>
    <w:rsid w:val="003B15E9"/>
    <w:rsid w:val="003B1C80"/>
    <w:rsid w:val="003B1D67"/>
    <w:rsid w:val="003B20CD"/>
    <w:rsid w:val="003B2426"/>
    <w:rsid w:val="003B2580"/>
    <w:rsid w:val="003B270A"/>
    <w:rsid w:val="003B38F4"/>
    <w:rsid w:val="003B3E91"/>
    <w:rsid w:val="003B4324"/>
    <w:rsid w:val="003B480C"/>
    <w:rsid w:val="003B4856"/>
    <w:rsid w:val="003B5580"/>
    <w:rsid w:val="003B5BC5"/>
    <w:rsid w:val="003B64AC"/>
    <w:rsid w:val="003B6BD2"/>
    <w:rsid w:val="003B76A4"/>
    <w:rsid w:val="003C05B5"/>
    <w:rsid w:val="003C123F"/>
    <w:rsid w:val="003C1300"/>
    <w:rsid w:val="003C137A"/>
    <w:rsid w:val="003C161A"/>
    <w:rsid w:val="003C1704"/>
    <w:rsid w:val="003C1812"/>
    <w:rsid w:val="003C185F"/>
    <w:rsid w:val="003C1EFF"/>
    <w:rsid w:val="003C2778"/>
    <w:rsid w:val="003C27FE"/>
    <w:rsid w:val="003C28A3"/>
    <w:rsid w:val="003C2C2A"/>
    <w:rsid w:val="003C3022"/>
    <w:rsid w:val="003C348E"/>
    <w:rsid w:val="003C3B4E"/>
    <w:rsid w:val="003C4366"/>
    <w:rsid w:val="003C46F1"/>
    <w:rsid w:val="003C5592"/>
    <w:rsid w:val="003C5F69"/>
    <w:rsid w:val="003C635D"/>
    <w:rsid w:val="003C6651"/>
    <w:rsid w:val="003C6869"/>
    <w:rsid w:val="003C6A5E"/>
    <w:rsid w:val="003D0396"/>
    <w:rsid w:val="003D0623"/>
    <w:rsid w:val="003D12FE"/>
    <w:rsid w:val="003D17D6"/>
    <w:rsid w:val="003D1852"/>
    <w:rsid w:val="003D1E9A"/>
    <w:rsid w:val="003D20B0"/>
    <w:rsid w:val="003D2275"/>
    <w:rsid w:val="003D2464"/>
    <w:rsid w:val="003D28E4"/>
    <w:rsid w:val="003D3821"/>
    <w:rsid w:val="003D3EC5"/>
    <w:rsid w:val="003D4955"/>
    <w:rsid w:val="003D4E7A"/>
    <w:rsid w:val="003D5806"/>
    <w:rsid w:val="003D5FF6"/>
    <w:rsid w:val="003D67BA"/>
    <w:rsid w:val="003E06AD"/>
    <w:rsid w:val="003E10C3"/>
    <w:rsid w:val="003E16C6"/>
    <w:rsid w:val="003E1C07"/>
    <w:rsid w:val="003E1CF5"/>
    <w:rsid w:val="003E2112"/>
    <w:rsid w:val="003E2311"/>
    <w:rsid w:val="003E2792"/>
    <w:rsid w:val="003E27EC"/>
    <w:rsid w:val="003E283E"/>
    <w:rsid w:val="003E2A7A"/>
    <w:rsid w:val="003E2ADD"/>
    <w:rsid w:val="003E2BF9"/>
    <w:rsid w:val="003E2FB7"/>
    <w:rsid w:val="003E3690"/>
    <w:rsid w:val="003E392D"/>
    <w:rsid w:val="003E3931"/>
    <w:rsid w:val="003E401B"/>
    <w:rsid w:val="003E403B"/>
    <w:rsid w:val="003E4B76"/>
    <w:rsid w:val="003E5809"/>
    <w:rsid w:val="003E5BA7"/>
    <w:rsid w:val="003E65BC"/>
    <w:rsid w:val="003E6D1E"/>
    <w:rsid w:val="003E6E3E"/>
    <w:rsid w:val="003E71F7"/>
    <w:rsid w:val="003E736B"/>
    <w:rsid w:val="003F014D"/>
    <w:rsid w:val="003F0326"/>
    <w:rsid w:val="003F03D5"/>
    <w:rsid w:val="003F11E7"/>
    <w:rsid w:val="003F1A89"/>
    <w:rsid w:val="003F1CE1"/>
    <w:rsid w:val="003F1EB0"/>
    <w:rsid w:val="003F2130"/>
    <w:rsid w:val="003F25A3"/>
    <w:rsid w:val="003F2DCD"/>
    <w:rsid w:val="003F33FC"/>
    <w:rsid w:val="003F3704"/>
    <w:rsid w:val="003F37E6"/>
    <w:rsid w:val="003F3F2F"/>
    <w:rsid w:val="003F44F2"/>
    <w:rsid w:val="003F4887"/>
    <w:rsid w:val="003F4C54"/>
    <w:rsid w:val="003F536F"/>
    <w:rsid w:val="003F568A"/>
    <w:rsid w:val="003F58C1"/>
    <w:rsid w:val="003F6769"/>
    <w:rsid w:val="003F6E30"/>
    <w:rsid w:val="003F78A3"/>
    <w:rsid w:val="003F7C95"/>
    <w:rsid w:val="004000E3"/>
    <w:rsid w:val="00400FA2"/>
    <w:rsid w:val="00401467"/>
    <w:rsid w:val="004016FB"/>
    <w:rsid w:val="00401726"/>
    <w:rsid w:val="00401AC1"/>
    <w:rsid w:val="00402065"/>
    <w:rsid w:val="00402CC1"/>
    <w:rsid w:val="00402E5D"/>
    <w:rsid w:val="004031D9"/>
    <w:rsid w:val="00403496"/>
    <w:rsid w:val="00403B08"/>
    <w:rsid w:val="00404089"/>
    <w:rsid w:val="00404461"/>
    <w:rsid w:val="004044B8"/>
    <w:rsid w:val="0040465F"/>
    <w:rsid w:val="004048E3"/>
    <w:rsid w:val="004050AC"/>
    <w:rsid w:val="00405458"/>
    <w:rsid w:val="00405990"/>
    <w:rsid w:val="0040614E"/>
    <w:rsid w:val="004063D7"/>
    <w:rsid w:val="00406911"/>
    <w:rsid w:val="00406A2F"/>
    <w:rsid w:val="00406BB0"/>
    <w:rsid w:val="004071AD"/>
    <w:rsid w:val="00411549"/>
    <w:rsid w:val="004119F5"/>
    <w:rsid w:val="00411B08"/>
    <w:rsid w:val="00412106"/>
    <w:rsid w:val="00412C87"/>
    <w:rsid w:val="00413088"/>
    <w:rsid w:val="00413C41"/>
    <w:rsid w:val="00413E57"/>
    <w:rsid w:val="00414326"/>
    <w:rsid w:val="0041522B"/>
    <w:rsid w:val="00415265"/>
    <w:rsid w:val="0041580B"/>
    <w:rsid w:val="00415FB6"/>
    <w:rsid w:val="00416B4C"/>
    <w:rsid w:val="0042032C"/>
    <w:rsid w:val="00420A8F"/>
    <w:rsid w:val="00420B73"/>
    <w:rsid w:val="00421024"/>
    <w:rsid w:val="00422691"/>
    <w:rsid w:val="00422908"/>
    <w:rsid w:val="004231D7"/>
    <w:rsid w:val="00423D8D"/>
    <w:rsid w:val="00423E90"/>
    <w:rsid w:val="00423EB5"/>
    <w:rsid w:val="00425861"/>
    <w:rsid w:val="00425A3B"/>
    <w:rsid w:val="00425FB9"/>
    <w:rsid w:val="00426202"/>
    <w:rsid w:val="00427057"/>
    <w:rsid w:val="00427B54"/>
    <w:rsid w:val="00431A20"/>
    <w:rsid w:val="00431A4F"/>
    <w:rsid w:val="00431B47"/>
    <w:rsid w:val="00432180"/>
    <w:rsid w:val="00432FC5"/>
    <w:rsid w:val="00433A87"/>
    <w:rsid w:val="00434629"/>
    <w:rsid w:val="00434DBC"/>
    <w:rsid w:val="0043571F"/>
    <w:rsid w:val="00435E0E"/>
    <w:rsid w:val="00435E57"/>
    <w:rsid w:val="004360AE"/>
    <w:rsid w:val="00436553"/>
    <w:rsid w:val="00436DF6"/>
    <w:rsid w:val="00436E78"/>
    <w:rsid w:val="004372F9"/>
    <w:rsid w:val="004373E9"/>
    <w:rsid w:val="004376E1"/>
    <w:rsid w:val="0043788F"/>
    <w:rsid w:val="0043797A"/>
    <w:rsid w:val="00437B2B"/>
    <w:rsid w:val="00437CD3"/>
    <w:rsid w:val="00437D57"/>
    <w:rsid w:val="00441169"/>
    <w:rsid w:val="0044183A"/>
    <w:rsid w:val="0044255A"/>
    <w:rsid w:val="00442598"/>
    <w:rsid w:val="00442653"/>
    <w:rsid w:val="00442A4A"/>
    <w:rsid w:val="00442D1B"/>
    <w:rsid w:val="004430AF"/>
    <w:rsid w:val="0044319F"/>
    <w:rsid w:val="00443824"/>
    <w:rsid w:val="004439B8"/>
    <w:rsid w:val="004439C3"/>
    <w:rsid w:val="00443C0B"/>
    <w:rsid w:val="004441F6"/>
    <w:rsid w:val="004444B6"/>
    <w:rsid w:val="0044482A"/>
    <w:rsid w:val="004448B4"/>
    <w:rsid w:val="00444B8B"/>
    <w:rsid w:val="00444EF5"/>
    <w:rsid w:val="00444F04"/>
    <w:rsid w:val="00445097"/>
    <w:rsid w:val="00445441"/>
    <w:rsid w:val="00445B75"/>
    <w:rsid w:val="00446F0A"/>
    <w:rsid w:val="0045010E"/>
    <w:rsid w:val="004508FB"/>
    <w:rsid w:val="00450C19"/>
    <w:rsid w:val="00451EC0"/>
    <w:rsid w:val="00452459"/>
    <w:rsid w:val="00453609"/>
    <w:rsid w:val="004537AD"/>
    <w:rsid w:val="00453A10"/>
    <w:rsid w:val="00453EDB"/>
    <w:rsid w:val="00454F23"/>
    <w:rsid w:val="00457A3D"/>
    <w:rsid w:val="0046028A"/>
    <w:rsid w:val="00460E47"/>
    <w:rsid w:val="00461549"/>
    <w:rsid w:val="00461794"/>
    <w:rsid w:val="004619AC"/>
    <w:rsid w:val="00461C05"/>
    <w:rsid w:val="004622EB"/>
    <w:rsid w:val="0046245E"/>
    <w:rsid w:val="00462B1A"/>
    <w:rsid w:val="00463077"/>
    <w:rsid w:val="004632CC"/>
    <w:rsid w:val="0046363F"/>
    <w:rsid w:val="004644FF"/>
    <w:rsid w:val="00464897"/>
    <w:rsid w:val="00464AF0"/>
    <w:rsid w:val="00465657"/>
    <w:rsid w:val="00465885"/>
    <w:rsid w:val="00465C29"/>
    <w:rsid w:val="00466346"/>
    <w:rsid w:val="00467A01"/>
    <w:rsid w:val="00467C17"/>
    <w:rsid w:val="00470828"/>
    <w:rsid w:val="004715C5"/>
    <w:rsid w:val="00471794"/>
    <w:rsid w:val="004728F6"/>
    <w:rsid w:val="00473071"/>
    <w:rsid w:val="00474125"/>
    <w:rsid w:val="004744DE"/>
    <w:rsid w:val="00474931"/>
    <w:rsid w:val="00474C69"/>
    <w:rsid w:val="00474D59"/>
    <w:rsid w:val="0047540A"/>
    <w:rsid w:val="0047578A"/>
    <w:rsid w:val="00475EFE"/>
    <w:rsid w:val="0047633B"/>
    <w:rsid w:val="00476CE4"/>
    <w:rsid w:val="00476E47"/>
    <w:rsid w:val="00476E92"/>
    <w:rsid w:val="00476F74"/>
    <w:rsid w:val="0047727C"/>
    <w:rsid w:val="00477EE0"/>
    <w:rsid w:val="004800F1"/>
    <w:rsid w:val="00480422"/>
    <w:rsid w:val="00481320"/>
    <w:rsid w:val="004813D5"/>
    <w:rsid w:val="00481D86"/>
    <w:rsid w:val="00481DB0"/>
    <w:rsid w:val="00483660"/>
    <w:rsid w:val="00483964"/>
    <w:rsid w:val="00483981"/>
    <w:rsid w:val="00483D1C"/>
    <w:rsid w:val="00484D72"/>
    <w:rsid w:val="00485354"/>
    <w:rsid w:val="00485769"/>
    <w:rsid w:val="00485ADA"/>
    <w:rsid w:val="0048646C"/>
    <w:rsid w:val="00486A7F"/>
    <w:rsid w:val="00486DD0"/>
    <w:rsid w:val="0048742B"/>
    <w:rsid w:val="00487CA1"/>
    <w:rsid w:val="0049025B"/>
    <w:rsid w:val="00490373"/>
    <w:rsid w:val="00490781"/>
    <w:rsid w:val="004908F7"/>
    <w:rsid w:val="004917FF"/>
    <w:rsid w:val="00491CF7"/>
    <w:rsid w:val="004926F5"/>
    <w:rsid w:val="00492E63"/>
    <w:rsid w:val="004931B7"/>
    <w:rsid w:val="004933FB"/>
    <w:rsid w:val="00493467"/>
    <w:rsid w:val="00493977"/>
    <w:rsid w:val="00493B2F"/>
    <w:rsid w:val="00493CB9"/>
    <w:rsid w:val="004947C3"/>
    <w:rsid w:val="00494CF8"/>
    <w:rsid w:val="00495791"/>
    <w:rsid w:val="00495B64"/>
    <w:rsid w:val="00495F05"/>
    <w:rsid w:val="004968F7"/>
    <w:rsid w:val="0049696D"/>
    <w:rsid w:val="004974A9"/>
    <w:rsid w:val="004976A6"/>
    <w:rsid w:val="004976CF"/>
    <w:rsid w:val="00497867"/>
    <w:rsid w:val="004978A2"/>
    <w:rsid w:val="0049798B"/>
    <w:rsid w:val="00497C84"/>
    <w:rsid w:val="004A1058"/>
    <w:rsid w:val="004A2019"/>
    <w:rsid w:val="004A34B9"/>
    <w:rsid w:val="004A35EF"/>
    <w:rsid w:val="004A3801"/>
    <w:rsid w:val="004A3C6F"/>
    <w:rsid w:val="004A3FEB"/>
    <w:rsid w:val="004A4840"/>
    <w:rsid w:val="004A4C8E"/>
    <w:rsid w:val="004A55A9"/>
    <w:rsid w:val="004A5815"/>
    <w:rsid w:val="004A5E1D"/>
    <w:rsid w:val="004A63AB"/>
    <w:rsid w:val="004A68EF"/>
    <w:rsid w:val="004A6B37"/>
    <w:rsid w:val="004A6B5F"/>
    <w:rsid w:val="004A72C6"/>
    <w:rsid w:val="004B0215"/>
    <w:rsid w:val="004B0D7C"/>
    <w:rsid w:val="004B1038"/>
    <w:rsid w:val="004B1668"/>
    <w:rsid w:val="004B18D4"/>
    <w:rsid w:val="004B1A6B"/>
    <w:rsid w:val="004B4124"/>
    <w:rsid w:val="004B54A0"/>
    <w:rsid w:val="004B54C1"/>
    <w:rsid w:val="004B571B"/>
    <w:rsid w:val="004B605A"/>
    <w:rsid w:val="004B6EA4"/>
    <w:rsid w:val="004B715D"/>
    <w:rsid w:val="004B71DA"/>
    <w:rsid w:val="004B721D"/>
    <w:rsid w:val="004B7BA5"/>
    <w:rsid w:val="004B7BAD"/>
    <w:rsid w:val="004B7D4D"/>
    <w:rsid w:val="004C0327"/>
    <w:rsid w:val="004C1E8D"/>
    <w:rsid w:val="004C2656"/>
    <w:rsid w:val="004C3006"/>
    <w:rsid w:val="004C33AE"/>
    <w:rsid w:val="004C378F"/>
    <w:rsid w:val="004C3B38"/>
    <w:rsid w:val="004C3C81"/>
    <w:rsid w:val="004C50FC"/>
    <w:rsid w:val="004C56F1"/>
    <w:rsid w:val="004C5E63"/>
    <w:rsid w:val="004C604C"/>
    <w:rsid w:val="004C620C"/>
    <w:rsid w:val="004C678F"/>
    <w:rsid w:val="004C6CE1"/>
    <w:rsid w:val="004C6D9C"/>
    <w:rsid w:val="004C7296"/>
    <w:rsid w:val="004C73DF"/>
    <w:rsid w:val="004C7DFC"/>
    <w:rsid w:val="004D082F"/>
    <w:rsid w:val="004D1B81"/>
    <w:rsid w:val="004D1BB1"/>
    <w:rsid w:val="004D1D86"/>
    <w:rsid w:val="004D2907"/>
    <w:rsid w:val="004D2B85"/>
    <w:rsid w:val="004D361E"/>
    <w:rsid w:val="004D3A83"/>
    <w:rsid w:val="004D3F5A"/>
    <w:rsid w:val="004D5B02"/>
    <w:rsid w:val="004D6166"/>
    <w:rsid w:val="004D65F5"/>
    <w:rsid w:val="004D742A"/>
    <w:rsid w:val="004D7551"/>
    <w:rsid w:val="004D786B"/>
    <w:rsid w:val="004D7893"/>
    <w:rsid w:val="004D7B07"/>
    <w:rsid w:val="004E0852"/>
    <w:rsid w:val="004E0CE2"/>
    <w:rsid w:val="004E0D9E"/>
    <w:rsid w:val="004E0E07"/>
    <w:rsid w:val="004E0E5C"/>
    <w:rsid w:val="004E1008"/>
    <w:rsid w:val="004E11EE"/>
    <w:rsid w:val="004E165A"/>
    <w:rsid w:val="004E1EC9"/>
    <w:rsid w:val="004E2DBE"/>
    <w:rsid w:val="004E347D"/>
    <w:rsid w:val="004E3A81"/>
    <w:rsid w:val="004E40A7"/>
    <w:rsid w:val="004E44AE"/>
    <w:rsid w:val="004E48D8"/>
    <w:rsid w:val="004E4B24"/>
    <w:rsid w:val="004E5DC5"/>
    <w:rsid w:val="004E61A0"/>
    <w:rsid w:val="004E6281"/>
    <w:rsid w:val="004E6725"/>
    <w:rsid w:val="004E6BBE"/>
    <w:rsid w:val="004E73AE"/>
    <w:rsid w:val="004E774D"/>
    <w:rsid w:val="004E78AA"/>
    <w:rsid w:val="004E7976"/>
    <w:rsid w:val="004F139C"/>
    <w:rsid w:val="004F142B"/>
    <w:rsid w:val="004F1682"/>
    <w:rsid w:val="004F1D9E"/>
    <w:rsid w:val="004F20EE"/>
    <w:rsid w:val="004F294A"/>
    <w:rsid w:val="004F360A"/>
    <w:rsid w:val="004F3925"/>
    <w:rsid w:val="004F4B09"/>
    <w:rsid w:val="004F5A39"/>
    <w:rsid w:val="004F5CBB"/>
    <w:rsid w:val="004F6118"/>
    <w:rsid w:val="004F6B37"/>
    <w:rsid w:val="004F6C54"/>
    <w:rsid w:val="004F6D18"/>
    <w:rsid w:val="004F77E8"/>
    <w:rsid w:val="004F7E70"/>
    <w:rsid w:val="00500143"/>
    <w:rsid w:val="0050016A"/>
    <w:rsid w:val="005007CE"/>
    <w:rsid w:val="00500B07"/>
    <w:rsid w:val="00501538"/>
    <w:rsid w:val="00502179"/>
    <w:rsid w:val="00502398"/>
    <w:rsid w:val="0050246E"/>
    <w:rsid w:val="0050344D"/>
    <w:rsid w:val="005037AC"/>
    <w:rsid w:val="00504AB8"/>
    <w:rsid w:val="0050501C"/>
    <w:rsid w:val="005055DF"/>
    <w:rsid w:val="005068B2"/>
    <w:rsid w:val="00506B97"/>
    <w:rsid w:val="00507882"/>
    <w:rsid w:val="00507954"/>
    <w:rsid w:val="0050795C"/>
    <w:rsid w:val="00507BA9"/>
    <w:rsid w:val="0051006E"/>
    <w:rsid w:val="005107F3"/>
    <w:rsid w:val="005108A8"/>
    <w:rsid w:val="00510F5D"/>
    <w:rsid w:val="00511239"/>
    <w:rsid w:val="00511AE1"/>
    <w:rsid w:val="00512026"/>
    <w:rsid w:val="00512372"/>
    <w:rsid w:val="005126F3"/>
    <w:rsid w:val="00512DAC"/>
    <w:rsid w:val="0051356A"/>
    <w:rsid w:val="00513B2A"/>
    <w:rsid w:val="005142F5"/>
    <w:rsid w:val="00514335"/>
    <w:rsid w:val="00514636"/>
    <w:rsid w:val="005146AC"/>
    <w:rsid w:val="00514828"/>
    <w:rsid w:val="00514CF1"/>
    <w:rsid w:val="00515489"/>
    <w:rsid w:val="00515DB8"/>
    <w:rsid w:val="0051629A"/>
    <w:rsid w:val="00516984"/>
    <w:rsid w:val="00516F3D"/>
    <w:rsid w:val="005170FE"/>
    <w:rsid w:val="005176B7"/>
    <w:rsid w:val="00517CD6"/>
    <w:rsid w:val="00517FF4"/>
    <w:rsid w:val="005200EF"/>
    <w:rsid w:val="005206EE"/>
    <w:rsid w:val="00520B7B"/>
    <w:rsid w:val="00520E08"/>
    <w:rsid w:val="00521113"/>
    <w:rsid w:val="0052163B"/>
    <w:rsid w:val="0052177F"/>
    <w:rsid w:val="00521794"/>
    <w:rsid w:val="00522013"/>
    <w:rsid w:val="005223DA"/>
    <w:rsid w:val="00522C9A"/>
    <w:rsid w:val="00522D01"/>
    <w:rsid w:val="00523659"/>
    <w:rsid w:val="00524E6A"/>
    <w:rsid w:val="00524F38"/>
    <w:rsid w:val="00525914"/>
    <w:rsid w:val="0052618B"/>
    <w:rsid w:val="00526A86"/>
    <w:rsid w:val="00526A98"/>
    <w:rsid w:val="005277FB"/>
    <w:rsid w:val="005278E1"/>
    <w:rsid w:val="00527C81"/>
    <w:rsid w:val="00527E07"/>
    <w:rsid w:val="00530090"/>
    <w:rsid w:val="0053021B"/>
    <w:rsid w:val="005304E8"/>
    <w:rsid w:val="00530761"/>
    <w:rsid w:val="0053081C"/>
    <w:rsid w:val="0053111C"/>
    <w:rsid w:val="00531422"/>
    <w:rsid w:val="00531EA4"/>
    <w:rsid w:val="00532782"/>
    <w:rsid w:val="00532B7A"/>
    <w:rsid w:val="00533104"/>
    <w:rsid w:val="005339AF"/>
    <w:rsid w:val="00533A28"/>
    <w:rsid w:val="00533DD3"/>
    <w:rsid w:val="005354E2"/>
    <w:rsid w:val="005355C6"/>
    <w:rsid w:val="00535FB6"/>
    <w:rsid w:val="00536237"/>
    <w:rsid w:val="0053626B"/>
    <w:rsid w:val="00537337"/>
    <w:rsid w:val="00537BC0"/>
    <w:rsid w:val="00540FF7"/>
    <w:rsid w:val="005416B8"/>
    <w:rsid w:val="00541F72"/>
    <w:rsid w:val="00542A38"/>
    <w:rsid w:val="00542A61"/>
    <w:rsid w:val="005433B6"/>
    <w:rsid w:val="00544136"/>
    <w:rsid w:val="00544779"/>
    <w:rsid w:val="005448E2"/>
    <w:rsid w:val="005454C2"/>
    <w:rsid w:val="0054610E"/>
    <w:rsid w:val="0054668C"/>
    <w:rsid w:val="00546C1F"/>
    <w:rsid w:val="00546DD9"/>
    <w:rsid w:val="00547A6F"/>
    <w:rsid w:val="00547A88"/>
    <w:rsid w:val="00550168"/>
    <w:rsid w:val="00550968"/>
    <w:rsid w:val="00550B30"/>
    <w:rsid w:val="00550F39"/>
    <w:rsid w:val="005510D1"/>
    <w:rsid w:val="00551751"/>
    <w:rsid w:val="005522C1"/>
    <w:rsid w:val="00552334"/>
    <w:rsid w:val="005525A8"/>
    <w:rsid w:val="00552959"/>
    <w:rsid w:val="0055331F"/>
    <w:rsid w:val="00553388"/>
    <w:rsid w:val="00554777"/>
    <w:rsid w:val="00555F9B"/>
    <w:rsid w:val="00555FC1"/>
    <w:rsid w:val="005562DC"/>
    <w:rsid w:val="00556720"/>
    <w:rsid w:val="005567E3"/>
    <w:rsid w:val="0055687D"/>
    <w:rsid w:val="00556D99"/>
    <w:rsid w:val="0055728F"/>
    <w:rsid w:val="005573D7"/>
    <w:rsid w:val="00557D20"/>
    <w:rsid w:val="0056023D"/>
    <w:rsid w:val="005610A8"/>
    <w:rsid w:val="005614AE"/>
    <w:rsid w:val="00562382"/>
    <w:rsid w:val="0056239B"/>
    <w:rsid w:val="005629B2"/>
    <w:rsid w:val="0056323A"/>
    <w:rsid w:val="005632FA"/>
    <w:rsid w:val="00563EA8"/>
    <w:rsid w:val="0056400E"/>
    <w:rsid w:val="00564189"/>
    <w:rsid w:val="00564192"/>
    <w:rsid w:val="00564FC6"/>
    <w:rsid w:val="005655E1"/>
    <w:rsid w:val="005661A0"/>
    <w:rsid w:val="005666D1"/>
    <w:rsid w:val="00566B09"/>
    <w:rsid w:val="00566B53"/>
    <w:rsid w:val="00566E09"/>
    <w:rsid w:val="0056799C"/>
    <w:rsid w:val="00567BB5"/>
    <w:rsid w:val="00567DAD"/>
    <w:rsid w:val="00570049"/>
    <w:rsid w:val="0057049C"/>
    <w:rsid w:val="005707C0"/>
    <w:rsid w:val="005715E2"/>
    <w:rsid w:val="0057191A"/>
    <w:rsid w:val="005721C3"/>
    <w:rsid w:val="005722D5"/>
    <w:rsid w:val="00574055"/>
    <w:rsid w:val="005741BA"/>
    <w:rsid w:val="00574255"/>
    <w:rsid w:val="0057494D"/>
    <w:rsid w:val="0057542B"/>
    <w:rsid w:val="0057548D"/>
    <w:rsid w:val="00575AB0"/>
    <w:rsid w:val="00575AB2"/>
    <w:rsid w:val="00575C7F"/>
    <w:rsid w:val="0057651B"/>
    <w:rsid w:val="005768AA"/>
    <w:rsid w:val="00576D4F"/>
    <w:rsid w:val="005771B5"/>
    <w:rsid w:val="00577932"/>
    <w:rsid w:val="00580082"/>
    <w:rsid w:val="005803D3"/>
    <w:rsid w:val="0058063A"/>
    <w:rsid w:val="00581662"/>
    <w:rsid w:val="005819AE"/>
    <w:rsid w:val="00581DB4"/>
    <w:rsid w:val="00581F63"/>
    <w:rsid w:val="00582DAD"/>
    <w:rsid w:val="00582F8F"/>
    <w:rsid w:val="0058467D"/>
    <w:rsid w:val="00584A97"/>
    <w:rsid w:val="00584F97"/>
    <w:rsid w:val="005851AB"/>
    <w:rsid w:val="005853E2"/>
    <w:rsid w:val="00585BF8"/>
    <w:rsid w:val="00585ED9"/>
    <w:rsid w:val="00586851"/>
    <w:rsid w:val="00586A42"/>
    <w:rsid w:val="00586A88"/>
    <w:rsid w:val="00587550"/>
    <w:rsid w:val="00587644"/>
    <w:rsid w:val="0058783C"/>
    <w:rsid w:val="0059004E"/>
    <w:rsid w:val="0059034A"/>
    <w:rsid w:val="00590CF8"/>
    <w:rsid w:val="00590DC5"/>
    <w:rsid w:val="00591264"/>
    <w:rsid w:val="00591DF0"/>
    <w:rsid w:val="00591E02"/>
    <w:rsid w:val="00591EE9"/>
    <w:rsid w:val="00592043"/>
    <w:rsid w:val="00592072"/>
    <w:rsid w:val="00592215"/>
    <w:rsid w:val="00592C31"/>
    <w:rsid w:val="00592D08"/>
    <w:rsid w:val="005932CC"/>
    <w:rsid w:val="005935DC"/>
    <w:rsid w:val="00596268"/>
    <w:rsid w:val="005968B6"/>
    <w:rsid w:val="00596E1C"/>
    <w:rsid w:val="005970FE"/>
    <w:rsid w:val="005975CB"/>
    <w:rsid w:val="005979DC"/>
    <w:rsid w:val="00597DD3"/>
    <w:rsid w:val="005A1326"/>
    <w:rsid w:val="005A15AA"/>
    <w:rsid w:val="005A2F32"/>
    <w:rsid w:val="005A33E0"/>
    <w:rsid w:val="005A512F"/>
    <w:rsid w:val="005A5443"/>
    <w:rsid w:val="005A5898"/>
    <w:rsid w:val="005A5CF8"/>
    <w:rsid w:val="005A61EF"/>
    <w:rsid w:val="005A758D"/>
    <w:rsid w:val="005A7AE5"/>
    <w:rsid w:val="005A7B95"/>
    <w:rsid w:val="005B0256"/>
    <w:rsid w:val="005B03D8"/>
    <w:rsid w:val="005B1262"/>
    <w:rsid w:val="005B14BF"/>
    <w:rsid w:val="005B2591"/>
    <w:rsid w:val="005B2C66"/>
    <w:rsid w:val="005B2FF5"/>
    <w:rsid w:val="005B31E0"/>
    <w:rsid w:val="005B3685"/>
    <w:rsid w:val="005B41BD"/>
    <w:rsid w:val="005B5808"/>
    <w:rsid w:val="005B5CFD"/>
    <w:rsid w:val="005B6FD5"/>
    <w:rsid w:val="005B71BA"/>
    <w:rsid w:val="005B7479"/>
    <w:rsid w:val="005B76FA"/>
    <w:rsid w:val="005B7A9D"/>
    <w:rsid w:val="005B7CF8"/>
    <w:rsid w:val="005B7FFC"/>
    <w:rsid w:val="005C014D"/>
    <w:rsid w:val="005C04EF"/>
    <w:rsid w:val="005C0C8D"/>
    <w:rsid w:val="005C14FF"/>
    <w:rsid w:val="005C1ED3"/>
    <w:rsid w:val="005C1F41"/>
    <w:rsid w:val="005C2043"/>
    <w:rsid w:val="005C24B2"/>
    <w:rsid w:val="005C30B6"/>
    <w:rsid w:val="005C36CA"/>
    <w:rsid w:val="005C3FD2"/>
    <w:rsid w:val="005C4384"/>
    <w:rsid w:val="005C4B5A"/>
    <w:rsid w:val="005C4DEA"/>
    <w:rsid w:val="005C53F3"/>
    <w:rsid w:val="005C6663"/>
    <w:rsid w:val="005C704C"/>
    <w:rsid w:val="005C7424"/>
    <w:rsid w:val="005C7C85"/>
    <w:rsid w:val="005C7D4A"/>
    <w:rsid w:val="005D0066"/>
    <w:rsid w:val="005D0D15"/>
    <w:rsid w:val="005D0F26"/>
    <w:rsid w:val="005D12C1"/>
    <w:rsid w:val="005D13C4"/>
    <w:rsid w:val="005D1783"/>
    <w:rsid w:val="005D20B6"/>
    <w:rsid w:val="005D234F"/>
    <w:rsid w:val="005D246D"/>
    <w:rsid w:val="005D2B0E"/>
    <w:rsid w:val="005D2BF6"/>
    <w:rsid w:val="005D3B0D"/>
    <w:rsid w:val="005D3B24"/>
    <w:rsid w:val="005D5BE4"/>
    <w:rsid w:val="005D60C9"/>
    <w:rsid w:val="005D6205"/>
    <w:rsid w:val="005D69C8"/>
    <w:rsid w:val="005D6F1A"/>
    <w:rsid w:val="005D756A"/>
    <w:rsid w:val="005E0484"/>
    <w:rsid w:val="005E058C"/>
    <w:rsid w:val="005E0C48"/>
    <w:rsid w:val="005E0E9A"/>
    <w:rsid w:val="005E1122"/>
    <w:rsid w:val="005E117C"/>
    <w:rsid w:val="005E1485"/>
    <w:rsid w:val="005E1B6B"/>
    <w:rsid w:val="005E1F1D"/>
    <w:rsid w:val="005E21FB"/>
    <w:rsid w:val="005E2744"/>
    <w:rsid w:val="005E347D"/>
    <w:rsid w:val="005E55FC"/>
    <w:rsid w:val="005E61D8"/>
    <w:rsid w:val="005E6B1A"/>
    <w:rsid w:val="005E6B47"/>
    <w:rsid w:val="005E6C1F"/>
    <w:rsid w:val="005E6E7B"/>
    <w:rsid w:val="005E7398"/>
    <w:rsid w:val="005E78D8"/>
    <w:rsid w:val="005E7941"/>
    <w:rsid w:val="005E7CAD"/>
    <w:rsid w:val="005E7D57"/>
    <w:rsid w:val="005E7DFD"/>
    <w:rsid w:val="005F127E"/>
    <w:rsid w:val="005F130F"/>
    <w:rsid w:val="005F1A2D"/>
    <w:rsid w:val="005F28FB"/>
    <w:rsid w:val="005F342E"/>
    <w:rsid w:val="005F3BF7"/>
    <w:rsid w:val="005F4A30"/>
    <w:rsid w:val="005F51B0"/>
    <w:rsid w:val="005F526B"/>
    <w:rsid w:val="005F53C8"/>
    <w:rsid w:val="005F56D9"/>
    <w:rsid w:val="005F5A5A"/>
    <w:rsid w:val="005F5E71"/>
    <w:rsid w:val="005F6955"/>
    <w:rsid w:val="005F6E41"/>
    <w:rsid w:val="005F7E60"/>
    <w:rsid w:val="00600120"/>
    <w:rsid w:val="00601232"/>
    <w:rsid w:val="006024EC"/>
    <w:rsid w:val="0060279D"/>
    <w:rsid w:val="00602B50"/>
    <w:rsid w:val="00602BD2"/>
    <w:rsid w:val="00602C62"/>
    <w:rsid w:val="00603ACE"/>
    <w:rsid w:val="00603B1C"/>
    <w:rsid w:val="00603FC8"/>
    <w:rsid w:val="00604762"/>
    <w:rsid w:val="00604B57"/>
    <w:rsid w:val="006053E7"/>
    <w:rsid w:val="006059D1"/>
    <w:rsid w:val="00606BC5"/>
    <w:rsid w:val="00606D25"/>
    <w:rsid w:val="00606D94"/>
    <w:rsid w:val="006104FE"/>
    <w:rsid w:val="00611046"/>
    <w:rsid w:val="00611A12"/>
    <w:rsid w:val="0061230E"/>
    <w:rsid w:val="00612673"/>
    <w:rsid w:val="00612D01"/>
    <w:rsid w:val="006130A7"/>
    <w:rsid w:val="006134AF"/>
    <w:rsid w:val="00613C9B"/>
    <w:rsid w:val="0061405E"/>
    <w:rsid w:val="00614448"/>
    <w:rsid w:val="00615269"/>
    <w:rsid w:val="006152D6"/>
    <w:rsid w:val="0061575A"/>
    <w:rsid w:val="006160A8"/>
    <w:rsid w:val="0061619C"/>
    <w:rsid w:val="00616220"/>
    <w:rsid w:val="00616221"/>
    <w:rsid w:val="00617255"/>
    <w:rsid w:val="006177DE"/>
    <w:rsid w:val="0061786B"/>
    <w:rsid w:val="00617EF3"/>
    <w:rsid w:val="0062057F"/>
    <w:rsid w:val="0062091F"/>
    <w:rsid w:val="00620B7D"/>
    <w:rsid w:val="00620FB5"/>
    <w:rsid w:val="00621433"/>
    <w:rsid w:val="00621C23"/>
    <w:rsid w:val="00621F6E"/>
    <w:rsid w:val="006222A7"/>
    <w:rsid w:val="00622B4B"/>
    <w:rsid w:val="00622F8B"/>
    <w:rsid w:val="00623D05"/>
    <w:rsid w:val="00624AF6"/>
    <w:rsid w:val="00625796"/>
    <w:rsid w:val="006258A5"/>
    <w:rsid w:val="006258A8"/>
    <w:rsid w:val="00625F0F"/>
    <w:rsid w:val="00626665"/>
    <w:rsid w:val="00626668"/>
    <w:rsid w:val="00626B75"/>
    <w:rsid w:val="00626D07"/>
    <w:rsid w:val="0062746F"/>
    <w:rsid w:val="006274E8"/>
    <w:rsid w:val="00627CC1"/>
    <w:rsid w:val="0063064D"/>
    <w:rsid w:val="006311DA"/>
    <w:rsid w:val="006313B4"/>
    <w:rsid w:val="006321DA"/>
    <w:rsid w:val="00632405"/>
    <w:rsid w:val="0063344C"/>
    <w:rsid w:val="00633537"/>
    <w:rsid w:val="006347DB"/>
    <w:rsid w:val="00634B7D"/>
    <w:rsid w:val="00634C6C"/>
    <w:rsid w:val="00634F6C"/>
    <w:rsid w:val="00635520"/>
    <w:rsid w:val="00635A08"/>
    <w:rsid w:val="00636CBE"/>
    <w:rsid w:val="006373E7"/>
    <w:rsid w:val="00637670"/>
    <w:rsid w:val="0064006E"/>
    <w:rsid w:val="006406CE"/>
    <w:rsid w:val="00640EE9"/>
    <w:rsid w:val="006418E1"/>
    <w:rsid w:val="00641B6D"/>
    <w:rsid w:val="00641E50"/>
    <w:rsid w:val="006434D4"/>
    <w:rsid w:val="00643B97"/>
    <w:rsid w:val="00643C8A"/>
    <w:rsid w:val="006441FB"/>
    <w:rsid w:val="00644729"/>
    <w:rsid w:val="00645CDA"/>
    <w:rsid w:val="0064666E"/>
    <w:rsid w:val="00647131"/>
    <w:rsid w:val="00647A26"/>
    <w:rsid w:val="00650689"/>
    <w:rsid w:val="006507A0"/>
    <w:rsid w:val="0065121F"/>
    <w:rsid w:val="00651B85"/>
    <w:rsid w:val="00652622"/>
    <w:rsid w:val="00652705"/>
    <w:rsid w:val="0065290D"/>
    <w:rsid w:val="00652A21"/>
    <w:rsid w:val="00653107"/>
    <w:rsid w:val="006535BC"/>
    <w:rsid w:val="0065375A"/>
    <w:rsid w:val="00653806"/>
    <w:rsid w:val="0065382B"/>
    <w:rsid w:val="00653D73"/>
    <w:rsid w:val="00653FD6"/>
    <w:rsid w:val="00654AC6"/>
    <w:rsid w:val="00654C51"/>
    <w:rsid w:val="00654D86"/>
    <w:rsid w:val="006552C2"/>
    <w:rsid w:val="006554D4"/>
    <w:rsid w:val="00655545"/>
    <w:rsid w:val="00655941"/>
    <w:rsid w:val="00655C77"/>
    <w:rsid w:val="0065676A"/>
    <w:rsid w:val="00656BE0"/>
    <w:rsid w:val="00656DD4"/>
    <w:rsid w:val="006570BB"/>
    <w:rsid w:val="006575C2"/>
    <w:rsid w:val="0065797C"/>
    <w:rsid w:val="006602F4"/>
    <w:rsid w:val="00660745"/>
    <w:rsid w:val="00660C87"/>
    <w:rsid w:val="00661071"/>
    <w:rsid w:val="006610C3"/>
    <w:rsid w:val="00661409"/>
    <w:rsid w:val="00661664"/>
    <w:rsid w:val="00662381"/>
    <w:rsid w:val="00662518"/>
    <w:rsid w:val="00663039"/>
    <w:rsid w:val="006630C7"/>
    <w:rsid w:val="00663327"/>
    <w:rsid w:val="00663F20"/>
    <w:rsid w:val="00664A71"/>
    <w:rsid w:val="00665D43"/>
    <w:rsid w:val="00666086"/>
    <w:rsid w:val="00666162"/>
    <w:rsid w:val="00666EC5"/>
    <w:rsid w:val="0066741C"/>
    <w:rsid w:val="00667833"/>
    <w:rsid w:val="0067076B"/>
    <w:rsid w:val="00670AD6"/>
    <w:rsid w:val="00670C59"/>
    <w:rsid w:val="00671361"/>
    <w:rsid w:val="00672333"/>
    <w:rsid w:val="006730C3"/>
    <w:rsid w:val="00673E4D"/>
    <w:rsid w:val="00675B5A"/>
    <w:rsid w:val="00675E97"/>
    <w:rsid w:val="006765B2"/>
    <w:rsid w:val="006769DA"/>
    <w:rsid w:val="0067714F"/>
    <w:rsid w:val="0067731F"/>
    <w:rsid w:val="00677723"/>
    <w:rsid w:val="00677B4E"/>
    <w:rsid w:val="00680450"/>
    <w:rsid w:val="006804F5"/>
    <w:rsid w:val="00680A00"/>
    <w:rsid w:val="00681074"/>
    <w:rsid w:val="00681089"/>
    <w:rsid w:val="006810AD"/>
    <w:rsid w:val="00681A48"/>
    <w:rsid w:val="00681A9A"/>
    <w:rsid w:val="00681FA1"/>
    <w:rsid w:val="00681FE7"/>
    <w:rsid w:val="0068204C"/>
    <w:rsid w:val="00682148"/>
    <w:rsid w:val="00682567"/>
    <w:rsid w:val="00682810"/>
    <w:rsid w:val="00682FBB"/>
    <w:rsid w:val="006831EA"/>
    <w:rsid w:val="00683947"/>
    <w:rsid w:val="00684CDC"/>
    <w:rsid w:val="00684FEF"/>
    <w:rsid w:val="006851AB"/>
    <w:rsid w:val="0068528A"/>
    <w:rsid w:val="006856B7"/>
    <w:rsid w:val="00685778"/>
    <w:rsid w:val="00685FEB"/>
    <w:rsid w:val="00686389"/>
    <w:rsid w:val="00686588"/>
    <w:rsid w:val="00686E04"/>
    <w:rsid w:val="00687026"/>
    <w:rsid w:val="006873A1"/>
    <w:rsid w:val="00687949"/>
    <w:rsid w:val="00687F27"/>
    <w:rsid w:val="00687FDE"/>
    <w:rsid w:val="00690087"/>
    <w:rsid w:val="006904D8"/>
    <w:rsid w:val="006907DC"/>
    <w:rsid w:val="00690C0D"/>
    <w:rsid w:val="00690C18"/>
    <w:rsid w:val="00690FDB"/>
    <w:rsid w:val="00691125"/>
    <w:rsid w:val="00691B87"/>
    <w:rsid w:val="00691BFF"/>
    <w:rsid w:val="006929C5"/>
    <w:rsid w:val="00692C10"/>
    <w:rsid w:val="00692C83"/>
    <w:rsid w:val="00692CE5"/>
    <w:rsid w:val="006932B2"/>
    <w:rsid w:val="00693E85"/>
    <w:rsid w:val="006940EC"/>
    <w:rsid w:val="006948B0"/>
    <w:rsid w:val="006956CA"/>
    <w:rsid w:val="00695C76"/>
    <w:rsid w:val="00695D73"/>
    <w:rsid w:val="006963F6"/>
    <w:rsid w:val="00696DA9"/>
    <w:rsid w:val="00696FC1"/>
    <w:rsid w:val="006972B5"/>
    <w:rsid w:val="00697883"/>
    <w:rsid w:val="00697B27"/>
    <w:rsid w:val="006A128A"/>
    <w:rsid w:val="006A1EB2"/>
    <w:rsid w:val="006A225F"/>
    <w:rsid w:val="006A233D"/>
    <w:rsid w:val="006A2C01"/>
    <w:rsid w:val="006A3879"/>
    <w:rsid w:val="006A3EA6"/>
    <w:rsid w:val="006A427E"/>
    <w:rsid w:val="006A432E"/>
    <w:rsid w:val="006A49A1"/>
    <w:rsid w:val="006A510E"/>
    <w:rsid w:val="006A5549"/>
    <w:rsid w:val="006A608C"/>
    <w:rsid w:val="006A6116"/>
    <w:rsid w:val="006A618E"/>
    <w:rsid w:val="006A634A"/>
    <w:rsid w:val="006A663F"/>
    <w:rsid w:val="006A68E6"/>
    <w:rsid w:val="006A7092"/>
    <w:rsid w:val="006A709A"/>
    <w:rsid w:val="006A7956"/>
    <w:rsid w:val="006A7D95"/>
    <w:rsid w:val="006A7FA4"/>
    <w:rsid w:val="006B0161"/>
    <w:rsid w:val="006B02B6"/>
    <w:rsid w:val="006B0A65"/>
    <w:rsid w:val="006B0BB9"/>
    <w:rsid w:val="006B0FDA"/>
    <w:rsid w:val="006B11A6"/>
    <w:rsid w:val="006B1972"/>
    <w:rsid w:val="006B1E52"/>
    <w:rsid w:val="006B1F18"/>
    <w:rsid w:val="006B21A7"/>
    <w:rsid w:val="006B2672"/>
    <w:rsid w:val="006B275B"/>
    <w:rsid w:val="006B2D6B"/>
    <w:rsid w:val="006B2FCE"/>
    <w:rsid w:val="006B3956"/>
    <w:rsid w:val="006B3CD3"/>
    <w:rsid w:val="006B4500"/>
    <w:rsid w:val="006B48DE"/>
    <w:rsid w:val="006B4912"/>
    <w:rsid w:val="006B4A52"/>
    <w:rsid w:val="006B4D79"/>
    <w:rsid w:val="006B51BD"/>
    <w:rsid w:val="006B55E6"/>
    <w:rsid w:val="006B5811"/>
    <w:rsid w:val="006B611F"/>
    <w:rsid w:val="006B62D7"/>
    <w:rsid w:val="006B707A"/>
    <w:rsid w:val="006B7611"/>
    <w:rsid w:val="006B7700"/>
    <w:rsid w:val="006B7710"/>
    <w:rsid w:val="006C003E"/>
    <w:rsid w:val="006C029D"/>
    <w:rsid w:val="006C0591"/>
    <w:rsid w:val="006C0EB9"/>
    <w:rsid w:val="006C15C2"/>
    <w:rsid w:val="006C1ED0"/>
    <w:rsid w:val="006C22E0"/>
    <w:rsid w:val="006C255D"/>
    <w:rsid w:val="006C25AD"/>
    <w:rsid w:val="006C2878"/>
    <w:rsid w:val="006C3768"/>
    <w:rsid w:val="006C38AC"/>
    <w:rsid w:val="006C3FE9"/>
    <w:rsid w:val="006C4983"/>
    <w:rsid w:val="006C57A6"/>
    <w:rsid w:val="006C5840"/>
    <w:rsid w:val="006C5F46"/>
    <w:rsid w:val="006C6A30"/>
    <w:rsid w:val="006C6E02"/>
    <w:rsid w:val="006C70DD"/>
    <w:rsid w:val="006C7465"/>
    <w:rsid w:val="006C76BD"/>
    <w:rsid w:val="006D037F"/>
    <w:rsid w:val="006D04EA"/>
    <w:rsid w:val="006D07D8"/>
    <w:rsid w:val="006D0D8E"/>
    <w:rsid w:val="006D129B"/>
    <w:rsid w:val="006D1498"/>
    <w:rsid w:val="006D19B3"/>
    <w:rsid w:val="006D2252"/>
    <w:rsid w:val="006D3754"/>
    <w:rsid w:val="006D3BCC"/>
    <w:rsid w:val="006D41E1"/>
    <w:rsid w:val="006D41FC"/>
    <w:rsid w:val="006D4398"/>
    <w:rsid w:val="006D481B"/>
    <w:rsid w:val="006D4843"/>
    <w:rsid w:val="006D48D9"/>
    <w:rsid w:val="006D4BAE"/>
    <w:rsid w:val="006D4DE9"/>
    <w:rsid w:val="006D4FA4"/>
    <w:rsid w:val="006D532F"/>
    <w:rsid w:val="006D57A5"/>
    <w:rsid w:val="006D5B63"/>
    <w:rsid w:val="006D7693"/>
    <w:rsid w:val="006D7A4A"/>
    <w:rsid w:val="006D7FBD"/>
    <w:rsid w:val="006E009A"/>
    <w:rsid w:val="006E05EB"/>
    <w:rsid w:val="006E0851"/>
    <w:rsid w:val="006E0F71"/>
    <w:rsid w:val="006E1C14"/>
    <w:rsid w:val="006E20FD"/>
    <w:rsid w:val="006E21C2"/>
    <w:rsid w:val="006E2AEA"/>
    <w:rsid w:val="006E2C2A"/>
    <w:rsid w:val="006E2DB6"/>
    <w:rsid w:val="006E2F1D"/>
    <w:rsid w:val="006E40AA"/>
    <w:rsid w:val="006E4479"/>
    <w:rsid w:val="006E4596"/>
    <w:rsid w:val="006E5431"/>
    <w:rsid w:val="006E57AC"/>
    <w:rsid w:val="006E6018"/>
    <w:rsid w:val="006E61D8"/>
    <w:rsid w:val="006E68DA"/>
    <w:rsid w:val="006E6B14"/>
    <w:rsid w:val="006E6BAC"/>
    <w:rsid w:val="006E771F"/>
    <w:rsid w:val="006E794B"/>
    <w:rsid w:val="006F0271"/>
    <w:rsid w:val="006F02D6"/>
    <w:rsid w:val="006F0AA6"/>
    <w:rsid w:val="006F0AEB"/>
    <w:rsid w:val="006F13F9"/>
    <w:rsid w:val="006F2C85"/>
    <w:rsid w:val="006F2F4E"/>
    <w:rsid w:val="006F31ED"/>
    <w:rsid w:val="006F3442"/>
    <w:rsid w:val="006F3CDA"/>
    <w:rsid w:val="006F4556"/>
    <w:rsid w:val="006F5B11"/>
    <w:rsid w:val="006F6226"/>
    <w:rsid w:val="006F68FE"/>
    <w:rsid w:val="006F7449"/>
    <w:rsid w:val="006F7E03"/>
    <w:rsid w:val="006F7E0F"/>
    <w:rsid w:val="00700004"/>
    <w:rsid w:val="0070015B"/>
    <w:rsid w:val="007004D4"/>
    <w:rsid w:val="0070084E"/>
    <w:rsid w:val="0070091E"/>
    <w:rsid w:val="007009E2"/>
    <w:rsid w:val="00700B5E"/>
    <w:rsid w:val="00700E77"/>
    <w:rsid w:val="007013BD"/>
    <w:rsid w:val="00701814"/>
    <w:rsid w:val="0070183C"/>
    <w:rsid w:val="00701F50"/>
    <w:rsid w:val="00702ABB"/>
    <w:rsid w:val="00702D30"/>
    <w:rsid w:val="00703480"/>
    <w:rsid w:val="00703FE7"/>
    <w:rsid w:val="0070467B"/>
    <w:rsid w:val="007047EE"/>
    <w:rsid w:val="0070530F"/>
    <w:rsid w:val="007057A7"/>
    <w:rsid w:val="007062DE"/>
    <w:rsid w:val="00706435"/>
    <w:rsid w:val="007069D9"/>
    <w:rsid w:val="00706DDD"/>
    <w:rsid w:val="00707042"/>
    <w:rsid w:val="00707F52"/>
    <w:rsid w:val="00710293"/>
    <w:rsid w:val="007107E4"/>
    <w:rsid w:val="007110DA"/>
    <w:rsid w:val="007112F3"/>
    <w:rsid w:val="00712121"/>
    <w:rsid w:val="0071261F"/>
    <w:rsid w:val="007128C5"/>
    <w:rsid w:val="00713035"/>
    <w:rsid w:val="0071349F"/>
    <w:rsid w:val="00714100"/>
    <w:rsid w:val="00714B88"/>
    <w:rsid w:val="007159D4"/>
    <w:rsid w:val="00715A82"/>
    <w:rsid w:val="00715B24"/>
    <w:rsid w:val="00716D48"/>
    <w:rsid w:val="00716E7C"/>
    <w:rsid w:val="00717013"/>
    <w:rsid w:val="0071759E"/>
    <w:rsid w:val="00717A28"/>
    <w:rsid w:val="007203B0"/>
    <w:rsid w:val="0072068C"/>
    <w:rsid w:val="007206E2"/>
    <w:rsid w:val="007226EC"/>
    <w:rsid w:val="007228FE"/>
    <w:rsid w:val="00723784"/>
    <w:rsid w:val="00723D73"/>
    <w:rsid w:val="00723D84"/>
    <w:rsid w:val="007242C7"/>
    <w:rsid w:val="00724500"/>
    <w:rsid w:val="00724B1C"/>
    <w:rsid w:val="00724B62"/>
    <w:rsid w:val="00724E68"/>
    <w:rsid w:val="007256EA"/>
    <w:rsid w:val="0072586C"/>
    <w:rsid w:val="00726371"/>
    <w:rsid w:val="007268FB"/>
    <w:rsid w:val="00727B75"/>
    <w:rsid w:val="00727C84"/>
    <w:rsid w:val="00727CAB"/>
    <w:rsid w:val="00727D8F"/>
    <w:rsid w:val="00730A10"/>
    <w:rsid w:val="00730C73"/>
    <w:rsid w:val="00730D1B"/>
    <w:rsid w:val="007310A5"/>
    <w:rsid w:val="007311E2"/>
    <w:rsid w:val="00731A7C"/>
    <w:rsid w:val="00731D70"/>
    <w:rsid w:val="00731E11"/>
    <w:rsid w:val="00731E67"/>
    <w:rsid w:val="00731F1A"/>
    <w:rsid w:val="00732006"/>
    <w:rsid w:val="007329B8"/>
    <w:rsid w:val="00732DD9"/>
    <w:rsid w:val="00732E04"/>
    <w:rsid w:val="00733187"/>
    <w:rsid w:val="00733E0C"/>
    <w:rsid w:val="00734280"/>
    <w:rsid w:val="007348FA"/>
    <w:rsid w:val="007353B4"/>
    <w:rsid w:val="00735571"/>
    <w:rsid w:val="00735FE4"/>
    <w:rsid w:val="007363B5"/>
    <w:rsid w:val="00736511"/>
    <w:rsid w:val="00736A07"/>
    <w:rsid w:val="00736DA3"/>
    <w:rsid w:val="00737400"/>
    <w:rsid w:val="007375C2"/>
    <w:rsid w:val="00737F93"/>
    <w:rsid w:val="00740A50"/>
    <w:rsid w:val="00741744"/>
    <w:rsid w:val="00741814"/>
    <w:rsid w:val="00741A05"/>
    <w:rsid w:val="00741AC6"/>
    <w:rsid w:val="00741B05"/>
    <w:rsid w:val="00742415"/>
    <w:rsid w:val="007429B7"/>
    <w:rsid w:val="007431E5"/>
    <w:rsid w:val="0074376D"/>
    <w:rsid w:val="007438B5"/>
    <w:rsid w:val="0074482A"/>
    <w:rsid w:val="00744DA5"/>
    <w:rsid w:val="007451EB"/>
    <w:rsid w:val="00745ACE"/>
    <w:rsid w:val="007460F2"/>
    <w:rsid w:val="007465B4"/>
    <w:rsid w:val="00746CE5"/>
    <w:rsid w:val="00747181"/>
    <w:rsid w:val="0074770D"/>
    <w:rsid w:val="00747CE4"/>
    <w:rsid w:val="007503FA"/>
    <w:rsid w:val="00750794"/>
    <w:rsid w:val="00750F3D"/>
    <w:rsid w:val="00751097"/>
    <w:rsid w:val="00751312"/>
    <w:rsid w:val="007516BE"/>
    <w:rsid w:val="00751F11"/>
    <w:rsid w:val="007520A2"/>
    <w:rsid w:val="0075251F"/>
    <w:rsid w:val="0075296D"/>
    <w:rsid w:val="007529BF"/>
    <w:rsid w:val="00753218"/>
    <w:rsid w:val="0075346B"/>
    <w:rsid w:val="00753F1E"/>
    <w:rsid w:val="00755370"/>
    <w:rsid w:val="0075563E"/>
    <w:rsid w:val="007559C5"/>
    <w:rsid w:val="007567CB"/>
    <w:rsid w:val="0075685C"/>
    <w:rsid w:val="007579B6"/>
    <w:rsid w:val="00757F53"/>
    <w:rsid w:val="00757FD0"/>
    <w:rsid w:val="00760854"/>
    <w:rsid w:val="00760E9B"/>
    <w:rsid w:val="007611F6"/>
    <w:rsid w:val="0076249C"/>
    <w:rsid w:val="007625B3"/>
    <w:rsid w:val="007625E1"/>
    <w:rsid w:val="0076265E"/>
    <w:rsid w:val="007633F4"/>
    <w:rsid w:val="00764522"/>
    <w:rsid w:val="00764A80"/>
    <w:rsid w:val="00764AB8"/>
    <w:rsid w:val="0076567D"/>
    <w:rsid w:val="007663B9"/>
    <w:rsid w:val="00767478"/>
    <w:rsid w:val="007705FA"/>
    <w:rsid w:val="007707DF"/>
    <w:rsid w:val="0077117E"/>
    <w:rsid w:val="0077186F"/>
    <w:rsid w:val="00771CAE"/>
    <w:rsid w:val="00771FC4"/>
    <w:rsid w:val="007724B6"/>
    <w:rsid w:val="00772612"/>
    <w:rsid w:val="00772702"/>
    <w:rsid w:val="007727D3"/>
    <w:rsid w:val="0077285E"/>
    <w:rsid w:val="007728A8"/>
    <w:rsid w:val="00772B25"/>
    <w:rsid w:val="00773054"/>
    <w:rsid w:val="00773221"/>
    <w:rsid w:val="007735DB"/>
    <w:rsid w:val="007736B6"/>
    <w:rsid w:val="0077372C"/>
    <w:rsid w:val="00773D03"/>
    <w:rsid w:val="00774052"/>
    <w:rsid w:val="007742AD"/>
    <w:rsid w:val="00774495"/>
    <w:rsid w:val="00774E38"/>
    <w:rsid w:val="00775434"/>
    <w:rsid w:val="00775488"/>
    <w:rsid w:val="007759CB"/>
    <w:rsid w:val="00776E20"/>
    <w:rsid w:val="00777466"/>
    <w:rsid w:val="0077789E"/>
    <w:rsid w:val="00777B2C"/>
    <w:rsid w:val="00777BAF"/>
    <w:rsid w:val="00777F6C"/>
    <w:rsid w:val="0078048F"/>
    <w:rsid w:val="007808ED"/>
    <w:rsid w:val="0078134E"/>
    <w:rsid w:val="007813B4"/>
    <w:rsid w:val="0078146B"/>
    <w:rsid w:val="00781D5C"/>
    <w:rsid w:val="00782CC5"/>
    <w:rsid w:val="00782DC5"/>
    <w:rsid w:val="007831CB"/>
    <w:rsid w:val="007831DE"/>
    <w:rsid w:val="007837BA"/>
    <w:rsid w:val="007841EC"/>
    <w:rsid w:val="00784A6A"/>
    <w:rsid w:val="00784D8E"/>
    <w:rsid w:val="00785700"/>
    <w:rsid w:val="00785E0F"/>
    <w:rsid w:val="00786BDA"/>
    <w:rsid w:val="007870E0"/>
    <w:rsid w:val="007874F0"/>
    <w:rsid w:val="00787763"/>
    <w:rsid w:val="0079007B"/>
    <w:rsid w:val="00790720"/>
    <w:rsid w:val="00790BBC"/>
    <w:rsid w:val="00790D18"/>
    <w:rsid w:val="00790D1D"/>
    <w:rsid w:val="007911D4"/>
    <w:rsid w:val="00791464"/>
    <w:rsid w:val="00792031"/>
    <w:rsid w:val="0079205C"/>
    <w:rsid w:val="0079324D"/>
    <w:rsid w:val="00793629"/>
    <w:rsid w:val="00794043"/>
    <w:rsid w:val="00794928"/>
    <w:rsid w:val="007950FB"/>
    <w:rsid w:val="00795BD2"/>
    <w:rsid w:val="00795C75"/>
    <w:rsid w:val="00795E30"/>
    <w:rsid w:val="0079606E"/>
    <w:rsid w:val="00796680"/>
    <w:rsid w:val="00796A94"/>
    <w:rsid w:val="00796DE5"/>
    <w:rsid w:val="00797BC2"/>
    <w:rsid w:val="007A0028"/>
    <w:rsid w:val="007A0690"/>
    <w:rsid w:val="007A08F9"/>
    <w:rsid w:val="007A0A9C"/>
    <w:rsid w:val="007A0B52"/>
    <w:rsid w:val="007A23DA"/>
    <w:rsid w:val="007A3990"/>
    <w:rsid w:val="007A4630"/>
    <w:rsid w:val="007A4F31"/>
    <w:rsid w:val="007A506D"/>
    <w:rsid w:val="007A5070"/>
    <w:rsid w:val="007A5116"/>
    <w:rsid w:val="007A5703"/>
    <w:rsid w:val="007A582D"/>
    <w:rsid w:val="007A583D"/>
    <w:rsid w:val="007A5E36"/>
    <w:rsid w:val="007A64F5"/>
    <w:rsid w:val="007A735F"/>
    <w:rsid w:val="007A7521"/>
    <w:rsid w:val="007A7711"/>
    <w:rsid w:val="007A7723"/>
    <w:rsid w:val="007A7731"/>
    <w:rsid w:val="007B03D2"/>
    <w:rsid w:val="007B04F7"/>
    <w:rsid w:val="007B0A4B"/>
    <w:rsid w:val="007B103D"/>
    <w:rsid w:val="007B1635"/>
    <w:rsid w:val="007B1737"/>
    <w:rsid w:val="007B193F"/>
    <w:rsid w:val="007B29C8"/>
    <w:rsid w:val="007B2B9B"/>
    <w:rsid w:val="007B2BAE"/>
    <w:rsid w:val="007B3468"/>
    <w:rsid w:val="007B3CEF"/>
    <w:rsid w:val="007B3DF4"/>
    <w:rsid w:val="007B40F8"/>
    <w:rsid w:val="007B4122"/>
    <w:rsid w:val="007B46CC"/>
    <w:rsid w:val="007B4938"/>
    <w:rsid w:val="007B50ED"/>
    <w:rsid w:val="007B57AD"/>
    <w:rsid w:val="007B7183"/>
    <w:rsid w:val="007B7254"/>
    <w:rsid w:val="007B72FC"/>
    <w:rsid w:val="007B7625"/>
    <w:rsid w:val="007B7BAF"/>
    <w:rsid w:val="007C1535"/>
    <w:rsid w:val="007C2839"/>
    <w:rsid w:val="007C28C7"/>
    <w:rsid w:val="007C2B96"/>
    <w:rsid w:val="007C39FF"/>
    <w:rsid w:val="007C3EEC"/>
    <w:rsid w:val="007C3F0D"/>
    <w:rsid w:val="007C42B5"/>
    <w:rsid w:val="007C439F"/>
    <w:rsid w:val="007C43E2"/>
    <w:rsid w:val="007C522C"/>
    <w:rsid w:val="007C58F4"/>
    <w:rsid w:val="007C6018"/>
    <w:rsid w:val="007C6295"/>
    <w:rsid w:val="007C679A"/>
    <w:rsid w:val="007C71E5"/>
    <w:rsid w:val="007C790C"/>
    <w:rsid w:val="007D12AB"/>
    <w:rsid w:val="007D1305"/>
    <w:rsid w:val="007D1311"/>
    <w:rsid w:val="007D1A40"/>
    <w:rsid w:val="007D2095"/>
    <w:rsid w:val="007D277C"/>
    <w:rsid w:val="007D27D6"/>
    <w:rsid w:val="007D2817"/>
    <w:rsid w:val="007D341E"/>
    <w:rsid w:val="007D452E"/>
    <w:rsid w:val="007D4C1D"/>
    <w:rsid w:val="007D5680"/>
    <w:rsid w:val="007D57A8"/>
    <w:rsid w:val="007D636E"/>
    <w:rsid w:val="007D6983"/>
    <w:rsid w:val="007D7EF3"/>
    <w:rsid w:val="007E0F66"/>
    <w:rsid w:val="007E12F4"/>
    <w:rsid w:val="007E18E8"/>
    <w:rsid w:val="007E19B3"/>
    <w:rsid w:val="007E1A82"/>
    <w:rsid w:val="007E25AA"/>
    <w:rsid w:val="007E2E34"/>
    <w:rsid w:val="007E3058"/>
    <w:rsid w:val="007E30D4"/>
    <w:rsid w:val="007E3177"/>
    <w:rsid w:val="007E347E"/>
    <w:rsid w:val="007E3B52"/>
    <w:rsid w:val="007E41C7"/>
    <w:rsid w:val="007E4C11"/>
    <w:rsid w:val="007E5D69"/>
    <w:rsid w:val="007E6416"/>
    <w:rsid w:val="007E68EE"/>
    <w:rsid w:val="007E6F2B"/>
    <w:rsid w:val="007E72F8"/>
    <w:rsid w:val="007E7541"/>
    <w:rsid w:val="007E7B7A"/>
    <w:rsid w:val="007F08E3"/>
    <w:rsid w:val="007F0DFF"/>
    <w:rsid w:val="007F1236"/>
    <w:rsid w:val="007F2359"/>
    <w:rsid w:val="007F239B"/>
    <w:rsid w:val="007F23AA"/>
    <w:rsid w:val="007F2E89"/>
    <w:rsid w:val="007F3237"/>
    <w:rsid w:val="007F3DF6"/>
    <w:rsid w:val="007F405B"/>
    <w:rsid w:val="007F42DF"/>
    <w:rsid w:val="007F45F6"/>
    <w:rsid w:val="007F4A03"/>
    <w:rsid w:val="007F5463"/>
    <w:rsid w:val="007F59C9"/>
    <w:rsid w:val="007F59EA"/>
    <w:rsid w:val="007F69C7"/>
    <w:rsid w:val="007F6DDA"/>
    <w:rsid w:val="007F7ED1"/>
    <w:rsid w:val="0080075E"/>
    <w:rsid w:val="00800ED0"/>
    <w:rsid w:val="00801489"/>
    <w:rsid w:val="008017D6"/>
    <w:rsid w:val="00801901"/>
    <w:rsid w:val="00801EF6"/>
    <w:rsid w:val="00801F2B"/>
    <w:rsid w:val="0080281C"/>
    <w:rsid w:val="00803152"/>
    <w:rsid w:val="008031B4"/>
    <w:rsid w:val="00804745"/>
    <w:rsid w:val="008049E1"/>
    <w:rsid w:val="0080593C"/>
    <w:rsid w:val="0080637E"/>
    <w:rsid w:val="00807686"/>
    <w:rsid w:val="00807AB6"/>
    <w:rsid w:val="00810525"/>
    <w:rsid w:val="00810A00"/>
    <w:rsid w:val="00810FF7"/>
    <w:rsid w:val="008113A4"/>
    <w:rsid w:val="008114D7"/>
    <w:rsid w:val="00811695"/>
    <w:rsid w:val="00811BDE"/>
    <w:rsid w:val="00811E58"/>
    <w:rsid w:val="00811F1F"/>
    <w:rsid w:val="00812A74"/>
    <w:rsid w:val="0081343F"/>
    <w:rsid w:val="00813889"/>
    <w:rsid w:val="008139F9"/>
    <w:rsid w:val="00813B19"/>
    <w:rsid w:val="00813CA8"/>
    <w:rsid w:val="00814061"/>
    <w:rsid w:val="00814435"/>
    <w:rsid w:val="0081508C"/>
    <w:rsid w:val="008153CE"/>
    <w:rsid w:val="008156E5"/>
    <w:rsid w:val="00815900"/>
    <w:rsid w:val="00815D70"/>
    <w:rsid w:val="00816676"/>
    <w:rsid w:val="0081678F"/>
    <w:rsid w:val="00817116"/>
    <w:rsid w:val="008176E9"/>
    <w:rsid w:val="00817708"/>
    <w:rsid w:val="00817ED0"/>
    <w:rsid w:val="0082008E"/>
    <w:rsid w:val="00820257"/>
    <w:rsid w:val="008203E5"/>
    <w:rsid w:val="00820A90"/>
    <w:rsid w:val="00820C47"/>
    <w:rsid w:val="0082164E"/>
    <w:rsid w:val="0082225B"/>
    <w:rsid w:val="008222DC"/>
    <w:rsid w:val="00822430"/>
    <w:rsid w:val="008224D0"/>
    <w:rsid w:val="00822888"/>
    <w:rsid w:val="00822E7C"/>
    <w:rsid w:val="00823286"/>
    <w:rsid w:val="008239A8"/>
    <w:rsid w:val="008239F7"/>
    <w:rsid w:val="00823B84"/>
    <w:rsid w:val="00823B85"/>
    <w:rsid w:val="0082421C"/>
    <w:rsid w:val="00824A87"/>
    <w:rsid w:val="00825735"/>
    <w:rsid w:val="00826B1A"/>
    <w:rsid w:val="00826B77"/>
    <w:rsid w:val="00826D02"/>
    <w:rsid w:val="00826D5F"/>
    <w:rsid w:val="008273D2"/>
    <w:rsid w:val="00827616"/>
    <w:rsid w:val="00827E49"/>
    <w:rsid w:val="008304F8"/>
    <w:rsid w:val="00831589"/>
    <w:rsid w:val="008316EE"/>
    <w:rsid w:val="008322BE"/>
    <w:rsid w:val="0083254E"/>
    <w:rsid w:val="008327E9"/>
    <w:rsid w:val="00832E70"/>
    <w:rsid w:val="0083312B"/>
    <w:rsid w:val="00833710"/>
    <w:rsid w:val="008337C7"/>
    <w:rsid w:val="00834726"/>
    <w:rsid w:val="00834E75"/>
    <w:rsid w:val="00835B98"/>
    <w:rsid w:val="00836096"/>
    <w:rsid w:val="00836502"/>
    <w:rsid w:val="0083689C"/>
    <w:rsid w:val="00837097"/>
    <w:rsid w:val="008378AE"/>
    <w:rsid w:val="00837DD3"/>
    <w:rsid w:val="008402CB"/>
    <w:rsid w:val="008403EF"/>
    <w:rsid w:val="008405F3"/>
    <w:rsid w:val="008414E8"/>
    <w:rsid w:val="0084161B"/>
    <w:rsid w:val="008430FC"/>
    <w:rsid w:val="008434DA"/>
    <w:rsid w:val="00843A24"/>
    <w:rsid w:val="00843CC9"/>
    <w:rsid w:val="00843F1B"/>
    <w:rsid w:val="0084492D"/>
    <w:rsid w:val="00845457"/>
    <w:rsid w:val="0084595E"/>
    <w:rsid w:val="0084607C"/>
    <w:rsid w:val="00846309"/>
    <w:rsid w:val="008464FC"/>
    <w:rsid w:val="00846884"/>
    <w:rsid w:val="00846900"/>
    <w:rsid w:val="00846FE6"/>
    <w:rsid w:val="008475BF"/>
    <w:rsid w:val="00847AB7"/>
    <w:rsid w:val="00847AD0"/>
    <w:rsid w:val="00850015"/>
    <w:rsid w:val="008503C5"/>
    <w:rsid w:val="00851FC3"/>
    <w:rsid w:val="0085234F"/>
    <w:rsid w:val="008523A8"/>
    <w:rsid w:val="0085327F"/>
    <w:rsid w:val="0085403C"/>
    <w:rsid w:val="00854606"/>
    <w:rsid w:val="00854D5B"/>
    <w:rsid w:val="008551C8"/>
    <w:rsid w:val="00855605"/>
    <w:rsid w:val="0085578B"/>
    <w:rsid w:val="00855889"/>
    <w:rsid w:val="00855A04"/>
    <w:rsid w:val="00855A3F"/>
    <w:rsid w:val="00855E91"/>
    <w:rsid w:val="00856699"/>
    <w:rsid w:val="00857891"/>
    <w:rsid w:val="00857A30"/>
    <w:rsid w:val="00857A7D"/>
    <w:rsid w:val="00857BCC"/>
    <w:rsid w:val="00860ACC"/>
    <w:rsid w:val="00860FDC"/>
    <w:rsid w:val="008612BE"/>
    <w:rsid w:val="008616B5"/>
    <w:rsid w:val="00861A30"/>
    <w:rsid w:val="008620D0"/>
    <w:rsid w:val="00862CD9"/>
    <w:rsid w:val="008630C8"/>
    <w:rsid w:val="0086384E"/>
    <w:rsid w:val="00863E32"/>
    <w:rsid w:val="00864595"/>
    <w:rsid w:val="008647E9"/>
    <w:rsid w:val="00864A57"/>
    <w:rsid w:val="00865778"/>
    <w:rsid w:val="00866641"/>
    <w:rsid w:val="00867546"/>
    <w:rsid w:val="008675DB"/>
    <w:rsid w:val="00867645"/>
    <w:rsid w:val="008679FA"/>
    <w:rsid w:val="00867A4E"/>
    <w:rsid w:val="00867C26"/>
    <w:rsid w:val="008707BA"/>
    <w:rsid w:val="00871D40"/>
    <w:rsid w:val="00873597"/>
    <w:rsid w:val="00873970"/>
    <w:rsid w:val="008747A0"/>
    <w:rsid w:val="008750E1"/>
    <w:rsid w:val="008753FA"/>
    <w:rsid w:val="008759C4"/>
    <w:rsid w:val="00876823"/>
    <w:rsid w:val="008768D9"/>
    <w:rsid w:val="00876B4A"/>
    <w:rsid w:val="00876F07"/>
    <w:rsid w:val="008770DF"/>
    <w:rsid w:val="008772D0"/>
    <w:rsid w:val="0087794A"/>
    <w:rsid w:val="00877A35"/>
    <w:rsid w:val="00877ABD"/>
    <w:rsid w:val="00877CAA"/>
    <w:rsid w:val="00877DC5"/>
    <w:rsid w:val="00880F5D"/>
    <w:rsid w:val="008810ED"/>
    <w:rsid w:val="00881346"/>
    <w:rsid w:val="00881534"/>
    <w:rsid w:val="0088241E"/>
    <w:rsid w:val="008825E8"/>
    <w:rsid w:val="00882990"/>
    <w:rsid w:val="00882ABD"/>
    <w:rsid w:val="008838CD"/>
    <w:rsid w:val="00883B68"/>
    <w:rsid w:val="00883C2A"/>
    <w:rsid w:val="00883D37"/>
    <w:rsid w:val="00884923"/>
    <w:rsid w:val="00884F3B"/>
    <w:rsid w:val="00884FC3"/>
    <w:rsid w:val="0088546F"/>
    <w:rsid w:val="008855A2"/>
    <w:rsid w:val="0088579E"/>
    <w:rsid w:val="00886015"/>
    <w:rsid w:val="008864C6"/>
    <w:rsid w:val="008869E2"/>
    <w:rsid w:val="00886CB9"/>
    <w:rsid w:val="00887400"/>
    <w:rsid w:val="008877DC"/>
    <w:rsid w:val="008900A2"/>
    <w:rsid w:val="00890237"/>
    <w:rsid w:val="0089039D"/>
    <w:rsid w:val="00891FE5"/>
    <w:rsid w:val="00892C41"/>
    <w:rsid w:val="008930B4"/>
    <w:rsid w:val="0089354E"/>
    <w:rsid w:val="008944E6"/>
    <w:rsid w:val="008946D1"/>
    <w:rsid w:val="0089472D"/>
    <w:rsid w:val="00894AA2"/>
    <w:rsid w:val="00894D89"/>
    <w:rsid w:val="00894EE8"/>
    <w:rsid w:val="00895005"/>
    <w:rsid w:val="00895200"/>
    <w:rsid w:val="00895DC4"/>
    <w:rsid w:val="0089692E"/>
    <w:rsid w:val="00896A90"/>
    <w:rsid w:val="0089766D"/>
    <w:rsid w:val="00897BDA"/>
    <w:rsid w:val="00897D1D"/>
    <w:rsid w:val="00897E59"/>
    <w:rsid w:val="008A0C89"/>
    <w:rsid w:val="008A142D"/>
    <w:rsid w:val="008A17A4"/>
    <w:rsid w:val="008A19E0"/>
    <w:rsid w:val="008A27FF"/>
    <w:rsid w:val="008A2E74"/>
    <w:rsid w:val="008A3DD9"/>
    <w:rsid w:val="008A3FEC"/>
    <w:rsid w:val="008A4263"/>
    <w:rsid w:val="008A4637"/>
    <w:rsid w:val="008A4EAE"/>
    <w:rsid w:val="008A4F23"/>
    <w:rsid w:val="008A54DD"/>
    <w:rsid w:val="008A5737"/>
    <w:rsid w:val="008A577E"/>
    <w:rsid w:val="008A5A56"/>
    <w:rsid w:val="008A609E"/>
    <w:rsid w:val="008A66C5"/>
    <w:rsid w:val="008A70B7"/>
    <w:rsid w:val="008A7982"/>
    <w:rsid w:val="008B0299"/>
    <w:rsid w:val="008B047C"/>
    <w:rsid w:val="008B08E7"/>
    <w:rsid w:val="008B0D5E"/>
    <w:rsid w:val="008B12F3"/>
    <w:rsid w:val="008B1A77"/>
    <w:rsid w:val="008B1EF6"/>
    <w:rsid w:val="008B2A4B"/>
    <w:rsid w:val="008B2C75"/>
    <w:rsid w:val="008B3599"/>
    <w:rsid w:val="008B3781"/>
    <w:rsid w:val="008B4002"/>
    <w:rsid w:val="008B46C9"/>
    <w:rsid w:val="008B48AC"/>
    <w:rsid w:val="008B4A9D"/>
    <w:rsid w:val="008B4F1C"/>
    <w:rsid w:val="008B502C"/>
    <w:rsid w:val="008B5719"/>
    <w:rsid w:val="008B5F15"/>
    <w:rsid w:val="008B6070"/>
    <w:rsid w:val="008B64F1"/>
    <w:rsid w:val="008B66BF"/>
    <w:rsid w:val="008B709C"/>
    <w:rsid w:val="008B7CD4"/>
    <w:rsid w:val="008C055D"/>
    <w:rsid w:val="008C0AE1"/>
    <w:rsid w:val="008C0B46"/>
    <w:rsid w:val="008C0FF6"/>
    <w:rsid w:val="008C1A69"/>
    <w:rsid w:val="008C28EC"/>
    <w:rsid w:val="008C3BF4"/>
    <w:rsid w:val="008C3EE4"/>
    <w:rsid w:val="008C4136"/>
    <w:rsid w:val="008C4A63"/>
    <w:rsid w:val="008C4B58"/>
    <w:rsid w:val="008C597A"/>
    <w:rsid w:val="008C59E2"/>
    <w:rsid w:val="008C5A7E"/>
    <w:rsid w:val="008C6792"/>
    <w:rsid w:val="008C689F"/>
    <w:rsid w:val="008C6BDC"/>
    <w:rsid w:val="008C6C49"/>
    <w:rsid w:val="008C72A0"/>
    <w:rsid w:val="008C7413"/>
    <w:rsid w:val="008C799B"/>
    <w:rsid w:val="008C7C00"/>
    <w:rsid w:val="008D0824"/>
    <w:rsid w:val="008D0A01"/>
    <w:rsid w:val="008D0A65"/>
    <w:rsid w:val="008D0BBF"/>
    <w:rsid w:val="008D1120"/>
    <w:rsid w:val="008D125A"/>
    <w:rsid w:val="008D1A97"/>
    <w:rsid w:val="008D2347"/>
    <w:rsid w:val="008D28D4"/>
    <w:rsid w:val="008D2B15"/>
    <w:rsid w:val="008D315D"/>
    <w:rsid w:val="008D350E"/>
    <w:rsid w:val="008D3510"/>
    <w:rsid w:val="008D449C"/>
    <w:rsid w:val="008D4954"/>
    <w:rsid w:val="008D4D5B"/>
    <w:rsid w:val="008D4DAB"/>
    <w:rsid w:val="008D5A1A"/>
    <w:rsid w:val="008D5C3E"/>
    <w:rsid w:val="008D6148"/>
    <w:rsid w:val="008D67F4"/>
    <w:rsid w:val="008D6EBD"/>
    <w:rsid w:val="008D6F06"/>
    <w:rsid w:val="008D717B"/>
    <w:rsid w:val="008D733E"/>
    <w:rsid w:val="008D7522"/>
    <w:rsid w:val="008D77D6"/>
    <w:rsid w:val="008D7A30"/>
    <w:rsid w:val="008E04A0"/>
    <w:rsid w:val="008E0F79"/>
    <w:rsid w:val="008E176F"/>
    <w:rsid w:val="008E25B0"/>
    <w:rsid w:val="008E270C"/>
    <w:rsid w:val="008E28CD"/>
    <w:rsid w:val="008E299C"/>
    <w:rsid w:val="008E318D"/>
    <w:rsid w:val="008E40F4"/>
    <w:rsid w:val="008E4A1C"/>
    <w:rsid w:val="008E5372"/>
    <w:rsid w:val="008E5386"/>
    <w:rsid w:val="008E6122"/>
    <w:rsid w:val="008E61F7"/>
    <w:rsid w:val="008E6290"/>
    <w:rsid w:val="008E69EC"/>
    <w:rsid w:val="008E6CC6"/>
    <w:rsid w:val="008E726B"/>
    <w:rsid w:val="008E7871"/>
    <w:rsid w:val="008E7A3A"/>
    <w:rsid w:val="008E7BCF"/>
    <w:rsid w:val="008E7FD5"/>
    <w:rsid w:val="008F0E2E"/>
    <w:rsid w:val="008F117E"/>
    <w:rsid w:val="008F1B38"/>
    <w:rsid w:val="008F28D5"/>
    <w:rsid w:val="008F30D8"/>
    <w:rsid w:val="008F31BA"/>
    <w:rsid w:val="008F3366"/>
    <w:rsid w:val="008F3A8D"/>
    <w:rsid w:val="008F3D7A"/>
    <w:rsid w:val="008F5D73"/>
    <w:rsid w:val="008F7109"/>
    <w:rsid w:val="008F76C3"/>
    <w:rsid w:val="008F7C0C"/>
    <w:rsid w:val="0090175C"/>
    <w:rsid w:val="009028CA"/>
    <w:rsid w:val="009029B3"/>
    <w:rsid w:val="00902B7B"/>
    <w:rsid w:val="00902E45"/>
    <w:rsid w:val="0090327A"/>
    <w:rsid w:val="00903BBD"/>
    <w:rsid w:val="00904042"/>
    <w:rsid w:val="00904707"/>
    <w:rsid w:val="0090486C"/>
    <w:rsid w:val="009049EA"/>
    <w:rsid w:val="009053DA"/>
    <w:rsid w:val="00905D46"/>
    <w:rsid w:val="009062EA"/>
    <w:rsid w:val="00906782"/>
    <w:rsid w:val="00906980"/>
    <w:rsid w:val="009069EE"/>
    <w:rsid w:val="0090714C"/>
    <w:rsid w:val="00907165"/>
    <w:rsid w:val="009071D1"/>
    <w:rsid w:val="0090778A"/>
    <w:rsid w:val="00907DF7"/>
    <w:rsid w:val="009104BA"/>
    <w:rsid w:val="00910552"/>
    <w:rsid w:val="009106BF"/>
    <w:rsid w:val="00911AF3"/>
    <w:rsid w:val="00911F14"/>
    <w:rsid w:val="00911F1D"/>
    <w:rsid w:val="00912603"/>
    <w:rsid w:val="009126EC"/>
    <w:rsid w:val="00913221"/>
    <w:rsid w:val="009134A7"/>
    <w:rsid w:val="00913AAD"/>
    <w:rsid w:val="00913B6B"/>
    <w:rsid w:val="009141DF"/>
    <w:rsid w:val="009148D7"/>
    <w:rsid w:val="009149EC"/>
    <w:rsid w:val="00914BA3"/>
    <w:rsid w:val="0091569C"/>
    <w:rsid w:val="00915B1A"/>
    <w:rsid w:val="009162B4"/>
    <w:rsid w:val="00916465"/>
    <w:rsid w:val="00916BE2"/>
    <w:rsid w:val="00916D20"/>
    <w:rsid w:val="00916E25"/>
    <w:rsid w:val="009177FC"/>
    <w:rsid w:val="00917CC0"/>
    <w:rsid w:val="00917F8A"/>
    <w:rsid w:val="00921943"/>
    <w:rsid w:val="00921E45"/>
    <w:rsid w:val="00922109"/>
    <w:rsid w:val="00922141"/>
    <w:rsid w:val="00922B09"/>
    <w:rsid w:val="00922BD5"/>
    <w:rsid w:val="00922F88"/>
    <w:rsid w:val="0092330E"/>
    <w:rsid w:val="00924162"/>
    <w:rsid w:val="00924253"/>
    <w:rsid w:val="00924DB5"/>
    <w:rsid w:val="00925243"/>
    <w:rsid w:val="009259D8"/>
    <w:rsid w:val="00925AEE"/>
    <w:rsid w:val="00925C46"/>
    <w:rsid w:val="00925E0A"/>
    <w:rsid w:val="00926268"/>
    <w:rsid w:val="009263B4"/>
    <w:rsid w:val="0092647D"/>
    <w:rsid w:val="0092660B"/>
    <w:rsid w:val="00926776"/>
    <w:rsid w:val="00926AF9"/>
    <w:rsid w:val="00927A32"/>
    <w:rsid w:val="00927CCE"/>
    <w:rsid w:val="00927FD1"/>
    <w:rsid w:val="00930132"/>
    <w:rsid w:val="00930E05"/>
    <w:rsid w:val="009311D6"/>
    <w:rsid w:val="00931584"/>
    <w:rsid w:val="00931983"/>
    <w:rsid w:val="00931CE1"/>
    <w:rsid w:val="00931D02"/>
    <w:rsid w:val="009327BF"/>
    <w:rsid w:val="009331AD"/>
    <w:rsid w:val="00933508"/>
    <w:rsid w:val="0093381D"/>
    <w:rsid w:val="00934E6B"/>
    <w:rsid w:val="00934ED6"/>
    <w:rsid w:val="009358ED"/>
    <w:rsid w:val="00935BE8"/>
    <w:rsid w:val="00935C9F"/>
    <w:rsid w:val="0093628D"/>
    <w:rsid w:val="00936856"/>
    <w:rsid w:val="009376D5"/>
    <w:rsid w:val="00937D60"/>
    <w:rsid w:val="00937EAA"/>
    <w:rsid w:val="00937F3A"/>
    <w:rsid w:val="00940904"/>
    <w:rsid w:val="00940AE3"/>
    <w:rsid w:val="00941E3F"/>
    <w:rsid w:val="009421D9"/>
    <w:rsid w:val="0094320E"/>
    <w:rsid w:val="009433B3"/>
    <w:rsid w:val="00943A7C"/>
    <w:rsid w:val="00943B32"/>
    <w:rsid w:val="00943EA6"/>
    <w:rsid w:val="0094457B"/>
    <w:rsid w:val="00944665"/>
    <w:rsid w:val="0094469E"/>
    <w:rsid w:val="009448AA"/>
    <w:rsid w:val="0094492F"/>
    <w:rsid w:val="00944AA1"/>
    <w:rsid w:val="00944BCA"/>
    <w:rsid w:val="00944CB4"/>
    <w:rsid w:val="00945AD2"/>
    <w:rsid w:val="00945B14"/>
    <w:rsid w:val="009463DF"/>
    <w:rsid w:val="00946DA2"/>
    <w:rsid w:val="009479C7"/>
    <w:rsid w:val="00947CAB"/>
    <w:rsid w:val="00951167"/>
    <w:rsid w:val="0095117B"/>
    <w:rsid w:val="009518A0"/>
    <w:rsid w:val="00951F6E"/>
    <w:rsid w:val="009531E0"/>
    <w:rsid w:val="0095329C"/>
    <w:rsid w:val="009538C1"/>
    <w:rsid w:val="00953BAB"/>
    <w:rsid w:val="00953CE0"/>
    <w:rsid w:val="00953D53"/>
    <w:rsid w:val="00955322"/>
    <w:rsid w:val="00955A2E"/>
    <w:rsid w:val="00955FEA"/>
    <w:rsid w:val="00956278"/>
    <w:rsid w:val="009563C0"/>
    <w:rsid w:val="0095692A"/>
    <w:rsid w:val="00956BF3"/>
    <w:rsid w:val="009573F7"/>
    <w:rsid w:val="00957C58"/>
    <w:rsid w:val="00963231"/>
    <w:rsid w:val="00963F07"/>
    <w:rsid w:val="009646E6"/>
    <w:rsid w:val="0096471F"/>
    <w:rsid w:val="00964E55"/>
    <w:rsid w:val="009661B7"/>
    <w:rsid w:val="0096620E"/>
    <w:rsid w:val="009666FA"/>
    <w:rsid w:val="0096697A"/>
    <w:rsid w:val="00966D5C"/>
    <w:rsid w:val="00966F4F"/>
    <w:rsid w:val="009674C8"/>
    <w:rsid w:val="00967721"/>
    <w:rsid w:val="009702A7"/>
    <w:rsid w:val="0097031B"/>
    <w:rsid w:val="00970BE6"/>
    <w:rsid w:val="00970C3A"/>
    <w:rsid w:val="00970DC2"/>
    <w:rsid w:val="00971990"/>
    <w:rsid w:val="00972513"/>
    <w:rsid w:val="00972996"/>
    <w:rsid w:val="009736BC"/>
    <w:rsid w:val="00974588"/>
    <w:rsid w:val="00974A77"/>
    <w:rsid w:val="00974F64"/>
    <w:rsid w:val="00975008"/>
    <w:rsid w:val="009752EE"/>
    <w:rsid w:val="009753D7"/>
    <w:rsid w:val="00975677"/>
    <w:rsid w:val="00976D42"/>
    <w:rsid w:val="009775C0"/>
    <w:rsid w:val="009775CD"/>
    <w:rsid w:val="00977D06"/>
    <w:rsid w:val="009800BC"/>
    <w:rsid w:val="00980163"/>
    <w:rsid w:val="0098122B"/>
    <w:rsid w:val="00981749"/>
    <w:rsid w:val="00982033"/>
    <w:rsid w:val="00983200"/>
    <w:rsid w:val="00983579"/>
    <w:rsid w:val="009835BD"/>
    <w:rsid w:val="00984200"/>
    <w:rsid w:val="009855CB"/>
    <w:rsid w:val="009857B9"/>
    <w:rsid w:val="009859C4"/>
    <w:rsid w:val="0098609A"/>
    <w:rsid w:val="009865ED"/>
    <w:rsid w:val="009871F8"/>
    <w:rsid w:val="0098793C"/>
    <w:rsid w:val="00987AF0"/>
    <w:rsid w:val="00987BB0"/>
    <w:rsid w:val="00987CCF"/>
    <w:rsid w:val="009904A7"/>
    <w:rsid w:val="009906DB"/>
    <w:rsid w:val="00990DC1"/>
    <w:rsid w:val="00990FC7"/>
    <w:rsid w:val="00991784"/>
    <w:rsid w:val="00991915"/>
    <w:rsid w:val="009919A9"/>
    <w:rsid w:val="00991D33"/>
    <w:rsid w:val="00992164"/>
    <w:rsid w:val="00992877"/>
    <w:rsid w:val="00992BAF"/>
    <w:rsid w:val="00993828"/>
    <w:rsid w:val="009941B6"/>
    <w:rsid w:val="009962A5"/>
    <w:rsid w:val="00996BF6"/>
    <w:rsid w:val="009974E8"/>
    <w:rsid w:val="0099779D"/>
    <w:rsid w:val="00997ED7"/>
    <w:rsid w:val="009A0593"/>
    <w:rsid w:val="009A0AC4"/>
    <w:rsid w:val="009A0C5B"/>
    <w:rsid w:val="009A1530"/>
    <w:rsid w:val="009A17AD"/>
    <w:rsid w:val="009A19A6"/>
    <w:rsid w:val="009A2423"/>
    <w:rsid w:val="009A26E0"/>
    <w:rsid w:val="009A294E"/>
    <w:rsid w:val="009A2CFB"/>
    <w:rsid w:val="009A2E5F"/>
    <w:rsid w:val="009A2F90"/>
    <w:rsid w:val="009A3243"/>
    <w:rsid w:val="009A33E5"/>
    <w:rsid w:val="009A3B2A"/>
    <w:rsid w:val="009A4B08"/>
    <w:rsid w:val="009A4DEF"/>
    <w:rsid w:val="009A5857"/>
    <w:rsid w:val="009A6B02"/>
    <w:rsid w:val="009A718F"/>
    <w:rsid w:val="009A7491"/>
    <w:rsid w:val="009A78B9"/>
    <w:rsid w:val="009A795A"/>
    <w:rsid w:val="009A7FC7"/>
    <w:rsid w:val="009B0EAF"/>
    <w:rsid w:val="009B10CA"/>
    <w:rsid w:val="009B132E"/>
    <w:rsid w:val="009B17C9"/>
    <w:rsid w:val="009B19E2"/>
    <w:rsid w:val="009B1C67"/>
    <w:rsid w:val="009B1E4D"/>
    <w:rsid w:val="009B2181"/>
    <w:rsid w:val="009B26A0"/>
    <w:rsid w:val="009B26CB"/>
    <w:rsid w:val="009B35EF"/>
    <w:rsid w:val="009B3DB7"/>
    <w:rsid w:val="009B4456"/>
    <w:rsid w:val="009B4C55"/>
    <w:rsid w:val="009B60E8"/>
    <w:rsid w:val="009B7281"/>
    <w:rsid w:val="009B7AE1"/>
    <w:rsid w:val="009B7AF2"/>
    <w:rsid w:val="009B7CAB"/>
    <w:rsid w:val="009B7CF3"/>
    <w:rsid w:val="009C0069"/>
    <w:rsid w:val="009C0323"/>
    <w:rsid w:val="009C0FEB"/>
    <w:rsid w:val="009C13AE"/>
    <w:rsid w:val="009C22FE"/>
    <w:rsid w:val="009C293E"/>
    <w:rsid w:val="009C2F42"/>
    <w:rsid w:val="009C2F4C"/>
    <w:rsid w:val="009C31D8"/>
    <w:rsid w:val="009C3652"/>
    <w:rsid w:val="009C3DF0"/>
    <w:rsid w:val="009C43C5"/>
    <w:rsid w:val="009C4682"/>
    <w:rsid w:val="009C54E2"/>
    <w:rsid w:val="009C6152"/>
    <w:rsid w:val="009C6275"/>
    <w:rsid w:val="009C6A80"/>
    <w:rsid w:val="009C6D2B"/>
    <w:rsid w:val="009C7118"/>
    <w:rsid w:val="009C78BF"/>
    <w:rsid w:val="009D0EEB"/>
    <w:rsid w:val="009D1486"/>
    <w:rsid w:val="009D169D"/>
    <w:rsid w:val="009D188E"/>
    <w:rsid w:val="009D1AB8"/>
    <w:rsid w:val="009D1DAC"/>
    <w:rsid w:val="009D28A4"/>
    <w:rsid w:val="009D28F5"/>
    <w:rsid w:val="009D2B93"/>
    <w:rsid w:val="009D3462"/>
    <w:rsid w:val="009D3A54"/>
    <w:rsid w:val="009D460A"/>
    <w:rsid w:val="009D4C7B"/>
    <w:rsid w:val="009D53BC"/>
    <w:rsid w:val="009D548E"/>
    <w:rsid w:val="009D54C7"/>
    <w:rsid w:val="009D5F88"/>
    <w:rsid w:val="009D5FE6"/>
    <w:rsid w:val="009D601B"/>
    <w:rsid w:val="009D7D80"/>
    <w:rsid w:val="009E0051"/>
    <w:rsid w:val="009E094C"/>
    <w:rsid w:val="009E121C"/>
    <w:rsid w:val="009E22A3"/>
    <w:rsid w:val="009E2426"/>
    <w:rsid w:val="009E27D9"/>
    <w:rsid w:val="009E2936"/>
    <w:rsid w:val="009E2CB0"/>
    <w:rsid w:val="009E344F"/>
    <w:rsid w:val="009E3576"/>
    <w:rsid w:val="009E3BDB"/>
    <w:rsid w:val="009E4812"/>
    <w:rsid w:val="009E4BFC"/>
    <w:rsid w:val="009E4CBD"/>
    <w:rsid w:val="009E5D0B"/>
    <w:rsid w:val="009E5F59"/>
    <w:rsid w:val="009E7237"/>
    <w:rsid w:val="009E7E78"/>
    <w:rsid w:val="009E7F58"/>
    <w:rsid w:val="009F04B8"/>
    <w:rsid w:val="009F08A8"/>
    <w:rsid w:val="009F0A7D"/>
    <w:rsid w:val="009F0AE6"/>
    <w:rsid w:val="009F0B9F"/>
    <w:rsid w:val="009F0D37"/>
    <w:rsid w:val="009F0F0E"/>
    <w:rsid w:val="009F10E3"/>
    <w:rsid w:val="009F1390"/>
    <w:rsid w:val="009F19B8"/>
    <w:rsid w:val="009F226F"/>
    <w:rsid w:val="009F292A"/>
    <w:rsid w:val="009F3A07"/>
    <w:rsid w:val="009F40DA"/>
    <w:rsid w:val="009F42EF"/>
    <w:rsid w:val="009F4622"/>
    <w:rsid w:val="009F4765"/>
    <w:rsid w:val="009F4F3F"/>
    <w:rsid w:val="009F4FFF"/>
    <w:rsid w:val="009F5C0F"/>
    <w:rsid w:val="009F5E21"/>
    <w:rsid w:val="009F6990"/>
    <w:rsid w:val="009F6DB0"/>
    <w:rsid w:val="009F726F"/>
    <w:rsid w:val="00A00334"/>
    <w:rsid w:val="00A00F63"/>
    <w:rsid w:val="00A011EA"/>
    <w:rsid w:val="00A015D0"/>
    <w:rsid w:val="00A0226E"/>
    <w:rsid w:val="00A022C7"/>
    <w:rsid w:val="00A02573"/>
    <w:rsid w:val="00A02732"/>
    <w:rsid w:val="00A03101"/>
    <w:rsid w:val="00A047E3"/>
    <w:rsid w:val="00A04924"/>
    <w:rsid w:val="00A04AFE"/>
    <w:rsid w:val="00A04F48"/>
    <w:rsid w:val="00A05758"/>
    <w:rsid w:val="00A0628D"/>
    <w:rsid w:val="00A062A4"/>
    <w:rsid w:val="00A0633D"/>
    <w:rsid w:val="00A06741"/>
    <w:rsid w:val="00A06A21"/>
    <w:rsid w:val="00A06D76"/>
    <w:rsid w:val="00A06DC5"/>
    <w:rsid w:val="00A070DD"/>
    <w:rsid w:val="00A07A06"/>
    <w:rsid w:val="00A07BF5"/>
    <w:rsid w:val="00A1008E"/>
    <w:rsid w:val="00A104E0"/>
    <w:rsid w:val="00A10B78"/>
    <w:rsid w:val="00A10E2F"/>
    <w:rsid w:val="00A10F13"/>
    <w:rsid w:val="00A12FBF"/>
    <w:rsid w:val="00A143F3"/>
    <w:rsid w:val="00A14648"/>
    <w:rsid w:val="00A14C99"/>
    <w:rsid w:val="00A1502E"/>
    <w:rsid w:val="00A162D1"/>
    <w:rsid w:val="00A169F1"/>
    <w:rsid w:val="00A16BDA"/>
    <w:rsid w:val="00A200D4"/>
    <w:rsid w:val="00A2054B"/>
    <w:rsid w:val="00A21020"/>
    <w:rsid w:val="00A21A0C"/>
    <w:rsid w:val="00A21AB5"/>
    <w:rsid w:val="00A21B6F"/>
    <w:rsid w:val="00A21F50"/>
    <w:rsid w:val="00A2350D"/>
    <w:rsid w:val="00A235C5"/>
    <w:rsid w:val="00A249CE"/>
    <w:rsid w:val="00A24D77"/>
    <w:rsid w:val="00A24F98"/>
    <w:rsid w:val="00A259F0"/>
    <w:rsid w:val="00A26048"/>
    <w:rsid w:val="00A263CE"/>
    <w:rsid w:val="00A26602"/>
    <w:rsid w:val="00A26683"/>
    <w:rsid w:val="00A26DFF"/>
    <w:rsid w:val="00A27225"/>
    <w:rsid w:val="00A27B6F"/>
    <w:rsid w:val="00A27C85"/>
    <w:rsid w:val="00A27F97"/>
    <w:rsid w:val="00A30501"/>
    <w:rsid w:val="00A30663"/>
    <w:rsid w:val="00A312C4"/>
    <w:rsid w:val="00A3132B"/>
    <w:rsid w:val="00A315AB"/>
    <w:rsid w:val="00A31661"/>
    <w:rsid w:val="00A32276"/>
    <w:rsid w:val="00A33265"/>
    <w:rsid w:val="00A333D2"/>
    <w:rsid w:val="00A334F7"/>
    <w:rsid w:val="00A336FB"/>
    <w:rsid w:val="00A33AE8"/>
    <w:rsid w:val="00A34809"/>
    <w:rsid w:val="00A356BD"/>
    <w:rsid w:val="00A3584B"/>
    <w:rsid w:val="00A35FF0"/>
    <w:rsid w:val="00A362E3"/>
    <w:rsid w:val="00A3694A"/>
    <w:rsid w:val="00A36B39"/>
    <w:rsid w:val="00A36FBF"/>
    <w:rsid w:val="00A3713F"/>
    <w:rsid w:val="00A37230"/>
    <w:rsid w:val="00A402D6"/>
    <w:rsid w:val="00A406AA"/>
    <w:rsid w:val="00A40F84"/>
    <w:rsid w:val="00A4135B"/>
    <w:rsid w:val="00A41A85"/>
    <w:rsid w:val="00A41E1A"/>
    <w:rsid w:val="00A41EDC"/>
    <w:rsid w:val="00A41F94"/>
    <w:rsid w:val="00A42425"/>
    <w:rsid w:val="00A42667"/>
    <w:rsid w:val="00A43054"/>
    <w:rsid w:val="00A442F4"/>
    <w:rsid w:val="00A447C2"/>
    <w:rsid w:val="00A460B3"/>
    <w:rsid w:val="00A4640C"/>
    <w:rsid w:val="00A475B8"/>
    <w:rsid w:val="00A47D4D"/>
    <w:rsid w:val="00A50891"/>
    <w:rsid w:val="00A51381"/>
    <w:rsid w:val="00A51389"/>
    <w:rsid w:val="00A51ACB"/>
    <w:rsid w:val="00A52303"/>
    <w:rsid w:val="00A52431"/>
    <w:rsid w:val="00A524A1"/>
    <w:rsid w:val="00A526A5"/>
    <w:rsid w:val="00A5293A"/>
    <w:rsid w:val="00A52BE5"/>
    <w:rsid w:val="00A53198"/>
    <w:rsid w:val="00A53BBC"/>
    <w:rsid w:val="00A53CFD"/>
    <w:rsid w:val="00A53D4E"/>
    <w:rsid w:val="00A54302"/>
    <w:rsid w:val="00A54749"/>
    <w:rsid w:val="00A54CBB"/>
    <w:rsid w:val="00A55C69"/>
    <w:rsid w:val="00A56308"/>
    <w:rsid w:val="00A57A65"/>
    <w:rsid w:val="00A57AE7"/>
    <w:rsid w:val="00A57D16"/>
    <w:rsid w:val="00A603F1"/>
    <w:rsid w:val="00A60611"/>
    <w:rsid w:val="00A60AB3"/>
    <w:rsid w:val="00A60C78"/>
    <w:rsid w:val="00A61546"/>
    <w:rsid w:val="00A615AB"/>
    <w:rsid w:val="00A6201A"/>
    <w:rsid w:val="00A62A52"/>
    <w:rsid w:val="00A652D4"/>
    <w:rsid w:val="00A65B17"/>
    <w:rsid w:val="00A6631A"/>
    <w:rsid w:val="00A66E66"/>
    <w:rsid w:val="00A671DD"/>
    <w:rsid w:val="00A67818"/>
    <w:rsid w:val="00A70034"/>
    <w:rsid w:val="00A703AD"/>
    <w:rsid w:val="00A71173"/>
    <w:rsid w:val="00A71206"/>
    <w:rsid w:val="00A7152F"/>
    <w:rsid w:val="00A7218A"/>
    <w:rsid w:val="00A72821"/>
    <w:rsid w:val="00A72A00"/>
    <w:rsid w:val="00A72F96"/>
    <w:rsid w:val="00A73937"/>
    <w:rsid w:val="00A73F71"/>
    <w:rsid w:val="00A7468A"/>
    <w:rsid w:val="00A74ACF"/>
    <w:rsid w:val="00A74FDC"/>
    <w:rsid w:val="00A75556"/>
    <w:rsid w:val="00A756ED"/>
    <w:rsid w:val="00A7614A"/>
    <w:rsid w:val="00A76922"/>
    <w:rsid w:val="00A76BCD"/>
    <w:rsid w:val="00A771F1"/>
    <w:rsid w:val="00A777F8"/>
    <w:rsid w:val="00A801D5"/>
    <w:rsid w:val="00A80AE6"/>
    <w:rsid w:val="00A816D1"/>
    <w:rsid w:val="00A81775"/>
    <w:rsid w:val="00A81FE9"/>
    <w:rsid w:val="00A822B9"/>
    <w:rsid w:val="00A82E61"/>
    <w:rsid w:val="00A830A7"/>
    <w:rsid w:val="00A83761"/>
    <w:rsid w:val="00A83B69"/>
    <w:rsid w:val="00A84B9C"/>
    <w:rsid w:val="00A84E39"/>
    <w:rsid w:val="00A856F8"/>
    <w:rsid w:val="00A85712"/>
    <w:rsid w:val="00A866C0"/>
    <w:rsid w:val="00A87E84"/>
    <w:rsid w:val="00A91449"/>
    <w:rsid w:val="00A91D84"/>
    <w:rsid w:val="00A92421"/>
    <w:rsid w:val="00A92E82"/>
    <w:rsid w:val="00A93463"/>
    <w:rsid w:val="00A93763"/>
    <w:rsid w:val="00A93D5D"/>
    <w:rsid w:val="00A94405"/>
    <w:rsid w:val="00A94524"/>
    <w:rsid w:val="00A94758"/>
    <w:rsid w:val="00A958F7"/>
    <w:rsid w:val="00A95AA9"/>
    <w:rsid w:val="00A95FCA"/>
    <w:rsid w:val="00A966FA"/>
    <w:rsid w:val="00A96E5D"/>
    <w:rsid w:val="00A96FE7"/>
    <w:rsid w:val="00A9764D"/>
    <w:rsid w:val="00A976BE"/>
    <w:rsid w:val="00A97810"/>
    <w:rsid w:val="00AA095B"/>
    <w:rsid w:val="00AA0A57"/>
    <w:rsid w:val="00AA1286"/>
    <w:rsid w:val="00AA18DE"/>
    <w:rsid w:val="00AA1C55"/>
    <w:rsid w:val="00AA1F01"/>
    <w:rsid w:val="00AA21D9"/>
    <w:rsid w:val="00AA2222"/>
    <w:rsid w:val="00AA29D1"/>
    <w:rsid w:val="00AA2ECE"/>
    <w:rsid w:val="00AA300A"/>
    <w:rsid w:val="00AA318D"/>
    <w:rsid w:val="00AA38AE"/>
    <w:rsid w:val="00AA42C3"/>
    <w:rsid w:val="00AA4A26"/>
    <w:rsid w:val="00AA4A67"/>
    <w:rsid w:val="00AA5816"/>
    <w:rsid w:val="00AA5B58"/>
    <w:rsid w:val="00AA5D18"/>
    <w:rsid w:val="00AA616C"/>
    <w:rsid w:val="00AA61AF"/>
    <w:rsid w:val="00AA6313"/>
    <w:rsid w:val="00AA6E0A"/>
    <w:rsid w:val="00AA742B"/>
    <w:rsid w:val="00AA75D4"/>
    <w:rsid w:val="00AB01E9"/>
    <w:rsid w:val="00AB0203"/>
    <w:rsid w:val="00AB1162"/>
    <w:rsid w:val="00AB15B8"/>
    <w:rsid w:val="00AB2447"/>
    <w:rsid w:val="00AB3925"/>
    <w:rsid w:val="00AB4148"/>
    <w:rsid w:val="00AB536A"/>
    <w:rsid w:val="00AB6337"/>
    <w:rsid w:val="00AB676E"/>
    <w:rsid w:val="00AB6E3A"/>
    <w:rsid w:val="00AB7413"/>
    <w:rsid w:val="00AB77AE"/>
    <w:rsid w:val="00AB782B"/>
    <w:rsid w:val="00AC09DF"/>
    <w:rsid w:val="00AC10C5"/>
    <w:rsid w:val="00AC154B"/>
    <w:rsid w:val="00AC1668"/>
    <w:rsid w:val="00AC1EC9"/>
    <w:rsid w:val="00AC2380"/>
    <w:rsid w:val="00AC2671"/>
    <w:rsid w:val="00AC26FA"/>
    <w:rsid w:val="00AC2806"/>
    <w:rsid w:val="00AC385B"/>
    <w:rsid w:val="00AC3899"/>
    <w:rsid w:val="00AC3984"/>
    <w:rsid w:val="00AC3EB8"/>
    <w:rsid w:val="00AC46C7"/>
    <w:rsid w:val="00AC4FB8"/>
    <w:rsid w:val="00AC5178"/>
    <w:rsid w:val="00AC5A51"/>
    <w:rsid w:val="00AC5AF6"/>
    <w:rsid w:val="00AC60C0"/>
    <w:rsid w:val="00AC6465"/>
    <w:rsid w:val="00AC6995"/>
    <w:rsid w:val="00AC70D7"/>
    <w:rsid w:val="00AC7A88"/>
    <w:rsid w:val="00AD0008"/>
    <w:rsid w:val="00AD0BEB"/>
    <w:rsid w:val="00AD0F92"/>
    <w:rsid w:val="00AD166C"/>
    <w:rsid w:val="00AD1899"/>
    <w:rsid w:val="00AD22DD"/>
    <w:rsid w:val="00AD259A"/>
    <w:rsid w:val="00AD2E2C"/>
    <w:rsid w:val="00AD30FD"/>
    <w:rsid w:val="00AD320C"/>
    <w:rsid w:val="00AD3287"/>
    <w:rsid w:val="00AD355D"/>
    <w:rsid w:val="00AD3816"/>
    <w:rsid w:val="00AD5465"/>
    <w:rsid w:val="00AD54B0"/>
    <w:rsid w:val="00AD5702"/>
    <w:rsid w:val="00AD5A77"/>
    <w:rsid w:val="00AD7839"/>
    <w:rsid w:val="00AD7880"/>
    <w:rsid w:val="00AD7AEF"/>
    <w:rsid w:val="00AE0C50"/>
    <w:rsid w:val="00AE0E0C"/>
    <w:rsid w:val="00AE0E93"/>
    <w:rsid w:val="00AE152E"/>
    <w:rsid w:val="00AE19E1"/>
    <w:rsid w:val="00AE1A39"/>
    <w:rsid w:val="00AE2AEB"/>
    <w:rsid w:val="00AE3003"/>
    <w:rsid w:val="00AE3075"/>
    <w:rsid w:val="00AE377B"/>
    <w:rsid w:val="00AE3E01"/>
    <w:rsid w:val="00AE3E15"/>
    <w:rsid w:val="00AE43BF"/>
    <w:rsid w:val="00AE4B26"/>
    <w:rsid w:val="00AE5F60"/>
    <w:rsid w:val="00AE75CC"/>
    <w:rsid w:val="00AE7ED5"/>
    <w:rsid w:val="00AF009C"/>
    <w:rsid w:val="00AF064B"/>
    <w:rsid w:val="00AF20A4"/>
    <w:rsid w:val="00AF2909"/>
    <w:rsid w:val="00AF35C7"/>
    <w:rsid w:val="00AF3708"/>
    <w:rsid w:val="00AF3D73"/>
    <w:rsid w:val="00AF5108"/>
    <w:rsid w:val="00AF5126"/>
    <w:rsid w:val="00AF5CF7"/>
    <w:rsid w:val="00AF6784"/>
    <w:rsid w:val="00AF75A4"/>
    <w:rsid w:val="00AF7CDA"/>
    <w:rsid w:val="00B006A9"/>
    <w:rsid w:val="00B006FA"/>
    <w:rsid w:val="00B00762"/>
    <w:rsid w:val="00B01392"/>
    <w:rsid w:val="00B01436"/>
    <w:rsid w:val="00B0163D"/>
    <w:rsid w:val="00B020D2"/>
    <w:rsid w:val="00B021A7"/>
    <w:rsid w:val="00B0284D"/>
    <w:rsid w:val="00B02A35"/>
    <w:rsid w:val="00B03103"/>
    <w:rsid w:val="00B03413"/>
    <w:rsid w:val="00B0368D"/>
    <w:rsid w:val="00B04025"/>
    <w:rsid w:val="00B05505"/>
    <w:rsid w:val="00B063AA"/>
    <w:rsid w:val="00B07894"/>
    <w:rsid w:val="00B10A16"/>
    <w:rsid w:val="00B10FB8"/>
    <w:rsid w:val="00B112B7"/>
    <w:rsid w:val="00B113C7"/>
    <w:rsid w:val="00B11877"/>
    <w:rsid w:val="00B11F1A"/>
    <w:rsid w:val="00B12503"/>
    <w:rsid w:val="00B13233"/>
    <w:rsid w:val="00B13649"/>
    <w:rsid w:val="00B13BB9"/>
    <w:rsid w:val="00B13D99"/>
    <w:rsid w:val="00B158CF"/>
    <w:rsid w:val="00B15AA9"/>
    <w:rsid w:val="00B16B39"/>
    <w:rsid w:val="00B17428"/>
    <w:rsid w:val="00B1744F"/>
    <w:rsid w:val="00B17C1B"/>
    <w:rsid w:val="00B17E5B"/>
    <w:rsid w:val="00B20132"/>
    <w:rsid w:val="00B21F97"/>
    <w:rsid w:val="00B22B04"/>
    <w:rsid w:val="00B22F35"/>
    <w:rsid w:val="00B2397B"/>
    <w:rsid w:val="00B23DF3"/>
    <w:rsid w:val="00B24792"/>
    <w:rsid w:val="00B25287"/>
    <w:rsid w:val="00B25309"/>
    <w:rsid w:val="00B25900"/>
    <w:rsid w:val="00B25981"/>
    <w:rsid w:val="00B25A56"/>
    <w:rsid w:val="00B25F34"/>
    <w:rsid w:val="00B26281"/>
    <w:rsid w:val="00B268B7"/>
    <w:rsid w:val="00B26ABA"/>
    <w:rsid w:val="00B26B61"/>
    <w:rsid w:val="00B278B6"/>
    <w:rsid w:val="00B30554"/>
    <w:rsid w:val="00B30AC3"/>
    <w:rsid w:val="00B30C89"/>
    <w:rsid w:val="00B325D7"/>
    <w:rsid w:val="00B32983"/>
    <w:rsid w:val="00B32D44"/>
    <w:rsid w:val="00B3313F"/>
    <w:rsid w:val="00B337B8"/>
    <w:rsid w:val="00B3456A"/>
    <w:rsid w:val="00B34AA7"/>
    <w:rsid w:val="00B34AEC"/>
    <w:rsid w:val="00B3580C"/>
    <w:rsid w:val="00B3581D"/>
    <w:rsid w:val="00B35F8C"/>
    <w:rsid w:val="00B3653E"/>
    <w:rsid w:val="00B36A25"/>
    <w:rsid w:val="00B36B79"/>
    <w:rsid w:val="00B3720F"/>
    <w:rsid w:val="00B37318"/>
    <w:rsid w:val="00B37462"/>
    <w:rsid w:val="00B375BC"/>
    <w:rsid w:val="00B40249"/>
    <w:rsid w:val="00B40ADD"/>
    <w:rsid w:val="00B40DF2"/>
    <w:rsid w:val="00B411D1"/>
    <w:rsid w:val="00B4182E"/>
    <w:rsid w:val="00B419C5"/>
    <w:rsid w:val="00B42568"/>
    <w:rsid w:val="00B43429"/>
    <w:rsid w:val="00B4342E"/>
    <w:rsid w:val="00B43684"/>
    <w:rsid w:val="00B444E3"/>
    <w:rsid w:val="00B44809"/>
    <w:rsid w:val="00B448D5"/>
    <w:rsid w:val="00B44BB9"/>
    <w:rsid w:val="00B455F6"/>
    <w:rsid w:val="00B4582B"/>
    <w:rsid w:val="00B45CF3"/>
    <w:rsid w:val="00B4614D"/>
    <w:rsid w:val="00B46C72"/>
    <w:rsid w:val="00B46E64"/>
    <w:rsid w:val="00B46F49"/>
    <w:rsid w:val="00B47036"/>
    <w:rsid w:val="00B47311"/>
    <w:rsid w:val="00B474A4"/>
    <w:rsid w:val="00B47B3E"/>
    <w:rsid w:val="00B51D71"/>
    <w:rsid w:val="00B53441"/>
    <w:rsid w:val="00B5367F"/>
    <w:rsid w:val="00B537E8"/>
    <w:rsid w:val="00B53A77"/>
    <w:rsid w:val="00B53BFB"/>
    <w:rsid w:val="00B543AB"/>
    <w:rsid w:val="00B546D8"/>
    <w:rsid w:val="00B55473"/>
    <w:rsid w:val="00B5591F"/>
    <w:rsid w:val="00B55F92"/>
    <w:rsid w:val="00B56E4A"/>
    <w:rsid w:val="00B574B1"/>
    <w:rsid w:val="00B57A9F"/>
    <w:rsid w:val="00B57C1C"/>
    <w:rsid w:val="00B57E42"/>
    <w:rsid w:val="00B60471"/>
    <w:rsid w:val="00B6097F"/>
    <w:rsid w:val="00B6107E"/>
    <w:rsid w:val="00B616A3"/>
    <w:rsid w:val="00B618D2"/>
    <w:rsid w:val="00B61A0E"/>
    <w:rsid w:val="00B61E02"/>
    <w:rsid w:val="00B61F6E"/>
    <w:rsid w:val="00B6214E"/>
    <w:rsid w:val="00B62877"/>
    <w:rsid w:val="00B63A05"/>
    <w:rsid w:val="00B63B88"/>
    <w:rsid w:val="00B63E46"/>
    <w:rsid w:val="00B6466C"/>
    <w:rsid w:val="00B646F1"/>
    <w:rsid w:val="00B64AC1"/>
    <w:rsid w:val="00B6530F"/>
    <w:rsid w:val="00B65882"/>
    <w:rsid w:val="00B65FCB"/>
    <w:rsid w:val="00B66807"/>
    <w:rsid w:val="00B6700B"/>
    <w:rsid w:val="00B67FB6"/>
    <w:rsid w:val="00B70D85"/>
    <w:rsid w:val="00B71215"/>
    <w:rsid w:val="00B716FD"/>
    <w:rsid w:val="00B71A67"/>
    <w:rsid w:val="00B71B18"/>
    <w:rsid w:val="00B71C81"/>
    <w:rsid w:val="00B71CE2"/>
    <w:rsid w:val="00B721BF"/>
    <w:rsid w:val="00B72AA8"/>
    <w:rsid w:val="00B731FA"/>
    <w:rsid w:val="00B7324D"/>
    <w:rsid w:val="00B74072"/>
    <w:rsid w:val="00B7417D"/>
    <w:rsid w:val="00B74419"/>
    <w:rsid w:val="00B744A9"/>
    <w:rsid w:val="00B744C0"/>
    <w:rsid w:val="00B75227"/>
    <w:rsid w:val="00B759CC"/>
    <w:rsid w:val="00B75BBB"/>
    <w:rsid w:val="00B75D17"/>
    <w:rsid w:val="00B75E2A"/>
    <w:rsid w:val="00B7639F"/>
    <w:rsid w:val="00B768A0"/>
    <w:rsid w:val="00B772B8"/>
    <w:rsid w:val="00B7774D"/>
    <w:rsid w:val="00B777B1"/>
    <w:rsid w:val="00B8041F"/>
    <w:rsid w:val="00B80CCD"/>
    <w:rsid w:val="00B81BDE"/>
    <w:rsid w:val="00B8218E"/>
    <w:rsid w:val="00B824ED"/>
    <w:rsid w:val="00B82BEF"/>
    <w:rsid w:val="00B82C2D"/>
    <w:rsid w:val="00B83A2D"/>
    <w:rsid w:val="00B83F90"/>
    <w:rsid w:val="00B844E2"/>
    <w:rsid w:val="00B84B7B"/>
    <w:rsid w:val="00B84CBC"/>
    <w:rsid w:val="00B853CF"/>
    <w:rsid w:val="00B8549A"/>
    <w:rsid w:val="00B85A54"/>
    <w:rsid w:val="00B85ADB"/>
    <w:rsid w:val="00B85B7C"/>
    <w:rsid w:val="00B8621C"/>
    <w:rsid w:val="00B871B6"/>
    <w:rsid w:val="00B874D9"/>
    <w:rsid w:val="00B876F6"/>
    <w:rsid w:val="00B87A0F"/>
    <w:rsid w:val="00B87AF5"/>
    <w:rsid w:val="00B87C1C"/>
    <w:rsid w:val="00B87DEF"/>
    <w:rsid w:val="00B87E5A"/>
    <w:rsid w:val="00B90698"/>
    <w:rsid w:val="00B907C8"/>
    <w:rsid w:val="00B90B63"/>
    <w:rsid w:val="00B91663"/>
    <w:rsid w:val="00B91E27"/>
    <w:rsid w:val="00B91EA9"/>
    <w:rsid w:val="00B921F4"/>
    <w:rsid w:val="00B92336"/>
    <w:rsid w:val="00B92644"/>
    <w:rsid w:val="00B92935"/>
    <w:rsid w:val="00B92A5A"/>
    <w:rsid w:val="00B92AEA"/>
    <w:rsid w:val="00B93012"/>
    <w:rsid w:val="00B9382E"/>
    <w:rsid w:val="00B93FEC"/>
    <w:rsid w:val="00B94031"/>
    <w:rsid w:val="00B940E7"/>
    <w:rsid w:val="00B94448"/>
    <w:rsid w:val="00B95F28"/>
    <w:rsid w:val="00B96857"/>
    <w:rsid w:val="00B97250"/>
    <w:rsid w:val="00B9785F"/>
    <w:rsid w:val="00B97FE2"/>
    <w:rsid w:val="00BA0C98"/>
    <w:rsid w:val="00BA0EF2"/>
    <w:rsid w:val="00BA13B6"/>
    <w:rsid w:val="00BA1A7E"/>
    <w:rsid w:val="00BA35AB"/>
    <w:rsid w:val="00BA3A75"/>
    <w:rsid w:val="00BA3B67"/>
    <w:rsid w:val="00BA3C02"/>
    <w:rsid w:val="00BA3FC0"/>
    <w:rsid w:val="00BA4E3A"/>
    <w:rsid w:val="00BA5019"/>
    <w:rsid w:val="00BA52B7"/>
    <w:rsid w:val="00BA55BE"/>
    <w:rsid w:val="00BA5D98"/>
    <w:rsid w:val="00BA61F5"/>
    <w:rsid w:val="00BA6ACB"/>
    <w:rsid w:val="00BB010C"/>
    <w:rsid w:val="00BB0FDC"/>
    <w:rsid w:val="00BB19B5"/>
    <w:rsid w:val="00BB2556"/>
    <w:rsid w:val="00BB2E05"/>
    <w:rsid w:val="00BB3377"/>
    <w:rsid w:val="00BB3B27"/>
    <w:rsid w:val="00BB3CA2"/>
    <w:rsid w:val="00BB4FFD"/>
    <w:rsid w:val="00BB53EF"/>
    <w:rsid w:val="00BB5510"/>
    <w:rsid w:val="00BB58E1"/>
    <w:rsid w:val="00BB5945"/>
    <w:rsid w:val="00BB5D15"/>
    <w:rsid w:val="00BB6035"/>
    <w:rsid w:val="00BB65C1"/>
    <w:rsid w:val="00BB68FA"/>
    <w:rsid w:val="00BB6EAC"/>
    <w:rsid w:val="00BB7018"/>
    <w:rsid w:val="00BB71F0"/>
    <w:rsid w:val="00BB73EB"/>
    <w:rsid w:val="00BB7C59"/>
    <w:rsid w:val="00BC0468"/>
    <w:rsid w:val="00BC0654"/>
    <w:rsid w:val="00BC11DF"/>
    <w:rsid w:val="00BC1238"/>
    <w:rsid w:val="00BC1DFA"/>
    <w:rsid w:val="00BC1EEA"/>
    <w:rsid w:val="00BC283F"/>
    <w:rsid w:val="00BC2BE8"/>
    <w:rsid w:val="00BC2BFF"/>
    <w:rsid w:val="00BC367D"/>
    <w:rsid w:val="00BC44AD"/>
    <w:rsid w:val="00BC5890"/>
    <w:rsid w:val="00BC5B07"/>
    <w:rsid w:val="00BC5B54"/>
    <w:rsid w:val="00BC6C98"/>
    <w:rsid w:val="00BC76E4"/>
    <w:rsid w:val="00BC7F18"/>
    <w:rsid w:val="00BD00DC"/>
    <w:rsid w:val="00BD03D0"/>
    <w:rsid w:val="00BD1B4F"/>
    <w:rsid w:val="00BD22FB"/>
    <w:rsid w:val="00BD29C2"/>
    <w:rsid w:val="00BD3079"/>
    <w:rsid w:val="00BD3B4E"/>
    <w:rsid w:val="00BD43DF"/>
    <w:rsid w:val="00BD48C4"/>
    <w:rsid w:val="00BD4EB8"/>
    <w:rsid w:val="00BD512C"/>
    <w:rsid w:val="00BD6A3E"/>
    <w:rsid w:val="00BD71E4"/>
    <w:rsid w:val="00BD769A"/>
    <w:rsid w:val="00BD7891"/>
    <w:rsid w:val="00BE0978"/>
    <w:rsid w:val="00BE0F42"/>
    <w:rsid w:val="00BE155B"/>
    <w:rsid w:val="00BE23E8"/>
    <w:rsid w:val="00BE2630"/>
    <w:rsid w:val="00BE2800"/>
    <w:rsid w:val="00BE2A6D"/>
    <w:rsid w:val="00BE2C3E"/>
    <w:rsid w:val="00BE2D13"/>
    <w:rsid w:val="00BE2EC4"/>
    <w:rsid w:val="00BE3C14"/>
    <w:rsid w:val="00BE5C3D"/>
    <w:rsid w:val="00BE5DEF"/>
    <w:rsid w:val="00BE6598"/>
    <w:rsid w:val="00BE67D7"/>
    <w:rsid w:val="00BE77C8"/>
    <w:rsid w:val="00BE7A93"/>
    <w:rsid w:val="00BE7EF6"/>
    <w:rsid w:val="00BE7FA4"/>
    <w:rsid w:val="00BF0356"/>
    <w:rsid w:val="00BF043E"/>
    <w:rsid w:val="00BF058A"/>
    <w:rsid w:val="00BF07CC"/>
    <w:rsid w:val="00BF0B1D"/>
    <w:rsid w:val="00BF101F"/>
    <w:rsid w:val="00BF13DE"/>
    <w:rsid w:val="00BF1DC8"/>
    <w:rsid w:val="00BF1FC8"/>
    <w:rsid w:val="00BF20FA"/>
    <w:rsid w:val="00BF28B8"/>
    <w:rsid w:val="00BF2B98"/>
    <w:rsid w:val="00BF2C10"/>
    <w:rsid w:val="00BF2FF4"/>
    <w:rsid w:val="00BF332B"/>
    <w:rsid w:val="00BF341D"/>
    <w:rsid w:val="00BF46ED"/>
    <w:rsid w:val="00BF49A1"/>
    <w:rsid w:val="00BF4DA5"/>
    <w:rsid w:val="00BF5797"/>
    <w:rsid w:val="00BF57D8"/>
    <w:rsid w:val="00BF5A00"/>
    <w:rsid w:val="00BF5CC9"/>
    <w:rsid w:val="00BF6663"/>
    <w:rsid w:val="00BF66BF"/>
    <w:rsid w:val="00BF672F"/>
    <w:rsid w:val="00BF6995"/>
    <w:rsid w:val="00BF6DA9"/>
    <w:rsid w:val="00BF702F"/>
    <w:rsid w:val="00BF7323"/>
    <w:rsid w:val="00BF76CB"/>
    <w:rsid w:val="00BF77CA"/>
    <w:rsid w:val="00BF79E2"/>
    <w:rsid w:val="00BF7A78"/>
    <w:rsid w:val="00BF7E90"/>
    <w:rsid w:val="00C001A0"/>
    <w:rsid w:val="00C009D5"/>
    <w:rsid w:val="00C01B34"/>
    <w:rsid w:val="00C01DA5"/>
    <w:rsid w:val="00C01ED3"/>
    <w:rsid w:val="00C03883"/>
    <w:rsid w:val="00C04E0B"/>
    <w:rsid w:val="00C052FE"/>
    <w:rsid w:val="00C05BB8"/>
    <w:rsid w:val="00C05EAC"/>
    <w:rsid w:val="00C06113"/>
    <w:rsid w:val="00C0742F"/>
    <w:rsid w:val="00C07589"/>
    <w:rsid w:val="00C076FB"/>
    <w:rsid w:val="00C07870"/>
    <w:rsid w:val="00C07BAC"/>
    <w:rsid w:val="00C07F09"/>
    <w:rsid w:val="00C100B8"/>
    <w:rsid w:val="00C1022C"/>
    <w:rsid w:val="00C106FD"/>
    <w:rsid w:val="00C10A1A"/>
    <w:rsid w:val="00C11115"/>
    <w:rsid w:val="00C119FD"/>
    <w:rsid w:val="00C11DB9"/>
    <w:rsid w:val="00C11DE0"/>
    <w:rsid w:val="00C12145"/>
    <w:rsid w:val="00C126A3"/>
    <w:rsid w:val="00C1286D"/>
    <w:rsid w:val="00C13267"/>
    <w:rsid w:val="00C13BBC"/>
    <w:rsid w:val="00C145AA"/>
    <w:rsid w:val="00C1463D"/>
    <w:rsid w:val="00C14B2B"/>
    <w:rsid w:val="00C14C35"/>
    <w:rsid w:val="00C150E0"/>
    <w:rsid w:val="00C15910"/>
    <w:rsid w:val="00C15C9C"/>
    <w:rsid w:val="00C15F5B"/>
    <w:rsid w:val="00C165C4"/>
    <w:rsid w:val="00C16E72"/>
    <w:rsid w:val="00C176B4"/>
    <w:rsid w:val="00C204C5"/>
    <w:rsid w:val="00C20CCA"/>
    <w:rsid w:val="00C21159"/>
    <w:rsid w:val="00C21F1A"/>
    <w:rsid w:val="00C21F95"/>
    <w:rsid w:val="00C224D8"/>
    <w:rsid w:val="00C22682"/>
    <w:rsid w:val="00C22B20"/>
    <w:rsid w:val="00C22EF7"/>
    <w:rsid w:val="00C23281"/>
    <w:rsid w:val="00C234F2"/>
    <w:rsid w:val="00C23533"/>
    <w:rsid w:val="00C23877"/>
    <w:rsid w:val="00C23BD9"/>
    <w:rsid w:val="00C23ECF"/>
    <w:rsid w:val="00C24E38"/>
    <w:rsid w:val="00C2534C"/>
    <w:rsid w:val="00C25A9F"/>
    <w:rsid w:val="00C25B19"/>
    <w:rsid w:val="00C25DBD"/>
    <w:rsid w:val="00C25DCF"/>
    <w:rsid w:val="00C260CE"/>
    <w:rsid w:val="00C26423"/>
    <w:rsid w:val="00C2683C"/>
    <w:rsid w:val="00C26BE8"/>
    <w:rsid w:val="00C2741B"/>
    <w:rsid w:val="00C27664"/>
    <w:rsid w:val="00C27A8F"/>
    <w:rsid w:val="00C27E95"/>
    <w:rsid w:val="00C27F1C"/>
    <w:rsid w:val="00C27F69"/>
    <w:rsid w:val="00C30896"/>
    <w:rsid w:val="00C3143F"/>
    <w:rsid w:val="00C31854"/>
    <w:rsid w:val="00C318A9"/>
    <w:rsid w:val="00C31F91"/>
    <w:rsid w:val="00C3259B"/>
    <w:rsid w:val="00C32A40"/>
    <w:rsid w:val="00C32F47"/>
    <w:rsid w:val="00C33655"/>
    <w:rsid w:val="00C338A4"/>
    <w:rsid w:val="00C34344"/>
    <w:rsid w:val="00C344EF"/>
    <w:rsid w:val="00C34ECF"/>
    <w:rsid w:val="00C35A38"/>
    <w:rsid w:val="00C35F9A"/>
    <w:rsid w:val="00C362A2"/>
    <w:rsid w:val="00C365D8"/>
    <w:rsid w:val="00C36EE9"/>
    <w:rsid w:val="00C377B1"/>
    <w:rsid w:val="00C37948"/>
    <w:rsid w:val="00C37CA3"/>
    <w:rsid w:val="00C40252"/>
    <w:rsid w:val="00C41462"/>
    <w:rsid w:val="00C41B94"/>
    <w:rsid w:val="00C4214B"/>
    <w:rsid w:val="00C42291"/>
    <w:rsid w:val="00C42BE8"/>
    <w:rsid w:val="00C42C01"/>
    <w:rsid w:val="00C42D3C"/>
    <w:rsid w:val="00C43333"/>
    <w:rsid w:val="00C43937"/>
    <w:rsid w:val="00C441D3"/>
    <w:rsid w:val="00C4556C"/>
    <w:rsid w:val="00C45A00"/>
    <w:rsid w:val="00C45C75"/>
    <w:rsid w:val="00C46875"/>
    <w:rsid w:val="00C46C7D"/>
    <w:rsid w:val="00C46ECA"/>
    <w:rsid w:val="00C471D3"/>
    <w:rsid w:val="00C47B8C"/>
    <w:rsid w:val="00C504EF"/>
    <w:rsid w:val="00C5051C"/>
    <w:rsid w:val="00C50575"/>
    <w:rsid w:val="00C50A81"/>
    <w:rsid w:val="00C51BCA"/>
    <w:rsid w:val="00C52354"/>
    <w:rsid w:val="00C523B2"/>
    <w:rsid w:val="00C5264B"/>
    <w:rsid w:val="00C5290D"/>
    <w:rsid w:val="00C52ABE"/>
    <w:rsid w:val="00C53252"/>
    <w:rsid w:val="00C53A49"/>
    <w:rsid w:val="00C54364"/>
    <w:rsid w:val="00C547AA"/>
    <w:rsid w:val="00C554E2"/>
    <w:rsid w:val="00C555CA"/>
    <w:rsid w:val="00C56936"/>
    <w:rsid w:val="00C56F12"/>
    <w:rsid w:val="00C57FE9"/>
    <w:rsid w:val="00C602A5"/>
    <w:rsid w:val="00C60F2F"/>
    <w:rsid w:val="00C61E19"/>
    <w:rsid w:val="00C625E0"/>
    <w:rsid w:val="00C6316F"/>
    <w:rsid w:val="00C633FA"/>
    <w:rsid w:val="00C63B94"/>
    <w:rsid w:val="00C6417D"/>
    <w:rsid w:val="00C644D9"/>
    <w:rsid w:val="00C64587"/>
    <w:rsid w:val="00C64604"/>
    <w:rsid w:val="00C6518D"/>
    <w:rsid w:val="00C65421"/>
    <w:rsid w:val="00C654D0"/>
    <w:rsid w:val="00C667D1"/>
    <w:rsid w:val="00C66875"/>
    <w:rsid w:val="00C66E56"/>
    <w:rsid w:val="00C671D3"/>
    <w:rsid w:val="00C67675"/>
    <w:rsid w:val="00C67CE8"/>
    <w:rsid w:val="00C67E9D"/>
    <w:rsid w:val="00C702F8"/>
    <w:rsid w:val="00C7068B"/>
    <w:rsid w:val="00C70762"/>
    <w:rsid w:val="00C70A60"/>
    <w:rsid w:val="00C70D3E"/>
    <w:rsid w:val="00C71C70"/>
    <w:rsid w:val="00C72D08"/>
    <w:rsid w:val="00C732C9"/>
    <w:rsid w:val="00C73D4F"/>
    <w:rsid w:val="00C743DF"/>
    <w:rsid w:val="00C74551"/>
    <w:rsid w:val="00C74E11"/>
    <w:rsid w:val="00C75099"/>
    <w:rsid w:val="00C75679"/>
    <w:rsid w:val="00C75B5E"/>
    <w:rsid w:val="00C7613E"/>
    <w:rsid w:val="00C76C73"/>
    <w:rsid w:val="00C77C11"/>
    <w:rsid w:val="00C805A8"/>
    <w:rsid w:val="00C805B5"/>
    <w:rsid w:val="00C80782"/>
    <w:rsid w:val="00C807B3"/>
    <w:rsid w:val="00C80CAD"/>
    <w:rsid w:val="00C80E07"/>
    <w:rsid w:val="00C8110B"/>
    <w:rsid w:val="00C8120C"/>
    <w:rsid w:val="00C81215"/>
    <w:rsid w:val="00C8166A"/>
    <w:rsid w:val="00C81CDC"/>
    <w:rsid w:val="00C81CE9"/>
    <w:rsid w:val="00C82782"/>
    <w:rsid w:val="00C8290D"/>
    <w:rsid w:val="00C832CD"/>
    <w:rsid w:val="00C83B7D"/>
    <w:rsid w:val="00C84207"/>
    <w:rsid w:val="00C8427B"/>
    <w:rsid w:val="00C847E4"/>
    <w:rsid w:val="00C85229"/>
    <w:rsid w:val="00C85C56"/>
    <w:rsid w:val="00C86893"/>
    <w:rsid w:val="00C86BF0"/>
    <w:rsid w:val="00C8703F"/>
    <w:rsid w:val="00C90579"/>
    <w:rsid w:val="00C91126"/>
    <w:rsid w:val="00C91CFB"/>
    <w:rsid w:val="00C92815"/>
    <w:rsid w:val="00C9281C"/>
    <w:rsid w:val="00C92C12"/>
    <w:rsid w:val="00C93008"/>
    <w:rsid w:val="00C94042"/>
    <w:rsid w:val="00C950B2"/>
    <w:rsid w:val="00C954A8"/>
    <w:rsid w:val="00C9581A"/>
    <w:rsid w:val="00C95FE8"/>
    <w:rsid w:val="00C963EB"/>
    <w:rsid w:val="00C96A78"/>
    <w:rsid w:val="00CA0104"/>
    <w:rsid w:val="00CA060A"/>
    <w:rsid w:val="00CA0A1B"/>
    <w:rsid w:val="00CA142E"/>
    <w:rsid w:val="00CA1F77"/>
    <w:rsid w:val="00CA2527"/>
    <w:rsid w:val="00CA2566"/>
    <w:rsid w:val="00CA2B92"/>
    <w:rsid w:val="00CA3381"/>
    <w:rsid w:val="00CA3709"/>
    <w:rsid w:val="00CA3920"/>
    <w:rsid w:val="00CA3D2F"/>
    <w:rsid w:val="00CA3E40"/>
    <w:rsid w:val="00CA3EEA"/>
    <w:rsid w:val="00CA4371"/>
    <w:rsid w:val="00CA4669"/>
    <w:rsid w:val="00CA4990"/>
    <w:rsid w:val="00CA6128"/>
    <w:rsid w:val="00CA635C"/>
    <w:rsid w:val="00CA638D"/>
    <w:rsid w:val="00CA67A4"/>
    <w:rsid w:val="00CA6A64"/>
    <w:rsid w:val="00CA700C"/>
    <w:rsid w:val="00CA7048"/>
    <w:rsid w:val="00CA74AD"/>
    <w:rsid w:val="00CA75AC"/>
    <w:rsid w:val="00CB0068"/>
    <w:rsid w:val="00CB008F"/>
    <w:rsid w:val="00CB1766"/>
    <w:rsid w:val="00CB1CF8"/>
    <w:rsid w:val="00CB2071"/>
    <w:rsid w:val="00CB2255"/>
    <w:rsid w:val="00CB296F"/>
    <w:rsid w:val="00CB2A3E"/>
    <w:rsid w:val="00CB31CE"/>
    <w:rsid w:val="00CB3616"/>
    <w:rsid w:val="00CB3A26"/>
    <w:rsid w:val="00CB3D64"/>
    <w:rsid w:val="00CB4256"/>
    <w:rsid w:val="00CB4749"/>
    <w:rsid w:val="00CB47B0"/>
    <w:rsid w:val="00CB519D"/>
    <w:rsid w:val="00CB5612"/>
    <w:rsid w:val="00CB58AA"/>
    <w:rsid w:val="00CB6615"/>
    <w:rsid w:val="00CB760F"/>
    <w:rsid w:val="00CB7938"/>
    <w:rsid w:val="00CB7A75"/>
    <w:rsid w:val="00CB7EA2"/>
    <w:rsid w:val="00CC132B"/>
    <w:rsid w:val="00CC1815"/>
    <w:rsid w:val="00CC1834"/>
    <w:rsid w:val="00CC1C1C"/>
    <w:rsid w:val="00CC2310"/>
    <w:rsid w:val="00CC2610"/>
    <w:rsid w:val="00CC292B"/>
    <w:rsid w:val="00CC2AA6"/>
    <w:rsid w:val="00CC35FB"/>
    <w:rsid w:val="00CC3874"/>
    <w:rsid w:val="00CC3FF4"/>
    <w:rsid w:val="00CC447F"/>
    <w:rsid w:val="00CC4954"/>
    <w:rsid w:val="00CC49EA"/>
    <w:rsid w:val="00CC4F39"/>
    <w:rsid w:val="00CC52B3"/>
    <w:rsid w:val="00CC59E6"/>
    <w:rsid w:val="00CC5B72"/>
    <w:rsid w:val="00CC6D89"/>
    <w:rsid w:val="00CC7208"/>
    <w:rsid w:val="00CC766D"/>
    <w:rsid w:val="00CC771E"/>
    <w:rsid w:val="00CD059C"/>
    <w:rsid w:val="00CD05A2"/>
    <w:rsid w:val="00CD0941"/>
    <w:rsid w:val="00CD0AA0"/>
    <w:rsid w:val="00CD1AFB"/>
    <w:rsid w:val="00CD1F8E"/>
    <w:rsid w:val="00CD26DD"/>
    <w:rsid w:val="00CD2938"/>
    <w:rsid w:val="00CD2E1E"/>
    <w:rsid w:val="00CD2EED"/>
    <w:rsid w:val="00CD2FC5"/>
    <w:rsid w:val="00CD319D"/>
    <w:rsid w:val="00CD32F0"/>
    <w:rsid w:val="00CD4513"/>
    <w:rsid w:val="00CD62A2"/>
    <w:rsid w:val="00CD7BFB"/>
    <w:rsid w:val="00CE0C61"/>
    <w:rsid w:val="00CE1C4B"/>
    <w:rsid w:val="00CE1DA4"/>
    <w:rsid w:val="00CE25E1"/>
    <w:rsid w:val="00CE2977"/>
    <w:rsid w:val="00CE2B21"/>
    <w:rsid w:val="00CE2B72"/>
    <w:rsid w:val="00CE2B8B"/>
    <w:rsid w:val="00CE2C13"/>
    <w:rsid w:val="00CE2D90"/>
    <w:rsid w:val="00CE2FF5"/>
    <w:rsid w:val="00CE3587"/>
    <w:rsid w:val="00CE3A03"/>
    <w:rsid w:val="00CE40BD"/>
    <w:rsid w:val="00CE42A7"/>
    <w:rsid w:val="00CE4C95"/>
    <w:rsid w:val="00CE50AE"/>
    <w:rsid w:val="00CE52D4"/>
    <w:rsid w:val="00CE574B"/>
    <w:rsid w:val="00CE5CD1"/>
    <w:rsid w:val="00CE618D"/>
    <w:rsid w:val="00CE61BC"/>
    <w:rsid w:val="00CE6C11"/>
    <w:rsid w:val="00CE755F"/>
    <w:rsid w:val="00CE7FB3"/>
    <w:rsid w:val="00CF0474"/>
    <w:rsid w:val="00CF0BB3"/>
    <w:rsid w:val="00CF0F0D"/>
    <w:rsid w:val="00CF1634"/>
    <w:rsid w:val="00CF1672"/>
    <w:rsid w:val="00CF21E4"/>
    <w:rsid w:val="00CF279F"/>
    <w:rsid w:val="00CF2B7A"/>
    <w:rsid w:val="00CF2F6A"/>
    <w:rsid w:val="00CF316E"/>
    <w:rsid w:val="00CF3D0C"/>
    <w:rsid w:val="00CF4447"/>
    <w:rsid w:val="00CF4576"/>
    <w:rsid w:val="00CF4825"/>
    <w:rsid w:val="00CF4D0E"/>
    <w:rsid w:val="00CF58E3"/>
    <w:rsid w:val="00CF593E"/>
    <w:rsid w:val="00CF6A0C"/>
    <w:rsid w:val="00CF6A76"/>
    <w:rsid w:val="00CF70F4"/>
    <w:rsid w:val="00CF7134"/>
    <w:rsid w:val="00CF799C"/>
    <w:rsid w:val="00D0098E"/>
    <w:rsid w:val="00D00F94"/>
    <w:rsid w:val="00D011A3"/>
    <w:rsid w:val="00D0238C"/>
    <w:rsid w:val="00D02592"/>
    <w:rsid w:val="00D027C6"/>
    <w:rsid w:val="00D02C4C"/>
    <w:rsid w:val="00D03104"/>
    <w:rsid w:val="00D03277"/>
    <w:rsid w:val="00D03D5F"/>
    <w:rsid w:val="00D04E51"/>
    <w:rsid w:val="00D05833"/>
    <w:rsid w:val="00D06304"/>
    <w:rsid w:val="00D0644C"/>
    <w:rsid w:val="00D06EE7"/>
    <w:rsid w:val="00D07412"/>
    <w:rsid w:val="00D074B0"/>
    <w:rsid w:val="00D10A06"/>
    <w:rsid w:val="00D10B0F"/>
    <w:rsid w:val="00D112D9"/>
    <w:rsid w:val="00D11738"/>
    <w:rsid w:val="00D12E90"/>
    <w:rsid w:val="00D13E18"/>
    <w:rsid w:val="00D14055"/>
    <w:rsid w:val="00D141B9"/>
    <w:rsid w:val="00D14481"/>
    <w:rsid w:val="00D145CB"/>
    <w:rsid w:val="00D152B5"/>
    <w:rsid w:val="00D1551B"/>
    <w:rsid w:val="00D15B71"/>
    <w:rsid w:val="00D1633B"/>
    <w:rsid w:val="00D16B14"/>
    <w:rsid w:val="00D170E5"/>
    <w:rsid w:val="00D176E4"/>
    <w:rsid w:val="00D17B3C"/>
    <w:rsid w:val="00D17D01"/>
    <w:rsid w:val="00D20861"/>
    <w:rsid w:val="00D21026"/>
    <w:rsid w:val="00D21041"/>
    <w:rsid w:val="00D21082"/>
    <w:rsid w:val="00D213DC"/>
    <w:rsid w:val="00D214A8"/>
    <w:rsid w:val="00D21503"/>
    <w:rsid w:val="00D21FE6"/>
    <w:rsid w:val="00D222D4"/>
    <w:rsid w:val="00D22368"/>
    <w:rsid w:val="00D223E8"/>
    <w:rsid w:val="00D2320A"/>
    <w:rsid w:val="00D235B4"/>
    <w:rsid w:val="00D23E4E"/>
    <w:rsid w:val="00D23F6C"/>
    <w:rsid w:val="00D2449E"/>
    <w:rsid w:val="00D2554B"/>
    <w:rsid w:val="00D25CAD"/>
    <w:rsid w:val="00D2681A"/>
    <w:rsid w:val="00D26A60"/>
    <w:rsid w:val="00D26B7E"/>
    <w:rsid w:val="00D26C19"/>
    <w:rsid w:val="00D26D7F"/>
    <w:rsid w:val="00D26E18"/>
    <w:rsid w:val="00D27588"/>
    <w:rsid w:val="00D27AB0"/>
    <w:rsid w:val="00D27D92"/>
    <w:rsid w:val="00D302CD"/>
    <w:rsid w:val="00D3036F"/>
    <w:rsid w:val="00D304CB"/>
    <w:rsid w:val="00D307CD"/>
    <w:rsid w:val="00D30C68"/>
    <w:rsid w:val="00D30E18"/>
    <w:rsid w:val="00D3105E"/>
    <w:rsid w:val="00D3106B"/>
    <w:rsid w:val="00D315AF"/>
    <w:rsid w:val="00D31642"/>
    <w:rsid w:val="00D31D50"/>
    <w:rsid w:val="00D32864"/>
    <w:rsid w:val="00D3336D"/>
    <w:rsid w:val="00D338DD"/>
    <w:rsid w:val="00D33A3A"/>
    <w:rsid w:val="00D33CDA"/>
    <w:rsid w:val="00D33D6E"/>
    <w:rsid w:val="00D33DEB"/>
    <w:rsid w:val="00D3406B"/>
    <w:rsid w:val="00D34550"/>
    <w:rsid w:val="00D357E2"/>
    <w:rsid w:val="00D35D15"/>
    <w:rsid w:val="00D35E20"/>
    <w:rsid w:val="00D3611E"/>
    <w:rsid w:val="00D366E3"/>
    <w:rsid w:val="00D36819"/>
    <w:rsid w:val="00D3718A"/>
    <w:rsid w:val="00D37CB9"/>
    <w:rsid w:val="00D407EC"/>
    <w:rsid w:val="00D40A54"/>
    <w:rsid w:val="00D40ACB"/>
    <w:rsid w:val="00D41754"/>
    <w:rsid w:val="00D41E4A"/>
    <w:rsid w:val="00D4244B"/>
    <w:rsid w:val="00D42BF5"/>
    <w:rsid w:val="00D42C4A"/>
    <w:rsid w:val="00D4341B"/>
    <w:rsid w:val="00D44191"/>
    <w:rsid w:val="00D44C6A"/>
    <w:rsid w:val="00D45204"/>
    <w:rsid w:val="00D453BC"/>
    <w:rsid w:val="00D453D1"/>
    <w:rsid w:val="00D462DA"/>
    <w:rsid w:val="00D46F26"/>
    <w:rsid w:val="00D47F82"/>
    <w:rsid w:val="00D501B6"/>
    <w:rsid w:val="00D50B3E"/>
    <w:rsid w:val="00D50CBE"/>
    <w:rsid w:val="00D51381"/>
    <w:rsid w:val="00D51E45"/>
    <w:rsid w:val="00D51E5A"/>
    <w:rsid w:val="00D526BF"/>
    <w:rsid w:val="00D52AF5"/>
    <w:rsid w:val="00D52C44"/>
    <w:rsid w:val="00D53185"/>
    <w:rsid w:val="00D53483"/>
    <w:rsid w:val="00D53668"/>
    <w:rsid w:val="00D537B0"/>
    <w:rsid w:val="00D54F5F"/>
    <w:rsid w:val="00D5582E"/>
    <w:rsid w:val="00D55A3A"/>
    <w:rsid w:val="00D55C27"/>
    <w:rsid w:val="00D55F8A"/>
    <w:rsid w:val="00D56853"/>
    <w:rsid w:val="00D56918"/>
    <w:rsid w:val="00D571F0"/>
    <w:rsid w:val="00D57358"/>
    <w:rsid w:val="00D577B9"/>
    <w:rsid w:val="00D57923"/>
    <w:rsid w:val="00D5799D"/>
    <w:rsid w:val="00D60022"/>
    <w:rsid w:val="00D604CA"/>
    <w:rsid w:val="00D605B4"/>
    <w:rsid w:val="00D60CD6"/>
    <w:rsid w:val="00D61551"/>
    <w:rsid w:val="00D615D1"/>
    <w:rsid w:val="00D61B58"/>
    <w:rsid w:val="00D62090"/>
    <w:rsid w:val="00D62898"/>
    <w:rsid w:val="00D62C44"/>
    <w:rsid w:val="00D63A31"/>
    <w:rsid w:val="00D63F0F"/>
    <w:rsid w:val="00D63FBF"/>
    <w:rsid w:val="00D64277"/>
    <w:rsid w:val="00D64B32"/>
    <w:rsid w:val="00D64D69"/>
    <w:rsid w:val="00D65305"/>
    <w:rsid w:val="00D666AA"/>
    <w:rsid w:val="00D668F0"/>
    <w:rsid w:val="00D67867"/>
    <w:rsid w:val="00D67E47"/>
    <w:rsid w:val="00D67E4E"/>
    <w:rsid w:val="00D70052"/>
    <w:rsid w:val="00D70958"/>
    <w:rsid w:val="00D70E4B"/>
    <w:rsid w:val="00D70FC7"/>
    <w:rsid w:val="00D70FD9"/>
    <w:rsid w:val="00D713DB"/>
    <w:rsid w:val="00D7176F"/>
    <w:rsid w:val="00D71A57"/>
    <w:rsid w:val="00D71E37"/>
    <w:rsid w:val="00D727DD"/>
    <w:rsid w:val="00D73715"/>
    <w:rsid w:val="00D740EA"/>
    <w:rsid w:val="00D74315"/>
    <w:rsid w:val="00D7446E"/>
    <w:rsid w:val="00D75CAD"/>
    <w:rsid w:val="00D75EBA"/>
    <w:rsid w:val="00D75F83"/>
    <w:rsid w:val="00D75F98"/>
    <w:rsid w:val="00D76500"/>
    <w:rsid w:val="00D76E37"/>
    <w:rsid w:val="00D76F81"/>
    <w:rsid w:val="00D77380"/>
    <w:rsid w:val="00D77F14"/>
    <w:rsid w:val="00D8032B"/>
    <w:rsid w:val="00D809E2"/>
    <w:rsid w:val="00D80A11"/>
    <w:rsid w:val="00D80AA7"/>
    <w:rsid w:val="00D81062"/>
    <w:rsid w:val="00D81631"/>
    <w:rsid w:val="00D818F5"/>
    <w:rsid w:val="00D8249E"/>
    <w:rsid w:val="00D832DC"/>
    <w:rsid w:val="00D83596"/>
    <w:rsid w:val="00D838C5"/>
    <w:rsid w:val="00D83BF3"/>
    <w:rsid w:val="00D84B7F"/>
    <w:rsid w:val="00D854A3"/>
    <w:rsid w:val="00D8614E"/>
    <w:rsid w:val="00D865F7"/>
    <w:rsid w:val="00D8706E"/>
    <w:rsid w:val="00D87644"/>
    <w:rsid w:val="00D8769B"/>
    <w:rsid w:val="00D90364"/>
    <w:rsid w:val="00D90E1F"/>
    <w:rsid w:val="00D9167B"/>
    <w:rsid w:val="00D919E7"/>
    <w:rsid w:val="00D91F72"/>
    <w:rsid w:val="00D92008"/>
    <w:rsid w:val="00D921DC"/>
    <w:rsid w:val="00D92E13"/>
    <w:rsid w:val="00D92E17"/>
    <w:rsid w:val="00D9335F"/>
    <w:rsid w:val="00D93B0D"/>
    <w:rsid w:val="00D946F9"/>
    <w:rsid w:val="00D95F98"/>
    <w:rsid w:val="00D9721A"/>
    <w:rsid w:val="00D977C2"/>
    <w:rsid w:val="00D97D8E"/>
    <w:rsid w:val="00DA0150"/>
    <w:rsid w:val="00DA01C5"/>
    <w:rsid w:val="00DA099C"/>
    <w:rsid w:val="00DA0D9E"/>
    <w:rsid w:val="00DA0DB3"/>
    <w:rsid w:val="00DA12AA"/>
    <w:rsid w:val="00DA16C0"/>
    <w:rsid w:val="00DA16DC"/>
    <w:rsid w:val="00DA1852"/>
    <w:rsid w:val="00DA202B"/>
    <w:rsid w:val="00DA20BF"/>
    <w:rsid w:val="00DA2B7B"/>
    <w:rsid w:val="00DA41D6"/>
    <w:rsid w:val="00DA4395"/>
    <w:rsid w:val="00DA44C1"/>
    <w:rsid w:val="00DA4E9F"/>
    <w:rsid w:val="00DA501B"/>
    <w:rsid w:val="00DA51B1"/>
    <w:rsid w:val="00DA5319"/>
    <w:rsid w:val="00DA53D8"/>
    <w:rsid w:val="00DA5568"/>
    <w:rsid w:val="00DA636A"/>
    <w:rsid w:val="00DA68C7"/>
    <w:rsid w:val="00DA6BE7"/>
    <w:rsid w:val="00DA6CD4"/>
    <w:rsid w:val="00DA6D3A"/>
    <w:rsid w:val="00DA7141"/>
    <w:rsid w:val="00DA7573"/>
    <w:rsid w:val="00DA7692"/>
    <w:rsid w:val="00DA781C"/>
    <w:rsid w:val="00DB00C0"/>
    <w:rsid w:val="00DB08D9"/>
    <w:rsid w:val="00DB0A50"/>
    <w:rsid w:val="00DB1C1F"/>
    <w:rsid w:val="00DB2101"/>
    <w:rsid w:val="00DB21E1"/>
    <w:rsid w:val="00DB2B79"/>
    <w:rsid w:val="00DB34B1"/>
    <w:rsid w:val="00DB397B"/>
    <w:rsid w:val="00DB3A93"/>
    <w:rsid w:val="00DB41F9"/>
    <w:rsid w:val="00DB434A"/>
    <w:rsid w:val="00DB4B05"/>
    <w:rsid w:val="00DB4E73"/>
    <w:rsid w:val="00DB5046"/>
    <w:rsid w:val="00DB5195"/>
    <w:rsid w:val="00DB5A64"/>
    <w:rsid w:val="00DB5C54"/>
    <w:rsid w:val="00DB5D66"/>
    <w:rsid w:val="00DB6006"/>
    <w:rsid w:val="00DB6455"/>
    <w:rsid w:val="00DB692E"/>
    <w:rsid w:val="00DB71BF"/>
    <w:rsid w:val="00DB72D3"/>
    <w:rsid w:val="00DB73D4"/>
    <w:rsid w:val="00DB7A3E"/>
    <w:rsid w:val="00DB7BB8"/>
    <w:rsid w:val="00DC0044"/>
    <w:rsid w:val="00DC04FD"/>
    <w:rsid w:val="00DC08C4"/>
    <w:rsid w:val="00DC0A49"/>
    <w:rsid w:val="00DC1A6E"/>
    <w:rsid w:val="00DC1EA9"/>
    <w:rsid w:val="00DC1FED"/>
    <w:rsid w:val="00DC230E"/>
    <w:rsid w:val="00DC246F"/>
    <w:rsid w:val="00DC2972"/>
    <w:rsid w:val="00DC2ACA"/>
    <w:rsid w:val="00DC32E9"/>
    <w:rsid w:val="00DC3E9E"/>
    <w:rsid w:val="00DC4463"/>
    <w:rsid w:val="00DC5141"/>
    <w:rsid w:val="00DC5528"/>
    <w:rsid w:val="00DC5C0E"/>
    <w:rsid w:val="00DC62C9"/>
    <w:rsid w:val="00DC6943"/>
    <w:rsid w:val="00DC6FAD"/>
    <w:rsid w:val="00DC7D02"/>
    <w:rsid w:val="00DD00B3"/>
    <w:rsid w:val="00DD02A2"/>
    <w:rsid w:val="00DD02EA"/>
    <w:rsid w:val="00DD0D6F"/>
    <w:rsid w:val="00DD0F63"/>
    <w:rsid w:val="00DD16AC"/>
    <w:rsid w:val="00DD1B65"/>
    <w:rsid w:val="00DD1E6B"/>
    <w:rsid w:val="00DD21F5"/>
    <w:rsid w:val="00DD2939"/>
    <w:rsid w:val="00DD2F37"/>
    <w:rsid w:val="00DD2FB0"/>
    <w:rsid w:val="00DD435F"/>
    <w:rsid w:val="00DD4564"/>
    <w:rsid w:val="00DD4B16"/>
    <w:rsid w:val="00DD4DA4"/>
    <w:rsid w:val="00DD530E"/>
    <w:rsid w:val="00DD556D"/>
    <w:rsid w:val="00DD56E1"/>
    <w:rsid w:val="00DD5A48"/>
    <w:rsid w:val="00DD5A5C"/>
    <w:rsid w:val="00DD647F"/>
    <w:rsid w:val="00DD664A"/>
    <w:rsid w:val="00DD762E"/>
    <w:rsid w:val="00DD7AAE"/>
    <w:rsid w:val="00DD7CB7"/>
    <w:rsid w:val="00DD7DFF"/>
    <w:rsid w:val="00DE05AD"/>
    <w:rsid w:val="00DE0774"/>
    <w:rsid w:val="00DE0C96"/>
    <w:rsid w:val="00DE1267"/>
    <w:rsid w:val="00DE1C88"/>
    <w:rsid w:val="00DE222A"/>
    <w:rsid w:val="00DE2FB4"/>
    <w:rsid w:val="00DE31E0"/>
    <w:rsid w:val="00DE4B03"/>
    <w:rsid w:val="00DE4D84"/>
    <w:rsid w:val="00DE5701"/>
    <w:rsid w:val="00DE5893"/>
    <w:rsid w:val="00DE6756"/>
    <w:rsid w:val="00DE67D0"/>
    <w:rsid w:val="00DF05B1"/>
    <w:rsid w:val="00DF0631"/>
    <w:rsid w:val="00DF0CCF"/>
    <w:rsid w:val="00DF1186"/>
    <w:rsid w:val="00DF12C7"/>
    <w:rsid w:val="00DF145C"/>
    <w:rsid w:val="00DF1581"/>
    <w:rsid w:val="00DF17DF"/>
    <w:rsid w:val="00DF1ABB"/>
    <w:rsid w:val="00DF1B08"/>
    <w:rsid w:val="00DF2881"/>
    <w:rsid w:val="00DF2C9D"/>
    <w:rsid w:val="00DF30B9"/>
    <w:rsid w:val="00DF3190"/>
    <w:rsid w:val="00DF4516"/>
    <w:rsid w:val="00DF4538"/>
    <w:rsid w:val="00DF4A0E"/>
    <w:rsid w:val="00DF4A51"/>
    <w:rsid w:val="00DF4BC9"/>
    <w:rsid w:val="00DF5835"/>
    <w:rsid w:val="00DF5E72"/>
    <w:rsid w:val="00DF61B3"/>
    <w:rsid w:val="00DF689A"/>
    <w:rsid w:val="00DF6E91"/>
    <w:rsid w:val="00DF70CF"/>
    <w:rsid w:val="00DF760F"/>
    <w:rsid w:val="00E00B6D"/>
    <w:rsid w:val="00E011AD"/>
    <w:rsid w:val="00E01588"/>
    <w:rsid w:val="00E0171D"/>
    <w:rsid w:val="00E01A6C"/>
    <w:rsid w:val="00E01FD8"/>
    <w:rsid w:val="00E02FA0"/>
    <w:rsid w:val="00E037FB"/>
    <w:rsid w:val="00E0485F"/>
    <w:rsid w:val="00E049CC"/>
    <w:rsid w:val="00E04DFD"/>
    <w:rsid w:val="00E05078"/>
    <w:rsid w:val="00E057B8"/>
    <w:rsid w:val="00E061C9"/>
    <w:rsid w:val="00E0675A"/>
    <w:rsid w:val="00E0696F"/>
    <w:rsid w:val="00E109EA"/>
    <w:rsid w:val="00E120C2"/>
    <w:rsid w:val="00E12461"/>
    <w:rsid w:val="00E129E2"/>
    <w:rsid w:val="00E134C0"/>
    <w:rsid w:val="00E13557"/>
    <w:rsid w:val="00E13828"/>
    <w:rsid w:val="00E1425D"/>
    <w:rsid w:val="00E14E80"/>
    <w:rsid w:val="00E1538D"/>
    <w:rsid w:val="00E15597"/>
    <w:rsid w:val="00E1592C"/>
    <w:rsid w:val="00E16752"/>
    <w:rsid w:val="00E16C79"/>
    <w:rsid w:val="00E16FE0"/>
    <w:rsid w:val="00E1717B"/>
    <w:rsid w:val="00E171CE"/>
    <w:rsid w:val="00E17393"/>
    <w:rsid w:val="00E178A3"/>
    <w:rsid w:val="00E17E25"/>
    <w:rsid w:val="00E20E78"/>
    <w:rsid w:val="00E2141F"/>
    <w:rsid w:val="00E219B3"/>
    <w:rsid w:val="00E21CBE"/>
    <w:rsid w:val="00E220A9"/>
    <w:rsid w:val="00E235A7"/>
    <w:rsid w:val="00E237EF"/>
    <w:rsid w:val="00E23E50"/>
    <w:rsid w:val="00E24B3D"/>
    <w:rsid w:val="00E24C77"/>
    <w:rsid w:val="00E25298"/>
    <w:rsid w:val="00E25480"/>
    <w:rsid w:val="00E258D4"/>
    <w:rsid w:val="00E259EC"/>
    <w:rsid w:val="00E261DB"/>
    <w:rsid w:val="00E26A24"/>
    <w:rsid w:val="00E26CBE"/>
    <w:rsid w:val="00E27EAD"/>
    <w:rsid w:val="00E30246"/>
    <w:rsid w:val="00E308CF"/>
    <w:rsid w:val="00E30989"/>
    <w:rsid w:val="00E30A4E"/>
    <w:rsid w:val="00E3120C"/>
    <w:rsid w:val="00E31761"/>
    <w:rsid w:val="00E32E0C"/>
    <w:rsid w:val="00E33063"/>
    <w:rsid w:val="00E337A6"/>
    <w:rsid w:val="00E33E18"/>
    <w:rsid w:val="00E33E6D"/>
    <w:rsid w:val="00E342D5"/>
    <w:rsid w:val="00E3464F"/>
    <w:rsid w:val="00E348FB"/>
    <w:rsid w:val="00E34A68"/>
    <w:rsid w:val="00E34D02"/>
    <w:rsid w:val="00E34DA2"/>
    <w:rsid w:val="00E350DB"/>
    <w:rsid w:val="00E35116"/>
    <w:rsid w:val="00E35253"/>
    <w:rsid w:val="00E35802"/>
    <w:rsid w:val="00E35947"/>
    <w:rsid w:val="00E361A1"/>
    <w:rsid w:val="00E361C1"/>
    <w:rsid w:val="00E3627A"/>
    <w:rsid w:val="00E376FC"/>
    <w:rsid w:val="00E37C7F"/>
    <w:rsid w:val="00E40168"/>
    <w:rsid w:val="00E40C36"/>
    <w:rsid w:val="00E40F78"/>
    <w:rsid w:val="00E41088"/>
    <w:rsid w:val="00E41A2E"/>
    <w:rsid w:val="00E42ACF"/>
    <w:rsid w:val="00E42E4E"/>
    <w:rsid w:val="00E4303A"/>
    <w:rsid w:val="00E4335F"/>
    <w:rsid w:val="00E43922"/>
    <w:rsid w:val="00E4421A"/>
    <w:rsid w:val="00E443CD"/>
    <w:rsid w:val="00E44595"/>
    <w:rsid w:val="00E45102"/>
    <w:rsid w:val="00E45277"/>
    <w:rsid w:val="00E452D8"/>
    <w:rsid w:val="00E455D6"/>
    <w:rsid w:val="00E456B4"/>
    <w:rsid w:val="00E45957"/>
    <w:rsid w:val="00E46498"/>
    <w:rsid w:val="00E464E6"/>
    <w:rsid w:val="00E465DA"/>
    <w:rsid w:val="00E46619"/>
    <w:rsid w:val="00E46DB4"/>
    <w:rsid w:val="00E4755E"/>
    <w:rsid w:val="00E47E3A"/>
    <w:rsid w:val="00E50966"/>
    <w:rsid w:val="00E50F42"/>
    <w:rsid w:val="00E51620"/>
    <w:rsid w:val="00E51B8D"/>
    <w:rsid w:val="00E52A6B"/>
    <w:rsid w:val="00E53039"/>
    <w:rsid w:val="00E535DD"/>
    <w:rsid w:val="00E536BB"/>
    <w:rsid w:val="00E53732"/>
    <w:rsid w:val="00E53CDA"/>
    <w:rsid w:val="00E546AA"/>
    <w:rsid w:val="00E54910"/>
    <w:rsid w:val="00E54B09"/>
    <w:rsid w:val="00E54D1C"/>
    <w:rsid w:val="00E559ED"/>
    <w:rsid w:val="00E55EF3"/>
    <w:rsid w:val="00E55F04"/>
    <w:rsid w:val="00E5647E"/>
    <w:rsid w:val="00E565E5"/>
    <w:rsid w:val="00E567C9"/>
    <w:rsid w:val="00E56DF8"/>
    <w:rsid w:val="00E570D7"/>
    <w:rsid w:val="00E575E0"/>
    <w:rsid w:val="00E57EEF"/>
    <w:rsid w:val="00E60129"/>
    <w:rsid w:val="00E610AE"/>
    <w:rsid w:val="00E61DD0"/>
    <w:rsid w:val="00E6202E"/>
    <w:rsid w:val="00E62B08"/>
    <w:rsid w:val="00E62DAF"/>
    <w:rsid w:val="00E630E7"/>
    <w:rsid w:val="00E631EE"/>
    <w:rsid w:val="00E639E1"/>
    <w:rsid w:val="00E63EC8"/>
    <w:rsid w:val="00E63EEC"/>
    <w:rsid w:val="00E640CB"/>
    <w:rsid w:val="00E6468D"/>
    <w:rsid w:val="00E64737"/>
    <w:rsid w:val="00E64E9F"/>
    <w:rsid w:val="00E650C3"/>
    <w:rsid w:val="00E65314"/>
    <w:rsid w:val="00E65976"/>
    <w:rsid w:val="00E65B29"/>
    <w:rsid w:val="00E65CEE"/>
    <w:rsid w:val="00E65D30"/>
    <w:rsid w:val="00E66629"/>
    <w:rsid w:val="00E675BB"/>
    <w:rsid w:val="00E6764C"/>
    <w:rsid w:val="00E676F5"/>
    <w:rsid w:val="00E678E8"/>
    <w:rsid w:val="00E7037A"/>
    <w:rsid w:val="00E709E5"/>
    <w:rsid w:val="00E723E0"/>
    <w:rsid w:val="00E724B5"/>
    <w:rsid w:val="00E72EB6"/>
    <w:rsid w:val="00E73638"/>
    <w:rsid w:val="00E73B12"/>
    <w:rsid w:val="00E744B9"/>
    <w:rsid w:val="00E75173"/>
    <w:rsid w:val="00E7562E"/>
    <w:rsid w:val="00E75633"/>
    <w:rsid w:val="00E757AF"/>
    <w:rsid w:val="00E769FA"/>
    <w:rsid w:val="00E774A4"/>
    <w:rsid w:val="00E809AC"/>
    <w:rsid w:val="00E815E9"/>
    <w:rsid w:val="00E81A78"/>
    <w:rsid w:val="00E81F3E"/>
    <w:rsid w:val="00E820EE"/>
    <w:rsid w:val="00E8272C"/>
    <w:rsid w:val="00E82E22"/>
    <w:rsid w:val="00E82FF4"/>
    <w:rsid w:val="00E8305E"/>
    <w:rsid w:val="00E8382E"/>
    <w:rsid w:val="00E83869"/>
    <w:rsid w:val="00E8386D"/>
    <w:rsid w:val="00E8392F"/>
    <w:rsid w:val="00E84B7D"/>
    <w:rsid w:val="00E8554A"/>
    <w:rsid w:val="00E85D52"/>
    <w:rsid w:val="00E85FE8"/>
    <w:rsid w:val="00E86E2F"/>
    <w:rsid w:val="00E87096"/>
    <w:rsid w:val="00E90A63"/>
    <w:rsid w:val="00E9110F"/>
    <w:rsid w:val="00E91166"/>
    <w:rsid w:val="00E911E9"/>
    <w:rsid w:val="00E916FC"/>
    <w:rsid w:val="00E91C28"/>
    <w:rsid w:val="00E91DC9"/>
    <w:rsid w:val="00E91E35"/>
    <w:rsid w:val="00E925CB"/>
    <w:rsid w:val="00E926B3"/>
    <w:rsid w:val="00E92A71"/>
    <w:rsid w:val="00E92D9B"/>
    <w:rsid w:val="00E92DF7"/>
    <w:rsid w:val="00E93200"/>
    <w:rsid w:val="00E93A7D"/>
    <w:rsid w:val="00E9451F"/>
    <w:rsid w:val="00E94900"/>
    <w:rsid w:val="00E94947"/>
    <w:rsid w:val="00E95705"/>
    <w:rsid w:val="00E9592D"/>
    <w:rsid w:val="00E95C30"/>
    <w:rsid w:val="00E96915"/>
    <w:rsid w:val="00EA0F8B"/>
    <w:rsid w:val="00EA1F43"/>
    <w:rsid w:val="00EA2CFF"/>
    <w:rsid w:val="00EA32A7"/>
    <w:rsid w:val="00EA3317"/>
    <w:rsid w:val="00EA3A49"/>
    <w:rsid w:val="00EA3ECF"/>
    <w:rsid w:val="00EA444B"/>
    <w:rsid w:val="00EA4A37"/>
    <w:rsid w:val="00EA4F3A"/>
    <w:rsid w:val="00EA57B0"/>
    <w:rsid w:val="00EA59FA"/>
    <w:rsid w:val="00EA5B3A"/>
    <w:rsid w:val="00EA69F1"/>
    <w:rsid w:val="00EA7163"/>
    <w:rsid w:val="00EA730B"/>
    <w:rsid w:val="00EA7753"/>
    <w:rsid w:val="00EA7DC0"/>
    <w:rsid w:val="00EA7E27"/>
    <w:rsid w:val="00EB040C"/>
    <w:rsid w:val="00EB04CF"/>
    <w:rsid w:val="00EB09A0"/>
    <w:rsid w:val="00EB09C5"/>
    <w:rsid w:val="00EB0A61"/>
    <w:rsid w:val="00EB0C16"/>
    <w:rsid w:val="00EB0D3C"/>
    <w:rsid w:val="00EB0E9B"/>
    <w:rsid w:val="00EB1177"/>
    <w:rsid w:val="00EB137E"/>
    <w:rsid w:val="00EB1871"/>
    <w:rsid w:val="00EB18E7"/>
    <w:rsid w:val="00EB1CAC"/>
    <w:rsid w:val="00EB1E93"/>
    <w:rsid w:val="00EB23E7"/>
    <w:rsid w:val="00EB3019"/>
    <w:rsid w:val="00EB3288"/>
    <w:rsid w:val="00EB3DC5"/>
    <w:rsid w:val="00EB41D7"/>
    <w:rsid w:val="00EB5025"/>
    <w:rsid w:val="00EB53E3"/>
    <w:rsid w:val="00EB58B9"/>
    <w:rsid w:val="00EB59A3"/>
    <w:rsid w:val="00EB5CD8"/>
    <w:rsid w:val="00EB5CE0"/>
    <w:rsid w:val="00EB6074"/>
    <w:rsid w:val="00EB68A5"/>
    <w:rsid w:val="00EB6F61"/>
    <w:rsid w:val="00EC04AA"/>
    <w:rsid w:val="00EC0534"/>
    <w:rsid w:val="00EC063D"/>
    <w:rsid w:val="00EC0A06"/>
    <w:rsid w:val="00EC0BE5"/>
    <w:rsid w:val="00EC19B0"/>
    <w:rsid w:val="00EC1D53"/>
    <w:rsid w:val="00EC25FF"/>
    <w:rsid w:val="00EC2CE5"/>
    <w:rsid w:val="00EC3ACF"/>
    <w:rsid w:val="00EC3EBD"/>
    <w:rsid w:val="00EC41D7"/>
    <w:rsid w:val="00EC44AC"/>
    <w:rsid w:val="00EC4AE6"/>
    <w:rsid w:val="00EC4ED1"/>
    <w:rsid w:val="00EC5911"/>
    <w:rsid w:val="00EC67EC"/>
    <w:rsid w:val="00EC686A"/>
    <w:rsid w:val="00EC7793"/>
    <w:rsid w:val="00EC77E8"/>
    <w:rsid w:val="00ED006F"/>
    <w:rsid w:val="00ED1301"/>
    <w:rsid w:val="00ED1835"/>
    <w:rsid w:val="00ED1DF8"/>
    <w:rsid w:val="00ED2778"/>
    <w:rsid w:val="00ED3C69"/>
    <w:rsid w:val="00ED4975"/>
    <w:rsid w:val="00ED4BB2"/>
    <w:rsid w:val="00ED575A"/>
    <w:rsid w:val="00ED5927"/>
    <w:rsid w:val="00ED5D92"/>
    <w:rsid w:val="00ED63A5"/>
    <w:rsid w:val="00ED6880"/>
    <w:rsid w:val="00ED6D7F"/>
    <w:rsid w:val="00ED6E44"/>
    <w:rsid w:val="00ED6EA4"/>
    <w:rsid w:val="00ED72A1"/>
    <w:rsid w:val="00ED781F"/>
    <w:rsid w:val="00EE002E"/>
    <w:rsid w:val="00EE03A2"/>
    <w:rsid w:val="00EE0419"/>
    <w:rsid w:val="00EE0A4D"/>
    <w:rsid w:val="00EE14A5"/>
    <w:rsid w:val="00EE1845"/>
    <w:rsid w:val="00EE18F2"/>
    <w:rsid w:val="00EE1EDD"/>
    <w:rsid w:val="00EE1F9E"/>
    <w:rsid w:val="00EE2448"/>
    <w:rsid w:val="00EE2AE6"/>
    <w:rsid w:val="00EE2B80"/>
    <w:rsid w:val="00EE33F7"/>
    <w:rsid w:val="00EE46BC"/>
    <w:rsid w:val="00EE4BEC"/>
    <w:rsid w:val="00EE4C2E"/>
    <w:rsid w:val="00EE4D02"/>
    <w:rsid w:val="00EE51B9"/>
    <w:rsid w:val="00EE51DA"/>
    <w:rsid w:val="00EE5FA6"/>
    <w:rsid w:val="00EE639E"/>
    <w:rsid w:val="00EE65AC"/>
    <w:rsid w:val="00EE72D0"/>
    <w:rsid w:val="00EE7506"/>
    <w:rsid w:val="00EE751D"/>
    <w:rsid w:val="00EE7D01"/>
    <w:rsid w:val="00EF041F"/>
    <w:rsid w:val="00EF065F"/>
    <w:rsid w:val="00EF10CA"/>
    <w:rsid w:val="00EF1A6D"/>
    <w:rsid w:val="00EF2A12"/>
    <w:rsid w:val="00EF2C04"/>
    <w:rsid w:val="00EF3370"/>
    <w:rsid w:val="00EF3941"/>
    <w:rsid w:val="00EF3D51"/>
    <w:rsid w:val="00EF40E1"/>
    <w:rsid w:val="00EF4190"/>
    <w:rsid w:val="00EF4CBB"/>
    <w:rsid w:val="00EF5C71"/>
    <w:rsid w:val="00EF6CBD"/>
    <w:rsid w:val="00EF73F9"/>
    <w:rsid w:val="00EF7412"/>
    <w:rsid w:val="00EF77E4"/>
    <w:rsid w:val="00EF7A4F"/>
    <w:rsid w:val="00EF7D6A"/>
    <w:rsid w:val="00F009B3"/>
    <w:rsid w:val="00F00DD0"/>
    <w:rsid w:val="00F01821"/>
    <w:rsid w:val="00F01AB4"/>
    <w:rsid w:val="00F02390"/>
    <w:rsid w:val="00F023DB"/>
    <w:rsid w:val="00F033A8"/>
    <w:rsid w:val="00F04345"/>
    <w:rsid w:val="00F04B21"/>
    <w:rsid w:val="00F0552E"/>
    <w:rsid w:val="00F05B5E"/>
    <w:rsid w:val="00F0731B"/>
    <w:rsid w:val="00F07DBE"/>
    <w:rsid w:val="00F07E62"/>
    <w:rsid w:val="00F10412"/>
    <w:rsid w:val="00F106F7"/>
    <w:rsid w:val="00F10A58"/>
    <w:rsid w:val="00F10DEE"/>
    <w:rsid w:val="00F10F26"/>
    <w:rsid w:val="00F1100C"/>
    <w:rsid w:val="00F110BE"/>
    <w:rsid w:val="00F11F49"/>
    <w:rsid w:val="00F122B2"/>
    <w:rsid w:val="00F1295D"/>
    <w:rsid w:val="00F12A65"/>
    <w:rsid w:val="00F12C9C"/>
    <w:rsid w:val="00F142C9"/>
    <w:rsid w:val="00F1434F"/>
    <w:rsid w:val="00F14CFC"/>
    <w:rsid w:val="00F150DB"/>
    <w:rsid w:val="00F1564C"/>
    <w:rsid w:val="00F15C4A"/>
    <w:rsid w:val="00F15D14"/>
    <w:rsid w:val="00F15F6C"/>
    <w:rsid w:val="00F15F9A"/>
    <w:rsid w:val="00F16162"/>
    <w:rsid w:val="00F169D7"/>
    <w:rsid w:val="00F16BA5"/>
    <w:rsid w:val="00F16BD2"/>
    <w:rsid w:val="00F16EAE"/>
    <w:rsid w:val="00F17511"/>
    <w:rsid w:val="00F17632"/>
    <w:rsid w:val="00F17CD3"/>
    <w:rsid w:val="00F17EFA"/>
    <w:rsid w:val="00F17FA0"/>
    <w:rsid w:val="00F203DC"/>
    <w:rsid w:val="00F20AB2"/>
    <w:rsid w:val="00F21E98"/>
    <w:rsid w:val="00F225CE"/>
    <w:rsid w:val="00F22E80"/>
    <w:rsid w:val="00F23079"/>
    <w:rsid w:val="00F2316C"/>
    <w:rsid w:val="00F234A5"/>
    <w:rsid w:val="00F23654"/>
    <w:rsid w:val="00F23CB0"/>
    <w:rsid w:val="00F255B7"/>
    <w:rsid w:val="00F25C0C"/>
    <w:rsid w:val="00F261DE"/>
    <w:rsid w:val="00F26672"/>
    <w:rsid w:val="00F26DA0"/>
    <w:rsid w:val="00F26FA8"/>
    <w:rsid w:val="00F27238"/>
    <w:rsid w:val="00F274D9"/>
    <w:rsid w:val="00F27A4A"/>
    <w:rsid w:val="00F27C01"/>
    <w:rsid w:val="00F27EC7"/>
    <w:rsid w:val="00F27EF9"/>
    <w:rsid w:val="00F30294"/>
    <w:rsid w:val="00F30307"/>
    <w:rsid w:val="00F30402"/>
    <w:rsid w:val="00F304D1"/>
    <w:rsid w:val="00F3103F"/>
    <w:rsid w:val="00F32687"/>
    <w:rsid w:val="00F32924"/>
    <w:rsid w:val="00F330AD"/>
    <w:rsid w:val="00F333DA"/>
    <w:rsid w:val="00F338F7"/>
    <w:rsid w:val="00F347C2"/>
    <w:rsid w:val="00F349F3"/>
    <w:rsid w:val="00F34E17"/>
    <w:rsid w:val="00F350A6"/>
    <w:rsid w:val="00F350BD"/>
    <w:rsid w:val="00F352C5"/>
    <w:rsid w:val="00F352EE"/>
    <w:rsid w:val="00F35891"/>
    <w:rsid w:val="00F358E6"/>
    <w:rsid w:val="00F35C69"/>
    <w:rsid w:val="00F3600E"/>
    <w:rsid w:val="00F36408"/>
    <w:rsid w:val="00F3647A"/>
    <w:rsid w:val="00F36658"/>
    <w:rsid w:val="00F36699"/>
    <w:rsid w:val="00F36749"/>
    <w:rsid w:val="00F36818"/>
    <w:rsid w:val="00F3686D"/>
    <w:rsid w:val="00F3711F"/>
    <w:rsid w:val="00F37B3D"/>
    <w:rsid w:val="00F40549"/>
    <w:rsid w:val="00F42199"/>
    <w:rsid w:val="00F428B0"/>
    <w:rsid w:val="00F42945"/>
    <w:rsid w:val="00F4340E"/>
    <w:rsid w:val="00F43865"/>
    <w:rsid w:val="00F43BF0"/>
    <w:rsid w:val="00F444A2"/>
    <w:rsid w:val="00F44BBD"/>
    <w:rsid w:val="00F44DB0"/>
    <w:rsid w:val="00F45172"/>
    <w:rsid w:val="00F4517A"/>
    <w:rsid w:val="00F4592B"/>
    <w:rsid w:val="00F45F0D"/>
    <w:rsid w:val="00F46026"/>
    <w:rsid w:val="00F46872"/>
    <w:rsid w:val="00F473EC"/>
    <w:rsid w:val="00F50A2C"/>
    <w:rsid w:val="00F50C2D"/>
    <w:rsid w:val="00F51225"/>
    <w:rsid w:val="00F5131B"/>
    <w:rsid w:val="00F513C9"/>
    <w:rsid w:val="00F518F3"/>
    <w:rsid w:val="00F51993"/>
    <w:rsid w:val="00F51F72"/>
    <w:rsid w:val="00F526E3"/>
    <w:rsid w:val="00F52BE7"/>
    <w:rsid w:val="00F5383E"/>
    <w:rsid w:val="00F53D8F"/>
    <w:rsid w:val="00F53E7E"/>
    <w:rsid w:val="00F5436D"/>
    <w:rsid w:val="00F5466C"/>
    <w:rsid w:val="00F5495E"/>
    <w:rsid w:val="00F555C4"/>
    <w:rsid w:val="00F557C9"/>
    <w:rsid w:val="00F562EF"/>
    <w:rsid w:val="00F56B6F"/>
    <w:rsid w:val="00F56CFB"/>
    <w:rsid w:val="00F56DC8"/>
    <w:rsid w:val="00F56E2A"/>
    <w:rsid w:val="00F56EF2"/>
    <w:rsid w:val="00F57454"/>
    <w:rsid w:val="00F5784F"/>
    <w:rsid w:val="00F57B7C"/>
    <w:rsid w:val="00F57DD5"/>
    <w:rsid w:val="00F57F35"/>
    <w:rsid w:val="00F61463"/>
    <w:rsid w:val="00F615F2"/>
    <w:rsid w:val="00F633B4"/>
    <w:rsid w:val="00F6354C"/>
    <w:rsid w:val="00F6470B"/>
    <w:rsid w:val="00F6479B"/>
    <w:rsid w:val="00F64EBD"/>
    <w:rsid w:val="00F65912"/>
    <w:rsid w:val="00F65C53"/>
    <w:rsid w:val="00F67612"/>
    <w:rsid w:val="00F676D3"/>
    <w:rsid w:val="00F704E8"/>
    <w:rsid w:val="00F713BE"/>
    <w:rsid w:val="00F716DC"/>
    <w:rsid w:val="00F717FE"/>
    <w:rsid w:val="00F72C48"/>
    <w:rsid w:val="00F72DA9"/>
    <w:rsid w:val="00F73139"/>
    <w:rsid w:val="00F732BB"/>
    <w:rsid w:val="00F736C8"/>
    <w:rsid w:val="00F738A5"/>
    <w:rsid w:val="00F738D6"/>
    <w:rsid w:val="00F73A44"/>
    <w:rsid w:val="00F73FD0"/>
    <w:rsid w:val="00F74870"/>
    <w:rsid w:val="00F74E8D"/>
    <w:rsid w:val="00F74F4A"/>
    <w:rsid w:val="00F753D2"/>
    <w:rsid w:val="00F75F35"/>
    <w:rsid w:val="00F7616C"/>
    <w:rsid w:val="00F769A0"/>
    <w:rsid w:val="00F770D9"/>
    <w:rsid w:val="00F772EC"/>
    <w:rsid w:val="00F774B3"/>
    <w:rsid w:val="00F774FA"/>
    <w:rsid w:val="00F7766F"/>
    <w:rsid w:val="00F80228"/>
    <w:rsid w:val="00F807A0"/>
    <w:rsid w:val="00F809B9"/>
    <w:rsid w:val="00F80A1B"/>
    <w:rsid w:val="00F80B9A"/>
    <w:rsid w:val="00F825A9"/>
    <w:rsid w:val="00F82778"/>
    <w:rsid w:val="00F837D9"/>
    <w:rsid w:val="00F8479A"/>
    <w:rsid w:val="00F84D5E"/>
    <w:rsid w:val="00F85320"/>
    <w:rsid w:val="00F85647"/>
    <w:rsid w:val="00F87E33"/>
    <w:rsid w:val="00F905B8"/>
    <w:rsid w:val="00F913B7"/>
    <w:rsid w:val="00F91F6E"/>
    <w:rsid w:val="00F92B45"/>
    <w:rsid w:val="00F92B74"/>
    <w:rsid w:val="00F92C66"/>
    <w:rsid w:val="00F92DA1"/>
    <w:rsid w:val="00F92F26"/>
    <w:rsid w:val="00F934B6"/>
    <w:rsid w:val="00F93A02"/>
    <w:rsid w:val="00F93C59"/>
    <w:rsid w:val="00F93D76"/>
    <w:rsid w:val="00F93E76"/>
    <w:rsid w:val="00F93FDB"/>
    <w:rsid w:val="00F9406C"/>
    <w:rsid w:val="00F941EA"/>
    <w:rsid w:val="00F942AB"/>
    <w:rsid w:val="00F945B1"/>
    <w:rsid w:val="00F94C11"/>
    <w:rsid w:val="00F95565"/>
    <w:rsid w:val="00F95AEA"/>
    <w:rsid w:val="00F95CC0"/>
    <w:rsid w:val="00F95D7A"/>
    <w:rsid w:val="00F96478"/>
    <w:rsid w:val="00F967AA"/>
    <w:rsid w:val="00F96EFA"/>
    <w:rsid w:val="00F9735E"/>
    <w:rsid w:val="00F97505"/>
    <w:rsid w:val="00F97988"/>
    <w:rsid w:val="00F97D97"/>
    <w:rsid w:val="00FA000E"/>
    <w:rsid w:val="00FA03DD"/>
    <w:rsid w:val="00FA0BDA"/>
    <w:rsid w:val="00FA23C4"/>
    <w:rsid w:val="00FA263A"/>
    <w:rsid w:val="00FA367A"/>
    <w:rsid w:val="00FA3948"/>
    <w:rsid w:val="00FA3EBC"/>
    <w:rsid w:val="00FA4299"/>
    <w:rsid w:val="00FA58E8"/>
    <w:rsid w:val="00FA5AA5"/>
    <w:rsid w:val="00FA60D1"/>
    <w:rsid w:val="00FA6119"/>
    <w:rsid w:val="00FA6210"/>
    <w:rsid w:val="00FA6545"/>
    <w:rsid w:val="00FA6572"/>
    <w:rsid w:val="00FA793A"/>
    <w:rsid w:val="00FB07DA"/>
    <w:rsid w:val="00FB11C7"/>
    <w:rsid w:val="00FB18E9"/>
    <w:rsid w:val="00FB1D15"/>
    <w:rsid w:val="00FB2E38"/>
    <w:rsid w:val="00FB2F9C"/>
    <w:rsid w:val="00FB3019"/>
    <w:rsid w:val="00FB31BE"/>
    <w:rsid w:val="00FB3356"/>
    <w:rsid w:val="00FB51B0"/>
    <w:rsid w:val="00FB57AC"/>
    <w:rsid w:val="00FB5B49"/>
    <w:rsid w:val="00FB5ECB"/>
    <w:rsid w:val="00FB67FB"/>
    <w:rsid w:val="00FB6A69"/>
    <w:rsid w:val="00FB6CE3"/>
    <w:rsid w:val="00FB72DF"/>
    <w:rsid w:val="00FB7A14"/>
    <w:rsid w:val="00FB7E28"/>
    <w:rsid w:val="00FC03E3"/>
    <w:rsid w:val="00FC0DD3"/>
    <w:rsid w:val="00FC15F4"/>
    <w:rsid w:val="00FC1D57"/>
    <w:rsid w:val="00FC284D"/>
    <w:rsid w:val="00FC3310"/>
    <w:rsid w:val="00FC3639"/>
    <w:rsid w:val="00FC3B59"/>
    <w:rsid w:val="00FC55EE"/>
    <w:rsid w:val="00FC5936"/>
    <w:rsid w:val="00FC5F7E"/>
    <w:rsid w:val="00FC75B7"/>
    <w:rsid w:val="00FC77C0"/>
    <w:rsid w:val="00FD03AE"/>
    <w:rsid w:val="00FD09CC"/>
    <w:rsid w:val="00FD1422"/>
    <w:rsid w:val="00FD2113"/>
    <w:rsid w:val="00FD2A73"/>
    <w:rsid w:val="00FD2B08"/>
    <w:rsid w:val="00FD2B5A"/>
    <w:rsid w:val="00FD3C66"/>
    <w:rsid w:val="00FD440D"/>
    <w:rsid w:val="00FD44D0"/>
    <w:rsid w:val="00FD4828"/>
    <w:rsid w:val="00FD4BFF"/>
    <w:rsid w:val="00FD4C1D"/>
    <w:rsid w:val="00FD4C59"/>
    <w:rsid w:val="00FD4FB0"/>
    <w:rsid w:val="00FD64E4"/>
    <w:rsid w:val="00FD66C9"/>
    <w:rsid w:val="00FD7479"/>
    <w:rsid w:val="00FD7690"/>
    <w:rsid w:val="00FD76AD"/>
    <w:rsid w:val="00FD77F1"/>
    <w:rsid w:val="00FD7886"/>
    <w:rsid w:val="00FD7D79"/>
    <w:rsid w:val="00FE07DA"/>
    <w:rsid w:val="00FE0CFA"/>
    <w:rsid w:val="00FE105C"/>
    <w:rsid w:val="00FE139E"/>
    <w:rsid w:val="00FE1B43"/>
    <w:rsid w:val="00FE1CF4"/>
    <w:rsid w:val="00FE1FC0"/>
    <w:rsid w:val="00FE230E"/>
    <w:rsid w:val="00FE2D7A"/>
    <w:rsid w:val="00FE3A94"/>
    <w:rsid w:val="00FE3F2C"/>
    <w:rsid w:val="00FE4A96"/>
    <w:rsid w:val="00FE551C"/>
    <w:rsid w:val="00FE5804"/>
    <w:rsid w:val="00FE5DB0"/>
    <w:rsid w:val="00FE6A59"/>
    <w:rsid w:val="00FE7CE5"/>
    <w:rsid w:val="00FF036C"/>
    <w:rsid w:val="00FF03FA"/>
    <w:rsid w:val="00FF04E9"/>
    <w:rsid w:val="00FF0AFF"/>
    <w:rsid w:val="00FF121C"/>
    <w:rsid w:val="00FF12E3"/>
    <w:rsid w:val="00FF1FA1"/>
    <w:rsid w:val="00FF2669"/>
    <w:rsid w:val="00FF2984"/>
    <w:rsid w:val="00FF395C"/>
    <w:rsid w:val="00FF4B5B"/>
    <w:rsid w:val="00FF5A82"/>
    <w:rsid w:val="00FF6313"/>
    <w:rsid w:val="00FF639B"/>
    <w:rsid w:val="00FF6BC7"/>
    <w:rsid w:val="00FF6D34"/>
    <w:rsid w:val="00FF713E"/>
    <w:rsid w:val="00FF7F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6FAB6"/>
  <w15:docId w15:val="{E6F3C065-DB9C-45F7-90E9-E154B2C00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D80"/>
    <w:pPr>
      <w:spacing w:line="254" w:lineRule="auto"/>
    </w:pPr>
  </w:style>
  <w:style w:type="paragraph" w:styleId="Heading1">
    <w:name w:val="heading 1"/>
    <w:aliases w:val="Heading 1 - LDK,Headline,ELI PD H1,Hoofdstuk,ΔΞ-Άρθρο,ÄÎ-¢ñèñï,Heading 1 Char1 Char,Heading 1 Char Char Char"/>
    <w:basedOn w:val="Normal"/>
    <w:next w:val="Normal"/>
    <w:link w:val="Heading1Char"/>
    <w:uiPriority w:val="9"/>
    <w:qFormat/>
    <w:rsid w:val="00CE2C13"/>
    <w:pPr>
      <w:keepNext/>
      <w:numPr>
        <w:numId w:val="3"/>
      </w:numPr>
      <w:pBdr>
        <w:bottom w:val="single" w:sz="4" w:space="3" w:color="auto"/>
      </w:pBdr>
      <w:shd w:val="clear" w:color="auto" w:fill="004D73"/>
      <w:spacing w:before="120" w:after="240" w:line="240" w:lineRule="auto"/>
      <w:jc w:val="both"/>
      <w:outlineLvl w:val="0"/>
    </w:pPr>
    <w:rPr>
      <w:rFonts w:ascii="Calibri Light" w:eastAsia="Times New Roman" w:hAnsi="Calibri Light" w:cs="Calibri Light"/>
      <w:b/>
      <w:smallCaps/>
      <w:color w:val="FFFFFF"/>
      <w:kern w:val="28"/>
      <w:sz w:val="48"/>
      <w:szCs w:val="32"/>
      <w:lang w:eastAsia="el-GR"/>
    </w:rPr>
  </w:style>
  <w:style w:type="paragraph" w:styleId="Heading2">
    <w:name w:val="heading 2"/>
    <w:basedOn w:val="Normal"/>
    <w:next w:val="Normal"/>
    <w:link w:val="Heading2Char"/>
    <w:uiPriority w:val="9"/>
    <w:unhideWhenUsed/>
    <w:qFormat/>
    <w:rsid w:val="00CE2C13"/>
    <w:pPr>
      <w:keepNext/>
      <w:numPr>
        <w:ilvl w:val="1"/>
        <w:numId w:val="3"/>
      </w:numPr>
      <w:spacing w:before="240" w:after="120" w:line="240" w:lineRule="auto"/>
      <w:jc w:val="both"/>
      <w:outlineLvl w:val="1"/>
    </w:pPr>
    <w:rPr>
      <w:rFonts w:ascii="Calibri Light" w:eastAsia="Times New Roman" w:hAnsi="Calibri Light" w:cs="Calibri Light"/>
      <w:b/>
      <w:color w:val="01406B"/>
      <w:sz w:val="32"/>
      <w:lang w:eastAsia="el-GR"/>
    </w:rPr>
  </w:style>
  <w:style w:type="paragraph" w:styleId="Heading3">
    <w:name w:val="heading 3"/>
    <w:basedOn w:val="Heading2"/>
    <w:next w:val="Normal"/>
    <w:link w:val="Heading3Char"/>
    <w:qFormat/>
    <w:rsid w:val="00653FD6"/>
    <w:pPr>
      <w:numPr>
        <w:ilvl w:val="2"/>
      </w:numPr>
      <w:spacing w:after="60"/>
      <w:outlineLvl w:val="2"/>
    </w:pPr>
    <w:rPr>
      <w:rFonts w:asciiTheme="majorHAnsi" w:hAnsiTheme="majorHAnsi" w:cs="Arial"/>
      <w:bCs/>
      <w:sz w:val="26"/>
      <w:szCs w:val="26"/>
      <w:lang w:eastAsia="tr-TR"/>
    </w:rPr>
  </w:style>
  <w:style w:type="paragraph" w:styleId="Heading4">
    <w:name w:val="heading 4"/>
    <w:basedOn w:val="Normal"/>
    <w:next w:val="Normal"/>
    <w:link w:val="Heading4Char"/>
    <w:uiPriority w:val="9"/>
    <w:unhideWhenUsed/>
    <w:qFormat/>
    <w:rsid w:val="00653FD6"/>
    <w:pPr>
      <w:keepNext/>
      <w:keepLines/>
      <w:numPr>
        <w:numId w:val="261"/>
      </w:numPr>
      <w:spacing w:before="200" w:after="0" w:line="240" w:lineRule="auto"/>
      <w:outlineLvl w:val="3"/>
    </w:pPr>
    <w:rPr>
      <w:rFonts w:asciiTheme="majorHAnsi" w:eastAsiaTheme="majorEastAsia" w:hAnsiTheme="majorHAnsi" w:cstheme="majorBidi"/>
      <w:b/>
      <w:bCs/>
      <w:iCs/>
      <w:color w:val="01406B"/>
      <w:szCs w:val="24"/>
    </w:rPr>
  </w:style>
  <w:style w:type="paragraph" w:styleId="Heading5">
    <w:name w:val="heading 5"/>
    <w:basedOn w:val="Normal"/>
    <w:next w:val="Normal"/>
    <w:link w:val="Heading5Char"/>
    <w:uiPriority w:val="9"/>
    <w:semiHidden/>
    <w:unhideWhenUsed/>
    <w:qFormat/>
    <w:rsid w:val="00CE2C13"/>
    <w:pPr>
      <w:keepNext/>
      <w:keepLines/>
      <w:numPr>
        <w:ilvl w:val="4"/>
        <w:numId w:val="3"/>
      </w:numPr>
      <w:spacing w:before="200" w:after="0" w:line="240" w:lineRule="auto"/>
      <w:outlineLvl w:val="4"/>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E2C13"/>
    <w:pPr>
      <w:keepNext/>
      <w:keepLines/>
      <w:numPr>
        <w:ilvl w:val="5"/>
        <w:numId w:val="3"/>
      </w:numPr>
      <w:tabs>
        <w:tab w:val="num" w:pos="360"/>
      </w:tabs>
      <w:spacing w:before="200" w:after="0" w:line="240" w:lineRule="auto"/>
      <w:ind w:left="4320" w:hanging="180"/>
      <w:outlineLvl w:val="5"/>
    </w:pPr>
    <w:rPr>
      <w:rFonts w:asciiTheme="majorHAnsi" w:eastAsiaTheme="majorEastAsia" w:hAnsiTheme="majorHAnsi" w:cstheme="majorBidi"/>
      <w:i/>
      <w:iCs/>
      <w:color w:val="1F3763" w:themeColor="accent1" w:themeShade="7F"/>
      <w:sz w:val="24"/>
      <w:szCs w:val="24"/>
    </w:rPr>
  </w:style>
  <w:style w:type="paragraph" w:styleId="Heading7">
    <w:name w:val="heading 7"/>
    <w:basedOn w:val="Normal"/>
    <w:next w:val="Normal"/>
    <w:link w:val="Heading7Char"/>
    <w:uiPriority w:val="9"/>
    <w:semiHidden/>
    <w:unhideWhenUsed/>
    <w:qFormat/>
    <w:rsid w:val="00CE2C13"/>
    <w:pPr>
      <w:keepNext/>
      <w:keepLines/>
      <w:numPr>
        <w:ilvl w:val="6"/>
        <w:numId w:val="3"/>
      </w:numPr>
      <w:tabs>
        <w:tab w:val="num" w:pos="360"/>
      </w:tabs>
      <w:spacing w:before="200" w:after="0" w:line="240" w:lineRule="auto"/>
      <w:ind w:left="5040" w:hanging="360"/>
      <w:outlineLvl w:val="6"/>
    </w:pPr>
    <w:rPr>
      <w:rFonts w:asciiTheme="majorHAnsi" w:eastAsiaTheme="majorEastAsia" w:hAnsiTheme="majorHAnsi" w:cstheme="majorBidi"/>
      <w:i/>
      <w:iCs/>
      <w:color w:val="404040" w:themeColor="text1" w:themeTint="BF"/>
      <w:sz w:val="24"/>
      <w:szCs w:val="24"/>
    </w:rPr>
  </w:style>
  <w:style w:type="paragraph" w:styleId="Heading8">
    <w:name w:val="heading 8"/>
    <w:basedOn w:val="Normal"/>
    <w:next w:val="Normal"/>
    <w:link w:val="Heading8Char"/>
    <w:uiPriority w:val="9"/>
    <w:semiHidden/>
    <w:unhideWhenUsed/>
    <w:qFormat/>
    <w:rsid w:val="00CE2C13"/>
    <w:pPr>
      <w:keepNext/>
      <w:keepLines/>
      <w:numPr>
        <w:ilvl w:val="7"/>
        <w:numId w:val="3"/>
      </w:numPr>
      <w:tabs>
        <w:tab w:val="num" w:pos="360"/>
      </w:tabs>
      <w:spacing w:before="200" w:after="0" w:line="240" w:lineRule="auto"/>
      <w:ind w:left="5760" w:hanging="36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C13"/>
    <w:pPr>
      <w:keepNext/>
      <w:keepLines/>
      <w:numPr>
        <w:ilvl w:val="8"/>
        <w:numId w:val="3"/>
      </w:numPr>
      <w:tabs>
        <w:tab w:val="num" w:pos="360"/>
      </w:tabs>
      <w:spacing w:before="200" w:after="0" w:line="240" w:lineRule="auto"/>
      <w:ind w:left="6480" w:hanging="18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LDK Char,Headline Char,ELI PD H1 Char,Hoofdstuk Char,ΔΞ-Άρθρο Char,ÄÎ-¢ñèñï Char,Heading 1 Char1 Char Char,Heading 1 Char Char Char Char"/>
    <w:basedOn w:val="DefaultParagraphFont"/>
    <w:link w:val="Heading1"/>
    <w:uiPriority w:val="9"/>
    <w:rsid w:val="00CE2C13"/>
    <w:rPr>
      <w:rFonts w:ascii="Calibri Light" w:eastAsia="Times New Roman" w:hAnsi="Calibri Light" w:cs="Calibri Light"/>
      <w:b/>
      <w:smallCaps/>
      <w:color w:val="FFFFFF"/>
      <w:kern w:val="28"/>
      <w:sz w:val="48"/>
      <w:szCs w:val="32"/>
      <w:shd w:val="clear" w:color="auto" w:fill="004D73"/>
      <w:lang w:eastAsia="el-GR"/>
    </w:rPr>
  </w:style>
  <w:style w:type="character" w:customStyle="1" w:styleId="Heading2Char">
    <w:name w:val="Heading 2 Char"/>
    <w:basedOn w:val="DefaultParagraphFont"/>
    <w:link w:val="Heading2"/>
    <w:uiPriority w:val="9"/>
    <w:rsid w:val="00CE2C13"/>
    <w:rPr>
      <w:rFonts w:ascii="Calibri Light" w:eastAsia="Times New Roman" w:hAnsi="Calibri Light" w:cs="Calibri Light"/>
      <w:b/>
      <w:color w:val="01406B"/>
      <w:sz w:val="32"/>
      <w:lang w:eastAsia="el-GR"/>
    </w:rPr>
  </w:style>
  <w:style w:type="character" w:customStyle="1" w:styleId="Heading3Char">
    <w:name w:val="Heading 3 Char"/>
    <w:basedOn w:val="DefaultParagraphFont"/>
    <w:link w:val="Heading3"/>
    <w:rsid w:val="00653FD6"/>
    <w:rPr>
      <w:rFonts w:asciiTheme="majorHAnsi" w:eastAsia="Times New Roman" w:hAnsiTheme="majorHAnsi" w:cs="Arial"/>
      <w:b/>
      <w:bCs/>
      <w:color w:val="01406B"/>
      <w:sz w:val="26"/>
      <w:szCs w:val="26"/>
      <w:lang w:eastAsia="tr-TR"/>
    </w:rPr>
  </w:style>
  <w:style w:type="character" w:customStyle="1" w:styleId="Heading4Char">
    <w:name w:val="Heading 4 Char"/>
    <w:basedOn w:val="DefaultParagraphFont"/>
    <w:link w:val="Heading4"/>
    <w:uiPriority w:val="9"/>
    <w:rsid w:val="00653FD6"/>
    <w:rPr>
      <w:rFonts w:asciiTheme="majorHAnsi" w:eastAsiaTheme="majorEastAsia" w:hAnsiTheme="majorHAnsi" w:cstheme="majorBidi"/>
      <w:b/>
      <w:bCs/>
      <w:iCs/>
      <w:color w:val="01406B"/>
      <w:szCs w:val="24"/>
    </w:rPr>
  </w:style>
  <w:style w:type="character" w:customStyle="1" w:styleId="Heading5Char">
    <w:name w:val="Heading 5 Char"/>
    <w:basedOn w:val="DefaultParagraphFont"/>
    <w:link w:val="Heading5"/>
    <w:uiPriority w:val="9"/>
    <w:semiHidden/>
    <w:rsid w:val="00CE2C13"/>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CE2C13"/>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basedOn w:val="DefaultParagraphFont"/>
    <w:link w:val="Heading7"/>
    <w:uiPriority w:val="9"/>
    <w:semiHidden/>
    <w:rsid w:val="00CE2C13"/>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C1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C13"/>
    <w:rPr>
      <w:rFonts w:asciiTheme="majorHAnsi" w:eastAsiaTheme="majorEastAsia" w:hAnsiTheme="majorHAnsi" w:cstheme="majorBidi"/>
      <w:i/>
      <w:iCs/>
      <w:color w:val="404040" w:themeColor="text1" w:themeTint="BF"/>
      <w:sz w:val="20"/>
      <w:szCs w:val="20"/>
    </w:rPr>
  </w:style>
  <w:style w:type="paragraph" w:styleId="ListParagraph">
    <w:name w:val="List Paragraph"/>
    <w:aliases w:val="Bullet OFM,List Paragraph1,члан,List (Mannvit),Left Bullet L1,Table/Figure Heading,Paragraph,Bullet EY,Normal bullet 2,Bullet list,List Paragraph Red,Resume Title,Citation List,List L1,Bullet Points,Table of contents numbered,Dot pt"/>
    <w:basedOn w:val="Normal"/>
    <w:link w:val="ListParagraphChar"/>
    <w:uiPriority w:val="34"/>
    <w:qFormat/>
    <w:rsid w:val="0082225B"/>
    <w:pPr>
      <w:ind w:left="720"/>
      <w:contextualSpacing/>
    </w:pPr>
  </w:style>
  <w:style w:type="character" w:customStyle="1" w:styleId="ListParagraphChar">
    <w:name w:val="List Paragraph Char"/>
    <w:aliases w:val="Bullet OFM Char,List Paragraph1 Char,члан Char,List (Mannvit) Char,Left Bullet L1 Char,Table/Figure Heading Char,Paragraph Char,Bullet EY Char,Normal bullet 2 Char,Bullet list Char,List Paragraph Red Char,Resume Title Char"/>
    <w:link w:val="ListParagraph"/>
    <w:uiPriority w:val="34"/>
    <w:qFormat/>
    <w:locked/>
    <w:rsid w:val="00CE2C13"/>
  </w:style>
  <w:style w:type="character" w:styleId="Hyperlink">
    <w:name w:val="Hyperlink"/>
    <w:basedOn w:val="DefaultParagraphFont"/>
    <w:uiPriority w:val="99"/>
    <w:unhideWhenUsed/>
    <w:rsid w:val="0082225B"/>
    <w:rPr>
      <w:color w:val="0563C1" w:themeColor="hyperlink"/>
      <w:u w:val="single"/>
    </w:rPr>
  </w:style>
  <w:style w:type="paragraph" w:styleId="Header">
    <w:name w:val="header"/>
    <w:basedOn w:val="Normal"/>
    <w:link w:val="HeaderChar"/>
    <w:unhideWhenUsed/>
    <w:rsid w:val="00941E3F"/>
    <w:pPr>
      <w:tabs>
        <w:tab w:val="center" w:pos="4513"/>
        <w:tab w:val="right" w:pos="9026"/>
      </w:tabs>
      <w:spacing w:after="0" w:line="240" w:lineRule="auto"/>
    </w:pPr>
  </w:style>
  <w:style w:type="character" w:customStyle="1" w:styleId="HeaderChar">
    <w:name w:val="Header Char"/>
    <w:basedOn w:val="DefaultParagraphFont"/>
    <w:link w:val="Header"/>
    <w:rsid w:val="00941E3F"/>
  </w:style>
  <w:style w:type="paragraph" w:styleId="Footer">
    <w:name w:val="footer"/>
    <w:basedOn w:val="Normal"/>
    <w:link w:val="FooterChar"/>
    <w:uiPriority w:val="99"/>
    <w:unhideWhenUsed/>
    <w:rsid w:val="00941E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E3F"/>
  </w:style>
  <w:style w:type="paragraph" w:styleId="FootnoteText">
    <w:name w:val="footnote text"/>
    <w:aliases w:val="Footnote,12pt,single space,Footnote Text Char Char,Footnote Text1,Fußnotentextf,FOOTNOTES,fn Car Car,fn Car Car Car,fn Car,Footnote Text Char2,Footnote Text Char1 Char,Geneva 9,Font: Geneva 9,Boston 1,Fußnote,WB-Fußnotentext,fn,f"/>
    <w:basedOn w:val="Normal"/>
    <w:link w:val="FootnoteTextChar"/>
    <w:uiPriority w:val="99"/>
    <w:unhideWhenUsed/>
    <w:qFormat/>
    <w:rsid w:val="00CE2C1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12pt Char,single space Char,Footnote Text Char Char Char,Footnote Text1 Char,Fußnotentextf Char,FOOTNOTES Char,fn Car Car Char,fn Car Car Car Char,fn Car Char,Footnote Text Char2 Char,Footnote Text Char1 Char Char,f Char"/>
    <w:basedOn w:val="DefaultParagraphFont"/>
    <w:link w:val="FootnoteText"/>
    <w:uiPriority w:val="99"/>
    <w:qFormat/>
    <w:rsid w:val="00CE2C13"/>
    <w:rPr>
      <w:rFonts w:ascii="Times New Roman" w:eastAsia="Times New Roman" w:hAnsi="Times New Roman" w:cs="Times New Roman"/>
      <w:sz w:val="20"/>
      <w:szCs w:val="20"/>
    </w:rPr>
  </w:style>
  <w:style w:type="character" w:styleId="FootnoteReference">
    <w:name w:val="footnote reference"/>
    <w:aliases w:val="ftref,Ref,de nota al pie,Знак сноски-FN,16 Point,Superscript 6 Point,Footnote symbol,Footnote reference number,Footnote Reference Number,note de bas de page,Pocacito_Footnote Reference,Cecilia_Footnote Reference,BVI fnr"/>
    <w:link w:val="BVIfnrCarCar"/>
    <w:uiPriority w:val="99"/>
    <w:qFormat/>
    <w:rsid w:val="00CE2C13"/>
    <w:rPr>
      <w:noProof w:val="0"/>
      <w:vertAlign w:val="superscript"/>
      <w:lang w:val="en-GB"/>
    </w:rPr>
  </w:style>
  <w:style w:type="character" w:customStyle="1" w:styleId="NoSpacingChar">
    <w:name w:val="No Spacing Char"/>
    <w:link w:val="NoSpacing"/>
    <w:uiPriority w:val="1"/>
    <w:locked/>
    <w:rsid w:val="00CE2C13"/>
    <w:rPr>
      <w:rFonts w:ascii="Calibri" w:eastAsia="Calibri" w:hAnsi="Calibri" w:cs="Times New Roman"/>
      <w:lang w:val="el-GR"/>
    </w:rPr>
  </w:style>
  <w:style w:type="paragraph" w:styleId="NoSpacing">
    <w:name w:val="No Spacing"/>
    <w:link w:val="NoSpacingChar"/>
    <w:uiPriority w:val="1"/>
    <w:qFormat/>
    <w:rsid w:val="00CE2C13"/>
    <w:pPr>
      <w:spacing w:after="0" w:line="240" w:lineRule="auto"/>
    </w:pPr>
    <w:rPr>
      <w:rFonts w:ascii="Calibri" w:eastAsia="Calibri" w:hAnsi="Calibri" w:cs="Times New Roman"/>
      <w:lang w:val="el-GR"/>
    </w:rPr>
  </w:style>
  <w:style w:type="paragraph" w:styleId="Caption">
    <w:name w:val="caption"/>
    <w:basedOn w:val="Normal"/>
    <w:next w:val="Normal"/>
    <w:link w:val="CaptionChar"/>
    <w:uiPriority w:val="35"/>
    <w:unhideWhenUsed/>
    <w:qFormat/>
    <w:rsid w:val="00AF6784"/>
    <w:pPr>
      <w:spacing w:after="200" w:line="240" w:lineRule="auto"/>
    </w:pPr>
    <w:rPr>
      <w:rFonts w:ascii="Calibri Light" w:hAnsi="Calibri Light" w:cs="Times New Roman"/>
      <w:b/>
      <w:bCs/>
      <w:color w:val="01406B"/>
    </w:rPr>
  </w:style>
  <w:style w:type="table" w:styleId="TableGrid">
    <w:name w:val="Table Grid"/>
    <w:aliases w:val="Envelope Address1"/>
    <w:basedOn w:val="TableNormal"/>
    <w:uiPriority w:val="1"/>
    <w:rsid w:val="00CE2C13"/>
    <w:pPr>
      <w:spacing w:after="12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DKbody">
    <w:name w:val="LDK body"/>
    <w:basedOn w:val="Normal"/>
    <w:link w:val="LDKbodyChar"/>
    <w:qFormat/>
    <w:rsid w:val="00CE2C13"/>
    <w:pPr>
      <w:spacing w:before="120" w:after="120" w:line="240" w:lineRule="auto"/>
      <w:jc w:val="both"/>
    </w:pPr>
    <w:rPr>
      <w:rFonts w:ascii="Calibri" w:eastAsia="Times New Roman" w:hAnsi="Calibri" w:cs="Arial"/>
      <w:lang w:val="da-DK" w:eastAsia="el-GR"/>
    </w:rPr>
  </w:style>
  <w:style w:type="character" w:customStyle="1" w:styleId="LDKbodyChar">
    <w:name w:val="LDK body Char"/>
    <w:link w:val="LDKbody"/>
    <w:rsid w:val="00CE2C13"/>
    <w:rPr>
      <w:rFonts w:ascii="Calibri" w:eastAsia="Times New Roman" w:hAnsi="Calibri" w:cs="Arial"/>
      <w:lang w:val="da-DK" w:eastAsia="el-GR"/>
    </w:rPr>
  </w:style>
  <w:style w:type="paragraph" w:styleId="BalloonText">
    <w:name w:val="Balloon Text"/>
    <w:basedOn w:val="Normal"/>
    <w:link w:val="BalloonTextChar"/>
    <w:uiPriority w:val="99"/>
    <w:unhideWhenUsed/>
    <w:rsid w:val="00CE2C1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CE2C13"/>
    <w:rPr>
      <w:rFonts w:ascii="Segoe UI" w:eastAsia="Times New Roman" w:hAnsi="Segoe UI" w:cs="Segoe UI"/>
      <w:sz w:val="18"/>
      <w:szCs w:val="18"/>
    </w:rPr>
  </w:style>
  <w:style w:type="paragraph" w:styleId="CommentText">
    <w:name w:val="annotation text"/>
    <w:basedOn w:val="Normal"/>
    <w:link w:val="CommentTextChar"/>
    <w:uiPriority w:val="99"/>
    <w:unhideWhenUsed/>
    <w:rsid w:val="00CE2C1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E2C13"/>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CE2C1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E2C13"/>
    <w:rPr>
      <w:b/>
      <w:bCs/>
    </w:rPr>
  </w:style>
  <w:style w:type="paragraph" w:customStyle="1" w:styleId="Default">
    <w:name w:val="Default"/>
    <w:rsid w:val="00CE2C1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UnresolvedMention1">
    <w:name w:val="Unresolved Mention1"/>
    <w:basedOn w:val="DefaultParagraphFont"/>
    <w:uiPriority w:val="99"/>
    <w:semiHidden/>
    <w:unhideWhenUsed/>
    <w:rsid w:val="009E5D0B"/>
    <w:rPr>
      <w:color w:val="605E5C"/>
      <w:shd w:val="clear" w:color="auto" w:fill="E1DFDD"/>
    </w:rPr>
  </w:style>
  <w:style w:type="paragraph" w:customStyle="1" w:styleId="ldkbody0">
    <w:name w:val="ldkbody"/>
    <w:basedOn w:val="Normal"/>
    <w:rsid w:val="00F8277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D1E9A"/>
    <w:pPr>
      <w:keepLines/>
      <w:numPr>
        <w:numId w:val="0"/>
      </w:numPr>
      <w:pBdr>
        <w:bottom w:val="none" w:sz="0" w:space="0" w:color="auto"/>
      </w:pBdr>
      <w:shd w:val="clear" w:color="auto" w:fill="auto"/>
      <w:spacing w:before="240" w:after="0" w:line="259" w:lineRule="auto"/>
      <w:jc w:val="left"/>
      <w:outlineLvl w:val="9"/>
    </w:pPr>
    <w:rPr>
      <w:rFonts w:asciiTheme="majorHAnsi" w:eastAsiaTheme="majorEastAsia" w:hAnsiTheme="majorHAnsi" w:cstheme="majorBidi"/>
      <w:b w:val="0"/>
      <w:smallCaps w:val="0"/>
      <w:color w:val="2F5496" w:themeColor="accent1" w:themeShade="BF"/>
      <w:kern w:val="0"/>
      <w:sz w:val="32"/>
      <w:lang w:val="en-US" w:eastAsia="en-US"/>
    </w:rPr>
  </w:style>
  <w:style w:type="paragraph" w:styleId="TOC1">
    <w:name w:val="toc 1"/>
    <w:basedOn w:val="Normal"/>
    <w:next w:val="Normal"/>
    <w:autoRedefine/>
    <w:uiPriority w:val="39"/>
    <w:unhideWhenUsed/>
    <w:rsid w:val="00CE52D4"/>
    <w:pPr>
      <w:tabs>
        <w:tab w:val="left" w:pos="440"/>
        <w:tab w:val="right" w:leader="dot" w:pos="9628"/>
      </w:tabs>
      <w:spacing w:after="100"/>
    </w:pPr>
  </w:style>
  <w:style w:type="paragraph" w:styleId="TOC2">
    <w:name w:val="toc 2"/>
    <w:basedOn w:val="Normal"/>
    <w:next w:val="Normal"/>
    <w:autoRedefine/>
    <w:uiPriority w:val="39"/>
    <w:unhideWhenUsed/>
    <w:rsid w:val="005E78D8"/>
    <w:pPr>
      <w:tabs>
        <w:tab w:val="left" w:pos="880"/>
        <w:tab w:val="right" w:leader="dot" w:pos="9628"/>
      </w:tabs>
      <w:spacing w:after="100"/>
      <w:ind w:left="220"/>
    </w:pPr>
  </w:style>
  <w:style w:type="paragraph" w:styleId="TOC3">
    <w:name w:val="toc 3"/>
    <w:basedOn w:val="Normal"/>
    <w:next w:val="Normal"/>
    <w:autoRedefine/>
    <w:uiPriority w:val="39"/>
    <w:unhideWhenUsed/>
    <w:rsid w:val="001E64A3"/>
    <w:pPr>
      <w:spacing w:after="100"/>
      <w:ind w:left="440"/>
    </w:pPr>
  </w:style>
  <w:style w:type="paragraph" w:customStyle="1" w:styleId="LDKBullets-main">
    <w:name w:val="LDK Bullets - main"/>
    <w:basedOn w:val="Normal"/>
    <w:link w:val="LDKBullets-mainChar"/>
    <w:qFormat/>
    <w:rsid w:val="002314DD"/>
    <w:pPr>
      <w:widowControl w:val="0"/>
      <w:numPr>
        <w:numId w:val="8"/>
      </w:numPr>
      <w:spacing w:after="0" w:line="276" w:lineRule="auto"/>
      <w:jc w:val="both"/>
    </w:pPr>
    <w:rPr>
      <w:rFonts w:ascii="Calibri Light" w:eastAsia="Times New Roman" w:hAnsi="Calibri Light" w:cs="Calibri Light"/>
      <w:lang w:eastAsia="en-GB"/>
    </w:rPr>
  </w:style>
  <w:style w:type="character" w:customStyle="1" w:styleId="LDKBullets-mainChar">
    <w:name w:val="LDK Bullets - main Char"/>
    <w:link w:val="LDKBullets-main"/>
    <w:rsid w:val="002314DD"/>
    <w:rPr>
      <w:rFonts w:ascii="Calibri Light" w:eastAsia="Times New Roman" w:hAnsi="Calibri Light" w:cs="Calibri Light"/>
      <w:lang w:eastAsia="en-GB"/>
    </w:rPr>
  </w:style>
  <w:style w:type="character" w:styleId="CommentReference">
    <w:name w:val="annotation reference"/>
    <w:basedOn w:val="DefaultParagraphFont"/>
    <w:uiPriority w:val="99"/>
    <w:semiHidden/>
    <w:unhideWhenUsed/>
    <w:rsid w:val="00E95C30"/>
    <w:rPr>
      <w:sz w:val="16"/>
      <w:szCs w:val="16"/>
    </w:rPr>
  </w:style>
  <w:style w:type="paragraph" w:customStyle="1" w:styleId="basic-paragraph">
    <w:name w:val="basic-paragraph"/>
    <w:basedOn w:val="Normal"/>
    <w:rsid w:val="003175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A7731"/>
    <w:rPr>
      <w:color w:val="954F72" w:themeColor="followedHyperlink"/>
      <w:u w:val="single"/>
    </w:rPr>
  </w:style>
  <w:style w:type="character" w:customStyle="1" w:styleId="fontstyle01">
    <w:name w:val="fontstyle01"/>
    <w:basedOn w:val="DefaultParagraphFont"/>
    <w:rsid w:val="00924DB5"/>
    <w:rPr>
      <w:rFonts w:ascii="Arial" w:hAnsi="Arial" w:cs="Arial" w:hint="default"/>
      <w:b w:val="0"/>
      <w:bCs w:val="0"/>
      <w:i w:val="0"/>
      <w:iCs w:val="0"/>
      <w:color w:val="000000"/>
      <w:sz w:val="20"/>
      <w:szCs w:val="20"/>
    </w:rPr>
  </w:style>
  <w:style w:type="table" w:customStyle="1" w:styleId="GridTable4-Accent11">
    <w:name w:val="Grid Table 4 - Accent 11"/>
    <w:basedOn w:val="TableNormal"/>
    <w:uiPriority w:val="49"/>
    <w:rsid w:val="00506B97"/>
    <w:pPr>
      <w:spacing w:after="0" w:line="240" w:lineRule="auto"/>
    </w:pPr>
    <w:rPr>
      <w:lang w:val="el-G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5D5BE4"/>
    <w:pPr>
      <w:spacing w:after="0"/>
    </w:pPr>
  </w:style>
  <w:style w:type="paragraph" w:styleId="Revision">
    <w:name w:val="Revision"/>
    <w:hidden/>
    <w:uiPriority w:val="99"/>
    <w:semiHidden/>
    <w:rsid w:val="00033E95"/>
    <w:pPr>
      <w:spacing w:after="0" w:line="240" w:lineRule="auto"/>
    </w:pPr>
  </w:style>
  <w:style w:type="character" w:styleId="Emphasis">
    <w:name w:val="Emphasis"/>
    <w:basedOn w:val="DefaultParagraphFont"/>
    <w:uiPriority w:val="20"/>
    <w:qFormat/>
    <w:rsid w:val="00227FF4"/>
    <w:rPr>
      <w:i/>
      <w:iCs/>
    </w:rPr>
  </w:style>
  <w:style w:type="character" w:customStyle="1" w:styleId="CaptionChar">
    <w:name w:val="Caption Char"/>
    <w:link w:val="Caption"/>
    <w:uiPriority w:val="35"/>
    <w:qFormat/>
    <w:rsid w:val="00D2554B"/>
    <w:rPr>
      <w:rFonts w:ascii="Calibri Light" w:hAnsi="Calibri Light" w:cs="Times New Roman"/>
      <w:b/>
      <w:bCs/>
      <w:color w:val="01406B"/>
    </w:rPr>
  </w:style>
  <w:style w:type="paragraph" w:customStyle="1" w:styleId="LDKBody1">
    <w:name w:val="LDK Body"/>
    <w:basedOn w:val="Normal"/>
    <w:link w:val="LDKBodyChar0"/>
    <w:qFormat/>
    <w:rsid w:val="007C790C"/>
    <w:pPr>
      <w:widowControl w:val="0"/>
      <w:spacing w:after="120" w:line="240" w:lineRule="auto"/>
      <w:jc w:val="both"/>
    </w:pPr>
    <w:rPr>
      <w:rFonts w:ascii="Calibri Light" w:eastAsia="Times New Roman" w:hAnsi="Calibri Light" w:cs="Calibri Light"/>
      <w:szCs w:val="20"/>
      <w:lang w:eastAsia="el-GR"/>
    </w:rPr>
  </w:style>
  <w:style w:type="character" w:customStyle="1" w:styleId="LDKBodyChar0">
    <w:name w:val="LDK Body Char"/>
    <w:basedOn w:val="DefaultParagraphFont"/>
    <w:link w:val="LDKBody1"/>
    <w:rsid w:val="007C790C"/>
    <w:rPr>
      <w:rFonts w:ascii="Calibri Light" w:eastAsia="Times New Roman" w:hAnsi="Calibri Light" w:cs="Calibri Light"/>
      <w:szCs w:val="20"/>
      <w:lang w:eastAsia="el-GR"/>
    </w:rPr>
  </w:style>
  <w:style w:type="paragraph" w:customStyle="1" w:styleId="xmsonormal">
    <w:name w:val="x_msonormal"/>
    <w:basedOn w:val="Normal"/>
    <w:rsid w:val="000154A5"/>
    <w:pPr>
      <w:spacing w:after="0" w:line="240" w:lineRule="auto"/>
    </w:pPr>
    <w:rPr>
      <w:rFonts w:ascii="Calibri" w:hAnsi="Calibri" w:cs="Calibri"/>
      <w:lang w:val="el-GR" w:eastAsia="el-GR"/>
    </w:rPr>
  </w:style>
  <w:style w:type="paragraph" w:customStyle="1" w:styleId="xmsotoc1">
    <w:name w:val="x_msotoc1"/>
    <w:basedOn w:val="Normal"/>
    <w:rsid w:val="000154A5"/>
    <w:pPr>
      <w:spacing w:after="100" w:line="252" w:lineRule="auto"/>
    </w:pPr>
    <w:rPr>
      <w:rFonts w:ascii="Calibri" w:hAnsi="Calibri" w:cs="Calibri"/>
      <w:lang w:val="el-GR" w:eastAsia="el-GR"/>
    </w:rPr>
  </w:style>
  <w:style w:type="paragraph" w:customStyle="1" w:styleId="Style2">
    <w:name w:val="Style2"/>
    <w:basedOn w:val="Normal"/>
    <w:autoRedefine/>
    <w:uiPriority w:val="9"/>
    <w:qFormat/>
    <w:rsid w:val="000154A5"/>
    <w:pPr>
      <w:keepNext/>
      <w:spacing w:before="240" w:after="120" w:line="320" w:lineRule="exact"/>
      <w:ind w:left="720" w:hanging="720"/>
      <w:outlineLvl w:val="1"/>
    </w:pPr>
    <w:rPr>
      <w:rFonts w:asciiTheme="majorHAnsi" w:eastAsia="Arial" w:hAnsiTheme="majorHAnsi" w:cstheme="majorHAnsi"/>
      <w:color w:val="4472C4" w:themeColor="accent1"/>
      <w:kern w:val="32"/>
      <w:sz w:val="28"/>
      <w:szCs w:val="28"/>
    </w:rPr>
  </w:style>
  <w:style w:type="paragraph" w:customStyle="1" w:styleId="Style3">
    <w:name w:val="Style3"/>
    <w:basedOn w:val="Style2"/>
    <w:next w:val="Heading3"/>
    <w:link w:val="Style3Char"/>
    <w:uiPriority w:val="9"/>
    <w:qFormat/>
    <w:rsid w:val="000154A5"/>
  </w:style>
  <w:style w:type="character" w:customStyle="1" w:styleId="Style3Char">
    <w:name w:val="Style3 Char"/>
    <w:basedOn w:val="DefaultParagraphFont"/>
    <w:link w:val="Style3"/>
    <w:uiPriority w:val="9"/>
    <w:rsid w:val="000154A5"/>
    <w:rPr>
      <w:rFonts w:asciiTheme="majorHAnsi" w:eastAsia="Arial" w:hAnsiTheme="majorHAnsi" w:cstheme="majorHAnsi"/>
      <w:color w:val="4472C4" w:themeColor="accent1"/>
      <w:kern w:val="32"/>
      <w:sz w:val="28"/>
      <w:szCs w:val="28"/>
    </w:rPr>
  </w:style>
  <w:style w:type="table" w:customStyle="1" w:styleId="GridTable4-Accent511">
    <w:name w:val="Grid Table 4 - Accent 511"/>
    <w:basedOn w:val="TableNormal"/>
    <w:uiPriority w:val="49"/>
    <w:rsid w:val="000154A5"/>
    <w:pPr>
      <w:spacing w:after="0" w:line="240" w:lineRule="auto"/>
    </w:pPr>
    <w:rPr>
      <w:rFonts w:ascii="Calibri" w:eastAsia="Calibri" w:hAnsi="Calibri" w:cs="Arial"/>
    </w:rPr>
    <w:tblPr>
      <w:tblStyleRowBandSize w:val="1"/>
      <w:tblStyleColBandSize w:val="1"/>
      <w:tblBorders>
        <w:top w:val="single" w:sz="4" w:space="0" w:color="FFB078"/>
        <w:left w:val="single" w:sz="4" w:space="0" w:color="FFB078"/>
        <w:bottom w:val="single" w:sz="4" w:space="0" w:color="FFB078"/>
        <w:right w:val="single" w:sz="4" w:space="0" w:color="FFB078"/>
        <w:insideH w:val="single" w:sz="4" w:space="0" w:color="FFB078"/>
        <w:insideV w:val="single" w:sz="4" w:space="0" w:color="FFB078"/>
      </w:tblBorders>
    </w:tblPr>
    <w:tblStylePr w:type="firstRow">
      <w:rPr>
        <w:b/>
        <w:bCs/>
        <w:color w:val="FFFFFF"/>
      </w:rPr>
      <w:tblPr/>
      <w:tcPr>
        <w:tcBorders>
          <w:top w:val="single" w:sz="4" w:space="0" w:color="FF7D1E"/>
          <w:left w:val="single" w:sz="4" w:space="0" w:color="FF7D1E"/>
          <w:bottom w:val="single" w:sz="4" w:space="0" w:color="FF7D1E"/>
          <w:right w:val="single" w:sz="4" w:space="0" w:color="FF7D1E"/>
          <w:insideH w:val="nil"/>
          <w:insideV w:val="nil"/>
        </w:tcBorders>
        <w:shd w:val="clear" w:color="auto" w:fill="FF7D1E"/>
      </w:tcPr>
    </w:tblStylePr>
    <w:tblStylePr w:type="lastRow">
      <w:rPr>
        <w:b/>
        <w:bCs/>
      </w:rPr>
      <w:tblPr/>
      <w:tcPr>
        <w:tcBorders>
          <w:top w:val="double" w:sz="4" w:space="0" w:color="FF7D1E"/>
        </w:tcBorders>
      </w:tcPr>
    </w:tblStylePr>
    <w:tblStylePr w:type="firstCol">
      <w:rPr>
        <w:b/>
        <w:bCs/>
      </w:rPr>
    </w:tblStylePr>
    <w:tblStylePr w:type="lastCol">
      <w:rPr>
        <w:b/>
        <w:bCs/>
      </w:rPr>
    </w:tblStylePr>
    <w:tblStylePr w:type="band1Vert">
      <w:tblPr/>
      <w:tcPr>
        <w:shd w:val="clear" w:color="auto" w:fill="FFE4D2"/>
      </w:tcPr>
    </w:tblStylePr>
    <w:tblStylePr w:type="band1Horz">
      <w:tblPr/>
      <w:tcPr>
        <w:shd w:val="clear" w:color="auto" w:fill="FFE4D2"/>
      </w:tcPr>
    </w:tblStylePr>
  </w:style>
  <w:style w:type="paragraph" w:styleId="BodyText">
    <w:name w:val="Body Text"/>
    <w:basedOn w:val="Normal"/>
    <w:link w:val="BodyTextChar"/>
    <w:uiPriority w:val="1"/>
    <w:qFormat/>
    <w:rsid w:val="000154A5"/>
    <w:pPr>
      <w:spacing w:after="120" w:line="240" w:lineRule="atLeast"/>
      <w:jc w:val="both"/>
    </w:pPr>
    <w:rPr>
      <w:rFonts w:eastAsia="Times New Roman" w:cs="Arial"/>
      <w:szCs w:val="20"/>
    </w:rPr>
  </w:style>
  <w:style w:type="character" w:customStyle="1" w:styleId="BodyTextChar">
    <w:name w:val="Body Text Char"/>
    <w:basedOn w:val="DefaultParagraphFont"/>
    <w:link w:val="BodyText"/>
    <w:uiPriority w:val="1"/>
    <w:rsid w:val="000154A5"/>
    <w:rPr>
      <w:rFonts w:eastAsia="Times New Roman" w:cs="Arial"/>
      <w:szCs w:val="20"/>
    </w:rPr>
  </w:style>
  <w:style w:type="paragraph" w:customStyle="1" w:styleId="BVIfnrCarCar">
    <w:name w:val="BVI fnr Car Car"/>
    <w:aliases w:val="BVI fnr Car,BVI fnr Car Car Car Car,BVI fnr Car Car Char,BVI fnr Car Car Car Car Char"/>
    <w:basedOn w:val="Normal"/>
    <w:link w:val="FootnoteReference"/>
    <w:uiPriority w:val="99"/>
    <w:rsid w:val="000154A5"/>
    <w:pPr>
      <w:spacing w:before="240" w:after="0" w:line="240" w:lineRule="exact"/>
      <w:jc w:val="both"/>
    </w:pPr>
    <w:rPr>
      <w:vertAlign w:val="superscript"/>
    </w:rPr>
  </w:style>
  <w:style w:type="character" w:customStyle="1" w:styleId="LDKTableChar">
    <w:name w:val="LDK Table Char"/>
    <w:basedOn w:val="DefaultParagraphFont"/>
    <w:link w:val="LDKTable"/>
    <w:rsid w:val="000154A5"/>
    <w:rPr>
      <w:rFonts w:ascii="Calibri Light" w:eastAsia="Times New Roman" w:hAnsi="Calibri Light" w:cs="Times New Roman"/>
      <w:b/>
      <w:bCs/>
      <w:color w:val="01406B"/>
      <w:lang w:val="da-DK" w:eastAsia="el-GR"/>
    </w:rPr>
  </w:style>
  <w:style w:type="paragraph" w:customStyle="1" w:styleId="LDKTable">
    <w:name w:val="LDK Table"/>
    <w:basedOn w:val="Normal"/>
    <w:link w:val="LDKTableChar"/>
    <w:qFormat/>
    <w:rsid w:val="000154A5"/>
    <w:pPr>
      <w:keepNext/>
      <w:spacing w:before="120" w:after="120" w:line="240" w:lineRule="auto"/>
      <w:jc w:val="both"/>
    </w:pPr>
    <w:rPr>
      <w:rFonts w:ascii="Calibri Light" w:eastAsia="Times New Roman" w:hAnsi="Calibri Light" w:cs="Times New Roman"/>
      <w:b/>
      <w:bCs/>
      <w:color w:val="01406B"/>
      <w:lang w:val="da-DK" w:eastAsia="el-GR"/>
    </w:rPr>
  </w:style>
  <w:style w:type="paragraph" w:customStyle="1" w:styleId="Headline2">
    <w:name w:val="Headline 2"/>
    <w:basedOn w:val="Normal"/>
    <w:rsid w:val="000154A5"/>
    <w:pPr>
      <w:suppressAutoHyphens/>
      <w:spacing w:after="200" w:line="240" w:lineRule="auto"/>
      <w:ind w:left="1843" w:hanging="1843"/>
    </w:pPr>
    <w:rPr>
      <w:rFonts w:ascii="Trebuchet MS Bold" w:eastAsia="Cambria" w:hAnsi="Trebuchet MS Bold" w:cs="Times New Roman"/>
      <w:color w:val="262727"/>
      <w:sz w:val="32"/>
      <w:szCs w:val="24"/>
      <w:lang w:val="de-DE" w:eastAsia="ar-SA"/>
    </w:rPr>
  </w:style>
  <w:style w:type="character" w:styleId="PageNumber">
    <w:name w:val="page number"/>
    <w:basedOn w:val="DefaultParagraphFont"/>
    <w:rsid w:val="000154A5"/>
  </w:style>
  <w:style w:type="paragraph" w:customStyle="1" w:styleId="Bullet">
    <w:name w:val="Bullet"/>
    <w:aliases w:val="bl,Bullet L1,bl1"/>
    <w:basedOn w:val="Normal"/>
    <w:rsid w:val="000154A5"/>
    <w:pPr>
      <w:numPr>
        <w:numId w:val="234"/>
      </w:numPr>
      <w:spacing w:after="0" w:line="240" w:lineRule="auto"/>
    </w:pPr>
    <w:rPr>
      <w:rFonts w:ascii="Calibri" w:eastAsia="Times New Roman" w:hAnsi="Calibri" w:cs="Times New Roman"/>
      <w:sz w:val="18"/>
      <w:szCs w:val="20"/>
      <w:lang w:eastAsia="el-GR"/>
    </w:rPr>
  </w:style>
  <w:style w:type="character" w:styleId="Strong">
    <w:name w:val="Strong"/>
    <w:basedOn w:val="DefaultParagraphFont"/>
    <w:uiPriority w:val="22"/>
    <w:qFormat/>
    <w:rsid w:val="000154A5"/>
    <w:rPr>
      <w:rFonts w:asciiTheme="minorHAnsi" w:hAnsiTheme="minorHAnsi"/>
      <w:b/>
      <w:bCs/>
    </w:rPr>
  </w:style>
  <w:style w:type="paragraph" w:styleId="ListContinue">
    <w:name w:val="List Continue"/>
    <w:basedOn w:val="Normal"/>
    <w:uiPriority w:val="99"/>
    <w:semiHidden/>
    <w:unhideWhenUsed/>
    <w:rsid w:val="000154A5"/>
    <w:pPr>
      <w:spacing w:after="120" w:line="240" w:lineRule="auto"/>
      <w:ind w:left="283"/>
      <w:contextualSpacing/>
    </w:pPr>
    <w:rPr>
      <w:rFonts w:ascii="Calibri" w:eastAsia="Times New Roman" w:hAnsi="Calibri" w:cs="Times New Roman"/>
      <w:szCs w:val="24"/>
    </w:rPr>
  </w:style>
  <w:style w:type="paragraph" w:customStyle="1" w:styleId="LDKTableBullets2">
    <w:name w:val="LDK Table Bullets 2"/>
    <w:basedOn w:val="Normal"/>
    <w:link w:val="LDKTableBullets2Char"/>
    <w:qFormat/>
    <w:rsid w:val="000154A5"/>
    <w:pPr>
      <w:widowControl w:val="0"/>
      <w:numPr>
        <w:numId w:val="235"/>
      </w:numPr>
      <w:spacing w:after="0" w:line="276" w:lineRule="auto"/>
      <w:jc w:val="both"/>
    </w:pPr>
    <w:rPr>
      <w:rFonts w:ascii="Calibri Light" w:eastAsia="Times New Roman" w:hAnsi="Calibri Light" w:cs="Calibri Light"/>
      <w:sz w:val="20"/>
      <w:szCs w:val="20"/>
      <w:lang w:eastAsia="en-GB"/>
    </w:rPr>
  </w:style>
  <w:style w:type="character" w:customStyle="1" w:styleId="LDKTableBullets2Char">
    <w:name w:val="LDK Table Bullets 2 Char"/>
    <w:basedOn w:val="DefaultParagraphFont"/>
    <w:link w:val="LDKTableBullets2"/>
    <w:rsid w:val="000154A5"/>
    <w:rPr>
      <w:rFonts w:ascii="Calibri Light" w:eastAsia="Times New Roman" w:hAnsi="Calibri Light" w:cs="Calibri Light"/>
      <w:sz w:val="20"/>
      <w:szCs w:val="20"/>
      <w:lang w:eastAsia="en-GB"/>
    </w:rPr>
  </w:style>
  <w:style w:type="paragraph" w:customStyle="1" w:styleId="LDKBullets-main2">
    <w:name w:val="LDK Bullets - main 2"/>
    <w:basedOn w:val="Normal"/>
    <w:link w:val="LDKBullets-main2Char"/>
    <w:qFormat/>
    <w:rsid w:val="000154A5"/>
    <w:pPr>
      <w:keepLines/>
      <w:numPr>
        <w:numId w:val="236"/>
      </w:numPr>
      <w:spacing w:after="60" w:line="240" w:lineRule="auto"/>
      <w:jc w:val="both"/>
    </w:pPr>
    <w:rPr>
      <w:rFonts w:ascii="Calibri" w:eastAsia="Calibri" w:hAnsi="Calibri" w:cs="Times New Roman"/>
      <w:szCs w:val="20"/>
    </w:rPr>
  </w:style>
  <w:style w:type="character" w:customStyle="1" w:styleId="LDKBullets-main2Char">
    <w:name w:val="LDK Bullets - main 2 Char"/>
    <w:link w:val="LDKBullets-main2"/>
    <w:rsid w:val="000154A5"/>
    <w:rPr>
      <w:rFonts w:ascii="Calibri" w:eastAsia="Calibri" w:hAnsi="Calibri" w:cs="Times New Roman"/>
      <w:szCs w:val="20"/>
    </w:rPr>
  </w:style>
  <w:style w:type="character" w:styleId="IntenseReference">
    <w:name w:val="Intense Reference"/>
    <w:uiPriority w:val="32"/>
    <w:qFormat/>
    <w:rsid w:val="000154A5"/>
    <w:rPr>
      <w:rFonts w:ascii="Calibri Light" w:hAnsi="Calibri Light" w:cs="Calibri Light"/>
      <w:b/>
      <w:color w:val="01406B"/>
      <w:sz w:val="22"/>
      <w:szCs w:val="20"/>
      <w:lang w:val="da-DK" w:eastAsia="el-GR"/>
    </w:rPr>
  </w:style>
  <w:style w:type="paragraph" w:customStyle="1" w:styleId="LDKFigure">
    <w:name w:val="LDK Figure"/>
    <w:basedOn w:val="Caption"/>
    <w:link w:val="LDKFigureChar"/>
    <w:qFormat/>
    <w:rsid w:val="000154A5"/>
    <w:pPr>
      <w:keepNext/>
      <w:spacing w:before="120"/>
      <w:jc w:val="both"/>
    </w:pPr>
    <w:rPr>
      <w:rFonts w:eastAsia="Times New Roman"/>
      <w:iCs/>
      <w:color w:val="44546A" w:themeColor="text2"/>
      <w:sz w:val="18"/>
      <w:szCs w:val="18"/>
      <w:lang w:val="da-DK" w:eastAsia="el-GR"/>
    </w:rPr>
  </w:style>
  <w:style w:type="character" w:customStyle="1" w:styleId="LDKFigureChar">
    <w:name w:val="LDK Figure Char"/>
    <w:basedOn w:val="CaptionChar"/>
    <w:link w:val="LDKFigure"/>
    <w:rsid w:val="000154A5"/>
    <w:rPr>
      <w:rFonts w:ascii="Calibri Light" w:eastAsia="Times New Roman" w:hAnsi="Calibri Light" w:cs="Times New Roman"/>
      <w:b/>
      <w:bCs/>
      <w:iCs/>
      <w:color w:val="44546A" w:themeColor="text2"/>
      <w:sz w:val="18"/>
      <w:szCs w:val="18"/>
      <w:lang w:val="da-DK" w:eastAsia="el-GR"/>
    </w:rPr>
  </w:style>
  <w:style w:type="character" w:customStyle="1" w:styleId="highlight">
    <w:name w:val="highlight"/>
    <w:basedOn w:val="DefaultParagraphFont"/>
    <w:rsid w:val="000154A5"/>
  </w:style>
  <w:style w:type="paragraph" w:customStyle="1" w:styleId="msonormal0">
    <w:name w:val="msonormal"/>
    <w:basedOn w:val="Normal"/>
    <w:rsid w:val="000154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9">
    <w:name w:val="xl79"/>
    <w:basedOn w:val="Normal"/>
    <w:rsid w:val="000154A5"/>
    <w:pPr>
      <w:spacing w:before="100" w:beforeAutospacing="1" w:after="100" w:afterAutospacing="1" w:line="240" w:lineRule="auto"/>
    </w:pPr>
    <w:rPr>
      <w:rFonts w:ascii="Calibri Light" w:eastAsia="Times New Roman" w:hAnsi="Calibri Light" w:cs="Calibri Light"/>
      <w:sz w:val="12"/>
      <w:szCs w:val="12"/>
      <w:lang w:eastAsia="en-GB"/>
    </w:rPr>
  </w:style>
  <w:style w:type="paragraph" w:customStyle="1" w:styleId="xl80">
    <w:name w:val="xl80"/>
    <w:basedOn w:val="Normal"/>
    <w:rsid w:val="000154A5"/>
    <w:pPr>
      <w:pBdr>
        <w:top w:val="single" w:sz="4" w:space="0" w:color="696969"/>
        <w:left w:val="single" w:sz="4" w:space="0" w:color="696969"/>
        <w:bottom w:val="single" w:sz="4" w:space="0" w:color="696969"/>
        <w:right w:val="single" w:sz="4" w:space="0" w:color="696969"/>
      </w:pBdr>
      <w:shd w:val="clear" w:color="EFF6FF" w:fill="EFF6FF"/>
      <w:spacing w:before="100" w:beforeAutospacing="1" w:after="100" w:afterAutospacing="1" w:line="240" w:lineRule="auto"/>
      <w:textAlignment w:val="center"/>
    </w:pPr>
    <w:rPr>
      <w:rFonts w:ascii="Calibri Light" w:eastAsia="Times New Roman" w:hAnsi="Calibri Light" w:cs="Calibri Light"/>
      <w:color w:val="2B2C3C"/>
      <w:sz w:val="12"/>
      <w:szCs w:val="12"/>
      <w:lang w:eastAsia="en-GB"/>
    </w:rPr>
  </w:style>
  <w:style w:type="paragraph" w:customStyle="1" w:styleId="xl81">
    <w:name w:val="xl81"/>
    <w:basedOn w:val="Normal"/>
    <w:rsid w:val="000154A5"/>
    <w:pPr>
      <w:pBdr>
        <w:top w:val="single" w:sz="4" w:space="0" w:color="696969"/>
        <w:left w:val="single" w:sz="4" w:space="0" w:color="696969"/>
        <w:bottom w:val="single" w:sz="4" w:space="0" w:color="696969"/>
        <w:right w:val="single" w:sz="4" w:space="0" w:color="696969"/>
      </w:pBdr>
      <w:shd w:val="clear" w:color="EAF1FB" w:fill="EAF1FB"/>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82">
    <w:name w:val="xl82"/>
    <w:basedOn w:val="Normal"/>
    <w:rsid w:val="000154A5"/>
    <w:pPr>
      <w:pBdr>
        <w:top w:val="single" w:sz="4" w:space="0" w:color="696969"/>
        <w:left w:val="single" w:sz="4" w:space="0" w:color="696969"/>
        <w:bottom w:val="single" w:sz="4" w:space="0" w:color="696969"/>
        <w:right w:val="single" w:sz="4" w:space="0" w:color="696969"/>
      </w:pBdr>
      <w:shd w:val="clear" w:color="EAF1FB" w:fill="EAF1FB"/>
      <w:spacing w:before="100" w:beforeAutospacing="1" w:after="100" w:afterAutospacing="1" w:line="240" w:lineRule="auto"/>
      <w:textAlignment w:val="center"/>
    </w:pPr>
    <w:rPr>
      <w:rFonts w:ascii="Calibri Light" w:eastAsia="Times New Roman" w:hAnsi="Calibri Light" w:cs="Calibri Light"/>
      <w:color w:val="000000"/>
      <w:sz w:val="12"/>
      <w:szCs w:val="12"/>
      <w:lang w:eastAsia="en-GB"/>
    </w:rPr>
  </w:style>
  <w:style w:type="paragraph" w:customStyle="1" w:styleId="xl83">
    <w:name w:val="xl83"/>
    <w:basedOn w:val="Normal"/>
    <w:rsid w:val="000154A5"/>
    <w:pPr>
      <w:pBdr>
        <w:top w:val="single" w:sz="4" w:space="0" w:color="696969"/>
        <w:left w:val="single" w:sz="4" w:space="0" w:color="696969"/>
        <w:bottom w:val="single" w:sz="4" w:space="0" w:color="696969"/>
        <w:right w:val="single" w:sz="4" w:space="0" w:color="696969"/>
      </w:pBdr>
      <w:shd w:val="clear" w:color="FFFFFF" w:fill="FFFFFF"/>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84">
    <w:name w:val="xl84"/>
    <w:basedOn w:val="Normal"/>
    <w:rsid w:val="000154A5"/>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85">
    <w:name w:val="xl85"/>
    <w:basedOn w:val="Normal"/>
    <w:rsid w:val="000154A5"/>
    <w:pPr>
      <w:pBdr>
        <w:top w:val="single" w:sz="4" w:space="0" w:color="696969"/>
        <w:left w:val="single" w:sz="4" w:space="0" w:color="696969"/>
        <w:bottom w:val="single" w:sz="4" w:space="0" w:color="696969"/>
        <w:right w:val="single" w:sz="4" w:space="0" w:color="696969"/>
      </w:pBdr>
      <w:shd w:val="clear" w:color="FFFFFF" w:fill="FFFFFF"/>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86">
    <w:name w:val="xl86"/>
    <w:basedOn w:val="Normal"/>
    <w:rsid w:val="000154A5"/>
    <w:pPr>
      <w:shd w:val="clear" w:color="FFFFFF" w:fill="FFFFFF"/>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87">
    <w:name w:val="xl87"/>
    <w:basedOn w:val="Normal"/>
    <w:rsid w:val="00015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12"/>
      <w:szCs w:val="12"/>
      <w:lang w:eastAsia="en-GB"/>
    </w:rPr>
  </w:style>
  <w:style w:type="paragraph" w:customStyle="1" w:styleId="xl88">
    <w:name w:val="xl88"/>
    <w:basedOn w:val="Normal"/>
    <w:rsid w:val="000154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sz w:val="12"/>
      <w:szCs w:val="12"/>
      <w:lang w:eastAsia="en-GB"/>
    </w:rPr>
  </w:style>
  <w:style w:type="paragraph" w:customStyle="1" w:styleId="xl89">
    <w:name w:val="xl89"/>
    <w:basedOn w:val="Normal"/>
    <w:rsid w:val="000154A5"/>
    <w:pPr>
      <w:pBdr>
        <w:top w:val="single" w:sz="4" w:space="0" w:color="696969"/>
        <w:left w:val="single" w:sz="4" w:space="0" w:color="696969"/>
        <w:bottom w:val="single" w:sz="4" w:space="0" w:color="696969"/>
        <w:right w:val="single" w:sz="4" w:space="0" w:color="696969"/>
      </w:pBdr>
      <w:shd w:val="clear" w:color="EFF6FF" w:fill="EFF6FF"/>
      <w:spacing w:before="100" w:beforeAutospacing="1" w:after="100" w:afterAutospacing="1" w:line="240" w:lineRule="auto"/>
      <w:textAlignment w:val="center"/>
    </w:pPr>
    <w:rPr>
      <w:rFonts w:ascii="Calibri Light" w:eastAsia="Times New Roman" w:hAnsi="Calibri Light" w:cs="Calibri Light"/>
      <w:color w:val="2B2C3C"/>
      <w:sz w:val="12"/>
      <w:szCs w:val="12"/>
      <w:lang w:eastAsia="en-GB"/>
    </w:rPr>
  </w:style>
  <w:style w:type="paragraph" w:customStyle="1" w:styleId="xl90">
    <w:name w:val="xl90"/>
    <w:basedOn w:val="Normal"/>
    <w:rsid w:val="000154A5"/>
    <w:pPr>
      <w:pBdr>
        <w:top w:val="single" w:sz="4" w:space="0" w:color="696969"/>
        <w:left w:val="single" w:sz="4" w:space="0" w:color="696969"/>
        <w:bottom w:val="single" w:sz="4" w:space="0" w:color="696969"/>
        <w:right w:val="single" w:sz="4" w:space="0" w:color="696969"/>
      </w:pBdr>
      <w:shd w:val="clear" w:color="EAF1FB" w:fill="EAF1FB"/>
      <w:spacing w:before="100" w:beforeAutospacing="1" w:after="100" w:afterAutospacing="1" w:line="240" w:lineRule="auto"/>
      <w:textAlignment w:val="center"/>
    </w:pPr>
    <w:rPr>
      <w:rFonts w:ascii="Calibri Light" w:eastAsia="Times New Roman" w:hAnsi="Calibri Light" w:cs="Calibri Light"/>
      <w:color w:val="000000"/>
      <w:sz w:val="12"/>
      <w:szCs w:val="12"/>
      <w:lang w:eastAsia="en-GB"/>
    </w:rPr>
  </w:style>
  <w:style w:type="paragraph" w:customStyle="1" w:styleId="xl91">
    <w:name w:val="xl91"/>
    <w:basedOn w:val="Normal"/>
    <w:rsid w:val="000154A5"/>
    <w:pPr>
      <w:pBdr>
        <w:top w:val="single" w:sz="4" w:space="0" w:color="696969"/>
        <w:left w:val="single" w:sz="4" w:space="0" w:color="696969"/>
        <w:bottom w:val="single" w:sz="4" w:space="0" w:color="696969"/>
        <w:right w:val="single" w:sz="4" w:space="0" w:color="696969"/>
      </w:pBdr>
      <w:shd w:val="clear" w:color="FFFFFF" w:fill="FFFFFF"/>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92">
    <w:name w:val="xl92"/>
    <w:basedOn w:val="Normal"/>
    <w:rsid w:val="000154A5"/>
    <w:pPr>
      <w:pBdr>
        <w:top w:val="single" w:sz="4" w:space="0" w:color="696969"/>
        <w:left w:val="single" w:sz="4" w:space="0" w:color="696969"/>
        <w:bottom w:val="single" w:sz="4" w:space="0" w:color="696969"/>
      </w:pBdr>
      <w:shd w:val="clear" w:color="FFFFFF" w:fill="FFFFFF"/>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93">
    <w:name w:val="xl93"/>
    <w:basedOn w:val="Normal"/>
    <w:rsid w:val="000154A5"/>
    <w:pPr>
      <w:pBdr>
        <w:top w:val="single" w:sz="4" w:space="0" w:color="696969"/>
        <w:left w:val="single" w:sz="4" w:space="0" w:color="696969"/>
        <w:bottom w:val="single" w:sz="4" w:space="0" w:color="696969"/>
      </w:pBdr>
      <w:shd w:val="clear" w:color="EAF1FB" w:fill="EAF1FB"/>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94">
    <w:name w:val="xl94"/>
    <w:basedOn w:val="Normal"/>
    <w:rsid w:val="000154A5"/>
    <w:pPr>
      <w:pBdr>
        <w:top w:val="single" w:sz="4" w:space="0" w:color="auto"/>
        <w:left w:val="single" w:sz="4" w:space="0" w:color="auto"/>
        <w:bottom w:val="single" w:sz="4" w:space="0" w:color="auto"/>
        <w:right w:val="single" w:sz="4" w:space="0" w:color="auto"/>
      </w:pBdr>
      <w:shd w:val="clear" w:color="EAF1FB" w:fill="EAF1FB"/>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95">
    <w:name w:val="xl95"/>
    <w:basedOn w:val="Normal"/>
    <w:rsid w:val="000154A5"/>
    <w:pPr>
      <w:pBdr>
        <w:top w:val="single" w:sz="4" w:space="0" w:color="696969"/>
        <w:left w:val="single" w:sz="4" w:space="0" w:color="696969"/>
        <w:bottom w:val="single" w:sz="4" w:space="0" w:color="696969"/>
      </w:pBdr>
      <w:shd w:val="clear" w:color="EAF1FB" w:fill="EAF1FB"/>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xl96">
    <w:name w:val="xl96"/>
    <w:basedOn w:val="Normal"/>
    <w:rsid w:val="000154A5"/>
    <w:pPr>
      <w:pBdr>
        <w:top w:val="single" w:sz="4" w:space="0" w:color="auto"/>
        <w:left w:val="single" w:sz="4" w:space="0" w:color="auto"/>
        <w:bottom w:val="single" w:sz="4" w:space="0" w:color="auto"/>
        <w:right w:val="single" w:sz="4" w:space="0" w:color="auto"/>
      </w:pBdr>
      <w:shd w:val="clear" w:color="EAF1FB" w:fill="EAF1FB"/>
      <w:spacing w:before="100" w:beforeAutospacing="1" w:after="100" w:afterAutospacing="1" w:line="240" w:lineRule="auto"/>
      <w:jc w:val="right"/>
      <w:textAlignment w:val="center"/>
    </w:pPr>
    <w:rPr>
      <w:rFonts w:ascii="Calibri Light" w:eastAsia="Times New Roman" w:hAnsi="Calibri Light" w:cs="Calibri Light"/>
      <w:color w:val="000000"/>
      <w:sz w:val="12"/>
      <w:szCs w:val="12"/>
      <w:lang w:eastAsia="en-GB"/>
    </w:rPr>
  </w:style>
  <w:style w:type="paragraph" w:customStyle="1" w:styleId="font5">
    <w:name w:val="font5"/>
    <w:basedOn w:val="Normal"/>
    <w:rsid w:val="000154A5"/>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6">
    <w:name w:val="font6"/>
    <w:basedOn w:val="Normal"/>
    <w:rsid w:val="000154A5"/>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xl97">
    <w:name w:val="xl97"/>
    <w:basedOn w:val="Normal"/>
    <w:rsid w:val="000154A5"/>
    <w:pPr>
      <w:pBdr>
        <w:top w:val="single" w:sz="4" w:space="0" w:color="auto"/>
        <w:left w:val="single" w:sz="4" w:space="0" w:color="auto"/>
        <w:bottom w:val="single" w:sz="4" w:space="0" w:color="auto"/>
        <w:right w:val="single" w:sz="4" w:space="0" w:color="auto"/>
      </w:pBdr>
      <w:shd w:val="clear" w:color="EAF1FB" w:fill="EAF1FB"/>
      <w:spacing w:before="100" w:beforeAutospacing="1" w:after="100" w:afterAutospacing="1" w:line="240" w:lineRule="auto"/>
      <w:jc w:val="right"/>
      <w:textAlignment w:val="center"/>
    </w:pPr>
    <w:rPr>
      <w:rFonts w:ascii="Microsoft Sans Serif" w:eastAsia="Times New Roman" w:hAnsi="Microsoft Sans Serif" w:cs="Microsoft Sans Serif"/>
      <w:color w:val="000000"/>
      <w:sz w:val="17"/>
      <w:szCs w:val="17"/>
      <w:lang w:eastAsia="en-GB"/>
    </w:rPr>
  </w:style>
  <w:style w:type="paragraph" w:customStyle="1" w:styleId="xl98">
    <w:name w:val="xl98"/>
    <w:basedOn w:val="Normal"/>
    <w:rsid w:val="000154A5"/>
    <w:pPr>
      <w:pBdr>
        <w:top w:val="single" w:sz="4" w:space="0" w:color="auto"/>
        <w:left w:val="single" w:sz="4" w:space="0" w:color="auto"/>
        <w:bottom w:val="single" w:sz="4" w:space="0" w:color="auto"/>
        <w:right w:val="single" w:sz="4" w:space="0" w:color="auto"/>
      </w:pBdr>
      <w:shd w:val="clear" w:color="000000" w:fill="EAF1FB"/>
      <w:spacing w:before="100" w:beforeAutospacing="1" w:after="100" w:afterAutospacing="1" w:line="240" w:lineRule="auto"/>
      <w:jc w:val="center"/>
      <w:textAlignment w:val="center"/>
    </w:pPr>
    <w:rPr>
      <w:rFonts w:ascii="Calibri Light" w:eastAsia="Times New Roman" w:hAnsi="Calibri Light" w:cs="Calibri Light"/>
      <w:b/>
      <w:bCs/>
      <w:color w:val="000000"/>
      <w:sz w:val="16"/>
      <w:szCs w:val="16"/>
      <w:lang w:eastAsia="en-GB"/>
    </w:rPr>
  </w:style>
  <w:style w:type="table" w:customStyle="1" w:styleId="PlainTable51">
    <w:name w:val="Plain Table 51"/>
    <w:basedOn w:val="TableNormal"/>
    <w:uiPriority w:val="45"/>
    <w:rsid w:val="00DB34B1"/>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0C7A7C"/>
    <w:rPr>
      <w:color w:val="605E5C"/>
      <w:shd w:val="clear" w:color="auto" w:fill="E1DFDD"/>
    </w:rPr>
  </w:style>
  <w:style w:type="character" w:styleId="PlaceholderText">
    <w:name w:val="Placeholder Text"/>
    <w:basedOn w:val="DefaultParagraphFont"/>
    <w:uiPriority w:val="99"/>
    <w:semiHidden/>
    <w:rsid w:val="005126F3"/>
    <w:rPr>
      <w:color w:val="808080"/>
    </w:rPr>
  </w:style>
  <w:style w:type="character" w:customStyle="1" w:styleId="CommentSubjectChar1">
    <w:name w:val="Comment Subject Char1"/>
    <w:basedOn w:val="CommentTextChar"/>
    <w:uiPriority w:val="99"/>
    <w:semiHidden/>
    <w:rsid w:val="00877ABD"/>
    <w:rPr>
      <w:rFonts w:ascii="Times New Roman" w:eastAsia="Times New Roman" w:hAnsi="Times New Roman" w:cs="Times New Roman"/>
      <w:b/>
      <w:bCs/>
      <w:sz w:val="20"/>
      <w:szCs w:val="20"/>
      <w:lang w:val="en-GB"/>
    </w:rPr>
  </w:style>
  <w:style w:type="character" w:customStyle="1" w:styleId="1">
    <w:name w:val="Ανεπίλυτη αναφορά1"/>
    <w:basedOn w:val="DefaultParagraphFont"/>
    <w:uiPriority w:val="99"/>
    <w:semiHidden/>
    <w:unhideWhenUsed/>
    <w:rsid w:val="00C2741B"/>
    <w:rPr>
      <w:color w:val="605E5C"/>
      <w:shd w:val="clear" w:color="auto" w:fill="E1DFDD"/>
    </w:rPr>
  </w:style>
  <w:style w:type="paragraph" w:styleId="HTMLPreformatted">
    <w:name w:val="HTML Preformatted"/>
    <w:basedOn w:val="Normal"/>
    <w:link w:val="HTMLPreformattedChar"/>
    <w:uiPriority w:val="99"/>
    <w:semiHidden/>
    <w:unhideWhenUsed/>
    <w:rsid w:val="00F3268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32687"/>
    <w:rPr>
      <w:rFonts w:ascii="Consolas" w:hAnsi="Consolas"/>
      <w:sz w:val="20"/>
      <w:szCs w:val="20"/>
    </w:rPr>
  </w:style>
  <w:style w:type="character" w:customStyle="1" w:styleId="cf01">
    <w:name w:val="cf01"/>
    <w:basedOn w:val="DefaultParagraphFont"/>
    <w:rsid w:val="009479C7"/>
    <w:rPr>
      <w:rFonts w:ascii="Segoe UI" w:hAnsi="Segoe UI" w:cs="Segoe UI" w:hint="default"/>
      <w:sz w:val="18"/>
      <w:szCs w:val="18"/>
    </w:rPr>
  </w:style>
  <w:style w:type="paragraph" w:styleId="NormalWeb">
    <w:name w:val="Normal (Web)"/>
    <w:basedOn w:val="Normal"/>
    <w:uiPriority w:val="99"/>
    <w:unhideWhenUsed/>
    <w:rsid w:val="005107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C5178"/>
    <w:rPr>
      <w:color w:val="605E5C"/>
      <w:shd w:val="clear" w:color="auto" w:fill="E1DFDD"/>
    </w:rPr>
  </w:style>
  <w:style w:type="character" w:customStyle="1" w:styleId="cf11">
    <w:name w:val="cf11"/>
    <w:basedOn w:val="DefaultParagraphFont"/>
    <w:rsid w:val="00AC5178"/>
    <w:rPr>
      <w:rFonts w:ascii="Segoe UI" w:hAnsi="Segoe UI" w:cs="Segoe UI" w:hint="default"/>
      <w:sz w:val="18"/>
      <w:szCs w:val="18"/>
    </w:rPr>
  </w:style>
  <w:style w:type="paragraph" w:customStyle="1" w:styleId="pf0">
    <w:name w:val="pf0"/>
    <w:basedOn w:val="Normal"/>
    <w:rsid w:val="00AC5178"/>
    <w:pPr>
      <w:spacing w:before="100" w:beforeAutospacing="1" w:after="100" w:afterAutospacing="1" w:line="240" w:lineRule="auto"/>
    </w:pPr>
    <w:rPr>
      <w:rFonts w:ascii="Times New Roman" w:eastAsia="Times New Roman" w:hAnsi="Times New Roman" w:cs="Times New Roman"/>
      <w:sz w:val="24"/>
      <w:szCs w:val="24"/>
      <w:lang w:val="el-GR" w:eastAsia="el-GR" w:bidi="he-IL"/>
    </w:rPr>
  </w:style>
  <w:style w:type="character" w:customStyle="1" w:styleId="cf21">
    <w:name w:val="cf21"/>
    <w:basedOn w:val="DefaultParagraphFont"/>
    <w:rsid w:val="00AC5178"/>
    <w:rPr>
      <w:rFonts w:ascii="Segoe UI" w:hAnsi="Segoe UI" w:cs="Segoe UI" w:hint="default"/>
      <w:sz w:val="18"/>
      <w:szCs w:val="18"/>
    </w:rPr>
  </w:style>
  <w:style w:type="character" w:customStyle="1" w:styleId="cf31">
    <w:name w:val="cf31"/>
    <w:basedOn w:val="DefaultParagraphFont"/>
    <w:rsid w:val="00AC5178"/>
    <w:rPr>
      <w:rFonts w:ascii="Segoe UI" w:hAnsi="Segoe UI" w:cs="Segoe UI" w:hint="default"/>
      <w:sz w:val="18"/>
      <w:szCs w:val="18"/>
      <w:u w:val="single"/>
    </w:rPr>
  </w:style>
  <w:style w:type="character" w:customStyle="1" w:styleId="cf41">
    <w:name w:val="cf41"/>
    <w:basedOn w:val="DefaultParagraphFont"/>
    <w:rsid w:val="00AC5178"/>
    <w:rPr>
      <w:rFonts w:ascii="Segoe UI" w:hAnsi="Segoe UI" w:cs="Segoe UI" w:hint="default"/>
      <w:sz w:val="18"/>
      <w:szCs w:val="18"/>
    </w:rPr>
  </w:style>
  <w:style w:type="character" w:customStyle="1" w:styleId="cf51">
    <w:name w:val="cf51"/>
    <w:basedOn w:val="DefaultParagraphFont"/>
    <w:rsid w:val="00AC5178"/>
    <w:rPr>
      <w:rFonts w:ascii="Segoe UI" w:hAnsi="Segoe UI" w:cs="Segoe UI" w:hint="default"/>
      <w:b/>
      <w:bCs/>
      <w:sz w:val="18"/>
      <w:szCs w:val="18"/>
    </w:rPr>
  </w:style>
  <w:style w:type="character" w:customStyle="1" w:styleId="cf61">
    <w:name w:val="cf61"/>
    <w:basedOn w:val="DefaultParagraphFont"/>
    <w:rsid w:val="00AC5178"/>
    <w:rPr>
      <w:rFonts w:ascii="Segoe UI" w:hAnsi="Segoe UI" w:cs="Segoe UI" w:hint="default"/>
      <w:b/>
      <w:bCs/>
      <w:sz w:val="18"/>
      <w:szCs w:val="18"/>
    </w:rPr>
  </w:style>
  <w:style w:type="character" w:customStyle="1" w:styleId="cf71">
    <w:name w:val="cf71"/>
    <w:basedOn w:val="DefaultParagraphFont"/>
    <w:rsid w:val="00AC5178"/>
    <w:rPr>
      <w:rFonts w:ascii="Segoe UI" w:hAnsi="Segoe UI" w:cs="Segoe UI" w:hint="default"/>
      <w:color w:val="212121"/>
      <w:sz w:val="18"/>
      <w:szCs w:val="18"/>
      <w:shd w:val="clear" w:color="auto" w:fill="FFFFFF"/>
    </w:rPr>
  </w:style>
  <w:style w:type="paragraph" w:styleId="PlainText">
    <w:name w:val="Plain Text"/>
    <w:basedOn w:val="Normal"/>
    <w:link w:val="PlainTextChar"/>
    <w:uiPriority w:val="99"/>
    <w:semiHidden/>
    <w:unhideWhenUsed/>
    <w:rsid w:val="00D31D50"/>
    <w:pPr>
      <w:spacing w:after="0" w:line="240" w:lineRule="auto"/>
    </w:pPr>
    <w:rPr>
      <w:rFonts w:ascii="Calibri" w:hAnsi="Calibri"/>
      <w:szCs w:val="21"/>
      <w:lang w:val="el-GR" w:bidi="he-IL"/>
    </w:rPr>
  </w:style>
  <w:style w:type="character" w:customStyle="1" w:styleId="PlainTextChar">
    <w:name w:val="Plain Text Char"/>
    <w:basedOn w:val="DefaultParagraphFont"/>
    <w:link w:val="PlainText"/>
    <w:uiPriority w:val="99"/>
    <w:semiHidden/>
    <w:rsid w:val="00D31D50"/>
    <w:rPr>
      <w:rFonts w:ascii="Calibri" w:hAnsi="Calibri"/>
      <w:szCs w:val="21"/>
      <w:lang w:val="el-GR" w:bidi="he-IL"/>
    </w:rPr>
  </w:style>
  <w:style w:type="paragraph" w:styleId="EndnoteText">
    <w:name w:val="endnote text"/>
    <w:basedOn w:val="Normal"/>
    <w:link w:val="EndnoteTextChar"/>
    <w:uiPriority w:val="99"/>
    <w:semiHidden/>
    <w:unhideWhenUsed/>
    <w:rsid w:val="00230E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0EDE"/>
    <w:rPr>
      <w:sz w:val="20"/>
      <w:szCs w:val="20"/>
    </w:rPr>
  </w:style>
  <w:style w:type="character" w:styleId="EndnoteReference">
    <w:name w:val="endnote reference"/>
    <w:basedOn w:val="DefaultParagraphFont"/>
    <w:uiPriority w:val="99"/>
    <w:semiHidden/>
    <w:unhideWhenUsed/>
    <w:rsid w:val="00230EDE"/>
    <w:rPr>
      <w:vertAlign w:val="superscript"/>
    </w:rPr>
  </w:style>
  <w:style w:type="character" w:customStyle="1" w:styleId="UnresolvedMention4">
    <w:name w:val="Unresolved Mention4"/>
    <w:basedOn w:val="DefaultParagraphFont"/>
    <w:uiPriority w:val="99"/>
    <w:semiHidden/>
    <w:unhideWhenUsed/>
    <w:rsid w:val="00464AF0"/>
    <w:rPr>
      <w:color w:val="605E5C"/>
      <w:shd w:val="clear" w:color="auto" w:fill="E1DFDD"/>
    </w:rPr>
  </w:style>
  <w:style w:type="table" w:customStyle="1" w:styleId="TableGrid1">
    <w:name w:val="Table Grid1"/>
    <w:basedOn w:val="TableNormal"/>
    <w:next w:val="TableGrid"/>
    <w:uiPriority w:val="39"/>
    <w:rsid w:val="00166900"/>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C0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9678">
      <w:bodyDiv w:val="1"/>
      <w:marLeft w:val="0"/>
      <w:marRight w:val="0"/>
      <w:marTop w:val="0"/>
      <w:marBottom w:val="0"/>
      <w:divBdr>
        <w:top w:val="none" w:sz="0" w:space="0" w:color="auto"/>
        <w:left w:val="none" w:sz="0" w:space="0" w:color="auto"/>
        <w:bottom w:val="none" w:sz="0" w:space="0" w:color="auto"/>
        <w:right w:val="none" w:sz="0" w:space="0" w:color="auto"/>
      </w:divBdr>
    </w:div>
    <w:div w:id="30615662">
      <w:bodyDiv w:val="1"/>
      <w:marLeft w:val="0"/>
      <w:marRight w:val="0"/>
      <w:marTop w:val="0"/>
      <w:marBottom w:val="0"/>
      <w:divBdr>
        <w:top w:val="none" w:sz="0" w:space="0" w:color="auto"/>
        <w:left w:val="none" w:sz="0" w:space="0" w:color="auto"/>
        <w:bottom w:val="none" w:sz="0" w:space="0" w:color="auto"/>
        <w:right w:val="none" w:sz="0" w:space="0" w:color="auto"/>
      </w:divBdr>
    </w:div>
    <w:div w:id="32655861">
      <w:bodyDiv w:val="1"/>
      <w:marLeft w:val="0"/>
      <w:marRight w:val="0"/>
      <w:marTop w:val="0"/>
      <w:marBottom w:val="0"/>
      <w:divBdr>
        <w:top w:val="none" w:sz="0" w:space="0" w:color="auto"/>
        <w:left w:val="none" w:sz="0" w:space="0" w:color="auto"/>
        <w:bottom w:val="none" w:sz="0" w:space="0" w:color="auto"/>
        <w:right w:val="none" w:sz="0" w:space="0" w:color="auto"/>
      </w:divBdr>
    </w:div>
    <w:div w:id="42487418">
      <w:bodyDiv w:val="1"/>
      <w:marLeft w:val="0"/>
      <w:marRight w:val="0"/>
      <w:marTop w:val="0"/>
      <w:marBottom w:val="0"/>
      <w:divBdr>
        <w:top w:val="none" w:sz="0" w:space="0" w:color="auto"/>
        <w:left w:val="none" w:sz="0" w:space="0" w:color="auto"/>
        <w:bottom w:val="none" w:sz="0" w:space="0" w:color="auto"/>
        <w:right w:val="none" w:sz="0" w:space="0" w:color="auto"/>
      </w:divBdr>
    </w:div>
    <w:div w:id="42796153">
      <w:bodyDiv w:val="1"/>
      <w:marLeft w:val="0"/>
      <w:marRight w:val="0"/>
      <w:marTop w:val="0"/>
      <w:marBottom w:val="0"/>
      <w:divBdr>
        <w:top w:val="none" w:sz="0" w:space="0" w:color="auto"/>
        <w:left w:val="none" w:sz="0" w:space="0" w:color="auto"/>
        <w:bottom w:val="none" w:sz="0" w:space="0" w:color="auto"/>
        <w:right w:val="none" w:sz="0" w:space="0" w:color="auto"/>
      </w:divBdr>
    </w:div>
    <w:div w:id="47463159">
      <w:bodyDiv w:val="1"/>
      <w:marLeft w:val="0"/>
      <w:marRight w:val="0"/>
      <w:marTop w:val="0"/>
      <w:marBottom w:val="0"/>
      <w:divBdr>
        <w:top w:val="none" w:sz="0" w:space="0" w:color="auto"/>
        <w:left w:val="none" w:sz="0" w:space="0" w:color="auto"/>
        <w:bottom w:val="none" w:sz="0" w:space="0" w:color="auto"/>
        <w:right w:val="none" w:sz="0" w:space="0" w:color="auto"/>
      </w:divBdr>
    </w:div>
    <w:div w:id="53552034">
      <w:bodyDiv w:val="1"/>
      <w:marLeft w:val="0"/>
      <w:marRight w:val="0"/>
      <w:marTop w:val="0"/>
      <w:marBottom w:val="0"/>
      <w:divBdr>
        <w:top w:val="none" w:sz="0" w:space="0" w:color="auto"/>
        <w:left w:val="none" w:sz="0" w:space="0" w:color="auto"/>
        <w:bottom w:val="none" w:sz="0" w:space="0" w:color="auto"/>
        <w:right w:val="none" w:sz="0" w:space="0" w:color="auto"/>
      </w:divBdr>
    </w:div>
    <w:div w:id="61415266">
      <w:bodyDiv w:val="1"/>
      <w:marLeft w:val="0"/>
      <w:marRight w:val="0"/>
      <w:marTop w:val="0"/>
      <w:marBottom w:val="0"/>
      <w:divBdr>
        <w:top w:val="none" w:sz="0" w:space="0" w:color="auto"/>
        <w:left w:val="none" w:sz="0" w:space="0" w:color="auto"/>
        <w:bottom w:val="none" w:sz="0" w:space="0" w:color="auto"/>
        <w:right w:val="none" w:sz="0" w:space="0" w:color="auto"/>
      </w:divBdr>
    </w:div>
    <w:div w:id="64300275">
      <w:bodyDiv w:val="1"/>
      <w:marLeft w:val="0"/>
      <w:marRight w:val="0"/>
      <w:marTop w:val="0"/>
      <w:marBottom w:val="0"/>
      <w:divBdr>
        <w:top w:val="none" w:sz="0" w:space="0" w:color="auto"/>
        <w:left w:val="none" w:sz="0" w:space="0" w:color="auto"/>
        <w:bottom w:val="none" w:sz="0" w:space="0" w:color="auto"/>
        <w:right w:val="none" w:sz="0" w:space="0" w:color="auto"/>
      </w:divBdr>
    </w:div>
    <w:div w:id="64692380">
      <w:bodyDiv w:val="1"/>
      <w:marLeft w:val="0"/>
      <w:marRight w:val="0"/>
      <w:marTop w:val="0"/>
      <w:marBottom w:val="0"/>
      <w:divBdr>
        <w:top w:val="none" w:sz="0" w:space="0" w:color="auto"/>
        <w:left w:val="none" w:sz="0" w:space="0" w:color="auto"/>
        <w:bottom w:val="none" w:sz="0" w:space="0" w:color="auto"/>
        <w:right w:val="none" w:sz="0" w:space="0" w:color="auto"/>
      </w:divBdr>
    </w:div>
    <w:div w:id="69542024">
      <w:bodyDiv w:val="1"/>
      <w:marLeft w:val="0"/>
      <w:marRight w:val="0"/>
      <w:marTop w:val="0"/>
      <w:marBottom w:val="0"/>
      <w:divBdr>
        <w:top w:val="none" w:sz="0" w:space="0" w:color="auto"/>
        <w:left w:val="none" w:sz="0" w:space="0" w:color="auto"/>
        <w:bottom w:val="none" w:sz="0" w:space="0" w:color="auto"/>
        <w:right w:val="none" w:sz="0" w:space="0" w:color="auto"/>
      </w:divBdr>
    </w:div>
    <w:div w:id="69618325">
      <w:bodyDiv w:val="1"/>
      <w:marLeft w:val="0"/>
      <w:marRight w:val="0"/>
      <w:marTop w:val="0"/>
      <w:marBottom w:val="0"/>
      <w:divBdr>
        <w:top w:val="none" w:sz="0" w:space="0" w:color="auto"/>
        <w:left w:val="none" w:sz="0" w:space="0" w:color="auto"/>
        <w:bottom w:val="none" w:sz="0" w:space="0" w:color="auto"/>
        <w:right w:val="none" w:sz="0" w:space="0" w:color="auto"/>
      </w:divBdr>
    </w:div>
    <w:div w:id="72360416">
      <w:bodyDiv w:val="1"/>
      <w:marLeft w:val="0"/>
      <w:marRight w:val="0"/>
      <w:marTop w:val="0"/>
      <w:marBottom w:val="0"/>
      <w:divBdr>
        <w:top w:val="none" w:sz="0" w:space="0" w:color="auto"/>
        <w:left w:val="none" w:sz="0" w:space="0" w:color="auto"/>
        <w:bottom w:val="none" w:sz="0" w:space="0" w:color="auto"/>
        <w:right w:val="none" w:sz="0" w:space="0" w:color="auto"/>
      </w:divBdr>
    </w:div>
    <w:div w:id="72943016">
      <w:bodyDiv w:val="1"/>
      <w:marLeft w:val="0"/>
      <w:marRight w:val="0"/>
      <w:marTop w:val="0"/>
      <w:marBottom w:val="0"/>
      <w:divBdr>
        <w:top w:val="none" w:sz="0" w:space="0" w:color="auto"/>
        <w:left w:val="none" w:sz="0" w:space="0" w:color="auto"/>
        <w:bottom w:val="none" w:sz="0" w:space="0" w:color="auto"/>
        <w:right w:val="none" w:sz="0" w:space="0" w:color="auto"/>
      </w:divBdr>
    </w:div>
    <w:div w:id="74515281">
      <w:bodyDiv w:val="1"/>
      <w:marLeft w:val="0"/>
      <w:marRight w:val="0"/>
      <w:marTop w:val="0"/>
      <w:marBottom w:val="0"/>
      <w:divBdr>
        <w:top w:val="none" w:sz="0" w:space="0" w:color="auto"/>
        <w:left w:val="none" w:sz="0" w:space="0" w:color="auto"/>
        <w:bottom w:val="none" w:sz="0" w:space="0" w:color="auto"/>
        <w:right w:val="none" w:sz="0" w:space="0" w:color="auto"/>
      </w:divBdr>
    </w:div>
    <w:div w:id="76681733">
      <w:bodyDiv w:val="1"/>
      <w:marLeft w:val="0"/>
      <w:marRight w:val="0"/>
      <w:marTop w:val="0"/>
      <w:marBottom w:val="0"/>
      <w:divBdr>
        <w:top w:val="none" w:sz="0" w:space="0" w:color="auto"/>
        <w:left w:val="none" w:sz="0" w:space="0" w:color="auto"/>
        <w:bottom w:val="none" w:sz="0" w:space="0" w:color="auto"/>
        <w:right w:val="none" w:sz="0" w:space="0" w:color="auto"/>
      </w:divBdr>
    </w:div>
    <w:div w:id="83035495">
      <w:bodyDiv w:val="1"/>
      <w:marLeft w:val="0"/>
      <w:marRight w:val="0"/>
      <w:marTop w:val="0"/>
      <w:marBottom w:val="0"/>
      <w:divBdr>
        <w:top w:val="none" w:sz="0" w:space="0" w:color="auto"/>
        <w:left w:val="none" w:sz="0" w:space="0" w:color="auto"/>
        <w:bottom w:val="none" w:sz="0" w:space="0" w:color="auto"/>
        <w:right w:val="none" w:sz="0" w:space="0" w:color="auto"/>
      </w:divBdr>
    </w:div>
    <w:div w:id="98916666">
      <w:bodyDiv w:val="1"/>
      <w:marLeft w:val="0"/>
      <w:marRight w:val="0"/>
      <w:marTop w:val="0"/>
      <w:marBottom w:val="0"/>
      <w:divBdr>
        <w:top w:val="none" w:sz="0" w:space="0" w:color="auto"/>
        <w:left w:val="none" w:sz="0" w:space="0" w:color="auto"/>
        <w:bottom w:val="none" w:sz="0" w:space="0" w:color="auto"/>
        <w:right w:val="none" w:sz="0" w:space="0" w:color="auto"/>
      </w:divBdr>
    </w:div>
    <w:div w:id="105733543">
      <w:bodyDiv w:val="1"/>
      <w:marLeft w:val="0"/>
      <w:marRight w:val="0"/>
      <w:marTop w:val="0"/>
      <w:marBottom w:val="0"/>
      <w:divBdr>
        <w:top w:val="none" w:sz="0" w:space="0" w:color="auto"/>
        <w:left w:val="none" w:sz="0" w:space="0" w:color="auto"/>
        <w:bottom w:val="none" w:sz="0" w:space="0" w:color="auto"/>
        <w:right w:val="none" w:sz="0" w:space="0" w:color="auto"/>
      </w:divBdr>
    </w:div>
    <w:div w:id="106045358">
      <w:bodyDiv w:val="1"/>
      <w:marLeft w:val="0"/>
      <w:marRight w:val="0"/>
      <w:marTop w:val="0"/>
      <w:marBottom w:val="0"/>
      <w:divBdr>
        <w:top w:val="none" w:sz="0" w:space="0" w:color="auto"/>
        <w:left w:val="none" w:sz="0" w:space="0" w:color="auto"/>
        <w:bottom w:val="none" w:sz="0" w:space="0" w:color="auto"/>
        <w:right w:val="none" w:sz="0" w:space="0" w:color="auto"/>
      </w:divBdr>
    </w:div>
    <w:div w:id="113404718">
      <w:bodyDiv w:val="1"/>
      <w:marLeft w:val="0"/>
      <w:marRight w:val="0"/>
      <w:marTop w:val="0"/>
      <w:marBottom w:val="0"/>
      <w:divBdr>
        <w:top w:val="none" w:sz="0" w:space="0" w:color="auto"/>
        <w:left w:val="none" w:sz="0" w:space="0" w:color="auto"/>
        <w:bottom w:val="none" w:sz="0" w:space="0" w:color="auto"/>
        <w:right w:val="none" w:sz="0" w:space="0" w:color="auto"/>
      </w:divBdr>
    </w:div>
    <w:div w:id="123305975">
      <w:bodyDiv w:val="1"/>
      <w:marLeft w:val="0"/>
      <w:marRight w:val="0"/>
      <w:marTop w:val="0"/>
      <w:marBottom w:val="0"/>
      <w:divBdr>
        <w:top w:val="none" w:sz="0" w:space="0" w:color="auto"/>
        <w:left w:val="none" w:sz="0" w:space="0" w:color="auto"/>
        <w:bottom w:val="none" w:sz="0" w:space="0" w:color="auto"/>
        <w:right w:val="none" w:sz="0" w:space="0" w:color="auto"/>
      </w:divBdr>
    </w:div>
    <w:div w:id="127090137">
      <w:bodyDiv w:val="1"/>
      <w:marLeft w:val="0"/>
      <w:marRight w:val="0"/>
      <w:marTop w:val="0"/>
      <w:marBottom w:val="0"/>
      <w:divBdr>
        <w:top w:val="none" w:sz="0" w:space="0" w:color="auto"/>
        <w:left w:val="none" w:sz="0" w:space="0" w:color="auto"/>
        <w:bottom w:val="none" w:sz="0" w:space="0" w:color="auto"/>
        <w:right w:val="none" w:sz="0" w:space="0" w:color="auto"/>
      </w:divBdr>
    </w:div>
    <w:div w:id="139347525">
      <w:bodyDiv w:val="1"/>
      <w:marLeft w:val="0"/>
      <w:marRight w:val="0"/>
      <w:marTop w:val="0"/>
      <w:marBottom w:val="0"/>
      <w:divBdr>
        <w:top w:val="none" w:sz="0" w:space="0" w:color="auto"/>
        <w:left w:val="none" w:sz="0" w:space="0" w:color="auto"/>
        <w:bottom w:val="none" w:sz="0" w:space="0" w:color="auto"/>
        <w:right w:val="none" w:sz="0" w:space="0" w:color="auto"/>
      </w:divBdr>
    </w:div>
    <w:div w:id="149489247">
      <w:bodyDiv w:val="1"/>
      <w:marLeft w:val="0"/>
      <w:marRight w:val="0"/>
      <w:marTop w:val="0"/>
      <w:marBottom w:val="0"/>
      <w:divBdr>
        <w:top w:val="none" w:sz="0" w:space="0" w:color="auto"/>
        <w:left w:val="none" w:sz="0" w:space="0" w:color="auto"/>
        <w:bottom w:val="none" w:sz="0" w:space="0" w:color="auto"/>
        <w:right w:val="none" w:sz="0" w:space="0" w:color="auto"/>
      </w:divBdr>
    </w:div>
    <w:div w:id="162597236">
      <w:bodyDiv w:val="1"/>
      <w:marLeft w:val="0"/>
      <w:marRight w:val="0"/>
      <w:marTop w:val="0"/>
      <w:marBottom w:val="0"/>
      <w:divBdr>
        <w:top w:val="none" w:sz="0" w:space="0" w:color="auto"/>
        <w:left w:val="none" w:sz="0" w:space="0" w:color="auto"/>
        <w:bottom w:val="none" w:sz="0" w:space="0" w:color="auto"/>
        <w:right w:val="none" w:sz="0" w:space="0" w:color="auto"/>
      </w:divBdr>
    </w:div>
    <w:div w:id="175852577">
      <w:bodyDiv w:val="1"/>
      <w:marLeft w:val="0"/>
      <w:marRight w:val="0"/>
      <w:marTop w:val="0"/>
      <w:marBottom w:val="0"/>
      <w:divBdr>
        <w:top w:val="none" w:sz="0" w:space="0" w:color="auto"/>
        <w:left w:val="none" w:sz="0" w:space="0" w:color="auto"/>
        <w:bottom w:val="none" w:sz="0" w:space="0" w:color="auto"/>
        <w:right w:val="none" w:sz="0" w:space="0" w:color="auto"/>
      </w:divBdr>
    </w:div>
    <w:div w:id="178009387">
      <w:bodyDiv w:val="1"/>
      <w:marLeft w:val="0"/>
      <w:marRight w:val="0"/>
      <w:marTop w:val="0"/>
      <w:marBottom w:val="0"/>
      <w:divBdr>
        <w:top w:val="none" w:sz="0" w:space="0" w:color="auto"/>
        <w:left w:val="none" w:sz="0" w:space="0" w:color="auto"/>
        <w:bottom w:val="none" w:sz="0" w:space="0" w:color="auto"/>
        <w:right w:val="none" w:sz="0" w:space="0" w:color="auto"/>
      </w:divBdr>
    </w:div>
    <w:div w:id="179970631">
      <w:bodyDiv w:val="1"/>
      <w:marLeft w:val="0"/>
      <w:marRight w:val="0"/>
      <w:marTop w:val="0"/>
      <w:marBottom w:val="0"/>
      <w:divBdr>
        <w:top w:val="none" w:sz="0" w:space="0" w:color="auto"/>
        <w:left w:val="none" w:sz="0" w:space="0" w:color="auto"/>
        <w:bottom w:val="none" w:sz="0" w:space="0" w:color="auto"/>
        <w:right w:val="none" w:sz="0" w:space="0" w:color="auto"/>
      </w:divBdr>
    </w:div>
    <w:div w:id="181168666">
      <w:bodyDiv w:val="1"/>
      <w:marLeft w:val="0"/>
      <w:marRight w:val="0"/>
      <w:marTop w:val="0"/>
      <w:marBottom w:val="0"/>
      <w:divBdr>
        <w:top w:val="none" w:sz="0" w:space="0" w:color="auto"/>
        <w:left w:val="none" w:sz="0" w:space="0" w:color="auto"/>
        <w:bottom w:val="none" w:sz="0" w:space="0" w:color="auto"/>
        <w:right w:val="none" w:sz="0" w:space="0" w:color="auto"/>
      </w:divBdr>
    </w:div>
    <w:div w:id="189295369">
      <w:bodyDiv w:val="1"/>
      <w:marLeft w:val="0"/>
      <w:marRight w:val="0"/>
      <w:marTop w:val="0"/>
      <w:marBottom w:val="0"/>
      <w:divBdr>
        <w:top w:val="none" w:sz="0" w:space="0" w:color="auto"/>
        <w:left w:val="none" w:sz="0" w:space="0" w:color="auto"/>
        <w:bottom w:val="none" w:sz="0" w:space="0" w:color="auto"/>
        <w:right w:val="none" w:sz="0" w:space="0" w:color="auto"/>
      </w:divBdr>
    </w:div>
    <w:div w:id="193228025">
      <w:bodyDiv w:val="1"/>
      <w:marLeft w:val="0"/>
      <w:marRight w:val="0"/>
      <w:marTop w:val="0"/>
      <w:marBottom w:val="0"/>
      <w:divBdr>
        <w:top w:val="none" w:sz="0" w:space="0" w:color="auto"/>
        <w:left w:val="none" w:sz="0" w:space="0" w:color="auto"/>
        <w:bottom w:val="none" w:sz="0" w:space="0" w:color="auto"/>
        <w:right w:val="none" w:sz="0" w:space="0" w:color="auto"/>
      </w:divBdr>
    </w:div>
    <w:div w:id="205527869">
      <w:bodyDiv w:val="1"/>
      <w:marLeft w:val="0"/>
      <w:marRight w:val="0"/>
      <w:marTop w:val="0"/>
      <w:marBottom w:val="0"/>
      <w:divBdr>
        <w:top w:val="none" w:sz="0" w:space="0" w:color="auto"/>
        <w:left w:val="none" w:sz="0" w:space="0" w:color="auto"/>
        <w:bottom w:val="none" w:sz="0" w:space="0" w:color="auto"/>
        <w:right w:val="none" w:sz="0" w:space="0" w:color="auto"/>
      </w:divBdr>
    </w:div>
    <w:div w:id="239288613">
      <w:bodyDiv w:val="1"/>
      <w:marLeft w:val="0"/>
      <w:marRight w:val="0"/>
      <w:marTop w:val="0"/>
      <w:marBottom w:val="0"/>
      <w:divBdr>
        <w:top w:val="none" w:sz="0" w:space="0" w:color="auto"/>
        <w:left w:val="none" w:sz="0" w:space="0" w:color="auto"/>
        <w:bottom w:val="none" w:sz="0" w:space="0" w:color="auto"/>
        <w:right w:val="none" w:sz="0" w:space="0" w:color="auto"/>
      </w:divBdr>
    </w:div>
    <w:div w:id="242688276">
      <w:bodyDiv w:val="1"/>
      <w:marLeft w:val="0"/>
      <w:marRight w:val="0"/>
      <w:marTop w:val="0"/>
      <w:marBottom w:val="0"/>
      <w:divBdr>
        <w:top w:val="none" w:sz="0" w:space="0" w:color="auto"/>
        <w:left w:val="none" w:sz="0" w:space="0" w:color="auto"/>
        <w:bottom w:val="none" w:sz="0" w:space="0" w:color="auto"/>
        <w:right w:val="none" w:sz="0" w:space="0" w:color="auto"/>
      </w:divBdr>
    </w:div>
    <w:div w:id="244187584">
      <w:bodyDiv w:val="1"/>
      <w:marLeft w:val="0"/>
      <w:marRight w:val="0"/>
      <w:marTop w:val="0"/>
      <w:marBottom w:val="0"/>
      <w:divBdr>
        <w:top w:val="none" w:sz="0" w:space="0" w:color="auto"/>
        <w:left w:val="none" w:sz="0" w:space="0" w:color="auto"/>
        <w:bottom w:val="none" w:sz="0" w:space="0" w:color="auto"/>
        <w:right w:val="none" w:sz="0" w:space="0" w:color="auto"/>
      </w:divBdr>
    </w:div>
    <w:div w:id="245847575">
      <w:bodyDiv w:val="1"/>
      <w:marLeft w:val="0"/>
      <w:marRight w:val="0"/>
      <w:marTop w:val="0"/>
      <w:marBottom w:val="0"/>
      <w:divBdr>
        <w:top w:val="none" w:sz="0" w:space="0" w:color="auto"/>
        <w:left w:val="none" w:sz="0" w:space="0" w:color="auto"/>
        <w:bottom w:val="none" w:sz="0" w:space="0" w:color="auto"/>
        <w:right w:val="none" w:sz="0" w:space="0" w:color="auto"/>
      </w:divBdr>
    </w:div>
    <w:div w:id="258952208">
      <w:bodyDiv w:val="1"/>
      <w:marLeft w:val="0"/>
      <w:marRight w:val="0"/>
      <w:marTop w:val="0"/>
      <w:marBottom w:val="0"/>
      <w:divBdr>
        <w:top w:val="none" w:sz="0" w:space="0" w:color="auto"/>
        <w:left w:val="none" w:sz="0" w:space="0" w:color="auto"/>
        <w:bottom w:val="none" w:sz="0" w:space="0" w:color="auto"/>
        <w:right w:val="none" w:sz="0" w:space="0" w:color="auto"/>
      </w:divBdr>
    </w:div>
    <w:div w:id="267661551">
      <w:bodyDiv w:val="1"/>
      <w:marLeft w:val="0"/>
      <w:marRight w:val="0"/>
      <w:marTop w:val="0"/>
      <w:marBottom w:val="0"/>
      <w:divBdr>
        <w:top w:val="none" w:sz="0" w:space="0" w:color="auto"/>
        <w:left w:val="none" w:sz="0" w:space="0" w:color="auto"/>
        <w:bottom w:val="none" w:sz="0" w:space="0" w:color="auto"/>
        <w:right w:val="none" w:sz="0" w:space="0" w:color="auto"/>
      </w:divBdr>
    </w:div>
    <w:div w:id="273251828">
      <w:bodyDiv w:val="1"/>
      <w:marLeft w:val="0"/>
      <w:marRight w:val="0"/>
      <w:marTop w:val="0"/>
      <w:marBottom w:val="0"/>
      <w:divBdr>
        <w:top w:val="none" w:sz="0" w:space="0" w:color="auto"/>
        <w:left w:val="none" w:sz="0" w:space="0" w:color="auto"/>
        <w:bottom w:val="none" w:sz="0" w:space="0" w:color="auto"/>
        <w:right w:val="none" w:sz="0" w:space="0" w:color="auto"/>
      </w:divBdr>
    </w:div>
    <w:div w:id="282615691">
      <w:bodyDiv w:val="1"/>
      <w:marLeft w:val="0"/>
      <w:marRight w:val="0"/>
      <w:marTop w:val="0"/>
      <w:marBottom w:val="0"/>
      <w:divBdr>
        <w:top w:val="none" w:sz="0" w:space="0" w:color="auto"/>
        <w:left w:val="none" w:sz="0" w:space="0" w:color="auto"/>
        <w:bottom w:val="none" w:sz="0" w:space="0" w:color="auto"/>
        <w:right w:val="none" w:sz="0" w:space="0" w:color="auto"/>
      </w:divBdr>
    </w:div>
    <w:div w:id="308633997">
      <w:bodyDiv w:val="1"/>
      <w:marLeft w:val="0"/>
      <w:marRight w:val="0"/>
      <w:marTop w:val="0"/>
      <w:marBottom w:val="0"/>
      <w:divBdr>
        <w:top w:val="none" w:sz="0" w:space="0" w:color="auto"/>
        <w:left w:val="none" w:sz="0" w:space="0" w:color="auto"/>
        <w:bottom w:val="none" w:sz="0" w:space="0" w:color="auto"/>
        <w:right w:val="none" w:sz="0" w:space="0" w:color="auto"/>
      </w:divBdr>
    </w:div>
    <w:div w:id="314915147">
      <w:bodyDiv w:val="1"/>
      <w:marLeft w:val="0"/>
      <w:marRight w:val="0"/>
      <w:marTop w:val="0"/>
      <w:marBottom w:val="0"/>
      <w:divBdr>
        <w:top w:val="none" w:sz="0" w:space="0" w:color="auto"/>
        <w:left w:val="none" w:sz="0" w:space="0" w:color="auto"/>
        <w:bottom w:val="none" w:sz="0" w:space="0" w:color="auto"/>
        <w:right w:val="none" w:sz="0" w:space="0" w:color="auto"/>
      </w:divBdr>
    </w:div>
    <w:div w:id="329674863">
      <w:bodyDiv w:val="1"/>
      <w:marLeft w:val="0"/>
      <w:marRight w:val="0"/>
      <w:marTop w:val="0"/>
      <w:marBottom w:val="0"/>
      <w:divBdr>
        <w:top w:val="none" w:sz="0" w:space="0" w:color="auto"/>
        <w:left w:val="none" w:sz="0" w:space="0" w:color="auto"/>
        <w:bottom w:val="none" w:sz="0" w:space="0" w:color="auto"/>
        <w:right w:val="none" w:sz="0" w:space="0" w:color="auto"/>
      </w:divBdr>
    </w:div>
    <w:div w:id="335422869">
      <w:bodyDiv w:val="1"/>
      <w:marLeft w:val="0"/>
      <w:marRight w:val="0"/>
      <w:marTop w:val="0"/>
      <w:marBottom w:val="0"/>
      <w:divBdr>
        <w:top w:val="none" w:sz="0" w:space="0" w:color="auto"/>
        <w:left w:val="none" w:sz="0" w:space="0" w:color="auto"/>
        <w:bottom w:val="none" w:sz="0" w:space="0" w:color="auto"/>
        <w:right w:val="none" w:sz="0" w:space="0" w:color="auto"/>
      </w:divBdr>
    </w:div>
    <w:div w:id="335773160">
      <w:bodyDiv w:val="1"/>
      <w:marLeft w:val="0"/>
      <w:marRight w:val="0"/>
      <w:marTop w:val="0"/>
      <w:marBottom w:val="0"/>
      <w:divBdr>
        <w:top w:val="none" w:sz="0" w:space="0" w:color="auto"/>
        <w:left w:val="none" w:sz="0" w:space="0" w:color="auto"/>
        <w:bottom w:val="none" w:sz="0" w:space="0" w:color="auto"/>
        <w:right w:val="none" w:sz="0" w:space="0" w:color="auto"/>
      </w:divBdr>
    </w:div>
    <w:div w:id="339240820">
      <w:bodyDiv w:val="1"/>
      <w:marLeft w:val="0"/>
      <w:marRight w:val="0"/>
      <w:marTop w:val="0"/>
      <w:marBottom w:val="0"/>
      <w:divBdr>
        <w:top w:val="none" w:sz="0" w:space="0" w:color="auto"/>
        <w:left w:val="none" w:sz="0" w:space="0" w:color="auto"/>
        <w:bottom w:val="none" w:sz="0" w:space="0" w:color="auto"/>
        <w:right w:val="none" w:sz="0" w:space="0" w:color="auto"/>
      </w:divBdr>
    </w:div>
    <w:div w:id="370956469">
      <w:bodyDiv w:val="1"/>
      <w:marLeft w:val="0"/>
      <w:marRight w:val="0"/>
      <w:marTop w:val="0"/>
      <w:marBottom w:val="0"/>
      <w:divBdr>
        <w:top w:val="none" w:sz="0" w:space="0" w:color="auto"/>
        <w:left w:val="none" w:sz="0" w:space="0" w:color="auto"/>
        <w:bottom w:val="none" w:sz="0" w:space="0" w:color="auto"/>
        <w:right w:val="none" w:sz="0" w:space="0" w:color="auto"/>
      </w:divBdr>
    </w:div>
    <w:div w:id="373970924">
      <w:bodyDiv w:val="1"/>
      <w:marLeft w:val="0"/>
      <w:marRight w:val="0"/>
      <w:marTop w:val="0"/>
      <w:marBottom w:val="0"/>
      <w:divBdr>
        <w:top w:val="none" w:sz="0" w:space="0" w:color="auto"/>
        <w:left w:val="none" w:sz="0" w:space="0" w:color="auto"/>
        <w:bottom w:val="none" w:sz="0" w:space="0" w:color="auto"/>
        <w:right w:val="none" w:sz="0" w:space="0" w:color="auto"/>
      </w:divBdr>
    </w:div>
    <w:div w:id="375278433">
      <w:bodyDiv w:val="1"/>
      <w:marLeft w:val="0"/>
      <w:marRight w:val="0"/>
      <w:marTop w:val="0"/>
      <w:marBottom w:val="0"/>
      <w:divBdr>
        <w:top w:val="none" w:sz="0" w:space="0" w:color="auto"/>
        <w:left w:val="none" w:sz="0" w:space="0" w:color="auto"/>
        <w:bottom w:val="none" w:sz="0" w:space="0" w:color="auto"/>
        <w:right w:val="none" w:sz="0" w:space="0" w:color="auto"/>
      </w:divBdr>
    </w:div>
    <w:div w:id="375741180">
      <w:bodyDiv w:val="1"/>
      <w:marLeft w:val="0"/>
      <w:marRight w:val="0"/>
      <w:marTop w:val="0"/>
      <w:marBottom w:val="0"/>
      <w:divBdr>
        <w:top w:val="none" w:sz="0" w:space="0" w:color="auto"/>
        <w:left w:val="none" w:sz="0" w:space="0" w:color="auto"/>
        <w:bottom w:val="none" w:sz="0" w:space="0" w:color="auto"/>
        <w:right w:val="none" w:sz="0" w:space="0" w:color="auto"/>
      </w:divBdr>
    </w:div>
    <w:div w:id="380177242">
      <w:bodyDiv w:val="1"/>
      <w:marLeft w:val="0"/>
      <w:marRight w:val="0"/>
      <w:marTop w:val="0"/>
      <w:marBottom w:val="0"/>
      <w:divBdr>
        <w:top w:val="none" w:sz="0" w:space="0" w:color="auto"/>
        <w:left w:val="none" w:sz="0" w:space="0" w:color="auto"/>
        <w:bottom w:val="none" w:sz="0" w:space="0" w:color="auto"/>
        <w:right w:val="none" w:sz="0" w:space="0" w:color="auto"/>
      </w:divBdr>
    </w:div>
    <w:div w:id="381635203">
      <w:bodyDiv w:val="1"/>
      <w:marLeft w:val="0"/>
      <w:marRight w:val="0"/>
      <w:marTop w:val="0"/>
      <w:marBottom w:val="0"/>
      <w:divBdr>
        <w:top w:val="none" w:sz="0" w:space="0" w:color="auto"/>
        <w:left w:val="none" w:sz="0" w:space="0" w:color="auto"/>
        <w:bottom w:val="none" w:sz="0" w:space="0" w:color="auto"/>
        <w:right w:val="none" w:sz="0" w:space="0" w:color="auto"/>
      </w:divBdr>
    </w:div>
    <w:div w:id="383725722">
      <w:bodyDiv w:val="1"/>
      <w:marLeft w:val="0"/>
      <w:marRight w:val="0"/>
      <w:marTop w:val="0"/>
      <w:marBottom w:val="0"/>
      <w:divBdr>
        <w:top w:val="none" w:sz="0" w:space="0" w:color="auto"/>
        <w:left w:val="none" w:sz="0" w:space="0" w:color="auto"/>
        <w:bottom w:val="none" w:sz="0" w:space="0" w:color="auto"/>
        <w:right w:val="none" w:sz="0" w:space="0" w:color="auto"/>
      </w:divBdr>
    </w:div>
    <w:div w:id="390158705">
      <w:bodyDiv w:val="1"/>
      <w:marLeft w:val="0"/>
      <w:marRight w:val="0"/>
      <w:marTop w:val="0"/>
      <w:marBottom w:val="0"/>
      <w:divBdr>
        <w:top w:val="none" w:sz="0" w:space="0" w:color="auto"/>
        <w:left w:val="none" w:sz="0" w:space="0" w:color="auto"/>
        <w:bottom w:val="none" w:sz="0" w:space="0" w:color="auto"/>
        <w:right w:val="none" w:sz="0" w:space="0" w:color="auto"/>
      </w:divBdr>
    </w:div>
    <w:div w:id="401680438">
      <w:bodyDiv w:val="1"/>
      <w:marLeft w:val="0"/>
      <w:marRight w:val="0"/>
      <w:marTop w:val="0"/>
      <w:marBottom w:val="0"/>
      <w:divBdr>
        <w:top w:val="none" w:sz="0" w:space="0" w:color="auto"/>
        <w:left w:val="none" w:sz="0" w:space="0" w:color="auto"/>
        <w:bottom w:val="none" w:sz="0" w:space="0" w:color="auto"/>
        <w:right w:val="none" w:sz="0" w:space="0" w:color="auto"/>
      </w:divBdr>
    </w:div>
    <w:div w:id="414522825">
      <w:bodyDiv w:val="1"/>
      <w:marLeft w:val="0"/>
      <w:marRight w:val="0"/>
      <w:marTop w:val="0"/>
      <w:marBottom w:val="0"/>
      <w:divBdr>
        <w:top w:val="none" w:sz="0" w:space="0" w:color="auto"/>
        <w:left w:val="none" w:sz="0" w:space="0" w:color="auto"/>
        <w:bottom w:val="none" w:sz="0" w:space="0" w:color="auto"/>
        <w:right w:val="none" w:sz="0" w:space="0" w:color="auto"/>
      </w:divBdr>
    </w:div>
    <w:div w:id="416169893">
      <w:bodyDiv w:val="1"/>
      <w:marLeft w:val="0"/>
      <w:marRight w:val="0"/>
      <w:marTop w:val="0"/>
      <w:marBottom w:val="0"/>
      <w:divBdr>
        <w:top w:val="none" w:sz="0" w:space="0" w:color="auto"/>
        <w:left w:val="none" w:sz="0" w:space="0" w:color="auto"/>
        <w:bottom w:val="none" w:sz="0" w:space="0" w:color="auto"/>
        <w:right w:val="none" w:sz="0" w:space="0" w:color="auto"/>
      </w:divBdr>
    </w:div>
    <w:div w:id="416486626">
      <w:bodyDiv w:val="1"/>
      <w:marLeft w:val="0"/>
      <w:marRight w:val="0"/>
      <w:marTop w:val="0"/>
      <w:marBottom w:val="0"/>
      <w:divBdr>
        <w:top w:val="none" w:sz="0" w:space="0" w:color="auto"/>
        <w:left w:val="none" w:sz="0" w:space="0" w:color="auto"/>
        <w:bottom w:val="none" w:sz="0" w:space="0" w:color="auto"/>
        <w:right w:val="none" w:sz="0" w:space="0" w:color="auto"/>
      </w:divBdr>
    </w:div>
    <w:div w:id="427579389">
      <w:bodyDiv w:val="1"/>
      <w:marLeft w:val="0"/>
      <w:marRight w:val="0"/>
      <w:marTop w:val="0"/>
      <w:marBottom w:val="0"/>
      <w:divBdr>
        <w:top w:val="none" w:sz="0" w:space="0" w:color="auto"/>
        <w:left w:val="none" w:sz="0" w:space="0" w:color="auto"/>
        <w:bottom w:val="none" w:sz="0" w:space="0" w:color="auto"/>
        <w:right w:val="none" w:sz="0" w:space="0" w:color="auto"/>
      </w:divBdr>
    </w:div>
    <w:div w:id="428045224">
      <w:bodyDiv w:val="1"/>
      <w:marLeft w:val="0"/>
      <w:marRight w:val="0"/>
      <w:marTop w:val="0"/>
      <w:marBottom w:val="0"/>
      <w:divBdr>
        <w:top w:val="none" w:sz="0" w:space="0" w:color="auto"/>
        <w:left w:val="none" w:sz="0" w:space="0" w:color="auto"/>
        <w:bottom w:val="none" w:sz="0" w:space="0" w:color="auto"/>
        <w:right w:val="none" w:sz="0" w:space="0" w:color="auto"/>
      </w:divBdr>
    </w:div>
    <w:div w:id="429667298">
      <w:bodyDiv w:val="1"/>
      <w:marLeft w:val="0"/>
      <w:marRight w:val="0"/>
      <w:marTop w:val="0"/>
      <w:marBottom w:val="0"/>
      <w:divBdr>
        <w:top w:val="none" w:sz="0" w:space="0" w:color="auto"/>
        <w:left w:val="none" w:sz="0" w:space="0" w:color="auto"/>
        <w:bottom w:val="none" w:sz="0" w:space="0" w:color="auto"/>
        <w:right w:val="none" w:sz="0" w:space="0" w:color="auto"/>
      </w:divBdr>
    </w:div>
    <w:div w:id="437527766">
      <w:bodyDiv w:val="1"/>
      <w:marLeft w:val="0"/>
      <w:marRight w:val="0"/>
      <w:marTop w:val="0"/>
      <w:marBottom w:val="0"/>
      <w:divBdr>
        <w:top w:val="none" w:sz="0" w:space="0" w:color="auto"/>
        <w:left w:val="none" w:sz="0" w:space="0" w:color="auto"/>
        <w:bottom w:val="none" w:sz="0" w:space="0" w:color="auto"/>
        <w:right w:val="none" w:sz="0" w:space="0" w:color="auto"/>
      </w:divBdr>
      <w:divsChild>
        <w:div w:id="1861967234">
          <w:marLeft w:val="0"/>
          <w:marRight w:val="0"/>
          <w:marTop w:val="0"/>
          <w:marBottom w:val="0"/>
          <w:divBdr>
            <w:top w:val="none" w:sz="0" w:space="0" w:color="auto"/>
            <w:left w:val="none" w:sz="0" w:space="0" w:color="auto"/>
            <w:bottom w:val="none" w:sz="0" w:space="0" w:color="auto"/>
            <w:right w:val="none" w:sz="0" w:space="0" w:color="auto"/>
          </w:divBdr>
          <w:divsChild>
            <w:div w:id="815220991">
              <w:marLeft w:val="0"/>
              <w:marRight w:val="0"/>
              <w:marTop w:val="0"/>
              <w:marBottom w:val="0"/>
              <w:divBdr>
                <w:top w:val="none" w:sz="0" w:space="0" w:color="auto"/>
                <w:left w:val="none" w:sz="0" w:space="0" w:color="auto"/>
                <w:bottom w:val="none" w:sz="0" w:space="0" w:color="auto"/>
                <w:right w:val="none" w:sz="0" w:space="0" w:color="auto"/>
              </w:divBdr>
              <w:divsChild>
                <w:div w:id="2050178187">
                  <w:marLeft w:val="0"/>
                  <w:marRight w:val="0"/>
                  <w:marTop w:val="0"/>
                  <w:marBottom w:val="0"/>
                  <w:divBdr>
                    <w:top w:val="none" w:sz="0" w:space="0" w:color="auto"/>
                    <w:left w:val="none" w:sz="0" w:space="0" w:color="auto"/>
                    <w:bottom w:val="none" w:sz="0" w:space="0" w:color="auto"/>
                    <w:right w:val="none" w:sz="0" w:space="0" w:color="auto"/>
                  </w:divBdr>
                  <w:divsChild>
                    <w:div w:id="928733964">
                      <w:marLeft w:val="0"/>
                      <w:marRight w:val="0"/>
                      <w:marTop w:val="0"/>
                      <w:marBottom w:val="0"/>
                      <w:divBdr>
                        <w:top w:val="none" w:sz="0" w:space="0" w:color="auto"/>
                        <w:left w:val="none" w:sz="0" w:space="0" w:color="auto"/>
                        <w:bottom w:val="none" w:sz="0" w:space="0" w:color="auto"/>
                        <w:right w:val="none" w:sz="0" w:space="0" w:color="auto"/>
                      </w:divBdr>
                      <w:divsChild>
                        <w:div w:id="989289480">
                          <w:marLeft w:val="0"/>
                          <w:marRight w:val="0"/>
                          <w:marTop w:val="0"/>
                          <w:marBottom w:val="0"/>
                          <w:divBdr>
                            <w:top w:val="none" w:sz="0" w:space="0" w:color="auto"/>
                            <w:left w:val="none" w:sz="0" w:space="0" w:color="auto"/>
                            <w:bottom w:val="none" w:sz="0" w:space="0" w:color="auto"/>
                            <w:right w:val="none" w:sz="0" w:space="0" w:color="auto"/>
                          </w:divBdr>
                          <w:divsChild>
                            <w:div w:id="603727446">
                              <w:marLeft w:val="0"/>
                              <w:marRight w:val="0"/>
                              <w:marTop w:val="0"/>
                              <w:marBottom w:val="0"/>
                              <w:divBdr>
                                <w:top w:val="none" w:sz="0" w:space="0" w:color="auto"/>
                                <w:left w:val="none" w:sz="0" w:space="0" w:color="auto"/>
                                <w:bottom w:val="none" w:sz="0" w:space="0" w:color="auto"/>
                                <w:right w:val="none" w:sz="0" w:space="0" w:color="auto"/>
                              </w:divBdr>
                              <w:divsChild>
                                <w:div w:id="1930574186">
                                  <w:marLeft w:val="0"/>
                                  <w:marRight w:val="0"/>
                                  <w:marTop w:val="0"/>
                                  <w:marBottom w:val="0"/>
                                  <w:divBdr>
                                    <w:top w:val="none" w:sz="0" w:space="0" w:color="auto"/>
                                    <w:left w:val="none" w:sz="0" w:space="0" w:color="auto"/>
                                    <w:bottom w:val="none" w:sz="0" w:space="0" w:color="auto"/>
                                    <w:right w:val="none" w:sz="0" w:space="0" w:color="auto"/>
                                  </w:divBdr>
                                  <w:divsChild>
                                    <w:div w:id="1410955756">
                                      <w:marLeft w:val="0"/>
                                      <w:marRight w:val="0"/>
                                      <w:marTop w:val="0"/>
                                      <w:marBottom w:val="0"/>
                                      <w:divBdr>
                                        <w:top w:val="none" w:sz="0" w:space="0" w:color="auto"/>
                                        <w:left w:val="none" w:sz="0" w:space="0" w:color="auto"/>
                                        <w:bottom w:val="none" w:sz="0" w:space="0" w:color="auto"/>
                                        <w:right w:val="none" w:sz="0" w:space="0" w:color="auto"/>
                                      </w:divBdr>
                                    </w:div>
                                    <w:div w:id="9725125">
                                      <w:marLeft w:val="0"/>
                                      <w:marRight w:val="0"/>
                                      <w:marTop w:val="0"/>
                                      <w:marBottom w:val="0"/>
                                      <w:divBdr>
                                        <w:top w:val="none" w:sz="0" w:space="0" w:color="auto"/>
                                        <w:left w:val="none" w:sz="0" w:space="0" w:color="auto"/>
                                        <w:bottom w:val="none" w:sz="0" w:space="0" w:color="auto"/>
                                        <w:right w:val="none" w:sz="0" w:space="0" w:color="auto"/>
                                      </w:divBdr>
                                      <w:divsChild>
                                        <w:div w:id="1346403303">
                                          <w:marLeft w:val="0"/>
                                          <w:marRight w:val="165"/>
                                          <w:marTop w:val="150"/>
                                          <w:marBottom w:val="0"/>
                                          <w:divBdr>
                                            <w:top w:val="none" w:sz="0" w:space="0" w:color="auto"/>
                                            <w:left w:val="none" w:sz="0" w:space="0" w:color="auto"/>
                                            <w:bottom w:val="none" w:sz="0" w:space="0" w:color="auto"/>
                                            <w:right w:val="none" w:sz="0" w:space="0" w:color="auto"/>
                                          </w:divBdr>
                                          <w:divsChild>
                                            <w:div w:id="377319040">
                                              <w:marLeft w:val="0"/>
                                              <w:marRight w:val="0"/>
                                              <w:marTop w:val="0"/>
                                              <w:marBottom w:val="0"/>
                                              <w:divBdr>
                                                <w:top w:val="none" w:sz="0" w:space="0" w:color="auto"/>
                                                <w:left w:val="none" w:sz="0" w:space="0" w:color="auto"/>
                                                <w:bottom w:val="none" w:sz="0" w:space="0" w:color="auto"/>
                                                <w:right w:val="none" w:sz="0" w:space="0" w:color="auto"/>
                                              </w:divBdr>
                                              <w:divsChild>
                                                <w:div w:id="20712259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8648071">
      <w:bodyDiv w:val="1"/>
      <w:marLeft w:val="0"/>
      <w:marRight w:val="0"/>
      <w:marTop w:val="0"/>
      <w:marBottom w:val="0"/>
      <w:divBdr>
        <w:top w:val="none" w:sz="0" w:space="0" w:color="auto"/>
        <w:left w:val="none" w:sz="0" w:space="0" w:color="auto"/>
        <w:bottom w:val="none" w:sz="0" w:space="0" w:color="auto"/>
        <w:right w:val="none" w:sz="0" w:space="0" w:color="auto"/>
      </w:divBdr>
    </w:div>
    <w:div w:id="448816389">
      <w:bodyDiv w:val="1"/>
      <w:marLeft w:val="0"/>
      <w:marRight w:val="0"/>
      <w:marTop w:val="0"/>
      <w:marBottom w:val="0"/>
      <w:divBdr>
        <w:top w:val="none" w:sz="0" w:space="0" w:color="auto"/>
        <w:left w:val="none" w:sz="0" w:space="0" w:color="auto"/>
        <w:bottom w:val="none" w:sz="0" w:space="0" w:color="auto"/>
        <w:right w:val="none" w:sz="0" w:space="0" w:color="auto"/>
      </w:divBdr>
    </w:div>
    <w:div w:id="476845618">
      <w:bodyDiv w:val="1"/>
      <w:marLeft w:val="0"/>
      <w:marRight w:val="0"/>
      <w:marTop w:val="0"/>
      <w:marBottom w:val="0"/>
      <w:divBdr>
        <w:top w:val="none" w:sz="0" w:space="0" w:color="auto"/>
        <w:left w:val="none" w:sz="0" w:space="0" w:color="auto"/>
        <w:bottom w:val="none" w:sz="0" w:space="0" w:color="auto"/>
        <w:right w:val="none" w:sz="0" w:space="0" w:color="auto"/>
      </w:divBdr>
    </w:div>
    <w:div w:id="481504848">
      <w:bodyDiv w:val="1"/>
      <w:marLeft w:val="0"/>
      <w:marRight w:val="0"/>
      <w:marTop w:val="0"/>
      <w:marBottom w:val="0"/>
      <w:divBdr>
        <w:top w:val="none" w:sz="0" w:space="0" w:color="auto"/>
        <w:left w:val="none" w:sz="0" w:space="0" w:color="auto"/>
        <w:bottom w:val="none" w:sz="0" w:space="0" w:color="auto"/>
        <w:right w:val="none" w:sz="0" w:space="0" w:color="auto"/>
      </w:divBdr>
    </w:div>
    <w:div w:id="492454612">
      <w:bodyDiv w:val="1"/>
      <w:marLeft w:val="0"/>
      <w:marRight w:val="0"/>
      <w:marTop w:val="0"/>
      <w:marBottom w:val="0"/>
      <w:divBdr>
        <w:top w:val="none" w:sz="0" w:space="0" w:color="auto"/>
        <w:left w:val="none" w:sz="0" w:space="0" w:color="auto"/>
        <w:bottom w:val="none" w:sz="0" w:space="0" w:color="auto"/>
        <w:right w:val="none" w:sz="0" w:space="0" w:color="auto"/>
      </w:divBdr>
    </w:div>
    <w:div w:id="507790681">
      <w:bodyDiv w:val="1"/>
      <w:marLeft w:val="0"/>
      <w:marRight w:val="0"/>
      <w:marTop w:val="0"/>
      <w:marBottom w:val="0"/>
      <w:divBdr>
        <w:top w:val="none" w:sz="0" w:space="0" w:color="auto"/>
        <w:left w:val="none" w:sz="0" w:space="0" w:color="auto"/>
        <w:bottom w:val="none" w:sz="0" w:space="0" w:color="auto"/>
        <w:right w:val="none" w:sz="0" w:space="0" w:color="auto"/>
      </w:divBdr>
    </w:div>
    <w:div w:id="518281998">
      <w:bodyDiv w:val="1"/>
      <w:marLeft w:val="0"/>
      <w:marRight w:val="0"/>
      <w:marTop w:val="0"/>
      <w:marBottom w:val="0"/>
      <w:divBdr>
        <w:top w:val="none" w:sz="0" w:space="0" w:color="auto"/>
        <w:left w:val="none" w:sz="0" w:space="0" w:color="auto"/>
        <w:bottom w:val="none" w:sz="0" w:space="0" w:color="auto"/>
        <w:right w:val="none" w:sz="0" w:space="0" w:color="auto"/>
      </w:divBdr>
    </w:div>
    <w:div w:id="522212978">
      <w:bodyDiv w:val="1"/>
      <w:marLeft w:val="0"/>
      <w:marRight w:val="0"/>
      <w:marTop w:val="0"/>
      <w:marBottom w:val="0"/>
      <w:divBdr>
        <w:top w:val="none" w:sz="0" w:space="0" w:color="auto"/>
        <w:left w:val="none" w:sz="0" w:space="0" w:color="auto"/>
        <w:bottom w:val="none" w:sz="0" w:space="0" w:color="auto"/>
        <w:right w:val="none" w:sz="0" w:space="0" w:color="auto"/>
      </w:divBdr>
    </w:div>
    <w:div w:id="524945997">
      <w:bodyDiv w:val="1"/>
      <w:marLeft w:val="0"/>
      <w:marRight w:val="0"/>
      <w:marTop w:val="0"/>
      <w:marBottom w:val="0"/>
      <w:divBdr>
        <w:top w:val="none" w:sz="0" w:space="0" w:color="auto"/>
        <w:left w:val="none" w:sz="0" w:space="0" w:color="auto"/>
        <w:bottom w:val="none" w:sz="0" w:space="0" w:color="auto"/>
        <w:right w:val="none" w:sz="0" w:space="0" w:color="auto"/>
      </w:divBdr>
    </w:div>
    <w:div w:id="538006847">
      <w:bodyDiv w:val="1"/>
      <w:marLeft w:val="0"/>
      <w:marRight w:val="0"/>
      <w:marTop w:val="0"/>
      <w:marBottom w:val="0"/>
      <w:divBdr>
        <w:top w:val="none" w:sz="0" w:space="0" w:color="auto"/>
        <w:left w:val="none" w:sz="0" w:space="0" w:color="auto"/>
        <w:bottom w:val="none" w:sz="0" w:space="0" w:color="auto"/>
        <w:right w:val="none" w:sz="0" w:space="0" w:color="auto"/>
      </w:divBdr>
    </w:div>
    <w:div w:id="541213718">
      <w:bodyDiv w:val="1"/>
      <w:marLeft w:val="0"/>
      <w:marRight w:val="0"/>
      <w:marTop w:val="0"/>
      <w:marBottom w:val="0"/>
      <w:divBdr>
        <w:top w:val="none" w:sz="0" w:space="0" w:color="auto"/>
        <w:left w:val="none" w:sz="0" w:space="0" w:color="auto"/>
        <w:bottom w:val="none" w:sz="0" w:space="0" w:color="auto"/>
        <w:right w:val="none" w:sz="0" w:space="0" w:color="auto"/>
      </w:divBdr>
    </w:div>
    <w:div w:id="552041529">
      <w:bodyDiv w:val="1"/>
      <w:marLeft w:val="0"/>
      <w:marRight w:val="0"/>
      <w:marTop w:val="0"/>
      <w:marBottom w:val="0"/>
      <w:divBdr>
        <w:top w:val="none" w:sz="0" w:space="0" w:color="auto"/>
        <w:left w:val="none" w:sz="0" w:space="0" w:color="auto"/>
        <w:bottom w:val="none" w:sz="0" w:space="0" w:color="auto"/>
        <w:right w:val="none" w:sz="0" w:space="0" w:color="auto"/>
      </w:divBdr>
    </w:div>
    <w:div w:id="561644875">
      <w:bodyDiv w:val="1"/>
      <w:marLeft w:val="0"/>
      <w:marRight w:val="0"/>
      <w:marTop w:val="0"/>
      <w:marBottom w:val="0"/>
      <w:divBdr>
        <w:top w:val="none" w:sz="0" w:space="0" w:color="auto"/>
        <w:left w:val="none" w:sz="0" w:space="0" w:color="auto"/>
        <w:bottom w:val="none" w:sz="0" w:space="0" w:color="auto"/>
        <w:right w:val="none" w:sz="0" w:space="0" w:color="auto"/>
      </w:divBdr>
    </w:div>
    <w:div w:id="580137645">
      <w:bodyDiv w:val="1"/>
      <w:marLeft w:val="0"/>
      <w:marRight w:val="0"/>
      <w:marTop w:val="0"/>
      <w:marBottom w:val="0"/>
      <w:divBdr>
        <w:top w:val="none" w:sz="0" w:space="0" w:color="auto"/>
        <w:left w:val="none" w:sz="0" w:space="0" w:color="auto"/>
        <w:bottom w:val="none" w:sz="0" w:space="0" w:color="auto"/>
        <w:right w:val="none" w:sz="0" w:space="0" w:color="auto"/>
      </w:divBdr>
    </w:div>
    <w:div w:id="586113300">
      <w:bodyDiv w:val="1"/>
      <w:marLeft w:val="0"/>
      <w:marRight w:val="0"/>
      <w:marTop w:val="0"/>
      <w:marBottom w:val="0"/>
      <w:divBdr>
        <w:top w:val="none" w:sz="0" w:space="0" w:color="auto"/>
        <w:left w:val="none" w:sz="0" w:space="0" w:color="auto"/>
        <w:bottom w:val="none" w:sz="0" w:space="0" w:color="auto"/>
        <w:right w:val="none" w:sz="0" w:space="0" w:color="auto"/>
      </w:divBdr>
    </w:div>
    <w:div w:id="592324499">
      <w:bodyDiv w:val="1"/>
      <w:marLeft w:val="0"/>
      <w:marRight w:val="0"/>
      <w:marTop w:val="0"/>
      <w:marBottom w:val="0"/>
      <w:divBdr>
        <w:top w:val="none" w:sz="0" w:space="0" w:color="auto"/>
        <w:left w:val="none" w:sz="0" w:space="0" w:color="auto"/>
        <w:bottom w:val="none" w:sz="0" w:space="0" w:color="auto"/>
        <w:right w:val="none" w:sz="0" w:space="0" w:color="auto"/>
      </w:divBdr>
    </w:div>
    <w:div w:id="625818014">
      <w:bodyDiv w:val="1"/>
      <w:marLeft w:val="0"/>
      <w:marRight w:val="0"/>
      <w:marTop w:val="0"/>
      <w:marBottom w:val="0"/>
      <w:divBdr>
        <w:top w:val="none" w:sz="0" w:space="0" w:color="auto"/>
        <w:left w:val="none" w:sz="0" w:space="0" w:color="auto"/>
        <w:bottom w:val="none" w:sz="0" w:space="0" w:color="auto"/>
        <w:right w:val="none" w:sz="0" w:space="0" w:color="auto"/>
      </w:divBdr>
    </w:div>
    <w:div w:id="626592502">
      <w:bodyDiv w:val="1"/>
      <w:marLeft w:val="0"/>
      <w:marRight w:val="0"/>
      <w:marTop w:val="0"/>
      <w:marBottom w:val="0"/>
      <w:divBdr>
        <w:top w:val="none" w:sz="0" w:space="0" w:color="auto"/>
        <w:left w:val="none" w:sz="0" w:space="0" w:color="auto"/>
        <w:bottom w:val="none" w:sz="0" w:space="0" w:color="auto"/>
        <w:right w:val="none" w:sz="0" w:space="0" w:color="auto"/>
      </w:divBdr>
    </w:div>
    <w:div w:id="627862667">
      <w:bodyDiv w:val="1"/>
      <w:marLeft w:val="0"/>
      <w:marRight w:val="0"/>
      <w:marTop w:val="0"/>
      <w:marBottom w:val="0"/>
      <w:divBdr>
        <w:top w:val="none" w:sz="0" w:space="0" w:color="auto"/>
        <w:left w:val="none" w:sz="0" w:space="0" w:color="auto"/>
        <w:bottom w:val="none" w:sz="0" w:space="0" w:color="auto"/>
        <w:right w:val="none" w:sz="0" w:space="0" w:color="auto"/>
      </w:divBdr>
    </w:div>
    <w:div w:id="631403835">
      <w:bodyDiv w:val="1"/>
      <w:marLeft w:val="0"/>
      <w:marRight w:val="0"/>
      <w:marTop w:val="0"/>
      <w:marBottom w:val="0"/>
      <w:divBdr>
        <w:top w:val="none" w:sz="0" w:space="0" w:color="auto"/>
        <w:left w:val="none" w:sz="0" w:space="0" w:color="auto"/>
        <w:bottom w:val="none" w:sz="0" w:space="0" w:color="auto"/>
        <w:right w:val="none" w:sz="0" w:space="0" w:color="auto"/>
      </w:divBdr>
    </w:div>
    <w:div w:id="633603697">
      <w:bodyDiv w:val="1"/>
      <w:marLeft w:val="0"/>
      <w:marRight w:val="0"/>
      <w:marTop w:val="0"/>
      <w:marBottom w:val="0"/>
      <w:divBdr>
        <w:top w:val="none" w:sz="0" w:space="0" w:color="auto"/>
        <w:left w:val="none" w:sz="0" w:space="0" w:color="auto"/>
        <w:bottom w:val="none" w:sz="0" w:space="0" w:color="auto"/>
        <w:right w:val="none" w:sz="0" w:space="0" w:color="auto"/>
      </w:divBdr>
    </w:div>
    <w:div w:id="642580561">
      <w:bodyDiv w:val="1"/>
      <w:marLeft w:val="0"/>
      <w:marRight w:val="0"/>
      <w:marTop w:val="0"/>
      <w:marBottom w:val="0"/>
      <w:divBdr>
        <w:top w:val="none" w:sz="0" w:space="0" w:color="auto"/>
        <w:left w:val="none" w:sz="0" w:space="0" w:color="auto"/>
        <w:bottom w:val="none" w:sz="0" w:space="0" w:color="auto"/>
        <w:right w:val="none" w:sz="0" w:space="0" w:color="auto"/>
      </w:divBdr>
    </w:div>
    <w:div w:id="649750839">
      <w:bodyDiv w:val="1"/>
      <w:marLeft w:val="0"/>
      <w:marRight w:val="0"/>
      <w:marTop w:val="0"/>
      <w:marBottom w:val="0"/>
      <w:divBdr>
        <w:top w:val="none" w:sz="0" w:space="0" w:color="auto"/>
        <w:left w:val="none" w:sz="0" w:space="0" w:color="auto"/>
        <w:bottom w:val="none" w:sz="0" w:space="0" w:color="auto"/>
        <w:right w:val="none" w:sz="0" w:space="0" w:color="auto"/>
      </w:divBdr>
    </w:div>
    <w:div w:id="652028789">
      <w:bodyDiv w:val="1"/>
      <w:marLeft w:val="0"/>
      <w:marRight w:val="0"/>
      <w:marTop w:val="0"/>
      <w:marBottom w:val="0"/>
      <w:divBdr>
        <w:top w:val="none" w:sz="0" w:space="0" w:color="auto"/>
        <w:left w:val="none" w:sz="0" w:space="0" w:color="auto"/>
        <w:bottom w:val="none" w:sz="0" w:space="0" w:color="auto"/>
        <w:right w:val="none" w:sz="0" w:space="0" w:color="auto"/>
      </w:divBdr>
    </w:div>
    <w:div w:id="659698150">
      <w:bodyDiv w:val="1"/>
      <w:marLeft w:val="0"/>
      <w:marRight w:val="0"/>
      <w:marTop w:val="0"/>
      <w:marBottom w:val="0"/>
      <w:divBdr>
        <w:top w:val="none" w:sz="0" w:space="0" w:color="auto"/>
        <w:left w:val="none" w:sz="0" w:space="0" w:color="auto"/>
        <w:bottom w:val="none" w:sz="0" w:space="0" w:color="auto"/>
        <w:right w:val="none" w:sz="0" w:space="0" w:color="auto"/>
      </w:divBdr>
    </w:div>
    <w:div w:id="672227638">
      <w:bodyDiv w:val="1"/>
      <w:marLeft w:val="0"/>
      <w:marRight w:val="0"/>
      <w:marTop w:val="0"/>
      <w:marBottom w:val="0"/>
      <w:divBdr>
        <w:top w:val="none" w:sz="0" w:space="0" w:color="auto"/>
        <w:left w:val="none" w:sz="0" w:space="0" w:color="auto"/>
        <w:bottom w:val="none" w:sz="0" w:space="0" w:color="auto"/>
        <w:right w:val="none" w:sz="0" w:space="0" w:color="auto"/>
      </w:divBdr>
    </w:div>
    <w:div w:id="674308950">
      <w:bodyDiv w:val="1"/>
      <w:marLeft w:val="0"/>
      <w:marRight w:val="0"/>
      <w:marTop w:val="0"/>
      <w:marBottom w:val="0"/>
      <w:divBdr>
        <w:top w:val="none" w:sz="0" w:space="0" w:color="auto"/>
        <w:left w:val="none" w:sz="0" w:space="0" w:color="auto"/>
        <w:bottom w:val="none" w:sz="0" w:space="0" w:color="auto"/>
        <w:right w:val="none" w:sz="0" w:space="0" w:color="auto"/>
      </w:divBdr>
    </w:div>
    <w:div w:id="677663124">
      <w:bodyDiv w:val="1"/>
      <w:marLeft w:val="0"/>
      <w:marRight w:val="0"/>
      <w:marTop w:val="0"/>
      <w:marBottom w:val="0"/>
      <w:divBdr>
        <w:top w:val="none" w:sz="0" w:space="0" w:color="auto"/>
        <w:left w:val="none" w:sz="0" w:space="0" w:color="auto"/>
        <w:bottom w:val="none" w:sz="0" w:space="0" w:color="auto"/>
        <w:right w:val="none" w:sz="0" w:space="0" w:color="auto"/>
      </w:divBdr>
    </w:div>
    <w:div w:id="688139457">
      <w:bodyDiv w:val="1"/>
      <w:marLeft w:val="0"/>
      <w:marRight w:val="0"/>
      <w:marTop w:val="0"/>
      <w:marBottom w:val="0"/>
      <w:divBdr>
        <w:top w:val="none" w:sz="0" w:space="0" w:color="auto"/>
        <w:left w:val="none" w:sz="0" w:space="0" w:color="auto"/>
        <w:bottom w:val="none" w:sz="0" w:space="0" w:color="auto"/>
        <w:right w:val="none" w:sz="0" w:space="0" w:color="auto"/>
      </w:divBdr>
    </w:div>
    <w:div w:id="697967216">
      <w:bodyDiv w:val="1"/>
      <w:marLeft w:val="0"/>
      <w:marRight w:val="0"/>
      <w:marTop w:val="0"/>
      <w:marBottom w:val="0"/>
      <w:divBdr>
        <w:top w:val="none" w:sz="0" w:space="0" w:color="auto"/>
        <w:left w:val="none" w:sz="0" w:space="0" w:color="auto"/>
        <w:bottom w:val="none" w:sz="0" w:space="0" w:color="auto"/>
        <w:right w:val="none" w:sz="0" w:space="0" w:color="auto"/>
      </w:divBdr>
    </w:div>
    <w:div w:id="710033276">
      <w:bodyDiv w:val="1"/>
      <w:marLeft w:val="0"/>
      <w:marRight w:val="0"/>
      <w:marTop w:val="0"/>
      <w:marBottom w:val="0"/>
      <w:divBdr>
        <w:top w:val="none" w:sz="0" w:space="0" w:color="auto"/>
        <w:left w:val="none" w:sz="0" w:space="0" w:color="auto"/>
        <w:bottom w:val="none" w:sz="0" w:space="0" w:color="auto"/>
        <w:right w:val="none" w:sz="0" w:space="0" w:color="auto"/>
      </w:divBdr>
    </w:div>
    <w:div w:id="740908707">
      <w:bodyDiv w:val="1"/>
      <w:marLeft w:val="0"/>
      <w:marRight w:val="0"/>
      <w:marTop w:val="0"/>
      <w:marBottom w:val="0"/>
      <w:divBdr>
        <w:top w:val="none" w:sz="0" w:space="0" w:color="auto"/>
        <w:left w:val="none" w:sz="0" w:space="0" w:color="auto"/>
        <w:bottom w:val="none" w:sz="0" w:space="0" w:color="auto"/>
        <w:right w:val="none" w:sz="0" w:space="0" w:color="auto"/>
      </w:divBdr>
    </w:div>
    <w:div w:id="749500889">
      <w:bodyDiv w:val="1"/>
      <w:marLeft w:val="0"/>
      <w:marRight w:val="0"/>
      <w:marTop w:val="0"/>
      <w:marBottom w:val="0"/>
      <w:divBdr>
        <w:top w:val="none" w:sz="0" w:space="0" w:color="auto"/>
        <w:left w:val="none" w:sz="0" w:space="0" w:color="auto"/>
        <w:bottom w:val="none" w:sz="0" w:space="0" w:color="auto"/>
        <w:right w:val="none" w:sz="0" w:space="0" w:color="auto"/>
      </w:divBdr>
    </w:div>
    <w:div w:id="750740104">
      <w:bodyDiv w:val="1"/>
      <w:marLeft w:val="0"/>
      <w:marRight w:val="0"/>
      <w:marTop w:val="0"/>
      <w:marBottom w:val="0"/>
      <w:divBdr>
        <w:top w:val="none" w:sz="0" w:space="0" w:color="auto"/>
        <w:left w:val="none" w:sz="0" w:space="0" w:color="auto"/>
        <w:bottom w:val="none" w:sz="0" w:space="0" w:color="auto"/>
        <w:right w:val="none" w:sz="0" w:space="0" w:color="auto"/>
      </w:divBdr>
    </w:div>
    <w:div w:id="751320313">
      <w:bodyDiv w:val="1"/>
      <w:marLeft w:val="0"/>
      <w:marRight w:val="0"/>
      <w:marTop w:val="0"/>
      <w:marBottom w:val="0"/>
      <w:divBdr>
        <w:top w:val="none" w:sz="0" w:space="0" w:color="auto"/>
        <w:left w:val="none" w:sz="0" w:space="0" w:color="auto"/>
        <w:bottom w:val="none" w:sz="0" w:space="0" w:color="auto"/>
        <w:right w:val="none" w:sz="0" w:space="0" w:color="auto"/>
      </w:divBdr>
    </w:div>
    <w:div w:id="766000363">
      <w:bodyDiv w:val="1"/>
      <w:marLeft w:val="0"/>
      <w:marRight w:val="0"/>
      <w:marTop w:val="0"/>
      <w:marBottom w:val="0"/>
      <w:divBdr>
        <w:top w:val="none" w:sz="0" w:space="0" w:color="auto"/>
        <w:left w:val="none" w:sz="0" w:space="0" w:color="auto"/>
        <w:bottom w:val="none" w:sz="0" w:space="0" w:color="auto"/>
        <w:right w:val="none" w:sz="0" w:space="0" w:color="auto"/>
      </w:divBdr>
    </w:div>
    <w:div w:id="785660376">
      <w:bodyDiv w:val="1"/>
      <w:marLeft w:val="0"/>
      <w:marRight w:val="0"/>
      <w:marTop w:val="0"/>
      <w:marBottom w:val="0"/>
      <w:divBdr>
        <w:top w:val="none" w:sz="0" w:space="0" w:color="auto"/>
        <w:left w:val="none" w:sz="0" w:space="0" w:color="auto"/>
        <w:bottom w:val="none" w:sz="0" w:space="0" w:color="auto"/>
        <w:right w:val="none" w:sz="0" w:space="0" w:color="auto"/>
      </w:divBdr>
    </w:div>
    <w:div w:id="808864164">
      <w:bodyDiv w:val="1"/>
      <w:marLeft w:val="0"/>
      <w:marRight w:val="0"/>
      <w:marTop w:val="0"/>
      <w:marBottom w:val="0"/>
      <w:divBdr>
        <w:top w:val="none" w:sz="0" w:space="0" w:color="auto"/>
        <w:left w:val="none" w:sz="0" w:space="0" w:color="auto"/>
        <w:bottom w:val="none" w:sz="0" w:space="0" w:color="auto"/>
        <w:right w:val="none" w:sz="0" w:space="0" w:color="auto"/>
      </w:divBdr>
    </w:div>
    <w:div w:id="810294120">
      <w:bodyDiv w:val="1"/>
      <w:marLeft w:val="0"/>
      <w:marRight w:val="0"/>
      <w:marTop w:val="0"/>
      <w:marBottom w:val="0"/>
      <w:divBdr>
        <w:top w:val="none" w:sz="0" w:space="0" w:color="auto"/>
        <w:left w:val="none" w:sz="0" w:space="0" w:color="auto"/>
        <w:bottom w:val="none" w:sz="0" w:space="0" w:color="auto"/>
        <w:right w:val="none" w:sz="0" w:space="0" w:color="auto"/>
      </w:divBdr>
    </w:div>
    <w:div w:id="812596322">
      <w:bodyDiv w:val="1"/>
      <w:marLeft w:val="0"/>
      <w:marRight w:val="0"/>
      <w:marTop w:val="0"/>
      <w:marBottom w:val="0"/>
      <w:divBdr>
        <w:top w:val="none" w:sz="0" w:space="0" w:color="auto"/>
        <w:left w:val="none" w:sz="0" w:space="0" w:color="auto"/>
        <w:bottom w:val="none" w:sz="0" w:space="0" w:color="auto"/>
        <w:right w:val="none" w:sz="0" w:space="0" w:color="auto"/>
      </w:divBdr>
    </w:div>
    <w:div w:id="827135007">
      <w:bodyDiv w:val="1"/>
      <w:marLeft w:val="0"/>
      <w:marRight w:val="0"/>
      <w:marTop w:val="0"/>
      <w:marBottom w:val="0"/>
      <w:divBdr>
        <w:top w:val="none" w:sz="0" w:space="0" w:color="auto"/>
        <w:left w:val="none" w:sz="0" w:space="0" w:color="auto"/>
        <w:bottom w:val="none" w:sz="0" w:space="0" w:color="auto"/>
        <w:right w:val="none" w:sz="0" w:space="0" w:color="auto"/>
      </w:divBdr>
    </w:div>
    <w:div w:id="831993949">
      <w:bodyDiv w:val="1"/>
      <w:marLeft w:val="0"/>
      <w:marRight w:val="0"/>
      <w:marTop w:val="0"/>
      <w:marBottom w:val="0"/>
      <w:divBdr>
        <w:top w:val="none" w:sz="0" w:space="0" w:color="auto"/>
        <w:left w:val="none" w:sz="0" w:space="0" w:color="auto"/>
        <w:bottom w:val="none" w:sz="0" w:space="0" w:color="auto"/>
        <w:right w:val="none" w:sz="0" w:space="0" w:color="auto"/>
      </w:divBdr>
    </w:div>
    <w:div w:id="849032382">
      <w:bodyDiv w:val="1"/>
      <w:marLeft w:val="0"/>
      <w:marRight w:val="0"/>
      <w:marTop w:val="0"/>
      <w:marBottom w:val="0"/>
      <w:divBdr>
        <w:top w:val="none" w:sz="0" w:space="0" w:color="auto"/>
        <w:left w:val="none" w:sz="0" w:space="0" w:color="auto"/>
        <w:bottom w:val="none" w:sz="0" w:space="0" w:color="auto"/>
        <w:right w:val="none" w:sz="0" w:space="0" w:color="auto"/>
      </w:divBdr>
    </w:div>
    <w:div w:id="852039026">
      <w:bodyDiv w:val="1"/>
      <w:marLeft w:val="0"/>
      <w:marRight w:val="0"/>
      <w:marTop w:val="0"/>
      <w:marBottom w:val="0"/>
      <w:divBdr>
        <w:top w:val="none" w:sz="0" w:space="0" w:color="auto"/>
        <w:left w:val="none" w:sz="0" w:space="0" w:color="auto"/>
        <w:bottom w:val="none" w:sz="0" w:space="0" w:color="auto"/>
        <w:right w:val="none" w:sz="0" w:space="0" w:color="auto"/>
      </w:divBdr>
    </w:div>
    <w:div w:id="852690399">
      <w:bodyDiv w:val="1"/>
      <w:marLeft w:val="0"/>
      <w:marRight w:val="0"/>
      <w:marTop w:val="0"/>
      <w:marBottom w:val="0"/>
      <w:divBdr>
        <w:top w:val="none" w:sz="0" w:space="0" w:color="auto"/>
        <w:left w:val="none" w:sz="0" w:space="0" w:color="auto"/>
        <w:bottom w:val="none" w:sz="0" w:space="0" w:color="auto"/>
        <w:right w:val="none" w:sz="0" w:space="0" w:color="auto"/>
      </w:divBdr>
    </w:div>
    <w:div w:id="854686447">
      <w:bodyDiv w:val="1"/>
      <w:marLeft w:val="0"/>
      <w:marRight w:val="0"/>
      <w:marTop w:val="0"/>
      <w:marBottom w:val="0"/>
      <w:divBdr>
        <w:top w:val="none" w:sz="0" w:space="0" w:color="auto"/>
        <w:left w:val="none" w:sz="0" w:space="0" w:color="auto"/>
        <w:bottom w:val="none" w:sz="0" w:space="0" w:color="auto"/>
        <w:right w:val="none" w:sz="0" w:space="0" w:color="auto"/>
      </w:divBdr>
    </w:div>
    <w:div w:id="857423354">
      <w:bodyDiv w:val="1"/>
      <w:marLeft w:val="0"/>
      <w:marRight w:val="0"/>
      <w:marTop w:val="0"/>
      <w:marBottom w:val="0"/>
      <w:divBdr>
        <w:top w:val="none" w:sz="0" w:space="0" w:color="auto"/>
        <w:left w:val="none" w:sz="0" w:space="0" w:color="auto"/>
        <w:bottom w:val="none" w:sz="0" w:space="0" w:color="auto"/>
        <w:right w:val="none" w:sz="0" w:space="0" w:color="auto"/>
      </w:divBdr>
    </w:div>
    <w:div w:id="862599088">
      <w:bodyDiv w:val="1"/>
      <w:marLeft w:val="0"/>
      <w:marRight w:val="0"/>
      <w:marTop w:val="0"/>
      <w:marBottom w:val="0"/>
      <w:divBdr>
        <w:top w:val="none" w:sz="0" w:space="0" w:color="auto"/>
        <w:left w:val="none" w:sz="0" w:space="0" w:color="auto"/>
        <w:bottom w:val="none" w:sz="0" w:space="0" w:color="auto"/>
        <w:right w:val="none" w:sz="0" w:space="0" w:color="auto"/>
      </w:divBdr>
    </w:div>
    <w:div w:id="882056024">
      <w:bodyDiv w:val="1"/>
      <w:marLeft w:val="0"/>
      <w:marRight w:val="0"/>
      <w:marTop w:val="0"/>
      <w:marBottom w:val="0"/>
      <w:divBdr>
        <w:top w:val="none" w:sz="0" w:space="0" w:color="auto"/>
        <w:left w:val="none" w:sz="0" w:space="0" w:color="auto"/>
        <w:bottom w:val="none" w:sz="0" w:space="0" w:color="auto"/>
        <w:right w:val="none" w:sz="0" w:space="0" w:color="auto"/>
      </w:divBdr>
    </w:div>
    <w:div w:id="898396243">
      <w:bodyDiv w:val="1"/>
      <w:marLeft w:val="0"/>
      <w:marRight w:val="0"/>
      <w:marTop w:val="0"/>
      <w:marBottom w:val="0"/>
      <w:divBdr>
        <w:top w:val="none" w:sz="0" w:space="0" w:color="auto"/>
        <w:left w:val="none" w:sz="0" w:space="0" w:color="auto"/>
        <w:bottom w:val="none" w:sz="0" w:space="0" w:color="auto"/>
        <w:right w:val="none" w:sz="0" w:space="0" w:color="auto"/>
      </w:divBdr>
    </w:div>
    <w:div w:id="911502611">
      <w:bodyDiv w:val="1"/>
      <w:marLeft w:val="0"/>
      <w:marRight w:val="0"/>
      <w:marTop w:val="0"/>
      <w:marBottom w:val="0"/>
      <w:divBdr>
        <w:top w:val="none" w:sz="0" w:space="0" w:color="auto"/>
        <w:left w:val="none" w:sz="0" w:space="0" w:color="auto"/>
        <w:bottom w:val="none" w:sz="0" w:space="0" w:color="auto"/>
        <w:right w:val="none" w:sz="0" w:space="0" w:color="auto"/>
      </w:divBdr>
    </w:div>
    <w:div w:id="911887009">
      <w:bodyDiv w:val="1"/>
      <w:marLeft w:val="0"/>
      <w:marRight w:val="0"/>
      <w:marTop w:val="0"/>
      <w:marBottom w:val="0"/>
      <w:divBdr>
        <w:top w:val="none" w:sz="0" w:space="0" w:color="auto"/>
        <w:left w:val="none" w:sz="0" w:space="0" w:color="auto"/>
        <w:bottom w:val="none" w:sz="0" w:space="0" w:color="auto"/>
        <w:right w:val="none" w:sz="0" w:space="0" w:color="auto"/>
      </w:divBdr>
    </w:div>
    <w:div w:id="925502697">
      <w:bodyDiv w:val="1"/>
      <w:marLeft w:val="0"/>
      <w:marRight w:val="0"/>
      <w:marTop w:val="0"/>
      <w:marBottom w:val="0"/>
      <w:divBdr>
        <w:top w:val="none" w:sz="0" w:space="0" w:color="auto"/>
        <w:left w:val="none" w:sz="0" w:space="0" w:color="auto"/>
        <w:bottom w:val="none" w:sz="0" w:space="0" w:color="auto"/>
        <w:right w:val="none" w:sz="0" w:space="0" w:color="auto"/>
      </w:divBdr>
    </w:div>
    <w:div w:id="931088267">
      <w:bodyDiv w:val="1"/>
      <w:marLeft w:val="0"/>
      <w:marRight w:val="0"/>
      <w:marTop w:val="0"/>
      <w:marBottom w:val="0"/>
      <w:divBdr>
        <w:top w:val="none" w:sz="0" w:space="0" w:color="auto"/>
        <w:left w:val="none" w:sz="0" w:space="0" w:color="auto"/>
        <w:bottom w:val="none" w:sz="0" w:space="0" w:color="auto"/>
        <w:right w:val="none" w:sz="0" w:space="0" w:color="auto"/>
      </w:divBdr>
    </w:div>
    <w:div w:id="935794634">
      <w:bodyDiv w:val="1"/>
      <w:marLeft w:val="0"/>
      <w:marRight w:val="0"/>
      <w:marTop w:val="0"/>
      <w:marBottom w:val="0"/>
      <w:divBdr>
        <w:top w:val="none" w:sz="0" w:space="0" w:color="auto"/>
        <w:left w:val="none" w:sz="0" w:space="0" w:color="auto"/>
        <w:bottom w:val="none" w:sz="0" w:space="0" w:color="auto"/>
        <w:right w:val="none" w:sz="0" w:space="0" w:color="auto"/>
      </w:divBdr>
    </w:div>
    <w:div w:id="938371646">
      <w:bodyDiv w:val="1"/>
      <w:marLeft w:val="0"/>
      <w:marRight w:val="0"/>
      <w:marTop w:val="0"/>
      <w:marBottom w:val="0"/>
      <w:divBdr>
        <w:top w:val="none" w:sz="0" w:space="0" w:color="auto"/>
        <w:left w:val="none" w:sz="0" w:space="0" w:color="auto"/>
        <w:bottom w:val="none" w:sz="0" w:space="0" w:color="auto"/>
        <w:right w:val="none" w:sz="0" w:space="0" w:color="auto"/>
      </w:divBdr>
    </w:div>
    <w:div w:id="942617171">
      <w:bodyDiv w:val="1"/>
      <w:marLeft w:val="0"/>
      <w:marRight w:val="0"/>
      <w:marTop w:val="0"/>
      <w:marBottom w:val="0"/>
      <w:divBdr>
        <w:top w:val="none" w:sz="0" w:space="0" w:color="auto"/>
        <w:left w:val="none" w:sz="0" w:space="0" w:color="auto"/>
        <w:bottom w:val="none" w:sz="0" w:space="0" w:color="auto"/>
        <w:right w:val="none" w:sz="0" w:space="0" w:color="auto"/>
      </w:divBdr>
    </w:div>
    <w:div w:id="942683535">
      <w:bodyDiv w:val="1"/>
      <w:marLeft w:val="0"/>
      <w:marRight w:val="0"/>
      <w:marTop w:val="0"/>
      <w:marBottom w:val="0"/>
      <w:divBdr>
        <w:top w:val="none" w:sz="0" w:space="0" w:color="auto"/>
        <w:left w:val="none" w:sz="0" w:space="0" w:color="auto"/>
        <w:bottom w:val="none" w:sz="0" w:space="0" w:color="auto"/>
        <w:right w:val="none" w:sz="0" w:space="0" w:color="auto"/>
      </w:divBdr>
    </w:div>
    <w:div w:id="970402623">
      <w:bodyDiv w:val="1"/>
      <w:marLeft w:val="0"/>
      <w:marRight w:val="0"/>
      <w:marTop w:val="0"/>
      <w:marBottom w:val="0"/>
      <w:divBdr>
        <w:top w:val="none" w:sz="0" w:space="0" w:color="auto"/>
        <w:left w:val="none" w:sz="0" w:space="0" w:color="auto"/>
        <w:bottom w:val="none" w:sz="0" w:space="0" w:color="auto"/>
        <w:right w:val="none" w:sz="0" w:space="0" w:color="auto"/>
      </w:divBdr>
    </w:div>
    <w:div w:id="976104220">
      <w:bodyDiv w:val="1"/>
      <w:marLeft w:val="0"/>
      <w:marRight w:val="0"/>
      <w:marTop w:val="0"/>
      <w:marBottom w:val="0"/>
      <w:divBdr>
        <w:top w:val="none" w:sz="0" w:space="0" w:color="auto"/>
        <w:left w:val="none" w:sz="0" w:space="0" w:color="auto"/>
        <w:bottom w:val="none" w:sz="0" w:space="0" w:color="auto"/>
        <w:right w:val="none" w:sz="0" w:space="0" w:color="auto"/>
      </w:divBdr>
    </w:div>
    <w:div w:id="989944247">
      <w:bodyDiv w:val="1"/>
      <w:marLeft w:val="0"/>
      <w:marRight w:val="0"/>
      <w:marTop w:val="0"/>
      <w:marBottom w:val="0"/>
      <w:divBdr>
        <w:top w:val="none" w:sz="0" w:space="0" w:color="auto"/>
        <w:left w:val="none" w:sz="0" w:space="0" w:color="auto"/>
        <w:bottom w:val="none" w:sz="0" w:space="0" w:color="auto"/>
        <w:right w:val="none" w:sz="0" w:space="0" w:color="auto"/>
      </w:divBdr>
    </w:div>
    <w:div w:id="1005475757">
      <w:bodyDiv w:val="1"/>
      <w:marLeft w:val="0"/>
      <w:marRight w:val="0"/>
      <w:marTop w:val="0"/>
      <w:marBottom w:val="0"/>
      <w:divBdr>
        <w:top w:val="none" w:sz="0" w:space="0" w:color="auto"/>
        <w:left w:val="none" w:sz="0" w:space="0" w:color="auto"/>
        <w:bottom w:val="none" w:sz="0" w:space="0" w:color="auto"/>
        <w:right w:val="none" w:sz="0" w:space="0" w:color="auto"/>
      </w:divBdr>
    </w:div>
    <w:div w:id="1007943787">
      <w:bodyDiv w:val="1"/>
      <w:marLeft w:val="0"/>
      <w:marRight w:val="0"/>
      <w:marTop w:val="0"/>
      <w:marBottom w:val="0"/>
      <w:divBdr>
        <w:top w:val="none" w:sz="0" w:space="0" w:color="auto"/>
        <w:left w:val="none" w:sz="0" w:space="0" w:color="auto"/>
        <w:bottom w:val="none" w:sz="0" w:space="0" w:color="auto"/>
        <w:right w:val="none" w:sz="0" w:space="0" w:color="auto"/>
      </w:divBdr>
    </w:div>
    <w:div w:id="1012225461">
      <w:bodyDiv w:val="1"/>
      <w:marLeft w:val="0"/>
      <w:marRight w:val="0"/>
      <w:marTop w:val="0"/>
      <w:marBottom w:val="0"/>
      <w:divBdr>
        <w:top w:val="none" w:sz="0" w:space="0" w:color="auto"/>
        <w:left w:val="none" w:sz="0" w:space="0" w:color="auto"/>
        <w:bottom w:val="none" w:sz="0" w:space="0" w:color="auto"/>
        <w:right w:val="none" w:sz="0" w:space="0" w:color="auto"/>
      </w:divBdr>
    </w:div>
    <w:div w:id="1018042579">
      <w:bodyDiv w:val="1"/>
      <w:marLeft w:val="0"/>
      <w:marRight w:val="0"/>
      <w:marTop w:val="0"/>
      <w:marBottom w:val="0"/>
      <w:divBdr>
        <w:top w:val="none" w:sz="0" w:space="0" w:color="auto"/>
        <w:left w:val="none" w:sz="0" w:space="0" w:color="auto"/>
        <w:bottom w:val="none" w:sz="0" w:space="0" w:color="auto"/>
        <w:right w:val="none" w:sz="0" w:space="0" w:color="auto"/>
      </w:divBdr>
    </w:div>
    <w:div w:id="1034504121">
      <w:bodyDiv w:val="1"/>
      <w:marLeft w:val="0"/>
      <w:marRight w:val="0"/>
      <w:marTop w:val="0"/>
      <w:marBottom w:val="0"/>
      <w:divBdr>
        <w:top w:val="none" w:sz="0" w:space="0" w:color="auto"/>
        <w:left w:val="none" w:sz="0" w:space="0" w:color="auto"/>
        <w:bottom w:val="none" w:sz="0" w:space="0" w:color="auto"/>
        <w:right w:val="none" w:sz="0" w:space="0" w:color="auto"/>
      </w:divBdr>
    </w:div>
    <w:div w:id="1041974858">
      <w:bodyDiv w:val="1"/>
      <w:marLeft w:val="0"/>
      <w:marRight w:val="0"/>
      <w:marTop w:val="0"/>
      <w:marBottom w:val="0"/>
      <w:divBdr>
        <w:top w:val="none" w:sz="0" w:space="0" w:color="auto"/>
        <w:left w:val="none" w:sz="0" w:space="0" w:color="auto"/>
        <w:bottom w:val="none" w:sz="0" w:space="0" w:color="auto"/>
        <w:right w:val="none" w:sz="0" w:space="0" w:color="auto"/>
      </w:divBdr>
    </w:div>
    <w:div w:id="1057554547">
      <w:bodyDiv w:val="1"/>
      <w:marLeft w:val="0"/>
      <w:marRight w:val="0"/>
      <w:marTop w:val="0"/>
      <w:marBottom w:val="0"/>
      <w:divBdr>
        <w:top w:val="none" w:sz="0" w:space="0" w:color="auto"/>
        <w:left w:val="none" w:sz="0" w:space="0" w:color="auto"/>
        <w:bottom w:val="none" w:sz="0" w:space="0" w:color="auto"/>
        <w:right w:val="none" w:sz="0" w:space="0" w:color="auto"/>
      </w:divBdr>
    </w:div>
    <w:div w:id="1068041738">
      <w:bodyDiv w:val="1"/>
      <w:marLeft w:val="0"/>
      <w:marRight w:val="0"/>
      <w:marTop w:val="0"/>
      <w:marBottom w:val="0"/>
      <w:divBdr>
        <w:top w:val="none" w:sz="0" w:space="0" w:color="auto"/>
        <w:left w:val="none" w:sz="0" w:space="0" w:color="auto"/>
        <w:bottom w:val="none" w:sz="0" w:space="0" w:color="auto"/>
        <w:right w:val="none" w:sz="0" w:space="0" w:color="auto"/>
      </w:divBdr>
    </w:div>
    <w:div w:id="1081826586">
      <w:bodyDiv w:val="1"/>
      <w:marLeft w:val="0"/>
      <w:marRight w:val="0"/>
      <w:marTop w:val="0"/>
      <w:marBottom w:val="0"/>
      <w:divBdr>
        <w:top w:val="none" w:sz="0" w:space="0" w:color="auto"/>
        <w:left w:val="none" w:sz="0" w:space="0" w:color="auto"/>
        <w:bottom w:val="none" w:sz="0" w:space="0" w:color="auto"/>
        <w:right w:val="none" w:sz="0" w:space="0" w:color="auto"/>
      </w:divBdr>
    </w:div>
    <w:div w:id="1093741006">
      <w:bodyDiv w:val="1"/>
      <w:marLeft w:val="0"/>
      <w:marRight w:val="0"/>
      <w:marTop w:val="0"/>
      <w:marBottom w:val="0"/>
      <w:divBdr>
        <w:top w:val="none" w:sz="0" w:space="0" w:color="auto"/>
        <w:left w:val="none" w:sz="0" w:space="0" w:color="auto"/>
        <w:bottom w:val="none" w:sz="0" w:space="0" w:color="auto"/>
        <w:right w:val="none" w:sz="0" w:space="0" w:color="auto"/>
      </w:divBdr>
    </w:div>
    <w:div w:id="1099301870">
      <w:bodyDiv w:val="1"/>
      <w:marLeft w:val="0"/>
      <w:marRight w:val="0"/>
      <w:marTop w:val="0"/>
      <w:marBottom w:val="0"/>
      <w:divBdr>
        <w:top w:val="none" w:sz="0" w:space="0" w:color="auto"/>
        <w:left w:val="none" w:sz="0" w:space="0" w:color="auto"/>
        <w:bottom w:val="none" w:sz="0" w:space="0" w:color="auto"/>
        <w:right w:val="none" w:sz="0" w:space="0" w:color="auto"/>
      </w:divBdr>
    </w:div>
    <w:div w:id="1135416062">
      <w:bodyDiv w:val="1"/>
      <w:marLeft w:val="0"/>
      <w:marRight w:val="0"/>
      <w:marTop w:val="0"/>
      <w:marBottom w:val="0"/>
      <w:divBdr>
        <w:top w:val="none" w:sz="0" w:space="0" w:color="auto"/>
        <w:left w:val="none" w:sz="0" w:space="0" w:color="auto"/>
        <w:bottom w:val="none" w:sz="0" w:space="0" w:color="auto"/>
        <w:right w:val="none" w:sz="0" w:space="0" w:color="auto"/>
      </w:divBdr>
    </w:div>
    <w:div w:id="1137796525">
      <w:bodyDiv w:val="1"/>
      <w:marLeft w:val="0"/>
      <w:marRight w:val="0"/>
      <w:marTop w:val="0"/>
      <w:marBottom w:val="0"/>
      <w:divBdr>
        <w:top w:val="none" w:sz="0" w:space="0" w:color="auto"/>
        <w:left w:val="none" w:sz="0" w:space="0" w:color="auto"/>
        <w:bottom w:val="none" w:sz="0" w:space="0" w:color="auto"/>
        <w:right w:val="none" w:sz="0" w:space="0" w:color="auto"/>
      </w:divBdr>
    </w:div>
    <w:div w:id="1149249805">
      <w:bodyDiv w:val="1"/>
      <w:marLeft w:val="0"/>
      <w:marRight w:val="0"/>
      <w:marTop w:val="0"/>
      <w:marBottom w:val="0"/>
      <w:divBdr>
        <w:top w:val="none" w:sz="0" w:space="0" w:color="auto"/>
        <w:left w:val="none" w:sz="0" w:space="0" w:color="auto"/>
        <w:bottom w:val="none" w:sz="0" w:space="0" w:color="auto"/>
        <w:right w:val="none" w:sz="0" w:space="0" w:color="auto"/>
      </w:divBdr>
    </w:div>
    <w:div w:id="1150443219">
      <w:bodyDiv w:val="1"/>
      <w:marLeft w:val="0"/>
      <w:marRight w:val="0"/>
      <w:marTop w:val="0"/>
      <w:marBottom w:val="0"/>
      <w:divBdr>
        <w:top w:val="none" w:sz="0" w:space="0" w:color="auto"/>
        <w:left w:val="none" w:sz="0" w:space="0" w:color="auto"/>
        <w:bottom w:val="none" w:sz="0" w:space="0" w:color="auto"/>
        <w:right w:val="none" w:sz="0" w:space="0" w:color="auto"/>
      </w:divBdr>
    </w:div>
    <w:div w:id="1161895330">
      <w:bodyDiv w:val="1"/>
      <w:marLeft w:val="0"/>
      <w:marRight w:val="0"/>
      <w:marTop w:val="0"/>
      <w:marBottom w:val="0"/>
      <w:divBdr>
        <w:top w:val="none" w:sz="0" w:space="0" w:color="auto"/>
        <w:left w:val="none" w:sz="0" w:space="0" w:color="auto"/>
        <w:bottom w:val="none" w:sz="0" w:space="0" w:color="auto"/>
        <w:right w:val="none" w:sz="0" w:space="0" w:color="auto"/>
      </w:divBdr>
    </w:div>
    <w:div w:id="1164128699">
      <w:bodyDiv w:val="1"/>
      <w:marLeft w:val="0"/>
      <w:marRight w:val="0"/>
      <w:marTop w:val="0"/>
      <w:marBottom w:val="0"/>
      <w:divBdr>
        <w:top w:val="none" w:sz="0" w:space="0" w:color="auto"/>
        <w:left w:val="none" w:sz="0" w:space="0" w:color="auto"/>
        <w:bottom w:val="none" w:sz="0" w:space="0" w:color="auto"/>
        <w:right w:val="none" w:sz="0" w:space="0" w:color="auto"/>
      </w:divBdr>
    </w:div>
    <w:div w:id="1164977971">
      <w:bodyDiv w:val="1"/>
      <w:marLeft w:val="0"/>
      <w:marRight w:val="0"/>
      <w:marTop w:val="0"/>
      <w:marBottom w:val="0"/>
      <w:divBdr>
        <w:top w:val="none" w:sz="0" w:space="0" w:color="auto"/>
        <w:left w:val="none" w:sz="0" w:space="0" w:color="auto"/>
        <w:bottom w:val="none" w:sz="0" w:space="0" w:color="auto"/>
        <w:right w:val="none" w:sz="0" w:space="0" w:color="auto"/>
      </w:divBdr>
    </w:div>
    <w:div w:id="1167594779">
      <w:bodyDiv w:val="1"/>
      <w:marLeft w:val="0"/>
      <w:marRight w:val="0"/>
      <w:marTop w:val="0"/>
      <w:marBottom w:val="0"/>
      <w:divBdr>
        <w:top w:val="none" w:sz="0" w:space="0" w:color="auto"/>
        <w:left w:val="none" w:sz="0" w:space="0" w:color="auto"/>
        <w:bottom w:val="none" w:sz="0" w:space="0" w:color="auto"/>
        <w:right w:val="none" w:sz="0" w:space="0" w:color="auto"/>
      </w:divBdr>
    </w:div>
    <w:div w:id="1174614059">
      <w:bodyDiv w:val="1"/>
      <w:marLeft w:val="0"/>
      <w:marRight w:val="0"/>
      <w:marTop w:val="0"/>
      <w:marBottom w:val="0"/>
      <w:divBdr>
        <w:top w:val="none" w:sz="0" w:space="0" w:color="auto"/>
        <w:left w:val="none" w:sz="0" w:space="0" w:color="auto"/>
        <w:bottom w:val="none" w:sz="0" w:space="0" w:color="auto"/>
        <w:right w:val="none" w:sz="0" w:space="0" w:color="auto"/>
      </w:divBdr>
    </w:div>
    <w:div w:id="1176118655">
      <w:bodyDiv w:val="1"/>
      <w:marLeft w:val="0"/>
      <w:marRight w:val="0"/>
      <w:marTop w:val="0"/>
      <w:marBottom w:val="0"/>
      <w:divBdr>
        <w:top w:val="none" w:sz="0" w:space="0" w:color="auto"/>
        <w:left w:val="none" w:sz="0" w:space="0" w:color="auto"/>
        <w:bottom w:val="none" w:sz="0" w:space="0" w:color="auto"/>
        <w:right w:val="none" w:sz="0" w:space="0" w:color="auto"/>
      </w:divBdr>
    </w:div>
    <w:div w:id="1187020347">
      <w:bodyDiv w:val="1"/>
      <w:marLeft w:val="0"/>
      <w:marRight w:val="0"/>
      <w:marTop w:val="0"/>
      <w:marBottom w:val="0"/>
      <w:divBdr>
        <w:top w:val="none" w:sz="0" w:space="0" w:color="auto"/>
        <w:left w:val="none" w:sz="0" w:space="0" w:color="auto"/>
        <w:bottom w:val="none" w:sz="0" w:space="0" w:color="auto"/>
        <w:right w:val="none" w:sz="0" w:space="0" w:color="auto"/>
      </w:divBdr>
    </w:div>
    <w:div w:id="1195659286">
      <w:bodyDiv w:val="1"/>
      <w:marLeft w:val="0"/>
      <w:marRight w:val="0"/>
      <w:marTop w:val="0"/>
      <w:marBottom w:val="0"/>
      <w:divBdr>
        <w:top w:val="none" w:sz="0" w:space="0" w:color="auto"/>
        <w:left w:val="none" w:sz="0" w:space="0" w:color="auto"/>
        <w:bottom w:val="none" w:sz="0" w:space="0" w:color="auto"/>
        <w:right w:val="none" w:sz="0" w:space="0" w:color="auto"/>
      </w:divBdr>
    </w:div>
    <w:div w:id="1207109211">
      <w:bodyDiv w:val="1"/>
      <w:marLeft w:val="0"/>
      <w:marRight w:val="0"/>
      <w:marTop w:val="0"/>
      <w:marBottom w:val="0"/>
      <w:divBdr>
        <w:top w:val="none" w:sz="0" w:space="0" w:color="auto"/>
        <w:left w:val="none" w:sz="0" w:space="0" w:color="auto"/>
        <w:bottom w:val="none" w:sz="0" w:space="0" w:color="auto"/>
        <w:right w:val="none" w:sz="0" w:space="0" w:color="auto"/>
      </w:divBdr>
    </w:div>
    <w:div w:id="1211072233">
      <w:bodyDiv w:val="1"/>
      <w:marLeft w:val="0"/>
      <w:marRight w:val="0"/>
      <w:marTop w:val="0"/>
      <w:marBottom w:val="0"/>
      <w:divBdr>
        <w:top w:val="none" w:sz="0" w:space="0" w:color="auto"/>
        <w:left w:val="none" w:sz="0" w:space="0" w:color="auto"/>
        <w:bottom w:val="none" w:sz="0" w:space="0" w:color="auto"/>
        <w:right w:val="none" w:sz="0" w:space="0" w:color="auto"/>
      </w:divBdr>
    </w:div>
    <w:div w:id="1216812935">
      <w:bodyDiv w:val="1"/>
      <w:marLeft w:val="0"/>
      <w:marRight w:val="0"/>
      <w:marTop w:val="0"/>
      <w:marBottom w:val="0"/>
      <w:divBdr>
        <w:top w:val="none" w:sz="0" w:space="0" w:color="auto"/>
        <w:left w:val="none" w:sz="0" w:space="0" w:color="auto"/>
        <w:bottom w:val="none" w:sz="0" w:space="0" w:color="auto"/>
        <w:right w:val="none" w:sz="0" w:space="0" w:color="auto"/>
      </w:divBdr>
    </w:div>
    <w:div w:id="1220674200">
      <w:bodyDiv w:val="1"/>
      <w:marLeft w:val="0"/>
      <w:marRight w:val="0"/>
      <w:marTop w:val="0"/>
      <w:marBottom w:val="0"/>
      <w:divBdr>
        <w:top w:val="none" w:sz="0" w:space="0" w:color="auto"/>
        <w:left w:val="none" w:sz="0" w:space="0" w:color="auto"/>
        <w:bottom w:val="none" w:sz="0" w:space="0" w:color="auto"/>
        <w:right w:val="none" w:sz="0" w:space="0" w:color="auto"/>
      </w:divBdr>
    </w:div>
    <w:div w:id="1223367169">
      <w:bodyDiv w:val="1"/>
      <w:marLeft w:val="0"/>
      <w:marRight w:val="0"/>
      <w:marTop w:val="0"/>
      <w:marBottom w:val="0"/>
      <w:divBdr>
        <w:top w:val="none" w:sz="0" w:space="0" w:color="auto"/>
        <w:left w:val="none" w:sz="0" w:space="0" w:color="auto"/>
        <w:bottom w:val="none" w:sz="0" w:space="0" w:color="auto"/>
        <w:right w:val="none" w:sz="0" w:space="0" w:color="auto"/>
      </w:divBdr>
    </w:div>
    <w:div w:id="1253854893">
      <w:bodyDiv w:val="1"/>
      <w:marLeft w:val="0"/>
      <w:marRight w:val="0"/>
      <w:marTop w:val="0"/>
      <w:marBottom w:val="0"/>
      <w:divBdr>
        <w:top w:val="none" w:sz="0" w:space="0" w:color="auto"/>
        <w:left w:val="none" w:sz="0" w:space="0" w:color="auto"/>
        <w:bottom w:val="none" w:sz="0" w:space="0" w:color="auto"/>
        <w:right w:val="none" w:sz="0" w:space="0" w:color="auto"/>
      </w:divBdr>
    </w:div>
    <w:div w:id="1254120888">
      <w:bodyDiv w:val="1"/>
      <w:marLeft w:val="0"/>
      <w:marRight w:val="0"/>
      <w:marTop w:val="0"/>
      <w:marBottom w:val="0"/>
      <w:divBdr>
        <w:top w:val="none" w:sz="0" w:space="0" w:color="auto"/>
        <w:left w:val="none" w:sz="0" w:space="0" w:color="auto"/>
        <w:bottom w:val="none" w:sz="0" w:space="0" w:color="auto"/>
        <w:right w:val="none" w:sz="0" w:space="0" w:color="auto"/>
      </w:divBdr>
    </w:div>
    <w:div w:id="1271015806">
      <w:bodyDiv w:val="1"/>
      <w:marLeft w:val="0"/>
      <w:marRight w:val="0"/>
      <w:marTop w:val="0"/>
      <w:marBottom w:val="0"/>
      <w:divBdr>
        <w:top w:val="none" w:sz="0" w:space="0" w:color="auto"/>
        <w:left w:val="none" w:sz="0" w:space="0" w:color="auto"/>
        <w:bottom w:val="none" w:sz="0" w:space="0" w:color="auto"/>
        <w:right w:val="none" w:sz="0" w:space="0" w:color="auto"/>
      </w:divBdr>
    </w:div>
    <w:div w:id="1284074223">
      <w:bodyDiv w:val="1"/>
      <w:marLeft w:val="0"/>
      <w:marRight w:val="0"/>
      <w:marTop w:val="0"/>
      <w:marBottom w:val="0"/>
      <w:divBdr>
        <w:top w:val="none" w:sz="0" w:space="0" w:color="auto"/>
        <w:left w:val="none" w:sz="0" w:space="0" w:color="auto"/>
        <w:bottom w:val="none" w:sz="0" w:space="0" w:color="auto"/>
        <w:right w:val="none" w:sz="0" w:space="0" w:color="auto"/>
      </w:divBdr>
    </w:div>
    <w:div w:id="1285036456">
      <w:bodyDiv w:val="1"/>
      <w:marLeft w:val="0"/>
      <w:marRight w:val="0"/>
      <w:marTop w:val="0"/>
      <w:marBottom w:val="0"/>
      <w:divBdr>
        <w:top w:val="none" w:sz="0" w:space="0" w:color="auto"/>
        <w:left w:val="none" w:sz="0" w:space="0" w:color="auto"/>
        <w:bottom w:val="none" w:sz="0" w:space="0" w:color="auto"/>
        <w:right w:val="none" w:sz="0" w:space="0" w:color="auto"/>
      </w:divBdr>
    </w:div>
    <w:div w:id="1286888141">
      <w:bodyDiv w:val="1"/>
      <w:marLeft w:val="0"/>
      <w:marRight w:val="0"/>
      <w:marTop w:val="0"/>
      <w:marBottom w:val="0"/>
      <w:divBdr>
        <w:top w:val="none" w:sz="0" w:space="0" w:color="auto"/>
        <w:left w:val="none" w:sz="0" w:space="0" w:color="auto"/>
        <w:bottom w:val="none" w:sz="0" w:space="0" w:color="auto"/>
        <w:right w:val="none" w:sz="0" w:space="0" w:color="auto"/>
      </w:divBdr>
    </w:div>
    <w:div w:id="1311982327">
      <w:bodyDiv w:val="1"/>
      <w:marLeft w:val="0"/>
      <w:marRight w:val="0"/>
      <w:marTop w:val="0"/>
      <w:marBottom w:val="0"/>
      <w:divBdr>
        <w:top w:val="none" w:sz="0" w:space="0" w:color="auto"/>
        <w:left w:val="none" w:sz="0" w:space="0" w:color="auto"/>
        <w:bottom w:val="none" w:sz="0" w:space="0" w:color="auto"/>
        <w:right w:val="none" w:sz="0" w:space="0" w:color="auto"/>
      </w:divBdr>
    </w:div>
    <w:div w:id="1314524940">
      <w:bodyDiv w:val="1"/>
      <w:marLeft w:val="0"/>
      <w:marRight w:val="0"/>
      <w:marTop w:val="0"/>
      <w:marBottom w:val="0"/>
      <w:divBdr>
        <w:top w:val="none" w:sz="0" w:space="0" w:color="auto"/>
        <w:left w:val="none" w:sz="0" w:space="0" w:color="auto"/>
        <w:bottom w:val="none" w:sz="0" w:space="0" w:color="auto"/>
        <w:right w:val="none" w:sz="0" w:space="0" w:color="auto"/>
      </w:divBdr>
    </w:div>
    <w:div w:id="1318143767">
      <w:bodyDiv w:val="1"/>
      <w:marLeft w:val="0"/>
      <w:marRight w:val="0"/>
      <w:marTop w:val="0"/>
      <w:marBottom w:val="0"/>
      <w:divBdr>
        <w:top w:val="none" w:sz="0" w:space="0" w:color="auto"/>
        <w:left w:val="none" w:sz="0" w:space="0" w:color="auto"/>
        <w:bottom w:val="none" w:sz="0" w:space="0" w:color="auto"/>
        <w:right w:val="none" w:sz="0" w:space="0" w:color="auto"/>
      </w:divBdr>
    </w:div>
    <w:div w:id="1320311541">
      <w:bodyDiv w:val="1"/>
      <w:marLeft w:val="0"/>
      <w:marRight w:val="0"/>
      <w:marTop w:val="0"/>
      <w:marBottom w:val="0"/>
      <w:divBdr>
        <w:top w:val="none" w:sz="0" w:space="0" w:color="auto"/>
        <w:left w:val="none" w:sz="0" w:space="0" w:color="auto"/>
        <w:bottom w:val="none" w:sz="0" w:space="0" w:color="auto"/>
        <w:right w:val="none" w:sz="0" w:space="0" w:color="auto"/>
      </w:divBdr>
    </w:div>
    <w:div w:id="1321614749">
      <w:bodyDiv w:val="1"/>
      <w:marLeft w:val="0"/>
      <w:marRight w:val="0"/>
      <w:marTop w:val="0"/>
      <w:marBottom w:val="0"/>
      <w:divBdr>
        <w:top w:val="none" w:sz="0" w:space="0" w:color="auto"/>
        <w:left w:val="none" w:sz="0" w:space="0" w:color="auto"/>
        <w:bottom w:val="none" w:sz="0" w:space="0" w:color="auto"/>
        <w:right w:val="none" w:sz="0" w:space="0" w:color="auto"/>
      </w:divBdr>
    </w:div>
    <w:div w:id="1326742631">
      <w:bodyDiv w:val="1"/>
      <w:marLeft w:val="0"/>
      <w:marRight w:val="0"/>
      <w:marTop w:val="0"/>
      <w:marBottom w:val="0"/>
      <w:divBdr>
        <w:top w:val="none" w:sz="0" w:space="0" w:color="auto"/>
        <w:left w:val="none" w:sz="0" w:space="0" w:color="auto"/>
        <w:bottom w:val="none" w:sz="0" w:space="0" w:color="auto"/>
        <w:right w:val="none" w:sz="0" w:space="0" w:color="auto"/>
      </w:divBdr>
    </w:div>
    <w:div w:id="1349521809">
      <w:bodyDiv w:val="1"/>
      <w:marLeft w:val="0"/>
      <w:marRight w:val="0"/>
      <w:marTop w:val="0"/>
      <w:marBottom w:val="0"/>
      <w:divBdr>
        <w:top w:val="none" w:sz="0" w:space="0" w:color="auto"/>
        <w:left w:val="none" w:sz="0" w:space="0" w:color="auto"/>
        <w:bottom w:val="none" w:sz="0" w:space="0" w:color="auto"/>
        <w:right w:val="none" w:sz="0" w:space="0" w:color="auto"/>
      </w:divBdr>
    </w:div>
    <w:div w:id="1350445916">
      <w:bodyDiv w:val="1"/>
      <w:marLeft w:val="0"/>
      <w:marRight w:val="0"/>
      <w:marTop w:val="0"/>
      <w:marBottom w:val="0"/>
      <w:divBdr>
        <w:top w:val="none" w:sz="0" w:space="0" w:color="auto"/>
        <w:left w:val="none" w:sz="0" w:space="0" w:color="auto"/>
        <w:bottom w:val="none" w:sz="0" w:space="0" w:color="auto"/>
        <w:right w:val="none" w:sz="0" w:space="0" w:color="auto"/>
      </w:divBdr>
    </w:div>
    <w:div w:id="1375495808">
      <w:bodyDiv w:val="1"/>
      <w:marLeft w:val="0"/>
      <w:marRight w:val="0"/>
      <w:marTop w:val="0"/>
      <w:marBottom w:val="0"/>
      <w:divBdr>
        <w:top w:val="none" w:sz="0" w:space="0" w:color="auto"/>
        <w:left w:val="none" w:sz="0" w:space="0" w:color="auto"/>
        <w:bottom w:val="none" w:sz="0" w:space="0" w:color="auto"/>
        <w:right w:val="none" w:sz="0" w:space="0" w:color="auto"/>
      </w:divBdr>
    </w:div>
    <w:div w:id="1383555561">
      <w:bodyDiv w:val="1"/>
      <w:marLeft w:val="0"/>
      <w:marRight w:val="0"/>
      <w:marTop w:val="0"/>
      <w:marBottom w:val="0"/>
      <w:divBdr>
        <w:top w:val="none" w:sz="0" w:space="0" w:color="auto"/>
        <w:left w:val="none" w:sz="0" w:space="0" w:color="auto"/>
        <w:bottom w:val="none" w:sz="0" w:space="0" w:color="auto"/>
        <w:right w:val="none" w:sz="0" w:space="0" w:color="auto"/>
      </w:divBdr>
    </w:div>
    <w:div w:id="1384017091">
      <w:bodyDiv w:val="1"/>
      <w:marLeft w:val="0"/>
      <w:marRight w:val="0"/>
      <w:marTop w:val="0"/>
      <w:marBottom w:val="0"/>
      <w:divBdr>
        <w:top w:val="none" w:sz="0" w:space="0" w:color="auto"/>
        <w:left w:val="none" w:sz="0" w:space="0" w:color="auto"/>
        <w:bottom w:val="none" w:sz="0" w:space="0" w:color="auto"/>
        <w:right w:val="none" w:sz="0" w:space="0" w:color="auto"/>
      </w:divBdr>
    </w:div>
    <w:div w:id="1387946669">
      <w:bodyDiv w:val="1"/>
      <w:marLeft w:val="0"/>
      <w:marRight w:val="0"/>
      <w:marTop w:val="0"/>
      <w:marBottom w:val="0"/>
      <w:divBdr>
        <w:top w:val="none" w:sz="0" w:space="0" w:color="auto"/>
        <w:left w:val="none" w:sz="0" w:space="0" w:color="auto"/>
        <w:bottom w:val="none" w:sz="0" w:space="0" w:color="auto"/>
        <w:right w:val="none" w:sz="0" w:space="0" w:color="auto"/>
      </w:divBdr>
    </w:div>
    <w:div w:id="1392341803">
      <w:bodyDiv w:val="1"/>
      <w:marLeft w:val="0"/>
      <w:marRight w:val="0"/>
      <w:marTop w:val="0"/>
      <w:marBottom w:val="0"/>
      <w:divBdr>
        <w:top w:val="none" w:sz="0" w:space="0" w:color="auto"/>
        <w:left w:val="none" w:sz="0" w:space="0" w:color="auto"/>
        <w:bottom w:val="none" w:sz="0" w:space="0" w:color="auto"/>
        <w:right w:val="none" w:sz="0" w:space="0" w:color="auto"/>
      </w:divBdr>
    </w:div>
    <w:div w:id="1421684827">
      <w:bodyDiv w:val="1"/>
      <w:marLeft w:val="0"/>
      <w:marRight w:val="0"/>
      <w:marTop w:val="0"/>
      <w:marBottom w:val="0"/>
      <w:divBdr>
        <w:top w:val="none" w:sz="0" w:space="0" w:color="auto"/>
        <w:left w:val="none" w:sz="0" w:space="0" w:color="auto"/>
        <w:bottom w:val="none" w:sz="0" w:space="0" w:color="auto"/>
        <w:right w:val="none" w:sz="0" w:space="0" w:color="auto"/>
      </w:divBdr>
    </w:div>
    <w:div w:id="1436749803">
      <w:bodyDiv w:val="1"/>
      <w:marLeft w:val="0"/>
      <w:marRight w:val="0"/>
      <w:marTop w:val="0"/>
      <w:marBottom w:val="0"/>
      <w:divBdr>
        <w:top w:val="none" w:sz="0" w:space="0" w:color="auto"/>
        <w:left w:val="none" w:sz="0" w:space="0" w:color="auto"/>
        <w:bottom w:val="none" w:sz="0" w:space="0" w:color="auto"/>
        <w:right w:val="none" w:sz="0" w:space="0" w:color="auto"/>
      </w:divBdr>
    </w:div>
    <w:div w:id="1446924478">
      <w:bodyDiv w:val="1"/>
      <w:marLeft w:val="0"/>
      <w:marRight w:val="0"/>
      <w:marTop w:val="0"/>
      <w:marBottom w:val="0"/>
      <w:divBdr>
        <w:top w:val="none" w:sz="0" w:space="0" w:color="auto"/>
        <w:left w:val="none" w:sz="0" w:space="0" w:color="auto"/>
        <w:bottom w:val="none" w:sz="0" w:space="0" w:color="auto"/>
        <w:right w:val="none" w:sz="0" w:space="0" w:color="auto"/>
      </w:divBdr>
    </w:div>
    <w:div w:id="1458063865">
      <w:bodyDiv w:val="1"/>
      <w:marLeft w:val="0"/>
      <w:marRight w:val="0"/>
      <w:marTop w:val="0"/>
      <w:marBottom w:val="0"/>
      <w:divBdr>
        <w:top w:val="none" w:sz="0" w:space="0" w:color="auto"/>
        <w:left w:val="none" w:sz="0" w:space="0" w:color="auto"/>
        <w:bottom w:val="none" w:sz="0" w:space="0" w:color="auto"/>
        <w:right w:val="none" w:sz="0" w:space="0" w:color="auto"/>
      </w:divBdr>
    </w:div>
    <w:div w:id="1458374398">
      <w:bodyDiv w:val="1"/>
      <w:marLeft w:val="0"/>
      <w:marRight w:val="0"/>
      <w:marTop w:val="0"/>
      <w:marBottom w:val="0"/>
      <w:divBdr>
        <w:top w:val="none" w:sz="0" w:space="0" w:color="auto"/>
        <w:left w:val="none" w:sz="0" w:space="0" w:color="auto"/>
        <w:bottom w:val="none" w:sz="0" w:space="0" w:color="auto"/>
        <w:right w:val="none" w:sz="0" w:space="0" w:color="auto"/>
      </w:divBdr>
    </w:div>
    <w:div w:id="1487622119">
      <w:bodyDiv w:val="1"/>
      <w:marLeft w:val="0"/>
      <w:marRight w:val="0"/>
      <w:marTop w:val="0"/>
      <w:marBottom w:val="0"/>
      <w:divBdr>
        <w:top w:val="none" w:sz="0" w:space="0" w:color="auto"/>
        <w:left w:val="none" w:sz="0" w:space="0" w:color="auto"/>
        <w:bottom w:val="none" w:sz="0" w:space="0" w:color="auto"/>
        <w:right w:val="none" w:sz="0" w:space="0" w:color="auto"/>
      </w:divBdr>
    </w:div>
    <w:div w:id="1494832070">
      <w:bodyDiv w:val="1"/>
      <w:marLeft w:val="0"/>
      <w:marRight w:val="0"/>
      <w:marTop w:val="0"/>
      <w:marBottom w:val="0"/>
      <w:divBdr>
        <w:top w:val="none" w:sz="0" w:space="0" w:color="auto"/>
        <w:left w:val="none" w:sz="0" w:space="0" w:color="auto"/>
        <w:bottom w:val="none" w:sz="0" w:space="0" w:color="auto"/>
        <w:right w:val="none" w:sz="0" w:space="0" w:color="auto"/>
      </w:divBdr>
    </w:div>
    <w:div w:id="1501119184">
      <w:bodyDiv w:val="1"/>
      <w:marLeft w:val="0"/>
      <w:marRight w:val="0"/>
      <w:marTop w:val="0"/>
      <w:marBottom w:val="0"/>
      <w:divBdr>
        <w:top w:val="none" w:sz="0" w:space="0" w:color="auto"/>
        <w:left w:val="none" w:sz="0" w:space="0" w:color="auto"/>
        <w:bottom w:val="none" w:sz="0" w:space="0" w:color="auto"/>
        <w:right w:val="none" w:sz="0" w:space="0" w:color="auto"/>
      </w:divBdr>
    </w:div>
    <w:div w:id="1524441408">
      <w:bodyDiv w:val="1"/>
      <w:marLeft w:val="0"/>
      <w:marRight w:val="0"/>
      <w:marTop w:val="0"/>
      <w:marBottom w:val="0"/>
      <w:divBdr>
        <w:top w:val="none" w:sz="0" w:space="0" w:color="auto"/>
        <w:left w:val="none" w:sz="0" w:space="0" w:color="auto"/>
        <w:bottom w:val="none" w:sz="0" w:space="0" w:color="auto"/>
        <w:right w:val="none" w:sz="0" w:space="0" w:color="auto"/>
      </w:divBdr>
    </w:div>
    <w:div w:id="1525440000">
      <w:bodyDiv w:val="1"/>
      <w:marLeft w:val="0"/>
      <w:marRight w:val="0"/>
      <w:marTop w:val="0"/>
      <w:marBottom w:val="0"/>
      <w:divBdr>
        <w:top w:val="none" w:sz="0" w:space="0" w:color="auto"/>
        <w:left w:val="none" w:sz="0" w:space="0" w:color="auto"/>
        <w:bottom w:val="none" w:sz="0" w:space="0" w:color="auto"/>
        <w:right w:val="none" w:sz="0" w:space="0" w:color="auto"/>
      </w:divBdr>
    </w:div>
    <w:div w:id="1540360940">
      <w:bodyDiv w:val="1"/>
      <w:marLeft w:val="0"/>
      <w:marRight w:val="0"/>
      <w:marTop w:val="0"/>
      <w:marBottom w:val="0"/>
      <w:divBdr>
        <w:top w:val="none" w:sz="0" w:space="0" w:color="auto"/>
        <w:left w:val="none" w:sz="0" w:space="0" w:color="auto"/>
        <w:bottom w:val="none" w:sz="0" w:space="0" w:color="auto"/>
        <w:right w:val="none" w:sz="0" w:space="0" w:color="auto"/>
      </w:divBdr>
    </w:div>
    <w:div w:id="1541236434">
      <w:bodyDiv w:val="1"/>
      <w:marLeft w:val="0"/>
      <w:marRight w:val="0"/>
      <w:marTop w:val="0"/>
      <w:marBottom w:val="0"/>
      <w:divBdr>
        <w:top w:val="none" w:sz="0" w:space="0" w:color="auto"/>
        <w:left w:val="none" w:sz="0" w:space="0" w:color="auto"/>
        <w:bottom w:val="none" w:sz="0" w:space="0" w:color="auto"/>
        <w:right w:val="none" w:sz="0" w:space="0" w:color="auto"/>
      </w:divBdr>
    </w:div>
    <w:div w:id="1565796478">
      <w:bodyDiv w:val="1"/>
      <w:marLeft w:val="0"/>
      <w:marRight w:val="0"/>
      <w:marTop w:val="0"/>
      <w:marBottom w:val="0"/>
      <w:divBdr>
        <w:top w:val="none" w:sz="0" w:space="0" w:color="auto"/>
        <w:left w:val="none" w:sz="0" w:space="0" w:color="auto"/>
        <w:bottom w:val="none" w:sz="0" w:space="0" w:color="auto"/>
        <w:right w:val="none" w:sz="0" w:space="0" w:color="auto"/>
      </w:divBdr>
    </w:div>
    <w:div w:id="1572352535">
      <w:bodyDiv w:val="1"/>
      <w:marLeft w:val="0"/>
      <w:marRight w:val="0"/>
      <w:marTop w:val="0"/>
      <w:marBottom w:val="0"/>
      <w:divBdr>
        <w:top w:val="none" w:sz="0" w:space="0" w:color="auto"/>
        <w:left w:val="none" w:sz="0" w:space="0" w:color="auto"/>
        <w:bottom w:val="none" w:sz="0" w:space="0" w:color="auto"/>
        <w:right w:val="none" w:sz="0" w:space="0" w:color="auto"/>
      </w:divBdr>
    </w:div>
    <w:div w:id="1574506593">
      <w:bodyDiv w:val="1"/>
      <w:marLeft w:val="0"/>
      <w:marRight w:val="0"/>
      <w:marTop w:val="0"/>
      <w:marBottom w:val="0"/>
      <w:divBdr>
        <w:top w:val="none" w:sz="0" w:space="0" w:color="auto"/>
        <w:left w:val="none" w:sz="0" w:space="0" w:color="auto"/>
        <w:bottom w:val="none" w:sz="0" w:space="0" w:color="auto"/>
        <w:right w:val="none" w:sz="0" w:space="0" w:color="auto"/>
      </w:divBdr>
    </w:div>
    <w:div w:id="1579560128">
      <w:bodyDiv w:val="1"/>
      <w:marLeft w:val="0"/>
      <w:marRight w:val="0"/>
      <w:marTop w:val="0"/>
      <w:marBottom w:val="0"/>
      <w:divBdr>
        <w:top w:val="none" w:sz="0" w:space="0" w:color="auto"/>
        <w:left w:val="none" w:sz="0" w:space="0" w:color="auto"/>
        <w:bottom w:val="none" w:sz="0" w:space="0" w:color="auto"/>
        <w:right w:val="none" w:sz="0" w:space="0" w:color="auto"/>
      </w:divBdr>
    </w:div>
    <w:div w:id="1611664813">
      <w:bodyDiv w:val="1"/>
      <w:marLeft w:val="0"/>
      <w:marRight w:val="0"/>
      <w:marTop w:val="0"/>
      <w:marBottom w:val="0"/>
      <w:divBdr>
        <w:top w:val="none" w:sz="0" w:space="0" w:color="auto"/>
        <w:left w:val="none" w:sz="0" w:space="0" w:color="auto"/>
        <w:bottom w:val="none" w:sz="0" w:space="0" w:color="auto"/>
        <w:right w:val="none" w:sz="0" w:space="0" w:color="auto"/>
      </w:divBdr>
    </w:div>
    <w:div w:id="1617712531">
      <w:bodyDiv w:val="1"/>
      <w:marLeft w:val="0"/>
      <w:marRight w:val="0"/>
      <w:marTop w:val="0"/>
      <w:marBottom w:val="0"/>
      <w:divBdr>
        <w:top w:val="none" w:sz="0" w:space="0" w:color="auto"/>
        <w:left w:val="none" w:sz="0" w:space="0" w:color="auto"/>
        <w:bottom w:val="none" w:sz="0" w:space="0" w:color="auto"/>
        <w:right w:val="none" w:sz="0" w:space="0" w:color="auto"/>
      </w:divBdr>
    </w:div>
    <w:div w:id="1622229306">
      <w:bodyDiv w:val="1"/>
      <w:marLeft w:val="0"/>
      <w:marRight w:val="0"/>
      <w:marTop w:val="0"/>
      <w:marBottom w:val="0"/>
      <w:divBdr>
        <w:top w:val="none" w:sz="0" w:space="0" w:color="auto"/>
        <w:left w:val="none" w:sz="0" w:space="0" w:color="auto"/>
        <w:bottom w:val="none" w:sz="0" w:space="0" w:color="auto"/>
        <w:right w:val="none" w:sz="0" w:space="0" w:color="auto"/>
      </w:divBdr>
    </w:div>
    <w:div w:id="1624069664">
      <w:bodyDiv w:val="1"/>
      <w:marLeft w:val="0"/>
      <w:marRight w:val="0"/>
      <w:marTop w:val="0"/>
      <w:marBottom w:val="0"/>
      <w:divBdr>
        <w:top w:val="none" w:sz="0" w:space="0" w:color="auto"/>
        <w:left w:val="none" w:sz="0" w:space="0" w:color="auto"/>
        <w:bottom w:val="none" w:sz="0" w:space="0" w:color="auto"/>
        <w:right w:val="none" w:sz="0" w:space="0" w:color="auto"/>
      </w:divBdr>
    </w:div>
    <w:div w:id="1635912650">
      <w:bodyDiv w:val="1"/>
      <w:marLeft w:val="0"/>
      <w:marRight w:val="0"/>
      <w:marTop w:val="0"/>
      <w:marBottom w:val="0"/>
      <w:divBdr>
        <w:top w:val="none" w:sz="0" w:space="0" w:color="auto"/>
        <w:left w:val="none" w:sz="0" w:space="0" w:color="auto"/>
        <w:bottom w:val="none" w:sz="0" w:space="0" w:color="auto"/>
        <w:right w:val="none" w:sz="0" w:space="0" w:color="auto"/>
      </w:divBdr>
    </w:div>
    <w:div w:id="1635990809">
      <w:bodyDiv w:val="1"/>
      <w:marLeft w:val="0"/>
      <w:marRight w:val="0"/>
      <w:marTop w:val="0"/>
      <w:marBottom w:val="0"/>
      <w:divBdr>
        <w:top w:val="none" w:sz="0" w:space="0" w:color="auto"/>
        <w:left w:val="none" w:sz="0" w:space="0" w:color="auto"/>
        <w:bottom w:val="none" w:sz="0" w:space="0" w:color="auto"/>
        <w:right w:val="none" w:sz="0" w:space="0" w:color="auto"/>
      </w:divBdr>
    </w:div>
    <w:div w:id="1638298269">
      <w:bodyDiv w:val="1"/>
      <w:marLeft w:val="0"/>
      <w:marRight w:val="0"/>
      <w:marTop w:val="0"/>
      <w:marBottom w:val="0"/>
      <w:divBdr>
        <w:top w:val="none" w:sz="0" w:space="0" w:color="auto"/>
        <w:left w:val="none" w:sz="0" w:space="0" w:color="auto"/>
        <w:bottom w:val="none" w:sz="0" w:space="0" w:color="auto"/>
        <w:right w:val="none" w:sz="0" w:space="0" w:color="auto"/>
      </w:divBdr>
    </w:div>
    <w:div w:id="1640191000">
      <w:bodyDiv w:val="1"/>
      <w:marLeft w:val="0"/>
      <w:marRight w:val="0"/>
      <w:marTop w:val="0"/>
      <w:marBottom w:val="0"/>
      <w:divBdr>
        <w:top w:val="none" w:sz="0" w:space="0" w:color="auto"/>
        <w:left w:val="none" w:sz="0" w:space="0" w:color="auto"/>
        <w:bottom w:val="none" w:sz="0" w:space="0" w:color="auto"/>
        <w:right w:val="none" w:sz="0" w:space="0" w:color="auto"/>
      </w:divBdr>
    </w:div>
    <w:div w:id="1690570309">
      <w:bodyDiv w:val="1"/>
      <w:marLeft w:val="0"/>
      <w:marRight w:val="0"/>
      <w:marTop w:val="0"/>
      <w:marBottom w:val="0"/>
      <w:divBdr>
        <w:top w:val="none" w:sz="0" w:space="0" w:color="auto"/>
        <w:left w:val="none" w:sz="0" w:space="0" w:color="auto"/>
        <w:bottom w:val="none" w:sz="0" w:space="0" w:color="auto"/>
        <w:right w:val="none" w:sz="0" w:space="0" w:color="auto"/>
      </w:divBdr>
    </w:div>
    <w:div w:id="1709336220">
      <w:bodyDiv w:val="1"/>
      <w:marLeft w:val="0"/>
      <w:marRight w:val="0"/>
      <w:marTop w:val="0"/>
      <w:marBottom w:val="0"/>
      <w:divBdr>
        <w:top w:val="none" w:sz="0" w:space="0" w:color="auto"/>
        <w:left w:val="none" w:sz="0" w:space="0" w:color="auto"/>
        <w:bottom w:val="none" w:sz="0" w:space="0" w:color="auto"/>
        <w:right w:val="none" w:sz="0" w:space="0" w:color="auto"/>
      </w:divBdr>
    </w:div>
    <w:div w:id="1711414895">
      <w:bodyDiv w:val="1"/>
      <w:marLeft w:val="0"/>
      <w:marRight w:val="0"/>
      <w:marTop w:val="0"/>
      <w:marBottom w:val="0"/>
      <w:divBdr>
        <w:top w:val="none" w:sz="0" w:space="0" w:color="auto"/>
        <w:left w:val="none" w:sz="0" w:space="0" w:color="auto"/>
        <w:bottom w:val="none" w:sz="0" w:space="0" w:color="auto"/>
        <w:right w:val="none" w:sz="0" w:space="0" w:color="auto"/>
      </w:divBdr>
    </w:div>
    <w:div w:id="1715037523">
      <w:bodyDiv w:val="1"/>
      <w:marLeft w:val="0"/>
      <w:marRight w:val="0"/>
      <w:marTop w:val="0"/>
      <w:marBottom w:val="0"/>
      <w:divBdr>
        <w:top w:val="none" w:sz="0" w:space="0" w:color="auto"/>
        <w:left w:val="none" w:sz="0" w:space="0" w:color="auto"/>
        <w:bottom w:val="none" w:sz="0" w:space="0" w:color="auto"/>
        <w:right w:val="none" w:sz="0" w:space="0" w:color="auto"/>
      </w:divBdr>
    </w:div>
    <w:div w:id="1717392174">
      <w:bodyDiv w:val="1"/>
      <w:marLeft w:val="0"/>
      <w:marRight w:val="0"/>
      <w:marTop w:val="0"/>
      <w:marBottom w:val="0"/>
      <w:divBdr>
        <w:top w:val="none" w:sz="0" w:space="0" w:color="auto"/>
        <w:left w:val="none" w:sz="0" w:space="0" w:color="auto"/>
        <w:bottom w:val="none" w:sz="0" w:space="0" w:color="auto"/>
        <w:right w:val="none" w:sz="0" w:space="0" w:color="auto"/>
      </w:divBdr>
    </w:div>
    <w:div w:id="1740710792">
      <w:bodyDiv w:val="1"/>
      <w:marLeft w:val="0"/>
      <w:marRight w:val="0"/>
      <w:marTop w:val="0"/>
      <w:marBottom w:val="0"/>
      <w:divBdr>
        <w:top w:val="none" w:sz="0" w:space="0" w:color="auto"/>
        <w:left w:val="none" w:sz="0" w:space="0" w:color="auto"/>
        <w:bottom w:val="none" w:sz="0" w:space="0" w:color="auto"/>
        <w:right w:val="none" w:sz="0" w:space="0" w:color="auto"/>
      </w:divBdr>
    </w:div>
    <w:div w:id="1753509479">
      <w:bodyDiv w:val="1"/>
      <w:marLeft w:val="0"/>
      <w:marRight w:val="0"/>
      <w:marTop w:val="0"/>
      <w:marBottom w:val="0"/>
      <w:divBdr>
        <w:top w:val="none" w:sz="0" w:space="0" w:color="auto"/>
        <w:left w:val="none" w:sz="0" w:space="0" w:color="auto"/>
        <w:bottom w:val="none" w:sz="0" w:space="0" w:color="auto"/>
        <w:right w:val="none" w:sz="0" w:space="0" w:color="auto"/>
      </w:divBdr>
    </w:div>
    <w:div w:id="1754428737">
      <w:bodyDiv w:val="1"/>
      <w:marLeft w:val="0"/>
      <w:marRight w:val="0"/>
      <w:marTop w:val="0"/>
      <w:marBottom w:val="0"/>
      <w:divBdr>
        <w:top w:val="none" w:sz="0" w:space="0" w:color="auto"/>
        <w:left w:val="none" w:sz="0" w:space="0" w:color="auto"/>
        <w:bottom w:val="none" w:sz="0" w:space="0" w:color="auto"/>
        <w:right w:val="none" w:sz="0" w:space="0" w:color="auto"/>
      </w:divBdr>
    </w:div>
    <w:div w:id="1757289860">
      <w:bodyDiv w:val="1"/>
      <w:marLeft w:val="0"/>
      <w:marRight w:val="0"/>
      <w:marTop w:val="0"/>
      <w:marBottom w:val="0"/>
      <w:divBdr>
        <w:top w:val="none" w:sz="0" w:space="0" w:color="auto"/>
        <w:left w:val="none" w:sz="0" w:space="0" w:color="auto"/>
        <w:bottom w:val="none" w:sz="0" w:space="0" w:color="auto"/>
        <w:right w:val="none" w:sz="0" w:space="0" w:color="auto"/>
      </w:divBdr>
    </w:div>
    <w:div w:id="1759207775">
      <w:bodyDiv w:val="1"/>
      <w:marLeft w:val="0"/>
      <w:marRight w:val="0"/>
      <w:marTop w:val="0"/>
      <w:marBottom w:val="0"/>
      <w:divBdr>
        <w:top w:val="none" w:sz="0" w:space="0" w:color="auto"/>
        <w:left w:val="none" w:sz="0" w:space="0" w:color="auto"/>
        <w:bottom w:val="none" w:sz="0" w:space="0" w:color="auto"/>
        <w:right w:val="none" w:sz="0" w:space="0" w:color="auto"/>
      </w:divBdr>
    </w:div>
    <w:div w:id="1765876483">
      <w:bodyDiv w:val="1"/>
      <w:marLeft w:val="0"/>
      <w:marRight w:val="0"/>
      <w:marTop w:val="0"/>
      <w:marBottom w:val="0"/>
      <w:divBdr>
        <w:top w:val="none" w:sz="0" w:space="0" w:color="auto"/>
        <w:left w:val="none" w:sz="0" w:space="0" w:color="auto"/>
        <w:bottom w:val="none" w:sz="0" w:space="0" w:color="auto"/>
        <w:right w:val="none" w:sz="0" w:space="0" w:color="auto"/>
      </w:divBdr>
    </w:div>
    <w:div w:id="1771004972">
      <w:bodyDiv w:val="1"/>
      <w:marLeft w:val="0"/>
      <w:marRight w:val="0"/>
      <w:marTop w:val="0"/>
      <w:marBottom w:val="0"/>
      <w:divBdr>
        <w:top w:val="none" w:sz="0" w:space="0" w:color="auto"/>
        <w:left w:val="none" w:sz="0" w:space="0" w:color="auto"/>
        <w:bottom w:val="none" w:sz="0" w:space="0" w:color="auto"/>
        <w:right w:val="none" w:sz="0" w:space="0" w:color="auto"/>
      </w:divBdr>
    </w:div>
    <w:div w:id="1777866930">
      <w:bodyDiv w:val="1"/>
      <w:marLeft w:val="0"/>
      <w:marRight w:val="0"/>
      <w:marTop w:val="0"/>
      <w:marBottom w:val="0"/>
      <w:divBdr>
        <w:top w:val="none" w:sz="0" w:space="0" w:color="auto"/>
        <w:left w:val="none" w:sz="0" w:space="0" w:color="auto"/>
        <w:bottom w:val="none" w:sz="0" w:space="0" w:color="auto"/>
        <w:right w:val="none" w:sz="0" w:space="0" w:color="auto"/>
      </w:divBdr>
    </w:div>
    <w:div w:id="1794245857">
      <w:bodyDiv w:val="1"/>
      <w:marLeft w:val="0"/>
      <w:marRight w:val="0"/>
      <w:marTop w:val="0"/>
      <w:marBottom w:val="0"/>
      <w:divBdr>
        <w:top w:val="none" w:sz="0" w:space="0" w:color="auto"/>
        <w:left w:val="none" w:sz="0" w:space="0" w:color="auto"/>
        <w:bottom w:val="none" w:sz="0" w:space="0" w:color="auto"/>
        <w:right w:val="none" w:sz="0" w:space="0" w:color="auto"/>
      </w:divBdr>
    </w:div>
    <w:div w:id="1798259299">
      <w:bodyDiv w:val="1"/>
      <w:marLeft w:val="0"/>
      <w:marRight w:val="0"/>
      <w:marTop w:val="0"/>
      <w:marBottom w:val="0"/>
      <w:divBdr>
        <w:top w:val="none" w:sz="0" w:space="0" w:color="auto"/>
        <w:left w:val="none" w:sz="0" w:space="0" w:color="auto"/>
        <w:bottom w:val="none" w:sz="0" w:space="0" w:color="auto"/>
        <w:right w:val="none" w:sz="0" w:space="0" w:color="auto"/>
      </w:divBdr>
    </w:div>
    <w:div w:id="1808624824">
      <w:bodyDiv w:val="1"/>
      <w:marLeft w:val="0"/>
      <w:marRight w:val="0"/>
      <w:marTop w:val="0"/>
      <w:marBottom w:val="0"/>
      <w:divBdr>
        <w:top w:val="none" w:sz="0" w:space="0" w:color="auto"/>
        <w:left w:val="none" w:sz="0" w:space="0" w:color="auto"/>
        <w:bottom w:val="none" w:sz="0" w:space="0" w:color="auto"/>
        <w:right w:val="none" w:sz="0" w:space="0" w:color="auto"/>
      </w:divBdr>
    </w:div>
    <w:div w:id="1817188215">
      <w:bodyDiv w:val="1"/>
      <w:marLeft w:val="0"/>
      <w:marRight w:val="0"/>
      <w:marTop w:val="0"/>
      <w:marBottom w:val="0"/>
      <w:divBdr>
        <w:top w:val="none" w:sz="0" w:space="0" w:color="auto"/>
        <w:left w:val="none" w:sz="0" w:space="0" w:color="auto"/>
        <w:bottom w:val="none" w:sz="0" w:space="0" w:color="auto"/>
        <w:right w:val="none" w:sz="0" w:space="0" w:color="auto"/>
      </w:divBdr>
    </w:div>
    <w:div w:id="1827092212">
      <w:bodyDiv w:val="1"/>
      <w:marLeft w:val="0"/>
      <w:marRight w:val="0"/>
      <w:marTop w:val="0"/>
      <w:marBottom w:val="0"/>
      <w:divBdr>
        <w:top w:val="none" w:sz="0" w:space="0" w:color="auto"/>
        <w:left w:val="none" w:sz="0" w:space="0" w:color="auto"/>
        <w:bottom w:val="none" w:sz="0" w:space="0" w:color="auto"/>
        <w:right w:val="none" w:sz="0" w:space="0" w:color="auto"/>
      </w:divBdr>
    </w:div>
    <w:div w:id="1829862341">
      <w:bodyDiv w:val="1"/>
      <w:marLeft w:val="0"/>
      <w:marRight w:val="0"/>
      <w:marTop w:val="0"/>
      <w:marBottom w:val="0"/>
      <w:divBdr>
        <w:top w:val="none" w:sz="0" w:space="0" w:color="auto"/>
        <w:left w:val="none" w:sz="0" w:space="0" w:color="auto"/>
        <w:bottom w:val="none" w:sz="0" w:space="0" w:color="auto"/>
        <w:right w:val="none" w:sz="0" w:space="0" w:color="auto"/>
      </w:divBdr>
    </w:div>
    <w:div w:id="1837768954">
      <w:bodyDiv w:val="1"/>
      <w:marLeft w:val="0"/>
      <w:marRight w:val="0"/>
      <w:marTop w:val="0"/>
      <w:marBottom w:val="0"/>
      <w:divBdr>
        <w:top w:val="none" w:sz="0" w:space="0" w:color="auto"/>
        <w:left w:val="none" w:sz="0" w:space="0" w:color="auto"/>
        <w:bottom w:val="none" w:sz="0" w:space="0" w:color="auto"/>
        <w:right w:val="none" w:sz="0" w:space="0" w:color="auto"/>
      </w:divBdr>
    </w:div>
    <w:div w:id="1838761840">
      <w:bodyDiv w:val="1"/>
      <w:marLeft w:val="0"/>
      <w:marRight w:val="0"/>
      <w:marTop w:val="0"/>
      <w:marBottom w:val="0"/>
      <w:divBdr>
        <w:top w:val="none" w:sz="0" w:space="0" w:color="auto"/>
        <w:left w:val="none" w:sz="0" w:space="0" w:color="auto"/>
        <w:bottom w:val="none" w:sz="0" w:space="0" w:color="auto"/>
        <w:right w:val="none" w:sz="0" w:space="0" w:color="auto"/>
      </w:divBdr>
    </w:div>
    <w:div w:id="1844709219">
      <w:bodyDiv w:val="1"/>
      <w:marLeft w:val="0"/>
      <w:marRight w:val="0"/>
      <w:marTop w:val="0"/>
      <w:marBottom w:val="0"/>
      <w:divBdr>
        <w:top w:val="none" w:sz="0" w:space="0" w:color="auto"/>
        <w:left w:val="none" w:sz="0" w:space="0" w:color="auto"/>
        <w:bottom w:val="none" w:sz="0" w:space="0" w:color="auto"/>
        <w:right w:val="none" w:sz="0" w:space="0" w:color="auto"/>
      </w:divBdr>
    </w:div>
    <w:div w:id="1849171198">
      <w:bodyDiv w:val="1"/>
      <w:marLeft w:val="0"/>
      <w:marRight w:val="0"/>
      <w:marTop w:val="0"/>
      <w:marBottom w:val="0"/>
      <w:divBdr>
        <w:top w:val="none" w:sz="0" w:space="0" w:color="auto"/>
        <w:left w:val="none" w:sz="0" w:space="0" w:color="auto"/>
        <w:bottom w:val="none" w:sz="0" w:space="0" w:color="auto"/>
        <w:right w:val="none" w:sz="0" w:space="0" w:color="auto"/>
      </w:divBdr>
    </w:div>
    <w:div w:id="1853452397">
      <w:bodyDiv w:val="1"/>
      <w:marLeft w:val="0"/>
      <w:marRight w:val="0"/>
      <w:marTop w:val="0"/>
      <w:marBottom w:val="0"/>
      <w:divBdr>
        <w:top w:val="none" w:sz="0" w:space="0" w:color="auto"/>
        <w:left w:val="none" w:sz="0" w:space="0" w:color="auto"/>
        <w:bottom w:val="none" w:sz="0" w:space="0" w:color="auto"/>
        <w:right w:val="none" w:sz="0" w:space="0" w:color="auto"/>
      </w:divBdr>
    </w:div>
    <w:div w:id="1860191241">
      <w:bodyDiv w:val="1"/>
      <w:marLeft w:val="0"/>
      <w:marRight w:val="0"/>
      <w:marTop w:val="0"/>
      <w:marBottom w:val="0"/>
      <w:divBdr>
        <w:top w:val="none" w:sz="0" w:space="0" w:color="auto"/>
        <w:left w:val="none" w:sz="0" w:space="0" w:color="auto"/>
        <w:bottom w:val="none" w:sz="0" w:space="0" w:color="auto"/>
        <w:right w:val="none" w:sz="0" w:space="0" w:color="auto"/>
      </w:divBdr>
    </w:div>
    <w:div w:id="1864398142">
      <w:bodyDiv w:val="1"/>
      <w:marLeft w:val="0"/>
      <w:marRight w:val="0"/>
      <w:marTop w:val="0"/>
      <w:marBottom w:val="0"/>
      <w:divBdr>
        <w:top w:val="none" w:sz="0" w:space="0" w:color="auto"/>
        <w:left w:val="none" w:sz="0" w:space="0" w:color="auto"/>
        <w:bottom w:val="none" w:sz="0" w:space="0" w:color="auto"/>
        <w:right w:val="none" w:sz="0" w:space="0" w:color="auto"/>
      </w:divBdr>
    </w:div>
    <w:div w:id="1877693361">
      <w:bodyDiv w:val="1"/>
      <w:marLeft w:val="0"/>
      <w:marRight w:val="0"/>
      <w:marTop w:val="0"/>
      <w:marBottom w:val="0"/>
      <w:divBdr>
        <w:top w:val="none" w:sz="0" w:space="0" w:color="auto"/>
        <w:left w:val="none" w:sz="0" w:space="0" w:color="auto"/>
        <w:bottom w:val="none" w:sz="0" w:space="0" w:color="auto"/>
        <w:right w:val="none" w:sz="0" w:space="0" w:color="auto"/>
      </w:divBdr>
    </w:div>
    <w:div w:id="1881166892">
      <w:bodyDiv w:val="1"/>
      <w:marLeft w:val="0"/>
      <w:marRight w:val="0"/>
      <w:marTop w:val="0"/>
      <w:marBottom w:val="0"/>
      <w:divBdr>
        <w:top w:val="none" w:sz="0" w:space="0" w:color="auto"/>
        <w:left w:val="none" w:sz="0" w:space="0" w:color="auto"/>
        <w:bottom w:val="none" w:sz="0" w:space="0" w:color="auto"/>
        <w:right w:val="none" w:sz="0" w:space="0" w:color="auto"/>
      </w:divBdr>
    </w:div>
    <w:div w:id="1881555208">
      <w:bodyDiv w:val="1"/>
      <w:marLeft w:val="0"/>
      <w:marRight w:val="0"/>
      <w:marTop w:val="0"/>
      <w:marBottom w:val="0"/>
      <w:divBdr>
        <w:top w:val="none" w:sz="0" w:space="0" w:color="auto"/>
        <w:left w:val="none" w:sz="0" w:space="0" w:color="auto"/>
        <w:bottom w:val="none" w:sz="0" w:space="0" w:color="auto"/>
        <w:right w:val="none" w:sz="0" w:space="0" w:color="auto"/>
      </w:divBdr>
    </w:div>
    <w:div w:id="1882666384">
      <w:bodyDiv w:val="1"/>
      <w:marLeft w:val="0"/>
      <w:marRight w:val="0"/>
      <w:marTop w:val="0"/>
      <w:marBottom w:val="0"/>
      <w:divBdr>
        <w:top w:val="none" w:sz="0" w:space="0" w:color="auto"/>
        <w:left w:val="none" w:sz="0" w:space="0" w:color="auto"/>
        <w:bottom w:val="none" w:sz="0" w:space="0" w:color="auto"/>
        <w:right w:val="none" w:sz="0" w:space="0" w:color="auto"/>
      </w:divBdr>
    </w:div>
    <w:div w:id="1885100497">
      <w:bodyDiv w:val="1"/>
      <w:marLeft w:val="0"/>
      <w:marRight w:val="0"/>
      <w:marTop w:val="0"/>
      <w:marBottom w:val="0"/>
      <w:divBdr>
        <w:top w:val="none" w:sz="0" w:space="0" w:color="auto"/>
        <w:left w:val="none" w:sz="0" w:space="0" w:color="auto"/>
        <w:bottom w:val="none" w:sz="0" w:space="0" w:color="auto"/>
        <w:right w:val="none" w:sz="0" w:space="0" w:color="auto"/>
      </w:divBdr>
    </w:div>
    <w:div w:id="1888296959">
      <w:bodyDiv w:val="1"/>
      <w:marLeft w:val="0"/>
      <w:marRight w:val="0"/>
      <w:marTop w:val="0"/>
      <w:marBottom w:val="0"/>
      <w:divBdr>
        <w:top w:val="none" w:sz="0" w:space="0" w:color="auto"/>
        <w:left w:val="none" w:sz="0" w:space="0" w:color="auto"/>
        <w:bottom w:val="none" w:sz="0" w:space="0" w:color="auto"/>
        <w:right w:val="none" w:sz="0" w:space="0" w:color="auto"/>
      </w:divBdr>
    </w:div>
    <w:div w:id="1901012352">
      <w:bodyDiv w:val="1"/>
      <w:marLeft w:val="0"/>
      <w:marRight w:val="0"/>
      <w:marTop w:val="0"/>
      <w:marBottom w:val="0"/>
      <w:divBdr>
        <w:top w:val="none" w:sz="0" w:space="0" w:color="auto"/>
        <w:left w:val="none" w:sz="0" w:space="0" w:color="auto"/>
        <w:bottom w:val="none" w:sz="0" w:space="0" w:color="auto"/>
        <w:right w:val="none" w:sz="0" w:space="0" w:color="auto"/>
      </w:divBdr>
    </w:div>
    <w:div w:id="1910309627">
      <w:bodyDiv w:val="1"/>
      <w:marLeft w:val="0"/>
      <w:marRight w:val="0"/>
      <w:marTop w:val="0"/>
      <w:marBottom w:val="0"/>
      <w:divBdr>
        <w:top w:val="none" w:sz="0" w:space="0" w:color="auto"/>
        <w:left w:val="none" w:sz="0" w:space="0" w:color="auto"/>
        <w:bottom w:val="none" w:sz="0" w:space="0" w:color="auto"/>
        <w:right w:val="none" w:sz="0" w:space="0" w:color="auto"/>
      </w:divBdr>
    </w:div>
    <w:div w:id="1917738960">
      <w:bodyDiv w:val="1"/>
      <w:marLeft w:val="0"/>
      <w:marRight w:val="0"/>
      <w:marTop w:val="0"/>
      <w:marBottom w:val="0"/>
      <w:divBdr>
        <w:top w:val="none" w:sz="0" w:space="0" w:color="auto"/>
        <w:left w:val="none" w:sz="0" w:space="0" w:color="auto"/>
        <w:bottom w:val="none" w:sz="0" w:space="0" w:color="auto"/>
        <w:right w:val="none" w:sz="0" w:space="0" w:color="auto"/>
      </w:divBdr>
    </w:div>
    <w:div w:id="1933126870">
      <w:bodyDiv w:val="1"/>
      <w:marLeft w:val="0"/>
      <w:marRight w:val="0"/>
      <w:marTop w:val="0"/>
      <w:marBottom w:val="0"/>
      <w:divBdr>
        <w:top w:val="none" w:sz="0" w:space="0" w:color="auto"/>
        <w:left w:val="none" w:sz="0" w:space="0" w:color="auto"/>
        <w:bottom w:val="none" w:sz="0" w:space="0" w:color="auto"/>
        <w:right w:val="none" w:sz="0" w:space="0" w:color="auto"/>
      </w:divBdr>
    </w:div>
    <w:div w:id="1942571363">
      <w:bodyDiv w:val="1"/>
      <w:marLeft w:val="0"/>
      <w:marRight w:val="0"/>
      <w:marTop w:val="0"/>
      <w:marBottom w:val="0"/>
      <w:divBdr>
        <w:top w:val="none" w:sz="0" w:space="0" w:color="auto"/>
        <w:left w:val="none" w:sz="0" w:space="0" w:color="auto"/>
        <w:bottom w:val="none" w:sz="0" w:space="0" w:color="auto"/>
        <w:right w:val="none" w:sz="0" w:space="0" w:color="auto"/>
      </w:divBdr>
    </w:div>
    <w:div w:id="1949460740">
      <w:bodyDiv w:val="1"/>
      <w:marLeft w:val="0"/>
      <w:marRight w:val="0"/>
      <w:marTop w:val="0"/>
      <w:marBottom w:val="0"/>
      <w:divBdr>
        <w:top w:val="none" w:sz="0" w:space="0" w:color="auto"/>
        <w:left w:val="none" w:sz="0" w:space="0" w:color="auto"/>
        <w:bottom w:val="none" w:sz="0" w:space="0" w:color="auto"/>
        <w:right w:val="none" w:sz="0" w:space="0" w:color="auto"/>
      </w:divBdr>
    </w:div>
    <w:div w:id="1950579707">
      <w:bodyDiv w:val="1"/>
      <w:marLeft w:val="0"/>
      <w:marRight w:val="0"/>
      <w:marTop w:val="0"/>
      <w:marBottom w:val="0"/>
      <w:divBdr>
        <w:top w:val="none" w:sz="0" w:space="0" w:color="auto"/>
        <w:left w:val="none" w:sz="0" w:space="0" w:color="auto"/>
        <w:bottom w:val="none" w:sz="0" w:space="0" w:color="auto"/>
        <w:right w:val="none" w:sz="0" w:space="0" w:color="auto"/>
      </w:divBdr>
    </w:div>
    <w:div w:id="1952349665">
      <w:bodyDiv w:val="1"/>
      <w:marLeft w:val="0"/>
      <w:marRight w:val="0"/>
      <w:marTop w:val="0"/>
      <w:marBottom w:val="0"/>
      <w:divBdr>
        <w:top w:val="none" w:sz="0" w:space="0" w:color="auto"/>
        <w:left w:val="none" w:sz="0" w:space="0" w:color="auto"/>
        <w:bottom w:val="none" w:sz="0" w:space="0" w:color="auto"/>
        <w:right w:val="none" w:sz="0" w:space="0" w:color="auto"/>
      </w:divBdr>
    </w:div>
    <w:div w:id="1952937616">
      <w:bodyDiv w:val="1"/>
      <w:marLeft w:val="0"/>
      <w:marRight w:val="0"/>
      <w:marTop w:val="0"/>
      <w:marBottom w:val="0"/>
      <w:divBdr>
        <w:top w:val="none" w:sz="0" w:space="0" w:color="auto"/>
        <w:left w:val="none" w:sz="0" w:space="0" w:color="auto"/>
        <w:bottom w:val="none" w:sz="0" w:space="0" w:color="auto"/>
        <w:right w:val="none" w:sz="0" w:space="0" w:color="auto"/>
      </w:divBdr>
    </w:div>
    <w:div w:id="1953585393">
      <w:bodyDiv w:val="1"/>
      <w:marLeft w:val="0"/>
      <w:marRight w:val="0"/>
      <w:marTop w:val="0"/>
      <w:marBottom w:val="0"/>
      <w:divBdr>
        <w:top w:val="none" w:sz="0" w:space="0" w:color="auto"/>
        <w:left w:val="none" w:sz="0" w:space="0" w:color="auto"/>
        <w:bottom w:val="none" w:sz="0" w:space="0" w:color="auto"/>
        <w:right w:val="none" w:sz="0" w:space="0" w:color="auto"/>
      </w:divBdr>
    </w:div>
    <w:div w:id="1960641202">
      <w:bodyDiv w:val="1"/>
      <w:marLeft w:val="0"/>
      <w:marRight w:val="0"/>
      <w:marTop w:val="0"/>
      <w:marBottom w:val="0"/>
      <w:divBdr>
        <w:top w:val="none" w:sz="0" w:space="0" w:color="auto"/>
        <w:left w:val="none" w:sz="0" w:space="0" w:color="auto"/>
        <w:bottom w:val="none" w:sz="0" w:space="0" w:color="auto"/>
        <w:right w:val="none" w:sz="0" w:space="0" w:color="auto"/>
      </w:divBdr>
    </w:div>
    <w:div w:id="1983653402">
      <w:bodyDiv w:val="1"/>
      <w:marLeft w:val="0"/>
      <w:marRight w:val="0"/>
      <w:marTop w:val="0"/>
      <w:marBottom w:val="0"/>
      <w:divBdr>
        <w:top w:val="none" w:sz="0" w:space="0" w:color="auto"/>
        <w:left w:val="none" w:sz="0" w:space="0" w:color="auto"/>
        <w:bottom w:val="none" w:sz="0" w:space="0" w:color="auto"/>
        <w:right w:val="none" w:sz="0" w:space="0" w:color="auto"/>
      </w:divBdr>
    </w:div>
    <w:div w:id="1987127116">
      <w:bodyDiv w:val="1"/>
      <w:marLeft w:val="0"/>
      <w:marRight w:val="0"/>
      <w:marTop w:val="0"/>
      <w:marBottom w:val="0"/>
      <w:divBdr>
        <w:top w:val="none" w:sz="0" w:space="0" w:color="auto"/>
        <w:left w:val="none" w:sz="0" w:space="0" w:color="auto"/>
        <w:bottom w:val="none" w:sz="0" w:space="0" w:color="auto"/>
        <w:right w:val="none" w:sz="0" w:space="0" w:color="auto"/>
      </w:divBdr>
    </w:div>
    <w:div w:id="1988166782">
      <w:bodyDiv w:val="1"/>
      <w:marLeft w:val="0"/>
      <w:marRight w:val="0"/>
      <w:marTop w:val="0"/>
      <w:marBottom w:val="0"/>
      <w:divBdr>
        <w:top w:val="none" w:sz="0" w:space="0" w:color="auto"/>
        <w:left w:val="none" w:sz="0" w:space="0" w:color="auto"/>
        <w:bottom w:val="none" w:sz="0" w:space="0" w:color="auto"/>
        <w:right w:val="none" w:sz="0" w:space="0" w:color="auto"/>
      </w:divBdr>
    </w:div>
    <w:div w:id="1994412036">
      <w:bodyDiv w:val="1"/>
      <w:marLeft w:val="0"/>
      <w:marRight w:val="0"/>
      <w:marTop w:val="0"/>
      <w:marBottom w:val="0"/>
      <w:divBdr>
        <w:top w:val="none" w:sz="0" w:space="0" w:color="auto"/>
        <w:left w:val="none" w:sz="0" w:space="0" w:color="auto"/>
        <w:bottom w:val="none" w:sz="0" w:space="0" w:color="auto"/>
        <w:right w:val="none" w:sz="0" w:space="0" w:color="auto"/>
      </w:divBdr>
    </w:div>
    <w:div w:id="1994947074">
      <w:bodyDiv w:val="1"/>
      <w:marLeft w:val="0"/>
      <w:marRight w:val="0"/>
      <w:marTop w:val="0"/>
      <w:marBottom w:val="0"/>
      <w:divBdr>
        <w:top w:val="none" w:sz="0" w:space="0" w:color="auto"/>
        <w:left w:val="none" w:sz="0" w:space="0" w:color="auto"/>
        <w:bottom w:val="none" w:sz="0" w:space="0" w:color="auto"/>
        <w:right w:val="none" w:sz="0" w:space="0" w:color="auto"/>
      </w:divBdr>
    </w:div>
    <w:div w:id="2000109353">
      <w:bodyDiv w:val="1"/>
      <w:marLeft w:val="0"/>
      <w:marRight w:val="0"/>
      <w:marTop w:val="0"/>
      <w:marBottom w:val="0"/>
      <w:divBdr>
        <w:top w:val="none" w:sz="0" w:space="0" w:color="auto"/>
        <w:left w:val="none" w:sz="0" w:space="0" w:color="auto"/>
        <w:bottom w:val="none" w:sz="0" w:space="0" w:color="auto"/>
        <w:right w:val="none" w:sz="0" w:space="0" w:color="auto"/>
      </w:divBdr>
    </w:div>
    <w:div w:id="2002736935">
      <w:bodyDiv w:val="1"/>
      <w:marLeft w:val="0"/>
      <w:marRight w:val="0"/>
      <w:marTop w:val="0"/>
      <w:marBottom w:val="0"/>
      <w:divBdr>
        <w:top w:val="none" w:sz="0" w:space="0" w:color="auto"/>
        <w:left w:val="none" w:sz="0" w:space="0" w:color="auto"/>
        <w:bottom w:val="none" w:sz="0" w:space="0" w:color="auto"/>
        <w:right w:val="none" w:sz="0" w:space="0" w:color="auto"/>
      </w:divBdr>
    </w:div>
    <w:div w:id="2057001070">
      <w:bodyDiv w:val="1"/>
      <w:marLeft w:val="0"/>
      <w:marRight w:val="0"/>
      <w:marTop w:val="0"/>
      <w:marBottom w:val="0"/>
      <w:divBdr>
        <w:top w:val="none" w:sz="0" w:space="0" w:color="auto"/>
        <w:left w:val="none" w:sz="0" w:space="0" w:color="auto"/>
        <w:bottom w:val="none" w:sz="0" w:space="0" w:color="auto"/>
        <w:right w:val="none" w:sz="0" w:space="0" w:color="auto"/>
      </w:divBdr>
    </w:div>
    <w:div w:id="2058042437">
      <w:bodyDiv w:val="1"/>
      <w:marLeft w:val="0"/>
      <w:marRight w:val="0"/>
      <w:marTop w:val="0"/>
      <w:marBottom w:val="0"/>
      <w:divBdr>
        <w:top w:val="none" w:sz="0" w:space="0" w:color="auto"/>
        <w:left w:val="none" w:sz="0" w:space="0" w:color="auto"/>
        <w:bottom w:val="none" w:sz="0" w:space="0" w:color="auto"/>
        <w:right w:val="none" w:sz="0" w:space="0" w:color="auto"/>
      </w:divBdr>
    </w:div>
    <w:div w:id="2073651830">
      <w:bodyDiv w:val="1"/>
      <w:marLeft w:val="0"/>
      <w:marRight w:val="0"/>
      <w:marTop w:val="0"/>
      <w:marBottom w:val="0"/>
      <w:divBdr>
        <w:top w:val="none" w:sz="0" w:space="0" w:color="auto"/>
        <w:left w:val="none" w:sz="0" w:space="0" w:color="auto"/>
        <w:bottom w:val="none" w:sz="0" w:space="0" w:color="auto"/>
        <w:right w:val="none" w:sz="0" w:space="0" w:color="auto"/>
      </w:divBdr>
    </w:div>
    <w:div w:id="2076203338">
      <w:bodyDiv w:val="1"/>
      <w:marLeft w:val="0"/>
      <w:marRight w:val="0"/>
      <w:marTop w:val="0"/>
      <w:marBottom w:val="0"/>
      <w:divBdr>
        <w:top w:val="none" w:sz="0" w:space="0" w:color="auto"/>
        <w:left w:val="none" w:sz="0" w:space="0" w:color="auto"/>
        <w:bottom w:val="none" w:sz="0" w:space="0" w:color="auto"/>
        <w:right w:val="none" w:sz="0" w:space="0" w:color="auto"/>
      </w:divBdr>
    </w:div>
    <w:div w:id="2082941282">
      <w:bodyDiv w:val="1"/>
      <w:marLeft w:val="0"/>
      <w:marRight w:val="0"/>
      <w:marTop w:val="0"/>
      <w:marBottom w:val="0"/>
      <w:divBdr>
        <w:top w:val="none" w:sz="0" w:space="0" w:color="auto"/>
        <w:left w:val="none" w:sz="0" w:space="0" w:color="auto"/>
        <w:bottom w:val="none" w:sz="0" w:space="0" w:color="auto"/>
        <w:right w:val="none" w:sz="0" w:space="0" w:color="auto"/>
      </w:divBdr>
    </w:div>
    <w:div w:id="2087338122">
      <w:bodyDiv w:val="1"/>
      <w:marLeft w:val="0"/>
      <w:marRight w:val="0"/>
      <w:marTop w:val="0"/>
      <w:marBottom w:val="0"/>
      <w:divBdr>
        <w:top w:val="none" w:sz="0" w:space="0" w:color="auto"/>
        <w:left w:val="none" w:sz="0" w:space="0" w:color="auto"/>
        <w:bottom w:val="none" w:sz="0" w:space="0" w:color="auto"/>
        <w:right w:val="none" w:sz="0" w:space="0" w:color="auto"/>
      </w:divBdr>
    </w:div>
    <w:div w:id="2092579313">
      <w:bodyDiv w:val="1"/>
      <w:marLeft w:val="0"/>
      <w:marRight w:val="0"/>
      <w:marTop w:val="0"/>
      <w:marBottom w:val="0"/>
      <w:divBdr>
        <w:top w:val="none" w:sz="0" w:space="0" w:color="auto"/>
        <w:left w:val="none" w:sz="0" w:space="0" w:color="auto"/>
        <w:bottom w:val="none" w:sz="0" w:space="0" w:color="auto"/>
        <w:right w:val="none" w:sz="0" w:space="0" w:color="auto"/>
      </w:divBdr>
    </w:div>
    <w:div w:id="2103641972">
      <w:bodyDiv w:val="1"/>
      <w:marLeft w:val="0"/>
      <w:marRight w:val="0"/>
      <w:marTop w:val="0"/>
      <w:marBottom w:val="0"/>
      <w:divBdr>
        <w:top w:val="none" w:sz="0" w:space="0" w:color="auto"/>
        <w:left w:val="none" w:sz="0" w:space="0" w:color="auto"/>
        <w:bottom w:val="none" w:sz="0" w:space="0" w:color="auto"/>
        <w:right w:val="none" w:sz="0" w:space="0" w:color="auto"/>
      </w:divBdr>
    </w:div>
    <w:div w:id="2108233874">
      <w:bodyDiv w:val="1"/>
      <w:marLeft w:val="0"/>
      <w:marRight w:val="0"/>
      <w:marTop w:val="0"/>
      <w:marBottom w:val="0"/>
      <w:divBdr>
        <w:top w:val="none" w:sz="0" w:space="0" w:color="auto"/>
        <w:left w:val="none" w:sz="0" w:space="0" w:color="auto"/>
        <w:bottom w:val="none" w:sz="0" w:space="0" w:color="auto"/>
        <w:right w:val="none" w:sz="0" w:space="0" w:color="auto"/>
      </w:divBdr>
    </w:div>
    <w:div w:id="2130777966">
      <w:bodyDiv w:val="1"/>
      <w:marLeft w:val="0"/>
      <w:marRight w:val="0"/>
      <w:marTop w:val="0"/>
      <w:marBottom w:val="0"/>
      <w:divBdr>
        <w:top w:val="none" w:sz="0" w:space="0" w:color="auto"/>
        <w:left w:val="none" w:sz="0" w:space="0" w:color="auto"/>
        <w:bottom w:val="none" w:sz="0" w:space="0" w:color="auto"/>
        <w:right w:val="none" w:sz="0" w:space="0" w:color="auto"/>
      </w:divBdr>
    </w:div>
    <w:div w:id="2138839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3.png"/><Relationship Id="rId42" Type="http://schemas.openxmlformats.org/officeDocument/2006/relationships/hyperlink" Target="http://faolex.fao.org/docs/pdf/eur88009.pdf" TargetMode="External"/><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0.png"/><Relationship Id="rId170" Type="http://schemas.openxmlformats.org/officeDocument/2006/relationships/header" Target="header1.xml"/><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0.png"/><Relationship Id="rId5" Type="http://schemas.openxmlformats.org/officeDocument/2006/relationships/settings" Target="settings.xml"/><Relationship Id="rId95" Type="http://schemas.openxmlformats.org/officeDocument/2006/relationships/chart" Target="charts/chart4.xml"/><Relationship Id="rId22" Type="http://schemas.openxmlformats.org/officeDocument/2006/relationships/hyperlink" Target="http://aers.rs/Index.asp?l=2&amp;a=42&amp;tp=TEG" TargetMode="External"/><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0.png"/><Relationship Id="rId139" Type="http://schemas.openxmlformats.org/officeDocument/2006/relationships/image" Target="media/image121.png"/><Relationship Id="rId85" Type="http://schemas.openxmlformats.org/officeDocument/2006/relationships/image" Target="media/image74.png"/><Relationship Id="rId171"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chart" Target="charts/chart5.xml"/><Relationship Id="rId140" Type="http://schemas.openxmlformats.org/officeDocument/2006/relationships/chart" Target="charts/chart8.xml"/><Relationship Id="rId145" Type="http://schemas.openxmlformats.org/officeDocument/2006/relationships/chart" Target="charts/chart13.xml"/><Relationship Id="rId161" Type="http://schemas.openxmlformats.org/officeDocument/2006/relationships/image" Target="media/image1300.png"/><Relationship Id="rId166"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aers.rs/Index.asp?l=2&amp;a=42&amp;tp=TEG" TargetMode="External"/><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2.png"/><Relationship Id="rId135" Type="http://schemas.openxmlformats.org/officeDocument/2006/relationships/image" Target="media/image117.pn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2.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chart" Target="charts/chart6.xml"/><Relationship Id="rId104" Type="http://schemas.openxmlformats.org/officeDocument/2006/relationships/image" Target="media/image87.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chart" Target="charts/chart9.xml"/><Relationship Id="rId146" Type="http://schemas.openxmlformats.org/officeDocument/2006/relationships/chart" Target="charts/chart14.xml"/><Relationship Id="rId167" Type="http://schemas.openxmlformats.org/officeDocument/2006/relationships/image" Target="media/image125.sv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chart" Target="charts/chart16.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3.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61" Type="http://schemas.openxmlformats.org/officeDocument/2006/relationships/image" Target="media/image50.png"/><Relationship Id="rId82" Type="http://schemas.openxmlformats.org/officeDocument/2006/relationships/image" Target="media/image71.png"/><Relationship Id="rId173"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8.png"/><Relationship Id="rId147" Type="http://schemas.openxmlformats.org/officeDocument/2006/relationships/chart" Target="charts/chart15.xml"/><Relationship Id="rId168" Type="http://schemas.openxmlformats.org/officeDocument/2006/relationships/image" Target="media/image12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chart" Target="charts/chart2.xml"/><Relationship Id="rId98" Type="http://schemas.openxmlformats.org/officeDocument/2006/relationships/image" Target="media/image81.png"/><Relationship Id="rId121" Type="http://schemas.openxmlformats.org/officeDocument/2006/relationships/image" Target="media/image103.png"/><Relationship Id="rId142" Type="http://schemas.openxmlformats.org/officeDocument/2006/relationships/chart" Target="charts/chart10.xml"/><Relationship Id="rId163"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5.gif"/><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98.png"/><Relationship Id="rId137" Type="http://schemas.openxmlformats.org/officeDocument/2006/relationships/image" Target="media/image119.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chart" Target="charts/chart1.xml"/><Relationship Id="rId111" Type="http://schemas.openxmlformats.org/officeDocument/2006/relationships/image" Target="media/image94.png"/><Relationship Id="rId132" Type="http://schemas.openxmlformats.org/officeDocument/2006/relationships/image" Target="media/image114.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89.png"/><Relationship Id="rId127" Type="http://schemas.openxmlformats.org/officeDocument/2006/relationships/image" Target="media/image109.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chart" Target="charts/chart3.xm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4.png"/><Relationship Id="rId143" Type="http://schemas.openxmlformats.org/officeDocument/2006/relationships/chart" Target="charts/chart11.xml"/><Relationship Id="rId148" Type="http://schemas.microsoft.com/office/2014/relationships/chartEx" Target="charts/chartEx1.xml"/><Relationship Id="rId164" Type="http://schemas.openxmlformats.org/officeDocument/2006/relationships/image" Target="media/image122.png"/><Relationship Id="rId169" Type="http://schemas.openxmlformats.org/officeDocument/2006/relationships/image" Target="media/image126.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chart" Target="charts/chart7.xml"/><Relationship Id="rId133" Type="http://schemas.openxmlformats.org/officeDocument/2006/relationships/image" Target="media/image115.png"/><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85.png"/><Relationship Id="rId123" Type="http://schemas.openxmlformats.org/officeDocument/2006/relationships/image" Target="media/image105.png"/><Relationship Id="rId144" Type="http://schemas.openxmlformats.org/officeDocument/2006/relationships/chart" Target="charts/chart12.xml"/><Relationship Id="rId90" Type="http://schemas.openxmlformats.org/officeDocument/2006/relationships/image" Target="media/image78.png"/><Relationship Id="rId165" Type="http://schemas.openxmlformats.org/officeDocument/2006/relationships/image" Target="media/image123.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95.png"/><Relationship Id="rId134" Type="http://schemas.openxmlformats.org/officeDocument/2006/relationships/image" Target="media/image116.png"/><Relationship Id="rId80" Type="http://schemas.openxmlformats.org/officeDocument/2006/relationships/image" Target="media/image69.png"/></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zakon_o_poljoprivredi_i_ruralnom_razvoju.html" TargetMode="External"/><Relationship Id="rId2" Type="http://schemas.openxmlformats.org/officeDocument/2006/relationships/hyperlink" Target="https://ec.europa.eu/neighbourhood-enlargement/serbia-report-2021_en" TargetMode="External"/><Relationship Id="rId1" Type="http://schemas.openxmlformats.org/officeDocument/2006/relationships/hyperlink" Target="https://ec.europa.eu/neighbourhood-enlargement/serbia-report-2021_en" TargetMode="External"/><Relationship Id="rId6" Type="http://schemas.openxmlformats.org/officeDocument/2006/relationships/hyperlink" Target="http://www.fao.org/forestry/16159-0f033f89b9da00ac3d5a3c81cda247f26.pdf" TargetMode="External"/><Relationship Id="rId5" Type="http://schemas.openxmlformats.org/officeDocument/2006/relationships/hyperlink" Target="http://www.fao.org/faolex/results/details/en/c/LEX-FAOC143404" TargetMode="External"/><Relationship Id="rId4" Type="http://schemas.openxmlformats.org/officeDocument/2006/relationships/hyperlink" Target="https://www.paragraf.rs/propisi/zakon_o_podsticajima_u_poljoprivredi_i_ruralnom_razvoju.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Desktop\may_2023_LDK\Macro_Figures_NECP.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1" Type="http://schemas.openxmlformats.org/officeDocument/2006/relationships/oleObject" Target="https://grgtcom.sharepoint.com/sites/GTEnergy/Shared%20Documents/_Projects/NECP%20Serbia/Workspace/09%20Despina/NECP%20Serbia%20dtz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grgtcom.sharepoint.com/sites/GTEnergy/Shared%20Documents/_Projects/NECP%20Serbia/Workspace/09%20Despina/NECP%20Serbia%20dtz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grgtcom.sharepoint.com/sites/GTEnergy/Shared%20Documents/_Projects/NECP%20Serbia/Workspace/09%20Despina/NECP%20Serbia%20dtz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grgtcom.sharepoint.com/sites/GTEnergy/Shared%20Documents/_Projects/NECP%20Serbia/Workspace/09%20Despina/NECP%20Serbia%20dtzo.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oleObject" Target="file:///C:\Users\gsi\Desktop\INECP\Final%20Version\Annex%20I%20Summary%20Table%20of%20Investments_05.12.23_v0.4.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gsi\Desktop\INECP\Final%20Version\Annex%20I%20Summary%20Table%20of%20Investments_05.12.23_v0.4.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Desktop\may_2023_LDK\Macro_Figures_NECP.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Desktop\may_2023_LDK\Macro_Figures_NECP.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Ex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gsi\Desktop\INECP\Final%20Version\Annex%20I%20Summary%20Table%20of%20Investments_05.12.23_v0.4.xlsx" TargetMode="External"/><Relationship Id="rId4"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'electricity prices'!$B$14</c:f>
              <c:strCache>
                <c:ptCount val="1"/>
                <c:pt idx="0">
                  <c:v>Households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'electricity prices'!$C$4:$G$4</c:f>
              <c:numCache>
                <c:formatCode>General</c:formatCode>
                <c:ptCount val="5"/>
                <c:pt idx="0">
                  <c:v>2016</c:v>
                </c:pt>
                <c:pt idx="1">
                  <c:v>2017</c:v>
                </c:pt>
                <c:pt idx="2">
                  <c:v>2018</c:v>
                </c:pt>
                <c:pt idx="3">
                  <c:v>2019</c:v>
                </c:pt>
                <c:pt idx="4">
                  <c:v>2020</c:v>
                </c:pt>
              </c:numCache>
            </c:numRef>
          </c:cat>
          <c:val>
            <c:numRef>
              <c:f>'electricity prices'!$C$14:$G$14</c:f>
              <c:numCache>
                <c:formatCode>General</c:formatCode>
                <c:ptCount val="5"/>
                <c:pt idx="0">
                  <c:v>6.49</c:v>
                </c:pt>
                <c:pt idx="1">
                  <c:v>6.73</c:v>
                </c:pt>
                <c:pt idx="2">
                  <c:v>6.84</c:v>
                </c:pt>
                <c:pt idx="3">
                  <c:v>6.88</c:v>
                </c:pt>
                <c:pt idx="4">
                  <c:v>7.14</c:v>
                </c:pt>
              </c:numCache>
            </c:numRef>
          </c:val>
          <c:extLst>
            <c:ext xmlns:c16="http://schemas.microsoft.com/office/drawing/2014/chart" uri="{C3380CC4-5D6E-409C-BE32-E72D297353CC}">
              <c16:uniqueId val="{00000000-480D-4FD3-8545-0A161D8E2EAC}"/>
            </c:ext>
          </c:extLst>
        </c:ser>
        <c:dLbls>
          <c:showLegendKey val="0"/>
          <c:showVal val="0"/>
          <c:showCatName val="0"/>
          <c:showSerName val="0"/>
          <c:showPercent val="0"/>
          <c:showBubbleSize val="0"/>
        </c:dLbls>
        <c:gapWidth val="150"/>
        <c:axId val="553070424"/>
        <c:axId val="553071208"/>
      </c:barChart>
      <c:catAx>
        <c:axId val="55307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553071208"/>
        <c:crosses val="autoZero"/>
        <c:auto val="1"/>
        <c:lblAlgn val="ctr"/>
        <c:lblOffset val="100"/>
        <c:noMultiLvlLbl val="0"/>
      </c:catAx>
      <c:valAx>
        <c:axId val="553071208"/>
        <c:scaling>
          <c:orientation val="minMax"/>
          <c:min val="0"/>
        </c:scaling>
        <c:delete val="1"/>
        <c:axPos val="l"/>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a:t>RSD/kWh</a:t>
                </a:r>
              </a:p>
            </c:rich>
          </c:tx>
          <c:overlay val="0"/>
          <c:spPr>
            <a:noFill/>
            <a:ln>
              <a:noFill/>
            </a:ln>
            <a:effectLst/>
          </c:spPr>
        </c:title>
        <c:numFmt formatCode="General" sourceLinked="1"/>
        <c:majorTickMark val="none"/>
        <c:minorTickMark val="none"/>
        <c:tickLblPos val="nextTo"/>
        <c:crossAx val="55307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Change</a:t>
            </a:r>
            <a:r>
              <a:rPr lang="fr-FR" baseline="0"/>
              <a:t> in employment w.r.t. WEM under S (1000 people)</a:t>
            </a:r>
            <a:endParaRPr lang="fr-F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empl_by_sec_SG2!$A$2</c:f>
              <c:strCache>
                <c:ptCount val="1"/>
                <c:pt idx="0">
                  <c:v>2030</c:v>
                </c:pt>
              </c:strCache>
            </c:strRef>
          </c:tx>
          <c:spPr>
            <a:solidFill>
              <a:schemeClr val="accent1"/>
            </a:solidFill>
            <a:ln>
              <a:noFill/>
            </a:ln>
            <a:effectLst/>
          </c:spPr>
          <c:invertIfNegative val="0"/>
          <c:cat>
            <c:strRef>
              <c:f>empl_by_sec_SG2!$B$1:$P$1</c:f>
              <c:strCache>
                <c:ptCount val="15"/>
                <c:pt idx="0">
                  <c:v>Heavy manufacturing</c:v>
                </c:pt>
                <c:pt idx="1">
                  <c:v>Transport</c:v>
                </c:pt>
                <c:pt idx="2">
                  <c:v>Other extractions</c:v>
                </c:pt>
                <c:pt idx="3">
                  <c:v>Electricity</c:v>
                </c:pt>
                <c:pt idx="4">
                  <c:v>Coal mining</c:v>
                </c:pt>
                <c:pt idx="5">
                  <c:v>Construction</c:v>
                </c:pt>
                <c:pt idx="6">
                  <c:v>Petroleum products</c:v>
                </c:pt>
                <c:pt idx="7">
                  <c:v>Gas mining</c:v>
                </c:pt>
                <c:pt idx="8">
                  <c:v>Oil</c:v>
                </c:pt>
                <c:pt idx="9">
                  <c:v>Other services</c:v>
                </c:pt>
                <c:pt idx="10">
                  <c:v>Processed food</c:v>
                </c:pt>
                <c:pt idx="11">
                  <c:v>Livestock</c:v>
                </c:pt>
                <c:pt idx="12">
                  <c:v>Light manufacturing</c:v>
                </c:pt>
                <c:pt idx="13">
                  <c:v>Crops</c:v>
                </c:pt>
                <c:pt idx="14">
                  <c:v>Textiles</c:v>
                </c:pt>
              </c:strCache>
            </c:strRef>
          </c:cat>
          <c:val>
            <c:numRef>
              <c:f>empl_by_sec_SG2!$B$2:$P$2</c:f>
              <c:numCache>
                <c:formatCode>General</c:formatCode>
                <c:ptCount val="15"/>
                <c:pt idx="0">
                  <c:v>18.899999999999999</c:v>
                </c:pt>
                <c:pt idx="1">
                  <c:v>3.9</c:v>
                </c:pt>
                <c:pt idx="2">
                  <c:v>3</c:v>
                </c:pt>
                <c:pt idx="3">
                  <c:v>-4.2</c:v>
                </c:pt>
                <c:pt idx="4">
                  <c:v>-4.8</c:v>
                </c:pt>
                <c:pt idx="5">
                  <c:v>0.7</c:v>
                </c:pt>
                <c:pt idx="6">
                  <c:v>0</c:v>
                </c:pt>
                <c:pt idx="7">
                  <c:v>0</c:v>
                </c:pt>
                <c:pt idx="8">
                  <c:v>0</c:v>
                </c:pt>
                <c:pt idx="9">
                  <c:v>0.2</c:v>
                </c:pt>
                <c:pt idx="10">
                  <c:v>-0.9</c:v>
                </c:pt>
                <c:pt idx="11">
                  <c:v>-0.7</c:v>
                </c:pt>
                <c:pt idx="12">
                  <c:v>-5.5</c:v>
                </c:pt>
                <c:pt idx="13">
                  <c:v>-5.0999999999999996</c:v>
                </c:pt>
                <c:pt idx="14">
                  <c:v>-3.9</c:v>
                </c:pt>
              </c:numCache>
            </c:numRef>
          </c:val>
          <c:extLst>
            <c:ext xmlns:c16="http://schemas.microsoft.com/office/drawing/2014/chart" uri="{C3380CC4-5D6E-409C-BE32-E72D297353CC}">
              <c16:uniqueId val="{00000000-B54A-40EB-AA47-2EAD5711BA13}"/>
            </c:ext>
          </c:extLst>
        </c:ser>
        <c:ser>
          <c:idx val="1"/>
          <c:order val="1"/>
          <c:tx>
            <c:strRef>
              <c:f>empl_by_sec_SG2!$A$3</c:f>
              <c:strCache>
                <c:ptCount val="1"/>
                <c:pt idx="0">
                  <c:v>2040</c:v>
                </c:pt>
              </c:strCache>
            </c:strRef>
          </c:tx>
          <c:spPr>
            <a:solidFill>
              <a:schemeClr val="accent2"/>
            </a:solidFill>
            <a:ln>
              <a:noFill/>
            </a:ln>
            <a:effectLst/>
          </c:spPr>
          <c:invertIfNegative val="0"/>
          <c:cat>
            <c:strRef>
              <c:f>empl_by_sec_SG2!$B$1:$P$1</c:f>
              <c:strCache>
                <c:ptCount val="15"/>
                <c:pt idx="0">
                  <c:v>Heavy manufacturing</c:v>
                </c:pt>
                <c:pt idx="1">
                  <c:v>Transport</c:v>
                </c:pt>
                <c:pt idx="2">
                  <c:v>Other extractions</c:v>
                </c:pt>
                <c:pt idx="3">
                  <c:v>Electricity</c:v>
                </c:pt>
                <c:pt idx="4">
                  <c:v>Coal mining</c:v>
                </c:pt>
                <c:pt idx="5">
                  <c:v>Construction</c:v>
                </c:pt>
                <c:pt idx="6">
                  <c:v>Petroleum products</c:v>
                </c:pt>
                <c:pt idx="7">
                  <c:v>Gas mining</c:v>
                </c:pt>
                <c:pt idx="8">
                  <c:v>Oil</c:v>
                </c:pt>
                <c:pt idx="9">
                  <c:v>Other services</c:v>
                </c:pt>
                <c:pt idx="10">
                  <c:v>Processed food</c:v>
                </c:pt>
                <c:pt idx="11">
                  <c:v>Livestock</c:v>
                </c:pt>
                <c:pt idx="12">
                  <c:v>Light manufacturing</c:v>
                </c:pt>
                <c:pt idx="13">
                  <c:v>Crops</c:v>
                </c:pt>
                <c:pt idx="14">
                  <c:v>Textiles</c:v>
                </c:pt>
              </c:strCache>
            </c:strRef>
          </c:cat>
          <c:val>
            <c:numRef>
              <c:f>empl_by_sec_SG2!$B$3:$P$3</c:f>
              <c:numCache>
                <c:formatCode>General</c:formatCode>
                <c:ptCount val="15"/>
                <c:pt idx="0">
                  <c:v>6.9</c:v>
                </c:pt>
                <c:pt idx="1">
                  <c:v>6.8</c:v>
                </c:pt>
                <c:pt idx="2">
                  <c:v>1.4</c:v>
                </c:pt>
                <c:pt idx="3">
                  <c:v>-5.6</c:v>
                </c:pt>
                <c:pt idx="4">
                  <c:v>-6.8</c:v>
                </c:pt>
                <c:pt idx="5">
                  <c:v>1.4</c:v>
                </c:pt>
                <c:pt idx="6">
                  <c:v>-0.4</c:v>
                </c:pt>
                <c:pt idx="7">
                  <c:v>-0.1</c:v>
                </c:pt>
                <c:pt idx="8">
                  <c:v>-0.1</c:v>
                </c:pt>
                <c:pt idx="9">
                  <c:v>8.6</c:v>
                </c:pt>
                <c:pt idx="10">
                  <c:v>0.1</c:v>
                </c:pt>
                <c:pt idx="11">
                  <c:v>2.4</c:v>
                </c:pt>
                <c:pt idx="12">
                  <c:v>-3</c:v>
                </c:pt>
                <c:pt idx="13">
                  <c:v>-2</c:v>
                </c:pt>
                <c:pt idx="14">
                  <c:v>-2.1</c:v>
                </c:pt>
              </c:numCache>
            </c:numRef>
          </c:val>
          <c:extLst>
            <c:ext xmlns:c16="http://schemas.microsoft.com/office/drawing/2014/chart" uri="{C3380CC4-5D6E-409C-BE32-E72D297353CC}">
              <c16:uniqueId val="{00000001-B54A-40EB-AA47-2EAD5711BA13}"/>
            </c:ext>
          </c:extLst>
        </c:ser>
        <c:ser>
          <c:idx val="2"/>
          <c:order val="2"/>
          <c:tx>
            <c:strRef>
              <c:f>empl_by_sec_SG2!$A$4</c:f>
              <c:strCache>
                <c:ptCount val="1"/>
                <c:pt idx="0">
                  <c:v>2050</c:v>
                </c:pt>
              </c:strCache>
            </c:strRef>
          </c:tx>
          <c:spPr>
            <a:solidFill>
              <a:schemeClr val="accent3"/>
            </a:solidFill>
            <a:ln>
              <a:noFill/>
            </a:ln>
            <a:effectLst/>
          </c:spPr>
          <c:invertIfNegative val="0"/>
          <c:cat>
            <c:strRef>
              <c:f>empl_by_sec_SG2!$B$1:$P$1</c:f>
              <c:strCache>
                <c:ptCount val="15"/>
                <c:pt idx="0">
                  <c:v>Heavy manufacturing</c:v>
                </c:pt>
                <c:pt idx="1">
                  <c:v>Transport</c:v>
                </c:pt>
                <c:pt idx="2">
                  <c:v>Other extractions</c:v>
                </c:pt>
                <c:pt idx="3">
                  <c:v>Electricity</c:v>
                </c:pt>
                <c:pt idx="4">
                  <c:v>Coal mining</c:v>
                </c:pt>
                <c:pt idx="5">
                  <c:v>Construction</c:v>
                </c:pt>
                <c:pt idx="6">
                  <c:v>Petroleum products</c:v>
                </c:pt>
                <c:pt idx="7">
                  <c:v>Gas mining</c:v>
                </c:pt>
                <c:pt idx="8">
                  <c:v>Oil</c:v>
                </c:pt>
                <c:pt idx="9">
                  <c:v>Other services</c:v>
                </c:pt>
                <c:pt idx="10">
                  <c:v>Processed food</c:v>
                </c:pt>
                <c:pt idx="11">
                  <c:v>Livestock</c:v>
                </c:pt>
                <c:pt idx="12">
                  <c:v>Light manufacturing</c:v>
                </c:pt>
                <c:pt idx="13">
                  <c:v>Crops</c:v>
                </c:pt>
                <c:pt idx="14">
                  <c:v>Textiles</c:v>
                </c:pt>
              </c:strCache>
            </c:strRef>
          </c:cat>
          <c:val>
            <c:numRef>
              <c:f>empl_by_sec_SG2!$B$4:$P$4</c:f>
              <c:numCache>
                <c:formatCode>General</c:formatCode>
                <c:ptCount val="15"/>
                <c:pt idx="0">
                  <c:v>-11.6</c:v>
                </c:pt>
                <c:pt idx="1">
                  <c:v>6.4</c:v>
                </c:pt>
                <c:pt idx="2">
                  <c:v>-0.6</c:v>
                </c:pt>
                <c:pt idx="3">
                  <c:v>-3.9</c:v>
                </c:pt>
                <c:pt idx="4">
                  <c:v>-7.1</c:v>
                </c:pt>
                <c:pt idx="5">
                  <c:v>2</c:v>
                </c:pt>
                <c:pt idx="6">
                  <c:v>-0.8</c:v>
                </c:pt>
                <c:pt idx="7">
                  <c:v>-0.2</c:v>
                </c:pt>
                <c:pt idx="8">
                  <c:v>-0.2</c:v>
                </c:pt>
                <c:pt idx="9">
                  <c:v>15.4</c:v>
                </c:pt>
                <c:pt idx="10">
                  <c:v>0.8</c:v>
                </c:pt>
                <c:pt idx="11">
                  <c:v>4.7</c:v>
                </c:pt>
                <c:pt idx="12">
                  <c:v>-1.1000000000000001</c:v>
                </c:pt>
                <c:pt idx="13">
                  <c:v>0.3</c:v>
                </c:pt>
                <c:pt idx="14">
                  <c:v>0.5</c:v>
                </c:pt>
              </c:numCache>
            </c:numRef>
          </c:val>
          <c:extLst>
            <c:ext xmlns:c16="http://schemas.microsoft.com/office/drawing/2014/chart" uri="{C3380CC4-5D6E-409C-BE32-E72D297353CC}">
              <c16:uniqueId val="{00000002-B54A-40EB-AA47-2EAD5711BA13}"/>
            </c:ext>
          </c:extLst>
        </c:ser>
        <c:dLbls>
          <c:showLegendKey val="0"/>
          <c:showVal val="0"/>
          <c:showCatName val="0"/>
          <c:showSerName val="0"/>
          <c:showPercent val="0"/>
          <c:showBubbleSize val="0"/>
        </c:dLbls>
        <c:gapWidth val="219"/>
        <c:overlap val="-27"/>
        <c:axId val="488337880"/>
        <c:axId val="488339840"/>
      </c:barChart>
      <c:catAx>
        <c:axId val="488337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339840"/>
        <c:crosses val="autoZero"/>
        <c:auto val="1"/>
        <c:lblAlgn val="ctr"/>
        <c:lblOffset val="100"/>
        <c:noMultiLvlLbl val="0"/>
      </c:catAx>
      <c:valAx>
        <c:axId val="488339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337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noFill/>
            <a:ln>
              <a:noFill/>
            </a:ln>
            <a:effectLst/>
          </c:spPr>
          <c:invertIfNegative val="0"/>
          <c:cat>
            <c:strRef>
              <c:f>Φύλλο1!$D$5:$E$5</c:f>
              <c:strCache>
                <c:ptCount val="2"/>
                <c:pt idx="0">
                  <c:v>Installation</c:v>
                </c:pt>
                <c:pt idx="1">
                  <c:v>Maintenance</c:v>
                </c:pt>
              </c:strCache>
            </c:strRef>
          </c:cat>
          <c:val>
            <c:numRef>
              <c:f>Φύλλο1!$D$6:$E$6</c:f>
              <c:numCache>
                <c:formatCode>General</c:formatCode>
                <c:ptCount val="2"/>
                <c:pt idx="0">
                  <c:v>1875</c:v>
                </c:pt>
                <c:pt idx="1">
                  <c:v>600</c:v>
                </c:pt>
              </c:numCache>
            </c:numRef>
          </c:val>
          <c:extLst>
            <c:ext xmlns:c16="http://schemas.microsoft.com/office/drawing/2014/chart" uri="{C3380CC4-5D6E-409C-BE32-E72D297353CC}">
              <c16:uniqueId val="{00000000-1AE1-4468-A96C-4D601EE30A0D}"/>
            </c:ext>
          </c:extLst>
        </c:ser>
        <c:ser>
          <c:idx val="2"/>
          <c:order val="1"/>
          <c:spPr>
            <a:solidFill>
              <a:schemeClr val="accent1"/>
            </a:solidFill>
            <a:ln>
              <a:noFill/>
            </a:ln>
            <a:effectLst/>
          </c:spPr>
          <c:invertIfNegative val="0"/>
          <c:cat>
            <c:strRef>
              <c:f>Φύλλο1!$D$5:$E$5</c:f>
              <c:strCache>
                <c:ptCount val="2"/>
                <c:pt idx="0">
                  <c:v>Installation</c:v>
                </c:pt>
                <c:pt idx="1">
                  <c:v>Maintenance</c:v>
                </c:pt>
              </c:strCache>
            </c:strRef>
          </c:cat>
          <c:val>
            <c:numRef>
              <c:f>Φύλλο1!$D$8:$E$8</c:f>
              <c:numCache>
                <c:formatCode>General</c:formatCode>
                <c:ptCount val="2"/>
                <c:pt idx="0">
                  <c:v>938</c:v>
                </c:pt>
                <c:pt idx="1">
                  <c:v>600</c:v>
                </c:pt>
              </c:numCache>
            </c:numRef>
          </c:val>
          <c:extLst>
            <c:ext xmlns:c16="http://schemas.microsoft.com/office/drawing/2014/chart" uri="{C3380CC4-5D6E-409C-BE32-E72D297353CC}">
              <c16:uniqueId val="{00000001-1AE1-4468-A96C-4D601EE30A0D}"/>
            </c:ext>
          </c:extLst>
        </c:ser>
        <c:dLbls>
          <c:showLegendKey val="0"/>
          <c:showVal val="0"/>
          <c:showCatName val="0"/>
          <c:showSerName val="0"/>
          <c:showPercent val="0"/>
          <c:showBubbleSize val="0"/>
        </c:dLbls>
        <c:gapWidth val="150"/>
        <c:overlap val="100"/>
        <c:axId val="488326120"/>
        <c:axId val="488331216"/>
      </c:barChart>
      <c:catAx>
        <c:axId val="48832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crossAx val="488331216"/>
        <c:crosses val="autoZero"/>
        <c:auto val="1"/>
        <c:lblAlgn val="ctr"/>
        <c:lblOffset val="100"/>
        <c:noMultiLvlLbl val="0"/>
      </c:catAx>
      <c:valAx>
        <c:axId val="48833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a:t>Full jobs created in the wind sector until 2030</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88326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noFill/>
            <a:ln>
              <a:noFill/>
            </a:ln>
            <a:effectLst/>
          </c:spPr>
          <c:invertIfNegative val="0"/>
          <c:cat>
            <c:strRef>
              <c:f>Φύλλο1!$D$11:$E$11</c:f>
              <c:strCache>
                <c:ptCount val="2"/>
                <c:pt idx="0">
                  <c:v>Installation</c:v>
                </c:pt>
                <c:pt idx="1">
                  <c:v>Maintenance</c:v>
                </c:pt>
              </c:strCache>
            </c:strRef>
          </c:cat>
          <c:val>
            <c:numRef>
              <c:f>Φύλλο1!$D$12:$E$12</c:f>
              <c:numCache>
                <c:formatCode>General</c:formatCode>
                <c:ptCount val="2"/>
                <c:pt idx="0">
                  <c:v>1875</c:v>
                </c:pt>
                <c:pt idx="1">
                  <c:v>300</c:v>
                </c:pt>
              </c:numCache>
            </c:numRef>
          </c:val>
          <c:extLst>
            <c:ext xmlns:c16="http://schemas.microsoft.com/office/drawing/2014/chart" uri="{C3380CC4-5D6E-409C-BE32-E72D297353CC}">
              <c16:uniqueId val="{00000000-7977-49D5-9F17-2870007D2614}"/>
            </c:ext>
          </c:extLst>
        </c:ser>
        <c:ser>
          <c:idx val="2"/>
          <c:order val="1"/>
          <c:spPr>
            <a:solidFill>
              <a:schemeClr val="accent4"/>
            </a:solidFill>
            <a:ln>
              <a:solidFill>
                <a:schemeClr val="accent4"/>
              </a:solidFill>
            </a:ln>
            <a:effectLst/>
          </c:spPr>
          <c:invertIfNegative val="0"/>
          <c:cat>
            <c:strRef>
              <c:f>Φύλλο1!$D$11:$E$11</c:f>
              <c:strCache>
                <c:ptCount val="2"/>
                <c:pt idx="0">
                  <c:v>Installation</c:v>
                </c:pt>
                <c:pt idx="1">
                  <c:v>Maintenance</c:v>
                </c:pt>
              </c:strCache>
            </c:strRef>
          </c:cat>
          <c:val>
            <c:numRef>
              <c:f>Φύλλο1!$D$14:$E$14</c:f>
              <c:numCache>
                <c:formatCode>General</c:formatCode>
                <c:ptCount val="2"/>
                <c:pt idx="0">
                  <c:v>938</c:v>
                </c:pt>
                <c:pt idx="1">
                  <c:v>300</c:v>
                </c:pt>
              </c:numCache>
            </c:numRef>
          </c:val>
          <c:extLst>
            <c:ext xmlns:c16="http://schemas.microsoft.com/office/drawing/2014/chart" uri="{C3380CC4-5D6E-409C-BE32-E72D297353CC}">
              <c16:uniqueId val="{00000001-7977-49D5-9F17-2870007D2614}"/>
            </c:ext>
          </c:extLst>
        </c:ser>
        <c:dLbls>
          <c:showLegendKey val="0"/>
          <c:showVal val="0"/>
          <c:showCatName val="0"/>
          <c:showSerName val="0"/>
          <c:showPercent val="0"/>
          <c:showBubbleSize val="0"/>
        </c:dLbls>
        <c:gapWidth val="150"/>
        <c:overlap val="100"/>
        <c:axId val="488330432"/>
        <c:axId val="488328864"/>
      </c:barChart>
      <c:catAx>
        <c:axId val="48833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crossAx val="488328864"/>
        <c:crosses val="autoZero"/>
        <c:auto val="1"/>
        <c:lblAlgn val="ctr"/>
        <c:lblOffset val="100"/>
        <c:noMultiLvlLbl val="0"/>
      </c:catAx>
      <c:valAx>
        <c:axId val="488328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a:t>Full jobs created in the solar sector until 2030</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8833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noFill/>
            <a:ln>
              <a:noFill/>
            </a:ln>
            <a:effectLst/>
          </c:spPr>
          <c:invertIfNegative val="0"/>
          <c:cat>
            <c:strRef>
              <c:f>Φύλλο1!$D$17:$E$17</c:f>
              <c:strCache>
                <c:ptCount val="2"/>
                <c:pt idx="0">
                  <c:v>Installation</c:v>
                </c:pt>
                <c:pt idx="1">
                  <c:v>Maintenance</c:v>
                </c:pt>
              </c:strCache>
            </c:strRef>
          </c:cat>
          <c:val>
            <c:numRef>
              <c:f>Φύλλο1!$D$18:$E$18</c:f>
              <c:numCache>
                <c:formatCode>General</c:formatCode>
                <c:ptCount val="2"/>
                <c:pt idx="0">
                  <c:v>1050</c:v>
                </c:pt>
                <c:pt idx="1">
                  <c:v>40</c:v>
                </c:pt>
              </c:numCache>
            </c:numRef>
          </c:val>
          <c:extLst>
            <c:ext xmlns:c16="http://schemas.microsoft.com/office/drawing/2014/chart" uri="{C3380CC4-5D6E-409C-BE32-E72D297353CC}">
              <c16:uniqueId val="{00000000-75BF-4987-A723-0DCB425FE91B}"/>
            </c:ext>
          </c:extLst>
        </c:ser>
        <c:ser>
          <c:idx val="2"/>
          <c:order val="1"/>
          <c:spPr>
            <a:solidFill>
              <a:schemeClr val="accent2"/>
            </a:solidFill>
            <a:ln>
              <a:solidFill>
                <a:schemeClr val="accent2"/>
              </a:solidFill>
            </a:ln>
            <a:effectLst/>
          </c:spPr>
          <c:invertIfNegative val="0"/>
          <c:cat>
            <c:strRef>
              <c:f>Φύλλο1!$D$17:$E$17</c:f>
              <c:strCache>
                <c:ptCount val="2"/>
                <c:pt idx="0">
                  <c:v>Installation</c:v>
                </c:pt>
                <c:pt idx="1">
                  <c:v>Maintenance</c:v>
                </c:pt>
              </c:strCache>
            </c:strRef>
          </c:cat>
          <c:val>
            <c:numRef>
              <c:f>Φύλλο1!$D$20:$E$20</c:f>
              <c:numCache>
                <c:formatCode>General</c:formatCode>
                <c:ptCount val="2"/>
                <c:pt idx="0">
                  <c:v>350</c:v>
                </c:pt>
                <c:pt idx="1">
                  <c:v>40</c:v>
                </c:pt>
              </c:numCache>
            </c:numRef>
          </c:val>
          <c:extLst>
            <c:ext xmlns:c16="http://schemas.microsoft.com/office/drawing/2014/chart" uri="{C3380CC4-5D6E-409C-BE32-E72D297353CC}">
              <c16:uniqueId val="{00000001-75BF-4987-A723-0DCB425FE91B}"/>
            </c:ext>
          </c:extLst>
        </c:ser>
        <c:dLbls>
          <c:showLegendKey val="0"/>
          <c:showVal val="0"/>
          <c:showCatName val="0"/>
          <c:showSerName val="0"/>
          <c:showPercent val="0"/>
          <c:showBubbleSize val="0"/>
        </c:dLbls>
        <c:gapWidth val="150"/>
        <c:overlap val="100"/>
        <c:axId val="488333568"/>
        <c:axId val="488334352"/>
      </c:barChart>
      <c:catAx>
        <c:axId val="48833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endParaRPr lang="en-US"/>
          </a:p>
        </c:txPr>
        <c:crossAx val="488334352"/>
        <c:crosses val="autoZero"/>
        <c:auto val="1"/>
        <c:lblAlgn val="ctr"/>
        <c:lblOffset val="100"/>
        <c:noMultiLvlLbl val="0"/>
      </c:catAx>
      <c:valAx>
        <c:axId val="488334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a:t>Full jobs created in</a:t>
                </a:r>
                <a:r>
                  <a:rPr lang="en-US" baseline="0"/>
                  <a:t> the biomass sector </a:t>
                </a:r>
                <a:r>
                  <a:rPr lang="en-US"/>
                  <a:t>until 2030</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8833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Sheet1!$B$11</c:f>
              <c:strCache>
                <c:ptCount val="1"/>
                <c:pt idx="0">
                  <c:v>Scenario S</c:v>
                </c:pt>
              </c:strCache>
            </c:strRef>
          </c:tx>
          <c:spPr>
            <a:solidFill>
              <a:schemeClr val="accent1"/>
            </a:solidFill>
            <a:ln>
              <a:noFill/>
            </a:ln>
            <a:effectLst/>
          </c:spPr>
          <c:invertIfNegative val="0"/>
          <c:cat>
            <c:numRef>
              <c:f>Sheet1!$C$3:$G$3</c:f>
              <c:numCache>
                <c:formatCode>General</c:formatCode>
                <c:ptCount val="5"/>
                <c:pt idx="0">
                  <c:v>2030</c:v>
                </c:pt>
                <c:pt idx="1">
                  <c:v>2035</c:v>
                </c:pt>
                <c:pt idx="2">
                  <c:v>2040</c:v>
                </c:pt>
                <c:pt idx="3">
                  <c:v>2045</c:v>
                </c:pt>
                <c:pt idx="4">
                  <c:v>2050</c:v>
                </c:pt>
              </c:numCache>
            </c:numRef>
          </c:cat>
          <c:val>
            <c:numRef>
              <c:f>Sheet1!$C$11:$G$11</c:f>
              <c:numCache>
                <c:formatCode>General</c:formatCode>
                <c:ptCount val="5"/>
                <c:pt idx="0">
                  <c:v>47.9</c:v>
                </c:pt>
                <c:pt idx="1">
                  <c:v>54.5</c:v>
                </c:pt>
                <c:pt idx="2">
                  <c:v>62</c:v>
                </c:pt>
                <c:pt idx="3">
                  <c:v>80.599999999999994</c:v>
                </c:pt>
                <c:pt idx="4">
                  <c:v>63.5</c:v>
                </c:pt>
              </c:numCache>
            </c:numRef>
          </c:val>
          <c:extLst>
            <c:ext xmlns:c16="http://schemas.microsoft.com/office/drawing/2014/chart" uri="{C3380CC4-5D6E-409C-BE32-E72D297353CC}">
              <c16:uniqueId val="{00000000-94DE-4B48-AA1D-F26589D23C26}"/>
            </c:ext>
          </c:extLst>
        </c:ser>
        <c:dLbls>
          <c:showLegendKey val="0"/>
          <c:showVal val="0"/>
          <c:showCatName val="0"/>
          <c:showSerName val="0"/>
          <c:showPercent val="0"/>
          <c:showBubbleSize val="0"/>
        </c:dLbls>
        <c:gapWidth val="219"/>
        <c:overlap val="-27"/>
        <c:axId val="488324552"/>
        <c:axId val="488324944"/>
      </c:barChart>
      <c:catAx>
        <c:axId val="48832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88324944"/>
        <c:crosses val="autoZero"/>
        <c:auto val="1"/>
        <c:lblAlgn val="ctr"/>
        <c:lblOffset val="100"/>
        <c:noMultiLvlLbl val="0"/>
      </c:catAx>
      <c:valAx>
        <c:axId val="488324944"/>
        <c:scaling>
          <c:orientation val="minMax"/>
        </c:scaling>
        <c:delete val="0"/>
        <c:axPos val="l"/>
        <c:title>
          <c:tx>
            <c:rich>
              <a:bodyPr rot="-5400000" spcFirstLastPara="1" vertOverflow="ellipsis" vert="horz" wrap="square" anchor="ctr" anchorCtr="1"/>
              <a:lstStyle/>
              <a:p>
                <a:pPr>
                  <a:defRPr lang="en-GB" sz="1000" b="0" i="0" u="none" strike="noStrike" kern="1200" baseline="0">
                    <a:solidFill>
                      <a:schemeClr val="tx1">
                        <a:lumMod val="65000"/>
                        <a:lumOff val="35000"/>
                      </a:schemeClr>
                    </a:solidFill>
                    <a:latin typeface="+mn-lt"/>
                    <a:ea typeface="+mn-ea"/>
                    <a:cs typeface="+mn-cs"/>
                  </a:defRPr>
                </a:pPr>
                <a:r>
                  <a:rPr lang="en-US"/>
                  <a:t>Average Electricity Supply costs (Euro/MWh)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488324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spPr>
            <a:pattFill prst="wdDnDiag">
              <a:fgClr>
                <a:schemeClr val="accent6"/>
              </a:fgClr>
              <a:bgClr>
                <a:schemeClr val="bg1"/>
              </a:bgClr>
            </a:pattFill>
            <a:ln>
              <a:noFill/>
            </a:ln>
            <a:effectLst/>
          </c:spPr>
          <c:invertIfNegative val="0"/>
          <c:cat>
            <c:strRef>
              <c:f>'[Annex I Summary Table of Investments_05.12.23_v0.4.xlsx]Graphs'!$A$2:$A$6</c:f>
              <c:strCache>
                <c:ptCount val="5"/>
                <c:pt idx="0">
                  <c:v>Decarbonisation</c:v>
                </c:pt>
                <c:pt idx="1">
                  <c:v>Energy Efficiency</c:v>
                </c:pt>
                <c:pt idx="2">
                  <c:v>Energy Security</c:v>
                </c:pt>
                <c:pt idx="3">
                  <c:v>Internal Energy Market</c:v>
                </c:pt>
                <c:pt idx="4">
                  <c:v>Research, Innovation &amp; Competition</c:v>
                </c:pt>
              </c:strCache>
            </c:strRef>
          </c:cat>
          <c:val>
            <c:numRef>
              <c:f>'[Annex I Summary Table of Investments_05.12.23_v0.4.xlsx]Graphs'!$B$2:$B$6</c:f>
              <c:numCache>
                <c:formatCode>0.00</c:formatCode>
                <c:ptCount val="5"/>
                <c:pt idx="1">
                  <c:v>5.8259999999999996</c:v>
                </c:pt>
              </c:numCache>
            </c:numRef>
          </c:val>
          <c:extLst>
            <c:ext xmlns:c16="http://schemas.microsoft.com/office/drawing/2014/chart" uri="{C3380CC4-5D6E-409C-BE32-E72D297353CC}">
              <c16:uniqueId val="{00000000-7F90-4CD8-9435-30A8CC6E085E}"/>
            </c:ext>
          </c:extLst>
        </c:ser>
        <c:ser>
          <c:idx val="2"/>
          <c:order val="2"/>
          <c:spPr>
            <a:solidFill>
              <a:schemeClr val="accent5"/>
            </a:solidFill>
            <a:ln>
              <a:noFill/>
            </a:ln>
            <a:effectLst/>
          </c:spPr>
          <c:invertIfNegative val="0"/>
          <c:cat>
            <c:strRef>
              <c:f>'[Annex I Summary Table of Investments_05.12.23_v0.4.xlsx]Graphs'!$A$2:$A$6</c:f>
              <c:strCache>
                <c:ptCount val="5"/>
                <c:pt idx="0">
                  <c:v>Decarbonisation</c:v>
                </c:pt>
                <c:pt idx="1">
                  <c:v>Energy Efficiency</c:v>
                </c:pt>
                <c:pt idx="2">
                  <c:v>Energy Security</c:v>
                </c:pt>
                <c:pt idx="3">
                  <c:v>Internal Energy Market</c:v>
                </c:pt>
                <c:pt idx="4">
                  <c:v>Research, Innovation &amp; Competition</c:v>
                </c:pt>
              </c:strCache>
            </c:strRef>
          </c:cat>
          <c:val>
            <c:numRef>
              <c:f>'[Annex I Summary Table of Investments_05.12.23_v0.4.xlsx]Graphs'!$D$2:$D$6</c:f>
              <c:numCache>
                <c:formatCode>0.00</c:formatCode>
                <c:ptCount val="5"/>
                <c:pt idx="0">
                  <c:v>5.1876999999999995</c:v>
                </c:pt>
                <c:pt idx="1">
                  <c:v>15.112561417380043</c:v>
                </c:pt>
                <c:pt idx="2">
                  <c:v>3.1256999999999997</c:v>
                </c:pt>
                <c:pt idx="3">
                  <c:v>1.1919700000000009</c:v>
                </c:pt>
                <c:pt idx="4">
                  <c:v>0.1055</c:v>
                </c:pt>
              </c:numCache>
            </c:numRef>
          </c:val>
          <c:extLst>
            <c:ext xmlns:c16="http://schemas.microsoft.com/office/drawing/2014/chart" uri="{C3380CC4-5D6E-409C-BE32-E72D297353CC}">
              <c16:uniqueId val="{00000001-7F90-4CD8-9435-30A8CC6E085E}"/>
            </c:ext>
          </c:extLst>
        </c:ser>
        <c:dLbls>
          <c:showLegendKey val="0"/>
          <c:showVal val="0"/>
          <c:showCatName val="0"/>
          <c:showSerName val="0"/>
          <c:showPercent val="0"/>
          <c:showBubbleSize val="0"/>
        </c:dLbls>
        <c:gapWidth val="150"/>
        <c:overlap val="100"/>
        <c:axId val="1638056159"/>
        <c:axId val="2014740767"/>
      </c:barChart>
      <c:scatterChart>
        <c:scatterStyle val="lineMarker"/>
        <c:varyColors val="0"/>
        <c:ser>
          <c:idx val="1"/>
          <c:order val="1"/>
          <c:spPr>
            <a:ln w="25400" cap="rnd">
              <a:noFill/>
              <a:round/>
            </a:ln>
            <a:effectLst/>
          </c:spPr>
          <c:marker>
            <c:symbol val="circle"/>
            <c:size val="5"/>
            <c:spPr>
              <a:solidFill>
                <a:schemeClr val="accent4"/>
              </a:solidFill>
              <a:ln w="9525">
                <a:solidFill>
                  <a:schemeClr val="accent2"/>
                </a:solidFill>
              </a:ln>
              <a:effectLst/>
            </c:spPr>
          </c:marker>
          <c:dLbls>
            <c:dLbl>
              <c:idx val="1"/>
              <c:layout>
                <c:manualLayout>
                  <c:x val="3.2407413314270432E-2"/>
                  <c:y val="-2.5747122708353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90-4CD8-9435-30A8CC6E0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xVal>
            <c:strRef>
              <c:f>'[Annex I Summary Table of Investments_05.12.23_v0.4.xlsx]Graphs'!$A$2:$A$6</c:f>
              <c:strCache>
                <c:ptCount val="5"/>
                <c:pt idx="0">
                  <c:v>Decarbonisation</c:v>
                </c:pt>
                <c:pt idx="1">
                  <c:v>Energy Efficiency</c:v>
                </c:pt>
                <c:pt idx="2">
                  <c:v>Energy Security</c:v>
                </c:pt>
                <c:pt idx="3">
                  <c:v>Internal Energy Market</c:v>
                </c:pt>
                <c:pt idx="4">
                  <c:v>Research, Innovation &amp; Competition</c:v>
                </c:pt>
              </c:strCache>
            </c:strRef>
          </c:xVal>
          <c:yVal>
            <c:numRef>
              <c:f>'[Annex I Summary Table of Investments_05.12.23_v0.4.xlsx]Graphs'!$C$2:$C$6</c:f>
              <c:numCache>
                <c:formatCode>0.00%</c:formatCode>
                <c:ptCount val="5"/>
                <c:pt idx="1">
                  <c:v>0.19070731367803784</c:v>
                </c:pt>
              </c:numCache>
            </c:numRef>
          </c:yVal>
          <c:smooth val="0"/>
          <c:extLst>
            <c:ext xmlns:c16="http://schemas.microsoft.com/office/drawing/2014/chart" uri="{C3380CC4-5D6E-409C-BE32-E72D297353CC}">
              <c16:uniqueId val="{00000003-7F90-4CD8-9435-30A8CC6E085E}"/>
            </c:ext>
          </c:extLst>
        </c:ser>
        <c:ser>
          <c:idx val="3"/>
          <c:order val="3"/>
          <c:spPr>
            <a:ln w="25400" cap="rnd">
              <a:noFill/>
              <a:round/>
            </a:ln>
            <a:effectLst/>
          </c:spPr>
          <c:marker>
            <c:symbol val="circle"/>
            <c:size val="5"/>
            <c:spPr>
              <a:solidFill>
                <a:schemeClr val="accent2"/>
              </a:solidFill>
              <a:ln w="9525">
                <a:solidFill>
                  <a:schemeClr val="accent4"/>
                </a:solidFill>
              </a:ln>
              <a:effectLst/>
            </c:spPr>
          </c:marker>
          <c:dLbls>
            <c:dLbl>
              <c:idx val="0"/>
              <c:layout>
                <c:manualLayout>
                  <c:x val="1.3888891420401615E-2"/>
                  <c:y val="-2.9425283095261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90-4CD8-9435-30A8CC6E085E}"/>
                </c:ext>
              </c:extLst>
            </c:dLbl>
            <c:dLbl>
              <c:idx val="1"/>
              <c:layout>
                <c:manualLayout>
                  <c:x val="2.3148152367336024E-2"/>
                  <c:y val="-3.3103443482169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90-4CD8-9435-30A8CC6E085E}"/>
                </c:ext>
              </c:extLst>
            </c:dLbl>
            <c:dLbl>
              <c:idx val="2"/>
              <c:layout>
                <c:manualLayout>
                  <c:x val="1.1574076183667927E-2"/>
                  <c:y val="-2.9425283095261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90-4CD8-9435-30A8CC6E085E}"/>
                </c:ext>
              </c:extLst>
            </c:dLbl>
            <c:dLbl>
              <c:idx val="3"/>
              <c:layout>
                <c:manualLayout>
                  <c:x val="1.388889142040153E-2"/>
                  <c:y val="-3.31034434821694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90-4CD8-9435-30A8CC6E085E}"/>
                </c:ext>
              </c:extLst>
            </c:dLbl>
            <c:dLbl>
              <c:idx val="4"/>
              <c:layout>
                <c:manualLayout>
                  <c:x val="9.2592609469342394E-3"/>
                  <c:y val="-3.6781603869077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90-4CD8-9435-30A8CC6E0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'[Annex I Summary Table of Investments_05.12.23_v0.4.xlsx]Graphs'!$A$2:$A$6</c:f>
              <c:strCache>
                <c:ptCount val="5"/>
                <c:pt idx="0">
                  <c:v>Decarbonisation</c:v>
                </c:pt>
                <c:pt idx="1">
                  <c:v>Energy Efficiency</c:v>
                </c:pt>
                <c:pt idx="2">
                  <c:v>Energy Security</c:v>
                </c:pt>
                <c:pt idx="3">
                  <c:v>Internal Energy Market</c:v>
                </c:pt>
                <c:pt idx="4">
                  <c:v>Research, Innovation &amp; Competition</c:v>
                </c:pt>
              </c:strCache>
            </c:strRef>
          </c:xVal>
          <c:yVal>
            <c:numRef>
              <c:f>'[Annex I Summary Table of Investments_05.12.23_v0.4.xlsx]Graphs'!$E$2:$E$6</c:f>
              <c:numCache>
                <c:formatCode>0.00%</c:formatCode>
                <c:ptCount val="5"/>
                <c:pt idx="0">
                  <c:v>0.16981330778708495</c:v>
                </c:pt>
                <c:pt idx="1">
                  <c:v>0.68539938211314055</c:v>
                </c:pt>
                <c:pt idx="2">
                  <c:v>0.10231614321377323</c:v>
                </c:pt>
                <c:pt idx="3">
                  <c:v>3.9017747457056461E-2</c:v>
                </c:pt>
                <c:pt idx="4">
                  <c:v>3.453419428944901E-3</c:v>
                </c:pt>
              </c:numCache>
            </c:numRef>
          </c:yVal>
          <c:smooth val="0"/>
          <c:extLst>
            <c:ext xmlns:c16="http://schemas.microsoft.com/office/drawing/2014/chart" uri="{C3380CC4-5D6E-409C-BE32-E72D297353CC}">
              <c16:uniqueId val="{00000009-7F90-4CD8-9435-30A8CC6E085E}"/>
            </c:ext>
          </c:extLst>
        </c:ser>
        <c:dLbls>
          <c:showLegendKey val="0"/>
          <c:showVal val="0"/>
          <c:showCatName val="0"/>
          <c:showSerName val="0"/>
          <c:showPercent val="0"/>
          <c:showBubbleSize val="0"/>
        </c:dLbls>
        <c:axId val="1634511695"/>
        <c:axId val="1634509711"/>
      </c:scatterChart>
      <c:catAx>
        <c:axId val="163805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4740767"/>
        <c:crosses val="autoZero"/>
        <c:auto val="1"/>
        <c:lblAlgn val="ctr"/>
        <c:lblOffset val="100"/>
        <c:noMultiLvlLbl val="0"/>
      </c:catAx>
      <c:valAx>
        <c:axId val="20147407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billion €</a:t>
                </a:r>
              </a:p>
            </c:rich>
          </c:tx>
          <c:layout>
            <c:manualLayout>
              <c:xMode val="edge"/>
              <c:yMode val="edge"/>
              <c:x val="1.3888891420401615E-2"/>
              <c:y val="0.334553298011025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056159"/>
        <c:crosses val="autoZero"/>
        <c:crossBetween val="between"/>
      </c:valAx>
      <c:valAx>
        <c:axId val="1634509711"/>
        <c:scaling>
          <c:orientation val="minMax"/>
          <c:max val="1"/>
        </c:scaling>
        <c:delete val="0"/>
        <c:axPos val="r"/>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511695"/>
        <c:crosses val="max"/>
        <c:crossBetween val="midCat"/>
      </c:valAx>
      <c:valAx>
        <c:axId val="1634511695"/>
        <c:scaling>
          <c:orientation val="minMax"/>
        </c:scaling>
        <c:delete val="1"/>
        <c:axPos val="t"/>
        <c:majorTickMark val="out"/>
        <c:minorTickMark val="none"/>
        <c:tickLblPos val="nextTo"/>
        <c:crossAx val="1634509711"/>
        <c:crosses val="max"/>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02038849602529"/>
          <c:y val="4.46745648227296E-2"/>
          <c:w val="0.63607980946192899"/>
          <c:h val="0.86110975200659789"/>
        </c:manualLayout>
      </c:layout>
      <c:barChart>
        <c:barDir val="col"/>
        <c:grouping val="stacked"/>
        <c:varyColors val="0"/>
        <c:ser>
          <c:idx val="0"/>
          <c:order val="0"/>
          <c:tx>
            <c:strRef>
              <c:f>'[Annex I Summary Table of Investments_05.12.23_v0.4.xlsx]Graphs'!$K$3</c:f>
              <c:strCache>
                <c:ptCount val="1"/>
                <c:pt idx="0">
                  <c:v>own funds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'[Annex I Summary Table of Investments_05.12.23_v0.4.xlsx]Graphs'!$K$2</c:f>
              <c:strCache>
                <c:ptCount val="1"/>
                <c:pt idx="0">
                  <c:v>Total Implementation Costs</c:v>
                </c:pt>
              </c:strCache>
            </c:strRef>
          </c:cat>
          <c:val>
            <c:numRef>
              <c:f>'[Annex I Summary Table of Investments_05.12.23_v0.4.xlsx]Graphs'!$L$3</c:f>
              <c:numCache>
                <c:formatCode>_-* #,##0.00\ "€"_-;\-* #,##0.00\ "€"_-;_-* "-"??\ "€"_-;_-@_-</c:formatCode>
                <c:ptCount val="1"/>
                <c:pt idx="0">
                  <c:v>19.679526170684724</c:v>
                </c:pt>
              </c:numCache>
            </c:numRef>
          </c:val>
          <c:extLst>
            <c:ext xmlns:c16="http://schemas.microsoft.com/office/drawing/2014/chart" uri="{C3380CC4-5D6E-409C-BE32-E72D297353CC}">
              <c16:uniqueId val="{00000000-12DA-47BD-9830-9566D66D7FE5}"/>
            </c:ext>
          </c:extLst>
        </c:ser>
        <c:ser>
          <c:idx val="1"/>
          <c:order val="1"/>
          <c:tx>
            <c:strRef>
              <c:f>'[Annex I Summary Table of Investments_05.12.23_v0.4.xlsx]Graphs'!$K$4</c:f>
              <c:strCache>
                <c:ptCount val="1"/>
                <c:pt idx="0">
                  <c:v>Public funds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'[Annex I Summary Table of Investments_05.12.23_v0.4.xlsx]Graphs'!$K$2</c:f>
              <c:strCache>
                <c:ptCount val="1"/>
                <c:pt idx="0">
                  <c:v>Total Implementation Costs</c:v>
                </c:pt>
              </c:strCache>
            </c:strRef>
          </c:cat>
          <c:val>
            <c:numRef>
              <c:f>'[Annex I Summary Table of Investments_05.12.23_v0.4.xlsx]Graphs'!$L$4</c:f>
              <c:numCache>
                <c:formatCode>_-* #,##0.00\ "€"_-;\-* #,##0.00\ "€"_-;_-* "-"??\ "€"_-;_-@_-</c:formatCode>
                <c:ptCount val="1"/>
                <c:pt idx="0">
                  <c:v>10.869905246695323</c:v>
                </c:pt>
              </c:numCache>
            </c:numRef>
          </c:val>
          <c:extLst>
            <c:ext xmlns:c16="http://schemas.microsoft.com/office/drawing/2014/chart" uri="{C3380CC4-5D6E-409C-BE32-E72D297353CC}">
              <c16:uniqueId val="{00000001-12DA-47BD-9830-9566D66D7FE5}"/>
            </c:ext>
          </c:extLst>
        </c:ser>
        <c:dLbls>
          <c:dLblPos val="ctr"/>
          <c:showLegendKey val="0"/>
          <c:showVal val="1"/>
          <c:showCatName val="0"/>
          <c:showSerName val="0"/>
          <c:showPercent val="0"/>
          <c:showBubbleSize val="0"/>
        </c:dLbls>
        <c:gapWidth val="150"/>
        <c:overlap val="100"/>
        <c:axId val="1686044192"/>
        <c:axId val="1686048768"/>
      </c:barChart>
      <c:catAx>
        <c:axId val="168604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048768"/>
        <c:crosses val="autoZero"/>
        <c:auto val="1"/>
        <c:lblAlgn val="ctr"/>
        <c:lblOffset val="100"/>
        <c:noMultiLvlLbl val="0"/>
      </c:catAx>
      <c:valAx>
        <c:axId val="1686048768"/>
        <c:scaling>
          <c:orientation val="minMax"/>
          <c:max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kern="1200" baseline="0">
                    <a:solidFill>
                      <a:sysClr val="windowText" lastClr="000000">
                        <a:lumMod val="65000"/>
                        <a:lumOff val="35000"/>
                      </a:sysClr>
                    </a:solidFill>
                  </a:rPr>
                  <a:t>billion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00\ &quot;€&quot;_-;\-* #,##0.00\ &quot;€&quot;_-;_-* &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0441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Sheet3!$C$21</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C9-4874-81DE-78F17D0011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C9-4874-81DE-78F17D0011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C9-4874-81DE-78F17D0011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C9-4874-81DE-78F17D0011F9}"/>
              </c:ext>
            </c:extLst>
          </c:dPt>
          <c:dLbls>
            <c:dLbl>
              <c:idx val="0"/>
              <c:tx>
                <c:rich>
                  <a:bodyPr/>
                  <a:lstStyle/>
                  <a:p>
                    <a:fld id="{132D7012-E56A-412E-B0E0-10E176E606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FC9-4874-81DE-78F17D0011F9}"/>
                </c:ext>
              </c:extLst>
            </c:dLbl>
            <c:dLbl>
              <c:idx val="1"/>
              <c:tx>
                <c:rich>
                  <a:bodyPr/>
                  <a:lstStyle/>
                  <a:p>
                    <a:fld id="{3521F368-8137-4399-83F7-238D27B6642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FC9-4874-81DE-78F17D0011F9}"/>
                </c:ext>
              </c:extLst>
            </c:dLbl>
            <c:dLbl>
              <c:idx val="2"/>
              <c:tx>
                <c:rich>
                  <a:bodyPr/>
                  <a:lstStyle/>
                  <a:p>
                    <a:fld id="{B4D8D187-02AA-40A8-8326-EF1483E627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FC9-4874-81DE-78F17D0011F9}"/>
                </c:ext>
              </c:extLst>
            </c:dLbl>
            <c:dLbl>
              <c:idx val="3"/>
              <c:tx>
                <c:rich>
                  <a:bodyPr/>
                  <a:lstStyle/>
                  <a:p>
                    <a:fld id="{52C348A6-224C-4C18-8CB8-0BBB48339C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FC9-4874-81DE-78F17D0011F9}"/>
                </c:ext>
              </c:extLst>
            </c:dLbl>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Sheet3!$D$20:$G$20</c:f>
              <c:strCache>
                <c:ptCount val="4"/>
                <c:pt idx="0">
                  <c:v>Government sector</c:v>
                </c:pt>
                <c:pt idx="1">
                  <c:v>Tertiary education</c:v>
                </c:pt>
                <c:pt idx="2">
                  <c:v>Business sector</c:v>
                </c:pt>
                <c:pt idx="3">
                  <c:v>Non-Profit Sector</c:v>
                </c:pt>
              </c:strCache>
            </c:strRef>
          </c:cat>
          <c:val>
            <c:numRef>
              <c:f>Sheet3!$D$21:$G$21</c:f>
              <c:numCache>
                <c:formatCode>General</c:formatCode>
                <c:ptCount val="4"/>
                <c:pt idx="0">
                  <c:v>59</c:v>
                </c:pt>
                <c:pt idx="1">
                  <c:v>113</c:v>
                </c:pt>
                <c:pt idx="2">
                  <c:v>159</c:v>
                </c:pt>
                <c:pt idx="3">
                  <c:v>4</c:v>
                </c:pt>
              </c:numCache>
            </c:numRef>
          </c:val>
          <c:extLst>
            <c:ext xmlns:c15="http://schemas.microsoft.com/office/drawing/2012/chart" uri="{02D57815-91ED-43cb-92C2-25804820EDAC}">
              <c15:datalabelsRange>
                <c15:f>Sheet3!$D$22:$G$22</c15:f>
                <c15:dlblRangeCache>
                  <c:ptCount val="4"/>
                  <c:pt idx="0">
                    <c:v>17.6%</c:v>
                  </c:pt>
                  <c:pt idx="1">
                    <c:v>33.7%</c:v>
                  </c:pt>
                  <c:pt idx="2">
                    <c:v>47.5%</c:v>
                  </c:pt>
                  <c:pt idx="3">
                    <c:v>1.2%</c:v>
                  </c:pt>
                </c15:dlblRangeCache>
              </c15:datalabelsRange>
            </c:ext>
            <c:ext xmlns:c16="http://schemas.microsoft.com/office/drawing/2014/chart" uri="{C3380CC4-5D6E-409C-BE32-E72D297353CC}">
              <c16:uniqueId val="{00000008-9FC9-4874-81DE-78F17D0011F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A6-4DEE-9DCF-7B36879AE7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A6-4DEE-9DCF-7B36879AE7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A6-4DEE-9DCF-7B36879AE7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5A6-4DEE-9DCF-7B36879AE7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5A6-4DEE-9DCF-7B36879AE7F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5A6-4DEE-9DCF-7B36879AE7F9}"/>
              </c:ext>
            </c:extLst>
          </c:dPt>
          <c:dLbls>
            <c:dLbl>
              <c:idx val="0"/>
              <c:tx>
                <c:rich>
                  <a:bodyPr/>
                  <a:lstStyle/>
                  <a:p>
                    <a:fld id="{DE7DE8A1-60A7-435D-9FC3-E97F9C04DA4C}" type="CELLRANGE">
                      <a:rPr lang="en-US"/>
                      <a:pPr/>
                      <a:t>[CELLRANGE]</a:t>
                    </a:fld>
                    <a:endParaRPr lang="en-US"/>
                  </a:p>
                </c:rich>
              </c:tx>
              <c:dLblPos val="bestFi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5A6-4DEE-9DCF-7B36879AE7F9}"/>
                </c:ext>
              </c:extLst>
            </c:dLbl>
            <c:dLbl>
              <c:idx val="1"/>
              <c:tx>
                <c:rich>
                  <a:bodyPr/>
                  <a:lstStyle/>
                  <a:p>
                    <a:fld id="{120E0BDC-5744-4B65-815A-905053D52F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5A6-4DEE-9DCF-7B36879AE7F9}"/>
                </c:ext>
              </c:extLst>
            </c:dLbl>
            <c:dLbl>
              <c:idx val="2"/>
              <c:tx>
                <c:rich>
                  <a:bodyPr/>
                  <a:lstStyle/>
                  <a:p>
                    <a:fld id="{9E5343FB-7E16-4228-9E87-8BC07CBD0F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5A6-4DEE-9DCF-7B36879AE7F9}"/>
                </c:ext>
              </c:extLst>
            </c:dLbl>
            <c:dLbl>
              <c:idx val="3"/>
              <c:tx>
                <c:rich>
                  <a:bodyPr/>
                  <a:lstStyle/>
                  <a:p>
                    <a:fld id="{CA02D5B5-CDDB-4EFC-BA92-AC29978BD4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5A6-4DEE-9DCF-7B36879AE7F9}"/>
                </c:ext>
              </c:extLst>
            </c:dLbl>
            <c:dLbl>
              <c:idx val="4"/>
              <c:tx>
                <c:rich>
                  <a:bodyPr/>
                  <a:lstStyle/>
                  <a:p>
                    <a:fld id="{F8337152-EB19-4B35-BA20-28824F5F89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5A6-4DEE-9DCF-7B36879AE7F9}"/>
                </c:ext>
              </c:extLst>
            </c:dLbl>
            <c:dLbl>
              <c:idx val="5"/>
              <c:tx>
                <c:rich>
                  <a:bodyPr/>
                  <a:lstStyle/>
                  <a:p>
                    <a:fld id="{6AB38D21-7A61-4AAC-ACA2-7B099C45C76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5A6-4DEE-9DCF-7B36879AE7F9}"/>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Sheet3!$D$37:$D$42</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Sheet3!$E$37:$E$42</c:f>
              <c:numCache>
                <c:formatCode>General</c:formatCode>
                <c:ptCount val="6"/>
                <c:pt idx="0">
                  <c:v>63</c:v>
                </c:pt>
                <c:pt idx="1">
                  <c:v>128</c:v>
                </c:pt>
                <c:pt idx="2">
                  <c:v>18</c:v>
                </c:pt>
                <c:pt idx="3">
                  <c:v>32</c:v>
                </c:pt>
                <c:pt idx="4">
                  <c:v>72</c:v>
                </c:pt>
                <c:pt idx="5">
                  <c:v>22</c:v>
                </c:pt>
              </c:numCache>
            </c:numRef>
          </c:val>
          <c:extLst>
            <c:ext xmlns:c15="http://schemas.microsoft.com/office/drawing/2012/chart" uri="{02D57815-91ED-43cb-92C2-25804820EDAC}">
              <c15:datalabelsRange>
                <c15:f>Sheet3!$F$37:$F$42</c15:f>
                <c15:dlblRangeCache>
                  <c:ptCount val="6"/>
                  <c:pt idx="0">
                    <c:v>18.8%</c:v>
                  </c:pt>
                  <c:pt idx="1">
                    <c:v>38.2%</c:v>
                  </c:pt>
                  <c:pt idx="2">
                    <c:v>5.4%</c:v>
                  </c:pt>
                  <c:pt idx="3">
                    <c:v>9.6%</c:v>
                  </c:pt>
                  <c:pt idx="4">
                    <c:v>21.5%</c:v>
                  </c:pt>
                  <c:pt idx="5">
                    <c:v>6.6%</c:v>
                  </c:pt>
                </c15:dlblRangeCache>
              </c15:datalabelsRange>
            </c:ext>
            <c:ext xmlns:c16="http://schemas.microsoft.com/office/drawing/2014/chart" uri="{C3380CC4-5D6E-409C-BE32-E72D297353CC}">
              <c16:uniqueId val="{0000000C-45A6-4DEE-9DCF-7B36879AE7F9}"/>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Sheet3!$D$3</c:f>
              <c:strCache>
                <c:ptCount val="1"/>
                <c:pt idx="0">
                  <c:v>Government sector</c:v>
                </c:pt>
              </c:strCache>
            </c:strRef>
          </c:tx>
          <c:spPr>
            <a:solidFill>
              <a:schemeClr val="accent1"/>
            </a:solidFill>
            <a:ln>
              <a:noFill/>
            </a:ln>
            <a:effectLst/>
          </c:spPr>
          <c:invertIfNegative val="0"/>
          <c:cat>
            <c:strRef>
              <c:f>Sheet3!$C$4:$C$9</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Sheet3!$D$4:$D$9</c:f>
              <c:numCache>
                <c:formatCode>#,##0</c:formatCode>
                <c:ptCount val="6"/>
                <c:pt idx="0">
                  <c:v>2125</c:v>
                </c:pt>
                <c:pt idx="1">
                  <c:v>1126</c:v>
                </c:pt>
                <c:pt idx="2">
                  <c:v>180</c:v>
                </c:pt>
                <c:pt idx="3">
                  <c:v>1255</c:v>
                </c:pt>
                <c:pt idx="4">
                  <c:v>397</c:v>
                </c:pt>
                <c:pt idx="5">
                  <c:v>435</c:v>
                </c:pt>
              </c:numCache>
            </c:numRef>
          </c:val>
          <c:extLst>
            <c:ext xmlns:c16="http://schemas.microsoft.com/office/drawing/2014/chart" uri="{C3380CC4-5D6E-409C-BE32-E72D297353CC}">
              <c16:uniqueId val="{00000000-EA4F-4BB3-BAEE-9047EE4A19FA}"/>
            </c:ext>
          </c:extLst>
        </c:ser>
        <c:ser>
          <c:idx val="1"/>
          <c:order val="1"/>
          <c:tx>
            <c:strRef>
              <c:f>Sheet3!$E$3</c:f>
              <c:strCache>
                <c:ptCount val="1"/>
                <c:pt idx="0">
                  <c:v>Tertiary education</c:v>
                </c:pt>
              </c:strCache>
            </c:strRef>
          </c:tx>
          <c:spPr>
            <a:solidFill>
              <a:schemeClr val="accent2"/>
            </a:solidFill>
            <a:ln>
              <a:noFill/>
            </a:ln>
            <a:effectLst/>
          </c:spPr>
          <c:invertIfNegative val="0"/>
          <c:cat>
            <c:strRef>
              <c:f>Sheet3!$C$4:$C$9</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Sheet3!$E$4:$E$9</c:f>
              <c:numCache>
                <c:formatCode>#,##0</c:formatCode>
                <c:ptCount val="6"/>
                <c:pt idx="0">
                  <c:v>2322</c:v>
                </c:pt>
                <c:pt idx="1">
                  <c:v>3529</c:v>
                </c:pt>
                <c:pt idx="2">
                  <c:v>2988</c:v>
                </c:pt>
                <c:pt idx="3">
                  <c:v>1128</c:v>
                </c:pt>
                <c:pt idx="4">
                  <c:v>3031</c:v>
                </c:pt>
                <c:pt idx="5">
                  <c:v>1687</c:v>
                </c:pt>
              </c:numCache>
            </c:numRef>
          </c:val>
          <c:extLst>
            <c:ext xmlns:c16="http://schemas.microsoft.com/office/drawing/2014/chart" uri="{C3380CC4-5D6E-409C-BE32-E72D297353CC}">
              <c16:uniqueId val="{00000001-EA4F-4BB3-BAEE-9047EE4A19FA}"/>
            </c:ext>
          </c:extLst>
        </c:ser>
        <c:ser>
          <c:idx val="2"/>
          <c:order val="2"/>
          <c:tx>
            <c:strRef>
              <c:f>Sheet3!$F$3</c:f>
              <c:strCache>
                <c:ptCount val="1"/>
                <c:pt idx="0">
                  <c:v>Business sector</c:v>
                </c:pt>
              </c:strCache>
            </c:strRef>
          </c:tx>
          <c:spPr>
            <a:solidFill>
              <a:schemeClr val="accent3"/>
            </a:solidFill>
            <a:ln>
              <a:noFill/>
            </a:ln>
            <a:effectLst/>
          </c:spPr>
          <c:invertIfNegative val="0"/>
          <c:cat>
            <c:strRef>
              <c:f>Sheet3!$C$4:$C$9</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Sheet3!$F$4:$F$9</c:f>
              <c:numCache>
                <c:formatCode>#,##0</c:formatCode>
                <c:ptCount val="6"/>
                <c:pt idx="0">
                  <c:v>1269</c:v>
                </c:pt>
                <c:pt idx="1">
                  <c:v>1804</c:v>
                </c:pt>
                <c:pt idx="2">
                  <c:v>21</c:v>
                </c:pt>
                <c:pt idx="3">
                  <c:v>110</c:v>
                </c:pt>
                <c:pt idx="4">
                  <c:v>113</c:v>
                </c:pt>
                <c:pt idx="5">
                  <c:v>0</c:v>
                </c:pt>
              </c:numCache>
            </c:numRef>
          </c:val>
          <c:extLst>
            <c:ext xmlns:c16="http://schemas.microsoft.com/office/drawing/2014/chart" uri="{C3380CC4-5D6E-409C-BE32-E72D297353CC}">
              <c16:uniqueId val="{00000002-EA4F-4BB3-BAEE-9047EE4A19FA}"/>
            </c:ext>
          </c:extLst>
        </c:ser>
        <c:dLbls>
          <c:showLegendKey val="0"/>
          <c:showVal val="0"/>
          <c:showCatName val="0"/>
          <c:showSerName val="0"/>
          <c:showPercent val="0"/>
          <c:showBubbleSize val="0"/>
        </c:dLbls>
        <c:gapWidth val="150"/>
        <c:overlap val="100"/>
        <c:axId val="553074736"/>
        <c:axId val="553076304"/>
      </c:barChart>
      <c:catAx>
        <c:axId val="55307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553076304"/>
        <c:crosses val="autoZero"/>
        <c:auto val="1"/>
        <c:lblAlgn val="ctr"/>
        <c:lblOffset val="100"/>
        <c:noMultiLvlLbl val="0"/>
      </c:catAx>
      <c:valAx>
        <c:axId val="553076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55307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Sheet2!$D$3</c:f>
              <c:strCache>
                <c:ptCount val="1"/>
                <c:pt idx="0">
                  <c:v>Basic</c:v>
                </c:pt>
              </c:strCache>
            </c:strRef>
          </c:tx>
          <c:spPr>
            <a:solidFill>
              <a:schemeClr val="accent1"/>
            </a:solidFill>
            <a:ln>
              <a:noFill/>
            </a:ln>
            <a:effectLst/>
          </c:spPr>
          <c:invertIfNegative val="0"/>
          <c:cat>
            <c:strRef>
              <c:f>Sheet2!$C$4:$C$9</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Sheet2!$D$4:$D$9</c:f>
              <c:numCache>
                <c:formatCode>General</c:formatCode>
                <c:ptCount val="6"/>
                <c:pt idx="0">
                  <c:v>1505</c:v>
                </c:pt>
                <c:pt idx="1">
                  <c:v>280</c:v>
                </c:pt>
                <c:pt idx="2">
                  <c:v>280</c:v>
                </c:pt>
                <c:pt idx="3">
                  <c:v>94</c:v>
                </c:pt>
                <c:pt idx="4">
                  <c:v>2950</c:v>
                </c:pt>
                <c:pt idx="5">
                  <c:v>1932</c:v>
                </c:pt>
              </c:numCache>
            </c:numRef>
          </c:val>
          <c:extLst>
            <c:ext xmlns:c16="http://schemas.microsoft.com/office/drawing/2014/chart" uri="{C3380CC4-5D6E-409C-BE32-E72D297353CC}">
              <c16:uniqueId val="{00000000-2D20-4B7D-8327-C70B3912CD3F}"/>
            </c:ext>
          </c:extLst>
        </c:ser>
        <c:ser>
          <c:idx val="1"/>
          <c:order val="1"/>
          <c:tx>
            <c:strRef>
              <c:f>Sheet2!$E$3</c:f>
              <c:strCache>
                <c:ptCount val="1"/>
                <c:pt idx="0">
                  <c:v>Applied</c:v>
                </c:pt>
              </c:strCache>
            </c:strRef>
          </c:tx>
          <c:spPr>
            <a:solidFill>
              <a:schemeClr val="accent2"/>
            </a:solidFill>
            <a:ln>
              <a:noFill/>
            </a:ln>
            <a:effectLst/>
          </c:spPr>
          <c:invertIfNegative val="0"/>
          <c:cat>
            <c:strRef>
              <c:f>Sheet2!$C$4:$C$9</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Sheet2!$E$4:$E$9</c:f>
              <c:numCache>
                <c:formatCode>General</c:formatCode>
                <c:ptCount val="6"/>
                <c:pt idx="0">
                  <c:v>891</c:v>
                </c:pt>
                <c:pt idx="1">
                  <c:v>1662</c:v>
                </c:pt>
                <c:pt idx="2">
                  <c:v>215</c:v>
                </c:pt>
                <c:pt idx="3">
                  <c:v>230</c:v>
                </c:pt>
                <c:pt idx="4">
                  <c:v>630</c:v>
                </c:pt>
                <c:pt idx="5">
                  <c:v>238</c:v>
                </c:pt>
              </c:numCache>
            </c:numRef>
          </c:val>
          <c:extLst>
            <c:ext xmlns:c16="http://schemas.microsoft.com/office/drawing/2014/chart" uri="{C3380CC4-5D6E-409C-BE32-E72D297353CC}">
              <c16:uniqueId val="{00000001-2D20-4B7D-8327-C70B3912CD3F}"/>
            </c:ext>
          </c:extLst>
        </c:ser>
        <c:ser>
          <c:idx val="2"/>
          <c:order val="2"/>
          <c:tx>
            <c:strRef>
              <c:f>Sheet2!$F$3</c:f>
              <c:strCache>
                <c:ptCount val="1"/>
                <c:pt idx="0">
                  <c:v>Development</c:v>
                </c:pt>
              </c:strCache>
            </c:strRef>
          </c:tx>
          <c:spPr>
            <a:solidFill>
              <a:schemeClr val="accent3"/>
            </a:solidFill>
            <a:ln>
              <a:noFill/>
            </a:ln>
            <a:effectLst/>
          </c:spPr>
          <c:invertIfNegative val="0"/>
          <c:cat>
            <c:strRef>
              <c:f>Sheet2!$C$4:$C$9</c:f>
              <c:strCache>
                <c:ptCount val="6"/>
                <c:pt idx="0">
                  <c:v>Natural Sciences</c:v>
                </c:pt>
                <c:pt idx="1">
                  <c:v>Engineering and Technology</c:v>
                </c:pt>
                <c:pt idx="2">
                  <c:v>Мedical and health sciences</c:v>
                </c:pt>
                <c:pt idx="3">
                  <c:v>Agricultural sciences</c:v>
                </c:pt>
                <c:pt idx="4">
                  <c:v>Social sciences</c:v>
                </c:pt>
                <c:pt idx="5">
                  <c:v>Humanities</c:v>
                </c:pt>
              </c:strCache>
            </c:strRef>
          </c:cat>
          <c:val>
            <c:numRef>
              <c:f>Sheet2!$F$4:$F$9</c:f>
              <c:numCache>
                <c:formatCode>General</c:formatCode>
                <c:ptCount val="6"/>
                <c:pt idx="0">
                  <c:v>384</c:v>
                </c:pt>
                <c:pt idx="1">
                  <c:v>854</c:v>
                </c:pt>
                <c:pt idx="2">
                  <c:v>82</c:v>
                </c:pt>
                <c:pt idx="3">
                  <c:v>287</c:v>
                </c:pt>
                <c:pt idx="4">
                  <c:v>339</c:v>
                </c:pt>
                <c:pt idx="5">
                  <c:v>117</c:v>
                </c:pt>
              </c:numCache>
            </c:numRef>
          </c:val>
          <c:extLst>
            <c:ext xmlns:c16="http://schemas.microsoft.com/office/drawing/2014/chart" uri="{C3380CC4-5D6E-409C-BE32-E72D297353CC}">
              <c16:uniqueId val="{00000002-2D20-4B7D-8327-C70B3912CD3F}"/>
            </c:ext>
          </c:extLst>
        </c:ser>
        <c:dLbls>
          <c:showLegendKey val="0"/>
          <c:showVal val="0"/>
          <c:showCatName val="0"/>
          <c:showSerName val="0"/>
          <c:showPercent val="0"/>
          <c:showBubbleSize val="0"/>
        </c:dLbls>
        <c:gapWidth val="95"/>
        <c:overlap val="100"/>
        <c:axId val="553075128"/>
        <c:axId val="553079048"/>
      </c:barChart>
      <c:catAx>
        <c:axId val="553075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553079048"/>
        <c:crosses val="autoZero"/>
        <c:auto val="1"/>
        <c:lblAlgn val="ctr"/>
        <c:lblOffset val="100"/>
        <c:noMultiLvlLbl val="0"/>
      </c:catAx>
      <c:valAx>
        <c:axId val="553079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553075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GB"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Sheet5!$C$3:$C$16</c:f>
              <c:strCache>
                <c:ptCount val="14"/>
                <c:pt idx="0">
                  <c:v>Agriculture, forestry and fishing</c:v>
                </c:pt>
                <c:pt idx="1">
                  <c:v>Mining</c:v>
                </c:pt>
                <c:pt idx="2">
                  <c:v>Manufacturing</c:v>
                </c:pt>
                <c:pt idx="3">
                  <c:v>Electricity, gas, steam and air conditioning supply</c:v>
                </c:pt>
                <c:pt idx="4">
                  <c:v>Water supply, waste management and remediation</c:v>
                </c:pt>
                <c:pt idx="5">
                  <c:v>Construction</c:v>
                </c:pt>
                <c:pt idx="6">
                  <c:v>Wholesale and retail trade; repair of motor vehicles and motorcycles</c:v>
                </c:pt>
                <c:pt idx="7">
                  <c:v>Transportation and storage</c:v>
                </c:pt>
                <c:pt idx="8">
                  <c:v>Accommodation and food service activities</c:v>
                </c:pt>
                <c:pt idx="9">
                  <c:v>Information and communications</c:v>
                </c:pt>
                <c:pt idx="10">
                  <c:v>Financial and insurance activities</c:v>
                </c:pt>
                <c:pt idx="11">
                  <c:v>Real estate activities</c:v>
                </c:pt>
                <c:pt idx="12">
                  <c:v>Professional, scientific and technical activities</c:v>
                </c:pt>
                <c:pt idx="13">
                  <c:v>Administrative and support activities</c:v>
                </c:pt>
              </c:strCache>
            </c:strRef>
          </c:cat>
          <c:val>
            <c:numRef>
              <c:f>Sheet5!$D$3:$D$16</c:f>
              <c:numCache>
                <c:formatCode>#,##0</c:formatCode>
                <c:ptCount val="14"/>
                <c:pt idx="0">
                  <c:v>145</c:v>
                </c:pt>
                <c:pt idx="1">
                  <c:v>36</c:v>
                </c:pt>
                <c:pt idx="2">
                  <c:v>2592</c:v>
                </c:pt>
                <c:pt idx="3">
                  <c:v>29</c:v>
                </c:pt>
                <c:pt idx="4">
                  <c:v>145</c:v>
                </c:pt>
                <c:pt idx="5">
                  <c:v>676</c:v>
                </c:pt>
                <c:pt idx="6">
                  <c:v>1945</c:v>
                </c:pt>
                <c:pt idx="7">
                  <c:v>544</c:v>
                </c:pt>
                <c:pt idx="8">
                  <c:v>537</c:v>
                </c:pt>
                <c:pt idx="9">
                  <c:v>2367</c:v>
                </c:pt>
                <c:pt idx="10">
                  <c:v>169</c:v>
                </c:pt>
                <c:pt idx="11">
                  <c:v>35</c:v>
                </c:pt>
                <c:pt idx="12">
                  <c:v>2437</c:v>
                </c:pt>
                <c:pt idx="13">
                  <c:v>329</c:v>
                </c:pt>
              </c:numCache>
            </c:numRef>
          </c:val>
          <c:extLst>
            <c:ext xmlns:c16="http://schemas.microsoft.com/office/drawing/2014/chart" uri="{C3380CC4-5D6E-409C-BE32-E72D297353CC}">
              <c16:uniqueId val="{00000000-DE1C-42B1-A9A5-C3618A4F5969}"/>
            </c:ext>
          </c:extLst>
        </c:ser>
        <c:dLbls>
          <c:showLegendKey val="0"/>
          <c:showVal val="1"/>
          <c:showCatName val="0"/>
          <c:showSerName val="0"/>
          <c:showPercent val="0"/>
          <c:showBubbleSize val="0"/>
        </c:dLbls>
        <c:gapWidth val="182"/>
        <c:axId val="553076696"/>
        <c:axId val="553077872"/>
      </c:barChart>
      <c:catAx>
        <c:axId val="553076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553077872"/>
        <c:crosses val="autoZero"/>
        <c:auto val="1"/>
        <c:lblAlgn val="ctr"/>
        <c:lblOffset val="100"/>
        <c:noMultiLvlLbl val="0"/>
      </c:catAx>
      <c:valAx>
        <c:axId val="553077872"/>
        <c:scaling>
          <c:orientation val="minMax"/>
        </c:scaling>
        <c:delete val="1"/>
        <c:axPos val="b"/>
        <c:numFmt formatCode="#,##0" sourceLinked="1"/>
        <c:majorTickMark val="none"/>
        <c:minorTickMark val="none"/>
        <c:tickLblPos val="nextTo"/>
        <c:crossAx val="553076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'Power Sector'!$C$46</c:f>
              <c:strCache>
                <c:ptCount val="1"/>
                <c:pt idx="0">
                  <c:v>Solid Fuels</c:v>
                </c:pt>
              </c:strCache>
            </c:strRef>
          </c:tx>
          <c:spPr>
            <a:solidFill>
              <a:schemeClr val="accent2"/>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Sector'!$C$47:$C$53</c:f>
              <c:numCache>
                <c:formatCode>0.00</c:formatCode>
                <c:ptCount val="7"/>
                <c:pt idx="0">
                  <c:v>25.545999999999999</c:v>
                </c:pt>
                <c:pt idx="1">
                  <c:v>24.268700000000003</c:v>
                </c:pt>
                <c:pt idx="2">
                  <c:v>19.159500000277781</c:v>
                </c:pt>
                <c:pt idx="3">
                  <c:v>14.688950000000004</c:v>
                </c:pt>
                <c:pt idx="4">
                  <c:v>10.218400000555555</c:v>
                </c:pt>
                <c:pt idx="5">
                  <c:v>6.1111111111111116</c:v>
                </c:pt>
                <c:pt idx="6">
                  <c:v>0</c:v>
                </c:pt>
              </c:numCache>
            </c:numRef>
          </c:val>
          <c:extLst>
            <c:ext xmlns:c16="http://schemas.microsoft.com/office/drawing/2014/chart" uri="{C3380CC4-5D6E-409C-BE32-E72D297353CC}">
              <c16:uniqueId val="{00000000-D6EF-4181-B0CA-FD1CF57F77D4}"/>
            </c:ext>
          </c:extLst>
        </c:ser>
        <c:ser>
          <c:idx val="2"/>
          <c:order val="1"/>
          <c:tx>
            <c:strRef>
              <c:f>'Power Sector'!$D$46</c:f>
              <c:strCache>
                <c:ptCount val="1"/>
                <c:pt idx="0">
                  <c:v>Oil Products</c:v>
                </c:pt>
              </c:strCache>
            </c:strRef>
          </c:tx>
          <c:spPr>
            <a:solidFill>
              <a:schemeClr val="accent3"/>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Sector'!$D$47:$D$53</c:f>
              <c:numCache>
                <c:formatCode>0.00</c:formatCode>
                <c:ptCount val="7"/>
                <c:pt idx="0">
                  <c:v>5.3284988131215592E-2</c:v>
                </c:pt>
                <c:pt idx="1">
                  <c:v>1.7100152848130191E-2</c:v>
                </c:pt>
                <c:pt idx="2">
                  <c:v>7.8271780356323397E-3</c:v>
                </c:pt>
                <c:pt idx="3">
                  <c:v>6.5828288123971797E-3</c:v>
                </c:pt>
                <c:pt idx="4">
                  <c:v>7.8413627547944779E-3</c:v>
                </c:pt>
                <c:pt idx="5">
                  <c:v>7.8130386629252785E-3</c:v>
                </c:pt>
                <c:pt idx="6">
                  <c:v>0</c:v>
                </c:pt>
              </c:numCache>
            </c:numRef>
          </c:val>
          <c:extLst>
            <c:ext xmlns:c16="http://schemas.microsoft.com/office/drawing/2014/chart" uri="{C3380CC4-5D6E-409C-BE32-E72D297353CC}">
              <c16:uniqueId val="{00000001-D6EF-4181-B0CA-FD1CF57F77D4}"/>
            </c:ext>
          </c:extLst>
        </c:ser>
        <c:ser>
          <c:idx val="3"/>
          <c:order val="2"/>
          <c:tx>
            <c:strRef>
              <c:f>'Power Sector'!$E$46</c:f>
              <c:strCache>
                <c:ptCount val="1"/>
                <c:pt idx="0">
                  <c:v>Natural Gas</c:v>
                </c:pt>
              </c:strCache>
            </c:strRef>
          </c:tx>
          <c:spPr>
            <a:solidFill>
              <a:schemeClr val="tx2"/>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Sector'!$E$47:$E$53</c:f>
              <c:numCache>
                <c:formatCode>0.00</c:formatCode>
                <c:ptCount val="7"/>
                <c:pt idx="0">
                  <c:v>0.72628345909159731</c:v>
                </c:pt>
                <c:pt idx="1">
                  <c:v>1.4081665561698722</c:v>
                </c:pt>
                <c:pt idx="2">
                  <c:v>2.9179623824526408</c:v>
                </c:pt>
                <c:pt idx="3">
                  <c:v>2.6771657151882309</c:v>
                </c:pt>
                <c:pt idx="4">
                  <c:v>3.679455743148131</c:v>
                </c:pt>
                <c:pt idx="5">
                  <c:v>4.0716447248901355</c:v>
                </c:pt>
                <c:pt idx="6">
                  <c:v>4.10995384916317</c:v>
                </c:pt>
              </c:numCache>
            </c:numRef>
          </c:val>
          <c:extLst>
            <c:ext xmlns:c16="http://schemas.microsoft.com/office/drawing/2014/chart" uri="{C3380CC4-5D6E-409C-BE32-E72D297353CC}">
              <c16:uniqueId val="{00000002-D6EF-4181-B0CA-FD1CF57F77D4}"/>
            </c:ext>
          </c:extLst>
        </c:ser>
        <c:ser>
          <c:idx val="4"/>
          <c:order val="3"/>
          <c:tx>
            <c:strRef>
              <c:f>'Power Sector'!$F$46</c:f>
              <c:strCache>
                <c:ptCount val="1"/>
                <c:pt idx="0">
                  <c:v>Bioenergy&amp;Waste</c:v>
                </c:pt>
              </c:strCache>
            </c:strRef>
          </c:tx>
          <c:spPr>
            <a:solidFill>
              <a:schemeClr val="bg2"/>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Sector'!$F$47:$F$53</c:f>
              <c:numCache>
                <c:formatCode>0.00</c:formatCode>
                <c:ptCount val="7"/>
                <c:pt idx="0">
                  <c:v>0.15704757169632169</c:v>
                </c:pt>
                <c:pt idx="1">
                  <c:v>0.2072972375331438</c:v>
                </c:pt>
                <c:pt idx="2">
                  <c:v>0.34844194976033077</c:v>
                </c:pt>
                <c:pt idx="3">
                  <c:v>0.48607755996188268</c:v>
                </c:pt>
                <c:pt idx="4">
                  <c:v>0.97653655423634222</c:v>
                </c:pt>
                <c:pt idx="5">
                  <c:v>1.5194823156766546</c:v>
                </c:pt>
                <c:pt idx="6">
                  <c:v>2.1399016373887481</c:v>
                </c:pt>
              </c:numCache>
            </c:numRef>
          </c:val>
          <c:extLst>
            <c:ext xmlns:c16="http://schemas.microsoft.com/office/drawing/2014/chart" uri="{C3380CC4-5D6E-409C-BE32-E72D297353CC}">
              <c16:uniqueId val="{00000003-D6EF-4181-B0CA-FD1CF57F77D4}"/>
            </c:ext>
          </c:extLst>
        </c:ser>
        <c:ser>
          <c:idx val="5"/>
          <c:order val="4"/>
          <c:tx>
            <c:strRef>
              <c:f>'Power Sector'!$G$46</c:f>
              <c:strCache>
                <c:ptCount val="1"/>
                <c:pt idx="0">
                  <c:v>Hydropower</c:v>
                </c:pt>
              </c:strCache>
            </c:strRef>
          </c:tx>
          <c:spPr>
            <a:solidFill>
              <a:schemeClr val="accent1"/>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Sector'!$G$47:$G$53</c:f>
              <c:numCache>
                <c:formatCode>0.00</c:formatCode>
                <c:ptCount val="7"/>
                <c:pt idx="0">
                  <c:v>9.4571787297222247</c:v>
                </c:pt>
                <c:pt idx="1">
                  <c:v>10.411670420833333</c:v>
                </c:pt>
                <c:pt idx="2">
                  <c:v>10.839914142499996</c:v>
                </c:pt>
                <c:pt idx="3">
                  <c:v>12.312231073611114</c:v>
                </c:pt>
                <c:pt idx="4">
                  <c:v>13.633415641944449</c:v>
                </c:pt>
                <c:pt idx="5">
                  <c:v>14.06101736416667</c:v>
                </c:pt>
                <c:pt idx="6">
                  <c:v>14.061017363888887</c:v>
                </c:pt>
              </c:numCache>
            </c:numRef>
          </c:val>
          <c:extLst>
            <c:ext xmlns:c16="http://schemas.microsoft.com/office/drawing/2014/chart" uri="{C3380CC4-5D6E-409C-BE32-E72D297353CC}">
              <c16:uniqueId val="{00000004-D6EF-4181-B0CA-FD1CF57F77D4}"/>
            </c:ext>
          </c:extLst>
        </c:ser>
        <c:ser>
          <c:idx val="6"/>
          <c:order val="5"/>
          <c:tx>
            <c:strRef>
              <c:f>'Power Sector'!$H$46</c:f>
              <c:strCache>
                <c:ptCount val="1"/>
                <c:pt idx="0">
                  <c:v>Wind</c:v>
                </c:pt>
              </c:strCache>
            </c:strRef>
          </c:tx>
          <c:spPr>
            <a:solidFill>
              <a:schemeClr val="accent6">
                <a:lumMod val="75000"/>
              </a:schemeClr>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Sector'!$H$47:$H$53</c:f>
              <c:numCache>
                <c:formatCode>0.00</c:formatCode>
                <c:ptCount val="7"/>
                <c:pt idx="0">
                  <c:v>0.89820815972222245</c:v>
                </c:pt>
                <c:pt idx="1">
                  <c:v>2.316705772222222</c:v>
                </c:pt>
                <c:pt idx="2">
                  <c:v>4.6111234299999992</c:v>
                </c:pt>
                <c:pt idx="3">
                  <c:v>7.9474802230555559</c:v>
                </c:pt>
                <c:pt idx="4">
                  <c:v>8.0689088611111117</c:v>
                </c:pt>
                <c:pt idx="5">
                  <c:v>14.034422349444444</c:v>
                </c:pt>
                <c:pt idx="6">
                  <c:v>20.710157964166665</c:v>
                </c:pt>
              </c:numCache>
            </c:numRef>
          </c:val>
          <c:extLst>
            <c:ext xmlns:c16="http://schemas.microsoft.com/office/drawing/2014/chart" uri="{C3380CC4-5D6E-409C-BE32-E72D297353CC}">
              <c16:uniqueId val="{00000005-D6EF-4181-B0CA-FD1CF57F77D4}"/>
            </c:ext>
          </c:extLst>
        </c:ser>
        <c:ser>
          <c:idx val="7"/>
          <c:order val="6"/>
          <c:tx>
            <c:strRef>
              <c:f>'Power Sector'!$I$46</c:f>
              <c:strCache>
                <c:ptCount val="1"/>
                <c:pt idx="0">
                  <c:v>Solar</c:v>
                </c:pt>
              </c:strCache>
            </c:strRef>
          </c:tx>
          <c:spPr>
            <a:solidFill>
              <a:schemeClr val="accent4"/>
            </a:solidFill>
            <a:ln>
              <a:noFill/>
            </a:ln>
            <a:effectLst/>
          </c:spPr>
          <c:invertIfNegative val="0"/>
          <c:cat>
            <c:numRef>
              <c:f>'Power Sector'!$B$47:$B$53</c:f>
              <c:numCache>
                <c:formatCode>General</c:formatCode>
                <c:ptCount val="7"/>
                <c:pt idx="0">
                  <c:v>2019</c:v>
                </c:pt>
                <c:pt idx="1">
                  <c:v>2025</c:v>
                </c:pt>
                <c:pt idx="2">
                  <c:v>2030</c:v>
                </c:pt>
                <c:pt idx="3">
                  <c:v>2035</c:v>
                </c:pt>
                <c:pt idx="4">
                  <c:v>2040</c:v>
                </c:pt>
                <c:pt idx="5">
                  <c:v>2045</c:v>
                </c:pt>
                <c:pt idx="6">
                  <c:v>2050</c:v>
                </c:pt>
              </c:numCache>
            </c:numRef>
          </c:cat>
          <c:val>
            <c:numRef>
              <c:f>'Power Sector'!$I$47:$I$53</c:f>
              <c:numCache>
                <c:formatCode>0.00</c:formatCode>
                <c:ptCount val="7"/>
                <c:pt idx="0">
                  <c:v>1.3548941111111112E-2</c:v>
                </c:pt>
                <c:pt idx="1">
                  <c:v>0.68340036111111113</c:v>
                </c:pt>
                <c:pt idx="2">
                  <c:v>2.3009084724999997</c:v>
                </c:pt>
                <c:pt idx="3">
                  <c:v>5.2257176599999999</c:v>
                </c:pt>
                <c:pt idx="4">
                  <c:v>9.7820856216666652</c:v>
                </c:pt>
                <c:pt idx="5">
                  <c:v>15.920430293611116</c:v>
                </c:pt>
                <c:pt idx="6">
                  <c:v>24.588522782777783</c:v>
                </c:pt>
              </c:numCache>
            </c:numRef>
          </c:val>
          <c:extLst>
            <c:ext xmlns:c16="http://schemas.microsoft.com/office/drawing/2014/chart" uri="{C3380CC4-5D6E-409C-BE32-E72D297353CC}">
              <c16:uniqueId val="{00000006-D6EF-4181-B0CA-FD1CF57F77D4}"/>
            </c:ext>
          </c:extLst>
        </c:ser>
        <c:dLbls>
          <c:showLegendKey val="0"/>
          <c:showVal val="0"/>
          <c:showCatName val="0"/>
          <c:showSerName val="0"/>
          <c:showPercent val="0"/>
          <c:showBubbleSize val="0"/>
        </c:dLbls>
        <c:gapWidth val="150"/>
        <c:overlap val="100"/>
        <c:axId val="553084928"/>
        <c:axId val="553083360"/>
      </c:barChart>
      <c:catAx>
        <c:axId val="5530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83360"/>
        <c:crosses val="autoZero"/>
        <c:auto val="1"/>
        <c:lblAlgn val="ctr"/>
        <c:lblOffset val="100"/>
        <c:noMultiLvlLbl val="0"/>
      </c:catAx>
      <c:valAx>
        <c:axId val="553083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8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Change</a:t>
            </a:r>
            <a:r>
              <a:rPr lang="fr-FR" baseline="0"/>
              <a:t> in GDP w.r.t. WEM (%)</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GDP!$B$3</c:f>
              <c:strCache>
                <c:ptCount val="1"/>
                <c:pt idx="0">
                  <c:v>S</c:v>
                </c:pt>
              </c:strCache>
            </c:strRef>
          </c:tx>
          <c:spPr>
            <a:ln w="28575" cap="rnd">
              <a:solidFill>
                <a:srgbClr val="00B050"/>
              </a:solidFill>
              <a:round/>
            </a:ln>
            <a:effectLst/>
          </c:spPr>
          <c:marker>
            <c:symbol val="none"/>
          </c:marker>
          <c:cat>
            <c:numRef>
              <c:f>GDP!$A$4:$A$13</c:f>
              <c:numCache>
                <c:formatCode>General</c:formatCode>
                <c:ptCount val="10"/>
                <c:pt idx="0">
                  <c:v>2025</c:v>
                </c:pt>
                <c:pt idx="1">
                  <c:v>2026</c:v>
                </c:pt>
                <c:pt idx="2">
                  <c:v>2027</c:v>
                </c:pt>
                <c:pt idx="3">
                  <c:v>2028</c:v>
                </c:pt>
                <c:pt idx="4">
                  <c:v>2029</c:v>
                </c:pt>
                <c:pt idx="5">
                  <c:v>2030</c:v>
                </c:pt>
                <c:pt idx="6">
                  <c:v>2035</c:v>
                </c:pt>
                <c:pt idx="7">
                  <c:v>2040</c:v>
                </c:pt>
                <c:pt idx="8">
                  <c:v>2045</c:v>
                </c:pt>
                <c:pt idx="9">
                  <c:v>2050</c:v>
                </c:pt>
              </c:numCache>
            </c:numRef>
          </c:cat>
          <c:val>
            <c:numRef>
              <c:f>GDP!$B$4:$B$13</c:f>
              <c:numCache>
                <c:formatCode>0.00%</c:formatCode>
                <c:ptCount val="10"/>
                <c:pt idx="0">
                  <c:v>1.24E-2</c:v>
                </c:pt>
                <c:pt idx="1">
                  <c:v>1.38E-2</c:v>
                </c:pt>
                <c:pt idx="2">
                  <c:v>1.5900000000000001E-2</c:v>
                </c:pt>
                <c:pt idx="3">
                  <c:v>1.72E-2</c:v>
                </c:pt>
                <c:pt idx="4">
                  <c:v>1.7899999999999999E-2</c:v>
                </c:pt>
                <c:pt idx="5">
                  <c:v>1.7000000000000001E-2</c:v>
                </c:pt>
                <c:pt idx="6">
                  <c:v>1.8599999999999998E-2</c:v>
                </c:pt>
                <c:pt idx="7">
                  <c:v>2.12E-2</c:v>
                </c:pt>
                <c:pt idx="8">
                  <c:v>2.1899999999999999E-2</c:v>
                </c:pt>
                <c:pt idx="9">
                  <c:v>1.47E-2</c:v>
                </c:pt>
              </c:numCache>
            </c:numRef>
          </c:val>
          <c:smooth val="0"/>
          <c:extLst>
            <c:ext xmlns:c16="http://schemas.microsoft.com/office/drawing/2014/chart" uri="{C3380CC4-5D6E-409C-BE32-E72D297353CC}">
              <c16:uniqueId val="{00000000-71C4-41CC-8E57-5E119581CB8D}"/>
            </c:ext>
          </c:extLst>
        </c:ser>
        <c:ser>
          <c:idx val="1"/>
          <c:order val="1"/>
          <c:tx>
            <c:strRef>
              <c:f>GDP!$C$3</c:f>
              <c:strCache>
                <c:ptCount val="1"/>
                <c:pt idx="0">
                  <c:v>S-N</c:v>
                </c:pt>
              </c:strCache>
            </c:strRef>
          </c:tx>
          <c:spPr>
            <a:ln w="28575" cap="rnd">
              <a:solidFill>
                <a:srgbClr val="0070C0"/>
              </a:solidFill>
              <a:round/>
            </a:ln>
            <a:effectLst/>
          </c:spPr>
          <c:marker>
            <c:symbol val="none"/>
          </c:marker>
          <c:cat>
            <c:numRef>
              <c:f>GDP!$A$4:$A$13</c:f>
              <c:numCache>
                <c:formatCode>General</c:formatCode>
                <c:ptCount val="10"/>
                <c:pt idx="0">
                  <c:v>2025</c:v>
                </c:pt>
                <c:pt idx="1">
                  <c:v>2026</c:v>
                </c:pt>
                <c:pt idx="2">
                  <c:v>2027</c:v>
                </c:pt>
                <c:pt idx="3">
                  <c:v>2028</c:v>
                </c:pt>
                <c:pt idx="4">
                  <c:v>2029</c:v>
                </c:pt>
                <c:pt idx="5">
                  <c:v>2030</c:v>
                </c:pt>
                <c:pt idx="6">
                  <c:v>2035</c:v>
                </c:pt>
                <c:pt idx="7">
                  <c:v>2040</c:v>
                </c:pt>
                <c:pt idx="8">
                  <c:v>2045</c:v>
                </c:pt>
                <c:pt idx="9">
                  <c:v>2050</c:v>
                </c:pt>
              </c:numCache>
            </c:numRef>
          </c:cat>
          <c:val>
            <c:numRef>
              <c:f>GDP!$C$4:$C$13</c:f>
              <c:numCache>
                <c:formatCode>0.00%</c:formatCode>
                <c:ptCount val="10"/>
                <c:pt idx="0">
                  <c:v>1.24E-2</c:v>
                </c:pt>
                <c:pt idx="1">
                  <c:v>1.38E-2</c:v>
                </c:pt>
                <c:pt idx="2">
                  <c:v>1.5900000000000001E-2</c:v>
                </c:pt>
                <c:pt idx="3">
                  <c:v>1.72E-2</c:v>
                </c:pt>
                <c:pt idx="4">
                  <c:v>1.7899999999999999E-2</c:v>
                </c:pt>
                <c:pt idx="5">
                  <c:v>1.7000000000000001E-2</c:v>
                </c:pt>
                <c:pt idx="6">
                  <c:v>1.89E-2</c:v>
                </c:pt>
                <c:pt idx="7">
                  <c:v>2.24E-2</c:v>
                </c:pt>
                <c:pt idx="8">
                  <c:v>1.2500000000000001E-2</c:v>
                </c:pt>
                <c:pt idx="9">
                  <c:v>3.3999999999999998E-3</c:v>
                </c:pt>
              </c:numCache>
            </c:numRef>
          </c:val>
          <c:smooth val="0"/>
          <c:extLst>
            <c:ext xmlns:c16="http://schemas.microsoft.com/office/drawing/2014/chart" uri="{C3380CC4-5D6E-409C-BE32-E72D297353CC}">
              <c16:uniqueId val="{00000001-71C4-41CC-8E57-5E119581CB8D}"/>
            </c:ext>
          </c:extLst>
        </c:ser>
        <c:dLbls>
          <c:showLegendKey val="0"/>
          <c:showVal val="0"/>
          <c:showCatName val="0"/>
          <c:showSerName val="0"/>
          <c:showPercent val="0"/>
          <c:showBubbleSize val="0"/>
        </c:dLbls>
        <c:smooth val="0"/>
        <c:axId val="553085712"/>
        <c:axId val="553084536"/>
      </c:lineChart>
      <c:catAx>
        <c:axId val="55308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84536"/>
        <c:crosses val="autoZero"/>
        <c:auto val="1"/>
        <c:lblAlgn val="ctr"/>
        <c:lblOffset val="100"/>
        <c:noMultiLvlLbl val="0"/>
      </c:catAx>
      <c:valAx>
        <c:axId val="553084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8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a:t>
            </a:r>
            <a:r>
              <a:rPr lang="fr-FR" baseline="0"/>
              <a:t> change in unemployment w.r.t. WEM (national aggregate)</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7AA-4DC2-91D0-56852F7562EF}"/>
              </c:ext>
            </c:extLst>
          </c:dPt>
          <c:dPt>
            <c:idx val="1"/>
            <c:invertIfNegative val="0"/>
            <c:bubble3D val="0"/>
            <c:spPr>
              <a:solidFill>
                <a:srgbClr val="00B050"/>
              </a:solidFill>
              <a:ln>
                <a:noFill/>
              </a:ln>
              <a:effectLst/>
            </c:spPr>
            <c:extLst>
              <c:ext xmlns:c16="http://schemas.microsoft.com/office/drawing/2014/chart" uri="{C3380CC4-5D6E-409C-BE32-E72D297353CC}">
                <c16:uniqueId val="{00000003-D7AA-4DC2-91D0-56852F7562EF}"/>
              </c:ext>
            </c:extLst>
          </c:dPt>
          <c:dPt>
            <c:idx val="2"/>
            <c:invertIfNegative val="0"/>
            <c:bubble3D val="0"/>
            <c:spPr>
              <a:solidFill>
                <a:srgbClr val="00B050"/>
              </a:solidFill>
              <a:ln>
                <a:noFill/>
              </a:ln>
              <a:effectLst/>
            </c:spPr>
            <c:extLst>
              <c:ext xmlns:c16="http://schemas.microsoft.com/office/drawing/2014/chart" uri="{C3380CC4-5D6E-409C-BE32-E72D297353CC}">
                <c16:uniqueId val="{00000005-D7AA-4DC2-91D0-56852F7562EF}"/>
              </c:ext>
            </c:extLst>
          </c:dPt>
          <c:dPt>
            <c:idx val="3"/>
            <c:invertIfNegative val="0"/>
            <c:bubble3D val="0"/>
            <c:spPr>
              <a:solidFill>
                <a:srgbClr val="00B050"/>
              </a:solidFill>
              <a:ln>
                <a:noFill/>
              </a:ln>
              <a:effectLst/>
            </c:spPr>
            <c:extLst>
              <c:ext xmlns:c16="http://schemas.microsoft.com/office/drawing/2014/chart" uri="{C3380CC4-5D6E-409C-BE32-E72D297353CC}">
                <c16:uniqueId val="{00000007-D7AA-4DC2-91D0-56852F7562EF}"/>
              </c:ext>
            </c:extLst>
          </c:dPt>
          <c:dPt>
            <c:idx val="4"/>
            <c:invertIfNegative val="0"/>
            <c:bubble3D val="0"/>
            <c:spPr>
              <a:solidFill>
                <a:srgbClr val="00B050"/>
              </a:solidFill>
              <a:ln>
                <a:noFill/>
              </a:ln>
              <a:effectLst/>
            </c:spPr>
            <c:extLst>
              <c:ext xmlns:c16="http://schemas.microsoft.com/office/drawing/2014/chart" uri="{C3380CC4-5D6E-409C-BE32-E72D297353CC}">
                <c16:uniqueId val="{00000009-D7AA-4DC2-91D0-56852F7562EF}"/>
              </c:ext>
            </c:extLst>
          </c:dPt>
          <c:dPt>
            <c:idx val="5"/>
            <c:invertIfNegative val="0"/>
            <c:bubble3D val="0"/>
            <c:spPr>
              <a:solidFill>
                <a:srgbClr val="00B050"/>
              </a:solidFill>
              <a:ln>
                <a:noFill/>
              </a:ln>
              <a:effectLst/>
            </c:spPr>
            <c:extLst>
              <c:ext xmlns:c16="http://schemas.microsoft.com/office/drawing/2014/chart" uri="{C3380CC4-5D6E-409C-BE32-E72D297353CC}">
                <c16:uniqueId val="{0000000B-D7AA-4DC2-91D0-56852F7562EF}"/>
              </c:ext>
            </c:extLst>
          </c:dPt>
          <c:dPt>
            <c:idx val="6"/>
            <c:invertIfNegative val="0"/>
            <c:bubble3D val="0"/>
            <c:spPr>
              <a:solidFill>
                <a:srgbClr val="00B050"/>
              </a:solidFill>
              <a:ln>
                <a:noFill/>
              </a:ln>
              <a:effectLst/>
            </c:spPr>
            <c:extLst>
              <c:ext xmlns:c16="http://schemas.microsoft.com/office/drawing/2014/chart" uri="{C3380CC4-5D6E-409C-BE32-E72D297353CC}">
                <c16:uniqueId val="{0000000D-D7AA-4DC2-91D0-56852F7562EF}"/>
              </c:ext>
            </c:extLst>
          </c:dPt>
          <c:dPt>
            <c:idx val="8"/>
            <c:invertIfNegative val="0"/>
            <c:bubble3D val="0"/>
            <c:spPr>
              <a:solidFill>
                <a:srgbClr val="00B050"/>
              </a:solidFill>
              <a:ln>
                <a:noFill/>
              </a:ln>
              <a:effectLst/>
            </c:spPr>
            <c:extLst>
              <c:ext xmlns:c16="http://schemas.microsoft.com/office/drawing/2014/chart" uri="{C3380CC4-5D6E-409C-BE32-E72D297353CC}">
                <c16:uniqueId val="{0000000F-D7AA-4DC2-91D0-56852F7562EF}"/>
              </c:ext>
            </c:extLst>
          </c:dPt>
          <c:dPt>
            <c:idx val="12"/>
            <c:invertIfNegative val="0"/>
            <c:bubble3D val="0"/>
            <c:spPr>
              <a:solidFill>
                <a:srgbClr val="00B050"/>
              </a:solidFill>
              <a:ln>
                <a:noFill/>
              </a:ln>
              <a:effectLst/>
            </c:spPr>
            <c:extLst>
              <c:ext xmlns:c16="http://schemas.microsoft.com/office/drawing/2014/chart" uri="{C3380CC4-5D6E-409C-BE32-E72D297353CC}">
                <c16:uniqueId val="{00000011-D7AA-4DC2-91D0-56852F7562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AGG_UNEMPLOYMENT!$A$2:$B$15</c:f>
              <c:multiLvlStrCache>
                <c:ptCount val="14"/>
                <c:lvl>
                  <c:pt idx="0">
                    <c:v>S</c:v>
                  </c:pt>
                  <c:pt idx="1">
                    <c:v>S</c:v>
                  </c:pt>
                  <c:pt idx="2">
                    <c:v>S</c:v>
                  </c:pt>
                  <c:pt idx="3">
                    <c:v>S</c:v>
                  </c:pt>
                  <c:pt idx="4">
                    <c:v>S</c:v>
                  </c:pt>
                  <c:pt idx="5">
                    <c:v>S</c:v>
                  </c:pt>
                  <c:pt idx="6">
                    <c:v>S</c:v>
                  </c:pt>
                  <c:pt idx="7">
                    <c:v>S-N</c:v>
                  </c:pt>
                  <c:pt idx="8">
                    <c:v>S</c:v>
                  </c:pt>
                  <c:pt idx="9">
                    <c:v>S-N</c:v>
                  </c:pt>
                  <c:pt idx="10">
                    <c:v>S</c:v>
                  </c:pt>
                  <c:pt idx="11">
                    <c:v>S-N</c:v>
                  </c:pt>
                  <c:pt idx="12">
                    <c:v>S</c:v>
                  </c:pt>
                  <c:pt idx="13">
                    <c:v>S-N</c:v>
                  </c:pt>
                </c:lvl>
                <c:lvl>
                  <c:pt idx="0">
                    <c:v>2025</c:v>
                  </c:pt>
                  <c:pt idx="1">
                    <c:v>2026</c:v>
                  </c:pt>
                  <c:pt idx="2">
                    <c:v>2027</c:v>
                  </c:pt>
                  <c:pt idx="3">
                    <c:v>2028</c:v>
                  </c:pt>
                  <c:pt idx="4">
                    <c:v>2029</c:v>
                  </c:pt>
                  <c:pt idx="5">
                    <c:v>2030</c:v>
                  </c:pt>
                  <c:pt idx="6">
                    <c:v>2035</c:v>
                  </c:pt>
                  <c:pt idx="8">
                    <c:v>2040</c:v>
                  </c:pt>
                  <c:pt idx="10">
                    <c:v>2045</c:v>
                  </c:pt>
                  <c:pt idx="12">
                    <c:v>2050</c:v>
                  </c:pt>
                </c:lvl>
              </c:multiLvlStrCache>
            </c:multiLvlStrRef>
          </c:cat>
          <c:val>
            <c:numRef>
              <c:f>AGG_UNEMPLOYMENT!$C$2:$C$15</c:f>
              <c:numCache>
                <c:formatCode>0.00%</c:formatCode>
                <c:ptCount val="14"/>
                <c:pt idx="0">
                  <c:v>1.5E-3</c:v>
                </c:pt>
                <c:pt idx="1">
                  <c:v>1.5E-3</c:v>
                </c:pt>
                <c:pt idx="2">
                  <c:v>1E-3</c:v>
                </c:pt>
                <c:pt idx="3">
                  <c:v>1.1999999999999999E-3</c:v>
                </c:pt>
                <c:pt idx="4">
                  <c:v>1.8E-3</c:v>
                </c:pt>
                <c:pt idx="5">
                  <c:v>3.0999999999999999E-3</c:v>
                </c:pt>
                <c:pt idx="6">
                  <c:v>5.0000000000000001E-4</c:v>
                </c:pt>
                <c:pt idx="7">
                  <c:v>4.0000000000000002E-4</c:v>
                </c:pt>
                <c:pt idx="8">
                  <c:v>-6.9999999999999999E-4</c:v>
                </c:pt>
                <c:pt idx="9">
                  <c:v>-8.0000000000000004E-4</c:v>
                </c:pt>
                <c:pt idx="10" formatCode="0%">
                  <c:v>0</c:v>
                </c:pt>
                <c:pt idx="11">
                  <c:v>3.8999999999999998E-3</c:v>
                </c:pt>
                <c:pt idx="12">
                  <c:v>4.0000000000000002E-4</c:v>
                </c:pt>
                <c:pt idx="13">
                  <c:v>1E-3</c:v>
                </c:pt>
              </c:numCache>
            </c:numRef>
          </c:val>
          <c:extLst>
            <c:ext xmlns:c16="http://schemas.microsoft.com/office/drawing/2014/chart" uri="{C3380CC4-5D6E-409C-BE32-E72D297353CC}">
              <c16:uniqueId val="{00000012-D7AA-4DC2-91D0-56852F7562EF}"/>
            </c:ext>
          </c:extLst>
        </c:ser>
        <c:dLbls>
          <c:dLblPos val="outEnd"/>
          <c:showLegendKey val="0"/>
          <c:showVal val="1"/>
          <c:showCatName val="0"/>
          <c:showSerName val="0"/>
          <c:showPercent val="0"/>
          <c:showBubbleSize val="0"/>
        </c:dLbls>
        <c:gapWidth val="219"/>
        <c:overlap val="-27"/>
        <c:axId val="553083752"/>
        <c:axId val="553084144"/>
      </c:barChart>
      <c:catAx>
        <c:axId val="553083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84144"/>
        <c:crosses val="autoZero"/>
        <c:auto val="1"/>
        <c:lblAlgn val="ctr"/>
        <c:lblOffset val="100"/>
        <c:noMultiLvlLbl val="0"/>
      </c:catAx>
      <c:valAx>
        <c:axId val="553084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3083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'[Annex I Summary Table of Investments_05.12.23_v0.4.xlsx]Graphs'!$G$2:$G$4</cx:f>
        <cx:lvl ptCount="3">
          <cx:pt idx="0">WAM Costs</cx:pt>
          <cx:pt idx="1">WEM Costs</cx:pt>
          <cx:pt idx="2">Additional WAM Costs</cx:pt>
        </cx:lvl>
      </cx:strDim>
      <cx:numDim type="val">
        <cx:f>'[Annex I Summary Table of Investments_05.12.23_v0.4.xlsx]Graphs'!$H$2:$H$4</cx:f>
        <cx:lvl ptCount="3" formatCode="#,##0.00\ &quot;€&quot;">
          <cx:pt idx="0">30.549431417380042</cx:pt>
          <cx:pt idx="1">-16.761221026913312</cx:pt>
          <cx:pt idx="2">-13.787300390466729</cx:pt>
        </cx:lvl>
      </cx:numDim>
    </cx:data>
  </cx:chartData>
  <cx:chart>
    <cx:plotArea>
      <cx:plotAreaRegion>
        <cx:series layoutId="waterfall" uniqueId="{EC35010B-04EC-47E7-9837-B67898D7B07C}">
          <cx:dataPt idx="0">
            <cx:spPr>
              <a:solidFill>
                <a:srgbClr val="4472C4"/>
              </a:solidFill>
            </cx:spPr>
          </cx:dataPt>
          <cx:dataPt idx="1">
            <cx:spPr>
              <a:solidFill>
                <a:sysClr val="windowText" lastClr="000000">
                  <a:lumMod val="50000"/>
                  <a:lumOff val="50000"/>
                </a:sysClr>
              </a:solidFill>
            </cx:spPr>
          </cx:dataPt>
          <cx:dataId val="0"/>
          <cx:layoutPr>
            <cx:subtotals/>
          </cx:layoutPr>
        </cx:series>
      </cx:plotAreaRegion>
      <cx:axis id="0">
        <cx:catScaling gapWidth="1.25"/>
        <cx:tickLabels/>
        <cx:txPr>
          <a:bodyPr spcFirstLastPara="1" vertOverflow="ellipsis" horzOverflow="overflow" wrap="square" lIns="0" tIns="0" rIns="0" bIns="0" anchor="ctr" anchorCtr="1"/>
          <a:lstStyle/>
          <a:p>
            <a:pPr algn="ctr" rtl="0">
              <a:defRPr sz="1050"/>
            </a:pPr>
            <a:endParaRPr lang="en-US" sz="1050" b="0" i="0" u="none" strike="noStrike" baseline="0">
              <a:solidFill>
                <a:sysClr val="windowText" lastClr="000000">
                  <a:lumMod val="65000"/>
                  <a:lumOff val="35000"/>
                </a:sysClr>
              </a:solidFill>
              <a:latin typeface="Calibri" panose="020F0502020204030204"/>
            </a:endParaRPr>
          </a:p>
        </cx:txPr>
      </cx:axis>
      <cx:axis id="1">
        <cx:valScaling max="30" min="0"/>
        <cx:title>
          <cx:tx>
            <cx:rich>
              <a:bodyPr spcFirstLastPara="1" vertOverflow="ellipsis" horzOverflow="overflow" wrap="square" lIns="0" tIns="0" rIns="0" bIns="0" anchor="ctr" anchorCtr="1"/>
              <a:lstStyle/>
              <a:p>
                <a:pPr algn="ctr" rtl="0">
                  <a:defRPr sz="1050"/>
                </a:pPr>
                <a:r>
                  <a:rPr lang="sr-Latn-RS" sz="1050" b="0" i="0" u="none" strike="noStrike" baseline="0">
                    <a:solidFill>
                      <a:sysClr val="windowText" lastClr="000000">
                        <a:lumMod val="65000"/>
                        <a:lumOff val="35000"/>
                      </a:sysClr>
                    </a:solidFill>
                    <a:latin typeface="Calibri" panose="020F0502020204030204"/>
                  </a:rPr>
                  <a:t>b</a:t>
                </a:r>
                <a:r>
                  <a:rPr lang="en-US" sz="1050" b="0" i="0" u="none" strike="noStrike" baseline="0">
                    <a:solidFill>
                      <a:sysClr val="windowText" lastClr="000000">
                        <a:lumMod val="65000"/>
                        <a:lumOff val="35000"/>
                      </a:sysClr>
                    </a:solidFill>
                    <a:latin typeface="Calibri" panose="020F0502020204030204"/>
                  </a:rPr>
                  <a:t>illion €</a:t>
                </a:r>
              </a:p>
            </cx:rich>
          </cx:tx>
        </cx:title>
        <cx:tickLabels/>
        <cx:txPr>
          <a:bodyPr spcFirstLastPara="1" vertOverflow="ellipsis" horzOverflow="overflow" wrap="square" lIns="0" tIns="0" rIns="0" bIns="0" anchor="ctr" anchorCtr="1"/>
          <a:lstStyle/>
          <a:p>
            <a:pPr algn="ctr" rtl="0">
              <a:defRPr sz="1050"/>
            </a:pPr>
            <a:endParaRPr lang="en-US" sz="1050" b="0" i="0" u="none" strike="noStrike" baseline="0">
              <a:solidFill>
                <a:sysClr val="windowText" lastClr="000000">
                  <a:lumMod val="65000"/>
                  <a:lumOff val="35000"/>
                </a:sysClr>
              </a:solidFill>
              <a:latin typeface="Calibri" panose="020F0502020204030204"/>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0.09484</cdr:x>
      <cdr:y>0.11809</cdr:y>
    </cdr:from>
    <cdr:to>
      <cdr:x>0.5938</cdr:x>
      <cdr:y>0.8506</cdr:y>
    </cdr:to>
    <cdr:sp macro="" textlink="">
      <cdr:nvSpPr>
        <cdr:cNvPr id="2" name="Text Box 1">
          <a:extLst xmlns:a="http://schemas.openxmlformats.org/drawingml/2006/main">
            <a:ext uri="{FF2B5EF4-FFF2-40B4-BE49-F238E27FC236}">
              <a16:creationId xmlns:a16="http://schemas.microsoft.com/office/drawing/2014/main" id="{E8F59490-BEC0-93D2-97AB-03B51FF4697A}"/>
            </a:ext>
          </a:extLst>
        </cdr:cNvPr>
        <cdr:cNvSpPr txBox="1"/>
      </cdr:nvSpPr>
      <cdr:spPr>
        <a:xfrm xmlns:a="http://schemas.openxmlformats.org/drawingml/2006/main">
          <a:off x="580418" y="465221"/>
          <a:ext cx="3053700" cy="2885746"/>
        </a:xfrm>
        <a:prstGeom xmlns:a="http://schemas.openxmlformats.org/drawingml/2006/main" prst="rect">
          <a:avLst/>
        </a:prstGeom>
        <a:solidFill xmlns:a="http://schemas.openxmlformats.org/drawingml/2006/main">
          <a:sysClr val="window" lastClr="FFFFFF">
            <a:lumMod val="65000"/>
            <a:alpha val="50000"/>
          </a:sysClr>
        </a:solidFill>
        <a:ln xmlns:a="http://schemas.openxmlformats.org/drawingml/2006/main">
          <a:noFill/>
        </a:ln>
        <a:effectLst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l-GR"/>
        </a:p>
      </cdr:txBody>
    </cdr:sp>
  </cdr:relSizeAnchor>
</c:userShapes>
</file>

<file path=word/drawings/drawing2.xml><?xml version="1.0" encoding="utf-8"?>
<c:userShapes xmlns:c="http://schemas.openxmlformats.org/drawingml/2006/chart">
  <cdr:relSizeAnchor xmlns:cdr="http://schemas.openxmlformats.org/drawingml/2006/chartDrawing">
    <cdr:from>
      <cdr:x>0.08598</cdr:x>
      <cdr:y>0.20339</cdr:y>
    </cdr:from>
    <cdr:to>
      <cdr:x>0.46655</cdr:x>
      <cdr:y>0.98712</cdr:y>
    </cdr:to>
    <cdr:sp macro="" textlink="">
      <cdr:nvSpPr>
        <cdr:cNvPr id="2" name="Text Box 1"/>
        <cdr:cNvSpPr txBox="1"/>
      </cdr:nvSpPr>
      <cdr:spPr>
        <a:xfrm xmlns:a="http://schemas.openxmlformats.org/drawingml/2006/main">
          <a:off x="526213" y="732285"/>
          <a:ext cx="2329131" cy="2821798"/>
        </a:xfrm>
        <a:prstGeom xmlns:a="http://schemas.openxmlformats.org/drawingml/2006/main" prst="rect">
          <a:avLst/>
        </a:prstGeom>
        <a:solidFill xmlns:a="http://schemas.openxmlformats.org/drawingml/2006/main">
          <a:sysClr val="window" lastClr="FFFFFF">
            <a:lumMod val="65000"/>
            <a:alpha val="50000"/>
          </a:sysClr>
        </a:solidFill>
        <a:ln xmlns:a="http://schemas.openxmlformats.org/drawingml/2006/main">
          <a:noFill/>
        </a:ln>
        <a:effectLst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l-GR"/>
        </a:p>
      </cdr:txBody>
    </cdr:sp>
  </cdr:relSizeAnchor>
</c:userShapes>
</file>

<file path=word/drawings/drawing3.xml><?xml version="1.0" encoding="utf-8"?>
<c:userShapes xmlns:c="http://schemas.openxmlformats.org/drawingml/2006/chart">
  <cdr:relSizeAnchor xmlns:cdr="http://schemas.openxmlformats.org/drawingml/2006/chartDrawing">
    <cdr:from>
      <cdr:x>0.76367</cdr:x>
      <cdr:y>0.76905</cdr:y>
    </cdr:from>
    <cdr:to>
      <cdr:x>0.99366</cdr:x>
      <cdr:y>1</cdr:y>
    </cdr:to>
    <cdr:sp macro="" textlink="">
      <cdr:nvSpPr>
        <cdr:cNvPr id="2" name="Rectangle 1">
          <a:extLst xmlns:a="http://schemas.openxmlformats.org/drawingml/2006/main">
            <a:ext uri="{FF2B5EF4-FFF2-40B4-BE49-F238E27FC236}">
              <a16:creationId xmlns:a16="http://schemas.microsoft.com/office/drawing/2014/main" id="{BE297437-D815-883E-4923-3C287BF74251}"/>
            </a:ext>
          </a:extLst>
        </cdr:cNvPr>
        <cdr:cNvSpPr/>
      </cdr:nvSpPr>
      <cdr:spPr>
        <a:xfrm xmlns:a="http://schemas.openxmlformats.org/drawingml/2006/main">
          <a:off x="3879452" y="2889378"/>
          <a:ext cx="1168349" cy="8677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US" sz="800">
              <a:solidFill>
                <a:schemeClr val="tx1">
                  <a:lumMod val="65000"/>
                  <a:lumOff val="35000"/>
                </a:schemeClr>
              </a:solidFill>
              <a:effectLst/>
              <a:latin typeface="+mn-lt"/>
              <a:ea typeface="+mn-ea"/>
              <a:cs typeface="+mn-cs"/>
            </a:rPr>
            <a:t>* implementation costs which have been integrated within the EE but also affect the Decarbonisation measures</a:t>
          </a:r>
          <a:endParaRPr lang="en-US" sz="800">
            <a:solidFill>
              <a:schemeClr val="tx1">
                <a:lumMod val="65000"/>
                <a:lumOff val="35000"/>
              </a:schemeClr>
            </a:solidFill>
            <a:effectLst/>
          </a:endParaRPr>
        </a:p>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endParaRPr lang="en-US" sz="800">
            <a:solidFill>
              <a:schemeClr val="tx1">
                <a:lumMod val="65000"/>
                <a:lumOff val="35000"/>
              </a:schemeClr>
            </a:solidFill>
          </a:endParaRPr>
        </a:p>
      </cdr:txBody>
    </cdr:sp>
  </cdr:relSizeAnchor>
  <cdr:relSizeAnchor xmlns:cdr="http://schemas.openxmlformats.org/drawingml/2006/chartDrawing">
    <cdr:from>
      <cdr:x>0.46836</cdr:x>
      <cdr:y>0.43959</cdr:y>
    </cdr:from>
    <cdr:to>
      <cdr:x>0.50799</cdr:x>
      <cdr:y>0.50535</cdr:y>
    </cdr:to>
    <cdr:sp macro="" textlink="">
      <cdr:nvSpPr>
        <cdr:cNvPr id="3" name="Rectangle 2">
          <a:extLst xmlns:a="http://schemas.openxmlformats.org/drawingml/2006/main">
            <a:ext uri="{FF2B5EF4-FFF2-40B4-BE49-F238E27FC236}">
              <a16:creationId xmlns:a16="http://schemas.microsoft.com/office/drawing/2014/main" id="{A043F467-85C9-E27E-BB34-6FB95AF4D444}"/>
            </a:ext>
          </a:extLst>
        </cdr:cNvPr>
        <cdr:cNvSpPr/>
      </cdr:nvSpPr>
      <cdr:spPr>
        <a:xfrm xmlns:a="http://schemas.openxmlformats.org/drawingml/2006/main">
          <a:off x="2379253" y="1651591"/>
          <a:ext cx="201320" cy="2470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US" sz="900">
              <a:solidFill>
                <a:schemeClr val="tx1">
                  <a:lumMod val="65000"/>
                  <a:lumOff val="35000"/>
                </a:schemeClr>
              </a:solidFill>
              <a:effectLst/>
              <a:latin typeface="+mn-lt"/>
              <a:ea typeface="+mn-ea"/>
              <a:cs typeface="+mn-cs"/>
            </a:rPr>
            <a:t>*</a:t>
          </a:r>
          <a:endParaRPr lang="en-US">
            <a:solidFill>
              <a:schemeClr val="tx1">
                <a:lumMod val="65000"/>
                <a:lumOff val="35000"/>
              </a:schemeClr>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DqmCILLflvH6Y1EunWEaF1B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OAByITFWZUZSVVlpUUR3eXAzQ3R4ZXVOWjMzT2FHMWc1NGNC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378D2D4-18D4-4D8E-8FEC-0D12E5D8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329</Pages>
  <Words>116668</Words>
  <Characters>665008</Characters>
  <Application>Microsoft Office Word</Application>
  <DocSecurity>0</DocSecurity>
  <Lines>5541</Lines>
  <Paragraphs>1560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780116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Nikolakaki Sofia</dc:creator>
  <cp:keywords/>
  <dc:description/>
  <cp:lastModifiedBy>Biljana Ramic</cp:lastModifiedBy>
  <cp:revision>75</cp:revision>
  <dcterms:created xsi:type="dcterms:W3CDTF">2023-12-14T13:02:00Z</dcterms:created>
  <dcterms:modified xsi:type="dcterms:W3CDTF">2024-01-12T16:03:00Z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0x01010000CF39E1B239B743A844FDE7E82E44D8</vt:lpwstr>
  </property>
  <property fmtid="{D5CDD505-2E9C-101B-9397-08002B2CF9AE}" pid="4" name="MediaServiceImageTags">
    <vt:lpwstr/>
  </property>
  <property fmtid="{D5CDD505-2E9C-101B-9397-08002B2CF9AE}" pid="5" name="ExpertIn">
    <vt:lpwstr/>
  </property>
</Properties>
</file>